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b/>
          <w:szCs w:val="21"/>
          <w:highlight w:val="none"/>
        </w:rPr>
      </w:pPr>
      <w:r>
        <w:rPr>
          <w:rFonts w:ascii="宋体" w:hAnsi="宋体"/>
          <w:bCs/>
          <w:sz w:val="28"/>
          <w:szCs w:val="28"/>
          <w:highlight w:val="none"/>
        </w:rPr>
        <w:drawing>
          <wp:inline distT="0" distB="0" distL="0" distR="0">
            <wp:extent cx="882650" cy="854710"/>
            <wp:effectExtent l="0" t="0" r="12700" b="254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7" cstate="print"/>
                    <a:srcRect/>
                    <a:stretch>
                      <a:fillRect/>
                    </a:stretch>
                  </pic:blipFill>
                  <pic:spPr>
                    <a:xfrm>
                      <a:off x="0" y="0"/>
                      <a:ext cx="882650" cy="854710"/>
                    </a:xfrm>
                    <a:prstGeom prst="rect">
                      <a:avLst/>
                    </a:prstGeom>
                    <a:ln>
                      <a:noFill/>
                    </a:ln>
                  </pic:spPr>
                </pic:pic>
              </a:graphicData>
            </a:graphic>
          </wp:inline>
        </w:drawing>
      </w:r>
    </w:p>
    <w:p>
      <w:pPr>
        <w:spacing w:line="360" w:lineRule="auto"/>
        <w:rPr>
          <w:rFonts w:ascii="宋体" w:hAnsi="宋体"/>
          <w:b/>
          <w:szCs w:val="21"/>
          <w:highlight w:val="none"/>
        </w:rPr>
      </w:pPr>
    </w:p>
    <w:p>
      <w:pPr>
        <w:spacing w:line="360" w:lineRule="auto"/>
        <w:rPr>
          <w:rFonts w:ascii="宋体" w:hAnsi="宋体"/>
          <w:b/>
          <w:szCs w:val="21"/>
          <w:highlight w:val="none"/>
        </w:rPr>
      </w:pPr>
    </w:p>
    <w:p>
      <w:pPr>
        <w:spacing w:line="360" w:lineRule="auto"/>
        <w:rPr>
          <w:rFonts w:ascii="宋体" w:hAnsi="宋体"/>
          <w:b/>
          <w:szCs w:val="21"/>
          <w:highlight w:val="none"/>
        </w:rPr>
      </w:pPr>
    </w:p>
    <w:p>
      <w:pPr>
        <w:tabs>
          <w:tab w:val="left" w:pos="420"/>
          <w:tab w:val="center" w:pos="4933"/>
          <w:tab w:val="left" w:pos="6660"/>
          <w:tab w:val="left" w:pos="7829"/>
        </w:tabs>
        <w:spacing w:line="360" w:lineRule="auto"/>
        <w:jc w:val="left"/>
        <w:rPr>
          <w:rFonts w:ascii="宋体" w:hAnsi="宋体"/>
          <w:b/>
          <w:sz w:val="52"/>
          <w:szCs w:val="52"/>
          <w:highlight w:val="none"/>
        </w:rPr>
      </w:pPr>
      <w:r>
        <w:rPr>
          <w:rFonts w:hint="eastAsia" w:ascii="宋体" w:hAnsi="宋体"/>
          <w:b/>
          <w:sz w:val="52"/>
          <w:szCs w:val="52"/>
          <w:highlight w:val="none"/>
          <w:lang w:eastAsia="zh-CN"/>
        </w:rPr>
        <w:tab/>
      </w:r>
      <w:r>
        <w:rPr>
          <w:rFonts w:hint="eastAsia" w:ascii="宋体" w:hAnsi="宋体"/>
          <w:b/>
          <w:sz w:val="52"/>
          <w:szCs w:val="52"/>
          <w:highlight w:val="none"/>
          <w:lang w:eastAsia="zh-CN"/>
        </w:rPr>
        <w:tab/>
      </w:r>
      <w:r>
        <w:rPr>
          <w:rFonts w:hint="eastAsia" w:ascii="宋体" w:hAnsi="宋体"/>
          <w:b/>
          <w:sz w:val="52"/>
          <w:szCs w:val="52"/>
          <w:highlight w:val="none"/>
        </w:rPr>
        <w:t>竞争性磋商文件</w:t>
      </w:r>
      <w:r>
        <w:rPr>
          <w:rFonts w:hint="eastAsia" w:ascii="宋体" w:hAnsi="宋体"/>
          <w:b/>
          <w:sz w:val="52"/>
          <w:szCs w:val="52"/>
          <w:highlight w:val="none"/>
          <w:lang w:eastAsia="zh-CN"/>
        </w:rPr>
        <w:tab/>
      </w:r>
    </w:p>
    <w:p>
      <w:pPr>
        <w:spacing w:line="360" w:lineRule="auto"/>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
          <w:bCs/>
          <w:sz w:val="28"/>
          <w:szCs w:val="28"/>
          <w:highlight w:val="none"/>
        </w:rPr>
      </w:pPr>
      <w:r>
        <w:rPr>
          <w:rFonts w:hint="eastAsia" w:ascii="宋体" w:hAnsi="宋体"/>
          <w:b/>
          <w:bCs/>
          <w:sz w:val="28"/>
          <w:szCs w:val="28"/>
          <w:highlight w:val="none"/>
        </w:rPr>
        <w:t>采购项目编号：</w:t>
      </w:r>
      <w:r>
        <w:rPr>
          <w:rFonts w:hint="eastAsia" w:ascii="宋体" w:hAnsi="宋体"/>
          <w:b/>
          <w:bCs/>
          <w:sz w:val="28"/>
          <w:szCs w:val="28"/>
          <w:highlight w:val="none"/>
          <w:u w:val="single"/>
          <w:lang w:eastAsia="zh-CN"/>
        </w:rPr>
        <w:t>DQ-2022140-CS</w:t>
      </w:r>
      <w:r>
        <w:rPr>
          <w:rFonts w:hint="eastAsia" w:ascii="宋体" w:hAnsi="宋体"/>
          <w:b/>
          <w:bCs/>
          <w:sz w:val="28"/>
          <w:szCs w:val="28"/>
          <w:highlight w:val="none"/>
        </w:rPr>
        <w:fldChar w:fldCharType="begin"/>
      </w:r>
      <w:r>
        <w:rPr>
          <w:rFonts w:hint="eastAsia" w:ascii="宋体" w:hAnsi="宋体"/>
          <w:b/>
          <w:bCs/>
          <w:sz w:val="28"/>
          <w:szCs w:val="28"/>
          <w:highlight w:val="none"/>
        </w:rPr>
        <w:instrText xml:space="preserve"> DOCVARIABLE  采购编号  \* MERGEFORMAT </w:instrText>
      </w:r>
      <w:r>
        <w:rPr>
          <w:rFonts w:hint="eastAsia" w:ascii="宋体" w:hAnsi="宋体"/>
          <w:b/>
          <w:bCs/>
          <w:sz w:val="28"/>
          <w:szCs w:val="28"/>
          <w:highlight w:val="none"/>
        </w:rPr>
        <w:fldChar w:fldCharType="end"/>
      </w:r>
    </w:p>
    <w:p>
      <w:pPr>
        <w:spacing w:line="360" w:lineRule="auto"/>
        <w:jc w:val="center"/>
        <w:rPr>
          <w:rFonts w:ascii="宋体" w:hAnsi="宋体"/>
          <w:b/>
          <w:sz w:val="30"/>
          <w:szCs w:val="30"/>
          <w:highlight w:val="none"/>
          <w:u w:val="single"/>
        </w:rPr>
      </w:pPr>
      <w:r>
        <w:rPr>
          <w:rFonts w:hint="eastAsia" w:ascii="宋体" w:hAnsi="宋体"/>
          <w:b/>
          <w:bCs/>
          <w:sz w:val="28"/>
          <w:szCs w:val="28"/>
          <w:highlight w:val="none"/>
        </w:rPr>
        <w:t>采购项目名</w:t>
      </w:r>
      <w:r>
        <w:rPr>
          <w:rFonts w:hint="eastAsia" w:ascii="宋体" w:hAnsi="宋体"/>
          <w:b/>
          <w:bCs/>
          <w:sz w:val="28"/>
          <w:szCs w:val="28"/>
          <w:highlight w:val="none"/>
          <w:lang w:eastAsia="zh-CN"/>
        </w:rPr>
        <w:t>称：</w:t>
      </w:r>
      <w:r>
        <w:rPr>
          <w:rFonts w:hint="eastAsia" w:ascii="宋体" w:hAnsi="宋体"/>
          <w:b/>
          <w:bCs/>
          <w:sz w:val="28"/>
          <w:szCs w:val="28"/>
          <w:highlight w:val="none"/>
          <w:u w:val="single"/>
          <w:lang w:eastAsia="zh-CN"/>
        </w:rPr>
        <w:t>陕西省总工会2022年信息系统安全态势感知服务项目</w:t>
      </w:r>
      <w:r>
        <w:rPr>
          <w:rFonts w:hint="eastAsia" w:ascii="宋体" w:hAnsi="宋体"/>
          <w:b/>
          <w:bCs/>
          <w:sz w:val="30"/>
          <w:szCs w:val="30"/>
          <w:highlight w:val="none"/>
        </w:rPr>
        <w:fldChar w:fldCharType="begin"/>
      </w:r>
      <w:r>
        <w:rPr>
          <w:rFonts w:hint="eastAsia" w:ascii="宋体" w:hAnsi="宋体"/>
          <w:b/>
          <w:bCs/>
          <w:sz w:val="30"/>
          <w:szCs w:val="30"/>
          <w:highlight w:val="none"/>
        </w:rPr>
        <w:instrText xml:space="preserve"> DOCVARIABLE  项目名称  \* MERGEFORMAT </w:instrText>
      </w:r>
      <w:r>
        <w:rPr>
          <w:rFonts w:hint="eastAsia" w:ascii="宋体" w:hAnsi="宋体"/>
          <w:b/>
          <w:bCs/>
          <w:sz w:val="30"/>
          <w:szCs w:val="30"/>
          <w:highlight w:val="none"/>
        </w:rPr>
        <w:fldChar w:fldCharType="end"/>
      </w:r>
    </w:p>
    <w:p>
      <w:pPr>
        <w:spacing w:line="360" w:lineRule="auto"/>
        <w:jc w:val="center"/>
        <w:rPr>
          <w:rFonts w:hint="eastAsia" w:ascii="宋体" w:hAnsi="宋体" w:eastAsia="宋体"/>
          <w:b/>
          <w:bCs/>
          <w:szCs w:val="21"/>
          <w:highlight w:val="none"/>
          <w:lang w:eastAsia="zh-CN"/>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 w:val="30"/>
          <w:szCs w:val="30"/>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 w:val="24"/>
          <w:highlight w:val="none"/>
        </w:rPr>
      </w:pPr>
      <w:r>
        <w:rPr>
          <w:rFonts w:hint="eastAsia" w:ascii="宋体" w:hAnsi="宋体"/>
          <w:b/>
          <w:bCs/>
          <w:sz w:val="24"/>
          <w:highlight w:val="none"/>
        </w:rPr>
        <w:t>陕西德勤招标有限公司编制</w:t>
      </w:r>
    </w:p>
    <w:p>
      <w:pPr>
        <w:spacing w:line="360" w:lineRule="auto"/>
        <w:jc w:val="center"/>
        <w:rPr>
          <w:rFonts w:hint="default" w:ascii="宋体" w:hAnsi="宋体" w:eastAsia="宋体"/>
          <w:b/>
          <w:bCs/>
          <w:sz w:val="24"/>
          <w:highlight w:val="none"/>
          <w:lang w:val="en-US" w:eastAsia="zh-CN"/>
        </w:rPr>
      </w:pPr>
      <w:r>
        <w:rPr>
          <w:rFonts w:hint="eastAsia" w:ascii="宋体" w:hAnsi="宋体"/>
          <w:b/>
          <w:bCs/>
          <w:sz w:val="24"/>
          <w:highlight w:val="none"/>
        </w:rPr>
        <w:t>发布日期：</w:t>
      </w:r>
      <w:r>
        <w:rPr>
          <w:rFonts w:hint="eastAsia" w:ascii="宋体" w:hAnsi="宋体"/>
          <w:b/>
          <w:bCs/>
          <w:sz w:val="24"/>
          <w:highlight w:val="none"/>
          <w:lang w:val="en-US" w:eastAsia="zh-CN"/>
        </w:rPr>
        <w:t>2022年8月25日</w:t>
      </w:r>
    </w:p>
    <w:p>
      <w:pPr>
        <w:spacing w:line="360" w:lineRule="auto"/>
        <w:jc w:val="center"/>
        <w:rPr>
          <w:rFonts w:hint="eastAsia" w:ascii="宋体" w:hAnsi="宋体"/>
          <w:b/>
          <w:bCs/>
          <w:sz w:val="24"/>
          <w:highlight w:val="none"/>
        </w:rPr>
      </w:pPr>
      <w:r>
        <w:rPr>
          <w:rFonts w:hint="eastAsia" w:ascii="宋体" w:hAnsi="宋体"/>
          <w:b/>
          <w:bCs/>
          <w:sz w:val="24"/>
          <w:highlight w:val="none"/>
        </w:rPr>
        <w:br w:type="page"/>
      </w:r>
    </w:p>
    <w:p>
      <w:pPr>
        <w:spacing w:line="360" w:lineRule="auto"/>
        <w:jc w:val="center"/>
        <w:rPr>
          <w:rFonts w:hint="eastAsia" w:ascii="黑体" w:hAnsi="黑体" w:eastAsia="黑体" w:cs="黑体"/>
          <w:b/>
          <w:bCs/>
          <w:color w:val="auto"/>
          <w:sz w:val="32"/>
          <w:szCs w:val="32"/>
          <w:highlight w:val="none"/>
          <w:lang w:eastAsia="zh-CN"/>
        </w:rPr>
      </w:pPr>
      <w:bookmarkStart w:id="0" w:name="_Toc14384"/>
      <w:bookmarkStart w:id="1" w:name="_Toc28776"/>
      <w:r>
        <w:rPr>
          <w:rFonts w:hint="eastAsia" w:ascii="黑体" w:hAnsi="黑体" w:eastAsia="黑体" w:cs="黑体"/>
          <w:b/>
          <w:bCs/>
          <w:color w:val="auto"/>
          <w:sz w:val="32"/>
          <w:szCs w:val="32"/>
          <w:highlight w:val="none"/>
          <w:lang w:val="en-US" w:eastAsia="zh-CN"/>
        </w:rPr>
        <w:t>温馨提示</w:t>
      </w:r>
    </w:p>
    <w:p>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（本提示内容非采购文件的组成部分，仅为善意提醒。如有不一致，以采购文件为准）。</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一、</w:t>
      </w:r>
      <w:r>
        <w:rPr>
          <w:rFonts w:hint="eastAsia" w:ascii="宋体" w:hAnsi="宋体" w:eastAsia="宋体" w:cs="宋体"/>
          <w:color w:val="auto"/>
          <w:kern w:val="0"/>
          <w:sz w:val="24"/>
          <w:szCs w:val="24"/>
          <w:highlight w:val="none"/>
          <w:u w:val="none"/>
          <w:lang w:val="en-US" w:eastAsia="zh-CN"/>
        </w:rPr>
        <w:t>如无另行说明，投标/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文件递交时间为投标/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文件递交截止时间之前</w:t>
      </w:r>
      <w:r>
        <w:rPr>
          <w:rFonts w:hint="eastAsia" w:ascii="宋体" w:hAnsi="宋体" w:cs="宋体"/>
          <w:color w:val="auto"/>
          <w:kern w:val="0"/>
          <w:sz w:val="24"/>
          <w:szCs w:val="24"/>
          <w:highlight w:val="none"/>
          <w:u w:val="none"/>
          <w:lang w:val="en-US" w:eastAsia="zh-CN"/>
        </w:rPr>
        <w:t>60</w:t>
      </w:r>
      <w:r>
        <w:rPr>
          <w:rFonts w:hint="eastAsia" w:ascii="宋体" w:hAnsi="宋体" w:eastAsia="宋体" w:cs="宋体"/>
          <w:color w:val="auto"/>
          <w:kern w:val="0"/>
          <w:sz w:val="24"/>
          <w:szCs w:val="24"/>
          <w:highlight w:val="none"/>
          <w:u w:val="none"/>
          <w:lang w:val="en-US" w:eastAsia="zh-CN"/>
        </w:rPr>
        <w:t>分钟内。</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二、</w:t>
      </w:r>
      <w:r>
        <w:rPr>
          <w:rFonts w:hint="eastAsia" w:ascii="宋体" w:hAnsi="宋体" w:eastAsia="宋体" w:cs="宋体"/>
          <w:color w:val="auto"/>
          <w:kern w:val="0"/>
          <w:sz w:val="24"/>
          <w:szCs w:val="24"/>
          <w:highlight w:val="none"/>
          <w:u w:val="none"/>
          <w:lang w:val="en-US" w:eastAsia="zh-CN"/>
        </w:rPr>
        <w:t>每个供应商每个项目的保证金缴纳账户是唯一的，本</w:t>
      </w:r>
      <w:r>
        <w:rPr>
          <w:rFonts w:hint="eastAsia" w:ascii="宋体" w:hAnsi="宋体" w:cs="宋体"/>
          <w:color w:val="auto"/>
          <w:kern w:val="0"/>
          <w:sz w:val="24"/>
          <w:szCs w:val="24"/>
          <w:highlight w:val="none"/>
          <w:u w:val="none"/>
          <w:lang w:val="en-US" w:eastAsia="zh-CN"/>
        </w:rPr>
        <w:t>公司</w:t>
      </w:r>
      <w:r>
        <w:rPr>
          <w:rFonts w:hint="eastAsia" w:ascii="宋体" w:hAnsi="宋体" w:eastAsia="宋体" w:cs="宋体"/>
          <w:color w:val="auto"/>
          <w:kern w:val="0"/>
          <w:sz w:val="24"/>
          <w:szCs w:val="24"/>
          <w:highlight w:val="none"/>
          <w:u w:val="none"/>
          <w:lang w:val="en-US" w:eastAsia="zh-CN"/>
        </w:rPr>
        <w:t>将根据唯一保证金缴纳账户的缴纳情况，确认供应商是否已按规定缴纳项目保证金。所以请各供应商缴纳保证金前务必核对正确的缴纳账户，错缴误缴导致未按项目缴纳保证金的情况将由供应商自行负责。</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三、为了提高政府采购效率，节约社会交易成本与时间，本公司希望购买了采购文件而决定不参加本次投标/响应的供应商，在投标/响应文件递交截止时间的3日前，按《投标/</w:t>
      </w:r>
      <w:r>
        <w:rPr>
          <w:rFonts w:hint="eastAsia" w:ascii="宋体" w:hAnsi="宋体" w:cs="宋体"/>
          <w:color w:val="auto"/>
          <w:kern w:val="0"/>
          <w:sz w:val="24"/>
          <w:szCs w:val="24"/>
          <w:highlight w:val="none"/>
          <w:u w:val="none"/>
          <w:lang w:val="en-US" w:eastAsia="zh-CN"/>
        </w:rPr>
        <w:t>磋商邀请函</w:t>
      </w:r>
      <w:r>
        <w:rPr>
          <w:rFonts w:hint="eastAsia" w:ascii="宋体" w:hAnsi="宋体" w:eastAsia="宋体" w:cs="宋体"/>
          <w:color w:val="auto"/>
          <w:kern w:val="0"/>
          <w:sz w:val="24"/>
          <w:szCs w:val="24"/>
          <w:highlight w:val="none"/>
          <w:u w:val="none"/>
          <w:lang w:val="en-US" w:eastAsia="zh-CN"/>
        </w:rPr>
        <w:t>》中的联系方式，以</w:t>
      </w:r>
      <w:r>
        <w:rPr>
          <w:rFonts w:hint="eastAsia" w:ascii="宋体" w:hAnsi="宋体" w:cs="宋体"/>
          <w:color w:val="auto"/>
          <w:kern w:val="0"/>
          <w:sz w:val="24"/>
          <w:szCs w:val="24"/>
          <w:highlight w:val="none"/>
          <w:u w:val="none"/>
          <w:lang w:val="en-US" w:eastAsia="zh-CN"/>
        </w:rPr>
        <w:t>电话或</w:t>
      </w:r>
      <w:r>
        <w:rPr>
          <w:rFonts w:hint="eastAsia" w:ascii="宋体" w:hAnsi="宋体" w:eastAsia="宋体" w:cs="宋体"/>
          <w:color w:val="auto"/>
          <w:kern w:val="0"/>
          <w:sz w:val="24"/>
          <w:szCs w:val="24"/>
          <w:highlight w:val="none"/>
          <w:u w:val="none"/>
          <w:lang w:val="en-US" w:eastAsia="zh-CN"/>
        </w:rPr>
        <w:t>电子邮件形式告知本公司。对您的支持与配合，谨此致谢。</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四</w:t>
      </w:r>
      <w:r>
        <w:rPr>
          <w:rFonts w:hint="default" w:ascii="宋体" w:hAnsi="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供应商如需对项目提出询问或质疑，应按采购文件中要求的询问函和质疑函的格式提交。</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五、</w:t>
      </w:r>
      <w:r>
        <w:rPr>
          <w:rStyle w:val="22"/>
          <w:rFonts w:hint="eastAsia" w:ascii="宋体" w:hAnsi="宋体" w:cs="宋体"/>
          <w:color w:val="auto"/>
          <w:kern w:val="0"/>
          <w:sz w:val="24"/>
          <w:szCs w:val="24"/>
          <w:highlight w:val="none"/>
          <w:lang w:val="en-US" w:eastAsia="zh-CN" w:bidi="ar"/>
        </w:rPr>
        <w:t>若遇高峰期停车困难</w:t>
      </w:r>
      <w:r>
        <w:rPr>
          <w:rStyle w:val="22"/>
          <w:rFonts w:hint="eastAsia" w:ascii="宋体" w:hAnsi="宋体" w:eastAsia="宋体" w:cs="宋体"/>
          <w:color w:val="auto"/>
          <w:kern w:val="0"/>
          <w:sz w:val="24"/>
          <w:szCs w:val="24"/>
          <w:highlight w:val="none"/>
          <w:lang w:val="en-US" w:eastAsia="zh-CN" w:bidi="ar"/>
        </w:rPr>
        <w:t>，</w:t>
      </w:r>
      <w:r>
        <w:rPr>
          <w:rStyle w:val="22"/>
          <w:rFonts w:hint="eastAsia" w:ascii="宋体" w:hAnsi="宋体" w:cs="宋体"/>
          <w:color w:val="auto"/>
          <w:kern w:val="0"/>
          <w:sz w:val="24"/>
          <w:szCs w:val="24"/>
          <w:highlight w:val="none"/>
          <w:lang w:val="en-US" w:eastAsia="zh-CN" w:bidi="ar"/>
        </w:rPr>
        <w:t>可至公司周边</w:t>
      </w:r>
      <w:r>
        <w:rPr>
          <w:rStyle w:val="22"/>
          <w:rFonts w:hint="eastAsia" w:ascii="宋体" w:hAnsi="宋体" w:eastAsia="宋体" w:cs="宋体"/>
          <w:color w:val="auto"/>
          <w:kern w:val="0"/>
          <w:sz w:val="24"/>
          <w:szCs w:val="24"/>
          <w:highlight w:val="none"/>
          <w:lang w:val="en-US" w:eastAsia="zh-CN" w:bidi="ar"/>
        </w:rPr>
        <w:t>停车场停车，如绿地SOHO同盟、旺都、绿地领海、绿地蓝海及其他对外营业的停车场等。</w:t>
      </w:r>
    </w:p>
    <w:p>
      <w:pPr>
        <w:widowControl/>
        <w:spacing w:line="360" w:lineRule="auto"/>
        <w:ind w:firstLine="480" w:firstLineChars="200"/>
        <w:jc w:val="left"/>
        <w:rPr>
          <w:rStyle w:val="22"/>
          <w:rFonts w:hint="eastAsia" w:ascii="宋体" w:hAnsi="宋体" w:eastAsia="宋体" w:cs="宋体"/>
          <w:color w:val="auto"/>
          <w:kern w:val="0"/>
          <w:sz w:val="24"/>
          <w:szCs w:val="24"/>
          <w:highlight w:val="none"/>
          <w:lang w:val="en-US" w:eastAsia="zh-CN" w:bidi="ar"/>
        </w:rPr>
      </w:pPr>
      <w:r>
        <w:rPr>
          <w:rStyle w:val="22"/>
          <w:rFonts w:hint="eastAsia" w:ascii="宋体" w:hAnsi="宋体" w:eastAsia="宋体" w:cs="宋体"/>
          <w:color w:val="auto"/>
          <w:kern w:val="0"/>
          <w:sz w:val="24"/>
          <w:szCs w:val="24"/>
          <w:highlight w:val="none"/>
          <w:lang w:val="en-US" w:eastAsia="zh-CN" w:bidi="ar"/>
        </w:rPr>
        <w:t>六、请供应商务必按照《陕西省财政厅关于政府采购供应商注册登记有关事项的通知》要求，通过陕西省政府采购网（http://www.ccgp-shaanxi.gov.cn/）进行陕西政府采购统一身份认证注册登记加入陕西省政府采购供应商库。</w:t>
      </w:r>
    </w:p>
    <w:p>
      <w:pPr>
        <w:pStyle w:val="15"/>
        <w:keepNext w:val="0"/>
        <w:keepLines w:val="0"/>
        <w:tabs>
          <w:tab w:val="right" w:leader="dot" w:pos="9747"/>
        </w:tabs>
        <w:spacing w:before="120" w:after="120" w:line="360" w:lineRule="auto"/>
        <w:jc w:val="center"/>
        <w:rPr>
          <w:rFonts w:hint="eastAsia" w:ascii="宋体" w:hAnsi="宋体" w:eastAsia="宋体" w:cs="宋体"/>
          <w:b/>
          <w:bCs/>
          <w:kern w:val="2"/>
          <w:sz w:val="21"/>
          <w:szCs w:val="30"/>
          <w:highlight w:val="none"/>
          <w:lang w:val="en-US" w:eastAsia="zh-CN" w:bidi="ar-SA"/>
        </w:rPr>
      </w:pPr>
      <w:r>
        <w:rPr>
          <w:rStyle w:val="33"/>
          <w:rFonts w:hint="eastAsia" w:ascii="黑体" w:hAnsi="黑体" w:eastAsia="黑体" w:cs="黑体"/>
          <w:sz w:val="32"/>
          <w:szCs w:val="32"/>
          <w:highlight w:val="none"/>
        </w:rPr>
        <w:br w:type="page"/>
      </w:r>
      <w:r>
        <w:rPr>
          <w:rFonts w:hint="eastAsia" w:ascii="黑体" w:hAnsi="黑体" w:eastAsia="黑体" w:cs="黑体"/>
          <w:b/>
          <w:bCs/>
          <w:sz w:val="32"/>
          <w:szCs w:val="32"/>
          <w:highlight w:val="none"/>
        </w:rPr>
        <w:t>目  录</w:t>
      </w:r>
      <w:bookmarkEnd w:id="0"/>
      <w:bookmarkEnd w:id="1"/>
      <w:r>
        <w:rPr>
          <w:rFonts w:hint="eastAsia" w:ascii="宋体" w:hAnsi="宋体"/>
          <w:b/>
          <w:bCs/>
          <w:szCs w:val="30"/>
          <w:highlight w:val="none"/>
        </w:rPr>
        <w:fldChar w:fldCharType="begin"/>
      </w:r>
      <w:r>
        <w:rPr>
          <w:rFonts w:hint="eastAsia" w:ascii="宋体" w:hAnsi="宋体"/>
          <w:b/>
          <w:bCs/>
          <w:szCs w:val="30"/>
          <w:highlight w:val="none"/>
        </w:rPr>
        <w:instrText xml:space="preserve">TOC \o "1-3" \h \u </w:instrText>
      </w:r>
      <w:r>
        <w:rPr>
          <w:rFonts w:hint="eastAsia" w:ascii="宋体" w:hAnsi="宋体"/>
          <w:b/>
          <w:bCs/>
          <w:szCs w:val="30"/>
          <w:highlight w:val="none"/>
        </w:rPr>
        <w:fldChar w:fldCharType="separate"/>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_Toc17948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 xml:space="preserve">第一部分 </w:t>
      </w:r>
      <w:r>
        <w:rPr>
          <w:rFonts w:hint="eastAsia" w:ascii="黑体" w:hAnsi="黑体" w:eastAsia="黑体" w:cs="黑体"/>
          <w:b/>
          <w:bCs w:val="0"/>
          <w:szCs w:val="32"/>
          <w:highlight w:val="none"/>
          <w:lang w:eastAsia="zh-CN"/>
        </w:rPr>
        <w:t>磋商邀请函</w:t>
      </w:r>
      <w:r>
        <w:rPr>
          <w:b/>
          <w:bCs w:val="0"/>
          <w:highlight w:val="none"/>
        </w:rPr>
        <w:tab/>
      </w:r>
      <w:r>
        <w:rPr>
          <w:b/>
          <w:bCs w:val="0"/>
          <w:highlight w:val="none"/>
        </w:rPr>
        <w:fldChar w:fldCharType="begin"/>
      </w:r>
      <w:r>
        <w:rPr>
          <w:b/>
          <w:bCs w:val="0"/>
          <w:highlight w:val="none"/>
        </w:rPr>
        <w:instrText xml:space="preserve"> PAGEREF _Toc17948 \h </w:instrText>
      </w:r>
      <w:r>
        <w:rPr>
          <w:b/>
          <w:bCs w:val="0"/>
          <w:highlight w:val="none"/>
        </w:rPr>
        <w:fldChar w:fldCharType="separate"/>
      </w:r>
      <w:r>
        <w:rPr>
          <w:b/>
          <w:bCs w:val="0"/>
          <w:highlight w:val="none"/>
        </w:rPr>
        <w:t>4</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_Toc6236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第二部分 用户需求书</w:t>
      </w:r>
      <w:r>
        <w:rPr>
          <w:b/>
          <w:bCs w:val="0"/>
          <w:highlight w:val="none"/>
        </w:rPr>
        <w:tab/>
      </w:r>
      <w:r>
        <w:rPr>
          <w:b/>
          <w:bCs w:val="0"/>
          <w:highlight w:val="none"/>
        </w:rPr>
        <w:fldChar w:fldCharType="begin"/>
      </w:r>
      <w:r>
        <w:rPr>
          <w:b/>
          <w:bCs w:val="0"/>
          <w:highlight w:val="none"/>
        </w:rPr>
        <w:instrText xml:space="preserve"> PAGEREF _Toc6236 \h </w:instrText>
      </w:r>
      <w:r>
        <w:rPr>
          <w:b/>
          <w:bCs w:val="0"/>
          <w:highlight w:val="none"/>
        </w:rPr>
        <w:fldChar w:fldCharType="separate"/>
      </w:r>
      <w:r>
        <w:rPr>
          <w:b/>
          <w:bCs w:val="0"/>
          <w:highlight w:val="none"/>
        </w:rPr>
        <w:t>8</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_Toc25235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第三部分 供应商须知</w:t>
      </w:r>
      <w:r>
        <w:rPr>
          <w:b/>
          <w:bCs w:val="0"/>
          <w:highlight w:val="none"/>
        </w:rPr>
        <w:tab/>
      </w:r>
      <w:r>
        <w:rPr>
          <w:b/>
          <w:bCs w:val="0"/>
          <w:highlight w:val="none"/>
        </w:rPr>
        <w:fldChar w:fldCharType="begin"/>
      </w:r>
      <w:r>
        <w:rPr>
          <w:b/>
          <w:bCs w:val="0"/>
          <w:highlight w:val="none"/>
        </w:rPr>
        <w:instrText xml:space="preserve"> PAGEREF _Toc25235 \h </w:instrText>
      </w:r>
      <w:r>
        <w:rPr>
          <w:b/>
          <w:bCs w:val="0"/>
          <w:highlight w:val="none"/>
        </w:rPr>
        <w:fldChar w:fldCharType="separate"/>
      </w:r>
      <w:r>
        <w:rPr>
          <w:b/>
          <w:bCs w:val="0"/>
          <w:highlight w:val="none"/>
        </w:rPr>
        <w:t>15</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_Toc14458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一、总则</w:t>
      </w:r>
      <w:r>
        <w:rPr>
          <w:b/>
          <w:bCs w:val="0"/>
          <w:highlight w:val="none"/>
        </w:rPr>
        <w:tab/>
      </w:r>
      <w:r>
        <w:rPr>
          <w:b/>
          <w:bCs w:val="0"/>
          <w:highlight w:val="none"/>
        </w:rPr>
        <w:fldChar w:fldCharType="begin"/>
      </w:r>
      <w:r>
        <w:rPr>
          <w:b/>
          <w:bCs w:val="0"/>
          <w:highlight w:val="none"/>
        </w:rPr>
        <w:instrText xml:space="preserve"> PAGEREF _Toc14458 \h </w:instrText>
      </w:r>
      <w:r>
        <w:rPr>
          <w:b/>
          <w:bCs w:val="0"/>
          <w:highlight w:val="none"/>
        </w:rPr>
        <w:fldChar w:fldCharType="separate"/>
      </w:r>
      <w:r>
        <w:rPr>
          <w:b/>
          <w:bCs w:val="0"/>
          <w:highlight w:val="none"/>
        </w:rPr>
        <w:t>18</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_Toc29396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二、磋商文件</w:t>
      </w:r>
      <w:r>
        <w:rPr>
          <w:b/>
          <w:bCs w:val="0"/>
          <w:highlight w:val="none"/>
        </w:rPr>
        <w:tab/>
      </w:r>
      <w:r>
        <w:rPr>
          <w:b/>
          <w:bCs w:val="0"/>
          <w:highlight w:val="none"/>
        </w:rPr>
        <w:fldChar w:fldCharType="begin"/>
      </w:r>
      <w:r>
        <w:rPr>
          <w:b/>
          <w:bCs w:val="0"/>
          <w:highlight w:val="none"/>
        </w:rPr>
        <w:instrText xml:space="preserve"> PAGEREF _Toc29396 \h </w:instrText>
      </w:r>
      <w:r>
        <w:rPr>
          <w:b/>
          <w:bCs w:val="0"/>
          <w:highlight w:val="none"/>
        </w:rPr>
        <w:fldChar w:fldCharType="separate"/>
      </w:r>
      <w:r>
        <w:rPr>
          <w:b/>
          <w:bCs w:val="0"/>
          <w:highlight w:val="none"/>
        </w:rPr>
        <w:t>22</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_Toc17031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三、响应文件的编制</w:t>
      </w:r>
      <w:r>
        <w:rPr>
          <w:b/>
          <w:bCs w:val="0"/>
          <w:highlight w:val="none"/>
        </w:rPr>
        <w:tab/>
      </w:r>
      <w:r>
        <w:rPr>
          <w:b/>
          <w:bCs w:val="0"/>
          <w:highlight w:val="none"/>
        </w:rPr>
        <w:fldChar w:fldCharType="begin"/>
      </w:r>
      <w:r>
        <w:rPr>
          <w:b/>
          <w:bCs w:val="0"/>
          <w:highlight w:val="none"/>
        </w:rPr>
        <w:instrText xml:space="preserve"> PAGEREF _Toc17031 \h </w:instrText>
      </w:r>
      <w:r>
        <w:rPr>
          <w:b/>
          <w:bCs w:val="0"/>
          <w:highlight w:val="none"/>
        </w:rPr>
        <w:fldChar w:fldCharType="separate"/>
      </w:r>
      <w:r>
        <w:rPr>
          <w:b/>
          <w:bCs w:val="0"/>
          <w:highlight w:val="none"/>
        </w:rPr>
        <w:t>23</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_Toc32350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四、响应文件密封、递交</w:t>
      </w:r>
      <w:r>
        <w:rPr>
          <w:b/>
          <w:bCs w:val="0"/>
          <w:highlight w:val="none"/>
        </w:rPr>
        <w:tab/>
      </w:r>
      <w:r>
        <w:rPr>
          <w:b/>
          <w:bCs w:val="0"/>
          <w:highlight w:val="none"/>
        </w:rPr>
        <w:fldChar w:fldCharType="begin"/>
      </w:r>
      <w:r>
        <w:rPr>
          <w:b/>
          <w:bCs w:val="0"/>
          <w:highlight w:val="none"/>
        </w:rPr>
        <w:instrText xml:space="preserve"> PAGEREF _Toc32350 \h </w:instrText>
      </w:r>
      <w:r>
        <w:rPr>
          <w:b/>
          <w:bCs w:val="0"/>
          <w:highlight w:val="none"/>
        </w:rPr>
        <w:fldChar w:fldCharType="separate"/>
      </w:r>
      <w:r>
        <w:rPr>
          <w:b/>
          <w:bCs w:val="0"/>
          <w:highlight w:val="none"/>
        </w:rPr>
        <w:t>26</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_Toc5241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五、磋商、评审、成交</w:t>
      </w:r>
      <w:r>
        <w:rPr>
          <w:b/>
          <w:bCs w:val="0"/>
          <w:highlight w:val="none"/>
        </w:rPr>
        <w:tab/>
      </w:r>
      <w:r>
        <w:rPr>
          <w:b/>
          <w:bCs w:val="0"/>
          <w:highlight w:val="none"/>
        </w:rPr>
        <w:fldChar w:fldCharType="begin"/>
      </w:r>
      <w:r>
        <w:rPr>
          <w:b/>
          <w:bCs w:val="0"/>
          <w:highlight w:val="none"/>
        </w:rPr>
        <w:instrText xml:space="preserve"> PAGEREF _Toc5241 \h </w:instrText>
      </w:r>
      <w:r>
        <w:rPr>
          <w:b/>
          <w:bCs w:val="0"/>
          <w:highlight w:val="none"/>
        </w:rPr>
        <w:fldChar w:fldCharType="separate"/>
      </w:r>
      <w:r>
        <w:rPr>
          <w:b/>
          <w:bCs w:val="0"/>
          <w:highlight w:val="none"/>
        </w:rPr>
        <w:t>28</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_Toc22007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六、响应纪律要求</w:t>
      </w:r>
      <w:r>
        <w:rPr>
          <w:b/>
          <w:bCs w:val="0"/>
          <w:highlight w:val="none"/>
        </w:rPr>
        <w:tab/>
      </w:r>
      <w:r>
        <w:rPr>
          <w:b/>
          <w:bCs w:val="0"/>
          <w:highlight w:val="none"/>
        </w:rPr>
        <w:fldChar w:fldCharType="begin"/>
      </w:r>
      <w:r>
        <w:rPr>
          <w:b/>
          <w:bCs w:val="0"/>
          <w:highlight w:val="none"/>
        </w:rPr>
        <w:instrText xml:space="preserve"> PAGEREF _Toc22007 \h </w:instrText>
      </w:r>
      <w:r>
        <w:rPr>
          <w:b/>
          <w:bCs w:val="0"/>
          <w:highlight w:val="none"/>
        </w:rPr>
        <w:fldChar w:fldCharType="separate"/>
      </w:r>
      <w:r>
        <w:rPr>
          <w:b/>
          <w:bCs w:val="0"/>
          <w:highlight w:val="none"/>
        </w:rPr>
        <w:t>28</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_Toc9216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七、询问、质疑、投诉</w:t>
      </w:r>
      <w:r>
        <w:rPr>
          <w:b/>
          <w:bCs w:val="0"/>
          <w:highlight w:val="none"/>
        </w:rPr>
        <w:tab/>
      </w:r>
      <w:r>
        <w:rPr>
          <w:b/>
          <w:bCs w:val="0"/>
          <w:highlight w:val="none"/>
        </w:rPr>
        <w:fldChar w:fldCharType="begin"/>
      </w:r>
      <w:r>
        <w:rPr>
          <w:b/>
          <w:bCs w:val="0"/>
          <w:highlight w:val="none"/>
        </w:rPr>
        <w:instrText xml:space="preserve"> PAGEREF _Toc9216 \h </w:instrText>
      </w:r>
      <w:r>
        <w:rPr>
          <w:b/>
          <w:bCs w:val="0"/>
          <w:highlight w:val="none"/>
        </w:rPr>
        <w:fldChar w:fldCharType="separate"/>
      </w:r>
      <w:r>
        <w:rPr>
          <w:b/>
          <w:bCs w:val="0"/>
          <w:highlight w:val="none"/>
        </w:rPr>
        <w:t>28</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_Toc26762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八、合同的签订及履行</w:t>
      </w:r>
      <w:r>
        <w:rPr>
          <w:b/>
          <w:bCs w:val="0"/>
          <w:highlight w:val="none"/>
        </w:rPr>
        <w:tab/>
      </w:r>
      <w:r>
        <w:rPr>
          <w:b/>
          <w:bCs w:val="0"/>
          <w:highlight w:val="none"/>
        </w:rPr>
        <w:fldChar w:fldCharType="begin"/>
      </w:r>
      <w:r>
        <w:rPr>
          <w:b/>
          <w:bCs w:val="0"/>
          <w:highlight w:val="none"/>
        </w:rPr>
        <w:instrText xml:space="preserve"> PAGEREF _Toc26762 \h </w:instrText>
      </w:r>
      <w:r>
        <w:rPr>
          <w:b/>
          <w:bCs w:val="0"/>
          <w:highlight w:val="none"/>
        </w:rPr>
        <w:fldChar w:fldCharType="separate"/>
      </w:r>
      <w:r>
        <w:rPr>
          <w:b/>
          <w:bCs w:val="0"/>
          <w:highlight w:val="none"/>
        </w:rPr>
        <w:t>30</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_Toc7277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九、采购代理服务费</w:t>
      </w:r>
      <w:r>
        <w:rPr>
          <w:b/>
          <w:bCs w:val="0"/>
          <w:highlight w:val="none"/>
        </w:rPr>
        <w:tab/>
      </w:r>
      <w:r>
        <w:rPr>
          <w:b/>
          <w:bCs w:val="0"/>
          <w:highlight w:val="none"/>
        </w:rPr>
        <w:fldChar w:fldCharType="begin"/>
      </w:r>
      <w:r>
        <w:rPr>
          <w:b/>
          <w:bCs w:val="0"/>
          <w:highlight w:val="none"/>
        </w:rPr>
        <w:instrText xml:space="preserve"> PAGEREF _Toc7277 \h </w:instrText>
      </w:r>
      <w:r>
        <w:rPr>
          <w:b/>
          <w:bCs w:val="0"/>
          <w:highlight w:val="none"/>
        </w:rPr>
        <w:fldChar w:fldCharType="separate"/>
      </w:r>
      <w:r>
        <w:rPr>
          <w:b/>
          <w:bCs w:val="0"/>
          <w:highlight w:val="none"/>
        </w:rPr>
        <w:t>31</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_Toc5101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十、其它事项</w:t>
      </w:r>
      <w:r>
        <w:rPr>
          <w:b/>
          <w:bCs w:val="0"/>
          <w:highlight w:val="none"/>
        </w:rPr>
        <w:tab/>
      </w:r>
      <w:r>
        <w:rPr>
          <w:b/>
          <w:bCs w:val="0"/>
          <w:highlight w:val="none"/>
        </w:rPr>
        <w:fldChar w:fldCharType="begin"/>
      </w:r>
      <w:r>
        <w:rPr>
          <w:b/>
          <w:bCs w:val="0"/>
          <w:highlight w:val="none"/>
        </w:rPr>
        <w:instrText xml:space="preserve"> PAGEREF _Toc5101 \h </w:instrText>
      </w:r>
      <w:r>
        <w:rPr>
          <w:b/>
          <w:bCs w:val="0"/>
          <w:highlight w:val="none"/>
        </w:rPr>
        <w:fldChar w:fldCharType="separate"/>
      </w:r>
      <w:r>
        <w:rPr>
          <w:b/>
          <w:bCs w:val="0"/>
          <w:highlight w:val="none"/>
        </w:rPr>
        <w:t>31</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_Toc27874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第四部分 磋商、评审、成交</w:t>
      </w:r>
      <w:r>
        <w:rPr>
          <w:b/>
          <w:bCs w:val="0"/>
          <w:highlight w:val="none"/>
        </w:rPr>
        <w:tab/>
      </w:r>
      <w:r>
        <w:rPr>
          <w:b/>
          <w:bCs w:val="0"/>
          <w:highlight w:val="none"/>
        </w:rPr>
        <w:fldChar w:fldCharType="begin"/>
      </w:r>
      <w:r>
        <w:rPr>
          <w:b/>
          <w:bCs w:val="0"/>
          <w:highlight w:val="none"/>
        </w:rPr>
        <w:instrText xml:space="preserve"> PAGEREF _Toc27874 \h </w:instrText>
      </w:r>
      <w:r>
        <w:rPr>
          <w:b/>
          <w:bCs w:val="0"/>
          <w:highlight w:val="none"/>
        </w:rPr>
        <w:fldChar w:fldCharType="separate"/>
      </w:r>
      <w:r>
        <w:rPr>
          <w:b/>
          <w:bCs w:val="0"/>
          <w:highlight w:val="none"/>
        </w:rPr>
        <w:t>33</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_Toc30935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一、</w:t>
      </w:r>
      <w:r>
        <w:rPr>
          <w:rFonts w:hint="eastAsia" w:ascii="黑体" w:hAnsi="黑体" w:eastAsia="黑体" w:cs="黑体"/>
          <w:b/>
          <w:bCs w:val="0"/>
          <w:highlight w:val="none"/>
          <w:lang w:val="en-US" w:eastAsia="zh-CN"/>
        </w:rPr>
        <w:t>开启响应文件</w:t>
      </w:r>
      <w:r>
        <w:rPr>
          <w:b/>
          <w:bCs w:val="0"/>
          <w:highlight w:val="none"/>
        </w:rPr>
        <w:tab/>
      </w:r>
      <w:r>
        <w:rPr>
          <w:b/>
          <w:bCs w:val="0"/>
          <w:highlight w:val="none"/>
        </w:rPr>
        <w:fldChar w:fldCharType="begin"/>
      </w:r>
      <w:r>
        <w:rPr>
          <w:b/>
          <w:bCs w:val="0"/>
          <w:highlight w:val="none"/>
        </w:rPr>
        <w:instrText xml:space="preserve"> PAGEREF _Toc30935 \h </w:instrText>
      </w:r>
      <w:r>
        <w:rPr>
          <w:b/>
          <w:bCs w:val="0"/>
          <w:highlight w:val="none"/>
        </w:rPr>
        <w:fldChar w:fldCharType="separate"/>
      </w:r>
      <w:r>
        <w:rPr>
          <w:b/>
          <w:bCs w:val="0"/>
          <w:highlight w:val="none"/>
        </w:rPr>
        <w:t>33</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_Toc20713 </w:instrText>
      </w:r>
      <w:r>
        <w:rPr>
          <w:rFonts w:hint="eastAsia" w:ascii="宋体" w:hAnsi="宋体"/>
          <w:b/>
          <w:bCs w:val="0"/>
          <w:szCs w:val="30"/>
          <w:highlight w:val="none"/>
        </w:rPr>
        <w:fldChar w:fldCharType="separate"/>
      </w:r>
      <w:r>
        <w:rPr>
          <w:rFonts w:hint="eastAsia" w:ascii="黑体" w:hAnsi="黑体" w:eastAsia="黑体" w:cs="黑体"/>
          <w:b/>
          <w:bCs w:val="0"/>
          <w:highlight w:val="none"/>
          <w:lang w:val="en-US" w:eastAsia="zh-CN"/>
        </w:rPr>
        <w:t>二、组织评审</w:t>
      </w:r>
      <w:r>
        <w:rPr>
          <w:b/>
          <w:bCs w:val="0"/>
          <w:highlight w:val="none"/>
        </w:rPr>
        <w:tab/>
      </w:r>
      <w:r>
        <w:rPr>
          <w:b/>
          <w:bCs w:val="0"/>
          <w:highlight w:val="none"/>
        </w:rPr>
        <w:fldChar w:fldCharType="begin"/>
      </w:r>
      <w:r>
        <w:rPr>
          <w:b/>
          <w:bCs w:val="0"/>
          <w:highlight w:val="none"/>
        </w:rPr>
        <w:instrText xml:space="preserve"> PAGEREF _Toc20713 \h </w:instrText>
      </w:r>
      <w:r>
        <w:rPr>
          <w:b/>
          <w:bCs w:val="0"/>
          <w:highlight w:val="none"/>
        </w:rPr>
        <w:fldChar w:fldCharType="separate"/>
      </w:r>
      <w:r>
        <w:rPr>
          <w:b/>
          <w:bCs w:val="0"/>
          <w:highlight w:val="none"/>
        </w:rPr>
        <w:t>33</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_Toc21394 </w:instrText>
      </w:r>
      <w:r>
        <w:rPr>
          <w:rFonts w:hint="eastAsia" w:ascii="宋体" w:hAnsi="宋体"/>
          <w:b/>
          <w:bCs w:val="0"/>
          <w:szCs w:val="30"/>
          <w:highlight w:val="none"/>
        </w:rPr>
        <w:fldChar w:fldCharType="separate"/>
      </w:r>
      <w:r>
        <w:rPr>
          <w:rFonts w:hint="eastAsia" w:ascii="黑体" w:hAnsi="黑体" w:eastAsia="黑体" w:cs="黑体"/>
          <w:b/>
          <w:bCs w:val="0"/>
          <w:highlight w:val="none"/>
          <w:lang w:val="en-US" w:eastAsia="zh-CN"/>
        </w:rPr>
        <w:t>三、成交</w:t>
      </w:r>
      <w:r>
        <w:rPr>
          <w:b/>
          <w:bCs w:val="0"/>
          <w:highlight w:val="none"/>
        </w:rPr>
        <w:tab/>
      </w:r>
      <w:r>
        <w:rPr>
          <w:b/>
          <w:bCs w:val="0"/>
          <w:highlight w:val="none"/>
        </w:rPr>
        <w:fldChar w:fldCharType="begin"/>
      </w:r>
      <w:r>
        <w:rPr>
          <w:b/>
          <w:bCs w:val="0"/>
          <w:highlight w:val="none"/>
        </w:rPr>
        <w:instrText xml:space="preserve"> PAGEREF _Toc21394 \h </w:instrText>
      </w:r>
      <w:r>
        <w:rPr>
          <w:b/>
          <w:bCs w:val="0"/>
          <w:highlight w:val="none"/>
        </w:rPr>
        <w:fldChar w:fldCharType="separate"/>
      </w:r>
      <w:r>
        <w:rPr>
          <w:b/>
          <w:bCs w:val="0"/>
          <w:highlight w:val="none"/>
        </w:rPr>
        <w:t>40</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_Toc28390 </w:instrText>
      </w:r>
      <w:r>
        <w:rPr>
          <w:rFonts w:hint="eastAsia" w:ascii="宋体" w:hAnsi="宋体"/>
          <w:b/>
          <w:bCs w:val="0"/>
          <w:szCs w:val="30"/>
          <w:highlight w:val="none"/>
        </w:rPr>
        <w:fldChar w:fldCharType="separate"/>
      </w:r>
      <w:r>
        <w:rPr>
          <w:rFonts w:hint="eastAsia" w:ascii="黑体" w:hAnsi="黑体" w:eastAsia="黑体" w:cs="黑体"/>
          <w:b/>
          <w:bCs w:val="0"/>
          <w:highlight w:val="none"/>
          <w:lang w:val="en-US" w:eastAsia="zh-CN"/>
        </w:rPr>
        <w:t>四、其他</w:t>
      </w:r>
      <w:r>
        <w:rPr>
          <w:b/>
          <w:bCs w:val="0"/>
          <w:highlight w:val="none"/>
        </w:rPr>
        <w:tab/>
      </w:r>
      <w:r>
        <w:rPr>
          <w:b/>
          <w:bCs w:val="0"/>
          <w:highlight w:val="none"/>
        </w:rPr>
        <w:fldChar w:fldCharType="begin"/>
      </w:r>
      <w:r>
        <w:rPr>
          <w:b/>
          <w:bCs w:val="0"/>
          <w:highlight w:val="none"/>
        </w:rPr>
        <w:instrText xml:space="preserve"> PAGEREF _Toc28390 \h </w:instrText>
      </w:r>
      <w:r>
        <w:rPr>
          <w:b/>
          <w:bCs w:val="0"/>
          <w:highlight w:val="none"/>
        </w:rPr>
        <w:fldChar w:fldCharType="separate"/>
      </w:r>
      <w:r>
        <w:rPr>
          <w:b/>
          <w:bCs w:val="0"/>
          <w:highlight w:val="none"/>
        </w:rPr>
        <w:t>41</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_Toc10028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附表1：《资格审查表》</w:t>
      </w:r>
      <w:r>
        <w:rPr>
          <w:b/>
          <w:bCs w:val="0"/>
          <w:highlight w:val="none"/>
        </w:rPr>
        <w:tab/>
      </w:r>
      <w:r>
        <w:rPr>
          <w:b/>
          <w:bCs w:val="0"/>
          <w:highlight w:val="none"/>
        </w:rPr>
        <w:fldChar w:fldCharType="begin"/>
      </w:r>
      <w:r>
        <w:rPr>
          <w:b/>
          <w:bCs w:val="0"/>
          <w:highlight w:val="none"/>
        </w:rPr>
        <w:instrText xml:space="preserve"> PAGEREF _Toc10028 \h </w:instrText>
      </w:r>
      <w:r>
        <w:rPr>
          <w:b/>
          <w:bCs w:val="0"/>
          <w:highlight w:val="none"/>
        </w:rPr>
        <w:fldChar w:fldCharType="separate"/>
      </w:r>
      <w:r>
        <w:rPr>
          <w:b/>
          <w:bCs w:val="0"/>
          <w:highlight w:val="none"/>
        </w:rPr>
        <w:t>42</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_Toc17156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附表2：《符合性审查表》</w:t>
      </w:r>
      <w:r>
        <w:rPr>
          <w:b/>
          <w:bCs w:val="0"/>
          <w:highlight w:val="none"/>
        </w:rPr>
        <w:tab/>
      </w:r>
      <w:r>
        <w:rPr>
          <w:b/>
          <w:bCs w:val="0"/>
          <w:highlight w:val="none"/>
        </w:rPr>
        <w:fldChar w:fldCharType="begin"/>
      </w:r>
      <w:r>
        <w:rPr>
          <w:b/>
          <w:bCs w:val="0"/>
          <w:highlight w:val="none"/>
        </w:rPr>
        <w:instrText xml:space="preserve"> PAGEREF _Toc17156 \h </w:instrText>
      </w:r>
      <w:r>
        <w:rPr>
          <w:b/>
          <w:bCs w:val="0"/>
          <w:highlight w:val="none"/>
        </w:rPr>
        <w:fldChar w:fldCharType="separate"/>
      </w:r>
      <w:r>
        <w:rPr>
          <w:b/>
          <w:bCs w:val="0"/>
          <w:highlight w:val="none"/>
        </w:rPr>
        <w:t>44</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_Toc14127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w:t>
      </w:r>
      <w:r>
        <w:rPr>
          <w:rFonts w:hint="eastAsia" w:ascii="黑体" w:hAnsi="仿宋" w:eastAsia="黑体" w:cs="黑体"/>
          <w:b/>
          <w:bCs w:val="0"/>
          <w:szCs w:val="24"/>
          <w:highlight w:val="none"/>
          <w:lang w:val="en-US" w:eastAsia="zh-CN"/>
        </w:rPr>
        <w:t>3</w:t>
      </w:r>
      <w:r>
        <w:rPr>
          <w:rFonts w:hint="eastAsia" w:ascii="黑体" w:hAnsi="仿宋" w:eastAsia="黑体" w:cs="黑体"/>
          <w:b/>
          <w:bCs w:val="0"/>
          <w:szCs w:val="24"/>
          <w:highlight w:val="none"/>
        </w:rPr>
        <w:t>：《</w:t>
      </w:r>
      <w:r>
        <w:rPr>
          <w:rFonts w:hint="eastAsia" w:ascii="黑体" w:hAnsi="仿宋" w:eastAsia="黑体" w:cs="黑体"/>
          <w:b/>
          <w:bCs w:val="0"/>
          <w:szCs w:val="24"/>
          <w:highlight w:val="none"/>
          <w:lang w:eastAsia="zh-CN"/>
        </w:rPr>
        <w:t>价格</w:t>
      </w:r>
      <w:r>
        <w:rPr>
          <w:rFonts w:hint="eastAsia" w:ascii="黑体" w:hAnsi="仿宋" w:eastAsia="黑体" w:cs="黑体"/>
          <w:b/>
          <w:bCs w:val="0"/>
          <w:szCs w:val="24"/>
          <w:highlight w:val="none"/>
        </w:rPr>
        <w:t>评审表》</w:t>
      </w:r>
      <w:r>
        <w:rPr>
          <w:b/>
          <w:bCs w:val="0"/>
          <w:highlight w:val="none"/>
        </w:rPr>
        <w:tab/>
      </w:r>
      <w:r>
        <w:rPr>
          <w:b/>
          <w:bCs w:val="0"/>
          <w:highlight w:val="none"/>
        </w:rPr>
        <w:fldChar w:fldCharType="begin"/>
      </w:r>
      <w:r>
        <w:rPr>
          <w:b/>
          <w:bCs w:val="0"/>
          <w:highlight w:val="none"/>
        </w:rPr>
        <w:instrText xml:space="preserve"> PAGEREF _Toc14127 \h </w:instrText>
      </w:r>
      <w:r>
        <w:rPr>
          <w:b/>
          <w:bCs w:val="0"/>
          <w:highlight w:val="none"/>
        </w:rPr>
        <w:fldChar w:fldCharType="separate"/>
      </w:r>
      <w:r>
        <w:rPr>
          <w:b/>
          <w:bCs w:val="0"/>
          <w:highlight w:val="none"/>
        </w:rPr>
        <w:t>45</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_Toc645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w:t>
      </w:r>
      <w:r>
        <w:rPr>
          <w:rFonts w:hint="eastAsia" w:ascii="黑体" w:hAnsi="仿宋" w:eastAsia="黑体" w:cs="黑体"/>
          <w:b/>
          <w:bCs w:val="0"/>
          <w:szCs w:val="24"/>
          <w:highlight w:val="none"/>
          <w:lang w:val="en-US" w:eastAsia="zh-CN"/>
        </w:rPr>
        <w:t>4</w:t>
      </w:r>
      <w:r>
        <w:rPr>
          <w:rFonts w:hint="eastAsia" w:ascii="黑体" w:hAnsi="仿宋" w:eastAsia="黑体" w:cs="黑体"/>
          <w:b/>
          <w:bCs w:val="0"/>
          <w:szCs w:val="24"/>
          <w:highlight w:val="none"/>
        </w:rPr>
        <w:t>：《技术评审表》</w:t>
      </w:r>
      <w:r>
        <w:rPr>
          <w:b/>
          <w:bCs w:val="0"/>
          <w:highlight w:val="none"/>
        </w:rPr>
        <w:tab/>
      </w:r>
      <w:r>
        <w:rPr>
          <w:b/>
          <w:bCs w:val="0"/>
          <w:highlight w:val="none"/>
        </w:rPr>
        <w:fldChar w:fldCharType="begin"/>
      </w:r>
      <w:r>
        <w:rPr>
          <w:b/>
          <w:bCs w:val="0"/>
          <w:highlight w:val="none"/>
        </w:rPr>
        <w:instrText xml:space="preserve"> PAGEREF _Toc645 \h </w:instrText>
      </w:r>
      <w:r>
        <w:rPr>
          <w:b/>
          <w:bCs w:val="0"/>
          <w:highlight w:val="none"/>
        </w:rPr>
        <w:fldChar w:fldCharType="separate"/>
      </w:r>
      <w:r>
        <w:rPr>
          <w:b/>
          <w:bCs w:val="0"/>
          <w:highlight w:val="none"/>
        </w:rPr>
        <w:t>46</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_Toc27695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w:t>
      </w:r>
      <w:r>
        <w:rPr>
          <w:rFonts w:hint="eastAsia" w:ascii="黑体" w:hAnsi="仿宋" w:eastAsia="黑体" w:cs="黑体"/>
          <w:b/>
          <w:bCs w:val="0"/>
          <w:szCs w:val="24"/>
          <w:highlight w:val="none"/>
          <w:lang w:val="en-US" w:eastAsia="zh-CN"/>
        </w:rPr>
        <w:t>5</w:t>
      </w:r>
      <w:r>
        <w:rPr>
          <w:rFonts w:hint="eastAsia" w:ascii="黑体" w:hAnsi="仿宋" w:eastAsia="黑体" w:cs="黑体"/>
          <w:b/>
          <w:bCs w:val="0"/>
          <w:szCs w:val="24"/>
          <w:highlight w:val="none"/>
        </w:rPr>
        <w:t>：《商务评审表》</w:t>
      </w:r>
      <w:r>
        <w:rPr>
          <w:b/>
          <w:bCs w:val="0"/>
          <w:highlight w:val="none"/>
        </w:rPr>
        <w:tab/>
      </w:r>
      <w:r>
        <w:rPr>
          <w:b/>
          <w:bCs w:val="0"/>
          <w:highlight w:val="none"/>
        </w:rPr>
        <w:fldChar w:fldCharType="begin"/>
      </w:r>
      <w:r>
        <w:rPr>
          <w:b/>
          <w:bCs w:val="0"/>
          <w:highlight w:val="none"/>
        </w:rPr>
        <w:instrText xml:space="preserve"> PAGEREF _Toc27695 \h </w:instrText>
      </w:r>
      <w:r>
        <w:rPr>
          <w:b/>
          <w:bCs w:val="0"/>
          <w:highlight w:val="none"/>
        </w:rPr>
        <w:fldChar w:fldCharType="separate"/>
      </w:r>
      <w:r>
        <w:rPr>
          <w:b/>
          <w:bCs w:val="0"/>
          <w:highlight w:val="none"/>
        </w:rPr>
        <w:t>48</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_Toc17058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第五部分 政府采购合同格式</w:t>
      </w:r>
      <w:r>
        <w:rPr>
          <w:b/>
          <w:bCs w:val="0"/>
          <w:highlight w:val="none"/>
        </w:rPr>
        <w:tab/>
      </w:r>
      <w:r>
        <w:rPr>
          <w:b/>
          <w:bCs w:val="0"/>
          <w:highlight w:val="none"/>
        </w:rPr>
        <w:fldChar w:fldCharType="begin"/>
      </w:r>
      <w:r>
        <w:rPr>
          <w:b/>
          <w:bCs w:val="0"/>
          <w:highlight w:val="none"/>
        </w:rPr>
        <w:instrText xml:space="preserve"> PAGEREF _Toc17058 \h </w:instrText>
      </w:r>
      <w:r>
        <w:rPr>
          <w:b/>
          <w:bCs w:val="0"/>
          <w:highlight w:val="none"/>
        </w:rPr>
        <w:fldChar w:fldCharType="separate"/>
      </w:r>
      <w:r>
        <w:rPr>
          <w:b/>
          <w:bCs w:val="0"/>
          <w:highlight w:val="none"/>
        </w:rPr>
        <w:t>49</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_Toc25002 </w:instrText>
      </w:r>
      <w:r>
        <w:rPr>
          <w:rFonts w:hint="eastAsia" w:ascii="宋体" w:hAnsi="宋体"/>
          <w:b/>
          <w:bCs w:val="0"/>
          <w:szCs w:val="30"/>
          <w:highlight w:val="none"/>
        </w:rPr>
        <w:fldChar w:fldCharType="separate"/>
      </w:r>
      <w:r>
        <w:rPr>
          <w:rFonts w:hint="eastAsia" w:ascii="黑体" w:hAnsi="仿宋" w:eastAsia="黑体" w:cs="黑体"/>
          <w:b/>
          <w:bCs w:val="0"/>
          <w:szCs w:val="32"/>
          <w:highlight w:val="none"/>
        </w:rPr>
        <w:t>一、</w:t>
      </w:r>
      <w:r>
        <w:rPr>
          <w:rFonts w:hint="eastAsia" w:ascii="黑体" w:hAnsi="黑体" w:eastAsia="黑体" w:cs="黑体"/>
          <w:b/>
          <w:bCs w:val="0"/>
          <w:szCs w:val="32"/>
          <w:highlight w:val="none"/>
        </w:rPr>
        <w:t>政府采购合同</w:t>
      </w:r>
      <w:r>
        <w:rPr>
          <w:b/>
          <w:bCs w:val="0"/>
          <w:highlight w:val="none"/>
        </w:rPr>
        <w:tab/>
      </w:r>
      <w:r>
        <w:rPr>
          <w:b/>
          <w:bCs w:val="0"/>
          <w:highlight w:val="none"/>
        </w:rPr>
        <w:fldChar w:fldCharType="begin"/>
      </w:r>
      <w:r>
        <w:rPr>
          <w:b/>
          <w:bCs w:val="0"/>
          <w:highlight w:val="none"/>
        </w:rPr>
        <w:instrText xml:space="preserve"> PAGEREF _Toc25002 \h </w:instrText>
      </w:r>
      <w:r>
        <w:rPr>
          <w:b/>
          <w:bCs w:val="0"/>
          <w:highlight w:val="none"/>
        </w:rPr>
        <w:fldChar w:fldCharType="separate"/>
      </w:r>
      <w:r>
        <w:rPr>
          <w:b/>
          <w:bCs w:val="0"/>
          <w:highlight w:val="none"/>
        </w:rPr>
        <w:t>49</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_Toc18269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二、合同一般条款</w:t>
      </w:r>
      <w:r>
        <w:rPr>
          <w:b/>
          <w:bCs w:val="0"/>
          <w:highlight w:val="none"/>
        </w:rPr>
        <w:tab/>
      </w:r>
      <w:r>
        <w:rPr>
          <w:b/>
          <w:bCs w:val="0"/>
          <w:highlight w:val="none"/>
        </w:rPr>
        <w:fldChar w:fldCharType="begin"/>
      </w:r>
      <w:r>
        <w:rPr>
          <w:b/>
          <w:bCs w:val="0"/>
          <w:highlight w:val="none"/>
        </w:rPr>
        <w:instrText xml:space="preserve"> PAGEREF _Toc18269 \h </w:instrText>
      </w:r>
      <w:r>
        <w:rPr>
          <w:b/>
          <w:bCs w:val="0"/>
          <w:highlight w:val="none"/>
        </w:rPr>
        <w:fldChar w:fldCharType="separate"/>
      </w:r>
      <w:r>
        <w:rPr>
          <w:b/>
          <w:bCs w:val="0"/>
          <w:highlight w:val="none"/>
        </w:rPr>
        <w:t>53</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_Toc4114 </w:instrText>
      </w:r>
      <w:r>
        <w:rPr>
          <w:rFonts w:hint="eastAsia" w:ascii="宋体" w:hAnsi="宋体"/>
          <w:b/>
          <w:bCs w:val="0"/>
          <w:szCs w:val="30"/>
          <w:highlight w:val="none"/>
        </w:rPr>
        <w:fldChar w:fldCharType="separate"/>
      </w:r>
      <w:r>
        <w:rPr>
          <w:rFonts w:hint="eastAsia" w:ascii="黑体" w:hAnsi="黑体" w:eastAsia="黑体" w:cs="黑体"/>
          <w:b/>
          <w:bCs w:val="0"/>
          <w:kern w:val="2"/>
          <w:szCs w:val="32"/>
          <w:highlight w:val="none"/>
        </w:rPr>
        <w:t>三、合同专用条款</w:t>
      </w:r>
      <w:r>
        <w:rPr>
          <w:b/>
          <w:bCs w:val="0"/>
          <w:highlight w:val="none"/>
        </w:rPr>
        <w:tab/>
      </w:r>
      <w:r>
        <w:rPr>
          <w:b/>
          <w:bCs w:val="0"/>
          <w:highlight w:val="none"/>
        </w:rPr>
        <w:fldChar w:fldCharType="begin"/>
      </w:r>
      <w:r>
        <w:rPr>
          <w:b/>
          <w:bCs w:val="0"/>
          <w:highlight w:val="none"/>
        </w:rPr>
        <w:instrText xml:space="preserve"> PAGEREF _Toc4114 \h </w:instrText>
      </w:r>
      <w:r>
        <w:rPr>
          <w:b/>
          <w:bCs w:val="0"/>
          <w:highlight w:val="none"/>
        </w:rPr>
        <w:fldChar w:fldCharType="separate"/>
      </w:r>
      <w:r>
        <w:rPr>
          <w:b/>
          <w:bCs w:val="0"/>
          <w:highlight w:val="none"/>
        </w:rPr>
        <w:t>57</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_Toc16885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 xml:space="preserve">第六部分 </w:t>
      </w:r>
      <w:r>
        <w:rPr>
          <w:rFonts w:hint="eastAsia" w:ascii="黑体" w:hAnsi="黑体" w:eastAsia="黑体" w:cs="黑体"/>
          <w:b/>
          <w:bCs w:val="0"/>
          <w:szCs w:val="32"/>
          <w:highlight w:val="none"/>
          <w:lang w:val="zh-CN"/>
        </w:rPr>
        <w:t>响应文件格式</w:t>
      </w:r>
      <w:r>
        <w:rPr>
          <w:b/>
          <w:bCs w:val="0"/>
          <w:highlight w:val="none"/>
        </w:rPr>
        <w:tab/>
      </w:r>
      <w:r>
        <w:rPr>
          <w:b/>
          <w:bCs w:val="0"/>
          <w:highlight w:val="none"/>
        </w:rPr>
        <w:fldChar w:fldCharType="begin"/>
      </w:r>
      <w:r>
        <w:rPr>
          <w:b/>
          <w:bCs w:val="0"/>
          <w:highlight w:val="none"/>
        </w:rPr>
        <w:instrText xml:space="preserve"> PAGEREF _Toc16885 \h </w:instrText>
      </w:r>
      <w:r>
        <w:rPr>
          <w:b/>
          <w:bCs w:val="0"/>
          <w:highlight w:val="none"/>
        </w:rPr>
        <w:fldChar w:fldCharType="separate"/>
      </w:r>
      <w:r>
        <w:rPr>
          <w:b/>
          <w:bCs w:val="0"/>
          <w:highlight w:val="none"/>
        </w:rPr>
        <w:t>58</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_Toc23545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一、资格证明文件</w:t>
      </w:r>
      <w:r>
        <w:rPr>
          <w:b/>
          <w:bCs w:val="0"/>
          <w:highlight w:val="none"/>
        </w:rPr>
        <w:tab/>
      </w:r>
      <w:r>
        <w:rPr>
          <w:b/>
          <w:bCs w:val="0"/>
          <w:highlight w:val="none"/>
        </w:rPr>
        <w:fldChar w:fldCharType="begin"/>
      </w:r>
      <w:r>
        <w:rPr>
          <w:b/>
          <w:bCs w:val="0"/>
          <w:highlight w:val="none"/>
        </w:rPr>
        <w:instrText xml:space="preserve"> PAGEREF _Toc23545 \h </w:instrText>
      </w:r>
      <w:r>
        <w:rPr>
          <w:b/>
          <w:bCs w:val="0"/>
          <w:highlight w:val="none"/>
        </w:rPr>
        <w:fldChar w:fldCharType="separate"/>
      </w:r>
      <w:r>
        <w:rPr>
          <w:b/>
          <w:bCs w:val="0"/>
          <w:highlight w:val="none"/>
        </w:rPr>
        <w:t>61</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_Toc17366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二、自查表</w:t>
      </w:r>
      <w:r>
        <w:rPr>
          <w:b/>
          <w:bCs w:val="0"/>
          <w:highlight w:val="none"/>
        </w:rPr>
        <w:tab/>
      </w:r>
      <w:r>
        <w:rPr>
          <w:b/>
          <w:bCs w:val="0"/>
          <w:highlight w:val="none"/>
        </w:rPr>
        <w:fldChar w:fldCharType="begin"/>
      </w:r>
      <w:r>
        <w:rPr>
          <w:b/>
          <w:bCs w:val="0"/>
          <w:highlight w:val="none"/>
        </w:rPr>
        <w:instrText xml:space="preserve"> PAGEREF _Toc17366 \h </w:instrText>
      </w:r>
      <w:r>
        <w:rPr>
          <w:b/>
          <w:bCs w:val="0"/>
          <w:highlight w:val="none"/>
        </w:rPr>
        <w:fldChar w:fldCharType="separate"/>
      </w:r>
      <w:r>
        <w:rPr>
          <w:b/>
          <w:bCs w:val="0"/>
          <w:highlight w:val="none"/>
        </w:rPr>
        <w:t>73</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_Toc23471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三、响应函（格式）</w:t>
      </w:r>
      <w:r>
        <w:rPr>
          <w:b/>
          <w:bCs w:val="0"/>
          <w:highlight w:val="none"/>
        </w:rPr>
        <w:tab/>
      </w:r>
      <w:r>
        <w:rPr>
          <w:b/>
          <w:bCs w:val="0"/>
          <w:highlight w:val="none"/>
        </w:rPr>
        <w:fldChar w:fldCharType="begin"/>
      </w:r>
      <w:r>
        <w:rPr>
          <w:b/>
          <w:bCs w:val="0"/>
          <w:highlight w:val="none"/>
        </w:rPr>
        <w:instrText xml:space="preserve"> PAGEREF _Toc23471 \h </w:instrText>
      </w:r>
      <w:r>
        <w:rPr>
          <w:b/>
          <w:bCs w:val="0"/>
          <w:highlight w:val="none"/>
        </w:rPr>
        <w:fldChar w:fldCharType="separate"/>
      </w:r>
      <w:r>
        <w:rPr>
          <w:b/>
          <w:bCs w:val="0"/>
          <w:highlight w:val="none"/>
        </w:rPr>
        <w:t>78</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_Toc4675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四、报价表</w:t>
      </w:r>
      <w:r>
        <w:rPr>
          <w:b/>
          <w:bCs w:val="0"/>
          <w:highlight w:val="none"/>
        </w:rPr>
        <w:tab/>
      </w:r>
      <w:r>
        <w:rPr>
          <w:b/>
          <w:bCs w:val="0"/>
          <w:highlight w:val="none"/>
        </w:rPr>
        <w:fldChar w:fldCharType="begin"/>
      </w:r>
      <w:r>
        <w:rPr>
          <w:b/>
          <w:bCs w:val="0"/>
          <w:highlight w:val="none"/>
        </w:rPr>
        <w:instrText xml:space="preserve"> PAGEREF _Toc4675 \h </w:instrText>
      </w:r>
      <w:r>
        <w:rPr>
          <w:b/>
          <w:bCs w:val="0"/>
          <w:highlight w:val="none"/>
        </w:rPr>
        <w:fldChar w:fldCharType="separate"/>
      </w:r>
      <w:r>
        <w:rPr>
          <w:b/>
          <w:bCs w:val="0"/>
          <w:highlight w:val="none"/>
        </w:rPr>
        <w:t>80</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_Toc28380 </w:instrText>
      </w:r>
      <w:r>
        <w:rPr>
          <w:rFonts w:hint="eastAsia" w:ascii="宋体" w:hAnsi="宋体"/>
          <w:b/>
          <w:bCs w:val="0"/>
          <w:szCs w:val="30"/>
          <w:highlight w:val="none"/>
        </w:rPr>
        <w:fldChar w:fldCharType="separate"/>
      </w:r>
      <w:r>
        <w:rPr>
          <w:rFonts w:hint="eastAsia" w:ascii="黑体" w:hAnsi="仿宋" w:eastAsia="黑体" w:cs="黑体"/>
          <w:b/>
          <w:bCs w:val="0"/>
          <w:szCs w:val="32"/>
          <w:highlight w:val="none"/>
        </w:rPr>
        <w:t>五、</w:t>
      </w:r>
      <w:r>
        <w:rPr>
          <w:rFonts w:hint="eastAsia" w:ascii="黑体" w:hAnsi="仿宋" w:eastAsia="黑体" w:cs="黑体"/>
          <w:b/>
          <w:bCs w:val="0"/>
          <w:szCs w:val="32"/>
          <w:highlight w:val="none"/>
          <w:lang w:val="en-US" w:eastAsia="zh-CN"/>
        </w:rPr>
        <w:t>技术</w:t>
      </w:r>
      <w:r>
        <w:rPr>
          <w:rFonts w:hint="eastAsia" w:ascii="黑体" w:hAnsi="仿宋" w:eastAsia="黑体" w:cs="黑体"/>
          <w:b/>
          <w:bCs w:val="0"/>
          <w:szCs w:val="32"/>
          <w:highlight w:val="none"/>
        </w:rPr>
        <w:t>部分</w:t>
      </w:r>
      <w:r>
        <w:rPr>
          <w:b/>
          <w:bCs w:val="0"/>
          <w:highlight w:val="none"/>
        </w:rPr>
        <w:tab/>
      </w:r>
      <w:r>
        <w:rPr>
          <w:b/>
          <w:bCs w:val="0"/>
          <w:highlight w:val="none"/>
        </w:rPr>
        <w:fldChar w:fldCharType="begin"/>
      </w:r>
      <w:r>
        <w:rPr>
          <w:b/>
          <w:bCs w:val="0"/>
          <w:highlight w:val="none"/>
        </w:rPr>
        <w:instrText xml:space="preserve"> PAGEREF _Toc28380 \h </w:instrText>
      </w:r>
      <w:r>
        <w:rPr>
          <w:b/>
          <w:bCs w:val="0"/>
          <w:highlight w:val="none"/>
        </w:rPr>
        <w:fldChar w:fldCharType="separate"/>
      </w:r>
      <w:r>
        <w:rPr>
          <w:b/>
          <w:bCs w:val="0"/>
          <w:highlight w:val="none"/>
        </w:rPr>
        <w:t>84</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_Toc10245 </w:instrText>
      </w:r>
      <w:r>
        <w:rPr>
          <w:rFonts w:hint="eastAsia" w:ascii="宋体" w:hAnsi="宋体"/>
          <w:b/>
          <w:bCs w:val="0"/>
          <w:szCs w:val="30"/>
          <w:highlight w:val="none"/>
        </w:rPr>
        <w:fldChar w:fldCharType="separate"/>
      </w:r>
      <w:r>
        <w:rPr>
          <w:rFonts w:hint="eastAsia" w:ascii="黑体" w:hAnsi="仿宋" w:eastAsia="黑体" w:cs="黑体"/>
          <w:b/>
          <w:bCs w:val="0"/>
          <w:szCs w:val="32"/>
          <w:highlight w:val="none"/>
        </w:rPr>
        <w:t>六、商务部分</w:t>
      </w:r>
      <w:r>
        <w:rPr>
          <w:b/>
          <w:bCs w:val="0"/>
          <w:highlight w:val="none"/>
        </w:rPr>
        <w:tab/>
      </w:r>
      <w:r>
        <w:rPr>
          <w:b/>
          <w:bCs w:val="0"/>
          <w:highlight w:val="none"/>
        </w:rPr>
        <w:fldChar w:fldCharType="begin"/>
      </w:r>
      <w:r>
        <w:rPr>
          <w:b/>
          <w:bCs w:val="0"/>
          <w:highlight w:val="none"/>
        </w:rPr>
        <w:instrText xml:space="preserve"> PAGEREF _Toc10245 \h </w:instrText>
      </w:r>
      <w:r>
        <w:rPr>
          <w:b/>
          <w:bCs w:val="0"/>
          <w:highlight w:val="none"/>
        </w:rPr>
        <w:fldChar w:fldCharType="separate"/>
      </w:r>
      <w:r>
        <w:rPr>
          <w:b/>
          <w:bCs w:val="0"/>
          <w:highlight w:val="none"/>
        </w:rPr>
        <w:t>85</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_Toc24536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七、供应商认为必要说明的其它内容</w:t>
      </w:r>
      <w:r>
        <w:rPr>
          <w:b/>
          <w:bCs w:val="0"/>
          <w:highlight w:val="none"/>
        </w:rPr>
        <w:tab/>
      </w:r>
      <w:r>
        <w:rPr>
          <w:b/>
          <w:bCs w:val="0"/>
          <w:highlight w:val="none"/>
        </w:rPr>
        <w:fldChar w:fldCharType="begin"/>
      </w:r>
      <w:r>
        <w:rPr>
          <w:b/>
          <w:bCs w:val="0"/>
          <w:highlight w:val="none"/>
        </w:rPr>
        <w:instrText xml:space="preserve"> PAGEREF _Toc24536 \h </w:instrText>
      </w:r>
      <w:r>
        <w:rPr>
          <w:b/>
          <w:bCs w:val="0"/>
          <w:highlight w:val="none"/>
        </w:rPr>
        <w:fldChar w:fldCharType="separate"/>
      </w:r>
      <w:r>
        <w:rPr>
          <w:b/>
          <w:bCs w:val="0"/>
          <w:highlight w:val="none"/>
        </w:rPr>
        <w:t>89</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_Toc24041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八、承诺书</w:t>
      </w:r>
      <w:r>
        <w:rPr>
          <w:b/>
          <w:bCs w:val="0"/>
          <w:highlight w:val="none"/>
        </w:rPr>
        <w:tab/>
      </w:r>
      <w:r>
        <w:rPr>
          <w:b/>
          <w:bCs w:val="0"/>
          <w:highlight w:val="none"/>
        </w:rPr>
        <w:fldChar w:fldCharType="begin"/>
      </w:r>
      <w:r>
        <w:rPr>
          <w:b/>
          <w:bCs w:val="0"/>
          <w:highlight w:val="none"/>
        </w:rPr>
        <w:instrText xml:space="preserve"> PAGEREF _Toc24041 \h </w:instrText>
      </w:r>
      <w:r>
        <w:rPr>
          <w:b/>
          <w:bCs w:val="0"/>
          <w:highlight w:val="none"/>
        </w:rPr>
        <w:fldChar w:fldCharType="separate"/>
      </w:r>
      <w:r>
        <w:rPr>
          <w:b/>
          <w:bCs w:val="0"/>
          <w:highlight w:val="none"/>
        </w:rPr>
        <w:t>90</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_Toc17612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lang w:val="en-GB"/>
        </w:rPr>
        <w:t>询问函、质疑函格式</w:t>
      </w:r>
      <w:r>
        <w:rPr>
          <w:b/>
          <w:bCs w:val="0"/>
          <w:highlight w:val="none"/>
        </w:rPr>
        <w:tab/>
      </w:r>
      <w:r>
        <w:rPr>
          <w:b/>
          <w:bCs w:val="0"/>
          <w:highlight w:val="none"/>
        </w:rPr>
        <w:fldChar w:fldCharType="begin"/>
      </w:r>
      <w:r>
        <w:rPr>
          <w:b/>
          <w:bCs w:val="0"/>
          <w:highlight w:val="none"/>
        </w:rPr>
        <w:instrText xml:space="preserve"> PAGEREF _Toc17612 \h </w:instrText>
      </w:r>
      <w:r>
        <w:rPr>
          <w:b/>
          <w:bCs w:val="0"/>
          <w:highlight w:val="none"/>
        </w:rPr>
        <w:fldChar w:fldCharType="separate"/>
      </w:r>
      <w:r>
        <w:rPr>
          <w:b/>
          <w:bCs w:val="0"/>
          <w:highlight w:val="none"/>
        </w:rPr>
        <w:t>93</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_Toc14289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lang w:val="en-GB"/>
        </w:rPr>
        <w:t>询问函</w:t>
      </w:r>
      <w:r>
        <w:rPr>
          <w:b/>
          <w:bCs w:val="0"/>
          <w:highlight w:val="none"/>
        </w:rPr>
        <w:tab/>
      </w:r>
      <w:r>
        <w:rPr>
          <w:b/>
          <w:bCs w:val="0"/>
          <w:highlight w:val="none"/>
        </w:rPr>
        <w:fldChar w:fldCharType="begin"/>
      </w:r>
      <w:r>
        <w:rPr>
          <w:b/>
          <w:bCs w:val="0"/>
          <w:highlight w:val="none"/>
        </w:rPr>
        <w:instrText xml:space="preserve"> PAGEREF _Toc14289 \h </w:instrText>
      </w:r>
      <w:r>
        <w:rPr>
          <w:b/>
          <w:bCs w:val="0"/>
          <w:highlight w:val="none"/>
        </w:rPr>
        <w:fldChar w:fldCharType="separate"/>
      </w:r>
      <w:r>
        <w:rPr>
          <w:b/>
          <w:bCs w:val="0"/>
          <w:highlight w:val="none"/>
        </w:rPr>
        <w:t>93</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_Toc18152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lang w:val="en-GB"/>
        </w:rPr>
        <w:t>质疑</w:t>
      </w:r>
      <w:r>
        <w:rPr>
          <w:rFonts w:hint="eastAsia" w:ascii="黑体" w:hAnsi="黑体" w:eastAsia="黑体" w:cs="黑体"/>
          <w:b/>
          <w:bCs w:val="0"/>
          <w:szCs w:val="32"/>
          <w:highlight w:val="none"/>
        </w:rPr>
        <w:t>书</w:t>
      </w:r>
      <w:r>
        <w:rPr>
          <w:b/>
          <w:bCs w:val="0"/>
          <w:highlight w:val="none"/>
        </w:rPr>
        <w:tab/>
      </w:r>
      <w:r>
        <w:rPr>
          <w:b/>
          <w:bCs w:val="0"/>
          <w:highlight w:val="none"/>
        </w:rPr>
        <w:fldChar w:fldCharType="begin"/>
      </w:r>
      <w:r>
        <w:rPr>
          <w:b/>
          <w:bCs w:val="0"/>
          <w:highlight w:val="none"/>
        </w:rPr>
        <w:instrText xml:space="preserve"> PAGEREF _Toc18152 \h </w:instrText>
      </w:r>
      <w:r>
        <w:rPr>
          <w:b/>
          <w:bCs w:val="0"/>
          <w:highlight w:val="none"/>
        </w:rPr>
        <w:fldChar w:fldCharType="separate"/>
      </w:r>
      <w:r>
        <w:rPr>
          <w:b/>
          <w:bCs w:val="0"/>
          <w:highlight w:val="none"/>
        </w:rPr>
        <w:t>94</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_Toc928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lang w:val="en-GB"/>
        </w:rPr>
        <w:t>封袋正面标识式样</w:t>
      </w:r>
      <w:r>
        <w:rPr>
          <w:b/>
          <w:bCs w:val="0"/>
          <w:highlight w:val="none"/>
        </w:rPr>
        <w:tab/>
      </w:r>
      <w:r>
        <w:rPr>
          <w:b/>
          <w:bCs w:val="0"/>
          <w:highlight w:val="none"/>
        </w:rPr>
        <w:fldChar w:fldCharType="begin"/>
      </w:r>
      <w:r>
        <w:rPr>
          <w:b/>
          <w:bCs w:val="0"/>
          <w:highlight w:val="none"/>
        </w:rPr>
        <w:instrText xml:space="preserve"> PAGEREF _Toc928 \h </w:instrText>
      </w:r>
      <w:r>
        <w:rPr>
          <w:b/>
          <w:bCs w:val="0"/>
          <w:highlight w:val="none"/>
        </w:rPr>
        <w:fldChar w:fldCharType="separate"/>
      </w:r>
      <w:r>
        <w:rPr>
          <w:b/>
          <w:bCs w:val="0"/>
          <w:highlight w:val="none"/>
        </w:rPr>
        <w:t>96</w:t>
      </w:r>
      <w:r>
        <w:rPr>
          <w:b/>
          <w:bCs w:val="0"/>
          <w:highlight w:val="none"/>
        </w:rPr>
        <w:fldChar w:fldCharType="end"/>
      </w:r>
      <w:r>
        <w:rPr>
          <w:rFonts w:hint="eastAsia" w:ascii="宋体" w:hAnsi="宋体"/>
          <w:b/>
          <w:bCs w:val="0"/>
          <w:szCs w:val="30"/>
          <w:highlight w:val="none"/>
        </w:rPr>
        <w:fldChar w:fldCharType="end"/>
      </w:r>
    </w:p>
    <w:p>
      <w:pPr>
        <w:keepNext w:val="0"/>
        <w:keepLines w:val="0"/>
        <w:tabs>
          <w:tab w:val="right" w:leader="dot" w:pos="9747"/>
        </w:tabs>
        <w:spacing w:before="120" w:after="120" w:line="360" w:lineRule="auto"/>
        <w:jc w:val="center"/>
        <w:rPr>
          <w:rFonts w:hint="eastAsia" w:ascii="黑体" w:hAnsi="黑体" w:eastAsia="黑体" w:cs="黑体"/>
          <w:b/>
          <w:bCs/>
          <w:caps/>
          <w:sz w:val="24"/>
          <w:highlight w:val="none"/>
        </w:rPr>
      </w:pPr>
      <w:r>
        <w:rPr>
          <w:rFonts w:hint="eastAsia" w:ascii="宋体" w:hAnsi="宋体"/>
          <w:b/>
          <w:bCs/>
          <w:szCs w:val="30"/>
          <w:highlight w:val="none"/>
        </w:rPr>
        <w:fldChar w:fldCharType="end"/>
      </w:r>
    </w:p>
    <w:p>
      <w:pPr>
        <w:rPr>
          <w:rFonts w:hint="eastAsia" w:ascii="宋体" w:hAnsi="宋体"/>
          <w:szCs w:val="30"/>
          <w:highlight w:val="none"/>
        </w:rPr>
      </w:pPr>
    </w:p>
    <w:p>
      <w:pPr>
        <w:spacing w:line="360" w:lineRule="auto"/>
        <w:jc w:val="center"/>
        <w:rPr>
          <w:rFonts w:hint="eastAsia" w:ascii="宋体" w:hAnsi="宋体"/>
          <w:szCs w:val="30"/>
          <w:highlight w:val="none"/>
        </w:rPr>
      </w:pPr>
      <w:r>
        <w:rPr>
          <w:rFonts w:hint="eastAsia" w:ascii="宋体" w:hAnsi="宋体"/>
          <w:szCs w:val="30"/>
          <w:highlight w:val="none"/>
        </w:rPr>
        <w:br w:type="page"/>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eastAsia="黑体"/>
          <w:highlight w:val="none"/>
          <w:lang w:eastAsia="zh-CN"/>
        </w:rPr>
      </w:pPr>
      <w:bookmarkStart w:id="2" w:name="_Toc8243"/>
      <w:bookmarkStart w:id="3" w:name="_Toc30721"/>
      <w:bookmarkStart w:id="4" w:name="_Toc17948"/>
      <w:r>
        <w:rPr>
          <w:rFonts w:hint="eastAsia" w:ascii="黑体" w:hAnsi="黑体" w:eastAsia="黑体" w:cs="黑体"/>
          <w:b/>
          <w:bCs/>
          <w:sz w:val="32"/>
          <w:szCs w:val="32"/>
          <w:highlight w:val="none"/>
        </w:rPr>
        <w:t>第一部分</w:t>
      </w:r>
      <w:bookmarkEnd w:id="2"/>
      <w:bookmarkEnd w:id="3"/>
      <w:r>
        <w:rPr>
          <w:rFonts w:hint="eastAsia" w:ascii="黑体" w:hAnsi="黑体" w:eastAsia="黑体" w:cs="黑体"/>
          <w:b/>
          <w:bCs/>
          <w:sz w:val="32"/>
          <w:szCs w:val="32"/>
          <w:highlight w:val="none"/>
        </w:rPr>
        <w:t xml:space="preserve"> </w:t>
      </w:r>
      <w:bookmarkEnd w:id="4"/>
      <w:r>
        <w:rPr>
          <w:rFonts w:hint="eastAsia" w:ascii="黑体" w:hAnsi="黑体" w:eastAsia="黑体" w:cs="黑体"/>
          <w:b/>
          <w:bCs/>
          <w:sz w:val="32"/>
          <w:szCs w:val="32"/>
          <w:highlight w:val="none"/>
          <w:lang w:eastAsia="zh-CN"/>
        </w:rPr>
        <w:t>磋商邀请函</w:t>
      </w:r>
    </w:p>
    <w:p>
      <w:pPr>
        <w:spacing w:line="360" w:lineRule="auto"/>
        <w:ind w:firstLine="480" w:firstLineChars="200"/>
        <w:rPr>
          <w:rFonts w:ascii="黑体" w:hAnsi="仿宋" w:eastAsia="黑体" w:cs="黑体"/>
          <w:b/>
          <w:bCs/>
          <w:color w:val="auto"/>
          <w:sz w:val="24"/>
          <w:szCs w:val="24"/>
          <w:highlight w:val="none"/>
        </w:rPr>
      </w:pPr>
      <w:bookmarkStart w:id="5" w:name="_Toc8480"/>
      <w:r>
        <w:rPr>
          <w:rFonts w:hint="eastAsia" w:ascii="宋体" w:hAnsi="宋体" w:cs="宋体"/>
          <w:color w:val="auto"/>
          <w:sz w:val="24"/>
          <w:highlight w:val="none"/>
        </w:rPr>
        <w:t>陕西德勤招标有限公司受</w:t>
      </w:r>
      <w:r>
        <w:rPr>
          <w:rFonts w:hint="eastAsia" w:ascii="宋体" w:hAnsi="宋体" w:cs="宋体"/>
          <w:color w:val="auto"/>
          <w:sz w:val="24"/>
          <w:highlight w:val="none"/>
          <w:lang w:val="en-US" w:eastAsia="zh-CN"/>
        </w:rPr>
        <w:t>陕西省总工会</w:t>
      </w:r>
      <w:r>
        <w:rPr>
          <w:rFonts w:hint="eastAsia" w:ascii="宋体" w:hAnsi="宋体" w:cs="宋体"/>
          <w:color w:val="auto"/>
          <w:sz w:val="24"/>
          <w:highlight w:val="none"/>
        </w:rPr>
        <w:t>的委托，经政府采购管理部门批准，按照政府采购程序，对“</w:t>
      </w:r>
      <w:r>
        <w:rPr>
          <w:rFonts w:hint="eastAsia" w:ascii="宋体" w:hAnsi="宋体" w:cs="宋体"/>
          <w:color w:val="auto"/>
          <w:sz w:val="24"/>
          <w:highlight w:val="none"/>
          <w:lang w:val="en-US" w:eastAsia="zh-CN"/>
        </w:rPr>
        <w:t>陕西省总工会2022年信息系统安全态势感知服务项目</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，欢迎符合资格条件的、有能力提供本项目所需货物或（和）服务</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rPr>
        <w:t>一、项目基本情况：</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DQ-2022140-CS</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2.项目名称：陕西省总工会2022年信息系统安全态势感知服务项目</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3.预算金额：530,000.00元</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4.最高限价：</w:t>
      </w:r>
      <w:r>
        <w:rPr>
          <w:rFonts w:hint="eastAsia" w:ascii="宋体" w:hAnsi="宋体" w:cs="宋体"/>
          <w:color w:val="auto"/>
          <w:sz w:val="24"/>
          <w:highlight w:val="none"/>
          <w:lang w:val="en-US" w:eastAsia="zh-CN"/>
        </w:rPr>
        <w:t>无</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5.采购需求：</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省总工会实行态势感知服务，实现将现有的网络安全设备，如防火墙、主机防护系统、网页防篡改等安全事件进行统一展现；实现对省总工会办公网核心流量以探针方式进行采集，网络流量威胁事件统一展现；同时，对重要核心资产日志进行采集、分析与审计、存储和备份等</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一年</w:t>
      </w:r>
      <w:r>
        <w:rPr>
          <w:rFonts w:hint="eastAsia" w:ascii="宋体" w:hAnsi="宋体" w:cs="宋体"/>
          <w:color w:val="auto"/>
          <w:sz w:val="24"/>
          <w:highlight w:val="none"/>
        </w:rPr>
        <w:t>（具体服务起止日期可随合同签订时间相应顺延）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本项目是否接受联合体</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：否</w:t>
      </w:r>
    </w:p>
    <w:p>
      <w:pPr>
        <w:spacing w:line="360" w:lineRule="auto"/>
        <w:ind w:firstLine="482" w:firstLineChars="200"/>
        <w:rPr>
          <w:rFonts w:hint="eastAsia" w:ascii="黑体" w:hAnsi="仿宋" w:eastAsia="黑体" w:cs="黑体"/>
          <w:b/>
          <w:bCs/>
          <w:color w:val="auto"/>
          <w:sz w:val="24"/>
          <w:szCs w:val="24"/>
          <w:highlight w:val="none"/>
          <w:lang w:val="en-US" w:eastAsia="zh-CN"/>
        </w:rPr>
      </w:pPr>
      <w:r>
        <w:rPr>
          <w:rFonts w:hint="eastAsia" w:ascii="黑体" w:hAnsi="仿宋" w:eastAsia="黑体" w:cs="黑体"/>
          <w:b/>
          <w:bCs/>
          <w:color w:val="auto"/>
          <w:sz w:val="24"/>
          <w:szCs w:val="24"/>
          <w:highlight w:val="none"/>
          <w:lang w:val="en-US" w:eastAsia="zh-CN"/>
        </w:rPr>
        <w:t>二</w:t>
      </w:r>
      <w:r>
        <w:rPr>
          <w:rFonts w:hint="eastAsia" w:ascii="黑体" w:hAnsi="仿宋" w:eastAsia="黑体" w:cs="黑体"/>
          <w:b/>
          <w:bCs/>
          <w:color w:val="auto"/>
          <w:sz w:val="24"/>
          <w:szCs w:val="24"/>
          <w:highlight w:val="none"/>
        </w:rPr>
        <w:t>、所属行业：</w:t>
      </w:r>
      <w:r>
        <w:rPr>
          <w:rFonts w:hint="eastAsia" w:ascii="宋体" w:hAnsi="宋体" w:cs="宋体"/>
          <w:color w:val="auto"/>
          <w:sz w:val="24"/>
          <w:highlight w:val="none"/>
          <w:lang w:val="en-US" w:eastAsia="zh-CN"/>
        </w:rPr>
        <w:t>软件和信息技术服务业</w:t>
      </w:r>
    </w:p>
    <w:p>
      <w:pPr>
        <w:spacing w:line="360" w:lineRule="auto"/>
        <w:ind w:firstLine="482" w:firstLineChars="200"/>
        <w:rPr>
          <w:rFonts w:hint="default" w:ascii="黑体" w:hAnsi="仿宋" w:eastAsia="黑体" w:cs="黑体"/>
          <w:b/>
          <w:bCs/>
          <w:color w:val="auto"/>
          <w:sz w:val="24"/>
          <w:szCs w:val="24"/>
          <w:highlight w:val="none"/>
          <w:lang w:val="en-US" w:eastAsia="zh-CN"/>
        </w:rPr>
      </w:pPr>
      <w:r>
        <w:rPr>
          <w:rFonts w:hint="eastAsia" w:ascii="黑体" w:hAnsi="仿宋" w:eastAsia="黑体" w:cs="黑体"/>
          <w:b/>
          <w:bCs/>
          <w:color w:val="auto"/>
          <w:sz w:val="24"/>
          <w:szCs w:val="24"/>
          <w:highlight w:val="none"/>
          <w:lang w:val="en-US" w:eastAsia="zh-CN"/>
        </w:rPr>
        <w:t>三</w:t>
      </w:r>
      <w:r>
        <w:rPr>
          <w:rFonts w:hint="eastAsia" w:ascii="黑体" w:hAnsi="仿宋" w:eastAsia="黑体" w:cs="黑体"/>
          <w:b/>
          <w:bCs/>
          <w:color w:val="auto"/>
          <w:sz w:val="24"/>
          <w:szCs w:val="24"/>
          <w:highlight w:val="none"/>
        </w:rPr>
        <w:t>、项目属性：</w:t>
      </w:r>
      <w:r>
        <w:rPr>
          <w:rFonts w:hint="eastAsia" w:ascii="宋体" w:hAnsi="宋体" w:cs="宋体"/>
          <w:color w:val="auto"/>
          <w:sz w:val="24"/>
          <w:highlight w:val="none"/>
          <w:lang w:val="en-US" w:eastAsia="zh-CN"/>
        </w:rPr>
        <w:t>服务类</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四</w:t>
      </w:r>
      <w:r>
        <w:rPr>
          <w:rFonts w:hint="eastAsia" w:ascii="黑体" w:hAnsi="仿宋" w:eastAsia="黑体" w:cs="黑体"/>
          <w:b/>
          <w:bCs/>
          <w:color w:val="auto"/>
          <w:sz w:val="24"/>
          <w:szCs w:val="24"/>
          <w:highlight w:val="none"/>
        </w:rPr>
        <w:t>、响应供应商的资格要求：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color w:val="auto"/>
          <w:sz w:val="24"/>
          <w:highlight w:val="none"/>
          <w:lang w:val="en-US" w:eastAsia="zh-CN"/>
        </w:rPr>
        <w:t>2.1</w:t>
      </w:r>
      <w:r>
        <w:rPr>
          <w:rFonts w:hint="eastAsia" w:ascii="宋体" w:hAnsi="宋体" w:eastAsia="宋体" w:cs="宋体"/>
          <w:spacing w:val="0"/>
          <w:w w:val="100"/>
          <w:sz w:val="24"/>
          <w:szCs w:val="24"/>
          <w:highlight w:val="none"/>
          <w:lang w:val="en-US" w:eastAsia="zh-CN"/>
        </w:rPr>
        <w:t>《关于在政府采购活动中查询及使用信用记录有关问题的通知》（财库〔2016〕125号）。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cs="宋体"/>
          <w:spacing w:val="0"/>
          <w:w w:val="100"/>
          <w:sz w:val="24"/>
          <w:szCs w:val="24"/>
          <w:highlight w:val="none"/>
          <w:lang w:val="en-US" w:eastAsia="zh-CN"/>
        </w:rPr>
        <w:t>2.2</w:t>
      </w:r>
      <w:r>
        <w:rPr>
          <w:rFonts w:hint="eastAsia" w:ascii="宋体" w:hAnsi="宋体" w:eastAsia="宋体" w:cs="宋体"/>
          <w:spacing w:val="0"/>
          <w:w w:val="100"/>
          <w:sz w:val="24"/>
          <w:szCs w:val="24"/>
          <w:highlight w:val="none"/>
          <w:lang w:val="en-US" w:eastAsia="zh-CN"/>
        </w:rPr>
        <w:t>《政府采购促进中小企业发展管理办法》（财库〔2020〕46号）、《关于政府采购支持监狱企业发展有关问题的通知》（财库〔2014〕68号）、《关于促进残疾人就业政府采购政策的通知》（财库〔2017〕141号）、《财政部关于进一步加大政府采购支持中小企业力度的通知》（财库〔2022〕19号）、《陕西省财政厅关于进一步加大政府采购支持中小企业力度的通知》（陕财办采〔2022〕5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ascii="宋体" w:hAnsi="宋体" w:cs="宋体"/>
          <w:spacing w:val="0"/>
          <w:w w:val="100"/>
          <w:sz w:val="24"/>
          <w:szCs w:val="24"/>
          <w:highlight w:val="none"/>
          <w:lang w:val="en-US" w:eastAsia="zh-CN"/>
        </w:rPr>
        <w:t>、《市场监督总局关于发布参与实施政府采购节能产品、环境标志产品认证机构名录的公告》</w:t>
      </w:r>
      <w:r>
        <w:rPr>
          <w:rFonts w:hint="eastAsia" w:ascii="宋体" w:hAnsi="宋体" w:eastAsia="宋体" w:cs="宋体"/>
          <w:spacing w:val="0"/>
          <w:w w:val="100"/>
          <w:sz w:val="24"/>
          <w:szCs w:val="24"/>
          <w:highlight w:val="none"/>
          <w:lang w:val="en-US" w:eastAsia="zh-CN"/>
        </w:rPr>
        <w:t>（</w:t>
      </w:r>
      <w:r>
        <w:rPr>
          <w:rFonts w:hint="eastAsia" w:ascii="宋体" w:hAnsi="宋体" w:cs="宋体"/>
          <w:spacing w:val="0"/>
          <w:w w:val="100"/>
          <w:sz w:val="24"/>
          <w:szCs w:val="24"/>
          <w:highlight w:val="none"/>
          <w:lang w:val="en-US" w:eastAsia="zh-CN"/>
        </w:rPr>
        <w:t>2019年第16号）、陕西省财政厅《关于进一步加强政府绿色采购有关问题的通知》陕财办采〔2021〕29号</w:t>
      </w:r>
      <w:r>
        <w:rPr>
          <w:rFonts w:hint="eastAsia" w:ascii="宋体" w:hAnsi="宋体" w:eastAsia="宋体" w:cs="宋体"/>
          <w:spacing w:val="0"/>
          <w:w w:val="100"/>
          <w:sz w:val="24"/>
          <w:szCs w:val="24"/>
          <w:highlight w:val="none"/>
          <w:lang w:val="en-US" w:eastAsia="zh-CN"/>
        </w:rPr>
        <w:t>。</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pPr>
        <w:spacing w:line="360" w:lineRule="auto"/>
        <w:ind w:firstLine="480" w:firstLineChars="200"/>
        <w:jc w:val="both"/>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2.5《陕西省财政厅关于加快推进我省中小企业政府采购信用融资工作的通知》(陕财办采〔2020〕15号)、《陕西省中小企业政府采购信用融资办法》(陕财办采〔2018〕23号)(办理平台(http://www.ccgp-shaanxi.gov.cn/zcdservice/zcd/shanxi/)。</w:t>
      </w:r>
    </w:p>
    <w:p>
      <w:pPr>
        <w:spacing w:line="360" w:lineRule="auto"/>
        <w:ind w:firstLine="480" w:firstLineChars="200"/>
        <w:rPr>
          <w:rFonts w:ascii="宋体" w:hAnsi="宋体" w:cs="宋体"/>
          <w:color w:val="auto"/>
          <w:sz w:val="24"/>
          <w:highlight w:val="none"/>
        </w:rPr>
      </w:pPr>
      <w:r>
        <w:rPr>
          <w:rFonts w:hint="eastAsia" w:ascii="宋体" w:hAnsi="宋体" w:cs="宋体"/>
          <w:spacing w:val="0"/>
          <w:w w:val="100"/>
          <w:sz w:val="24"/>
          <w:szCs w:val="24"/>
          <w:highlight w:val="none"/>
          <w:lang w:val="en-US" w:eastAsia="zh-CN"/>
        </w:rPr>
        <w:t>2.6</w:t>
      </w:r>
      <w:r>
        <w:rPr>
          <w:rFonts w:hint="eastAsia" w:ascii="宋体" w:hAnsi="宋体" w:eastAsia="宋体" w:cs="宋体"/>
          <w:spacing w:val="0"/>
          <w:w w:val="100"/>
          <w:sz w:val="24"/>
          <w:szCs w:val="24"/>
          <w:highlight w:val="none"/>
        </w:rPr>
        <w:t>其他需要落实的政府采购政策</w:t>
      </w:r>
      <w:r>
        <w:rPr>
          <w:rFonts w:hint="eastAsia" w:ascii="宋体" w:hAnsi="宋体" w:eastAsia="宋体" w:cs="宋体"/>
          <w:spacing w:val="0"/>
          <w:w w:val="100"/>
          <w:sz w:val="24"/>
          <w:szCs w:val="24"/>
          <w:highlight w:val="none"/>
          <w:lang w:eastAsia="zh-CN"/>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3.1符合《政府采购法》第二十二条规定：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1）具有独立承担民事责任的能力，且应是中华人民共和国境内注册的法人、其他组织或自然人；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3）具有履行合同所必须的设备和专业技术能力；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5）参加本次政府采购活动前三年内，在经营活动中没有重大违法记录；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6）供应商必须符合法律、行政法规规定的其他条件。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供应商未被列入“信用中国”网站(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4"/>
          <w:highlight w:val="none"/>
        </w:rPr>
        <w:t>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失信被执行人</w:t>
      </w:r>
      <w:r>
        <w:rPr>
          <w:rFonts w:hint="eastAsia" w:ascii="宋体" w:hAnsi="宋体" w:cs="宋体"/>
          <w:color w:val="auto"/>
          <w:sz w:val="24"/>
          <w:highlight w:val="none"/>
        </w:rPr>
        <w:t>或重大税收违法</w:t>
      </w:r>
      <w:r>
        <w:rPr>
          <w:rFonts w:hint="eastAsia" w:ascii="宋体" w:hAnsi="宋体" w:cs="宋体"/>
          <w:color w:val="auto"/>
          <w:sz w:val="24"/>
          <w:highlight w:val="none"/>
          <w:lang w:val="en-US" w:eastAsia="zh-CN"/>
        </w:rPr>
        <w:t>失信主体</w:t>
      </w:r>
      <w:r>
        <w:rPr>
          <w:rFonts w:hint="eastAsia" w:ascii="宋体" w:hAnsi="宋体" w:cs="宋体"/>
          <w:color w:val="auto"/>
          <w:sz w:val="24"/>
          <w:highlight w:val="none"/>
        </w:rPr>
        <w:t>或政府采购严重违法失信行为”记录名单；不处于中国政府采购网(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)“政府采购严重违法失信行为</w:t>
      </w:r>
      <w:r>
        <w:rPr>
          <w:rFonts w:hint="eastAsia" w:ascii="宋体" w:hAnsi="宋体" w:cs="宋体"/>
          <w:color w:val="auto"/>
          <w:sz w:val="24"/>
          <w:highlight w:val="none"/>
          <w:lang w:val="en-US" w:eastAsia="zh-CN"/>
        </w:rPr>
        <w:t>记录名单</w:t>
      </w:r>
      <w:r>
        <w:rPr>
          <w:rFonts w:hint="eastAsia" w:ascii="宋体" w:hAnsi="宋体" w:cs="宋体"/>
          <w:color w:val="auto"/>
          <w:sz w:val="24"/>
          <w:highlight w:val="none"/>
        </w:rPr>
        <w:t>”中的禁止参加政府采购活动期间；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单位负责人为同一人或者存在直接控股、管理关系的不同供应商，不得同时参加本采购项目</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3.4</w:t>
      </w:r>
      <w:r>
        <w:rPr>
          <w:rFonts w:hint="eastAsia" w:ascii="宋体" w:hAnsi="宋体" w:cs="宋体"/>
          <w:color w:val="auto"/>
          <w:sz w:val="24"/>
          <w:highlight w:val="none"/>
        </w:rPr>
        <w:t>为本项目提供整体设计、规范编制或者项目管理、监理、检测等服务的供应商，不得再参与本项目</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3.5本项目为专门面向中小企业项目，供应商应为中型企业、小型企业、微型企业或监狱企业或残疾人福利性单位；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已登记报名并获取本项目采购文件。</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五</w:t>
      </w:r>
      <w:r>
        <w:rPr>
          <w:rFonts w:hint="eastAsia" w:ascii="黑体" w:hAnsi="仿宋" w:eastAsia="黑体" w:cs="黑体"/>
          <w:b/>
          <w:bCs/>
          <w:color w:val="auto"/>
          <w:sz w:val="24"/>
          <w:szCs w:val="24"/>
          <w:highlight w:val="none"/>
        </w:rPr>
        <w:t>、采购文件获取方式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时间：即日起至202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日17时止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方式：线下发售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售价：人民币</w:t>
      </w:r>
      <w:r>
        <w:rPr>
          <w:rFonts w:hint="eastAsia" w:ascii="宋体" w:hAnsi="宋体" w:cs="宋体"/>
          <w:color w:val="auto"/>
          <w:sz w:val="24"/>
          <w:highlight w:val="none"/>
          <w:lang w:val="en-US" w:eastAsia="zh-CN"/>
        </w:rPr>
        <w:t>500</w:t>
      </w:r>
      <w:r>
        <w:rPr>
          <w:rFonts w:hint="eastAsia" w:ascii="宋体" w:hAnsi="宋体" w:cs="宋体"/>
          <w:color w:val="auto"/>
          <w:sz w:val="24"/>
          <w:highlight w:val="none"/>
        </w:rPr>
        <w:t>元，售后不退。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注：购买</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文件时须携带单位介绍信、身份证原件及复印件。（谢绝邮寄）</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六</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val="en-US" w:eastAsia="zh-CN"/>
        </w:rPr>
        <w:t>响应</w:t>
      </w:r>
      <w:r>
        <w:rPr>
          <w:rFonts w:hint="eastAsia" w:ascii="黑体" w:hAnsi="仿宋" w:eastAsia="黑体" w:cs="黑体"/>
          <w:b/>
          <w:bCs/>
          <w:color w:val="auto"/>
          <w:sz w:val="24"/>
          <w:szCs w:val="24"/>
          <w:highlight w:val="none"/>
        </w:rPr>
        <w:t>文件递交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D座2206室陕西德勤招标有限公司第一会议室</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七</w:t>
      </w:r>
      <w:r>
        <w:rPr>
          <w:rFonts w:hint="eastAsia" w:ascii="黑体" w:hAnsi="仿宋" w:eastAsia="黑体" w:cs="黑体"/>
          <w:b/>
          <w:bCs/>
          <w:color w:val="auto"/>
          <w:sz w:val="24"/>
          <w:szCs w:val="24"/>
          <w:highlight w:val="none"/>
        </w:rPr>
        <w:t>、公告期限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本公告期限为自发布之日起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八</w:t>
      </w:r>
      <w:r>
        <w:rPr>
          <w:rFonts w:hint="eastAsia" w:ascii="黑体" w:hAnsi="仿宋" w:eastAsia="黑体" w:cs="黑体"/>
          <w:b/>
          <w:bCs/>
          <w:color w:val="auto"/>
          <w:sz w:val="24"/>
          <w:szCs w:val="24"/>
          <w:highlight w:val="none"/>
        </w:rPr>
        <w:t>、其它补充事宜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w:t>
      </w:r>
    </w:p>
    <w:p>
      <w:pPr>
        <w:spacing w:line="360" w:lineRule="auto"/>
        <w:ind w:firstLine="482" w:firstLineChars="200"/>
        <w:rPr>
          <w:rFonts w:ascii="黑体" w:hAnsi="仿宋" w:eastAsia="黑体" w:cs="黑体"/>
          <w:b/>
          <w:bCs/>
          <w:color w:val="auto"/>
          <w:sz w:val="24"/>
          <w:szCs w:val="24"/>
          <w:highlight w:val="none"/>
        </w:rPr>
      </w:pPr>
      <w:bookmarkStart w:id="6" w:name="_Toc28218"/>
      <w:bookmarkStart w:id="7" w:name="_Toc21944"/>
      <w:bookmarkStart w:id="8" w:name="_Toc14544"/>
      <w:bookmarkStart w:id="9" w:name="_Toc17151"/>
      <w:r>
        <w:rPr>
          <w:rFonts w:hint="eastAsia" w:ascii="黑体" w:hAnsi="仿宋" w:eastAsia="黑体" w:cs="黑体"/>
          <w:b/>
          <w:bCs/>
          <w:color w:val="auto"/>
          <w:sz w:val="24"/>
          <w:szCs w:val="24"/>
          <w:highlight w:val="none"/>
          <w:lang w:val="en-US" w:eastAsia="zh-CN"/>
        </w:rPr>
        <w:t>九</w:t>
      </w:r>
      <w:r>
        <w:rPr>
          <w:rFonts w:hint="eastAsia" w:ascii="黑体" w:hAnsi="仿宋" w:eastAsia="黑体" w:cs="黑体"/>
          <w:b/>
          <w:bCs/>
          <w:color w:val="auto"/>
          <w:sz w:val="24"/>
          <w:szCs w:val="24"/>
          <w:highlight w:val="none"/>
        </w:rPr>
        <w:t>、对本次采购提出询问，请按以下方式联系。</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1.采购人信息：陕西省总工会</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陕西省西安市莲湖区莲湖路389号</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省总工会经办</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hint="eastAsia" w:ascii="宋体" w:hAnsi="宋体" w:cs="宋体"/>
          <w:sz w:val="24"/>
          <w:highlight w:val="none"/>
          <w:lang w:val="en-US" w:eastAsia="zh-CN"/>
        </w:rPr>
        <w:t>029-87329863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2.项目联系方式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项目联系人：李浩、贾旭鸣、党徽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3.采购代理机构信息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名称：陕西德勤招标有限公司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联系地址：陕西省西安市高新区丈八一路1号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bookmarkEnd w:id="6"/>
      <w:bookmarkEnd w:id="7"/>
      <w:bookmarkEnd w:id="8"/>
      <w:bookmarkEnd w:id="9"/>
      <w:r>
        <w:rPr>
          <w:rFonts w:hint="eastAsia" w:ascii="宋体" w:hAnsi="宋体" w:cs="宋体"/>
          <w:color w:val="auto"/>
          <w:sz w:val="24"/>
          <w:highlight w:val="none"/>
        </w:rPr>
        <w:t>029-81106093</w:t>
      </w:r>
    </w:p>
    <w:p>
      <w:pPr>
        <w:spacing w:line="360" w:lineRule="auto"/>
        <w:ind w:firstLine="480" w:firstLineChars="200"/>
        <w:jc w:val="left"/>
        <w:rPr>
          <w:rFonts w:ascii="宋体" w:hAnsi="宋体" w:cs="宋体"/>
          <w:color w:val="auto"/>
          <w:sz w:val="24"/>
          <w:szCs w:val="24"/>
          <w:highlight w:val="none"/>
        </w:rPr>
      </w:pPr>
    </w:p>
    <w:p>
      <w:pPr>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陕西德勤招标有限公司</w:t>
      </w:r>
      <w:bookmarkEnd w:id="5"/>
    </w:p>
    <w:p>
      <w:pPr>
        <w:jc w:val="right"/>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w:t>
      </w:r>
    </w:p>
    <w:p>
      <w:pPr>
        <w:rPr>
          <w:highlight w:val="none"/>
        </w:rPr>
      </w:pPr>
    </w:p>
    <w:p>
      <w:pPr>
        <w:spacing w:line="360" w:lineRule="auto"/>
        <w:jc w:val="center"/>
        <w:rPr>
          <w:rFonts w:hint="eastAsia" w:ascii="宋体" w:hAnsi="宋体"/>
          <w:szCs w:val="30"/>
          <w:highlight w:val="none"/>
        </w:rPr>
      </w:pPr>
      <w:r>
        <w:rPr>
          <w:rFonts w:hint="eastAsia" w:ascii="宋体" w:hAnsi="宋体"/>
          <w:szCs w:val="30"/>
          <w:highlight w:val="none"/>
        </w:rPr>
        <w:br w:type="page"/>
      </w:r>
    </w:p>
    <w:p>
      <w:pPr>
        <w:bidi w:val="0"/>
        <w:spacing w:line="360" w:lineRule="auto"/>
        <w:jc w:val="center"/>
        <w:outlineLvl w:val="0"/>
        <w:rPr>
          <w:rFonts w:hint="eastAsia" w:ascii="黑体" w:hAnsi="黑体" w:eastAsia="黑体" w:cs="黑体"/>
          <w:b/>
          <w:bCs/>
          <w:szCs w:val="32"/>
          <w:highlight w:val="none"/>
        </w:rPr>
      </w:pPr>
      <w:bookmarkStart w:id="10" w:name="_Toc6236"/>
      <w:r>
        <w:rPr>
          <w:rFonts w:hint="eastAsia" w:ascii="黑体" w:hAnsi="黑体" w:eastAsia="黑体" w:cs="黑体"/>
          <w:b/>
          <w:bCs/>
          <w:sz w:val="32"/>
          <w:szCs w:val="32"/>
          <w:highlight w:val="none"/>
        </w:rPr>
        <w:t>第二部分 用户需求书</w:t>
      </w:r>
      <w:bookmarkEnd w:id="10"/>
    </w:p>
    <w:p>
      <w:pPr>
        <w:spacing w:line="360" w:lineRule="auto"/>
        <w:ind w:firstLine="482" w:firstLineChars="200"/>
        <w:rPr>
          <w:rFonts w:ascii="黑体" w:hAnsi="仿宋" w:eastAsia="黑体" w:cs="黑体"/>
          <w:b/>
          <w:bCs/>
          <w:sz w:val="24"/>
          <w:szCs w:val="24"/>
          <w:highlight w:val="none"/>
          <w:lang w:val="hr-HR"/>
        </w:rPr>
      </w:pPr>
      <w:r>
        <w:rPr>
          <w:rFonts w:hint="eastAsia" w:ascii="黑体" w:hAnsi="仿宋" w:eastAsia="黑体" w:cs="黑体"/>
          <w:b/>
          <w:bCs/>
          <w:sz w:val="24"/>
          <w:szCs w:val="24"/>
          <w:highlight w:val="none"/>
          <w:lang w:val="zh-TW" w:eastAsia="zh-TW"/>
        </w:rPr>
        <w:t>一、服务总体内容</w:t>
      </w:r>
    </w:p>
    <w:p>
      <w:pPr>
        <w:spacing w:line="360" w:lineRule="auto"/>
        <w:ind w:firstLine="480" w:firstLineChars="200"/>
        <w:rPr>
          <w:rFonts w:hint="eastAsia"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为了深入贯彻落实我国《中华人民共和国网络安全法》及《信息系统安全等级保护管理办法》等文件针对各政府单位信息系统的网络安全要求，同时提高陕西省总工会的网络安全监测及防护水平，使得总工会针对网络安全工作实现“可感、可知及可视”，开展本次态势感知服务项目。</w:t>
      </w:r>
    </w:p>
    <w:p>
      <w:pPr>
        <w:spacing w:line="360" w:lineRule="auto"/>
        <w:ind w:firstLine="480" w:firstLineChars="200"/>
        <w:rPr>
          <w:rFonts w:hint="eastAsia" w:ascii="宋体" w:hAnsi="宋体" w:eastAsia="宋体" w:cs="Times New Roman"/>
          <w:sz w:val="24"/>
          <w:szCs w:val="24"/>
          <w:highlight w:val="none"/>
          <w:lang w:val="zh-TW" w:eastAsia="zh-TW"/>
        </w:rPr>
      </w:pPr>
      <w:r>
        <w:rPr>
          <w:rFonts w:hint="eastAsia" w:ascii="宋体" w:hAnsi="宋体" w:eastAsia="宋体" w:cs="Times New Roman"/>
          <w:sz w:val="24"/>
          <w:szCs w:val="24"/>
          <w:highlight w:val="none"/>
          <w:lang w:val="zh-CN"/>
        </w:rPr>
        <w:t>本项目</w:t>
      </w:r>
      <w:r>
        <w:rPr>
          <w:rFonts w:hint="eastAsia" w:ascii="宋体" w:hAnsi="宋体" w:eastAsia="宋体" w:cs="Times New Roman"/>
          <w:sz w:val="24"/>
          <w:szCs w:val="24"/>
          <w:highlight w:val="none"/>
          <w:lang w:val="zh-CN" w:eastAsia="zh-Hans"/>
        </w:rPr>
        <w:t>按照我国等级保护建设标准及省总工会实际需求，</w:t>
      </w:r>
      <w:r>
        <w:rPr>
          <w:rFonts w:hint="eastAsia" w:ascii="宋体" w:hAnsi="宋体" w:eastAsia="宋体" w:cs="Times New Roman"/>
          <w:sz w:val="24"/>
          <w:szCs w:val="24"/>
          <w:highlight w:val="none"/>
          <w:lang w:val="zh-CN"/>
        </w:rPr>
        <w:t>实施省总工会实行态势感知服务，实现将现有的网络安全设备，如防火墙、主机防护系统、网页防篡改等安全事件进行统一展现；实现对省总工会办公网核心流量以探针方式进行采集，网络流量威胁事件统一展现；同时，对重要核心资产日志进行采集、分析与审计、存储和备份等</w:t>
      </w:r>
      <w:r>
        <w:rPr>
          <w:rFonts w:hint="eastAsia" w:ascii="宋体" w:hAnsi="宋体" w:cs="Times New Roman"/>
          <w:sz w:val="24"/>
          <w:szCs w:val="24"/>
          <w:highlight w:val="none"/>
          <w:lang w:val="zh-CN"/>
        </w:rPr>
        <w:t>。</w:t>
      </w:r>
    </w:p>
    <w:p>
      <w:pPr>
        <w:spacing w:line="360" w:lineRule="auto"/>
        <w:ind w:firstLine="482" w:firstLineChars="200"/>
        <w:rPr>
          <w:rFonts w:ascii="黑体" w:hAnsi="仿宋" w:eastAsia="黑体" w:cs="黑体"/>
          <w:b/>
          <w:bCs/>
          <w:sz w:val="24"/>
          <w:szCs w:val="24"/>
          <w:highlight w:val="none"/>
          <w:lang w:val="zh-TW"/>
        </w:rPr>
      </w:pPr>
      <w:r>
        <w:rPr>
          <w:rFonts w:hint="eastAsia" w:ascii="黑体" w:hAnsi="仿宋" w:eastAsia="黑体" w:cs="黑体"/>
          <w:b/>
          <w:bCs/>
          <w:sz w:val="24"/>
          <w:szCs w:val="24"/>
          <w:highlight w:val="none"/>
          <w:lang w:val="zh-TW" w:eastAsia="zh-TW"/>
        </w:rPr>
        <w:t>二、</w:t>
      </w:r>
      <w:r>
        <w:rPr>
          <w:rFonts w:hint="eastAsia" w:ascii="黑体" w:hAnsi="仿宋" w:eastAsia="黑体" w:cs="黑体"/>
          <w:b/>
          <w:bCs/>
          <w:sz w:val="24"/>
          <w:szCs w:val="24"/>
          <w:highlight w:val="none"/>
        </w:rPr>
        <w:t>项目要求</w:t>
      </w:r>
    </w:p>
    <w:tbl>
      <w:tblPr>
        <w:tblStyle w:val="20"/>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121"/>
        <w:gridCol w:w="427"/>
        <w:gridCol w:w="565"/>
        <w:gridCol w:w="5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9" w:type="dxa"/>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序号</w:t>
            </w:r>
          </w:p>
        </w:tc>
        <w:tc>
          <w:tcPr>
            <w:tcW w:w="1121" w:type="dxa"/>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服务名称</w:t>
            </w:r>
          </w:p>
        </w:tc>
        <w:tc>
          <w:tcPr>
            <w:tcW w:w="427" w:type="dxa"/>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数量</w:t>
            </w:r>
          </w:p>
        </w:tc>
        <w:tc>
          <w:tcPr>
            <w:tcW w:w="565" w:type="dxa"/>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年限</w:t>
            </w:r>
          </w:p>
        </w:tc>
        <w:tc>
          <w:tcPr>
            <w:tcW w:w="5964" w:type="dxa"/>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服务/系统描述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9" w:type="dxa"/>
            <w:vMerge w:val="restart"/>
            <w:shd w:val="clear" w:color="auto" w:fill="auto"/>
            <w:noWrap/>
            <w:vAlign w:val="center"/>
          </w:tcPr>
          <w:p>
            <w:pPr>
              <w:widowControl/>
              <w:jc w:val="center"/>
              <w:rPr>
                <w:rFonts w:ascii="宋体" w:hAnsi="宋体" w:eastAsia="宋体" w:cs="宋体"/>
                <w:color w:val="000000"/>
                <w:kern w:val="0"/>
                <w:szCs w:val="21"/>
                <w:highlight w:val="none"/>
              </w:rPr>
            </w:pPr>
            <w:r>
              <w:rPr>
                <w:rFonts w:ascii="宋体" w:hAnsi="宋体" w:eastAsia="宋体" w:cs="宋体"/>
                <w:color w:val="000000"/>
                <w:kern w:val="0"/>
                <w:szCs w:val="21"/>
                <w:highlight w:val="none"/>
              </w:rPr>
              <w:t>1</w:t>
            </w:r>
          </w:p>
          <w:p>
            <w:pPr>
              <w:widowControl/>
              <w:jc w:val="center"/>
              <w:rPr>
                <w:rFonts w:ascii="宋体" w:hAnsi="宋体" w:eastAsia="宋体" w:cs="宋体"/>
                <w:color w:val="000000"/>
                <w:kern w:val="0"/>
                <w:szCs w:val="21"/>
                <w:highlight w:val="none"/>
              </w:rPr>
            </w:pPr>
          </w:p>
        </w:tc>
        <w:tc>
          <w:tcPr>
            <w:tcW w:w="1121" w:type="dxa"/>
            <w:vMerge w:val="restart"/>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态势感知服务</w:t>
            </w:r>
          </w:p>
        </w:tc>
        <w:tc>
          <w:tcPr>
            <w:tcW w:w="427" w:type="dxa"/>
            <w:vMerge w:val="restart"/>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1项</w:t>
            </w:r>
          </w:p>
        </w:tc>
        <w:tc>
          <w:tcPr>
            <w:tcW w:w="565" w:type="dxa"/>
            <w:vMerge w:val="restart"/>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1年</w:t>
            </w:r>
          </w:p>
        </w:tc>
        <w:tc>
          <w:tcPr>
            <w:tcW w:w="5964" w:type="dxa"/>
            <w:shd w:val="clear" w:color="auto" w:fill="auto"/>
            <w:vAlign w:val="center"/>
          </w:tcPr>
          <w:p>
            <w:pPr>
              <w:pStyle w:val="27"/>
              <w:widowControl/>
              <w:numPr>
                <w:ilvl w:val="0"/>
                <w:numId w:val="1"/>
              </w:numPr>
              <w:ind w:firstLineChars="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总体服务要求：</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可支持收集现有网络安全软硬件（如主机防护系统、网页防篡改系统及防火墙等）安全事件、安全日志等，针对不同厂家日志格式进行范式化，统一展示；同时，通过收集云端主机及机关网络流量，实现对省总工会网络安全态势可知、可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9"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1121"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427" w:type="dxa"/>
            <w:vMerge w:val="continue"/>
            <w:vAlign w:val="center"/>
          </w:tcPr>
          <w:p>
            <w:pPr>
              <w:widowControl/>
              <w:jc w:val="center"/>
              <w:rPr>
                <w:rFonts w:ascii="宋体" w:hAnsi="宋体" w:eastAsia="宋体" w:cs="宋体"/>
                <w:color w:val="000000"/>
                <w:kern w:val="0"/>
                <w:szCs w:val="21"/>
                <w:highlight w:val="none"/>
              </w:rPr>
            </w:pPr>
          </w:p>
        </w:tc>
        <w:tc>
          <w:tcPr>
            <w:tcW w:w="565" w:type="dxa"/>
            <w:vMerge w:val="continue"/>
            <w:vAlign w:val="center"/>
          </w:tcPr>
          <w:p>
            <w:pPr>
              <w:widowControl/>
              <w:jc w:val="center"/>
              <w:rPr>
                <w:rFonts w:ascii="宋体" w:hAnsi="宋体" w:eastAsia="宋体" w:cs="宋体"/>
                <w:color w:val="000000"/>
                <w:kern w:val="0"/>
                <w:szCs w:val="21"/>
                <w:highlight w:val="none"/>
              </w:rPr>
            </w:pPr>
          </w:p>
        </w:tc>
        <w:tc>
          <w:tcPr>
            <w:tcW w:w="5964" w:type="dxa"/>
            <w:shd w:val="clear" w:color="auto" w:fill="auto"/>
            <w:vAlign w:val="center"/>
          </w:tcPr>
          <w:p>
            <w:pPr>
              <w:pStyle w:val="27"/>
              <w:widowControl/>
              <w:numPr>
                <w:ilvl w:val="0"/>
                <w:numId w:val="1"/>
              </w:numPr>
              <w:ind w:firstLineChars="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服务平台基础要求：</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千兆电口≥</w:t>
            </w:r>
            <w:r>
              <w:rPr>
                <w:rFonts w:ascii="宋体" w:hAnsi="宋体" w:eastAsia="宋体" w:cs="宋体"/>
                <w:color w:val="000000"/>
                <w:kern w:val="0"/>
                <w:szCs w:val="21"/>
                <w:highlight w:val="none"/>
              </w:rPr>
              <w:t>4个，内存≥96G，数据盘≥24T，设备吞吐≥3.5G，冗余电源，2U机架式设备。</w:t>
            </w:r>
            <w:r>
              <w:rPr>
                <w:rFonts w:hint="eastAsia" w:ascii="宋体" w:hAnsi="宋体" w:eastAsia="宋体" w:cs="宋体"/>
                <w:color w:val="000000"/>
                <w:kern w:val="0"/>
                <w:szCs w:val="21"/>
                <w:highlight w:val="none"/>
              </w:rPr>
              <w:t>可实现数据采集与存储、资产管理、脆弱性管理、文件威胁检测、挖矿专项检测、异常威胁检测、重保中心功能、威胁处置等；</w:t>
            </w:r>
            <w:r>
              <w:rPr>
                <w:rFonts w:hint="eastAsia" w:ascii="宋体" w:hAnsi="宋体" w:eastAsia="宋体" w:cs="宋体"/>
                <w:b/>
                <w:bCs/>
                <w:color w:val="000000"/>
                <w:kern w:val="0"/>
                <w:szCs w:val="21"/>
                <w:highlight w:val="none"/>
              </w:rPr>
              <w:t>含三年硬件质保及软件升级服务</w:t>
            </w:r>
            <w:r>
              <w:rPr>
                <w:rFonts w:hint="eastAsia" w:ascii="宋体" w:hAnsi="宋体" w:eastAsia="宋体" w:cs="宋体"/>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9"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1121"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427" w:type="dxa"/>
            <w:vMerge w:val="continue"/>
            <w:vAlign w:val="center"/>
          </w:tcPr>
          <w:p>
            <w:pPr>
              <w:widowControl/>
              <w:jc w:val="center"/>
              <w:rPr>
                <w:rFonts w:ascii="宋体" w:hAnsi="宋体" w:eastAsia="宋体" w:cs="宋体"/>
                <w:color w:val="000000"/>
                <w:kern w:val="0"/>
                <w:szCs w:val="21"/>
                <w:highlight w:val="none"/>
              </w:rPr>
            </w:pPr>
          </w:p>
        </w:tc>
        <w:tc>
          <w:tcPr>
            <w:tcW w:w="565" w:type="dxa"/>
            <w:vMerge w:val="continue"/>
            <w:vAlign w:val="center"/>
          </w:tcPr>
          <w:p>
            <w:pPr>
              <w:widowControl/>
              <w:jc w:val="center"/>
              <w:rPr>
                <w:rFonts w:ascii="宋体" w:hAnsi="宋体" w:eastAsia="宋体" w:cs="宋体"/>
                <w:color w:val="000000"/>
                <w:kern w:val="0"/>
                <w:szCs w:val="21"/>
                <w:highlight w:val="none"/>
              </w:rPr>
            </w:pPr>
          </w:p>
        </w:tc>
        <w:tc>
          <w:tcPr>
            <w:tcW w:w="5964" w:type="dxa"/>
            <w:shd w:val="clear" w:color="auto" w:fill="auto"/>
            <w:vAlign w:val="center"/>
          </w:tcPr>
          <w:p>
            <w:pPr>
              <w:pStyle w:val="27"/>
              <w:widowControl/>
              <w:numPr>
                <w:ilvl w:val="0"/>
                <w:numId w:val="1"/>
              </w:numPr>
              <w:ind w:firstLineChars="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具体功能要求：</w:t>
            </w:r>
          </w:p>
          <w:p>
            <w:pPr>
              <w:pStyle w:val="27"/>
              <w:widowControl/>
              <w:numPr>
                <w:ilvl w:val="1"/>
                <w:numId w:val="1"/>
              </w:numPr>
              <w:ind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数据采集与存储模块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支持接入并管理流量采集器、日志采集器具，可支持第三方采集器接入，如防火墙、终端检测响应、扫描器、邮件网关、</w:t>
            </w:r>
            <w:r>
              <w:rPr>
                <w:rFonts w:ascii="宋体" w:hAnsi="宋体" w:eastAsia="宋体" w:cs="宋体"/>
                <w:color w:val="000000"/>
                <w:kern w:val="0"/>
                <w:szCs w:val="21"/>
                <w:highlight w:val="none"/>
              </w:rPr>
              <w:t xml:space="preserve">WAF、UTM、IPS、网站入侵检测、数据库防火墙、沙箱、蜜罐等，采集数据多维丰富； </w:t>
            </w:r>
          </w:p>
          <w:p>
            <w:pPr>
              <w:pStyle w:val="27"/>
              <w:widowControl/>
              <w:numPr>
                <w:ilvl w:val="1"/>
                <w:numId w:val="1"/>
              </w:numPr>
              <w:ind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资产管理模块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支持资产多级分支管理，最多可至</w:t>
            </w:r>
            <w:r>
              <w:rPr>
                <w:rFonts w:ascii="宋体" w:hAnsi="宋体" w:eastAsia="宋体" w:cs="宋体"/>
                <w:color w:val="000000"/>
                <w:kern w:val="0"/>
                <w:szCs w:val="21"/>
                <w:highlight w:val="none"/>
              </w:rPr>
              <w:t>15级分支，支持资产全生命周期自动管理，包括资产自动发现、多级资产、资产入库审核、资产离线风险识别、资产退库、资产数据更新，责任人管理机制等。</w:t>
            </w:r>
          </w:p>
          <w:p>
            <w:pPr>
              <w:widowControl/>
              <w:jc w:val="left"/>
              <w:rPr>
                <w:rFonts w:ascii="宋体" w:hAnsi="宋体" w:eastAsia="宋体" w:cs="宋体"/>
                <w:b/>
                <w:bCs/>
                <w:color w:val="000000"/>
                <w:kern w:val="0"/>
                <w:szCs w:val="21"/>
                <w:highlight w:val="none"/>
              </w:rPr>
            </w:pPr>
            <w:r>
              <w:rPr>
                <w:rFonts w:hint="eastAsia" w:ascii="宋体" w:hAnsi="宋体" w:eastAsia="宋体" w:cs="宋体"/>
                <w:color w:val="000000"/>
                <w:kern w:val="0"/>
                <w:szCs w:val="21"/>
                <w:highlight w:val="none"/>
              </w:rPr>
              <w:t>支持对于平台识别到的主机以及业务资产进行多级分支管理，可划分分支应不少于</w:t>
            </w:r>
            <w:r>
              <w:rPr>
                <w:rFonts w:ascii="宋体" w:hAnsi="宋体" w:eastAsia="宋体" w:cs="宋体"/>
                <w:color w:val="000000"/>
                <w:kern w:val="0"/>
                <w:szCs w:val="21"/>
                <w:highlight w:val="none"/>
              </w:rPr>
              <w:t>10级，支持资产全生命周期自动管理，包括资产自动发现、多级资产、资产入库审核、资产离线风险识别、资产退库、资产数据更新，责任人管理机制等。</w:t>
            </w:r>
            <w:r>
              <w:rPr>
                <w:rFonts w:ascii="宋体" w:hAnsi="宋体" w:eastAsia="宋体" w:cs="宋体"/>
                <w:b/>
                <w:bCs/>
                <w:color w:val="000000"/>
                <w:kern w:val="0"/>
                <w:szCs w:val="21"/>
                <w:highlight w:val="none"/>
              </w:rPr>
              <w:t>（提供参数截图证明并加盖厂商公章）</w:t>
            </w:r>
          </w:p>
          <w:p>
            <w:pPr>
              <w:pStyle w:val="27"/>
              <w:widowControl/>
              <w:numPr>
                <w:ilvl w:val="1"/>
                <w:numId w:val="1"/>
              </w:numPr>
              <w:ind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脆弱性管理模块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支持主动扫描识别弱密码，支持加密协议的弱口令登录检测，支持</w:t>
            </w:r>
            <w:r>
              <w:rPr>
                <w:rFonts w:ascii="宋体" w:hAnsi="宋体" w:eastAsia="宋体" w:cs="宋体"/>
                <w:color w:val="000000"/>
                <w:kern w:val="0"/>
                <w:szCs w:val="21"/>
                <w:highlight w:val="none"/>
              </w:rPr>
              <w:t>SMB、MySQL、Oracle、RDP、SSH、Redis、MongoDB、ElasticSearch、MSSQL等常见协议。</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支持高度自定义弱密码检测规则，包括规则名称、生效域名、长度规则、字符规则、字典序、</w:t>
            </w:r>
            <w:r>
              <w:rPr>
                <w:rFonts w:ascii="宋体" w:hAnsi="宋体" w:eastAsia="宋体" w:cs="宋体"/>
                <w:color w:val="000000"/>
                <w:kern w:val="0"/>
                <w:szCs w:val="21"/>
                <w:highlight w:val="none"/>
              </w:rPr>
              <w:t>web空密码、账号白名单、密码白名单、txt文件格式导入。</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支持对于流量中可能存在的漏洞进行实时分析检测，包含配置错误漏洞、</w:t>
            </w:r>
            <w:r>
              <w:rPr>
                <w:rFonts w:ascii="宋体" w:hAnsi="宋体" w:eastAsia="宋体" w:cs="宋体"/>
                <w:color w:val="000000"/>
                <w:kern w:val="0"/>
                <w:szCs w:val="21"/>
                <w:highlight w:val="none"/>
              </w:rPr>
              <w:t>OpenSSH漏洞、OpenLDAP等操作系统、数据库、Web应用等</w:t>
            </w:r>
            <w:r>
              <w:rPr>
                <w:rFonts w:hint="eastAsia" w:ascii="宋体" w:hAnsi="宋体" w:eastAsia="宋体" w:cs="宋体"/>
                <w:color w:val="000000"/>
                <w:kern w:val="0"/>
                <w:szCs w:val="21"/>
                <w:highlight w:val="none"/>
              </w:rPr>
              <w:t>；</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支持对于风险主要情况进行展示、漏洞类型分析、漏洞态势与危害和处置建议，并支持导出脆弱性感知报告。</w:t>
            </w:r>
            <w:r>
              <w:rPr>
                <w:rFonts w:hint="eastAsia" w:ascii="宋体" w:hAnsi="宋体" w:eastAsia="宋体" w:cs="宋体"/>
                <w:b/>
                <w:bCs/>
                <w:color w:val="000000"/>
                <w:kern w:val="0"/>
                <w:szCs w:val="21"/>
                <w:highlight w:val="none"/>
              </w:rPr>
              <w:t>（提供参数截图证明并加盖厂商公章）；</w:t>
            </w:r>
          </w:p>
          <w:p>
            <w:pPr>
              <w:pStyle w:val="27"/>
              <w:widowControl/>
              <w:numPr>
                <w:ilvl w:val="1"/>
                <w:numId w:val="1"/>
              </w:numPr>
              <w:ind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文件威胁检测模块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文件威胁分析支持平台内置的静态文件检测引擎、</w:t>
            </w:r>
            <w:r>
              <w:rPr>
                <w:rFonts w:ascii="宋体" w:hAnsi="宋体" w:eastAsia="宋体" w:cs="宋体"/>
                <w:color w:val="000000"/>
                <w:kern w:val="0"/>
                <w:szCs w:val="21"/>
                <w:highlight w:val="none"/>
              </w:rPr>
              <w:t>AI智能引擎、SAVE查杀引擎、webshellkiller引擎，利用LSA, AutoEncoder, LogicRegression, SVM, 随机森林，XGBoost等多种机器学习算法组合进行综合研判。支持采用AI技术针对无文件落地的恶意脚本进行检测。</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支持内置文件威胁分析沙箱，支持平台内置的云端引擎、分析、检测引擎，利用多种机器学习算法组合进行综合研判。支持采用</w:t>
            </w:r>
            <w:r>
              <w:rPr>
                <w:rFonts w:ascii="宋体" w:hAnsi="宋体" w:eastAsia="宋体" w:cs="宋体"/>
                <w:color w:val="000000"/>
                <w:kern w:val="0"/>
                <w:szCs w:val="21"/>
                <w:highlight w:val="none"/>
              </w:rPr>
              <w:t>AI技术针对无文件落地的恶意脚本进行检测。</w:t>
            </w:r>
            <w:r>
              <w:rPr>
                <w:rFonts w:ascii="宋体" w:hAnsi="宋体" w:eastAsia="宋体" w:cs="宋体"/>
                <w:b/>
                <w:bCs/>
                <w:color w:val="000000"/>
                <w:kern w:val="0"/>
                <w:szCs w:val="21"/>
                <w:highlight w:val="none"/>
              </w:rPr>
              <w:t>（提供参数截图证明并加盖厂商公章）</w:t>
            </w:r>
          </w:p>
          <w:p>
            <w:pPr>
              <w:pStyle w:val="27"/>
              <w:widowControl/>
              <w:numPr>
                <w:ilvl w:val="1"/>
                <w:numId w:val="1"/>
              </w:numPr>
              <w:ind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挖矿专项检测模块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支持挖矿病毒独立分析模块，应提供独立挖矿检测及展示页面，支持分析以及展示挖矿攻击事前、事中和事后全链路流程事件，可结合威胁情报、</w:t>
            </w:r>
            <w:r>
              <w:rPr>
                <w:rFonts w:ascii="宋体" w:hAnsi="宋体" w:eastAsia="宋体" w:cs="宋体"/>
                <w:color w:val="000000"/>
                <w:kern w:val="0"/>
                <w:szCs w:val="21"/>
                <w:highlight w:val="none"/>
              </w:rPr>
              <w:t>IPS特征规则和行为关联分析技术，如检测发现文件传输（上传下载）阶段的异常，对挖矿早期的准备动作即告警。</w:t>
            </w:r>
            <w:r>
              <w:rPr>
                <w:rFonts w:ascii="宋体" w:hAnsi="宋体" w:eastAsia="宋体" w:cs="宋体"/>
                <w:b/>
                <w:bCs/>
                <w:color w:val="000000"/>
                <w:kern w:val="0"/>
                <w:szCs w:val="21"/>
                <w:highlight w:val="none"/>
              </w:rPr>
              <w:t>（提供参数截图证明并加盖厂商公章）</w:t>
            </w:r>
          </w:p>
          <w:p>
            <w:pPr>
              <w:pStyle w:val="27"/>
              <w:widowControl/>
              <w:numPr>
                <w:ilvl w:val="1"/>
                <w:numId w:val="1"/>
              </w:numPr>
              <w:ind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异常威胁检测模块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支持利用</w:t>
            </w:r>
            <w:r>
              <w:rPr>
                <w:rFonts w:ascii="宋体" w:hAnsi="宋体" w:eastAsia="宋体" w:cs="宋体"/>
                <w:color w:val="000000"/>
                <w:kern w:val="0"/>
                <w:szCs w:val="21"/>
                <w:highlight w:val="none"/>
              </w:rPr>
              <w:t>EBA技术进行资产的行为分析，对这些对象进行持续的学习和行为画像构建，以基线画像的形式检测异于基线的异常行为作为入口点，结合以降维、聚类、决策树为主的计算处理模型发现异常用户/资产行为。</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支持针对单位内部可能存在的邮件混淆宏病毒威胁检测，可通过不断下钻的特征向量提取和聚类算法有效检出邮件威胁。支持对</w:t>
            </w:r>
            <w:r>
              <w:rPr>
                <w:rFonts w:ascii="宋体" w:hAnsi="宋体" w:eastAsia="宋体" w:cs="宋体"/>
                <w:color w:val="000000"/>
                <w:kern w:val="0"/>
                <w:szCs w:val="21"/>
                <w:highlight w:val="none"/>
              </w:rPr>
              <w:t>smtp、imap、pop3、webmail等邮件协议审计，提取邮件正文和附件中的流量，并对邮件附件、正文链接、邮件行为、发件人等多维度进行规则和机器学习检测，从而识别出钓鱼邮件、病毒邮件、垃圾邮件、鱼叉式钓鱼等恶意邮件。</w:t>
            </w:r>
            <w:r>
              <w:rPr>
                <w:rFonts w:ascii="宋体" w:hAnsi="宋体" w:eastAsia="宋体" w:cs="宋体"/>
                <w:b/>
                <w:bCs/>
                <w:color w:val="000000"/>
                <w:kern w:val="0"/>
                <w:szCs w:val="21"/>
                <w:highlight w:val="none"/>
              </w:rPr>
              <w:t>（提供参数截图证明并加盖厂商公章）</w:t>
            </w:r>
          </w:p>
          <w:p>
            <w:pPr>
              <w:pStyle w:val="27"/>
              <w:widowControl/>
              <w:numPr>
                <w:ilvl w:val="1"/>
                <w:numId w:val="1"/>
              </w:numPr>
              <w:ind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重保中心模块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具备实战化攻防中心，支持基于攻防全流程进行保障，支持备战阶段的对外服务器外网暴露面分析、内网服务器暴露面梳理暴。实战阶段的实时攻击分析，实时展受害者</w:t>
            </w:r>
            <w:r>
              <w:rPr>
                <w:rFonts w:ascii="宋体" w:hAnsi="宋体" w:eastAsia="宋体" w:cs="宋体"/>
                <w:color w:val="000000"/>
                <w:kern w:val="0"/>
                <w:szCs w:val="21"/>
                <w:highlight w:val="none"/>
              </w:rPr>
              <w:t>IP、攻击者IP、XFF、攻击结果、攻击次数、事件类型、威胁等级等内容。实战阶段的全过程可视溯源分析、总结阶段的值守报告等全过程流程。</w:t>
            </w:r>
            <w:r>
              <w:rPr>
                <w:rFonts w:ascii="宋体" w:hAnsi="宋体" w:eastAsia="宋体" w:cs="宋体"/>
                <w:b/>
                <w:bCs/>
                <w:color w:val="000000"/>
                <w:kern w:val="0"/>
                <w:szCs w:val="21"/>
                <w:highlight w:val="none"/>
              </w:rPr>
              <w:t>（提供参数截图证明并加盖厂商公章）</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支持云端与本地协同情报共享，实时收集同步攻击者</w:t>
            </w:r>
            <w:r>
              <w:rPr>
                <w:rFonts w:ascii="宋体" w:hAnsi="宋体" w:eastAsia="宋体" w:cs="宋体"/>
                <w:color w:val="000000"/>
                <w:kern w:val="0"/>
                <w:szCs w:val="21"/>
                <w:highlight w:val="none"/>
              </w:rPr>
              <w:t>IP，并详细展示情报列表，包括IOC、区域、来源、更新时间、剩余封锁时间、状态、操作等，并可对本地威胁情报及云端威胁情报联动同品牌防火墙实现自动封锁。</w:t>
            </w:r>
          </w:p>
          <w:p>
            <w:pPr>
              <w:pStyle w:val="27"/>
              <w:widowControl/>
              <w:numPr>
                <w:ilvl w:val="1"/>
                <w:numId w:val="1"/>
              </w:numPr>
              <w:ind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可视化管理模块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支持对于全网安全事件、外部攻击者等维度进行自定义设置实现实时告警展示，支持大屏轮播，可在一个屏幕上自动切换轮播不同的大屏，所有大屏可自定义播放顺序。</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支持基于不同安全防护视角展示安全事件，提供不少于</w:t>
            </w:r>
            <w:r>
              <w:rPr>
                <w:rFonts w:ascii="宋体" w:hAnsi="宋体" w:eastAsia="宋体" w:cs="宋体"/>
                <w:color w:val="000000"/>
                <w:kern w:val="0"/>
                <w:szCs w:val="21"/>
                <w:highlight w:val="none"/>
              </w:rPr>
              <w:t>10个独立的大屏展示功能</w:t>
            </w:r>
            <w:r>
              <w:rPr>
                <w:rFonts w:ascii="宋体" w:hAnsi="宋体" w:eastAsia="宋体" w:cs="宋体"/>
                <w:b/>
                <w:bCs/>
                <w:color w:val="000000"/>
                <w:kern w:val="0"/>
                <w:szCs w:val="21"/>
                <w:highlight w:val="none"/>
              </w:rPr>
              <w:t>（提供参数截图证明并加盖厂商公章）</w:t>
            </w:r>
          </w:p>
          <w:p>
            <w:pPr>
              <w:pStyle w:val="27"/>
              <w:widowControl/>
              <w:numPr>
                <w:ilvl w:val="1"/>
                <w:numId w:val="1"/>
              </w:numPr>
              <w:ind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威胁处置模块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处置中心和攻防中心的多个模块的安全事件内置多个处置策略模板，不仅支持与现网防火墙、行为管理联动封锁、访问控制，还支持与终端安全响应系统联动一键查杀、进程取证，要求提供联动上述安全设备的承诺函及证明材料并加盖厂商公章。</w:t>
            </w:r>
            <w:r>
              <w:rPr>
                <w:rFonts w:hint="eastAsia" w:ascii="宋体" w:hAnsi="宋体" w:eastAsia="宋体" w:cs="宋体"/>
                <w:b/>
                <w:bCs/>
                <w:color w:val="000000"/>
                <w:kern w:val="0"/>
                <w:szCs w:val="21"/>
                <w:highlight w:val="none"/>
              </w:rPr>
              <w:t>（提供参数截图证明并加盖厂商公章）</w:t>
            </w:r>
          </w:p>
          <w:p>
            <w:pPr>
              <w:pStyle w:val="27"/>
              <w:widowControl/>
              <w:numPr>
                <w:ilvl w:val="1"/>
                <w:numId w:val="1"/>
              </w:numPr>
              <w:ind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安全日志模块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支持提供报表中心，为简化报告工作量，支持直接生成月度、季度、年度</w:t>
            </w:r>
            <w:r>
              <w:rPr>
                <w:rFonts w:ascii="宋体" w:hAnsi="宋体" w:eastAsia="宋体" w:cs="宋体"/>
                <w:color w:val="000000"/>
                <w:kern w:val="0"/>
                <w:szCs w:val="21"/>
                <w:highlight w:val="none"/>
              </w:rPr>
              <w:t>PPT格式报表，包含网络安全整体解读、网络安全风险详情、告警及事件响应盘点等，帮助用户高效汇报，体现安全工作价值。</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支持定义合规基线进行业务安全检查，如以等保标准进行合规检查，实时监测等保差距项和高风险项，避免策略变更导致不合规，有效应对网监不定期抽查和复测场景。</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支持综合安全风险、主机安全风险、脆弱性感知、外部感知、工单、摘要、处置报告多种方式呈现，也支持自定义时间导出</w:t>
            </w:r>
            <w:r>
              <w:rPr>
                <w:rFonts w:ascii="宋体" w:hAnsi="宋体" w:eastAsia="宋体" w:cs="宋体"/>
                <w:color w:val="000000"/>
                <w:kern w:val="0"/>
                <w:szCs w:val="21"/>
                <w:highlight w:val="none"/>
              </w:rPr>
              <w:t>PPT报告。</w:t>
            </w:r>
            <w:r>
              <w:rPr>
                <w:rFonts w:ascii="宋体" w:hAnsi="宋体" w:eastAsia="宋体" w:cs="宋体"/>
                <w:b/>
                <w:bCs/>
                <w:color w:val="000000"/>
                <w:kern w:val="0"/>
                <w:szCs w:val="21"/>
                <w:highlight w:val="none"/>
              </w:rPr>
              <w:t>（提供参数截图证明并加盖厂商公章）</w:t>
            </w:r>
          </w:p>
          <w:p>
            <w:pPr>
              <w:pStyle w:val="27"/>
              <w:widowControl/>
              <w:numPr>
                <w:ilvl w:val="1"/>
                <w:numId w:val="1"/>
              </w:numPr>
              <w:ind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基础安全管理模块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用户在各模块页面的右上角直接随时点击查看该模块的帮助文档，同时以悬浮框的方式展示，不影响和打断当前页面中的操作，帮助中心支持文本内容搜索。帮助中心内含新旧用户手册，和安全知识库，让用户部署、配置、产品使用更简单方便便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9"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1121"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427" w:type="dxa"/>
            <w:vMerge w:val="continue"/>
            <w:vAlign w:val="center"/>
          </w:tcPr>
          <w:p>
            <w:pPr>
              <w:widowControl/>
              <w:jc w:val="center"/>
              <w:rPr>
                <w:rFonts w:ascii="宋体" w:hAnsi="宋体" w:eastAsia="宋体" w:cs="宋体"/>
                <w:color w:val="000000"/>
                <w:kern w:val="0"/>
                <w:szCs w:val="21"/>
                <w:highlight w:val="none"/>
              </w:rPr>
            </w:pPr>
          </w:p>
        </w:tc>
        <w:tc>
          <w:tcPr>
            <w:tcW w:w="565" w:type="dxa"/>
            <w:vMerge w:val="continue"/>
            <w:vAlign w:val="center"/>
          </w:tcPr>
          <w:p>
            <w:pPr>
              <w:widowControl/>
              <w:jc w:val="center"/>
              <w:rPr>
                <w:rFonts w:ascii="宋体" w:hAnsi="宋体" w:eastAsia="宋体" w:cs="宋体"/>
                <w:color w:val="000000"/>
                <w:kern w:val="0"/>
                <w:szCs w:val="21"/>
                <w:highlight w:val="none"/>
              </w:rPr>
            </w:pPr>
          </w:p>
        </w:tc>
        <w:tc>
          <w:tcPr>
            <w:tcW w:w="5964" w:type="dxa"/>
            <w:shd w:val="clear" w:color="auto" w:fill="auto"/>
          </w:tcPr>
          <w:p>
            <w:pPr>
              <w:pStyle w:val="27"/>
              <w:widowControl/>
              <w:numPr>
                <w:ilvl w:val="0"/>
                <w:numId w:val="1"/>
              </w:numPr>
              <w:ind w:firstLineChars="0"/>
              <w:jc w:val="left"/>
              <w:rPr>
                <w:rFonts w:ascii="宋体" w:hAnsi="宋体" w:eastAsia="宋体" w:cs="宋体"/>
                <w:b/>
                <w:bCs/>
                <w:kern w:val="0"/>
                <w:szCs w:val="21"/>
                <w:highlight w:val="none"/>
              </w:rPr>
            </w:pPr>
            <w:r>
              <w:rPr>
                <w:rFonts w:hint="eastAsia" w:ascii="宋体" w:hAnsi="宋体" w:eastAsia="宋体" w:cs="宋体"/>
                <w:b/>
                <w:bCs/>
                <w:color w:val="000000"/>
                <w:kern w:val="0"/>
                <w:szCs w:val="21"/>
                <w:highlight w:val="none"/>
              </w:rPr>
              <w:t>联动要求</w:t>
            </w:r>
          </w:p>
          <w:p>
            <w:pPr>
              <w:widowControl/>
              <w:jc w:val="left"/>
              <w:rPr>
                <w:rFonts w:ascii="宋体" w:hAnsi="宋体" w:eastAsia="宋体" w:cs="宋体"/>
                <w:kern w:val="0"/>
                <w:szCs w:val="21"/>
                <w:highlight w:val="none"/>
              </w:rPr>
            </w:pPr>
            <w:r>
              <w:rPr>
                <w:rFonts w:hint="eastAsia" w:ascii="宋体" w:hAnsi="宋体" w:eastAsia="宋体" w:cs="宋体"/>
                <w:color w:val="000000"/>
                <w:kern w:val="0"/>
                <w:szCs w:val="21"/>
                <w:highlight w:val="none"/>
              </w:rPr>
              <w:t>支持同品牌防火墙、上网行为管理等设备的配置核查并上报结果，提供自动化监测和配置引导。</w:t>
            </w:r>
            <w:r>
              <w:rPr>
                <w:rFonts w:hint="eastAsia" w:ascii="宋体" w:hAnsi="宋体" w:eastAsia="宋体" w:cs="宋体"/>
                <w:b/>
                <w:bCs/>
                <w:color w:val="000000"/>
                <w:kern w:val="0"/>
                <w:szCs w:val="21"/>
                <w:highlight w:val="none"/>
              </w:rPr>
              <w:t>（提供参数截图证明并加盖厂商公章）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7" w:hRule="atLeast"/>
          <w:jc w:val="center"/>
        </w:trPr>
        <w:tc>
          <w:tcPr>
            <w:tcW w:w="859"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1121"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427" w:type="dxa"/>
            <w:vMerge w:val="continue"/>
            <w:vAlign w:val="center"/>
          </w:tcPr>
          <w:p>
            <w:pPr>
              <w:widowControl/>
              <w:jc w:val="center"/>
              <w:rPr>
                <w:rFonts w:ascii="宋体" w:hAnsi="宋体" w:eastAsia="宋体" w:cs="宋体"/>
                <w:color w:val="000000"/>
                <w:kern w:val="0"/>
                <w:szCs w:val="21"/>
                <w:highlight w:val="none"/>
              </w:rPr>
            </w:pPr>
          </w:p>
        </w:tc>
        <w:tc>
          <w:tcPr>
            <w:tcW w:w="565" w:type="dxa"/>
            <w:vMerge w:val="continue"/>
            <w:vAlign w:val="center"/>
          </w:tcPr>
          <w:p>
            <w:pPr>
              <w:widowControl/>
              <w:jc w:val="center"/>
              <w:rPr>
                <w:rFonts w:ascii="宋体" w:hAnsi="宋体" w:eastAsia="宋体" w:cs="宋体"/>
                <w:color w:val="000000"/>
                <w:kern w:val="0"/>
                <w:szCs w:val="21"/>
                <w:highlight w:val="none"/>
              </w:rPr>
            </w:pPr>
          </w:p>
        </w:tc>
        <w:tc>
          <w:tcPr>
            <w:tcW w:w="5964" w:type="dxa"/>
            <w:shd w:val="clear" w:color="auto" w:fill="auto"/>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5</w:t>
            </w:r>
            <w:r>
              <w:rPr>
                <w:rFonts w:ascii="宋体" w:hAnsi="宋体" w:eastAsia="宋体" w:cs="宋体"/>
                <w:kern w:val="0"/>
                <w:szCs w:val="21"/>
                <w:highlight w:val="none"/>
              </w:rPr>
              <w:t>.</w:t>
            </w:r>
            <w:r>
              <w:rPr>
                <w:rFonts w:hint="eastAsia" w:ascii="宋体" w:hAnsi="宋体" w:eastAsia="宋体" w:cs="宋体"/>
                <w:kern w:val="0"/>
                <w:szCs w:val="21"/>
                <w:highlight w:val="none"/>
              </w:rPr>
              <w:t>云端主机资产及威胁采集</w:t>
            </w:r>
          </w:p>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为了获取省信息化平台云主机资产及威胁，本项目要求部署云主机安全软件探针，其</w:t>
            </w:r>
            <w:r>
              <w:rPr>
                <w:rFonts w:hint="eastAsia" w:ascii="宋体" w:hAnsi="宋体" w:eastAsia="宋体" w:cs="宋体"/>
                <w:color w:val="000000"/>
                <w:kern w:val="0"/>
                <w:sz w:val="22"/>
                <w:highlight w:val="none"/>
                <w:lang w:bidi="ar"/>
              </w:rPr>
              <w:t>包含管理控制中心软件及终端客户端软件，</w:t>
            </w:r>
            <w:r>
              <w:rPr>
                <w:rFonts w:hint="eastAsia" w:ascii="宋体" w:hAnsi="宋体" w:eastAsia="宋体" w:cs="宋体"/>
                <w:kern w:val="0"/>
                <w:szCs w:val="21"/>
                <w:highlight w:val="none"/>
              </w:rPr>
              <w:t>客户端数量不少于5</w:t>
            </w:r>
            <w:r>
              <w:rPr>
                <w:rFonts w:ascii="宋体" w:hAnsi="宋体" w:eastAsia="宋体" w:cs="宋体"/>
                <w:kern w:val="0"/>
                <w:szCs w:val="21"/>
                <w:highlight w:val="none"/>
              </w:rPr>
              <w:t>0</w:t>
            </w:r>
            <w:r>
              <w:rPr>
                <w:rFonts w:hint="eastAsia" w:ascii="宋体" w:hAnsi="宋体" w:eastAsia="宋体" w:cs="宋体"/>
                <w:kern w:val="0"/>
                <w:szCs w:val="21"/>
                <w:highlight w:val="none"/>
              </w:rPr>
              <w:t>套，支持部署在云平台上的云主机内部，实现云主机安全信息采集以及与态势感知兼容对接；</w:t>
            </w:r>
            <w:r>
              <w:rPr>
                <w:rFonts w:hint="eastAsia" w:ascii="宋体" w:hAnsi="宋体" w:eastAsia="宋体" w:cs="宋体"/>
                <w:b/>
                <w:bCs/>
                <w:kern w:val="0"/>
                <w:szCs w:val="21"/>
                <w:highlight w:val="none"/>
              </w:rPr>
              <w:t>软件升级服务三年，含特征库升级授权；</w:t>
            </w:r>
          </w:p>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云主机安全软件探针功能至少包括：</w:t>
            </w:r>
          </w:p>
          <w:p>
            <w:pPr>
              <w:pStyle w:val="27"/>
              <w:widowControl/>
              <w:numPr>
                <w:ilvl w:val="1"/>
                <w:numId w:val="2"/>
              </w:numPr>
              <w:ind w:firstLineChars="0"/>
              <w:jc w:val="left"/>
              <w:rPr>
                <w:rFonts w:ascii="宋体" w:hAnsi="宋体" w:eastAsia="宋体" w:cs="宋体"/>
                <w:color w:val="000000"/>
                <w:kern w:val="0"/>
                <w:sz w:val="22"/>
                <w:highlight w:val="none"/>
                <w:lang w:bidi="ar"/>
              </w:rPr>
            </w:pPr>
            <w:r>
              <w:rPr>
                <w:rFonts w:hint="eastAsia" w:ascii="宋体" w:hAnsi="宋体" w:eastAsia="宋体" w:cs="宋体"/>
                <w:kern w:val="0"/>
                <w:szCs w:val="21"/>
                <w:highlight w:val="none"/>
              </w:rPr>
              <w:t>支持</w:t>
            </w:r>
            <w:r>
              <w:rPr>
                <w:rFonts w:hint="eastAsia" w:ascii="宋体" w:hAnsi="宋体" w:eastAsia="宋体" w:cs="宋体"/>
                <w:color w:val="000000"/>
                <w:kern w:val="0"/>
                <w:sz w:val="22"/>
                <w:highlight w:val="none"/>
                <w:lang w:bidi="ar"/>
              </w:rPr>
              <w:t>B/S架构的管理控制中心，具备终端安全可视，终端统一管理，统一威胁处置，统一漏洞修复，威胁响应处置，日志记录与查询等功能；</w:t>
            </w:r>
          </w:p>
          <w:p>
            <w:pPr>
              <w:pStyle w:val="27"/>
              <w:widowControl/>
              <w:numPr>
                <w:ilvl w:val="1"/>
                <w:numId w:val="2"/>
              </w:numPr>
              <w:ind w:firstLineChars="0"/>
              <w:jc w:val="left"/>
              <w:rPr>
                <w:rFonts w:ascii="宋体" w:hAnsi="宋体" w:eastAsia="宋体" w:cs="宋体"/>
                <w:kern w:val="0"/>
                <w:szCs w:val="21"/>
                <w:highlight w:val="none"/>
              </w:rPr>
            </w:pPr>
            <w:r>
              <w:rPr>
                <w:rFonts w:hint="eastAsia" w:ascii="宋体" w:hAnsi="宋体" w:eastAsia="宋体" w:cs="宋体"/>
                <w:kern w:val="0"/>
                <w:szCs w:val="21"/>
                <w:highlight w:val="none"/>
              </w:rPr>
              <w:t>支持根据统计周期、终端名称、</w:t>
            </w:r>
            <w:r>
              <w:rPr>
                <w:rFonts w:ascii="宋体" w:hAnsi="宋体" w:eastAsia="宋体" w:cs="宋体"/>
                <w:kern w:val="0"/>
                <w:szCs w:val="21"/>
                <w:highlight w:val="none"/>
              </w:rPr>
              <w:t>IP地址，补丁信息和漏洞等级等多维度的入侵检测日志，杀毒扫描日志，微隔离日志，合规检测日志，管理员操作日志，运维日志，联动日志等的日志查询和检测；</w:t>
            </w:r>
          </w:p>
          <w:p>
            <w:pPr>
              <w:pStyle w:val="27"/>
              <w:widowControl/>
              <w:numPr>
                <w:ilvl w:val="1"/>
                <w:numId w:val="2"/>
              </w:numPr>
              <w:ind w:firstLineChars="0"/>
              <w:jc w:val="left"/>
              <w:rPr>
                <w:rFonts w:ascii="宋体" w:hAnsi="宋体" w:eastAsia="宋体" w:cs="宋体"/>
                <w:kern w:val="0"/>
                <w:szCs w:val="21"/>
                <w:highlight w:val="none"/>
              </w:rPr>
            </w:pPr>
            <w:r>
              <w:rPr>
                <w:rFonts w:hint="eastAsia" w:ascii="宋体" w:hAnsi="宋体" w:eastAsia="宋体" w:cs="宋体"/>
                <w:kern w:val="0"/>
                <w:szCs w:val="21"/>
                <w:highlight w:val="none"/>
              </w:rPr>
              <w:t>基于勒索病毒攻击过程，建立多维度立体防护机制，提供事前入侵防御</w:t>
            </w:r>
            <w:r>
              <w:rPr>
                <w:rFonts w:ascii="宋体" w:hAnsi="宋体" w:eastAsia="宋体" w:cs="宋体"/>
                <w:kern w:val="0"/>
                <w:szCs w:val="21"/>
                <w:highlight w:val="none"/>
              </w:rPr>
              <w:t>-事中反加密-事后检测响应的完整防护体系，展示勒索病毒处置情况，对勒索病毒及变种实现专门有效防御；</w:t>
            </w:r>
          </w:p>
          <w:p>
            <w:pPr>
              <w:pStyle w:val="27"/>
              <w:widowControl/>
              <w:numPr>
                <w:ilvl w:val="1"/>
                <w:numId w:val="2"/>
              </w:numPr>
              <w:ind w:firstLineChars="0"/>
              <w:jc w:val="left"/>
              <w:rPr>
                <w:rFonts w:ascii="宋体" w:hAnsi="宋体" w:eastAsia="宋体" w:cs="宋体"/>
                <w:kern w:val="0"/>
                <w:szCs w:val="21"/>
                <w:highlight w:val="none"/>
              </w:rPr>
            </w:pPr>
            <w:r>
              <w:rPr>
                <w:rFonts w:hint="eastAsia" w:ascii="宋体" w:hAnsi="宋体" w:eastAsia="宋体" w:cs="宋体"/>
                <w:kern w:val="0"/>
                <w:szCs w:val="21"/>
                <w:highlight w:val="none"/>
              </w:rPr>
              <w:t>支持监控诱饵文件，诱饵文件可被实时监控，当勒索病毒对该文件进行修改或加密操作时进行拦截；</w:t>
            </w:r>
            <w:r>
              <w:rPr>
                <w:rFonts w:hint="eastAsia" w:ascii="宋体" w:hAnsi="宋体" w:eastAsia="宋体" w:cs="宋体"/>
                <w:b/>
                <w:bCs/>
                <w:kern w:val="0"/>
                <w:szCs w:val="21"/>
                <w:highlight w:val="none"/>
              </w:rPr>
              <w:t>（需提供截图证明并加盖原厂商公章）</w:t>
            </w:r>
          </w:p>
          <w:p>
            <w:pPr>
              <w:pStyle w:val="27"/>
              <w:widowControl/>
              <w:numPr>
                <w:ilvl w:val="1"/>
                <w:numId w:val="2"/>
              </w:numPr>
              <w:ind w:firstLineChars="0"/>
              <w:jc w:val="left"/>
              <w:rPr>
                <w:rFonts w:ascii="宋体" w:hAnsi="宋体" w:eastAsia="宋体" w:cs="宋体"/>
                <w:kern w:val="0"/>
                <w:szCs w:val="21"/>
                <w:highlight w:val="none"/>
              </w:rPr>
            </w:pPr>
            <w:r>
              <w:rPr>
                <w:rFonts w:hint="eastAsia" w:ascii="宋体" w:hAnsi="宋体" w:eastAsia="宋体" w:cs="宋体"/>
                <w:kern w:val="0"/>
                <w:szCs w:val="21"/>
                <w:highlight w:val="none"/>
              </w:rPr>
              <w:t>支持用户直接对勒索病毒的家族名、病毒名、加密文件后缀名执行链接查询，可通过直接上传加密文件的方式确定勒索病毒类型，如果能解密可以提供必要的解密工具；</w:t>
            </w:r>
          </w:p>
          <w:p>
            <w:pPr>
              <w:pStyle w:val="27"/>
              <w:widowControl/>
              <w:numPr>
                <w:ilvl w:val="1"/>
                <w:numId w:val="2"/>
              </w:numPr>
              <w:ind w:firstLineChars="0"/>
              <w:jc w:val="left"/>
              <w:rPr>
                <w:rFonts w:ascii="宋体" w:hAnsi="宋体" w:eastAsia="宋体" w:cs="宋体"/>
                <w:kern w:val="0"/>
                <w:szCs w:val="21"/>
                <w:highlight w:val="none"/>
              </w:rPr>
            </w:pPr>
            <w:r>
              <w:rPr>
                <w:rFonts w:hint="eastAsia" w:ascii="宋体" w:hAnsi="宋体" w:eastAsia="宋体" w:cs="宋体"/>
                <w:kern w:val="0"/>
                <w:szCs w:val="21"/>
                <w:highlight w:val="none"/>
              </w:rPr>
              <w:t>提供挖矿病毒巡检工具，支持通过内存、进程和启动项来检索病毒相关信息；</w:t>
            </w:r>
            <w:r>
              <w:rPr>
                <w:rFonts w:hint="eastAsia" w:ascii="宋体" w:hAnsi="宋体" w:eastAsia="宋体" w:cs="宋体"/>
                <w:b/>
                <w:bCs/>
                <w:kern w:val="0"/>
                <w:szCs w:val="21"/>
                <w:highlight w:val="none"/>
              </w:rPr>
              <w:t>（需提供截图证明并加盖原厂商公章）</w:t>
            </w:r>
          </w:p>
          <w:p>
            <w:pPr>
              <w:pStyle w:val="27"/>
              <w:widowControl/>
              <w:numPr>
                <w:ilvl w:val="1"/>
                <w:numId w:val="2"/>
              </w:numPr>
              <w:ind w:firstLineChars="0"/>
              <w:jc w:val="left"/>
              <w:rPr>
                <w:rFonts w:ascii="宋体" w:hAnsi="宋体" w:eastAsia="宋体" w:cs="宋体"/>
                <w:kern w:val="0"/>
                <w:szCs w:val="21"/>
                <w:highlight w:val="none"/>
              </w:rPr>
            </w:pPr>
            <w:r>
              <w:rPr>
                <w:rFonts w:hint="eastAsia" w:ascii="宋体" w:hAnsi="宋体" w:eastAsia="宋体" w:cs="宋体"/>
                <w:kern w:val="0"/>
                <w:szCs w:val="21"/>
                <w:highlight w:val="none"/>
              </w:rPr>
              <w:t>构建全网文件信誉库，当一台终端发现某一病毒文件，全网可进行感知并进行针对性查杀，支持处置病毒时选择是否在其它终端上同步处置；</w:t>
            </w:r>
          </w:p>
          <w:p>
            <w:pPr>
              <w:pStyle w:val="27"/>
              <w:widowControl/>
              <w:numPr>
                <w:ilvl w:val="1"/>
                <w:numId w:val="2"/>
              </w:numPr>
              <w:ind w:firstLineChars="0"/>
              <w:jc w:val="left"/>
              <w:rPr>
                <w:rFonts w:ascii="宋体" w:hAnsi="宋体" w:eastAsia="宋体" w:cs="宋体"/>
                <w:kern w:val="0"/>
                <w:szCs w:val="21"/>
                <w:highlight w:val="none"/>
              </w:rPr>
            </w:pPr>
            <w:r>
              <w:rPr>
                <w:rFonts w:hint="eastAsia" w:ascii="宋体" w:hAnsi="宋体" w:eastAsia="宋体" w:cs="宋体"/>
                <w:kern w:val="0"/>
                <w:szCs w:val="21"/>
                <w:highlight w:val="none"/>
              </w:rPr>
              <w:t>主机防病毒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9" w:type="dxa"/>
            <w:vMerge w:val="restart"/>
            <w:shd w:val="clear" w:color="auto" w:fill="auto"/>
            <w:noWrap/>
            <w:vAlign w:val="center"/>
          </w:tcPr>
          <w:p>
            <w:pPr>
              <w:widowControl/>
              <w:jc w:val="center"/>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p>
        </w:tc>
        <w:tc>
          <w:tcPr>
            <w:tcW w:w="1121" w:type="dxa"/>
            <w:vMerge w:val="restart"/>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威胁检测探针</w:t>
            </w:r>
          </w:p>
        </w:tc>
        <w:tc>
          <w:tcPr>
            <w:tcW w:w="427" w:type="dxa"/>
            <w:vMerge w:val="restart"/>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1项</w:t>
            </w:r>
          </w:p>
        </w:tc>
        <w:tc>
          <w:tcPr>
            <w:tcW w:w="565" w:type="dxa"/>
            <w:vMerge w:val="restart"/>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1年</w:t>
            </w:r>
          </w:p>
        </w:tc>
        <w:tc>
          <w:tcPr>
            <w:tcW w:w="5964" w:type="dxa"/>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r>
              <w:rPr>
                <w:rFonts w:ascii="宋体" w:hAnsi="宋体" w:eastAsia="宋体" w:cs="宋体"/>
                <w:color w:val="000000"/>
                <w:kern w:val="0"/>
                <w:szCs w:val="21"/>
                <w:highlight w:val="none"/>
              </w:rPr>
              <w:t>.</w:t>
            </w:r>
            <w:r>
              <w:rPr>
                <w:rFonts w:hint="eastAsia" w:ascii="宋体" w:hAnsi="宋体" w:eastAsia="宋体" w:cs="宋体"/>
                <w:color w:val="000000"/>
                <w:kern w:val="0"/>
                <w:szCs w:val="21"/>
                <w:highlight w:val="none"/>
              </w:rPr>
              <w:t>总体要求：</w:t>
            </w:r>
            <w:r>
              <w:rPr>
                <w:rFonts w:hint="eastAsia" w:ascii="宋体" w:hAnsi="宋体" w:eastAsia="宋体" w:cs="宋体"/>
                <w:color w:val="000000"/>
                <w:kern w:val="0"/>
                <w:szCs w:val="21"/>
                <w:highlight w:val="none"/>
              </w:rPr>
              <w:t>机关办公内网的全流量威胁检测服务，同时，支持同态势感知服务平台无缝对接，可将威胁流量对接至态势感知服务平台。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9"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1121"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427" w:type="dxa"/>
            <w:vMerge w:val="continue"/>
            <w:vAlign w:val="center"/>
          </w:tcPr>
          <w:p>
            <w:pPr>
              <w:widowControl/>
              <w:jc w:val="center"/>
              <w:rPr>
                <w:rFonts w:ascii="宋体" w:hAnsi="宋体" w:eastAsia="宋体" w:cs="宋体"/>
                <w:color w:val="000000"/>
                <w:kern w:val="0"/>
                <w:szCs w:val="21"/>
                <w:highlight w:val="none"/>
              </w:rPr>
            </w:pPr>
          </w:p>
        </w:tc>
        <w:tc>
          <w:tcPr>
            <w:tcW w:w="565" w:type="dxa"/>
            <w:vMerge w:val="continue"/>
            <w:vAlign w:val="center"/>
          </w:tcPr>
          <w:p>
            <w:pPr>
              <w:widowControl/>
              <w:jc w:val="center"/>
              <w:rPr>
                <w:rFonts w:ascii="宋体" w:hAnsi="宋体" w:eastAsia="宋体" w:cs="宋体"/>
                <w:color w:val="000000"/>
                <w:kern w:val="0"/>
                <w:szCs w:val="21"/>
                <w:highlight w:val="none"/>
              </w:rPr>
            </w:pPr>
          </w:p>
        </w:tc>
        <w:tc>
          <w:tcPr>
            <w:tcW w:w="5964" w:type="dxa"/>
            <w:shd w:val="clear" w:color="auto" w:fill="auto"/>
            <w:vAlign w:val="center"/>
          </w:tcPr>
          <w:p>
            <w:pPr>
              <w:widowControl/>
              <w:jc w:val="left"/>
              <w:rPr>
                <w:rFonts w:ascii="宋体" w:hAnsi="宋体" w:eastAsia="宋体" w:cs="Arial"/>
                <w:szCs w:val="21"/>
                <w:highlight w:val="none"/>
              </w:rPr>
            </w:pPr>
            <w:r>
              <w:rPr>
                <w:rFonts w:hint="eastAsia" w:ascii="宋体" w:hAnsi="宋体" w:eastAsia="宋体" w:cs="Arial"/>
                <w:szCs w:val="21"/>
                <w:highlight w:val="none"/>
              </w:rPr>
              <w:t>2</w:t>
            </w:r>
            <w:r>
              <w:rPr>
                <w:rFonts w:ascii="宋体" w:hAnsi="宋体" w:eastAsia="宋体" w:cs="Arial"/>
                <w:szCs w:val="21"/>
                <w:highlight w:val="none"/>
              </w:rPr>
              <w:t xml:space="preserve">. </w:t>
            </w:r>
            <w:r>
              <w:rPr>
                <w:rFonts w:hint="eastAsia" w:ascii="宋体" w:hAnsi="宋体" w:eastAsia="宋体" w:cs="Arial"/>
                <w:szCs w:val="21"/>
                <w:highlight w:val="none"/>
              </w:rPr>
              <w:t>软硬件基础要求：</w:t>
            </w:r>
            <w:r>
              <w:rPr>
                <w:rFonts w:hint="eastAsia" w:ascii="宋体" w:hAnsi="宋体" w:eastAsia="宋体" w:cs="宋体"/>
                <w:color w:val="000000"/>
                <w:kern w:val="0"/>
                <w:sz w:val="22"/>
                <w:highlight w:val="none"/>
                <w:lang w:bidi="ar"/>
              </w:rPr>
              <w:t>千兆电口≥6个，吞吐性能≥500M流量，标准机架式设备；含3年硬件质保、3年软件升级、3年特征库升级；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2" w:hRule="atLeast"/>
          <w:jc w:val="center"/>
        </w:trPr>
        <w:tc>
          <w:tcPr>
            <w:tcW w:w="859"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1121"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427" w:type="dxa"/>
            <w:vMerge w:val="continue"/>
            <w:vAlign w:val="center"/>
          </w:tcPr>
          <w:p>
            <w:pPr>
              <w:widowControl/>
              <w:jc w:val="center"/>
              <w:rPr>
                <w:rFonts w:ascii="宋体" w:hAnsi="宋体" w:eastAsia="宋体" w:cs="宋体"/>
                <w:color w:val="000000"/>
                <w:kern w:val="0"/>
                <w:szCs w:val="21"/>
                <w:highlight w:val="none"/>
              </w:rPr>
            </w:pPr>
          </w:p>
        </w:tc>
        <w:tc>
          <w:tcPr>
            <w:tcW w:w="565" w:type="dxa"/>
            <w:vMerge w:val="continue"/>
            <w:vAlign w:val="center"/>
          </w:tcPr>
          <w:p>
            <w:pPr>
              <w:widowControl/>
              <w:jc w:val="center"/>
              <w:rPr>
                <w:rFonts w:ascii="宋体" w:hAnsi="宋体" w:eastAsia="宋体" w:cs="宋体"/>
                <w:color w:val="000000"/>
                <w:kern w:val="0"/>
                <w:szCs w:val="21"/>
                <w:highlight w:val="none"/>
              </w:rPr>
            </w:pPr>
          </w:p>
        </w:tc>
        <w:tc>
          <w:tcPr>
            <w:tcW w:w="5964" w:type="dxa"/>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r>
              <w:rPr>
                <w:rFonts w:ascii="宋体" w:hAnsi="宋体" w:eastAsia="宋体" w:cs="宋体"/>
                <w:color w:val="000000"/>
                <w:kern w:val="0"/>
                <w:szCs w:val="21"/>
                <w:highlight w:val="none"/>
              </w:rPr>
              <w:t xml:space="preserve">. </w:t>
            </w:r>
            <w:r>
              <w:rPr>
                <w:rFonts w:hint="eastAsia" w:ascii="宋体" w:hAnsi="宋体" w:eastAsia="宋体" w:cs="宋体"/>
                <w:color w:val="000000"/>
                <w:kern w:val="0"/>
                <w:szCs w:val="21"/>
                <w:highlight w:val="none"/>
              </w:rPr>
              <w:t>具体功能要求：</w:t>
            </w:r>
          </w:p>
          <w:p>
            <w:pPr>
              <w:widowControl/>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3</w:t>
            </w:r>
            <w:r>
              <w:rPr>
                <w:rFonts w:ascii="宋体" w:hAnsi="宋体" w:eastAsia="宋体" w:cs="宋体"/>
                <w:b/>
                <w:bCs/>
                <w:color w:val="000000"/>
                <w:kern w:val="0"/>
                <w:szCs w:val="21"/>
                <w:highlight w:val="none"/>
              </w:rPr>
              <w:t xml:space="preserve">.1 </w:t>
            </w:r>
            <w:r>
              <w:rPr>
                <w:rFonts w:hint="eastAsia" w:ascii="宋体" w:hAnsi="宋体" w:eastAsia="宋体" w:cs="宋体"/>
                <w:b/>
                <w:bCs/>
                <w:color w:val="000000"/>
                <w:kern w:val="0"/>
                <w:szCs w:val="21"/>
                <w:highlight w:val="none"/>
              </w:rPr>
              <w:t>威胁检测</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支持对于高危未知站点下载的可执行文件、恶意动态域名、访问随机算法生成域名、暴力破解攻击、反弹连接、</w:t>
            </w:r>
            <w:r>
              <w:rPr>
                <w:rFonts w:ascii="宋体" w:hAnsi="宋体" w:eastAsia="宋体" w:cs="宋体"/>
                <w:color w:val="000000"/>
                <w:kern w:val="0"/>
                <w:szCs w:val="21"/>
                <w:highlight w:val="none"/>
              </w:rPr>
              <w:t>IRC通信等僵尸网络行为检测。</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支持对于敏感数据泄密进行检测，可自定义敏感信息，支持根据文件类型和敏感关键字进行信息过滤。</w:t>
            </w:r>
            <w:r>
              <w:rPr>
                <w:rFonts w:hint="eastAsia" w:ascii="宋体" w:hAnsi="宋体" w:eastAsia="宋体" w:cs="宋体"/>
                <w:b/>
                <w:bCs/>
                <w:color w:val="000000"/>
                <w:kern w:val="0"/>
                <w:szCs w:val="21"/>
                <w:highlight w:val="none"/>
              </w:rPr>
              <w:t>（提供参数截图证明并加盖厂商公章）</w:t>
            </w:r>
            <w:r>
              <w:rPr>
                <w:rFonts w:hint="eastAsia" w:ascii="宋体" w:hAnsi="宋体" w:eastAsia="宋体" w:cs="宋体"/>
                <w:color w:val="000000"/>
                <w:kern w:val="0"/>
                <w:szCs w:val="21"/>
                <w:highlight w:val="none"/>
              </w:rPr>
              <w:t>；</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提供对主要</w:t>
            </w:r>
            <w:r>
              <w:rPr>
                <w:rFonts w:ascii="宋体" w:hAnsi="宋体" w:eastAsia="宋体" w:cs="宋体"/>
                <w:color w:val="000000"/>
                <w:kern w:val="0"/>
                <w:szCs w:val="21"/>
                <w:highlight w:val="none"/>
              </w:rPr>
              <w:t>Web应用攻击的检测能力，包括：注入、跨站、webshell、命令执行、文件包含、目录遍历、信息泄露攻击等；针对B/S架构应用能够抵御各种注入型攻击</w:t>
            </w:r>
            <w:r>
              <w:rPr>
                <w:rFonts w:ascii="宋体" w:hAnsi="宋体" w:eastAsia="宋体" w:cs="宋体"/>
                <w:b/>
                <w:bCs/>
                <w:color w:val="000000"/>
                <w:kern w:val="0"/>
                <w:szCs w:val="21"/>
                <w:highlight w:val="none"/>
              </w:rPr>
              <w:t>（提供参数截图证明并加盖厂商公章）</w:t>
            </w:r>
            <w:r>
              <w:rPr>
                <w:rFonts w:hint="eastAsia" w:ascii="宋体" w:hAnsi="宋体" w:eastAsia="宋体" w:cs="宋体"/>
                <w:color w:val="000000"/>
                <w:kern w:val="0"/>
                <w:szCs w:val="21"/>
                <w:highlight w:val="none"/>
              </w:rPr>
              <w:t>；</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支持对于传输协议进行审计以及日志留存，包括</w:t>
            </w:r>
            <w:r>
              <w:rPr>
                <w:rFonts w:ascii="宋体" w:hAnsi="宋体" w:eastAsia="宋体" w:cs="宋体"/>
                <w:color w:val="000000"/>
                <w:kern w:val="0"/>
                <w:szCs w:val="21"/>
                <w:highlight w:val="none"/>
              </w:rPr>
              <w:t>https协议、http协议、DNS协议、邮件协议、SMB协议、AD域协议、WEB登录、FTP协议、Telnet协议、ICMP协议、LLMNR协议等。</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支持利用设备对网络中的流量进行抓包取证分析，通过自定义抓包的规模、接口、</w:t>
            </w:r>
            <w:r>
              <w:rPr>
                <w:rFonts w:ascii="宋体" w:hAnsi="宋体" w:eastAsia="宋体" w:cs="宋体"/>
                <w:color w:val="000000"/>
                <w:kern w:val="0"/>
                <w:szCs w:val="21"/>
                <w:highlight w:val="none"/>
              </w:rPr>
              <w:t>IP地址、端口或自定义过滤表达式获取所需数据。</w:t>
            </w:r>
            <w:r>
              <w:rPr>
                <w:rFonts w:ascii="宋体" w:hAnsi="宋体" w:eastAsia="宋体" w:cs="宋体"/>
                <w:b/>
                <w:bCs/>
                <w:color w:val="000000"/>
                <w:kern w:val="0"/>
                <w:szCs w:val="21"/>
                <w:highlight w:val="none"/>
              </w:rPr>
              <w:t>（提供参数截图证明并加盖厂商公章）</w:t>
            </w:r>
            <w:r>
              <w:rPr>
                <w:rFonts w:hint="eastAsia" w:ascii="宋体" w:hAnsi="宋体" w:eastAsia="宋体" w:cs="宋体"/>
                <w:color w:val="000000"/>
                <w:kern w:val="0"/>
                <w:szCs w:val="21"/>
                <w:highlight w:val="none"/>
              </w:rPr>
              <w:t>；</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w:t>
            </w:r>
            <w:r>
              <w:rPr>
                <w:rFonts w:ascii="宋体" w:hAnsi="宋体" w:eastAsia="宋体" w:cs="宋体"/>
                <w:color w:val="000000"/>
                <w:kern w:val="0"/>
                <w:szCs w:val="21"/>
                <w:highlight w:val="none"/>
              </w:rPr>
              <w:t>SQL注入、XSS攻击、网页木马、网站扫描、WEBSHELL、跨站请求伪造、系统命令注入、文件包含攻击、目录遍历攻击、信息泄露攻击、Web整站系统漏洞等网站攻击检测</w:t>
            </w:r>
            <w:r>
              <w:rPr>
                <w:rFonts w:hint="eastAsia" w:ascii="宋体" w:hAnsi="宋体" w:eastAsia="宋体" w:cs="宋体"/>
                <w:color w:val="000000"/>
                <w:kern w:val="0"/>
                <w:szCs w:val="21"/>
                <w:highlight w:val="none"/>
              </w:rPr>
              <w:t>；</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支持敏感数据泄密功能检测能力，可自定义敏感信息，支持根据文件类型和敏感关键字进行信息过滤。</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w:t>
            </w:r>
            <w:r>
              <w:rPr>
                <w:rFonts w:ascii="宋体" w:hAnsi="宋体" w:eastAsia="宋体" w:cs="宋体"/>
                <w:color w:val="000000"/>
                <w:kern w:val="0"/>
                <w:szCs w:val="21"/>
                <w:highlight w:val="none"/>
              </w:rPr>
              <w:t>Database漏洞攻击、DNS漏洞攻击、FTP漏洞攻击、Mail漏洞攻击、Network Device、Scan漏洞攻击、System漏洞攻击、Telnet漏洞攻击、Tftp漏洞攻击、Web漏洞攻击等服务漏洞攻击检测。</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支持标准端口运行非标准协议，非标准端口运行标准协议的异常流量检测，端口类型包括</w:t>
            </w:r>
            <w:r>
              <w:rPr>
                <w:rFonts w:ascii="宋体" w:hAnsi="宋体" w:eastAsia="宋体" w:cs="宋体"/>
                <w:color w:val="000000"/>
                <w:kern w:val="0"/>
                <w:szCs w:val="21"/>
                <w:highlight w:val="none"/>
              </w:rPr>
              <w:t>3389、53、80/8080、21、69、443、25、110、143、22等。</w:t>
            </w:r>
          </w:p>
          <w:p>
            <w:pPr>
              <w:widowControl/>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3</w:t>
            </w:r>
            <w:r>
              <w:rPr>
                <w:rFonts w:ascii="宋体" w:hAnsi="宋体" w:eastAsia="宋体" w:cs="宋体"/>
                <w:b/>
                <w:bCs/>
                <w:color w:val="000000"/>
                <w:kern w:val="0"/>
                <w:szCs w:val="21"/>
                <w:highlight w:val="none"/>
              </w:rPr>
              <w:t xml:space="preserve">.2 </w:t>
            </w:r>
            <w:r>
              <w:rPr>
                <w:rFonts w:hint="eastAsia" w:ascii="宋体" w:hAnsi="宋体" w:eastAsia="宋体" w:cs="宋体"/>
                <w:b/>
                <w:bCs/>
                <w:color w:val="000000"/>
                <w:kern w:val="0"/>
                <w:szCs w:val="21"/>
                <w:highlight w:val="none"/>
              </w:rPr>
              <w:t>对接及管理模块</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支持将流量还原的文件发送至沙盒分析；可支持第三方沙盒对接。</w:t>
            </w:r>
            <w:r>
              <w:rPr>
                <w:rFonts w:hint="eastAsia" w:ascii="宋体" w:hAnsi="宋体" w:eastAsia="宋体" w:cs="宋体"/>
                <w:b/>
                <w:bCs/>
                <w:color w:val="000000"/>
                <w:kern w:val="0"/>
                <w:szCs w:val="21"/>
                <w:highlight w:val="none"/>
              </w:rPr>
              <w:t>（提供参数截图证明并加盖厂商公章）</w:t>
            </w:r>
          </w:p>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支持设备内置可运维操作的简单命令行管理窗口，便于基础运维调试；实时监控设备的</w:t>
            </w:r>
            <w:r>
              <w:rPr>
                <w:rFonts w:ascii="宋体" w:hAnsi="宋体" w:eastAsia="宋体" w:cs="宋体"/>
                <w:color w:val="000000"/>
                <w:kern w:val="0"/>
                <w:szCs w:val="21"/>
                <w:highlight w:val="none"/>
              </w:rPr>
              <w:t>CPU、内存、存储空间使用情况；能够监控监听接口的实时流量情况。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59" w:type="dxa"/>
            <w:vMerge w:val="restart"/>
            <w:shd w:val="clear" w:color="auto" w:fill="auto"/>
            <w:noWrap/>
            <w:vAlign w:val="center"/>
          </w:tcPr>
          <w:p>
            <w:pPr>
              <w:widowControl/>
              <w:jc w:val="center"/>
              <w:rPr>
                <w:rFonts w:ascii="宋体" w:hAnsi="宋体" w:eastAsia="宋体" w:cs="宋体"/>
                <w:color w:val="000000"/>
                <w:kern w:val="0"/>
                <w:szCs w:val="21"/>
                <w:highlight w:val="none"/>
              </w:rPr>
            </w:pPr>
            <w:r>
              <w:rPr>
                <w:rFonts w:ascii="宋体" w:hAnsi="宋体" w:eastAsia="宋体" w:cs="宋体"/>
                <w:color w:val="000000"/>
                <w:kern w:val="0"/>
                <w:szCs w:val="21"/>
                <w:highlight w:val="none"/>
              </w:rPr>
              <w:t>3</w:t>
            </w:r>
          </w:p>
          <w:p>
            <w:pPr>
              <w:jc w:val="center"/>
              <w:rPr>
                <w:rFonts w:ascii="宋体" w:hAnsi="宋体" w:eastAsia="宋体" w:cs="宋体"/>
                <w:color w:val="000000"/>
                <w:kern w:val="0"/>
                <w:szCs w:val="21"/>
                <w:highlight w:val="none"/>
              </w:rPr>
            </w:pPr>
          </w:p>
        </w:tc>
        <w:tc>
          <w:tcPr>
            <w:tcW w:w="1121" w:type="dxa"/>
            <w:vMerge w:val="restart"/>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日志审计服务</w:t>
            </w:r>
          </w:p>
        </w:tc>
        <w:tc>
          <w:tcPr>
            <w:tcW w:w="427" w:type="dxa"/>
            <w:vMerge w:val="restart"/>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1项</w:t>
            </w:r>
          </w:p>
        </w:tc>
        <w:tc>
          <w:tcPr>
            <w:tcW w:w="565" w:type="dxa"/>
            <w:vMerge w:val="restart"/>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1年</w:t>
            </w:r>
          </w:p>
        </w:tc>
        <w:tc>
          <w:tcPr>
            <w:tcW w:w="5964" w:type="dxa"/>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r>
              <w:rPr>
                <w:rFonts w:ascii="宋体" w:hAnsi="宋体" w:eastAsia="宋体" w:cs="宋体"/>
                <w:color w:val="000000"/>
                <w:kern w:val="0"/>
                <w:szCs w:val="21"/>
                <w:highlight w:val="none"/>
              </w:rPr>
              <w:t>.</w:t>
            </w:r>
            <w:r>
              <w:rPr>
                <w:rFonts w:hint="eastAsia" w:ascii="宋体" w:hAnsi="宋体" w:eastAsia="宋体" w:cs="宋体"/>
                <w:color w:val="000000"/>
                <w:kern w:val="0"/>
                <w:szCs w:val="21"/>
                <w:highlight w:val="none"/>
              </w:rPr>
              <w:t>基本要求：应实现从日志产生、采集、综合分析与审计、到日志存储、备份整个日志生命周期管理；满足《网络安全法》规定日志存储不少于6个月；提供不少于</w:t>
            </w:r>
            <w:r>
              <w:rPr>
                <w:rFonts w:ascii="宋体" w:hAnsi="宋体" w:eastAsia="宋体" w:cs="宋体"/>
                <w:color w:val="000000"/>
                <w:kern w:val="0"/>
                <w:szCs w:val="21"/>
                <w:highlight w:val="none"/>
              </w:rPr>
              <w:t>5</w:t>
            </w:r>
            <w:r>
              <w:rPr>
                <w:rFonts w:hint="eastAsia" w:ascii="宋体" w:hAnsi="宋体" w:eastAsia="宋体" w:cs="宋体"/>
                <w:color w:val="000000"/>
                <w:kern w:val="0"/>
                <w:szCs w:val="21"/>
                <w:highlight w:val="none"/>
              </w:rPr>
              <w:t>0个点的被采集设备授权；</w:t>
            </w:r>
            <w:r>
              <w:rPr>
                <w:rFonts w:hint="eastAsia" w:ascii="宋体" w:hAnsi="宋体" w:eastAsia="宋体" w:cs="宋体"/>
                <w:b/>
                <w:bCs/>
                <w:color w:val="000000"/>
                <w:kern w:val="0"/>
                <w:szCs w:val="21"/>
                <w:highlight w:val="none"/>
              </w:rPr>
              <w:t>质保三年</w:t>
            </w:r>
            <w:r>
              <w:rPr>
                <w:rFonts w:hint="eastAsia" w:ascii="宋体" w:hAnsi="宋体" w:eastAsia="宋体" w:cs="宋体"/>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59" w:type="dxa"/>
            <w:vMerge w:val="continue"/>
            <w:shd w:val="clear" w:color="auto" w:fill="auto"/>
            <w:noWrap/>
            <w:vAlign w:val="center"/>
          </w:tcPr>
          <w:p>
            <w:pPr>
              <w:jc w:val="center"/>
              <w:rPr>
                <w:rFonts w:ascii="宋体" w:hAnsi="宋体" w:eastAsia="宋体" w:cs="宋体"/>
                <w:color w:val="000000"/>
                <w:kern w:val="0"/>
                <w:szCs w:val="21"/>
                <w:highlight w:val="none"/>
              </w:rPr>
            </w:pPr>
          </w:p>
        </w:tc>
        <w:tc>
          <w:tcPr>
            <w:tcW w:w="1121" w:type="dxa"/>
            <w:vMerge w:val="continue"/>
            <w:shd w:val="clear" w:color="auto" w:fill="auto"/>
            <w:noWrap/>
            <w:vAlign w:val="center"/>
          </w:tcPr>
          <w:p>
            <w:pPr>
              <w:jc w:val="center"/>
              <w:rPr>
                <w:rFonts w:ascii="宋体" w:hAnsi="宋体" w:eastAsia="宋体" w:cs="宋体"/>
                <w:color w:val="000000"/>
                <w:kern w:val="0"/>
                <w:szCs w:val="21"/>
                <w:highlight w:val="none"/>
              </w:rPr>
            </w:pPr>
          </w:p>
        </w:tc>
        <w:tc>
          <w:tcPr>
            <w:tcW w:w="427" w:type="dxa"/>
            <w:vMerge w:val="continue"/>
            <w:vAlign w:val="center"/>
          </w:tcPr>
          <w:p>
            <w:pPr>
              <w:widowControl/>
              <w:jc w:val="center"/>
              <w:rPr>
                <w:rFonts w:ascii="宋体" w:hAnsi="宋体" w:eastAsia="宋体" w:cs="宋体"/>
                <w:color w:val="000000"/>
                <w:kern w:val="0"/>
                <w:szCs w:val="21"/>
                <w:highlight w:val="none"/>
              </w:rPr>
            </w:pPr>
          </w:p>
        </w:tc>
        <w:tc>
          <w:tcPr>
            <w:tcW w:w="565" w:type="dxa"/>
            <w:vMerge w:val="continue"/>
            <w:vAlign w:val="center"/>
          </w:tcPr>
          <w:p>
            <w:pPr>
              <w:widowControl/>
              <w:jc w:val="center"/>
              <w:rPr>
                <w:rFonts w:ascii="宋体" w:hAnsi="宋体" w:eastAsia="宋体" w:cs="宋体"/>
                <w:color w:val="000000"/>
                <w:kern w:val="0"/>
                <w:szCs w:val="21"/>
                <w:highlight w:val="none"/>
              </w:rPr>
            </w:pPr>
          </w:p>
        </w:tc>
        <w:tc>
          <w:tcPr>
            <w:tcW w:w="5964" w:type="dxa"/>
            <w:shd w:val="clear" w:color="auto" w:fill="auto"/>
            <w:vAlign w:val="center"/>
          </w:tcPr>
          <w:p>
            <w:pPr>
              <w:widowControl/>
              <w:jc w:val="lef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性能及主要功能要求：深度定制优化的</w:t>
            </w:r>
            <w:r>
              <w:rPr>
                <w:rFonts w:ascii="宋体" w:hAnsi="宋体" w:eastAsia="宋体" w:cs="宋体"/>
                <w:color w:val="000000"/>
                <w:kern w:val="0"/>
                <w:szCs w:val="21"/>
                <w:highlight w:val="none"/>
              </w:rPr>
              <w:t>Linux系统（提供安全操作系统证明文件）</w:t>
            </w: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至少提供</w:t>
            </w:r>
            <w:r>
              <w:rPr>
                <w:rFonts w:hint="eastAsia" w:ascii="宋体" w:hAnsi="宋体" w:eastAsia="宋体" w:cs="宋体"/>
                <w:color w:val="000000"/>
                <w:kern w:val="0"/>
                <w:szCs w:val="21"/>
                <w:highlight w:val="none"/>
              </w:rPr>
              <w:t>处理性能</w:t>
            </w:r>
            <w:r>
              <w:rPr>
                <w:rFonts w:ascii="宋体" w:hAnsi="宋体" w:eastAsia="宋体" w:cs="宋体"/>
                <w:color w:val="000000"/>
                <w:kern w:val="0"/>
                <w:szCs w:val="21"/>
                <w:highlight w:val="none"/>
              </w:rPr>
              <w:t>2000条/秒，1TB*2块硬盘、</w:t>
            </w:r>
            <w:r>
              <w:rPr>
                <w:rFonts w:hint="eastAsia" w:ascii="宋体" w:hAnsi="宋体" w:eastAsia="宋体" w:cs="宋体"/>
                <w:color w:val="000000"/>
                <w:kern w:val="0"/>
                <w:szCs w:val="21"/>
                <w:highlight w:val="none"/>
              </w:rPr>
              <w:t>可</w:t>
            </w:r>
            <w:r>
              <w:rPr>
                <w:rFonts w:ascii="宋体" w:hAnsi="宋体" w:eastAsia="宋体" w:cs="宋体"/>
                <w:color w:val="000000"/>
                <w:kern w:val="0"/>
                <w:szCs w:val="21"/>
                <w:highlight w:val="none"/>
              </w:rPr>
              <w:t>热插拔，</w:t>
            </w:r>
            <w:r>
              <w:rPr>
                <w:rFonts w:hint="eastAsia" w:ascii="宋体" w:hAnsi="宋体" w:eastAsia="宋体" w:cs="宋体"/>
                <w:color w:val="000000"/>
                <w:kern w:val="0"/>
                <w:szCs w:val="21"/>
                <w:highlight w:val="none"/>
              </w:rPr>
              <w:t>支持</w:t>
            </w:r>
            <w:r>
              <w:rPr>
                <w:rFonts w:ascii="宋体" w:hAnsi="宋体" w:eastAsia="宋体" w:cs="宋体"/>
                <w:color w:val="000000"/>
                <w:kern w:val="0"/>
                <w:szCs w:val="21"/>
                <w:highlight w:val="none"/>
              </w:rPr>
              <w:t>Raid1，</w:t>
            </w:r>
            <w:r>
              <w:rPr>
                <w:rFonts w:hint="eastAsia" w:ascii="宋体" w:hAnsi="宋体" w:eastAsia="宋体" w:cs="宋体"/>
                <w:color w:val="000000"/>
                <w:kern w:val="0"/>
                <w:szCs w:val="21"/>
                <w:highlight w:val="none"/>
              </w:rPr>
              <w:t>至少具备</w:t>
            </w:r>
            <w:r>
              <w:rPr>
                <w:rFonts w:ascii="宋体" w:hAnsi="宋体" w:eastAsia="宋体" w:cs="宋体"/>
                <w:color w:val="000000"/>
                <w:kern w:val="0"/>
                <w:szCs w:val="21"/>
                <w:highlight w:val="none"/>
              </w:rPr>
              <w:t>4个千兆电口；支持Windows、Linux等操作系统、支持网络设备（交换机、路由器、UTM等）、安全设备（防火墙、VPN、IPS、IDS、防毒墙、安全网关等）、中间件（Tomcat、Webspere、weblogic等）、应用系统（Web服务器、邮件服务器、OA、CRM等）日志集中管理与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59" w:type="dxa"/>
            <w:vMerge w:val="continue"/>
            <w:shd w:val="clear" w:color="auto" w:fill="auto"/>
            <w:noWrap/>
            <w:vAlign w:val="center"/>
          </w:tcPr>
          <w:p>
            <w:pPr>
              <w:jc w:val="center"/>
              <w:rPr>
                <w:rFonts w:ascii="宋体" w:hAnsi="宋体" w:eastAsia="宋体" w:cs="宋体"/>
                <w:color w:val="000000"/>
                <w:kern w:val="0"/>
                <w:szCs w:val="21"/>
                <w:highlight w:val="none"/>
              </w:rPr>
            </w:pPr>
          </w:p>
        </w:tc>
        <w:tc>
          <w:tcPr>
            <w:tcW w:w="1121" w:type="dxa"/>
            <w:vMerge w:val="continue"/>
            <w:shd w:val="clear" w:color="auto" w:fill="auto"/>
            <w:noWrap/>
            <w:vAlign w:val="center"/>
          </w:tcPr>
          <w:p>
            <w:pPr>
              <w:jc w:val="center"/>
              <w:rPr>
                <w:rFonts w:ascii="宋体" w:hAnsi="宋体" w:eastAsia="宋体" w:cs="宋体"/>
                <w:color w:val="000000"/>
                <w:kern w:val="0"/>
                <w:szCs w:val="21"/>
                <w:highlight w:val="none"/>
              </w:rPr>
            </w:pPr>
          </w:p>
        </w:tc>
        <w:tc>
          <w:tcPr>
            <w:tcW w:w="427" w:type="dxa"/>
            <w:vMerge w:val="continue"/>
            <w:vAlign w:val="center"/>
          </w:tcPr>
          <w:p>
            <w:pPr>
              <w:widowControl/>
              <w:jc w:val="center"/>
              <w:rPr>
                <w:rFonts w:ascii="宋体" w:hAnsi="宋体" w:eastAsia="宋体" w:cs="宋体"/>
                <w:color w:val="000000"/>
                <w:kern w:val="0"/>
                <w:szCs w:val="21"/>
                <w:highlight w:val="none"/>
              </w:rPr>
            </w:pPr>
          </w:p>
        </w:tc>
        <w:tc>
          <w:tcPr>
            <w:tcW w:w="565" w:type="dxa"/>
            <w:vMerge w:val="continue"/>
            <w:vAlign w:val="center"/>
          </w:tcPr>
          <w:p>
            <w:pPr>
              <w:widowControl/>
              <w:jc w:val="center"/>
              <w:rPr>
                <w:rFonts w:ascii="宋体" w:hAnsi="宋体" w:eastAsia="宋体" w:cs="宋体"/>
                <w:color w:val="000000"/>
                <w:kern w:val="0"/>
                <w:szCs w:val="21"/>
                <w:highlight w:val="none"/>
              </w:rPr>
            </w:pPr>
          </w:p>
        </w:tc>
        <w:tc>
          <w:tcPr>
            <w:tcW w:w="5964" w:type="dxa"/>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r>
              <w:rPr>
                <w:rFonts w:ascii="宋体" w:hAnsi="宋体" w:eastAsia="宋体" w:cs="宋体"/>
                <w:color w:val="000000"/>
                <w:kern w:val="0"/>
                <w:szCs w:val="21"/>
                <w:highlight w:val="none"/>
              </w:rPr>
              <w:t>.</w:t>
            </w:r>
            <w:r>
              <w:rPr>
                <w:rFonts w:hint="eastAsia"/>
                <w:highlight w:val="none"/>
              </w:rPr>
              <w:t>数据采集：</w:t>
            </w:r>
            <w:r>
              <w:rPr>
                <w:rFonts w:hint="eastAsia" w:ascii="宋体" w:hAnsi="宋体" w:eastAsia="宋体" w:cs="宋体"/>
                <w:color w:val="000000"/>
                <w:kern w:val="0"/>
                <w:szCs w:val="21"/>
                <w:highlight w:val="none"/>
              </w:rPr>
              <w:t>支持通过页面直接将日志文件导入或以</w:t>
            </w:r>
            <w:r>
              <w:rPr>
                <w:rFonts w:ascii="宋体" w:hAnsi="宋体" w:eastAsia="宋体" w:cs="宋体"/>
                <w:color w:val="000000"/>
                <w:kern w:val="0"/>
                <w:szCs w:val="21"/>
                <w:highlight w:val="none"/>
              </w:rPr>
              <w:t>syslog方式接收UNIX/LINUX、WINDOWS、网络及安全设备等系统的日志信息；支持镜像抓包方式采集数据库日志 [Oracle、Mssql、Mysql、DB2、Sybase、DM、KingBase、Gbase、Oscar、Hbase、Hive、CacheDB、Teradata、Mongodb、Postgres]、以及FTP/TELNET/NETBIOS/SMTP/POP/MSN/QQ/DNS/HTTP协议日志；支持在Windows/Linux系统上安装Agent的</w:t>
            </w:r>
            <w:r>
              <w:rPr>
                <w:rFonts w:hint="eastAsia" w:ascii="宋体" w:hAnsi="宋体" w:eastAsia="宋体" w:cs="宋体"/>
                <w:color w:val="000000"/>
                <w:kern w:val="0"/>
                <w:szCs w:val="21"/>
                <w:highlight w:val="none"/>
              </w:rPr>
              <w:t>方式进行日志采集；支持</w:t>
            </w:r>
            <w:r>
              <w:rPr>
                <w:rFonts w:ascii="宋体" w:hAnsi="宋体" w:eastAsia="宋体" w:cs="宋体"/>
                <w:color w:val="000000"/>
                <w:kern w:val="0"/>
                <w:szCs w:val="21"/>
                <w:highlight w:val="none"/>
              </w:rPr>
              <w:t>WMI、Kafka等采集方式；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59" w:type="dxa"/>
            <w:vMerge w:val="continue"/>
            <w:shd w:val="clear" w:color="auto" w:fill="auto"/>
            <w:noWrap/>
            <w:vAlign w:val="center"/>
          </w:tcPr>
          <w:p>
            <w:pPr>
              <w:jc w:val="center"/>
              <w:rPr>
                <w:rFonts w:ascii="宋体" w:hAnsi="宋体" w:eastAsia="宋体" w:cs="宋体"/>
                <w:color w:val="000000"/>
                <w:kern w:val="0"/>
                <w:szCs w:val="21"/>
                <w:highlight w:val="none"/>
              </w:rPr>
            </w:pPr>
          </w:p>
        </w:tc>
        <w:tc>
          <w:tcPr>
            <w:tcW w:w="1121" w:type="dxa"/>
            <w:vMerge w:val="continue"/>
            <w:shd w:val="clear" w:color="auto" w:fill="auto"/>
            <w:noWrap/>
            <w:vAlign w:val="center"/>
          </w:tcPr>
          <w:p>
            <w:pPr>
              <w:jc w:val="center"/>
              <w:rPr>
                <w:rFonts w:ascii="宋体" w:hAnsi="宋体" w:eastAsia="宋体" w:cs="宋体"/>
                <w:color w:val="000000"/>
                <w:kern w:val="0"/>
                <w:szCs w:val="21"/>
                <w:highlight w:val="none"/>
              </w:rPr>
            </w:pPr>
          </w:p>
        </w:tc>
        <w:tc>
          <w:tcPr>
            <w:tcW w:w="427" w:type="dxa"/>
            <w:vMerge w:val="continue"/>
            <w:vAlign w:val="center"/>
          </w:tcPr>
          <w:p>
            <w:pPr>
              <w:widowControl/>
              <w:jc w:val="center"/>
              <w:rPr>
                <w:rFonts w:ascii="宋体" w:hAnsi="宋体" w:eastAsia="宋体" w:cs="宋体"/>
                <w:color w:val="000000"/>
                <w:kern w:val="0"/>
                <w:szCs w:val="21"/>
                <w:highlight w:val="none"/>
              </w:rPr>
            </w:pPr>
          </w:p>
        </w:tc>
        <w:tc>
          <w:tcPr>
            <w:tcW w:w="565" w:type="dxa"/>
            <w:vMerge w:val="continue"/>
            <w:vAlign w:val="center"/>
          </w:tcPr>
          <w:p>
            <w:pPr>
              <w:widowControl/>
              <w:jc w:val="center"/>
              <w:rPr>
                <w:rFonts w:ascii="宋体" w:hAnsi="宋体" w:eastAsia="宋体" w:cs="宋体"/>
                <w:color w:val="000000"/>
                <w:kern w:val="0"/>
                <w:szCs w:val="21"/>
                <w:highlight w:val="none"/>
              </w:rPr>
            </w:pPr>
          </w:p>
        </w:tc>
        <w:tc>
          <w:tcPr>
            <w:tcW w:w="5964" w:type="dxa"/>
            <w:shd w:val="clear" w:color="auto" w:fill="auto"/>
            <w:vAlign w:val="center"/>
          </w:tcPr>
          <w:p>
            <w:pPr>
              <w:widowControl/>
              <w:jc w:val="left"/>
              <w:rPr>
                <w:rFonts w:ascii="宋体" w:hAnsi="宋体" w:eastAsia="宋体" w:cs="宋体"/>
                <w:color w:val="000000"/>
                <w:kern w:val="0"/>
                <w:szCs w:val="21"/>
                <w:highlight w:val="none"/>
              </w:rPr>
            </w:pPr>
            <w:r>
              <w:rPr>
                <w:rFonts w:ascii="宋体" w:hAnsi="宋体" w:eastAsia="宋体" w:cs="宋体"/>
                <w:color w:val="000000"/>
                <w:kern w:val="0"/>
                <w:szCs w:val="21"/>
                <w:highlight w:val="none"/>
              </w:rPr>
              <w:t>4.</w:t>
            </w:r>
            <w:r>
              <w:rPr>
                <w:rFonts w:hint="eastAsia" w:ascii="宋体" w:hAnsi="宋体" w:eastAsia="宋体" w:cs="宋体"/>
                <w:b/>
                <w:bCs/>
                <w:color w:val="000000"/>
                <w:kern w:val="0"/>
                <w:szCs w:val="21"/>
                <w:highlight w:val="none"/>
              </w:rPr>
              <w:t>查询分析功能：</w:t>
            </w:r>
            <w:r>
              <w:rPr>
                <w:rFonts w:hint="eastAsia" w:ascii="宋体" w:hAnsi="宋体" w:eastAsia="宋体" w:cs="宋体"/>
                <w:color w:val="000000"/>
                <w:kern w:val="0"/>
                <w:szCs w:val="21"/>
                <w:highlight w:val="none"/>
              </w:rPr>
              <w:t>支持通过日志字段进行自定义关联规则；支持内置关联分析策略，按照关联规则产生告警或事件；支持内置采集规则，对采集的日志进行数据范化；支持采集代理管理，可以批量管理采集代理，进行采集代理配置下发；支持范化字段管理，除了内置范化字段，用户可以自定义字段；支持以日志来源</w:t>
            </w:r>
            <w:r>
              <w:rPr>
                <w:rFonts w:ascii="宋体" w:hAnsi="宋体" w:eastAsia="宋体" w:cs="宋体"/>
                <w:color w:val="000000"/>
                <w:kern w:val="0"/>
                <w:szCs w:val="21"/>
                <w:highlight w:val="none"/>
              </w:rPr>
              <w:t>ip方式聚合设备未能进行解析和解析错误的日志；支持采集配置和关联规则同步至另一台设备（服务器集合）；</w:t>
            </w:r>
            <w:r>
              <w:rPr>
                <w:rFonts w:hint="eastAsia" w:ascii="宋体" w:hAnsi="宋体" w:eastAsia="宋体" w:cs="宋体"/>
                <w:color w:val="000000"/>
                <w:kern w:val="0"/>
                <w:szCs w:val="21"/>
                <w:highlight w:val="none"/>
              </w:rPr>
              <w:t xml:space="preserve"> </w:t>
            </w:r>
            <w:r>
              <w:rPr>
                <w:rFonts w:hint="eastAsia" w:ascii="宋体" w:hAnsi="宋体" w:eastAsia="宋体" w:cs="宋体"/>
                <w:b/>
                <w:bCs/>
                <w:color w:val="000000"/>
                <w:kern w:val="0"/>
                <w:szCs w:val="21"/>
                <w:highlight w:val="none"/>
              </w:rPr>
              <w:t>以上功能可提供原厂截图盖章证明</w:t>
            </w:r>
            <w:r>
              <w:rPr>
                <w:rFonts w:hint="eastAsia" w:ascii="宋体" w:hAnsi="宋体" w:eastAsia="宋体" w:cs="宋体"/>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59" w:type="dxa"/>
            <w:vMerge w:val="continue"/>
            <w:shd w:val="clear" w:color="auto" w:fill="auto"/>
            <w:noWrap/>
            <w:vAlign w:val="center"/>
          </w:tcPr>
          <w:p>
            <w:pPr>
              <w:jc w:val="center"/>
              <w:rPr>
                <w:rFonts w:ascii="宋体" w:hAnsi="宋体" w:eastAsia="宋体" w:cs="宋体"/>
                <w:color w:val="000000"/>
                <w:kern w:val="0"/>
                <w:szCs w:val="21"/>
                <w:highlight w:val="none"/>
              </w:rPr>
            </w:pPr>
          </w:p>
        </w:tc>
        <w:tc>
          <w:tcPr>
            <w:tcW w:w="1121" w:type="dxa"/>
            <w:vMerge w:val="continue"/>
            <w:shd w:val="clear" w:color="auto" w:fill="auto"/>
            <w:noWrap/>
            <w:vAlign w:val="center"/>
          </w:tcPr>
          <w:p>
            <w:pPr>
              <w:jc w:val="center"/>
              <w:rPr>
                <w:rFonts w:ascii="宋体" w:hAnsi="宋体" w:eastAsia="宋体" w:cs="宋体"/>
                <w:color w:val="000000"/>
                <w:kern w:val="0"/>
                <w:szCs w:val="21"/>
                <w:highlight w:val="none"/>
              </w:rPr>
            </w:pPr>
          </w:p>
        </w:tc>
        <w:tc>
          <w:tcPr>
            <w:tcW w:w="427" w:type="dxa"/>
            <w:vMerge w:val="continue"/>
            <w:vAlign w:val="center"/>
          </w:tcPr>
          <w:p>
            <w:pPr>
              <w:widowControl/>
              <w:jc w:val="center"/>
              <w:rPr>
                <w:rFonts w:ascii="宋体" w:hAnsi="宋体" w:eastAsia="宋体" w:cs="宋体"/>
                <w:color w:val="000000"/>
                <w:kern w:val="0"/>
                <w:szCs w:val="21"/>
                <w:highlight w:val="none"/>
              </w:rPr>
            </w:pPr>
          </w:p>
        </w:tc>
        <w:tc>
          <w:tcPr>
            <w:tcW w:w="565" w:type="dxa"/>
            <w:vMerge w:val="continue"/>
            <w:vAlign w:val="center"/>
          </w:tcPr>
          <w:p>
            <w:pPr>
              <w:widowControl/>
              <w:jc w:val="center"/>
              <w:rPr>
                <w:rFonts w:ascii="宋体" w:hAnsi="宋体" w:eastAsia="宋体" w:cs="宋体"/>
                <w:color w:val="000000"/>
                <w:kern w:val="0"/>
                <w:szCs w:val="21"/>
                <w:highlight w:val="none"/>
              </w:rPr>
            </w:pPr>
          </w:p>
        </w:tc>
        <w:tc>
          <w:tcPr>
            <w:tcW w:w="5964" w:type="dxa"/>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r>
              <w:rPr>
                <w:rFonts w:ascii="宋体" w:hAnsi="宋体" w:eastAsia="宋体" w:cs="宋体"/>
                <w:color w:val="000000"/>
                <w:kern w:val="0"/>
                <w:szCs w:val="21"/>
                <w:highlight w:val="none"/>
              </w:rPr>
              <w:t>.</w:t>
            </w:r>
            <w:r>
              <w:rPr>
                <w:rFonts w:hint="eastAsia" w:ascii="宋体" w:hAnsi="宋体" w:eastAsia="宋体" w:cs="宋体"/>
                <w:b/>
                <w:bCs/>
                <w:color w:val="000000"/>
                <w:kern w:val="0"/>
                <w:szCs w:val="21"/>
                <w:highlight w:val="none"/>
              </w:rPr>
              <w:t>数据管理功能</w:t>
            </w:r>
            <w:r>
              <w:rPr>
                <w:rFonts w:hint="eastAsia" w:ascii="宋体" w:hAnsi="宋体" w:eastAsia="宋体" w:cs="宋体"/>
                <w:color w:val="000000"/>
                <w:kern w:val="0"/>
                <w:szCs w:val="21"/>
                <w:highlight w:val="none"/>
              </w:rPr>
              <w:t>：支持按日志属性、日志类型、时间范围进行数据备份；</w:t>
            </w:r>
            <w:r>
              <w:rPr>
                <w:rFonts w:ascii="宋体" w:hAnsi="宋体" w:eastAsia="宋体" w:cs="宋体"/>
                <w:color w:val="000000"/>
                <w:kern w:val="0"/>
                <w:szCs w:val="21"/>
                <w:highlight w:val="none"/>
              </w:rPr>
              <w:t xml:space="preserve"> 支持WEB界面备份及日志恢复导入工作；支持自动与手动两种备份归档方式；系统支持以FTP、SFTP、对象存储等上传方式将归档文件存储到第三方存储系统中；支持各类设备日志自定义索引；支持以syslog方式转发日志；</w:t>
            </w:r>
            <w:r>
              <w:rPr>
                <w:rFonts w:hint="eastAsia" w:ascii="宋体" w:hAnsi="宋体" w:eastAsia="宋体" w:cs="宋体"/>
                <w:color w:val="000000"/>
                <w:kern w:val="0"/>
                <w:szCs w:val="21"/>
                <w:highlight w:val="none"/>
              </w:rPr>
              <w:t>以上功能可提供原厂截图盖章证明；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59" w:type="dxa"/>
            <w:vMerge w:val="continue"/>
            <w:shd w:val="clear" w:color="auto" w:fill="auto"/>
            <w:noWrap/>
            <w:vAlign w:val="center"/>
          </w:tcPr>
          <w:p>
            <w:pPr>
              <w:widowControl/>
              <w:jc w:val="center"/>
              <w:rPr>
                <w:rFonts w:ascii="宋体" w:hAnsi="宋体" w:eastAsia="宋体" w:cs="宋体"/>
                <w:color w:val="000000"/>
                <w:kern w:val="0"/>
                <w:szCs w:val="21"/>
                <w:highlight w:val="none"/>
              </w:rPr>
            </w:pPr>
          </w:p>
        </w:tc>
        <w:tc>
          <w:tcPr>
            <w:tcW w:w="1121" w:type="dxa"/>
            <w:vMerge w:val="continue"/>
            <w:shd w:val="clear" w:color="auto" w:fill="auto"/>
            <w:noWrap/>
            <w:vAlign w:val="center"/>
          </w:tcPr>
          <w:p>
            <w:pPr>
              <w:jc w:val="center"/>
              <w:rPr>
                <w:rFonts w:ascii="宋体" w:hAnsi="宋体" w:eastAsia="宋体" w:cs="宋体"/>
                <w:color w:val="000000"/>
                <w:kern w:val="0"/>
                <w:szCs w:val="21"/>
                <w:highlight w:val="none"/>
              </w:rPr>
            </w:pPr>
          </w:p>
        </w:tc>
        <w:tc>
          <w:tcPr>
            <w:tcW w:w="427" w:type="dxa"/>
            <w:vMerge w:val="continue"/>
            <w:vAlign w:val="center"/>
          </w:tcPr>
          <w:p>
            <w:pPr>
              <w:widowControl/>
              <w:jc w:val="center"/>
              <w:rPr>
                <w:rFonts w:ascii="宋体" w:hAnsi="宋体" w:eastAsia="宋体" w:cs="宋体"/>
                <w:color w:val="000000"/>
                <w:kern w:val="0"/>
                <w:szCs w:val="21"/>
                <w:highlight w:val="none"/>
              </w:rPr>
            </w:pPr>
          </w:p>
        </w:tc>
        <w:tc>
          <w:tcPr>
            <w:tcW w:w="565" w:type="dxa"/>
            <w:vMerge w:val="continue"/>
            <w:vAlign w:val="center"/>
          </w:tcPr>
          <w:p>
            <w:pPr>
              <w:widowControl/>
              <w:jc w:val="center"/>
              <w:rPr>
                <w:rFonts w:ascii="宋体" w:hAnsi="宋体" w:eastAsia="宋体" w:cs="宋体"/>
                <w:color w:val="000000"/>
                <w:kern w:val="0"/>
                <w:szCs w:val="21"/>
                <w:highlight w:val="none"/>
              </w:rPr>
            </w:pPr>
          </w:p>
        </w:tc>
        <w:tc>
          <w:tcPr>
            <w:tcW w:w="5964" w:type="dxa"/>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w:t>
            </w:r>
            <w:r>
              <w:rPr>
                <w:rFonts w:ascii="宋体" w:hAnsi="宋体" w:eastAsia="宋体" w:cs="宋体"/>
                <w:color w:val="000000"/>
                <w:kern w:val="0"/>
                <w:szCs w:val="21"/>
                <w:highlight w:val="none"/>
              </w:rPr>
              <w:t>.</w:t>
            </w:r>
            <w:r>
              <w:rPr>
                <w:rFonts w:hint="eastAsia" w:ascii="宋体" w:hAnsi="宋体" w:eastAsia="宋体" w:cs="宋体"/>
                <w:b/>
                <w:bCs/>
                <w:color w:val="000000"/>
                <w:kern w:val="0"/>
                <w:szCs w:val="21"/>
                <w:highlight w:val="none"/>
              </w:rPr>
              <w:t>日志数据安全：</w:t>
            </w:r>
            <w:r>
              <w:rPr>
                <w:rFonts w:hint="eastAsia" w:ascii="宋体" w:hAnsi="宋体" w:eastAsia="宋体" w:cs="宋体"/>
                <w:color w:val="000000"/>
                <w:kern w:val="0"/>
                <w:szCs w:val="21"/>
                <w:highlight w:val="none"/>
              </w:rPr>
              <w:t>审计日志文件方式存储；审计日志加密导出审计系统；支持对所有审计管理员操作审计系统的动作进行审计；支持日志类型、IP地址权限设置；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9" w:type="dxa"/>
            <w:shd w:val="clear" w:color="auto" w:fill="auto"/>
            <w:noWrap/>
            <w:vAlign w:val="center"/>
          </w:tcPr>
          <w:p>
            <w:pPr>
              <w:widowControl/>
              <w:jc w:val="center"/>
              <w:rPr>
                <w:rFonts w:ascii="宋体" w:hAnsi="宋体" w:eastAsia="宋体" w:cs="宋体"/>
                <w:color w:val="000000"/>
                <w:kern w:val="0"/>
                <w:szCs w:val="21"/>
                <w:highlight w:val="none"/>
              </w:rPr>
            </w:pPr>
            <w:r>
              <w:rPr>
                <w:rFonts w:ascii="宋体" w:hAnsi="宋体" w:eastAsia="宋体" w:cs="宋体"/>
                <w:color w:val="000000"/>
                <w:kern w:val="0"/>
                <w:szCs w:val="21"/>
                <w:highlight w:val="none"/>
              </w:rPr>
              <w:t>4</w:t>
            </w:r>
          </w:p>
        </w:tc>
        <w:tc>
          <w:tcPr>
            <w:tcW w:w="1121"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硬件服务器</w:t>
            </w:r>
          </w:p>
        </w:tc>
        <w:tc>
          <w:tcPr>
            <w:tcW w:w="427" w:type="dxa"/>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1台</w:t>
            </w:r>
          </w:p>
        </w:tc>
        <w:tc>
          <w:tcPr>
            <w:tcW w:w="565" w:type="dxa"/>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1年</w:t>
            </w:r>
          </w:p>
        </w:tc>
        <w:tc>
          <w:tcPr>
            <w:tcW w:w="5964" w:type="dxa"/>
            <w:shd w:val="clear" w:color="auto" w:fill="auto"/>
            <w:noWrap/>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国产品牌（不限于浪潮、曙光及联想等），至少具备16核CPU，128内存，8T有效存储</w:t>
            </w:r>
          </w:p>
        </w:tc>
      </w:tr>
    </w:tbl>
    <w:p>
      <w:pPr>
        <w:spacing w:line="360" w:lineRule="auto"/>
        <w:ind w:firstLine="482" w:firstLineChars="200"/>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三、服务期限</w:t>
      </w:r>
    </w:p>
    <w:p>
      <w:pPr>
        <w:spacing w:line="360" w:lineRule="auto"/>
        <w:ind w:firstLine="480" w:firstLineChars="200"/>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rPr>
        <w:t>一年。</w:t>
      </w:r>
    </w:p>
    <w:p>
      <w:pPr>
        <w:spacing w:line="360" w:lineRule="auto"/>
        <w:ind w:firstLine="482" w:firstLineChars="200"/>
        <w:rPr>
          <w:rFonts w:hint="default"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四、演示要求</w:t>
      </w:r>
    </w:p>
    <w:p>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开标后，按照签到顺序，每</w:t>
      </w:r>
      <w:r>
        <w:rPr>
          <w:rFonts w:hint="eastAsia" w:ascii="宋体" w:hAnsi="宋体" w:cs="宋体"/>
          <w:color w:val="auto"/>
          <w:sz w:val="24"/>
          <w:szCs w:val="24"/>
          <w:highlight w:val="none"/>
          <w:lang w:eastAsia="zh-CN"/>
        </w:rPr>
        <w:t>个响应</w:t>
      </w:r>
      <w:r>
        <w:rPr>
          <w:rFonts w:hint="eastAsia" w:ascii="宋体" w:hAnsi="宋体" w:cs="宋体"/>
          <w:color w:val="auto"/>
          <w:sz w:val="24"/>
          <w:szCs w:val="24"/>
          <w:highlight w:val="none"/>
        </w:rPr>
        <w:t>供应商现场演示人员不得超过</w:t>
      </w:r>
      <w:r>
        <w:rPr>
          <w:rFonts w:ascii="宋体" w:hAnsi="宋体" w:cs="宋体"/>
          <w:color w:val="auto"/>
          <w:sz w:val="24"/>
          <w:szCs w:val="24"/>
          <w:highlight w:val="none"/>
        </w:rPr>
        <w:t xml:space="preserve"> 2 </w:t>
      </w:r>
      <w:r>
        <w:rPr>
          <w:rFonts w:hint="eastAsia" w:ascii="宋体" w:hAnsi="宋体" w:cs="宋体"/>
          <w:color w:val="auto"/>
          <w:sz w:val="24"/>
          <w:szCs w:val="24"/>
          <w:highlight w:val="none"/>
        </w:rPr>
        <w:t>名，演示时其它</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供应商需离场。</w:t>
      </w:r>
    </w:p>
    <w:p>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每</w:t>
      </w:r>
      <w:r>
        <w:rPr>
          <w:rFonts w:hint="eastAsia" w:ascii="宋体" w:hAnsi="宋体" w:cs="宋体"/>
          <w:color w:val="auto"/>
          <w:sz w:val="24"/>
          <w:szCs w:val="24"/>
          <w:highlight w:val="none"/>
          <w:lang w:eastAsia="zh-CN"/>
        </w:rPr>
        <w:t>个响应</w:t>
      </w:r>
      <w:r>
        <w:rPr>
          <w:rFonts w:hint="eastAsia" w:ascii="宋体" w:hAnsi="宋体" w:cs="宋体"/>
          <w:color w:val="auto"/>
          <w:sz w:val="24"/>
          <w:szCs w:val="24"/>
          <w:highlight w:val="none"/>
        </w:rPr>
        <w:t>供应商演示时间不得超过</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20</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分钟</w:t>
      </w:r>
      <w:r>
        <w:rPr>
          <w:rFonts w:ascii="宋体" w:cs="宋体"/>
          <w:color w:val="auto"/>
          <w:sz w:val="24"/>
          <w:szCs w:val="24"/>
          <w:highlight w:val="none"/>
        </w:rPr>
        <w:t>,</w:t>
      </w:r>
      <w:r>
        <w:rPr>
          <w:rFonts w:hint="eastAsia" w:ascii="宋体" w:hAnsi="宋体" w:cs="宋体"/>
          <w:color w:val="auto"/>
          <w:sz w:val="24"/>
          <w:szCs w:val="24"/>
          <w:highlight w:val="none"/>
        </w:rPr>
        <w:t>超时会酌情扣分。</w:t>
      </w:r>
    </w:p>
    <w:p>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演示前或过程中如出现由于</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供应商自身导致的意外情况，应优先安排下一顺位</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供应商进行演示；该</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供应商如在其它</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供应商都已完成演示的情况下还未能开始或继续的，视为放弃演示。</w:t>
      </w:r>
    </w:p>
    <w:p>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演示现场将提供</w:t>
      </w:r>
      <w:r>
        <w:rPr>
          <w:rFonts w:hint="eastAsia" w:ascii="宋体" w:hAnsi="宋体" w:cs="宋体"/>
          <w:color w:val="auto"/>
          <w:sz w:val="24"/>
          <w:szCs w:val="24"/>
          <w:highlight w:val="none"/>
          <w:lang w:val="en-US" w:eastAsia="zh-CN"/>
        </w:rPr>
        <w:t>无线网络</w:t>
      </w:r>
      <w:r>
        <w:rPr>
          <w:rFonts w:hint="eastAsia" w:ascii="宋体" w:hAnsi="宋体" w:cs="宋体"/>
          <w:color w:val="auto"/>
          <w:sz w:val="24"/>
          <w:szCs w:val="24"/>
          <w:highlight w:val="none"/>
        </w:rPr>
        <w:t>和投影设备。</w:t>
      </w:r>
    </w:p>
    <w:p>
      <w:pPr>
        <w:spacing w:line="360" w:lineRule="auto"/>
        <w:ind w:firstLine="480" w:firstLineChars="200"/>
        <w:rPr>
          <w:rFonts w:ascii="黑体" w:hAnsi="仿宋" w:eastAsia="黑体"/>
          <w:b/>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现场环境需要的其他所有配套设备，</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供应商需自行准备，因准备不足导致的演示失败或功能无法演示与采购代理机构及采购人无关。</w:t>
      </w:r>
    </w:p>
    <w:p>
      <w:pPr>
        <w:spacing w:line="360" w:lineRule="auto"/>
        <w:ind w:firstLine="482" w:firstLineChars="200"/>
        <w:outlineLvl w:val="1"/>
        <w:rPr>
          <w:rFonts w:ascii="黑体" w:hAnsi="仿宋" w:eastAsia="黑体" w:cs="黑体"/>
          <w:b/>
          <w:bCs/>
          <w:sz w:val="24"/>
          <w:szCs w:val="24"/>
          <w:highlight w:val="none"/>
        </w:rPr>
      </w:pPr>
      <w:bookmarkStart w:id="11" w:name="_Toc530063633"/>
      <w:bookmarkStart w:id="12" w:name="_Toc13246"/>
      <w:r>
        <w:rPr>
          <w:rFonts w:hint="eastAsia" w:ascii="黑体" w:hAnsi="仿宋" w:eastAsia="黑体" w:cs="黑体"/>
          <w:b/>
          <w:bCs/>
          <w:sz w:val="24"/>
          <w:szCs w:val="24"/>
          <w:highlight w:val="none"/>
          <w:lang w:val="en-US" w:eastAsia="zh-CN"/>
        </w:rPr>
        <w:t>五</w:t>
      </w:r>
      <w:r>
        <w:rPr>
          <w:rFonts w:hint="eastAsia" w:ascii="黑体" w:hAnsi="仿宋" w:eastAsia="黑体" w:cs="黑体"/>
          <w:b/>
          <w:bCs/>
          <w:sz w:val="24"/>
          <w:szCs w:val="24"/>
          <w:highlight w:val="none"/>
        </w:rPr>
        <w:t>、文档转移要求</w:t>
      </w:r>
      <w:bookmarkEnd w:id="11"/>
      <w:bookmarkEnd w:id="12"/>
    </w:p>
    <w:p>
      <w:pPr>
        <w:spacing w:line="360" w:lineRule="auto"/>
        <w:ind w:firstLine="480" w:firstLineChars="200"/>
        <w:rPr>
          <w:rFonts w:ascii="宋体" w:hAnsi="宋体" w:cs="宋体"/>
          <w:sz w:val="24"/>
          <w:highlight w:val="none"/>
          <w:lang w:val="hr-HR"/>
        </w:rPr>
      </w:pPr>
      <w:r>
        <w:rPr>
          <w:rFonts w:hint="eastAsia" w:ascii="宋体" w:hAnsi="宋体" w:cs="宋体"/>
          <w:sz w:val="24"/>
          <w:highlight w:val="none"/>
          <w:lang w:val="hr-HR"/>
        </w:rPr>
        <w:t>1.</w:t>
      </w:r>
      <w:r>
        <w:rPr>
          <w:rFonts w:hint="eastAsia" w:ascii="宋体" w:hAnsi="宋体" w:cs="宋体"/>
          <w:sz w:val="24"/>
          <w:highlight w:val="none"/>
          <w:lang w:val="en-US" w:eastAsia="zh-CN"/>
        </w:rPr>
        <w:t>成交</w:t>
      </w:r>
      <w:r>
        <w:rPr>
          <w:rFonts w:hint="eastAsia" w:ascii="宋体" w:hAnsi="宋体" w:cs="宋体"/>
          <w:sz w:val="24"/>
          <w:highlight w:val="none"/>
          <w:lang w:val="hr-HR"/>
        </w:rPr>
        <w:t>供应商在项目终验后，应将本项目所有相关的技术文件、资料档案，包括技术文档、需求分析文档、验收报告等整个服务期间所需要制订的文档汇集成册交付采购人。</w:t>
      </w:r>
    </w:p>
    <w:p>
      <w:pPr>
        <w:spacing w:line="360" w:lineRule="auto"/>
        <w:ind w:firstLine="480" w:firstLineChars="200"/>
        <w:rPr>
          <w:rFonts w:ascii="宋体" w:hAnsi="宋体" w:cs="宋体"/>
          <w:sz w:val="24"/>
          <w:highlight w:val="none"/>
          <w:lang w:val="hr-HR"/>
        </w:rPr>
      </w:pPr>
      <w:r>
        <w:rPr>
          <w:rFonts w:hint="eastAsia" w:ascii="宋体" w:hAnsi="宋体" w:cs="宋体"/>
          <w:sz w:val="24"/>
          <w:highlight w:val="none"/>
          <w:lang w:val="hr-HR"/>
        </w:rPr>
        <w:t>2.未经采购人认可的情况下，所有的文件用中文书写或有完整的中文注释。</w:t>
      </w:r>
    </w:p>
    <w:p>
      <w:pPr>
        <w:spacing w:line="360" w:lineRule="auto"/>
        <w:ind w:firstLine="480" w:firstLineChars="200"/>
        <w:rPr>
          <w:rFonts w:ascii="宋体" w:hAnsi="宋体" w:cs="宋体"/>
          <w:sz w:val="24"/>
          <w:highlight w:val="none"/>
          <w:lang w:val="hr-HR"/>
        </w:rPr>
      </w:pPr>
      <w:r>
        <w:rPr>
          <w:rFonts w:hint="eastAsia" w:ascii="宋体" w:hAnsi="宋体" w:cs="宋体"/>
          <w:sz w:val="24"/>
          <w:highlight w:val="none"/>
          <w:lang w:val="hr-HR"/>
        </w:rPr>
        <w:t>3.本项目要求所有文档向</w:t>
      </w:r>
      <w:r>
        <w:rPr>
          <w:rFonts w:hint="eastAsia" w:ascii="宋体" w:hAnsi="宋体" w:cs="宋体"/>
          <w:sz w:val="24"/>
          <w:highlight w:val="none"/>
        </w:rPr>
        <w:t>采购人</w:t>
      </w:r>
      <w:r>
        <w:rPr>
          <w:rFonts w:hint="eastAsia" w:ascii="宋体" w:hAnsi="宋体" w:cs="宋体"/>
          <w:sz w:val="24"/>
          <w:highlight w:val="none"/>
          <w:lang w:val="hr-HR"/>
        </w:rPr>
        <w:t>提供纸质文档至少4套，电子文档1套。</w:t>
      </w:r>
      <w:r>
        <w:rPr>
          <w:rFonts w:hint="eastAsia" w:ascii="宋体" w:hAnsi="宋体" w:cs="宋体"/>
          <w:sz w:val="24"/>
          <w:highlight w:val="none"/>
          <w:lang w:val="en-US" w:eastAsia="zh-CN"/>
        </w:rPr>
        <w:t>成交</w:t>
      </w:r>
      <w:r>
        <w:rPr>
          <w:rFonts w:hint="eastAsia" w:ascii="宋体" w:hAnsi="宋体" w:cs="宋体"/>
          <w:sz w:val="24"/>
          <w:highlight w:val="none"/>
          <w:lang w:val="hr-HR"/>
        </w:rPr>
        <w:t>供应商应设置专人在项目建设期间对文档进行检查和管理，项目最终验收后全部移交给</w:t>
      </w:r>
      <w:r>
        <w:rPr>
          <w:rFonts w:hint="eastAsia" w:ascii="宋体" w:hAnsi="宋体" w:cs="宋体"/>
          <w:sz w:val="24"/>
          <w:highlight w:val="none"/>
        </w:rPr>
        <w:t>采购人</w:t>
      </w:r>
      <w:r>
        <w:rPr>
          <w:rFonts w:hint="eastAsia" w:ascii="宋体" w:hAnsi="宋体" w:cs="宋体"/>
          <w:sz w:val="24"/>
          <w:highlight w:val="none"/>
          <w:lang w:val="hr-HR"/>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baseline"/>
        <w:outlineLvl w:val="9"/>
        <w:rPr>
          <w:rFonts w:hint="eastAsia" w:ascii="黑体" w:hAnsi="黑体" w:eastAsia="黑体" w:cs="黑体"/>
          <w:b/>
          <w:bCs/>
          <w:sz w:val="24"/>
          <w:szCs w:val="24"/>
          <w:highlight w:val="none"/>
          <w:shd w:val="clear" w:color="auto" w:fill="FFFFFF"/>
          <w:lang w:val="en-US" w:eastAsia="zh-CN"/>
        </w:rPr>
      </w:pPr>
      <w:bookmarkStart w:id="13" w:name="_Toc480389245"/>
      <w:bookmarkStart w:id="14" w:name="_Toc3439"/>
      <w:bookmarkStart w:id="15" w:name="_Toc530063634"/>
      <w:bookmarkStart w:id="16" w:name="_Toc465115165"/>
      <w:bookmarkStart w:id="17" w:name="_Toc458158347"/>
      <w:bookmarkStart w:id="18" w:name="_Toc523163573"/>
      <w:bookmarkStart w:id="19" w:name="_Toc465249376"/>
      <w:bookmarkStart w:id="20" w:name="_Toc480378880"/>
      <w:r>
        <w:rPr>
          <w:rFonts w:hint="eastAsia" w:ascii="黑体" w:hAnsi="黑体" w:eastAsia="黑体" w:cs="黑体"/>
          <w:b/>
          <w:bCs/>
          <w:sz w:val="24"/>
          <w:szCs w:val="24"/>
          <w:highlight w:val="none"/>
          <w:shd w:val="clear" w:color="auto" w:fill="FFFFFF"/>
          <w:lang w:val="en-US" w:eastAsia="zh-CN"/>
        </w:rPr>
        <w:t>六、保密要求</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1.供应商及技术服务提供商应严守用户的机密，不经用户批准不得以任何的形式将用户资料及信息透露给第三方。</w:t>
      </w:r>
    </w:p>
    <w:p>
      <w:pPr>
        <w:spacing w:line="360" w:lineRule="auto"/>
        <w:ind w:firstLine="480" w:firstLineChars="200"/>
        <w:textAlignment w:val="baseline"/>
        <w:outlineLvl w:val="9"/>
        <w:rPr>
          <w:rFonts w:hint="default"/>
          <w:highlight w:val="none"/>
          <w:lang w:val="en-US" w:eastAsia="zh-CN"/>
        </w:rPr>
      </w:pPr>
      <w:r>
        <w:rPr>
          <w:rFonts w:hint="eastAsia" w:ascii="宋体" w:hAnsi="宋体" w:eastAsia="宋体" w:cs="宋体"/>
          <w:sz w:val="24"/>
          <w:szCs w:val="24"/>
          <w:highlight w:val="none"/>
          <w:lang w:val="en-US" w:eastAsia="zh-CN"/>
        </w:rPr>
        <w:t>2.供应商应与采购人签订保密协议，严格遵守用户单位保密规定及要求，并根据需要建立经采购人保密主管部门认可的保密工作制度，并要求在采购人规定的保密期内不发生失泄密。如果参与人员在规定的保密期内发生失泄密行为，供应商应承担全部责任。</w:t>
      </w:r>
    </w:p>
    <w:p>
      <w:pPr>
        <w:spacing w:line="360" w:lineRule="auto"/>
        <w:ind w:firstLine="482" w:firstLineChars="200"/>
        <w:outlineLvl w:val="1"/>
        <w:rPr>
          <w:rFonts w:hint="eastAsia" w:ascii="黑体" w:hAnsi="仿宋" w:eastAsia="黑体" w:cs="黑体"/>
          <w:b/>
          <w:bCs/>
          <w:sz w:val="24"/>
          <w:szCs w:val="24"/>
          <w:highlight w:val="none"/>
        </w:rPr>
      </w:pPr>
      <w:r>
        <w:rPr>
          <w:rFonts w:hint="eastAsia" w:ascii="黑体" w:hAnsi="仿宋" w:eastAsia="黑体" w:cs="黑体"/>
          <w:b/>
          <w:bCs/>
          <w:sz w:val="24"/>
          <w:szCs w:val="24"/>
          <w:highlight w:val="none"/>
          <w:lang w:val="en-US" w:eastAsia="zh-CN"/>
        </w:rPr>
        <w:t>七</w:t>
      </w:r>
      <w:r>
        <w:rPr>
          <w:rFonts w:hint="eastAsia" w:ascii="黑体" w:hAnsi="仿宋" w:eastAsia="黑体" w:cs="黑体"/>
          <w:b/>
          <w:bCs/>
          <w:sz w:val="24"/>
          <w:szCs w:val="24"/>
          <w:highlight w:val="none"/>
        </w:rPr>
        <w:t>、知识产权要求</w:t>
      </w:r>
      <w:bookmarkEnd w:id="13"/>
      <w:bookmarkEnd w:id="14"/>
      <w:bookmarkEnd w:id="15"/>
      <w:bookmarkEnd w:id="16"/>
      <w:bookmarkEnd w:id="17"/>
      <w:bookmarkEnd w:id="18"/>
      <w:bookmarkEnd w:id="19"/>
      <w:bookmarkEnd w:id="20"/>
    </w:p>
    <w:p>
      <w:pPr>
        <w:spacing w:line="360" w:lineRule="auto"/>
        <w:ind w:firstLine="480" w:firstLineChars="200"/>
        <w:rPr>
          <w:rFonts w:ascii="宋体" w:hAnsi="宋体" w:cs="宋体"/>
          <w:sz w:val="24"/>
          <w:highlight w:val="none"/>
          <w:lang w:val="hr-HR"/>
        </w:rPr>
      </w:pPr>
      <w:r>
        <w:rPr>
          <w:rFonts w:hint="eastAsia" w:ascii="宋体" w:hAnsi="宋体" w:cs="宋体"/>
          <w:sz w:val="24"/>
          <w:highlight w:val="none"/>
          <w:lang w:val="hr-HR"/>
        </w:rPr>
        <w:t>1.</w:t>
      </w:r>
      <w:r>
        <w:rPr>
          <w:rFonts w:hint="eastAsia" w:ascii="宋体" w:hAnsi="宋体" w:cs="宋体"/>
          <w:sz w:val="24"/>
          <w:highlight w:val="none"/>
          <w:lang w:val="en-US" w:eastAsia="zh-CN"/>
        </w:rPr>
        <w:t>成交</w:t>
      </w:r>
      <w:r>
        <w:rPr>
          <w:rFonts w:hint="eastAsia" w:ascii="宋体" w:hAnsi="宋体" w:cs="宋体"/>
          <w:sz w:val="24"/>
          <w:highlight w:val="none"/>
          <w:lang w:val="hr-HR"/>
        </w:rPr>
        <w:t>供应商应保证本项目所采用的技术、产品、服务或其任何一部分不会产生因第三方提出侵犯其专利权、商标权或其他知识产权而引起的法律和经济纠纷；如因第三方提出其专利权、商标权或其他知识产权的侵权之诉，则一切法律责任及采购人的损失（包括但不限于重新招投标费用、律师费、诉讼费等）由</w:t>
      </w:r>
      <w:r>
        <w:rPr>
          <w:rFonts w:hint="eastAsia" w:ascii="宋体" w:hAnsi="宋体" w:cs="宋体"/>
          <w:sz w:val="24"/>
          <w:highlight w:val="none"/>
          <w:lang w:val="en-US" w:eastAsia="zh-CN"/>
        </w:rPr>
        <w:t>成交</w:t>
      </w:r>
      <w:r>
        <w:rPr>
          <w:rFonts w:hint="eastAsia" w:ascii="宋体" w:hAnsi="宋体" w:cs="宋体"/>
          <w:sz w:val="24"/>
          <w:highlight w:val="none"/>
          <w:lang w:val="hr-HR"/>
        </w:rPr>
        <w:t>供应商承担。</w:t>
      </w:r>
    </w:p>
    <w:p>
      <w:pPr>
        <w:spacing w:line="360" w:lineRule="auto"/>
        <w:ind w:firstLine="480" w:firstLineChars="200"/>
        <w:rPr>
          <w:rFonts w:hint="eastAsia" w:ascii="宋体" w:hAnsi="宋体" w:cs="宋体"/>
          <w:sz w:val="24"/>
          <w:highlight w:val="none"/>
          <w:lang w:val="hr-HR"/>
        </w:rPr>
      </w:pPr>
      <w:r>
        <w:rPr>
          <w:rFonts w:hint="eastAsia" w:ascii="宋体" w:hAnsi="宋体" w:cs="宋体"/>
          <w:sz w:val="24"/>
          <w:highlight w:val="none"/>
          <w:lang w:val="hr-HR"/>
        </w:rPr>
        <w:t>2.本项目运行的任何形式的数据、文件的所有权均属于采购人和用户单位，</w:t>
      </w:r>
      <w:r>
        <w:rPr>
          <w:rFonts w:hint="eastAsia" w:ascii="宋体" w:hAnsi="宋体" w:cs="宋体"/>
          <w:sz w:val="24"/>
          <w:highlight w:val="none"/>
          <w:lang w:val="en-US" w:eastAsia="zh-CN"/>
        </w:rPr>
        <w:t>成交</w:t>
      </w:r>
      <w:r>
        <w:rPr>
          <w:rFonts w:hint="eastAsia" w:ascii="宋体" w:hAnsi="宋体" w:cs="宋体"/>
          <w:sz w:val="24"/>
          <w:highlight w:val="none"/>
          <w:lang w:val="hr-HR"/>
        </w:rPr>
        <w:t>供应商无权处置。</w:t>
      </w:r>
    </w:p>
    <w:p>
      <w:pPr>
        <w:spacing w:line="360" w:lineRule="auto"/>
        <w:ind w:firstLine="482" w:firstLineChars="200"/>
        <w:rPr>
          <w:rFonts w:hint="eastAsia" w:ascii="黑体" w:hAnsi="仿宋" w:eastAsia="黑体" w:cs="黑体"/>
          <w:b/>
          <w:bCs/>
          <w:sz w:val="24"/>
          <w:szCs w:val="24"/>
          <w:highlight w:val="none"/>
        </w:rPr>
      </w:pPr>
      <w:r>
        <w:rPr>
          <w:rFonts w:hint="eastAsia" w:ascii="黑体" w:hAnsi="仿宋" w:eastAsia="黑体" w:cs="黑体"/>
          <w:b/>
          <w:bCs/>
          <w:sz w:val="24"/>
          <w:szCs w:val="24"/>
          <w:highlight w:val="none"/>
          <w:lang w:val="en-US" w:eastAsia="zh-CN"/>
        </w:rPr>
        <w:t>八、</w:t>
      </w:r>
      <w:r>
        <w:rPr>
          <w:rFonts w:hint="eastAsia" w:ascii="黑体" w:hAnsi="仿宋" w:eastAsia="黑体" w:cs="黑体"/>
          <w:b/>
          <w:bCs/>
          <w:sz w:val="24"/>
          <w:szCs w:val="24"/>
          <w:highlight w:val="none"/>
        </w:rPr>
        <w:t>付款方式</w:t>
      </w:r>
    </w:p>
    <w:p>
      <w:pPr>
        <w:spacing w:line="360" w:lineRule="auto"/>
        <w:ind w:firstLine="480" w:firstLineChars="200"/>
        <w:rPr>
          <w:rFonts w:hint="eastAsia" w:ascii="宋体" w:hAnsi="宋体"/>
          <w:sz w:val="24"/>
          <w:highlight w:val="none"/>
        </w:rPr>
      </w:pPr>
      <w:r>
        <w:rPr>
          <w:rFonts w:hint="eastAsia" w:ascii="宋体" w:hAnsi="宋体" w:cs="宋体"/>
          <w:sz w:val="24"/>
          <w:szCs w:val="24"/>
          <w:highlight w:val="none"/>
        </w:rPr>
        <w:t>1.</w:t>
      </w:r>
      <w:r>
        <w:rPr>
          <w:rFonts w:hint="eastAsia" w:ascii="宋体" w:hAnsi="宋体"/>
          <w:sz w:val="24"/>
          <w:highlight w:val="none"/>
        </w:rPr>
        <w:t>项目合同签订后支付合同总款的</w:t>
      </w:r>
      <w:r>
        <w:rPr>
          <w:rFonts w:hint="eastAsia" w:ascii="宋体" w:hAnsi="宋体"/>
          <w:sz w:val="24"/>
          <w:highlight w:val="none"/>
          <w:lang w:val="en-US" w:eastAsia="zh-CN"/>
        </w:rPr>
        <w:t>4</w:t>
      </w:r>
      <w:r>
        <w:rPr>
          <w:rFonts w:ascii="宋体" w:hAnsi="宋体"/>
          <w:sz w:val="24"/>
          <w:highlight w:val="none"/>
        </w:rPr>
        <w:t>0</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2.项目</w:t>
      </w:r>
      <w:r>
        <w:rPr>
          <w:rFonts w:hint="eastAsia" w:ascii="宋体" w:hAnsi="宋体"/>
          <w:sz w:val="24"/>
          <w:highlight w:val="none"/>
          <w:lang w:val="en-US" w:eastAsia="zh-CN"/>
        </w:rPr>
        <w:t>完工且验收合格</w:t>
      </w:r>
      <w:r>
        <w:rPr>
          <w:rFonts w:hint="eastAsia" w:ascii="宋体" w:hAnsi="宋体"/>
          <w:sz w:val="24"/>
          <w:highlight w:val="none"/>
        </w:rPr>
        <w:t>后，支付</w:t>
      </w:r>
      <w:r>
        <w:rPr>
          <w:rFonts w:hint="eastAsia" w:ascii="宋体" w:hAnsi="宋体"/>
          <w:sz w:val="24"/>
          <w:highlight w:val="none"/>
          <w:lang w:val="en-US" w:eastAsia="zh-CN"/>
        </w:rPr>
        <w:t>剩余</w:t>
      </w:r>
      <w:r>
        <w:rPr>
          <w:rFonts w:hint="eastAsia" w:ascii="宋体" w:hAnsi="宋体"/>
          <w:sz w:val="24"/>
          <w:highlight w:val="none"/>
        </w:rPr>
        <w:t>合同款；</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供应商承诺在采购人办理以上各期付款的支付手续前，为采购人出具等额的符合国家规定的发票；</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.上述时间不包括采购人正常办理支付报批手续的时间。</w:t>
      </w:r>
    </w:p>
    <w:p>
      <w:pPr>
        <w:spacing w:line="360" w:lineRule="auto"/>
        <w:ind w:firstLine="480" w:firstLineChars="200"/>
        <w:outlineLvl w:val="9"/>
        <w:rPr>
          <w:rFonts w:hint="eastAsia" w:asciiTheme="minorEastAsia" w:hAnsiTheme="minorEastAsia" w:cstheme="minorEastAsia"/>
          <w:sz w:val="24"/>
          <w:highlight w:val="none"/>
        </w:rPr>
      </w:pPr>
    </w:p>
    <w:p>
      <w:pPr>
        <w:spacing w:line="360" w:lineRule="auto"/>
        <w:ind w:firstLine="480" w:firstLineChars="200"/>
        <w:outlineLvl w:val="1"/>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br w:type="page"/>
      </w:r>
    </w:p>
    <w:p>
      <w:pPr>
        <w:bidi w:val="0"/>
        <w:spacing w:line="360" w:lineRule="auto"/>
        <w:jc w:val="center"/>
        <w:outlineLvl w:val="0"/>
        <w:rPr>
          <w:rFonts w:hint="eastAsia" w:ascii="黑体" w:hAnsi="黑体" w:eastAsia="黑体" w:cs="黑体"/>
          <w:b/>
          <w:bCs/>
          <w:szCs w:val="32"/>
          <w:highlight w:val="none"/>
        </w:rPr>
      </w:pPr>
      <w:bookmarkStart w:id="21" w:name="_Toc25235"/>
      <w:r>
        <w:rPr>
          <w:rFonts w:hint="eastAsia" w:ascii="黑体" w:hAnsi="黑体" w:eastAsia="黑体" w:cs="黑体"/>
          <w:b/>
          <w:bCs/>
          <w:sz w:val="32"/>
          <w:szCs w:val="32"/>
          <w:highlight w:val="none"/>
        </w:rPr>
        <w:t>第三部分 供应商须知</w:t>
      </w:r>
      <w:bookmarkEnd w:id="21"/>
    </w:p>
    <w:p>
      <w:pPr>
        <w:spacing w:line="360" w:lineRule="auto"/>
        <w:jc w:val="center"/>
        <w:outlineLvl w:val="9"/>
        <w:rPr>
          <w:rFonts w:hint="eastAsia"/>
          <w:b/>
          <w:sz w:val="32"/>
          <w:szCs w:val="32"/>
          <w:highlight w:val="none"/>
        </w:rPr>
      </w:pPr>
      <w:bookmarkStart w:id="22" w:name="_Toc31084"/>
      <w:bookmarkStart w:id="23" w:name="_Toc22306"/>
      <w:bookmarkStart w:id="24" w:name="_Toc32436"/>
      <w:r>
        <w:rPr>
          <w:rFonts w:hint="eastAsia"/>
          <w:b/>
          <w:sz w:val="32"/>
          <w:szCs w:val="32"/>
          <w:highlight w:val="none"/>
          <w:lang w:eastAsia="zh-CN"/>
        </w:rPr>
        <w:t>响应</w:t>
      </w:r>
      <w:r>
        <w:rPr>
          <w:rFonts w:hint="eastAsia"/>
          <w:b/>
          <w:sz w:val="32"/>
          <w:szCs w:val="32"/>
          <w:highlight w:val="none"/>
        </w:rPr>
        <w:t>须知前附表</w:t>
      </w:r>
      <w:r>
        <w:rPr>
          <w:rFonts w:hint="eastAsia"/>
          <w:b/>
          <w:highlight w:val="none"/>
        </w:rPr>
        <w:t>（如有不一致，以本表为准）</w:t>
      </w:r>
    </w:p>
    <w:tbl>
      <w:tblPr>
        <w:tblStyle w:val="20"/>
        <w:tblW w:w="10022"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9"/>
        <w:gridCol w:w="829"/>
        <w:gridCol w:w="836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9" w:type="dxa"/>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序号</w:t>
            </w:r>
          </w:p>
        </w:tc>
        <w:tc>
          <w:tcPr>
            <w:tcW w:w="829" w:type="dxa"/>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条款</w:t>
            </w:r>
          </w:p>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序号</w:t>
            </w:r>
          </w:p>
        </w:tc>
        <w:tc>
          <w:tcPr>
            <w:tcW w:w="8364" w:type="dxa"/>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内  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jc w:val="center"/>
              <w:outlineLvl w:val="9"/>
              <w:rPr>
                <w:rFonts w:hint="eastAsia"/>
                <w:b/>
                <w:highlight w:val="none"/>
              </w:rPr>
            </w:pPr>
          </w:p>
        </w:tc>
        <w:tc>
          <w:tcPr>
            <w:tcW w:w="829" w:type="dxa"/>
            <w:vAlign w:val="center"/>
          </w:tcPr>
          <w:p>
            <w:pPr>
              <w:jc w:val="center"/>
              <w:outlineLvl w:val="9"/>
              <w:rPr>
                <w:rFonts w:hint="eastAsia"/>
                <w:b/>
                <w:highlight w:val="none"/>
              </w:rPr>
            </w:pPr>
          </w:p>
        </w:tc>
        <w:tc>
          <w:tcPr>
            <w:tcW w:w="8364" w:type="dxa"/>
            <w:vAlign w:val="center"/>
          </w:tcPr>
          <w:p>
            <w:pPr>
              <w:jc w:val="center"/>
              <w:outlineLvl w:val="9"/>
              <w:rPr>
                <w:rFonts w:hint="eastAsia"/>
                <w:b/>
                <w:highlight w:val="none"/>
              </w:rPr>
            </w:pPr>
            <w:r>
              <w:rPr>
                <w:rFonts w:hint="eastAsia"/>
                <w:b/>
                <w:highlight w:val="none"/>
              </w:rPr>
              <w:t>一、 总则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w:t>
            </w:r>
          </w:p>
        </w:tc>
        <w:tc>
          <w:tcPr>
            <w:tcW w:w="829" w:type="dxa"/>
            <w:vAlign w:val="center"/>
          </w:tcPr>
          <w:p>
            <w:pPr>
              <w:spacing w:line="360" w:lineRule="auto"/>
              <w:jc w:val="center"/>
              <w:outlineLvl w:val="9"/>
              <w:rPr>
                <w:rFonts w:hint="eastAsia"/>
                <w:b/>
                <w:highlight w:val="none"/>
              </w:rPr>
            </w:pPr>
            <w:r>
              <w:rPr>
                <w:rFonts w:hint="eastAsia"/>
                <w:b/>
                <w:highlight w:val="none"/>
              </w:rPr>
              <w:t>1</w:t>
            </w:r>
            <w:r>
              <w:rPr>
                <w:b/>
                <w:highlight w:val="none"/>
              </w:rPr>
              <w:t>.</w:t>
            </w:r>
            <w:r>
              <w:rPr>
                <w:rFonts w:hint="eastAsia"/>
                <w:b/>
                <w:highlight w:val="none"/>
              </w:rPr>
              <w:t>1</w:t>
            </w:r>
          </w:p>
        </w:tc>
        <w:tc>
          <w:tcPr>
            <w:tcW w:w="8364" w:type="dxa"/>
            <w:vAlign w:val="center"/>
          </w:tcPr>
          <w:p>
            <w:pPr>
              <w:spacing w:line="360" w:lineRule="auto"/>
              <w:outlineLvl w:val="9"/>
              <w:rPr>
                <w:rFonts w:hint="eastAsia" w:hAnsi="宋体" w:eastAsia="宋体"/>
                <w:highlight w:val="none"/>
                <w:lang w:eastAsia="zh-CN"/>
              </w:rPr>
            </w:pPr>
            <w:r>
              <w:rPr>
                <w:rFonts w:hAnsi="宋体"/>
                <w:highlight w:val="none"/>
                <w:u w:val="single"/>
              </w:rPr>
              <w:t>项目</w:t>
            </w:r>
            <w:r>
              <w:rPr>
                <w:rFonts w:hint="eastAsia" w:hAnsi="宋体"/>
                <w:highlight w:val="none"/>
                <w:u w:val="single"/>
              </w:rPr>
              <w:t>名称</w:t>
            </w:r>
            <w:r>
              <w:rPr>
                <w:rFonts w:hint="eastAsia"/>
                <w:highlight w:val="none"/>
                <w:u w:val="none"/>
              </w:rPr>
              <w:t>：</w:t>
            </w:r>
            <w:r>
              <w:rPr>
                <w:rFonts w:hint="eastAsia" w:hAnsi="宋体"/>
                <w:highlight w:val="none"/>
                <w:lang w:eastAsia="zh-CN"/>
              </w:rPr>
              <w:t>陕西省总工会2022年信息系统安全态势感知服务项目</w:t>
            </w:r>
          </w:p>
          <w:p>
            <w:pPr>
              <w:spacing w:line="360" w:lineRule="auto"/>
              <w:outlineLvl w:val="9"/>
              <w:rPr>
                <w:rFonts w:hint="eastAsia" w:ascii="宋体" w:hAnsi="宋体" w:cs="宋体"/>
                <w:highlight w:val="none"/>
              </w:rPr>
            </w:pPr>
            <w:r>
              <w:rPr>
                <w:rFonts w:hint="eastAsia"/>
                <w:kern w:val="28"/>
                <w:highlight w:val="none"/>
                <w:u w:val="single"/>
              </w:rPr>
              <w:t>采购</w:t>
            </w:r>
            <w:r>
              <w:rPr>
                <w:rFonts w:hint="eastAsia" w:hAnsi="宋体"/>
                <w:kern w:val="28"/>
                <w:highlight w:val="none"/>
                <w:u w:val="single"/>
              </w:rPr>
              <w:t>预算</w:t>
            </w:r>
            <w:r>
              <w:rPr>
                <w:rFonts w:hint="eastAsia" w:hAnsi="宋体"/>
                <w:kern w:val="28"/>
                <w:highlight w:val="none"/>
                <w:u w:val="none"/>
              </w:rPr>
              <w:t>：</w:t>
            </w:r>
            <w:r>
              <w:rPr>
                <w:rFonts w:hint="eastAsia" w:ascii="宋体" w:hAnsi="宋体" w:cs="宋体"/>
                <w:highlight w:val="none"/>
                <w:lang w:val="en-US" w:eastAsia="zh-CN"/>
              </w:rPr>
              <w:t>530,000.00元</w:t>
            </w:r>
          </w:p>
          <w:p>
            <w:pPr>
              <w:spacing w:line="360" w:lineRule="auto"/>
              <w:outlineLvl w:val="9"/>
              <w:rPr>
                <w:rFonts w:hint="eastAsia" w:eastAsia="宋体"/>
                <w:highlight w:val="none"/>
                <w:lang w:eastAsia="zh-CN"/>
              </w:rPr>
            </w:pPr>
            <w:r>
              <w:rPr>
                <w:rFonts w:hint="eastAsia" w:hAnsi="宋体"/>
                <w:kern w:val="28"/>
                <w:highlight w:val="none"/>
                <w:u w:val="single"/>
              </w:rPr>
              <w:t>资金来源</w:t>
            </w:r>
            <w:r>
              <w:rPr>
                <w:rFonts w:hint="eastAsia" w:hAnsi="宋体"/>
                <w:kern w:val="28"/>
                <w:highlight w:val="none"/>
                <w:u w:val="none"/>
              </w:rPr>
              <w:t>：</w:t>
            </w:r>
            <w:r>
              <w:rPr>
                <w:rFonts w:hint="eastAsia" w:hAnsi="宋体"/>
                <w:kern w:val="28"/>
                <w:highlight w:val="none"/>
              </w:rPr>
              <w:t>财政</w:t>
            </w:r>
            <w:r>
              <w:rPr>
                <w:rFonts w:hint="eastAsia" w:hAnsi="宋体"/>
                <w:kern w:val="28"/>
                <w:highlight w:val="none"/>
                <w:lang w:val="en-US" w:eastAsia="zh-CN"/>
              </w:rPr>
              <w:t>拨款</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2</w:t>
            </w:r>
          </w:p>
        </w:tc>
        <w:tc>
          <w:tcPr>
            <w:tcW w:w="829" w:type="dxa"/>
            <w:vAlign w:val="center"/>
          </w:tcPr>
          <w:p>
            <w:pPr>
              <w:spacing w:line="360" w:lineRule="auto"/>
              <w:jc w:val="center"/>
              <w:outlineLvl w:val="9"/>
              <w:rPr>
                <w:rFonts w:hint="eastAsia"/>
                <w:b/>
                <w:highlight w:val="none"/>
              </w:rPr>
            </w:pPr>
            <w:r>
              <w:rPr>
                <w:rFonts w:hint="eastAsia"/>
                <w:b/>
                <w:highlight w:val="none"/>
              </w:rPr>
              <w:t>1.2</w:t>
            </w:r>
          </w:p>
        </w:tc>
        <w:tc>
          <w:tcPr>
            <w:tcW w:w="8364" w:type="dxa"/>
            <w:vAlign w:val="center"/>
          </w:tcPr>
          <w:p>
            <w:pPr>
              <w:spacing w:line="360" w:lineRule="auto"/>
              <w:outlineLvl w:val="9"/>
              <w:rPr>
                <w:rFonts w:hint="eastAsia" w:eastAsia="宋体"/>
                <w:highlight w:val="none"/>
                <w:u w:val="single"/>
                <w:lang w:eastAsia="zh-CN"/>
              </w:rPr>
            </w:pPr>
            <w:r>
              <w:rPr>
                <w:rFonts w:hint="eastAsia"/>
                <w:highlight w:val="none"/>
                <w:u w:val="single"/>
              </w:rPr>
              <w:t>采购人名称</w:t>
            </w:r>
            <w:r>
              <w:rPr>
                <w:rFonts w:hint="eastAsia"/>
                <w:highlight w:val="none"/>
                <w:u w:val="none"/>
              </w:rPr>
              <w:t>：</w:t>
            </w:r>
            <w:r>
              <w:rPr>
                <w:rFonts w:hint="eastAsia"/>
                <w:highlight w:val="none"/>
                <w:lang w:eastAsia="zh-CN"/>
              </w:rPr>
              <w:t>陕西省总工会</w:t>
            </w:r>
          </w:p>
          <w:p>
            <w:pPr>
              <w:spacing w:line="360" w:lineRule="auto"/>
              <w:outlineLvl w:val="9"/>
              <w:rPr>
                <w:rFonts w:hint="default" w:eastAsia="宋体"/>
                <w:highlight w:val="none"/>
                <w:u w:val="single"/>
                <w:lang w:val="en-US" w:eastAsia="zh-CN"/>
              </w:rPr>
            </w:pPr>
            <w:r>
              <w:rPr>
                <w:rFonts w:hint="eastAsia"/>
                <w:highlight w:val="none"/>
                <w:u w:val="single"/>
              </w:rPr>
              <w:t>地址</w:t>
            </w:r>
            <w:r>
              <w:rPr>
                <w:rFonts w:hint="eastAsia"/>
                <w:highlight w:val="none"/>
                <w:u w:val="none"/>
              </w:rPr>
              <w:t>：</w:t>
            </w:r>
            <w:r>
              <w:rPr>
                <w:rFonts w:hint="eastAsia"/>
                <w:highlight w:val="none"/>
                <w:u w:val="none"/>
                <w:lang w:val="en-US" w:eastAsia="zh-CN"/>
              </w:rPr>
              <w:t>陕西省西安市莲湖区莲湖路389号</w:t>
            </w:r>
          </w:p>
          <w:p>
            <w:pPr>
              <w:spacing w:line="360" w:lineRule="auto"/>
              <w:outlineLvl w:val="9"/>
              <w:rPr>
                <w:rFonts w:hint="eastAsia"/>
                <w:highlight w:val="none"/>
                <w:u w:val="none"/>
                <w:lang w:val="en-US" w:eastAsia="zh-CN"/>
              </w:rPr>
            </w:pPr>
            <w:r>
              <w:rPr>
                <w:rFonts w:hint="eastAsia"/>
                <w:highlight w:val="none"/>
                <w:u w:val="single"/>
                <w:lang w:val="en-US" w:eastAsia="zh-CN"/>
              </w:rPr>
              <w:t>联系人</w:t>
            </w:r>
            <w:r>
              <w:rPr>
                <w:rFonts w:hint="eastAsia"/>
                <w:highlight w:val="none"/>
                <w:u w:val="none"/>
                <w:lang w:val="en-US" w:eastAsia="zh-CN"/>
              </w:rPr>
              <w:t>：省总工会经办</w:t>
            </w:r>
          </w:p>
          <w:p>
            <w:pPr>
              <w:spacing w:line="360" w:lineRule="auto"/>
              <w:outlineLvl w:val="9"/>
              <w:rPr>
                <w:rFonts w:hint="eastAsia" w:hAnsi="宋体" w:eastAsia="宋体"/>
                <w:highlight w:val="none"/>
                <w:lang w:val="en-US" w:eastAsia="zh-CN"/>
              </w:rPr>
            </w:pPr>
            <w:r>
              <w:rPr>
                <w:rFonts w:hint="eastAsia"/>
                <w:highlight w:val="none"/>
                <w:u w:val="single"/>
              </w:rPr>
              <w:t>联系方式</w:t>
            </w:r>
            <w:r>
              <w:rPr>
                <w:rFonts w:hint="eastAsia"/>
                <w:highlight w:val="none"/>
                <w:u w:val="none"/>
              </w:rPr>
              <w:t>：</w:t>
            </w:r>
            <w:r>
              <w:rPr>
                <w:rFonts w:hint="eastAsia"/>
                <w:highlight w:val="none"/>
                <w:u w:val="none"/>
                <w:lang w:val="en-US" w:eastAsia="zh-CN"/>
              </w:rPr>
              <w:t>029-87329863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3</w:t>
            </w:r>
          </w:p>
        </w:tc>
        <w:tc>
          <w:tcPr>
            <w:tcW w:w="829" w:type="dxa"/>
            <w:vAlign w:val="center"/>
          </w:tcPr>
          <w:p>
            <w:pPr>
              <w:spacing w:line="360" w:lineRule="auto"/>
              <w:jc w:val="center"/>
              <w:outlineLvl w:val="9"/>
              <w:rPr>
                <w:rFonts w:hint="eastAsia"/>
                <w:b/>
                <w:highlight w:val="none"/>
              </w:rPr>
            </w:pPr>
            <w:r>
              <w:rPr>
                <w:rFonts w:hint="eastAsia"/>
                <w:b/>
                <w:highlight w:val="none"/>
              </w:rPr>
              <w:t>1.4</w:t>
            </w:r>
          </w:p>
        </w:tc>
        <w:tc>
          <w:tcPr>
            <w:tcW w:w="8364" w:type="dxa"/>
            <w:vAlign w:val="center"/>
          </w:tcPr>
          <w:p>
            <w:pPr>
              <w:spacing w:line="360" w:lineRule="auto"/>
              <w:outlineLvl w:val="9"/>
              <w:rPr>
                <w:rFonts w:hint="eastAsia"/>
                <w:kern w:val="28"/>
                <w:highlight w:val="none"/>
              </w:rPr>
            </w:pPr>
            <w:r>
              <w:rPr>
                <w:rFonts w:hint="eastAsia"/>
                <w:kern w:val="28"/>
                <w:highlight w:val="none"/>
                <w:u w:val="single"/>
              </w:rPr>
              <w:t>采购代理机构名称</w:t>
            </w:r>
            <w:r>
              <w:rPr>
                <w:rFonts w:hint="eastAsia"/>
                <w:kern w:val="28"/>
                <w:highlight w:val="none"/>
                <w:u w:val="none"/>
              </w:rPr>
              <w:t>：</w:t>
            </w:r>
            <w:r>
              <w:rPr>
                <w:rFonts w:hint="eastAsia"/>
                <w:kern w:val="28"/>
                <w:highlight w:val="none"/>
              </w:rPr>
              <w:t>陕西德勤招标有限公司</w:t>
            </w:r>
          </w:p>
          <w:p>
            <w:pPr>
              <w:spacing w:line="360" w:lineRule="auto"/>
              <w:outlineLvl w:val="9"/>
              <w:rPr>
                <w:rFonts w:hint="eastAsia" w:eastAsia="宋体"/>
                <w:kern w:val="28"/>
                <w:highlight w:val="none"/>
                <w:u w:val="single"/>
                <w:lang w:eastAsia="zh-CN"/>
              </w:rPr>
            </w:pPr>
            <w:r>
              <w:rPr>
                <w:rFonts w:hint="eastAsia"/>
                <w:kern w:val="28"/>
                <w:highlight w:val="none"/>
                <w:u w:val="single"/>
              </w:rPr>
              <w:t>地址</w:t>
            </w:r>
            <w:r>
              <w:rPr>
                <w:rFonts w:hint="eastAsia"/>
                <w:kern w:val="28"/>
                <w:highlight w:val="none"/>
                <w:u w:val="none"/>
              </w:rPr>
              <w:t>：</w:t>
            </w:r>
            <w:r>
              <w:rPr>
                <w:rFonts w:hint="eastAsia"/>
                <w:kern w:val="28"/>
                <w:highlight w:val="none"/>
                <w:lang w:eastAsia="zh-CN"/>
              </w:rPr>
              <w:t>西安市高新区丈八一路1号汇鑫中心D座2206室</w:t>
            </w:r>
          </w:p>
          <w:p>
            <w:pPr>
              <w:spacing w:line="360" w:lineRule="auto"/>
              <w:outlineLvl w:val="9"/>
              <w:rPr>
                <w:rFonts w:hint="eastAsia" w:eastAsia="宋体"/>
                <w:kern w:val="28"/>
                <w:highlight w:val="none"/>
                <w:u w:val="single"/>
                <w:lang w:eastAsia="zh-CN"/>
              </w:rPr>
            </w:pPr>
            <w:r>
              <w:rPr>
                <w:rFonts w:hint="eastAsia"/>
                <w:kern w:val="28"/>
                <w:highlight w:val="none"/>
                <w:u w:val="single"/>
              </w:rPr>
              <w:t>联系人</w:t>
            </w:r>
            <w:r>
              <w:rPr>
                <w:rFonts w:hint="eastAsia"/>
                <w:kern w:val="28"/>
                <w:highlight w:val="none"/>
                <w:u w:val="none"/>
              </w:rPr>
              <w:t>：</w:t>
            </w:r>
            <w:r>
              <w:rPr>
                <w:rFonts w:hint="eastAsia"/>
                <w:kern w:val="28"/>
                <w:highlight w:val="none"/>
                <w:u w:val="none"/>
                <w:lang w:val="en-US" w:eastAsia="zh-CN"/>
              </w:rPr>
              <w:t>李浩、贾旭鸣、党徽</w:t>
            </w:r>
          </w:p>
          <w:p>
            <w:pPr>
              <w:spacing w:line="360" w:lineRule="auto"/>
              <w:outlineLvl w:val="9"/>
              <w:rPr>
                <w:rFonts w:hint="eastAsia" w:eastAsia="宋体"/>
                <w:kern w:val="28"/>
                <w:highlight w:val="none"/>
                <w:u w:val="single"/>
                <w:lang w:eastAsia="zh-CN"/>
              </w:rPr>
            </w:pPr>
            <w:r>
              <w:rPr>
                <w:rFonts w:hint="eastAsia"/>
                <w:kern w:val="28"/>
                <w:highlight w:val="none"/>
                <w:u w:val="single"/>
              </w:rPr>
              <w:t>联系电话</w:t>
            </w:r>
            <w:r>
              <w:rPr>
                <w:rFonts w:hint="eastAsia"/>
                <w:kern w:val="28"/>
                <w:highlight w:val="none"/>
                <w:u w:val="none"/>
              </w:rPr>
              <w:t>：</w:t>
            </w:r>
            <w:r>
              <w:rPr>
                <w:rFonts w:hint="eastAsia"/>
                <w:kern w:val="28"/>
                <w:highlight w:val="none"/>
                <w:lang w:eastAsia="zh-CN"/>
              </w:rPr>
              <w:t>029-81106093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4</w:t>
            </w:r>
          </w:p>
        </w:tc>
        <w:tc>
          <w:tcPr>
            <w:tcW w:w="829" w:type="dxa"/>
            <w:vAlign w:val="center"/>
          </w:tcPr>
          <w:p>
            <w:pPr>
              <w:spacing w:line="360" w:lineRule="auto"/>
              <w:jc w:val="center"/>
              <w:outlineLvl w:val="9"/>
              <w:rPr>
                <w:rFonts w:hint="eastAsia"/>
                <w:b/>
                <w:highlight w:val="none"/>
              </w:rPr>
            </w:pPr>
            <w:r>
              <w:rPr>
                <w:rFonts w:hint="eastAsia"/>
                <w:b/>
                <w:highlight w:val="none"/>
              </w:rPr>
              <w:t>2.1</w:t>
            </w:r>
          </w:p>
        </w:tc>
        <w:tc>
          <w:tcPr>
            <w:tcW w:w="8364" w:type="dxa"/>
            <w:vAlign w:val="center"/>
          </w:tcPr>
          <w:p>
            <w:pPr>
              <w:spacing w:line="360" w:lineRule="auto"/>
              <w:outlineLvl w:val="9"/>
              <w:rPr>
                <w:rFonts w:hint="eastAsia" w:eastAsia="宋体"/>
                <w:kern w:val="28"/>
                <w:highlight w:val="none"/>
                <w:lang w:eastAsia="zh-CN"/>
              </w:rPr>
            </w:pPr>
            <w:r>
              <w:rPr>
                <w:rFonts w:hint="eastAsia"/>
                <w:kern w:val="28"/>
                <w:highlight w:val="none"/>
                <w:u w:val="single"/>
              </w:rPr>
              <w:t>本项目是否专门面向中小企业采购</w:t>
            </w:r>
            <w:r>
              <w:rPr>
                <w:rFonts w:hint="eastAsia"/>
                <w:kern w:val="28"/>
                <w:highlight w:val="none"/>
                <w:u w:val="none"/>
              </w:rPr>
              <w:t>：</w:t>
            </w:r>
            <w:r>
              <w:rPr>
                <w:rFonts w:hint="eastAsia"/>
                <w:kern w:val="28"/>
                <w:highlight w:val="none"/>
                <w:lang w:val="en-US" w:eastAsia="zh-CN"/>
              </w:rPr>
              <w:t>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5</w:t>
            </w:r>
          </w:p>
        </w:tc>
        <w:tc>
          <w:tcPr>
            <w:tcW w:w="829" w:type="dxa"/>
            <w:vAlign w:val="center"/>
          </w:tcPr>
          <w:p>
            <w:pPr>
              <w:spacing w:line="360" w:lineRule="auto"/>
              <w:jc w:val="center"/>
              <w:outlineLvl w:val="9"/>
              <w:rPr>
                <w:rFonts w:hint="eastAsia"/>
                <w:b/>
                <w:highlight w:val="none"/>
              </w:rPr>
            </w:pPr>
            <w:r>
              <w:rPr>
                <w:rFonts w:hint="eastAsia"/>
                <w:b/>
                <w:highlight w:val="none"/>
              </w:rPr>
              <w:t>2.1</w:t>
            </w:r>
          </w:p>
        </w:tc>
        <w:tc>
          <w:tcPr>
            <w:tcW w:w="8364" w:type="dxa"/>
            <w:vAlign w:val="center"/>
          </w:tcPr>
          <w:p>
            <w:pPr>
              <w:spacing w:line="360" w:lineRule="auto"/>
              <w:outlineLvl w:val="9"/>
              <w:rPr>
                <w:rFonts w:hint="eastAsia"/>
                <w:kern w:val="28"/>
                <w:highlight w:val="none"/>
              </w:rPr>
            </w:pPr>
            <w:r>
              <w:rPr>
                <w:rFonts w:hint="eastAsia"/>
                <w:kern w:val="28"/>
                <w:highlight w:val="none"/>
                <w:u w:val="single"/>
              </w:rPr>
              <w:t>是否允许联合体</w:t>
            </w:r>
            <w:r>
              <w:rPr>
                <w:rFonts w:hint="eastAsia"/>
                <w:kern w:val="28"/>
                <w:highlight w:val="none"/>
                <w:u w:val="single"/>
                <w:lang w:eastAsia="zh-CN"/>
              </w:rPr>
              <w:t>响应</w:t>
            </w:r>
            <w:r>
              <w:rPr>
                <w:rFonts w:hint="eastAsia"/>
                <w:kern w:val="28"/>
                <w:highlight w:val="none"/>
                <w:u w:val="none"/>
              </w:rPr>
              <w:t>：</w:t>
            </w:r>
            <w:r>
              <w:rPr>
                <w:rFonts w:hint="eastAsia"/>
                <w:kern w:val="28"/>
                <w:highlight w:val="none"/>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6</w:t>
            </w:r>
          </w:p>
        </w:tc>
        <w:tc>
          <w:tcPr>
            <w:tcW w:w="829" w:type="dxa"/>
            <w:vAlign w:val="center"/>
          </w:tcPr>
          <w:p>
            <w:pPr>
              <w:spacing w:line="360" w:lineRule="auto"/>
              <w:jc w:val="center"/>
              <w:outlineLvl w:val="9"/>
              <w:rPr>
                <w:rFonts w:hint="eastAsia"/>
                <w:b/>
                <w:highlight w:val="none"/>
              </w:rPr>
            </w:pPr>
            <w:r>
              <w:rPr>
                <w:rFonts w:hint="eastAsia"/>
                <w:b/>
                <w:highlight w:val="none"/>
              </w:rPr>
              <w:t>2</w:t>
            </w:r>
            <w:r>
              <w:rPr>
                <w:b/>
                <w:highlight w:val="none"/>
              </w:rPr>
              <w:t>.</w:t>
            </w:r>
            <w:r>
              <w:rPr>
                <w:rFonts w:hint="eastAsia"/>
                <w:b/>
                <w:highlight w:val="none"/>
              </w:rPr>
              <w:t>2</w:t>
            </w:r>
          </w:p>
        </w:tc>
        <w:tc>
          <w:tcPr>
            <w:tcW w:w="8364" w:type="dxa"/>
            <w:vAlign w:val="center"/>
          </w:tcPr>
          <w:p>
            <w:pPr>
              <w:spacing w:line="360" w:lineRule="auto"/>
              <w:jc w:val="both"/>
              <w:outlineLvl w:val="9"/>
              <w:rPr>
                <w:rFonts w:hint="eastAsia"/>
                <w:highlight w:val="none"/>
              </w:rPr>
            </w:pPr>
            <w:r>
              <w:rPr>
                <w:rFonts w:hint="eastAsia"/>
                <w:highlight w:val="none"/>
                <w:lang w:val="en-US" w:eastAsia="zh-CN"/>
              </w:rPr>
              <w:t>2.2响应供应商应在响应文件中提交以下文件以证明其资格：</w:t>
            </w:r>
          </w:p>
          <w:p>
            <w:pPr>
              <w:spacing w:line="360" w:lineRule="auto"/>
              <w:jc w:val="both"/>
              <w:outlineLvl w:val="9"/>
              <w:rPr>
                <w:rFonts w:hint="eastAsia"/>
                <w:highlight w:val="none"/>
                <w:lang w:val="en-US" w:eastAsia="zh-CN"/>
              </w:rPr>
            </w:pPr>
            <w:r>
              <w:rPr>
                <w:rFonts w:hint="eastAsia"/>
                <w:highlight w:val="none"/>
                <w:lang w:val="en-US" w:eastAsia="zh-CN"/>
              </w:rPr>
              <w:t>2.2.1供应商资格声明（格式）；</w:t>
            </w:r>
          </w:p>
          <w:p>
            <w:pPr>
              <w:spacing w:line="360" w:lineRule="auto"/>
              <w:outlineLvl w:val="9"/>
              <w:rPr>
                <w:rFonts w:hint="eastAsia"/>
                <w:highlight w:val="none"/>
              </w:rPr>
            </w:pPr>
            <w:r>
              <w:rPr>
                <w:rFonts w:hint="eastAsia"/>
                <w:highlight w:val="none"/>
              </w:rPr>
              <w:t>1）企业法人</w:t>
            </w:r>
            <w:r>
              <w:rPr>
                <w:rFonts w:hint="eastAsia"/>
                <w:highlight w:val="none"/>
                <w:lang w:eastAsia="zh-CN"/>
              </w:rPr>
              <w:t>、</w:t>
            </w:r>
            <w:r>
              <w:rPr>
                <w:rFonts w:hint="eastAsia"/>
                <w:highlight w:val="none"/>
                <w:lang w:val="en-US" w:eastAsia="zh-CN"/>
              </w:rPr>
              <w:t>其他组织</w:t>
            </w:r>
            <w:r>
              <w:rPr>
                <w:rFonts w:hint="eastAsia"/>
                <w:highlight w:val="none"/>
              </w:rPr>
              <w:t>营业执照副本</w:t>
            </w:r>
            <w:r>
              <w:rPr>
                <w:rFonts w:hint="eastAsia"/>
                <w:highlight w:val="none"/>
                <w:lang w:val="en-US" w:eastAsia="zh-CN"/>
              </w:rPr>
              <w:t>或</w:t>
            </w:r>
            <w:r>
              <w:rPr>
                <w:rFonts w:hint="eastAsia"/>
                <w:highlight w:val="none"/>
              </w:rPr>
              <w:t>事业单位法人证书</w:t>
            </w:r>
            <w:r>
              <w:rPr>
                <w:rFonts w:hint="eastAsia"/>
                <w:highlight w:val="none"/>
                <w:lang w:eastAsia="zh-CN"/>
              </w:rPr>
              <w:t>，自然人提供身份证明</w:t>
            </w:r>
            <w:r>
              <w:rPr>
                <w:rFonts w:hint="eastAsia"/>
                <w:highlight w:val="none"/>
              </w:rPr>
              <w:t>（复印件加盖</w:t>
            </w:r>
            <w:r>
              <w:rPr>
                <w:rFonts w:hint="eastAsia"/>
                <w:highlight w:val="none"/>
                <w:lang w:val="en-US" w:eastAsia="zh-CN"/>
              </w:rPr>
              <w:t>响应</w:t>
            </w:r>
            <w:r>
              <w:rPr>
                <w:rFonts w:hint="eastAsia"/>
                <w:highlight w:val="none"/>
              </w:rPr>
              <w:t>供应商公章）；</w:t>
            </w:r>
          </w:p>
          <w:p>
            <w:pPr>
              <w:spacing w:line="360" w:lineRule="auto"/>
              <w:jc w:val="both"/>
              <w:outlineLvl w:val="9"/>
              <w:rPr>
                <w:rFonts w:hint="eastAsia"/>
                <w:highlight w:val="none"/>
                <w:lang w:val="en-US" w:eastAsia="zh-CN"/>
              </w:rPr>
            </w:pPr>
            <w:r>
              <w:rPr>
                <w:rFonts w:hint="eastAsia"/>
                <w:highlight w:val="none"/>
                <w:lang w:val="en-US" w:eastAsia="zh-CN"/>
              </w:rPr>
              <w:t>2）2021年度经审计的财务报告（成立时间至磋商会议日期不足一年的响应供应商可提供成立后任意时段的资产负债表）（复印件加盖响应供应商公章）；</w:t>
            </w:r>
          </w:p>
          <w:p>
            <w:pPr>
              <w:spacing w:line="360" w:lineRule="auto"/>
              <w:jc w:val="both"/>
              <w:outlineLvl w:val="9"/>
              <w:rPr>
                <w:rFonts w:hint="eastAsia"/>
                <w:highlight w:val="none"/>
                <w:lang w:val="en-US" w:eastAsia="zh-CN"/>
              </w:rPr>
            </w:pPr>
            <w:r>
              <w:rPr>
                <w:rFonts w:hint="eastAsia"/>
                <w:highlight w:val="none"/>
                <w:lang w:val="en-US" w:eastAsia="zh-CN"/>
              </w:rPr>
              <w:t>或在磋商会议日期前六个月内其基本存款账户开户银行出具的资信证明（原件）；</w:t>
            </w:r>
          </w:p>
          <w:p>
            <w:pPr>
              <w:spacing w:line="360" w:lineRule="auto"/>
              <w:jc w:val="both"/>
              <w:outlineLvl w:val="9"/>
              <w:rPr>
                <w:rFonts w:hint="eastAsia"/>
                <w:highlight w:val="none"/>
                <w:lang w:val="en-US" w:eastAsia="zh-CN"/>
              </w:rPr>
            </w:pPr>
            <w:r>
              <w:rPr>
                <w:rFonts w:hint="eastAsia"/>
                <w:highlight w:val="none"/>
                <w:lang w:val="en-US" w:eastAsia="zh-CN"/>
              </w:rPr>
              <w:t>或在磋商会议日期前六个月内信用担保机构出具的投标担保函（原件）；</w:t>
            </w:r>
          </w:p>
          <w:p>
            <w:pPr>
              <w:spacing w:line="360" w:lineRule="auto"/>
              <w:jc w:val="both"/>
              <w:outlineLvl w:val="9"/>
              <w:rPr>
                <w:rFonts w:hint="eastAsia"/>
                <w:highlight w:val="none"/>
                <w:lang w:val="en-US" w:eastAsia="zh-CN"/>
              </w:rPr>
            </w:pPr>
            <w:r>
              <w:rPr>
                <w:rFonts w:hint="eastAsia"/>
                <w:highlight w:val="none"/>
                <w:lang w:val="en-US" w:eastAsia="zh-CN"/>
              </w:rPr>
              <w:t>（以上三种形式的资料提供任何一种即可）</w:t>
            </w:r>
          </w:p>
          <w:p>
            <w:pPr>
              <w:spacing w:line="360" w:lineRule="auto"/>
              <w:jc w:val="both"/>
              <w:outlineLvl w:val="9"/>
              <w:rPr>
                <w:rFonts w:hint="eastAsia"/>
                <w:highlight w:val="none"/>
                <w:lang w:val="en-US" w:eastAsia="zh-CN"/>
              </w:rPr>
            </w:pPr>
            <w:r>
              <w:rPr>
                <w:rFonts w:hint="eastAsia"/>
                <w:highlight w:val="none"/>
                <w:lang w:val="en-US" w:eastAsia="zh-CN"/>
              </w:rPr>
              <w:t>3）磋商会议日期前十二个月任意一个月缴税凭据（复印件加盖响应供应商公章）（依法免税的响应供应商应提供相应文件证明）；</w:t>
            </w:r>
          </w:p>
          <w:p>
            <w:pPr>
              <w:spacing w:line="360" w:lineRule="auto"/>
              <w:jc w:val="both"/>
              <w:outlineLvl w:val="9"/>
              <w:rPr>
                <w:rFonts w:hint="eastAsia"/>
                <w:highlight w:val="none"/>
                <w:lang w:val="en-US" w:eastAsia="zh-CN"/>
              </w:rPr>
            </w:pPr>
            <w:r>
              <w:rPr>
                <w:rFonts w:hint="eastAsia"/>
                <w:highlight w:val="none"/>
                <w:lang w:val="en-US" w:eastAsia="zh-CN"/>
              </w:rPr>
              <w:t>4）磋商会议日期前十二个月任意一个月缴纳社会保险的凭据（专用收据或社会保险缴纳清单或其他证明材料）（复印件加盖响应供应商公章）（依法不需要缴纳社会保障资金的响应供应商应提供相应文件证明）；</w:t>
            </w:r>
          </w:p>
          <w:p>
            <w:pPr>
              <w:spacing w:line="360" w:lineRule="auto"/>
              <w:jc w:val="both"/>
              <w:outlineLvl w:val="9"/>
              <w:rPr>
                <w:rFonts w:hint="eastAsia"/>
                <w:highlight w:val="none"/>
                <w:lang w:val="en-GB" w:eastAsia="zh-CN"/>
              </w:rPr>
            </w:pPr>
            <w:r>
              <w:rPr>
                <w:rFonts w:hint="eastAsia"/>
                <w:highlight w:val="none"/>
                <w:lang w:val="en-GB" w:eastAsia="zh-CN"/>
              </w:rPr>
              <w:t>2.2.</w:t>
            </w:r>
            <w:r>
              <w:rPr>
                <w:rFonts w:hint="eastAsia"/>
                <w:highlight w:val="none"/>
                <w:lang w:val="en-US" w:eastAsia="zh-CN"/>
              </w:rPr>
              <w:t>2</w:t>
            </w:r>
            <w:r>
              <w:rPr>
                <w:rFonts w:hint="eastAsia"/>
                <w:highlight w:val="none"/>
                <w:lang w:val="en-GB" w:eastAsia="zh-CN"/>
              </w:rPr>
              <w:t>保证金汇款声明函</w:t>
            </w:r>
            <w:r>
              <w:rPr>
                <w:rFonts w:hint="eastAsia"/>
                <w:highlight w:val="none"/>
                <w:lang w:val="en-US" w:eastAsia="zh-CN"/>
              </w:rPr>
              <w:t>/保函</w:t>
            </w:r>
            <w:r>
              <w:rPr>
                <w:rFonts w:hint="eastAsia"/>
                <w:highlight w:val="none"/>
                <w:lang w:val="en-GB" w:eastAsia="zh-CN"/>
              </w:rPr>
              <w:t>（</w:t>
            </w:r>
            <w:r>
              <w:rPr>
                <w:rFonts w:hint="eastAsia"/>
                <w:highlight w:val="none"/>
                <w:lang w:val="en-US" w:eastAsia="zh-CN"/>
              </w:rPr>
              <w:t>格式</w:t>
            </w:r>
            <w:r>
              <w:rPr>
                <w:rFonts w:hint="eastAsia"/>
                <w:highlight w:val="none"/>
                <w:lang w:val="en-GB" w:eastAsia="zh-CN"/>
              </w:rPr>
              <w:t>）（</w:t>
            </w:r>
            <w:r>
              <w:rPr>
                <w:rFonts w:hint="eastAsia"/>
                <w:highlight w:val="none"/>
                <w:lang w:val="en-US" w:eastAsia="zh-CN"/>
              </w:rPr>
              <w:t>若提交保函，应于响应文件递交截止时间前将保函扫描件发送至</w:t>
            </w:r>
            <w:r>
              <w:rPr>
                <w:rFonts w:hint="eastAsia" w:eastAsia="宋体"/>
                <w:highlight w:val="none"/>
                <w:lang w:val="en-US" w:eastAsia="zh-CN"/>
              </w:rPr>
              <w:t>采购代理机构指定</w:t>
            </w:r>
            <w:r>
              <w:rPr>
                <w:rFonts w:hint="eastAsia"/>
                <w:highlight w:val="none"/>
                <w:lang w:val="en-US" w:eastAsia="zh-CN"/>
              </w:rPr>
              <w:t>邮箱</w:t>
            </w:r>
            <w:r>
              <w:rPr>
                <w:rFonts w:hint="eastAsia"/>
                <w:highlight w:val="none"/>
                <w:lang w:val="en-GB" w:eastAsia="zh-CN"/>
              </w:rPr>
              <w:t>）；</w:t>
            </w:r>
          </w:p>
          <w:p>
            <w:pPr>
              <w:spacing w:line="360" w:lineRule="auto"/>
              <w:jc w:val="both"/>
              <w:outlineLvl w:val="9"/>
              <w:rPr>
                <w:rFonts w:hint="eastAsia"/>
                <w:highlight w:val="none"/>
              </w:rPr>
            </w:pPr>
            <w:r>
              <w:rPr>
                <w:rFonts w:hint="eastAsia"/>
                <w:highlight w:val="none"/>
                <w:lang w:val="en-GB" w:eastAsia="zh-CN"/>
              </w:rPr>
              <w:t>2.2.</w:t>
            </w:r>
            <w:r>
              <w:rPr>
                <w:rFonts w:hint="eastAsia"/>
                <w:highlight w:val="none"/>
                <w:lang w:val="en-US" w:eastAsia="zh-CN"/>
              </w:rPr>
              <w:t>3法定代表人授权书（法定代表人直接参加磋商会议须提交法定代表人证明书）（格式）</w:t>
            </w:r>
            <w:r>
              <w:rPr>
                <w:rFonts w:hint="eastAsia"/>
                <w:highlight w:val="none"/>
              </w:rPr>
              <w:t>；</w:t>
            </w:r>
          </w:p>
          <w:p>
            <w:pPr>
              <w:spacing w:line="360" w:lineRule="auto"/>
              <w:jc w:val="both"/>
              <w:outlineLvl w:val="9"/>
              <w:rPr>
                <w:rFonts w:hint="default" w:eastAsia="宋体"/>
                <w:highlight w:val="none"/>
                <w:lang w:val="en-US" w:eastAsia="zh-CN"/>
              </w:rPr>
            </w:pPr>
            <w:r>
              <w:rPr>
                <w:rFonts w:hint="eastAsia"/>
                <w:highlight w:val="none"/>
                <w:lang w:val="en-US" w:eastAsia="zh-CN"/>
              </w:rPr>
              <w:t>2.2.4</w:t>
            </w:r>
            <w:r>
              <w:rPr>
                <w:rFonts w:hint="eastAsia" w:ascii="宋体" w:hAnsi="宋体" w:cs="宋体"/>
                <w:kern w:val="28"/>
                <w:highlight w:val="none"/>
                <w:lang w:val="en-US" w:eastAsia="zh-CN"/>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7</w:t>
            </w:r>
          </w:p>
        </w:tc>
        <w:tc>
          <w:tcPr>
            <w:tcW w:w="829" w:type="dxa"/>
            <w:vAlign w:val="center"/>
          </w:tcPr>
          <w:p>
            <w:pPr>
              <w:spacing w:line="360" w:lineRule="auto"/>
              <w:jc w:val="center"/>
              <w:outlineLvl w:val="9"/>
              <w:rPr>
                <w:rFonts w:hint="eastAsia"/>
                <w:b/>
                <w:highlight w:val="none"/>
              </w:rPr>
            </w:pPr>
            <w:r>
              <w:rPr>
                <w:rFonts w:hint="eastAsia"/>
                <w:b/>
                <w:highlight w:val="none"/>
              </w:rPr>
              <w:t>2.3</w:t>
            </w:r>
          </w:p>
        </w:tc>
        <w:tc>
          <w:tcPr>
            <w:tcW w:w="8364" w:type="dxa"/>
            <w:vAlign w:val="center"/>
          </w:tcPr>
          <w:p>
            <w:pPr>
              <w:spacing w:line="360" w:lineRule="auto"/>
              <w:outlineLvl w:val="9"/>
              <w:rPr>
                <w:rFonts w:hint="eastAsia"/>
                <w:kern w:val="28"/>
                <w:highlight w:val="none"/>
                <w:u w:val="single"/>
              </w:rPr>
            </w:pPr>
            <w:r>
              <w:rPr>
                <w:rFonts w:hint="eastAsia"/>
                <w:kern w:val="28"/>
                <w:highlight w:val="none"/>
                <w:u w:val="single"/>
              </w:rPr>
              <w:t>2.3</w:t>
            </w:r>
            <w:r>
              <w:rPr>
                <w:rFonts w:hint="eastAsia"/>
                <w:kern w:val="28"/>
                <w:highlight w:val="none"/>
                <w:u w:val="single"/>
                <w:lang w:eastAsia="zh-CN"/>
              </w:rPr>
              <w:t>响应</w:t>
            </w:r>
            <w:r>
              <w:rPr>
                <w:rFonts w:hint="eastAsia"/>
                <w:kern w:val="28"/>
                <w:highlight w:val="none"/>
                <w:u w:val="single"/>
              </w:rPr>
              <w:t>供应商递交</w:t>
            </w:r>
            <w:r>
              <w:rPr>
                <w:rFonts w:hint="eastAsia"/>
                <w:kern w:val="28"/>
                <w:highlight w:val="none"/>
                <w:u w:val="single"/>
                <w:lang w:val="en-US" w:eastAsia="zh-CN"/>
              </w:rPr>
              <w:t>响应</w:t>
            </w:r>
            <w:r>
              <w:rPr>
                <w:rFonts w:hint="eastAsia"/>
                <w:kern w:val="28"/>
                <w:highlight w:val="none"/>
                <w:u w:val="single"/>
              </w:rPr>
              <w:t>文件时，必须同时提交以下资格证明文件证明材料原件，以证明其资格：</w:t>
            </w:r>
          </w:p>
          <w:p>
            <w:pPr>
              <w:spacing w:line="360" w:lineRule="auto"/>
              <w:outlineLvl w:val="9"/>
              <w:rPr>
                <w:rFonts w:hint="eastAsia"/>
                <w:kern w:val="28"/>
                <w:highlight w:val="none"/>
              </w:rPr>
            </w:pPr>
            <w:r>
              <w:rPr>
                <w:rFonts w:hint="eastAsia"/>
                <w:kern w:val="28"/>
                <w:highlight w:val="none"/>
              </w:rPr>
              <w:t>2.3.1企业法人</w:t>
            </w:r>
            <w:r>
              <w:rPr>
                <w:rFonts w:hint="eastAsia"/>
                <w:kern w:val="28"/>
                <w:highlight w:val="none"/>
                <w:lang w:eastAsia="zh-CN"/>
              </w:rPr>
              <w:t>、</w:t>
            </w:r>
            <w:r>
              <w:rPr>
                <w:rFonts w:hint="eastAsia"/>
                <w:kern w:val="28"/>
                <w:highlight w:val="none"/>
                <w:lang w:val="en-US" w:eastAsia="zh-CN"/>
              </w:rPr>
              <w:t>其他组织</w:t>
            </w:r>
            <w:r>
              <w:rPr>
                <w:rFonts w:hint="eastAsia"/>
                <w:kern w:val="28"/>
                <w:highlight w:val="none"/>
              </w:rPr>
              <w:t>营业执照</w:t>
            </w:r>
            <w:r>
              <w:rPr>
                <w:rFonts w:hint="eastAsia"/>
                <w:kern w:val="28"/>
                <w:highlight w:val="none"/>
                <w:lang w:val="en-US" w:eastAsia="zh-CN"/>
              </w:rPr>
              <w:t>副本或</w:t>
            </w:r>
            <w:r>
              <w:rPr>
                <w:rFonts w:hint="eastAsia"/>
                <w:kern w:val="28"/>
                <w:highlight w:val="none"/>
              </w:rPr>
              <w:t>事业单位法人证书</w:t>
            </w:r>
            <w:r>
              <w:rPr>
                <w:rFonts w:hint="eastAsia"/>
                <w:kern w:val="28"/>
                <w:highlight w:val="none"/>
                <w:lang w:eastAsia="zh-CN"/>
              </w:rPr>
              <w:t>，自然人提供身份证明</w:t>
            </w:r>
            <w:r>
              <w:rPr>
                <w:rFonts w:hint="eastAsia"/>
                <w:kern w:val="28"/>
                <w:highlight w:val="none"/>
              </w:rPr>
              <w:t>；</w:t>
            </w:r>
          </w:p>
          <w:p>
            <w:pPr>
              <w:spacing w:line="360" w:lineRule="auto"/>
              <w:outlineLvl w:val="9"/>
              <w:rPr>
                <w:rFonts w:hint="eastAsia"/>
                <w:highlight w:val="none"/>
              </w:rPr>
            </w:pPr>
            <w:r>
              <w:rPr>
                <w:rFonts w:hint="eastAsia"/>
                <w:kern w:val="28"/>
                <w:highlight w:val="none"/>
              </w:rPr>
              <w:t>2.3.2授权代表身份证（法定代表人直接</w:t>
            </w:r>
            <w:r>
              <w:rPr>
                <w:rFonts w:hint="eastAsia"/>
                <w:kern w:val="28"/>
                <w:highlight w:val="none"/>
                <w:lang w:eastAsia="zh-CN"/>
              </w:rPr>
              <w:t>参加磋商会议</w:t>
            </w:r>
            <w:r>
              <w:rPr>
                <w:rFonts w:hint="eastAsia"/>
                <w:kern w:val="28"/>
                <w:highlight w:val="none"/>
              </w:rPr>
              <w:t>提交法定代表人身份证）。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spacing w:line="360" w:lineRule="auto"/>
              <w:jc w:val="center"/>
              <w:outlineLvl w:val="9"/>
              <w:rPr>
                <w:rFonts w:hint="eastAsia"/>
                <w:b/>
                <w:highlight w:val="none"/>
              </w:rPr>
            </w:pPr>
          </w:p>
        </w:tc>
        <w:tc>
          <w:tcPr>
            <w:tcW w:w="8364" w:type="dxa"/>
            <w:vAlign w:val="center"/>
          </w:tcPr>
          <w:p>
            <w:pPr>
              <w:spacing w:line="560" w:lineRule="exact"/>
              <w:jc w:val="center"/>
              <w:outlineLvl w:val="9"/>
              <w:rPr>
                <w:rFonts w:hint="eastAsia" w:hAnsi="宋体"/>
                <w:highlight w:val="none"/>
              </w:rPr>
            </w:pPr>
            <w:r>
              <w:rPr>
                <w:rFonts w:hint="eastAsia"/>
                <w:b/>
                <w:highlight w:val="none"/>
              </w:rPr>
              <w:t>二、</w:t>
            </w:r>
            <w:r>
              <w:rPr>
                <w:rFonts w:hint="eastAsia"/>
                <w:b/>
                <w:highlight w:val="none"/>
                <w:lang w:eastAsia="zh-CN"/>
              </w:rPr>
              <w:t>竞争性磋商</w:t>
            </w:r>
            <w:r>
              <w:rPr>
                <w:rFonts w:hint="eastAsia"/>
                <w:b/>
                <w:highlight w:val="none"/>
              </w:rPr>
              <w:t>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8</w:t>
            </w:r>
          </w:p>
        </w:tc>
        <w:tc>
          <w:tcPr>
            <w:tcW w:w="829" w:type="dxa"/>
            <w:vAlign w:val="center"/>
          </w:tcPr>
          <w:p>
            <w:pPr>
              <w:spacing w:line="360" w:lineRule="auto"/>
              <w:jc w:val="center"/>
              <w:outlineLvl w:val="9"/>
              <w:rPr>
                <w:rFonts w:hint="eastAsia"/>
                <w:b/>
                <w:highlight w:val="none"/>
              </w:rPr>
            </w:pPr>
            <w:r>
              <w:rPr>
                <w:rFonts w:hint="eastAsia"/>
                <w:b/>
                <w:highlight w:val="none"/>
              </w:rPr>
              <w:t>7</w:t>
            </w:r>
          </w:p>
        </w:tc>
        <w:tc>
          <w:tcPr>
            <w:tcW w:w="8364" w:type="dxa"/>
            <w:vAlign w:val="center"/>
          </w:tcPr>
          <w:p>
            <w:pPr>
              <w:tabs>
                <w:tab w:val="left" w:pos="315"/>
                <w:tab w:val="left" w:pos="1785"/>
                <w:tab w:val="left" w:pos="2310"/>
                <w:tab w:val="left" w:pos="8640"/>
              </w:tabs>
              <w:outlineLvl w:val="9"/>
              <w:rPr>
                <w:bCs/>
                <w:highlight w:val="none"/>
              </w:rPr>
            </w:pPr>
            <w:r>
              <w:rPr>
                <w:rFonts w:hint="eastAsia"/>
                <w:bCs/>
                <w:highlight w:val="none"/>
                <w:lang w:eastAsia="zh-CN"/>
              </w:rPr>
              <w:t>响应</w:t>
            </w:r>
            <w:r>
              <w:rPr>
                <w:rFonts w:hint="eastAsia"/>
                <w:bCs/>
                <w:highlight w:val="none"/>
              </w:rPr>
              <w:t>答疑会时间：无</w:t>
            </w:r>
          </w:p>
          <w:p>
            <w:pPr>
              <w:outlineLvl w:val="9"/>
              <w:rPr>
                <w:rFonts w:hint="eastAsia" w:hAnsi="宋体"/>
                <w:highlight w:val="none"/>
              </w:rPr>
            </w:pPr>
            <w:r>
              <w:rPr>
                <w:rFonts w:hint="eastAsia"/>
                <w:bCs/>
                <w:highlight w:val="none"/>
                <w:lang w:eastAsia="zh-CN"/>
              </w:rPr>
              <w:t>响应</w:t>
            </w:r>
            <w:r>
              <w:rPr>
                <w:rFonts w:hint="eastAsia"/>
                <w:bCs/>
                <w:highlight w:val="none"/>
              </w:rPr>
              <w:t>答疑会地点：无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三、</w:t>
            </w:r>
            <w:r>
              <w:rPr>
                <w:rFonts w:hint="eastAsia"/>
                <w:b/>
                <w:highlight w:val="none"/>
                <w:lang w:eastAsia="zh-CN"/>
              </w:rPr>
              <w:t>响应</w:t>
            </w:r>
            <w:r>
              <w:rPr>
                <w:rFonts w:hint="eastAsia"/>
                <w:b/>
                <w:highlight w:val="none"/>
              </w:rPr>
              <w:t>文件的编制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9</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13.1</w:t>
            </w:r>
          </w:p>
        </w:tc>
        <w:tc>
          <w:tcPr>
            <w:tcW w:w="8364" w:type="dxa"/>
            <w:vAlign w:val="center"/>
          </w:tcPr>
          <w:p>
            <w:pPr>
              <w:spacing w:line="360" w:lineRule="auto"/>
              <w:outlineLvl w:val="9"/>
              <w:rPr>
                <w:rFonts w:hint="eastAsia"/>
                <w:b/>
                <w:highlight w:val="none"/>
              </w:rPr>
            </w:pPr>
            <w:r>
              <w:rPr>
                <w:rFonts w:hint="eastAsia"/>
                <w:kern w:val="28"/>
                <w:highlight w:val="none"/>
                <w:u w:val="single"/>
              </w:rPr>
              <w:t>本次</w:t>
            </w:r>
            <w:r>
              <w:rPr>
                <w:rFonts w:hint="eastAsia"/>
                <w:kern w:val="28"/>
                <w:highlight w:val="none"/>
                <w:u w:val="single"/>
                <w:lang w:eastAsia="zh-CN"/>
              </w:rPr>
              <w:t>磋商</w:t>
            </w:r>
            <w:r>
              <w:rPr>
                <w:rFonts w:hint="eastAsia"/>
                <w:kern w:val="28"/>
                <w:highlight w:val="none"/>
                <w:u w:val="single"/>
              </w:rPr>
              <w:t>活动需交纳保证金为</w:t>
            </w:r>
            <w:r>
              <w:rPr>
                <w:rFonts w:hint="eastAsia"/>
                <w:kern w:val="28"/>
                <w:highlight w:val="none"/>
                <w:u w:val="none"/>
              </w:rPr>
              <w:t>：</w:t>
            </w:r>
            <w:r>
              <w:rPr>
                <w:rFonts w:hint="eastAsia" w:ascii="宋体" w:hAnsi="宋体" w:cs="宋体"/>
                <w:b/>
                <w:bCs/>
                <w:kern w:val="28"/>
                <w:highlight w:val="none"/>
                <w:lang w:val="en-US" w:eastAsia="zh-CN"/>
              </w:rPr>
              <w:t>壹万元整（10,000.00元）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10</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13.2</w:t>
            </w:r>
          </w:p>
        </w:tc>
        <w:tc>
          <w:tcPr>
            <w:tcW w:w="8364" w:type="dxa"/>
            <w:vAlign w:val="center"/>
          </w:tcPr>
          <w:p>
            <w:pPr>
              <w:spacing w:line="360" w:lineRule="auto"/>
              <w:outlineLvl w:val="9"/>
              <w:rPr>
                <w:rFonts w:hint="eastAsia"/>
                <w:kern w:val="28"/>
                <w:highlight w:val="none"/>
              </w:rPr>
            </w:pPr>
            <w:r>
              <w:rPr>
                <w:rFonts w:hint="eastAsia"/>
                <w:kern w:val="28"/>
                <w:highlight w:val="none"/>
                <w:u w:val="single"/>
                <w:lang w:eastAsia="zh-CN"/>
              </w:rPr>
              <w:t>磋商</w:t>
            </w:r>
            <w:r>
              <w:rPr>
                <w:rFonts w:hint="eastAsia"/>
                <w:kern w:val="28"/>
                <w:highlight w:val="none"/>
                <w:u w:val="single"/>
              </w:rPr>
              <w:t>保证金应为人民币，可采用下列任何一种形式支付</w:t>
            </w:r>
            <w:r>
              <w:rPr>
                <w:rFonts w:hint="eastAsia"/>
                <w:kern w:val="28"/>
                <w:highlight w:val="none"/>
              </w:rPr>
              <w:t>：</w:t>
            </w:r>
          </w:p>
          <w:p>
            <w:pPr>
              <w:spacing w:line="360" w:lineRule="auto"/>
              <w:outlineLvl w:val="9"/>
              <w:rPr>
                <w:rFonts w:hint="eastAsia"/>
                <w:kern w:val="28"/>
                <w:highlight w:val="none"/>
              </w:rPr>
            </w:pPr>
            <w:r>
              <w:rPr>
                <w:rFonts w:hint="eastAsia"/>
                <w:kern w:val="28"/>
                <w:highlight w:val="none"/>
              </w:rPr>
              <w:t xml:space="preserve">  1.银行转账</w:t>
            </w:r>
          </w:p>
          <w:p>
            <w:pPr>
              <w:spacing w:line="360" w:lineRule="auto"/>
              <w:outlineLvl w:val="9"/>
              <w:rPr>
                <w:rFonts w:hint="eastAsia"/>
                <w:kern w:val="28"/>
                <w:highlight w:val="none"/>
              </w:rPr>
            </w:pPr>
            <w:r>
              <w:rPr>
                <w:rFonts w:hint="eastAsia"/>
                <w:kern w:val="28"/>
                <w:highlight w:val="none"/>
              </w:rPr>
              <w:t xml:space="preserve">  2.电汇</w:t>
            </w:r>
          </w:p>
          <w:p>
            <w:pPr>
              <w:spacing w:line="360" w:lineRule="auto"/>
              <w:outlineLvl w:val="9"/>
              <w:rPr>
                <w:rFonts w:hint="eastAsia"/>
                <w:kern w:val="28"/>
                <w:highlight w:val="none"/>
              </w:rPr>
            </w:pPr>
            <w:r>
              <w:rPr>
                <w:rFonts w:hint="eastAsia"/>
                <w:kern w:val="28"/>
                <w:highlight w:val="none"/>
              </w:rPr>
              <w:t xml:space="preserve">  3.保函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11</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13.3</w:t>
            </w:r>
          </w:p>
        </w:tc>
        <w:tc>
          <w:tcPr>
            <w:tcW w:w="8364" w:type="dxa"/>
            <w:vAlign w:val="center"/>
          </w:tcPr>
          <w:p>
            <w:pPr>
              <w:spacing w:line="360" w:lineRule="auto"/>
              <w:outlineLvl w:val="9"/>
              <w:rPr>
                <w:rFonts w:hint="eastAsia"/>
                <w:kern w:val="28"/>
                <w:highlight w:val="none"/>
              </w:rPr>
            </w:pPr>
            <w:r>
              <w:rPr>
                <w:rFonts w:hint="eastAsia"/>
                <w:kern w:val="28"/>
                <w:highlight w:val="none"/>
                <w:u w:val="single"/>
                <w:lang w:eastAsia="zh-CN"/>
              </w:rPr>
              <w:t>磋商</w:t>
            </w:r>
            <w:r>
              <w:rPr>
                <w:rFonts w:hint="eastAsia"/>
                <w:kern w:val="28"/>
                <w:highlight w:val="none"/>
                <w:u w:val="single"/>
              </w:rPr>
              <w:t>保证金必须在</w:t>
            </w:r>
            <w:r>
              <w:rPr>
                <w:rFonts w:hint="eastAsia" w:ascii="宋体" w:hAnsi="宋体" w:cs="宋体"/>
                <w:kern w:val="28"/>
                <w:highlight w:val="none"/>
                <w:u w:val="single"/>
                <w:lang w:val="en-US" w:eastAsia="zh-CN"/>
              </w:rPr>
              <w:t>响应文件递交截止时间前</w:t>
            </w:r>
            <w:r>
              <w:rPr>
                <w:rFonts w:hint="eastAsia"/>
                <w:kern w:val="28"/>
                <w:highlight w:val="none"/>
                <w:u w:val="single"/>
              </w:rPr>
              <w:t>到达采购代理机构指定的账户</w:t>
            </w:r>
            <w:r>
              <w:rPr>
                <w:rFonts w:hint="eastAsia"/>
                <w:kern w:val="28"/>
                <w:highlight w:val="none"/>
              </w:rPr>
              <w:t>。</w:t>
            </w:r>
          </w:p>
          <w:p>
            <w:pPr>
              <w:spacing w:line="360" w:lineRule="auto"/>
              <w:outlineLvl w:val="9"/>
              <w:rPr>
                <w:rFonts w:hint="eastAsia"/>
                <w:kern w:val="28"/>
                <w:highlight w:val="none"/>
              </w:rPr>
            </w:pPr>
            <w:r>
              <w:rPr>
                <w:rFonts w:hint="eastAsia"/>
                <w:kern w:val="28"/>
                <w:highlight w:val="none"/>
              </w:rPr>
              <w:t xml:space="preserve">  开户名称：陕西德勤招标有限公司</w:t>
            </w:r>
          </w:p>
          <w:p>
            <w:pPr>
              <w:spacing w:line="360" w:lineRule="auto"/>
              <w:outlineLvl w:val="9"/>
              <w:rPr>
                <w:rFonts w:hint="eastAsia"/>
                <w:kern w:val="28"/>
                <w:highlight w:val="none"/>
              </w:rPr>
            </w:pPr>
            <w:r>
              <w:rPr>
                <w:rFonts w:hint="eastAsia"/>
                <w:kern w:val="28"/>
                <w:highlight w:val="none"/>
              </w:rPr>
              <w:t xml:space="preserve">  账  号：</w:t>
            </w:r>
            <w:r>
              <w:rPr>
                <w:rFonts w:hint="eastAsia"/>
                <w:kern w:val="28"/>
                <w:highlight w:val="none"/>
                <w:lang w:val="en-US" w:eastAsia="zh-CN"/>
              </w:rPr>
              <w:t>52880188000025295</w:t>
            </w:r>
          </w:p>
          <w:p>
            <w:pPr>
              <w:spacing w:line="360" w:lineRule="auto"/>
              <w:outlineLvl w:val="9"/>
              <w:rPr>
                <w:rFonts w:hint="eastAsia" w:eastAsia="宋体"/>
                <w:kern w:val="28"/>
                <w:highlight w:val="none"/>
                <w:lang w:eastAsia="zh-CN"/>
              </w:rPr>
            </w:pPr>
            <w:r>
              <w:rPr>
                <w:rFonts w:hint="eastAsia"/>
                <w:kern w:val="28"/>
                <w:highlight w:val="none"/>
              </w:rPr>
              <w:t xml:space="preserve">  开户行：</w:t>
            </w:r>
            <w:r>
              <w:rPr>
                <w:rFonts w:hint="eastAsia"/>
                <w:kern w:val="28"/>
                <w:highlight w:val="none"/>
                <w:lang w:val="en-US" w:eastAsia="zh-CN"/>
              </w:rPr>
              <w:t>光大银行西安丈八东路支行</w:t>
            </w:r>
          </w:p>
          <w:p>
            <w:pPr>
              <w:spacing w:line="360" w:lineRule="auto"/>
              <w:outlineLvl w:val="9"/>
              <w:rPr>
                <w:rFonts w:hint="eastAsia"/>
                <w:b/>
                <w:highlight w:val="none"/>
              </w:rPr>
            </w:pPr>
            <w:r>
              <w:rPr>
                <w:rFonts w:hint="eastAsia"/>
                <w:kern w:val="28"/>
                <w:highlight w:val="none"/>
              </w:rPr>
              <w:t xml:space="preserve">  转账事由</w:t>
            </w:r>
            <w:r>
              <w:rPr>
                <w:rFonts w:hint="eastAsia"/>
                <w:kern w:val="28"/>
                <w:highlight w:val="none"/>
              </w:rPr>
              <w:t>：</w:t>
            </w:r>
            <w:r>
              <w:rPr>
                <w:rFonts w:hint="eastAsia"/>
                <w:kern w:val="28"/>
                <w:highlight w:val="none"/>
                <w:lang w:eastAsia="zh-CN"/>
              </w:rPr>
              <w:t>DQ-2022140-CS</w:t>
            </w:r>
            <w:r>
              <w:rPr>
                <w:rFonts w:hint="eastAsia"/>
                <w:kern w:val="28"/>
                <w:highlight w:val="none"/>
              </w:rPr>
              <w:t>项目</w:t>
            </w:r>
            <w:r>
              <w:rPr>
                <w:rFonts w:hint="eastAsia"/>
                <w:kern w:val="28"/>
                <w:highlight w:val="none"/>
                <w:lang w:eastAsia="zh-CN"/>
              </w:rPr>
              <w:t>磋商</w:t>
            </w:r>
            <w:r>
              <w:rPr>
                <w:rFonts w:hint="eastAsia"/>
                <w:kern w:val="28"/>
                <w:highlight w:val="none"/>
              </w:rPr>
              <w:t>保证金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12</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14.1</w:t>
            </w:r>
          </w:p>
        </w:tc>
        <w:tc>
          <w:tcPr>
            <w:tcW w:w="8364" w:type="dxa"/>
            <w:vAlign w:val="center"/>
          </w:tcPr>
          <w:p>
            <w:pPr>
              <w:spacing w:line="360" w:lineRule="auto"/>
              <w:outlineLvl w:val="9"/>
              <w:rPr>
                <w:rFonts w:hint="eastAsia"/>
                <w:b/>
                <w:highlight w:val="none"/>
              </w:rPr>
            </w:pPr>
            <w:r>
              <w:rPr>
                <w:rFonts w:hint="eastAsia"/>
                <w:kern w:val="28"/>
                <w:highlight w:val="none"/>
                <w:u w:val="single"/>
                <w:lang w:eastAsia="zh-CN"/>
              </w:rPr>
              <w:t>响应</w:t>
            </w:r>
            <w:r>
              <w:rPr>
                <w:rFonts w:hint="eastAsia"/>
                <w:kern w:val="28"/>
                <w:highlight w:val="none"/>
                <w:u w:val="single"/>
              </w:rPr>
              <w:t>文件有效期</w:t>
            </w:r>
            <w:r>
              <w:rPr>
                <w:rFonts w:hint="eastAsia"/>
                <w:kern w:val="28"/>
                <w:highlight w:val="none"/>
              </w:rPr>
              <w:t>为自</w:t>
            </w:r>
            <w:r>
              <w:rPr>
                <w:rFonts w:hint="eastAsia"/>
                <w:kern w:val="28"/>
                <w:highlight w:val="none"/>
                <w:lang w:eastAsia="zh-CN"/>
              </w:rPr>
              <w:t>磋商</w:t>
            </w:r>
            <w:r>
              <w:rPr>
                <w:rFonts w:hint="eastAsia"/>
                <w:kern w:val="28"/>
                <w:highlight w:val="none"/>
              </w:rPr>
              <w:t>之日起算九十（90）个日历日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四、</w:t>
            </w:r>
            <w:r>
              <w:rPr>
                <w:rFonts w:hint="eastAsia"/>
                <w:b/>
                <w:highlight w:val="none"/>
                <w:lang w:eastAsia="zh-CN"/>
              </w:rPr>
              <w:t>响应</w:t>
            </w:r>
            <w:r>
              <w:rPr>
                <w:rFonts w:hint="eastAsia"/>
                <w:b/>
                <w:highlight w:val="none"/>
              </w:rPr>
              <w:t>文件密封、递交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13</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15.1</w:t>
            </w:r>
          </w:p>
        </w:tc>
        <w:tc>
          <w:tcPr>
            <w:tcW w:w="8364" w:type="dxa"/>
            <w:vAlign w:val="center"/>
          </w:tcPr>
          <w:p>
            <w:pPr>
              <w:spacing w:line="360" w:lineRule="auto"/>
              <w:outlineLvl w:val="9"/>
              <w:rPr>
                <w:rFonts w:hint="eastAsia"/>
                <w:b/>
                <w:highlight w:val="none"/>
              </w:rPr>
            </w:pPr>
            <w:r>
              <w:rPr>
                <w:rFonts w:hint="eastAsia"/>
                <w:kern w:val="28"/>
                <w:highlight w:val="none"/>
                <w:u w:val="single"/>
                <w:lang w:eastAsia="zh-CN"/>
              </w:rPr>
              <w:t>响应</w:t>
            </w:r>
            <w:r>
              <w:rPr>
                <w:rFonts w:hint="eastAsia"/>
                <w:kern w:val="28"/>
                <w:highlight w:val="none"/>
                <w:u w:val="single"/>
              </w:rPr>
              <w:t>文件</w:t>
            </w:r>
            <w:r>
              <w:rPr>
                <w:rFonts w:hint="eastAsia"/>
                <w:kern w:val="28"/>
                <w:highlight w:val="none"/>
              </w:rPr>
              <w:t>正本壹份、副本</w:t>
            </w:r>
            <w:r>
              <w:rPr>
                <w:rFonts w:hint="eastAsia"/>
                <w:kern w:val="28"/>
                <w:highlight w:val="none"/>
                <w:lang w:eastAsia="zh-CN"/>
              </w:rPr>
              <w:t>叁</w:t>
            </w:r>
            <w:r>
              <w:rPr>
                <w:rFonts w:hint="eastAsia"/>
                <w:kern w:val="28"/>
                <w:highlight w:val="none"/>
              </w:rPr>
              <w:t>份，电子版本壹份（以U盘形式</w:t>
            </w:r>
            <w:r>
              <w:rPr>
                <w:rFonts w:hint="eastAsia"/>
                <w:kern w:val="28"/>
                <w:highlight w:val="none"/>
                <w:lang w:val="en-US" w:eastAsia="zh-CN"/>
              </w:rPr>
              <w:t>提供</w:t>
            </w:r>
            <w:r>
              <w:rPr>
                <w:rFonts w:hint="eastAsia"/>
                <w:kern w:val="28"/>
                <w:highlight w:val="none"/>
              </w:rPr>
              <w:t>，文件格式包含.doc/.docx格式及正本盖章后扫描的.pdf格式），共</w:t>
            </w:r>
            <w:r>
              <w:rPr>
                <w:rFonts w:hint="eastAsia"/>
                <w:kern w:val="28"/>
                <w:highlight w:val="none"/>
                <w:lang w:eastAsia="zh-CN"/>
              </w:rPr>
              <w:t>伍</w:t>
            </w:r>
            <w:r>
              <w:rPr>
                <w:rFonts w:hint="eastAsia"/>
                <w:kern w:val="28"/>
                <w:highlight w:val="none"/>
              </w:rPr>
              <w:t>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14</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15.2</w:t>
            </w:r>
          </w:p>
        </w:tc>
        <w:tc>
          <w:tcPr>
            <w:tcW w:w="8364" w:type="dxa"/>
            <w:vAlign w:val="center"/>
          </w:tcPr>
          <w:p>
            <w:pPr>
              <w:spacing w:line="360" w:lineRule="auto"/>
              <w:outlineLvl w:val="9"/>
              <w:rPr>
                <w:rFonts w:hint="eastAsia"/>
                <w:b/>
                <w:highlight w:val="none"/>
              </w:rPr>
            </w:pPr>
            <w:r>
              <w:rPr>
                <w:rFonts w:hint="eastAsia"/>
                <w:kern w:val="28"/>
                <w:highlight w:val="none"/>
                <w:u w:val="single"/>
              </w:rPr>
              <w:t>“</w:t>
            </w:r>
            <w:r>
              <w:rPr>
                <w:rFonts w:hint="eastAsia"/>
                <w:kern w:val="28"/>
                <w:highlight w:val="none"/>
                <w:u w:val="single"/>
                <w:lang w:val="en-US" w:eastAsia="zh-CN"/>
              </w:rPr>
              <w:t>首次</w:t>
            </w:r>
            <w:r>
              <w:rPr>
                <w:rFonts w:hint="eastAsia"/>
                <w:kern w:val="28"/>
                <w:highlight w:val="none"/>
                <w:u w:val="single"/>
              </w:rPr>
              <w:t>报价一览表”</w:t>
            </w:r>
            <w:r>
              <w:rPr>
                <w:rFonts w:hint="eastAsia"/>
                <w:kern w:val="28"/>
                <w:highlight w:val="none"/>
              </w:rPr>
              <w:t>除在</w:t>
            </w:r>
            <w:r>
              <w:rPr>
                <w:rFonts w:hint="eastAsia"/>
                <w:kern w:val="28"/>
                <w:highlight w:val="none"/>
                <w:lang w:eastAsia="zh-CN"/>
              </w:rPr>
              <w:t>响应</w:t>
            </w:r>
            <w:r>
              <w:rPr>
                <w:rFonts w:hint="eastAsia"/>
                <w:kern w:val="28"/>
                <w:highlight w:val="none"/>
              </w:rPr>
              <w:t>文件内装订外，另制作一份单独放在一个信封中。</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15</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15.3</w:t>
            </w:r>
          </w:p>
        </w:tc>
        <w:tc>
          <w:tcPr>
            <w:tcW w:w="8364" w:type="dxa"/>
            <w:vAlign w:val="center"/>
          </w:tcPr>
          <w:p>
            <w:pPr>
              <w:spacing w:line="360" w:lineRule="auto"/>
              <w:outlineLvl w:val="9"/>
              <w:rPr>
                <w:rFonts w:hint="eastAsia"/>
                <w:b/>
                <w:highlight w:val="none"/>
              </w:rPr>
            </w:pPr>
            <w:r>
              <w:rPr>
                <w:rFonts w:hint="eastAsia"/>
                <w:kern w:val="28"/>
                <w:highlight w:val="none"/>
                <w:u w:val="single"/>
              </w:rPr>
              <w:t>“资格证明文件证明材料原件”</w:t>
            </w:r>
            <w:r>
              <w:rPr>
                <w:rFonts w:hint="eastAsia"/>
                <w:kern w:val="28"/>
                <w:highlight w:val="none"/>
              </w:rPr>
              <w:t>按照本须知2.3条要求内容组成。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16</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15.4</w:t>
            </w:r>
          </w:p>
        </w:tc>
        <w:tc>
          <w:tcPr>
            <w:tcW w:w="8364" w:type="dxa"/>
            <w:vAlign w:val="center"/>
          </w:tcPr>
          <w:p>
            <w:pPr>
              <w:spacing w:line="360" w:lineRule="auto"/>
              <w:outlineLvl w:val="9"/>
              <w:rPr>
                <w:rFonts w:hint="eastAsia"/>
                <w:b/>
                <w:highlight w:val="none"/>
              </w:rPr>
            </w:pPr>
            <w:r>
              <w:rPr>
                <w:rFonts w:hint="eastAsia"/>
                <w:kern w:val="28"/>
                <w:highlight w:val="none"/>
                <w:u w:val="single"/>
              </w:rPr>
              <w:t>“评审证明材料”</w:t>
            </w:r>
            <w:r>
              <w:rPr>
                <w:rFonts w:hint="eastAsia"/>
                <w:kern w:val="28"/>
                <w:highlight w:val="none"/>
              </w:rPr>
              <w:t>（如果有）按照评审表要求内容组成。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17</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17</w:t>
            </w:r>
          </w:p>
        </w:tc>
        <w:tc>
          <w:tcPr>
            <w:tcW w:w="8364" w:type="dxa"/>
            <w:vAlign w:val="center"/>
          </w:tcPr>
          <w:p>
            <w:pPr>
              <w:spacing w:line="360" w:lineRule="auto"/>
              <w:outlineLvl w:val="9"/>
              <w:rPr>
                <w:rFonts w:hint="default" w:eastAsia="宋体"/>
                <w:kern w:val="28"/>
                <w:highlight w:val="none"/>
                <w:lang w:val="en-US" w:eastAsia="zh-CN"/>
              </w:rPr>
            </w:pPr>
            <w:r>
              <w:rPr>
                <w:rFonts w:hint="eastAsia"/>
                <w:kern w:val="28"/>
                <w:highlight w:val="none"/>
                <w:u w:val="single"/>
                <w:lang w:eastAsia="zh-CN"/>
              </w:rPr>
              <w:t>响应</w:t>
            </w:r>
            <w:r>
              <w:rPr>
                <w:rFonts w:hint="eastAsia"/>
                <w:kern w:val="28"/>
                <w:highlight w:val="none"/>
                <w:u w:val="single"/>
              </w:rPr>
              <w:t>截止时间</w:t>
            </w:r>
            <w:r>
              <w:rPr>
                <w:rFonts w:hint="eastAsia"/>
                <w:kern w:val="28"/>
                <w:highlight w:val="none"/>
                <w:u w:val="none"/>
              </w:rPr>
              <w:t>：</w:t>
            </w:r>
            <w:r>
              <w:rPr>
                <w:rFonts w:hint="eastAsia"/>
                <w:kern w:val="28"/>
                <w:highlight w:val="none"/>
                <w:u w:val="none"/>
                <w:lang w:val="en-US" w:eastAsia="zh-CN"/>
              </w:rPr>
              <w:t>2022年9月6日14:30</w:t>
            </w:r>
          </w:p>
          <w:p>
            <w:pPr>
              <w:spacing w:line="360" w:lineRule="auto"/>
              <w:outlineLvl w:val="9"/>
              <w:rPr>
                <w:rFonts w:hint="eastAsia"/>
                <w:kern w:val="28"/>
                <w:highlight w:val="none"/>
              </w:rPr>
            </w:pPr>
            <w:r>
              <w:rPr>
                <w:rFonts w:hint="eastAsia"/>
                <w:color w:val="auto"/>
                <w:kern w:val="28"/>
                <w:highlight w:val="none"/>
                <w:u w:val="single"/>
                <w:lang w:val="en-US" w:eastAsia="zh-CN"/>
              </w:rPr>
              <w:t>响应</w:t>
            </w:r>
            <w:r>
              <w:rPr>
                <w:rFonts w:hint="eastAsia"/>
                <w:kern w:val="28"/>
                <w:highlight w:val="none"/>
                <w:u w:val="single"/>
              </w:rPr>
              <w:t>文件送达地点为</w:t>
            </w:r>
            <w:r>
              <w:rPr>
                <w:rFonts w:hint="eastAsia"/>
                <w:kern w:val="28"/>
                <w:highlight w:val="none"/>
                <w:u w:val="none"/>
              </w:rPr>
              <w:t>：</w:t>
            </w:r>
            <w:r>
              <w:rPr>
                <w:rFonts w:hint="eastAsia"/>
                <w:kern w:val="28"/>
                <w:highlight w:val="none"/>
                <w:lang w:eastAsia="zh-CN"/>
              </w:rPr>
              <w:t>陕西省西安市高新区丈八一路1号汇鑫中心D座2206室陕西德勤招标有限公司第一会议室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spacing w:line="360" w:lineRule="auto"/>
              <w:jc w:val="center"/>
              <w:outlineLvl w:val="9"/>
              <w:rPr>
                <w:rFonts w:hint="eastAsia"/>
                <w:kern w:val="28"/>
                <w:highlight w:val="none"/>
              </w:rPr>
            </w:pPr>
            <w:bookmarkStart w:id="25" w:name="_Toc32497"/>
            <w:bookmarkStart w:id="26" w:name="_Toc12646"/>
            <w:bookmarkStart w:id="27" w:name="_Toc24731"/>
            <w:bookmarkStart w:id="28" w:name="_Toc26930"/>
            <w:r>
              <w:rPr>
                <w:rFonts w:hint="eastAsia"/>
                <w:b/>
                <w:color w:val="auto"/>
                <w:highlight w:val="none"/>
              </w:rPr>
              <w:t>五、</w:t>
            </w:r>
            <w:r>
              <w:rPr>
                <w:rFonts w:hint="eastAsia"/>
                <w:b/>
                <w:color w:val="auto"/>
                <w:highlight w:val="none"/>
                <w:lang w:eastAsia="zh-CN"/>
              </w:rPr>
              <w:t>磋商</w:t>
            </w:r>
            <w:r>
              <w:rPr>
                <w:rFonts w:hint="eastAsia"/>
                <w:b/>
                <w:color w:val="auto"/>
                <w:highlight w:val="none"/>
              </w:rPr>
              <w:t>、</w:t>
            </w:r>
            <w:r>
              <w:rPr>
                <w:rFonts w:hint="eastAsia"/>
                <w:b/>
                <w:color w:val="auto"/>
                <w:highlight w:val="none"/>
                <w:lang w:eastAsia="zh-CN"/>
              </w:rPr>
              <w:t>评审</w:t>
            </w:r>
            <w:r>
              <w:rPr>
                <w:rFonts w:hint="eastAsia"/>
                <w:b/>
                <w:color w:val="auto"/>
                <w:highlight w:val="none"/>
              </w:rPr>
              <w:t>和</w:t>
            </w:r>
            <w:bookmarkEnd w:id="25"/>
            <w:r>
              <w:rPr>
                <w:rFonts w:hint="eastAsia"/>
                <w:b/>
                <w:color w:val="auto"/>
                <w:highlight w:val="none"/>
                <w:lang w:eastAsia="zh-CN"/>
              </w:rPr>
              <w:t>成交</w:t>
            </w:r>
            <w:bookmarkEnd w:id="26"/>
            <w:bookmarkEnd w:id="27"/>
            <w:bookmarkEnd w:id="28"/>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18</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19</w:t>
            </w:r>
          </w:p>
        </w:tc>
        <w:tc>
          <w:tcPr>
            <w:tcW w:w="8364" w:type="dxa"/>
            <w:vAlign w:val="center"/>
          </w:tcPr>
          <w:p>
            <w:pPr>
              <w:spacing w:line="360" w:lineRule="auto"/>
              <w:jc w:val="left"/>
              <w:outlineLvl w:val="9"/>
              <w:rPr>
                <w:rFonts w:hint="eastAsia"/>
                <w:kern w:val="28"/>
                <w:highlight w:val="none"/>
                <w:u w:val="single"/>
              </w:rPr>
            </w:pPr>
            <w:bookmarkStart w:id="29" w:name="_Toc16496"/>
            <w:bookmarkStart w:id="30" w:name="_Toc24424"/>
            <w:bookmarkStart w:id="31" w:name="_Toc7080"/>
            <w:bookmarkStart w:id="32" w:name="_Toc2283"/>
            <w:r>
              <w:rPr>
                <w:rFonts w:hint="eastAsia"/>
                <w:color w:val="auto"/>
                <w:kern w:val="28"/>
                <w:highlight w:val="none"/>
                <w:u w:val="single"/>
                <w:lang w:val="en-US" w:eastAsia="zh-CN"/>
              </w:rPr>
              <w:t>磋商、评审、成交</w:t>
            </w:r>
            <w:r>
              <w:rPr>
                <w:rFonts w:hint="eastAsia"/>
                <w:color w:val="auto"/>
                <w:kern w:val="28"/>
                <w:highlight w:val="none"/>
                <w:u w:val="none"/>
                <w:lang w:val="en-US" w:eastAsia="zh-CN"/>
              </w:rPr>
              <w:t>：见磋商文件第四部分。</w:t>
            </w:r>
            <w:bookmarkEnd w:id="29"/>
            <w:bookmarkEnd w:id="30"/>
            <w:bookmarkEnd w:id="31"/>
            <w:bookmarkEnd w:id="3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spacing w:line="360" w:lineRule="auto"/>
              <w:jc w:val="center"/>
              <w:outlineLvl w:val="9"/>
              <w:rPr>
                <w:rFonts w:hint="eastAsia"/>
                <w:kern w:val="28"/>
                <w:highlight w:val="none"/>
                <w:u w:val="single"/>
              </w:rPr>
            </w:pPr>
            <w:bookmarkStart w:id="33" w:name="_Toc19704"/>
            <w:bookmarkStart w:id="34" w:name="_Toc7244"/>
            <w:bookmarkStart w:id="35" w:name="_Toc164"/>
            <w:r>
              <w:rPr>
                <w:rFonts w:hint="eastAsia"/>
                <w:b/>
                <w:highlight w:val="none"/>
              </w:rPr>
              <w:t>七、询问、质疑、投诉</w:t>
            </w:r>
            <w:bookmarkEnd w:id="33"/>
            <w:bookmarkEnd w:id="34"/>
            <w:bookmarkEnd w:id="35"/>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19</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21.2</w:t>
            </w:r>
          </w:p>
        </w:tc>
        <w:tc>
          <w:tcPr>
            <w:tcW w:w="8364" w:type="dxa"/>
            <w:vAlign w:val="center"/>
          </w:tcPr>
          <w:p>
            <w:pPr>
              <w:spacing w:line="360" w:lineRule="auto"/>
              <w:jc w:val="left"/>
              <w:outlineLvl w:val="9"/>
              <w:rPr>
                <w:rFonts w:hint="eastAsia"/>
                <w:kern w:val="28"/>
                <w:highlight w:val="none"/>
                <w:u w:val="single"/>
              </w:rPr>
            </w:pPr>
            <w:bookmarkStart w:id="36" w:name="_Toc4970"/>
            <w:bookmarkStart w:id="37" w:name="_Toc19703"/>
            <w:bookmarkStart w:id="38" w:name="_Toc3466"/>
            <w:r>
              <w:rPr>
                <w:rFonts w:hint="eastAsia"/>
                <w:kern w:val="28"/>
                <w:highlight w:val="none"/>
                <w:u w:val="single"/>
              </w:rPr>
              <w:t>询问（陕西德勤招标有限公司）联系方式：</w:t>
            </w:r>
            <w:bookmarkEnd w:id="36"/>
            <w:bookmarkEnd w:id="37"/>
            <w:bookmarkEnd w:id="38"/>
          </w:p>
          <w:p>
            <w:pPr>
              <w:spacing w:line="360" w:lineRule="auto"/>
              <w:jc w:val="left"/>
              <w:outlineLvl w:val="9"/>
              <w:rPr>
                <w:rFonts w:hint="eastAsia" w:eastAsia="宋体"/>
                <w:kern w:val="28"/>
                <w:highlight w:val="none"/>
                <w:u w:val="single"/>
                <w:lang w:eastAsia="zh-CN"/>
              </w:rPr>
            </w:pPr>
            <w:bookmarkStart w:id="39" w:name="_Toc2749"/>
            <w:bookmarkStart w:id="40" w:name="_Toc29335"/>
            <w:bookmarkStart w:id="41" w:name="_Toc650"/>
            <w:r>
              <w:rPr>
                <w:rFonts w:hint="eastAsia"/>
                <w:kern w:val="28"/>
                <w:highlight w:val="none"/>
                <w:u w:val="single"/>
              </w:rPr>
              <w:t>联系人</w:t>
            </w:r>
            <w:r>
              <w:rPr>
                <w:rFonts w:hint="eastAsia"/>
                <w:kern w:val="28"/>
                <w:highlight w:val="none"/>
                <w:u w:val="none"/>
              </w:rPr>
              <w:t>：</w:t>
            </w:r>
            <w:bookmarkEnd w:id="39"/>
            <w:bookmarkEnd w:id="40"/>
            <w:bookmarkEnd w:id="41"/>
            <w:r>
              <w:rPr>
                <w:rFonts w:hint="eastAsia"/>
                <w:kern w:val="28"/>
                <w:highlight w:val="none"/>
                <w:u w:val="none"/>
                <w:lang w:eastAsia="zh-CN"/>
              </w:rPr>
              <w:t>李浩、贾旭鸣、党徽</w:t>
            </w:r>
          </w:p>
          <w:p>
            <w:pPr>
              <w:spacing w:line="360" w:lineRule="auto"/>
              <w:jc w:val="left"/>
              <w:outlineLvl w:val="9"/>
              <w:rPr>
                <w:rFonts w:hint="eastAsia" w:eastAsia="宋体"/>
                <w:kern w:val="28"/>
                <w:highlight w:val="none"/>
                <w:u w:val="none"/>
                <w:lang w:eastAsia="zh-CN"/>
              </w:rPr>
            </w:pPr>
            <w:bookmarkStart w:id="42" w:name="_Toc32111"/>
            <w:bookmarkStart w:id="43" w:name="_Toc4537"/>
            <w:bookmarkStart w:id="44" w:name="_Toc12192"/>
            <w:r>
              <w:rPr>
                <w:rFonts w:hint="eastAsia"/>
                <w:kern w:val="28"/>
                <w:highlight w:val="none"/>
                <w:u w:val="single"/>
              </w:rPr>
              <w:t>联系电话（传真）</w:t>
            </w:r>
            <w:r>
              <w:rPr>
                <w:rFonts w:hint="eastAsia"/>
                <w:kern w:val="28"/>
                <w:highlight w:val="none"/>
                <w:u w:val="none"/>
              </w:rPr>
              <w:t>：</w:t>
            </w:r>
            <w:bookmarkEnd w:id="42"/>
            <w:bookmarkEnd w:id="43"/>
            <w:bookmarkEnd w:id="44"/>
            <w:r>
              <w:rPr>
                <w:rFonts w:hint="eastAsia"/>
                <w:kern w:val="28"/>
                <w:highlight w:val="none"/>
                <w:u w:val="none"/>
                <w:lang w:eastAsia="zh-CN"/>
              </w:rPr>
              <w:t>029-81106093</w:t>
            </w:r>
          </w:p>
          <w:p>
            <w:pPr>
              <w:spacing w:line="360" w:lineRule="auto"/>
              <w:jc w:val="left"/>
              <w:outlineLvl w:val="9"/>
              <w:rPr>
                <w:rFonts w:hint="eastAsia"/>
                <w:kern w:val="28"/>
                <w:highlight w:val="none"/>
                <w:u w:val="single"/>
              </w:rPr>
            </w:pPr>
            <w:bookmarkStart w:id="45" w:name="_Toc3908"/>
            <w:bookmarkStart w:id="46" w:name="_Toc17850"/>
            <w:bookmarkStart w:id="47" w:name="_Toc23207"/>
            <w:r>
              <w:rPr>
                <w:rFonts w:hint="eastAsia"/>
                <w:kern w:val="28"/>
                <w:highlight w:val="none"/>
                <w:u w:val="single"/>
              </w:rPr>
              <w:t>电子邮箱</w:t>
            </w:r>
            <w:r>
              <w:rPr>
                <w:rFonts w:hint="eastAsia"/>
                <w:kern w:val="28"/>
                <w:highlight w:val="none"/>
                <w:u w:val="none"/>
              </w:rPr>
              <w:t>：deqinjxm@126.com</w:t>
            </w:r>
            <w:bookmarkEnd w:id="45"/>
            <w:bookmarkEnd w:id="46"/>
            <w:bookmarkEnd w:id="47"/>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20</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22.1</w:t>
            </w:r>
          </w:p>
        </w:tc>
        <w:tc>
          <w:tcPr>
            <w:tcW w:w="8364" w:type="dxa"/>
            <w:vAlign w:val="center"/>
          </w:tcPr>
          <w:p>
            <w:pPr>
              <w:spacing w:line="360" w:lineRule="auto"/>
              <w:jc w:val="left"/>
              <w:outlineLvl w:val="9"/>
              <w:rPr>
                <w:rFonts w:hint="eastAsia"/>
                <w:kern w:val="28"/>
                <w:highlight w:val="none"/>
                <w:u w:val="single"/>
              </w:rPr>
            </w:pPr>
            <w:bookmarkStart w:id="48" w:name="_Toc28752"/>
            <w:bookmarkStart w:id="49" w:name="_Toc14070"/>
            <w:bookmarkStart w:id="50" w:name="_Toc51"/>
            <w:r>
              <w:rPr>
                <w:rFonts w:hint="eastAsia"/>
                <w:kern w:val="28"/>
                <w:highlight w:val="none"/>
                <w:u w:val="single"/>
              </w:rPr>
              <w:t>质疑（陕西德勤招标有限公司）联系方式：</w:t>
            </w:r>
            <w:bookmarkEnd w:id="48"/>
            <w:bookmarkEnd w:id="49"/>
            <w:bookmarkEnd w:id="50"/>
          </w:p>
          <w:p>
            <w:pPr>
              <w:spacing w:line="360" w:lineRule="auto"/>
              <w:jc w:val="left"/>
              <w:outlineLvl w:val="9"/>
              <w:rPr>
                <w:rFonts w:hint="eastAsia"/>
                <w:kern w:val="28"/>
                <w:highlight w:val="none"/>
                <w:u w:val="single"/>
              </w:rPr>
            </w:pPr>
            <w:bookmarkStart w:id="51" w:name="_Toc17771"/>
            <w:bookmarkStart w:id="52" w:name="_Toc19853"/>
            <w:bookmarkStart w:id="53" w:name="_Toc28799"/>
            <w:r>
              <w:rPr>
                <w:rFonts w:hint="eastAsia"/>
                <w:kern w:val="28"/>
                <w:highlight w:val="none"/>
                <w:u w:val="single"/>
              </w:rPr>
              <w:t>联系人</w:t>
            </w:r>
            <w:r>
              <w:rPr>
                <w:rFonts w:hint="eastAsia"/>
                <w:kern w:val="28"/>
                <w:highlight w:val="none"/>
                <w:u w:val="none"/>
              </w:rPr>
              <w:t>：</w:t>
            </w:r>
            <w:bookmarkEnd w:id="51"/>
            <w:bookmarkEnd w:id="52"/>
            <w:bookmarkEnd w:id="53"/>
            <w:r>
              <w:rPr>
                <w:rFonts w:hint="eastAsia"/>
                <w:kern w:val="28"/>
                <w:highlight w:val="none"/>
                <w:u w:val="none"/>
                <w:lang w:val="en-US" w:eastAsia="zh-CN"/>
              </w:rPr>
              <w:t>李浩、贾旭鸣、党徽</w:t>
            </w:r>
          </w:p>
          <w:p>
            <w:pPr>
              <w:spacing w:line="360" w:lineRule="auto"/>
              <w:jc w:val="left"/>
              <w:outlineLvl w:val="9"/>
              <w:rPr>
                <w:rFonts w:hint="eastAsia" w:eastAsia="宋体"/>
                <w:kern w:val="28"/>
                <w:highlight w:val="none"/>
                <w:u w:val="none"/>
                <w:lang w:eastAsia="zh-CN"/>
              </w:rPr>
            </w:pPr>
            <w:bookmarkStart w:id="54" w:name="_Toc14700"/>
            <w:bookmarkStart w:id="55" w:name="_Toc2750"/>
            <w:bookmarkStart w:id="56" w:name="_Toc3463"/>
            <w:r>
              <w:rPr>
                <w:rFonts w:hint="eastAsia"/>
                <w:kern w:val="28"/>
                <w:highlight w:val="none"/>
                <w:u w:val="single"/>
              </w:rPr>
              <w:t>联系电话（传真）</w:t>
            </w:r>
            <w:r>
              <w:rPr>
                <w:rFonts w:hint="eastAsia"/>
                <w:kern w:val="28"/>
                <w:highlight w:val="none"/>
                <w:u w:val="none"/>
              </w:rPr>
              <w:t>：</w:t>
            </w:r>
            <w:bookmarkEnd w:id="54"/>
            <w:bookmarkEnd w:id="55"/>
            <w:bookmarkEnd w:id="56"/>
            <w:r>
              <w:rPr>
                <w:rFonts w:hint="eastAsia"/>
                <w:kern w:val="28"/>
                <w:highlight w:val="none"/>
                <w:u w:val="none"/>
                <w:lang w:eastAsia="zh-CN"/>
              </w:rPr>
              <w:t>029-81106093</w:t>
            </w:r>
          </w:p>
          <w:p>
            <w:pPr>
              <w:spacing w:line="360" w:lineRule="auto"/>
              <w:jc w:val="left"/>
              <w:outlineLvl w:val="9"/>
              <w:rPr>
                <w:rFonts w:hint="eastAsia"/>
                <w:kern w:val="28"/>
                <w:highlight w:val="none"/>
                <w:u w:val="single"/>
              </w:rPr>
            </w:pPr>
            <w:bookmarkStart w:id="57" w:name="_Toc14395"/>
            <w:bookmarkStart w:id="58" w:name="_Toc4702"/>
            <w:bookmarkStart w:id="59" w:name="_Toc478"/>
            <w:r>
              <w:rPr>
                <w:rFonts w:hint="eastAsia"/>
                <w:kern w:val="28"/>
                <w:highlight w:val="none"/>
                <w:u w:val="single"/>
              </w:rPr>
              <w:t>电子邮箱</w:t>
            </w:r>
            <w:r>
              <w:rPr>
                <w:rFonts w:hint="eastAsia"/>
                <w:kern w:val="28"/>
                <w:highlight w:val="none"/>
                <w:u w:val="none"/>
              </w:rPr>
              <w:t>：deqinjxm@126.com</w:t>
            </w:r>
            <w:bookmarkEnd w:id="57"/>
            <w:bookmarkEnd w:id="58"/>
            <w:bookmarkEnd w:id="5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spacing w:line="360" w:lineRule="auto"/>
              <w:jc w:val="center"/>
              <w:outlineLvl w:val="9"/>
              <w:rPr>
                <w:rFonts w:hint="eastAsia"/>
                <w:kern w:val="28"/>
                <w:highlight w:val="none"/>
                <w:u w:val="single"/>
              </w:rPr>
            </w:pPr>
            <w:bookmarkStart w:id="60" w:name="_Toc5636"/>
            <w:bookmarkStart w:id="61" w:name="_Toc16509"/>
            <w:bookmarkStart w:id="62" w:name="_Toc28950"/>
            <w:r>
              <w:rPr>
                <w:rFonts w:hint="eastAsia"/>
                <w:b/>
                <w:highlight w:val="none"/>
              </w:rPr>
              <w:t>八、合同的签订及履行</w:t>
            </w:r>
            <w:bookmarkEnd w:id="60"/>
            <w:bookmarkEnd w:id="61"/>
            <w:bookmarkEnd w:id="6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21</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24.1</w:t>
            </w:r>
          </w:p>
        </w:tc>
        <w:tc>
          <w:tcPr>
            <w:tcW w:w="8364" w:type="dxa"/>
            <w:vAlign w:val="center"/>
          </w:tcPr>
          <w:p>
            <w:pPr>
              <w:spacing w:line="360" w:lineRule="auto"/>
              <w:outlineLvl w:val="9"/>
              <w:rPr>
                <w:rFonts w:hint="eastAsia"/>
                <w:kern w:val="28"/>
                <w:highlight w:val="none"/>
                <w:u w:val="single"/>
              </w:rPr>
            </w:pPr>
            <w:r>
              <w:rPr>
                <w:rFonts w:hint="eastAsia"/>
                <w:color w:val="auto"/>
                <w:kern w:val="28"/>
                <w:highlight w:val="none"/>
                <w:u w:val="none"/>
                <w:lang w:val="en-US" w:eastAsia="zh-CN"/>
              </w:rPr>
              <w:t>在合同签订前，成交供应商须提供营业执照、税务登记证和在响应文件中提供的资质证明文件、业绩合同等主要证明文件的原件给采购人进行核对。如响应文件中复印件与原件不符，采购人有权取消其成交资格。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spacing w:line="360" w:lineRule="auto"/>
              <w:jc w:val="center"/>
              <w:outlineLvl w:val="9"/>
              <w:rPr>
                <w:rFonts w:hint="eastAsia"/>
                <w:kern w:val="28"/>
                <w:highlight w:val="none"/>
                <w:u w:val="single"/>
              </w:rPr>
            </w:pPr>
            <w:bookmarkStart w:id="63" w:name="_Toc9562"/>
            <w:bookmarkStart w:id="64" w:name="_Toc6808"/>
            <w:bookmarkStart w:id="65" w:name="_Toc16510"/>
            <w:r>
              <w:rPr>
                <w:rFonts w:hint="eastAsia"/>
                <w:b/>
                <w:highlight w:val="none"/>
              </w:rPr>
              <w:t>九、采购代理服务费</w:t>
            </w:r>
            <w:bookmarkEnd w:id="63"/>
            <w:bookmarkEnd w:id="64"/>
            <w:bookmarkEnd w:id="65"/>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22</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26.1</w:t>
            </w:r>
          </w:p>
        </w:tc>
        <w:tc>
          <w:tcPr>
            <w:tcW w:w="8364" w:type="dxa"/>
            <w:vAlign w:val="center"/>
          </w:tcPr>
          <w:p>
            <w:pPr>
              <w:spacing w:line="360" w:lineRule="auto"/>
              <w:jc w:val="left"/>
              <w:outlineLvl w:val="9"/>
              <w:rPr>
                <w:rFonts w:hint="eastAsia"/>
                <w:kern w:val="28"/>
                <w:highlight w:val="none"/>
                <w:u w:val="single"/>
              </w:rPr>
            </w:pPr>
            <w:bookmarkStart w:id="66" w:name="_Toc7419"/>
            <w:r>
              <w:rPr>
                <w:rFonts w:hint="eastAsia"/>
                <w:kern w:val="28"/>
                <w:highlight w:val="none"/>
              </w:rPr>
              <w:t>采购代理服务费按约定由</w:t>
            </w:r>
            <w:r>
              <w:rPr>
                <w:rFonts w:hint="eastAsia"/>
                <w:kern w:val="28"/>
                <w:highlight w:val="none"/>
                <w:lang w:val="en-US" w:eastAsia="zh-CN"/>
              </w:rPr>
              <w:t>成交</w:t>
            </w:r>
            <w:r>
              <w:rPr>
                <w:rFonts w:hint="eastAsia"/>
                <w:kern w:val="28"/>
                <w:highlight w:val="none"/>
              </w:rPr>
              <w:t>供应商支付，采购代理服务费不在</w:t>
            </w:r>
            <w:r>
              <w:rPr>
                <w:rFonts w:hint="eastAsia"/>
                <w:kern w:val="28"/>
                <w:highlight w:val="none"/>
                <w:lang w:val="en-US" w:eastAsia="zh-CN"/>
              </w:rPr>
              <w:t>响应</w:t>
            </w:r>
            <w:r>
              <w:rPr>
                <w:rFonts w:hint="eastAsia"/>
                <w:kern w:val="28"/>
                <w:highlight w:val="none"/>
              </w:rPr>
              <w:t>报价中单列。</w:t>
            </w:r>
            <w:bookmarkEnd w:id="66"/>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23</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26.2</w:t>
            </w:r>
          </w:p>
        </w:tc>
        <w:tc>
          <w:tcPr>
            <w:tcW w:w="8364" w:type="dxa"/>
            <w:vAlign w:val="center"/>
          </w:tcPr>
          <w:p>
            <w:pPr>
              <w:spacing w:line="360" w:lineRule="auto"/>
              <w:jc w:val="left"/>
              <w:outlineLvl w:val="9"/>
              <w:rPr>
                <w:rFonts w:hint="eastAsia"/>
                <w:kern w:val="28"/>
                <w:highlight w:val="none"/>
              </w:rPr>
            </w:pPr>
            <w:bookmarkStart w:id="67" w:name="_Toc438"/>
            <w:r>
              <w:rPr>
                <w:rFonts w:hint="eastAsia"/>
                <w:kern w:val="28"/>
                <w:highlight w:val="none"/>
              </w:rPr>
              <w:t>采购代理服务费按以下标准计取：</w:t>
            </w:r>
            <w:bookmarkEnd w:id="67"/>
          </w:p>
          <w:tbl>
            <w:tblPr>
              <w:tblStyle w:val="20"/>
              <w:tblW w:w="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ascii="宋体" w:cs="Times New Roman"/>
                      <w:highlight w:val="none"/>
                    </w:rPr>
                  </w:pPr>
                  <w:r>
                    <w:rPr>
                      <w:rFonts w:hint="eastAsia" w:ascii="宋体" w:hAnsi="宋体" w:cs="宋体"/>
                      <w:highlight w:val="none"/>
                      <w:lang w:val="en-US" w:eastAsia="zh-CN"/>
                    </w:rPr>
                    <w:t>成交</w:t>
                  </w:r>
                  <w:r>
                    <w:rPr>
                      <w:rFonts w:hint="eastAsia" w:ascii="宋体" w:hAnsi="宋体" w:cs="宋体"/>
                      <w:highlight w:val="none"/>
                    </w:rPr>
                    <w:t>金额（万元）</w:t>
                  </w:r>
                </w:p>
              </w:tc>
              <w:tc>
                <w:tcPr>
                  <w:tcW w:w="1883" w:type="dxa"/>
                  <w:noWrap w:val="0"/>
                  <w:vAlign w:val="center"/>
                </w:tcPr>
                <w:p>
                  <w:pPr>
                    <w:tabs>
                      <w:tab w:val="left" w:pos="547"/>
                    </w:tabs>
                    <w:spacing w:line="360" w:lineRule="auto"/>
                    <w:jc w:val="center"/>
                    <w:outlineLvl w:val="9"/>
                    <w:rPr>
                      <w:rFonts w:ascii="宋体" w:cs="Times New Roman"/>
                      <w:highlight w:val="none"/>
                    </w:rPr>
                  </w:pPr>
                  <w:r>
                    <w:rPr>
                      <w:rFonts w:hint="eastAsia" w:ascii="宋体" w:hAnsi="宋体" w:cs="宋体"/>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ascii="宋体" w:cs="Times New Roman"/>
                      <w:highlight w:val="none"/>
                    </w:rPr>
                  </w:pPr>
                  <w:r>
                    <w:rPr>
                      <w:rFonts w:ascii="宋体" w:hAnsi="宋体" w:cs="宋体"/>
                      <w:highlight w:val="none"/>
                    </w:rPr>
                    <w:t>100</w:t>
                  </w:r>
                  <w:r>
                    <w:rPr>
                      <w:rFonts w:hint="eastAsia" w:ascii="宋体" w:hAnsi="宋体" w:cs="宋体"/>
                      <w:highlight w:val="none"/>
                    </w:rPr>
                    <w:t>以下</w:t>
                  </w:r>
                </w:p>
              </w:tc>
              <w:tc>
                <w:tcPr>
                  <w:tcW w:w="1883" w:type="dxa"/>
                  <w:noWrap w:val="0"/>
                  <w:vAlign w:val="center"/>
                </w:tcPr>
                <w:p>
                  <w:pPr>
                    <w:tabs>
                      <w:tab w:val="left" w:pos="547"/>
                    </w:tabs>
                    <w:spacing w:line="360" w:lineRule="auto"/>
                    <w:jc w:val="center"/>
                    <w:outlineLvl w:val="9"/>
                    <w:rPr>
                      <w:rFonts w:ascii="宋体" w:hAnsi="宋体" w:cs="宋体"/>
                      <w:highlight w:val="none"/>
                    </w:rPr>
                  </w:pPr>
                  <w:r>
                    <w:rPr>
                      <w:rFonts w:ascii="宋体" w:hAnsi="宋体" w:cs="宋体"/>
                      <w:highlight w:val="none"/>
                    </w:rPr>
                    <w:t>1.5%</w:t>
                  </w:r>
                </w:p>
              </w:tc>
            </w:tr>
          </w:tbl>
          <w:p>
            <w:pPr>
              <w:spacing w:line="360" w:lineRule="auto"/>
              <w:jc w:val="left"/>
              <w:outlineLvl w:val="9"/>
              <w:rPr>
                <w:rFonts w:hint="eastAsia"/>
                <w:kern w:val="28"/>
                <w:highlight w:val="none"/>
                <w:u w:val="single"/>
              </w:rPr>
            </w:pPr>
            <w:bookmarkStart w:id="68" w:name="_Toc31526"/>
            <w:r>
              <w:rPr>
                <w:rFonts w:hint="eastAsia"/>
                <w:kern w:val="28"/>
                <w:highlight w:val="none"/>
              </w:rPr>
              <w:t>注：采购代理服务费收费按差额定率累进法计算。</w:t>
            </w:r>
            <w:bookmarkEnd w:id="68"/>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24</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tabs>
                <w:tab w:val="left" w:pos="315"/>
                <w:tab w:val="left" w:pos="1785"/>
                <w:tab w:val="left" w:pos="2310"/>
                <w:tab w:val="left" w:pos="8640"/>
              </w:tabs>
              <w:spacing w:line="360" w:lineRule="auto"/>
              <w:outlineLvl w:val="9"/>
              <w:rPr>
                <w:rFonts w:hint="eastAsia"/>
                <w:b/>
                <w:highlight w:val="none"/>
              </w:rPr>
            </w:pPr>
            <w:r>
              <w:rPr>
                <w:rFonts w:hint="eastAsia"/>
                <w:highlight w:val="none"/>
                <w:lang w:eastAsia="zh-CN"/>
              </w:rPr>
              <w:t>成交</w:t>
            </w:r>
            <w:r>
              <w:rPr>
                <w:rFonts w:hint="eastAsia"/>
                <w:highlight w:val="none"/>
              </w:rPr>
              <w:t>结果公告媒体：</w:t>
            </w:r>
            <w:r>
              <w:rPr>
                <w:rFonts w:hint="eastAsia" w:ascii="BatangChe" w:hAnsi="BatangChe"/>
                <w:highlight w:val="none"/>
              </w:rPr>
              <w:t>陕西省政府采购网(http://www.ccgp-shaanxi.gov.cn/）。</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hint="eastAsia" w:ascii="宋体" w:hAnsi="宋体"/>
          <w:sz w:val="24"/>
          <w:highlight w:val="none"/>
        </w:rPr>
      </w:pPr>
      <w:r>
        <w:rPr>
          <w:rFonts w:hint="eastAsia" w:ascii="宋体" w:hAnsi="宋体"/>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ascii="宋体" w:hAnsi="宋体"/>
          <w:sz w:val="24"/>
          <w:highlight w:val="none"/>
        </w:rPr>
      </w:pPr>
      <w:bookmarkStart w:id="69" w:name="_Toc5476"/>
      <w:r>
        <w:rPr>
          <w:rFonts w:hint="eastAsia" w:ascii="宋体" w:hAnsi="宋体"/>
          <w:sz w:val="24"/>
          <w:highlight w:val="none"/>
        </w:rPr>
        <w:t>本次采购活动依据《中华人民共和国政府采购法》及其配套的法规、规章及政策执行。</w:t>
      </w:r>
      <w:bookmarkEnd w:id="22"/>
      <w:bookmarkEnd w:id="23"/>
      <w:bookmarkEnd w:id="24"/>
      <w:bookmarkEnd w:id="6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1"/>
        <w:rPr>
          <w:rFonts w:ascii="黑体" w:hAnsi="黑体" w:eastAsia="黑体" w:cs="黑体"/>
          <w:b/>
          <w:sz w:val="24"/>
          <w:highlight w:val="none"/>
        </w:rPr>
      </w:pPr>
      <w:bookmarkStart w:id="70" w:name="_Toc11778"/>
      <w:bookmarkStart w:id="71" w:name="_Toc14458"/>
      <w:bookmarkStart w:id="72" w:name="_Toc21459"/>
      <w:r>
        <w:rPr>
          <w:rFonts w:hint="eastAsia" w:ascii="黑体" w:hAnsi="黑体" w:eastAsia="黑体" w:cs="黑体"/>
          <w:b/>
          <w:sz w:val="24"/>
          <w:highlight w:val="none"/>
        </w:rPr>
        <w:t>一、总则</w:t>
      </w:r>
      <w:bookmarkEnd w:id="70"/>
      <w:bookmarkEnd w:id="71"/>
      <w:bookmarkEnd w:id="7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ascii="宋体" w:hAnsi="宋体"/>
          <w:b/>
          <w:bCs/>
          <w:sz w:val="24"/>
          <w:highlight w:val="none"/>
        </w:rPr>
      </w:pPr>
      <w:r>
        <w:rPr>
          <w:rFonts w:hint="eastAsia" w:ascii="宋体" w:hAnsi="宋体"/>
          <w:b/>
          <w:bCs/>
          <w:sz w:val="24"/>
          <w:highlight w:val="none"/>
        </w:rPr>
        <w:t>1.定义</w:t>
      </w:r>
    </w:p>
    <w:p>
      <w:pPr>
        <w:spacing w:line="360" w:lineRule="auto"/>
        <w:ind w:firstLine="480" w:firstLineChars="200"/>
        <w:outlineLvl w:val="9"/>
        <w:rPr>
          <w:rFonts w:hint="eastAsia" w:ascii="宋体" w:hAns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“本项目”系指</w:t>
      </w:r>
      <w:r>
        <w:rPr>
          <w:rFonts w:hint="eastAsia" w:ascii="宋体" w:hAnsi="宋体" w:cs="宋体"/>
          <w:sz w:val="24"/>
          <w:szCs w:val="24"/>
          <w:highlight w:val="none"/>
          <w:lang w:eastAsia="zh-CN"/>
        </w:rPr>
        <w:t>磋商邀请函</w:t>
      </w:r>
      <w:r>
        <w:rPr>
          <w:rFonts w:hint="eastAsia" w:ascii="宋体" w:hAnsi="宋体" w:cs="宋体"/>
          <w:sz w:val="24"/>
          <w:szCs w:val="24"/>
          <w:highlight w:val="none"/>
        </w:rPr>
        <w:t>中所描述项目。</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rPr>
        <w:t>“采购人”系指</w:t>
      </w:r>
      <w:r>
        <w:rPr>
          <w:rFonts w:hint="eastAsia" w:ascii="宋体" w:hAnsi="宋体" w:cs="宋体"/>
          <w:sz w:val="24"/>
          <w:szCs w:val="24"/>
          <w:highlight w:val="none"/>
          <w:lang w:eastAsia="zh-CN"/>
        </w:rPr>
        <w:t>磋商邀请函</w:t>
      </w:r>
      <w:r>
        <w:rPr>
          <w:rFonts w:hint="eastAsia" w:ascii="宋体" w:hAnsi="宋体" w:cs="宋体"/>
          <w:sz w:val="24"/>
          <w:szCs w:val="24"/>
          <w:highlight w:val="none"/>
        </w:rPr>
        <w:t>中所指采购人，亦指甲方、业主；</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rPr>
        <w:t>“监督机构”系财政主</w:t>
      </w:r>
      <w:bookmarkStart w:id="584" w:name="_GoBack"/>
      <w:bookmarkEnd w:id="584"/>
      <w:r>
        <w:rPr>
          <w:rFonts w:hint="eastAsia" w:ascii="宋体" w:hAnsi="宋体" w:cs="宋体"/>
          <w:sz w:val="24"/>
          <w:szCs w:val="24"/>
          <w:highlight w:val="none"/>
        </w:rPr>
        <w:t>管部门及采购人纪检监察部门；</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1.4</w:t>
      </w:r>
      <w:r>
        <w:rPr>
          <w:rFonts w:hint="eastAsia" w:ascii="宋体" w:hAnsi="宋体" w:cs="宋体"/>
          <w:sz w:val="24"/>
          <w:szCs w:val="24"/>
          <w:highlight w:val="none"/>
        </w:rPr>
        <w:t>“采购代理机构”系陕西德勤招标有限公司；</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1.5</w:t>
      </w:r>
      <w:r>
        <w:rPr>
          <w:rFonts w:hint="eastAsia" w:ascii="宋体" w:hAnsi="宋体" w:cs="宋体"/>
          <w:sz w:val="24"/>
          <w:szCs w:val="24"/>
          <w:highlight w:val="none"/>
        </w:rPr>
        <w:t>“采购单位”系采购人及采购代理机构的统称；</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6“响应供应商”系指购买了磋商文件拟向采购人提供服务，并拟参加</w:t>
      </w:r>
      <w:r>
        <w:rPr>
          <w:rFonts w:hint="eastAsia" w:ascii="宋体" w:hAnsi="宋体" w:cs="宋体"/>
          <w:sz w:val="24"/>
          <w:szCs w:val="24"/>
          <w:highlight w:val="none"/>
          <w:lang w:val="en-US" w:eastAsia="zh-CN"/>
        </w:rPr>
        <w:t>磋商会议</w:t>
      </w:r>
      <w:r>
        <w:rPr>
          <w:rFonts w:hint="eastAsia" w:ascii="宋体" w:hAnsi="宋体" w:cs="宋体"/>
          <w:sz w:val="24"/>
          <w:szCs w:val="24"/>
          <w:highlight w:val="none"/>
        </w:rPr>
        <w:t>的供应商；</w:t>
      </w:r>
    </w:p>
    <w:p>
      <w:pPr>
        <w:spacing w:line="360" w:lineRule="auto"/>
        <w:ind w:firstLine="480" w:firstLineChars="200"/>
        <w:outlineLvl w:val="9"/>
        <w:rPr>
          <w:rFonts w:ascii="宋体" w:hAnsi="宋体"/>
          <w:sz w:val="24"/>
          <w:highlight w:val="none"/>
        </w:rPr>
      </w:pPr>
      <w:r>
        <w:rPr>
          <w:rFonts w:hint="eastAsia" w:ascii="宋体" w:hAnsi="宋体" w:cs="宋体"/>
          <w:sz w:val="24"/>
          <w:szCs w:val="24"/>
          <w:highlight w:val="none"/>
        </w:rPr>
        <w:t>1.7“日期”指公历日</w:t>
      </w:r>
      <w:r>
        <w:rPr>
          <w:rFonts w:ascii="宋体" w:cs="宋体"/>
          <w:sz w:val="24"/>
          <w:szCs w:val="24"/>
          <w:highlight w:val="none"/>
        </w:rPr>
        <w:t>,</w:t>
      </w:r>
      <w:r>
        <w:rPr>
          <w:rFonts w:hint="eastAsia" w:ascii="宋体" w:hAnsi="宋体" w:cs="宋体"/>
          <w:sz w:val="24"/>
          <w:szCs w:val="24"/>
          <w:highlight w:val="none"/>
        </w:rPr>
        <w:t>“时间”指北京时间。</w:t>
      </w:r>
    </w:p>
    <w:p>
      <w:pPr>
        <w:spacing w:line="360" w:lineRule="auto"/>
        <w:ind w:firstLine="482" w:firstLineChars="200"/>
        <w:rPr>
          <w:rFonts w:ascii="宋体" w:hAnsi="宋体"/>
          <w:b/>
          <w:bCs/>
          <w:sz w:val="24"/>
          <w:highlight w:val="none"/>
        </w:rPr>
      </w:pPr>
      <w:r>
        <w:rPr>
          <w:rFonts w:hint="eastAsia" w:ascii="宋体" w:hAnsi="宋体"/>
          <w:b/>
          <w:bCs/>
          <w:sz w:val="24"/>
          <w:highlight w:val="none"/>
        </w:rPr>
        <w:t>2.合格供应商</w:t>
      </w:r>
    </w:p>
    <w:p>
      <w:pPr>
        <w:spacing w:line="360" w:lineRule="auto"/>
        <w:ind w:firstLine="480" w:firstLineChars="200"/>
        <w:outlineLvl w:val="9"/>
        <w:rPr>
          <w:rFonts w:ascii="宋体" w:hAnsi="宋体"/>
          <w:sz w:val="24"/>
          <w:highlight w:val="none"/>
        </w:rPr>
      </w:pPr>
      <w:bookmarkStart w:id="73" w:name="_Toc29049"/>
      <w:bookmarkStart w:id="74" w:name="_Toc12615"/>
      <w:bookmarkStart w:id="75" w:name="_Toc30806"/>
      <w:bookmarkStart w:id="76" w:name="_Toc6060"/>
      <w:r>
        <w:rPr>
          <w:rFonts w:hint="eastAsia" w:ascii="宋体" w:hAnsi="宋体"/>
          <w:sz w:val="24"/>
          <w:highlight w:val="none"/>
        </w:rPr>
        <w:t xml:space="preserve">2.1符合《第一部分 </w:t>
      </w:r>
      <w:r>
        <w:rPr>
          <w:rFonts w:hint="eastAsia" w:ascii="宋体" w:hAnsi="宋体"/>
          <w:sz w:val="24"/>
          <w:highlight w:val="none"/>
          <w:lang w:eastAsia="zh-CN"/>
        </w:rPr>
        <w:t>磋商邀请函</w:t>
      </w:r>
      <w:r>
        <w:rPr>
          <w:rFonts w:hint="eastAsia" w:ascii="宋体" w:hAnsi="宋体"/>
          <w:sz w:val="24"/>
          <w:highlight w:val="none"/>
        </w:rPr>
        <w:t>》中“供应商资格要求”、有能力提供本项目所需</w:t>
      </w:r>
      <w:r>
        <w:rPr>
          <w:rFonts w:hint="eastAsia" w:ascii="宋体" w:hAnsi="宋体"/>
          <w:sz w:val="24"/>
          <w:highlight w:val="none"/>
          <w:lang w:eastAsia="zh-CN"/>
        </w:rPr>
        <w:t>服务</w:t>
      </w:r>
      <w:r>
        <w:rPr>
          <w:rFonts w:hint="eastAsia" w:ascii="宋体" w:hAnsi="宋体"/>
          <w:sz w:val="24"/>
          <w:highlight w:val="none"/>
        </w:rPr>
        <w:t>的供应商。</w:t>
      </w:r>
      <w:bookmarkEnd w:id="73"/>
      <w:bookmarkEnd w:id="74"/>
      <w:bookmarkEnd w:id="75"/>
      <w:bookmarkEnd w:id="76"/>
    </w:p>
    <w:p>
      <w:pPr>
        <w:spacing w:line="360" w:lineRule="auto"/>
        <w:ind w:firstLine="480" w:firstLineChars="200"/>
        <w:outlineLvl w:val="9"/>
        <w:rPr>
          <w:rFonts w:ascii="宋体" w:hAnsi="宋体"/>
          <w:sz w:val="24"/>
          <w:highlight w:val="none"/>
        </w:rPr>
      </w:pPr>
      <w:bookmarkStart w:id="77" w:name="_Toc29147"/>
      <w:bookmarkStart w:id="78" w:name="_Toc27950"/>
      <w:bookmarkStart w:id="79" w:name="_Toc24392"/>
      <w:bookmarkStart w:id="80" w:name="_Toc1112"/>
      <w:r>
        <w:rPr>
          <w:rFonts w:hint="eastAsia" w:ascii="宋体" w:hAnsi="宋体"/>
          <w:sz w:val="24"/>
          <w:highlight w:val="none"/>
        </w:rPr>
        <w:t>2.2供应商应在响应文件中提交以下文件以证明其资格：</w:t>
      </w:r>
      <w:bookmarkEnd w:id="77"/>
      <w:bookmarkEnd w:id="78"/>
      <w:bookmarkEnd w:id="79"/>
      <w:bookmarkEnd w:id="80"/>
    </w:p>
    <w:p>
      <w:pPr>
        <w:spacing w:line="360" w:lineRule="auto"/>
        <w:ind w:firstLine="480" w:firstLineChars="200"/>
        <w:rPr>
          <w:rFonts w:ascii="宋体" w:hAnsi="宋体"/>
          <w:sz w:val="24"/>
          <w:highlight w:val="none"/>
        </w:rPr>
      </w:pPr>
      <w:r>
        <w:rPr>
          <w:rFonts w:hint="eastAsia" w:ascii="宋体" w:hAnsi="宋体"/>
          <w:sz w:val="24"/>
          <w:highlight w:val="none"/>
        </w:rPr>
        <w:t>2.2.1供应商资格声明（格式）；</w:t>
      </w:r>
    </w:p>
    <w:p>
      <w:pPr>
        <w:spacing w:line="360" w:lineRule="auto"/>
        <w:ind w:firstLine="480" w:firstLineChars="200"/>
        <w:rPr>
          <w:rFonts w:hint="eastAsia" w:ascii="宋体" w:hAnsi="宋体"/>
          <w:sz w:val="24"/>
          <w:highlight w:val="none"/>
        </w:rPr>
      </w:pPr>
      <w:r>
        <w:rPr>
          <w:rFonts w:hint="eastAsia" w:ascii="宋体" w:hAnsi="宋体"/>
          <w:sz w:val="24"/>
          <w:highlight w:val="none"/>
        </w:rPr>
        <w:t>1）企业法人</w:t>
      </w:r>
      <w:r>
        <w:rPr>
          <w:rFonts w:hint="eastAsia" w:ascii="宋体" w:hAnsi="宋体"/>
          <w:sz w:val="24"/>
          <w:highlight w:val="none"/>
          <w:lang w:eastAsia="zh-CN"/>
        </w:rPr>
        <w:t>、</w:t>
      </w:r>
      <w:r>
        <w:rPr>
          <w:rFonts w:hint="eastAsia" w:ascii="宋体" w:hAnsi="宋体"/>
          <w:sz w:val="24"/>
          <w:highlight w:val="none"/>
          <w:lang w:val="en-US" w:eastAsia="zh-CN"/>
        </w:rPr>
        <w:t>其他组织</w:t>
      </w:r>
      <w:r>
        <w:rPr>
          <w:rFonts w:hint="eastAsia" w:ascii="宋体" w:hAnsi="宋体"/>
          <w:sz w:val="24"/>
          <w:highlight w:val="none"/>
        </w:rPr>
        <w:t>营业执照副本</w:t>
      </w:r>
      <w:r>
        <w:rPr>
          <w:rFonts w:hint="eastAsia" w:ascii="宋体" w:hAnsi="宋体"/>
          <w:sz w:val="24"/>
          <w:highlight w:val="none"/>
          <w:lang w:val="en-US" w:eastAsia="zh-CN"/>
        </w:rPr>
        <w:t>或</w:t>
      </w:r>
      <w:r>
        <w:rPr>
          <w:rFonts w:hint="eastAsia" w:ascii="宋体" w:hAnsi="宋体"/>
          <w:sz w:val="24"/>
          <w:highlight w:val="none"/>
        </w:rPr>
        <w:t>事业单位法人证书</w:t>
      </w:r>
      <w:r>
        <w:rPr>
          <w:rFonts w:hint="eastAsia" w:ascii="宋体" w:hAnsi="宋体"/>
          <w:sz w:val="24"/>
          <w:highlight w:val="none"/>
          <w:lang w:eastAsia="zh-CN"/>
        </w:rPr>
        <w:t>，自然人提供身份证明</w:t>
      </w:r>
      <w:r>
        <w:rPr>
          <w:rFonts w:hint="eastAsia" w:ascii="宋体" w:hAnsi="宋体"/>
          <w:sz w:val="24"/>
          <w:highlight w:val="none"/>
        </w:rPr>
        <w:t>（复印件加盖</w:t>
      </w:r>
      <w:r>
        <w:rPr>
          <w:rFonts w:hint="eastAsia" w:ascii="宋体" w:hAnsi="宋体"/>
          <w:sz w:val="24"/>
          <w:highlight w:val="none"/>
          <w:lang w:val="en-US" w:eastAsia="zh-CN"/>
        </w:rPr>
        <w:t>响应</w:t>
      </w:r>
      <w:r>
        <w:rPr>
          <w:rFonts w:hint="eastAsia" w:ascii="宋体" w:hAnsi="宋体"/>
          <w:sz w:val="24"/>
          <w:highlight w:val="none"/>
        </w:rPr>
        <w:t>供应商公章）；</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2）2021年度经审计的财务报告（成立时间至磋商会议日期不足一年的响应供应商可提供成立后任意时段的资产负债表）（复印件加盖响应供应商公章）；</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或在磋商会议日期前六个月内其基本存款账户开户银行出具的资信证明（原件）；</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或在磋商会议日期前六个月内信用担保机构出具的投标担保函（原件）；</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（以上三种形式的资料提供任何一种即可）</w:t>
      </w:r>
    </w:p>
    <w:p>
      <w:pPr>
        <w:spacing w:line="360" w:lineRule="auto"/>
        <w:ind w:firstLine="480" w:firstLineChars="200"/>
        <w:rPr>
          <w:rFonts w:hint="eastAsia" w:ascii="宋体" w:hAnsi="宋体"/>
          <w:sz w:val="24"/>
          <w:highlight w:val="none"/>
        </w:rPr>
      </w:pPr>
      <w:r>
        <w:rPr>
          <w:rFonts w:hint="eastAsia" w:ascii="宋体" w:hAnsi="宋体"/>
          <w:sz w:val="24"/>
          <w:highlight w:val="none"/>
        </w:rPr>
        <w:t>3）磋商会议日期前十二个月内任意</w:t>
      </w:r>
      <w:r>
        <w:rPr>
          <w:rFonts w:hint="eastAsia" w:ascii="宋体" w:hAnsi="宋体"/>
          <w:sz w:val="24"/>
          <w:highlight w:val="none"/>
          <w:lang w:eastAsia="zh-CN"/>
        </w:rPr>
        <w:t>一</w:t>
      </w:r>
      <w:r>
        <w:rPr>
          <w:rFonts w:hint="eastAsia" w:ascii="宋体" w:hAnsi="宋体"/>
          <w:sz w:val="24"/>
          <w:highlight w:val="none"/>
        </w:rPr>
        <w:t>个月缴税凭据（复印件加盖供应商公章）（依法免税的供应商应提供相应文件证明）；</w:t>
      </w:r>
    </w:p>
    <w:p>
      <w:pPr>
        <w:spacing w:line="360" w:lineRule="auto"/>
        <w:ind w:firstLine="480" w:firstLineChars="200"/>
        <w:rPr>
          <w:rFonts w:hint="eastAsia" w:ascii="宋体" w:hAnsi="宋体"/>
          <w:sz w:val="24"/>
          <w:highlight w:val="none"/>
        </w:rPr>
      </w:pPr>
      <w:r>
        <w:rPr>
          <w:rFonts w:hint="eastAsia" w:ascii="宋体" w:hAnsi="宋体"/>
          <w:sz w:val="24"/>
          <w:highlight w:val="none"/>
        </w:rPr>
        <w:t>4）磋商会议日期前十二个月内任意</w:t>
      </w:r>
      <w:r>
        <w:rPr>
          <w:rFonts w:hint="eastAsia" w:ascii="宋体" w:hAnsi="宋体"/>
          <w:sz w:val="24"/>
          <w:highlight w:val="none"/>
          <w:lang w:eastAsia="zh-CN"/>
        </w:rPr>
        <w:t>一</w:t>
      </w:r>
      <w:r>
        <w:rPr>
          <w:rFonts w:hint="eastAsia" w:ascii="宋体" w:hAnsi="宋体"/>
          <w:sz w:val="24"/>
          <w:highlight w:val="none"/>
        </w:rPr>
        <w:t>个月缴纳社会保险的凭据（专用收据或社会保险缴纳清单）（复印件加盖供应商公章）（依法不需要缴纳社会保障资金的供应商应提供相应文件证明）；</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2.2.2保证金汇款声明函/保函（格式）</w:t>
      </w:r>
      <w:r>
        <w:rPr>
          <w:rFonts w:hint="eastAsia" w:ascii="宋体" w:hAnsi="宋体" w:cs="宋体"/>
          <w:sz w:val="24"/>
          <w:szCs w:val="24"/>
          <w:highlight w:val="none"/>
          <w:lang w:val="en-GB" w:eastAsia="zh-CN"/>
        </w:rPr>
        <w:t>（若提交保函，应于</w:t>
      </w:r>
      <w:r>
        <w:rPr>
          <w:rFonts w:hint="eastAsia" w:ascii="宋体" w:hAnsi="宋体" w:cs="宋体"/>
          <w:sz w:val="24"/>
          <w:szCs w:val="24"/>
          <w:highlight w:val="none"/>
          <w:lang w:val="en-US" w:eastAsia="zh-CN"/>
        </w:rPr>
        <w:t>响应</w:t>
      </w:r>
      <w:r>
        <w:rPr>
          <w:rFonts w:hint="eastAsia" w:ascii="宋体" w:hAnsi="宋体" w:cs="宋体"/>
          <w:sz w:val="24"/>
          <w:szCs w:val="24"/>
          <w:highlight w:val="none"/>
          <w:lang w:val="en-GB" w:eastAsia="zh-CN"/>
        </w:rPr>
        <w:t>文件递交截止时间前将保函扫描件发送至采购代理机构指定邮箱）</w:t>
      </w:r>
      <w:r>
        <w:rPr>
          <w:rFonts w:hint="eastAsia" w:ascii="宋体" w:hAnsi="宋体"/>
          <w:sz w:val="24"/>
          <w:highlight w:val="none"/>
          <w:lang w:val="en-US" w:eastAsia="zh-CN"/>
        </w:rPr>
        <w:t>；</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2.2.3法定代表人授权书（法定代表人直接参加磋商会议须提交法定代表人证明书）（格式）；</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rPr>
        <w:t>备注：</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1</w:t>
      </w:r>
      <w:r>
        <w:rPr>
          <w:rFonts w:hint="eastAsia" w:ascii="宋体" w:cs="Times New Roman"/>
          <w:b/>
          <w:bCs/>
          <w:sz w:val="24"/>
          <w:szCs w:val="24"/>
          <w:highlight w:val="none"/>
          <w:u w:val="single"/>
          <w:lang w:eastAsia="zh-CN"/>
        </w:rPr>
        <w:t>）</w:t>
      </w:r>
      <w:r>
        <w:rPr>
          <w:rFonts w:hint="eastAsia" w:ascii="宋体" w:hAnsi="宋体"/>
          <w:b/>
          <w:bCs/>
          <w:sz w:val="24"/>
          <w:highlight w:val="none"/>
          <w:u w:val="single"/>
        </w:rPr>
        <w:t>以上文件为必备资格证明</w:t>
      </w:r>
      <w:r>
        <w:rPr>
          <w:rFonts w:hint="eastAsia" w:ascii="宋体" w:cs="Times New Roman"/>
          <w:b/>
          <w:bCs/>
          <w:sz w:val="24"/>
          <w:szCs w:val="24"/>
          <w:highlight w:val="none"/>
          <w:u w:val="single"/>
        </w:rPr>
        <w:t>，需提供相关证明文件并加盖</w:t>
      </w:r>
      <w:r>
        <w:rPr>
          <w:rFonts w:hint="eastAsia" w:ascii="宋体" w:cs="Times New Roman"/>
          <w:b/>
          <w:bCs/>
          <w:sz w:val="24"/>
          <w:szCs w:val="24"/>
          <w:highlight w:val="none"/>
          <w:u w:val="single"/>
          <w:lang w:val="en-US" w:eastAsia="zh-CN"/>
        </w:rPr>
        <w:t>响应供应商</w:t>
      </w:r>
      <w:r>
        <w:rPr>
          <w:rFonts w:hint="eastAsia" w:ascii="宋体" w:cs="Times New Roman"/>
          <w:b/>
          <w:bCs/>
          <w:sz w:val="24"/>
          <w:szCs w:val="24"/>
          <w:highlight w:val="none"/>
          <w:u w:val="single"/>
        </w:rPr>
        <w:t>公章（如相关证明材料由第三方出具，应有第三方公章），缺少其中任何一项，其</w:t>
      </w:r>
      <w:r>
        <w:rPr>
          <w:rFonts w:hint="eastAsia" w:ascii="宋体" w:cs="Times New Roman"/>
          <w:b/>
          <w:bCs/>
          <w:sz w:val="24"/>
          <w:szCs w:val="24"/>
          <w:highlight w:val="none"/>
          <w:u w:val="single"/>
          <w:lang w:val="en-US" w:eastAsia="zh-CN"/>
        </w:rPr>
        <w:t>响应</w:t>
      </w:r>
      <w:r>
        <w:rPr>
          <w:rFonts w:hint="eastAsia" w:ascii="宋体" w:cs="Times New Roman"/>
          <w:b/>
          <w:bCs/>
          <w:sz w:val="24"/>
          <w:szCs w:val="24"/>
          <w:highlight w:val="none"/>
          <w:u w:val="single"/>
        </w:rPr>
        <w:t>文件视为无效文件。</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2</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供应商资格声明</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val="en-GB"/>
        </w:rPr>
        <w:t>保证金汇款声明函</w:t>
      </w:r>
      <w:r>
        <w:rPr>
          <w:rFonts w:hint="eastAsia" w:ascii="宋体" w:cs="Times New Roman"/>
          <w:b/>
          <w:bCs/>
          <w:sz w:val="24"/>
          <w:szCs w:val="24"/>
          <w:highlight w:val="none"/>
          <w:u w:val="single"/>
        </w:rPr>
        <w:t>》、《法定代表人授权书</w:t>
      </w:r>
      <w:r>
        <w:rPr>
          <w:rFonts w:hint="eastAsia" w:ascii="宋体" w:cs="Times New Roman"/>
          <w:b/>
          <w:bCs/>
          <w:sz w:val="24"/>
          <w:szCs w:val="24"/>
          <w:highlight w:val="none"/>
          <w:u w:val="single"/>
          <w:lang w:val="en-US" w:eastAsia="zh-CN"/>
        </w:rPr>
        <w:t>/法定代表人证明书</w:t>
      </w:r>
      <w:r>
        <w:rPr>
          <w:rFonts w:hint="eastAsia" w:ascii="宋体" w:cs="Times New Roman"/>
          <w:b/>
          <w:bCs/>
          <w:sz w:val="24"/>
          <w:szCs w:val="24"/>
          <w:highlight w:val="none"/>
          <w:u w:val="single"/>
        </w:rPr>
        <w:t>》应按</w:t>
      </w:r>
      <w:r>
        <w:rPr>
          <w:rFonts w:hint="eastAsia" w:ascii="宋体" w:cs="Times New Roman"/>
          <w:b/>
          <w:bCs/>
          <w:sz w:val="24"/>
          <w:szCs w:val="24"/>
          <w:highlight w:val="none"/>
          <w:u w:val="single"/>
          <w:lang w:val="en-US" w:eastAsia="zh-CN"/>
        </w:rPr>
        <w:t>磋商</w:t>
      </w:r>
      <w:r>
        <w:rPr>
          <w:rFonts w:hint="eastAsia" w:ascii="宋体" w:cs="Times New Roman"/>
          <w:b/>
          <w:bCs/>
          <w:sz w:val="24"/>
          <w:szCs w:val="24"/>
          <w:highlight w:val="none"/>
          <w:u w:val="single"/>
        </w:rPr>
        <w:t>文件</w:t>
      </w:r>
      <w:r>
        <w:rPr>
          <w:rFonts w:hint="eastAsia" w:ascii="宋体" w:cs="Times New Roman"/>
          <w:b/>
          <w:bCs/>
          <w:sz w:val="24"/>
          <w:szCs w:val="24"/>
          <w:highlight w:val="none"/>
          <w:u w:val="single"/>
          <w:lang w:val="en-US" w:eastAsia="zh-CN"/>
        </w:rPr>
        <w:t>第六部分</w:t>
      </w:r>
      <w:r>
        <w:rPr>
          <w:rFonts w:hint="eastAsia" w:ascii="宋体" w:cs="Times New Roman"/>
          <w:b/>
          <w:bCs/>
          <w:sz w:val="24"/>
          <w:szCs w:val="24"/>
          <w:highlight w:val="none"/>
          <w:u w:val="single"/>
        </w:rPr>
        <w:t>给定的格式填写。</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3</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分支机构</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时，</w:t>
      </w:r>
      <w:r>
        <w:rPr>
          <w:rFonts w:hint="eastAsia" w:ascii="宋体" w:cs="Times New Roman"/>
          <w:b/>
          <w:bCs/>
          <w:sz w:val="24"/>
          <w:szCs w:val="24"/>
          <w:highlight w:val="none"/>
          <w:u w:val="single"/>
          <w:lang w:val="en-US" w:eastAsia="zh-CN"/>
        </w:rPr>
        <w:t>响应</w:t>
      </w:r>
      <w:r>
        <w:rPr>
          <w:rFonts w:hint="eastAsia" w:ascii="宋体" w:cs="Times New Roman"/>
          <w:b/>
          <w:bCs/>
          <w:sz w:val="24"/>
          <w:szCs w:val="24"/>
          <w:highlight w:val="none"/>
          <w:u w:val="single"/>
        </w:rPr>
        <w:t>文件中应附法人出具的授权书。法人只能授权一家分支机构</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，且不能与分支机构同时</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。分支机构须提供</w:t>
      </w:r>
      <w:r>
        <w:rPr>
          <w:rFonts w:hint="eastAsia" w:ascii="宋体" w:cs="Times New Roman"/>
          <w:b/>
          <w:bCs/>
          <w:sz w:val="24"/>
          <w:szCs w:val="24"/>
          <w:highlight w:val="none"/>
          <w:u w:val="single"/>
          <w:lang w:val="en-US" w:eastAsia="zh-CN"/>
        </w:rPr>
        <w:t>自己</w:t>
      </w:r>
      <w:r>
        <w:rPr>
          <w:rFonts w:hint="eastAsia" w:ascii="宋体" w:cs="Times New Roman"/>
          <w:b/>
          <w:bCs/>
          <w:sz w:val="24"/>
          <w:szCs w:val="24"/>
          <w:highlight w:val="none"/>
          <w:u w:val="single"/>
        </w:rPr>
        <w:t>的资格要求证明文件。</w:t>
      </w:r>
    </w:p>
    <w:p>
      <w:pPr>
        <w:spacing w:line="360" w:lineRule="auto"/>
        <w:ind w:firstLine="482" w:firstLineChars="200"/>
        <w:rPr>
          <w:rFonts w:ascii="宋体" w:hAnsi="宋体"/>
          <w:b/>
          <w:bCs/>
          <w:sz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4</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事业单位法人</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可不提供财务状况报告和社会保障资金缴纳证明及税收缴纳证明。</w:t>
      </w:r>
    </w:p>
    <w:p>
      <w:pPr>
        <w:spacing w:line="360" w:lineRule="auto"/>
        <w:ind w:firstLine="480" w:firstLineChars="200"/>
        <w:rPr>
          <w:rFonts w:ascii="宋体" w:hAnsi="宋体"/>
          <w:sz w:val="24"/>
          <w:highlight w:val="none"/>
        </w:rPr>
      </w:pPr>
      <w:r>
        <w:rPr>
          <w:rFonts w:hint="eastAsia" w:ascii="宋体" w:hAnsi="宋体"/>
          <w:sz w:val="24"/>
          <w:highlight w:val="none"/>
        </w:rPr>
        <w:t>2.3供应商递交响应文件时，必须同时提交以下资格证明文件证明材料原件，以证明其资格：</w:t>
      </w:r>
    </w:p>
    <w:p>
      <w:pPr>
        <w:spacing w:line="360" w:lineRule="auto"/>
        <w:ind w:firstLine="480" w:firstLineChars="200"/>
        <w:rPr>
          <w:rFonts w:hint="eastAsia" w:ascii="宋体" w:hAnsi="宋体"/>
          <w:sz w:val="24"/>
          <w:highlight w:val="none"/>
        </w:rPr>
      </w:pPr>
      <w:r>
        <w:rPr>
          <w:rFonts w:hint="eastAsia" w:ascii="宋体" w:hAnsi="宋体"/>
          <w:sz w:val="24"/>
          <w:highlight w:val="none"/>
        </w:rPr>
        <w:t>2.3.1企业法人</w:t>
      </w:r>
      <w:r>
        <w:rPr>
          <w:rFonts w:hint="eastAsia" w:ascii="宋体" w:hAnsi="宋体"/>
          <w:sz w:val="24"/>
          <w:highlight w:val="none"/>
          <w:lang w:eastAsia="zh-CN"/>
        </w:rPr>
        <w:t>、</w:t>
      </w:r>
      <w:r>
        <w:rPr>
          <w:rFonts w:hint="eastAsia" w:ascii="宋体" w:hAnsi="宋体"/>
          <w:sz w:val="24"/>
          <w:highlight w:val="none"/>
          <w:lang w:val="en-US" w:eastAsia="zh-CN"/>
        </w:rPr>
        <w:t>其他组织</w:t>
      </w:r>
      <w:r>
        <w:rPr>
          <w:rFonts w:hint="eastAsia" w:ascii="宋体" w:hAnsi="宋体"/>
          <w:sz w:val="24"/>
          <w:highlight w:val="none"/>
        </w:rPr>
        <w:t>营业执照</w:t>
      </w:r>
      <w:r>
        <w:rPr>
          <w:rFonts w:hint="eastAsia" w:ascii="宋体" w:hAnsi="宋体"/>
          <w:sz w:val="24"/>
          <w:highlight w:val="none"/>
          <w:lang w:val="en-US" w:eastAsia="zh-CN"/>
        </w:rPr>
        <w:t>副本或</w:t>
      </w:r>
      <w:r>
        <w:rPr>
          <w:rFonts w:hint="eastAsia" w:ascii="宋体" w:hAnsi="宋体"/>
          <w:sz w:val="24"/>
          <w:highlight w:val="none"/>
        </w:rPr>
        <w:t>事业单位法人证书</w:t>
      </w:r>
      <w:r>
        <w:rPr>
          <w:rFonts w:hint="eastAsia" w:ascii="宋体" w:hAnsi="宋体"/>
          <w:sz w:val="24"/>
          <w:highlight w:val="none"/>
          <w:lang w:eastAsia="zh-CN"/>
        </w:rPr>
        <w:t>，自然人提供身份证明</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2.3.2</w:t>
      </w:r>
      <w:r>
        <w:rPr>
          <w:rFonts w:hint="eastAsia" w:ascii="宋体" w:hAnsi="宋体" w:cs="宋体"/>
          <w:sz w:val="24"/>
          <w:szCs w:val="24"/>
          <w:highlight w:val="none"/>
        </w:rPr>
        <w:t>授权代表身份证（法定代表人直接参加</w:t>
      </w:r>
      <w:r>
        <w:rPr>
          <w:rFonts w:hint="eastAsia" w:ascii="宋体" w:hAnsi="宋体" w:cs="宋体"/>
          <w:sz w:val="24"/>
          <w:szCs w:val="24"/>
          <w:highlight w:val="none"/>
          <w:lang w:val="en-US" w:eastAsia="zh-CN"/>
        </w:rPr>
        <w:t>谈判</w:t>
      </w:r>
      <w:r>
        <w:rPr>
          <w:rFonts w:hint="eastAsia" w:ascii="宋体" w:hAnsi="宋体" w:cs="宋体"/>
          <w:sz w:val="24"/>
          <w:szCs w:val="24"/>
          <w:highlight w:val="none"/>
        </w:rPr>
        <w:t>提交法定代表人身份证）</w:t>
      </w:r>
      <w:r>
        <w:rPr>
          <w:rFonts w:hint="eastAsia" w:ascii="宋体" w:hAnsi="宋体" w:cs="宋体"/>
          <w:sz w:val="24"/>
          <w:szCs w:val="24"/>
          <w:highlight w:val="none"/>
          <w:lang w:eastAsia="zh-CN"/>
        </w:rPr>
        <w:t>；</w:t>
      </w:r>
    </w:p>
    <w:p>
      <w:pPr>
        <w:spacing w:line="360" w:lineRule="auto"/>
        <w:ind w:firstLine="482" w:firstLineChars="200"/>
        <w:rPr>
          <w:rFonts w:ascii="宋体" w:hAnsi="宋体"/>
          <w:color w:val="0000FF"/>
          <w:sz w:val="24"/>
          <w:highlight w:val="none"/>
        </w:rPr>
      </w:pPr>
      <w:r>
        <w:rPr>
          <w:rFonts w:hint="eastAsia" w:ascii="宋体" w:hAnsi="宋体"/>
          <w:b/>
          <w:bCs/>
          <w:sz w:val="24"/>
          <w:highlight w:val="none"/>
          <w:u w:val="single"/>
        </w:rPr>
        <w:t>以上材料提供原件，</w:t>
      </w:r>
      <w:r>
        <w:rPr>
          <w:rFonts w:hint="eastAsia" w:ascii="宋体" w:hAnsi="宋体"/>
          <w:b/>
          <w:bCs/>
          <w:sz w:val="24"/>
          <w:highlight w:val="none"/>
          <w:u w:val="single"/>
          <w:lang w:val="en-US" w:eastAsia="zh-CN"/>
        </w:rPr>
        <w:t>附于“</w:t>
      </w:r>
      <w:r>
        <w:rPr>
          <w:rFonts w:hint="eastAsia" w:ascii="宋体" w:hAnsi="宋体"/>
          <w:b/>
          <w:bCs/>
          <w:sz w:val="24"/>
          <w:highlight w:val="none"/>
          <w:u w:val="single"/>
        </w:rPr>
        <w:t>资格证明文件证明材料原件</w:t>
      </w:r>
      <w:r>
        <w:rPr>
          <w:rFonts w:hint="eastAsia" w:ascii="宋体" w:hAnsi="宋体"/>
          <w:b/>
          <w:bCs/>
          <w:sz w:val="24"/>
          <w:highlight w:val="none"/>
          <w:u w:val="single"/>
          <w:lang w:eastAsia="zh-CN"/>
        </w:rPr>
        <w:t>”（</w:t>
      </w:r>
      <w:r>
        <w:rPr>
          <w:rFonts w:hint="eastAsia" w:ascii="宋体" w:hAnsi="宋体"/>
          <w:b/>
          <w:bCs/>
          <w:sz w:val="24"/>
          <w:highlight w:val="none"/>
          <w:u w:val="single"/>
          <w:lang w:val="en-US" w:eastAsia="zh-CN"/>
        </w:rPr>
        <w:t>无需密封</w:t>
      </w:r>
      <w:r>
        <w:rPr>
          <w:rFonts w:hint="eastAsia" w:ascii="宋体" w:hAnsi="宋体"/>
          <w:b/>
          <w:bCs/>
          <w:sz w:val="24"/>
          <w:highlight w:val="none"/>
          <w:u w:val="single"/>
          <w:lang w:eastAsia="zh-CN"/>
        </w:rPr>
        <w:t>），</w:t>
      </w:r>
      <w:r>
        <w:rPr>
          <w:rFonts w:hint="eastAsia" w:ascii="宋体" w:hAnsi="宋体"/>
          <w:b/>
          <w:bCs/>
          <w:sz w:val="24"/>
          <w:highlight w:val="none"/>
          <w:u w:val="single"/>
        </w:rPr>
        <w:t>资格审查结束后退还，供应商若不能全部提供，其响应将被拒绝。</w:t>
      </w:r>
    </w:p>
    <w:p>
      <w:pPr>
        <w:spacing w:line="360" w:lineRule="auto"/>
        <w:ind w:firstLine="480" w:firstLineChars="200"/>
        <w:rPr>
          <w:rFonts w:hint="eastAsia" w:ascii="宋体" w:hAnsi="宋体"/>
          <w:sz w:val="24"/>
          <w:highlight w:val="none"/>
        </w:rPr>
      </w:pPr>
      <w:bookmarkStart w:id="81" w:name="OLE_LINK43"/>
      <w:r>
        <w:rPr>
          <w:rFonts w:hint="eastAsia" w:ascii="宋体" w:hAnsi="宋体"/>
          <w:sz w:val="24"/>
          <w:highlight w:val="none"/>
          <w:lang w:val="en-US" w:eastAsia="zh-CN"/>
        </w:rPr>
        <w:t>2.4关于信用记录的查询和使用</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2.4.1采购代理机构将在资格审查阶段通过【信用中国（www.creditchina.gov.cn）】、【中国政府采购网（www.ccgp.gov.cn）】网站对供应商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号）的第二条第（三）款规定，其磋商或成交资格将被取消。</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2.4.2供应商在参加政府采购活动前3年内因违法经营被禁止在一定期限内参加政府采购活动，期限届满的，可以参加政府采购活动的，但供应商应提供相关证明材料。</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2.4.3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2.5落实的政府采购政策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2.5.1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参加政府采购活动的中小企业应提供《中小企业声明函》（格式）。</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2.5.2监狱企业应符合《财政部 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2.5.3根据财政部、民政部、中国残疾人联合会下发的《关于促进残疾人就业政府采购政策的通知》（财库〔2017〕141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参加政府采购活动的残疾人单位应提供《残疾人福利性单位声明函》（格式）。</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2.5.4根据财政部、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2.5.7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2.5.8节能产品政府采购品目清单详见财政部、发展改革委《关于印发节能产品政府采购品目清单的通知》（财库〔2019〕19号）。</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2.5.9环境标志产品政府采购品目清单详见财政部、生态环境部《关于印发环境标志产品政府采购品目清单的通知》（财库〔2019〕18号）。</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2.5.10国家确定的节能产品、环境标志产品认证机构详见市场监管总局《关于发布参与实施政府采购节能产品、环境标志产品认证机构名录的公告》（2019年第16号）。</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供应商提交的资格合格证明文件应使采购人满意。</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7</w:t>
      </w:r>
      <w:r>
        <w:rPr>
          <w:rFonts w:hint="eastAsia" w:ascii="宋体" w:hAnsi="宋体"/>
          <w:sz w:val="24"/>
          <w:highlight w:val="none"/>
        </w:rPr>
        <w:t>供应商必须向采购代理机构购买磋商文件并登记备案，任何未从采购代理机构购买磋商文件并登记备案的潜在供应商均无资格参加磋商会议。</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8</w:t>
      </w:r>
      <w:r>
        <w:rPr>
          <w:rFonts w:hint="eastAsia" w:ascii="宋体" w:hAnsi="宋体"/>
          <w:sz w:val="24"/>
          <w:highlight w:val="none"/>
        </w:rPr>
        <w:t>单位负责人为同一人或存在直接控股、管理关系的不同单位，不得同时参加同一合同项下的政府采购活动；</w:t>
      </w:r>
    </w:p>
    <w:p>
      <w:pPr>
        <w:spacing w:line="360" w:lineRule="auto"/>
        <w:ind w:firstLine="480" w:firstLineChars="200"/>
        <w:rPr>
          <w:rFonts w:ascii="宋体" w:hAnsi="宋体"/>
          <w:sz w:val="24"/>
          <w:highlight w:val="none"/>
        </w:rPr>
      </w:pPr>
      <w:r>
        <w:rPr>
          <w:rFonts w:hint="eastAsia" w:ascii="宋体" w:hAnsi="宋体"/>
          <w:sz w:val="24"/>
          <w:highlight w:val="none"/>
        </w:rPr>
        <w:t>“参加同一合同项下的政府采购活动”包括但不限于提交质疑书、提交投诉书、提交响应文件；</w:t>
      </w:r>
    </w:p>
    <w:p>
      <w:pPr>
        <w:spacing w:line="360" w:lineRule="auto"/>
        <w:ind w:firstLine="480" w:firstLineChars="200"/>
        <w:rPr>
          <w:rFonts w:ascii="宋体" w:hAnsi="宋体"/>
          <w:sz w:val="24"/>
          <w:highlight w:val="none"/>
        </w:rPr>
      </w:pPr>
      <w:r>
        <w:rPr>
          <w:rFonts w:hint="eastAsia" w:ascii="宋体" w:hAnsi="宋体"/>
          <w:sz w:val="24"/>
          <w:highlight w:val="none"/>
        </w:rPr>
        <w:t>如有发现，相关质疑、投诉、响应均无效。</w:t>
      </w:r>
    </w:p>
    <w:p>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2.9</w:t>
      </w:r>
      <w:r>
        <w:rPr>
          <w:rFonts w:hint="eastAsia" w:ascii="宋体" w:hAnsi="宋体" w:cs="宋体"/>
          <w:sz w:val="24"/>
          <w:szCs w:val="24"/>
          <w:highlight w:val="none"/>
        </w:rPr>
        <w:t>为本项目提供整体设计、规范编制或者项目管理、监理、检测等服务的供应商，不得再参与本项目</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。供应商为采购人、采购代理机构在确定采购需求、编制</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文件过程中提供咨询论证，其提供的咨询论证意见成为</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文件中规定的供应商资格条件、技术服务商务要求、评审因素和标准、政府采购合同等实质性内容条款的，视同为采购项目提供规范编制。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10</w:t>
      </w:r>
      <w:r>
        <w:rPr>
          <w:rFonts w:hint="eastAsia" w:ascii="宋体" w:hAnsi="宋体"/>
          <w:sz w:val="24"/>
          <w:highlight w:val="none"/>
        </w:rPr>
        <w:t>供应商提供的所有货物及服务，其来源均应符合《中华人民共和国政府采购法》等相关法律法规的规定。</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11</w:t>
      </w:r>
      <w:r>
        <w:rPr>
          <w:rFonts w:hint="eastAsia" w:ascii="宋体" w:hAnsi="宋体"/>
          <w:sz w:val="24"/>
          <w:highlight w:val="none"/>
        </w:rPr>
        <w:t>供应商</w:t>
      </w:r>
      <w:r>
        <w:rPr>
          <w:rFonts w:hint="eastAsia" w:ascii="宋体" w:hAnsi="宋体"/>
          <w:sz w:val="24"/>
          <w:highlight w:val="none"/>
          <w:lang w:val="en-GB"/>
        </w:rPr>
        <w:t>必须保证，采购人在中华人民共和国境内使用报价货物、资料、技术、服务或其任何一部分时，享有不受限制的无偿使用权，不会产生因第三方提出侵犯其专利权、商标权或其它知识产权而引起的法律或经济纠纷。如</w:t>
      </w:r>
      <w:r>
        <w:rPr>
          <w:rFonts w:hint="eastAsia" w:ascii="宋体" w:hAnsi="宋体"/>
          <w:sz w:val="24"/>
          <w:highlight w:val="none"/>
        </w:rPr>
        <w:t>供应商</w:t>
      </w:r>
      <w:r>
        <w:rPr>
          <w:rFonts w:hint="eastAsia" w:ascii="宋体" w:hAnsi="宋体"/>
          <w:sz w:val="24"/>
          <w:highlight w:val="none"/>
          <w:lang w:val="en-GB"/>
        </w:rPr>
        <w:t>不拥有相应的知识产权，则应由</w:t>
      </w:r>
      <w:r>
        <w:rPr>
          <w:rFonts w:hint="eastAsia" w:ascii="宋体" w:hAnsi="宋体"/>
          <w:sz w:val="24"/>
          <w:highlight w:val="none"/>
        </w:rPr>
        <w:t>供应商</w:t>
      </w:r>
      <w:r>
        <w:rPr>
          <w:rFonts w:hint="eastAsia" w:ascii="宋体" w:hAnsi="宋体"/>
          <w:sz w:val="24"/>
          <w:highlight w:val="none"/>
          <w:lang w:val="en-GB"/>
        </w:rPr>
        <w:t>负责获得并提供给采购人使用，其报价中必须包括合法获取该知识产权的一切相关费用，如</w:t>
      </w:r>
      <w:r>
        <w:rPr>
          <w:rFonts w:hint="eastAsia" w:ascii="宋体" w:hAnsi="宋体"/>
          <w:sz w:val="24"/>
          <w:highlight w:val="none"/>
        </w:rPr>
        <w:t>供应商</w:t>
      </w:r>
      <w:r>
        <w:rPr>
          <w:rFonts w:hint="eastAsia" w:ascii="宋体" w:hAnsi="宋体"/>
          <w:sz w:val="24"/>
          <w:highlight w:val="none"/>
          <w:lang w:val="en-GB"/>
        </w:rPr>
        <w:t>没有单独列出的，视为已包含在相应报价中</w:t>
      </w:r>
      <w:r>
        <w:rPr>
          <w:rFonts w:hint="eastAsia" w:ascii="宋体" w:hAnsi="宋体"/>
          <w:sz w:val="24"/>
          <w:highlight w:val="none"/>
        </w:rPr>
        <w:t>。一旦使用供应商提供的产品或服务，采购人不再</w:t>
      </w:r>
      <w:r>
        <w:rPr>
          <w:rFonts w:hint="eastAsia" w:ascii="宋体" w:hAnsi="宋体"/>
          <w:sz w:val="24"/>
          <w:highlight w:val="none"/>
          <w:lang w:val="en-GB"/>
        </w:rPr>
        <w:t>承担第三方提出侵犯其专利权、商标权或其它知识产权而引起的法律或经济纠纷，</w:t>
      </w:r>
      <w:r>
        <w:rPr>
          <w:rFonts w:hint="eastAsia" w:ascii="宋体" w:hAnsi="宋体"/>
          <w:sz w:val="24"/>
          <w:highlight w:val="none"/>
        </w:rPr>
        <w:t>以上法律或经济纠纷由供应商承担。</w:t>
      </w:r>
    </w:p>
    <w:p>
      <w:pPr>
        <w:spacing w:line="360" w:lineRule="auto"/>
        <w:ind w:firstLine="482" w:firstLineChars="200"/>
        <w:rPr>
          <w:rFonts w:ascii="宋体" w:hAnsi="宋体"/>
          <w:b/>
          <w:bCs/>
          <w:sz w:val="24"/>
          <w:highlight w:val="none"/>
        </w:rPr>
      </w:pPr>
      <w:r>
        <w:rPr>
          <w:rFonts w:hint="eastAsia" w:ascii="宋体" w:hAnsi="宋体"/>
          <w:b/>
          <w:bCs/>
          <w:sz w:val="24"/>
          <w:highlight w:val="none"/>
        </w:rPr>
        <w:t>3.</w:t>
      </w:r>
      <w:r>
        <w:rPr>
          <w:rFonts w:hint="eastAsia" w:ascii="宋体" w:hAnsi="宋体"/>
          <w:b/>
          <w:bCs/>
          <w:sz w:val="24"/>
          <w:highlight w:val="none"/>
          <w:lang w:eastAsia="zh-CN"/>
        </w:rPr>
        <w:t>磋商</w:t>
      </w:r>
      <w:r>
        <w:rPr>
          <w:rFonts w:hint="eastAsia" w:ascii="宋体" w:hAnsi="宋体"/>
          <w:b/>
          <w:bCs/>
          <w:sz w:val="24"/>
          <w:highlight w:val="none"/>
        </w:rPr>
        <w:t>费用</w:t>
      </w:r>
    </w:p>
    <w:p>
      <w:pPr>
        <w:spacing w:line="360" w:lineRule="auto"/>
        <w:ind w:firstLine="480" w:firstLineChars="200"/>
        <w:rPr>
          <w:rFonts w:ascii="宋体" w:hAnsi="宋体"/>
          <w:sz w:val="24"/>
          <w:highlight w:val="none"/>
        </w:rPr>
      </w:pPr>
      <w:r>
        <w:rPr>
          <w:rFonts w:hint="eastAsia" w:ascii="宋体" w:hAnsi="宋体"/>
          <w:sz w:val="24"/>
          <w:highlight w:val="none"/>
        </w:rPr>
        <w:t>3.1供应商应承担所有与准备和参加</w:t>
      </w:r>
      <w:r>
        <w:rPr>
          <w:rFonts w:hint="eastAsia" w:ascii="宋体" w:hAnsi="宋体"/>
          <w:sz w:val="24"/>
          <w:highlight w:val="none"/>
          <w:lang w:eastAsia="zh-CN"/>
        </w:rPr>
        <w:t>磋商</w:t>
      </w:r>
      <w:r>
        <w:rPr>
          <w:rFonts w:hint="eastAsia" w:ascii="宋体" w:hAnsi="宋体"/>
          <w:sz w:val="24"/>
          <w:highlight w:val="none"/>
        </w:rPr>
        <w:t>有关的费用。不论磋商的结果如何，采购人和采购代理机构均无义务和责任承担这些费用。</w:t>
      </w:r>
      <w:bookmarkEnd w:id="81"/>
    </w:p>
    <w:p>
      <w:pPr>
        <w:spacing w:line="360" w:lineRule="auto"/>
        <w:jc w:val="center"/>
        <w:outlineLvl w:val="9"/>
        <w:rPr>
          <w:rFonts w:ascii="黑体" w:hAnsi="黑体" w:eastAsia="黑体" w:cs="黑体"/>
          <w:b/>
          <w:sz w:val="24"/>
          <w:highlight w:val="none"/>
        </w:rPr>
      </w:pPr>
    </w:p>
    <w:p>
      <w:pPr>
        <w:spacing w:line="360" w:lineRule="auto"/>
        <w:ind w:firstLine="481"/>
        <w:jc w:val="left"/>
        <w:outlineLvl w:val="1"/>
        <w:rPr>
          <w:rFonts w:ascii="黑体" w:hAnsi="黑体" w:eastAsia="黑体" w:cs="黑体"/>
          <w:b/>
          <w:sz w:val="24"/>
          <w:highlight w:val="none"/>
        </w:rPr>
      </w:pPr>
      <w:bookmarkStart w:id="82" w:name="_Toc29396"/>
      <w:bookmarkStart w:id="83" w:name="_Toc5008"/>
      <w:r>
        <w:rPr>
          <w:rFonts w:hint="eastAsia" w:ascii="黑体" w:hAnsi="黑体" w:eastAsia="黑体" w:cs="黑体"/>
          <w:b/>
          <w:sz w:val="24"/>
          <w:highlight w:val="none"/>
        </w:rPr>
        <w:t>二、磋商文件</w:t>
      </w:r>
      <w:bookmarkEnd w:id="82"/>
      <w:bookmarkEnd w:id="83"/>
    </w:p>
    <w:p>
      <w:pPr>
        <w:spacing w:line="360" w:lineRule="auto"/>
        <w:ind w:firstLine="482" w:firstLineChars="200"/>
        <w:rPr>
          <w:rFonts w:ascii="宋体" w:hAnsi="宋体"/>
          <w:b/>
          <w:bCs/>
          <w:sz w:val="24"/>
          <w:highlight w:val="none"/>
        </w:rPr>
      </w:pPr>
      <w:r>
        <w:rPr>
          <w:rFonts w:hint="eastAsia" w:ascii="宋体" w:hAnsi="宋体"/>
          <w:b/>
          <w:bCs/>
          <w:sz w:val="24"/>
          <w:highlight w:val="none"/>
        </w:rPr>
        <w:t>4.</w:t>
      </w:r>
      <w:bookmarkStart w:id="84" w:name="OLE_LINK45"/>
      <w:r>
        <w:rPr>
          <w:rFonts w:hint="eastAsia" w:ascii="宋体" w:hAnsi="宋体"/>
          <w:b/>
          <w:bCs/>
          <w:sz w:val="24"/>
          <w:highlight w:val="none"/>
        </w:rPr>
        <w:t>磋商文件的</w:t>
      </w:r>
      <w:bookmarkEnd w:id="84"/>
      <w:r>
        <w:rPr>
          <w:rFonts w:hint="eastAsia" w:ascii="宋体" w:hAnsi="宋体"/>
          <w:b/>
          <w:bCs/>
          <w:sz w:val="24"/>
          <w:highlight w:val="none"/>
        </w:rPr>
        <w:t>构成</w:t>
      </w:r>
    </w:p>
    <w:p>
      <w:pPr>
        <w:spacing w:line="360" w:lineRule="auto"/>
        <w:ind w:firstLine="480" w:firstLineChars="200"/>
        <w:rPr>
          <w:rFonts w:ascii="宋体" w:hAnsi="宋体"/>
          <w:sz w:val="24"/>
          <w:highlight w:val="none"/>
        </w:rPr>
      </w:pPr>
      <w:r>
        <w:rPr>
          <w:rFonts w:hint="eastAsia" w:ascii="宋体" w:hAnsi="宋体"/>
          <w:sz w:val="24"/>
          <w:highlight w:val="none"/>
        </w:rPr>
        <w:t>4.1磋商文件由下列文件以及在</w:t>
      </w:r>
      <w:r>
        <w:rPr>
          <w:rFonts w:hint="eastAsia" w:ascii="宋体" w:hAnsi="宋体"/>
          <w:sz w:val="24"/>
          <w:highlight w:val="none"/>
          <w:lang w:val="en-US" w:eastAsia="zh-CN"/>
        </w:rPr>
        <w:t>采购</w:t>
      </w:r>
      <w:r>
        <w:rPr>
          <w:rFonts w:hint="eastAsia" w:ascii="宋体" w:hAnsi="宋体"/>
          <w:sz w:val="24"/>
          <w:highlight w:val="none"/>
        </w:rPr>
        <w:t>过程中发出的澄清及变更文件组成：</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4.1.1</w:t>
      </w:r>
      <w:r>
        <w:rPr>
          <w:rFonts w:hint="eastAsia" w:ascii="宋体" w:hAnsi="宋体"/>
          <w:sz w:val="24"/>
          <w:highlight w:val="none"/>
          <w:lang w:eastAsia="zh-CN"/>
        </w:rPr>
        <w:t>磋商邀请函</w:t>
      </w:r>
    </w:p>
    <w:p>
      <w:pPr>
        <w:spacing w:line="360" w:lineRule="auto"/>
        <w:ind w:firstLine="480" w:firstLineChars="200"/>
        <w:rPr>
          <w:rFonts w:ascii="宋体" w:hAnsi="宋体"/>
          <w:sz w:val="24"/>
          <w:highlight w:val="none"/>
        </w:rPr>
      </w:pPr>
      <w:r>
        <w:rPr>
          <w:rFonts w:hint="eastAsia" w:ascii="宋体" w:hAnsi="宋体"/>
          <w:sz w:val="24"/>
          <w:highlight w:val="none"/>
        </w:rPr>
        <w:t>4.1.2用户需求书</w:t>
      </w:r>
    </w:p>
    <w:p>
      <w:pPr>
        <w:spacing w:line="360" w:lineRule="auto"/>
        <w:ind w:firstLine="480" w:firstLineChars="200"/>
        <w:rPr>
          <w:rFonts w:ascii="宋体" w:hAnsi="宋体"/>
          <w:sz w:val="24"/>
          <w:highlight w:val="none"/>
        </w:rPr>
      </w:pPr>
      <w:r>
        <w:rPr>
          <w:rFonts w:hint="eastAsia" w:ascii="宋体" w:hAnsi="宋体"/>
          <w:sz w:val="24"/>
          <w:highlight w:val="none"/>
        </w:rPr>
        <w:t>4.1.3供应商须知</w:t>
      </w:r>
    </w:p>
    <w:p>
      <w:pPr>
        <w:spacing w:line="360" w:lineRule="auto"/>
        <w:ind w:firstLine="480" w:firstLineChars="200"/>
        <w:rPr>
          <w:rFonts w:ascii="宋体" w:hAnsi="宋体"/>
          <w:sz w:val="24"/>
          <w:highlight w:val="none"/>
        </w:rPr>
      </w:pPr>
      <w:r>
        <w:rPr>
          <w:rFonts w:hint="eastAsia" w:ascii="宋体" w:hAnsi="宋体"/>
          <w:sz w:val="24"/>
          <w:highlight w:val="none"/>
        </w:rPr>
        <w:t>4.1.4磋商、评审、成交</w:t>
      </w:r>
    </w:p>
    <w:p>
      <w:pPr>
        <w:spacing w:line="360" w:lineRule="auto"/>
        <w:ind w:firstLine="480" w:firstLineChars="200"/>
        <w:rPr>
          <w:rFonts w:ascii="宋体" w:hAnsi="宋体"/>
          <w:sz w:val="24"/>
          <w:highlight w:val="none"/>
        </w:rPr>
      </w:pPr>
      <w:r>
        <w:rPr>
          <w:rFonts w:hint="eastAsia" w:ascii="宋体" w:hAnsi="宋体"/>
          <w:sz w:val="24"/>
          <w:highlight w:val="none"/>
        </w:rPr>
        <w:t>4.1.5政府采购合同格式</w:t>
      </w:r>
    </w:p>
    <w:p>
      <w:pPr>
        <w:spacing w:line="360" w:lineRule="auto"/>
        <w:ind w:firstLine="480" w:firstLineChars="200"/>
        <w:rPr>
          <w:rFonts w:ascii="宋体" w:hAnsi="宋体"/>
          <w:sz w:val="24"/>
          <w:highlight w:val="none"/>
        </w:rPr>
      </w:pPr>
      <w:r>
        <w:rPr>
          <w:rFonts w:hint="eastAsia" w:ascii="宋体" w:hAnsi="宋体"/>
          <w:sz w:val="24"/>
          <w:highlight w:val="none"/>
        </w:rPr>
        <w:t xml:space="preserve">4.1.6响应文件格式 </w:t>
      </w:r>
    </w:p>
    <w:p>
      <w:pPr>
        <w:spacing w:line="360" w:lineRule="auto"/>
        <w:ind w:firstLine="480" w:firstLineChars="200"/>
        <w:rPr>
          <w:rFonts w:ascii="宋体" w:hAnsi="宋体"/>
          <w:sz w:val="24"/>
          <w:highlight w:val="none"/>
        </w:rPr>
      </w:pPr>
      <w:r>
        <w:rPr>
          <w:rFonts w:hint="eastAsia" w:ascii="宋体" w:hAnsi="宋体"/>
          <w:sz w:val="24"/>
          <w:highlight w:val="none"/>
        </w:rPr>
        <w:t>4.1.7在磋商过程中由采购代理机构发出的澄清及变更文件等。</w:t>
      </w:r>
    </w:p>
    <w:p>
      <w:pPr>
        <w:spacing w:line="360" w:lineRule="auto"/>
        <w:ind w:firstLine="482" w:firstLineChars="200"/>
        <w:rPr>
          <w:rFonts w:ascii="宋体" w:hAnsi="宋体"/>
          <w:b/>
          <w:bCs/>
          <w:sz w:val="24"/>
          <w:highlight w:val="none"/>
        </w:rPr>
      </w:pPr>
      <w:r>
        <w:rPr>
          <w:rFonts w:hint="eastAsia" w:ascii="宋体" w:hAnsi="宋体"/>
          <w:b/>
          <w:bCs/>
          <w:sz w:val="24"/>
          <w:highlight w:val="none"/>
        </w:rPr>
        <w:t>5.磋商文件的澄清</w:t>
      </w:r>
    </w:p>
    <w:p>
      <w:pPr>
        <w:spacing w:line="360" w:lineRule="auto"/>
        <w:ind w:firstLine="480" w:firstLineChars="200"/>
        <w:rPr>
          <w:rFonts w:ascii="宋体" w:hAnsi="宋体"/>
          <w:sz w:val="24"/>
          <w:highlight w:val="none"/>
        </w:rPr>
      </w:pPr>
      <w:r>
        <w:rPr>
          <w:rFonts w:hint="eastAsia" w:ascii="宋体" w:hAnsi="宋体"/>
          <w:sz w:val="24"/>
          <w:highlight w:val="none"/>
        </w:rPr>
        <w:t>5.1在响应截止期前，采购单位有权根据需求对磋商文件进行必要的澄清，澄清文件将以书面形式通知每一个购买磋商文件的供应商。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该澄清的内容为磋商文件组成部分。</w:t>
      </w:r>
    </w:p>
    <w:p>
      <w:pPr>
        <w:spacing w:line="360" w:lineRule="auto"/>
        <w:ind w:firstLine="482" w:firstLineChars="200"/>
        <w:rPr>
          <w:rFonts w:ascii="宋体" w:hAnsi="宋体"/>
          <w:b/>
          <w:bCs/>
          <w:sz w:val="24"/>
          <w:highlight w:val="none"/>
        </w:rPr>
      </w:pPr>
      <w:r>
        <w:rPr>
          <w:rFonts w:hint="eastAsia" w:ascii="宋体" w:hAnsi="宋体"/>
          <w:b/>
          <w:bCs/>
          <w:sz w:val="24"/>
          <w:highlight w:val="none"/>
        </w:rPr>
        <w:t>6.磋商文件的修改</w:t>
      </w:r>
    </w:p>
    <w:p>
      <w:pPr>
        <w:spacing w:line="360" w:lineRule="auto"/>
        <w:ind w:firstLine="480" w:firstLineChars="200"/>
        <w:rPr>
          <w:rFonts w:ascii="宋体" w:hAnsi="宋体"/>
          <w:sz w:val="24"/>
          <w:highlight w:val="none"/>
        </w:rPr>
      </w:pPr>
      <w:r>
        <w:rPr>
          <w:rFonts w:hint="eastAsia" w:ascii="宋体" w:hAnsi="宋体"/>
          <w:sz w:val="24"/>
          <w:highlight w:val="none"/>
        </w:rPr>
        <w:t>6.1在响应截止期前，采购单位有权根据需求对磋商文件进行必要的修改，对磋商文件的修改将以变更公告形式在陕西省政府采购网上发布，并将以书面形式通知每一个购买磋商文件的供应商。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该修改的内容为磋商文件组成部分。</w:t>
      </w:r>
    </w:p>
    <w:p>
      <w:pPr>
        <w:spacing w:line="360" w:lineRule="auto"/>
        <w:ind w:firstLine="480" w:firstLineChars="200"/>
        <w:rPr>
          <w:rFonts w:ascii="宋体" w:hAnsi="宋体"/>
          <w:sz w:val="24"/>
          <w:highlight w:val="none"/>
        </w:rPr>
      </w:pPr>
      <w:r>
        <w:rPr>
          <w:rFonts w:hint="eastAsia" w:ascii="宋体" w:hAnsi="宋体"/>
          <w:sz w:val="24"/>
          <w:highlight w:val="none"/>
        </w:rPr>
        <w:t>6.2为使供应商准备响应时有充分时间对磋商文件的修改部分进行研究，采购单位有权适当延长响应截止期。</w:t>
      </w:r>
    </w:p>
    <w:p>
      <w:pPr>
        <w:spacing w:line="360" w:lineRule="auto"/>
        <w:ind w:firstLine="480" w:firstLineChars="200"/>
        <w:rPr>
          <w:rFonts w:ascii="宋体" w:hAnsi="宋体"/>
          <w:sz w:val="24"/>
          <w:highlight w:val="none"/>
        </w:rPr>
      </w:pPr>
      <w:r>
        <w:rPr>
          <w:rFonts w:hint="eastAsia" w:ascii="宋体" w:hAnsi="宋体"/>
          <w:sz w:val="24"/>
          <w:highlight w:val="none"/>
        </w:rPr>
        <w:t>延期公告将以6.1所述方式通知每一个购买磋商文件的供应商。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6.3供应商在收到上述通知后，应在通知规定的时间内向采购代理机构回函确认。</w:t>
      </w:r>
    </w:p>
    <w:p>
      <w:pPr>
        <w:spacing w:line="360" w:lineRule="auto"/>
        <w:ind w:firstLine="482" w:firstLineChars="200"/>
        <w:rPr>
          <w:rFonts w:ascii="宋体" w:hAnsi="宋体"/>
          <w:b/>
          <w:bCs/>
          <w:sz w:val="24"/>
          <w:highlight w:val="none"/>
        </w:rPr>
      </w:pPr>
      <w:bookmarkStart w:id="85" w:name="_Toc208848971"/>
      <w:bookmarkStart w:id="86" w:name="_Toc217446041"/>
      <w:r>
        <w:rPr>
          <w:rFonts w:hint="eastAsia" w:ascii="宋体" w:hAnsi="宋体"/>
          <w:b/>
          <w:bCs/>
          <w:sz w:val="24"/>
          <w:highlight w:val="none"/>
        </w:rPr>
        <w:t>7.答疑会和现场考察</w:t>
      </w:r>
      <w:bookmarkEnd w:id="85"/>
      <w:bookmarkEnd w:id="86"/>
    </w:p>
    <w:p>
      <w:pPr>
        <w:spacing w:line="360" w:lineRule="auto"/>
        <w:ind w:firstLine="480" w:firstLineChars="200"/>
        <w:rPr>
          <w:rFonts w:ascii="宋体" w:hAnsi="宋体"/>
          <w:sz w:val="24"/>
          <w:highlight w:val="none"/>
        </w:rPr>
      </w:pPr>
      <w:r>
        <w:rPr>
          <w:rFonts w:hint="eastAsia" w:ascii="宋体" w:hAnsi="宋体"/>
          <w:sz w:val="24"/>
          <w:highlight w:val="none"/>
        </w:rPr>
        <w:t>7.1根据采购项目特点或具体情况，采购单位认为有必要，可以在磋商文件提供期限截止后，组织已获取磋商文件的潜在供应商现场考察或者召开开标前答疑会。</w:t>
      </w:r>
    </w:p>
    <w:p>
      <w:pPr>
        <w:spacing w:line="360" w:lineRule="auto"/>
        <w:ind w:firstLine="480" w:firstLineChars="200"/>
        <w:rPr>
          <w:rFonts w:ascii="宋体" w:hAnsi="宋体"/>
          <w:sz w:val="24"/>
          <w:highlight w:val="none"/>
        </w:rPr>
      </w:pPr>
      <w:r>
        <w:rPr>
          <w:rFonts w:hint="eastAsia" w:ascii="宋体" w:hAnsi="宋体"/>
          <w:sz w:val="24"/>
          <w:highlight w:val="none"/>
        </w:rPr>
        <w:t>如需组织现场考察或者召开答疑会的，采购单位将以书面形式通知所有获取磋商文件的潜在供应商参加。</w:t>
      </w:r>
    </w:p>
    <w:p>
      <w:pPr>
        <w:spacing w:line="360" w:lineRule="auto"/>
        <w:ind w:firstLine="480" w:firstLineChars="200"/>
        <w:rPr>
          <w:rFonts w:ascii="宋体" w:hAnsi="宋体"/>
          <w:sz w:val="24"/>
          <w:highlight w:val="none"/>
        </w:rPr>
      </w:pPr>
      <w:r>
        <w:rPr>
          <w:rFonts w:hint="eastAsia" w:ascii="宋体" w:hAnsi="宋体"/>
          <w:sz w:val="24"/>
          <w:highlight w:val="none"/>
        </w:rPr>
        <w:t>7.2供应商考察现场所发生的一切费用由供应商自己承担。</w:t>
      </w:r>
    </w:p>
    <w:p>
      <w:pPr>
        <w:spacing w:line="360" w:lineRule="auto"/>
        <w:ind w:firstLine="482" w:firstLineChars="200"/>
        <w:rPr>
          <w:rFonts w:ascii="宋体" w:hAnsi="宋体"/>
          <w:b/>
          <w:bCs/>
          <w:sz w:val="24"/>
          <w:highlight w:val="none"/>
        </w:rPr>
      </w:pPr>
      <w:r>
        <w:rPr>
          <w:rFonts w:hint="eastAsia" w:ascii="宋体" w:hAnsi="宋体"/>
          <w:b/>
          <w:bCs/>
          <w:sz w:val="24"/>
          <w:highlight w:val="none"/>
        </w:rPr>
        <w:t>8.磋商文件的解释权归属</w:t>
      </w:r>
    </w:p>
    <w:p>
      <w:pPr>
        <w:spacing w:line="360" w:lineRule="auto"/>
        <w:ind w:firstLine="480" w:firstLineChars="200"/>
        <w:rPr>
          <w:rFonts w:ascii="宋体" w:hAnsi="宋体"/>
          <w:sz w:val="24"/>
          <w:highlight w:val="none"/>
        </w:rPr>
      </w:pPr>
      <w:r>
        <w:rPr>
          <w:rFonts w:hint="eastAsia" w:ascii="宋体" w:hAnsi="宋体"/>
          <w:sz w:val="24"/>
          <w:highlight w:val="none"/>
        </w:rPr>
        <w:t>本磋商文件的解释权归采购代理机构。</w:t>
      </w:r>
    </w:p>
    <w:p>
      <w:pPr>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87" w:name="_Toc31824"/>
      <w:bookmarkStart w:id="88" w:name="_Toc18767"/>
      <w:bookmarkStart w:id="89" w:name="_Toc17031"/>
      <w:r>
        <w:rPr>
          <w:rFonts w:hint="eastAsia" w:ascii="黑体" w:hAnsi="黑体" w:eastAsia="黑体" w:cs="黑体"/>
          <w:b/>
          <w:sz w:val="24"/>
          <w:highlight w:val="none"/>
        </w:rPr>
        <w:t>三、响应文件的编制</w:t>
      </w:r>
      <w:bookmarkEnd w:id="87"/>
      <w:bookmarkEnd w:id="88"/>
      <w:bookmarkEnd w:id="89"/>
    </w:p>
    <w:p>
      <w:pPr>
        <w:spacing w:line="360" w:lineRule="auto"/>
        <w:ind w:firstLine="482" w:firstLineChars="200"/>
        <w:rPr>
          <w:rFonts w:ascii="宋体" w:hAnsi="宋体"/>
          <w:b/>
          <w:sz w:val="24"/>
          <w:highlight w:val="none"/>
        </w:rPr>
      </w:pPr>
      <w:r>
        <w:rPr>
          <w:rFonts w:hint="eastAsia" w:ascii="宋体" w:hAnsi="宋体"/>
          <w:b/>
          <w:sz w:val="24"/>
          <w:highlight w:val="none"/>
        </w:rPr>
        <w:t>9.响应文件的编制要求</w:t>
      </w:r>
    </w:p>
    <w:p>
      <w:pPr>
        <w:spacing w:line="360" w:lineRule="auto"/>
        <w:ind w:firstLine="480" w:firstLineChars="200"/>
        <w:rPr>
          <w:rFonts w:ascii="宋体" w:hAnsi="宋体"/>
          <w:sz w:val="24"/>
          <w:highlight w:val="none"/>
        </w:rPr>
      </w:pPr>
      <w:r>
        <w:rPr>
          <w:rFonts w:hint="eastAsia" w:ascii="宋体" w:hAnsi="宋体"/>
          <w:sz w:val="24"/>
          <w:highlight w:val="none"/>
        </w:rPr>
        <w:t>9.1响应文件的构成应符合法律法规及磋商文件的要求。</w:t>
      </w:r>
    </w:p>
    <w:p>
      <w:pPr>
        <w:spacing w:line="360" w:lineRule="auto"/>
        <w:ind w:firstLine="480" w:firstLineChars="200"/>
        <w:rPr>
          <w:rFonts w:ascii="宋体" w:hAnsi="宋体"/>
          <w:sz w:val="24"/>
          <w:highlight w:val="none"/>
        </w:rPr>
      </w:pPr>
      <w:bookmarkStart w:id="90" w:name="OLE_LINK46"/>
      <w:r>
        <w:rPr>
          <w:rFonts w:hint="eastAsia" w:ascii="宋体" w:hAnsi="宋体"/>
          <w:sz w:val="24"/>
          <w:highlight w:val="none"/>
        </w:rPr>
        <w:t>9.2供应商应认真阅读、并充分理解磋商文件的全部内容（包括所有的补充、修改内容、重要事项、格式、条款和技术规范、参数及要求等），并应完整、真实、准确的填写磋商文件中规定的所有内容。供应商没有按照磋商文件要求提交全部资料，或者响应没有对磋商文件在各方面都作出实质性响应是供应商的风险，有可能导致其响应被拒绝，或被认定为无效响应或被确定为响应无效。</w:t>
      </w:r>
    </w:p>
    <w:p>
      <w:pPr>
        <w:spacing w:line="360" w:lineRule="auto"/>
        <w:ind w:firstLine="480" w:firstLineChars="200"/>
        <w:rPr>
          <w:rFonts w:ascii="宋体" w:hAnsi="宋体"/>
          <w:sz w:val="24"/>
          <w:highlight w:val="none"/>
        </w:rPr>
      </w:pPr>
      <w:r>
        <w:rPr>
          <w:rFonts w:hint="eastAsia" w:ascii="宋体" w:hAnsi="宋体"/>
          <w:sz w:val="24"/>
          <w:highlight w:val="none"/>
        </w:rPr>
        <w:t>9.3供应商必须对响应文件所提供的全部资料的真实性承担法律责任，并无条件接受采购人或采购代理机构及政府采购监督管理部门等对其中任何资料进行核实的要求。</w:t>
      </w:r>
    </w:p>
    <w:p>
      <w:pPr>
        <w:spacing w:line="360" w:lineRule="auto"/>
        <w:ind w:firstLine="480" w:firstLineChars="200"/>
        <w:rPr>
          <w:rFonts w:ascii="宋体" w:hAnsi="宋体"/>
          <w:sz w:val="24"/>
          <w:highlight w:val="none"/>
        </w:rPr>
      </w:pPr>
      <w:r>
        <w:rPr>
          <w:rFonts w:hint="eastAsia" w:ascii="宋体" w:hAnsi="宋体"/>
          <w:sz w:val="24"/>
          <w:highlight w:val="none"/>
        </w:rPr>
        <w:t>9.4如果因为供应商响应文件填报的内容不详，或没有提供磋商文件中所要求的全部资料及数据，由此造成的后果，其责任由供应商承担。</w:t>
      </w:r>
    </w:p>
    <w:p>
      <w:pPr>
        <w:spacing w:line="360" w:lineRule="auto"/>
        <w:ind w:firstLine="482" w:firstLineChars="200"/>
        <w:rPr>
          <w:rFonts w:ascii="宋体" w:hAnsi="宋体"/>
          <w:b/>
          <w:sz w:val="24"/>
          <w:highlight w:val="none"/>
        </w:rPr>
      </w:pPr>
      <w:r>
        <w:rPr>
          <w:rFonts w:hint="eastAsia" w:ascii="宋体" w:hAnsi="宋体"/>
          <w:b/>
          <w:sz w:val="24"/>
          <w:highlight w:val="none"/>
        </w:rPr>
        <w:t>10.响应的语言及计量单位</w:t>
      </w:r>
    </w:p>
    <w:p>
      <w:pPr>
        <w:spacing w:line="360" w:lineRule="auto"/>
        <w:ind w:firstLine="480" w:firstLineChars="200"/>
        <w:rPr>
          <w:rFonts w:ascii="宋体" w:hAnsi="宋体"/>
          <w:sz w:val="24"/>
          <w:highlight w:val="none"/>
        </w:rPr>
      </w:pPr>
      <w:r>
        <w:rPr>
          <w:rFonts w:hint="eastAsia" w:ascii="宋体" w:hAnsi="宋体"/>
          <w:sz w:val="24"/>
          <w:highlight w:val="none"/>
        </w:rPr>
        <w:t>10.1供应商提交的响应文件以及供应商与采购代理机构就有关响应的所有来往函电均应使用中文。供应商提交的支持文件或印刷的资料可以用另一种语言，但相应内容应附有中文翻译本，两种语言不一致时以中文翻译本为准。</w:t>
      </w:r>
    </w:p>
    <w:p>
      <w:pPr>
        <w:spacing w:line="360" w:lineRule="auto"/>
        <w:ind w:firstLine="480" w:firstLineChars="200"/>
        <w:rPr>
          <w:rFonts w:ascii="宋体" w:hAnsi="宋体"/>
          <w:sz w:val="24"/>
          <w:highlight w:val="none"/>
        </w:rPr>
      </w:pPr>
      <w:r>
        <w:rPr>
          <w:rFonts w:hint="eastAsia" w:ascii="宋体" w:hAnsi="宋体"/>
          <w:sz w:val="24"/>
          <w:highlight w:val="none"/>
        </w:rPr>
        <w:t>10.2除非磋商文件的技术规格中另有规定，供应商在响应文件中及其与采购人和采购代理机构的所有往来文件中的计量单位均应采用中华人民共和国法定计量单位。</w:t>
      </w:r>
    </w:p>
    <w:p>
      <w:pPr>
        <w:spacing w:line="360" w:lineRule="auto"/>
        <w:ind w:firstLine="482" w:firstLineChars="200"/>
        <w:rPr>
          <w:rFonts w:ascii="宋体" w:hAnsi="宋体"/>
          <w:b/>
          <w:sz w:val="24"/>
          <w:highlight w:val="none"/>
        </w:rPr>
      </w:pPr>
      <w:r>
        <w:rPr>
          <w:rFonts w:hint="eastAsia" w:ascii="宋体" w:hAnsi="宋体"/>
          <w:b/>
          <w:sz w:val="24"/>
          <w:highlight w:val="none"/>
        </w:rPr>
        <w:t>11.响应的报价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11.1磋商报价是供应商响应磋商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11.2供应商应按照《响应文件格式》中《首次报价一览表》中的相关要求填写需要响应的内容，首次报价超过采购预算或磋商文件规定的最高限价的，按无效响应处理。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11.3磋商报价采取二轮报价的办法，最终报价作为计算价格分值的依据。供应商应在磋商当天，磋商小组规定的报价时间内，填写最终报价表，签名并递交采购代理机构。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11.4如采购内容无实质性变更，各供应商的报价应逐次降低，本次报价超过采购预算或磋商文件规定的最高限价的，按无效响应处理；本次报价超过上次报价但未超过采购预算或磋商文件规定的最高限价的，或在规定时间内最终报价未提交、提交不成功的均为无效报价，按无效响应处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“规定时间”由现场工作人员集体确定。供应商最终报价较首次报价降价的，成交后，签订合同时应按照成交价较首次报价的下浮比率修改分项报价表中的相应报价。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11.6磋商报价货币：人民币；单位：元，</w:t>
      </w:r>
      <w:r>
        <w:rPr>
          <w:rFonts w:hint="eastAsia" w:ascii="宋体" w:hAnsi="宋体" w:cs="宋体"/>
          <w:sz w:val="24"/>
          <w:szCs w:val="24"/>
          <w:highlight w:val="none"/>
        </w:rPr>
        <w:t>保留</w:t>
      </w:r>
      <w:r>
        <w:rPr>
          <w:rFonts w:hint="eastAsia" w:ascii="宋体" w:hAnsi="宋体" w:cs="宋体"/>
          <w:sz w:val="24"/>
          <w:szCs w:val="24"/>
          <w:highlight w:val="none"/>
          <w:lang w:val="en-US" w:eastAsia="zh-CN"/>
        </w:rPr>
        <w:t>小数点后两位</w:t>
      </w:r>
      <w:r>
        <w:rPr>
          <w:rFonts w:hint="eastAsia" w:ascii="宋体" w:hAnsi="宋体"/>
          <w:color w:val="auto"/>
          <w:sz w:val="24"/>
          <w:highlight w:val="none"/>
          <w:lang w:val="en-US" w:eastAsia="zh-CN"/>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11.7磋商报价大小写不一致的以大写为准。</w:t>
      </w:r>
    </w:p>
    <w:p>
      <w:pPr>
        <w:spacing w:line="360" w:lineRule="auto"/>
        <w:ind w:firstLine="480" w:firstLineChars="200"/>
        <w:rPr>
          <w:rFonts w:ascii="宋体" w:hAnsi="宋体"/>
          <w:sz w:val="24"/>
          <w:highlight w:val="none"/>
        </w:rPr>
      </w:pPr>
      <w:r>
        <w:rPr>
          <w:rFonts w:hint="eastAsia" w:ascii="宋体" w:hAnsi="宋体"/>
          <w:color w:val="auto"/>
          <w:sz w:val="24"/>
          <w:highlight w:val="none"/>
          <w:lang w:val="en-US" w:eastAsia="zh-CN"/>
        </w:rPr>
        <w:t>11.8因供应商对磋商文件理解不透、误解、疏漏或对市场行情了解不清造成的后果和风险，均由供应商自己负责。</w:t>
      </w:r>
    </w:p>
    <w:p>
      <w:pPr>
        <w:spacing w:line="360" w:lineRule="auto"/>
        <w:ind w:firstLine="482" w:firstLineChars="200"/>
        <w:rPr>
          <w:rFonts w:ascii="宋体" w:hAnsi="宋体"/>
          <w:b/>
          <w:sz w:val="24"/>
          <w:highlight w:val="none"/>
        </w:rPr>
      </w:pPr>
      <w:r>
        <w:rPr>
          <w:rFonts w:hint="eastAsia" w:ascii="宋体" w:hAnsi="宋体"/>
          <w:b/>
          <w:sz w:val="24"/>
          <w:highlight w:val="none"/>
        </w:rPr>
        <w:t>12.响应文件的制作和签署</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12.1为倡导节约用纸，规范响应文件编制，文件建议采用双面打印或复印，为避免个别供应商过于追求文件厚度而采用二号等超大号字体、超大字间距及行距等：</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1）建议响应文件（除特殊规格的图纸外）统一按照A4规格纸张制作；</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2）建议正文字体大小采用小四或不超过四号字体编制、小标题字体大小合理设置；</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3）合理设置段落间距，建议正文行距不超过2倍、段前段后不超过1行。</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2</w:t>
      </w:r>
      <w:r>
        <w:rPr>
          <w:rFonts w:hint="eastAsia" w:ascii="宋体" w:hAnsi="宋体"/>
          <w:sz w:val="24"/>
          <w:highlight w:val="none"/>
        </w:rPr>
        <w:t>供应商编写响应文件时，请按照磋商文件提供的相应格式及顺序编排；并应编制目录，逐页标注连续页码，装订成册；不得缺少或留空任何磋商文件要求填写的表格或提交的资料。</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3</w:t>
      </w:r>
      <w:r>
        <w:rPr>
          <w:rFonts w:hint="eastAsia" w:ascii="宋体" w:hAnsi="宋体"/>
          <w:sz w:val="24"/>
          <w:highlight w:val="none"/>
        </w:rPr>
        <w:t>响应文件的正本需打印，并由供应商的法定代表人或其授权代表签字，并加盖供应商公章。响应文件的副本可以采用正本的复印件。</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4</w:t>
      </w:r>
      <w:r>
        <w:rPr>
          <w:rFonts w:hint="eastAsia" w:ascii="宋体" w:hAnsi="宋体"/>
          <w:sz w:val="24"/>
          <w:highlight w:val="none"/>
        </w:rPr>
        <w:t>除供应商对响应文件错处作必要修改外，响应文件不得行间插字、涂改和增删，如有修改，必须由供应商的法定代表人或其授权代表在修改处签字并加盖供应商公章后才有效。</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5</w:t>
      </w:r>
      <w:r>
        <w:rPr>
          <w:rFonts w:hint="eastAsia" w:ascii="宋体" w:hAnsi="宋体"/>
          <w:sz w:val="24"/>
          <w:highlight w:val="none"/>
        </w:rPr>
        <w:t>响应文件因表述不清所引起的后果由供应商负责。</w:t>
      </w:r>
    </w:p>
    <w:p>
      <w:pPr>
        <w:spacing w:line="360" w:lineRule="auto"/>
        <w:ind w:firstLine="482" w:firstLineChars="200"/>
        <w:rPr>
          <w:rFonts w:ascii="宋体" w:hAnsi="宋体"/>
          <w:b/>
          <w:bCs/>
          <w:sz w:val="24"/>
          <w:highlight w:val="none"/>
        </w:rPr>
      </w:pPr>
      <w:r>
        <w:rPr>
          <w:rFonts w:hint="eastAsia" w:ascii="宋体" w:hAnsi="宋体"/>
          <w:b/>
          <w:bCs/>
          <w:sz w:val="24"/>
          <w:highlight w:val="none"/>
        </w:rPr>
        <w:t>13.</w:t>
      </w:r>
      <w:bookmarkEnd w:id="90"/>
      <w:r>
        <w:rPr>
          <w:rFonts w:hint="eastAsia" w:ascii="宋体" w:hAnsi="宋体"/>
          <w:b/>
          <w:bCs/>
          <w:sz w:val="24"/>
          <w:highlight w:val="none"/>
        </w:rPr>
        <w:t>磋商保证金</w:t>
      </w:r>
    </w:p>
    <w:p>
      <w:pPr>
        <w:spacing w:line="360" w:lineRule="auto"/>
        <w:ind w:firstLine="480" w:firstLineChars="200"/>
        <w:rPr>
          <w:rFonts w:ascii="宋体" w:hAnsi="宋体"/>
          <w:sz w:val="24"/>
          <w:highlight w:val="none"/>
        </w:rPr>
      </w:pPr>
      <w:r>
        <w:rPr>
          <w:rFonts w:hint="eastAsia" w:ascii="宋体" w:hAnsi="宋体"/>
          <w:sz w:val="24"/>
          <w:highlight w:val="none"/>
        </w:rPr>
        <w:t>13.1本次磋商活动需交纳保证金为：</w:t>
      </w:r>
      <w:r>
        <w:rPr>
          <w:rFonts w:hint="eastAsia" w:ascii="宋体" w:hAnsi="宋体" w:cs="宋体"/>
          <w:b/>
          <w:bCs/>
          <w:sz w:val="24"/>
          <w:szCs w:val="24"/>
          <w:highlight w:val="none"/>
          <w:u w:val="single"/>
          <w:lang w:val="en-US" w:eastAsia="zh-CN"/>
        </w:rPr>
        <w:t>壹万元整（10,000.00元）</w:t>
      </w:r>
    </w:p>
    <w:p>
      <w:pPr>
        <w:spacing w:line="360" w:lineRule="auto"/>
        <w:ind w:firstLine="480" w:firstLineChars="200"/>
        <w:rPr>
          <w:rFonts w:ascii="宋体" w:hAnsi="宋体"/>
          <w:sz w:val="24"/>
          <w:highlight w:val="none"/>
        </w:rPr>
      </w:pPr>
      <w:r>
        <w:rPr>
          <w:rFonts w:hint="eastAsia" w:ascii="宋体" w:hAnsi="宋体"/>
          <w:sz w:val="24"/>
          <w:highlight w:val="none"/>
        </w:rPr>
        <w:t>13.2保证金应为人民币，可采用下列任何一种形式支付：</w:t>
      </w:r>
    </w:p>
    <w:p>
      <w:pPr>
        <w:spacing w:line="360" w:lineRule="auto"/>
        <w:ind w:firstLine="480" w:firstLineChars="200"/>
        <w:rPr>
          <w:rFonts w:ascii="宋体" w:hAnsi="宋体"/>
          <w:sz w:val="24"/>
          <w:highlight w:val="none"/>
        </w:rPr>
      </w:pPr>
      <w:r>
        <w:rPr>
          <w:rFonts w:hint="eastAsia" w:ascii="宋体" w:hAnsi="宋体"/>
          <w:sz w:val="24"/>
          <w:highlight w:val="none"/>
        </w:rPr>
        <w:t xml:space="preserve">  13.2.1银行转账</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13.2.2电汇</w:t>
      </w:r>
    </w:p>
    <w:p>
      <w:pPr>
        <w:spacing w:line="360" w:lineRule="auto"/>
        <w:ind w:firstLine="720" w:firstLineChars="300"/>
        <w:rPr>
          <w:rFonts w:hint="eastAsia" w:ascii="宋体" w:hAnsi="宋体" w:eastAsia="宋体"/>
          <w:sz w:val="24"/>
          <w:highlight w:val="none"/>
          <w:lang w:val="en-US" w:eastAsia="zh-CN"/>
        </w:rPr>
      </w:pPr>
      <w:r>
        <w:rPr>
          <w:rFonts w:hint="eastAsia" w:ascii="宋体" w:hAnsi="宋体"/>
          <w:sz w:val="24"/>
          <w:highlight w:val="none"/>
          <w:lang w:val="en-US" w:eastAsia="zh-CN"/>
        </w:rPr>
        <w:t>13.2.3保函</w:t>
      </w:r>
    </w:p>
    <w:p>
      <w:pPr>
        <w:spacing w:line="360" w:lineRule="auto"/>
        <w:ind w:firstLine="480" w:firstLineChars="200"/>
        <w:rPr>
          <w:rFonts w:ascii="宋体" w:hAnsi="宋体"/>
          <w:sz w:val="24"/>
          <w:highlight w:val="none"/>
        </w:rPr>
      </w:pPr>
      <w:r>
        <w:rPr>
          <w:rFonts w:hint="eastAsia" w:ascii="宋体" w:hAnsi="宋体"/>
          <w:sz w:val="24"/>
          <w:highlight w:val="none"/>
        </w:rPr>
        <w:t>13.3磋商保证金必须在</w:t>
      </w:r>
      <w:r>
        <w:rPr>
          <w:rFonts w:hint="eastAsia" w:ascii="宋体" w:hAnsi="宋体"/>
          <w:sz w:val="24"/>
          <w:highlight w:val="none"/>
          <w:lang w:val="en-US" w:eastAsia="zh-CN"/>
        </w:rPr>
        <w:t>响应文件递交截止时间前</w:t>
      </w:r>
      <w:r>
        <w:rPr>
          <w:rFonts w:hint="eastAsia" w:ascii="宋体" w:hAnsi="宋体"/>
          <w:sz w:val="24"/>
          <w:highlight w:val="none"/>
        </w:rPr>
        <w:t>到达采购代理机构指定的账户。</w:t>
      </w:r>
    </w:p>
    <w:p>
      <w:pPr>
        <w:spacing w:line="360" w:lineRule="auto"/>
        <w:ind w:firstLine="482" w:firstLineChars="200"/>
        <w:rPr>
          <w:rFonts w:ascii="宋体" w:hAnsi="宋体"/>
          <w:b/>
          <w:sz w:val="24"/>
          <w:highlight w:val="none"/>
        </w:rPr>
      </w:pPr>
      <w:r>
        <w:rPr>
          <w:rFonts w:hint="eastAsia" w:ascii="宋体" w:hAnsi="宋体"/>
          <w:b/>
          <w:sz w:val="24"/>
          <w:highlight w:val="none"/>
        </w:rPr>
        <w:t xml:space="preserve">  开户名称：陕西德勤招标有限公司</w:t>
      </w:r>
    </w:p>
    <w:p>
      <w:pPr>
        <w:spacing w:line="360" w:lineRule="auto"/>
        <w:ind w:firstLine="482" w:firstLineChars="200"/>
        <w:rPr>
          <w:rFonts w:ascii="宋体" w:hAnsi="宋体"/>
          <w:b/>
          <w:sz w:val="24"/>
          <w:highlight w:val="none"/>
        </w:rPr>
      </w:pPr>
      <w:r>
        <w:rPr>
          <w:rFonts w:hint="eastAsia" w:ascii="宋体" w:hAnsi="宋体"/>
          <w:b/>
          <w:sz w:val="24"/>
          <w:highlight w:val="none"/>
        </w:rPr>
        <w:t xml:space="preserve">  账  号：</w:t>
      </w:r>
      <w:r>
        <w:rPr>
          <w:rFonts w:hint="eastAsia" w:ascii="宋体" w:hAnsi="宋体"/>
          <w:b/>
          <w:sz w:val="24"/>
          <w:highlight w:val="none"/>
          <w:lang w:val="en-US" w:eastAsia="zh-CN"/>
        </w:rPr>
        <w:t>52880188000025295</w:t>
      </w:r>
    </w:p>
    <w:p>
      <w:pPr>
        <w:spacing w:line="360" w:lineRule="auto"/>
        <w:ind w:firstLine="482" w:firstLineChars="200"/>
        <w:rPr>
          <w:rFonts w:hint="eastAsia" w:ascii="宋体" w:hAnsi="宋体" w:eastAsia="宋体"/>
          <w:b/>
          <w:sz w:val="24"/>
          <w:highlight w:val="none"/>
          <w:lang w:eastAsia="zh-CN"/>
        </w:rPr>
      </w:pPr>
      <w:r>
        <w:rPr>
          <w:rFonts w:hint="eastAsia" w:ascii="宋体" w:hAnsi="宋体"/>
          <w:b/>
          <w:sz w:val="24"/>
          <w:highlight w:val="none"/>
        </w:rPr>
        <w:t xml:space="preserve">  开户行：</w:t>
      </w:r>
      <w:r>
        <w:rPr>
          <w:rFonts w:hint="eastAsia" w:ascii="宋体" w:hAnsi="宋体"/>
          <w:b/>
          <w:sz w:val="24"/>
          <w:highlight w:val="none"/>
          <w:lang w:val="en-US" w:eastAsia="zh-CN"/>
        </w:rPr>
        <w:t>光大银行西安丈八东路支行</w:t>
      </w:r>
    </w:p>
    <w:p>
      <w:pPr>
        <w:spacing w:line="360" w:lineRule="auto"/>
        <w:rPr>
          <w:rFonts w:ascii="宋体" w:hAnsi="宋体"/>
          <w:b/>
          <w:sz w:val="24"/>
          <w:highlight w:val="none"/>
          <w:u w:val="single"/>
        </w:rPr>
      </w:pPr>
      <w:r>
        <w:rPr>
          <w:rFonts w:hint="eastAsia" w:ascii="宋体" w:hAnsi="宋体"/>
          <w:b/>
          <w:sz w:val="24"/>
          <w:highlight w:val="none"/>
        </w:rPr>
        <w:t xml:space="preserve">      </w:t>
      </w:r>
      <w:r>
        <w:rPr>
          <w:rFonts w:hint="eastAsia" w:ascii="宋体" w:hAnsi="宋体"/>
          <w:b/>
          <w:sz w:val="24"/>
          <w:highlight w:val="none"/>
          <w:u w:val="single"/>
        </w:rPr>
        <w:t>转账事由：</w:t>
      </w:r>
      <w:r>
        <w:rPr>
          <w:rFonts w:hint="eastAsia" w:ascii="宋体" w:hAnsi="宋体"/>
          <w:b/>
          <w:sz w:val="24"/>
          <w:highlight w:val="none"/>
          <w:u w:val="single"/>
          <w:lang w:eastAsia="zh-CN"/>
        </w:rPr>
        <w:t>DQ-2022140-CS</w:t>
      </w:r>
      <w:r>
        <w:rPr>
          <w:rFonts w:hint="eastAsia" w:ascii="宋体" w:hAnsi="宋体"/>
          <w:b/>
          <w:sz w:val="24"/>
          <w:highlight w:val="none"/>
          <w:u w:val="single"/>
        </w:rPr>
        <w:t>项目磋商保证金</w:t>
      </w:r>
    </w:p>
    <w:p>
      <w:pPr>
        <w:spacing w:line="360" w:lineRule="auto"/>
        <w:ind w:firstLine="482" w:firstLineChars="200"/>
        <w:rPr>
          <w:rFonts w:ascii="宋体" w:hAnsi="宋体"/>
          <w:b/>
          <w:sz w:val="24"/>
          <w:highlight w:val="none"/>
        </w:rPr>
      </w:pPr>
      <w:r>
        <w:rPr>
          <w:rFonts w:hint="eastAsia" w:ascii="宋体" w:hAnsi="宋体"/>
          <w:b/>
          <w:sz w:val="24"/>
          <w:highlight w:val="none"/>
        </w:rPr>
        <w:t>备注：磋商保证金以供应商名称汇款,汇款凭证标明项目</w:t>
      </w:r>
      <w:r>
        <w:rPr>
          <w:rFonts w:hint="eastAsia" w:ascii="宋体" w:hAnsi="宋体"/>
          <w:b/>
          <w:sz w:val="24"/>
          <w:highlight w:val="none"/>
          <w:lang w:eastAsia="zh-CN"/>
        </w:rPr>
        <w:t>编号</w:t>
      </w:r>
      <w:r>
        <w:rPr>
          <w:rFonts w:hint="eastAsia" w:ascii="宋体" w:hAnsi="宋体"/>
          <w:b/>
          <w:sz w:val="24"/>
          <w:highlight w:val="none"/>
        </w:rPr>
        <w:t>，如以个人汇款，视为无效。</w:t>
      </w:r>
    </w:p>
    <w:p>
      <w:pPr>
        <w:spacing w:line="360" w:lineRule="auto"/>
        <w:ind w:firstLine="480" w:firstLineChars="200"/>
        <w:rPr>
          <w:rFonts w:ascii="宋体" w:hAnsi="宋体"/>
          <w:sz w:val="24"/>
          <w:highlight w:val="none"/>
        </w:rPr>
      </w:pPr>
      <w:r>
        <w:rPr>
          <w:rFonts w:hint="eastAsia" w:ascii="宋体" w:hAnsi="宋体"/>
          <w:sz w:val="24"/>
          <w:highlight w:val="none"/>
        </w:rPr>
        <w:t>13.4供应商未交纳、未足额交纳或未按规定时间交纳磋商保证金的，将被视为自动放弃磋商权利。</w:t>
      </w:r>
    </w:p>
    <w:p>
      <w:pPr>
        <w:spacing w:line="360" w:lineRule="auto"/>
        <w:ind w:firstLine="480" w:firstLineChars="200"/>
        <w:rPr>
          <w:rFonts w:ascii="宋体" w:hAnsi="宋体"/>
          <w:sz w:val="24"/>
          <w:highlight w:val="none"/>
        </w:rPr>
      </w:pPr>
      <w:r>
        <w:rPr>
          <w:rFonts w:hint="eastAsia" w:ascii="宋体" w:hAnsi="宋体"/>
          <w:sz w:val="24"/>
          <w:highlight w:val="none"/>
        </w:rPr>
        <w:t>13.5磋商保证金的交付单位和供应商的名称必须一致，否则将视为响应无效。</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13.6项目废标后重新组织磋商的，保证金会退回原项目响应供应商账户，供应商需按照新的磋商文件要求</w:t>
      </w:r>
      <w:r>
        <w:rPr>
          <w:rFonts w:hint="eastAsia" w:ascii="宋体" w:hAnsi="宋体"/>
          <w:b/>
          <w:bCs/>
          <w:sz w:val="24"/>
          <w:highlight w:val="none"/>
          <w:lang w:val="en-US" w:eastAsia="zh-CN"/>
        </w:rPr>
        <w:t>重新交纳保证金</w:t>
      </w:r>
      <w:r>
        <w:rPr>
          <w:rFonts w:hint="eastAsia" w:ascii="宋体" w:hAnsi="宋体"/>
          <w:sz w:val="24"/>
          <w:highlight w:val="none"/>
          <w:lang w:val="en-US"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7</w:t>
      </w:r>
      <w:r>
        <w:rPr>
          <w:rFonts w:hint="eastAsia" w:ascii="宋体" w:hAnsi="宋体"/>
          <w:sz w:val="24"/>
          <w:highlight w:val="none"/>
        </w:rPr>
        <w:t>磋商保证金退还</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7</w:t>
      </w:r>
      <w:r>
        <w:rPr>
          <w:rFonts w:hint="eastAsia" w:ascii="宋体" w:hAnsi="宋体"/>
          <w:sz w:val="24"/>
          <w:highlight w:val="none"/>
        </w:rPr>
        <w:t>.1如无质疑或投诉，未成交供应商的磋商保证金，在成交通知书发出后5个工作日内原额、原账户</w:t>
      </w:r>
      <w:r>
        <w:rPr>
          <w:rFonts w:hint="eastAsia" w:ascii="宋体" w:hAnsi="宋体"/>
          <w:sz w:val="24"/>
          <w:highlight w:val="none"/>
          <w:lang w:val="en-US" w:eastAsia="zh-CN"/>
        </w:rPr>
        <w:t>无息</w:t>
      </w:r>
      <w:r>
        <w:rPr>
          <w:rFonts w:hint="eastAsia" w:ascii="宋体" w:hAnsi="宋体"/>
          <w:sz w:val="24"/>
          <w:highlight w:val="none"/>
        </w:rPr>
        <w:t>退还；</w:t>
      </w:r>
    </w:p>
    <w:p>
      <w:pPr>
        <w:spacing w:line="360" w:lineRule="auto"/>
        <w:ind w:firstLine="480" w:firstLineChars="200"/>
        <w:rPr>
          <w:rFonts w:ascii="宋体" w:hAnsi="宋体"/>
          <w:sz w:val="24"/>
          <w:highlight w:val="none"/>
        </w:rPr>
      </w:pPr>
      <w:r>
        <w:rPr>
          <w:rFonts w:hint="eastAsia" w:ascii="宋体" w:hAnsi="宋体"/>
          <w:sz w:val="24"/>
          <w:highlight w:val="none"/>
        </w:rPr>
        <w:t>如有质疑或投诉，将在质疑和投诉处理完毕后5个工作日内原额、原账户</w:t>
      </w:r>
      <w:r>
        <w:rPr>
          <w:rFonts w:hint="eastAsia" w:ascii="宋体" w:hAnsi="宋体"/>
          <w:sz w:val="24"/>
          <w:highlight w:val="none"/>
          <w:lang w:val="en-US" w:eastAsia="zh-CN"/>
        </w:rPr>
        <w:t>无息</w:t>
      </w:r>
      <w:r>
        <w:rPr>
          <w:rFonts w:hint="eastAsia" w:ascii="宋体" w:hAnsi="宋体"/>
          <w:sz w:val="24"/>
          <w:highlight w:val="none"/>
        </w:rPr>
        <w:t>退还。</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13.</w:t>
      </w:r>
      <w:r>
        <w:rPr>
          <w:rFonts w:hint="eastAsia" w:ascii="宋体" w:hAnsi="宋体"/>
          <w:b/>
          <w:bCs/>
          <w:sz w:val="24"/>
          <w:highlight w:val="none"/>
          <w:u w:val="single"/>
          <w:lang w:val="en-US" w:eastAsia="zh-CN"/>
        </w:rPr>
        <w:t>7</w:t>
      </w:r>
      <w:r>
        <w:rPr>
          <w:rFonts w:hint="eastAsia" w:ascii="宋体" w:hAnsi="宋体"/>
          <w:b/>
          <w:bCs/>
          <w:sz w:val="24"/>
          <w:highlight w:val="none"/>
          <w:u w:val="single"/>
        </w:rPr>
        <w:t>.2成交供应商的磋商保证金,在成交供应商与采购人签订采购合同</w:t>
      </w:r>
      <w:r>
        <w:rPr>
          <w:rFonts w:hint="eastAsia" w:ascii="宋体" w:hAnsi="宋体"/>
          <w:b/>
          <w:bCs/>
          <w:sz w:val="24"/>
          <w:highlight w:val="none"/>
          <w:u w:val="single"/>
          <w:lang w:val="en-US" w:eastAsia="zh-CN"/>
        </w:rPr>
        <w:t>并</w:t>
      </w:r>
      <w:r>
        <w:rPr>
          <w:rFonts w:hint="eastAsia" w:ascii="宋体" w:hAnsi="宋体" w:cs="宋体"/>
          <w:b/>
          <w:bCs/>
          <w:sz w:val="24"/>
          <w:szCs w:val="24"/>
          <w:highlight w:val="none"/>
          <w:u w:val="single"/>
          <w:lang w:val="en-US" w:eastAsia="zh-CN"/>
        </w:rPr>
        <w:t>将采购合同</w:t>
      </w:r>
      <w:r>
        <w:rPr>
          <w:rFonts w:hint="eastAsia" w:ascii="宋体" w:hAnsi="宋体"/>
          <w:b/>
          <w:bCs/>
          <w:sz w:val="24"/>
          <w:highlight w:val="none"/>
          <w:u w:val="single"/>
          <w:lang w:eastAsia="zh-CN"/>
        </w:rPr>
        <w:t>（</w:t>
      </w:r>
      <w:r>
        <w:rPr>
          <w:rFonts w:hint="eastAsia" w:ascii="宋体" w:hAnsi="宋体" w:cs="宋体"/>
          <w:b/>
          <w:bCs/>
          <w:sz w:val="24"/>
          <w:szCs w:val="24"/>
          <w:highlight w:val="none"/>
          <w:u w:val="single"/>
          <w:lang w:val="en-US" w:eastAsia="zh-CN"/>
        </w:rPr>
        <w:t>一份</w:t>
      </w:r>
      <w:r>
        <w:rPr>
          <w:rFonts w:hint="eastAsia" w:ascii="宋体" w:hAnsi="宋体"/>
          <w:b/>
          <w:bCs/>
          <w:sz w:val="24"/>
          <w:highlight w:val="none"/>
          <w:u w:val="single"/>
          <w:lang w:eastAsia="zh-CN"/>
        </w:rPr>
        <w:t>）</w:t>
      </w:r>
      <w:r>
        <w:rPr>
          <w:rFonts w:hint="eastAsia" w:ascii="宋体" w:hAnsi="宋体" w:cs="宋体"/>
          <w:b/>
          <w:bCs/>
          <w:sz w:val="24"/>
          <w:szCs w:val="24"/>
          <w:highlight w:val="none"/>
          <w:u w:val="single"/>
          <w:lang w:val="en-US" w:eastAsia="zh-CN"/>
        </w:rPr>
        <w:t>送达</w:t>
      </w:r>
      <w:r>
        <w:rPr>
          <w:rFonts w:hint="eastAsia" w:ascii="宋体" w:hAnsi="宋体" w:cs="宋体"/>
          <w:b/>
          <w:bCs/>
          <w:sz w:val="24"/>
          <w:szCs w:val="24"/>
          <w:highlight w:val="none"/>
          <w:u w:val="single"/>
        </w:rPr>
        <w:t>采购代理机构</w:t>
      </w:r>
      <w:r>
        <w:rPr>
          <w:rFonts w:hint="eastAsia" w:ascii="宋体" w:hAnsi="宋体"/>
          <w:b/>
          <w:bCs/>
          <w:sz w:val="24"/>
          <w:highlight w:val="none"/>
          <w:u w:val="single"/>
        </w:rPr>
        <w:t>后5个工作日内原额、原账户</w:t>
      </w:r>
      <w:r>
        <w:rPr>
          <w:rFonts w:hint="eastAsia" w:ascii="宋体" w:hAnsi="宋体"/>
          <w:b/>
          <w:bCs/>
          <w:sz w:val="24"/>
          <w:highlight w:val="none"/>
          <w:u w:val="single"/>
          <w:lang w:val="en-US" w:eastAsia="zh-CN"/>
        </w:rPr>
        <w:t>无息</w:t>
      </w:r>
      <w:r>
        <w:rPr>
          <w:rFonts w:hint="eastAsia" w:ascii="宋体" w:hAnsi="宋体"/>
          <w:b/>
          <w:bCs/>
          <w:sz w:val="24"/>
          <w:highlight w:val="none"/>
          <w:u w:val="single"/>
        </w:rPr>
        <w:t>退还。</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供应商有下列情形之一的，采购代理机构不予退还其交纳的保证金；情节严重的，由财政部门将其列入不良行为记录名单，在一至三年内禁止参加政府采购活动，并予以通报：</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.1开标后在磋商文件规定的响应有效期间，供应商撤回其所投响应文件；</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.2成交供应商在收到成交通知书后，在磋商文件规定的时间内无正当理由不与采购人或者采购代理机构签订合同的；</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.3成交供应商未按时缴付采购代理服务费；</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.4成交供应商将成交项目转让给他人，或者在响应文件中未说明，且未经采购人同意，将成交项目分包给他人的；</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.5成交供应商拒绝履行合同义务的；</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.6其他违法、违规行为的。</w:t>
      </w:r>
    </w:p>
    <w:p>
      <w:pPr>
        <w:spacing w:line="360" w:lineRule="auto"/>
        <w:ind w:firstLine="482" w:firstLineChars="200"/>
        <w:rPr>
          <w:rFonts w:ascii="宋体" w:hAnsi="宋体"/>
          <w:b/>
          <w:bCs/>
          <w:sz w:val="24"/>
          <w:highlight w:val="none"/>
        </w:rPr>
      </w:pPr>
      <w:r>
        <w:rPr>
          <w:rFonts w:hint="eastAsia" w:ascii="宋体" w:hAnsi="宋体"/>
          <w:b/>
          <w:bCs/>
          <w:sz w:val="24"/>
          <w:highlight w:val="none"/>
        </w:rPr>
        <w:t>14.响应文件的有效期</w:t>
      </w:r>
    </w:p>
    <w:p>
      <w:pPr>
        <w:spacing w:line="360" w:lineRule="auto"/>
        <w:ind w:firstLine="480" w:firstLineChars="200"/>
        <w:rPr>
          <w:rFonts w:ascii="宋体" w:hAnsi="宋体"/>
          <w:sz w:val="24"/>
          <w:highlight w:val="none"/>
        </w:rPr>
      </w:pPr>
      <w:r>
        <w:rPr>
          <w:rFonts w:hint="eastAsia" w:ascii="宋体" w:hAnsi="宋体"/>
          <w:sz w:val="24"/>
          <w:highlight w:val="none"/>
        </w:rPr>
        <w:t>14.1响应文件有效期为自开标之日起算九十（90）个日历日；响应文件有效期短于磋商文件规定的响应有效期，按无效响应文件处理；成交供应商的响应文件有效期延长至合同执行完毕。</w:t>
      </w:r>
    </w:p>
    <w:p>
      <w:pPr>
        <w:spacing w:line="360" w:lineRule="auto"/>
        <w:ind w:firstLine="480" w:firstLineChars="200"/>
        <w:rPr>
          <w:rFonts w:ascii="宋体" w:hAnsi="宋体"/>
          <w:sz w:val="24"/>
          <w:highlight w:val="none"/>
        </w:rPr>
      </w:pPr>
      <w:r>
        <w:rPr>
          <w:rFonts w:hint="eastAsia" w:ascii="宋体" w:hAnsi="宋体"/>
          <w:sz w:val="24"/>
          <w:highlight w:val="none"/>
        </w:rPr>
        <w:t>14.2在特殊情况下，采购人可与供应商协商延长响应文件的有效期,这种要求和答复均应以书面形式进行。</w:t>
      </w:r>
    </w:p>
    <w:p>
      <w:pPr>
        <w:spacing w:line="360" w:lineRule="auto"/>
        <w:ind w:firstLine="480" w:firstLineChars="200"/>
        <w:rPr>
          <w:rFonts w:ascii="宋体" w:hAnsi="宋体"/>
          <w:sz w:val="24"/>
          <w:highlight w:val="none"/>
        </w:rPr>
      </w:pPr>
      <w:r>
        <w:rPr>
          <w:rFonts w:hint="eastAsia" w:ascii="宋体" w:hAnsi="宋体"/>
          <w:sz w:val="24"/>
          <w:highlight w:val="none"/>
        </w:rPr>
        <w:t>14.3供应商可拒绝接受延期要求而不会导致磋商保证金被没收，同意延长有效期的供应商不能修改响应文件。</w:t>
      </w:r>
      <w:bookmarkStart w:id="91" w:name="_Toc18934"/>
      <w:bookmarkStart w:id="92" w:name="_Toc6401"/>
    </w:p>
    <w:p>
      <w:pPr>
        <w:spacing w:line="360" w:lineRule="auto"/>
        <w:ind w:firstLine="481"/>
        <w:jc w:val="left"/>
        <w:outlineLvl w:val="1"/>
        <w:rPr>
          <w:rFonts w:hint="eastAsia" w:ascii="黑体" w:hAnsi="黑体" w:eastAsia="黑体" w:cs="黑体"/>
          <w:b/>
          <w:sz w:val="24"/>
          <w:highlight w:val="none"/>
        </w:rPr>
      </w:pPr>
      <w:bookmarkStart w:id="93" w:name="_Toc32350"/>
      <w:bookmarkStart w:id="94" w:name="_Toc29987"/>
    </w:p>
    <w:p>
      <w:pPr>
        <w:spacing w:line="360" w:lineRule="auto"/>
        <w:ind w:firstLine="481"/>
        <w:jc w:val="left"/>
        <w:outlineLvl w:val="1"/>
        <w:rPr>
          <w:rFonts w:ascii="黑体" w:hAnsi="黑体" w:eastAsia="黑体" w:cs="黑体"/>
          <w:b/>
          <w:sz w:val="24"/>
          <w:highlight w:val="none"/>
        </w:rPr>
      </w:pPr>
      <w:r>
        <w:rPr>
          <w:rFonts w:hint="eastAsia" w:ascii="黑体" w:hAnsi="黑体" w:eastAsia="黑体" w:cs="黑体"/>
          <w:b/>
          <w:sz w:val="24"/>
          <w:highlight w:val="none"/>
        </w:rPr>
        <w:t>四、响应文件密封、递交</w:t>
      </w:r>
      <w:bookmarkEnd w:id="91"/>
      <w:bookmarkEnd w:id="92"/>
      <w:bookmarkEnd w:id="93"/>
      <w:bookmarkEnd w:id="94"/>
    </w:p>
    <w:p>
      <w:pPr>
        <w:spacing w:line="360" w:lineRule="auto"/>
        <w:ind w:firstLine="482" w:firstLineChars="200"/>
        <w:rPr>
          <w:rFonts w:ascii="宋体" w:hAnsi="宋体"/>
          <w:b/>
          <w:bCs/>
          <w:sz w:val="24"/>
          <w:highlight w:val="none"/>
        </w:rPr>
      </w:pPr>
      <w:r>
        <w:rPr>
          <w:rFonts w:hint="eastAsia" w:ascii="宋体" w:hAnsi="宋体"/>
          <w:b/>
          <w:bCs/>
          <w:sz w:val="24"/>
          <w:highlight w:val="none"/>
        </w:rPr>
        <w:t>15.响应文件的密封及标记</w:t>
      </w:r>
    </w:p>
    <w:p>
      <w:pPr>
        <w:spacing w:line="360" w:lineRule="auto"/>
        <w:ind w:firstLine="480" w:firstLineChars="200"/>
        <w:rPr>
          <w:rFonts w:ascii="宋体" w:hAnsi="宋体"/>
          <w:sz w:val="24"/>
          <w:highlight w:val="none"/>
        </w:rPr>
      </w:pPr>
      <w:r>
        <w:rPr>
          <w:rFonts w:hint="eastAsia" w:ascii="宋体" w:hAnsi="宋体"/>
          <w:sz w:val="24"/>
          <w:highlight w:val="none"/>
        </w:rPr>
        <w:t>15.1响应文件正本</w:t>
      </w:r>
      <w:r>
        <w:rPr>
          <w:rFonts w:hint="eastAsia" w:ascii="宋体" w:hAnsi="宋体"/>
          <w:b/>
          <w:bCs/>
          <w:sz w:val="24"/>
          <w:highlight w:val="none"/>
          <w:u w:val="single"/>
        </w:rPr>
        <w:t>壹</w:t>
      </w:r>
      <w:r>
        <w:rPr>
          <w:rFonts w:hint="eastAsia" w:ascii="宋体" w:hAnsi="宋体"/>
          <w:sz w:val="24"/>
          <w:highlight w:val="none"/>
        </w:rPr>
        <w:t>份、副本</w:t>
      </w:r>
      <w:r>
        <w:rPr>
          <w:rFonts w:hint="eastAsia" w:ascii="宋体" w:hAnsi="宋体"/>
          <w:b/>
          <w:bCs/>
          <w:sz w:val="24"/>
          <w:highlight w:val="none"/>
          <w:u w:val="single"/>
        </w:rPr>
        <w:t>叁</w:t>
      </w:r>
      <w:r>
        <w:rPr>
          <w:rFonts w:hint="eastAsia" w:ascii="宋体" w:hAnsi="宋体"/>
          <w:sz w:val="24"/>
          <w:highlight w:val="none"/>
        </w:rPr>
        <w:t>份。正、副本须分别胶装成册，正、副本分开密封。不允许活页夹装订，由于装订原因造成响应文件得散落、丢失等，责任自负。</w:t>
      </w:r>
      <w:r>
        <w:rPr>
          <w:rFonts w:hint="eastAsia" w:ascii="宋体" w:hAnsi="宋体"/>
          <w:b/>
          <w:sz w:val="24"/>
          <w:highlight w:val="none"/>
        </w:rPr>
        <w:t>在封口处需由法定代表人或授权人代表签字，并加盖供应商公章。</w:t>
      </w:r>
      <w:r>
        <w:rPr>
          <w:rFonts w:hint="eastAsia" w:ascii="宋体" w:hAnsi="宋体"/>
          <w:sz w:val="24"/>
          <w:highlight w:val="none"/>
        </w:rPr>
        <w:t>封皮上写明采购项目名称、采购项目编号、供应商名称、标段（如果有）、包号（如果有），并注明</w:t>
      </w:r>
      <w:r>
        <w:rPr>
          <w:rFonts w:hint="eastAsia" w:ascii="宋体" w:hAnsi="宋体"/>
          <w:b/>
          <w:bCs/>
          <w:sz w:val="24"/>
          <w:highlight w:val="none"/>
          <w:u w:val="single"/>
        </w:rPr>
        <w:t>“响应文件正（副）本”、“非磋商会议不得启封”</w:t>
      </w:r>
      <w:r>
        <w:rPr>
          <w:rFonts w:hint="eastAsia" w:ascii="宋体" w:hAnsi="宋体"/>
          <w:sz w:val="24"/>
          <w:highlight w:val="none"/>
        </w:rPr>
        <w:t>字样。</w:t>
      </w:r>
    </w:p>
    <w:p>
      <w:pPr>
        <w:spacing w:line="360" w:lineRule="auto"/>
        <w:ind w:firstLine="480" w:firstLineChars="200"/>
        <w:rPr>
          <w:rFonts w:ascii="宋体" w:hAnsi="宋体"/>
          <w:sz w:val="24"/>
          <w:highlight w:val="none"/>
        </w:rPr>
      </w:pPr>
      <w:r>
        <w:rPr>
          <w:rFonts w:hint="eastAsia" w:ascii="宋体" w:hAnsi="宋体"/>
          <w:sz w:val="24"/>
          <w:highlight w:val="none"/>
        </w:rPr>
        <w:t>15.2响应文件电子版本</w:t>
      </w:r>
      <w:r>
        <w:rPr>
          <w:rFonts w:hint="eastAsia" w:ascii="宋体" w:hAnsi="宋体"/>
          <w:b/>
          <w:bCs/>
          <w:sz w:val="24"/>
          <w:highlight w:val="none"/>
          <w:u w:val="single"/>
        </w:rPr>
        <w:t>壹</w:t>
      </w:r>
      <w:r>
        <w:rPr>
          <w:rFonts w:hint="eastAsia" w:ascii="宋体" w:hAnsi="宋体"/>
          <w:sz w:val="24"/>
          <w:highlight w:val="none"/>
        </w:rPr>
        <w:t>份，所提交的电子版本应与响应文件正本内容相同（以U盘形式提供，文件格式包含.doc/.docx格式及正本盖章后扫描的.pdf格式）。</w:t>
      </w:r>
      <w:r>
        <w:rPr>
          <w:rFonts w:hint="eastAsia" w:ascii="宋体" w:hAnsi="宋体"/>
          <w:b/>
          <w:bCs/>
          <w:sz w:val="24"/>
          <w:highlight w:val="none"/>
        </w:rPr>
        <w:t>在封口处需由法定代表人或授权人代表签字，并加盖供应商公章。</w:t>
      </w:r>
      <w:r>
        <w:rPr>
          <w:rFonts w:hint="eastAsia" w:ascii="宋体" w:hAnsi="宋体"/>
          <w:sz w:val="24"/>
          <w:highlight w:val="none"/>
        </w:rPr>
        <w:t>封皮上写明采购项目名称、采购项目编号、供应商名称、标段（如果有）、包号（如果有），并注明</w:t>
      </w:r>
      <w:r>
        <w:rPr>
          <w:rFonts w:hint="eastAsia" w:ascii="宋体" w:hAnsi="宋体"/>
          <w:b/>
          <w:bCs/>
          <w:sz w:val="24"/>
          <w:highlight w:val="none"/>
          <w:u w:val="single"/>
        </w:rPr>
        <w:t>“响应文件（电子版本）”“非磋商会议不得启封”</w:t>
      </w:r>
      <w:r>
        <w:rPr>
          <w:rFonts w:hint="eastAsia" w:ascii="宋体" w:hAnsi="宋体"/>
          <w:sz w:val="24"/>
          <w:highlight w:val="none"/>
        </w:rPr>
        <w:t>字样。</w:t>
      </w:r>
    </w:p>
    <w:p>
      <w:pPr>
        <w:spacing w:line="360" w:lineRule="auto"/>
        <w:ind w:firstLine="480"/>
        <w:rPr>
          <w:rFonts w:ascii="宋体" w:hAnsi="宋体"/>
          <w:b/>
          <w:sz w:val="24"/>
          <w:highlight w:val="none"/>
        </w:rPr>
      </w:pPr>
      <w:r>
        <w:rPr>
          <w:rFonts w:hint="eastAsia" w:ascii="宋体" w:hAnsi="宋体"/>
          <w:sz w:val="24"/>
          <w:highlight w:val="none"/>
        </w:rPr>
        <w:t>15.3首次</w:t>
      </w:r>
      <w:r>
        <w:rPr>
          <w:rFonts w:hint="eastAsia" w:ascii="宋体" w:hAnsi="宋体"/>
          <w:bCs/>
          <w:sz w:val="24"/>
          <w:highlight w:val="none"/>
        </w:rPr>
        <w:t>报价一览表除在响应文件内装订外，另制作一份</w:t>
      </w:r>
      <w:r>
        <w:rPr>
          <w:rFonts w:hint="eastAsia" w:ascii="宋体" w:hAnsi="宋体"/>
          <w:b/>
          <w:sz w:val="24"/>
          <w:highlight w:val="none"/>
        </w:rPr>
        <w:t>单独</w:t>
      </w:r>
      <w:r>
        <w:rPr>
          <w:rFonts w:hint="eastAsia" w:ascii="宋体" w:hAnsi="宋体"/>
          <w:bCs/>
          <w:sz w:val="24"/>
          <w:highlight w:val="none"/>
        </w:rPr>
        <w:t>放在一个信封中。</w:t>
      </w:r>
      <w:r>
        <w:rPr>
          <w:rFonts w:hint="eastAsia" w:ascii="宋体" w:hAnsi="宋体"/>
          <w:b/>
          <w:sz w:val="24"/>
          <w:highlight w:val="none"/>
        </w:rPr>
        <w:t>封口处应有供应商法定代表人或授权人代表签字，并加盖供应商公章。</w:t>
      </w:r>
      <w:r>
        <w:rPr>
          <w:rFonts w:hint="eastAsia" w:ascii="宋体" w:hAnsi="宋体"/>
          <w:bCs/>
          <w:sz w:val="24"/>
          <w:highlight w:val="none"/>
        </w:rPr>
        <w:t>封皮上写明</w:t>
      </w:r>
      <w:r>
        <w:rPr>
          <w:rFonts w:hint="eastAsia" w:ascii="宋体" w:hAnsi="宋体"/>
          <w:sz w:val="24"/>
          <w:highlight w:val="none"/>
        </w:rPr>
        <w:t>采购项目名称、采购项目编号、供应商名称、标段（如果有）、包号（如果有）</w:t>
      </w:r>
      <w:r>
        <w:rPr>
          <w:rFonts w:hint="eastAsia" w:ascii="宋体" w:hAnsi="宋体"/>
          <w:b/>
          <w:sz w:val="24"/>
          <w:highlight w:val="none"/>
        </w:rPr>
        <w:t>，</w:t>
      </w:r>
      <w:r>
        <w:rPr>
          <w:rFonts w:hint="eastAsia" w:ascii="宋体" w:hAnsi="宋体"/>
          <w:bCs/>
          <w:sz w:val="24"/>
          <w:highlight w:val="none"/>
        </w:rPr>
        <w:t>并注明</w:t>
      </w:r>
      <w:r>
        <w:rPr>
          <w:rFonts w:hint="eastAsia" w:ascii="宋体" w:hAnsi="宋体"/>
          <w:b/>
          <w:bCs/>
          <w:sz w:val="24"/>
          <w:highlight w:val="none"/>
          <w:u w:val="single"/>
        </w:rPr>
        <w:t>“首次报价一览表”、“非磋商会议不得启封”</w:t>
      </w:r>
      <w:r>
        <w:rPr>
          <w:rFonts w:hint="eastAsia" w:ascii="宋体" w:hAnsi="宋体"/>
          <w:bCs/>
          <w:sz w:val="24"/>
          <w:highlight w:val="none"/>
        </w:rPr>
        <w:t>字样，响应时递交。</w:t>
      </w:r>
    </w:p>
    <w:p>
      <w:pPr>
        <w:spacing w:line="360" w:lineRule="auto"/>
        <w:ind w:firstLine="480"/>
        <w:rPr>
          <w:rFonts w:ascii="宋体" w:hAnsi="宋体"/>
          <w:sz w:val="24"/>
          <w:highlight w:val="none"/>
        </w:rPr>
      </w:pPr>
      <w:r>
        <w:rPr>
          <w:rFonts w:hint="eastAsia" w:ascii="宋体" w:hAnsi="宋体"/>
          <w:sz w:val="24"/>
          <w:highlight w:val="none"/>
        </w:rPr>
        <w:t>15.</w:t>
      </w:r>
      <w:bookmarkStart w:id="95" w:name="OLE_LINK3"/>
      <w:bookmarkStart w:id="96" w:name="OLE_LINK4"/>
      <w:r>
        <w:rPr>
          <w:rFonts w:hint="eastAsia" w:ascii="宋体" w:hAnsi="宋体"/>
          <w:sz w:val="24"/>
          <w:highlight w:val="none"/>
        </w:rPr>
        <w:t>4</w:t>
      </w:r>
      <w:r>
        <w:rPr>
          <w:rFonts w:hint="eastAsia" w:ascii="宋体" w:hAnsi="宋体"/>
          <w:b/>
          <w:bCs/>
          <w:sz w:val="24"/>
          <w:highlight w:val="none"/>
          <w:u w:val="single"/>
        </w:rPr>
        <w:t>“资格证明文件证明材料原件”</w:t>
      </w:r>
      <w:r>
        <w:rPr>
          <w:rFonts w:hint="eastAsia" w:ascii="宋体" w:hAnsi="宋体"/>
          <w:sz w:val="24"/>
          <w:highlight w:val="none"/>
        </w:rPr>
        <w:t>按照本须知2.3条要求内容组成。</w:t>
      </w:r>
      <w:r>
        <w:rPr>
          <w:rFonts w:hint="eastAsia" w:ascii="宋体" w:hAnsi="宋体"/>
          <w:b/>
          <w:bCs/>
          <w:sz w:val="24"/>
          <w:highlight w:val="none"/>
        </w:rPr>
        <w:t>“资格证明文件证明材料原件”</w:t>
      </w:r>
      <w:r>
        <w:rPr>
          <w:rFonts w:hint="eastAsia" w:ascii="宋体" w:hAnsi="宋体"/>
          <w:sz w:val="24"/>
          <w:highlight w:val="none"/>
        </w:rPr>
        <w:t>文件应汇总放置于在一个文件袋中</w:t>
      </w:r>
      <w:r>
        <w:rPr>
          <w:rFonts w:hint="eastAsia" w:ascii="宋体" w:hAnsi="宋体"/>
          <w:b/>
          <w:bCs/>
          <w:sz w:val="24"/>
          <w:highlight w:val="none"/>
        </w:rPr>
        <w:t>（无须密封）</w:t>
      </w:r>
      <w:r>
        <w:rPr>
          <w:rFonts w:hint="eastAsia" w:ascii="宋体" w:hAnsi="宋体"/>
          <w:sz w:val="24"/>
          <w:highlight w:val="none"/>
        </w:rPr>
        <w:t>，封皮上写明采购项目名称、采购项目编号、供应商名称、标段（如果有）、包号（如果有），并注明</w:t>
      </w:r>
      <w:r>
        <w:rPr>
          <w:rFonts w:hint="eastAsia" w:ascii="宋体" w:hAnsi="宋体"/>
          <w:b/>
          <w:sz w:val="24"/>
          <w:highlight w:val="none"/>
          <w:u w:val="single"/>
        </w:rPr>
        <w:t>“资格证明文件</w:t>
      </w:r>
      <w:r>
        <w:rPr>
          <w:rFonts w:hint="eastAsia" w:ascii="宋体" w:hAnsi="宋体"/>
          <w:b/>
          <w:bCs/>
          <w:sz w:val="24"/>
          <w:highlight w:val="none"/>
          <w:u w:val="single"/>
        </w:rPr>
        <w:t>证明材料原件</w:t>
      </w:r>
      <w:r>
        <w:rPr>
          <w:rFonts w:hint="eastAsia" w:ascii="宋体" w:hAnsi="宋体"/>
          <w:b/>
          <w:sz w:val="24"/>
          <w:highlight w:val="none"/>
          <w:u w:val="single"/>
        </w:rPr>
        <w:t>”</w:t>
      </w:r>
      <w:r>
        <w:rPr>
          <w:rFonts w:hint="eastAsia" w:ascii="宋体" w:hAnsi="宋体"/>
          <w:sz w:val="24"/>
          <w:highlight w:val="none"/>
        </w:rPr>
        <w:t>字样及</w:t>
      </w:r>
      <w:r>
        <w:rPr>
          <w:rFonts w:hint="eastAsia" w:ascii="宋体" w:hAnsi="宋体"/>
          <w:b/>
          <w:bCs/>
          <w:sz w:val="24"/>
          <w:highlight w:val="none"/>
          <w:u w:val="single"/>
        </w:rPr>
        <w:t>“清单目录”</w:t>
      </w:r>
      <w:r>
        <w:rPr>
          <w:rFonts w:hint="eastAsia" w:ascii="宋体" w:hAnsi="宋体"/>
          <w:sz w:val="24"/>
          <w:highlight w:val="none"/>
        </w:rPr>
        <w:t>，响应时递交，资格审查结束后退还。</w:t>
      </w:r>
    </w:p>
    <w:p>
      <w:pPr>
        <w:spacing w:line="360" w:lineRule="auto"/>
        <w:ind w:firstLine="480"/>
        <w:rPr>
          <w:rFonts w:ascii="宋体" w:hAnsi="宋体"/>
          <w:sz w:val="24"/>
          <w:highlight w:val="none"/>
        </w:rPr>
      </w:pPr>
      <w:r>
        <w:rPr>
          <w:rFonts w:hint="eastAsia" w:ascii="宋体" w:hAnsi="宋体"/>
          <w:b/>
          <w:bCs/>
          <w:sz w:val="24"/>
          <w:highlight w:val="none"/>
          <w:u w:val="single"/>
        </w:rPr>
        <w:t>供应商若不能按照本须知2.3条要求提供全部证明材料原件，其响应将被拒绝。</w:t>
      </w:r>
      <w:bookmarkEnd w:id="95"/>
    </w:p>
    <w:bookmarkEnd w:id="96"/>
    <w:p>
      <w:pPr>
        <w:spacing w:line="360" w:lineRule="auto"/>
        <w:ind w:firstLine="480"/>
        <w:rPr>
          <w:rFonts w:ascii="宋体" w:hAnsi="宋体"/>
          <w:b/>
          <w:bCs/>
          <w:sz w:val="24"/>
          <w:highlight w:val="none"/>
          <w:u w:val="single"/>
        </w:rPr>
      </w:pPr>
      <w:r>
        <w:rPr>
          <w:rFonts w:hint="eastAsia" w:ascii="宋体" w:hAnsi="宋体"/>
          <w:sz w:val="24"/>
          <w:highlight w:val="none"/>
        </w:rPr>
        <w:t>15.5</w:t>
      </w:r>
      <w:r>
        <w:rPr>
          <w:rFonts w:hint="eastAsia" w:ascii="宋体" w:hAnsi="宋体"/>
          <w:b/>
          <w:bCs/>
          <w:sz w:val="24"/>
          <w:highlight w:val="none"/>
          <w:u w:val="single"/>
        </w:rPr>
        <w:t>“评审证明材料”（如果有）</w:t>
      </w:r>
      <w:r>
        <w:rPr>
          <w:rFonts w:hint="eastAsia" w:ascii="宋体" w:hAnsi="宋体"/>
          <w:sz w:val="24"/>
          <w:highlight w:val="none"/>
        </w:rPr>
        <w:t>按照评审表要求内容组成，封口处应有供应商法定代表人或授权人代表签字及供应商公章。封皮上写明采购项目名称、采购项目编号、供应商名称、标段（如果有）、包号（如果有），并注明</w:t>
      </w:r>
      <w:r>
        <w:rPr>
          <w:rFonts w:hint="eastAsia" w:ascii="宋体" w:hAnsi="宋体"/>
          <w:b/>
          <w:bCs/>
          <w:sz w:val="24"/>
          <w:highlight w:val="none"/>
          <w:u w:val="single"/>
        </w:rPr>
        <w:t>“评审证明材料”</w:t>
      </w:r>
      <w:r>
        <w:rPr>
          <w:rFonts w:hint="eastAsia" w:ascii="宋体" w:hAnsi="宋体"/>
          <w:sz w:val="24"/>
          <w:highlight w:val="none"/>
        </w:rPr>
        <w:t>字样及</w:t>
      </w:r>
      <w:r>
        <w:rPr>
          <w:rFonts w:hint="eastAsia" w:ascii="宋体" w:hAnsi="宋体"/>
          <w:b/>
          <w:bCs/>
          <w:sz w:val="24"/>
          <w:highlight w:val="none"/>
          <w:u w:val="single"/>
        </w:rPr>
        <w:t>“清单目录”</w:t>
      </w:r>
      <w:r>
        <w:rPr>
          <w:rFonts w:hint="eastAsia" w:ascii="宋体" w:hAnsi="宋体"/>
          <w:sz w:val="24"/>
          <w:highlight w:val="none"/>
        </w:rPr>
        <w:t>，响应时递交，评审结束后退还。</w:t>
      </w:r>
    </w:p>
    <w:p>
      <w:pPr>
        <w:spacing w:line="360" w:lineRule="auto"/>
        <w:ind w:firstLine="480"/>
        <w:rPr>
          <w:rFonts w:ascii="宋体" w:hAnsi="宋体"/>
          <w:sz w:val="24"/>
          <w:highlight w:val="none"/>
        </w:rPr>
      </w:pPr>
      <w:r>
        <w:rPr>
          <w:rFonts w:hint="eastAsia" w:ascii="宋体" w:hAnsi="宋体"/>
          <w:sz w:val="24"/>
          <w:highlight w:val="none"/>
        </w:rPr>
        <w:t>15.6如果供应商未按上述要求密封及加写标记，将有可能导致响应无效。</w:t>
      </w:r>
    </w:p>
    <w:p>
      <w:pPr>
        <w:spacing w:line="360" w:lineRule="auto"/>
        <w:ind w:firstLine="482" w:firstLineChars="200"/>
        <w:rPr>
          <w:rFonts w:ascii="宋体" w:hAnsi="宋体"/>
          <w:b/>
          <w:bCs/>
          <w:sz w:val="24"/>
          <w:highlight w:val="none"/>
        </w:rPr>
      </w:pPr>
      <w:r>
        <w:rPr>
          <w:rFonts w:hint="eastAsia" w:ascii="宋体" w:hAnsi="宋体"/>
          <w:b/>
          <w:bCs/>
          <w:sz w:val="24"/>
          <w:highlight w:val="none"/>
        </w:rPr>
        <w:t>16.响应文件递交</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16.1供应商必须在磋商文件规定的时间和地点，将全部响应文件递交至</w:t>
      </w:r>
      <w:r>
        <w:rPr>
          <w:rFonts w:hint="eastAsia" w:ascii="宋体" w:hAnsi="宋体"/>
          <w:sz w:val="24"/>
          <w:highlight w:val="none"/>
          <w:lang w:val="en-US" w:eastAsia="zh-CN"/>
        </w:rPr>
        <w:t>磋商</w:t>
      </w:r>
      <w:r>
        <w:rPr>
          <w:rFonts w:hint="eastAsia" w:ascii="宋体" w:hAnsi="宋体"/>
          <w:sz w:val="24"/>
          <w:highlight w:val="none"/>
        </w:rPr>
        <w:t>现场；</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16.2采购代理机构工作人员在磋商文件规定的响应文件递交截止时间前，只负责响应文件的接收、清点、造册登记工作，并请法定代表人或被授权人签字确认，对其有效性不负任何责任；</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16.3采购代理机构在宣布递交响应文件截止时间之后，拒绝接收任何人送达、递交的响应文件；</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16.4无论供应商成交与否或者响应无效，其响应文件恕不退还。</w:t>
      </w:r>
    </w:p>
    <w:p>
      <w:pPr>
        <w:spacing w:line="360" w:lineRule="auto"/>
        <w:ind w:firstLine="482" w:firstLineChars="200"/>
        <w:rPr>
          <w:rFonts w:ascii="宋体" w:hAnsi="宋体"/>
          <w:b/>
          <w:bCs/>
          <w:sz w:val="24"/>
          <w:highlight w:val="none"/>
        </w:rPr>
      </w:pPr>
      <w:r>
        <w:rPr>
          <w:rFonts w:hint="eastAsia" w:ascii="宋体" w:hAnsi="宋体"/>
          <w:b/>
          <w:bCs/>
          <w:sz w:val="24"/>
          <w:highlight w:val="none"/>
        </w:rPr>
        <w:t>17.响应截止时间</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17.1供应商必须在磋商文件规定的递交截止时间之前递交响应文件，采购代理机构在截止时间后拒绝接收任何响应文件。</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17.2因采购单位推迟响应截止时间时，采购代理机构应以书面（或传真）的形式,通知所有供应商；在这种情况下，采购代理机构和供应商的权利和义务将受到新的截止期的约束。</w:t>
      </w:r>
    </w:p>
    <w:p>
      <w:pPr>
        <w:spacing w:line="360" w:lineRule="auto"/>
        <w:ind w:firstLine="482" w:firstLineChars="200"/>
        <w:rPr>
          <w:rFonts w:ascii="宋体" w:hAnsi="宋体"/>
          <w:b/>
          <w:bCs/>
          <w:sz w:val="24"/>
          <w:highlight w:val="none"/>
        </w:rPr>
      </w:pPr>
      <w:r>
        <w:rPr>
          <w:rFonts w:hint="eastAsia" w:ascii="宋体" w:hAnsi="宋体"/>
          <w:b/>
          <w:bCs/>
          <w:sz w:val="24"/>
          <w:highlight w:val="none"/>
        </w:rPr>
        <w:t>18.响应文件的修改和撤回</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18.1响应文件递交后，如果供应商提出书面修改、补充和撤回响应文件要求，在响应截止时间前以书面形式送达采购代理机构；</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18.2供应商修改响应文件的书面材料，须密封送达采购代理机构，修改或补充的内容应按磋商文件要求签署、盖章、密封、标记，并作为响应文件的组成部分；</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18.3撤回响应文件应以书面形式通知采购代理机构；</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18.4在响应截止时间后到磋商文件规定的响应有效期满之间的这段时间内，供应商不得撤回其响应文件；</w:t>
      </w:r>
    </w:p>
    <w:p>
      <w:pPr>
        <w:spacing w:line="360" w:lineRule="auto"/>
        <w:ind w:firstLine="480" w:firstLineChars="200"/>
        <w:rPr>
          <w:rFonts w:ascii="宋体" w:hAnsi="宋体"/>
          <w:sz w:val="24"/>
          <w:highlight w:val="none"/>
        </w:rPr>
      </w:pPr>
      <w:r>
        <w:rPr>
          <w:rFonts w:hint="eastAsia" w:ascii="宋体" w:hAnsi="宋体"/>
          <w:sz w:val="24"/>
          <w:highlight w:val="none"/>
        </w:rPr>
        <w:t>18.5供应商在响应文件递交截止时间后，不得对其响应文件做任何修改。</w:t>
      </w:r>
      <w:bookmarkStart w:id="97" w:name="_Toc11068"/>
    </w:p>
    <w:p>
      <w:pPr>
        <w:spacing w:line="360" w:lineRule="auto"/>
        <w:ind w:firstLine="480" w:firstLineChars="200"/>
        <w:rPr>
          <w:rFonts w:ascii="仿宋_GB2312" w:hAnsi="仿宋" w:eastAsia="仿宋_GB2312" w:cs="仿宋"/>
          <w:sz w:val="24"/>
          <w:highlight w:val="none"/>
        </w:rPr>
      </w:pPr>
    </w:p>
    <w:p>
      <w:pPr>
        <w:spacing w:line="360" w:lineRule="auto"/>
        <w:ind w:firstLine="481"/>
        <w:jc w:val="left"/>
        <w:outlineLvl w:val="1"/>
        <w:rPr>
          <w:rFonts w:ascii="黑体" w:hAnsi="黑体" w:eastAsia="黑体" w:cs="黑体"/>
          <w:b/>
          <w:sz w:val="24"/>
          <w:highlight w:val="none"/>
        </w:rPr>
      </w:pPr>
      <w:bookmarkStart w:id="98" w:name="_Toc23398"/>
      <w:bookmarkStart w:id="99" w:name="_Toc5241"/>
      <w:r>
        <w:rPr>
          <w:rFonts w:hint="eastAsia" w:ascii="黑体" w:hAnsi="黑体" w:eastAsia="黑体" w:cs="黑体"/>
          <w:b/>
          <w:sz w:val="24"/>
          <w:highlight w:val="none"/>
        </w:rPr>
        <w:t>五、</w:t>
      </w:r>
      <w:bookmarkEnd w:id="97"/>
      <w:r>
        <w:rPr>
          <w:rFonts w:hint="eastAsia" w:ascii="黑体" w:hAnsi="黑体" w:eastAsia="黑体" w:cs="黑体"/>
          <w:b/>
          <w:sz w:val="24"/>
          <w:highlight w:val="none"/>
        </w:rPr>
        <w:t>磋商、评审、成交</w:t>
      </w:r>
      <w:bookmarkEnd w:id="98"/>
      <w:bookmarkEnd w:id="99"/>
    </w:p>
    <w:p>
      <w:pPr>
        <w:spacing w:line="360" w:lineRule="auto"/>
        <w:ind w:firstLine="481"/>
        <w:jc w:val="left"/>
        <w:outlineLvl w:val="9"/>
        <w:rPr>
          <w:rFonts w:ascii="宋体" w:hAnsi="宋体"/>
          <w:b/>
          <w:bCs/>
          <w:sz w:val="24"/>
          <w:highlight w:val="none"/>
          <w:u w:val="single"/>
        </w:rPr>
      </w:pPr>
      <w:bookmarkStart w:id="100" w:name="_Toc14491"/>
      <w:bookmarkStart w:id="101" w:name="_Toc10941"/>
      <w:bookmarkStart w:id="102" w:name="_Toc13499"/>
      <w:r>
        <w:rPr>
          <w:rFonts w:hint="eastAsia" w:ascii="宋体" w:hAnsi="宋体"/>
          <w:b/>
          <w:bCs/>
          <w:sz w:val="24"/>
          <w:highlight w:val="none"/>
          <w:u w:val="single"/>
        </w:rPr>
        <w:t>19.见磋商文件第四部分。</w:t>
      </w:r>
      <w:bookmarkEnd w:id="100"/>
      <w:bookmarkEnd w:id="101"/>
      <w:bookmarkEnd w:id="102"/>
    </w:p>
    <w:p>
      <w:pPr>
        <w:spacing w:line="360" w:lineRule="auto"/>
        <w:ind w:firstLine="481"/>
        <w:jc w:val="left"/>
        <w:outlineLvl w:val="9"/>
        <w:rPr>
          <w:rFonts w:ascii="仿宋_GB2312" w:hAnsi="仿宋" w:eastAsia="仿宋_GB2312" w:cs="仿宋"/>
          <w:b/>
          <w:bCs/>
          <w:sz w:val="24"/>
          <w:highlight w:val="none"/>
          <w:u w:val="single"/>
        </w:rPr>
      </w:pPr>
    </w:p>
    <w:p>
      <w:pPr>
        <w:spacing w:line="360" w:lineRule="auto"/>
        <w:ind w:firstLine="481"/>
        <w:jc w:val="left"/>
        <w:outlineLvl w:val="1"/>
        <w:rPr>
          <w:rFonts w:ascii="黑体" w:hAnsi="黑体" w:eastAsia="黑体" w:cs="黑体"/>
          <w:b/>
          <w:sz w:val="24"/>
          <w:highlight w:val="none"/>
        </w:rPr>
      </w:pPr>
      <w:bookmarkStart w:id="103" w:name="_Toc10860"/>
      <w:bookmarkStart w:id="104" w:name="_Toc22007"/>
      <w:r>
        <w:rPr>
          <w:rFonts w:hint="eastAsia" w:ascii="黑体" w:hAnsi="黑体" w:eastAsia="黑体" w:cs="黑体"/>
          <w:b/>
          <w:sz w:val="24"/>
          <w:highlight w:val="none"/>
        </w:rPr>
        <w:t>六、响应纪律要求</w:t>
      </w:r>
      <w:bookmarkEnd w:id="103"/>
      <w:bookmarkEnd w:id="104"/>
    </w:p>
    <w:p>
      <w:pPr>
        <w:spacing w:line="360" w:lineRule="auto"/>
        <w:ind w:firstLine="482" w:firstLineChars="200"/>
        <w:rPr>
          <w:rFonts w:ascii="宋体" w:hAnsi="宋体"/>
          <w:b/>
          <w:bCs/>
          <w:sz w:val="24"/>
          <w:highlight w:val="none"/>
        </w:rPr>
      </w:pPr>
      <w:bookmarkStart w:id="105" w:name="_Toc217446075"/>
      <w:bookmarkStart w:id="106" w:name="_Toc308164816"/>
      <w:r>
        <w:rPr>
          <w:rFonts w:hint="eastAsia" w:ascii="宋体" w:hAnsi="宋体"/>
          <w:b/>
          <w:bCs/>
          <w:sz w:val="24"/>
          <w:highlight w:val="none"/>
        </w:rPr>
        <w:t>20.供应商不得具有的情形</w:t>
      </w:r>
      <w:bookmarkEnd w:id="105"/>
      <w:bookmarkEnd w:id="106"/>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供应商参加本项目响应不得有下列情形：</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20.1提供虚假材料谋取成交；</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20.2采取不正当手段诋毁、排挤其他供应商；</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20.3与采购单位、其他供应商恶意串通；</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20.4成交或者成交后无正当理由拒不与采购人签订政府采购合同；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20.5未按照磋商文件确定的事项签订政府采购合同；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20.6将政府采购合同转包或者违规分包；</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20.7提供假冒伪劣产品；</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20.8擅自变更、中止或者终止政府采购合同；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20.9拒绝有关部门的监督检查或者向监督检查部门提供虚假情况；</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20.10法律法规规定的其他情形。</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供应商有上述情形的，按照规定追究法律责任，具备20.1-20.10条情形之一的，同时将取消成交资格或者认定成交无效。</w:t>
      </w:r>
    </w:p>
    <w:p>
      <w:pPr>
        <w:tabs>
          <w:tab w:val="left" w:pos="525"/>
        </w:tabs>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107" w:name="_Toc9216"/>
      <w:bookmarkStart w:id="108" w:name="_Toc19542"/>
      <w:r>
        <w:rPr>
          <w:rFonts w:hint="eastAsia" w:ascii="黑体" w:hAnsi="黑体" w:eastAsia="黑体" w:cs="黑体"/>
          <w:b/>
          <w:sz w:val="24"/>
          <w:highlight w:val="none"/>
        </w:rPr>
        <w:t>七、询问、质疑、投诉</w:t>
      </w:r>
      <w:bookmarkEnd w:id="107"/>
      <w:bookmarkEnd w:id="108"/>
    </w:p>
    <w:p>
      <w:pPr>
        <w:spacing w:line="360" w:lineRule="auto"/>
        <w:ind w:firstLine="481"/>
        <w:outlineLvl w:val="9"/>
        <w:rPr>
          <w:rFonts w:ascii="宋体" w:hAnsi="宋体"/>
          <w:b/>
          <w:bCs/>
          <w:sz w:val="24"/>
          <w:highlight w:val="none"/>
        </w:rPr>
      </w:pPr>
      <w:bookmarkStart w:id="109" w:name="_Toc5895"/>
      <w:bookmarkStart w:id="110" w:name="_Toc21371"/>
      <w:bookmarkStart w:id="111" w:name="_Toc1395"/>
      <w:bookmarkStart w:id="112" w:name="_Toc7574"/>
      <w:r>
        <w:rPr>
          <w:rFonts w:hint="eastAsia" w:ascii="宋体" w:hAnsi="宋体"/>
          <w:b/>
          <w:bCs/>
          <w:sz w:val="24"/>
          <w:highlight w:val="none"/>
        </w:rPr>
        <w:t>21.询问</w:t>
      </w:r>
      <w:bookmarkEnd w:id="109"/>
      <w:bookmarkEnd w:id="110"/>
      <w:bookmarkEnd w:id="111"/>
      <w:bookmarkEnd w:id="112"/>
    </w:p>
    <w:p>
      <w:pPr>
        <w:spacing w:line="360" w:lineRule="auto"/>
        <w:ind w:firstLine="480" w:firstLineChars="200"/>
        <w:rPr>
          <w:rFonts w:ascii="宋体" w:hAnsi="宋体"/>
          <w:sz w:val="24"/>
          <w:highlight w:val="none"/>
        </w:rPr>
      </w:pPr>
      <w:r>
        <w:rPr>
          <w:rFonts w:hint="eastAsia" w:ascii="宋体" w:hAnsi="宋体"/>
          <w:sz w:val="24"/>
          <w:highlight w:val="none"/>
        </w:rPr>
        <w:t>21.1供应商对政府采购活动事项（磋商文件、采购过程和成交结果）有疑问的，可以向采购人或采购代理机构提出询问；</w:t>
      </w:r>
    </w:p>
    <w:p>
      <w:pPr>
        <w:spacing w:line="360" w:lineRule="auto"/>
        <w:ind w:firstLine="480" w:firstLineChars="200"/>
        <w:rPr>
          <w:rFonts w:ascii="宋体" w:hAnsi="宋体"/>
          <w:sz w:val="24"/>
          <w:highlight w:val="none"/>
        </w:rPr>
      </w:pPr>
      <w:r>
        <w:rPr>
          <w:rFonts w:hint="eastAsia" w:ascii="宋体" w:hAnsi="宋体"/>
          <w:sz w:val="24"/>
          <w:highlight w:val="none"/>
        </w:rPr>
        <w:t>如果供应商向采购代理机构提出的询问超出采购人对采购代理机构委托授权范围的，采购代理机构将告知供应商向采购人提出。</w:t>
      </w:r>
    </w:p>
    <w:p>
      <w:pPr>
        <w:spacing w:line="360" w:lineRule="auto"/>
        <w:ind w:firstLine="480" w:firstLineChars="200"/>
        <w:rPr>
          <w:rFonts w:ascii="宋体" w:hAnsi="宋体"/>
          <w:sz w:val="24"/>
          <w:highlight w:val="none"/>
        </w:rPr>
      </w:pPr>
      <w:r>
        <w:rPr>
          <w:rFonts w:hint="eastAsia" w:ascii="宋体" w:hAnsi="宋体"/>
          <w:sz w:val="24"/>
          <w:highlight w:val="none"/>
        </w:rPr>
        <w:t>21.2询问可以口头方式提出，也可以书面方式提出，书面方式包括但不限于传真、信函、电子邮件；</w:t>
      </w:r>
    </w:p>
    <w:p>
      <w:pPr>
        <w:spacing w:line="360" w:lineRule="auto"/>
        <w:ind w:firstLine="480" w:firstLineChars="200"/>
        <w:rPr>
          <w:rFonts w:ascii="宋体" w:hAnsi="宋体"/>
          <w:sz w:val="24"/>
          <w:highlight w:val="none"/>
        </w:rPr>
      </w:pPr>
      <w:r>
        <w:rPr>
          <w:rFonts w:hint="eastAsia" w:ascii="宋体" w:hAnsi="宋体"/>
          <w:sz w:val="24"/>
          <w:highlight w:val="none"/>
        </w:rPr>
        <w:t>联系方式见《</w:t>
      </w:r>
      <w:r>
        <w:rPr>
          <w:rFonts w:hint="eastAsia" w:ascii="宋体" w:hAnsi="宋体"/>
          <w:sz w:val="24"/>
          <w:highlight w:val="none"/>
          <w:lang w:eastAsia="zh-CN"/>
        </w:rPr>
        <w:t>磋商邀请函</w:t>
      </w:r>
      <w:r>
        <w:rPr>
          <w:rFonts w:hint="eastAsia" w:ascii="宋体" w:hAnsi="宋体"/>
          <w:sz w:val="24"/>
          <w:highlight w:val="none"/>
        </w:rPr>
        <w:t>》中“采购人、采购代理机构的名称、地址和联系方式”。</w:t>
      </w:r>
    </w:p>
    <w:p>
      <w:pPr>
        <w:spacing w:line="360" w:lineRule="auto"/>
        <w:ind w:firstLine="480" w:firstLineChars="200"/>
        <w:rPr>
          <w:rFonts w:ascii="宋体" w:hAnsi="宋体"/>
          <w:sz w:val="24"/>
          <w:highlight w:val="none"/>
        </w:rPr>
      </w:pPr>
      <w:r>
        <w:rPr>
          <w:rFonts w:hint="eastAsia" w:ascii="宋体" w:hAnsi="宋体"/>
          <w:sz w:val="24"/>
          <w:highlight w:val="none"/>
        </w:rPr>
        <w:t>21.3采购代理机构或采购人将在三个工作日内对供应商依法提出的询问作出答复，但答复的内容不涉及商业秘密。</w:t>
      </w:r>
    </w:p>
    <w:p>
      <w:pPr>
        <w:spacing w:line="360" w:lineRule="auto"/>
        <w:ind w:firstLine="482" w:firstLineChars="200"/>
        <w:rPr>
          <w:rFonts w:ascii="宋体" w:hAnsi="宋体"/>
          <w:b/>
          <w:bCs/>
          <w:sz w:val="24"/>
          <w:highlight w:val="none"/>
        </w:rPr>
      </w:pPr>
      <w:r>
        <w:rPr>
          <w:rFonts w:hint="eastAsia" w:ascii="宋体" w:hAnsi="宋体"/>
          <w:b/>
          <w:bCs/>
          <w:sz w:val="24"/>
          <w:highlight w:val="none"/>
        </w:rPr>
        <w:t>22.质疑</w:t>
      </w:r>
    </w:p>
    <w:p>
      <w:pPr>
        <w:spacing w:line="360" w:lineRule="auto"/>
        <w:ind w:firstLine="480" w:firstLineChars="200"/>
        <w:rPr>
          <w:rFonts w:ascii="宋体" w:hAnsi="宋体"/>
          <w:sz w:val="24"/>
          <w:highlight w:val="none"/>
        </w:rPr>
      </w:pPr>
      <w:r>
        <w:rPr>
          <w:rFonts w:hint="eastAsia" w:ascii="宋体" w:hAnsi="宋体"/>
          <w:sz w:val="24"/>
          <w:highlight w:val="none"/>
        </w:rPr>
        <w:t>22.1供应商认为政府采购活动事项（磋商文件、采购过程和成交结果）使自身的合法权益受到损害，可以在法定期限内，以书面形式向采购代理机构或采购人提出质疑；</w:t>
      </w:r>
    </w:p>
    <w:p>
      <w:pPr>
        <w:spacing w:line="360" w:lineRule="auto"/>
        <w:ind w:firstLine="480" w:firstLineChars="200"/>
        <w:rPr>
          <w:rFonts w:ascii="宋体" w:hAnsi="宋体"/>
          <w:sz w:val="24"/>
          <w:highlight w:val="none"/>
        </w:rPr>
      </w:pPr>
      <w:r>
        <w:rPr>
          <w:rFonts w:hint="eastAsia" w:ascii="宋体" w:hAnsi="宋体"/>
          <w:sz w:val="24"/>
          <w:highlight w:val="none"/>
        </w:rPr>
        <w:t>如果供应商向采购代理机构提出的质疑超出采购人对采购代理机构委托授权范围的，采购代理机构将告知供应商向采购人提出。</w:t>
      </w:r>
    </w:p>
    <w:p>
      <w:pPr>
        <w:spacing w:line="360" w:lineRule="auto"/>
        <w:ind w:firstLine="480" w:firstLineChars="200"/>
        <w:rPr>
          <w:rFonts w:ascii="宋体" w:hAnsi="宋体"/>
          <w:sz w:val="24"/>
          <w:highlight w:val="none"/>
        </w:rPr>
      </w:pPr>
      <w:r>
        <w:rPr>
          <w:rFonts w:hint="eastAsia" w:ascii="宋体" w:hAnsi="宋体"/>
          <w:sz w:val="24"/>
          <w:highlight w:val="none"/>
        </w:rPr>
        <w:t xml:space="preserve">22.2质疑书应当有明确的请求和必要的证明材料，捏造事实、提供虚假材料或者以非法手段取得证明材料不能作为质疑、投诉的证明材料(依据《中华人民共和国政府采购法实施条例》第五十七条）； </w:t>
      </w:r>
    </w:p>
    <w:p>
      <w:pPr>
        <w:spacing w:line="360" w:lineRule="auto"/>
        <w:ind w:firstLine="480" w:firstLineChars="200"/>
        <w:rPr>
          <w:rFonts w:ascii="宋体" w:hAnsi="宋体"/>
          <w:sz w:val="24"/>
          <w:highlight w:val="none"/>
        </w:rPr>
      </w:pPr>
      <w:r>
        <w:rPr>
          <w:rFonts w:hint="eastAsia" w:ascii="宋体" w:hAnsi="宋体"/>
          <w:sz w:val="24"/>
          <w:highlight w:val="none"/>
        </w:rPr>
        <w:t>质疑书应当包括但不限于以下主要内容：被质疑项目名称、项目编号、标段（如果有）、采购公告发布时间、质疑事项、权益受损害的情况说明及受损害的原因、证据材料、法律依据（具体条款）、质疑供应商有效联系方式等。</w:t>
      </w:r>
    </w:p>
    <w:p>
      <w:pPr>
        <w:spacing w:line="360" w:lineRule="auto"/>
        <w:ind w:firstLine="480" w:firstLineChars="200"/>
        <w:rPr>
          <w:rFonts w:hint="eastAsia" w:ascii="宋体" w:hAnsi="宋体"/>
          <w:sz w:val="24"/>
          <w:highlight w:val="none"/>
        </w:rPr>
      </w:pPr>
      <w:r>
        <w:rPr>
          <w:rFonts w:hint="eastAsia" w:ascii="宋体" w:hAnsi="宋体"/>
          <w:sz w:val="24"/>
          <w:highlight w:val="none"/>
        </w:rPr>
        <w:t>22.3</w:t>
      </w:r>
      <w:r>
        <w:rPr>
          <w:rFonts w:hint="eastAsia" w:ascii="宋体" w:hAnsi="宋体"/>
          <w:sz w:val="24"/>
          <w:highlight w:val="none"/>
          <w:lang w:val="en-US" w:eastAsia="zh-CN"/>
        </w:rPr>
        <w:t>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pPr>
        <w:spacing w:line="360" w:lineRule="auto"/>
        <w:ind w:firstLine="480" w:firstLineChars="200"/>
        <w:rPr>
          <w:rFonts w:ascii="宋体" w:hAnsi="宋体"/>
          <w:sz w:val="24"/>
          <w:highlight w:val="none"/>
        </w:rPr>
      </w:pPr>
      <w:r>
        <w:rPr>
          <w:rFonts w:hint="eastAsia" w:ascii="宋体" w:hAnsi="宋体"/>
          <w:sz w:val="24"/>
          <w:highlight w:val="none"/>
        </w:rPr>
        <w:t>22.4有下列情形之一的，属于无效质疑，采购代理机构和采购人可不予受理：</w:t>
      </w:r>
    </w:p>
    <w:p>
      <w:pPr>
        <w:spacing w:line="360" w:lineRule="auto"/>
        <w:ind w:firstLine="480" w:firstLineChars="200"/>
        <w:rPr>
          <w:rFonts w:ascii="宋体" w:hAnsi="宋体"/>
          <w:sz w:val="24"/>
          <w:highlight w:val="none"/>
        </w:rPr>
      </w:pPr>
      <w:r>
        <w:rPr>
          <w:rFonts w:hint="eastAsia" w:ascii="宋体" w:hAnsi="宋体"/>
          <w:sz w:val="24"/>
          <w:highlight w:val="none"/>
        </w:rPr>
        <w:t>22.4.1质疑供应商不是参与本次政府采购项目的供应商或潜在供应商；</w:t>
      </w:r>
    </w:p>
    <w:p>
      <w:pPr>
        <w:spacing w:line="360" w:lineRule="auto"/>
        <w:ind w:firstLine="480" w:firstLineChars="200"/>
        <w:rPr>
          <w:rFonts w:ascii="宋体" w:hAnsi="宋体"/>
          <w:sz w:val="24"/>
          <w:highlight w:val="none"/>
        </w:rPr>
      </w:pPr>
      <w:r>
        <w:rPr>
          <w:rFonts w:hint="eastAsia" w:ascii="宋体" w:hAnsi="宋体"/>
          <w:sz w:val="24"/>
          <w:highlight w:val="none"/>
        </w:rPr>
        <w:t>22.4.2质疑供应商与质疑事项不存在利害关系的；</w:t>
      </w:r>
    </w:p>
    <w:p>
      <w:pPr>
        <w:spacing w:line="360" w:lineRule="auto"/>
        <w:ind w:firstLine="480" w:firstLineChars="200"/>
        <w:rPr>
          <w:rFonts w:ascii="宋体" w:hAnsi="宋体"/>
          <w:sz w:val="24"/>
          <w:highlight w:val="none"/>
        </w:rPr>
      </w:pPr>
      <w:r>
        <w:rPr>
          <w:rFonts w:hint="eastAsia" w:ascii="宋体" w:hAnsi="宋体"/>
          <w:sz w:val="24"/>
          <w:highlight w:val="none"/>
        </w:rPr>
        <w:t>22.4.3未在法定期限内提出质疑的；</w:t>
      </w:r>
    </w:p>
    <w:p>
      <w:pPr>
        <w:spacing w:line="360" w:lineRule="auto"/>
        <w:ind w:firstLine="480" w:firstLineChars="200"/>
        <w:rPr>
          <w:rFonts w:ascii="宋体" w:hAnsi="宋体"/>
          <w:sz w:val="24"/>
          <w:highlight w:val="none"/>
        </w:rPr>
      </w:pPr>
      <w:r>
        <w:rPr>
          <w:rFonts w:hint="eastAsia" w:ascii="宋体" w:hAnsi="宋体"/>
          <w:sz w:val="24"/>
          <w:highlight w:val="none"/>
        </w:rPr>
        <w:t>22.4.4质疑未以书面形式提出，或质疑书主要内容构成不完整的；</w:t>
      </w:r>
    </w:p>
    <w:p>
      <w:pPr>
        <w:spacing w:line="360" w:lineRule="auto"/>
        <w:ind w:firstLine="480" w:firstLineChars="200"/>
        <w:rPr>
          <w:rFonts w:ascii="宋体" w:hAnsi="宋体"/>
          <w:sz w:val="24"/>
          <w:highlight w:val="none"/>
        </w:rPr>
      </w:pPr>
      <w:r>
        <w:rPr>
          <w:rFonts w:hint="eastAsia" w:ascii="宋体" w:hAnsi="宋体"/>
          <w:sz w:val="24"/>
          <w:highlight w:val="none"/>
        </w:rPr>
        <w:t>22.4.5质疑书没有合法有效的签字、盖章或授权的；</w:t>
      </w:r>
    </w:p>
    <w:p>
      <w:pPr>
        <w:spacing w:line="360" w:lineRule="auto"/>
        <w:ind w:firstLine="480" w:firstLineChars="200"/>
        <w:rPr>
          <w:rFonts w:ascii="宋体" w:hAnsi="宋体"/>
          <w:sz w:val="24"/>
          <w:highlight w:val="none"/>
        </w:rPr>
      </w:pPr>
      <w:r>
        <w:rPr>
          <w:rFonts w:hint="eastAsia" w:ascii="宋体" w:hAnsi="宋体"/>
          <w:sz w:val="24"/>
          <w:highlight w:val="none"/>
        </w:rPr>
        <w:t>22.4.6以非法手段取得证据、材料的；</w:t>
      </w:r>
    </w:p>
    <w:p>
      <w:pPr>
        <w:spacing w:line="360" w:lineRule="auto"/>
        <w:ind w:firstLine="480" w:firstLineChars="200"/>
        <w:rPr>
          <w:rFonts w:ascii="宋体" w:hAnsi="宋体"/>
          <w:sz w:val="24"/>
          <w:highlight w:val="none"/>
        </w:rPr>
      </w:pPr>
      <w:r>
        <w:rPr>
          <w:rFonts w:hint="eastAsia" w:ascii="宋体" w:hAnsi="宋体"/>
          <w:sz w:val="24"/>
          <w:highlight w:val="none"/>
        </w:rPr>
        <w:t>22.4.7质疑答复后，同一质疑供应商就同一事项再次提出质疑的；</w:t>
      </w:r>
    </w:p>
    <w:p>
      <w:pPr>
        <w:spacing w:line="360" w:lineRule="auto"/>
        <w:ind w:firstLine="480" w:firstLineChars="200"/>
        <w:rPr>
          <w:rFonts w:ascii="宋体" w:hAnsi="宋体"/>
          <w:sz w:val="24"/>
          <w:highlight w:val="none"/>
        </w:rPr>
      </w:pPr>
      <w:r>
        <w:rPr>
          <w:rFonts w:hint="eastAsia" w:ascii="宋体" w:hAnsi="宋体"/>
          <w:sz w:val="24"/>
          <w:highlight w:val="none"/>
        </w:rPr>
        <w:t>22.4.8不符合法律、法规、规章和政府采购监管机构规定的其他条件的。</w:t>
      </w:r>
    </w:p>
    <w:p>
      <w:pPr>
        <w:spacing w:line="360" w:lineRule="auto"/>
        <w:ind w:firstLine="480" w:firstLineChars="200"/>
        <w:rPr>
          <w:rFonts w:ascii="宋体" w:hAnsi="宋体"/>
          <w:sz w:val="24"/>
          <w:highlight w:val="none"/>
        </w:rPr>
      </w:pPr>
      <w:r>
        <w:rPr>
          <w:rFonts w:hint="eastAsia" w:ascii="宋体" w:hAnsi="宋体"/>
          <w:sz w:val="24"/>
          <w:highlight w:val="none"/>
        </w:rPr>
        <w:t>22.5采购人或采购代理机构将在收到质疑供应商提交的质疑书二个工作日内就质疑书是否有效做出答复。</w:t>
      </w:r>
    </w:p>
    <w:p>
      <w:pPr>
        <w:spacing w:line="360" w:lineRule="auto"/>
        <w:ind w:firstLine="480" w:firstLineChars="200"/>
        <w:rPr>
          <w:rFonts w:hint="eastAsia" w:ascii="宋体" w:hAnsi="宋体"/>
          <w:sz w:val="24"/>
          <w:highlight w:val="none"/>
        </w:rPr>
      </w:pPr>
      <w:r>
        <w:rPr>
          <w:rFonts w:hint="eastAsia" w:ascii="宋体" w:hAnsi="宋体"/>
          <w:sz w:val="24"/>
          <w:highlight w:val="none"/>
        </w:rPr>
        <w:t>22.6</w:t>
      </w:r>
      <w:r>
        <w:rPr>
          <w:rFonts w:hint="eastAsia" w:ascii="宋体" w:hAnsi="宋体"/>
          <w:sz w:val="24"/>
          <w:highlight w:val="none"/>
          <w:lang w:val="en-US" w:eastAsia="zh-CN"/>
        </w:rPr>
        <w:t>在法定质疑期内，针对同一采购程序环节的质疑应当一次性提出。采购代理机构或采购人将在收到有效书面质疑后7个工作日内做出答复，并以书面形式通知质疑人和其他有关供应商。</w:t>
      </w:r>
    </w:p>
    <w:p>
      <w:pPr>
        <w:spacing w:line="360" w:lineRule="auto"/>
        <w:ind w:firstLine="480" w:firstLineChars="200"/>
        <w:rPr>
          <w:rFonts w:ascii="宋体" w:hAnsi="宋体"/>
          <w:sz w:val="24"/>
          <w:highlight w:val="none"/>
        </w:rPr>
      </w:pPr>
      <w:r>
        <w:rPr>
          <w:rFonts w:ascii="宋体" w:hAnsi="宋体"/>
          <w:sz w:val="24"/>
          <w:highlight w:val="none"/>
        </w:rPr>
        <w:t>22.7</w:t>
      </w:r>
      <w:r>
        <w:rPr>
          <w:rFonts w:hint="eastAsia" w:ascii="宋体" w:hAnsi="宋体"/>
          <w:sz w:val="24"/>
          <w:highlight w:val="none"/>
        </w:rPr>
        <w:t>采购人、采购代理机构不接受信函、电报、电话、传真、电子邮件方式的质疑书，质疑书以送达采购人或采购代理机构处时间为准。</w:t>
      </w:r>
    </w:p>
    <w:p>
      <w:pPr>
        <w:spacing w:line="360" w:lineRule="auto"/>
        <w:ind w:firstLine="482" w:firstLineChars="200"/>
        <w:rPr>
          <w:rFonts w:ascii="宋体" w:hAnsi="宋体"/>
          <w:b/>
          <w:bCs/>
          <w:sz w:val="24"/>
          <w:highlight w:val="none"/>
        </w:rPr>
      </w:pPr>
      <w:r>
        <w:rPr>
          <w:rFonts w:hint="eastAsia" w:ascii="宋体" w:hAnsi="宋体"/>
          <w:b/>
          <w:bCs/>
          <w:sz w:val="24"/>
          <w:highlight w:val="none"/>
        </w:rPr>
        <w:t>23.投诉</w:t>
      </w:r>
    </w:p>
    <w:p>
      <w:pPr>
        <w:spacing w:line="360" w:lineRule="auto"/>
        <w:ind w:firstLine="480" w:firstLineChars="200"/>
        <w:rPr>
          <w:rFonts w:ascii="宋体" w:hAnsi="宋体"/>
          <w:sz w:val="24"/>
          <w:highlight w:val="none"/>
        </w:rPr>
      </w:pPr>
      <w:r>
        <w:rPr>
          <w:rFonts w:hint="eastAsia" w:ascii="宋体" w:hAnsi="宋体"/>
          <w:sz w:val="24"/>
          <w:highlight w:val="none"/>
        </w:rPr>
        <w:t>23.1质疑供应商对采购人、采购代理机构的答复不满意或者采购人、采购代理机构未在规定的时间内作出答复的，可以在答复期满后十五个工作日内向同级政府采购监督管理部门投诉。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80" w:firstLineChars="200"/>
        <w:rPr>
          <w:rFonts w:ascii="宋体" w:cs="Times New Roman"/>
          <w:sz w:val="24"/>
          <w:szCs w:val="24"/>
          <w:highlight w:val="none"/>
        </w:rPr>
      </w:pPr>
      <w:r>
        <w:rPr>
          <w:rFonts w:hint="eastAsia" w:ascii="宋体" w:hAnsi="宋体"/>
          <w:sz w:val="24"/>
          <w:highlight w:val="none"/>
        </w:rPr>
        <w:t>23.2供应商投诉的事项不得超出已质疑事项的范围</w:t>
      </w:r>
      <w:r>
        <w:rPr>
          <w:rFonts w:hint="eastAsia" w:ascii="宋体" w:hAnsi="宋体" w:cs="宋体"/>
          <w:sz w:val="24"/>
          <w:szCs w:val="24"/>
          <w:highlight w:val="none"/>
        </w:rPr>
        <w:t>，但基于质疑答复内容提出的投诉事项除外。</w:t>
      </w:r>
    </w:p>
    <w:p>
      <w:pPr>
        <w:spacing w:line="360" w:lineRule="auto"/>
        <w:ind w:firstLine="480" w:firstLineChars="200"/>
        <w:rPr>
          <w:rFonts w:hint="eastAsia" w:ascii="宋体" w:hAnsi="宋体"/>
          <w:sz w:val="24"/>
          <w:highlight w:val="none"/>
        </w:rPr>
      </w:pPr>
      <w:r>
        <w:rPr>
          <w:rFonts w:hint="eastAsia" w:ascii="宋体" w:hAnsi="宋体"/>
          <w:b w:val="0"/>
          <w:bCs w:val="0"/>
          <w:sz w:val="24"/>
          <w:highlight w:val="none"/>
          <w:lang w:val="en-US" w:eastAsia="zh-CN"/>
        </w:rPr>
        <w:t>23.3</w:t>
      </w:r>
      <w:r>
        <w:rPr>
          <w:rFonts w:hint="eastAsia" w:ascii="宋体" w:hAnsi="宋体"/>
          <w:b/>
          <w:bCs/>
          <w:sz w:val="24"/>
          <w:highlight w:val="none"/>
          <w:lang w:val="en-US" w:eastAsia="zh-CN"/>
        </w:rPr>
        <w:t>对捏造事实、提供虚假材料进行质疑、投诉的行为予以严肃处理：</w:t>
      </w:r>
      <w:r>
        <w:rPr>
          <w:rFonts w:hint="eastAsia" w:ascii="宋体" w:hAnsi="宋体"/>
          <w:sz w:val="24"/>
          <w:highlight w:val="none"/>
          <w:lang w:val="en-US" w:eastAsia="zh-CN"/>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ascii="宋体" w:hAnsi="宋体"/>
          <w:b/>
          <w:bCs/>
          <w:sz w:val="24"/>
          <w:highlight w:val="none"/>
          <w:lang w:val="en-US" w:eastAsia="zh-CN"/>
        </w:rPr>
        <w:t>投诉人在全国范围内十二个月内三次以上投诉查无实据的，由财政部门列入不良行为记录名单。</w:t>
      </w:r>
      <w:r>
        <w:rPr>
          <w:rFonts w:hint="eastAsia" w:ascii="宋体" w:hAnsi="宋体"/>
          <w:sz w:val="24"/>
          <w:highlight w:val="none"/>
          <w:lang w:val="en-US" w:eastAsia="zh-CN"/>
        </w:rPr>
        <w:t>对于捏造事实、提供虚假材料或者以非法手段取得证明材料进行投诉的，财政部门应当予以驳回，并将其列入不良行为记录名单，禁止其一至三年内参加政府采购活动。</w:t>
      </w:r>
    </w:p>
    <w:p>
      <w:pPr>
        <w:spacing w:line="360" w:lineRule="auto"/>
        <w:ind w:firstLine="480" w:firstLineChars="200"/>
        <w:rPr>
          <w:rFonts w:ascii="宋体" w:cs="Times New Roman"/>
          <w:sz w:val="24"/>
          <w:szCs w:val="24"/>
          <w:highlight w:val="none"/>
        </w:rPr>
      </w:pPr>
      <w:r>
        <w:rPr>
          <w:rFonts w:hint="eastAsia" w:ascii="宋体" w:hAnsi="宋体"/>
          <w:sz w:val="24"/>
          <w:highlight w:val="none"/>
          <w:lang w:val="en-US" w:eastAsia="zh-CN"/>
        </w:rPr>
        <w:t>23.4</w:t>
      </w:r>
      <w:r>
        <w:rPr>
          <w:rFonts w:hint="eastAsia" w:ascii="宋体" w:hAnsi="宋体"/>
          <w:b/>
          <w:bCs/>
          <w:sz w:val="24"/>
          <w:highlight w:val="none"/>
          <w:lang w:val="en-US" w:eastAsia="zh-CN"/>
        </w:rPr>
        <w:t>对捏造事实诬告陷害他人、诽谤他人的法律适用：</w:t>
      </w:r>
      <w:r>
        <w:rPr>
          <w:rFonts w:hint="eastAsia" w:ascii="宋体" w:hAnsi="宋体"/>
          <w:sz w:val="24"/>
          <w:highlight w:val="none"/>
          <w:lang w:val="en-US" w:eastAsia="zh-CN"/>
        </w:rPr>
        <w:t>《中华人民共和国刑法》第243条【诬告陷害罪】捏造事实诬告陷害他人，意图使他人受刑事追究，情节严重的，处三年以下有期徒刑、拘役或者管制；造成严重后果的，处三年以上十年以下有期徒刑。《中华人民共和国刑法》第246条【侮辱罪、诽谤罪】以暴力或者其他方法公然侮辱他人或者捏造事实诽谤他人，情节严重的，处三年以下有期徒刑、拘役、管制或者剥夺政治权利。</w:t>
      </w:r>
    </w:p>
    <w:p>
      <w:pPr>
        <w:spacing w:line="360" w:lineRule="auto"/>
        <w:jc w:val="left"/>
        <w:rPr>
          <w:rFonts w:ascii="宋体" w:hAnsi="宋体"/>
          <w:b/>
          <w:sz w:val="24"/>
          <w:highlight w:val="none"/>
        </w:rPr>
      </w:pPr>
      <w:bookmarkStart w:id="113" w:name="_Toc3525"/>
    </w:p>
    <w:p>
      <w:pPr>
        <w:spacing w:line="360" w:lineRule="auto"/>
        <w:ind w:firstLine="481"/>
        <w:jc w:val="left"/>
        <w:outlineLvl w:val="1"/>
        <w:rPr>
          <w:rFonts w:ascii="黑体" w:hAnsi="黑体" w:eastAsia="黑体" w:cs="黑体"/>
          <w:b/>
          <w:sz w:val="24"/>
          <w:highlight w:val="none"/>
        </w:rPr>
      </w:pPr>
      <w:bookmarkStart w:id="114" w:name="_Toc26762"/>
      <w:bookmarkStart w:id="115" w:name="_Toc11965"/>
      <w:r>
        <w:rPr>
          <w:rFonts w:hint="eastAsia" w:ascii="黑体" w:hAnsi="黑体" w:eastAsia="黑体" w:cs="黑体"/>
          <w:b/>
          <w:sz w:val="24"/>
          <w:highlight w:val="none"/>
        </w:rPr>
        <w:t>八、合同</w:t>
      </w:r>
      <w:bookmarkEnd w:id="113"/>
      <w:r>
        <w:rPr>
          <w:rFonts w:hint="eastAsia" w:ascii="黑体" w:hAnsi="黑体" w:eastAsia="黑体" w:cs="黑体"/>
          <w:b/>
          <w:sz w:val="24"/>
          <w:highlight w:val="none"/>
        </w:rPr>
        <w:t>的签订及履行</w:t>
      </w:r>
      <w:bookmarkEnd w:id="114"/>
      <w:bookmarkEnd w:id="115"/>
    </w:p>
    <w:p>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24.签订合同</w:t>
      </w:r>
    </w:p>
    <w:p>
      <w:pPr>
        <w:spacing w:line="360" w:lineRule="auto"/>
        <w:ind w:firstLine="480" w:firstLineChars="200"/>
        <w:rPr>
          <w:rFonts w:hint="eastAsia" w:ascii="宋体" w:hAnsi="宋体"/>
          <w:b/>
          <w:bCs/>
          <w:sz w:val="24"/>
          <w:highlight w:val="none"/>
          <w:u w:val="single"/>
        </w:rPr>
      </w:pPr>
      <w:r>
        <w:rPr>
          <w:rFonts w:hint="eastAsia" w:ascii="宋体" w:hAnsi="宋体"/>
          <w:sz w:val="24"/>
          <w:highlight w:val="none"/>
        </w:rPr>
        <w:t>24.1</w:t>
      </w:r>
      <w:r>
        <w:rPr>
          <w:rFonts w:hint="eastAsia" w:ascii="宋体" w:hAnsi="宋体"/>
          <w:b/>
          <w:bCs/>
          <w:sz w:val="24"/>
          <w:highlight w:val="none"/>
          <w:u w:val="single"/>
        </w:rPr>
        <w:t>在合同签订前，成交供应商须提供营业执照、税务登记证和在响应文件中提供的资质证明文件、业绩合同等主要证明文件的原件给采购人进行核对。如响应文件中复印件与原件不符，采购人有权取消其成交资格。</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hint="eastAsia" w:ascii="宋体" w:hAnsi="宋体"/>
          <w:sz w:val="24"/>
          <w:highlight w:val="none"/>
          <w:lang w:val="en-US" w:eastAsia="zh-CN"/>
        </w:rPr>
        <w:t>2</w:t>
      </w:r>
      <w:r>
        <w:rPr>
          <w:rFonts w:hint="eastAsia" w:ascii="宋体" w:hAnsi="宋体"/>
          <w:sz w:val="24"/>
          <w:highlight w:val="none"/>
        </w:rPr>
        <w:t>采购人与成交供应商自成交通知书发出之日起三十日内，按磋商文件要求和成交供应商响应文件承诺签订政府采购合同，政府采购合同不得超出磋商文件和成交供应商响应文件的范围，也不得再行订立背离合同实质性内容的其他协议。</w:t>
      </w:r>
    </w:p>
    <w:p>
      <w:pPr>
        <w:spacing w:line="360" w:lineRule="auto"/>
        <w:ind w:firstLine="482" w:firstLineChars="200"/>
        <w:rPr>
          <w:rFonts w:ascii="宋体" w:hAnsi="宋体"/>
          <w:b/>
          <w:bCs/>
          <w:sz w:val="24"/>
          <w:highlight w:val="none"/>
        </w:rPr>
      </w:pPr>
      <w:r>
        <w:rPr>
          <w:rFonts w:hint="eastAsia" w:ascii="宋体" w:hAnsi="宋体"/>
          <w:b/>
          <w:bCs/>
          <w:sz w:val="24"/>
          <w:highlight w:val="none"/>
        </w:rPr>
        <w:t>25.合同的履行</w:t>
      </w:r>
    </w:p>
    <w:p>
      <w:pPr>
        <w:spacing w:line="360" w:lineRule="auto"/>
        <w:ind w:firstLine="480" w:firstLineChars="200"/>
        <w:rPr>
          <w:rFonts w:ascii="宋体" w:hAnsi="宋体"/>
          <w:sz w:val="24"/>
          <w:highlight w:val="none"/>
        </w:rPr>
      </w:pPr>
      <w:r>
        <w:rPr>
          <w:rFonts w:hint="eastAsia" w:ascii="宋体" w:hAnsi="宋体"/>
          <w:sz w:val="24"/>
          <w:highlight w:val="none"/>
        </w:rPr>
        <w:t>25.1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firstLineChars="200"/>
        <w:rPr>
          <w:rFonts w:ascii="宋体" w:hAnsi="宋体"/>
          <w:sz w:val="24"/>
          <w:highlight w:val="none"/>
        </w:rPr>
      </w:pPr>
      <w:r>
        <w:rPr>
          <w:rFonts w:hint="eastAsia" w:ascii="宋体" w:hAnsi="宋体"/>
          <w:sz w:val="24"/>
          <w:highlight w:val="none"/>
        </w:rPr>
        <w:t>25.2政府采购合同履行中，采购人需追加与合同标的相同的货物、工程或者服务的，在不改变合同其他条款的前提下，可以与成交供应商签订补充合同，但所</w:t>
      </w:r>
      <w:r>
        <w:rPr>
          <w:rFonts w:hint="eastAsia" w:ascii="宋体" w:hAnsi="宋体"/>
          <w:sz w:val="24"/>
          <w:highlight w:val="none"/>
          <w:lang w:val="en-US" w:eastAsia="zh-CN"/>
        </w:rPr>
        <w:t>有</w:t>
      </w:r>
      <w:r>
        <w:rPr>
          <w:rFonts w:hint="eastAsia" w:ascii="宋体" w:hAnsi="宋体"/>
          <w:sz w:val="24"/>
          <w:highlight w:val="none"/>
        </w:rPr>
        <w:t>补充合同的采购金额不得超过原采购金额的10%，签订补充合同的必须按规定备案。</w:t>
      </w:r>
    </w:p>
    <w:p>
      <w:pPr>
        <w:spacing w:line="360" w:lineRule="auto"/>
        <w:ind w:firstLine="480" w:firstLineChars="200"/>
        <w:rPr>
          <w:rFonts w:ascii="宋体" w:hAnsi="宋体"/>
          <w:sz w:val="24"/>
          <w:highlight w:val="none"/>
        </w:rPr>
      </w:pPr>
      <w:r>
        <w:rPr>
          <w:rFonts w:hint="eastAsia" w:ascii="宋体" w:hAnsi="宋体"/>
          <w:sz w:val="24"/>
          <w:highlight w:val="none"/>
        </w:rPr>
        <w:t>25.3根据需要，采购代理机构可会同采购人负责监督、协调和处理履约过程中出现的问题。</w:t>
      </w:r>
    </w:p>
    <w:p>
      <w:pPr>
        <w:spacing w:line="360" w:lineRule="auto"/>
        <w:ind w:firstLine="480" w:firstLineChars="200"/>
        <w:rPr>
          <w:rFonts w:ascii="宋体" w:hAnsi="宋体"/>
          <w:sz w:val="24"/>
          <w:highlight w:val="none"/>
        </w:rPr>
      </w:pPr>
      <w:r>
        <w:rPr>
          <w:rFonts w:hint="eastAsia" w:ascii="宋体" w:hAnsi="宋体"/>
          <w:sz w:val="24"/>
          <w:highlight w:val="none"/>
        </w:rPr>
        <w:t>25.4陕西省财政厅政府采购管理处在合同履行期间以及履行期后，可以随时检查项目的执行情况，对采购标准、采购内容进行调查核实，并对发现的问题进行处理。</w:t>
      </w:r>
    </w:p>
    <w:p>
      <w:pPr>
        <w:spacing w:line="360" w:lineRule="auto"/>
        <w:jc w:val="center"/>
        <w:rPr>
          <w:rFonts w:ascii="宋体" w:hAnsi="宋体"/>
          <w:b/>
          <w:sz w:val="24"/>
          <w:highlight w:val="none"/>
        </w:rPr>
      </w:pPr>
      <w:bookmarkStart w:id="116" w:name="_Toc30703"/>
    </w:p>
    <w:p>
      <w:pPr>
        <w:spacing w:line="360" w:lineRule="auto"/>
        <w:ind w:firstLine="481"/>
        <w:jc w:val="left"/>
        <w:outlineLvl w:val="1"/>
        <w:rPr>
          <w:rFonts w:ascii="黑体" w:hAnsi="黑体" w:eastAsia="黑体" w:cs="黑体"/>
          <w:b/>
          <w:sz w:val="24"/>
          <w:highlight w:val="none"/>
        </w:rPr>
      </w:pPr>
      <w:bookmarkStart w:id="117" w:name="_Toc7277"/>
      <w:bookmarkStart w:id="118" w:name="_Toc24941"/>
      <w:r>
        <w:rPr>
          <w:rFonts w:hint="eastAsia" w:ascii="黑体" w:hAnsi="黑体" w:eastAsia="黑体" w:cs="黑体"/>
          <w:b/>
          <w:sz w:val="24"/>
          <w:highlight w:val="none"/>
        </w:rPr>
        <w:t>九、采购代理服务费</w:t>
      </w:r>
      <w:bookmarkEnd w:id="116"/>
      <w:bookmarkEnd w:id="117"/>
      <w:bookmarkEnd w:id="118"/>
    </w:p>
    <w:p>
      <w:pPr>
        <w:spacing w:line="360" w:lineRule="auto"/>
        <w:ind w:firstLine="482" w:firstLineChars="200"/>
        <w:rPr>
          <w:rFonts w:ascii="宋体" w:cs="Times New Roman"/>
          <w:b/>
          <w:bCs/>
          <w:sz w:val="24"/>
          <w:szCs w:val="24"/>
          <w:highlight w:val="none"/>
        </w:rPr>
      </w:pPr>
      <w:bookmarkStart w:id="119" w:name="_Toc11215"/>
      <w:r>
        <w:rPr>
          <w:rFonts w:ascii="宋体" w:hAnsi="宋体" w:cs="宋体"/>
          <w:b/>
          <w:bCs/>
          <w:sz w:val="24"/>
          <w:szCs w:val="24"/>
          <w:highlight w:val="none"/>
        </w:rPr>
        <w:t>26.</w:t>
      </w:r>
      <w:r>
        <w:rPr>
          <w:rFonts w:hint="eastAsia" w:ascii="宋体" w:hAnsi="宋体" w:cs="宋体"/>
          <w:b/>
          <w:bCs/>
          <w:sz w:val="24"/>
          <w:szCs w:val="24"/>
          <w:highlight w:val="none"/>
        </w:rPr>
        <w:t>采购代理服务费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26.1</w:t>
      </w:r>
      <w:r>
        <w:rPr>
          <w:rFonts w:hint="eastAsia" w:ascii="宋体" w:hAnsi="宋体" w:cs="宋体"/>
          <w:sz w:val="24"/>
          <w:szCs w:val="24"/>
          <w:highlight w:val="none"/>
        </w:rPr>
        <w:t>采购代理服务费按约定由</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供应商支付，采购代理服务费不在</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报价中单列。</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26.2</w:t>
      </w:r>
      <w:r>
        <w:rPr>
          <w:rFonts w:hint="eastAsia" w:ascii="宋体" w:hAnsi="宋体" w:cs="宋体"/>
          <w:sz w:val="24"/>
          <w:szCs w:val="24"/>
          <w:highlight w:val="none"/>
        </w:rPr>
        <w:t>采购代理服务费按以下标准计取：</w:t>
      </w:r>
    </w:p>
    <w:tbl>
      <w:tblPr>
        <w:tblStyle w:val="20"/>
        <w:tblW w:w="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cs="Times New Roman"/>
                <w:highlight w:val="none"/>
              </w:rPr>
            </w:pPr>
            <w:r>
              <w:rPr>
                <w:rFonts w:hint="eastAsia" w:ascii="宋体" w:hAnsi="宋体" w:cs="宋体"/>
                <w:highlight w:val="none"/>
                <w:lang w:val="en-US" w:eastAsia="zh-CN"/>
              </w:rPr>
              <w:t>成交</w:t>
            </w:r>
            <w:r>
              <w:rPr>
                <w:rFonts w:hint="eastAsia" w:ascii="宋体" w:hAnsi="宋体" w:cs="宋体"/>
                <w:highlight w:val="none"/>
              </w:rPr>
              <w:t>金额（万元）</w:t>
            </w:r>
          </w:p>
        </w:tc>
        <w:tc>
          <w:tcPr>
            <w:tcW w:w="1883" w:type="dxa"/>
            <w:noWrap w:val="0"/>
            <w:vAlign w:val="center"/>
          </w:tcPr>
          <w:p>
            <w:pPr>
              <w:tabs>
                <w:tab w:val="left" w:pos="547"/>
              </w:tabs>
              <w:spacing w:line="360" w:lineRule="auto"/>
              <w:jc w:val="center"/>
              <w:rPr>
                <w:rFonts w:ascii="宋体" w:cs="Times New Roman"/>
                <w:highlight w:val="none"/>
              </w:rPr>
            </w:pPr>
            <w:r>
              <w:rPr>
                <w:rFonts w:hint="eastAsia" w:ascii="宋体" w:hAnsi="宋体" w:cs="宋体"/>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cs="Times New Roman"/>
                <w:highlight w:val="none"/>
              </w:rPr>
            </w:pPr>
            <w:r>
              <w:rPr>
                <w:rFonts w:ascii="宋体" w:hAnsi="宋体" w:cs="宋体"/>
                <w:highlight w:val="none"/>
              </w:rPr>
              <w:t>100</w:t>
            </w:r>
            <w:r>
              <w:rPr>
                <w:rFonts w:hint="eastAsia" w:ascii="宋体" w:hAnsi="宋体" w:cs="宋体"/>
                <w:highlight w:val="none"/>
              </w:rPr>
              <w:t>以下</w:t>
            </w:r>
          </w:p>
        </w:tc>
        <w:tc>
          <w:tcPr>
            <w:tcW w:w="1883" w:type="dxa"/>
            <w:noWrap w:val="0"/>
            <w:vAlign w:val="center"/>
          </w:tcPr>
          <w:p>
            <w:pPr>
              <w:tabs>
                <w:tab w:val="left" w:pos="547"/>
              </w:tabs>
              <w:spacing w:line="360" w:lineRule="auto"/>
              <w:jc w:val="center"/>
              <w:rPr>
                <w:rFonts w:ascii="宋体" w:hAnsi="宋体" w:cs="宋体"/>
                <w:highlight w:val="none"/>
              </w:rPr>
            </w:pPr>
            <w:r>
              <w:rPr>
                <w:rFonts w:ascii="宋体" w:hAnsi="宋体" w:cs="宋体"/>
                <w:highlight w:val="none"/>
              </w:rPr>
              <w:t>1.5%</w:t>
            </w:r>
          </w:p>
        </w:tc>
      </w:tr>
    </w:tbl>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注：采购代理服务费收费按差额定率累进法计算。</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26.3</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供应商在取得</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通知书前应向采购代理机构缴付采购代理服务费（以到达采购代理机构开户银行帐户为准），采购代理服务费以电汇或现金形式缴纳。</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26.4</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供应商如未按规定办理，采购代理机构将没收其保证金，以弥补采购代理机构的损失。</w:t>
      </w:r>
    </w:p>
    <w:p>
      <w:pPr>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120" w:name="_Toc5101"/>
      <w:bookmarkStart w:id="121" w:name="_Toc30819"/>
      <w:r>
        <w:rPr>
          <w:rFonts w:hint="eastAsia" w:ascii="黑体" w:hAnsi="黑体" w:eastAsia="黑体" w:cs="黑体"/>
          <w:b/>
          <w:sz w:val="24"/>
          <w:highlight w:val="none"/>
        </w:rPr>
        <w:t>十、其它事项</w:t>
      </w:r>
      <w:bookmarkEnd w:id="119"/>
      <w:bookmarkEnd w:id="120"/>
      <w:bookmarkEnd w:id="121"/>
    </w:p>
    <w:p>
      <w:pPr>
        <w:spacing w:line="360" w:lineRule="auto"/>
        <w:ind w:firstLine="482" w:firstLineChars="200"/>
        <w:rPr>
          <w:rFonts w:hint="default" w:asciiTheme="minorEastAsia" w:hAnsiTheme="minorEastAsia" w:cstheme="minorEastAsia"/>
          <w:b/>
          <w:bCs/>
          <w:sz w:val="24"/>
          <w:highlight w:val="none"/>
          <w:lang w:val="en-US" w:eastAsia="zh-CN"/>
        </w:rPr>
      </w:pPr>
      <w:r>
        <w:rPr>
          <w:rFonts w:hint="eastAsia" w:asciiTheme="minorEastAsia" w:hAnsiTheme="minorEastAsia" w:cstheme="minorEastAsia"/>
          <w:b/>
          <w:bCs/>
          <w:sz w:val="24"/>
          <w:highlight w:val="none"/>
          <w:lang w:val="en-US" w:eastAsia="zh-CN"/>
        </w:rPr>
        <w:t>27.特殊情形的处理</w:t>
      </w:r>
    </w:p>
    <w:p>
      <w:pPr>
        <w:spacing w:line="360" w:lineRule="auto"/>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采用竞争性谈判、竞争性磋商或询价采购方式的货物、服务项目，参加采购活动或符合采购需求的供应商只有一家，经评审专家审核认为采购文件没有倾向性、歧视性条款，采购人不改变采购需求，拟采用单一来源方式采购的，可以现场自行决定采用，不再进行公示。</w:t>
      </w:r>
    </w:p>
    <w:p>
      <w:pPr>
        <w:spacing w:line="360" w:lineRule="auto"/>
        <w:ind w:firstLine="482" w:firstLineChars="200"/>
        <w:rPr>
          <w:rFonts w:ascii="宋体" w:hAnsi="宋体"/>
          <w:b/>
          <w:bCs/>
          <w:sz w:val="24"/>
          <w:highlight w:val="none"/>
        </w:rPr>
      </w:pPr>
      <w:r>
        <w:rPr>
          <w:rFonts w:hint="eastAsia" w:ascii="宋体" w:hAnsi="宋体"/>
          <w:b/>
          <w:bCs/>
          <w:sz w:val="24"/>
          <w:highlight w:val="none"/>
          <w:lang w:val="en-US" w:eastAsia="zh-CN"/>
        </w:rPr>
        <w:t>28</w:t>
      </w:r>
      <w:r>
        <w:rPr>
          <w:rFonts w:hint="eastAsia" w:ascii="宋体" w:hAnsi="宋体"/>
          <w:b/>
          <w:bCs/>
          <w:sz w:val="24"/>
          <w:highlight w:val="none"/>
        </w:rPr>
        <w:t>.成交供应商确定后，成交供应商无正当理由拖延或拒签合同的，采购单位将有</w:t>
      </w:r>
      <w:r>
        <w:rPr>
          <w:rFonts w:hint="eastAsia" w:ascii="宋体" w:hAnsi="宋体"/>
          <w:b/>
          <w:bCs/>
          <w:sz w:val="24"/>
          <w:highlight w:val="none"/>
          <w:lang w:val="en-US" w:eastAsia="zh-CN"/>
        </w:rPr>
        <w:t>权</w:t>
      </w:r>
      <w:r>
        <w:rPr>
          <w:rFonts w:hint="eastAsia" w:ascii="宋体" w:hAnsi="宋体"/>
          <w:b/>
          <w:bCs/>
          <w:sz w:val="24"/>
          <w:highlight w:val="none"/>
        </w:rPr>
        <w:t>取消该成交决定，没收其磋商保证金，同时报请监督机构予以通报，将其列入不良行为记录名单。在此情况下采购单位可将合同授予排名在成交供应商之后第一位的成交候选人，或重新</w:t>
      </w:r>
      <w:r>
        <w:rPr>
          <w:rFonts w:hint="eastAsia" w:ascii="宋体" w:hAnsi="宋体"/>
          <w:b/>
          <w:bCs/>
          <w:sz w:val="24"/>
          <w:highlight w:val="none"/>
          <w:lang w:val="en-US" w:eastAsia="zh-CN"/>
        </w:rPr>
        <w:t>组织采购</w:t>
      </w:r>
      <w:r>
        <w:rPr>
          <w:rFonts w:hint="eastAsia" w:ascii="宋体" w:hAnsi="宋体"/>
          <w:b/>
          <w:bCs/>
          <w:sz w:val="24"/>
          <w:highlight w:val="none"/>
        </w:rPr>
        <w:t>。</w:t>
      </w:r>
    </w:p>
    <w:p>
      <w:pPr>
        <w:spacing w:line="360" w:lineRule="auto"/>
        <w:ind w:firstLine="482" w:firstLineChars="200"/>
        <w:rPr>
          <w:rFonts w:ascii="宋体" w:hAnsi="宋体"/>
          <w:b/>
          <w:bCs/>
          <w:sz w:val="24"/>
          <w:highlight w:val="none"/>
        </w:rPr>
      </w:pPr>
      <w:r>
        <w:rPr>
          <w:rFonts w:hint="eastAsia" w:ascii="宋体" w:hAnsi="宋体"/>
          <w:b/>
          <w:bCs/>
          <w:sz w:val="24"/>
          <w:highlight w:val="none"/>
          <w:lang w:val="en-US" w:eastAsia="zh-CN"/>
        </w:rPr>
        <w:t>29</w:t>
      </w:r>
      <w:r>
        <w:rPr>
          <w:rFonts w:hint="eastAsia" w:ascii="宋体" w:hAnsi="宋体"/>
          <w:b/>
          <w:bCs/>
          <w:sz w:val="24"/>
          <w:highlight w:val="none"/>
        </w:rPr>
        <w:t>.拒绝商业贿赂</w:t>
      </w:r>
    </w:p>
    <w:p>
      <w:pPr>
        <w:spacing w:line="360" w:lineRule="auto"/>
        <w:ind w:firstLine="480" w:firstLineChars="200"/>
        <w:rPr>
          <w:rFonts w:hint="eastAsia" w:ascii="宋体" w:hAnsi="宋体"/>
          <w:sz w:val="24"/>
          <w:highlight w:val="none"/>
        </w:rPr>
      </w:pPr>
      <w:r>
        <w:rPr>
          <w:rFonts w:hint="eastAsia" w:ascii="宋体" w:hAnsi="宋体"/>
          <w:sz w:val="24"/>
          <w:highlight w:val="none"/>
        </w:rPr>
        <w:t>采购人、采购代理机构、供应商和评审专家在政府采购活动中，都要签订相应的《拒绝商业贿赂承诺书》，并对违反承诺的行为承担全部责任。</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30.信用担保</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30.1</w:t>
      </w:r>
      <w:r>
        <w:rPr>
          <w:rFonts w:ascii="宋体" w:hAnsi="宋体" w:cs="宋体"/>
          <w:sz w:val="24"/>
          <w:szCs w:val="24"/>
          <w:highlight w:val="none"/>
        </w:rPr>
        <w:t>供应商在投标、履约、融资等环节可自愿选择采取信用担保的形式。</w:t>
      </w:r>
    </w:p>
    <w:p>
      <w:pPr>
        <w:spacing w:line="360" w:lineRule="auto"/>
        <w:ind w:firstLine="480" w:firstLineChars="200"/>
        <w:rPr>
          <w:rFonts w:hint="eastAsia" w:ascii="宋体" w:hAnsi="宋体"/>
          <w:sz w:val="24"/>
          <w:highlight w:val="none"/>
        </w:rPr>
      </w:pPr>
      <w:r>
        <w:rPr>
          <w:rFonts w:hint="eastAsia" w:ascii="宋体" w:hAnsi="宋体"/>
          <w:sz w:val="24"/>
          <w:highlight w:val="none"/>
        </w:rPr>
        <w:br w:type="page"/>
      </w:r>
    </w:p>
    <w:p>
      <w:pPr>
        <w:spacing w:line="360" w:lineRule="auto"/>
        <w:ind w:firstLine="643" w:firstLineChars="200"/>
        <w:jc w:val="center"/>
        <w:outlineLvl w:val="0"/>
        <w:rPr>
          <w:rFonts w:hint="eastAsia" w:ascii="宋体" w:hAnsi="宋体"/>
          <w:sz w:val="24"/>
          <w:highlight w:val="none"/>
        </w:rPr>
      </w:pPr>
      <w:bookmarkStart w:id="122" w:name="_Toc27874"/>
      <w:r>
        <w:rPr>
          <w:rFonts w:hint="eastAsia" w:ascii="黑体" w:hAnsi="黑体" w:eastAsia="黑体" w:cs="黑体"/>
          <w:b/>
          <w:bCs/>
          <w:sz w:val="32"/>
          <w:szCs w:val="32"/>
          <w:highlight w:val="none"/>
        </w:rPr>
        <w:t>第四部分 磋商、评审、成交</w:t>
      </w:r>
      <w:bookmarkEnd w:id="122"/>
    </w:p>
    <w:p>
      <w:pPr>
        <w:spacing w:line="360" w:lineRule="auto"/>
        <w:ind w:firstLine="481"/>
        <w:jc w:val="left"/>
        <w:outlineLvl w:val="1"/>
        <w:rPr>
          <w:rFonts w:hint="default" w:ascii="黑体" w:hAnsi="黑体" w:eastAsia="黑体" w:cs="黑体"/>
          <w:b/>
          <w:color w:val="auto"/>
          <w:sz w:val="24"/>
          <w:highlight w:val="none"/>
          <w:lang w:val="en-US" w:eastAsia="zh-CN"/>
        </w:rPr>
      </w:pPr>
      <w:bookmarkStart w:id="123" w:name="_Toc7863"/>
      <w:bookmarkStart w:id="124" w:name="_Toc983"/>
      <w:bookmarkStart w:id="125" w:name="_Toc9954"/>
      <w:bookmarkStart w:id="126" w:name="_Toc30935"/>
      <w:r>
        <w:rPr>
          <w:rFonts w:hint="eastAsia" w:ascii="黑体" w:hAnsi="黑体" w:eastAsia="黑体" w:cs="黑体"/>
          <w:b/>
          <w:color w:val="auto"/>
          <w:sz w:val="24"/>
          <w:highlight w:val="none"/>
        </w:rPr>
        <w:t>一、</w:t>
      </w:r>
      <w:bookmarkEnd w:id="123"/>
      <w:bookmarkEnd w:id="124"/>
      <w:r>
        <w:rPr>
          <w:rFonts w:hint="eastAsia" w:ascii="黑体" w:hAnsi="黑体" w:eastAsia="黑体" w:cs="黑体"/>
          <w:b/>
          <w:color w:val="auto"/>
          <w:sz w:val="24"/>
          <w:highlight w:val="none"/>
          <w:lang w:val="en-US" w:eastAsia="zh-CN"/>
        </w:rPr>
        <w:t>开启响应文件</w:t>
      </w:r>
      <w:bookmarkEnd w:id="125"/>
      <w:bookmarkEnd w:id="126"/>
    </w:p>
    <w:p>
      <w:pPr>
        <w:tabs>
          <w:tab w:val="left" w:pos="525"/>
        </w:tabs>
        <w:spacing w:line="360" w:lineRule="auto"/>
        <w:ind w:firstLine="480" w:firstLineChars="200"/>
        <w:rPr>
          <w:rFonts w:hint="eastAsia" w:ascii="宋体" w:hAnsi="宋体"/>
          <w:color w:val="auto"/>
          <w:sz w:val="24"/>
          <w:highlight w:val="none"/>
        </w:rPr>
      </w:pPr>
      <w:bookmarkStart w:id="127" w:name="_Toc5246"/>
      <w:bookmarkStart w:id="128" w:name="_Toc23278"/>
      <w:r>
        <w:rPr>
          <w:rFonts w:hint="eastAsia" w:ascii="宋体" w:hAnsi="宋体"/>
          <w:color w:val="auto"/>
          <w:sz w:val="24"/>
          <w:highlight w:val="none"/>
          <w:lang w:val="en-US" w:eastAsia="zh-CN"/>
        </w:rPr>
        <w:t>1.采购代理机构组织开标、评审工作，整个过程受政府采购监管机构的监督、管理。</w:t>
      </w:r>
    </w:p>
    <w:p>
      <w:pPr>
        <w:tabs>
          <w:tab w:val="left" w:pos="5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2.采购代理机构在磋商文件规定的时间和地点组织开标。供应商须派法定代表人或被授权代表参加，并签到。法定代表人参加的，须出示本人身份证原件；被授权代表参加的，须出示被授权代表的身份证原件。</w:t>
      </w:r>
    </w:p>
    <w:p>
      <w:pPr>
        <w:tabs>
          <w:tab w:val="left" w:pos="525"/>
        </w:tabs>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lang w:val="en-US" w:eastAsia="zh-CN"/>
        </w:rPr>
        <w:t>参加磋商的供应商不足3家的，不得开启。</w:t>
      </w:r>
    </w:p>
    <w:p>
      <w:pPr>
        <w:tabs>
          <w:tab w:val="left" w:pos="5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3.磋商供应商对开启过程和开启记录有疑义，以及认为采购人、采购代理机构相关工作人员有需要回避情形的，应在开标现场提出询问或回避申请，采购人、采购代理机构应当及时处理。</w:t>
      </w:r>
    </w:p>
    <w:p>
      <w:pPr>
        <w:tabs>
          <w:tab w:val="left" w:pos="5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4.响应供应商未参加开标的，视同认可开标结果。</w:t>
      </w:r>
    </w:p>
    <w:bookmarkEnd w:id="127"/>
    <w:bookmarkEnd w:id="128"/>
    <w:p>
      <w:pPr>
        <w:spacing w:line="360" w:lineRule="auto"/>
        <w:ind w:firstLine="480" w:firstLineChars="200"/>
        <w:rPr>
          <w:rFonts w:hint="eastAsia" w:ascii="宋体" w:hAnsi="宋体"/>
          <w:color w:val="auto"/>
          <w:sz w:val="24"/>
          <w:highlight w:val="none"/>
          <w:lang w:val="en-US" w:eastAsia="zh-CN"/>
        </w:rPr>
      </w:pPr>
      <w:bookmarkStart w:id="129" w:name="_Toc24432"/>
      <w:bookmarkStart w:id="130" w:name="_Toc20713"/>
      <w:r>
        <w:rPr>
          <w:rFonts w:hint="eastAsia" w:ascii="宋体" w:hAnsi="宋体"/>
          <w:color w:val="auto"/>
          <w:sz w:val="24"/>
          <w:highlight w:val="none"/>
          <w:lang w:val="en-US" w:eastAsia="zh-CN"/>
        </w:rPr>
        <w:t>5.资格性审查</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采购人依据法律法规和磋商文件的规定，对响应文件中的供应商资格证明文件进行审查，以确定供应商是否具备磋商资格。</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出现下列情形的，响应文件将被视为无效：</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5.1不具备磋商文件中规定的资格要求的；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5.2未按磋商文件要求提供资格证明文件，或未按磋商文件要求加盖公章的；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5.3采购人审查人员认为供应商的资格证明文件存在疑点，要求供应商现场或通过电子邮件等形式提供更清晰有效的证明文件，供应商不能在规定时限内提供符合磋商文件要求的证明文件的。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资格审查结束后，采购人审查人员应当对审查结果进行签字确认，并告知有关供应商未通过审查的原因。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通过资格审查的供应商不足3家的，不得进行符合性审查，应予以废标。</w:t>
      </w:r>
    </w:p>
    <w:p>
      <w:pPr>
        <w:spacing w:line="360" w:lineRule="auto"/>
        <w:ind w:firstLine="481"/>
        <w:jc w:val="left"/>
        <w:outlineLvl w:val="1"/>
        <w:rPr>
          <w:rFonts w:hint="eastAsia" w:ascii="黑体" w:hAnsi="黑体" w:eastAsia="黑体" w:cs="黑体"/>
          <w:b/>
          <w:color w:val="auto"/>
          <w:sz w:val="24"/>
          <w:highlight w:val="none"/>
          <w:lang w:val="en-US" w:eastAsia="zh-CN"/>
        </w:rPr>
      </w:pPr>
      <w:r>
        <w:rPr>
          <w:rFonts w:hint="eastAsia" w:ascii="黑体" w:hAnsi="黑体" w:eastAsia="黑体" w:cs="黑体"/>
          <w:b/>
          <w:color w:val="auto"/>
          <w:sz w:val="24"/>
          <w:highlight w:val="none"/>
          <w:lang w:val="en-US" w:eastAsia="zh-CN"/>
        </w:rPr>
        <w:t>二、组织评审</w:t>
      </w:r>
      <w:bookmarkEnd w:id="129"/>
      <w:bookmarkEnd w:id="13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1.采购代理机构负责组织评审工作，并履行下列职责：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1.2宣布评审纪律;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1.3公布供应商名单，告知评审专家应当回避的情形;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1.4组织磋商小组推选评审组长，采购人代表不得担任组长;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1.5在评审期间采取必要的通讯管理措施，保证评审活动不受外界干扰;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1.6根据磋商小组的要求介绍政府采购相关政策法规、磋商文件;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1.7维护评审秩序，监督磋商小组依照磋商文件规定的评审程序、方法和标准进行独立评审，及时制止和纠正采购人代表、评审专家的倾向性言论或者违法违规行为;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1.8核对评审结果;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1.9评审工作完成后，按照规定向评审专家支付劳务报酬和异地评审差旅费，不得向评审专家以外的其他人员支付评审劳务报酬;</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1.10处理与评审有关的其他事项。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采购人可以在评审前说明项目背景和采购需求，说明内容不得含有歧视性、倾向性意见，不得超出磋商文件所述范围。说明应当提交书面材料，并随磋商文件一并存档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2.磋商小组负责具体评审事务，并独立履行下列职责：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2.1遵守评审工作纪律，不得泄露评审情况和评审中获悉的商业秘密；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2.2按照客观、公正、审慎的原则，根据磋商文件规定的评审程序、评审方法和评审标准进行独立评审；</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2.3要求供应商对响应文件有关事项做出澄清或者说明；</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2.4与供应商分别进行磋商；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2.5对响应文件进行比较和评价；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2.6确定成交候选人名单，以及根据采购人委托直接确定成交供应商；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2.7配合答复供应商的询问、质疑和投诉等事项，不得泄露评审文件、评审情况和在评审过程中获悉的商业秘密；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2.8向采购人、采购代理机构或者有关部门报告评审中发现的违法行为。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3.成立磋商小组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3.1为了确保磋商工作的公平、公正，依据政府采购法和政府采购相关法规、规章，成立磋商小组，磋商小组由采购人代表和评审专家共3人以上单数组成，其中评审专家人数不少于磋商小组成员总数的三分之二。</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评审专家对本单位的采购项目只能作为采购人代表参与评审。采购代理机构工作人员不得参加由本机构代理的政府采购项目的评审。</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磋商小组成员名单在评审结果公告前应当保密。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3.3评审中因磋商小组成员缺席、回避或者健康等特殊原因导致磋商小组组成不符合规定的，采购代理机构应当依法补足后继续评审。被更换的磋商小组成员所做出的评审意见无效。无法及时补足磋商小组成员的，采购代理机构应当停止评审活动，封存所有响应文件和开标、评审资料，依法重新组建磋商小组进行评审。原磋商小组所做出的评审意见无效。</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采购代理机构应当将变更、重新组建磋商小组的情况予以记录，并随磋商文件一并存档。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4.评审方法：综合评分法</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5.评审程序</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分步评审，每一步评审不符合磋商文件要求者，不得进入下一步评审，全部评审合格的供应商，进入最后的打分，最后按得分由高到低排序，推荐成交候选供应商。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5.1响应文件的符合性审查</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磋商小组依据磋商文件的规定，对响应文件的有效性、完整性和对磋商文件的响应程度进行审查，以确定是否对磋商文件的全部实质性要求做出响应。</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磋商小组要审查每份响应文件是否实质上响应了磋商文件的要求。实质上没有响应磋商文件要求的响应文件作无效响应处理，磋商小组应告知有关供应商未通过审查的原因。供应商不得通过修正或撤销不符之处而使其成为实质上响应。</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5.2响应文件的澄清</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5.2.2依照《中华人民共和国民法典》中的过失责任原则，澄清、说明或更正前磋商小组将按最不利于参与本次磋商供应商的原则对响应文件做出评判。</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5.2.3磋商小组要求供应商澄清、说明或者更正响应文件应当以书面形式做出。供应商应当在规定的澄清时限内以书面形式提交，供应商的澄清、说明或者更正应当由法定代表人或其授权代表签字或者加盖公章。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5.2.4供应商的澄清、说明或者更正不得超出响应文件的范围或者改变响应文件的实质性内容。澄清、说明或者更正的内容将作为合同履行的重要依据。</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除采用竞争性磋商方式采购的政府购买服务项目、市场竞争不充分的科研项目以及需要扶持的科技成果转化项目外，通过符合性审查的供应商不足3家的，不得进行后续磋商活动，应予以废标。</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5.3进行磋商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所有成员应当集中与单一供应商分别进行磋商，并给予所有参加磋商的供应商平等的磋商机会。需要供应商书面答复磋商内容的，供应商应当按照磋商小组的要求，在磋商小组规定的时限内以书面形式答复磋商的内容，并由法定代表人或其授权代表签字或者加盖公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5.4磋商文件的实质性变更</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5.4.1在磋商过程中，磋商小组可以根据磋商文件和磋商情况实质性变动采购需求中的技术、服务要求以及合同基本条款，但不得变动磋商文件中的其他内容。实质性变动的内容，须经采购人代表确认。</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5.4.2对磋商文件作出的实质性变动是磋商文件的有效组成部分，磋商小组将以书面形式通知所有参加磋商的供应商。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5.4.3供应商应当按照磋商文件的变动情况和磋商小组的要求，在磋商小组规定的时限内重新提交响应文件，并由法定代表人或其授权代表签字或者加盖公章。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5.4.4供应商未能在规定的时间内按照磋商小组的要求以书面形式提交实质性变更响应文件的，视作未实质性响应。</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5.5最终报价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5.5.1磋商文件能够详细列明采购标的的技术、服务要求的，磋商结束后，磋商小组应当要求所有实质性响应的供应商在规定时间内提交最终报价，提交最终报价的供应商不得少于3家。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5.5.3最终报价是供应商响应文件的有效组成部分。符合《政府采购竞争性磋商采购方式管理暂行办法》第三条第四项情形的，即市场竞争不充分的科研项目，以及需要扶持的科技成果转化项目，提交最终报价的供应商可以为2家。根据《财政部关于政府采购竞争性磋商采购方式管理暂行办法有关问题的补充通知》（财库〔2015〕124 号），采购的政府购买服务项目（含政府和社会资本合作项目），在采购过程中符合要求的供应商（社会资本）只有2家的，竞争性磋商采购活动可以继续进行。</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5.5.4供应商要以书面形式提交最终报价。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最终报价表应由其法定代表人或授权代表签字。最终报价将作为综合评分法中价格分的计算依据。</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5.5.5已提交响应文件的供应商，在提交最终报价之前，可以根据磋商情况书面申请退出磋商，书面申请应由其法定代表人或授权代表签字。采购代理机构将退还其所交纳的磋商保证金。</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5.5.6磋商小组认为供应商的报价明显低于其他通过符合性和响应性审查供应商的报价，有可能影响工程、货物、服务质量或者不能诚信履约的，要求供应商在规定时间内以书面形式提供说明（必要时提交相关证明材料），供应商不能证明其报价合理性的，按无效响应对待。</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5.6综合比较与评价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5.6.1</w:t>
      </w:r>
      <w:r>
        <w:rPr>
          <w:rFonts w:hint="eastAsia" w:ascii="宋体" w:hAnsi="宋体"/>
          <w:color w:val="auto"/>
          <w:sz w:val="24"/>
          <w:highlight w:val="none"/>
        </w:rPr>
        <w:t>评分总值最高为100分，评分分值分配如下：</w:t>
      </w:r>
    </w:p>
    <w:tbl>
      <w:tblPr>
        <w:tblStyle w:val="20"/>
        <w:tblW w:w="7936"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984"/>
        <w:gridCol w:w="1984"/>
        <w:gridCol w:w="1984"/>
        <w:gridCol w:w="198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评分项目</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技术评分</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商务评分</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价格评分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仿宋_GB2312" w:hAnsi="仿宋" w:eastAsia="仿宋_GB2312" w:cs="仿宋"/>
                <w:color w:val="auto"/>
                <w:sz w:val="24"/>
                <w:highlight w:val="none"/>
              </w:rPr>
            </w:pPr>
            <w:r>
              <w:rPr>
                <w:rFonts w:hint="eastAsia" w:ascii="黑体" w:hAnsi="黑体" w:eastAsia="黑体" w:cs="黑体"/>
                <w:color w:val="auto"/>
                <w:sz w:val="24"/>
                <w:highlight w:val="none"/>
              </w:rPr>
              <w:t>分值</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75</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15</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r>
    </w:tbl>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5.6.2</w:t>
      </w:r>
      <w:r>
        <w:rPr>
          <w:rFonts w:hint="eastAsia" w:ascii="宋体" w:hAnsi="宋体"/>
          <w:color w:val="auto"/>
          <w:sz w:val="24"/>
          <w:highlight w:val="none"/>
        </w:rPr>
        <w:t>技术评审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技术评分项明细及各单项所占分值详见附表《技术评审表》。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5.6.3</w:t>
      </w:r>
      <w:r>
        <w:rPr>
          <w:rFonts w:hint="eastAsia" w:ascii="宋体" w:hAnsi="宋体"/>
          <w:color w:val="auto"/>
          <w:sz w:val="24"/>
          <w:highlight w:val="none"/>
        </w:rPr>
        <w:t>商务评审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商务评分项明细及各单项所占分值详见附表《商务评审表》。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w:t>
      </w:r>
      <w:r>
        <w:rPr>
          <w:rFonts w:hint="eastAsia" w:ascii="宋体" w:hAnsi="宋体"/>
          <w:color w:val="auto"/>
          <w:sz w:val="24"/>
          <w:highlight w:val="none"/>
        </w:rPr>
        <w:t>价格评审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5.6.4.1</w:t>
      </w:r>
      <w:r>
        <w:rPr>
          <w:rFonts w:hint="eastAsia" w:ascii="宋体" w:hAnsi="宋体"/>
          <w:color w:val="auto"/>
          <w:sz w:val="24"/>
          <w:highlight w:val="none"/>
        </w:rPr>
        <w:t>报价错误的处理原则：</w:t>
      </w:r>
    </w:p>
    <w:p>
      <w:pPr>
        <w:numPr>
          <w:ilvl w:val="0"/>
          <w:numId w:val="3"/>
        </w:num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响应文件的</w:t>
      </w:r>
      <w:r>
        <w:rPr>
          <w:rFonts w:hint="eastAsia" w:ascii="宋体" w:hAnsi="宋体"/>
          <w:color w:val="auto"/>
          <w:sz w:val="24"/>
          <w:highlight w:val="none"/>
          <w:lang w:eastAsia="zh-CN"/>
        </w:rPr>
        <w:t>首次报价一览表</w:t>
      </w:r>
      <w:r>
        <w:rPr>
          <w:rFonts w:hint="eastAsia" w:ascii="宋体" w:hAnsi="宋体"/>
          <w:color w:val="auto"/>
          <w:sz w:val="24"/>
          <w:highlight w:val="none"/>
        </w:rPr>
        <w:t>内容与响应文件不一致的，以</w:t>
      </w:r>
      <w:r>
        <w:rPr>
          <w:rFonts w:hint="eastAsia" w:ascii="宋体" w:hAnsi="宋体"/>
          <w:color w:val="auto"/>
          <w:sz w:val="24"/>
          <w:highlight w:val="none"/>
          <w:lang w:eastAsia="zh-CN"/>
        </w:rPr>
        <w:t>首次报价一览表</w:t>
      </w:r>
      <w:r>
        <w:rPr>
          <w:rFonts w:hint="eastAsia" w:ascii="宋体" w:hAnsi="宋体"/>
          <w:color w:val="auto"/>
          <w:sz w:val="24"/>
          <w:highlight w:val="none"/>
        </w:rPr>
        <w:t>为准；大写金额和小写金额不一致的，以大写金额为准；单价金额小数点或者百分比有明显错位的，以</w:t>
      </w:r>
      <w:r>
        <w:rPr>
          <w:rFonts w:hint="eastAsia" w:ascii="宋体" w:hAnsi="宋体"/>
          <w:color w:val="auto"/>
          <w:sz w:val="24"/>
          <w:highlight w:val="none"/>
          <w:lang w:eastAsia="zh-CN"/>
        </w:rPr>
        <w:t>首次报价一览表</w:t>
      </w:r>
      <w:r>
        <w:rPr>
          <w:rFonts w:hint="eastAsia" w:ascii="宋体" w:hAnsi="宋体"/>
          <w:color w:val="auto"/>
          <w:sz w:val="24"/>
          <w:highlight w:val="none"/>
        </w:rPr>
        <w:t>的总价为准，并修改单价；总价金额与按单价计算汇总金额不一致的，以单价计算汇总金额为准；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2）对响应货物、服务、工程的关键、主要内容，供应商报价漏项的，按非实质性响应处理；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3）对响应货物、服务、工程的非关键、非主要内容，供应商报价漏项的，评审时将要求漏项的供应商予以澄清，但该澄清不作为评审的依据；磋商小组将以其它供应商对应项的最高报价补充计入其评审价；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4）对非关键、非主要内容的费用，如果供应商是另行单独报价的，评审时也相应另行计入其评审价；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5）对数量的评审，以《用户需求书》所明示数量为准；《用户需求书》未明示的，由磋商小组以其专业知识判断，必要时参考供应商的澄清文件决定；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6）本条款中多种处理原则所产生的结果不一致的，以最高的修正价作为核实价。</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lang w:val="en-US" w:eastAsia="zh-CN"/>
        </w:rPr>
        <w:t>5.6.4.2</w:t>
      </w:r>
      <w:r>
        <w:rPr>
          <w:rFonts w:hint="eastAsia" w:ascii="宋体" w:hAnsi="宋体" w:cs="宋体"/>
          <w:color w:val="auto"/>
          <w:sz w:val="24"/>
          <w:szCs w:val="24"/>
          <w:highlight w:val="none"/>
        </w:rPr>
        <w:t>对</w:t>
      </w:r>
      <w:r>
        <w:rPr>
          <w:rFonts w:hint="eastAsia" w:ascii="宋体" w:hAnsi="宋体"/>
          <w:sz w:val="24"/>
          <w:highlight w:val="none"/>
          <w:lang w:val="en-US" w:eastAsia="zh-CN"/>
        </w:rPr>
        <w:t>中小微企业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的扶持：</w:t>
      </w:r>
    </w:p>
    <w:p>
      <w:pPr>
        <w:spacing w:line="360" w:lineRule="auto"/>
        <w:ind w:firstLine="480" w:firstLineChars="200"/>
        <w:rPr>
          <w:rFonts w:ascii="宋体" w:cs="Times New Roman"/>
          <w:color w:val="auto"/>
          <w:sz w:val="24"/>
          <w:szCs w:val="24"/>
          <w:highlight w:val="none"/>
        </w:rPr>
      </w:pPr>
      <w:r>
        <w:rPr>
          <w:rFonts w:ascii="宋体" w:hAnsi="宋体"/>
          <w:sz w:val="24"/>
          <w:highlight w:val="none"/>
        </w:rPr>
        <w:t>1</w:t>
      </w:r>
      <w:r>
        <w:rPr>
          <w:rFonts w:hint="eastAsia" w:ascii="宋体" w:hAnsi="宋体"/>
          <w:sz w:val="24"/>
          <w:highlight w:val="none"/>
        </w:rPr>
        <w:t>）</w:t>
      </w:r>
      <w:r>
        <w:rPr>
          <w:rFonts w:hint="eastAsia" w:ascii="宋体" w:hAnsi="宋体"/>
          <w:sz w:val="24"/>
          <w:highlight w:val="none"/>
          <w:lang w:val="en-US" w:eastAsia="zh-CN"/>
        </w:rPr>
        <w:t>本项目专门面向中小微企业采购</w:t>
      </w:r>
      <w:r>
        <w:rPr>
          <w:rFonts w:hint="eastAsia" w:ascii="宋体" w:hAnsi="宋体"/>
          <w:sz w:val="24"/>
          <w:highlight w:val="none"/>
        </w:rPr>
        <w:t>。</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）根据</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财库〔2020〕46号</w:t>
      </w:r>
      <w:r>
        <w:rPr>
          <w:rFonts w:hint="eastAsia" w:ascii="宋体" w:hAnsi="宋体" w:cs="宋体"/>
          <w:color w:val="auto"/>
          <w:sz w:val="24"/>
          <w:highlight w:val="none"/>
        </w:rPr>
        <w:t>）</w:t>
      </w:r>
      <w:r>
        <w:rPr>
          <w:rFonts w:hint="eastAsia" w:ascii="宋体" w:hAnsi="宋体" w:cs="宋体"/>
          <w:color w:val="auto"/>
          <w:sz w:val="24"/>
          <w:szCs w:val="24"/>
          <w:highlight w:val="none"/>
        </w:rPr>
        <w:t>的规定，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时需注意：</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本办法所称</w:t>
      </w:r>
      <w:r>
        <w:rPr>
          <w:rFonts w:hint="eastAsia" w:ascii="宋体" w:hAnsi="宋体" w:cs="宋体"/>
          <w:color w:val="auto"/>
          <w:sz w:val="24"/>
          <w:szCs w:val="24"/>
          <w:highlight w:val="none"/>
          <w:lang w:val="en-US" w:eastAsia="zh-CN"/>
        </w:rPr>
        <w:t>中型、</w:t>
      </w:r>
      <w:r>
        <w:rPr>
          <w:rFonts w:hint="eastAsia" w:ascii="宋体" w:hAnsi="宋体" w:cs="宋体"/>
          <w:color w:val="auto"/>
          <w:sz w:val="24"/>
          <w:szCs w:val="24"/>
          <w:highlight w:val="none"/>
        </w:rPr>
        <w:t>小型、微型企业应当同时符合以下条件：</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（一）符合</w:t>
      </w:r>
      <w:r>
        <w:rPr>
          <w:rFonts w:hint="eastAsia" w:ascii="宋体" w:hAnsi="宋体" w:cs="宋体"/>
          <w:color w:val="auto"/>
          <w:sz w:val="24"/>
          <w:szCs w:val="24"/>
          <w:highlight w:val="none"/>
          <w:lang w:val="en-US" w:eastAsia="zh-CN"/>
        </w:rPr>
        <w:t>中型、</w:t>
      </w:r>
      <w:r>
        <w:rPr>
          <w:rFonts w:hint="eastAsia" w:ascii="宋体" w:hAnsi="宋体" w:cs="宋体"/>
          <w:color w:val="auto"/>
          <w:sz w:val="24"/>
          <w:szCs w:val="24"/>
          <w:highlight w:val="none"/>
        </w:rPr>
        <w:t>小型、微型企业划分标准；</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中小企业划分标准参照《关于印发中小企业划型标准规定的通知》（工信部联企业</w:t>
      </w:r>
      <w:r>
        <w:rPr>
          <w:rFonts w:ascii="宋体" w:hAnsi="宋体" w:cs="宋体"/>
          <w:color w:val="auto"/>
          <w:sz w:val="24"/>
          <w:szCs w:val="24"/>
          <w:highlight w:val="none"/>
        </w:rPr>
        <w:t>[2011]300</w:t>
      </w:r>
      <w:r>
        <w:rPr>
          <w:rFonts w:hint="eastAsia" w:ascii="宋体" w:hAnsi="宋体" w:cs="宋体"/>
          <w:color w:val="auto"/>
          <w:sz w:val="24"/>
          <w:szCs w:val="24"/>
          <w:highlight w:val="none"/>
        </w:rPr>
        <w:t>号）执行。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rPr>
        <w:t>）参加政府采购活动的</w:t>
      </w:r>
      <w:r>
        <w:rPr>
          <w:rFonts w:hint="eastAsia" w:ascii="宋体" w:hAnsi="宋体" w:cs="宋体"/>
          <w:b/>
          <w:bCs/>
          <w:color w:val="auto"/>
          <w:sz w:val="24"/>
          <w:szCs w:val="24"/>
          <w:highlight w:val="none"/>
          <w:u w:val="single"/>
          <w:lang w:val="en-US" w:eastAsia="zh-CN"/>
        </w:rPr>
        <w:t>中型、</w:t>
      </w:r>
      <w:r>
        <w:rPr>
          <w:rFonts w:hint="eastAsia" w:ascii="宋体" w:hAnsi="宋体" w:cs="宋体"/>
          <w:b/>
          <w:bCs/>
          <w:color w:val="auto"/>
          <w:sz w:val="24"/>
          <w:szCs w:val="24"/>
          <w:highlight w:val="none"/>
          <w:u w:val="single"/>
        </w:rPr>
        <w:t>小型、微型企业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时须提供《中小企业声明函》（格式）</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5.6.4.3</w:t>
      </w:r>
      <w:r>
        <w:rPr>
          <w:rFonts w:hint="eastAsia" w:ascii="宋体" w:hAnsi="宋体" w:cs="宋体"/>
          <w:color w:val="auto"/>
          <w:sz w:val="24"/>
          <w:highlight w:val="none"/>
        </w:rPr>
        <w:t>对</w:t>
      </w:r>
      <w:r>
        <w:rPr>
          <w:rFonts w:hint="eastAsia" w:ascii="宋体" w:hAnsi="宋体" w:cs="宋体"/>
          <w:color w:val="auto"/>
          <w:sz w:val="24"/>
          <w:szCs w:val="24"/>
          <w:highlight w:val="none"/>
        </w:rPr>
        <w:t>监狱企业的扶持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5.6.4.4</w:t>
      </w:r>
      <w:r>
        <w:rPr>
          <w:rFonts w:hint="eastAsia" w:ascii="宋体" w:hAnsi="宋体" w:cs="宋体"/>
          <w:color w:val="auto"/>
          <w:sz w:val="24"/>
          <w:highlight w:val="none"/>
        </w:rPr>
        <w:t>对残疾人福利性单位的扶持</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2）参加政府采购活动的</w:t>
      </w:r>
      <w:r>
        <w:rPr>
          <w:rFonts w:hint="eastAsia" w:ascii="宋体" w:hAnsi="宋体" w:cs="宋体"/>
          <w:b/>
          <w:bCs/>
          <w:color w:val="auto"/>
          <w:sz w:val="24"/>
          <w:szCs w:val="24"/>
          <w:highlight w:val="none"/>
          <w:u w:val="single"/>
          <w:lang w:val="en-US" w:eastAsia="zh-CN"/>
        </w:rPr>
        <w:t>残疾人福利性单位</w:t>
      </w:r>
      <w:r>
        <w:rPr>
          <w:rFonts w:hint="eastAsia" w:ascii="宋体" w:hAnsi="宋体" w:cs="宋体"/>
          <w:color w:val="auto"/>
          <w:sz w:val="24"/>
          <w:szCs w:val="24"/>
          <w:highlight w:val="none"/>
          <w:lang w:val="en-US" w:eastAsia="zh-CN"/>
        </w:rPr>
        <w:t>应提供《残疾人福利性单位声明函》（格式）。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5.6.4.5</w:t>
      </w:r>
      <w:r>
        <w:rPr>
          <w:rFonts w:hint="eastAsia" w:ascii="宋体" w:hAnsi="宋体"/>
          <w:color w:val="auto"/>
          <w:sz w:val="24"/>
          <w:highlight w:val="none"/>
        </w:rPr>
        <w:t>评审价的确定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按上述条款的原则校核修正后的价格为评审价。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5.6.4.6</w:t>
      </w:r>
      <w:r>
        <w:rPr>
          <w:rFonts w:hint="eastAsia" w:ascii="宋体" w:hAnsi="宋体"/>
          <w:color w:val="auto"/>
          <w:sz w:val="24"/>
          <w:highlight w:val="none"/>
        </w:rPr>
        <w:t>计算价格评分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各有效供应商的评审价中，取最低者作为基准价，各有效供应商的价格评分统一按照下列公式计算：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价格评分＝（基准价÷评审价）×价格分分值。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5.6.5</w:t>
      </w:r>
      <w:r>
        <w:rPr>
          <w:rFonts w:hint="eastAsia" w:ascii="宋体" w:hAnsi="宋体"/>
          <w:color w:val="auto"/>
          <w:sz w:val="24"/>
          <w:highlight w:val="none"/>
        </w:rPr>
        <w:t>评审总得分及统计：各评委的评分的算术平均值即为该供应商的技术评分或商务评分。然后，根据比价原则评出价格评分。将技术评分、商务评分和价格评分分别相加得出评审总得分（评审总得分分值按四舍五入原则精确到小数点后两位）。</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5.7推荐成交候选供应商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磋商小组应当根据综合评分情况，按照评审得分由高到低顺序推荐3名以上成交候选供应商（有效供应商不足三家时以实际数量推荐）。</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评标总得分相同的，按下列顺序比较确定：（1）投标报价（由低到高）；（2）技术评分（由高到低），如以上都相同的，名次由评标委员会抽签确定。</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5.8编写评审报告</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采购人书面授权磋商小组直接确定成交供应商的，磋商小组应在评审报告中明确成交供应商及成交金额。</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除下列情形外，任何人不得以任何理由组织重新评审：</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（1）资格性检查认定错误的；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（2）分值汇总计算错误的；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（3）分项评分超出评分标准范围的；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（4）客观分因素评分不一致的；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（5）经磋商小组一致认定评分畸高、畸低的情形。</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6.有下列情况之一的，视为供应商串通投标，其响应无效：</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6.1不同供应商的响应文件由同一单位或者个人编制；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6.2不同供应商的响应文件由同一台电脑编制；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6.3不同供应商委托同一单位或者个人办理投标事宜；</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6.4不同供应商的响应文件载明的项目管理成员或者联系人员为同一人；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6.5不同供应商的响应文件异常一致或者磋商报价呈规律性差异；</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6.6不同供应商的响应文件相互混装；</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6.7不同供应商的磋商保证金从同一单位或者个人的账户转出。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6.8政府采购法律法规及磋商文件规定的其他情形。</w:t>
      </w:r>
    </w:p>
    <w:p>
      <w:pPr>
        <w:spacing w:line="360" w:lineRule="auto"/>
        <w:ind w:firstLine="481"/>
        <w:jc w:val="left"/>
        <w:outlineLvl w:val="1"/>
        <w:rPr>
          <w:rFonts w:hint="eastAsia" w:ascii="黑体" w:hAnsi="黑体" w:eastAsia="黑体" w:cs="黑体"/>
          <w:b/>
          <w:color w:val="auto"/>
          <w:sz w:val="24"/>
          <w:highlight w:val="none"/>
          <w:lang w:val="en-US" w:eastAsia="zh-CN"/>
        </w:rPr>
      </w:pPr>
      <w:bookmarkStart w:id="131" w:name="_Toc21394"/>
      <w:bookmarkStart w:id="132" w:name="_Toc8840"/>
      <w:r>
        <w:rPr>
          <w:rFonts w:hint="eastAsia" w:ascii="黑体" w:hAnsi="黑体" w:eastAsia="黑体" w:cs="黑体"/>
          <w:b/>
          <w:color w:val="auto"/>
          <w:sz w:val="24"/>
          <w:highlight w:val="none"/>
          <w:lang w:val="en-US" w:eastAsia="zh-CN"/>
        </w:rPr>
        <w:t>三、成交</w:t>
      </w:r>
      <w:bookmarkEnd w:id="131"/>
      <w:bookmarkEnd w:id="132"/>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1.本项目采用第</w:t>
      </w:r>
      <w:r>
        <w:rPr>
          <w:rFonts w:hint="eastAsia" w:ascii="宋体" w:hAnsi="宋体"/>
          <w:color w:val="auto"/>
          <w:sz w:val="24"/>
          <w:highlight w:val="none"/>
          <w:u w:val="single"/>
          <w:lang w:val="en-US" w:eastAsia="zh-CN"/>
        </w:rPr>
        <w:t>（1）</w:t>
      </w:r>
      <w:r>
        <w:rPr>
          <w:rFonts w:hint="eastAsia" w:ascii="宋体" w:hAnsi="宋体"/>
          <w:color w:val="auto"/>
          <w:sz w:val="24"/>
          <w:highlight w:val="none"/>
          <w:u w:val="none"/>
          <w:lang w:val="en-US" w:eastAsia="zh-CN"/>
        </w:rPr>
        <w:t>种</w:t>
      </w:r>
      <w:r>
        <w:rPr>
          <w:rFonts w:hint="eastAsia" w:ascii="宋体" w:hAnsi="宋体"/>
          <w:color w:val="auto"/>
          <w:sz w:val="24"/>
          <w:highlight w:val="none"/>
          <w:lang w:val="en-US" w:eastAsia="zh-CN"/>
        </w:rPr>
        <w:t>方式确定成交供应商：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采购人根据磋商小组评审结果确认。采购代理机构在评审结束后2个工作日内将评审报告送采购人确认。采购人在收到评审报告之日起5个工作日内，从评审报告提出的成交候选供应商中，按照排序由高到低的原则确定成交供应商</w:t>
      </w:r>
      <w:r>
        <w:rPr>
          <w:rFonts w:hint="eastAsia" w:asciiTheme="minorEastAsia" w:hAnsiTheme="minorEastAsia" w:cstheme="minorEastAsia"/>
          <w:color w:val="000000" w:themeColor="text1"/>
          <w:sz w:val="24"/>
          <w:highlight w:val="none"/>
          <w14:textFill>
            <w14:solidFill>
              <w14:schemeClr w14:val="tx1"/>
            </w14:solidFill>
          </w14:textFill>
        </w:rPr>
        <w:t>，</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并书面复函采购代理机构</w:t>
      </w:r>
      <w:r>
        <w:rPr>
          <w:rFonts w:hint="eastAsia" w:ascii="宋体" w:hAnsi="宋体"/>
          <w:color w:val="auto"/>
          <w:sz w:val="24"/>
          <w:highlight w:val="none"/>
          <w:lang w:val="en-US" w:eastAsia="zh-CN"/>
        </w:rPr>
        <w:t>。采购人逾期未确定成交供应商且不提出异议的，视同按评审报告提出的排序第一的供应商为成交供应商。</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（2）采购人书面授权磋商小组直接确定成交供应商。</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采购人在评审前提供《委托评审小组定标授权书》，磋商小组将根据采购人授权直接确定成交供应商。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2.采购代理机构将在成交供应商确定之日起2个工作日内，在</w:t>
      </w:r>
      <w:r>
        <w:rPr>
          <w:rFonts w:hint="eastAsia" w:ascii="宋体" w:hAnsi="宋体"/>
          <w:color w:val="auto"/>
          <w:sz w:val="24"/>
          <w:highlight w:val="none"/>
        </w:rPr>
        <w:t>财政部门指定的政府采购信息媒体上发布</w:t>
      </w:r>
      <w:r>
        <w:rPr>
          <w:rFonts w:hint="eastAsia" w:ascii="宋体" w:hAnsi="宋体"/>
          <w:color w:val="auto"/>
          <w:sz w:val="24"/>
          <w:highlight w:val="none"/>
          <w:lang w:val="en-US" w:eastAsia="zh-CN"/>
        </w:rPr>
        <w:t>成交</w:t>
      </w:r>
      <w:r>
        <w:rPr>
          <w:rFonts w:hint="eastAsia" w:ascii="宋体" w:hAnsi="宋体"/>
          <w:color w:val="auto"/>
          <w:sz w:val="24"/>
          <w:highlight w:val="none"/>
        </w:rPr>
        <w:t>公告</w:t>
      </w:r>
      <w:r>
        <w:rPr>
          <w:rFonts w:hint="eastAsia" w:ascii="宋体" w:hAnsi="宋体"/>
          <w:color w:val="auto"/>
          <w:sz w:val="24"/>
          <w:highlight w:val="none"/>
          <w:lang w:val="en-US" w:eastAsia="zh-CN"/>
        </w:rPr>
        <w:t>，成交公告期限为1个工作日。同时，采购代理机构向成交供应商发出“成交通知书”，并将磋商文件随成交结果同时公告。</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成交结果公告应当包括以下内容：</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（1）采购人和采购代理机构的名称、地址和联系方式；</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（2）项目名称和项目编号；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（3）成交供应商名称、地址和成交金额；</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（4）主要成交标的的名称、规格型号、数量、单价、服务要求；</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（5）磋商小组成员名单。</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采用书面推荐供应商参加采购活动的，还应当公告采购人和评审专家的推荐意见。</w:t>
      </w:r>
    </w:p>
    <w:p>
      <w:pPr>
        <w:spacing w:line="360" w:lineRule="auto"/>
        <w:ind w:firstLine="481"/>
        <w:jc w:val="left"/>
        <w:outlineLvl w:val="1"/>
        <w:rPr>
          <w:rFonts w:hint="eastAsia" w:ascii="黑体" w:hAnsi="黑体" w:eastAsia="黑体" w:cs="黑体"/>
          <w:b/>
          <w:color w:val="auto"/>
          <w:sz w:val="24"/>
          <w:highlight w:val="none"/>
          <w:lang w:val="en-US" w:eastAsia="zh-CN"/>
        </w:rPr>
      </w:pPr>
      <w:bookmarkStart w:id="133" w:name="_Toc17637"/>
      <w:bookmarkStart w:id="134" w:name="_Toc28390"/>
      <w:bookmarkStart w:id="135" w:name="_Toc16588"/>
      <w:bookmarkStart w:id="136" w:name="_Toc11305"/>
      <w:r>
        <w:rPr>
          <w:rFonts w:hint="eastAsia" w:ascii="黑体" w:hAnsi="黑体" w:eastAsia="黑体" w:cs="黑体"/>
          <w:b/>
          <w:color w:val="auto"/>
          <w:sz w:val="24"/>
          <w:highlight w:val="none"/>
          <w:lang w:val="en-US" w:eastAsia="zh-CN"/>
        </w:rPr>
        <w:t>四、其他</w:t>
      </w:r>
      <w:bookmarkEnd w:id="133"/>
      <w:bookmarkEnd w:id="134"/>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2.根据《政府采购法》第三十六条规定，在磋商采购中，出现下列情形之一的，本项目按废标处理：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2.1出现影响采购公正的违法、违规行为的；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2.2供应商的报价均超过了采购预算，采购人不能支付的；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2.3因重大变故，采购任务取消的。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废标后，由采购代理机构发布废标公告。除采购任务取消外，本项目将重新组织采购活动。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3.在递交响应文件阶段、资格审查阶段以及符合性审查阶段，当出现有效投标供应商不足3家时，除采购任务取消外，按照以下方式处理：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3.1磋商文件存在不合理条款或者磋商程序不符合规定的，采购人、采购代理机构改正后依法重新开展采购活动；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3.2磋商文件没有不合理条款、磋商程序符合规定，需要采用其他采购方式采购的，采购人应当依法报财政部门批准。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4.采购代理机构应当采取必要措施，保证评审在严格保密的情况下进行。除采购人代表、评审现场组织人员外，采购人的其他工作人员以及与评审工作无关的人员不得进入评审现场。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有关人员对评审情况以及在评审过程中获悉的国家秘密、商业秘密负有保密责任。</w:t>
      </w:r>
    </w:p>
    <w:bookmarkEnd w:id="135"/>
    <w:bookmarkEnd w:id="136"/>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《成交通知书》是合同的一个组成部分，对采购人和成交供应商具有同等法律效力；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《成交通知书》发出后，采购人改变成交结果，或者成交供应商放弃成交的，均应承担相应的法律责任。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6.磋商文件未明确的其他事项，按《政府采购法》及其相关法律法规执行。</w:t>
      </w:r>
    </w:p>
    <w:p>
      <w:pPr>
        <w:spacing w:line="360" w:lineRule="auto"/>
        <w:ind w:firstLine="480" w:firstLineChars="200"/>
        <w:rPr>
          <w:rFonts w:ascii="??_GB2312" w:hAnsi="仿宋" w:eastAsia="Times New Roman" w:cs="Times New Roman"/>
          <w:color w:val="auto"/>
          <w:sz w:val="24"/>
          <w:szCs w:val="24"/>
          <w:highlight w:val="none"/>
        </w:rPr>
      </w:pPr>
    </w:p>
    <w:p>
      <w:pPr>
        <w:spacing w:line="360" w:lineRule="auto"/>
        <w:outlineLvl w:val="1"/>
        <w:rPr>
          <w:rFonts w:hint="eastAsia" w:eastAsia="黑体"/>
          <w:b/>
          <w:sz w:val="18"/>
          <w:szCs w:val="18"/>
          <w:highlight w:val="none"/>
        </w:rPr>
      </w:pPr>
      <w:r>
        <w:rPr>
          <w:rFonts w:hint="eastAsia" w:ascii="仿宋_GB2312" w:hAnsi="仿宋" w:eastAsia="仿宋_GB2312" w:cs="仿宋"/>
          <w:sz w:val="24"/>
          <w:highlight w:val="none"/>
        </w:rPr>
        <w:br w:type="page"/>
      </w:r>
      <w:bookmarkStart w:id="137" w:name="_Toc10028"/>
      <w:bookmarkStart w:id="138" w:name="_Toc27614"/>
      <w:bookmarkStart w:id="139" w:name="_Toc12860"/>
      <w:r>
        <w:rPr>
          <w:rFonts w:hint="eastAsia" w:ascii="黑体" w:hAnsi="仿宋" w:eastAsia="黑体" w:cs="黑体"/>
          <w:b/>
          <w:bCs/>
          <w:sz w:val="24"/>
          <w:szCs w:val="24"/>
          <w:highlight w:val="none"/>
        </w:rPr>
        <w:t>附表1：《资格审查表》</w:t>
      </w:r>
      <w:bookmarkEnd w:id="137"/>
      <w:bookmarkEnd w:id="138"/>
      <w:bookmarkEnd w:id="139"/>
    </w:p>
    <w:p>
      <w:pPr>
        <w:spacing w:line="360" w:lineRule="auto"/>
        <w:jc w:val="center"/>
        <w:rPr>
          <w:rFonts w:hint="eastAsia"/>
          <w:highlight w:val="none"/>
        </w:rPr>
      </w:pPr>
      <w:r>
        <w:rPr>
          <w:rFonts w:hint="eastAsia" w:ascii="黑体" w:hAnsi="仿宋" w:eastAsia="黑体" w:cs="黑体"/>
          <w:sz w:val="32"/>
          <w:szCs w:val="32"/>
          <w:highlight w:val="none"/>
        </w:rPr>
        <w:t>资格审查表</w:t>
      </w:r>
    </w:p>
    <w:tbl>
      <w:tblPr>
        <w:tblStyle w:val="20"/>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42"/>
        <w:gridCol w:w="4863"/>
        <w:gridCol w:w="891"/>
        <w:gridCol w:w="875"/>
        <w:gridCol w:w="908"/>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blHeader/>
          <w:jc w:val="center"/>
        </w:trPr>
        <w:tc>
          <w:tcPr>
            <w:tcW w:w="707" w:type="dxa"/>
            <w:noWrap w:val="0"/>
            <w:vAlign w:val="center"/>
          </w:tcPr>
          <w:p>
            <w:pPr>
              <w:jc w:val="center"/>
              <w:outlineLvl w:val="9"/>
              <w:rPr>
                <w:rFonts w:hint="eastAsia" w:ascii="黑体" w:hAnsi="黑体" w:eastAsia="黑体" w:cs="黑体"/>
                <w:b/>
                <w:highlight w:val="none"/>
              </w:rPr>
            </w:pPr>
            <w:r>
              <w:rPr>
                <w:rFonts w:hint="eastAsia" w:ascii="黑体" w:hAnsi="黑体" w:eastAsia="黑体" w:cs="黑体"/>
                <w:b/>
                <w:highlight w:val="none"/>
              </w:rPr>
              <w:t>序号</w:t>
            </w:r>
          </w:p>
        </w:tc>
        <w:tc>
          <w:tcPr>
            <w:tcW w:w="5405" w:type="dxa"/>
            <w:gridSpan w:val="2"/>
            <w:tcBorders>
              <w:tl2br w:val="single" w:color="auto" w:sz="4" w:space="0"/>
            </w:tcBorders>
            <w:noWrap w:val="0"/>
            <w:vAlign w:val="center"/>
          </w:tcPr>
          <w:p>
            <w:pPr>
              <w:jc w:val="right"/>
              <w:outlineLvl w:val="9"/>
              <w:rPr>
                <w:rFonts w:hint="eastAsia" w:ascii="黑体" w:hAnsi="黑体" w:eastAsia="黑体" w:cs="黑体"/>
                <w:b/>
                <w:highlight w:val="none"/>
              </w:rPr>
            </w:pPr>
            <w:r>
              <w:rPr>
                <w:rFonts w:hint="eastAsia" w:ascii="黑体" w:hAnsi="黑体" w:eastAsia="黑体" w:cs="黑体"/>
                <w:b/>
                <w:highlight w:val="none"/>
              </w:rPr>
              <w:t>响应供应商</w:t>
            </w:r>
          </w:p>
          <w:p>
            <w:pPr>
              <w:outlineLvl w:val="9"/>
              <w:rPr>
                <w:rFonts w:hint="eastAsia" w:ascii="黑体" w:hAnsi="黑体" w:eastAsia="黑体" w:cs="黑体"/>
                <w:highlight w:val="none"/>
              </w:rPr>
            </w:pPr>
            <w:r>
              <w:rPr>
                <w:rFonts w:hint="eastAsia" w:ascii="黑体" w:hAnsi="黑体" w:eastAsia="黑体" w:cs="黑体"/>
                <w:b/>
                <w:highlight w:val="none"/>
              </w:rPr>
              <w:t>响应资格审查项</w:t>
            </w:r>
            <w:r>
              <w:rPr>
                <w:rFonts w:hint="eastAsia" w:ascii="黑体" w:hAnsi="黑体" w:eastAsia="黑体" w:cs="黑体"/>
                <w:b/>
                <w:i/>
                <w:highlight w:val="none"/>
              </w:rPr>
              <w:t>（即供应商资格条件）</w:t>
            </w:r>
          </w:p>
        </w:tc>
        <w:tc>
          <w:tcPr>
            <w:tcW w:w="891"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A响应供应商</w:t>
            </w:r>
          </w:p>
        </w:tc>
        <w:tc>
          <w:tcPr>
            <w:tcW w:w="875"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B响应供应商</w:t>
            </w:r>
          </w:p>
        </w:tc>
        <w:tc>
          <w:tcPr>
            <w:tcW w:w="908" w:type="dxa"/>
            <w:noWrap w:val="0"/>
            <w:vAlign w:val="center"/>
          </w:tcPr>
          <w:p>
            <w:pPr>
              <w:tabs>
                <w:tab w:val="left" w:pos="8640"/>
              </w:tabs>
              <w:jc w:val="center"/>
              <w:outlineLvl w:val="9"/>
              <w:rPr>
                <w:rFonts w:hint="eastAsia" w:ascii="黑体" w:hAnsi="黑体" w:eastAsia="黑体" w:cs="黑体"/>
                <w:highlight w:val="none"/>
              </w:rPr>
            </w:pPr>
            <w:r>
              <w:rPr>
                <w:rFonts w:hint="eastAsia" w:ascii="黑体" w:hAnsi="黑体" w:eastAsia="黑体" w:cs="黑体"/>
                <w:highlight w:val="none"/>
              </w:rPr>
              <w:t>C响应供应商</w:t>
            </w:r>
          </w:p>
        </w:tc>
        <w:tc>
          <w:tcPr>
            <w:tcW w:w="866"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D响应供应商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w:t>
            </w:r>
          </w:p>
        </w:tc>
        <w:tc>
          <w:tcPr>
            <w:tcW w:w="5405"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供应商资格声明（格式）；</w:t>
            </w:r>
          </w:p>
        </w:tc>
        <w:tc>
          <w:tcPr>
            <w:tcW w:w="891" w:type="dxa"/>
            <w:noWrap w:val="0"/>
            <w:vAlign w:val="top"/>
          </w:tcPr>
          <w:p>
            <w:pPr>
              <w:tabs>
                <w:tab w:val="left" w:pos="686"/>
                <w:tab w:val="left" w:pos="1030"/>
              </w:tabs>
              <w:spacing w:before="40" w:after="40"/>
              <w:outlineLvl w:val="9"/>
              <w:rPr>
                <w:rFonts w:hint="eastAsia" w:ascii="宋体" w:hAnsi="宋体"/>
                <w:highlight w:val="none"/>
              </w:rPr>
            </w:pPr>
          </w:p>
        </w:tc>
        <w:tc>
          <w:tcPr>
            <w:tcW w:w="875" w:type="dxa"/>
            <w:noWrap w:val="0"/>
            <w:vAlign w:val="center"/>
          </w:tcPr>
          <w:p>
            <w:pPr>
              <w:spacing w:before="40" w:after="40"/>
              <w:outlineLvl w:val="9"/>
              <w:rPr>
                <w:rFonts w:hint="eastAsia" w:ascii="宋体" w:hAnsi="宋体"/>
                <w:b/>
                <w:highlight w:val="none"/>
              </w:rPr>
            </w:pPr>
          </w:p>
        </w:tc>
        <w:tc>
          <w:tcPr>
            <w:tcW w:w="908" w:type="dxa"/>
            <w:noWrap w:val="0"/>
            <w:vAlign w:val="center"/>
          </w:tcPr>
          <w:p>
            <w:pPr>
              <w:spacing w:before="40" w:after="40"/>
              <w:outlineLvl w:val="9"/>
              <w:rPr>
                <w:rFonts w:hint="eastAsia" w:ascii="宋体" w:hAnsi="宋体"/>
                <w:b/>
                <w:highlight w:val="none"/>
              </w:rPr>
            </w:pPr>
          </w:p>
        </w:tc>
        <w:tc>
          <w:tcPr>
            <w:tcW w:w="866"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1.1</w:t>
            </w:r>
          </w:p>
        </w:tc>
        <w:tc>
          <w:tcPr>
            <w:tcW w:w="5405"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企业法人</w:t>
            </w:r>
            <w:r>
              <w:rPr>
                <w:rFonts w:hint="eastAsia" w:ascii="宋体" w:hAnsi="宋体" w:cs="宋体"/>
                <w:kern w:val="28"/>
                <w:highlight w:val="none"/>
                <w:lang w:eastAsia="zh-CN"/>
              </w:rPr>
              <w:t>、</w:t>
            </w:r>
            <w:r>
              <w:rPr>
                <w:rFonts w:hint="eastAsia" w:ascii="宋体" w:hAnsi="宋体" w:cs="宋体"/>
                <w:kern w:val="28"/>
                <w:highlight w:val="none"/>
                <w:lang w:val="en-US" w:eastAsia="zh-CN"/>
              </w:rPr>
              <w:t>其他组织</w:t>
            </w:r>
            <w:r>
              <w:rPr>
                <w:rFonts w:hint="eastAsia" w:ascii="宋体" w:hAnsi="宋体" w:cs="宋体"/>
                <w:kern w:val="28"/>
                <w:highlight w:val="none"/>
              </w:rPr>
              <w:t>营业执照副本</w:t>
            </w:r>
            <w:r>
              <w:rPr>
                <w:rFonts w:hint="eastAsia" w:ascii="宋体" w:hAnsi="宋体" w:cs="宋体"/>
                <w:kern w:val="28"/>
                <w:highlight w:val="none"/>
                <w:lang w:val="en-US" w:eastAsia="zh-CN"/>
              </w:rPr>
              <w:t>或</w:t>
            </w:r>
            <w:r>
              <w:rPr>
                <w:rFonts w:hint="eastAsia" w:ascii="宋体" w:hAnsi="宋体" w:cs="宋体"/>
                <w:kern w:val="28"/>
                <w:highlight w:val="none"/>
              </w:rPr>
              <w:t>事业单位法人证书</w:t>
            </w:r>
            <w:r>
              <w:rPr>
                <w:rFonts w:hint="eastAsia" w:ascii="宋体" w:hAnsi="宋体" w:cs="宋体"/>
                <w:kern w:val="28"/>
                <w:highlight w:val="none"/>
                <w:lang w:eastAsia="zh-CN"/>
              </w:rPr>
              <w:t>，自然人提供身份证明</w:t>
            </w:r>
            <w:r>
              <w:rPr>
                <w:rFonts w:hint="eastAsia" w:ascii="宋体" w:hAnsi="宋体" w:cs="宋体"/>
                <w:kern w:val="28"/>
                <w:highlight w:val="none"/>
              </w:rPr>
              <w:t>（复印件加盖</w:t>
            </w:r>
            <w:r>
              <w:rPr>
                <w:rFonts w:hint="eastAsia" w:ascii="宋体" w:hAnsi="宋体" w:cs="宋体"/>
                <w:kern w:val="28"/>
                <w:highlight w:val="none"/>
                <w:lang w:val="en-US" w:eastAsia="zh-CN"/>
              </w:rPr>
              <w:t>响应</w:t>
            </w:r>
            <w:r>
              <w:rPr>
                <w:rFonts w:hint="eastAsia" w:ascii="宋体" w:hAnsi="宋体" w:cs="宋体"/>
                <w:kern w:val="28"/>
                <w:highlight w:val="none"/>
              </w:rPr>
              <w:t>供应商公章）；</w:t>
            </w:r>
          </w:p>
        </w:tc>
        <w:tc>
          <w:tcPr>
            <w:tcW w:w="891" w:type="dxa"/>
            <w:noWrap w:val="0"/>
            <w:vAlign w:val="top"/>
          </w:tcPr>
          <w:p>
            <w:pPr>
              <w:tabs>
                <w:tab w:val="left" w:pos="686"/>
                <w:tab w:val="left" w:pos="1030"/>
              </w:tabs>
              <w:spacing w:before="40" w:after="40"/>
              <w:outlineLvl w:val="9"/>
              <w:rPr>
                <w:rFonts w:hint="eastAsia" w:ascii="宋体" w:hAnsi="宋体"/>
                <w:highlight w:val="none"/>
              </w:rPr>
            </w:pPr>
          </w:p>
        </w:tc>
        <w:tc>
          <w:tcPr>
            <w:tcW w:w="875" w:type="dxa"/>
            <w:noWrap w:val="0"/>
            <w:vAlign w:val="center"/>
          </w:tcPr>
          <w:p>
            <w:pPr>
              <w:spacing w:before="40" w:after="40"/>
              <w:outlineLvl w:val="9"/>
              <w:rPr>
                <w:rFonts w:hint="eastAsia" w:ascii="宋体" w:hAnsi="宋体"/>
                <w:b/>
                <w:highlight w:val="none"/>
              </w:rPr>
            </w:pPr>
          </w:p>
        </w:tc>
        <w:tc>
          <w:tcPr>
            <w:tcW w:w="908" w:type="dxa"/>
            <w:noWrap w:val="0"/>
            <w:vAlign w:val="center"/>
          </w:tcPr>
          <w:p>
            <w:pPr>
              <w:spacing w:before="40" w:after="40"/>
              <w:outlineLvl w:val="9"/>
              <w:rPr>
                <w:rFonts w:hint="eastAsia" w:ascii="宋体" w:hAnsi="宋体"/>
                <w:b/>
                <w:highlight w:val="none"/>
              </w:rPr>
            </w:pPr>
          </w:p>
        </w:tc>
        <w:tc>
          <w:tcPr>
            <w:tcW w:w="866"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1.2</w:t>
            </w:r>
          </w:p>
        </w:tc>
        <w:tc>
          <w:tcPr>
            <w:tcW w:w="5405" w:type="dxa"/>
            <w:gridSpan w:val="2"/>
            <w:noWrap w:val="0"/>
            <w:vAlign w:val="center"/>
          </w:tcPr>
          <w:p>
            <w:pPr>
              <w:outlineLvl w:val="9"/>
              <w:rPr>
                <w:rFonts w:hint="eastAsia" w:ascii="宋体" w:hAnsi="宋体" w:cs="宋体"/>
                <w:kern w:val="28"/>
                <w:highlight w:val="none"/>
                <w:lang w:val="en-US" w:eastAsia="zh-CN"/>
              </w:rPr>
            </w:pPr>
            <w:r>
              <w:rPr>
                <w:rFonts w:hint="eastAsia" w:ascii="宋体" w:hAnsi="宋体" w:cs="宋体"/>
                <w:kern w:val="28"/>
                <w:highlight w:val="none"/>
                <w:lang w:val="en-US" w:eastAsia="zh-CN"/>
              </w:rPr>
              <w:t>2021年度经审计的财务报告（成立时间至磋商会议日期不足一年的响应供应商可提供成立后任意时段的资产负债表）（复印件加盖响应供应商公章）；</w:t>
            </w:r>
          </w:p>
          <w:p>
            <w:pPr>
              <w:outlineLvl w:val="9"/>
              <w:rPr>
                <w:rFonts w:hint="eastAsia" w:ascii="宋体" w:hAnsi="宋体" w:cs="宋体"/>
                <w:kern w:val="28"/>
                <w:highlight w:val="none"/>
                <w:lang w:val="en-US" w:eastAsia="zh-CN"/>
              </w:rPr>
            </w:pPr>
            <w:r>
              <w:rPr>
                <w:rFonts w:hint="eastAsia" w:ascii="宋体" w:hAnsi="宋体" w:cs="宋体"/>
                <w:kern w:val="28"/>
                <w:highlight w:val="none"/>
                <w:lang w:val="en-US" w:eastAsia="zh-CN"/>
              </w:rPr>
              <w:t>或在磋商会议日期前六个月内其基本存款账户开户银行出具的资信证明（原件）；</w:t>
            </w:r>
          </w:p>
          <w:p>
            <w:pPr>
              <w:outlineLvl w:val="9"/>
              <w:rPr>
                <w:rFonts w:hint="eastAsia" w:ascii="宋体" w:hAnsi="宋体" w:cs="宋体"/>
                <w:kern w:val="28"/>
                <w:highlight w:val="none"/>
                <w:lang w:val="en-US" w:eastAsia="zh-CN"/>
              </w:rPr>
            </w:pPr>
            <w:r>
              <w:rPr>
                <w:rFonts w:hint="eastAsia" w:ascii="宋体" w:hAnsi="宋体" w:cs="宋体"/>
                <w:kern w:val="28"/>
                <w:highlight w:val="none"/>
                <w:lang w:val="en-US" w:eastAsia="zh-CN"/>
              </w:rPr>
              <w:t>或在磋商会议日期前六个月内信用担保机构出具的投标担保函（原件）；</w:t>
            </w:r>
          </w:p>
          <w:p>
            <w:pPr>
              <w:ind w:left="40" w:leftChars="19"/>
              <w:outlineLvl w:val="9"/>
              <w:rPr>
                <w:rFonts w:hint="eastAsia" w:ascii="宋体" w:hAnsi="宋体" w:cs="宋体"/>
                <w:kern w:val="28"/>
                <w:highlight w:val="none"/>
              </w:rPr>
            </w:pPr>
            <w:r>
              <w:rPr>
                <w:rFonts w:hint="eastAsia" w:ascii="宋体" w:hAnsi="宋体" w:cs="宋体"/>
                <w:kern w:val="28"/>
                <w:highlight w:val="none"/>
                <w:lang w:val="en-US" w:eastAsia="zh-CN"/>
              </w:rPr>
              <w:t>（以上三种形式的资料提供任何一种即可）</w:t>
            </w:r>
          </w:p>
        </w:tc>
        <w:tc>
          <w:tcPr>
            <w:tcW w:w="891" w:type="dxa"/>
            <w:noWrap w:val="0"/>
            <w:vAlign w:val="top"/>
          </w:tcPr>
          <w:p>
            <w:pPr>
              <w:tabs>
                <w:tab w:val="left" w:pos="686"/>
                <w:tab w:val="left" w:pos="1030"/>
              </w:tabs>
              <w:spacing w:before="40" w:after="40"/>
              <w:outlineLvl w:val="9"/>
              <w:rPr>
                <w:rFonts w:hint="eastAsia" w:ascii="宋体" w:hAnsi="宋体"/>
                <w:highlight w:val="none"/>
              </w:rPr>
            </w:pPr>
          </w:p>
        </w:tc>
        <w:tc>
          <w:tcPr>
            <w:tcW w:w="875" w:type="dxa"/>
            <w:noWrap w:val="0"/>
            <w:vAlign w:val="center"/>
          </w:tcPr>
          <w:p>
            <w:pPr>
              <w:spacing w:before="40" w:after="40"/>
              <w:outlineLvl w:val="9"/>
              <w:rPr>
                <w:rFonts w:hint="eastAsia" w:ascii="宋体" w:hAnsi="宋体"/>
                <w:b/>
                <w:highlight w:val="none"/>
              </w:rPr>
            </w:pPr>
          </w:p>
        </w:tc>
        <w:tc>
          <w:tcPr>
            <w:tcW w:w="908" w:type="dxa"/>
            <w:noWrap w:val="0"/>
            <w:vAlign w:val="center"/>
          </w:tcPr>
          <w:p>
            <w:pPr>
              <w:spacing w:before="40" w:after="40"/>
              <w:outlineLvl w:val="9"/>
              <w:rPr>
                <w:rFonts w:hint="eastAsia" w:ascii="宋体" w:hAnsi="宋体"/>
                <w:b/>
                <w:highlight w:val="none"/>
              </w:rPr>
            </w:pPr>
          </w:p>
        </w:tc>
        <w:tc>
          <w:tcPr>
            <w:tcW w:w="866"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1.3</w:t>
            </w:r>
          </w:p>
        </w:tc>
        <w:tc>
          <w:tcPr>
            <w:tcW w:w="5405"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磋商会议日期前十二个月任意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个月缴税凭据（复印件加盖响应供应商公章）（依法免税的响应供应商应提供相应文件证明）；</w:t>
            </w:r>
          </w:p>
        </w:tc>
        <w:tc>
          <w:tcPr>
            <w:tcW w:w="891" w:type="dxa"/>
            <w:noWrap w:val="0"/>
            <w:vAlign w:val="top"/>
          </w:tcPr>
          <w:p>
            <w:pPr>
              <w:tabs>
                <w:tab w:val="left" w:pos="686"/>
                <w:tab w:val="left" w:pos="1030"/>
              </w:tabs>
              <w:spacing w:before="40" w:after="40"/>
              <w:outlineLvl w:val="9"/>
              <w:rPr>
                <w:rFonts w:hint="eastAsia" w:ascii="宋体" w:hAnsi="宋体"/>
                <w:highlight w:val="none"/>
              </w:rPr>
            </w:pPr>
          </w:p>
        </w:tc>
        <w:tc>
          <w:tcPr>
            <w:tcW w:w="875" w:type="dxa"/>
            <w:noWrap w:val="0"/>
            <w:vAlign w:val="center"/>
          </w:tcPr>
          <w:p>
            <w:pPr>
              <w:spacing w:before="40" w:after="40"/>
              <w:outlineLvl w:val="9"/>
              <w:rPr>
                <w:rFonts w:hint="eastAsia" w:ascii="宋体" w:hAnsi="宋体"/>
                <w:b/>
                <w:highlight w:val="none"/>
              </w:rPr>
            </w:pPr>
          </w:p>
        </w:tc>
        <w:tc>
          <w:tcPr>
            <w:tcW w:w="908" w:type="dxa"/>
            <w:noWrap w:val="0"/>
            <w:vAlign w:val="center"/>
          </w:tcPr>
          <w:p>
            <w:pPr>
              <w:spacing w:before="40" w:after="40"/>
              <w:outlineLvl w:val="9"/>
              <w:rPr>
                <w:rFonts w:hint="eastAsia" w:ascii="宋体" w:hAnsi="宋体"/>
                <w:b/>
                <w:highlight w:val="none"/>
              </w:rPr>
            </w:pPr>
          </w:p>
        </w:tc>
        <w:tc>
          <w:tcPr>
            <w:tcW w:w="866"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1.4</w:t>
            </w:r>
          </w:p>
        </w:tc>
        <w:tc>
          <w:tcPr>
            <w:tcW w:w="5405"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磋商会议日期前十二个月任意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个月缴纳社会保险的凭据（专用收据或社会保险缴纳清单或其他证明材料）（复印件加盖响应供应商公章）（依法不需要缴纳社会保障资金的响应供应商应提供相应文件证明）；</w:t>
            </w:r>
          </w:p>
        </w:tc>
        <w:tc>
          <w:tcPr>
            <w:tcW w:w="891" w:type="dxa"/>
            <w:noWrap w:val="0"/>
            <w:vAlign w:val="top"/>
          </w:tcPr>
          <w:p>
            <w:pPr>
              <w:tabs>
                <w:tab w:val="left" w:pos="686"/>
                <w:tab w:val="left" w:pos="1030"/>
              </w:tabs>
              <w:spacing w:before="40" w:after="40"/>
              <w:outlineLvl w:val="9"/>
              <w:rPr>
                <w:rFonts w:hint="eastAsia" w:ascii="宋体" w:hAnsi="宋体"/>
                <w:highlight w:val="none"/>
              </w:rPr>
            </w:pPr>
          </w:p>
        </w:tc>
        <w:tc>
          <w:tcPr>
            <w:tcW w:w="875" w:type="dxa"/>
            <w:noWrap w:val="0"/>
            <w:vAlign w:val="center"/>
          </w:tcPr>
          <w:p>
            <w:pPr>
              <w:spacing w:before="40" w:after="40"/>
              <w:outlineLvl w:val="9"/>
              <w:rPr>
                <w:rFonts w:hint="eastAsia" w:ascii="宋体" w:hAnsi="宋体"/>
                <w:b/>
                <w:highlight w:val="none"/>
              </w:rPr>
            </w:pPr>
          </w:p>
        </w:tc>
        <w:tc>
          <w:tcPr>
            <w:tcW w:w="908" w:type="dxa"/>
            <w:noWrap w:val="0"/>
            <w:vAlign w:val="center"/>
          </w:tcPr>
          <w:p>
            <w:pPr>
              <w:spacing w:before="40" w:after="40"/>
              <w:outlineLvl w:val="9"/>
              <w:rPr>
                <w:rFonts w:hint="eastAsia" w:ascii="宋体" w:hAnsi="宋体"/>
                <w:b/>
                <w:highlight w:val="none"/>
              </w:rPr>
            </w:pPr>
          </w:p>
        </w:tc>
        <w:tc>
          <w:tcPr>
            <w:tcW w:w="866"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lang w:val="en-US" w:eastAsia="zh-CN"/>
              </w:rPr>
              <w:t>1.5</w:t>
            </w:r>
          </w:p>
        </w:tc>
        <w:tc>
          <w:tcPr>
            <w:tcW w:w="5405" w:type="dxa"/>
            <w:gridSpan w:val="2"/>
            <w:noWrap w:val="0"/>
            <w:vAlign w:val="center"/>
          </w:tcPr>
          <w:p>
            <w:pPr>
              <w:spacing w:line="240" w:lineRule="auto"/>
              <w:outlineLvl w:val="9"/>
              <w:rPr>
                <w:rFonts w:hint="eastAsia" w:ascii="宋体" w:hAnsi="宋体" w:cs="宋体"/>
                <w:kern w:val="28"/>
                <w:highlight w:val="none"/>
              </w:rPr>
            </w:pPr>
            <w:r>
              <w:rPr>
                <w:rFonts w:hint="eastAsia" w:ascii="宋体" w:hAnsi="宋体" w:eastAsia="宋体" w:cs="宋体"/>
                <w:kern w:val="28"/>
                <w:highlight w:val="none"/>
                <w:lang w:val="en-US" w:eastAsia="zh-CN"/>
              </w:rPr>
              <w:t>供应商未被列入“信用中国”网站(</w:t>
            </w:r>
            <w:r>
              <w:rPr>
                <w:rFonts w:hint="eastAsia" w:ascii="宋体" w:hAnsi="宋体" w:eastAsia="宋体" w:cs="宋体"/>
                <w:kern w:val="28"/>
                <w:highlight w:val="none"/>
                <w:lang w:val="en-US" w:eastAsia="zh-CN"/>
              </w:rPr>
              <w:fldChar w:fldCharType="begin"/>
            </w:r>
            <w:r>
              <w:rPr>
                <w:rFonts w:hint="eastAsia" w:ascii="宋体" w:hAnsi="宋体" w:eastAsia="宋体" w:cs="宋体"/>
                <w:kern w:val="28"/>
                <w:highlight w:val="none"/>
                <w:lang w:val="en-US" w:eastAsia="zh-CN"/>
              </w:rPr>
              <w:instrText xml:space="preserve"> HYPERLINK "http://www.creditchina.gov.cn/" </w:instrText>
            </w:r>
            <w:r>
              <w:rPr>
                <w:rFonts w:hint="eastAsia" w:ascii="宋体" w:hAnsi="宋体" w:eastAsia="宋体" w:cs="宋体"/>
                <w:kern w:val="28"/>
                <w:highlight w:val="none"/>
                <w:lang w:val="en-US" w:eastAsia="zh-CN"/>
              </w:rPr>
              <w:fldChar w:fldCharType="separate"/>
            </w:r>
            <w:r>
              <w:rPr>
                <w:rFonts w:hint="eastAsia" w:ascii="宋体" w:hAnsi="宋体" w:eastAsia="宋体" w:cs="宋体"/>
                <w:kern w:val="28"/>
                <w:highlight w:val="none"/>
                <w:lang w:val="en-US" w:eastAsia="zh-CN"/>
              </w:rPr>
              <w:t>www.creditchina.gov.cn</w:t>
            </w:r>
            <w:r>
              <w:rPr>
                <w:rFonts w:hint="eastAsia" w:ascii="宋体" w:hAnsi="宋体" w:eastAsia="宋体" w:cs="宋体"/>
                <w:kern w:val="28"/>
                <w:highlight w:val="none"/>
                <w:lang w:val="en-US" w:eastAsia="zh-CN"/>
              </w:rPr>
              <w:fldChar w:fldCharType="end"/>
            </w:r>
            <w:r>
              <w:rPr>
                <w:rFonts w:hint="eastAsia" w:ascii="宋体" w:hAnsi="宋体" w:eastAsia="宋体" w:cs="宋体"/>
                <w:kern w:val="28"/>
                <w:highlight w:val="none"/>
                <w:lang w:val="en-US" w:eastAsia="zh-CN"/>
              </w:rPr>
              <w:t>)“失信被执行人或重大税收违法失信主体或政府采购严重违法失信行为”记录名单；不处于中国政府采购网(</w:t>
            </w:r>
            <w:r>
              <w:rPr>
                <w:rFonts w:hint="eastAsia" w:ascii="宋体" w:hAnsi="宋体" w:eastAsia="宋体" w:cs="宋体"/>
                <w:kern w:val="28"/>
                <w:highlight w:val="none"/>
                <w:lang w:val="en-US" w:eastAsia="zh-CN"/>
              </w:rPr>
              <w:fldChar w:fldCharType="begin"/>
            </w:r>
            <w:r>
              <w:rPr>
                <w:rFonts w:hint="eastAsia" w:ascii="宋体" w:hAnsi="宋体" w:eastAsia="宋体" w:cs="宋体"/>
                <w:kern w:val="28"/>
                <w:highlight w:val="none"/>
                <w:lang w:val="en-US" w:eastAsia="zh-CN"/>
              </w:rPr>
              <w:instrText xml:space="preserve"> HYPERLINK "http://www.ccgp.gov.cn/" </w:instrText>
            </w:r>
            <w:r>
              <w:rPr>
                <w:rFonts w:hint="eastAsia" w:ascii="宋体" w:hAnsi="宋体" w:eastAsia="宋体" w:cs="宋体"/>
                <w:kern w:val="28"/>
                <w:highlight w:val="none"/>
                <w:lang w:val="en-US" w:eastAsia="zh-CN"/>
              </w:rPr>
              <w:fldChar w:fldCharType="separate"/>
            </w:r>
            <w:r>
              <w:rPr>
                <w:rFonts w:hint="eastAsia" w:ascii="宋体" w:hAnsi="宋体" w:eastAsia="宋体" w:cs="宋体"/>
                <w:kern w:val="28"/>
                <w:highlight w:val="none"/>
                <w:lang w:val="en-US" w:eastAsia="zh-CN"/>
              </w:rPr>
              <w:t>www.ccgp.gov.cn</w:t>
            </w:r>
            <w:r>
              <w:rPr>
                <w:rFonts w:hint="eastAsia" w:ascii="宋体" w:hAnsi="宋体" w:eastAsia="宋体" w:cs="宋体"/>
                <w:kern w:val="28"/>
                <w:highlight w:val="none"/>
                <w:lang w:val="en-US" w:eastAsia="zh-CN"/>
              </w:rPr>
              <w:fldChar w:fldCharType="end"/>
            </w:r>
            <w:r>
              <w:rPr>
                <w:rFonts w:hint="eastAsia" w:ascii="宋体" w:hAnsi="宋体" w:eastAsia="宋体" w:cs="宋体"/>
                <w:kern w:val="28"/>
                <w:highlight w:val="none"/>
                <w:lang w:val="en-US" w:eastAsia="zh-CN"/>
              </w:rPr>
              <w:t>)“政府采购严重违法失信行为记录名单”中的禁止参加政府采购活动期间</w:t>
            </w:r>
            <w:r>
              <w:rPr>
                <w:rFonts w:hint="eastAsia" w:ascii="宋体" w:hAnsi="宋体" w:cs="宋体"/>
                <w:kern w:val="28"/>
                <w:highlight w:val="none"/>
                <w:lang w:val="en-US" w:eastAsia="zh-CN"/>
              </w:rPr>
              <w:t>。</w:t>
            </w:r>
            <w:r>
              <w:rPr>
                <w:rFonts w:hint="eastAsia" w:ascii="宋体" w:hAnsi="宋体" w:eastAsia="宋体" w:cs="宋体"/>
                <w:kern w:val="28"/>
                <w:highlight w:val="none"/>
                <w:lang w:val="en-US" w:eastAsia="zh-CN"/>
              </w:rPr>
              <w:t>（以采购代理机构响应截止日当天在“信用中国”网站（www.creditchina.gov.cn）及中国政府采购网(www.ccgp.gov.cn)查询结果为准。）。</w:t>
            </w:r>
          </w:p>
        </w:tc>
        <w:tc>
          <w:tcPr>
            <w:tcW w:w="891" w:type="dxa"/>
            <w:noWrap w:val="0"/>
            <w:vAlign w:val="top"/>
          </w:tcPr>
          <w:p>
            <w:pPr>
              <w:tabs>
                <w:tab w:val="left" w:pos="686"/>
                <w:tab w:val="left" w:pos="1030"/>
              </w:tabs>
              <w:spacing w:before="40" w:after="40"/>
              <w:outlineLvl w:val="9"/>
              <w:rPr>
                <w:rFonts w:hint="eastAsia" w:ascii="宋体" w:hAnsi="宋体"/>
                <w:highlight w:val="none"/>
              </w:rPr>
            </w:pPr>
          </w:p>
        </w:tc>
        <w:tc>
          <w:tcPr>
            <w:tcW w:w="875" w:type="dxa"/>
            <w:noWrap w:val="0"/>
            <w:vAlign w:val="center"/>
          </w:tcPr>
          <w:p>
            <w:pPr>
              <w:spacing w:before="40" w:after="40"/>
              <w:outlineLvl w:val="9"/>
              <w:rPr>
                <w:rFonts w:hint="eastAsia" w:ascii="宋体" w:hAnsi="宋体"/>
                <w:b/>
                <w:highlight w:val="none"/>
              </w:rPr>
            </w:pPr>
          </w:p>
        </w:tc>
        <w:tc>
          <w:tcPr>
            <w:tcW w:w="908" w:type="dxa"/>
            <w:noWrap w:val="0"/>
            <w:vAlign w:val="center"/>
          </w:tcPr>
          <w:p>
            <w:pPr>
              <w:spacing w:before="40" w:after="40"/>
              <w:outlineLvl w:val="9"/>
              <w:rPr>
                <w:rFonts w:hint="eastAsia" w:ascii="宋体" w:hAnsi="宋体"/>
                <w:b/>
                <w:highlight w:val="none"/>
              </w:rPr>
            </w:pPr>
          </w:p>
        </w:tc>
        <w:tc>
          <w:tcPr>
            <w:tcW w:w="866"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2</w:t>
            </w:r>
          </w:p>
        </w:tc>
        <w:tc>
          <w:tcPr>
            <w:tcW w:w="5405" w:type="dxa"/>
            <w:gridSpan w:val="2"/>
            <w:noWrap w:val="0"/>
            <w:vAlign w:val="center"/>
          </w:tcPr>
          <w:p>
            <w:pPr>
              <w:ind w:left="40" w:leftChars="19"/>
              <w:outlineLvl w:val="9"/>
              <w:rPr>
                <w:rFonts w:hint="eastAsia" w:ascii="宋体" w:hAnsi="宋体" w:eastAsia="宋体" w:cs="宋体"/>
                <w:kern w:val="28"/>
                <w:highlight w:val="none"/>
                <w:lang w:eastAsia="zh-CN"/>
              </w:rPr>
            </w:pPr>
            <w:r>
              <w:rPr>
                <w:rFonts w:hint="eastAsia" w:ascii="宋体" w:hAnsi="宋体" w:cs="宋体"/>
                <w:kern w:val="28"/>
                <w:highlight w:val="none"/>
                <w:lang w:val="en-GB"/>
              </w:rPr>
              <w:t>保证金汇款声明函</w:t>
            </w:r>
            <w:r>
              <w:rPr>
                <w:rFonts w:hint="eastAsia" w:ascii="宋体" w:hAnsi="宋体" w:cs="宋体"/>
                <w:kern w:val="28"/>
                <w:highlight w:val="none"/>
                <w:lang w:val="en-US" w:eastAsia="zh-CN"/>
              </w:rPr>
              <w:t>/保函</w:t>
            </w:r>
            <w:r>
              <w:rPr>
                <w:rFonts w:hint="eastAsia" w:ascii="宋体" w:hAnsi="宋体" w:cs="宋体"/>
                <w:kern w:val="28"/>
                <w:highlight w:val="none"/>
                <w:lang w:val="en-GB"/>
              </w:rPr>
              <w:t>（</w:t>
            </w:r>
            <w:r>
              <w:rPr>
                <w:rFonts w:hint="eastAsia" w:ascii="宋体" w:hAnsi="宋体" w:cs="宋体"/>
                <w:kern w:val="28"/>
                <w:highlight w:val="none"/>
              </w:rPr>
              <w:t>格式</w:t>
            </w:r>
            <w:r>
              <w:rPr>
                <w:rFonts w:hint="eastAsia" w:ascii="宋体" w:hAnsi="宋体" w:cs="宋体"/>
                <w:kern w:val="28"/>
                <w:highlight w:val="none"/>
                <w:lang w:val="en-GB"/>
              </w:rPr>
              <w:t>）</w:t>
            </w:r>
            <w:r>
              <w:rPr>
                <w:rFonts w:hint="eastAsia" w:eastAsia="宋体"/>
                <w:highlight w:val="none"/>
                <w:lang w:val="en-GB" w:eastAsia="zh-CN"/>
              </w:rPr>
              <w:t>（若提交保函，应于</w:t>
            </w:r>
            <w:r>
              <w:rPr>
                <w:rFonts w:hint="eastAsia"/>
                <w:highlight w:val="none"/>
                <w:lang w:val="en-US" w:eastAsia="zh-CN"/>
              </w:rPr>
              <w:t>响应</w:t>
            </w:r>
            <w:r>
              <w:rPr>
                <w:rFonts w:hint="eastAsia" w:eastAsia="宋体"/>
                <w:highlight w:val="none"/>
                <w:lang w:val="en-GB" w:eastAsia="zh-CN"/>
              </w:rPr>
              <w:t>文件递交截止时间前将保函扫描件发送至</w:t>
            </w:r>
            <w:r>
              <w:rPr>
                <w:rFonts w:hint="eastAsia" w:eastAsia="宋体"/>
                <w:highlight w:val="none"/>
                <w:lang w:val="en-US" w:eastAsia="zh-CN"/>
              </w:rPr>
              <w:t>采购代理机构指定</w:t>
            </w:r>
            <w:r>
              <w:rPr>
                <w:rFonts w:hint="eastAsia" w:eastAsia="宋体"/>
                <w:highlight w:val="none"/>
                <w:lang w:val="en-GB" w:eastAsia="zh-CN"/>
              </w:rPr>
              <w:t>邮箱）</w:t>
            </w:r>
            <w:r>
              <w:rPr>
                <w:rFonts w:hint="eastAsia" w:ascii="宋体" w:hAnsi="宋体" w:cs="宋体"/>
                <w:kern w:val="28"/>
                <w:highlight w:val="none"/>
                <w:lang w:val="en-GB" w:eastAsia="zh-CN"/>
              </w:rPr>
              <w:t>。</w:t>
            </w:r>
          </w:p>
        </w:tc>
        <w:tc>
          <w:tcPr>
            <w:tcW w:w="891" w:type="dxa"/>
            <w:noWrap w:val="0"/>
            <w:vAlign w:val="top"/>
          </w:tcPr>
          <w:p>
            <w:pPr>
              <w:tabs>
                <w:tab w:val="left" w:pos="686"/>
                <w:tab w:val="left" w:pos="1030"/>
              </w:tabs>
              <w:spacing w:before="40" w:after="40"/>
              <w:outlineLvl w:val="9"/>
              <w:rPr>
                <w:rFonts w:hint="eastAsia" w:ascii="宋体" w:hAnsi="宋体"/>
                <w:highlight w:val="none"/>
              </w:rPr>
            </w:pPr>
          </w:p>
        </w:tc>
        <w:tc>
          <w:tcPr>
            <w:tcW w:w="875" w:type="dxa"/>
            <w:noWrap w:val="0"/>
            <w:vAlign w:val="center"/>
          </w:tcPr>
          <w:p>
            <w:pPr>
              <w:spacing w:before="40" w:after="40"/>
              <w:outlineLvl w:val="9"/>
              <w:rPr>
                <w:rFonts w:hint="eastAsia" w:ascii="宋体" w:hAnsi="宋体"/>
                <w:b/>
                <w:highlight w:val="none"/>
              </w:rPr>
            </w:pPr>
          </w:p>
        </w:tc>
        <w:tc>
          <w:tcPr>
            <w:tcW w:w="908" w:type="dxa"/>
            <w:noWrap w:val="0"/>
            <w:vAlign w:val="center"/>
          </w:tcPr>
          <w:p>
            <w:pPr>
              <w:spacing w:before="40" w:after="40"/>
              <w:outlineLvl w:val="9"/>
              <w:rPr>
                <w:rFonts w:hint="eastAsia" w:ascii="宋体" w:hAnsi="宋体"/>
                <w:b/>
                <w:highlight w:val="none"/>
              </w:rPr>
            </w:pPr>
          </w:p>
        </w:tc>
        <w:tc>
          <w:tcPr>
            <w:tcW w:w="866"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3</w:t>
            </w:r>
          </w:p>
        </w:tc>
        <w:tc>
          <w:tcPr>
            <w:tcW w:w="5405"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法定代表人授权书（法定代表人直接</w:t>
            </w:r>
            <w:r>
              <w:rPr>
                <w:rFonts w:hint="eastAsia" w:ascii="宋体" w:hAnsi="宋体" w:cs="宋体"/>
                <w:kern w:val="28"/>
                <w:highlight w:val="none"/>
                <w:lang w:eastAsia="zh-CN"/>
              </w:rPr>
              <w:t>参加磋商会议</w:t>
            </w:r>
            <w:r>
              <w:rPr>
                <w:rFonts w:hint="eastAsia" w:ascii="宋体" w:hAnsi="宋体" w:cs="宋体"/>
                <w:kern w:val="28"/>
                <w:highlight w:val="none"/>
              </w:rPr>
              <w:t>须提交法定代表人证明书）（格式）。</w:t>
            </w:r>
          </w:p>
        </w:tc>
        <w:tc>
          <w:tcPr>
            <w:tcW w:w="891" w:type="dxa"/>
            <w:noWrap w:val="0"/>
            <w:vAlign w:val="top"/>
          </w:tcPr>
          <w:p>
            <w:pPr>
              <w:tabs>
                <w:tab w:val="left" w:pos="686"/>
                <w:tab w:val="left" w:pos="1030"/>
              </w:tabs>
              <w:spacing w:before="40" w:after="40"/>
              <w:outlineLvl w:val="9"/>
              <w:rPr>
                <w:rFonts w:hint="eastAsia" w:ascii="宋体" w:hAnsi="宋体"/>
                <w:highlight w:val="none"/>
              </w:rPr>
            </w:pPr>
          </w:p>
        </w:tc>
        <w:tc>
          <w:tcPr>
            <w:tcW w:w="875" w:type="dxa"/>
            <w:noWrap w:val="0"/>
            <w:vAlign w:val="center"/>
          </w:tcPr>
          <w:p>
            <w:pPr>
              <w:spacing w:before="40" w:after="40"/>
              <w:outlineLvl w:val="9"/>
              <w:rPr>
                <w:rFonts w:hint="eastAsia" w:ascii="宋体" w:hAnsi="宋体"/>
                <w:b/>
                <w:highlight w:val="none"/>
              </w:rPr>
            </w:pPr>
          </w:p>
        </w:tc>
        <w:tc>
          <w:tcPr>
            <w:tcW w:w="908" w:type="dxa"/>
            <w:noWrap w:val="0"/>
            <w:vAlign w:val="center"/>
          </w:tcPr>
          <w:p>
            <w:pPr>
              <w:spacing w:before="40" w:after="40"/>
              <w:outlineLvl w:val="9"/>
              <w:rPr>
                <w:rFonts w:hint="eastAsia" w:ascii="宋体" w:hAnsi="宋体"/>
                <w:b/>
                <w:highlight w:val="none"/>
              </w:rPr>
            </w:pPr>
          </w:p>
        </w:tc>
        <w:tc>
          <w:tcPr>
            <w:tcW w:w="866"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eastAsia="宋体" w:cs="宋体"/>
                <w:bCs/>
                <w:highlight w:val="none"/>
                <w:lang w:val="en-US" w:eastAsia="zh-CN"/>
              </w:rPr>
            </w:pPr>
            <w:r>
              <w:rPr>
                <w:rFonts w:hint="eastAsia" w:ascii="宋体" w:hAnsi="宋体" w:cs="宋体"/>
                <w:bCs/>
                <w:highlight w:val="none"/>
                <w:lang w:val="en-US" w:eastAsia="zh-CN"/>
              </w:rPr>
              <w:t>4</w:t>
            </w:r>
          </w:p>
        </w:tc>
        <w:tc>
          <w:tcPr>
            <w:tcW w:w="5405"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lang w:val="en-US" w:eastAsia="zh-CN"/>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c>
          <w:tcPr>
            <w:tcW w:w="891" w:type="dxa"/>
            <w:noWrap w:val="0"/>
            <w:vAlign w:val="top"/>
          </w:tcPr>
          <w:p>
            <w:pPr>
              <w:tabs>
                <w:tab w:val="left" w:pos="686"/>
                <w:tab w:val="left" w:pos="1030"/>
              </w:tabs>
              <w:spacing w:before="40" w:after="40"/>
              <w:outlineLvl w:val="9"/>
              <w:rPr>
                <w:rFonts w:hint="eastAsia" w:ascii="宋体" w:hAnsi="宋体"/>
                <w:highlight w:val="none"/>
              </w:rPr>
            </w:pPr>
          </w:p>
        </w:tc>
        <w:tc>
          <w:tcPr>
            <w:tcW w:w="875" w:type="dxa"/>
            <w:noWrap w:val="0"/>
            <w:vAlign w:val="center"/>
          </w:tcPr>
          <w:p>
            <w:pPr>
              <w:spacing w:before="40" w:after="40"/>
              <w:outlineLvl w:val="9"/>
              <w:rPr>
                <w:rFonts w:hint="eastAsia" w:ascii="宋体" w:hAnsi="宋体"/>
                <w:b/>
                <w:highlight w:val="none"/>
              </w:rPr>
            </w:pPr>
          </w:p>
        </w:tc>
        <w:tc>
          <w:tcPr>
            <w:tcW w:w="908" w:type="dxa"/>
            <w:noWrap w:val="0"/>
            <w:vAlign w:val="center"/>
          </w:tcPr>
          <w:p>
            <w:pPr>
              <w:spacing w:before="40" w:after="40"/>
              <w:outlineLvl w:val="9"/>
              <w:rPr>
                <w:rFonts w:hint="eastAsia" w:ascii="宋体" w:hAnsi="宋体"/>
                <w:b/>
                <w:highlight w:val="none"/>
              </w:rPr>
            </w:pPr>
          </w:p>
        </w:tc>
        <w:tc>
          <w:tcPr>
            <w:tcW w:w="866"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2" w:type="dxa"/>
            <w:gridSpan w:val="3"/>
            <w:noWrap w:val="0"/>
            <w:vAlign w:val="center"/>
          </w:tcPr>
          <w:p>
            <w:pPr>
              <w:spacing w:before="40" w:after="40" w:line="360" w:lineRule="auto"/>
              <w:jc w:val="center"/>
              <w:outlineLvl w:val="9"/>
              <w:rPr>
                <w:rFonts w:hint="eastAsia" w:ascii="宋体" w:hAnsi="宋体"/>
                <w:b/>
                <w:highlight w:val="none"/>
              </w:rPr>
            </w:pPr>
            <w:r>
              <w:rPr>
                <w:rFonts w:hint="eastAsia" w:ascii="宋体" w:hAnsi="宋体" w:cs="宋体"/>
                <w:bCs/>
                <w:highlight w:val="none"/>
              </w:rPr>
              <w:t>结  论</w:t>
            </w:r>
          </w:p>
        </w:tc>
        <w:tc>
          <w:tcPr>
            <w:tcW w:w="891" w:type="dxa"/>
            <w:noWrap w:val="0"/>
            <w:vAlign w:val="center"/>
          </w:tcPr>
          <w:p>
            <w:pPr>
              <w:spacing w:before="40" w:after="40" w:line="360" w:lineRule="auto"/>
              <w:outlineLvl w:val="9"/>
              <w:rPr>
                <w:rFonts w:hint="eastAsia" w:ascii="宋体" w:hAnsi="宋体"/>
                <w:b/>
                <w:highlight w:val="none"/>
              </w:rPr>
            </w:pPr>
          </w:p>
        </w:tc>
        <w:tc>
          <w:tcPr>
            <w:tcW w:w="875" w:type="dxa"/>
            <w:noWrap w:val="0"/>
            <w:vAlign w:val="center"/>
          </w:tcPr>
          <w:p>
            <w:pPr>
              <w:spacing w:before="40" w:after="40" w:line="360" w:lineRule="auto"/>
              <w:outlineLvl w:val="9"/>
              <w:rPr>
                <w:rFonts w:hint="eastAsia" w:ascii="宋体" w:hAnsi="宋体"/>
                <w:b/>
                <w:highlight w:val="none"/>
              </w:rPr>
            </w:pPr>
          </w:p>
        </w:tc>
        <w:tc>
          <w:tcPr>
            <w:tcW w:w="908" w:type="dxa"/>
            <w:noWrap w:val="0"/>
            <w:vAlign w:val="center"/>
          </w:tcPr>
          <w:p>
            <w:pPr>
              <w:spacing w:before="40" w:after="40" w:line="360" w:lineRule="auto"/>
              <w:outlineLvl w:val="9"/>
              <w:rPr>
                <w:rFonts w:hint="eastAsia" w:ascii="宋体" w:hAnsi="宋体"/>
                <w:b/>
                <w:highlight w:val="none"/>
              </w:rPr>
            </w:pPr>
          </w:p>
        </w:tc>
        <w:tc>
          <w:tcPr>
            <w:tcW w:w="866" w:type="dxa"/>
            <w:noWrap w:val="0"/>
            <w:vAlign w:val="center"/>
          </w:tcPr>
          <w:p>
            <w:pPr>
              <w:spacing w:before="40" w:after="40" w:line="360" w:lineRule="auto"/>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9" w:type="dxa"/>
            <w:gridSpan w:val="2"/>
            <w:noWrap w:val="0"/>
            <w:vAlign w:val="center"/>
          </w:tcPr>
          <w:p>
            <w:pPr>
              <w:jc w:val="center"/>
              <w:outlineLvl w:val="9"/>
              <w:rPr>
                <w:rFonts w:hint="eastAsia" w:ascii="宋体" w:hAnsi="宋体"/>
                <w:highlight w:val="none"/>
              </w:rPr>
            </w:pPr>
            <w:r>
              <w:rPr>
                <w:rFonts w:hint="eastAsia" w:ascii="宋体" w:hAnsi="宋体"/>
                <w:highlight w:val="none"/>
              </w:rPr>
              <w:t>不通过原因说明</w:t>
            </w:r>
          </w:p>
        </w:tc>
        <w:tc>
          <w:tcPr>
            <w:tcW w:w="8403" w:type="dxa"/>
            <w:gridSpan w:val="5"/>
            <w:noWrap w:val="0"/>
            <w:vAlign w:val="center"/>
          </w:tcPr>
          <w:p>
            <w:pPr>
              <w:spacing w:before="40" w:after="40" w:line="360" w:lineRule="auto"/>
              <w:outlineLvl w:val="9"/>
              <w:rPr>
                <w:rFonts w:hint="eastAsia" w:ascii="宋体" w:hAnsi="宋体"/>
                <w:b/>
                <w:highlight w:val="none"/>
              </w:rPr>
            </w:pPr>
          </w:p>
        </w:tc>
      </w:tr>
    </w:tbl>
    <w:p>
      <w:pPr>
        <w:spacing w:before="120" w:line="360" w:lineRule="auto"/>
        <w:ind w:firstLine="420" w:firstLineChars="200"/>
        <w:outlineLvl w:val="9"/>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审查人员</w:t>
      </w:r>
      <w:r>
        <w:rPr>
          <w:rFonts w:hint="eastAsia" w:ascii="宋体" w:hAnsi="宋体"/>
          <w:highlight w:val="none"/>
        </w:rPr>
        <w:t>对响应供应商是否满足要求逐条标注评审意见，“是”标记为“</w:t>
      </w:r>
      <w:r>
        <w:rPr>
          <w:rFonts w:ascii="Arial" w:hAnsi="Arial" w:cs="Arial"/>
          <w:highlight w:val="none"/>
        </w:rPr>
        <w:t>√</w:t>
      </w:r>
      <w:r>
        <w:rPr>
          <w:rFonts w:hint="eastAsia" w:ascii="宋体" w:hAnsi="宋体"/>
          <w:highlight w:val="none"/>
        </w:rPr>
        <w:t>”，“否”标记为“×”；</w:t>
      </w:r>
    </w:p>
    <w:p>
      <w:pPr>
        <w:spacing w:before="120" w:line="360" w:lineRule="auto"/>
        <w:ind w:firstLine="420" w:firstLineChars="200"/>
        <w:outlineLvl w:val="9"/>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outlineLvl w:val="9"/>
        <w:rPr>
          <w:highlight w:val="none"/>
        </w:rPr>
      </w:pPr>
      <w:r>
        <w:rPr>
          <w:rFonts w:hint="eastAsia" w:ascii="宋体" w:hAnsi="宋体"/>
          <w:highlight w:val="none"/>
        </w:rPr>
        <w:t>3.对结论为“不通过”的响应，要说明原因。</w:t>
      </w:r>
    </w:p>
    <w:p>
      <w:pPr>
        <w:outlineLvl w:val="1"/>
        <w:rPr>
          <w:rFonts w:hint="eastAsia" w:eastAsia="黑体"/>
          <w:b/>
          <w:sz w:val="18"/>
          <w:szCs w:val="18"/>
          <w:highlight w:val="none"/>
        </w:rPr>
      </w:pPr>
      <w:r>
        <w:rPr>
          <w:rFonts w:hint="eastAsia" w:ascii="黑体" w:hAnsi="仿宋" w:eastAsia="黑体" w:cs="黑体"/>
          <w:b/>
          <w:bCs/>
          <w:sz w:val="24"/>
          <w:szCs w:val="24"/>
          <w:highlight w:val="none"/>
        </w:rPr>
        <w:br w:type="page"/>
      </w:r>
      <w:bookmarkStart w:id="140" w:name="_Toc11597"/>
      <w:bookmarkStart w:id="141" w:name="_Toc17156"/>
      <w:bookmarkStart w:id="142" w:name="_Toc1955"/>
      <w:r>
        <w:rPr>
          <w:rFonts w:hint="eastAsia" w:ascii="黑体" w:hAnsi="仿宋" w:eastAsia="黑体" w:cs="黑体"/>
          <w:b/>
          <w:bCs/>
          <w:sz w:val="24"/>
          <w:szCs w:val="24"/>
          <w:highlight w:val="none"/>
        </w:rPr>
        <w:t>附表2：《符合性审查表》</w:t>
      </w:r>
      <w:bookmarkEnd w:id="140"/>
      <w:bookmarkEnd w:id="141"/>
      <w:bookmarkEnd w:id="142"/>
    </w:p>
    <w:p>
      <w:pPr>
        <w:outlineLvl w:val="9"/>
        <w:rPr>
          <w:rFonts w:hint="eastAsia"/>
          <w:b/>
          <w:sz w:val="18"/>
          <w:szCs w:val="18"/>
          <w:highlight w:val="none"/>
        </w:rPr>
      </w:pPr>
    </w:p>
    <w:p>
      <w:pPr>
        <w:spacing w:line="360" w:lineRule="auto"/>
        <w:jc w:val="center"/>
        <w:outlineLvl w:val="9"/>
        <w:rPr>
          <w:rFonts w:hint="eastAsia"/>
          <w:highlight w:val="none"/>
        </w:rPr>
      </w:pPr>
      <w:r>
        <w:rPr>
          <w:rFonts w:hint="eastAsia" w:ascii="黑体" w:hAnsi="仿宋" w:eastAsia="黑体" w:cs="黑体"/>
          <w:sz w:val="32"/>
          <w:szCs w:val="32"/>
          <w:highlight w:val="none"/>
        </w:rPr>
        <w:t>符合性审查表</w:t>
      </w:r>
    </w:p>
    <w:tbl>
      <w:tblPr>
        <w:tblStyle w:val="20"/>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jc w:val="center"/>
        </w:trPr>
        <w:tc>
          <w:tcPr>
            <w:tcW w:w="730" w:type="dxa"/>
            <w:noWrap w:val="0"/>
            <w:vAlign w:val="center"/>
          </w:tcPr>
          <w:p>
            <w:pPr>
              <w:jc w:val="center"/>
              <w:outlineLvl w:val="9"/>
              <w:rPr>
                <w:rFonts w:hint="eastAsia" w:ascii="黑体" w:hAnsi="黑体" w:eastAsia="黑体" w:cs="黑体"/>
                <w:b/>
                <w:highlight w:val="none"/>
              </w:rPr>
            </w:pPr>
            <w:r>
              <w:rPr>
                <w:rFonts w:hint="eastAsia" w:ascii="黑体" w:hAnsi="黑体" w:eastAsia="黑体" w:cs="黑体"/>
                <w:b/>
                <w:highlight w:val="none"/>
              </w:rPr>
              <w:t>序号</w:t>
            </w:r>
          </w:p>
        </w:tc>
        <w:tc>
          <w:tcPr>
            <w:tcW w:w="4968" w:type="dxa"/>
            <w:gridSpan w:val="2"/>
            <w:tcBorders>
              <w:tl2br w:val="single" w:color="auto" w:sz="4" w:space="0"/>
            </w:tcBorders>
            <w:noWrap w:val="0"/>
            <w:vAlign w:val="center"/>
          </w:tcPr>
          <w:p>
            <w:pPr>
              <w:jc w:val="right"/>
              <w:outlineLvl w:val="9"/>
              <w:rPr>
                <w:rFonts w:hint="eastAsia" w:ascii="黑体" w:hAnsi="黑体" w:eastAsia="黑体" w:cs="黑体"/>
                <w:b/>
                <w:highlight w:val="none"/>
              </w:rPr>
            </w:pPr>
            <w:r>
              <w:rPr>
                <w:rFonts w:hint="eastAsia" w:ascii="黑体" w:hAnsi="黑体" w:eastAsia="黑体" w:cs="黑体"/>
                <w:b/>
                <w:highlight w:val="none"/>
                <w:lang w:eastAsia="zh-CN"/>
              </w:rPr>
              <w:t>响应</w:t>
            </w:r>
            <w:r>
              <w:rPr>
                <w:rFonts w:hint="eastAsia" w:ascii="黑体" w:hAnsi="黑体" w:eastAsia="黑体" w:cs="黑体"/>
                <w:b/>
                <w:highlight w:val="none"/>
              </w:rPr>
              <w:t>供应商</w:t>
            </w:r>
          </w:p>
          <w:p>
            <w:pPr>
              <w:outlineLvl w:val="9"/>
              <w:rPr>
                <w:rFonts w:hint="eastAsia" w:ascii="黑体" w:hAnsi="黑体" w:eastAsia="黑体" w:cs="黑体"/>
                <w:highlight w:val="none"/>
              </w:rPr>
            </w:pPr>
            <w:r>
              <w:rPr>
                <w:rFonts w:hint="eastAsia" w:ascii="黑体" w:hAnsi="黑体" w:eastAsia="黑体" w:cs="黑体"/>
                <w:b/>
                <w:highlight w:val="none"/>
                <w:lang w:eastAsia="zh-CN"/>
              </w:rPr>
              <w:t>响应</w:t>
            </w:r>
            <w:r>
              <w:rPr>
                <w:rFonts w:hint="eastAsia" w:ascii="黑体" w:hAnsi="黑体" w:eastAsia="黑体" w:cs="黑体"/>
                <w:b/>
                <w:highlight w:val="none"/>
              </w:rPr>
              <w:t>有效性审查项</w:t>
            </w:r>
          </w:p>
        </w:tc>
        <w:tc>
          <w:tcPr>
            <w:tcW w:w="995"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A</w:t>
            </w:r>
            <w:r>
              <w:rPr>
                <w:rFonts w:hint="eastAsia" w:ascii="黑体" w:hAnsi="黑体" w:eastAsia="黑体" w:cs="黑体"/>
                <w:highlight w:val="none"/>
                <w:lang w:eastAsia="zh-CN"/>
              </w:rPr>
              <w:t>响应</w:t>
            </w:r>
            <w:r>
              <w:rPr>
                <w:rFonts w:hint="eastAsia" w:ascii="黑体" w:hAnsi="黑体" w:eastAsia="黑体" w:cs="黑体"/>
                <w:highlight w:val="none"/>
              </w:rPr>
              <w:t>供应商</w:t>
            </w:r>
          </w:p>
        </w:tc>
        <w:tc>
          <w:tcPr>
            <w:tcW w:w="995"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B</w:t>
            </w:r>
            <w:r>
              <w:rPr>
                <w:rFonts w:hint="eastAsia" w:ascii="黑体" w:hAnsi="黑体" w:eastAsia="黑体" w:cs="黑体"/>
                <w:highlight w:val="none"/>
                <w:lang w:eastAsia="zh-CN"/>
              </w:rPr>
              <w:t>响应</w:t>
            </w:r>
            <w:r>
              <w:rPr>
                <w:rFonts w:hint="eastAsia" w:ascii="黑体" w:hAnsi="黑体" w:eastAsia="黑体" w:cs="黑体"/>
                <w:highlight w:val="none"/>
              </w:rPr>
              <w:t>供应商</w:t>
            </w:r>
          </w:p>
        </w:tc>
        <w:tc>
          <w:tcPr>
            <w:tcW w:w="995" w:type="dxa"/>
            <w:noWrap w:val="0"/>
            <w:vAlign w:val="center"/>
          </w:tcPr>
          <w:p>
            <w:pPr>
              <w:tabs>
                <w:tab w:val="left" w:pos="8640"/>
              </w:tabs>
              <w:jc w:val="center"/>
              <w:outlineLvl w:val="9"/>
              <w:rPr>
                <w:rFonts w:hint="eastAsia" w:ascii="黑体" w:hAnsi="黑体" w:eastAsia="黑体" w:cs="黑体"/>
                <w:highlight w:val="none"/>
              </w:rPr>
            </w:pPr>
            <w:r>
              <w:rPr>
                <w:rFonts w:hint="eastAsia" w:ascii="黑体" w:hAnsi="黑体" w:eastAsia="黑体" w:cs="黑体"/>
                <w:highlight w:val="none"/>
              </w:rPr>
              <w:t>C</w:t>
            </w:r>
            <w:r>
              <w:rPr>
                <w:rFonts w:hint="eastAsia" w:ascii="黑体" w:hAnsi="黑体" w:eastAsia="黑体" w:cs="黑体"/>
                <w:highlight w:val="none"/>
                <w:lang w:eastAsia="zh-CN"/>
              </w:rPr>
              <w:t>响应</w:t>
            </w:r>
            <w:r>
              <w:rPr>
                <w:rFonts w:hint="eastAsia" w:ascii="黑体" w:hAnsi="黑体" w:eastAsia="黑体" w:cs="黑体"/>
                <w:highlight w:val="none"/>
              </w:rPr>
              <w:t>供应商</w:t>
            </w:r>
          </w:p>
        </w:tc>
        <w:tc>
          <w:tcPr>
            <w:tcW w:w="992"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D</w:t>
            </w:r>
            <w:r>
              <w:rPr>
                <w:rFonts w:hint="eastAsia" w:ascii="黑体" w:hAnsi="黑体" w:eastAsia="黑体" w:cs="黑体"/>
                <w:highlight w:val="none"/>
                <w:lang w:eastAsia="zh-CN"/>
              </w:rPr>
              <w:t>响应</w:t>
            </w:r>
            <w:r>
              <w:rPr>
                <w:rFonts w:hint="eastAsia" w:ascii="黑体" w:hAnsi="黑体" w:eastAsia="黑体" w:cs="黑体"/>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响应文件语言及有效期符合磋商文件要求。</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2</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响应文件封面、响应函、法定代表人授权委托书三处的项目名称、项目编号均无遗漏，且与所投项目名称、项目编号一致。</w:t>
            </w:r>
          </w:p>
        </w:tc>
        <w:tc>
          <w:tcPr>
            <w:tcW w:w="995" w:type="dxa"/>
            <w:noWrap w:val="0"/>
            <w:vAlign w:val="top"/>
          </w:tcPr>
          <w:p>
            <w:pPr>
              <w:pStyle w:val="12"/>
              <w:tabs>
                <w:tab w:val="left" w:pos="686"/>
                <w:tab w:val="left" w:pos="1030"/>
              </w:tabs>
              <w:spacing w:before="40" w:after="40"/>
              <w:outlineLvl w:val="9"/>
              <w:rPr>
                <w:rFonts w:hint="eastAsia" w:hAnsi="宋体"/>
                <w:sz w:val="21"/>
                <w:highlight w:val="none"/>
              </w:rPr>
            </w:pPr>
          </w:p>
        </w:tc>
        <w:tc>
          <w:tcPr>
            <w:tcW w:w="995" w:type="dxa"/>
            <w:noWrap w:val="0"/>
            <w:vAlign w:val="center"/>
          </w:tcPr>
          <w:p>
            <w:pPr>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highlight w:val="none"/>
              </w:rPr>
            </w:pPr>
          </w:p>
        </w:tc>
        <w:tc>
          <w:tcPr>
            <w:tcW w:w="992" w:type="dxa"/>
            <w:noWrap w:val="0"/>
            <w:vAlign w:val="center"/>
          </w:tcPr>
          <w:p>
            <w:pPr>
              <w:spacing w:before="40" w:after="40"/>
              <w:outlineLvl w:val="9"/>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3</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响应文件签署、盖章均按磋商文件要求签字、盖章（评分标准中要求提供的证明材料除外）。</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4</w:t>
            </w:r>
          </w:p>
        </w:tc>
        <w:tc>
          <w:tcPr>
            <w:tcW w:w="4968" w:type="dxa"/>
            <w:gridSpan w:val="2"/>
            <w:noWrap w:val="0"/>
            <w:vAlign w:val="center"/>
          </w:tcPr>
          <w:p>
            <w:pPr>
              <w:rPr>
                <w:rFonts w:hint="eastAsia" w:eastAsia="宋体"/>
                <w:highlight w:val="none"/>
                <w:lang w:eastAsia="zh-CN"/>
              </w:rPr>
            </w:pPr>
            <w:r>
              <w:rPr>
                <w:rFonts w:hint="eastAsia"/>
                <w:highlight w:val="none"/>
                <w:lang w:val="en-US" w:eastAsia="zh-CN"/>
              </w:rPr>
              <w:t>首次</w:t>
            </w:r>
            <w:r>
              <w:rPr>
                <w:rFonts w:hint="eastAsia" w:eastAsia="宋体"/>
                <w:highlight w:val="none"/>
                <w:lang w:val="en-US" w:eastAsia="zh-CN"/>
              </w:rPr>
              <w:t>报价</w:t>
            </w:r>
            <w:r>
              <w:rPr>
                <w:rFonts w:hint="eastAsia"/>
                <w:highlight w:val="none"/>
                <w:lang w:val="en-US" w:eastAsia="zh-CN"/>
              </w:rPr>
              <w:t>一览</w:t>
            </w:r>
            <w:r>
              <w:rPr>
                <w:rFonts w:hint="eastAsia" w:eastAsia="宋体"/>
                <w:highlight w:val="none"/>
                <w:lang w:val="en-US" w:eastAsia="zh-CN"/>
              </w:rPr>
              <w:t>表填写符合要求</w:t>
            </w:r>
            <w:r>
              <w:rPr>
                <w:rFonts w:hint="eastAsia"/>
                <w:highlight w:val="none"/>
                <w:lang w:val="en-US" w:eastAsia="zh-CN"/>
              </w:rPr>
              <w:t>且</w:t>
            </w:r>
            <w:r>
              <w:rPr>
                <w:rFonts w:hint="eastAsia" w:eastAsia="宋体"/>
                <w:highlight w:val="none"/>
                <w:lang w:val="en-US" w:eastAsia="zh-CN"/>
              </w:rPr>
              <w:t>未超出采购预算或磋商文件规定的最高限价。</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5</w:t>
            </w:r>
          </w:p>
        </w:tc>
        <w:tc>
          <w:tcPr>
            <w:tcW w:w="4968" w:type="dxa"/>
            <w:gridSpan w:val="2"/>
            <w:noWrap w:val="0"/>
            <w:vAlign w:val="center"/>
          </w:tcPr>
          <w:p>
            <w:pPr>
              <w:rPr>
                <w:rFonts w:hint="eastAsia" w:eastAsia="宋体"/>
                <w:highlight w:val="none"/>
                <w:lang w:eastAsia="zh-CN"/>
              </w:rPr>
            </w:pPr>
            <w:r>
              <w:rPr>
                <w:rFonts w:hint="eastAsia"/>
                <w:highlight w:val="none"/>
              </w:rPr>
              <w:t>响应</w:t>
            </w:r>
            <w:r>
              <w:rPr>
                <w:rFonts w:hint="eastAsia"/>
                <w:highlight w:val="none"/>
                <w:lang w:val="en-US" w:eastAsia="zh-CN"/>
              </w:rPr>
              <w:t>磋商</w:t>
            </w:r>
            <w:r>
              <w:rPr>
                <w:rFonts w:hint="eastAsia"/>
                <w:highlight w:val="none"/>
              </w:rPr>
              <w:t>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6</w:t>
            </w:r>
          </w:p>
        </w:tc>
        <w:tc>
          <w:tcPr>
            <w:tcW w:w="4968" w:type="dxa"/>
            <w:gridSpan w:val="2"/>
            <w:noWrap w:val="0"/>
            <w:vAlign w:val="center"/>
          </w:tcPr>
          <w:p>
            <w:pPr>
              <w:rPr>
                <w:rFonts w:hint="eastAsia"/>
                <w:highlight w:val="none"/>
              </w:rPr>
            </w:pPr>
            <w:r>
              <w:rPr>
                <w:rFonts w:hint="eastAsia"/>
                <w:highlight w:val="none"/>
                <w:lang w:val="en-US" w:eastAsia="zh-CN"/>
              </w:rPr>
              <w:t>没有不符合磋商文件规定的被视为无效响应的其他条款。</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98" w:type="dxa"/>
            <w:gridSpan w:val="3"/>
            <w:noWrap w:val="0"/>
            <w:vAlign w:val="center"/>
          </w:tcPr>
          <w:p>
            <w:pPr>
              <w:spacing w:before="40" w:after="40" w:line="360" w:lineRule="auto"/>
              <w:jc w:val="center"/>
              <w:outlineLvl w:val="9"/>
              <w:rPr>
                <w:rFonts w:hint="eastAsia" w:ascii="宋体" w:hAnsi="宋体"/>
                <w:b/>
                <w:highlight w:val="none"/>
              </w:rPr>
            </w:pPr>
            <w:r>
              <w:rPr>
                <w:rFonts w:hint="eastAsia" w:ascii="宋体" w:hAnsi="宋体"/>
                <w:b/>
                <w:highlight w:val="none"/>
              </w:rPr>
              <w:t>结  论</w:t>
            </w:r>
          </w:p>
        </w:tc>
        <w:tc>
          <w:tcPr>
            <w:tcW w:w="995" w:type="dxa"/>
            <w:noWrap w:val="0"/>
            <w:vAlign w:val="center"/>
          </w:tcPr>
          <w:p>
            <w:pPr>
              <w:spacing w:before="40" w:after="40" w:line="360" w:lineRule="auto"/>
              <w:outlineLvl w:val="9"/>
              <w:rPr>
                <w:rFonts w:hint="eastAsia" w:ascii="宋体" w:hAnsi="宋体"/>
                <w:b/>
                <w:highlight w:val="none"/>
              </w:rPr>
            </w:pPr>
          </w:p>
        </w:tc>
        <w:tc>
          <w:tcPr>
            <w:tcW w:w="995" w:type="dxa"/>
            <w:noWrap w:val="0"/>
            <w:vAlign w:val="center"/>
          </w:tcPr>
          <w:p>
            <w:pPr>
              <w:spacing w:before="40" w:after="40" w:line="360" w:lineRule="auto"/>
              <w:outlineLvl w:val="9"/>
              <w:rPr>
                <w:rFonts w:hint="eastAsia" w:ascii="宋体" w:hAnsi="宋体"/>
                <w:b/>
                <w:highlight w:val="none"/>
              </w:rPr>
            </w:pPr>
          </w:p>
        </w:tc>
        <w:tc>
          <w:tcPr>
            <w:tcW w:w="995" w:type="dxa"/>
            <w:noWrap w:val="0"/>
            <w:vAlign w:val="center"/>
          </w:tcPr>
          <w:p>
            <w:pPr>
              <w:spacing w:before="40" w:after="40" w:line="360" w:lineRule="auto"/>
              <w:outlineLvl w:val="9"/>
              <w:rPr>
                <w:rFonts w:hint="eastAsia" w:ascii="宋体" w:hAnsi="宋体"/>
                <w:b/>
                <w:highlight w:val="none"/>
              </w:rPr>
            </w:pPr>
          </w:p>
        </w:tc>
        <w:tc>
          <w:tcPr>
            <w:tcW w:w="992" w:type="dxa"/>
            <w:noWrap w:val="0"/>
            <w:vAlign w:val="center"/>
          </w:tcPr>
          <w:p>
            <w:pPr>
              <w:spacing w:before="40" w:after="40" w:line="360" w:lineRule="auto"/>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gridSpan w:val="2"/>
            <w:noWrap w:val="0"/>
            <w:vAlign w:val="center"/>
          </w:tcPr>
          <w:p>
            <w:pPr>
              <w:jc w:val="center"/>
              <w:outlineLvl w:val="9"/>
              <w:rPr>
                <w:rFonts w:hint="eastAsia" w:ascii="宋体" w:hAnsi="宋体"/>
                <w:highlight w:val="none"/>
              </w:rPr>
            </w:pPr>
            <w:r>
              <w:rPr>
                <w:rFonts w:hint="eastAsia" w:ascii="宋体" w:hAnsi="宋体"/>
                <w:highlight w:val="none"/>
              </w:rPr>
              <w:t>不通过原因说明</w:t>
            </w:r>
          </w:p>
        </w:tc>
        <w:tc>
          <w:tcPr>
            <w:tcW w:w="8403" w:type="dxa"/>
            <w:gridSpan w:val="5"/>
            <w:noWrap w:val="0"/>
            <w:vAlign w:val="center"/>
          </w:tcPr>
          <w:p>
            <w:pPr>
              <w:spacing w:before="40" w:after="40" w:line="360" w:lineRule="auto"/>
              <w:outlineLvl w:val="9"/>
              <w:rPr>
                <w:rFonts w:hint="eastAsia" w:ascii="宋体" w:hAnsi="宋体"/>
                <w:b/>
                <w:highlight w:val="none"/>
              </w:rPr>
            </w:pPr>
          </w:p>
        </w:tc>
      </w:tr>
    </w:tbl>
    <w:p>
      <w:pPr>
        <w:spacing w:before="120" w:line="360" w:lineRule="auto"/>
        <w:ind w:firstLine="420" w:firstLineChars="200"/>
        <w:outlineLvl w:val="9"/>
        <w:rPr>
          <w:rFonts w:hint="eastAsia" w:ascii="宋体" w:hAnsi="宋体"/>
          <w:highlight w:val="none"/>
        </w:rPr>
      </w:pPr>
      <w:r>
        <w:rPr>
          <w:rFonts w:hint="eastAsia" w:ascii="宋体" w:hAnsi="宋体"/>
          <w:highlight w:val="none"/>
        </w:rPr>
        <w:t>1.评审时评委对响应供应商是否满足要求逐条标注评审意见，“是”标记为“</w:t>
      </w:r>
      <w:r>
        <w:rPr>
          <w:rFonts w:ascii="宋体" w:hAnsi="宋体"/>
          <w:highlight w:val="none"/>
        </w:rPr>
        <w:t>√</w:t>
      </w:r>
      <w:r>
        <w:rPr>
          <w:rFonts w:hint="eastAsia" w:ascii="宋体" w:hAnsi="宋体"/>
          <w:highlight w:val="none"/>
        </w:rPr>
        <w:t>”，“否”标记为“×”；</w:t>
      </w:r>
    </w:p>
    <w:p>
      <w:pPr>
        <w:spacing w:before="120" w:line="360" w:lineRule="auto"/>
        <w:ind w:firstLine="420" w:firstLineChars="200"/>
        <w:outlineLvl w:val="9"/>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outlineLvl w:val="9"/>
        <w:rPr>
          <w:rFonts w:hint="eastAsia" w:ascii="宋体" w:hAnsi="宋体"/>
          <w:highlight w:val="none"/>
        </w:rPr>
      </w:pPr>
      <w:r>
        <w:rPr>
          <w:rFonts w:hint="eastAsia" w:ascii="宋体" w:hAnsi="宋体"/>
          <w:highlight w:val="none"/>
        </w:rPr>
        <w:t>3.对结论为“不通过”的响应，要说明原因。</w:t>
      </w:r>
    </w:p>
    <w:p>
      <w:pPr>
        <w:pStyle w:val="2"/>
        <w:rPr>
          <w:rFonts w:hint="eastAsia"/>
          <w:highlight w:val="none"/>
        </w:rPr>
        <w:sectPr>
          <w:headerReference r:id="rId3" w:type="default"/>
          <w:footerReference r:id="rId4" w:type="default"/>
          <w:pgSz w:w="11907" w:h="16840"/>
          <w:pgMar w:top="1440" w:right="1080" w:bottom="1440" w:left="1080" w:header="794" w:footer="794" w:gutter="0"/>
          <w:cols w:space="720" w:num="1"/>
          <w:docGrid w:linePitch="285" w:charSpace="0"/>
        </w:sectPr>
      </w:pPr>
    </w:p>
    <w:p>
      <w:pPr>
        <w:wordWrap w:val="0"/>
        <w:topLinePunct/>
        <w:spacing w:line="360" w:lineRule="auto"/>
        <w:ind w:firstLine="482" w:firstLineChars="200"/>
        <w:outlineLvl w:val="1"/>
        <w:rPr>
          <w:rFonts w:hint="eastAsia" w:ascii="黑体" w:hAnsi="仿宋" w:eastAsia="黑体" w:cs="黑体"/>
          <w:b/>
          <w:bCs/>
          <w:color w:val="auto"/>
          <w:sz w:val="24"/>
          <w:szCs w:val="24"/>
          <w:highlight w:val="none"/>
        </w:rPr>
      </w:pPr>
      <w:bookmarkStart w:id="143" w:name="_Toc14127"/>
      <w:bookmarkStart w:id="144" w:name="_Toc21145"/>
      <w:bookmarkStart w:id="145" w:name="_Toc2064"/>
      <w:bookmarkStart w:id="146" w:name="_Toc24188"/>
      <w:bookmarkStart w:id="147" w:name="_Toc14011"/>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3</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eastAsia="zh-CN"/>
        </w:rPr>
        <w:t>价格</w:t>
      </w:r>
      <w:r>
        <w:rPr>
          <w:rFonts w:hint="eastAsia" w:ascii="黑体" w:hAnsi="仿宋" w:eastAsia="黑体" w:cs="黑体"/>
          <w:b/>
          <w:bCs/>
          <w:color w:val="auto"/>
          <w:sz w:val="24"/>
          <w:szCs w:val="24"/>
          <w:highlight w:val="none"/>
        </w:rPr>
        <w:t>评审表》</w:t>
      </w:r>
      <w:bookmarkEnd w:id="143"/>
      <w:bookmarkEnd w:id="144"/>
      <w:bookmarkEnd w:id="145"/>
      <w:bookmarkEnd w:id="146"/>
      <w:bookmarkEnd w:id="147"/>
    </w:p>
    <w:p>
      <w:pPr>
        <w:spacing w:line="360" w:lineRule="auto"/>
        <w:jc w:val="center"/>
        <w:rPr>
          <w:rFonts w:hint="eastAsia" w:ascii="黑体" w:hAnsi="仿宋" w:eastAsia="黑体" w:cs="黑体"/>
          <w:color w:val="auto"/>
          <w:sz w:val="32"/>
          <w:szCs w:val="32"/>
          <w:highlight w:val="none"/>
        </w:rPr>
      </w:pPr>
      <w:r>
        <w:rPr>
          <w:rFonts w:hint="eastAsia" w:ascii="黑体" w:hAnsi="仿宋" w:eastAsia="黑体" w:cs="黑体"/>
          <w:color w:val="auto"/>
          <w:sz w:val="32"/>
          <w:szCs w:val="32"/>
          <w:highlight w:val="none"/>
          <w:lang w:eastAsia="zh-CN"/>
        </w:rPr>
        <w:t>价格</w:t>
      </w:r>
      <w:r>
        <w:rPr>
          <w:rFonts w:hint="eastAsia" w:ascii="黑体" w:hAnsi="仿宋" w:eastAsia="黑体" w:cs="黑体"/>
          <w:color w:val="auto"/>
          <w:sz w:val="32"/>
          <w:szCs w:val="32"/>
          <w:highlight w:val="none"/>
        </w:rPr>
        <w:t>评审表</w:t>
      </w:r>
    </w:p>
    <w:tbl>
      <w:tblPr>
        <w:tblStyle w:val="20"/>
        <w:tblW w:w="13354" w:type="dxa"/>
        <w:jc w:val="center"/>
        <w:tblLayout w:type="fixed"/>
        <w:tblCellMar>
          <w:top w:w="0" w:type="dxa"/>
          <w:left w:w="108" w:type="dxa"/>
          <w:bottom w:w="0" w:type="dxa"/>
          <w:right w:w="108" w:type="dxa"/>
        </w:tblCellMar>
      </w:tblPr>
      <w:tblGrid>
        <w:gridCol w:w="3040"/>
        <w:gridCol w:w="8778"/>
        <w:gridCol w:w="791"/>
        <w:gridCol w:w="745"/>
      </w:tblGrid>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类别</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评审内容</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分值</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序号</w:t>
            </w:r>
          </w:p>
        </w:tc>
      </w:tr>
      <w:tr>
        <w:tblPrEx>
          <w:tblCellMar>
            <w:top w:w="0" w:type="dxa"/>
            <w:left w:w="108" w:type="dxa"/>
            <w:bottom w:w="0" w:type="dxa"/>
            <w:right w:w="108" w:type="dxa"/>
          </w:tblCellMar>
        </w:tblPrEx>
        <w:trPr>
          <w:trHeight w:val="774"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b/>
                <w:color w:val="auto"/>
                <w:highlight w:val="none"/>
                <w:lang w:eastAsia="zh-CN"/>
              </w:rPr>
            </w:pPr>
            <w:r>
              <w:rPr>
                <w:rFonts w:hint="eastAsia" w:ascii="黑体" w:hAnsi="黑体" w:eastAsia="黑体" w:cs="黑体"/>
                <w:b/>
                <w:color w:val="auto"/>
                <w:highlight w:val="none"/>
                <w:lang w:eastAsia="zh-CN"/>
              </w:rPr>
              <w:t>价格评分</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各有效供应商的评审价中，取最低者作为基准价，各有效供应商的价格评分统一按照下列公式计算：</w:t>
            </w:r>
          </w:p>
          <w:p>
            <w:pPr>
              <w:spacing w:line="300" w:lineRule="exact"/>
              <w:ind w:firstLine="420" w:firstLineChars="200"/>
              <w:rPr>
                <w:rFonts w:hint="eastAsia" w:ascii="宋体" w:hAnsi="宋体" w:eastAsia="宋体" w:cs="Calibri"/>
                <w:color w:val="auto"/>
                <w:kern w:val="2"/>
                <w:sz w:val="22"/>
                <w:szCs w:val="22"/>
                <w:highlight w:val="none"/>
                <w:lang w:val="en-US" w:eastAsia="zh-CN" w:bidi="ar-SA"/>
              </w:rPr>
            </w:pPr>
            <w:r>
              <w:rPr>
                <w:rFonts w:hint="eastAsia" w:ascii="宋体" w:hAnsi="宋体" w:eastAsia="宋体" w:cs="Calibri"/>
                <w:color w:val="auto"/>
                <w:kern w:val="2"/>
                <w:sz w:val="21"/>
                <w:szCs w:val="21"/>
                <w:highlight w:val="none"/>
                <w:lang w:val="en-US" w:eastAsia="zh-CN" w:bidi="ar-SA"/>
              </w:rPr>
              <w:t>价格评分＝（基准价÷评审价）×价格分分值。</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lang w:val="en-US" w:eastAsia="zh-CN"/>
              </w:rPr>
              <w:t>10</w:t>
            </w:r>
            <w:r>
              <w:rPr>
                <w:rFonts w:hint="eastAsia" w:ascii="宋体" w:hAnsi="宋体" w:cs="宋体"/>
                <w:bCs/>
                <w:color w:val="auto"/>
                <w:highlight w:val="none"/>
              </w:rPr>
              <w:t>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w:t>
            </w:r>
          </w:p>
        </w:tc>
      </w:tr>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color w:val="auto"/>
                <w:highlight w:val="none"/>
              </w:rPr>
            </w:pPr>
            <w:r>
              <w:rPr>
                <w:rFonts w:hint="eastAsia" w:ascii="宋体" w:hAnsi="宋体"/>
                <w:b/>
                <w:color w:val="auto"/>
                <w:highlight w:val="none"/>
              </w:rPr>
              <w:t>小计</w:t>
            </w:r>
          </w:p>
        </w:tc>
        <w:tc>
          <w:tcPr>
            <w:tcW w:w="1031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黑体" w:hAnsi="黑体" w:eastAsia="黑体" w:cs="黑体"/>
                <w:b/>
                <w:color w:val="auto"/>
                <w:highlight w:val="none"/>
                <w:lang w:val="en-US" w:eastAsia="zh-CN"/>
              </w:rPr>
              <w:t>10</w:t>
            </w:r>
            <w:r>
              <w:rPr>
                <w:rFonts w:hint="eastAsia" w:ascii="黑体" w:hAnsi="黑体" w:eastAsia="黑体" w:cs="黑体"/>
                <w:b/>
                <w:color w:val="auto"/>
                <w:highlight w:val="none"/>
              </w:rPr>
              <w:t>分</w:t>
            </w:r>
          </w:p>
        </w:tc>
      </w:tr>
    </w:tbl>
    <w:p>
      <w:pPr>
        <w:spacing w:line="360" w:lineRule="auto"/>
        <w:ind w:firstLine="422" w:firstLineChars="200"/>
        <w:rPr>
          <w:rFonts w:hint="eastAsia" w:ascii="宋体" w:hAnsi="宋体" w:cs="宋体"/>
          <w:b/>
          <w:bCs/>
          <w:color w:val="auto"/>
          <w:highlight w:val="none"/>
          <w:u w:val="single"/>
          <w:lang w:val="en-GB"/>
        </w:rPr>
      </w:pPr>
      <w:r>
        <w:rPr>
          <w:rFonts w:hint="eastAsia" w:ascii="宋体" w:hAnsi="宋体" w:cs="宋体"/>
          <w:b/>
          <w:bCs/>
          <w:color w:val="auto"/>
          <w:highlight w:val="none"/>
          <w:u w:val="single"/>
          <w:lang w:val="en-GB"/>
        </w:rPr>
        <w:t>注：</w:t>
      </w:r>
      <w:r>
        <w:rPr>
          <w:rFonts w:hint="eastAsia" w:ascii="宋体" w:hAnsi="宋体" w:cs="宋体"/>
          <w:b/>
          <w:bCs/>
          <w:color w:val="auto"/>
          <w:highlight w:val="none"/>
          <w:u w:val="single"/>
          <w:lang w:val="en-US" w:eastAsia="zh-CN"/>
        </w:rPr>
        <w:t>磋商</w:t>
      </w:r>
      <w:r>
        <w:rPr>
          <w:rFonts w:hint="eastAsia" w:ascii="宋体" w:hAnsi="宋体" w:cs="宋体"/>
          <w:b/>
          <w:bCs/>
          <w:color w:val="auto"/>
          <w:highlight w:val="none"/>
          <w:u w:val="single"/>
          <w:lang w:val="en-GB"/>
        </w:rPr>
        <w:t>文件要求提交的与评价指标体系相关的各类有效资料，</w:t>
      </w:r>
      <w:r>
        <w:rPr>
          <w:rFonts w:hint="eastAsia" w:ascii="宋体" w:hAnsi="宋体" w:cs="宋体"/>
          <w:b/>
          <w:bCs/>
          <w:color w:val="auto"/>
          <w:highlight w:val="none"/>
          <w:u w:val="single"/>
          <w:lang w:val="en-US" w:eastAsia="zh-CN"/>
        </w:rPr>
        <w:t>响应</w:t>
      </w:r>
      <w:r>
        <w:rPr>
          <w:rFonts w:hint="eastAsia" w:ascii="宋体" w:hAnsi="宋体" w:cs="宋体"/>
          <w:b/>
          <w:bCs/>
          <w:color w:val="auto"/>
          <w:highlight w:val="none"/>
          <w:u w:val="single"/>
          <w:lang w:val="en-GB"/>
        </w:rPr>
        <w:t>供应商如未按要求提交的，该项评分为零分；</w:t>
      </w:r>
    </w:p>
    <w:p>
      <w:pPr>
        <w:rPr>
          <w:rFonts w:hint="eastAsia"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rPr>
        <w:br w:type="page"/>
      </w:r>
    </w:p>
    <w:p>
      <w:pPr>
        <w:spacing w:line="360" w:lineRule="auto"/>
        <w:ind w:firstLine="482" w:firstLineChars="200"/>
        <w:outlineLvl w:val="1"/>
        <w:rPr>
          <w:rFonts w:ascii="黑体" w:hAnsi="仿宋" w:eastAsia="黑体" w:cs="Times New Roman"/>
          <w:b/>
          <w:bCs/>
          <w:color w:val="auto"/>
          <w:sz w:val="24"/>
          <w:szCs w:val="24"/>
          <w:highlight w:val="none"/>
        </w:rPr>
      </w:pPr>
      <w:bookmarkStart w:id="148" w:name="_Toc645"/>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4</w:t>
      </w:r>
      <w:r>
        <w:rPr>
          <w:rFonts w:hint="eastAsia" w:ascii="黑体" w:hAnsi="仿宋" w:eastAsia="黑体" w:cs="黑体"/>
          <w:b/>
          <w:bCs/>
          <w:color w:val="auto"/>
          <w:sz w:val="24"/>
          <w:szCs w:val="24"/>
          <w:highlight w:val="none"/>
        </w:rPr>
        <w:t>：《技术评审表》</w:t>
      </w:r>
      <w:bookmarkEnd w:id="148"/>
    </w:p>
    <w:p>
      <w:pPr>
        <w:spacing w:line="360" w:lineRule="auto"/>
        <w:jc w:val="center"/>
        <w:rPr>
          <w:rFonts w:ascii="黑体" w:hAnsi="仿宋" w:eastAsia="黑体" w:cs="Times New Roman"/>
          <w:color w:val="auto"/>
          <w:sz w:val="32"/>
          <w:szCs w:val="32"/>
          <w:highlight w:val="none"/>
        </w:rPr>
      </w:pPr>
      <w:bookmarkStart w:id="149" w:name="_Toc483349422"/>
      <w:bookmarkStart w:id="150" w:name="_Toc31567"/>
      <w:r>
        <w:rPr>
          <w:rFonts w:hint="eastAsia" w:ascii="黑体" w:hAnsi="仿宋" w:eastAsia="黑体" w:cs="黑体"/>
          <w:color w:val="auto"/>
          <w:sz w:val="32"/>
          <w:szCs w:val="32"/>
          <w:highlight w:val="none"/>
        </w:rPr>
        <w:t>技术评审表</w:t>
      </w:r>
      <w:bookmarkEnd w:id="149"/>
      <w:bookmarkEnd w:id="150"/>
    </w:p>
    <w:tbl>
      <w:tblPr>
        <w:tblStyle w:val="20"/>
        <w:tblW w:w="0" w:type="auto"/>
        <w:jc w:val="center"/>
        <w:tblLayout w:type="fixed"/>
        <w:tblCellMar>
          <w:top w:w="0" w:type="dxa"/>
          <w:left w:w="108" w:type="dxa"/>
          <w:bottom w:w="0" w:type="dxa"/>
          <w:right w:w="108" w:type="dxa"/>
        </w:tblCellMar>
      </w:tblPr>
      <w:tblGrid>
        <w:gridCol w:w="2402"/>
        <w:gridCol w:w="9416"/>
        <w:gridCol w:w="791"/>
        <w:gridCol w:w="745"/>
      </w:tblGrid>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类别</w:t>
            </w:r>
          </w:p>
        </w:tc>
        <w:tc>
          <w:tcPr>
            <w:tcW w:w="9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评审内容</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分值</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序号</w:t>
            </w:r>
          </w:p>
        </w:tc>
      </w:tr>
      <w:tr>
        <w:tblPrEx>
          <w:tblCellMar>
            <w:top w:w="0" w:type="dxa"/>
            <w:left w:w="108" w:type="dxa"/>
            <w:bottom w:w="0" w:type="dxa"/>
            <w:right w:w="108" w:type="dxa"/>
          </w:tblCellMar>
        </w:tblPrEx>
        <w:trPr>
          <w:trHeight w:val="90"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b/>
                <w:highlight w:val="none"/>
              </w:rPr>
            </w:pPr>
            <w:r>
              <w:rPr>
                <w:rFonts w:hint="eastAsia" w:ascii="宋体" w:hAnsi="宋体" w:eastAsia="黑体"/>
                <w:b/>
                <w:highlight w:val="none"/>
              </w:rPr>
              <w:t>技术指标</w:t>
            </w:r>
          </w:p>
        </w:tc>
        <w:tc>
          <w:tcPr>
            <w:tcW w:w="941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Times New Roman" w:hAnsi="Times New Roman" w:eastAsia="宋体"/>
                <w:highlight w:val="none"/>
              </w:rPr>
            </w:pPr>
            <w:r>
              <w:rPr>
                <w:rFonts w:hint="eastAsia" w:ascii="Times New Roman" w:hAnsi="Times New Roman" w:eastAsia="宋体"/>
                <w:highlight w:val="none"/>
              </w:rPr>
              <w:t>供应商对采购内容（技术参数）的响应程度，满足磋商文件所要求的各项技术指标。以上服务指标（提供充足的佐证材料，包括但不限于第三方机构证明、功能截图等），每负偏离一项或未提供证明材料的扣</w:t>
            </w:r>
            <w:r>
              <w:rPr>
                <w:rFonts w:ascii="Times New Roman" w:hAnsi="Times New Roman" w:eastAsia="宋体"/>
                <w:highlight w:val="none"/>
              </w:rPr>
              <w:t>2</w:t>
            </w:r>
            <w:r>
              <w:rPr>
                <w:rFonts w:hint="eastAsia" w:ascii="Times New Roman" w:hAnsi="Times New Roman" w:eastAsia="宋体"/>
                <w:highlight w:val="none"/>
              </w:rPr>
              <w:t>分，扣完为止。</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宋体" w:hAnsi="宋体"/>
                <w:bCs/>
                <w:highlight w:val="none"/>
              </w:rPr>
              <w:t>2</w:t>
            </w:r>
            <w:r>
              <w:rPr>
                <w:rFonts w:ascii="宋体" w:hAnsi="宋体"/>
                <w:bCs/>
                <w:highlight w:val="none"/>
              </w:rPr>
              <w:t>0</w:t>
            </w:r>
            <w:r>
              <w:rPr>
                <w:rFonts w:hint="eastAsia" w:ascii="宋体" w:hAnsi="宋体"/>
                <w:bCs/>
                <w:highlight w:val="none"/>
              </w:rPr>
              <w:t>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ascii="宋体" w:hAnsi="宋体"/>
                <w:bCs/>
                <w:highlight w:val="none"/>
              </w:rPr>
              <w:t>1</w:t>
            </w:r>
          </w:p>
        </w:tc>
      </w:tr>
      <w:tr>
        <w:tblPrEx>
          <w:tblCellMar>
            <w:top w:w="0" w:type="dxa"/>
            <w:left w:w="108" w:type="dxa"/>
            <w:bottom w:w="0" w:type="dxa"/>
            <w:right w:w="108" w:type="dxa"/>
          </w:tblCellMar>
        </w:tblPrEx>
        <w:trPr>
          <w:trHeight w:val="90"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b/>
                <w:highlight w:val="none"/>
              </w:rPr>
            </w:pPr>
            <w:r>
              <w:rPr>
                <w:rFonts w:hint="eastAsia" w:ascii="宋体" w:hAnsi="宋体" w:eastAsia="黑体"/>
                <w:b/>
                <w:highlight w:val="none"/>
              </w:rPr>
              <w:t>服务质量保证</w:t>
            </w:r>
          </w:p>
        </w:tc>
        <w:tc>
          <w:tcPr>
            <w:tcW w:w="941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Times New Roman" w:hAnsi="Times New Roman" w:eastAsia="宋体"/>
                <w:highlight w:val="none"/>
              </w:rPr>
            </w:pPr>
            <w:r>
              <w:rPr>
                <w:rFonts w:hint="eastAsia" w:ascii="Times New Roman" w:hAnsi="Times New Roman" w:eastAsia="宋体"/>
                <w:highlight w:val="none"/>
              </w:rPr>
              <w:t>1.供应商应具备：</w:t>
            </w:r>
          </w:p>
          <w:p>
            <w:pPr>
              <w:spacing w:line="300" w:lineRule="exact"/>
              <w:ind w:firstLine="420" w:firstLineChars="200"/>
              <w:rPr>
                <w:rFonts w:ascii="Times New Roman" w:hAnsi="Times New Roman" w:eastAsia="宋体"/>
                <w:highlight w:val="none"/>
              </w:rPr>
            </w:pPr>
            <w:r>
              <w:rPr>
                <w:rFonts w:hint="eastAsia" w:ascii="Times New Roman" w:hAnsi="Times New Roman" w:eastAsia="宋体"/>
                <w:highlight w:val="none"/>
              </w:rPr>
              <w:t>为确保项目完成质量，供应商需具备：质量管理体系认证（GB/T 19001-2016/ISO 9001:2015），满足得</w:t>
            </w:r>
            <w:r>
              <w:rPr>
                <w:rFonts w:ascii="Times New Roman" w:hAnsi="Times New Roman" w:eastAsia="宋体"/>
                <w:highlight w:val="none"/>
              </w:rPr>
              <w:t>2</w:t>
            </w:r>
            <w:r>
              <w:rPr>
                <w:rFonts w:hint="eastAsia" w:ascii="Times New Roman" w:hAnsi="Times New Roman" w:eastAsia="宋体"/>
                <w:highlight w:val="none"/>
              </w:rPr>
              <w:t>分，未提供不得分。</w:t>
            </w:r>
          </w:p>
          <w:p>
            <w:pPr>
              <w:spacing w:line="300" w:lineRule="exact"/>
              <w:ind w:firstLine="420" w:firstLineChars="200"/>
              <w:rPr>
                <w:rFonts w:hint="eastAsia" w:ascii="Times New Roman" w:hAnsi="Times New Roman" w:eastAsia="宋体"/>
                <w:highlight w:val="none"/>
              </w:rPr>
            </w:pPr>
            <w:r>
              <w:rPr>
                <w:rFonts w:hint="eastAsia" w:ascii="Times New Roman" w:hAnsi="Times New Roman" w:eastAsia="宋体"/>
                <w:highlight w:val="none"/>
              </w:rPr>
              <w:t>2.态势感知服务厂商具备：</w:t>
            </w:r>
          </w:p>
          <w:p>
            <w:pPr>
              <w:spacing w:line="300" w:lineRule="exact"/>
              <w:ind w:firstLine="420" w:firstLineChars="200"/>
              <w:rPr>
                <w:rFonts w:ascii="Times New Roman" w:hAnsi="Times New Roman" w:eastAsia="宋体"/>
                <w:highlight w:val="none"/>
              </w:rPr>
            </w:pPr>
            <w:r>
              <w:rPr>
                <w:rFonts w:hint="eastAsia" w:ascii="宋体" w:hAnsi="宋体" w:eastAsia="宋体" w:cs="宋体"/>
                <w:color w:val="000000"/>
                <w:kern w:val="0"/>
                <w:szCs w:val="21"/>
                <w:highlight w:val="none"/>
              </w:rPr>
              <w:t>考虑到省总工会重要资产均部署于云端，态势感知平台厂家应具备云安全软件开发能力，具备“云安全成熟度模型</w:t>
            </w:r>
            <w:r>
              <w:rPr>
                <w:rFonts w:ascii="宋体" w:hAnsi="宋体" w:eastAsia="宋体" w:cs="宋体"/>
                <w:color w:val="000000"/>
                <w:kern w:val="0"/>
                <w:szCs w:val="21"/>
                <w:highlight w:val="none"/>
              </w:rPr>
              <w:t>CSA-CMMI 5</w:t>
            </w:r>
            <w:r>
              <w:rPr>
                <w:rFonts w:hint="eastAsia" w:ascii="宋体" w:hAnsi="宋体" w:eastAsia="宋体" w:cs="宋体"/>
                <w:color w:val="000000"/>
                <w:kern w:val="0"/>
                <w:szCs w:val="21"/>
                <w:highlight w:val="none"/>
              </w:rPr>
              <w:t>级</w:t>
            </w:r>
            <w:r>
              <w:rPr>
                <w:rFonts w:ascii="宋体" w:hAnsi="宋体" w:eastAsia="宋体" w:cs="宋体"/>
                <w:color w:val="000000"/>
                <w:kern w:val="0"/>
                <w:szCs w:val="21"/>
                <w:highlight w:val="none"/>
              </w:rPr>
              <w:t>认证</w:t>
            </w:r>
            <w:r>
              <w:rPr>
                <w:rFonts w:hint="eastAsia" w:ascii="宋体" w:hAnsi="宋体" w:eastAsia="宋体" w:cs="宋体"/>
                <w:color w:val="000000"/>
                <w:kern w:val="0"/>
                <w:szCs w:val="21"/>
                <w:highlight w:val="none"/>
              </w:rPr>
              <w:t>证书”的得5分</w:t>
            </w:r>
            <w:r>
              <w:rPr>
                <w:rFonts w:ascii="宋体" w:hAnsi="宋体" w:eastAsia="宋体" w:cs="宋体"/>
                <w:color w:val="000000"/>
                <w:kern w:val="0"/>
                <w:szCs w:val="21"/>
                <w:highlight w:val="none"/>
              </w:rPr>
              <w:t>；</w:t>
            </w:r>
            <w:r>
              <w:rPr>
                <w:rFonts w:hint="eastAsia" w:ascii="宋体" w:hAnsi="宋体" w:eastAsia="宋体" w:cs="宋体"/>
                <w:color w:val="000000"/>
                <w:kern w:val="0"/>
                <w:szCs w:val="21"/>
                <w:highlight w:val="none"/>
              </w:rPr>
              <w:t>具备</w:t>
            </w:r>
            <w:r>
              <w:rPr>
                <w:rFonts w:ascii="宋体" w:hAnsi="宋体" w:eastAsia="宋体" w:cs="宋体"/>
                <w:color w:val="000000"/>
                <w:kern w:val="0"/>
                <w:szCs w:val="21"/>
                <w:highlight w:val="none"/>
              </w:rPr>
              <w:t>CSA-CMMI 3</w:t>
            </w:r>
            <w:r>
              <w:rPr>
                <w:rFonts w:hint="eastAsia" w:ascii="宋体" w:hAnsi="宋体" w:eastAsia="宋体" w:cs="宋体"/>
                <w:color w:val="000000"/>
                <w:kern w:val="0"/>
                <w:szCs w:val="21"/>
                <w:highlight w:val="none"/>
              </w:rPr>
              <w:t>级得2分；否则不得分；</w:t>
            </w:r>
          </w:p>
          <w:p>
            <w:pPr>
              <w:spacing w:line="300" w:lineRule="exact"/>
              <w:ind w:firstLine="420" w:firstLineChars="200"/>
              <w:rPr>
                <w:rFonts w:hint="eastAsia" w:ascii="Times New Roman" w:hAnsi="Times New Roman" w:eastAsia="宋体"/>
                <w:highlight w:val="none"/>
              </w:rPr>
            </w:pPr>
            <w:r>
              <w:rPr>
                <w:rFonts w:hint="eastAsia" w:ascii="Times New Roman" w:hAnsi="Times New Roman" w:eastAsia="宋体"/>
                <w:highlight w:val="none"/>
              </w:rPr>
              <w:t>3.日志审计厂商具备：</w:t>
            </w:r>
          </w:p>
          <w:p>
            <w:pPr>
              <w:spacing w:line="300" w:lineRule="exact"/>
              <w:ind w:firstLine="420" w:firstLineChars="200"/>
              <w:rPr>
                <w:rFonts w:ascii="Times New Roman" w:hAnsi="Times New Roman" w:eastAsia="宋体"/>
                <w:highlight w:val="none"/>
              </w:rPr>
            </w:pPr>
            <w:r>
              <w:rPr>
                <w:rFonts w:hint="eastAsia" w:ascii="宋体" w:hAnsi="宋体" w:eastAsia="宋体"/>
                <w:highlight w:val="none"/>
              </w:rPr>
              <w:t>为了适应未来3-</w:t>
            </w:r>
            <w:r>
              <w:rPr>
                <w:rFonts w:ascii="宋体" w:hAnsi="宋体" w:eastAsia="宋体"/>
                <w:highlight w:val="none"/>
              </w:rPr>
              <w:t>5</w:t>
            </w:r>
            <w:r>
              <w:rPr>
                <w:rFonts w:hint="eastAsia" w:ascii="宋体" w:hAnsi="宋体" w:eastAsia="宋体"/>
                <w:highlight w:val="none"/>
              </w:rPr>
              <w:t>年数据量增加，日志审计可提供专业的高性能日志及行为审计系统的技术先进性证明；服务产品应采用自主可控的专用文件型存储系统来存放审计日志，以达到对海量日志安全存储及快速查询的作用，提供专用存储系统著作权证书；</w:t>
            </w:r>
            <w:r>
              <w:rPr>
                <w:rFonts w:hint="eastAsia" w:ascii="Times New Roman" w:hAnsi="Times New Roman" w:eastAsia="宋体"/>
                <w:highlight w:val="none"/>
              </w:rPr>
              <w:t>全部满足得</w:t>
            </w:r>
            <w:r>
              <w:rPr>
                <w:rFonts w:ascii="Times New Roman" w:hAnsi="Times New Roman" w:eastAsia="宋体"/>
                <w:highlight w:val="none"/>
              </w:rPr>
              <w:t>5</w:t>
            </w:r>
            <w:r>
              <w:rPr>
                <w:rFonts w:hint="eastAsia" w:ascii="Times New Roman" w:hAnsi="Times New Roman" w:eastAsia="宋体"/>
                <w:highlight w:val="none"/>
              </w:rPr>
              <w:t>分，缺少1项扣2分，扣完为止。</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highlight w:val="none"/>
              </w:rPr>
            </w:pPr>
            <w:r>
              <w:rPr>
                <w:rFonts w:ascii="宋体" w:hAnsi="宋体"/>
                <w:bCs/>
                <w:highlight w:val="none"/>
              </w:rPr>
              <w:t>12</w:t>
            </w:r>
            <w:r>
              <w:rPr>
                <w:rFonts w:hint="eastAsia" w:ascii="宋体" w:hAnsi="宋体"/>
                <w:bCs/>
                <w:highlight w:val="none"/>
              </w:rPr>
              <w:t>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ascii="宋体" w:hAnsi="宋体"/>
                <w:bCs/>
                <w:highlight w:val="none"/>
              </w:rPr>
              <w:t>2</w:t>
            </w:r>
          </w:p>
        </w:tc>
      </w:tr>
      <w:tr>
        <w:tblPrEx>
          <w:tblCellMar>
            <w:top w:w="0" w:type="dxa"/>
            <w:left w:w="108" w:type="dxa"/>
            <w:bottom w:w="0" w:type="dxa"/>
            <w:right w:w="108" w:type="dxa"/>
          </w:tblCellMar>
        </w:tblPrEx>
        <w:trPr>
          <w:trHeight w:val="90"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b/>
                <w:highlight w:val="none"/>
              </w:rPr>
            </w:pPr>
            <w:r>
              <w:rPr>
                <w:rFonts w:hint="eastAsia" w:ascii="宋体" w:hAnsi="宋体" w:eastAsia="黑体"/>
                <w:b/>
                <w:highlight w:val="none"/>
              </w:rPr>
              <w:t>现有安全措施兼容性及联动</w:t>
            </w:r>
          </w:p>
        </w:tc>
        <w:tc>
          <w:tcPr>
            <w:tcW w:w="941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Times New Roman" w:hAnsi="Times New Roman" w:eastAsia="宋体"/>
                <w:highlight w:val="none"/>
              </w:rPr>
            </w:pPr>
            <w:r>
              <w:rPr>
                <w:rFonts w:hint="eastAsia" w:ascii="Times New Roman" w:hAnsi="Times New Roman" w:eastAsia="宋体"/>
                <w:highlight w:val="none"/>
              </w:rPr>
              <w:t>态势感知可支持收集现有的云主机防护系统（青藤主机自适应平台）日志，兼容主机防护系统日志格式，提供兼容性截图等证明材料得</w:t>
            </w:r>
            <w:r>
              <w:rPr>
                <w:rFonts w:ascii="Times New Roman" w:hAnsi="Times New Roman" w:eastAsia="宋体"/>
                <w:highlight w:val="none"/>
              </w:rPr>
              <w:t>3</w:t>
            </w:r>
            <w:r>
              <w:rPr>
                <w:rFonts w:hint="eastAsia" w:ascii="Times New Roman" w:hAnsi="Times New Roman" w:eastAsia="宋体"/>
                <w:highlight w:val="none"/>
              </w:rPr>
              <w:t>分；</w:t>
            </w:r>
          </w:p>
          <w:p>
            <w:pPr>
              <w:spacing w:line="300" w:lineRule="exact"/>
              <w:ind w:firstLine="420" w:firstLineChars="200"/>
              <w:rPr>
                <w:rFonts w:ascii="Times New Roman" w:hAnsi="Times New Roman" w:eastAsia="宋体"/>
                <w:highlight w:val="none"/>
              </w:rPr>
            </w:pPr>
            <w:r>
              <w:rPr>
                <w:rFonts w:hint="eastAsia" w:ascii="宋体" w:hAnsi="宋体" w:eastAsia="宋体" w:cs="宋体"/>
                <w:color w:val="000000"/>
                <w:kern w:val="0"/>
                <w:szCs w:val="21"/>
                <w:highlight w:val="none"/>
              </w:rPr>
              <w:t>态势感知平台可实现同现有</w:t>
            </w:r>
            <w:r>
              <w:rPr>
                <w:rFonts w:ascii="宋体" w:hAnsi="宋体" w:eastAsia="宋体" w:cs="宋体"/>
                <w:color w:val="000000"/>
                <w:kern w:val="0"/>
                <w:szCs w:val="21"/>
                <w:highlight w:val="none"/>
              </w:rPr>
              <w:t>防火墙、行为管理</w:t>
            </w:r>
            <w:r>
              <w:rPr>
                <w:rFonts w:hint="eastAsia" w:ascii="宋体" w:hAnsi="宋体" w:eastAsia="宋体" w:cs="宋体"/>
                <w:color w:val="000000"/>
                <w:kern w:val="0"/>
                <w:szCs w:val="21"/>
                <w:highlight w:val="none"/>
              </w:rPr>
              <w:t>等</w:t>
            </w:r>
            <w:r>
              <w:rPr>
                <w:rFonts w:ascii="宋体" w:hAnsi="宋体" w:eastAsia="宋体" w:cs="宋体"/>
                <w:color w:val="000000"/>
                <w:kern w:val="0"/>
                <w:szCs w:val="21"/>
                <w:highlight w:val="none"/>
              </w:rPr>
              <w:t>网安全设备</w:t>
            </w:r>
            <w:r>
              <w:rPr>
                <w:rFonts w:hint="eastAsia" w:ascii="宋体" w:hAnsi="宋体" w:eastAsia="宋体" w:cs="宋体"/>
                <w:color w:val="000000"/>
                <w:kern w:val="0"/>
                <w:szCs w:val="21"/>
                <w:highlight w:val="none"/>
              </w:rPr>
              <w:t>联动，提供联动证明截图等</w:t>
            </w:r>
            <w:r>
              <w:rPr>
                <w:rFonts w:ascii="宋体" w:hAnsi="宋体" w:eastAsia="宋体" w:cs="宋体"/>
                <w:color w:val="000000"/>
                <w:kern w:val="0"/>
                <w:szCs w:val="21"/>
                <w:highlight w:val="none"/>
              </w:rPr>
              <w:t>证明材料</w:t>
            </w:r>
            <w:r>
              <w:rPr>
                <w:rFonts w:hint="eastAsia" w:ascii="宋体" w:hAnsi="宋体" w:eastAsia="宋体" w:cs="宋体"/>
                <w:color w:val="000000"/>
                <w:kern w:val="0"/>
                <w:szCs w:val="21"/>
                <w:highlight w:val="none"/>
              </w:rPr>
              <w:t>的得5分</w:t>
            </w:r>
            <w:r>
              <w:rPr>
                <w:rFonts w:ascii="宋体" w:hAnsi="宋体" w:eastAsia="宋体" w:cs="宋体"/>
                <w:color w:val="000000"/>
                <w:kern w:val="0"/>
                <w:szCs w:val="21"/>
                <w:highlight w:val="none"/>
              </w:rPr>
              <w:t>。</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highlight w:val="none"/>
              </w:rPr>
            </w:pPr>
            <w:r>
              <w:rPr>
                <w:rFonts w:ascii="宋体" w:hAnsi="宋体"/>
                <w:bCs/>
                <w:highlight w:val="none"/>
              </w:rPr>
              <w:t>8</w:t>
            </w:r>
            <w:r>
              <w:rPr>
                <w:rFonts w:hint="eastAsia" w:ascii="宋体" w:hAnsi="宋体"/>
                <w:bCs/>
                <w:highlight w:val="none"/>
              </w:rPr>
              <w:t>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宋体" w:hAnsi="宋体"/>
                <w:bCs/>
                <w:highlight w:val="none"/>
              </w:rPr>
              <w:t>3</w:t>
            </w:r>
          </w:p>
        </w:tc>
      </w:tr>
      <w:tr>
        <w:tblPrEx>
          <w:tblCellMar>
            <w:top w:w="0" w:type="dxa"/>
            <w:left w:w="108" w:type="dxa"/>
            <w:bottom w:w="0" w:type="dxa"/>
            <w:right w:w="108" w:type="dxa"/>
          </w:tblCellMar>
        </w:tblPrEx>
        <w:trPr>
          <w:trHeight w:val="417" w:hRule="atLeast"/>
          <w:jc w:val="center"/>
        </w:trPr>
        <w:tc>
          <w:tcPr>
            <w:tcW w:w="240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eastAsia="黑体"/>
                <w:b/>
                <w:highlight w:val="none"/>
              </w:rPr>
            </w:pPr>
            <w:r>
              <w:rPr>
                <w:rFonts w:hint="eastAsia" w:ascii="宋体" w:hAnsi="宋体" w:eastAsia="黑体"/>
                <w:b/>
                <w:highlight w:val="none"/>
              </w:rPr>
              <w:t>服务方案及实施方案</w:t>
            </w:r>
          </w:p>
        </w:tc>
        <w:tc>
          <w:tcPr>
            <w:tcW w:w="941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Times New Roman" w:hAnsi="Times New Roman" w:eastAsia="宋体"/>
                <w:highlight w:val="none"/>
              </w:rPr>
            </w:pPr>
            <w:r>
              <w:rPr>
                <w:rFonts w:hint="eastAsia" w:ascii="Times New Roman" w:hAnsi="Times New Roman" w:eastAsia="宋体"/>
                <w:highlight w:val="none"/>
              </w:rPr>
              <w:t>供应商针对本项目有具体的服务组织安排，详细的人员、财力调配、运输、派送措施及软件服务验收时的重点等实施方案，具有详细的服务项、服务指标等服务集成方案，具体包括服务规划、施工组织计划、安全保障、应急措施等。服务组织安排合理、详细，完全满足项目需求，且实施方案完整得8-10分；服务组织安排较为合理、详细，基本满足项目需求，且实施方案基本完整，得4-7分；服务组织安排基本合理，能满足项目基本需求，且有实施方案，得1-3分；未提供不得分。</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宋体" w:hAnsi="宋体"/>
                <w:bCs/>
                <w:highlight w:val="none"/>
              </w:rPr>
              <w:t>10分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ascii="宋体" w:hAnsi="宋体"/>
                <w:bCs/>
                <w:highlight w:val="none"/>
              </w:rPr>
              <w:t>4</w:t>
            </w:r>
          </w:p>
        </w:tc>
      </w:tr>
      <w:tr>
        <w:tblPrEx>
          <w:tblCellMar>
            <w:top w:w="0" w:type="dxa"/>
            <w:left w:w="108" w:type="dxa"/>
            <w:bottom w:w="0" w:type="dxa"/>
            <w:right w:w="108" w:type="dxa"/>
          </w:tblCellMar>
        </w:tblPrEx>
        <w:trPr>
          <w:trHeight w:val="417" w:hRule="atLeast"/>
          <w:jc w:val="center"/>
        </w:trPr>
        <w:tc>
          <w:tcPr>
            <w:tcW w:w="240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eastAsia="黑体"/>
                <w:b/>
                <w:highlight w:val="none"/>
              </w:rPr>
            </w:pPr>
          </w:p>
        </w:tc>
        <w:tc>
          <w:tcPr>
            <w:tcW w:w="941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Times New Roman" w:hAnsi="Times New Roman" w:eastAsia="宋体"/>
                <w:highlight w:val="none"/>
              </w:rPr>
            </w:pPr>
            <w:r>
              <w:rPr>
                <w:rFonts w:hint="eastAsia" w:ascii="Times New Roman" w:hAnsi="Times New Roman" w:eastAsia="宋体"/>
                <w:highlight w:val="none"/>
              </w:rPr>
              <w:t>供应商所投设备及系统，制造厂质量管理体系健全，技术、质量支持有保障，技术先进，质量符合国内相关标准和有关规定，具有较好的使用效果。根据服务品质、完整性、技术等情况综合打分，质量优异，符合国家相关标准，按照响应程度计分；质量管理体系健全，得</w:t>
            </w:r>
            <w:r>
              <w:rPr>
                <w:rFonts w:ascii="Times New Roman" w:hAnsi="Times New Roman" w:eastAsia="宋体"/>
                <w:highlight w:val="none"/>
              </w:rPr>
              <w:t>8</w:t>
            </w:r>
            <w:r>
              <w:rPr>
                <w:rFonts w:hint="eastAsia" w:ascii="Times New Roman" w:hAnsi="Times New Roman" w:eastAsia="宋体"/>
                <w:highlight w:val="none"/>
              </w:rPr>
              <w:t>-</w:t>
            </w:r>
            <w:r>
              <w:rPr>
                <w:rFonts w:ascii="Times New Roman" w:hAnsi="Times New Roman" w:eastAsia="宋体"/>
                <w:highlight w:val="none"/>
              </w:rPr>
              <w:t>10</w:t>
            </w:r>
            <w:r>
              <w:rPr>
                <w:rFonts w:hint="eastAsia" w:ascii="Times New Roman" w:hAnsi="Times New Roman" w:eastAsia="宋体"/>
                <w:highlight w:val="none"/>
              </w:rPr>
              <w:t>分；质量管理体系较差，得</w:t>
            </w:r>
            <w:r>
              <w:rPr>
                <w:rFonts w:ascii="Times New Roman" w:hAnsi="Times New Roman" w:eastAsia="宋体"/>
                <w:highlight w:val="none"/>
              </w:rPr>
              <w:t>3</w:t>
            </w:r>
            <w:r>
              <w:rPr>
                <w:rFonts w:hint="eastAsia" w:ascii="Times New Roman" w:hAnsi="Times New Roman" w:eastAsia="宋体"/>
                <w:highlight w:val="none"/>
              </w:rPr>
              <w:t>-</w:t>
            </w:r>
            <w:r>
              <w:rPr>
                <w:rFonts w:ascii="Times New Roman" w:hAnsi="Times New Roman" w:eastAsia="宋体"/>
                <w:highlight w:val="none"/>
              </w:rPr>
              <w:t>5</w:t>
            </w:r>
            <w:r>
              <w:rPr>
                <w:rFonts w:hint="eastAsia" w:ascii="Times New Roman" w:hAnsi="Times New Roman" w:eastAsia="宋体"/>
                <w:highlight w:val="none"/>
              </w:rPr>
              <w:t>分；未提供不得分。</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ascii="宋体" w:hAnsi="宋体"/>
                <w:bCs/>
                <w:highlight w:val="none"/>
              </w:rPr>
              <w:t>10</w:t>
            </w:r>
            <w:r>
              <w:rPr>
                <w:rFonts w:hint="eastAsia" w:ascii="宋体" w:hAnsi="宋体"/>
                <w:bCs/>
                <w:highlight w:val="none"/>
              </w:rPr>
              <w:t>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highlight w:val="none"/>
              </w:rPr>
            </w:pPr>
            <w:r>
              <w:rPr>
                <w:rFonts w:ascii="宋体" w:hAnsi="宋体"/>
                <w:bCs/>
                <w:highlight w:val="none"/>
              </w:rPr>
              <w:t>5</w:t>
            </w:r>
          </w:p>
        </w:tc>
      </w:tr>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b/>
                <w:highlight w:val="none"/>
              </w:rPr>
            </w:pPr>
            <w:r>
              <w:rPr>
                <w:rFonts w:hint="eastAsia" w:ascii="宋体" w:hAnsi="宋体" w:eastAsia="黑体"/>
                <w:b/>
                <w:highlight w:val="none"/>
              </w:rPr>
              <w:t>态势感知现场演示</w:t>
            </w:r>
          </w:p>
        </w:tc>
        <w:tc>
          <w:tcPr>
            <w:tcW w:w="941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Times New Roman" w:hAnsi="Times New Roman" w:eastAsia="宋体"/>
                <w:highlight w:val="none"/>
              </w:rPr>
            </w:pPr>
            <w:r>
              <w:rPr>
                <w:rFonts w:hint="eastAsia" w:ascii="Times New Roman" w:hAnsi="Times New Roman" w:eastAsia="宋体"/>
                <w:highlight w:val="none"/>
              </w:rPr>
              <w:t>态势感知服务形式可自行准备DEMO环境现场演示及讲解，完全符合以上项目要求的得</w:t>
            </w:r>
            <w:r>
              <w:rPr>
                <w:rFonts w:hint="eastAsia" w:ascii="Times New Roman" w:hAnsi="Times New Roman" w:eastAsia="宋体"/>
                <w:highlight w:val="none"/>
                <w:lang w:val="en-US" w:eastAsia="zh-CN"/>
              </w:rPr>
              <w:t>10-15</w:t>
            </w:r>
            <w:r>
              <w:rPr>
                <w:rFonts w:hint="eastAsia" w:ascii="Times New Roman" w:hAnsi="Times New Roman" w:eastAsia="宋体"/>
                <w:highlight w:val="none"/>
              </w:rPr>
              <w:t>分，较为符合项目要求得</w:t>
            </w:r>
            <w:r>
              <w:rPr>
                <w:rFonts w:hint="eastAsia" w:ascii="Times New Roman" w:hAnsi="Times New Roman" w:eastAsia="宋体"/>
                <w:highlight w:val="none"/>
                <w:lang w:val="en-US" w:eastAsia="zh-CN"/>
              </w:rPr>
              <w:t>4-10</w:t>
            </w:r>
            <w:r>
              <w:rPr>
                <w:rFonts w:hint="eastAsia" w:ascii="Times New Roman" w:hAnsi="Times New Roman" w:eastAsia="宋体"/>
                <w:highlight w:val="none"/>
              </w:rPr>
              <w:t>分，不符合指标三项及以上为较差，得0-3分；</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ascii="宋体" w:hAnsi="宋体"/>
                <w:bCs/>
                <w:highlight w:val="none"/>
              </w:rPr>
              <w:t>15</w:t>
            </w:r>
            <w:r>
              <w:rPr>
                <w:rFonts w:hint="eastAsia" w:ascii="宋体" w:hAnsi="宋体"/>
                <w:bCs/>
                <w:highlight w:val="none"/>
              </w:rPr>
              <w:t>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highlight w:val="none"/>
                <w:lang w:eastAsia="zh-CN"/>
              </w:rPr>
            </w:pPr>
            <w:r>
              <w:rPr>
                <w:rFonts w:hint="eastAsia" w:ascii="宋体" w:hAnsi="宋体" w:eastAsia="宋体"/>
                <w:bCs/>
                <w:highlight w:val="none"/>
                <w:lang w:val="en-US" w:eastAsia="zh-CN"/>
              </w:rPr>
              <w:t>6</w:t>
            </w:r>
          </w:p>
        </w:tc>
      </w:tr>
      <w:tr>
        <w:tblPrEx>
          <w:tblCellMar>
            <w:top w:w="0" w:type="dxa"/>
            <w:left w:w="108" w:type="dxa"/>
            <w:bottom w:w="0" w:type="dxa"/>
            <w:right w:w="108" w:type="dxa"/>
          </w:tblCellMar>
        </w:tblPrEx>
        <w:trPr>
          <w:trHeight w:val="34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b/>
                <w:highlight w:val="none"/>
              </w:rPr>
            </w:pPr>
            <w:r>
              <w:rPr>
                <w:rFonts w:hint="eastAsia" w:ascii="黑体" w:hAnsi="黑体" w:eastAsia="黑体" w:cs="黑体"/>
                <w:b/>
                <w:highlight w:val="none"/>
              </w:rPr>
              <w:t>小计</w:t>
            </w:r>
          </w:p>
        </w:tc>
        <w:tc>
          <w:tcPr>
            <w:tcW w:w="10952" w:type="dxa"/>
            <w:gridSpan w:val="3"/>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黑体" w:hAnsi="黑体" w:eastAsia="黑体" w:cs="黑体"/>
                <w:b/>
                <w:sz w:val="24"/>
                <w:highlight w:val="none"/>
              </w:rPr>
            </w:pPr>
            <w:r>
              <w:rPr>
                <w:rFonts w:hint="eastAsia" w:ascii="黑体" w:hAnsi="黑体" w:eastAsia="黑体" w:cs="黑体"/>
                <w:b/>
                <w:highlight w:val="none"/>
                <w:lang w:val="en-US" w:eastAsia="zh-CN"/>
              </w:rPr>
              <w:t>75</w:t>
            </w:r>
            <w:r>
              <w:rPr>
                <w:rFonts w:hint="eastAsia" w:ascii="黑体" w:hAnsi="黑体" w:eastAsia="黑体" w:cs="黑体"/>
                <w:b/>
                <w:highlight w:val="none"/>
              </w:rPr>
              <w:t>分</w:t>
            </w:r>
          </w:p>
        </w:tc>
      </w:tr>
    </w:tbl>
    <w:p>
      <w:pPr>
        <w:wordWrap w:val="0"/>
        <w:topLinePunct/>
        <w:spacing w:line="500" w:lineRule="exact"/>
        <w:ind w:firstLine="422" w:firstLineChars="200"/>
        <w:rPr>
          <w:rFonts w:hint="eastAsia" w:ascii="宋体" w:hAnsi="宋体" w:cs="宋体"/>
          <w:b/>
          <w:bCs/>
          <w:color w:val="auto"/>
          <w:highlight w:val="none"/>
          <w:u w:val="single"/>
          <w:lang w:val="en-GB"/>
        </w:rPr>
      </w:pPr>
      <w:r>
        <w:rPr>
          <w:rFonts w:hint="eastAsia" w:ascii="宋体" w:hAnsi="宋体" w:cs="宋体"/>
          <w:b/>
          <w:bCs/>
          <w:color w:val="auto"/>
          <w:highlight w:val="none"/>
          <w:u w:val="single"/>
          <w:lang w:val="en-GB"/>
        </w:rPr>
        <w:t>注：磋商文件要求提交的与评价指标体系相关的各类有效资料，响应供应商如未按要求提交的，该项评分为零分；</w:t>
      </w:r>
    </w:p>
    <w:p>
      <w:pPr>
        <w:wordWrap w:val="0"/>
        <w:topLinePunct/>
        <w:spacing w:line="500" w:lineRule="exact"/>
        <w:ind w:firstLine="422" w:firstLineChars="200"/>
        <w:outlineLvl w:val="1"/>
        <w:rPr>
          <w:rFonts w:ascii="黑体" w:hAnsi="仿宋" w:eastAsia="黑体" w:cs="Times New Roman"/>
          <w:b/>
          <w:bCs/>
          <w:color w:val="auto"/>
          <w:sz w:val="24"/>
          <w:szCs w:val="24"/>
          <w:highlight w:val="none"/>
        </w:rPr>
      </w:pPr>
      <w:r>
        <w:rPr>
          <w:rFonts w:hint="eastAsia" w:ascii="宋体" w:hAnsi="宋体" w:cs="宋体"/>
          <w:b/>
          <w:bCs/>
          <w:color w:val="auto"/>
          <w:highlight w:val="none"/>
          <w:u w:val="single"/>
          <w:lang w:val="en-GB"/>
        </w:rPr>
        <w:br w:type="page"/>
      </w:r>
      <w:bookmarkStart w:id="151" w:name="_Toc27695"/>
      <w:bookmarkStart w:id="152" w:name="_Toc278274488"/>
      <w:bookmarkStart w:id="153" w:name="_Toc278794809"/>
      <w:bookmarkStart w:id="154" w:name="_Toc223856296"/>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5</w:t>
      </w:r>
      <w:r>
        <w:rPr>
          <w:rFonts w:hint="eastAsia" w:ascii="黑体" w:hAnsi="仿宋" w:eastAsia="黑体" w:cs="黑体"/>
          <w:b/>
          <w:bCs/>
          <w:color w:val="auto"/>
          <w:sz w:val="24"/>
          <w:szCs w:val="24"/>
          <w:highlight w:val="none"/>
        </w:rPr>
        <w:t>：《商务评审表》</w:t>
      </w:r>
      <w:bookmarkEnd w:id="151"/>
    </w:p>
    <w:bookmarkEnd w:id="152"/>
    <w:bookmarkEnd w:id="153"/>
    <w:bookmarkEnd w:id="154"/>
    <w:p>
      <w:pPr>
        <w:spacing w:line="360" w:lineRule="auto"/>
        <w:jc w:val="center"/>
        <w:rPr>
          <w:rFonts w:hint="eastAsia" w:ascii="黑体" w:hAnsi="仿宋" w:eastAsia="黑体" w:cs="黑体"/>
          <w:color w:val="auto"/>
          <w:sz w:val="32"/>
          <w:szCs w:val="32"/>
          <w:highlight w:val="none"/>
        </w:rPr>
      </w:pPr>
      <w:bookmarkStart w:id="155" w:name="_Toc483349423"/>
      <w:r>
        <w:rPr>
          <w:rFonts w:hint="eastAsia" w:ascii="黑体" w:hAnsi="仿宋" w:eastAsia="黑体" w:cs="黑体"/>
          <w:color w:val="auto"/>
          <w:sz w:val="32"/>
          <w:szCs w:val="32"/>
          <w:highlight w:val="none"/>
        </w:rPr>
        <w:t>商务评审表</w:t>
      </w:r>
      <w:bookmarkEnd w:id="155"/>
    </w:p>
    <w:tbl>
      <w:tblPr>
        <w:tblStyle w:val="20"/>
        <w:tblW w:w="0" w:type="auto"/>
        <w:jc w:val="center"/>
        <w:tblLayout w:type="fixed"/>
        <w:tblCellMar>
          <w:top w:w="0" w:type="dxa"/>
          <w:left w:w="108" w:type="dxa"/>
          <w:bottom w:w="0" w:type="dxa"/>
          <w:right w:w="108" w:type="dxa"/>
        </w:tblCellMar>
      </w:tblPr>
      <w:tblGrid>
        <w:gridCol w:w="3040"/>
        <w:gridCol w:w="8778"/>
        <w:gridCol w:w="791"/>
        <w:gridCol w:w="745"/>
      </w:tblGrid>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类别</w:t>
            </w:r>
          </w:p>
        </w:tc>
        <w:tc>
          <w:tcPr>
            <w:tcW w:w="87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评审内容</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分值</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序号</w:t>
            </w:r>
          </w:p>
        </w:tc>
      </w:tr>
      <w:tr>
        <w:tblPrEx>
          <w:tblCellMar>
            <w:top w:w="0" w:type="dxa"/>
            <w:left w:w="108" w:type="dxa"/>
            <w:bottom w:w="0" w:type="dxa"/>
            <w:right w:w="108" w:type="dxa"/>
          </w:tblCellMar>
        </w:tblPrEx>
        <w:trPr>
          <w:trHeight w:val="622"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黑体" w:cs="宋体"/>
                <w:b/>
                <w:kern w:val="2"/>
                <w:sz w:val="21"/>
                <w:szCs w:val="24"/>
                <w:highlight w:val="none"/>
                <w:lang w:val="en-US" w:eastAsia="zh-CN" w:bidi="ar-SA"/>
              </w:rPr>
            </w:pPr>
            <w:r>
              <w:rPr>
                <w:rFonts w:hint="eastAsia" w:ascii="宋体" w:hAnsi="宋体" w:eastAsia="黑体"/>
                <w:b/>
                <w:highlight w:val="none"/>
              </w:rPr>
              <w:t>供应商服务团队</w:t>
            </w:r>
          </w:p>
        </w:tc>
        <w:tc>
          <w:tcPr>
            <w:tcW w:w="877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hint="eastAsia" w:ascii="Times New Roman" w:hAnsi="Times New Roman" w:eastAsia="宋体" w:cs="宋体"/>
                <w:kern w:val="2"/>
                <w:sz w:val="21"/>
                <w:szCs w:val="24"/>
                <w:highlight w:val="none"/>
                <w:lang w:val="en-US" w:eastAsia="zh-CN" w:bidi="ar-SA"/>
              </w:rPr>
            </w:pPr>
            <w:r>
              <w:rPr>
                <w:rFonts w:hint="eastAsia" w:ascii="Times New Roman" w:hAnsi="Times New Roman" w:eastAsia="宋体"/>
                <w:highlight w:val="none"/>
              </w:rPr>
              <w:t>为保证服务质量，做到及时响应，本次投入服务团队不能少于</w:t>
            </w:r>
            <w:r>
              <w:rPr>
                <w:rFonts w:ascii="Times New Roman" w:hAnsi="Times New Roman" w:eastAsia="宋体"/>
                <w:highlight w:val="none"/>
              </w:rPr>
              <w:t>5人</w:t>
            </w:r>
            <w:r>
              <w:rPr>
                <w:rFonts w:hint="eastAsia" w:ascii="Times New Roman" w:hAnsi="Times New Roman" w:eastAsia="宋体"/>
                <w:highlight w:val="none"/>
              </w:rPr>
              <w:t>，项目经理应具备类似项目经验及相关资质证书</w:t>
            </w:r>
            <w:r>
              <w:rPr>
                <w:rFonts w:ascii="Times New Roman" w:hAnsi="Times New Roman" w:eastAsia="宋体"/>
                <w:highlight w:val="none"/>
              </w:rPr>
              <w:t>，提供得5 分，否则不得分</w:t>
            </w:r>
            <w:r>
              <w:rPr>
                <w:rFonts w:hint="eastAsia" w:ascii="Times New Roman" w:hAnsi="Times New Roman" w:eastAsia="宋体"/>
                <w:highlight w:val="none"/>
              </w:rPr>
              <w:t>；</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Cs/>
                <w:kern w:val="2"/>
                <w:sz w:val="21"/>
                <w:szCs w:val="24"/>
                <w:highlight w:val="none"/>
                <w:lang w:val="en-US" w:eastAsia="zh-CN" w:bidi="ar-SA"/>
              </w:rPr>
            </w:pPr>
            <w:r>
              <w:rPr>
                <w:rFonts w:ascii="宋体" w:hAnsi="宋体"/>
                <w:bCs/>
                <w:highlight w:val="none"/>
              </w:rPr>
              <w:t>5</w:t>
            </w:r>
            <w:r>
              <w:rPr>
                <w:rFonts w:hint="eastAsia" w:ascii="宋体" w:hAnsi="宋体"/>
                <w:bCs/>
                <w:highlight w:val="none"/>
              </w:rPr>
              <w:t>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kern w:val="2"/>
                <w:sz w:val="21"/>
                <w:szCs w:val="24"/>
                <w:highlight w:val="none"/>
                <w:lang w:val="en-US" w:eastAsia="zh-CN" w:bidi="ar-SA"/>
              </w:rPr>
            </w:pPr>
            <w:r>
              <w:rPr>
                <w:rFonts w:hint="eastAsia" w:ascii="宋体" w:hAnsi="宋体"/>
                <w:bCs/>
                <w:highlight w:val="none"/>
              </w:rPr>
              <w:t>1</w:t>
            </w:r>
          </w:p>
        </w:tc>
      </w:tr>
      <w:tr>
        <w:tblPrEx>
          <w:tblCellMar>
            <w:top w:w="0" w:type="dxa"/>
            <w:left w:w="108" w:type="dxa"/>
            <w:bottom w:w="0" w:type="dxa"/>
            <w:right w:w="108" w:type="dxa"/>
          </w:tblCellMar>
        </w:tblPrEx>
        <w:trPr>
          <w:trHeight w:val="622"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b/>
                <w:highlight w:val="none"/>
              </w:rPr>
            </w:pPr>
            <w:r>
              <w:rPr>
                <w:rFonts w:hint="eastAsia" w:ascii="宋体" w:hAnsi="宋体" w:eastAsia="黑体"/>
                <w:b/>
                <w:highlight w:val="none"/>
              </w:rPr>
              <w:t>售后服务及培训</w:t>
            </w:r>
          </w:p>
        </w:tc>
        <w:tc>
          <w:tcPr>
            <w:tcW w:w="877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eastAsia="宋体"/>
                <w:bCs/>
                <w:szCs w:val="21"/>
                <w:highlight w:val="none"/>
              </w:rPr>
            </w:pPr>
            <w:r>
              <w:rPr>
                <w:rFonts w:hint="eastAsia" w:ascii="宋体" w:hAnsi="宋体" w:eastAsia="宋体"/>
                <w:bCs/>
                <w:szCs w:val="21"/>
                <w:highlight w:val="none"/>
              </w:rPr>
              <w:t>根据</w:t>
            </w:r>
            <w:r>
              <w:rPr>
                <w:rFonts w:hint="eastAsia" w:ascii="宋体" w:hAnsi="宋体" w:eastAsia="宋体"/>
                <w:bCs/>
                <w:szCs w:val="21"/>
                <w:highlight w:val="none"/>
                <w:lang w:val="zh-CN"/>
              </w:rPr>
              <w:t>售后服务及培训方案详细、具体、可行拟投入售后服务人员配置情况、售后服务响应时效等服务承诺计分；</w:t>
            </w:r>
            <w:r>
              <w:rPr>
                <w:rFonts w:hint="eastAsia" w:ascii="宋体" w:hAnsi="宋体" w:eastAsia="宋体"/>
                <w:bCs/>
                <w:szCs w:val="21"/>
                <w:highlight w:val="none"/>
              </w:rPr>
              <w:t>售后服务完善，培训方案详细、具体，可行，服务承诺合理，得4-5分；售后服务较为完善，培训方案较为详细、具体，可行，服务承诺较为合理，得2-3分；有基本的售后服务、培训方案以及服务承诺，得0-1分。</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宋体" w:hAnsi="宋体"/>
                <w:bCs/>
                <w:highlight w:val="none"/>
              </w:rPr>
              <w:t>5分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kern w:val="2"/>
                <w:sz w:val="21"/>
                <w:szCs w:val="24"/>
                <w:highlight w:val="none"/>
                <w:lang w:val="en-US" w:eastAsia="zh-CN" w:bidi="ar-SA"/>
              </w:rPr>
            </w:pPr>
            <w:r>
              <w:rPr>
                <w:rFonts w:hint="eastAsia" w:ascii="宋体" w:hAnsi="宋体"/>
                <w:bCs/>
                <w:highlight w:val="none"/>
              </w:rPr>
              <w:t>2</w:t>
            </w:r>
          </w:p>
        </w:tc>
      </w:tr>
      <w:tr>
        <w:tblPrEx>
          <w:tblCellMar>
            <w:top w:w="0" w:type="dxa"/>
            <w:left w:w="108" w:type="dxa"/>
            <w:bottom w:w="0" w:type="dxa"/>
            <w:right w:w="108" w:type="dxa"/>
          </w:tblCellMar>
        </w:tblPrEx>
        <w:trPr>
          <w:trHeight w:val="622"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b/>
                <w:highlight w:val="none"/>
              </w:rPr>
            </w:pPr>
            <w:r>
              <w:rPr>
                <w:rFonts w:hint="eastAsia" w:ascii="宋体" w:hAnsi="宋体" w:eastAsia="黑体"/>
                <w:b/>
                <w:highlight w:val="none"/>
              </w:rPr>
              <w:t>业绩</w:t>
            </w:r>
          </w:p>
        </w:tc>
        <w:tc>
          <w:tcPr>
            <w:tcW w:w="877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eastAsia="宋体"/>
                <w:bCs/>
                <w:szCs w:val="21"/>
                <w:highlight w:val="none"/>
                <w:lang w:val="zh-CN"/>
              </w:rPr>
            </w:pPr>
            <w:r>
              <w:rPr>
                <w:rFonts w:hint="eastAsia" w:ascii="宋体" w:hAnsi="宋体" w:eastAsia="宋体"/>
                <w:bCs/>
                <w:szCs w:val="21"/>
                <w:highlight w:val="none"/>
                <w:lang w:val="zh-CN"/>
              </w:rPr>
              <w:t>供应商提供近三年类似项目业绩，提供签署的项目合同及验收单。每提供一份业绩证明得1分，最多得5分。</w:t>
            </w:r>
          </w:p>
          <w:p>
            <w:pPr>
              <w:spacing w:line="300" w:lineRule="exact"/>
              <w:ind w:firstLine="420" w:firstLineChars="200"/>
              <w:rPr>
                <w:rFonts w:ascii="宋体" w:hAnsi="宋体" w:eastAsia="宋体"/>
                <w:bCs/>
                <w:szCs w:val="21"/>
                <w:highlight w:val="none"/>
              </w:rPr>
            </w:pPr>
            <w:r>
              <w:rPr>
                <w:rFonts w:hint="eastAsia" w:ascii="宋体" w:hAnsi="宋体" w:eastAsia="宋体"/>
                <w:bCs/>
                <w:szCs w:val="21"/>
                <w:highlight w:val="none"/>
                <w:lang w:val="zh-CN"/>
              </w:rPr>
              <w:t>以上资料须清晰、完整，模糊无法辨认的将不予评分。</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宋体" w:hAnsi="宋体"/>
                <w:bCs/>
                <w:highlight w:val="none"/>
              </w:rPr>
              <w:t>5分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Cs/>
                <w:highlight w:val="none"/>
                <w:lang w:val="en-US" w:eastAsia="zh-CN"/>
              </w:rPr>
            </w:pPr>
            <w:r>
              <w:rPr>
                <w:rFonts w:hint="eastAsia" w:ascii="宋体" w:hAnsi="宋体"/>
                <w:bCs/>
                <w:highlight w:val="none"/>
                <w:lang w:val="en-US" w:eastAsia="zh-CN"/>
              </w:rPr>
              <w:t>3</w:t>
            </w:r>
          </w:p>
        </w:tc>
      </w:tr>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highlight w:val="none"/>
              </w:rPr>
            </w:pPr>
            <w:r>
              <w:rPr>
                <w:rFonts w:hint="eastAsia" w:ascii="宋体" w:hAnsi="宋体"/>
                <w:b/>
                <w:highlight w:val="none"/>
              </w:rPr>
              <w:t>小计</w:t>
            </w:r>
          </w:p>
        </w:tc>
        <w:tc>
          <w:tcPr>
            <w:tcW w:w="103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黑体" w:hAnsi="黑体" w:eastAsia="黑体" w:cs="黑体"/>
                <w:b/>
                <w:highlight w:val="none"/>
              </w:rPr>
              <w:t>1</w:t>
            </w:r>
            <w:r>
              <w:rPr>
                <w:rFonts w:hint="eastAsia" w:ascii="黑体" w:hAnsi="黑体" w:eastAsia="黑体" w:cs="黑体"/>
                <w:b/>
                <w:highlight w:val="none"/>
                <w:lang w:val="en-US" w:eastAsia="zh-CN"/>
              </w:rPr>
              <w:t>5</w:t>
            </w:r>
            <w:r>
              <w:rPr>
                <w:rFonts w:hint="eastAsia" w:ascii="黑体" w:hAnsi="黑体" w:eastAsia="黑体" w:cs="黑体"/>
                <w:b/>
                <w:highlight w:val="none"/>
              </w:rPr>
              <w:t>分</w:t>
            </w:r>
          </w:p>
        </w:tc>
      </w:tr>
    </w:tbl>
    <w:p>
      <w:pPr>
        <w:wordWrap w:val="0"/>
        <w:topLinePunct/>
        <w:spacing w:line="500" w:lineRule="exact"/>
        <w:ind w:firstLine="422" w:firstLineChars="200"/>
        <w:rPr>
          <w:rFonts w:hint="eastAsia" w:ascii="宋体" w:hAnsi="宋体" w:cs="宋体"/>
          <w:b/>
          <w:bCs/>
          <w:color w:val="auto"/>
          <w:highlight w:val="none"/>
          <w:u w:val="single"/>
          <w:lang w:val="en-GB"/>
        </w:rPr>
      </w:pPr>
      <w:r>
        <w:rPr>
          <w:rFonts w:hint="eastAsia" w:ascii="宋体" w:hAnsi="宋体" w:cs="宋体"/>
          <w:b/>
          <w:bCs/>
          <w:color w:val="auto"/>
          <w:highlight w:val="none"/>
          <w:u w:val="single"/>
          <w:lang w:val="en-GB"/>
        </w:rPr>
        <w:t>注：磋商文件要求提交的与评价指标体系相关的各类有效资料，响应供应商如未按要求提交的，该项评分为零分；</w:t>
      </w:r>
    </w:p>
    <w:p>
      <w:pPr>
        <w:wordWrap w:val="0"/>
        <w:topLinePunct/>
        <w:spacing w:line="500" w:lineRule="exact"/>
        <w:ind w:firstLine="480" w:firstLineChars="200"/>
        <w:rPr>
          <w:rFonts w:ascii="??_GB2312" w:hAnsi="仿宋" w:eastAsia="Times New Roman" w:cs="Times New Roman"/>
          <w:color w:val="auto"/>
          <w:sz w:val="24"/>
          <w:szCs w:val="24"/>
          <w:highlight w:val="none"/>
        </w:rPr>
      </w:pPr>
    </w:p>
    <w:p>
      <w:pPr>
        <w:spacing w:line="360" w:lineRule="auto"/>
        <w:ind w:firstLine="480" w:firstLineChars="200"/>
        <w:rPr>
          <w:rFonts w:ascii="??_GB2312" w:hAnsi="仿宋" w:eastAsia="Times New Roman" w:cs="Times New Roman"/>
          <w:color w:val="auto"/>
          <w:sz w:val="24"/>
          <w:szCs w:val="24"/>
          <w:highlight w:val="none"/>
        </w:rPr>
        <w:sectPr>
          <w:pgSz w:w="16838" w:h="11906" w:orient="landscape"/>
          <w:pgMar w:top="1080" w:right="1440" w:bottom="1080" w:left="1440" w:header="851" w:footer="992" w:gutter="0"/>
          <w:cols w:space="720" w:num="1"/>
          <w:docGrid w:type="lines" w:linePitch="312" w:charSpace="0"/>
        </w:sectPr>
      </w:pPr>
    </w:p>
    <w:p>
      <w:pPr>
        <w:bidi w:val="0"/>
        <w:spacing w:line="360" w:lineRule="auto"/>
        <w:jc w:val="center"/>
        <w:outlineLvl w:val="0"/>
        <w:rPr>
          <w:rFonts w:hint="eastAsia" w:ascii="黑体" w:hAnsi="黑体" w:eastAsia="黑体" w:cs="黑体"/>
          <w:b/>
          <w:bCs/>
          <w:sz w:val="32"/>
          <w:szCs w:val="32"/>
          <w:highlight w:val="none"/>
        </w:rPr>
      </w:pPr>
      <w:bookmarkStart w:id="156" w:name="_Toc17058"/>
      <w:r>
        <w:rPr>
          <w:rFonts w:hint="eastAsia" w:ascii="黑体" w:hAnsi="黑体" w:eastAsia="黑体" w:cs="黑体"/>
          <w:b/>
          <w:bCs/>
          <w:sz w:val="32"/>
          <w:szCs w:val="32"/>
          <w:highlight w:val="none"/>
        </w:rPr>
        <w:t>第五部分 政府采购合同格式</w:t>
      </w:r>
      <w:bookmarkEnd w:id="15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ascii="黑体" w:hAnsi="仿宋" w:eastAsia="黑体" w:cs="仿宋"/>
          <w:b/>
          <w:sz w:val="24"/>
          <w:highlight w:val="none"/>
          <w:u w:val="single"/>
        </w:rPr>
      </w:pPr>
      <w:bookmarkStart w:id="157" w:name="_Toc26893"/>
      <w:bookmarkStart w:id="158" w:name="_Toc24356"/>
      <w:bookmarkStart w:id="159" w:name="_Toc32018"/>
      <w:bookmarkStart w:id="160" w:name="_Toc11252"/>
      <w:r>
        <w:rPr>
          <w:rFonts w:hint="eastAsia" w:ascii="黑体" w:hAnsi="仿宋" w:eastAsia="黑体" w:cs="仿宋"/>
          <w:b/>
          <w:sz w:val="24"/>
          <w:highlight w:val="none"/>
          <w:u w:val="single"/>
        </w:rPr>
        <w:t>注：本合同仅为合同的参考文本，合同签订双方可根据项目的具体要求进行修订。</w:t>
      </w:r>
      <w:bookmarkEnd w:id="157"/>
      <w:bookmarkEnd w:id="158"/>
      <w:bookmarkEnd w:id="159"/>
      <w:bookmarkEnd w:id="16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ascii="黑体" w:hAnsi="仿宋" w:eastAsia="黑体" w:cs="仿宋"/>
          <w:b/>
          <w:sz w:val="24"/>
          <w:highlight w:val="none"/>
        </w:rPr>
      </w:pPr>
    </w:p>
    <w:p>
      <w:pPr>
        <w:spacing w:line="360" w:lineRule="auto"/>
        <w:jc w:val="center"/>
        <w:outlineLvl w:val="1"/>
        <w:rPr>
          <w:rFonts w:ascii="黑体" w:hAnsi="仿宋" w:eastAsia="黑体" w:cs="Times New Roman"/>
          <w:sz w:val="32"/>
          <w:szCs w:val="32"/>
          <w:highlight w:val="none"/>
        </w:rPr>
      </w:pPr>
      <w:bookmarkStart w:id="161" w:name="_Toc19396"/>
      <w:bookmarkStart w:id="162" w:name="_Toc25002"/>
      <w:bookmarkStart w:id="163" w:name="_Toc484353362"/>
      <w:bookmarkStart w:id="164" w:name="_Toc24759"/>
      <w:bookmarkStart w:id="165" w:name="_Toc24645"/>
      <w:bookmarkStart w:id="166" w:name="_Toc25256"/>
      <w:bookmarkStart w:id="167" w:name="_Toc17018"/>
      <w:bookmarkStart w:id="168" w:name="_Toc483349426"/>
      <w:bookmarkStart w:id="169" w:name="_Toc23240"/>
      <w:r>
        <w:rPr>
          <w:rFonts w:hint="eastAsia" w:ascii="黑体" w:hAnsi="仿宋" w:eastAsia="黑体" w:cs="黑体"/>
          <w:b/>
          <w:bCs/>
          <w:sz w:val="32"/>
          <w:szCs w:val="32"/>
          <w:highlight w:val="none"/>
        </w:rPr>
        <w:t>一、</w:t>
      </w:r>
      <w:bookmarkEnd w:id="161"/>
      <w:r>
        <w:rPr>
          <w:rFonts w:hint="eastAsia" w:ascii="黑体" w:hAnsi="黑体" w:eastAsia="黑体" w:cs="黑体"/>
          <w:b/>
          <w:bCs/>
          <w:sz w:val="32"/>
          <w:szCs w:val="32"/>
          <w:highlight w:val="none"/>
        </w:rPr>
        <w:t>政府采购合同</w:t>
      </w:r>
      <w:bookmarkEnd w:id="162"/>
      <w:bookmarkEnd w:id="163"/>
      <w:bookmarkEnd w:id="164"/>
      <w:bookmarkEnd w:id="165"/>
      <w:bookmarkEnd w:id="166"/>
      <w:bookmarkEnd w:id="167"/>
      <w:bookmarkEnd w:id="168"/>
      <w:bookmarkEnd w:id="169"/>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年</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月</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日</w:t>
      </w:r>
      <w:r>
        <w:rPr>
          <w:rFonts w:hint="eastAsia" w:ascii="宋体" w:hAnsi="宋体" w:cs="宋体"/>
          <w:sz w:val="24"/>
          <w:szCs w:val="24"/>
          <w:highlight w:val="none"/>
        </w:rPr>
        <w:t>，</w:t>
      </w:r>
      <w:r>
        <w:rPr>
          <w:rFonts w:hint="eastAsia" w:ascii="宋体" w:hAnsi="宋体" w:cs="宋体"/>
          <w:sz w:val="24"/>
          <w:szCs w:val="24"/>
          <w:highlight w:val="none"/>
          <w:u w:val="single"/>
          <w:lang w:eastAsia="zh-CN"/>
        </w:rPr>
        <w:t>（采购人）</w:t>
      </w:r>
      <w:r>
        <w:rPr>
          <w:rFonts w:hint="eastAsia" w:ascii="宋体" w:hAnsi="宋体" w:cs="宋体"/>
          <w:sz w:val="24"/>
          <w:szCs w:val="24"/>
          <w:highlight w:val="none"/>
        </w:rPr>
        <w:t>（以下简称“甲方”）以</w:t>
      </w:r>
      <w:r>
        <w:rPr>
          <w:rFonts w:hint="eastAsia" w:ascii="宋体" w:hAnsi="宋体" w:cs="宋体"/>
          <w:sz w:val="24"/>
          <w:szCs w:val="24"/>
          <w:highlight w:val="none"/>
          <w:u w:val="single"/>
          <w:lang w:val="en-US" w:eastAsia="zh-CN"/>
        </w:rPr>
        <w:t>竞争性磋商</w:t>
      </w:r>
      <w:r>
        <w:rPr>
          <w:rFonts w:hint="eastAsia" w:ascii="宋体" w:hAnsi="宋体" w:cs="宋体"/>
          <w:sz w:val="24"/>
          <w:szCs w:val="24"/>
          <w:highlight w:val="none"/>
        </w:rPr>
        <w:t>的方式对</w:t>
      </w:r>
      <w:r>
        <w:rPr>
          <w:rFonts w:hint="eastAsia" w:ascii="宋体" w:hAnsi="宋体" w:cs="宋体"/>
          <w:sz w:val="24"/>
          <w:szCs w:val="24"/>
          <w:highlight w:val="none"/>
          <w:u w:val="single"/>
        </w:rPr>
        <w:t>“</w:t>
      </w:r>
      <w:r>
        <w:rPr>
          <w:rFonts w:hint="eastAsia" w:ascii="宋体" w:hAnsi="宋体"/>
          <w:sz w:val="24"/>
          <w:highlight w:val="none"/>
          <w:u w:val="single"/>
          <w:lang w:eastAsia="zh-CN"/>
        </w:rPr>
        <w:t>（</w:t>
      </w:r>
      <w:r>
        <w:rPr>
          <w:rFonts w:hint="eastAsia" w:hAnsi="宋体"/>
          <w:sz w:val="24"/>
          <w:szCs w:val="24"/>
          <w:highlight w:val="none"/>
          <w:u w:val="single"/>
        </w:rPr>
        <w:t>项目名称</w:t>
      </w:r>
      <w:r>
        <w:rPr>
          <w:rFonts w:hint="eastAsia" w:hAnsi="宋体"/>
          <w:sz w:val="24"/>
          <w:szCs w:val="24"/>
          <w:highlight w:val="none"/>
          <w:u w:val="single"/>
          <w:lang w:eastAsia="zh-CN"/>
        </w:rPr>
        <w:t>）</w:t>
      </w:r>
      <w:r>
        <w:rPr>
          <w:rFonts w:hint="eastAsia" w:ascii="宋体" w:hAnsi="宋体" w:cs="宋体"/>
          <w:sz w:val="24"/>
          <w:szCs w:val="24"/>
          <w:highlight w:val="none"/>
          <w:u w:val="single"/>
        </w:rPr>
        <w:t>”</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（项目编号）</w:t>
      </w:r>
      <w:r>
        <w:rPr>
          <w:rFonts w:hint="eastAsia" w:ascii="宋体" w:hAnsi="宋体" w:cs="宋体"/>
          <w:sz w:val="24"/>
          <w:szCs w:val="24"/>
          <w:highlight w:val="none"/>
        </w:rPr>
        <w:t>）进行了采购。经</w:t>
      </w:r>
      <w:r>
        <w:rPr>
          <w:rFonts w:hint="eastAsia" w:ascii="宋体" w:hAnsi="宋体" w:cs="宋体"/>
          <w:sz w:val="24"/>
          <w:szCs w:val="24"/>
          <w:highlight w:val="none"/>
          <w:u w:val="single"/>
          <w:lang w:eastAsia="zh-CN"/>
        </w:rPr>
        <w:t>磋商小组</w:t>
      </w:r>
      <w:r>
        <w:rPr>
          <w:rFonts w:hint="eastAsia" w:ascii="宋体" w:hAnsi="宋体" w:cs="宋体"/>
          <w:sz w:val="24"/>
          <w:szCs w:val="24"/>
          <w:highlight w:val="none"/>
        </w:rPr>
        <w:t>评定，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成交</w:t>
      </w:r>
      <w:r>
        <w:rPr>
          <w:rFonts w:hint="eastAsia" w:ascii="宋体" w:hAnsi="宋体" w:cs="宋体"/>
          <w:sz w:val="24"/>
          <w:szCs w:val="24"/>
          <w:highlight w:val="none"/>
          <w:u w:val="single"/>
        </w:rPr>
        <w:t xml:space="preserve">供应商名称） </w:t>
      </w:r>
      <w:r>
        <w:rPr>
          <w:rFonts w:hint="eastAsia" w:ascii="宋体" w:hAnsi="宋体" w:cs="宋体"/>
          <w:sz w:val="24"/>
          <w:szCs w:val="24"/>
          <w:highlight w:val="none"/>
        </w:rPr>
        <w:t>（以下简称“乙方”）</w:t>
      </w:r>
      <w:r>
        <w:rPr>
          <w:rFonts w:hint="eastAsia" w:ascii="宋体" w:hAnsi="宋体" w:cs="宋体"/>
          <w:sz w:val="24"/>
          <w:szCs w:val="24"/>
          <w:highlight w:val="none"/>
        </w:rPr>
        <w:t>为该项目</w:t>
      </w:r>
      <w:r>
        <w:rPr>
          <w:rFonts w:hint="eastAsia" w:ascii="宋体" w:hAnsi="宋体" w:cs="宋体"/>
          <w:sz w:val="24"/>
          <w:szCs w:val="24"/>
          <w:highlight w:val="none"/>
          <w:lang w:eastAsia="zh-CN"/>
        </w:rPr>
        <w:t>成交</w:t>
      </w:r>
      <w:r>
        <w:rPr>
          <w:rFonts w:hint="eastAsia" w:ascii="宋体" w:hAnsi="宋体" w:cs="宋体"/>
          <w:sz w:val="24"/>
          <w:szCs w:val="24"/>
          <w:highlight w:val="none"/>
        </w:rPr>
        <w:t>供应商。现于</w:t>
      </w:r>
      <w:r>
        <w:rPr>
          <w:rFonts w:hint="eastAsia" w:ascii="宋体" w:hAnsi="宋体" w:cs="宋体"/>
          <w:sz w:val="24"/>
          <w:szCs w:val="24"/>
          <w:highlight w:val="none"/>
          <w:lang w:eastAsia="zh-CN"/>
        </w:rPr>
        <w:t>成交</w:t>
      </w:r>
      <w:r>
        <w:rPr>
          <w:rFonts w:hint="eastAsia" w:ascii="宋体" w:hAnsi="宋体" w:cs="宋体"/>
          <w:sz w:val="24"/>
          <w:szCs w:val="24"/>
          <w:highlight w:val="none"/>
        </w:rPr>
        <w:t>通知书发出之日起三十日内，按照采购文件确定的事项签订本合同。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zh-CN"/>
        </w:rPr>
        <w:t>根据《中华人民共和国</w:t>
      </w:r>
      <w:r>
        <w:rPr>
          <w:rFonts w:hint="eastAsia" w:ascii="宋体" w:hAnsi="宋体" w:cs="宋体"/>
          <w:sz w:val="24"/>
          <w:szCs w:val="24"/>
          <w:highlight w:val="none"/>
          <w:lang w:val="en-US" w:eastAsia="zh-CN"/>
        </w:rPr>
        <w:t>民法典</w:t>
      </w:r>
      <w:r>
        <w:rPr>
          <w:rFonts w:hint="eastAsia" w:ascii="宋体" w:hAnsi="宋体" w:cs="宋体"/>
          <w:sz w:val="24"/>
          <w:szCs w:val="24"/>
          <w:highlight w:val="none"/>
          <w:lang w:val="zh-CN"/>
        </w:rPr>
        <w:t>》、《中华人民共和国政府采购法》等相关法律法规之规定，按照平等、自愿、公平和诚实信用的原则，经甲方和乙方协商一致，约定以下合同</w:t>
      </w:r>
      <w:r>
        <w:rPr>
          <w:rFonts w:hint="eastAsia" w:ascii="宋体" w:hAnsi="宋体" w:cs="宋体"/>
          <w:sz w:val="24"/>
          <w:szCs w:val="24"/>
          <w:highlight w:val="none"/>
        </w:rPr>
        <w:t>条款，以兹共同遵守、全面履行。</w:t>
      </w:r>
    </w:p>
    <w:p>
      <w:pPr>
        <w:spacing w:line="360" w:lineRule="auto"/>
        <w:ind w:firstLine="482" w:firstLineChars="200"/>
        <w:outlineLvl w:val="9"/>
        <w:rPr>
          <w:rFonts w:hint="eastAsia" w:ascii="宋体" w:hAnsi="宋体" w:cs="宋体"/>
          <w:sz w:val="24"/>
          <w:szCs w:val="24"/>
          <w:highlight w:val="none"/>
        </w:rPr>
      </w:pPr>
      <w:bookmarkStart w:id="170" w:name="_Toc9470"/>
      <w:bookmarkStart w:id="171" w:name="_Toc22967"/>
      <w:bookmarkStart w:id="172" w:name="_Toc20421"/>
      <w:bookmarkStart w:id="173" w:name="_Toc6601"/>
      <w:bookmarkStart w:id="174" w:name="_Toc15367"/>
      <w:bookmarkStart w:id="175" w:name="_Toc26482"/>
      <w:bookmarkStart w:id="176" w:name="_Toc28855"/>
      <w:bookmarkStart w:id="177" w:name="_Toc19273"/>
      <w:r>
        <w:rPr>
          <w:rFonts w:hint="eastAsia" w:ascii="宋体" w:hAnsi="宋体" w:cs="宋体"/>
          <w:b/>
          <w:sz w:val="24"/>
          <w:szCs w:val="24"/>
          <w:highlight w:val="none"/>
        </w:rPr>
        <w:t>1.1合同组成部分</w:t>
      </w:r>
      <w:bookmarkEnd w:id="170"/>
      <w:bookmarkEnd w:id="171"/>
      <w:bookmarkEnd w:id="172"/>
      <w:bookmarkEnd w:id="173"/>
      <w:bookmarkEnd w:id="174"/>
      <w:bookmarkEnd w:id="175"/>
      <w:bookmarkEnd w:id="176"/>
      <w:bookmarkEnd w:id="177"/>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1.1.1本合同及其补充合同、变更协议；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1.1.2</w:t>
      </w:r>
      <w:r>
        <w:rPr>
          <w:rFonts w:hint="eastAsia" w:ascii="宋体" w:hAnsi="宋体" w:cs="宋体"/>
          <w:sz w:val="24"/>
          <w:szCs w:val="24"/>
          <w:highlight w:val="none"/>
          <w:lang w:eastAsia="zh-CN"/>
        </w:rPr>
        <w:t>成交</w:t>
      </w:r>
      <w:r>
        <w:rPr>
          <w:rFonts w:hint="eastAsia" w:ascii="宋体" w:hAnsi="宋体" w:cs="宋体"/>
          <w:sz w:val="24"/>
          <w:szCs w:val="24"/>
          <w:highlight w:val="none"/>
        </w:rPr>
        <w:t>通知书；</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w:t>
      </w:r>
      <w:r>
        <w:rPr>
          <w:rFonts w:hint="eastAsia" w:ascii="宋体" w:hAnsi="宋体" w:cs="宋体"/>
          <w:sz w:val="24"/>
          <w:szCs w:val="24"/>
          <w:highlight w:val="none"/>
          <w:lang w:eastAsia="zh-CN"/>
        </w:rPr>
        <w:t>响应</w:t>
      </w:r>
      <w:r>
        <w:rPr>
          <w:rFonts w:hint="eastAsia" w:ascii="宋体" w:hAnsi="宋体" w:cs="宋体"/>
          <w:sz w:val="24"/>
          <w:szCs w:val="24"/>
          <w:highlight w:val="none"/>
        </w:rPr>
        <w:t>文件（含澄清或者说明文件）；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1.1.4</w:t>
      </w:r>
      <w:r>
        <w:rPr>
          <w:rFonts w:hint="eastAsia" w:ascii="宋体" w:hAnsi="宋体" w:cs="宋体"/>
          <w:sz w:val="24"/>
          <w:szCs w:val="24"/>
          <w:highlight w:val="none"/>
          <w:lang w:eastAsia="zh-CN"/>
        </w:rPr>
        <w:t>竞争性磋商</w:t>
      </w:r>
      <w:r>
        <w:rPr>
          <w:rFonts w:hint="eastAsia" w:ascii="宋体" w:hAnsi="宋体" w:cs="宋体"/>
          <w:sz w:val="24"/>
          <w:szCs w:val="24"/>
          <w:highlight w:val="none"/>
        </w:rPr>
        <w:t>文件（含澄清或者修改文件）；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1.1.5其他相关采购文件。</w:t>
      </w:r>
    </w:p>
    <w:p>
      <w:pPr>
        <w:spacing w:line="360" w:lineRule="auto"/>
        <w:ind w:firstLine="482" w:firstLineChars="200"/>
        <w:outlineLvl w:val="9"/>
        <w:rPr>
          <w:rFonts w:hint="eastAsia" w:ascii="宋体" w:hAnsi="宋体" w:cs="宋体"/>
          <w:b/>
          <w:sz w:val="24"/>
          <w:szCs w:val="24"/>
          <w:highlight w:val="none"/>
        </w:rPr>
      </w:pPr>
      <w:bookmarkStart w:id="178" w:name="_Toc2918"/>
      <w:bookmarkStart w:id="179" w:name="_Toc22185"/>
      <w:bookmarkStart w:id="180" w:name="_Toc6773"/>
      <w:bookmarkStart w:id="181" w:name="_Toc16407"/>
      <w:bookmarkStart w:id="182" w:name="_Toc18585"/>
      <w:bookmarkStart w:id="183" w:name="_Toc18557"/>
      <w:bookmarkStart w:id="184" w:name="_Toc30141"/>
      <w:bookmarkStart w:id="185" w:name="_Toc6311"/>
      <w:r>
        <w:rPr>
          <w:rFonts w:hint="eastAsia" w:ascii="宋体" w:hAnsi="宋体" w:cs="宋体"/>
          <w:b/>
          <w:sz w:val="24"/>
          <w:szCs w:val="24"/>
          <w:highlight w:val="none"/>
        </w:rPr>
        <w:t>1.2标的</w:t>
      </w:r>
      <w:bookmarkEnd w:id="178"/>
      <w:bookmarkEnd w:id="179"/>
      <w:bookmarkEnd w:id="180"/>
      <w:bookmarkEnd w:id="181"/>
      <w:bookmarkEnd w:id="182"/>
      <w:bookmarkEnd w:id="183"/>
      <w:bookmarkEnd w:id="184"/>
      <w:bookmarkEnd w:id="185"/>
    </w:p>
    <w:p>
      <w:pPr>
        <w:spacing w:line="360" w:lineRule="auto"/>
        <w:ind w:firstLine="480" w:firstLineChars="200"/>
        <w:outlineLvl w:val="9"/>
        <w:rPr>
          <w:rFonts w:hint="eastAsia" w:ascii="宋体" w:hAnsi="宋体" w:cs="宋体"/>
          <w:sz w:val="24"/>
          <w:szCs w:val="24"/>
          <w:highlight w:val="none"/>
          <w:u w:val="single"/>
        </w:rPr>
      </w:pPr>
      <w:r>
        <w:rPr>
          <w:rFonts w:hint="eastAsia" w:ascii="宋体" w:hAnsi="宋体" w:cs="宋体"/>
          <w:sz w:val="24"/>
          <w:szCs w:val="24"/>
          <w:highlight w:val="none"/>
        </w:rPr>
        <w:t>1.2.1标的名称：</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pPr>
        <w:spacing w:line="360" w:lineRule="auto"/>
        <w:ind w:firstLine="480" w:firstLineChars="200"/>
        <w:outlineLvl w:val="9"/>
        <w:rPr>
          <w:rFonts w:hint="eastAsia" w:ascii="宋体" w:hAnsi="宋体" w:cs="宋体"/>
          <w:sz w:val="24"/>
          <w:szCs w:val="24"/>
          <w:highlight w:val="none"/>
          <w:u w:val="single"/>
        </w:rPr>
      </w:pPr>
      <w:r>
        <w:rPr>
          <w:rFonts w:hint="eastAsia" w:ascii="宋体" w:hAnsi="宋体" w:cs="宋体"/>
          <w:sz w:val="24"/>
          <w:szCs w:val="24"/>
          <w:highlight w:val="none"/>
        </w:rPr>
        <w:t>1.2.2标的数量：</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1.2.3标的质量：</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pPr>
        <w:spacing w:line="360" w:lineRule="auto"/>
        <w:ind w:firstLine="482" w:firstLineChars="200"/>
        <w:outlineLvl w:val="9"/>
        <w:rPr>
          <w:rFonts w:hint="eastAsia" w:ascii="宋体" w:hAnsi="宋体" w:cs="宋体"/>
          <w:b/>
          <w:sz w:val="24"/>
          <w:szCs w:val="24"/>
          <w:highlight w:val="none"/>
        </w:rPr>
      </w:pPr>
      <w:bookmarkStart w:id="186" w:name="_Toc5635"/>
      <w:bookmarkStart w:id="187" w:name="_Toc4929"/>
      <w:bookmarkStart w:id="188" w:name="_Toc13918"/>
      <w:bookmarkStart w:id="189" w:name="_Toc21124"/>
      <w:bookmarkStart w:id="190" w:name="_Toc20141"/>
      <w:bookmarkStart w:id="191" w:name="_Toc21782"/>
      <w:bookmarkStart w:id="192" w:name="_Toc1386"/>
      <w:bookmarkStart w:id="193" w:name="_Toc6409"/>
      <w:r>
        <w:rPr>
          <w:rFonts w:hint="eastAsia" w:ascii="宋体" w:hAnsi="宋体" w:cs="宋体"/>
          <w:b/>
          <w:sz w:val="24"/>
          <w:szCs w:val="24"/>
          <w:highlight w:val="none"/>
        </w:rPr>
        <w:t>1.3价款</w:t>
      </w:r>
      <w:bookmarkEnd w:id="186"/>
      <w:bookmarkEnd w:id="187"/>
      <w:bookmarkEnd w:id="188"/>
      <w:bookmarkEnd w:id="189"/>
      <w:bookmarkEnd w:id="190"/>
      <w:bookmarkEnd w:id="191"/>
      <w:bookmarkEnd w:id="192"/>
      <w:bookmarkEnd w:id="193"/>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本合同总价为：￥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元人民币）。</w:t>
      </w:r>
    </w:p>
    <w:p>
      <w:pPr>
        <w:spacing w:line="360" w:lineRule="auto"/>
        <w:ind w:firstLine="480" w:firstLineChars="200"/>
        <w:outlineLvl w:val="9"/>
        <w:rPr>
          <w:rFonts w:hint="eastAsia" w:ascii="宋体" w:hAnsi="宋体" w:cs="宋体"/>
          <w:sz w:val="24"/>
          <w:szCs w:val="24"/>
          <w:highlight w:val="none"/>
          <w:u w:val="single"/>
        </w:rPr>
      </w:pPr>
      <w:r>
        <w:rPr>
          <w:rFonts w:hint="eastAsia" w:ascii="宋体" w:hAnsi="宋体" w:cs="宋体"/>
          <w:sz w:val="24"/>
          <w:szCs w:val="24"/>
          <w:highlight w:val="none"/>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360" w:lineRule="auto"/>
              <w:jc w:val="center"/>
              <w:outlineLvl w:val="9"/>
              <w:rPr>
                <w:rFonts w:hint="eastAsia" w:hAnsi="宋体" w:cs="宋体"/>
                <w:sz w:val="24"/>
                <w:szCs w:val="24"/>
                <w:highlight w:val="none"/>
              </w:rPr>
            </w:pPr>
            <w:r>
              <w:rPr>
                <w:rFonts w:hint="eastAsia" w:hAnsi="宋体" w:cs="宋体"/>
                <w:sz w:val="24"/>
                <w:szCs w:val="24"/>
                <w:highlight w:val="none"/>
              </w:rPr>
              <w:t>序号</w:t>
            </w:r>
          </w:p>
        </w:tc>
        <w:tc>
          <w:tcPr>
            <w:tcW w:w="3402" w:type="dxa"/>
            <w:vAlign w:val="center"/>
          </w:tcPr>
          <w:p>
            <w:pPr>
              <w:pStyle w:val="28"/>
              <w:spacing w:line="360" w:lineRule="auto"/>
              <w:ind w:firstLine="200"/>
              <w:jc w:val="center"/>
              <w:outlineLvl w:val="9"/>
              <w:rPr>
                <w:rFonts w:hint="eastAsia" w:hAnsi="宋体" w:cs="宋体"/>
                <w:sz w:val="24"/>
                <w:szCs w:val="24"/>
                <w:highlight w:val="none"/>
              </w:rPr>
            </w:pPr>
            <w:r>
              <w:rPr>
                <w:rFonts w:hint="eastAsia" w:hAnsi="宋体" w:cs="宋体"/>
                <w:sz w:val="24"/>
                <w:szCs w:val="24"/>
                <w:highlight w:val="none"/>
              </w:rPr>
              <w:t>分项名称</w:t>
            </w:r>
          </w:p>
        </w:tc>
        <w:tc>
          <w:tcPr>
            <w:tcW w:w="2552" w:type="dxa"/>
            <w:vAlign w:val="center"/>
          </w:tcPr>
          <w:p>
            <w:pPr>
              <w:pStyle w:val="28"/>
              <w:spacing w:line="360" w:lineRule="auto"/>
              <w:jc w:val="center"/>
              <w:outlineLvl w:val="9"/>
              <w:rPr>
                <w:rFonts w:hint="eastAsia" w:hAnsi="宋体" w:cs="宋体"/>
                <w:sz w:val="24"/>
                <w:szCs w:val="24"/>
                <w:highlight w:val="none"/>
              </w:rPr>
            </w:pPr>
            <w:r>
              <w:rPr>
                <w:rFonts w:hint="eastAsia" w:hAnsi="宋体" w:cs="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360" w:lineRule="auto"/>
              <w:ind w:firstLine="200"/>
              <w:jc w:val="center"/>
              <w:outlineLvl w:val="9"/>
              <w:rPr>
                <w:rFonts w:hint="eastAsia" w:hAnsi="宋体" w:cs="宋体"/>
                <w:sz w:val="24"/>
                <w:szCs w:val="24"/>
                <w:highlight w:val="none"/>
              </w:rPr>
            </w:pPr>
          </w:p>
        </w:tc>
        <w:tc>
          <w:tcPr>
            <w:tcW w:w="3402" w:type="dxa"/>
            <w:vAlign w:val="center"/>
          </w:tcPr>
          <w:p>
            <w:pPr>
              <w:pStyle w:val="28"/>
              <w:spacing w:line="360" w:lineRule="auto"/>
              <w:ind w:firstLine="200"/>
              <w:jc w:val="center"/>
              <w:outlineLvl w:val="9"/>
              <w:rPr>
                <w:rFonts w:hint="eastAsia" w:hAnsi="宋体" w:cs="宋体"/>
                <w:sz w:val="24"/>
                <w:szCs w:val="24"/>
                <w:highlight w:val="none"/>
              </w:rPr>
            </w:pPr>
          </w:p>
        </w:tc>
        <w:tc>
          <w:tcPr>
            <w:tcW w:w="2552" w:type="dxa"/>
            <w:vAlign w:val="center"/>
          </w:tcPr>
          <w:p>
            <w:pPr>
              <w:pStyle w:val="28"/>
              <w:spacing w:line="360" w:lineRule="auto"/>
              <w:ind w:firstLine="200"/>
              <w:jc w:val="center"/>
              <w:outlineLvl w:val="9"/>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360" w:lineRule="auto"/>
              <w:ind w:firstLine="200"/>
              <w:jc w:val="center"/>
              <w:outlineLvl w:val="9"/>
              <w:rPr>
                <w:rFonts w:hint="eastAsia" w:hAnsi="宋体" w:cs="宋体"/>
                <w:sz w:val="24"/>
                <w:szCs w:val="24"/>
                <w:highlight w:val="none"/>
              </w:rPr>
            </w:pPr>
          </w:p>
        </w:tc>
        <w:tc>
          <w:tcPr>
            <w:tcW w:w="3402" w:type="dxa"/>
            <w:vAlign w:val="center"/>
          </w:tcPr>
          <w:p>
            <w:pPr>
              <w:pStyle w:val="28"/>
              <w:spacing w:line="360" w:lineRule="auto"/>
              <w:ind w:firstLine="200"/>
              <w:jc w:val="center"/>
              <w:outlineLvl w:val="9"/>
              <w:rPr>
                <w:rFonts w:hint="eastAsia" w:hAnsi="宋体" w:cs="宋体"/>
                <w:sz w:val="24"/>
                <w:szCs w:val="24"/>
                <w:highlight w:val="none"/>
              </w:rPr>
            </w:pPr>
          </w:p>
        </w:tc>
        <w:tc>
          <w:tcPr>
            <w:tcW w:w="2552" w:type="dxa"/>
            <w:vAlign w:val="center"/>
          </w:tcPr>
          <w:p>
            <w:pPr>
              <w:pStyle w:val="28"/>
              <w:spacing w:line="360" w:lineRule="auto"/>
              <w:ind w:firstLine="200"/>
              <w:jc w:val="center"/>
              <w:outlineLvl w:val="9"/>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360" w:lineRule="auto"/>
              <w:ind w:firstLine="200"/>
              <w:jc w:val="center"/>
              <w:outlineLvl w:val="9"/>
              <w:rPr>
                <w:rFonts w:hint="eastAsia" w:hAnsi="宋体" w:cs="宋体"/>
                <w:sz w:val="24"/>
                <w:szCs w:val="24"/>
                <w:highlight w:val="none"/>
              </w:rPr>
            </w:pPr>
          </w:p>
        </w:tc>
        <w:tc>
          <w:tcPr>
            <w:tcW w:w="3402" w:type="dxa"/>
            <w:vAlign w:val="center"/>
          </w:tcPr>
          <w:p>
            <w:pPr>
              <w:pStyle w:val="28"/>
              <w:spacing w:line="360" w:lineRule="auto"/>
              <w:ind w:firstLine="200"/>
              <w:jc w:val="center"/>
              <w:outlineLvl w:val="9"/>
              <w:rPr>
                <w:rFonts w:hint="eastAsia" w:hAnsi="宋体" w:cs="宋体"/>
                <w:sz w:val="24"/>
                <w:szCs w:val="24"/>
                <w:highlight w:val="none"/>
              </w:rPr>
            </w:pPr>
          </w:p>
        </w:tc>
        <w:tc>
          <w:tcPr>
            <w:tcW w:w="2552" w:type="dxa"/>
            <w:vAlign w:val="center"/>
          </w:tcPr>
          <w:p>
            <w:pPr>
              <w:pStyle w:val="28"/>
              <w:spacing w:line="360" w:lineRule="auto"/>
              <w:ind w:firstLine="200"/>
              <w:jc w:val="center"/>
              <w:outlineLvl w:val="9"/>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360" w:lineRule="auto"/>
              <w:ind w:firstLine="200"/>
              <w:jc w:val="center"/>
              <w:outlineLvl w:val="9"/>
              <w:rPr>
                <w:rFonts w:hint="eastAsia" w:hAnsi="宋体" w:cs="宋体"/>
                <w:sz w:val="24"/>
                <w:szCs w:val="24"/>
                <w:highlight w:val="none"/>
              </w:rPr>
            </w:pPr>
          </w:p>
        </w:tc>
        <w:tc>
          <w:tcPr>
            <w:tcW w:w="3402" w:type="dxa"/>
            <w:vAlign w:val="center"/>
          </w:tcPr>
          <w:p>
            <w:pPr>
              <w:pStyle w:val="28"/>
              <w:spacing w:line="360" w:lineRule="auto"/>
              <w:ind w:firstLine="200"/>
              <w:jc w:val="center"/>
              <w:outlineLvl w:val="9"/>
              <w:rPr>
                <w:rFonts w:hint="eastAsia" w:hAnsi="宋体" w:cs="宋体"/>
                <w:sz w:val="24"/>
                <w:szCs w:val="24"/>
                <w:highlight w:val="none"/>
              </w:rPr>
            </w:pPr>
          </w:p>
        </w:tc>
        <w:tc>
          <w:tcPr>
            <w:tcW w:w="2552" w:type="dxa"/>
            <w:vAlign w:val="center"/>
          </w:tcPr>
          <w:p>
            <w:pPr>
              <w:pStyle w:val="28"/>
              <w:spacing w:line="360" w:lineRule="auto"/>
              <w:ind w:firstLine="200"/>
              <w:jc w:val="center"/>
              <w:outlineLvl w:val="9"/>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8"/>
              <w:spacing w:line="360" w:lineRule="auto"/>
              <w:ind w:firstLine="200"/>
              <w:jc w:val="center"/>
              <w:outlineLvl w:val="9"/>
              <w:rPr>
                <w:rFonts w:hint="eastAsia" w:hAnsi="宋体" w:cs="宋体"/>
                <w:sz w:val="24"/>
                <w:szCs w:val="24"/>
                <w:highlight w:val="none"/>
              </w:rPr>
            </w:pPr>
            <w:r>
              <w:rPr>
                <w:rFonts w:hint="eastAsia" w:hAnsi="宋体" w:cs="宋体"/>
                <w:sz w:val="24"/>
                <w:szCs w:val="24"/>
                <w:highlight w:val="none"/>
              </w:rPr>
              <w:t>总价</w:t>
            </w:r>
          </w:p>
        </w:tc>
        <w:tc>
          <w:tcPr>
            <w:tcW w:w="2552" w:type="dxa"/>
            <w:vAlign w:val="center"/>
          </w:tcPr>
          <w:p>
            <w:pPr>
              <w:pStyle w:val="28"/>
              <w:spacing w:line="360" w:lineRule="auto"/>
              <w:ind w:firstLine="200"/>
              <w:jc w:val="center"/>
              <w:outlineLvl w:val="9"/>
              <w:rPr>
                <w:rFonts w:hint="eastAsia" w:hAnsi="宋体" w:cs="宋体"/>
                <w:sz w:val="24"/>
                <w:szCs w:val="24"/>
                <w:highlight w:val="none"/>
              </w:rPr>
            </w:pPr>
          </w:p>
        </w:tc>
      </w:tr>
    </w:tbl>
    <w:p>
      <w:pPr>
        <w:spacing w:line="360" w:lineRule="auto"/>
        <w:ind w:firstLine="482" w:firstLineChars="200"/>
        <w:outlineLvl w:val="9"/>
        <w:rPr>
          <w:rFonts w:hint="eastAsia" w:ascii="宋体" w:hAnsi="宋体" w:cs="宋体"/>
          <w:b/>
          <w:sz w:val="24"/>
          <w:szCs w:val="24"/>
          <w:highlight w:val="none"/>
        </w:rPr>
      </w:pPr>
      <w:bookmarkStart w:id="194" w:name="_Toc3654"/>
      <w:bookmarkStart w:id="195" w:name="_Toc13113"/>
      <w:bookmarkStart w:id="196" w:name="_Toc14993"/>
      <w:bookmarkStart w:id="197" w:name="_Toc15617"/>
      <w:bookmarkStart w:id="198" w:name="_Toc26916"/>
      <w:bookmarkStart w:id="199" w:name="_Toc17639"/>
      <w:bookmarkStart w:id="200" w:name="_Toc30158"/>
      <w:bookmarkStart w:id="201" w:name="_Toc30506"/>
      <w:r>
        <w:rPr>
          <w:rFonts w:hint="eastAsia" w:ascii="宋体" w:hAnsi="宋体" w:cs="宋体"/>
          <w:b/>
          <w:sz w:val="24"/>
          <w:szCs w:val="24"/>
          <w:highlight w:val="none"/>
        </w:rPr>
        <w:t>1.4付款方式和发票开具方式</w:t>
      </w:r>
      <w:bookmarkEnd w:id="194"/>
      <w:bookmarkEnd w:id="195"/>
      <w:bookmarkEnd w:id="196"/>
      <w:bookmarkEnd w:id="197"/>
      <w:bookmarkEnd w:id="198"/>
      <w:bookmarkEnd w:id="199"/>
      <w:bookmarkEnd w:id="200"/>
      <w:bookmarkEnd w:id="201"/>
    </w:p>
    <w:p>
      <w:pPr>
        <w:spacing w:line="360" w:lineRule="auto"/>
        <w:ind w:firstLine="480" w:firstLineChars="200"/>
        <w:rPr>
          <w:rFonts w:hint="eastAsia" w:ascii="宋体" w:hAnsi="宋体"/>
          <w:sz w:val="24"/>
          <w:highlight w:val="none"/>
        </w:rPr>
      </w:pPr>
      <w:bookmarkStart w:id="202" w:name="_Toc31421"/>
      <w:bookmarkStart w:id="203" w:name="_Toc8772"/>
      <w:bookmarkStart w:id="204" w:name="_Toc19039"/>
      <w:bookmarkStart w:id="205" w:name="_Toc4760"/>
      <w:bookmarkStart w:id="206" w:name="_Toc18630"/>
      <w:bookmarkStart w:id="207" w:name="_Toc3625"/>
      <w:bookmarkStart w:id="208" w:name="_Toc11108"/>
      <w:bookmarkStart w:id="209" w:name="_Toc17784"/>
      <w:r>
        <w:rPr>
          <w:rFonts w:hint="eastAsia" w:ascii="宋体" w:hAnsi="宋体" w:cs="宋体"/>
          <w:sz w:val="24"/>
          <w:szCs w:val="24"/>
          <w:highlight w:val="none"/>
        </w:rPr>
        <w:t>1.</w:t>
      </w:r>
      <w:r>
        <w:rPr>
          <w:rFonts w:hint="eastAsia" w:ascii="宋体" w:hAnsi="宋体" w:cs="宋体"/>
          <w:sz w:val="24"/>
          <w:szCs w:val="24"/>
          <w:highlight w:val="none"/>
          <w:lang w:val="en-US" w:eastAsia="zh-CN"/>
        </w:rPr>
        <w:t>4.1</w:t>
      </w:r>
      <w:r>
        <w:rPr>
          <w:rFonts w:hint="eastAsia" w:ascii="宋体" w:hAnsi="宋体"/>
          <w:sz w:val="24"/>
          <w:highlight w:val="none"/>
        </w:rPr>
        <w:t>项目合同签订后支付合同总款的</w:t>
      </w:r>
      <w:r>
        <w:rPr>
          <w:rFonts w:hint="eastAsia" w:ascii="宋体" w:hAnsi="宋体"/>
          <w:sz w:val="24"/>
          <w:highlight w:val="none"/>
          <w:lang w:val="en-US" w:eastAsia="zh-CN"/>
        </w:rPr>
        <w:t>4</w:t>
      </w:r>
      <w:r>
        <w:rPr>
          <w:rFonts w:ascii="宋体" w:hAnsi="宋体"/>
          <w:sz w:val="24"/>
          <w:highlight w:val="none"/>
        </w:rPr>
        <w:t>0</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1.4.2</w:t>
      </w:r>
      <w:r>
        <w:rPr>
          <w:rFonts w:hint="eastAsia" w:ascii="宋体" w:hAnsi="宋体"/>
          <w:sz w:val="24"/>
          <w:highlight w:val="none"/>
        </w:rPr>
        <w:t>项目</w:t>
      </w:r>
      <w:r>
        <w:rPr>
          <w:rFonts w:hint="eastAsia" w:ascii="宋体" w:hAnsi="宋体"/>
          <w:sz w:val="24"/>
          <w:highlight w:val="none"/>
          <w:lang w:val="en-US" w:eastAsia="zh-CN"/>
        </w:rPr>
        <w:t>完工且验收合格</w:t>
      </w:r>
      <w:r>
        <w:rPr>
          <w:rFonts w:hint="eastAsia" w:ascii="宋体" w:hAnsi="宋体"/>
          <w:sz w:val="24"/>
          <w:highlight w:val="none"/>
        </w:rPr>
        <w:t>后，支付</w:t>
      </w:r>
      <w:r>
        <w:rPr>
          <w:rFonts w:hint="eastAsia" w:ascii="宋体" w:hAnsi="宋体"/>
          <w:sz w:val="24"/>
          <w:highlight w:val="none"/>
          <w:lang w:val="en-US" w:eastAsia="zh-CN"/>
        </w:rPr>
        <w:t>剩余</w:t>
      </w:r>
      <w:r>
        <w:rPr>
          <w:rFonts w:hint="eastAsia" w:ascii="宋体" w:hAnsi="宋体"/>
          <w:sz w:val="24"/>
          <w:highlight w:val="none"/>
        </w:rPr>
        <w:t>合同款；</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1.4.3</w:t>
      </w:r>
      <w:r>
        <w:rPr>
          <w:rFonts w:hint="eastAsia" w:ascii="宋体" w:hAnsi="宋体"/>
          <w:sz w:val="24"/>
          <w:highlight w:val="none"/>
        </w:rPr>
        <w:t>供应商承诺在采购人办理以上各期付款的支付手续前，为采购人出具等额的符合国家规定的发票；</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1.4.4</w:t>
      </w:r>
      <w:r>
        <w:rPr>
          <w:rFonts w:hint="eastAsia" w:ascii="宋体" w:hAnsi="宋体"/>
          <w:sz w:val="24"/>
          <w:highlight w:val="none"/>
        </w:rPr>
        <w:t>上述时间不包括采购人正常办理支付报批手续的时间。</w:t>
      </w:r>
    </w:p>
    <w:p>
      <w:pPr>
        <w:spacing w:line="360" w:lineRule="auto"/>
        <w:ind w:firstLine="482" w:firstLineChars="200"/>
        <w:outlineLvl w:val="9"/>
        <w:rPr>
          <w:rFonts w:hint="eastAsia" w:ascii="宋体" w:hAnsi="宋体" w:cs="宋体"/>
          <w:b/>
          <w:sz w:val="24"/>
          <w:szCs w:val="24"/>
          <w:highlight w:val="none"/>
        </w:rPr>
      </w:pPr>
      <w:r>
        <w:rPr>
          <w:rFonts w:hint="eastAsia" w:ascii="宋体" w:hAnsi="宋体" w:cs="宋体"/>
          <w:b/>
          <w:sz w:val="24"/>
          <w:szCs w:val="24"/>
          <w:highlight w:val="none"/>
        </w:rPr>
        <w:t>1.5</w:t>
      </w:r>
      <w:r>
        <w:rPr>
          <w:rFonts w:hint="eastAsia" w:ascii="宋体" w:hAnsi="宋体" w:cs="宋体"/>
          <w:b/>
          <w:sz w:val="24"/>
          <w:szCs w:val="24"/>
          <w:highlight w:val="none"/>
          <w:lang w:eastAsia="zh-CN"/>
        </w:rPr>
        <w:t>服务期限</w:t>
      </w:r>
      <w:r>
        <w:rPr>
          <w:rFonts w:hint="eastAsia" w:ascii="宋体" w:hAnsi="宋体" w:cs="宋体"/>
          <w:b/>
          <w:sz w:val="24"/>
          <w:szCs w:val="24"/>
          <w:highlight w:val="none"/>
        </w:rPr>
        <w:t>、地点和方式</w:t>
      </w:r>
      <w:bookmarkEnd w:id="202"/>
      <w:bookmarkEnd w:id="203"/>
      <w:bookmarkEnd w:id="204"/>
      <w:bookmarkEnd w:id="205"/>
      <w:bookmarkEnd w:id="206"/>
      <w:bookmarkEnd w:id="207"/>
      <w:bookmarkEnd w:id="208"/>
      <w:bookmarkEnd w:id="209"/>
    </w:p>
    <w:p>
      <w:pPr>
        <w:spacing w:line="360" w:lineRule="auto"/>
        <w:ind w:firstLine="480" w:firstLineChars="200"/>
        <w:outlineLvl w:val="9"/>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rPr>
        <w:t>1.5.1</w:t>
      </w:r>
      <w:r>
        <w:rPr>
          <w:rFonts w:hint="eastAsia" w:ascii="宋体" w:hAnsi="宋体" w:cs="宋体"/>
          <w:sz w:val="24"/>
          <w:szCs w:val="24"/>
          <w:highlight w:val="none"/>
          <w:lang w:eastAsia="zh-CN"/>
        </w:rPr>
        <w:t>服务</w:t>
      </w:r>
      <w:r>
        <w:rPr>
          <w:rFonts w:hint="eastAsia" w:ascii="宋体" w:hAnsi="宋体" w:cs="宋体"/>
          <w:sz w:val="24"/>
          <w:szCs w:val="24"/>
          <w:highlight w:val="none"/>
        </w:rPr>
        <w:t>期：</w:t>
      </w:r>
      <w:r>
        <w:rPr>
          <w:rFonts w:hint="eastAsia" w:ascii="宋体" w:hAnsi="宋体" w:cs="宋体"/>
          <w:sz w:val="24"/>
          <w:szCs w:val="24"/>
          <w:highlight w:val="none"/>
          <w:lang w:val="en-US" w:eastAsia="zh-CN"/>
        </w:rPr>
        <w:t>1年；</w:t>
      </w:r>
    </w:p>
    <w:p>
      <w:pPr>
        <w:spacing w:line="360" w:lineRule="auto"/>
        <w:ind w:firstLine="480" w:firstLineChars="200"/>
        <w:outlineLvl w:val="9"/>
        <w:rPr>
          <w:rFonts w:hint="eastAsia" w:ascii="宋体" w:hAnsi="宋体" w:cs="宋体"/>
          <w:sz w:val="24"/>
          <w:szCs w:val="24"/>
          <w:highlight w:val="none"/>
          <w:u w:val="single"/>
        </w:rPr>
      </w:pPr>
      <w:r>
        <w:rPr>
          <w:rFonts w:hint="eastAsia" w:ascii="宋体" w:hAnsi="宋体" w:cs="宋体"/>
          <w:sz w:val="24"/>
          <w:szCs w:val="24"/>
          <w:highlight w:val="none"/>
        </w:rPr>
        <w:t>1.5.2</w:t>
      </w:r>
      <w:r>
        <w:rPr>
          <w:rFonts w:hint="eastAsia" w:ascii="宋体" w:hAnsi="宋体" w:cs="宋体"/>
          <w:sz w:val="24"/>
          <w:szCs w:val="24"/>
          <w:highlight w:val="none"/>
          <w:lang w:eastAsia="zh-CN"/>
        </w:rPr>
        <w:t>服务</w:t>
      </w:r>
      <w:r>
        <w:rPr>
          <w:rFonts w:hint="eastAsia" w:ascii="宋体" w:hAnsi="宋体" w:cs="宋体"/>
          <w:sz w:val="24"/>
          <w:szCs w:val="24"/>
          <w:highlight w:val="none"/>
        </w:rPr>
        <w:t>地点：</w:t>
      </w:r>
      <w:r>
        <w:rPr>
          <w:rFonts w:hint="eastAsia" w:ascii="宋体" w:hAnsi="宋体" w:cs="宋体"/>
          <w:sz w:val="24"/>
          <w:szCs w:val="24"/>
          <w:highlight w:val="none"/>
          <w:u w:val="single"/>
        </w:rPr>
        <w:t>采购人指定地点</w:t>
      </w:r>
      <w:r>
        <w:rPr>
          <w:rFonts w:hint="eastAsia" w:ascii="宋体" w:hAnsi="宋体" w:cs="宋体"/>
          <w:sz w:val="24"/>
          <w:szCs w:val="24"/>
          <w:highlight w:val="none"/>
        </w:rPr>
        <w:t>。</w:t>
      </w:r>
    </w:p>
    <w:p>
      <w:pPr>
        <w:spacing w:line="360" w:lineRule="auto"/>
        <w:ind w:firstLine="482" w:firstLineChars="200"/>
        <w:outlineLvl w:val="9"/>
        <w:rPr>
          <w:rFonts w:hint="eastAsia" w:ascii="宋体" w:hAnsi="宋体" w:cs="宋体"/>
          <w:sz w:val="24"/>
          <w:szCs w:val="24"/>
          <w:highlight w:val="none"/>
          <w:u w:val="single"/>
        </w:rPr>
      </w:pPr>
      <w:bookmarkStart w:id="210" w:name="_Toc2375"/>
      <w:bookmarkStart w:id="211" w:name="_Toc5698"/>
      <w:bookmarkStart w:id="212" w:name="_Toc24662"/>
      <w:bookmarkStart w:id="213" w:name="_Toc15869"/>
      <w:bookmarkStart w:id="214" w:name="_Toc3232"/>
      <w:bookmarkStart w:id="215" w:name="_Toc3079"/>
      <w:bookmarkStart w:id="216" w:name="_Toc8586"/>
      <w:bookmarkStart w:id="217" w:name="_Toc18097"/>
      <w:r>
        <w:rPr>
          <w:rFonts w:hint="eastAsia" w:ascii="宋体" w:hAnsi="宋体" w:cs="宋体"/>
          <w:b/>
          <w:sz w:val="24"/>
          <w:szCs w:val="24"/>
          <w:highlight w:val="none"/>
        </w:rPr>
        <w:t>1.6违约责任</w:t>
      </w:r>
      <w:bookmarkEnd w:id="210"/>
      <w:bookmarkEnd w:id="211"/>
      <w:bookmarkEnd w:id="212"/>
      <w:bookmarkEnd w:id="213"/>
      <w:bookmarkEnd w:id="214"/>
      <w:bookmarkEnd w:id="215"/>
      <w:bookmarkEnd w:id="216"/>
      <w:bookmarkEnd w:id="217"/>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szCs w:val="24"/>
          <w:highlight w:val="none"/>
          <w:u w:val="single"/>
        </w:rPr>
        <w:t>0.5</w:t>
      </w:r>
      <w:r>
        <w:rPr>
          <w:rFonts w:hint="eastAsia" w:ascii="宋体" w:hAnsi="宋体" w:cs="宋体"/>
          <w:sz w:val="24"/>
          <w:szCs w:val="24"/>
          <w:highlight w:val="none"/>
        </w:rPr>
        <w:t>%计算，最高限额为本合同总价的</w:t>
      </w:r>
      <w:r>
        <w:rPr>
          <w:rFonts w:hint="eastAsia" w:ascii="宋体" w:hAnsi="宋体" w:cs="宋体"/>
          <w:sz w:val="24"/>
          <w:szCs w:val="24"/>
          <w:highlight w:val="none"/>
          <w:u w:val="single"/>
        </w:rPr>
        <w:t>5</w:t>
      </w:r>
      <w:r>
        <w:rPr>
          <w:rFonts w:hint="eastAsia" w:ascii="宋体" w:hAnsi="宋体" w:cs="宋体"/>
          <w:sz w:val="24"/>
          <w:szCs w:val="24"/>
          <w:highlight w:val="none"/>
        </w:rPr>
        <w:t>%；迟延履行的违约金计算数额达到前述最高限额之日起，甲方有权在要求乙方支付违约金的同时，书面通知乙方解除本合同；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宋体"/>
          <w:sz w:val="24"/>
          <w:szCs w:val="24"/>
          <w:highlight w:val="none"/>
          <w:u w:val="single"/>
        </w:rPr>
        <w:t>0.5</w:t>
      </w:r>
      <w:r>
        <w:rPr>
          <w:rFonts w:hint="eastAsia" w:ascii="宋体" w:hAnsi="宋体" w:cs="宋体"/>
          <w:sz w:val="24"/>
          <w:szCs w:val="24"/>
          <w:highlight w:val="none"/>
        </w:rPr>
        <w:t>%计算，最高限额为本合同总价的</w:t>
      </w:r>
      <w:r>
        <w:rPr>
          <w:rFonts w:hint="eastAsia" w:ascii="宋体" w:hAnsi="宋体" w:cs="宋体"/>
          <w:sz w:val="24"/>
          <w:szCs w:val="24"/>
          <w:highlight w:val="none"/>
          <w:u w:val="single"/>
        </w:rPr>
        <w:t>5</w:t>
      </w:r>
      <w:r>
        <w:rPr>
          <w:rFonts w:hint="eastAsia" w:ascii="宋体" w:hAnsi="宋体" w:cs="宋体"/>
          <w:sz w:val="24"/>
          <w:szCs w:val="24"/>
          <w:highlight w:val="none"/>
        </w:rPr>
        <w:t>%；迟延付款的违约金计算数额达到前述最高限额之日起，乙方有权在要求甲方支付违约金的同时，书面通知甲方解除本合同；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1.6.6如果出现政府采购监督管理部门在处理投诉事项期间，书面通知甲方暂停采购活动的情形，或者询问或质疑事项可能影响</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结果的，导致甲方中止履行合同的情形，均不视为甲方违约。</w:t>
      </w:r>
    </w:p>
    <w:p>
      <w:pPr>
        <w:spacing w:line="360" w:lineRule="auto"/>
        <w:ind w:firstLine="482" w:firstLineChars="200"/>
        <w:outlineLvl w:val="9"/>
        <w:rPr>
          <w:rFonts w:hint="eastAsia" w:ascii="宋体" w:hAnsi="宋体" w:cs="宋体"/>
          <w:b/>
          <w:sz w:val="24"/>
          <w:szCs w:val="24"/>
          <w:highlight w:val="none"/>
        </w:rPr>
      </w:pPr>
      <w:bookmarkStart w:id="218" w:name="_Toc14537"/>
      <w:bookmarkStart w:id="219" w:name="_Toc18683"/>
      <w:bookmarkStart w:id="220" w:name="_Toc29170"/>
      <w:bookmarkStart w:id="221" w:name="_Toc26807"/>
      <w:bookmarkStart w:id="222" w:name="_Toc9497"/>
      <w:bookmarkStart w:id="223" w:name="_Toc14686"/>
      <w:bookmarkStart w:id="224" w:name="_Toc30329"/>
      <w:bookmarkStart w:id="225" w:name="_Toc32454"/>
      <w:r>
        <w:rPr>
          <w:rFonts w:hint="eastAsia" w:ascii="宋体" w:hAnsi="宋体" w:cs="宋体"/>
          <w:b/>
          <w:sz w:val="24"/>
          <w:szCs w:val="24"/>
          <w:highlight w:val="none"/>
        </w:rPr>
        <w:t>1.7合同争议的解决</w:t>
      </w:r>
      <w:bookmarkEnd w:id="218"/>
      <w:bookmarkEnd w:id="219"/>
      <w:bookmarkEnd w:id="220"/>
      <w:bookmarkEnd w:id="221"/>
      <w:bookmarkEnd w:id="222"/>
      <w:bookmarkEnd w:id="223"/>
      <w:bookmarkEnd w:id="224"/>
      <w:bookmarkEnd w:id="225"/>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cs="宋体"/>
          <w:sz w:val="24"/>
          <w:szCs w:val="24"/>
          <w:highlight w:val="none"/>
          <w:u w:val="single"/>
        </w:rPr>
        <w:t>1.7.2款</w:t>
      </w:r>
      <w:r>
        <w:rPr>
          <w:rFonts w:hint="eastAsia" w:ascii="宋体" w:hAnsi="宋体" w:cs="宋体"/>
          <w:sz w:val="24"/>
          <w:szCs w:val="24"/>
          <w:highlight w:val="none"/>
        </w:rPr>
        <w:t>方式解决：</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1.7.1将争议提交</w:t>
      </w:r>
      <w:r>
        <w:rPr>
          <w:rFonts w:hint="eastAsia" w:ascii="宋体" w:hAnsi="宋体" w:cs="宋体"/>
          <w:sz w:val="24"/>
          <w:szCs w:val="24"/>
          <w:highlight w:val="none"/>
          <w:u w:val="single"/>
        </w:rPr>
        <w:t xml:space="preserve">   合同签订地   </w:t>
      </w:r>
      <w:r>
        <w:rPr>
          <w:rFonts w:hint="eastAsia" w:ascii="宋体" w:hAnsi="宋体" w:cs="宋体"/>
          <w:sz w:val="24"/>
          <w:szCs w:val="24"/>
          <w:highlight w:val="none"/>
        </w:rPr>
        <w:t>仲裁委员会依申请仲裁时其现行有效的仲裁规则裁决；</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1.7.2向</w:t>
      </w:r>
      <w:r>
        <w:rPr>
          <w:rFonts w:hint="eastAsia" w:ascii="宋体" w:hAnsi="宋体" w:cs="宋体"/>
          <w:sz w:val="24"/>
          <w:szCs w:val="24"/>
          <w:highlight w:val="none"/>
          <w:u w:val="single"/>
        </w:rPr>
        <w:t xml:space="preserve">   合同签订地   </w:t>
      </w:r>
      <w:r>
        <w:rPr>
          <w:rFonts w:hint="eastAsia" w:ascii="宋体" w:hAnsi="宋体" w:cs="宋体"/>
          <w:sz w:val="24"/>
          <w:szCs w:val="24"/>
          <w:highlight w:val="none"/>
        </w:rPr>
        <w:t>人民法院起诉。</w:t>
      </w:r>
    </w:p>
    <w:p>
      <w:pPr>
        <w:spacing w:line="360" w:lineRule="auto"/>
        <w:ind w:firstLine="482" w:firstLineChars="200"/>
        <w:outlineLvl w:val="9"/>
        <w:rPr>
          <w:rFonts w:hint="eastAsia" w:ascii="宋体" w:hAnsi="宋体" w:cs="宋体"/>
          <w:b/>
          <w:sz w:val="24"/>
          <w:szCs w:val="24"/>
          <w:highlight w:val="none"/>
        </w:rPr>
      </w:pPr>
      <w:bookmarkStart w:id="226" w:name="_Toc17829"/>
      <w:bookmarkStart w:id="227" w:name="_Toc16417"/>
      <w:bookmarkStart w:id="228" w:name="_Toc58"/>
      <w:bookmarkStart w:id="229" w:name="_Toc23784"/>
      <w:bookmarkStart w:id="230" w:name="_Toc15436"/>
      <w:bookmarkStart w:id="231" w:name="_Toc26227"/>
      <w:bookmarkStart w:id="232" w:name="_Toc12273"/>
      <w:bookmarkStart w:id="233" w:name="_Toc15827"/>
      <w:r>
        <w:rPr>
          <w:rFonts w:hint="eastAsia" w:ascii="宋体" w:hAnsi="宋体" w:cs="宋体"/>
          <w:b/>
          <w:sz w:val="24"/>
          <w:szCs w:val="24"/>
          <w:highlight w:val="none"/>
        </w:rPr>
        <w:t>1.8合同生效</w:t>
      </w:r>
      <w:bookmarkEnd w:id="226"/>
      <w:bookmarkEnd w:id="227"/>
      <w:bookmarkEnd w:id="228"/>
      <w:bookmarkEnd w:id="229"/>
      <w:bookmarkEnd w:id="230"/>
      <w:bookmarkEnd w:id="231"/>
      <w:bookmarkEnd w:id="232"/>
      <w:bookmarkEnd w:id="233"/>
    </w:p>
    <w:p>
      <w:pPr>
        <w:spacing w:line="360" w:lineRule="auto"/>
        <w:ind w:firstLine="480" w:firstLineChars="200"/>
        <w:outlineLvl w:val="9"/>
        <w:rPr>
          <w:rFonts w:hint="eastAsia" w:ascii="宋体" w:hAnsi="宋体" w:cs="宋体"/>
          <w:b/>
          <w:sz w:val="24"/>
          <w:szCs w:val="24"/>
          <w:highlight w:val="none"/>
        </w:rPr>
      </w:pPr>
      <w:r>
        <w:rPr>
          <w:rFonts w:hint="eastAsia" w:ascii="宋体" w:hAnsi="宋体" w:cs="宋体"/>
          <w:sz w:val="24"/>
          <w:szCs w:val="24"/>
          <w:highlight w:val="none"/>
        </w:rPr>
        <w:t>本合同自双方当事人盖章或者签字时生效。</w:t>
      </w:r>
    </w:p>
    <w:p>
      <w:pPr>
        <w:spacing w:line="360" w:lineRule="auto"/>
        <w:ind w:firstLine="480" w:firstLineChars="200"/>
        <w:outlineLvl w:val="9"/>
        <w:rPr>
          <w:rFonts w:hint="eastAsia" w:ascii="宋体" w:hAnsi="宋体" w:cs="宋体"/>
          <w:sz w:val="24"/>
          <w:szCs w:val="24"/>
          <w:highlight w:val="none"/>
          <w:lang w:val="zh-CN"/>
        </w:rPr>
      </w:pPr>
    </w:p>
    <w:p>
      <w:pPr>
        <w:spacing w:line="360" w:lineRule="auto"/>
        <w:ind w:firstLine="482" w:firstLineChars="200"/>
        <w:outlineLvl w:val="9"/>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甲方：                                   乙方：</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统一社会信用代码：                       统一社会信用代码或身份证号码：</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住所：                                   住所：</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法定代表人或                             法定代表人</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授权代表（签字）：                       或授权代表（签字）:</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联系人：                                 联系人：</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约定送达地址：                           约定送达地址：</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邮政编码：                               邮政编码：</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电话:                                    电话:</w:t>
      </w:r>
    </w:p>
    <w:p>
      <w:pPr>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传真:                                    传真:</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zh-CN"/>
        </w:rPr>
        <w:t>电子邮箱：                               电子邮箱：</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开户银行：                               开户银行：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开户名称：                               开户名称：</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开户账号：</w:t>
      </w:r>
      <w:r>
        <w:rPr>
          <w:rFonts w:hint="eastAsia" w:ascii="宋体" w:hAnsi="宋体" w:cs="宋体"/>
          <w:sz w:val="24"/>
          <w:szCs w:val="24"/>
          <w:highlight w:val="none"/>
          <w:lang w:val="zh-CN"/>
        </w:rPr>
        <w:t xml:space="preserve">                               </w:t>
      </w:r>
      <w:r>
        <w:rPr>
          <w:rFonts w:hint="eastAsia" w:ascii="宋体" w:hAnsi="宋体" w:cs="宋体"/>
          <w:sz w:val="24"/>
          <w:szCs w:val="24"/>
          <w:highlight w:val="none"/>
        </w:rPr>
        <w:t>开户账号：</w:t>
      </w:r>
    </w:p>
    <w:p>
      <w:pPr>
        <w:spacing w:line="360" w:lineRule="auto"/>
        <w:jc w:val="center"/>
        <w:outlineLvl w:val="1"/>
        <w:rPr>
          <w:rFonts w:hint="eastAsia" w:ascii="黑体" w:hAnsi="黑体" w:eastAsia="黑体" w:cs="黑体"/>
          <w:sz w:val="32"/>
          <w:szCs w:val="32"/>
          <w:highlight w:val="none"/>
        </w:rPr>
      </w:pPr>
      <w:bookmarkStart w:id="234" w:name="_Toc331685783"/>
      <w:bookmarkStart w:id="235" w:name="_Toc3483"/>
      <w:r>
        <w:rPr>
          <w:rFonts w:hint="eastAsia" w:ascii="黑体" w:hAnsi="黑体" w:eastAsia="黑体" w:cs="黑体"/>
          <w:sz w:val="32"/>
          <w:szCs w:val="32"/>
          <w:highlight w:val="none"/>
        </w:rPr>
        <w:br w:type="page"/>
      </w:r>
      <w:bookmarkStart w:id="236" w:name="_Toc11838"/>
      <w:bookmarkStart w:id="237" w:name="_Toc16795"/>
      <w:bookmarkStart w:id="238" w:name="_Toc18269"/>
      <w:r>
        <w:rPr>
          <w:rFonts w:hint="eastAsia" w:ascii="黑体" w:hAnsi="黑体" w:eastAsia="黑体" w:cs="黑体"/>
          <w:b/>
          <w:bCs/>
          <w:sz w:val="32"/>
          <w:szCs w:val="32"/>
          <w:highlight w:val="none"/>
        </w:rPr>
        <w:t>二、合同一般条款</w:t>
      </w:r>
      <w:bookmarkEnd w:id="234"/>
      <w:bookmarkEnd w:id="235"/>
      <w:bookmarkEnd w:id="236"/>
      <w:bookmarkEnd w:id="237"/>
      <w:bookmarkEnd w:id="238"/>
    </w:p>
    <w:p>
      <w:pPr>
        <w:spacing w:line="360" w:lineRule="auto"/>
        <w:ind w:firstLine="482" w:firstLineChars="200"/>
        <w:outlineLvl w:val="9"/>
        <w:rPr>
          <w:rFonts w:hint="eastAsia" w:ascii="宋体" w:hAnsi="宋体" w:cs="宋体"/>
          <w:b/>
          <w:sz w:val="24"/>
          <w:szCs w:val="24"/>
          <w:highlight w:val="none"/>
        </w:rPr>
      </w:pPr>
      <w:bookmarkStart w:id="239" w:name="_Ref467378463"/>
      <w:bookmarkStart w:id="240" w:name="_Ref467378499"/>
      <w:bookmarkStart w:id="241" w:name="_Toc16972"/>
      <w:bookmarkStart w:id="242" w:name="_Toc259093669"/>
      <w:bookmarkStart w:id="243" w:name="_Toc26002"/>
      <w:bookmarkStart w:id="244" w:name="_Ref467379195"/>
      <w:bookmarkStart w:id="245" w:name="_Ref467379094"/>
      <w:bookmarkStart w:id="246" w:name="_Ref467379101"/>
      <w:bookmarkStart w:id="247" w:name="_Toc5228"/>
      <w:bookmarkStart w:id="248" w:name="_Ref467378404"/>
      <w:bookmarkStart w:id="249" w:name="_Toc279701240"/>
      <w:bookmarkStart w:id="250" w:name="_Toc487900349"/>
      <w:bookmarkStart w:id="251" w:name="_Toc31297"/>
      <w:bookmarkStart w:id="252" w:name="_Ref467379214"/>
      <w:bookmarkStart w:id="253" w:name="_Toc25079"/>
      <w:bookmarkStart w:id="254" w:name="_Ref467379109"/>
      <w:bookmarkStart w:id="255" w:name="_Toc14021"/>
      <w:bookmarkStart w:id="256" w:name="_Toc19680"/>
      <w:bookmarkStart w:id="257" w:name="_Ref467379225"/>
      <w:bookmarkStart w:id="258" w:name="_Ref467379205"/>
      <w:bookmarkStart w:id="259" w:name="_Toc22731"/>
      <w:r>
        <w:rPr>
          <w:rFonts w:hint="eastAsia" w:ascii="宋体" w:hAnsi="宋体" w:cs="宋体"/>
          <w:b/>
          <w:sz w:val="24"/>
          <w:szCs w:val="24"/>
          <w:highlight w:val="none"/>
        </w:rPr>
        <w:t>2.1定义</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本合同中的下列词语应按以下内容进行解释：</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2.1.1“合同”系指采购人和</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供应商签订的载明双方当事人所达成的协议，并包括所有的附件、附录和构成合同的其他文件。</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2.1.2“合同价”系指根据合同约定，</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供应商在完全履行合同义务后，采购人应支付给</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供应商的价格。</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2.1.3“服务”系指</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供应商根据合同约定应向采购人履行的除货物和工程以外的其他政府采购对象，包括采购人自身需要的服务和向社会公众提供的公共服务。</w:t>
      </w:r>
    </w:p>
    <w:p>
      <w:pPr>
        <w:spacing w:line="360" w:lineRule="auto"/>
        <w:ind w:firstLine="480" w:firstLineChars="200"/>
        <w:outlineLvl w:val="9"/>
        <w:rPr>
          <w:rFonts w:hint="eastAsia" w:ascii="宋体" w:hAnsi="宋体" w:cs="宋体"/>
          <w:sz w:val="24"/>
          <w:szCs w:val="24"/>
          <w:highlight w:val="none"/>
        </w:rPr>
      </w:pPr>
      <w:bookmarkStart w:id="260" w:name="_Ref467378840"/>
      <w:r>
        <w:rPr>
          <w:rFonts w:hint="eastAsia" w:ascii="宋体" w:hAnsi="宋体" w:cs="宋体"/>
          <w:sz w:val="24"/>
          <w:szCs w:val="24"/>
          <w:highlight w:val="none"/>
        </w:rPr>
        <w:t>2.1.4“甲方”系指与</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供应商签署合同的采购人</w:t>
      </w:r>
      <w:bookmarkEnd w:id="260"/>
      <w:r>
        <w:rPr>
          <w:rFonts w:hint="eastAsia" w:ascii="宋体" w:hAnsi="宋体" w:cs="宋体"/>
          <w:sz w:val="24"/>
          <w:szCs w:val="24"/>
          <w:highlight w:val="none"/>
        </w:rPr>
        <w:t>；采购人委托采购代理机构代表其与乙方签订合同的，采购人的授权委托书作为合同附件。</w:t>
      </w:r>
    </w:p>
    <w:p>
      <w:pPr>
        <w:spacing w:line="360" w:lineRule="auto"/>
        <w:ind w:firstLine="480" w:firstLineChars="200"/>
        <w:outlineLvl w:val="9"/>
        <w:rPr>
          <w:rFonts w:hint="eastAsia" w:ascii="宋体" w:hAnsi="宋体" w:cs="宋体"/>
          <w:sz w:val="24"/>
          <w:szCs w:val="24"/>
          <w:highlight w:val="none"/>
        </w:rPr>
      </w:pPr>
      <w:bookmarkStart w:id="261" w:name="_Ref467379400"/>
      <w:r>
        <w:rPr>
          <w:rFonts w:hint="eastAsia" w:ascii="宋体" w:hAnsi="宋体" w:cs="宋体"/>
          <w:sz w:val="24"/>
          <w:szCs w:val="24"/>
          <w:highlight w:val="none"/>
        </w:rPr>
        <w:t>2.1.5“乙方”系指根据合同约定提供服务的</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w:t>
      </w:r>
      <w:bookmarkEnd w:id="261"/>
      <w:r>
        <w:rPr>
          <w:rFonts w:hint="eastAsia" w:ascii="宋体" w:hAnsi="宋体" w:cs="宋体"/>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outlineLvl w:val="9"/>
        <w:rPr>
          <w:rFonts w:hint="eastAsia" w:ascii="宋体" w:hAnsi="宋体" w:cs="宋体"/>
          <w:sz w:val="24"/>
          <w:szCs w:val="24"/>
          <w:highlight w:val="none"/>
        </w:rPr>
      </w:pPr>
      <w:bookmarkStart w:id="262" w:name="_Ref467379436"/>
      <w:r>
        <w:rPr>
          <w:rFonts w:hint="eastAsia" w:ascii="宋体" w:hAnsi="宋体" w:cs="宋体"/>
          <w:sz w:val="24"/>
          <w:szCs w:val="24"/>
          <w:highlight w:val="none"/>
        </w:rPr>
        <w:t>2.1.6“现场”系指合同约定提供服务的地点。</w:t>
      </w:r>
      <w:bookmarkEnd w:id="262"/>
    </w:p>
    <w:p>
      <w:pPr>
        <w:spacing w:line="360" w:lineRule="auto"/>
        <w:ind w:firstLine="482" w:firstLineChars="200"/>
        <w:outlineLvl w:val="9"/>
        <w:rPr>
          <w:rFonts w:hint="eastAsia" w:ascii="宋体" w:hAnsi="宋体" w:cs="宋体"/>
          <w:b/>
          <w:sz w:val="24"/>
          <w:szCs w:val="24"/>
          <w:highlight w:val="none"/>
        </w:rPr>
      </w:pPr>
      <w:bookmarkStart w:id="263" w:name="_Toc3565"/>
      <w:bookmarkStart w:id="264" w:name="_Toc3769"/>
      <w:bookmarkStart w:id="265" w:name="_Toc487900350"/>
      <w:bookmarkStart w:id="266" w:name="_Toc259093670"/>
      <w:bookmarkStart w:id="267" w:name="_Toc16752"/>
      <w:bookmarkStart w:id="268" w:name="_Toc19539"/>
      <w:bookmarkStart w:id="269" w:name="_Toc22410"/>
      <w:bookmarkStart w:id="270" w:name="_Toc23289"/>
      <w:bookmarkStart w:id="271" w:name="_Toc31402"/>
      <w:bookmarkStart w:id="272" w:name="_Toc4531"/>
      <w:bookmarkStart w:id="273" w:name="_Toc279701241"/>
      <w:r>
        <w:rPr>
          <w:rFonts w:hint="eastAsia" w:ascii="宋体" w:hAnsi="宋体" w:cs="宋体"/>
          <w:b/>
          <w:sz w:val="24"/>
          <w:szCs w:val="24"/>
          <w:highlight w:val="none"/>
        </w:rPr>
        <w:t>2.2技术规范</w:t>
      </w:r>
      <w:bookmarkEnd w:id="263"/>
      <w:bookmarkEnd w:id="264"/>
      <w:bookmarkEnd w:id="265"/>
      <w:bookmarkEnd w:id="266"/>
      <w:bookmarkEnd w:id="267"/>
      <w:bookmarkEnd w:id="268"/>
      <w:bookmarkEnd w:id="269"/>
      <w:bookmarkEnd w:id="270"/>
      <w:bookmarkEnd w:id="271"/>
      <w:bookmarkEnd w:id="272"/>
      <w:bookmarkEnd w:id="273"/>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9"/>
        <w:rPr>
          <w:rFonts w:hint="eastAsia" w:ascii="宋体" w:hAnsi="宋体" w:cs="宋体"/>
          <w:b/>
          <w:sz w:val="24"/>
          <w:szCs w:val="24"/>
          <w:highlight w:val="none"/>
        </w:rPr>
      </w:pPr>
      <w:bookmarkStart w:id="274" w:name="_Toc12412"/>
      <w:bookmarkStart w:id="275" w:name="_Toc487900351"/>
      <w:bookmarkStart w:id="276" w:name="_Toc27945"/>
      <w:bookmarkStart w:id="277" w:name="_Toc4133"/>
      <w:bookmarkStart w:id="278" w:name="_Toc31298"/>
      <w:bookmarkStart w:id="279" w:name="_Toc32669"/>
      <w:bookmarkStart w:id="280" w:name="_Toc15220"/>
      <w:bookmarkStart w:id="281" w:name="_Toc279701242"/>
      <w:bookmarkStart w:id="282" w:name="_Toc9161"/>
      <w:bookmarkStart w:id="283" w:name="_Toc13673"/>
      <w:bookmarkStart w:id="284" w:name="_Toc259093671"/>
      <w:r>
        <w:rPr>
          <w:rFonts w:hint="eastAsia" w:ascii="宋体" w:hAnsi="宋体" w:cs="宋体"/>
          <w:b/>
          <w:sz w:val="24"/>
          <w:szCs w:val="24"/>
          <w:highlight w:val="none"/>
        </w:rPr>
        <w:t>2.3知识产权</w:t>
      </w:r>
      <w:bookmarkEnd w:id="274"/>
      <w:bookmarkEnd w:id="275"/>
      <w:bookmarkEnd w:id="276"/>
      <w:bookmarkEnd w:id="277"/>
      <w:bookmarkEnd w:id="278"/>
      <w:bookmarkEnd w:id="279"/>
      <w:bookmarkEnd w:id="280"/>
      <w:bookmarkEnd w:id="281"/>
      <w:bookmarkEnd w:id="282"/>
      <w:bookmarkEnd w:id="283"/>
      <w:bookmarkEnd w:id="284"/>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2" w:firstLineChars="200"/>
        <w:outlineLvl w:val="9"/>
        <w:rPr>
          <w:rFonts w:hint="eastAsia" w:ascii="宋体" w:hAnsi="宋体" w:cs="宋体"/>
          <w:b/>
          <w:sz w:val="24"/>
          <w:szCs w:val="24"/>
          <w:highlight w:val="none"/>
        </w:rPr>
      </w:pPr>
      <w:r>
        <w:rPr>
          <w:rFonts w:hint="eastAsia" w:ascii="宋体" w:hAnsi="宋体" w:cs="宋体"/>
          <w:b/>
          <w:sz w:val="24"/>
          <w:szCs w:val="24"/>
          <w:highlight w:val="none"/>
        </w:rPr>
        <w:t>2.4履约检查和问题反馈</w:t>
      </w:r>
    </w:p>
    <w:p>
      <w:pPr>
        <w:spacing w:line="360" w:lineRule="auto"/>
        <w:ind w:firstLine="480" w:firstLineChars="200"/>
        <w:outlineLvl w:val="9"/>
        <w:rPr>
          <w:rFonts w:hint="eastAsia" w:ascii="宋体" w:hAnsi="宋体" w:cs="宋体"/>
          <w:sz w:val="24"/>
          <w:szCs w:val="24"/>
          <w:highlight w:val="none"/>
        </w:rPr>
      </w:pPr>
      <w:bookmarkStart w:id="285" w:name="_Ref467379657"/>
      <w:r>
        <w:rPr>
          <w:rFonts w:hint="eastAsia" w:ascii="宋体" w:hAnsi="宋体" w:cs="宋体"/>
          <w:sz w:val="24"/>
          <w:szCs w:val="24"/>
          <w:highlight w:val="none"/>
        </w:rPr>
        <w:t>2.4.1</w:t>
      </w:r>
      <w:bookmarkEnd w:id="285"/>
      <w:bookmarkStart w:id="286" w:name="_Toc186431854"/>
      <w:bookmarkStart w:id="287" w:name="_Toc259093676"/>
      <w:bookmarkStart w:id="288" w:name="_Toc279701247"/>
      <w:bookmarkStart w:id="289" w:name="_Ref467379807"/>
      <w:bookmarkStart w:id="290" w:name="_Ref467379793"/>
      <w:bookmarkStart w:id="291" w:name="_Toc487900357"/>
      <w:r>
        <w:rPr>
          <w:rFonts w:hint="eastAsia" w:ascii="宋体" w:hAnsi="宋体" w:cs="宋体"/>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2.4.2合同履行期间，甲方有权将履行过程中出现的问题反馈给乙方，双方当事人应以书面形式约定需要完善和改进的内容</w:t>
      </w:r>
      <w:bookmarkEnd w:id="286"/>
      <w:bookmarkStart w:id="292" w:name="_Toc186431855"/>
      <w:r>
        <w:rPr>
          <w:rFonts w:hint="eastAsia" w:ascii="宋体" w:hAnsi="宋体" w:cs="宋体"/>
          <w:sz w:val="24"/>
          <w:szCs w:val="24"/>
          <w:highlight w:val="none"/>
        </w:rPr>
        <w:t>。</w:t>
      </w:r>
    </w:p>
    <w:bookmarkEnd w:id="292"/>
    <w:p>
      <w:pPr>
        <w:spacing w:line="360" w:lineRule="auto"/>
        <w:ind w:firstLine="482" w:firstLineChars="200"/>
        <w:outlineLvl w:val="9"/>
        <w:rPr>
          <w:rFonts w:hint="eastAsia" w:ascii="宋体" w:hAnsi="宋体" w:cs="宋体"/>
          <w:b/>
          <w:sz w:val="24"/>
          <w:szCs w:val="24"/>
          <w:highlight w:val="none"/>
        </w:rPr>
      </w:pPr>
      <w:bookmarkStart w:id="293" w:name="_Toc7472"/>
      <w:bookmarkStart w:id="294" w:name="_Toc32670"/>
      <w:bookmarkStart w:id="295" w:name="_Toc7860"/>
      <w:bookmarkStart w:id="296" w:name="_Toc26555"/>
      <w:bookmarkStart w:id="297" w:name="_Toc22011"/>
      <w:bookmarkStart w:id="298" w:name="_Toc31233"/>
      <w:bookmarkStart w:id="299" w:name="_Toc15447"/>
      <w:bookmarkStart w:id="300" w:name="_Toc13247"/>
      <w:r>
        <w:rPr>
          <w:rFonts w:hint="eastAsia" w:ascii="宋体" w:hAnsi="宋体" w:cs="宋体"/>
          <w:b/>
          <w:sz w:val="24"/>
          <w:szCs w:val="24"/>
          <w:highlight w:val="none"/>
        </w:rPr>
        <w:t>2.5结算方式和付款条件</w:t>
      </w:r>
      <w:bookmarkEnd w:id="287"/>
      <w:bookmarkEnd w:id="288"/>
      <w:bookmarkEnd w:id="289"/>
      <w:bookmarkEnd w:id="290"/>
      <w:bookmarkEnd w:id="291"/>
      <w:bookmarkEnd w:id="293"/>
      <w:bookmarkEnd w:id="294"/>
      <w:bookmarkEnd w:id="295"/>
      <w:bookmarkEnd w:id="296"/>
      <w:bookmarkEnd w:id="297"/>
      <w:bookmarkEnd w:id="298"/>
      <w:bookmarkEnd w:id="299"/>
      <w:bookmarkEnd w:id="300"/>
    </w:p>
    <w:p>
      <w:pPr>
        <w:spacing w:line="360" w:lineRule="auto"/>
        <w:ind w:firstLine="480" w:firstLineChars="200"/>
        <w:rPr>
          <w:rFonts w:hint="eastAsia" w:ascii="宋体" w:hAnsi="宋体"/>
          <w:sz w:val="24"/>
          <w:highlight w:val="none"/>
        </w:rPr>
      </w:pPr>
      <w:bookmarkStart w:id="301" w:name="_Ref467379852"/>
      <w:bookmarkStart w:id="302" w:name="_Toc259093677"/>
      <w:bookmarkStart w:id="303" w:name="_Ref467379863"/>
      <w:bookmarkStart w:id="304" w:name="_Ref467379923"/>
      <w:bookmarkStart w:id="305" w:name="_Toc279701248"/>
      <w:bookmarkStart w:id="306" w:name="_Toc487900358"/>
      <w:bookmarkStart w:id="307" w:name="_Toc18990"/>
      <w:bookmarkStart w:id="308" w:name="_Toc3886"/>
      <w:bookmarkStart w:id="309" w:name="_Toc13467"/>
      <w:bookmarkStart w:id="310" w:name="_Toc30507"/>
      <w:bookmarkStart w:id="311" w:name="_Toc13154"/>
      <w:bookmarkStart w:id="312" w:name="_Toc24255"/>
      <w:bookmarkStart w:id="313" w:name="_Toc9974"/>
      <w:bookmarkStart w:id="314" w:name="_Toc16163"/>
      <w:r>
        <w:rPr>
          <w:rFonts w:hint="eastAsia" w:ascii="宋体" w:hAnsi="宋体" w:cs="宋体"/>
          <w:sz w:val="24"/>
          <w:szCs w:val="24"/>
          <w:highlight w:val="none"/>
          <w:lang w:val="en-US" w:eastAsia="zh-CN"/>
        </w:rPr>
        <w:t>2.5.1</w:t>
      </w:r>
      <w:r>
        <w:rPr>
          <w:rFonts w:hint="eastAsia" w:ascii="宋体" w:hAnsi="宋体"/>
          <w:sz w:val="24"/>
          <w:highlight w:val="none"/>
        </w:rPr>
        <w:t>项目合同签订后支付合同总款的</w:t>
      </w:r>
      <w:r>
        <w:rPr>
          <w:rFonts w:hint="eastAsia" w:ascii="宋体" w:hAnsi="宋体"/>
          <w:sz w:val="24"/>
          <w:highlight w:val="none"/>
          <w:lang w:val="en-US" w:eastAsia="zh-CN"/>
        </w:rPr>
        <w:t>4</w:t>
      </w:r>
      <w:r>
        <w:rPr>
          <w:rFonts w:ascii="宋体" w:hAnsi="宋体"/>
          <w:sz w:val="24"/>
          <w:highlight w:val="none"/>
        </w:rPr>
        <w:t>0</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2.5.2</w:t>
      </w:r>
      <w:r>
        <w:rPr>
          <w:rFonts w:hint="eastAsia" w:ascii="宋体" w:hAnsi="宋体"/>
          <w:sz w:val="24"/>
          <w:highlight w:val="none"/>
        </w:rPr>
        <w:t>项目</w:t>
      </w:r>
      <w:r>
        <w:rPr>
          <w:rFonts w:hint="eastAsia" w:ascii="宋体" w:hAnsi="宋体"/>
          <w:sz w:val="24"/>
          <w:highlight w:val="none"/>
          <w:lang w:val="en-US" w:eastAsia="zh-CN"/>
        </w:rPr>
        <w:t>完工且验收合格</w:t>
      </w:r>
      <w:r>
        <w:rPr>
          <w:rFonts w:hint="eastAsia" w:ascii="宋体" w:hAnsi="宋体"/>
          <w:sz w:val="24"/>
          <w:highlight w:val="none"/>
        </w:rPr>
        <w:t>后，支付</w:t>
      </w:r>
      <w:r>
        <w:rPr>
          <w:rFonts w:hint="eastAsia" w:ascii="宋体" w:hAnsi="宋体"/>
          <w:sz w:val="24"/>
          <w:highlight w:val="none"/>
          <w:lang w:val="en-US" w:eastAsia="zh-CN"/>
        </w:rPr>
        <w:t>剩余</w:t>
      </w:r>
      <w:r>
        <w:rPr>
          <w:rFonts w:hint="eastAsia" w:ascii="宋体" w:hAnsi="宋体"/>
          <w:sz w:val="24"/>
          <w:highlight w:val="none"/>
        </w:rPr>
        <w:t>合同款；</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2.5.3</w:t>
      </w:r>
      <w:r>
        <w:rPr>
          <w:rFonts w:hint="eastAsia" w:ascii="宋体" w:hAnsi="宋体"/>
          <w:sz w:val="24"/>
          <w:highlight w:val="none"/>
        </w:rPr>
        <w:t>供应商承诺在采购人办理以上各期付款的支付手续前，为采购人出具等额的符合国家规定的发票；</w:t>
      </w:r>
    </w:p>
    <w:p>
      <w:pPr>
        <w:spacing w:line="360" w:lineRule="auto"/>
        <w:ind w:firstLine="480" w:firstLineChars="200"/>
        <w:outlineLvl w:val="9"/>
        <w:rPr>
          <w:rFonts w:hint="eastAsia" w:ascii="宋体" w:hAnsi="宋体" w:cs="宋体"/>
          <w:sz w:val="24"/>
          <w:szCs w:val="24"/>
          <w:highlight w:val="none"/>
        </w:rPr>
      </w:pPr>
      <w:r>
        <w:rPr>
          <w:rFonts w:hint="eastAsia" w:ascii="宋体" w:hAnsi="宋体"/>
          <w:sz w:val="24"/>
          <w:highlight w:val="none"/>
          <w:lang w:val="en-US" w:eastAsia="zh-CN"/>
        </w:rPr>
        <w:t>2.5.4</w:t>
      </w:r>
      <w:r>
        <w:rPr>
          <w:rFonts w:hint="eastAsia" w:ascii="宋体" w:hAnsi="宋体"/>
          <w:sz w:val="24"/>
          <w:highlight w:val="none"/>
        </w:rPr>
        <w:t>上述时间不包括采购人正常办理支付报批手续的时间。</w:t>
      </w:r>
    </w:p>
    <w:p>
      <w:pPr>
        <w:spacing w:line="360" w:lineRule="auto"/>
        <w:ind w:firstLine="482" w:firstLineChars="200"/>
        <w:outlineLvl w:val="9"/>
        <w:rPr>
          <w:rFonts w:hint="eastAsia" w:ascii="宋体" w:hAnsi="宋体" w:cs="宋体"/>
          <w:b/>
          <w:sz w:val="24"/>
          <w:szCs w:val="24"/>
          <w:highlight w:val="none"/>
        </w:rPr>
      </w:pPr>
      <w:r>
        <w:rPr>
          <w:rFonts w:hint="eastAsia" w:ascii="宋体" w:hAnsi="宋体" w:cs="宋体"/>
          <w:b/>
          <w:sz w:val="24"/>
          <w:szCs w:val="24"/>
          <w:highlight w:val="none"/>
        </w:rPr>
        <w:t>2.6技术资料</w:t>
      </w:r>
      <w:bookmarkEnd w:id="301"/>
      <w:bookmarkEnd w:id="302"/>
      <w:bookmarkEnd w:id="303"/>
      <w:bookmarkEnd w:id="304"/>
      <w:bookmarkEnd w:id="305"/>
      <w:bookmarkEnd w:id="306"/>
      <w:r>
        <w:rPr>
          <w:rFonts w:hint="eastAsia" w:ascii="宋体" w:hAnsi="宋体" w:cs="宋体"/>
          <w:b/>
          <w:sz w:val="24"/>
          <w:szCs w:val="24"/>
          <w:highlight w:val="none"/>
        </w:rPr>
        <w:t>和保密义务</w:t>
      </w:r>
      <w:bookmarkEnd w:id="307"/>
      <w:bookmarkEnd w:id="308"/>
      <w:bookmarkEnd w:id="309"/>
      <w:bookmarkEnd w:id="310"/>
      <w:bookmarkEnd w:id="311"/>
      <w:bookmarkEnd w:id="312"/>
      <w:bookmarkEnd w:id="313"/>
      <w:bookmarkEnd w:id="314"/>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2.6.1乙方有权依据合同约定和项目需要，向甲方了解有关情况，调阅有关资料等，甲方应予积极配合；</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2.6.2乙方有义务妥善保管和保护由甲方提供的前款信息和资料等；</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9"/>
        <w:rPr>
          <w:rFonts w:hint="eastAsia" w:ascii="宋体" w:hAnsi="宋体" w:cs="宋体"/>
          <w:b/>
          <w:sz w:val="24"/>
          <w:szCs w:val="24"/>
          <w:highlight w:val="none"/>
        </w:rPr>
      </w:pPr>
      <w:bookmarkStart w:id="315" w:name="_Toc23788"/>
      <w:bookmarkStart w:id="316" w:name="_Toc19069"/>
      <w:bookmarkStart w:id="317" w:name="_Toc30781"/>
      <w:bookmarkStart w:id="318" w:name="_Toc31682"/>
      <w:bookmarkStart w:id="319" w:name="_Toc487900362"/>
      <w:bookmarkStart w:id="320" w:name="_Toc259093681"/>
      <w:bookmarkStart w:id="321" w:name="_Toc279701252"/>
      <w:r>
        <w:rPr>
          <w:rFonts w:hint="eastAsia" w:ascii="宋体" w:hAnsi="宋体" w:cs="宋体"/>
          <w:b/>
          <w:sz w:val="24"/>
          <w:szCs w:val="24"/>
          <w:highlight w:val="none"/>
        </w:rPr>
        <w:t>2.7质量保证</w:t>
      </w:r>
      <w:bookmarkEnd w:id="315"/>
      <w:bookmarkEnd w:id="316"/>
      <w:bookmarkEnd w:id="317"/>
      <w:bookmarkEnd w:id="318"/>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2.7.1乙方应建立和完善履行合同的内部质量保证体系，并提供相关内部规章制度给甲方，以便甲方进行监督检查；</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82" w:firstLineChars="200"/>
        <w:outlineLvl w:val="9"/>
        <w:rPr>
          <w:rFonts w:hint="eastAsia" w:ascii="宋体" w:hAnsi="宋体" w:cs="宋体"/>
          <w:b/>
          <w:sz w:val="24"/>
          <w:szCs w:val="24"/>
          <w:highlight w:val="none"/>
        </w:rPr>
      </w:pPr>
      <w:bookmarkStart w:id="322" w:name="_Toc6644"/>
      <w:bookmarkStart w:id="323" w:name="_Toc4333"/>
      <w:bookmarkStart w:id="324" w:name="_Toc22267"/>
      <w:bookmarkStart w:id="325" w:name="_Toc13743"/>
      <w:r>
        <w:rPr>
          <w:rFonts w:hint="eastAsia" w:ascii="宋体" w:hAnsi="宋体" w:cs="宋体"/>
          <w:b/>
          <w:sz w:val="24"/>
          <w:szCs w:val="24"/>
          <w:highlight w:val="none"/>
        </w:rPr>
        <w:t>2.8延迟</w:t>
      </w:r>
      <w:bookmarkEnd w:id="319"/>
      <w:bookmarkEnd w:id="320"/>
      <w:bookmarkEnd w:id="321"/>
      <w:r>
        <w:rPr>
          <w:rFonts w:hint="eastAsia" w:ascii="宋体" w:hAnsi="宋体" w:cs="宋体"/>
          <w:b/>
          <w:sz w:val="24"/>
          <w:szCs w:val="24"/>
          <w:highlight w:val="none"/>
        </w:rPr>
        <w:t>履行</w:t>
      </w:r>
      <w:bookmarkEnd w:id="322"/>
      <w:bookmarkEnd w:id="323"/>
      <w:bookmarkEnd w:id="324"/>
      <w:bookmarkEnd w:id="325"/>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82" w:firstLineChars="200"/>
        <w:outlineLvl w:val="9"/>
        <w:rPr>
          <w:rFonts w:hint="eastAsia" w:ascii="宋体" w:hAnsi="宋体" w:cs="宋体"/>
          <w:b/>
          <w:sz w:val="24"/>
          <w:szCs w:val="24"/>
          <w:highlight w:val="none"/>
        </w:rPr>
      </w:pPr>
      <w:bookmarkStart w:id="326" w:name="_Toc4141"/>
      <w:bookmarkStart w:id="327" w:name="_Toc10611"/>
      <w:bookmarkStart w:id="328" w:name="_Toc7134"/>
      <w:bookmarkStart w:id="329" w:name="_Toc9519"/>
      <w:bookmarkStart w:id="330" w:name="_Toc487900364"/>
      <w:bookmarkStart w:id="331" w:name="_Toc279701254"/>
      <w:bookmarkStart w:id="332" w:name="_Ref467378121"/>
      <w:bookmarkStart w:id="333" w:name="_Toc259093683"/>
      <w:r>
        <w:rPr>
          <w:rFonts w:hint="eastAsia" w:ascii="宋体" w:hAnsi="宋体" w:cs="宋体"/>
          <w:b/>
          <w:sz w:val="24"/>
          <w:szCs w:val="24"/>
          <w:highlight w:val="none"/>
        </w:rPr>
        <w:t>2.9合同变更</w:t>
      </w:r>
      <w:bookmarkEnd w:id="326"/>
      <w:bookmarkEnd w:id="327"/>
      <w:bookmarkEnd w:id="328"/>
      <w:bookmarkEnd w:id="329"/>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2.9.1双方当事人协商一致，可以签订书面补充合同的形式变更合同，但不得违背采购文件确定的事项，且如果系追加与合同标的相同的服务的，那么所有补充合同的采购金额不得超过原合同价的10%；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334" w:name="_Toc487900369"/>
      <w:bookmarkStart w:id="335" w:name="_Toc279701259"/>
      <w:bookmarkStart w:id="336" w:name="_Toc259093688"/>
    </w:p>
    <w:p>
      <w:pPr>
        <w:spacing w:line="360" w:lineRule="auto"/>
        <w:ind w:firstLine="482" w:firstLineChars="200"/>
        <w:outlineLvl w:val="9"/>
        <w:rPr>
          <w:rFonts w:hint="eastAsia" w:ascii="宋体" w:hAnsi="宋体" w:cs="宋体"/>
          <w:b/>
          <w:sz w:val="24"/>
          <w:szCs w:val="24"/>
          <w:highlight w:val="none"/>
        </w:rPr>
      </w:pPr>
      <w:bookmarkStart w:id="337" w:name="_Toc10663"/>
      <w:bookmarkStart w:id="338" w:name="_Toc13465"/>
      <w:bookmarkStart w:id="339" w:name="_Toc458"/>
      <w:bookmarkStart w:id="340" w:name="_Toc21830"/>
      <w:bookmarkStart w:id="341" w:name="_Toc42"/>
      <w:bookmarkStart w:id="342" w:name="_Toc23368"/>
      <w:bookmarkStart w:id="343" w:name="_Toc26689"/>
      <w:bookmarkStart w:id="344" w:name="_Toc27031"/>
      <w:r>
        <w:rPr>
          <w:rFonts w:hint="eastAsia" w:ascii="宋体" w:hAnsi="宋体" w:cs="宋体"/>
          <w:b/>
          <w:sz w:val="24"/>
          <w:szCs w:val="24"/>
          <w:highlight w:val="none"/>
        </w:rPr>
        <w:t>2.10合同转让</w:t>
      </w:r>
      <w:bookmarkEnd w:id="334"/>
      <w:bookmarkEnd w:id="335"/>
      <w:bookmarkEnd w:id="336"/>
      <w:r>
        <w:rPr>
          <w:rFonts w:hint="eastAsia" w:ascii="宋体" w:hAnsi="宋体" w:cs="宋体"/>
          <w:b/>
          <w:sz w:val="24"/>
          <w:szCs w:val="24"/>
          <w:highlight w:val="none"/>
        </w:rPr>
        <w:t>和分包</w:t>
      </w:r>
      <w:bookmarkEnd w:id="337"/>
      <w:bookmarkEnd w:id="338"/>
      <w:bookmarkEnd w:id="339"/>
      <w:bookmarkEnd w:id="340"/>
      <w:bookmarkEnd w:id="341"/>
      <w:bookmarkEnd w:id="342"/>
      <w:bookmarkEnd w:id="343"/>
      <w:bookmarkEnd w:id="344"/>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2" w:firstLineChars="200"/>
        <w:outlineLvl w:val="9"/>
        <w:rPr>
          <w:rFonts w:hint="eastAsia" w:ascii="宋体" w:hAnsi="宋体" w:cs="宋体"/>
          <w:b/>
          <w:sz w:val="24"/>
          <w:szCs w:val="24"/>
          <w:highlight w:val="none"/>
        </w:rPr>
      </w:pPr>
      <w:bookmarkStart w:id="345" w:name="_Toc13058"/>
      <w:bookmarkStart w:id="346" w:name="_Toc26633"/>
      <w:bookmarkStart w:id="347" w:name="_Toc4720"/>
      <w:bookmarkStart w:id="348" w:name="_Toc32389"/>
      <w:bookmarkStart w:id="349" w:name="_Toc24901"/>
      <w:bookmarkStart w:id="350" w:name="_Toc32494"/>
      <w:bookmarkStart w:id="351" w:name="_Toc14371"/>
      <w:bookmarkStart w:id="352" w:name="_Toc25571"/>
      <w:r>
        <w:rPr>
          <w:rFonts w:hint="eastAsia" w:ascii="宋体" w:hAnsi="宋体" w:cs="宋体"/>
          <w:b/>
          <w:sz w:val="24"/>
          <w:szCs w:val="24"/>
          <w:highlight w:val="none"/>
        </w:rPr>
        <w:t>2.11不可抗力</w:t>
      </w:r>
      <w:bookmarkEnd w:id="345"/>
      <w:bookmarkEnd w:id="346"/>
      <w:bookmarkEnd w:id="347"/>
      <w:bookmarkEnd w:id="348"/>
      <w:bookmarkEnd w:id="349"/>
      <w:bookmarkEnd w:id="350"/>
      <w:bookmarkEnd w:id="351"/>
      <w:bookmarkEnd w:id="352"/>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2.11.2因不可抗力致使不能实现合同目的的，当事人可以解除合同；</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2.11.3因不可抗力致使合同有变更必要的，双方当事人应在</w:t>
      </w:r>
      <w:r>
        <w:rPr>
          <w:rFonts w:hint="eastAsia" w:ascii="宋体" w:hAnsi="宋体" w:cs="宋体"/>
          <w:b/>
          <w:sz w:val="24"/>
          <w:szCs w:val="24"/>
          <w:highlight w:val="none"/>
          <w:u w:val="single"/>
        </w:rPr>
        <w:t>10个工作日</w:t>
      </w:r>
      <w:r>
        <w:rPr>
          <w:rFonts w:hint="eastAsia" w:ascii="宋体" w:hAnsi="宋体" w:cs="宋体"/>
          <w:sz w:val="24"/>
          <w:szCs w:val="24"/>
          <w:highlight w:val="none"/>
        </w:rPr>
        <w:t>内以书面形式变更合同；</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2.11.4受不可抗力影响的一方在不可抗力发生后，应在</w:t>
      </w:r>
      <w:r>
        <w:rPr>
          <w:rFonts w:hint="eastAsia" w:ascii="宋体" w:hAnsi="宋体" w:cs="宋体"/>
          <w:b/>
          <w:sz w:val="24"/>
          <w:szCs w:val="24"/>
          <w:highlight w:val="none"/>
          <w:u w:val="single"/>
        </w:rPr>
        <w:t>10个工作日</w:t>
      </w:r>
      <w:r>
        <w:rPr>
          <w:rFonts w:hint="eastAsia" w:ascii="宋体" w:hAnsi="宋体" w:cs="宋体"/>
          <w:sz w:val="24"/>
          <w:szCs w:val="24"/>
          <w:highlight w:val="none"/>
        </w:rPr>
        <w:t>内以书面形式通知对方当事人，并在</w:t>
      </w:r>
      <w:r>
        <w:rPr>
          <w:rFonts w:hint="eastAsia" w:ascii="宋体" w:hAnsi="宋体" w:cs="宋体"/>
          <w:b/>
          <w:sz w:val="24"/>
          <w:szCs w:val="24"/>
          <w:highlight w:val="none"/>
          <w:u w:val="single"/>
        </w:rPr>
        <w:t>10个工作日</w:t>
      </w:r>
      <w:r>
        <w:rPr>
          <w:rFonts w:hint="eastAsia" w:ascii="宋体" w:hAnsi="宋体" w:cs="宋体"/>
          <w:sz w:val="24"/>
          <w:szCs w:val="24"/>
          <w:highlight w:val="none"/>
        </w:rPr>
        <w:t>内，将有关部门出具的证明文件送达对方当事人。</w:t>
      </w:r>
    </w:p>
    <w:p>
      <w:pPr>
        <w:spacing w:line="360" w:lineRule="auto"/>
        <w:ind w:firstLine="482" w:firstLineChars="200"/>
        <w:outlineLvl w:val="9"/>
        <w:rPr>
          <w:rFonts w:hint="eastAsia" w:ascii="宋体" w:hAnsi="宋体" w:cs="宋体"/>
          <w:b/>
          <w:sz w:val="24"/>
          <w:szCs w:val="24"/>
          <w:highlight w:val="none"/>
        </w:rPr>
      </w:pPr>
      <w:bookmarkStart w:id="353" w:name="_Toc3638"/>
      <w:bookmarkStart w:id="354" w:name="_Toc24226"/>
      <w:bookmarkStart w:id="355" w:name="_Toc7143"/>
      <w:bookmarkStart w:id="356" w:name="_Toc7854"/>
      <w:bookmarkStart w:id="357" w:name="_Toc14115"/>
      <w:bookmarkStart w:id="358" w:name="_Toc487900365"/>
      <w:bookmarkStart w:id="359" w:name="_Toc24465"/>
      <w:bookmarkStart w:id="360" w:name="_Toc259093684"/>
      <w:bookmarkStart w:id="361" w:name="_Toc25783"/>
      <w:bookmarkStart w:id="362" w:name="_Toc279701255"/>
      <w:bookmarkStart w:id="363" w:name="_Toc23854"/>
      <w:r>
        <w:rPr>
          <w:rFonts w:hint="eastAsia" w:ascii="宋体" w:hAnsi="宋体" w:cs="宋体"/>
          <w:b/>
          <w:sz w:val="24"/>
          <w:szCs w:val="24"/>
          <w:highlight w:val="none"/>
        </w:rPr>
        <w:t>2.12税费</w:t>
      </w:r>
      <w:bookmarkEnd w:id="353"/>
      <w:bookmarkEnd w:id="354"/>
      <w:bookmarkEnd w:id="355"/>
      <w:bookmarkEnd w:id="356"/>
      <w:bookmarkEnd w:id="357"/>
      <w:bookmarkEnd w:id="358"/>
      <w:bookmarkEnd w:id="359"/>
      <w:bookmarkEnd w:id="360"/>
      <w:bookmarkEnd w:id="361"/>
      <w:bookmarkEnd w:id="362"/>
      <w:bookmarkEnd w:id="363"/>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与合同有关的一切税费，均按照中华人民共和国法律的相关规定缴纳。</w:t>
      </w:r>
    </w:p>
    <w:p>
      <w:pPr>
        <w:spacing w:line="360" w:lineRule="auto"/>
        <w:ind w:firstLine="482" w:firstLineChars="200"/>
        <w:outlineLvl w:val="9"/>
        <w:rPr>
          <w:rFonts w:hint="eastAsia" w:ascii="宋体" w:hAnsi="宋体" w:cs="宋体"/>
          <w:b/>
          <w:sz w:val="24"/>
          <w:szCs w:val="24"/>
          <w:highlight w:val="none"/>
        </w:rPr>
      </w:pPr>
      <w:bookmarkStart w:id="364" w:name="_Toc24592"/>
      <w:bookmarkStart w:id="365" w:name="_Toc12334"/>
      <w:bookmarkStart w:id="366" w:name="_Toc14814"/>
      <w:bookmarkStart w:id="367" w:name="_Toc26883"/>
      <w:bookmarkStart w:id="368" w:name="_Toc487900368"/>
      <w:bookmarkStart w:id="369" w:name="_Toc279701258"/>
      <w:bookmarkStart w:id="370" w:name="_Toc25525"/>
      <w:bookmarkStart w:id="371" w:name="_Toc259093687"/>
      <w:bookmarkStart w:id="372" w:name="_Toc30105"/>
      <w:bookmarkStart w:id="373" w:name="_Toc7315"/>
      <w:bookmarkStart w:id="374" w:name="_Toc9444"/>
      <w:r>
        <w:rPr>
          <w:rFonts w:hint="eastAsia" w:ascii="宋体" w:hAnsi="宋体" w:cs="宋体"/>
          <w:b/>
          <w:sz w:val="24"/>
          <w:szCs w:val="24"/>
          <w:highlight w:val="none"/>
        </w:rPr>
        <w:t>2.13乙方破产</w:t>
      </w:r>
      <w:bookmarkEnd w:id="364"/>
      <w:bookmarkEnd w:id="365"/>
      <w:bookmarkEnd w:id="366"/>
      <w:bookmarkEnd w:id="367"/>
      <w:bookmarkEnd w:id="368"/>
      <w:bookmarkEnd w:id="369"/>
      <w:bookmarkEnd w:id="370"/>
      <w:bookmarkEnd w:id="371"/>
      <w:bookmarkEnd w:id="372"/>
      <w:bookmarkEnd w:id="373"/>
      <w:bookmarkEnd w:id="374"/>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9"/>
        <w:rPr>
          <w:rFonts w:hint="eastAsia" w:ascii="宋体" w:hAnsi="宋体" w:cs="宋体"/>
          <w:b/>
          <w:sz w:val="24"/>
          <w:szCs w:val="24"/>
          <w:highlight w:val="none"/>
        </w:rPr>
      </w:pPr>
      <w:bookmarkStart w:id="375" w:name="_Toc31935"/>
      <w:bookmarkStart w:id="376" w:name="_Toc27457"/>
      <w:bookmarkStart w:id="377" w:name="_Toc1123"/>
      <w:bookmarkStart w:id="378" w:name="_Toc23323"/>
      <w:bookmarkStart w:id="379" w:name="_Toc2016"/>
      <w:bookmarkStart w:id="380" w:name="_Toc18535"/>
      <w:r>
        <w:rPr>
          <w:rFonts w:hint="eastAsia" w:ascii="宋体" w:hAnsi="宋体" w:cs="宋体"/>
          <w:b/>
          <w:sz w:val="24"/>
          <w:szCs w:val="24"/>
          <w:highlight w:val="none"/>
        </w:rPr>
        <w:t>2.14合同中止、终止</w:t>
      </w:r>
      <w:bookmarkEnd w:id="375"/>
      <w:bookmarkEnd w:id="376"/>
      <w:bookmarkEnd w:id="377"/>
      <w:bookmarkEnd w:id="378"/>
      <w:bookmarkEnd w:id="379"/>
      <w:bookmarkEnd w:id="380"/>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2.14.1双方当事人不得擅自中止或者终止合同；</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outlineLvl w:val="9"/>
        <w:rPr>
          <w:rFonts w:hint="eastAsia" w:ascii="宋体" w:hAnsi="宋体" w:cs="宋体"/>
          <w:b/>
          <w:sz w:val="24"/>
          <w:szCs w:val="24"/>
          <w:highlight w:val="none"/>
        </w:rPr>
      </w:pPr>
      <w:bookmarkStart w:id="381" w:name="_Toc23234"/>
      <w:bookmarkStart w:id="382" w:name="_Toc32237"/>
      <w:bookmarkStart w:id="383" w:name="_Toc14525"/>
      <w:bookmarkStart w:id="384" w:name="_Toc17363"/>
      <w:bookmarkStart w:id="385" w:name="_Toc9000"/>
      <w:bookmarkStart w:id="386" w:name="_Toc1969"/>
      <w:r>
        <w:rPr>
          <w:rFonts w:hint="eastAsia" w:ascii="宋体" w:hAnsi="宋体" w:cs="宋体"/>
          <w:b/>
          <w:sz w:val="24"/>
          <w:szCs w:val="24"/>
          <w:highlight w:val="none"/>
        </w:rPr>
        <w:t>2.15检验和验收</w:t>
      </w:r>
      <w:bookmarkEnd w:id="381"/>
      <w:bookmarkEnd w:id="382"/>
      <w:bookmarkEnd w:id="383"/>
      <w:bookmarkEnd w:id="384"/>
      <w:bookmarkEnd w:id="385"/>
      <w:bookmarkEnd w:id="386"/>
    </w:p>
    <w:p>
      <w:pPr>
        <w:tabs>
          <w:tab w:val="left" w:pos="360"/>
          <w:tab w:val="left" w:pos="540"/>
          <w:tab w:val="left" w:pos="1080"/>
        </w:tabs>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2.15.1乙方按照</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w:t>
      </w:r>
      <w:r>
        <w:rPr>
          <w:rFonts w:hint="eastAsia" w:ascii="宋体" w:hAnsi="宋体" w:cs="宋体"/>
          <w:b/>
          <w:i/>
          <w:sz w:val="24"/>
          <w:szCs w:val="24"/>
          <w:highlight w:val="none"/>
          <w:u w:val="single"/>
        </w:rPr>
        <w:t>用户需求书</w:t>
      </w:r>
      <w:r>
        <w:rPr>
          <w:rFonts w:hint="eastAsia" w:ascii="宋体" w:hAnsi="宋体" w:cs="宋体"/>
          <w:sz w:val="24"/>
          <w:szCs w:val="24"/>
          <w:highlight w:val="none"/>
        </w:rPr>
        <w:t>的约定，定期提交服务报告，甲方按照</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w:t>
      </w:r>
      <w:r>
        <w:rPr>
          <w:rFonts w:hint="eastAsia" w:ascii="宋体" w:hAnsi="宋体" w:cs="宋体"/>
          <w:b/>
          <w:i/>
          <w:sz w:val="24"/>
          <w:szCs w:val="24"/>
          <w:highlight w:val="none"/>
          <w:u w:val="single"/>
        </w:rPr>
        <w:t>用户需求书</w:t>
      </w:r>
      <w:r>
        <w:rPr>
          <w:rFonts w:hint="eastAsia" w:ascii="宋体" w:hAnsi="宋体" w:cs="宋体"/>
          <w:sz w:val="24"/>
          <w:szCs w:val="24"/>
          <w:highlight w:val="none"/>
        </w:rPr>
        <w:t>的约定进行定期验收；</w:t>
      </w:r>
    </w:p>
    <w:p>
      <w:pPr>
        <w:tabs>
          <w:tab w:val="left" w:pos="360"/>
          <w:tab w:val="left" w:pos="540"/>
          <w:tab w:val="left" w:pos="1080"/>
        </w:tabs>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2.15.3检验和验收标准、程序等具体内容以及前述验收书的效力详见</w:t>
      </w:r>
      <w:r>
        <w:rPr>
          <w:rFonts w:hint="eastAsia" w:ascii="宋体" w:hAnsi="宋体" w:cs="宋体"/>
          <w:b/>
          <w:i/>
          <w:sz w:val="24"/>
          <w:szCs w:val="24"/>
          <w:highlight w:val="none"/>
          <w:u w:val="single"/>
          <w:lang w:val="en-US" w:eastAsia="zh-CN"/>
        </w:rPr>
        <w:t>磋商</w:t>
      </w:r>
      <w:r>
        <w:rPr>
          <w:rFonts w:hint="eastAsia" w:ascii="宋体" w:hAnsi="宋体" w:cs="宋体"/>
          <w:b/>
          <w:i/>
          <w:sz w:val="24"/>
          <w:szCs w:val="24"/>
          <w:highlight w:val="none"/>
          <w:u w:val="single"/>
        </w:rPr>
        <w:t>文件用户需求书</w:t>
      </w:r>
      <w:r>
        <w:rPr>
          <w:rFonts w:hint="eastAsia" w:ascii="宋体" w:hAnsi="宋体" w:cs="宋体"/>
          <w:i/>
          <w:sz w:val="24"/>
          <w:szCs w:val="24"/>
          <w:highlight w:val="none"/>
        </w:rPr>
        <w:t>。</w:t>
      </w:r>
    </w:p>
    <w:bookmarkEnd w:id="330"/>
    <w:bookmarkEnd w:id="331"/>
    <w:bookmarkEnd w:id="332"/>
    <w:bookmarkEnd w:id="333"/>
    <w:p>
      <w:pPr>
        <w:spacing w:line="360" w:lineRule="auto"/>
        <w:ind w:firstLine="482" w:firstLineChars="200"/>
        <w:outlineLvl w:val="9"/>
        <w:rPr>
          <w:rFonts w:hint="eastAsia" w:ascii="宋体" w:hAnsi="宋体" w:cs="宋体"/>
          <w:b/>
          <w:sz w:val="24"/>
          <w:szCs w:val="24"/>
          <w:highlight w:val="none"/>
        </w:rPr>
      </w:pPr>
      <w:bookmarkStart w:id="387" w:name="_Toc259093690"/>
      <w:bookmarkStart w:id="388" w:name="_Toc279701261"/>
      <w:bookmarkStart w:id="389" w:name="_Toc487900371"/>
      <w:bookmarkStart w:id="390" w:name="_Toc20675"/>
      <w:bookmarkStart w:id="391" w:name="_Toc25198"/>
      <w:bookmarkStart w:id="392" w:name="_Toc2308"/>
      <w:bookmarkStart w:id="393" w:name="_Toc7598"/>
      <w:bookmarkStart w:id="394" w:name="_Toc9808"/>
      <w:bookmarkStart w:id="395" w:name="_Toc12666"/>
      <w:bookmarkStart w:id="396" w:name="_Toc31892"/>
      <w:bookmarkStart w:id="397" w:name="_Toc13424"/>
      <w:r>
        <w:rPr>
          <w:rFonts w:hint="eastAsia" w:ascii="宋体" w:hAnsi="宋体" w:cs="宋体"/>
          <w:b/>
          <w:sz w:val="24"/>
          <w:szCs w:val="24"/>
          <w:highlight w:val="none"/>
        </w:rPr>
        <w:t>2.16通知</w:t>
      </w:r>
      <w:bookmarkEnd w:id="387"/>
      <w:bookmarkEnd w:id="388"/>
      <w:bookmarkEnd w:id="389"/>
      <w:r>
        <w:rPr>
          <w:rFonts w:hint="eastAsia" w:ascii="宋体" w:hAnsi="宋体" w:cs="宋体"/>
          <w:b/>
          <w:sz w:val="24"/>
          <w:szCs w:val="24"/>
          <w:highlight w:val="none"/>
        </w:rPr>
        <w:t>和送达</w:t>
      </w:r>
      <w:bookmarkEnd w:id="390"/>
      <w:bookmarkEnd w:id="391"/>
      <w:bookmarkEnd w:id="392"/>
      <w:bookmarkEnd w:id="393"/>
      <w:bookmarkEnd w:id="394"/>
      <w:bookmarkEnd w:id="395"/>
      <w:bookmarkEnd w:id="396"/>
      <w:bookmarkEnd w:id="397"/>
    </w:p>
    <w:p>
      <w:pPr>
        <w:spacing w:line="360" w:lineRule="auto"/>
        <w:ind w:firstLine="480" w:firstLineChars="200"/>
        <w:outlineLvl w:val="9"/>
        <w:rPr>
          <w:rFonts w:hint="eastAsia" w:ascii="宋体" w:hAnsi="宋体" w:cs="宋体"/>
          <w:sz w:val="24"/>
          <w:szCs w:val="24"/>
          <w:highlight w:val="none"/>
        </w:rPr>
      </w:pPr>
      <w:bookmarkStart w:id="398" w:name="_Toc7073"/>
      <w:bookmarkStart w:id="399" w:name="_Toc29220"/>
      <w:bookmarkStart w:id="400" w:name="_Toc279701262"/>
      <w:bookmarkStart w:id="401" w:name="_Toc259093691"/>
      <w:bookmarkStart w:id="402" w:name="_Toc487900372"/>
      <w:r>
        <w:rPr>
          <w:rFonts w:hint="eastAsia" w:ascii="宋体" w:hAnsi="宋体" w:cs="宋体"/>
          <w:sz w:val="24"/>
          <w:szCs w:val="24"/>
          <w:highlight w:val="none"/>
        </w:rPr>
        <w:t>2.16.1任何一方因履行合同而以合同第一部分尾部所列明的约定送达地址发出的所有通知、文件、材料，均视为已向对方当事人送达；任何一方变更上述送达方式或者地址的，应于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个工作日内书面通知对方当事人，在对方当事人收到有关变更通知之前，变更前的约定送达方式或者地址仍视为有效。</w:t>
      </w:r>
      <w:bookmarkEnd w:id="398"/>
      <w:bookmarkEnd w:id="399"/>
    </w:p>
    <w:p>
      <w:pPr>
        <w:spacing w:line="360" w:lineRule="auto"/>
        <w:ind w:firstLine="480" w:firstLineChars="200"/>
        <w:outlineLvl w:val="9"/>
        <w:rPr>
          <w:rFonts w:hint="eastAsia" w:ascii="宋体" w:hAnsi="宋体" w:cs="宋体"/>
          <w:sz w:val="24"/>
          <w:szCs w:val="24"/>
          <w:highlight w:val="none"/>
        </w:rPr>
      </w:pPr>
      <w:bookmarkStart w:id="403" w:name="_Toc27674"/>
      <w:bookmarkStart w:id="404" w:name="_Toc18401"/>
      <w:r>
        <w:rPr>
          <w:rFonts w:hint="eastAsia" w:ascii="宋体" w:hAnsi="宋体" w:cs="宋体"/>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03"/>
      <w:bookmarkEnd w:id="404"/>
    </w:p>
    <w:bookmarkEnd w:id="400"/>
    <w:bookmarkEnd w:id="401"/>
    <w:bookmarkEnd w:id="402"/>
    <w:p>
      <w:pPr>
        <w:spacing w:line="360" w:lineRule="auto"/>
        <w:ind w:firstLine="482" w:firstLineChars="200"/>
        <w:outlineLvl w:val="9"/>
        <w:rPr>
          <w:rFonts w:hint="eastAsia" w:ascii="宋体" w:hAnsi="宋体" w:cs="宋体"/>
          <w:b/>
          <w:sz w:val="24"/>
          <w:szCs w:val="24"/>
          <w:highlight w:val="none"/>
        </w:rPr>
      </w:pPr>
      <w:bookmarkStart w:id="405" w:name="_Toc15816"/>
      <w:bookmarkStart w:id="406" w:name="_Toc487900373"/>
      <w:bookmarkStart w:id="407" w:name="_Toc20808"/>
      <w:bookmarkStart w:id="408" w:name="_Toc5063"/>
      <w:bookmarkStart w:id="409" w:name="_Toc279701263"/>
      <w:bookmarkStart w:id="410" w:name="_Toc27644"/>
      <w:bookmarkStart w:id="411" w:name="_Toc25494"/>
      <w:bookmarkStart w:id="412" w:name="_Toc30955"/>
      <w:bookmarkStart w:id="413" w:name="_Toc28906"/>
      <w:bookmarkStart w:id="414" w:name="_Toc12254"/>
      <w:bookmarkStart w:id="415" w:name="_Toc259093692"/>
      <w:r>
        <w:rPr>
          <w:rFonts w:hint="eastAsia" w:ascii="宋体" w:hAnsi="宋体" w:cs="宋体"/>
          <w:b/>
          <w:sz w:val="24"/>
          <w:szCs w:val="24"/>
          <w:highlight w:val="none"/>
        </w:rPr>
        <w:t>2.17合同使用的文字和适用的法律</w:t>
      </w:r>
      <w:bookmarkEnd w:id="405"/>
      <w:bookmarkEnd w:id="406"/>
      <w:bookmarkEnd w:id="407"/>
      <w:bookmarkEnd w:id="408"/>
      <w:bookmarkEnd w:id="409"/>
      <w:bookmarkEnd w:id="410"/>
      <w:bookmarkEnd w:id="411"/>
      <w:bookmarkEnd w:id="412"/>
      <w:bookmarkEnd w:id="413"/>
      <w:bookmarkEnd w:id="414"/>
      <w:bookmarkEnd w:id="415"/>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2.17.1合同使用汉语书就、变更和解释；</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2.17.2合同适用中华人民共和国法律。</w:t>
      </w:r>
    </w:p>
    <w:p>
      <w:pPr>
        <w:spacing w:line="360" w:lineRule="auto"/>
        <w:ind w:firstLine="482" w:firstLineChars="200"/>
        <w:outlineLvl w:val="9"/>
        <w:rPr>
          <w:rFonts w:hint="eastAsia" w:ascii="宋体" w:hAnsi="宋体" w:cs="宋体"/>
          <w:b/>
          <w:sz w:val="24"/>
          <w:szCs w:val="24"/>
          <w:highlight w:val="none"/>
        </w:rPr>
      </w:pPr>
      <w:bookmarkStart w:id="416" w:name="_Toc27403"/>
      <w:bookmarkStart w:id="417" w:name="_Toc24121"/>
      <w:bookmarkStart w:id="418" w:name="_Toc30096"/>
      <w:bookmarkStart w:id="419" w:name="_Toc22266"/>
      <w:bookmarkStart w:id="420" w:name="_Toc1492"/>
      <w:bookmarkStart w:id="421" w:name="_Toc5699"/>
      <w:bookmarkStart w:id="422" w:name="_Toc25512"/>
      <w:bookmarkStart w:id="423" w:name="_Toc279701264"/>
      <w:bookmarkStart w:id="424" w:name="_Toc259093693"/>
      <w:bookmarkStart w:id="425" w:name="_Toc27127"/>
      <w:bookmarkStart w:id="426" w:name="_Toc487900374"/>
      <w:r>
        <w:rPr>
          <w:rFonts w:hint="eastAsia" w:ascii="宋体" w:hAnsi="宋体" w:cs="宋体"/>
          <w:b/>
          <w:sz w:val="24"/>
          <w:szCs w:val="24"/>
          <w:highlight w:val="none"/>
        </w:rPr>
        <w:t>2.18履约保证金</w:t>
      </w:r>
      <w:bookmarkEnd w:id="416"/>
      <w:bookmarkEnd w:id="417"/>
      <w:bookmarkEnd w:id="418"/>
      <w:bookmarkEnd w:id="419"/>
      <w:bookmarkEnd w:id="420"/>
      <w:bookmarkEnd w:id="421"/>
      <w:bookmarkEnd w:id="422"/>
      <w:bookmarkEnd w:id="423"/>
      <w:bookmarkEnd w:id="424"/>
      <w:bookmarkEnd w:id="425"/>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2.18.1本项目不提交履约保证金。</w:t>
      </w:r>
    </w:p>
    <w:bookmarkEnd w:id="426"/>
    <w:p>
      <w:pPr>
        <w:spacing w:line="360" w:lineRule="auto"/>
        <w:ind w:firstLine="482" w:firstLineChars="200"/>
        <w:outlineLvl w:val="9"/>
        <w:rPr>
          <w:rFonts w:hint="eastAsia" w:ascii="宋体" w:hAnsi="宋体" w:cs="宋体"/>
          <w:b/>
          <w:sz w:val="24"/>
          <w:szCs w:val="24"/>
          <w:highlight w:val="none"/>
        </w:rPr>
      </w:pPr>
      <w:r>
        <w:rPr>
          <w:rFonts w:hint="eastAsia" w:ascii="宋体" w:hAnsi="宋体" w:cs="宋体"/>
          <w:b/>
          <w:sz w:val="24"/>
          <w:szCs w:val="24"/>
          <w:highlight w:val="none"/>
        </w:rPr>
        <w:t>2.19合同份数</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合同份数按</w:t>
      </w:r>
      <w:r>
        <w:rPr>
          <w:rFonts w:hint="eastAsia" w:ascii="宋体" w:hAnsi="宋体" w:cs="宋体"/>
          <w:b/>
          <w:bCs/>
          <w:color w:val="auto"/>
          <w:sz w:val="24"/>
          <w:szCs w:val="24"/>
          <w:highlight w:val="none"/>
        </w:rPr>
        <w:t>合同专用条款</w:t>
      </w:r>
      <w:r>
        <w:rPr>
          <w:rFonts w:hint="eastAsia" w:ascii="宋体" w:hAnsi="宋体" w:cs="宋体"/>
          <w:color w:val="auto"/>
          <w:sz w:val="24"/>
          <w:szCs w:val="24"/>
          <w:highlight w:val="none"/>
        </w:rPr>
        <w:t>规定，每份均具有同等法律效力。</w:t>
      </w:r>
    </w:p>
    <w:p>
      <w:pPr>
        <w:pStyle w:val="29"/>
        <w:spacing w:line="360" w:lineRule="auto"/>
        <w:ind w:firstLine="0"/>
        <w:jc w:val="center"/>
        <w:outlineLvl w:val="1"/>
        <w:rPr>
          <w:rFonts w:hint="eastAsia" w:hAnsi="宋体" w:cs="宋体"/>
          <w:b/>
          <w:szCs w:val="24"/>
          <w:highlight w:val="none"/>
        </w:rPr>
      </w:pPr>
      <w:r>
        <w:rPr>
          <w:rFonts w:hint="eastAsia" w:hAnsi="宋体" w:cs="宋体"/>
          <w:szCs w:val="24"/>
          <w:highlight w:val="none"/>
        </w:rPr>
        <w:br w:type="page"/>
      </w:r>
      <w:bookmarkStart w:id="427" w:name="_Toc4114"/>
      <w:bookmarkStart w:id="428" w:name="_Toc331685784"/>
      <w:r>
        <w:rPr>
          <w:rFonts w:hint="eastAsia" w:ascii="黑体" w:hAnsi="黑体" w:eastAsia="黑体" w:cs="黑体"/>
          <w:b/>
          <w:bCs/>
          <w:kern w:val="2"/>
          <w:sz w:val="32"/>
          <w:szCs w:val="32"/>
          <w:highlight w:val="none"/>
        </w:rPr>
        <w:t>三、合同专用条款</w:t>
      </w:r>
      <w:bookmarkEnd w:id="427"/>
      <w:bookmarkEnd w:id="428"/>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条款号</w:t>
            </w:r>
          </w:p>
        </w:tc>
        <w:tc>
          <w:tcPr>
            <w:tcW w:w="7633" w:type="dxa"/>
            <w:vAlign w:val="center"/>
          </w:tcPr>
          <w:p>
            <w:pP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cs="宋体"/>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cs="宋体"/>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cs="宋体"/>
                <w:sz w:val="24"/>
                <w:szCs w:val="24"/>
                <w:highlight w:val="none"/>
              </w:rPr>
            </w:pPr>
          </w:p>
        </w:tc>
      </w:tr>
    </w:tbl>
    <w:p>
      <w:pPr>
        <w:spacing w:after="156" w:line="560" w:lineRule="exact"/>
        <w:ind w:firstLine="480"/>
        <w:rPr>
          <w:rFonts w:hint="eastAsia"/>
          <w:highlight w:val="none"/>
        </w:rPr>
      </w:pPr>
      <w:r>
        <w:rPr>
          <w:rFonts w:hint="eastAsia"/>
          <w:highlight w:val="none"/>
        </w:rPr>
        <w:t>注：最终以</w:t>
      </w:r>
      <w:r>
        <w:rPr>
          <w:rFonts w:hint="eastAsia"/>
          <w:highlight w:val="none"/>
          <w:lang w:val="en-US" w:eastAsia="zh-CN"/>
        </w:rPr>
        <w:t>成交</w:t>
      </w:r>
      <w:r>
        <w:rPr>
          <w:rFonts w:hint="eastAsia"/>
          <w:highlight w:val="none"/>
        </w:rPr>
        <w:t>供应商</w:t>
      </w:r>
      <w:r>
        <w:rPr>
          <w:rFonts w:hint="eastAsia"/>
          <w:highlight w:val="none"/>
          <w:lang w:val="en-US" w:eastAsia="zh-CN"/>
        </w:rPr>
        <w:t>响应</w:t>
      </w:r>
      <w:r>
        <w:rPr>
          <w:rFonts w:hint="eastAsia"/>
          <w:highlight w:val="none"/>
        </w:rPr>
        <w:t>文件响应条款为准修订。</w:t>
      </w:r>
    </w:p>
    <w:p>
      <w:pPr>
        <w:spacing w:after="156" w:line="560" w:lineRule="exact"/>
        <w:ind w:firstLine="480"/>
        <w:rPr>
          <w:rFonts w:hint="eastAsia"/>
          <w:highlight w:val="none"/>
        </w:rPr>
      </w:pPr>
      <w:r>
        <w:rPr>
          <w:rFonts w:hint="eastAsia"/>
          <w:highlight w:val="none"/>
        </w:rPr>
        <w:br w:type="page"/>
      </w:r>
    </w:p>
    <w:p>
      <w:pPr>
        <w:bidi w:val="0"/>
        <w:spacing w:line="360" w:lineRule="auto"/>
        <w:jc w:val="center"/>
        <w:outlineLvl w:val="0"/>
        <w:rPr>
          <w:rFonts w:ascii="黑体" w:hAnsi="黑体" w:eastAsia="黑体" w:cs="黑体"/>
          <w:b/>
          <w:bCs/>
          <w:szCs w:val="32"/>
          <w:highlight w:val="none"/>
        </w:rPr>
      </w:pPr>
      <w:bookmarkStart w:id="429" w:name="_Toc16885"/>
      <w:r>
        <w:rPr>
          <w:rFonts w:hint="eastAsia" w:ascii="黑体" w:hAnsi="黑体" w:eastAsia="黑体" w:cs="黑体"/>
          <w:b/>
          <w:bCs/>
          <w:sz w:val="32"/>
          <w:szCs w:val="32"/>
          <w:highlight w:val="none"/>
        </w:rPr>
        <w:t xml:space="preserve">第六部分 </w:t>
      </w:r>
      <w:r>
        <w:rPr>
          <w:rFonts w:hint="eastAsia" w:ascii="黑体" w:hAnsi="黑体" w:eastAsia="黑体" w:cs="黑体"/>
          <w:b/>
          <w:bCs/>
          <w:sz w:val="32"/>
          <w:szCs w:val="32"/>
          <w:highlight w:val="none"/>
          <w:lang w:val="zh-CN"/>
        </w:rPr>
        <w:t>响应文件格式</w:t>
      </w:r>
      <w:bookmarkEnd w:id="429"/>
    </w:p>
    <w:p>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2" w:firstLineChars="200"/>
        <w:textAlignment w:val="auto"/>
        <w:rPr>
          <w:rFonts w:ascii="宋体" w:hAnsi="宋体"/>
          <w:b/>
          <w:bCs/>
          <w:szCs w:val="21"/>
          <w:highlight w:val="none"/>
          <w:u w:val="single"/>
          <w:lang w:val="en-GB"/>
        </w:rPr>
      </w:pPr>
      <w:r>
        <w:rPr>
          <w:rFonts w:hint="eastAsia" w:ascii="宋体" w:hAnsi="宋体"/>
          <w:b/>
          <w:bCs/>
          <w:szCs w:val="21"/>
          <w:highlight w:val="none"/>
          <w:u w:val="single"/>
          <w:lang w:val="en-GB"/>
        </w:rPr>
        <w:t>注：请供应商按照以下要求的格式、内容、顺序制作响应文件，并请编制目录及页码，否则可能将影响对响应文件的评价</w:t>
      </w:r>
      <w:r>
        <w:rPr>
          <w:rFonts w:hint="eastAsia" w:ascii="宋体" w:hAnsi="宋体"/>
          <w:b/>
          <w:bCs/>
          <w:szCs w:val="21"/>
          <w:highlight w:val="none"/>
          <w:u w:val="single"/>
        </w:rPr>
        <w:t>或导致响应无效</w:t>
      </w:r>
      <w:r>
        <w:rPr>
          <w:rFonts w:hint="eastAsia" w:ascii="宋体" w:hAnsi="宋体"/>
          <w:b/>
          <w:bCs/>
          <w:szCs w:val="21"/>
          <w:highlight w:val="none"/>
          <w:u w:val="single"/>
          <w:lang w:val="en-GB"/>
        </w:rPr>
        <w:t>。</w:t>
      </w: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tLeast"/>
        <w:rPr>
          <w:rFonts w:ascii="宋体" w:hAnsi="宋体"/>
          <w:sz w:val="32"/>
          <w:szCs w:val="32"/>
          <w:highlight w:val="none"/>
        </w:rPr>
      </w:pPr>
      <w:r>
        <w:rPr>
          <w:rFonts w:hint="eastAsia" w:ascii="黑体" w:hAnsi="黑体" w:eastAsia="黑体" w:cs="黑体"/>
          <w:b/>
          <w:sz w:val="28"/>
          <w:szCs w:val="28"/>
          <w:highlight w:val="none"/>
        </w:rPr>
        <w:t xml:space="preserve">项目编号： </w:t>
      </w:r>
      <w:r>
        <w:rPr>
          <w:rFonts w:hint="eastAsia" w:ascii="宋体" w:hAnsi="宋体"/>
          <w:sz w:val="32"/>
          <w:szCs w:val="32"/>
          <w:highlight w:val="none"/>
        </w:rPr>
        <w:t xml:space="preserve">             </w:t>
      </w:r>
      <w:r>
        <w:rPr>
          <w:rFonts w:hint="eastAsia" w:ascii="宋体" w:hAnsi="宋体" w:cs="Arial"/>
          <w:kern w:val="0"/>
          <w:sz w:val="30"/>
          <w:szCs w:val="30"/>
          <w:highlight w:val="none"/>
        </w:rPr>
        <w:t xml:space="preserve">                        </w:t>
      </w:r>
    </w:p>
    <w:p>
      <w:pPr>
        <w:spacing w:line="360" w:lineRule="atLeast"/>
        <w:rPr>
          <w:rFonts w:ascii="宋体" w:hAnsi="宋体"/>
          <w:b/>
          <w:sz w:val="28"/>
          <w:szCs w:val="28"/>
          <w:highlight w:val="none"/>
        </w:rPr>
      </w:pPr>
      <w:r>
        <w:rPr>
          <w:rFonts w:hint="eastAsia" w:ascii="宋体" w:hAnsi="宋体"/>
          <w:szCs w:val="21"/>
          <w:highlight w:val="none"/>
        </w:rPr>
        <w:t xml:space="preserve">                                                             </w:t>
      </w:r>
      <w:r>
        <w:rPr>
          <w:rFonts w:hint="eastAsia" w:ascii="宋体" w:hAnsi="宋体"/>
          <w:b/>
          <w:sz w:val="28"/>
          <w:szCs w:val="28"/>
          <w:highlight w:val="none"/>
        </w:rPr>
        <w:t>（正本或副本）</w:t>
      </w:r>
    </w:p>
    <w:p>
      <w:pPr>
        <w:spacing w:line="360" w:lineRule="atLeast"/>
        <w:rPr>
          <w:rFonts w:ascii="宋体" w:hAnsi="宋体"/>
          <w:szCs w:val="21"/>
          <w:highlight w:val="none"/>
        </w:rPr>
      </w:pPr>
    </w:p>
    <w:p>
      <w:pPr>
        <w:spacing w:line="360" w:lineRule="atLeast"/>
        <w:rPr>
          <w:rFonts w:ascii="宋体" w:hAnsi="宋体"/>
          <w:szCs w:val="21"/>
          <w:highlight w:val="none"/>
        </w:rPr>
      </w:pPr>
    </w:p>
    <w:p>
      <w:pPr>
        <w:jc w:val="center"/>
        <w:rPr>
          <w:rFonts w:ascii="宋体" w:hAnsi="宋体"/>
          <w:sz w:val="44"/>
          <w:highlight w:val="none"/>
          <w14:shadow w14:blurRad="50800" w14:dist="38100" w14:dir="2700000" w14:sx="100000" w14:sy="100000" w14:kx="0" w14:ky="0" w14:algn="tl">
            <w14:srgbClr w14:val="000000">
              <w14:alpha w14:val="60001"/>
            </w14:srgbClr>
          </w14:shadow>
        </w:rPr>
      </w:pPr>
    </w:p>
    <w:p>
      <w:pPr>
        <w:jc w:val="center"/>
        <w:rPr>
          <w:rFonts w:ascii="宋体" w:hAnsi="宋体"/>
          <w:sz w:val="44"/>
          <w:highlight w:val="none"/>
          <w14:shadow w14:blurRad="50800" w14:dist="38100" w14:dir="2700000" w14:sx="100000" w14:sy="100000" w14:kx="0" w14:ky="0" w14:algn="tl">
            <w14:srgbClr w14:val="000000">
              <w14:alpha w14:val="60001"/>
            </w14:srgbClr>
          </w14:shadow>
        </w:rPr>
      </w:pPr>
    </w:p>
    <w:p>
      <w:pPr>
        <w:ind w:firstLine="1791" w:firstLineChars="343"/>
        <w:rPr>
          <w:rFonts w:ascii="黑体" w:hAnsi="黑体" w:eastAsia="黑体" w:cs="黑体"/>
          <w:b/>
          <w:sz w:val="52"/>
          <w:szCs w:val="52"/>
          <w:highlight w:val="none"/>
        </w:rPr>
      </w:pPr>
      <w:r>
        <w:rPr>
          <w:rFonts w:hint="eastAsia" w:ascii="黑体" w:hAnsi="黑体" w:eastAsia="黑体" w:cs="黑体"/>
          <w:b/>
          <w:sz w:val="52"/>
          <w:szCs w:val="52"/>
          <w:highlight w:val="none"/>
          <w:u w:val="single"/>
        </w:rPr>
        <w:t xml:space="preserve">             </w:t>
      </w:r>
      <w:r>
        <w:rPr>
          <w:rFonts w:hint="eastAsia" w:ascii="黑体" w:hAnsi="黑体" w:eastAsia="黑体" w:cs="黑体"/>
          <w:b/>
          <w:sz w:val="52"/>
          <w:szCs w:val="52"/>
          <w:highlight w:val="none"/>
        </w:rPr>
        <w:t>项目</w:t>
      </w:r>
    </w:p>
    <w:p>
      <w:pPr>
        <w:ind w:firstLine="3331" w:firstLineChars="638"/>
        <w:rPr>
          <w:rFonts w:ascii="宋体" w:hAnsi="宋体"/>
          <w:b/>
          <w:sz w:val="52"/>
          <w:szCs w:val="52"/>
          <w:highlight w:val="none"/>
          <w:u w:val="single"/>
        </w:rPr>
      </w:pPr>
    </w:p>
    <w:p>
      <w:pPr>
        <w:ind w:firstLine="2073" w:firstLineChars="288"/>
        <w:rPr>
          <w:rFonts w:ascii="宋体" w:hAnsi="宋体"/>
          <w:sz w:val="72"/>
          <w:szCs w:val="72"/>
          <w:highlight w:val="none"/>
        </w:rPr>
      </w:pPr>
    </w:p>
    <w:p>
      <w:pPr>
        <w:spacing w:line="360" w:lineRule="atLeast"/>
        <w:jc w:val="center"/>
        <w:rPr>
          <w:rFonts w:ascii="黑体" w:hAnsi="黑体" w:eastAsia="黑体" w:cs="黑体"/>
          <w:b/>
          <w:sz w:val="72"/>
          <w:szCs w:val="72"/>
          <w:highlight w:val="none"/>
        </w:rPr>
      </w:pPr>
      <w:r>
        <w:rPr>
          <w:rFonts w:hint="eastAsia" w:ascii="黑体" w:hAnsi="黑体" w:eastAsia="黑体" w:cs="黑体"/>
          <w:b/>
          <w:sz w:val="72"/>
          <w:szCs w:val="72"/>
          <w:highlight w:val="none"/>
        </w:rPr>
        <w:t>响应文件</w:t>
      </w: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rPr>
          <w:rFonts w:ascii="宋体" w:hAnsi="宋体"/>
          <w:sz w:val="24"/>
          <w:highlight w:val="none"/>
        </w:rPr>
      </w:pPr>
    </w:p>
    <w:p>
      <w:pPr>
        <w:spacing w:line="360" w:lineRule="atLeast"/>
        <w:rPr>
          <w:rFonts w:ascii="宋体" w:hAnsi="宋体"/>
          <w:sz w:val="24"/>
          <w:highlight w:val="none"/>
        </w:rPr>
      </w:pPr>
    </w:p>
    <w:p>
      <w:pPr>
        <w:spacing w:line="360" w:lineRule="atLeast"/>
        <w:rPr>
          <w:rFonts w:ascii="宋体" w:hAnsi="宋体"/>
          <w:sz w:val="24"/>
          <w:highlight w:val="none"/>
        </w:rPr>
      </w:pPr>
    </w:p>
    <w:p>
      <w:pPr>
        <w:spacing w:line="360" w:lineRule="atLeast"/>
        <w:ind w:firstLine="1120" w:firstLineChars="400"/>
        <w:rPr>
          <w:rFonts w:ascii="黑体" w:hAnsi="黑体" w:eastAsia="黑体" w:cs="黑体"/>
          <w:sz w:val="28"/>
          <w:szCs w:val="28"/>
          <w:highlight w:val="none"/>
        </w:rPr>
      </w:pPr>
      <w:r>
        <w:rPr>
          <w:rFonts w:hint="eastAsia" w:ascii="黑体" w:hAnsi="黑体" w:eastAsia="黑体" w:cs="黑体"/>
          <w:sz w:val="28"/>
          <w:szCs w:val="28"/>
          <w:highlight w:val="none"/>
        </w:rPr>
        <w:t>供应商：</w:t>
      </w:r>
      <w:r>
        <w:rPr>
          <w:rFonts w:hint="eastAsia" w:ascii="黑体" w:hAnsi="黑体" w:eastAsia="黑体" w:cs="黑体"/>
          <w:sz w:val="28"/>
          <w:szCs w:val="28"/>
          <w:highlight w:val="none"/>
          <w:u w:val="single"/>
        </w:rPr>
        <w:t xml:space="preserve">                      </w:t>
      </w:r>
    </w:p>
    <w:p>
      <w:pPr>
        <w:spacing w:line="360" w:lineRule="atLeast"/>
        <w:ind w:firstLine="1120" w:firstLineChars="400"/>
        <w:rPr>
          <w:rFonts w:ascii="黑体" w:hAnsi="黑体" w:eastAsia="黑体" w:cs="黑体"/>
          <w:sz w:val="28"/>
          <w:szCs w:val="28"/>
          <w:highlight w:val="none"/>
          <w:u w:val="single"/>
        </w:rPr>
      </w:pPr>
      <w:r>
        <w:rPr>
          <w:rFonts w:hint="eastAsia" w:ascii="黑体" w:hAnsi="黑体" w:eastAsia="黑体" w:cs="黑体"/>
          <w:sz w:val="28"/>
          <w:szCs w:val="28"/>
          <w:highlight w:val="none"/>
        </w:rPr>
        <w:t>时间：</w:t>
      </w:r>
      <w:r>
        <w:rPr>
          <w:rFonts w:hint="eastAsia" w:ascii="黑体" w:hAnsi="黑体" w:eastAsia="黑体" w:cs="黑体"/>
          <w:sz w:val="28"/>
          <w:szCs w:val="28"/>
          <w:highlight w:val="none"/>
          <w:u w:val="single"/>
        </w:rPr>
        <w:t xml:space="preserve">                           </w:t>
      </w:r>
    </w:p>
    <w:p>
      <w:pPr>
        <w:keepNext w:val="0"/>
        <w:keepLines w:val="0"/>
        <w:jc w:val="center"/>
        <w:outlineLvl w:val="9"/>
        <w:rPr>
          <w:rFonts w:ascii="黑体" w:hAnsi="黑体" w:eastAsia="黑体" w:cs="黑体"/>
          <w:sz w:val="32"/>
          <w:szCs w:val="32"/>
          <w:highlight w:val="none"/>
        </w:rPr>
      </w:pPr>
      <w:bookmarkStart w:id="430" w:name="_Toc24497"/>
      <w:bookmarkStart w:id="431" w:name="_Toc2288"/>
      <w:bookmarkStart w:id="432" w:name="_Toc3239"/>
      <w:r>
        <w:rPr>
          <w:rFonts w:hint="eastAsia" w:ascii="黑体" w:hAnsi="黑体" w:eastAsia="黑体" w:cs="黑体"/>
          <w:sz w:val="32"/>
          <w:szCs w:val="32"/>
          <w:highlight w:val="none"/>
        </w:rPr>
        <w:t>目  录</w:t>
      </w:r>
      <w:bookmarkEnd w:id="430"/>
      <w:bookmarkEnd w:id="431"/>
      <w:bookmarkEnd w:id="432"/>
    </w:p>
    <w:p>
      <w:pPr>
        <w:rPr>
          <w:highlight w:val="none"/>
        </w:rPr>
      </w:pPr>
    </w:p>
    <w:p>
      <w:pPr>
        <w:spacing w:line="360" w:lineRule="auto"/>
        <w:rPr>
          <w:rFonts w:hint="eastAsia" w:eastAsia="黑体"/>
          <w:highlight w:val="none"/>
          <w:lang w:val="en-US" w:eastAsia="zh-CN"/>
        </w:rPr>
      </w:pPr>
      <w:bookmarkStart w:id="433" w:name="_Toc483349431"/>
      <w:bookmarkStart w:id="434" w:name="_Toc26733"/>
      <w:r>
        <w:rPr>
          <w:rFonts w:hint="eastAsia" w:ascii="黑体" w:hAnsi="黑体" w:eastAsia="黑体" w:cs="黑体"/>
          <w:b/>
          <w:bCs/>
          <w:sz w:val="24"/>
          <w:szCs w:val="24"/>
          <w:highlight w:val="none"/>
        </w:rPr>
        <w:t>一、资格证明文件</w:t>
      </w:r>
      <w:bookmarkEnd w:id="433"/>
      <w:bookmarkEnd w:id="434"/>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35" w:name="_Toc18346"/>
      <w:bookmarkStart w:id="436" w:name="_Toc483349432"/>
      <w:r>
        <w:rPr>
          <w:rFonts w:hint="eastAsia" w:ascii="黑体" w:hAnsi="黑体" w:eastAsia="黑体" w:cs="黑体"/>
          <w:b/>
          <w:bCs/>
          <w:sz w:val="24"/>
          <w:szCs w:val="24"/>
          <w:highlight w:val="none"/>
        </w:rPr>
        <w:t>二、自查表</w:t>
      </w:r>
      <w:bookmarkEnd w:id="435"/>
      <w:bookmarkEnd w:id="436"/>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37" w:name="_Toc4584"/>
      <w:bookmarkStart w:id="438" w:name="_Toc483349433"/>
      <w:r>
        <w:rPr>
          <w:rFonts w:hint="eastAsia" w:ascii="黑体" w:hAnsi="黑体" w:eastAsia="黑体" w:cs="黑体"/>
          <w:b/>
          <w:bCs/>
          <w:sz w:val="24"/>
          <w:szCs w:val="24"/>
          <w:highlight w:val="none"/>
        </w:rPr>
        <w:t>三、</w:t>
      </w:r>
      <w:r>
        <w:rPr>
          <w:rFonts w:hint="eastAsia" w:ascii="黑体" w:hAnsi="黑体" w:eastAsia="黑体" w:cs="黑体"/>
          <w:b/>
          <w:bCs/>
          <w:sz w:val="24"/>
          <w:szCs w:val="24"/>
          <w:highlight w:val="none"/>
          <w:lang w:val="en-US" w:eastAsia="zh-CN"/>
        </w:rPr>
        <w:t>响应</w:t>
      </w:r>
      <w:r>
        <w:rPr>
          <w:rFonts w:hint="eastAsia" w:ascii="黑体" w:hAnsi="黑体" w:eastAsia="黑体" w:cs="黑体"/>
          <w:b/>
          <w:bCs/>
          <w:sz w:val="24"/>
          <w:szCs w:val="24"/>
          <w:highlight w:val="none"/>
        </w:rPr>
        <w:t>函（格式）</w:t>
      </w:r>
      <w:bookmarkEnd w:id="437"/>
      <w:bookmarkEnd w:id="438"/>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39" w:name="_Toc483349434"/>
      <w:bookmarkStart w:id="440" w:name="_Toc29371"/>
      <w:r>
        <w:rPr>
          <w:rFonts w:hint="eastAsia" w:ascii="黑体" w:hAnsi="黑体" w:eastAsia="黑体" w:cs="黑体"/>
          <w:b/>
          <w:bCs/>
          <w:sz w:val="24"/>
          <w:szCs w:val="24"/>
          <w:highlight w:val="none"/>
        </w:rPr>
        <w:t>四、报价表</w:t>
      </w:r>
      <w:bookmarkEnd w:id="439"/>
      <w:bookmarkEnd w:id="440"/>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41" w:name="_Toc27473"/>
      <w:bookmarkStart w:id="442" w:name="_Toc483349435"/>
      <w:r>
        <w:rPr>
          <w:rFonts w:hint="eastAsia" w:ascii="黑体" w:hAnsi="黑体" w:eastAsia="黑体" w:cs="黑体"/>
          <w:b/>
          <w:bCs/>
          <w:sz w:val="24"/>
          <w:szCs w:val="24"/>
          <w:highlight w:val="none"/>
        </w:rPr>
        <w:t>五、技术部分</w:t>
      </w:r>
      <w:bookmarkEnd w:id="441"/>
      <w:bookmarkEnd w:id="442"/>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43" w:name="_Toc483349436"/>
      <w:bookmarkStart w:id="444" w:name="_Toc25422"/>
      <w:r>
        <w:rPr>
          <w:rFonts w:hint="eastAsia" w:ascii="黑体" w:hAnsi="黑体" w:eastAsia="黑体" w:cs="黑体"/>
          <w:b/>
          <w:bCs/>
          <w:sz w:val="24"/>
          <w:szCs w:val="24"/>
          <w:highlight w:val="none"/>
        </w:rPr>
        <w:t>六、商务部分</w:t>
      </w:r>
      <w:bookmarkEnd w:id="443"/>
      <w:bookmarkEnd w:id="444"/>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45" w:name="_Toc32072"/>
      <w:bookmarkStart w:id="446" w:name="_Toc483349437"/>
      <w:r>
        <w:rPr>
          <w:rFonts w:hint="eastAsia" w:ascii="黑体" w:hAnsi="黑体" w:eastAsia="黑体" w:cs="黑体"/>
          <w:b/>
          <w:bCs/>
          <w:sz w:val="24"/>
          <w:szCs w:val="24"/>
          <w:highlight w:val="none"/>
        </w:rPr>
        <w:t>七、供应商认为必要说明的其它内容</w:t>
      </w:r>
      <w:bookmarkEnd w:id="445"/>
      <w:bookmarkEnd w:id="446"/>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47" w:name="_Toc483349438"/>
      <w:bookmarkStart w:id="448" w:name="_Toc29690"/>
      <w:r>
        <w:rPr>
          <w:rFonts w:hint="eastAsia" w:ascii="黑体" w:hAnsi="黑体" w:eastAsia="黑体" w:cs="黑体"/>
          <w:b/>
          <w:bCs/>
          <w:sz w:val="24"/>
          <w:szCs w:val="24"/>
          <w:highlight w:val="none"/>
        </w:rPr>
        <w:t>八、承诺书</w:t>
      </w:r>
      <w:bookmarkEnd w:id="447"/>
      <w:bookmarkEnd w:id="448"/>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rPr>
          <w:rFonts w:ascii="黑体" w:hAnsi="仿宋" w:eastAsia="黑体" w:cs="仿宋"/>
          <w:b/>
          <w:sz w:val="24"/>
          <w:highlight w:val="none"/>
        </w:rPr>
      </w:pPr>
      <w:r>
        <w:rPr>
          <w:rFonts w:ascii="黑体" w:hAnsi="仿宋" w:eastAsia="黑体" w:cs="仿宋"/>
          <w:b/>
          <w:sz w:val="24"/>
          <w:highlight w:val="none"/>
        </w:rPr>
        <w:br w:type="page"/>
      </w:r>
    </w:p>
    <w:p>
      <w:pPr>
        <w:spacing w:line="360" w:lineRule="auto"/>
        <w:jc w:val="center"/>
        <w:outlineLvl w:val="1"/>
        <w:rPr>
          <w:rFonts w:ascii="黑体" w:hAnsi="仿宋" w:eastAsia="黑体" w:cs="仿宋"/>
          <w:b/>
          <w:sz w:val="32"/>
          <w:szCs w:val="32"/>
          <w:highlight w:val="none"/>
        </w:rPr>
      </w:pPr>
      <w:bookmarkStart w:id="449" w:name="_Toc30302"/>
      <w:bookmarkStart w:id="450" w:name="_Toc16970"/>
      <w:bookmarkStart w:id="451" w:name="_Toc9082"/>
      <w:bookmarkStart w:id="452" w:name="_Toc23545"/>
      <w:bookmarkStart w:id="453" w:name="_Toc278794812"/>
      <w:r>
        <w:rPr>
          <w:rFonts w:hint="eastAsia" w:ascii="黑体" w:hAnsi="仿宋" w:eastAsia="黑体" w:cs="仿宋"/>
          <w:b/>
          <w:sz w:val="32"/>
          <w:szCs w:val="32"/>
          <w:highlight w:val="none"/>
        </w:rPr>
        <w:t>一、资格证明文件</w:t>
      </w:r>
      <w:bookmarkEnd w:id="449"/>
      <w:bookmarkEnd w:id="450"/>
      <w:bookmarkEnd w:id="451"/>
      <w:bookmarkEnd w:id="452"/>
    </w:p>
    <w:p>
      <w:pPr>
        <w:pStyle w:val="11"/>
        <w:spacing w:line="500" w:lineRule="exact"/>
        <w:ind w:left="-120" w:leftChars="-57" w:firstLine="527" w:firstLineChars="250"/>
        <w:rPr>
          <w:rFonts w:hAnsi="宋体"/>
          <w:b/>
          <w:bCs/>
          <w:highlight w:val="none"/>
          <w:u w:val="single"/>
        </w:rPr>
      </w:pPr>
      <w:r>
        <w:rPr>
          <w:rFonts w:hint="eastAsia" w:hAnsi="宋体"/>
          <w:b/>
          <w:bCs/>
          <w:highlight w:val="none"/>
          <w:u w:val="single"/>
        </w:rPr>
        <w:t>注：</w:t>
      </w:r>
      <w:r>
        <w:rPr>
          <w:rFonts w:hint="eastAsia" w:hAnsi="宋体"/>
          <w:b/>
          <w:bCs/>
          <w:highlight w:val="none"/>
          <w:u w:val="single"/>
          <w:lang w:val="en-GB"/>
        </w:rPr>
        <w:t>资格证明文件按照《</w:t>
      </w:r>
      <w:r>
        <w:rPr>
          <w:rFonts w:hint="eastAsia" w:hAnsi="宋体"/>
          <w:b/>
          <w:bCs/>
          <w:highlight w:val="none"/>
          <w:u w:val="single"/>
        </w:rPr>
        <w:t>第三部分 供应商须知</w:t>
      </w:r>
      <w:r>
        <w:rPr>
          <w:rFonts w:hint="eastAsia" w:hAnsi="宋体"/>
          <w:b/>
          <w:bCs/>
          <w:highlight w:val="none"/>
          <w:u w:val="single"/>
          <w:lang w:val="en-GB"/>
        </w:rPr>
        <w:t>》2.2条要求内容组成，</w:t>
      </w:r>
      <w:r>
        <w:rPr>
          <w:rFonts w:hint="eastAsia" w:hAnsi="宋体"/>
          <w:b/>
          <w:bCs/>
          <w:highlight w:val="none"/>
          <w:u w:val="single"/>
        </w:rPr>
        <w:t>未按照要求提供将有可能导致响应无效。</w:t>
      </w:r>
    </w:p>
    <w:p>
      <w:pPr>
        <w:spacing w:line="360" w:lineRule="auto"/>
        <w:ind w:firstLine="480" w:firstLineChars="200"/>
        <w:rPr>
          <w:rFonts w:ascii="宋体" w:hAnsi="宋体"/>
          <w:color w:val="0000FF"/>
          <w:sz w:val="24"/>
          <w:highlight w:val="none"/>
        </w:rPr>
      </w:pPr>
    </w:p>
    <w:p>
      <w:pPr>
        <w:spacing w:line="360" w:lineRule="auto"/>
        <w:ind w:firstLine="480" w:firstLineChars="200"/>
        <w:rPr>
          <w:rFonts w:ascii="宋体" w:hAnsi="宋体"/>
          <w:color w:val="0000FF"/>
          <w:sz w:val="24"/>
          <w:highlight w:val="none"/>
        </w:rPr>
      </w:pPr>
    </w:p>
    <w:p>
      <w:pPr>
        <w:spacing w:line="360" w:lineRule="auto"/>
        <w:ind w:firstLine="480" w:firstLineChars="200"/>
        <w:rPr>
          <w:rFonts w:ascii="宋体" w:hAnsi="宋体"/>
          <w:color w:val="0000FF"/>
          <w:sz w:val="24"/>
          <w:highlight w:val="none"/>
        </w:rPr>
      </w:pPr>
    </w:p>
    <w:p>
      <w:pPr>
        <w:spacing w:line="360" w:lineRule="auto"/>
        <w:jc w:val="center"/>
        <w:outlineLvl w:val="9"/>
        <w:rPr>
          <w:rFonts w:ascii="黑体" w:hAnsi="仿宋" w:eastAsia="黑体" w:cs="仿宋"/>
          <w:bCs/>
          <w:sz w:val="32"/>
          <w:szCs w:val="32"/>
          <w:highlight w:val="none"/>
        </w:rPr>
      </w:pPr>
    </w:p>
    <w:p>
      <w:pPr>
        <w:spacing w:line="360" w:lineRule="auto"/>
        <w:jc w:val="center"/>
        <w:outlineLvl w:val="9"/>
        <w:rPr>
          <w:rFonts w:ascii="黑体" w:hAnsi="仿宋" w:eastAsia="黑体" w:cs="仿宋"/>
          <w:bCs/>
          <w:sz w:val="32"/>
          <w:szCs w:val="32"/>
          <w:highlight w:val="none"/>
        </w:rPr>
      </w:pPr>
    </w:p>
    <w:p>
      <w:pPr>
        <w:spacing w:line="360" w:lineRule="auto"/>
        <w:ind w:firstLine="482" w:firstLineChars="200"/>
        <w:rPr>
          <w:rFonts w:ascii="宋体" w:hAnsi="宋体"/>
          <w:b/>
          <w:bCs/>
          <w:sz w:val="24"/>
          <w:highlight w:val="none"/>
        </w:rPr>
      </w:pPr>
      <w:r>
        <w:rPr>
          <w:rFonts w:hint="eastAsia" w:ascii="宋体" w:hAnsi="宋体"/>
          <w:b/>
          <w:bCs/>
          <w:sz w:val="24"/>
          <w:highlight w:val="none"/>
        </w:rPr>
        <w:br w:type="page"/>
      </w:r>
    </w:p>
    <w:p>
      <w:pPr>
        <w:spacing w:line="360" w:lineRule="auto"/>
        <w:ind w:firstLine="482" w:firstLineChars="200"/>
        <w:rPr>
          <w:rFonts w:ascii="宋体" w:hAnsi="宋体"/>
          <w:b/>
          <w:bCs/>
          <w:sz w:val="24"/>
          <w:highlight w:val="none"/>
        </w:rPr>
      </w:pPr>
      <w:r>
        <w:rPr>
          <w:rFonts w:hint="eastAsia" w:ascii="宋体" w:hAnsi="宋体"/>
          <w:b/>
          <w:bCs/>
          <w:sz w:val="24"/>
          <w:highlight w:val="none"/>
        </w:rPr>
        <w:t>1.1供应商资格声明</w:t>
      </w:r>
    </w:p>
    <w:p>
      <w:pPr>
        <w:spacing w:line="360" w:lineRule="auto"/>
        <w:ind w:firstLine="480" w:firstLineChars="200"/>
        <w:rPr>
          <w:rFonts w:ascii="宋体" w:hAnsi="宋体"/>
          <w:color w:val="0000FF"/>
          <w:sz w:val="24"/>
          <w:highlight w:val="none"/>
        </w:rPr>
      </w:pPr>
    </w:p>
    <w:p>
      <w:pPr>
        <w:spacing w:line="360" w:lineRule="auto"/>
        <w:jc w:val="center"/>
        <w:outlineLvl w:val="9"/>
        <w:rPr>
          <w:rFonts w:ascii="黑体" w:hAnsi="仿宋" w:eastAsia="黑体" w:cs="仿宋"/>
          <w:bCs/>
          <w:sz w:val="32"/>
          <w:szCs w:val="32"/>
          <w:highlight w:val="none"/>
        </w:rPr>
      </w:pPr>
      <w:bookmarkStart w:id="454" w:name="_Toc9644"/>
      <w:bookmarkStart w:id="455" w:name="_Toc31886"/>
      <w:bookmarkStart w:id="456" w:name="_Toc32276"/>
      <w:r>
        <w:rPr>
          <w:rFonts w:hint="eastAsia" w:ascii="黑体" w:hAnsi="仿宋" w:eastAsia="黑体" w:cs="仿宋"/>
          <w:bCs/>
          <w:sz w:val="32"/>
          <w:szCs w:val="32"/>
          <w:highlight w:val="none"/>
        </w:rPr>
        <w:t>供应商资格声明（格式）</w:t>
      </w:r>
      <w:bookmarkEnd w:id="454"/>
      <w:bookmarkEnd w:id="455"/>
      <w:bookmarkEnd w:id="456"/>
    </w:p>
    <w:p>
      <w:pPr>
        <w:spacing w:line="360" w:lineRule="auto"/>
        <w:ind w:firstLine="359" w:firstLineChars="171"/>
        <w:rPr>
          <w:rFonts w:ascii="宋体" w:hAnsi="宋体"/>
          <w:color w:val="000000"/>
          <w:szCs w:val="21"/>
          <w:highlight w:val="none"/>
        </w:rPr>
      </w:pPr>
    </w:p>
    <w:p>
      <w:pPr>
        <w:spacing w:line="360" w:lineRule="auto"/>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spacing w:line="360" w:lineRule="auto"/>
        <w:ind w:firstLine="480" w:firstLineChars="200"/>
        <w:outlineLvl w:val="9"/>
        <w:rPr>
          <w:rFonts w:ascii="宋体" w:hAnsi="宋体"/>
          <w:sz w:val="24"/>
          <w:highlight w:val="none"/>
        </w:rPr>
      </w:pPr>
      <w:bookmarkStart w:id="457" w:name="_Toc18251"/>
      <w:bookmarkStart w:id="458" w:name="_Toc29197"/>
      <w:bookmarkStart w:id="459" w:name="_Toc21728"/>
      <w:r>
        <w:rPr>
          <w:rFonts w:hint="eastAsia" w:ascii="宋体" w:hAnsi="宋体"/>
          <w:sz w:val="24"/>
          <w:highlight w:val="none"/>
        </w:rPr>
        <w:t>作为参加贵公司组织的竞争性磋商项目的供应商，本公司郑重声明</w:t>
      </w:r>
      <w:r>
        <w:rPr>
          <w:rFonts w:hint="eastAsia" w:ascii="宋体" w:hAnsi="宋体"/>
          <w:b/>
          <w:bCs/>
          <w:sz w:val="24"/>
          <w:highlight w:val="none"/>
          <w:u w:val="single"/>
        </w:rPr>
        <w:t>我方符合磋商文件中“供应商资格要求”规定的条件</w:t>
      </w:r>
      <w:r>
        <w:rPr>
          <w:rFonts w:hint="eastAsia" w:ascii="宋体" w:hAnsi="宋体"/>
          <w:sz w:val="24"/>
          <w:highlight w:val="none"/>
        </w:rPr>
        <w:t>，申告并承诺如下：</w:t>
      </w:r>
      <w:bookmarkEnd w:id="457"/>
      <w:bookmarkEnd w:id="458"/>
      <w:bookmarkEnd w:id="459"/>
    </w:p>
    <w:p>
      <w:pPr>
        <w:spacing w:line="360" w:lineRule="auto"/>
        <w:ind w:firstLine="480" w:firstLineChars="200"/>
        <w:outlineLvl w:val="9"/>
        <w:rPr>
          <w:rFonts w:hint="eastAsia" w:ascii="宋体" w:hAnsi="宋体"/>
          <w:sz w:val="24"/>
          <w:highlight w:val="none"/>
        </w:rPr>
      </w:pPr>
      <w:bookmarkStart w:id="460" w:name="_Toc5504"/>
      <w:bookmarkStart w:id="461" w:name="_Toc986"/>
      <w:bookmarkStart w:id="462" w:name="_Toc10094"/>
      <w:bookmarkStart w:id="463" w:name="_Toc10633"/>
      <w:r>
        <w:rPr>
          <w:rFonts w:hint="eastAsia" w:ascii="宋体" w:hAnsi="宋体"/>
          <w:sz w:val="24"/>
          <w:highlight w:val="none"/>
        </w:rPr>
        <w:t>1.我方具有独立承担民事责任的能力，且是中华人民共和国境内注册的法人</w:t>
      </w:r>
      <w:bookmarkEnd w:id="460"/>
      <w:r>
        <w:rPr>
          <w:rFonts w:hint="eastAsia" w:ascii="宋体" w:hAnsi="宋体"/>
          <w:sz w:val="24"/>
          <w:highlight w:val="none"/>
        </w:rPr>
        <w:t>、其他组织或自然人；</w:t>
      </w:r>
      <w:bookmarkEnd w:id="461"/>
    </w:p>
    <w:p>
      <w:pPr>
        <w:spacing w:line="360" w:lineRule="auto"/>
        <w:ind w:firstLine="480" w:firstLineChars="200"/>
        <w:outlineLvl w:val="9"/>
        <w:rPr>
          <w:rFonts w:ascii="宋体" w:hAnsi="宋体"/>
          <w:sz w:val="24"/>
          <w:highlight w:val="none"/>
        </w:rPr>
      </w:pPr>
      <w:bookmarkStart w:id="464" w:name="_Toc23492"/>
      <w:r>
        <w:rPr>
          <w:rFonts w:hint="eastAsia" w:ascii="宋体" w:hAnsi="宋体"/>
          <w:sz w:val="24"/>
          <w:highlight w:val="none"/>
        </w:rPr>
        <w:t>2.我方具有良好的商业信誉和健全的财务会计制度；</w:t>
      </w:r>
      <w:bookmarkEnd w:id="462"/>
      <w:bookmarkEnd w:id="463"/>
      <w:bookmarkEnd w:id="464"/>
    </w:p>
    <w:p>
      <w:pPr>
        <w:spacing w:line="360" w:lineRule="auto"/>
        <w:ind w:firstLine="480" w:firstLineChars="200"/>
        <w:outlineLvl w:val="9"/>
        <w:rPr>
          <w:rFonts w:ascii="宋体" w:hAnsi="宋体"/>
          <w:sz w:val="24"/>
          <w:highlight w:val="none"/>
        </w:rPr>
      </w:pPr>
      <w:bookmarkStart w:id="465" w:name="_Toc21747"/>
      <w:bookmarkStart w:id="466" w:name="_Toc16240"/>
      <w:bookmarkStart w:id="467" w:name="_Toc21112"/>
      <w:r>
        <w:rPr>
          <w:rFonts w:hint="eastAsia" w:ascii="宋体" w:hAnsi="宋体"/>
          <w:sz w:val="24"/>
          <w:highlight w:val="none"/>
        </w:rPr>
        <w:t>3.我方具有履行合同所必须的设备和专业技术能力；</w:t>
      </w:r>
      <w:bookmarkEnd w:id="465"/>
      <w:bookmarkEnd w:id="466"/>
      <w:bookmarkEnd w:id="467"/>
    </w:p>
    <w:p>
      <w:pPr>
        <w:spacing w:line="360" w:lineRule="auto"/>
        <w:ind w:firstLine="480" w:firstLineChars="200"/>
        <w:outlineLvl w:val="9"/>
        <w:rPr>
          <w:rFonts w:ascii="宋体" w:hAnsi="宋体"/>
          <w:sz w:val="24"/>
          <w:highlight w:val="none"/>
        </w:rPr>
      </w:pPr>
      <w:bookmarkStart w:id="468" w:name="_Toc21919"/>
      <w:bookmarkStart w:id="469" w:name="_Toc13349"/>
      <w:bookmarkStart w:id="470" w:name="_Toc23084"/>
      <w:r>
        <w:rPr>
          <w:rFonts w:hint="eastAsia" w:ascii="宋体" w:hAnsi="宋体"/>
          <w:sz w:val="24"/>
          <w:highlight w:val="none"/>
        </w:rPr>
        <w:t>4.我方具有依法缴纳税收和社会保障资金的良好记录；</w:t>
      </w:r>
      <w:bookmarkEnd w:id="468"/>
      <w:bookmarkEnd w:id="469"/>
      <w:bookmarkEnd w:id="470"/>
    </w:p>
    <w:p>
      <w:pPr>
        <w:spacing w:line="360" w:lineRule="auto"/>
        <w:ind w:firstLine="480" w:firstLineChars="200"/>
        <w:outlineLvl w:val="9"/>
        <w:rPr>
          <w:rFonts w:ascii="宋体" w:hAnsi="宋体"/>
          <w:sz w:val="24"/>
          <w:highlight w:val="none"/>
        </w:rPr>
      </w:pPr>
      <w:bookmarkStart w:id="471" w:name="_Toc8077"/>
      <w:bookmarkStart w:id="472" w:name="_Toc14836"/>
      <w:bookmarkStart w:id="473" w:name="_Toc1324"/>
      <w:r>
        <w:rPr>
          <w:rFonts w:hint="eastAsia" w:ascii="宋体" w:hAnsi="宋体"/>
          <w:sz w:val="24"/>
          <w:highlight w:val="none"/>
        </w:rPr>
        <w:t>5.我方参加本次政府采购活动前三年内，在经营活动中没有重大违法记录；</w:t>
      </w:r>
      <w:bookmarkEnd w:id="471"/>
      <w:bookmarkEnd w:id="472"/>
      <w:bookmarkEnd w:id="473"/>
    </w:p>
    <w:p>
      <w:pPr>
        <w:spacing w:line="360" w:lineRule="auto"/>
        <w:ind w:firstLine="480" w:firstLineChars="200"/>
        <w:outlineLvl w:val="9"/>
        <w:rPr>
          <w:rFonts w:ascii="宋体" w:hAnsi="宋体"/>
          <w:sz w:val="24"/>
          <w:highlight w:val="none"/>
        </w:rPr>
      </w:pPr>
      <w:bookmarkStart w:id="474" w:name="_Toc5411"/>
      <w:bookmarkStart w:id="475" w:name="_Toc16165"/>
      <w:bookmarkStart w:id="476" w:name="_Toc10055"/>
      <w:r>
        <w:rPr>
          <w:rFonts w:hint="eastAsia" w:ascii="宋体" w:hAnsi="宋体"/>
          <w:sz w:val="24"/>
          <w:highlight w:val="none"/>
        </w:rPr>
        <w:t>6.我方具有法律、行政法规规定的其他条件；</w:t>
      </w:r>
      <w:bookmarkEnd w:id="474"/>
      <w:bookmarkEnd w:id="475"/>
      <w:bookmarkEnd w:id="476"/>
    </w:p>
    <w:p>
      <w:pPr>
        <w:spacing w:line="360" w:lineRule="auto"/>
        <w:ind w:firstLine="480" w:firstLineChars="200"/>
        <w:outlineLvl w:val="9"/>
        <w:rPr>
          <w:rFonts w:ascii="宋体" w:hAnsi="宋体"/>
          <w:sz w:val="24"/>
          <w:highlight w:val="none"/>
        </w:rPr>
      </w:pPr>
      <w:bookmarkStart w:id="477" w:name="_Toc26686"/>
      <w:bookmarkStart w:id="478" w:name="_Toc6797"/>
      <w:bookmarkStart w:id="479" w:name="_Toc4518"/>
      <w:r>
        <w:rPr>
          <w:rFonts w:hint="eastAsia" w:ascii="宋体" w:hAnsi="宋体"/>
          <w:sz w:val="24"/>
          <w:highlight w:val="none"/>
        </w:rPr>
        <w:t>7.我方具备采购人根据采购项目提出的特殊条件（如果有）。</w:t>
      </w:r>
      <w:bookmarkEnd w:id="477"/>
      <w:bookmarkEnd w:id="478"/>
      <w:bookmarkEnd w:id="479"/>
    </w:p>
    <w:p>
      <w:pPr>
        <w:spacing w:line="360" w:lineRule="auto"/>
        <w:ind w:firstLine="480" w:firstLineChars="200"/>
        <w:outlineLvl w:val="9"/>
        <w:rPr>
          <w:rFonts w:ascii="宋体" w:hAnsi="宋体"/>
          <w:sz w:val="24"/>
          <w:highlight w:val="none"/>
        </w:rPr>
      </w:pPr>
      <w:bookmarkStart w:id="480" w:name="_Toc15093"/>
      <w:bookmarkStart w:id="481" w:name="_Toc14587"/>
      <w:bookmarkStart w:id="482" w:name="_Toc718"/>
      <w:r>
        <w:rPr>
          <w:rFonts w:hint="eastAsia" w:ascii="宋体" w:hAnsi="宋体"/>
          <w:sz w:val="24"/>
          <w:highlight w:val="none"/>
        </w:rPr>
        <w:t>相关证明材料附后，如有需要，我方可根据采购人的要求提供更多证明材料，以便核查。</w:t>
      </w:r>
      <w:bookmarkEnd w:id="480"/>
      <w:bookmarkEnd w:id="481"/>
      <w:bookmarkEnd w:id="482"/>
    </w:p>
    <w:p>
      <w:pPr>
        <w:spacing w:line="360" w:lineRule="auto"/>
        <w:ind w:firstLine="482" w:firstLineChars="200"/>
        <w:outlineLvl w:val="9"/>
        <w:rPr>
          <w:rFonts w:ascii="宋体" w:hAnsi="宋体"/>
          <w:b/>
          <w:bCs/>
          <w:sz w:val="24"/>
          <w:highlight w:val="none"/>
          <w:u w:val="single"/>
        </w:rPr>
      </w:pPr>
      <w:bookmarkStart w:id="483" w:name="_Toc3663"/>
      <w:bookmarkStart w:id="484" w:name="_Toc22356"/>
      <w:bookmarkStart w:id="485" w:name="_Toc12460"/>
      <w:r>
        <w:rPr>
          <w:rFonts w:hint="eastAsia" w:ascii="宋体" w:hAnsi="宋体"/>
          <w:b/>
          <w:bCs/>
          <w:sz w:val="24"/>
          <w:highlight w:val="none"/>
          <w:u w:val="single"/>
        </w:rPr>
        <w:t>以上内容如有虚假或与事实不符的，磋商小组可将我方做无效响应处理，相关法律责任和处罚也由我方承担。</w:t>
      </w:r>
      <w:bookmarkEnd w:id="483"/>
      <w:bookmarkEnd w:id="484"/>
      <w:bookmarkEnd w:id="485"/>
    </w:p>
    <w:p>
      <w:pPr>
        <w:spacing w:line="360" w:lineRule="auto"/>
        <w:ind w:firstLine="480" w:firstLineChars="200"/>
        <w:outlineLvl w:val="9"/>
        <w:rPr>
          <w:rFonts w:ascii="宋体" w:hAnsi="宋体"/>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rPr>
        <w:br w:type="page"/>
      </w:r>
    </w:p>
    <w:p>
      <w:pPr>
        <w:spacing w:line="360" w:lineRule="auto"/>
        <w:ind w:firstLine="480" w:firstLineChars="200"/>
        <w:outlineLvl w:val="9"/>
        <w:rPr>
          <w:rFonts w:hint="eastAsia" w:ascii="宋体" w:hAnsi="宋体"/>
          <w:sz w:val="24"/>
          <w:highlight w:val="none"/>
        </w:rPr>
      </w:pPr>
      <w:bookmarkStart w:id="486" w:name="_Toc31698"/>
      <w:r>
        <w:rPr>
          <w:rFonts w:hint="eastAsia" w:ascii="宋体" w:hAnsi="宋体"/>
          <w:sz w:val="24"/>
          <w:highlight w:val="none"/>
        </w:rPr>
        <w:t>1）企业法人</w:t>
      </w:r>
      <w:r>
        <w:rPr>
          <w:rFonts w:hint="eastAsia" w:ascii="宋体" w:hAnsi="宋体"/>
          <w:sz w:val="24"/>
          <w:highlight w:val="none"/>
          <w:lang w:eastAsia="zh-CN"/>
        </w:rPr>
        <w:t>、</w:t>
      </w:r>
      <w:r>
        <w:rPr>
          <w:rFonts w:hint="eastAsia" w:ascii="宋体" w:hAnsi="宋体"/>
          <w:sz w:val="24"/>
          <w:highlight w:val="none"/>
          <w:lang w:val="en-US" w:eastAsia="zh-CN"/>
        </w:rPr>
        <w:t>其他组织</w:t>
      </w:r>
      <w:r>
        <w:rPr>
          <w:rFonts w:hint="eastAsia" w:ascii="宋体" w:hAnsi="宋体"/>
          <w:sz w:val="24"/>
          <w:highlight w:val="none"/>
        </w:rPr>
        <w:t>营业执照副本</w:t>
      </w:r>
      <w:r>
        <w:rPr>
          <w:rFonts w:hint="eastAsia" w:ascii="宋体" w:hAnsi="宋体"/>
          <w:sz w:val="24"/>
          <w:highlight w:val="none"/>
          <w:lang w:val="en-US" w:eastAsia="zh-CN"/>
        </w:rPr>
        <w:t>或</w:t>
      </w:r>
      <w:r>
        <w:rPr>
          <w:rFonts w:hint="eastAsia" w:ascii="宋体" w:hAnsi="宋体"/>
          <w:sz w:val="24"/>
          <w:highlight w:val="none"/>
        </w:rPr>
        <w:t>事业单位法人证书</w:t>
      </w:r>
      <w:r>
        <w:rPr>
          <w:rFonts w:hint="eastAsia" w:ascii="宋体" w:hAnsi="宋体"/>
          <w:sz w:val="24"/>
          <w:highlight w:val="none"/>
          <w:lang w:eastAsia="zh-CN"/>
        </w:rPr>
        <w:t>，自然人提供身份证明</w:t>
      </w:r>
      <w:r>
        <w:rPr>
          <w:rFonts w:hint="eastAsia" w:ascii="宋体" w:hAnsi="宋体"/>
          <w:sz w:val="24"/>
          <w:highlight w:val="none"/>
        </w:rPr>
        <w:t>（复印件加盖</w:t>
      </w:r>
      <w:r>
        <w:rPr>
          <w:rFonts w:hint="eastAsia" w:ascii="宋体" w:hAnsi="宋体"/>
          <w:sz w:val="24"/>
          <w:highlight w:val="none"/>
          <w:lang w:val="en-US" w:eastAsia="zh-CN"/>
        </w:rPr>
        <w:t>响应</w:t>
      </w:r>
      <w:r>
        <w:rPr>
          <w:rFonts w:hint="eastAsia" w:ascii="宋体" w:hAnsi="宋体"/>
          <w:sz w:val="24"/>
          <w:highlight w:val="none"/>
        </w:rPr>
        <w:t>供应商公章）；</w:t>
      </w:r>
      <w:bookmarkEnd w:id="486"/>
    </w:p>
    <w:p>
      <w:pPr>
        <w:spacing w:line="360" w:lineRule="auto"/>
        <w:ind w:firstLine="480" w:firstLineChars="200"/>
        <w:outlineLvl w:val="9"/>
        <w:rPr>
          <w:rFonts w:ascii="宋体" w:hAnsi="宋体"/>
          <w:sz w:val="24"/>
          <w:highlight w:val="none"/>
        </w:rPr>
      </w:pPr>
    </w:p>
    <w:p>
      <w:pPr>
        <w:spacing w:line="360" w:lineRule="auto"/>
        <w:ind w:firstLine="480" w:firstLineChars="200"/>
        <w:outlineLvl w:val="9"/>
        <w:rPr>
          <w:rFonts w:hint="eastAsia" w:ascii="宋体" w:hAnsi="宋体"/>
          <w:sz w:val="24"/>
          <w:highlight w:val="none"/>
          <w:lang w:val="en-US" w:eastAsia="zh-CN"/>
        </w:rPr>
      </w:pPr>
      <w:bookmarkStart w:id="487" w:name="_Toc26245"/>
      <w:bookmarkStart w:id="488" w:name="_Toc864"/>
      <w:bookmarkStart w:id="489" w:name="_Toc2640"/>
      <w:r>
        <w:rPr>
          <w:rFonts w:hint="eastAsia" w:ascii="宋体" w:hAnsi="宋体"/>
          <w:sz w:val="24"/>
          <w:highlight w:val="none"/>
        </w:rPr>
        <w:t>2）</w:t>
      </w:r>
      <w:bookmarkEnd w:id="487"/>
      <w:bookmarkEnd w:id="488"/>
      <w:bookmarkEnd w:id="489"/>
      <w:r>
        <w:rPr>
          <w:rFonts w:hint="eastAsia" w:ascii="宋体" w:hAnsi="宋体"/>
          <w:sz w:val="24"/>
          <w:highlight w:val="none"/>
          <w:lang w:val="en-US" w:eastAsia="zh-CN"/>
        </w:rPr>
        <w:t>2021年度经审计的财务报告（成立时间至磋商会议日期不足一年的响应供应商可提供成立后任意时段的资产负债表）（复印件加盖响应供应商公章）；</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或在磋商会议日期前六个月内其基本存款账户开户银行出具的资信证明（原件）；</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或在磋商会议日期前六个月内信用担保机构出具的投标担保函（原件）；</w:t>
      </w:r>
    </w:p>
    <w:p>
      <w:pPr>
        <w:spacing w:line="360" w:lineRule="auto"/>
        <w:ind w:firstLine="480" w:firstLineChars="200"/>
        <w:outlineLvl w:val="9"/>
        <w:rPr>
          <w:rFonts w:hint="eastAsia" w:ascii="宋体" w:hAnsi="宋体"/>
          <w:sz w:val="24"/>
          <w:highlight w:val="none"/>
          <w:lang w:val="zh-CN"/>
        </w:rPr>
      </w:pPr>
      <w:r>
        <w:rPr>
          <w:rFonts w:hint="eastAsia" w:ascii="宋体" w:hAnsi="宋体"/>
          <w:sz w:val="24"/>
          <w:highlight w:val="none"/>
          <w:lang w:val="en-US" w:eastAsia="zh-CN"/>
        </w:rPr>
        <w:t>（以上三种形式的资料提供任何一种即可）</w:t>
      </w:r>
    </w:p>
    <w:p>
      <w:pPr>
        <w:spacing w:line="360" w:lineRule="auto"/>
        <w:ind w:firstLine="480" w:firstLineChars="200"/>
        <w:outlineLvl w:val="9"/>
        <w:rPr>
          <w:rFonts w:hint="eastAsia" w:ascii="宋体" w:hAnsi="宋体"/>
          <w:sz w:val="24"/>
          <w:highlight w:val="none"/>
          <w:lang w:val="zh-CN"/>
        </w:rPr>
      </w:pPr>
    </w:p>
    <w:p>
      <w:pPr>
        <w:spacing w:line="360" w:lineRule="auto"/>
        <w:ind w:firstLine="480" w:firstLineChars="200"/>
        <w:outlineLvl w:val="9"/>
        <w:rPr>
          <w:rFonts w:hint="eastAsia" w:ascii="宋体" w:hAnsi="宋体"/>
          <w:sz w:val="24"/>
          <w:highlight w:val="none"/>
          <w:lang w:val="zh-CN"/>
        </w:rPr>
      </w:pPr>
    </w:p>
    <w:p>
      <w:pPr>
        <w:spacing w:line="360" w:lineRule="auto"/>
        <w:ind w:firstLine="480" w:firstLineChars="200"/>
        <w:outlineLvl w:val="9"/>
        <w:rPr>
          <w:rFonts w:hint="eastAsia" w:ascii="宋体" w:hAnsi="宋体"/>
          <w:sz w:val="24"/>
          <w:highlight w:val="none"/>
          <w:lang w:val="zh-CN"/>
        </w:rPr>
      </w:pPr>
      <w:bookmarkStart w:id="490" w:name="_Toc10326"/>
      <w:bookmarkStart w:id="491" w:name="_Toc13900"/>
      <w:bookmarkStart w:id="492" w:name="_Toc25031"/>
      <w:r>
        <w:rPr>
          <w:rFonts w:hint="eastAsia" w:ascii="宋体" w:hAnsi="宋体"/>
          <w:sz w:val="24"/>
          <w:highlight w:val="none"/>
          <w:lang w:val="en-US" w:eastAsia="zh-CN"/>
        </w:rPr>
        <w:t>3）</w:t>
      </w:r>
      <w:r>
        <w:rPr>
          <w:rFonts w:hint="eastAsia" w:ascii="宋体" w:hAnsi="宋体"/>
          <w:sz w:val="24"/>
          <w:highlight w:val="none"/>
          <w:lang w:val="zh-CN"/>
        </w:rPr>
        <w:t>磋商会议日期前十二个月内任意一个月缴税凭据（复印件加盖供应商公章）（依法免税的供应商应提供相应文件证明）；</w:t>
      </w:r>
      <w:bookmarkEnd w:id="490"/>
      <w:bookmarkEnd w:id="491"/>
      <w:bookmarkEnd w:id="492"/>
    </w:p>
    <w:p>
      <w:pPr>
        <w:spacing w:line="360" w:lineRule="auto"/>
        <w:ind w:firstLine="480" w:firstLineChars="200"/>
        <w:outlineLvl w:val="9"/>
        <w:rPr>
          <w:rFonts w:hint="eastAsia" w:ascii="宋体" w:hAnsi="宋体"/>
          <w:sz w:val="24"/>
          <w:highlight w:val="none"/>
          <w:lang w:val="zh-CN"/>
        </w:rPr>
      </w:pPr>
    </w:p>
    <w:p>
      <w:pPr>
        <w:spacing w:line="360" w:lineRule="auto"/>
        <w:ind w:firstLine="480" w:firstLineChars="200"/>
        <w:outlineLvl w:val="9"/>
        <w:rPr>
          <w:rFonts w:hint="eastAsia" w:ascii="宋体" w:hAnsi="宋体"/>
          <w:sz w:val="24"/>
          <w:highlight w:val="none"/>
        </w:rPr>
      </w:pPr>
      <w:bookmarkStart w:id="493" w:name="_Toc12971"/>
      <w:bookmarkStart w:id="494" w:name="_Toc25458"/>
      <w:bookmarkStart w:id="495" w:name="_Toc23883"/>
      <w:r>
        <w:rPr>
          <w:rFonts w:hint="eastAsia" w:ascii="宋体" w:hAnsi="宋体"/>
          <w:sz w:val="24"/>
          <w:highlight w:val="none"/>
          <w:lang w:val="en-US" w:eastAsia="zh-CN"/>
        </w:rPr>
        <w:t>4）</w:t>
      </w:r>
      <w:r>
        <w:rPr>
          <w:rFonts w:hint="eastAsia" w:ascii="宋体" w:hAnsi="宋体"/>
          <w:sz w:val="24"/>
          <w:highlight w:val="none"/>
          <w:lang w:val="zh-CN"/>
        </w:rPr>
        <w:t>磋商会议日期前十二个月内任意一个月缴纳社会保险的凭据（专用收据或社会保险缴纳清单）（复印件加盖供应商公章）（依法不需要缴纳社</w:t>
      </w:r>
      <w:r>
        <w:rPr>
          <w:rFonts w:hint="eastAsia" w:ascii="宋体" w:hAnsi="宋体"/>
          <w:sz w:val="24"/>
          <w:highlight w:val="none"/>
        </w:rPr>
        <w:t>会保障资金的供应商应提供相应文件证明）；</w:t>
      </w:r>
      <w:bookmarkEnd w:id="493"/>
      <w:bookmarkEnd w:id="494"/>
      <w:bookmarkEnd w:id="495"/>
    </w:p>
    <w:p>
      <w:pPr>
        <w:spacing w:line="360" w:lineRule="auto"/>
        <w:ind w:firstLine="480" w:firstLineChars="200"/>
        <w:outlineLvl w:val="9"/>
        <w:rPr>
          <w:rFonts w:hint="eastAsia" w:ascii="宋体" w:hAnsi="宋体"/>
          <w:sz w:val="24"/>
          <w:highlight w:val="none"/>
        </w:rPr>
      </w:pPr>
    </w:p>
    <w:p>
      <w:pPr>
        <w:spacing w:line="360" w:lineRule="auto"/>
        <w:ind w:firstLine="480" w:firstLineChars="200"/>
        <w:outlineLvl w:val="9"/>
        <w:rPr>
          <w:rFonts w:ascii="宋体" w:hAnsi="宋体"/>
          <w:sz w:val="24"/>
          <w:highlight w:val="none"/>
        </w:rPr>
      </w:pPr>
    </w:p>
    <w:p>
      <w:pPr>
        <w:spacing w:line="360" w:lineRule="auto"/>
        <w:ind w:firstLine="480" w:firstLineChars="200"/>
        <w:outlineLvl w:val="9"/>
        <w:rPr>
          <w:rFonts w:ascii="宋体" w:hAnsi="宋体"/>
          <w:color w:val="0000FF"/>
          <w:sz w:val="24"/>
          <w:highlight w:val="none"/>
        </w:rPr>
      </w:pPr>
    </w:p>
    <w:p>
      <w:pPr>
        <w:spacing w:line="360" w:lineRule="auto"/>
        <w:jc w:val="center"/>
        <w:outlineLvl w:val="9"/>
        <w:rPr>
          <w:rFonts w:ascii="黑体" w:hAnsi="仿宋" w:eastAsia="黑体" w:cs="仿宋"/>
          <w:bCs/>
          <w:sz w:val="32"/>
          <w:szCs w:val="32"/>
          <w:highlight w:val="none"/>
        </w:rPr>
      </w:pPr>
      <w:r>
        <w:rPr>
          <w:rFonts w:hint="eastAsia" w:ascii="黑体" w:hAnsi="仿宋" w:eastAsia="黑体" w:cs="仿宋"/>
          <w:bCs/>
          <w:sz w:val="32"/>
          <w:szCs w:val="32"/>
          <w:highlight w:val="none"/>
        </w:rPr>
        <w:br w:type="page"/>
      </w:r>
    </w:p>
    <w:p>
      <w:pPr>
        <w:spacing w:line="360" w:lineRule="auto"/>
        <w:ind w:firstLine="482" w:firstLineChars="200"/>
        <w:outlineLvl w:val="9"/>
        <w:rPr>
          <w:rFonts w:hint="eastAsia" w:ascii="宋体" w:hAnsi="宋体" w:eastAsia="宋体"/>
          <w:b/>
          <w:bCs/>
          <w:sz w:val="24"/>
          <w:highlight w:val="none"/>
          <w:lang w:val="en-US" w:eastAsia="zh-CN"/>
        </w:rPr>
      </w:pPr>
      <w:r>
        <w:rPr>
          <w:rFonts w:hint="eastAsia" w:ascii="宋体" w:hAnsi="宋体"/>
          <w:b/>
          <w:bCs/>
          <w:sz w:val="24"/>
          <w:highlight w:val="none"/>
        </w:rPr>
        <w:t>1.</w:t>
      </w:r>
      <w:r>
        <w:rPr>
          <w:rFonts w:hint="eastAsia" w:ascii="宋体" w:hAnsi="宋体"/>
          <w:b/>
          <w:bCs/>
          <w:sz w:val="24"/>
          <w:highlight w:val="none"/>
          <w:lang w:val="en-US" w:eastAsia="zh-CN"/>
        </w:rPr>
        <w:t>2</w:t>
      </w:r>
      <w:r>
        <w:rPr>
          <w:rFonts w:hint="eastAsia" w:ascii="宋体" w:hAnsi="宋体"/>
          <w:b/>
          <w:bCs/>
          <w:sz w:val="24"/>
          <w:highlight w:val="none"/>
          <w:lang w:val="en-GB"/>
        </w:rPr>
        <w:t>保证金汇款声明函</w:t>
      </w:r>
      <w:r>
        <w:rPr>
          <w:rFonts w:hint="eastAsia" w:ascii="宋体" w:hAnsi="宋体"/>
          <w:b/>
          <w:bCs/>
          <w:sz w:val="24"/>
          <w:highlight w:val="none"/>
          <w:lang w:val="en-US" w:eastAsia="zh-CN"/>
        </w:rPr>
        <w:t>/保函</w:t>
      </w:r>
    </w:p>
    <w:p>
      <w:pPr>
        <w:spacing w:line="360" w:lineRule="auto"/>
        <w:ind w:firstLine="482" w:firstLineChars="200"/>
        <w:outlineLvl w:val="9"/>
        <w:rPr>
          <w:rFonts w:ascii="宋体" w:hAnsi="宋体"/>
          <w:b/>
          <w:bCs/>
          <w:sz w:val="24"/>
          <w:highlight w:val="none"/>
        </w:rPr>
      </w:pPr>
    </w:p>
    <w:p>
      <w:pPr>
        <w:spacing w:line="360" w:lineRule="atLeast"/>
        <w:jc w:val="center"/>
        <w:rPr>
          <w:rFonts w:ascii="黑体" w:hAnsi="仿宋" w:eastAsia="黑体" w:cs="仿宋"/>
          <w:b/>
          <w:sz w:val="24"/>
          <w:highlight w:val="none"/>
          <w:lang w:val="en-GB"/>
        </w:rPr>
      </w:pPr>
      <w:r>
        <w:rPr>
          <w:rFonts w:hint="eastAsia" w:ascii="黑体" w:hAnsi="仿宋" w:eastAsia="黑体" w:cs="仿宋"/>
          <w:bCs/>
          <w:sz w:val="32"/>
          <w:szCs w:val="32"/>
          <w:highlight w:val="none"/>
          <w:lang w:val="en-GB"/>
        </w:rPr>
        <w:t>保证金汇款声明函（</w:t>
      </w:r>
      <w:r>
        <w:rPr>
          <w:rFonts w:hint="eastAsia" w:ascii="黑体" w:hAnsi="仿宋" w:eastAsia="黑体" w:cs="仿宋"/>
          <w:bCs/>
          <w:sz w:val="32"/>
          <w:szCs w:val="32"/>
          <w:highlight w:val="none"/>
        </w:rPr>
        <w:t>格式</w:t>
      </w:r>
      <w:r>
        <w:rPr>
          <w:rFonts w:hint="eastAsia" w:ascii="黑体" w:hAnsi="仿宋" w:eastAsia="黑体" w:cs="仿宋"/>
          <w:bCs/>
          <w:sz w:val="32"/>
          <w:szCs w:val="32"/>
          <w:highlight w:val="none"/>
          <w:lang w:val="en-GB"/>
        </w:rPr>
        <w:t>）</w:t>
      </w:r>
    </w:p>
    <w:p>
      <w:pPr>
        <w:pStyle w:val="11"/>
        <w:spacing w:line="500" w:lineRule="exact"/>
        <w:rPr>
          <w:rFonts w:hAnsi="宋体"/>
          <w:sz w:val="24"/>
          <w:szCs w:val="24"/>
          <w:highlight w:val="none"/>
        </w:rPr>
      </w:pPr>
      <w:r>
        <w:rPr>
          <w:rFonts w:hint="eastAsia" w:hAnsi="宋体"/>
          <w:sz w:val="24"/>
          <w:szCs w:val="24"/>
          <w:highlight w:val="none"/>
        </w:rPr>
        <w:t>致：</w:t>
      </w:r>
      <w:r>
        <w:rPr>
          <w:rFonts w:hint="eastAsia" w:hAnsi="宋体"/>
          <w:b/>
          <w:bCs/>
          <w:sz w:val="24"/>
          <w:szCs w:val="24"/>
          <w:highlight w:val="none"/>
        </w:rPr>
        <w:t>陕西德勤招标有限公司</w:t>
      </w:r>
    </w:p>
    <w:p>
      <w:pPr>
        <w:pStyle w:val="11"/>
        <w:spacing w:line="500" w:lineRule="exact"/>
        <w:ind w:left="-120" w:leftChars="-57" w:firstLine="600" w:firstLineChars="250"/>
        <w:rPr>
          <w:rFonts w:hAnsi="宋体"/>
          <w:sz w:val="24"/>
          <w:szCs w:val="24"/>
          <w:highlight w:val="none"/>
        </w:rPr>
      </w:pPr>
      <w:r>
        <w:rPr>
          <w:rFonts w:hint="eastAsia" w:hAnsi="宋体"/>
          <w:sz w:val="24"/>
          <w:szCs w:val="24"/>
          <w:highlight w:val="none"/>
        </w:rPr>
        <w:t>我方为</w:t>
      </w:r>
      <w:r>
        <w:rPr>
          <w:rFonts w:hint="eastAsia" w:hAnsi="宋体"/>
          <w:sz w:val="24"/>
          <w:szCs w:val="24"/>
          <w:highlight w:val="none"/>
          <w:u w:val="single"/>
        </w:rPr>
        <w:t xml:space="preserve">              项目</w:t>
      </w:r>
      <w:r>
        <w:rPr>
          <w:rFonts w:hint="eastAsia" w:hAnsi="宋体"/>
          <w:sz w:val="24"/>
          <w:szCs w:val="24"/>
          <w:highlight w:val="none"/>
        </w:rPr>
        <w:t>（</w:t>
      </w:r>
      <w:r>
        <w:rPr>
          <w:rFonts w:hint="eastAsia" w:hAnsi="宋体"/>
          <w:sz w:val="24"/>
          <w:szCs w:val="24"/>
          <w:highlight w:val="none"/>
          <w:u w:val="single"/>
        </w:rPr>
        <w:t xml:space="preserve">项目编号：          </w:t>
      </w:r>
      <w:r>
        <w:rPr>
          <w:rFonts w:hint="eastAsia" w:hAnsi="宋体"/>
          <w:sz w:val="24"/>
          <w:szCs w:val="24"/>
          <w:highlight w:val="none"/>
        </w:rPr>
        <w:t>）递交磋商保证金人民币</w:t>
      </w:r>
      <w:r>
        <w:rPr>
          <w:rFonts w:hint="eastAsia" w:hAnsi="宋体"/>
          <w:sz w:val="24"/>
          <w:szCs w:val="24"/>
          <w:highlight w:val="none"/>
          <w:u w:val="single"/>
        </w:rPr>
        <w:t xml:space="preserve">   </w:t>
      </w:r>
      <w:r>
        <w:rPr>
          <w:rFonts w:hint="eastAsia" w:hAnsi="宋体"/>
          <w:sz w:val="24"/>
          <w:szCs w:val="24"/>
          <w:highlight w:val="none"/>
        </w:rPr>
        <w:t>元（大写：人民币</w:t>
      </w:r>
      <w:r>
        <w:rPr>
          <w:rFonts w:hint="eastAsia" w:hAnsi="宋体"/>
          <w:sz w:val="24"/>
          <w:szCs w:val="24"/>
          <w:highlight w:val="none"/>
          <w:u w:val="single"/>
        </w:rPr>
        <w:t xml:space="preserve">                </w:t>
      </w:r>
      <w:r>
        <w:rPr>
          <w:rFonts w:hint="eastAsia" w:hAnsi="宋体"/>
          <w:sz w:val="24"/>
          <w:szCs w:val="24"/>
          <w:highlight w:val="none"/>
        </w:rPr>
        <w:t>元）已于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日以银行主动划账方式划入你方账户。</w:t>
      </w:r>
    </w:p>
    <w:p>
      <w:pPr>
        <w:pStyle w:val="11"/>
        <w:spacing w:line="500" w:lineRule="exact"/>
        <w:ind w:left="-120" w:leftChars="-57" w:firstLine="602" w:firstLineChars="250"/>
        <w:rPr>
          <w:rFonts w:hAnsi="宋体"/>
          <w:b/>
          <w:bCs/>
          <w:sz w:val="24"/>
          <w:szCs w:val="24"/>
          <w:highlight w:val="none"/>
          <w:u w:val="single"/>
        </w:rPr>
      </w:pPr>
      <w:r>
        <w:rPr>
          <w:rFonts w:hint="eastAsia" w:hAnsi="宋体"/>
          <w:b/>
          <w:bCs/>
          <w:sz w:val="24"/>
          <w:szCs w:val="24"/>
          <w:highlight w:val="none"/>
          <w:u w:val="single"/>
        </w:rPr>
        <w:t>详见附件：银行出具的汇款单或转账凭证复印件。</w:t>
      </w:r>
    </w:p>
    <w:p>
      <w:pPr>
        <w:pStyle w:val="11"/>
        <w:spacing w:line="500" w:lineRule="exact"/>
        <w:ind w:left="-120" w:leftChars="-57" w:firstLine="600" w:firstLineChars="250"/>
        <w:rPr>
          <w:rFonts w:hAnsi="宋体"/>
          <w:b/>
          <w:bCs/>
          <w:sz w:val="24"/>
          <w:szCs w:val="24"/>
          <w:highlight w:val="none"/>
          <w:u w:val="single"/>
        </w:rPr>
      </w:pPr>
      <w:r>
        <w:rPr>
          <w:rFonts w:hint="eastAsia" w:hAnsi="宋体"/>
          <w:sz w:val="24"/>
          <w:szCs w:val="24"/>
          <w:highlight w:val="none"/>
        </w:rPr>
        <w:t>我方理解并保证：</w:t>
      </w:r>
      <w:r>
        <w:rPr>
          <w:rFonts w:hint="eastAsia" w:hAnsi="宋体"/>
          <w:b/>
          <w:bCs/>
          <w:sz w:val="24"/>
          <w:szCs w:val="24"/>
          <w:highlight w:val="none"/>
          <w:u w:val="single"/>
        </w:rPr>
        <w:t>磋商保证金应在磋商文件规定的时间到达贵方指定的账户，对于磋商保证金未在磋商文件规定的时间到达贵方指定的账户而有可能导致的响应无效，责任由我方承担。</w:t>
      </w:r>
    </w:p>
    <w:p>
      <w:pPr>
        <w:pStyle w:val="11"/>
        <w:spacing w:line="500" w:lineRule="exact"/>
        <w:ind w:left="-120" w:leftChars="-57" w:firstLine="602" w:firstLineChars="250"/>
        <w:rPr>
          <w:rFonts w:hAnsi="宋体"/>
          <w:b/>
          <w:bCs/>
          <w:sz w:val="24"/>
          <w:szCs w:val="24"/>
          <w:highlight w:val="none"/>
          <w:u w:val="single"/>
        </w:rPr>
      </w:pPr>
      <w:r>
        <w:rPr>
          <w:rFonts w:hint="eastAsia" w:hAnsi="宋体"/>
          <w:b/>
          <w:bCs/>
          <w:sz w:val="24"/>
          <w:szCs w:val="24"/>
          <w:highlight w:val="none"/>
          <w:u w:val="single"/>
        </w:rPr>
        <w:t>退还保证金时请按转出原账户划入我方账户。</w:t>
      </w:r>
    </w:p>
    <w:p>
      <w:pPr>
        <w:pStyle w:val="11"/>
        <w:spacing w:line="500" w:lineRule="exact"/>
        <w:ind w:left="-120" w:leftChars="-57" w:firstLine="600" w:firstLineChars="250"/>
        <w:rPr>
          <w:rFonts w:hAnsi="宋体"/>
          <w:sz w:val="24"/>
          <w:szCs w:val="24"/>
          <w:highlight w:val="none"/>
        </w:rPr>
      </w:pPr>
    </w:p>
    <w:p>
      <w:pPr>
        <w:pStyle w:val="11"/>
        <w:spacing w:line="500" w:lineRule="exact"/>
        <w:ind w:left="-120" w:leftChars="-57" w:firstLine="600" w:firstLineChars="250"/>
        <w:rPr>
          <w:rFonts w:hAnsi="宋体"/>
          <w:sz w:val="24"/>
          <w:szCs w:val="24"/>
          <w:highlight w:val="none"/>
        </w:rPr>
      </w:pPr>
    </w:p>
    <w:tbl>
      <w:tblPr>
        <w:tblStyle w:val="20"/>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jc w:val="center"/>
        </w:trPr>
        <w:tc>
          <w:tcPr>
            <w:tcW w:w="8860" w:type="dxa"/>
            <w:vAlign w:val="center"/>
          </w:tcPr>
          <w:p>
            <w:pPr>
              <w:pStyle w:val="11"/>
              <w:spacing w:line="500" w:lineRule="exact"/>
              <w:jc w:val="center"/>
              <w:rPr>
                <w:rFonts w:hAnsi="宋体"/>
                <w:sz w:val="24"/>
                <w:szCs w:val="24"/>
                <w:highlight w:val="none"/>
              </w:rPr>
            </w:pPr>
            <w:r>
              <w:rPr>
                <w:rFonts w:hint="eastAsia" w:hAnsi="宋体"/>
                <w:sz w:val="24"/>
                <w:szCs w:val="24"/>
                <w:highlight w:val="none"/>
              </w:rPr>
              <w:t>凭证复印件（加盖公章）。</w:t>
            </w:r>
          </w:p>
        </w:tc>
      </w:tr>
    </w:tbl>
    <w:p>
      <w:pPr>
        <w:pStyle w:val="11"/>
        <w:spacing w:line="500" w:lineRule="exact"/>
        <w:ind w:left="-120" w:leftChars="-57" w:firstLine="600" w:firstLineChars="250"/>
        <w:rPr>
          <w:rFonts w:hAnsi="宋体"/>
          <w:sz w:val="24"/>
          <w:szCs w:val="24"/>
          <w:highlight w:val="none"/>
        </w:rPr>
      </w:pPr>
    </w:p>
    <w:p>
      <w:pPr>
        <w:pStyle w:val="11"/>
        <w:spacing w:line="500" w:lineRule="exact"/>
        <w:ind w:left="-120" w:leftChars="-57" w:firstLine="600" w:firstLineChars="250"/>
        <w:rPr>
          <w:rFonts w:hAnsi="宋体"/>
          <w:sz w:val="24"/>
          <w:szCs w:val="24"/>
          <w:highlight w:val="none"/>
        </w:rPr>
      </w:pPr>
    </w:p>
    <w:p>
      <w:pPr>
        <w:pStyle w:val="11"/>
        <w:spacing w:line="500" w:lineRule="exact"/>
        <w:ind w:left="-120" w:leftChars="-57" w:firstLine="600" w:firstLineChars="250"/>
        <w:rPr>
          <w:rFonts w:hAnsi="宋体"/>
          <w:sz w:val="24"/>
          <w:szCs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 xml:space="preserve">日 </w:t>
      </w:r>
    </w:p>
    <w:p>
      <w:pPr>
        <w:spacing w:line="360" w:lineRule="auto"/>
        <w:ind w:firstLine="480" w:firstLineChars="200"/>
        <w:rPr>
          <w:rFonts w:ascii="宋体" w:hAnsi="宋体"/>
          <w:sz w:val="24"/>
          <w:highlight w:val="none"/>
        </w:rPr>
      </w:pPr>
      <w:r>
        <w:rPr>
          <w:rFonts w:hint="eastAsia" w:ascii="宋体" w:hAnsi="宋体"/>
          <w:sz w:val="24"/>
          <w:highlight w:val="none"/>
        </w:rPr>
        <w:br w:type="page"/>
      </w:r>
    </w:p>
    <w:p>
      <w:pPr>
        <w:spacing w:line="360" w:lineRule="atLeast"/>
        <w:jc w:val="center"/>
        <w:rPr>
          <w:rFonts w:hint="eastAsia" w:ascii="黑体" w:hAnsi="仿宋" w:eastAsia="黑体" w:cs="黑体"/>
          <w:color w:val="auto"/>
          <w:sz w:val="32"/>
          <w:szCs w:val="32"/>
          <w:highlight w:val="none"/>
          <w:lang w:val="en-GB"/>
        </w:rPr>
      </w:pPr>
      <w:r>
        <w:rPr>
          <w:rFonts w:hint="eastAsia" w:ascii="黑体" w:hAnsi="仿宋" w:eastAsia="黑体" w:cs="黑体"/>
          <w:color w:val="auto"/>
          <w:sz w:val="32"/>
          <w:szCs w:val="32"/>
          <w:highlight w:val="none"/>
          <w:lang w:val="en-GB"/>
        </w:rPr>
        <w:t>保</w:t>
      </w:r>
      <w:r>
        <w:rPr>
          <w:rFonts w:hint="eastAsia" w:ascii="黑体" w:hAnsi="仿宋" w:eastAsia="黑体" w:cs="黑体"/>
          <w:color w:val="auto"/>
          <w:sz w:val="32"/>
          <w:szCs w:val="32"/>
          <w:highlight w:val="none"/>
          <w:lang w:val="en-US" w:eastAsia="zh-CN"/>
        </w:rPr>
        <w:t>函</w:t>
      </w:r>
      <w:r>
        <w:rPr>
          <w:rFonts w:hint="eastAsia" w:ascii="黑体" w:hAnsi="仿宋" w:eastAsia="黑体" w:cs="黑体"/>
          <w:color w:val="auto"/>
          <w:sz w:val="32"/>
          <w:szCs w:val="32"/>
          <w:highlight w:val="none"/>
          <w:lang w:val="en-GB"/>
        </w:rPr>
        <w:t>（</w:t>
      </w:r>
      <w:r>
        <w:rPr>
          <w:rFonts w:hint="eastAsia" w:ascii="黑体" w:hAnsi="仿宋" w:eastAsia="黑体" w:cs="黑体"/>
          <w:color w:val="auto"/>
          <w:sz w:val="32"/>
          <w:szCs w:val="32"/>
          <w:highlight w:val="none"/>
          <w:lang w:val="en-US" w:eastAsia="zh-CN"/>
        </w:rPr>
        <w:t>原件</w:t>
      </w:r>
      <w:r>
        <w:rPr>
          <w:rFonts w:hint="eastAsia" w:ascii="黑体" w:hAnsi="仿宋" w:eastAsia="黑体" w:cs="黑体"/>
          <w:color w:val="auto"/>
          <w:sz w:val="32"/>
          <w:szCs w:val="32"/>
          <w:highlight w:val="none"/>
          <w:lang w:val="en-GB"/>
        </w:rPr>
        <w:t>）</w:t>
      </w:r>
    </w:p>
    <w:p>
      <w:pPr>
        <w:spacing w:line="360" w:lineRule="auto"/>
        <w:jc w:val="center"/>
        <w:rPr>
          <w:rFonts w:hint="eastAsia" w:ascii="黑体" w:hAnsi="仿宋" w:eastAsia="黑体" w:cs="黑体"/>
          <w:color w:val="auto"/>
          <w:sz w:val="24"/>
          <w:szCs w:val="24"/>
          <w:highlight w:val="none"/>
          <w:u w:val="single"/>
          <w:lang w:val="en-GB" w:eastAsia="zh-CN"/>
        </w:rPr>
      </w:pPr>
      <w:r>
        <w:rPr>
          <w:rFonts w:hint="eastAsia" w:ascii="黑体" w:hAnsi="仿宋" w:eastAsia="黑体" w:cs="黑体"/>
          <w:color w:val="auto"/>
          <w:sz w:val="24"/>
          <w:szCs w:val="24"/>
          <w:highlight w:val="none"/>
          <w:u w:val="single"/>
          <w:lang w:val="en-GB" w:eastAsia="zh-CN"/>
        </w:rPr>
        <w:t>（</w:t>
      </w:r>
      <w:r>
        <w:rPr>
          <w:rFonts w:hint="eastAsia" w:ascii="黑体" w:hAnsi="仿宋" w:eastAsia="黑体" w:cs="黑体"/>
          <w:color w:val="auto"/>
          <w:sz w:val="24"/>
          <w:szCs w:val="24"/>
          <w:highlight w:val="none"/>
          <w:u w:val="single"/>
          <w:lang w:val="en-US" w:eastAsia="zh-CN"/>
        </w:rPr>
        <w:t>以保函形式提交磋商保证金时提供</w:t>
      </w:r>
      <w:r>
        <w:rPr>
          <w:rFonts w:hint="eastAsia" w:ascii="黑体" w:hAnsi="仿宋" w:eastAsia="黑体" w:cs="黑体"/>
          <w:color w:val="auto"/>
          <w:sz w:val="24"/>
          <w:szCs w:val="24"/>
          <w:highlight w:val="none"/>
          <w:u w:val="single"/>
          <w:lang w:val="en-GB" w:eastAsia="zh-CN"/>
        </w:rPr>
        <w:t>）</w:t>
      </w:r>
    </w:p>
    <w:p>
      <w:pPr>
        <w:spacing w:line="360" w:lineRule="auto"/>
        <w:ind w:firstLine="482" w:firstLineChars="200"/>
        <w:rPr>
          <w:rFonts w:hint="eastAsia" w:ascii="宋体" w:hAnsi="宋体"/>
          <w:b/>
          <w:bCs/>
          <w:sz w:val="24"/>
          <w:highlight w:val="none"/>
        </w:rPr>
      </w:pPr>
      <w:r>
        <w:rPr>
          <w:rFonts w:hint="eastAsia" w:ascii="宋体" w:hAnsi="宋体"/>
          <w:b/>
          <w:bCs/>
          <w:sz w:val="24"/>
          <w:highlight w:val="none"/>
        </w:rPr>
        <w:br w:type="page"/>
      </w:r>
    </w:p>
    <w:p>
      <w:pPr>
        <w:spacing w:line="360" w:lineRule="auto"/>
        <w:ind w:firstLine="482" w:firstLineChars="200"/>
        <w:outlineLvl w:val="9"/>
        <w:rPr>
          <w:rFonts w:ascii="宋体" w:hAnsi="宋体"/>
          <w:b/>
          <w:bCs/>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3</w:t>
      </w:r>
      <w:r>
        <w:rPr>
          <w:rFonts w:hint="eastAsia" w:ascii="宋体" w:hAnsi="宋体"/>
          <w:b/>
          <w:bCs/>
          <w:sz w:val="24"/>
          <w:highlight w:val="none"/>
        </w:rPr>
        <w:t>法定代表人授权书/法定代表人证明书</w:t>
      </w:r>
    </w:p>
    <w:p>
      <w:pPr>
        <w:spacing w:line="360" w:lineRule="auto"/>
        <w:jc w:val="center"/>
        <w:outlineLvl w:val="9"/>
        <w:rPr>
          <w:rFonts w:ascii="黑体" w:hAnsi="仿宋" w:eastAsia="黑体" w:cs="仿宋"/>
          <w:bCs/>
          <w:sz w:val="32"/>
          <w:szCs w:val="32"/>
          <w:highlight w:val="none"/>
        </w:rPr>
      </w:pPr>
      <w:bookmarkStart w:id="496" w:name="_Toc5877"/>
      <w:bookmarkStart w:id="497" w:name="_Toc14010"/>
      <w:bookmarkStart w:id="498" w:name="_Toc31350"/>
      <w:r>
        <w:rPr>
          <w:rFonts w:hint="eastAsia" w:ascii="黑体" w:hAnsi="仿宋" w:eastAsia="黑体" w:cs="仿宋"/>
          <w:bCs/>
          <w:sz w:val="32"/>
          <w:szCs w:val="32"/>
          <w:highlight w:val="none"/>
        </w:rPr>
        <w:t>法定代表人授权书（格式）</w:t>
      </w:r>
      <w:bookmarkEnd w:id="496"/>
      <w:bookmarkEnd w:id="497"/>
      <w:bookmarkEnd w:id="498"/>
    </w:p>
    <w:p>
      <w:pPr>
        <w:spacing w:line="360" w:lineRule="auto"/>
        <w:jc w:val="center"/>
        <w:outlineLvl w:val="9"/>
        <w:rPr>
          <w:rFonts w:ascii="黑体" w:hAnsi="仿宋" w:eastAsia="黑体" w:cs="仿宋"/>
          <w:bCs/>
          <w:sz w:val="32"/>
          <w:szCs w:val="32"/>
          <w:highlight w:val="none"/>
        </w:rPr>
      </w:pPr>
      <w:bookmarkStart w:id="499" w:name="_Toc1840"/>
      <w:bookmarkStart w:id="500" w:name="_Toc15295"/>
      <w:bookmarkStart w:id="501" w:name="_Toc27240"/>
      <w:r>
        <w:rPr>
          <w:rFonts w:hint="eastAsia" w:ascii="黑体" w:hAnsi="仿宋" w:eastAsia="黑体" w:cs="仿宋"/>
          <w:bCs/>
          <w:sz w:val="24"/>
          <w:highlight w:val="none"/>
          <w:u w:val="single"/>
        </w:rPr>
        <w:t>（非法定代表人直接</w:t>
      </w:r>
      <w:r>
        <w:rPr>
          <w:rFonts w:hint="eastAsia" w:ascii="黑体" w:hAnsi="仿宋" w:eastAsia="黑体" w:cs="仿宋"/>
          <w:bCs/>
          <w:sz w:val="24"/>
          <w:highlight w:val="none"/>
          <w:u w:val="single"/>
          <w:lang w:eastAsia="zh-CN"/>
        </w:rPr>
        <w:t>参加磋商会议</w:t>
      </w:r>
      <w:r>
        <w:rPr>
          <w:rFonts w:hint="eastAsia" w:ascii="黑体" w:hAnsi="仿宋" w:eastAsia="黑体" w:cs="仿宋"/>
          <w:bCs/>
          <w:sz w:val="24"/>
          <w:highlight w:val="none"/>
          <w:u w:val="single"/>
        </w:rPr>
        <w:t>时提供</w:t>
      </w:r>
      <w:r>
        <w:rPr>
          <w:rFonts w:hint="eastAsia" w:ascii="黑体" w:hAnsi="仿宋" w:eastAsia="黑体" w:cs="仿宋"/>
          <w:bCs/>
          <w:sz w:val="32"/>
          <w:szCs w:val="32"/>
          <w:highlight w:val="none"/>
        </w:rPr>
        <w:t>）</w:t>
      </w:r>
      <w:bookmarkEnd w:id="499"/>
      <w:bookmarkEnd w:id="500"/>
      <w:bookmarkEnd w:id="501"/>
    </w:p>
    <w:p>
      <w:pPr>
        <w:spacing w:line="360" w:lineRule="auto"/>
        <w:outlineLvl w:val="9"/>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pStyle w:val="11"/>
        <w:spacing w:line="500" w:lineRule="exact"/>
        <w:ind w:left="-120" w:leftChars="-57" w:firstLine="600" w:firstLineChars="250"/>
        <w:outlineLvl w:val="9"/>
        <w:rPr>
          <w:rFonts w:hAnsi="宋体"/>
          <w:sz w:val="24"/>
          <w:szCs w:val="24"/>
          <w:highlight w:val="none"/>
        </w:rPr>
      </w:pPr>
      <w:r>
        <w:rPr>
          <w:rFonts w:hint="eastAsia" w:hAnsi="宋体"/>
          <w:sz w:val="24"/>
          <w:szCs w:val="24"/>
          <w:highlight w:val="none"/>
        </w:rPr>
        <w:t>本授权书声明：注册于（</w:t>
      </w:r>
      <w:r>
        <w:rPr>
          <w:rFonts w:hint="eastAsia" w:hAnsi="宋体"/>
          <w:sz w:val="24"/>
          <w:szCs w:val="24"/>
          <w:highlight w:val="none"/>
          <w:u w:val="single"/>
        </w:rPr>
        <w:t xml:space="preserve"> 工商行政管理局名称）之（委托单位全称） </w:t>
      </w:r>
      <w:r>
        <w:rPr>
          <w:rFonts w:hint="eastAsia" w:hAnsi="宋体"/>
          <w:sz w:val="24"/>
          <w:szCs w:val="24"/>
          <w:highlight w:val="none"/>
        </w:rPr>
        <w:t>的法定代表人</w:t>
      </w:r>
      <w:r>
        <w:rPr>
          <w:rFonts w:hint="eastAsia" w:hAnsi="宋体"/>
          <w:sz w:val="24"/>
          <w:szCs w:val="24"/>
          <w:highlight w:val="none"/>
          <w:u w:val="single"/>
        </w:rPr>
        <w:t>（姓名、性别）</w:t>
      </w:r>
      <w:r>
        <w:rPr>
          <w:rFonts w:hint="eastAsia" w:hAnsi="宋体"/>
          <w:sz w:val="24"/>
          <w:szCs w:val="24"/>
          <w:highlight w:val="none"/>
        </w:rPr>
        <w:t>授权本公司的</w:t>
      </w:r>
      <w:r>
        <w:rPr>
          <w:rFonts w:hint="eastAsia" w:hAnsi="宋体"/>
          <w:sz w:val="24"/>
          <w:szCs w:val="24"/>
          <w:highlight w:val="none"/>
          <w:u w:val="single"/>
        </w:rPr>
        <w:t>（被授权人姓名、性别、职务）</w:t>
      </w:r>
      <w:r>
        <w:rPr>
          <w:rFonts w:hint="eastAsia" w:hAnsi="宋体"/>
          <w:sz w:val="24"/>
          <w:szCs w:val="24"/>
          <w:highlight w:val="none"/>
        </w:rPr>
        <w:t>为合法代理人，就贵方组织的有关</w:t>
      </w:r>
      <w:r>
        <w:rPr>
          <w:rFonts w:hint="eastAsia" w:hAnsi="宋体"/>
          <w:sz w:val="24"/>
          <w:szCs w:val="24"/>
          <w:highlight w:val="none"/>
          <w:u w:val="single"/>
        </w:rPr>
        <w:t>（采购项目名称）</w:t>
      </w:r>
      <w:r>
        <w:rPr>
          <w:rFonts w:hint="eastAsia" w:hAnsi="宋体"/>
          <w:sz w:val="24"/>
          <w:szCs w:val="24"/>
          <w:highlight w:val="none"/>
        </w:rPr>
        <w:t>（项目编号：</w:t>
      </w:r>
      <w:r>
        <w:rPr>
          <w:rFonts w:hint="eastAsia" w:hAnsi="宋体"/>
          <w:sz w:val="24"/>
          <w:szCs w:val="24"/>
          <w:highlight w:val="none"/>
          <w:u w:val="single"/>
        </w:rPr>
        <w:t xml:space="preserve">                 </w:t>
      </w:r>
      <w:r>
        <w:rPr>
          <w:rFonts w:hint="eastAsia" w:hAnsi="宋体"/>
          <w:sz w:val="24"/>
          <w:szCs w:val="24"/>
          <w:highlight w:val="none"/>
        </w:rPr>
        <w:t>）的响应、洽谈、执行等具体事务，签署全部有关响应文件、文书、协议、合同，本公司对被授权人在本项目中的签名承担全部法律责任。本授权书自磋商会议之日起计算有效期为</w:t>
      </w:r>
      <w:r>
        <w:rPr>
          <w:rFonts w:hint="eastAsia" w:hAnsi="宋体"/>
          <w:sz w:val="24"/>
          <w:szCs w:val="24"/>
          <w:highlight w:val="none"/>
          <w:u w:val="single"/>
          <w:lang w:val="en-US" w:eastAsia="zh-CN"/>
        </w:rPr>
        <w:t>90</w:t>
      </w:r>
      <w:r>
        <w:rPr>
          <w:rFonts w:hint="eastAsia" w:hAnsi="宋体"/>
          <w:sz w:val="24"/>
          <w:szCs w:val="24"/>
          <w:highlight w:val="none"/>
        </w:rPr>
        <w:t>天。</w:t>
      </w:r>
    </w:p>
    <w:p>
      <w:pPr>
        <w:pStyle w:val="11"/>
        <w:spacing w:line="500" w:lineRule="exact"/>
        <w:ind w:firstLine="480" w:firstLineChars="200"/>
        <w:outlineLvl w:val="9"/>
        <w:rPr>
          <w:rFonts w:hAnsi="宋体"/>
          <w:sz w:val="24"/>
          <w:szCs w:val="24"/>
          <w:highlight w:val="none"/>
        </w:rPr>
      </w:pPr>
      <w:r>
        <w:rPr>
          <w:rFonts w:hint="eastAsia" w:hAnsi="宋体"/>
          <w:sz w:val="24"/>
          <w:szCs w:val="24"/>
          <w:highlight w:val="none"/>
        </w:rPr>
        <w:t>委托单位：</w:t>
      </w:r>
      <w:r>
        <w:rPr>
          <w:rFonts w:hint="eastAsia" w:hAnsi="宋体"/>
          <w:sz w:val="24"/>
          <w:szCs w:val="24"/>
          <w:highlight w:val="none"/>
          <w:u w:val="single"/>
        </w:rPr>
        <w:t xml:space="preserve">    </w:t>
      </w:r>
      <w:r>
        <w:rPr>
          <w:rFonts w:hint="eastAsia" w:hAnsi="宋体"/>
          <w:sz w:val="24"/>
          <w:szCs w:val="24"/>
          <w:highlight w:val="none"/>
        </w:rPr>
        <w:t>（公章）                  法定代表人（签字）：</w:t>
      </w:r>
    </w:p>
    <w:p>
      <w:pPr>
        <w:pStyle w:val="11"/>
        <w:spacing w:line="500" w:lineRule="exact"/>
        <w:ind w:firstLine="480" w:firstLineChars="200"/>
        <w:rPr>
          <w:rFonts w:hAnsi="宋体"/>
          <w:sz w:val="24"/>
          <w:szCs w:val="24"/>
          <w:highlight w:val="none"/>
        </w:rPr>
      </w:pPr>
      <w:r>
        <w:rPr>
          <w:rFonts w:hint="eastAsia" w:hAnsi="宋体"/>
          <w:sz w:val="24"/>
          <w:szCs w:val="24"/>
          <w:highlight w:val="none"/>
        </w:rPr>
        <w:t>签发日期：</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p>
    <w:p>
      <w:pPr>
        <w:pStyle w:val="11"/>
        <w:spacing w:line="500" w:lineRule="exact"/>
        <w:ind w:firstLine="480" w:firstLineChars="200"/>
        <w:rPr>
          <w:rFonts w:hAnsi="宋体"/>
          <w:sz w:val="24"/>
          <w:szCs w:val="24"/>
          <w:highlight w:val="none"/>
        </w:rPr>
      </w:pPr>
      <w:r>
        <w:rPr>
          <w:rFonts w:hint="eastAsia" w:hAnsi="宋体"/>
          <w:sz w:val="24"/>
          <w:szCs w:val="24"/>
          <w:highlight w:val="none"/>
        </w:rPr>
        <w:t>附：被授权人姓名（签字）：</w:t>
      </w:r>
      <w:r>
        <w:rPr>
          <w:rFonts w:hint="eastAsia" w:hAnsi="宋体"/>
          <w:sz w:val="24"/>
          <w:szCs w:val="24"/>
          <w:highlight w:val="none"/>
          <w:u w:val="single"/>
        </w:rPr>
        <w:t xml:space="preserve">              </w:t>
      </w:r>
      <w:r>
        <w:rPr>
          <w:rFonts w:hint="eastAsia" w:hAnsi="宋体"/>
          <w:sz w:val="24"/>
          <w:szCs w:val="24"/>
          <w:highlight w:val="none"/>
        </w:rPr>
        <w:t>性别：</w:t>
      </w:r>
      <w:r>
        <w:rPr>
          <w:rFonts w:hint="eastAsia" w:hAnsi="宋体"/>
          <w:sz w:val="24"/>
          <w:szCs w:val="24"/>
          <w:highlight w:val="none"/>
          <w:u w:val="single"/>
        </w:rPr>
        <w:t xml:space="preserve">       </w:t>
      </w:r>
      <w:r>
        <w:rPr>
          <w:rFonts w:hint="eastAsia" w:hAnsi="宋体"/>
          <w:sz w:val="24"/>
          <w:szCs w:val="24"/>
          <w:highlight w:val="none"/>
        </w:rPr>
        <w:t>职务：</w:t>
      </w:r>
      <w:r>
        <w:rPr>
          <w:rFonts w:hint="eastAsia" w:hAnsi="宋体"/>
          <w:sz w:val="24"/>
          <w:szCs w:val="24"/>
          <w:highlight w:val="none"/>
          <w:u w:val="single"/>
        </w:rPr>
        <w:t xml:space="preserve">             </w:t>
      </w:r>
    </w:p>
    <w:p>
      <w:pPr>
        <w:pStyle w:val="11"/>
        <w:spacing w:line="500" w:lineRule="exact"/>
        <w:ind w:firstLine="960" w:firstLineChars="400"/>
        <w:rPr>
          <w:rFonts w:hAnsi="宋体"/>
          <w:sz w:val="24"/>
          <w:szCs w:val="24"/>
          <w:highlight w:val="none"/>
          <w:u w:val="single"/>
        </w:rPr>
      </w:pPr>
      <w:r>
        <w:rPr>
          <w:rFonts w:hint="eastAsia" w:hAnsi="宋体"/>
          <w:sz w:val="24"/>
          <w:szCs w:val="24"/>
          <w:highlight w:val="none"/>
        </w:rPr>
        <w:t xml:space="preserve">联系地址：  </w:t>
      </w:r>
      <w:r>
        <w:rPr>
          <w:rFonts w:hint="eastAsia" w:hAnsi="宋体"/>
          <w:sz w:val="24"/>
          <w:szCs w:val="24"/>
          <w:highlight w:val="none"/>
          <w:u w:val="single"/>
        </w:rPr>
        <w:t xml:space="preserve">                                                </w:t>
      </w:r>
    </w:p>
    <w:p>
      <w:pPr>
        <w:pStyle w:val="11"/>
        <w:spacing w:line="500" w:lineRule="exact"/>
        <w:ind w:firstLine="960" w:firstLineChars="400"/>
        <w:rPr>
          <w:rFonts w:hAnsi="宋体"/>
          <w:sz w:val="24"/>
          <w:szCs w:val="24"/>
          <w:highlight w:val="none"/>
          <w:u w:val="single"/>
        </w:rPr>
      </w:pPr>
      <w:r>
        <w:rPr>
          <w:rFonts w:hint="eastAsia" w:hAnsi="宋体"/>
          <w:sz w:val="24"/>
          <w:szCs w:val="24"/>
          <w:highlight w:val="none"/>
        </w:rPr>
        <w:t>联系电话：</w:t>
      </w:r>
      <w:r>
        <w:rPr>
          <w:rFonts w:hint="eastAsia" w:hAnsi="宋体"/>
          <w:sz w:val="24"/>
          <w:szCs w:val="24"/>
          <w:highlight w:val="none"/>
          <w:u w:val="single"/>
        </w:rPr>
        <w:t xml:space="preserve">                  </w:t>
      </w:r>
      <w:r>
        <w:rPr>
          <w:rFonts w:hint="eastAsia" w:hAnsi="宋体"/>
          <w:sz w:val="24"/>
          <w:szCs w:val="24"/>
          <w:highlight w:val="none"/>
        </w:rPr>
        <w:t>传真：</w:t>
      </w:r>
      <w:r>
        <w:rPr>
          <w:rFonts w:hint="eastAsia" w:hAnsi="宋体"/>
          <w:sz w:val="24"/>
          <w:szCs w:val="24"/>
          <w:highlight w:val="none"/>
          <w:u w:val="single"/>
        </w:rPr>
        <w:t xml:space="preserve">                          </w:t>
      </w:r>
    </w:p>
    <w:p>
      <w:pPr>
        <w:pStyle w:val="11"/>
        <w:spacing w:line="500" w:lineRule="exact"/>
        <w:ind w:firstLine="2760" w:firstLineChars="1150"/>
        <w:rPr>
          <w:rFonts w:hAnsi="宋体"/>
          <w:sz w:val="24"/>
          <w:szCs w:val="24"/>
          <w:highlight w:val="none"/>
        </w:rPr>
      </w:pPr>
    </w:p>
    <w:p>
      <w:pPr>
        <w:pStyle w:val="11"/>
        <w:spacing w:line="500" w:lineRule="exact"/>
        <w:ind w:firstLine="2760" w:firstLineChars="1150"/>
        <w:rPr>
          <w:rFonts w:hAnsi="宋体"/>
          <w:sz w:val="24"/>
          <w:szCs w:val="24"/>
          <w:highlight w:val="none"/>
        </w:rPr>
      </w:pPr>
      <w:r>
        <w:rPr>
          <w:rFonts w:hint="eastAsia" w:hAnsi="宋体"/>
          <w:sz w:val="24"/>
          <w:szCs w:val="24"/>
          <w:highlight w:val="none"/>
        </w:rPr>
        <w:t>法定代表人/被授权人身份证复印件</w:t>
      </w:r>
    </w:p>
    <w:tbl>
      <w:tblPr>
        <w:tblStyle w:val="20"/>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03" w:hRule="atLeast"/>
          <w:jc w:val="center"/>
        </w:trPr>
        <w:tc>
          <w:tcPr>
            <w:tcW w:w="4213" w:type="dxa"/>
            <w:shd w:val="clear" w:color="auto" w:fill="E0E0E0"/>
            <w:vAlign w:val="center"/>
          </w:tcPr>
          <w:p>
            <w:pPr>
              <w:pStyle w:val="11"/>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法定代表人身份证复印件（</w:t>
            </w:r>
            <w:r>
              <w:rPr>
                <w:rFonts w:hint="eastAsia" w:hAnsi="宋体"/>
                <w:sz w:val="24"/>
                <w:szCs w:val="24"/>
                <w:highlight w:val="none"/>
                <w:shd w:val="pct10" w:color="auto" w:fill="FFFFFF"/>
                <w:lang w:eastAsia="zh-CN"/>
              </w:rPr>
              <w:t>国徽面</w:t>
            </w:r>
            <w:r>
              <w:rPr>
                <w:rFonts w:hint="eastAsia" w:hAnsi="宋体"/>
                <w:sz w:val="24"/>
                <w:szCs w:val="24"/>
                <w:highlight w:val="none"/>
                <w:shd w:val="pct10" w:color="auto" w:fill="FFFFFF"/>
              </w:rPr>
              <w:t>）</w:t>
            </w:r>
          </w:p>
        </w:tc>
        <w:tc>
          <w:tcPr>
            <w:tcW w:w="4213" w:type="dxa"/>
            <w:shd w:val="clear" w:color="auto" w:fill="E0E0E0"/>
            <w:vAlign w:val="center"/>
          </w:tcPr>
          <w:p>
            <w:pPr>
              <w:pStyle w:val="11"/>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被授权人身份证复印件（</w:t>
            </w:r>
            <w:r>
              <w:rPr>
                <w:rFonts w:hint="eastAsia" w:hAnsi="宋体"/>
                <w:sz w:val="24"/>
                <w:szCs w:val="24"/>
                <w:highlight w:val="none"/>
                <w:shd w:val="pct10" w:color="auto" w:fill="FFFFFF"/>
                <w:lang w:eastAsia="zh-CN"/>
              </w:rPr>
              <w:t>国徽面</w:t>
            </w:r>
            <w:r>
              <w:rPr>
                <w:rFonts w:hint="eastAsia" w:hAnsi="宋体"/>
                <w:sz w:val="24"/>
                <w:szCs w:val="24"/>
                <w:highlight w:val="none"/>
                <w:shd w:val="pct10"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635" w:hRule="atLeast"/>
          <w:jc w:val="center"/>
        </w:trPr>
        <w:tc>
          <w:tcPr>
            <w:tcW w:w="4213" w:type="dxa"/>
            <w:shd w:val="clear" w:color="auto" w:fill="E0E0E0"/>
            <w:vAlign w:val="center"/>
          </w:tcPr>
          <w:p>
            <w:pPr>
              <w:pStyle w:val="11"/>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法定代表人身份证复印件（</w:t>
            </w:r>
            <w:r>
              <w:rPr>
                <w:rFonts w:hint="eastAsia" w:hAnsi="宋体"/>
                <w:sz w:val="24"/>
                <w:szCs w:val="24"/>
                <w:highlight w:val="none"/>
                <w:shd w:val="pct10" w:color="auto" w:fill="FFFFFF"/>
                <w:lang w:eastAsia="zh-CN"/>
              </w:rPr>
              <w:t>人像面</w:t>
            </w:r>
            <w:r>
              <w:rPr>
                <w:rFonts w:hint="eastAsia" w:hAnsi="宋体"/>
                <w:sz w:val="24"/>
                <w:szCs w:val="24"/>
                <w:highlight w:val="none"/>
                <w:shd w:val="pct10" w:color="auto" w:fill="FFFFFF"/>
              </w:rPr>
              <w:t>）</w:t>
            </w:r>
          </w:p>
        </w:tc>
        <w:tc>
          <w:tcPr>
            <w:tcW w:w="4213" w:type="dxa"/>
            <w:shd w:val="clear" w:color="auto" w:fill="E0E0E0"/>
            <w:vAlign w:val="center"/>
          </w:tcPr>
          <w:p>
            <w:pPr>
              <w:pStyle w:val="11"/>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被授权人身份证复印件（</w:t>
            </w:r>
            <w:r>
              <w:rPr>
                <w:rFonts w:hint="eastAsia" w:hAnsi="宋体"/>
                <w:sz w:val="24"/>
                <w:szCs w:val="24"/>
                <w:highlight w:val="none"/>
                <w:shd w:val="pct10" w:color="auto" w:fill="FFFFFF"/>
                <w:lang w:eastAsia="zh-CN"/>
              </w:rPr>
              <w:t>人像面</w:t>
            </w:r>
            <w:r>
              <w:rPr>
                <w:rFonts w:hint="eastAsia" w:hAnsi="宋体"/>
                <w:sz w:val="24"/>
                <w:szCs w:val="24"/>
                <w:highlight w:val="none"/>
                <w:shd w:val="pct10" w:color="auto" w:fill="FFFFFF"/>
              </w:rPr>
              <w:t>）</w:t>
            </w:r>
          </w:p>
        </w:tc>
      </w:tr>
    </w:tbl>
    <w:p>
      <w:pPr>
        <w:spacing w:line="360" w:lineRule="auto"/>
        <w:ind w:firstLine="640" w:firstLineChars="200"/>
        <w:jc w:val="both"/>
        <w:outlineLvl w:val="9"/>
        <w:rPr>
          <w:rFonts w:hint="eastAsia" w:ascii="黑体" w:hAnsi="仿宋" w:eastAsia="黑体" w:cs="仿宋"/>
          <w:bCs/>
          <w:sz w:val="32"/>
          <w:szCs w:val="32"/>
          <w:highlight w:val="none"/>
        </w:rPr>
      </w:pPr>
      <w:bookmarkStart w:id="502" w:name="_Toc18951"/>
      <w:bookmarkStart w:id="503" w:name="_Toc3011"/>
      <w:bookmarkStart w:id="504" w:name="_Toc9280"/>
      <w:r>
        <w:rPr>
          <w:rFonts w:hint="eastAsia" w:ascii="黑体" w:hAnsi="仿宋" w:eastAsia="黑体" w:cs="黑体"/>
          <w:color w:val="auto"/>
          <w:sz w:val="32"/>
          <w:szCs w:val="32"/>
          <w:highlight w:val="none"/>
          <w:lang w:val="en-US" w:eastAsia="zh-CN"/>
        </w:rPr>
        <w:t>注：签字不能以签字章代替！</w:t>
      </w:r>
    </w:p>
    <w:p>
      <w:pPr>
        <w:spacing w:line="360" w:lineRule="auto"/>
        <w:jc w:val="center"/>
        <w:outlineLvl w:val="9"/>
        <w:rPr>
          <w:rFonts w:ascii="黑体" w:hAnsi="仿宋" w:eastAsia="黑体" w:cs="仿宋"/>
          <w:bCs/>
          <w:sz w:val="32"/>
          <w:szCs w:val="32"/>
          <w:highlight w:val="none"/>
        </w:rPr>
      </w:pPr>
      <w:r>
        <w:rPr>
          <w:rFonts w:hint="eastAsia" w:ascii="黑体" w:hAnsi="仿宋" w:eastAsia="黑体" w:cs="仿宋"/>
          <w:bCs/>
          <w:sz w:val="32"/>
          <w:szCs w:val="32"/>
          <w:highlight w:val="none"/>
        </w:rPr>
        <w:t>法定代表人证明书（格式）</w:t>
      </w:r>
      <w:bookmarkEnd w:id="502"/>
      <w:bookmarkEnd w:id="503"/>
      <w:bookmarkEnd w:id="504"/>
    </w:p>
    <w:p>
      <w:pPr>
        <w:spacing w:line="360" w:lineRule="auto"/>
        <w:jc w:val="center"/>
        <w:outlineLvl w:val="9"/>
        <w:rPr>
          <w:rFonts w:ascii="黑体" w:hAnsi="仿宋" w:eastAsia="黑体" w:cs="仿宋"/>
          <w:bCs/>
          <w:sz w:val="24"/>
          <w:highlight w:val="none"/>
          <w:u w:val="single"/>
        </w:rPr>
      </w:pPr>
      <w:bookmarkStart w:id="505" w:name="_Toc6023"/>
      <w:bookmarkStart w:id="506" w:name="_Toc29574"/>
      <w:bookmarkStart w:id="507" w:name="_Toc14682"/>
      <w:r>
        <w:rPr>
          <w:rFonts w:hint="eastAsia" w:ascii="黑体" w:hAnsi="仿宋" w:eastAsia="黑体" w:cs="仿宋"/>
          <w:bCs/>
          <w:sz w:val="24"/>
          <w:highlight w:val="none"/>
          <w:u w:val="single"/>
        </w:rPr>
        <w:t>（法定代表人直接参加</w:t>
      </w:r>
      <w:r>
        <w:rPr>
          <w:rFonts w:hint="eastAsia" w:ascii="黑体" w:hAnsi="仿宋" w:eastAsia="黑体" w:cs="仿宋"/>
          <w:bCs/>
          <w:sz w:val="24"/>
          <w:highlight w:val="none"/>
          <w:u w:val="single"/>
          <w:lang w:val="en-US" w:eastAsia="zh-CN"/>
        </w:rPr>
        <w:t>磋商会议</w:t>
      </w:r>
      <w:r>
        <w:rPr>
          <w:rFonts w:hint="eastAsia" w:ascii="黑体" w:hAnsi="仿宋" w:eastAsia="黑体" w:cs="仿宋"/>
          <w:bCs/>
          <w:sz w:val="24"/>
          <w:highlight w:val="none"/>
          <w:u w:val="single"/>
        </w:rPr>
        <w:t>时提供）</w:t>
      </w:r>
      <w:bookmarkEnd w:id="505"/>
      <w:bookmarkEnd w:id="506"/>
      <w:bookmarkEnd w:id="507"/>
    </w:p>
    <w:p>
      <w:pPr>
        <w:spacing w:line="360" w:lineRule="atLeast"/>
        <w:jc w:val="center"/>
        <w:outlineLvl w:val="9"/>
        <w:rPr>
          <w:rFonts w:ascii="黑体" w:hAnsi="仿宋" w:eastAsia="黑体" w:cs="仿宋"/>
          <w:b/>
          <w:sz w:val="24"/>
          <w:highlight w:val="none"/>
        </w:rPr>
      </w:pPr>
    </w:p>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pPr>
              <w:tabs>
                <w:tab w:val="left" w:pos="210"/>
              </w:tabs>
              <w:spacing w:line="320" w:lineRule="exact"/>
              <w:outlineLvl w:val="9"/>
              <w:rPr>
                <w:rFonts w:ascii="宋体" w:hAnsi="宋体"/>
                <w:kern w:val="0"/>
                <w:sz w:val="24"/>
                <w:highlight w:val="none"/>
              </w:rPr>
            </w:pPr>
            <w:r>
              <w:rPr>
                <w:rFonts w:hint="eastAsia" w:ascii="宋体" w:hAnsi="宋体"/>
                <w:kern w:val="0"/>
                <w:sz w:val="24"/>
                <w:highlight w:val="none"/>
              </w:rPr>
              <w:t>致：陕西德勤招标有限公司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企</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业</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人</w:t>
            </w: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企业名称</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法定地址</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邮政编码</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工商登记机关</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税务登记机关</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机构代码证号</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法定代表人</w:t>
            </w: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姓名</w:t>
            </w:r>
          </w:p>
        </w:tc>
        <w:tc>
          <w:tcPr>
            <w:tcW w:w="2236" w:type="dxa"/>
            <w:gridSpan w:val="2"/>
            <w:vAlign w:val="center"/>
          </w:tcPr>
          <w:p>
            <w:pPr>
              <w:tabs>
                <w:tab w:val="left" w:pos="210"/>
              </w:tabs>
              <w:spacing w:line="320" w:lineRule="exact"/>
              <w:jc w:val="center"/>
              <w:outlineLvl w:val="9"/>
              <w:rPr>
                <w:rFonts w:ascii="宋体" w:hAnsi="宋体"/>
                <w:kern w:val="0"/>
                <w:sz w:val="24"/>
                <w:highlight w:val="none"/>
              </w:rPr>
            </w:pPr>
          </w:p>
        </w:tc>
        <w:tc>
          <w:tcPr>
            <w:tcW w:w="2061"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性别</w:t>
            </w:r>
          </w:p>
        </w:tc>
        <w:tc>
          <w:tcPr>
            <w:tcW w:w="2063" w:type="dxa"/>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职务</w:t>
            </w:r>
          </w:p>
        </w:tc>
        <w:tc>
          <w:tcPr>
            <w:tcW w:w="2236" w:type="dxa"/>
            <w:gridSpan w:val="2"/>
            <w:vAlign w:val="center"/>
          </w:tcPr>
          <w:p>
            <w:pPr>
              <w:tabs>
                <w:tab w:val="left" w:pos="210"/>
              </w:tabs>
              <w:spacing w:line="320" w:lineRule="exact"/>
              <w:jc w:val="center"/>
              <w:outlineLvl w:val="9"/>
              <w:rPr>
                <w:rFonts w:ascii="宋体" w:hAnsi="宋体"/>
                <w:kern w:val="0"/>
                <w:sz w:val="24"/>
                <w:highlight w:val="none"/>
              </w:rPr>
            </w:pPr>
          </w:p>
        </w:tc>
        <w:tc>
          <w:tcPr>
            <w:tcW w:w="2061"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联系电话</w:t>
            </w:r>
          </w:p>
        </w:tc>
        <w:tc>
          <w:tcPr>
            <w:tcW w:w="2063" w:type="dxa"/>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传真</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法定代表人身份证复印件</w:t>
            </w:r>
          </w:p>
        </w:tc>
        <w:tc>
          <w:tcPr>
            <w:tcW w:w="4125" w:type="dxa"/>
            <w:gridSpan w:val="2"/>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（粘贴处）</w:t>
            </w:r>
          </w:p>
        </w:tc>
        <w:tc>
          <w:tcPr>
            <w:tcW w:w="4300" w:type="dxa"/>
            <w:gridSpan w:val="3"/>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4125" w:type="dxa"/>
            <w:gridSpan w:val="2"/>
            <w:vMerge w:val="continue"/>
            <w:vAlign w:val="center"/>
          </w:tcPr>
          <w:p>
            <w:pPr>
              <w:tabs>
                <w:tab w:val="left" w:pos="210"/>
              </w:tabs>
              <w:spacing w:line="320" w:lineRule="exact"/>
              <w:jc w:val="center"/>
              <w:outlineLvl w:val="9"/>
              <w:rPr>
                <w:rFonts w:ascii="宋体" w:hAnsi="宋体"/>
                <w:kern w:val="0"/>
                <w:sz w:val="24"/>
                <w:highlight w:val="none"/>
              </w:rPr>
            </w:pPr>
          </w:p>
        </w:tc>
        <w:tc>
          <w:tcPr>
            <w:tcW w:w="4300" w:type="dxa"/>
            <w:gridSpan w:val="3"/>
            <w:vAlign w:val="bottom"/>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（公章）</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right"/>
              <w:outlineLvl w:val="9"/>
              <w:rPr>
                <w:rFonts w:ascii="宋体" w:hAnsi="宋体"/>
                <w:kern w:val="0"/>
                <w:sz w:val="24"/>
                <w:highlight w:val="none"/>
              </w:rPr>
            </w:pPr>
            <w:r>
              <w:rPr>
                <w:rFonts w:hint="eastAsia" w:ascii="宋体" w:hAnsi="宋体"/>
                <w:kern w:val="0"/>
                <w:sz w:val="24"/>
                <w:highlight w:val="none"/>
              </w:rPr>
              <w:t xml:space="preserve">年  月  日 </w:t>
            </w:r>
          </w:p>
        </w:tc>
      </w:tr>
    </w:tbl>
    <w:p>
      <w:pPr>
        <w:spacing w:line="360" w:lineRule="auto"/>
        <w:ind w:firstLine="640" w:firstLineChars="200"/>
        <w:outlineLvl w:val="9"/>
        <w:rPr>
          <w:rFonts w:ascii="仿宋_GB2312" w:hAnsi="仿宋" w:eastAsia="仿宋_GB2312" w:cs="仿宋"/>
          <w:color w:val="0000FF"/>
          <w:sz w:val="24"/>
          <w:highlight w:val="none"/>
        </w:rPr>
      </w:pPr>
      <w:r>
        <w:rPr>
          <w:rFonts w:hint="eastAsia" w:ascii="黑体" w:hAnsi="仿宋" w:eastAsia="黑体" w:cs="黑体"/>
          <w:color w:val="auto"/>
          <w:sz w:val="32"/>
          <w:szCs w:val="32"/>
          <w:highlight w:val="none"/>
          <w:lang w:val="en-US" w:eastAsia="zh-CN"/>
        </w:rPr>
        <w:t>注：签字不能以签字章代替！</w:t>
      </w: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lang w:val="en-US" w:eastAsia="zh-CN"/>
        </w:rPr>
        <w:t>1.4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u w:val="single"/>
          <w:lang w:val="en-US" w:eastAsia="zh-CN"/>
        </w:rPr>
        <w:t>特别提醒：成交供应商的《中小企业声明函》、《残疾人福利性单位声明函》或监狱企业证明文件将随成交结果公告一同公布，接受社会监督。</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（1）关于中小企业判定</w:t>
      </w:r>
    </w:p>
    <w:p>
      <w:pPr>
        <w:spacing w:line="360" w:lineRule="auto"/>
        <w:ind w:firstLine="480" w:firstLineChars="200"/>
        <w:outlineLvl w:val="9"/>
        <w:rPr>
          <w:rFonts w:hint="default" w:ascii="宋体" w:hAnsi="宋体"/>
          <w:sz w:val="24"/>
          <w:highlight w:val="none"/>
          <w:lang w:val="en-US" w:eastAsia="zh-CN"/>
        </w:rPr>
      </w:pPr>
      <w:r>
        <w:rPr>
          <w:rFonts w:hint="eastAsia" w:ascii="宋体" w:hAnsi="宋体"/>
          <w:sz w:val="24"/>
          <w:highlight w:val="none"/>
          <w:lang w:val="en-US" w:eastAsia="zh-CN"/>
        </w:rPr>
        <w:t>本项目采购标的对应的中小企业划分标准所属行业为</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各投标供应商可根据企业从业人员、营业收入、资产总额等指标，按照磋商文件约定的采购标的对应的中小微企业划分标准所属行业和《中小企业划型标准规定》（工信部联企业〔2011〕300号）进行自测，判断属于中型、小型还是微型企业。</w:t>
      </w:r>
    </w:p>
    <w:p>
      <w:pPr>
        <w:spacing w:line="360" w:lineRule="atLeast"/>
        <w:jc w:val="center"/>
        <w:rPr>
          <w:rFonts w:hint="eastAsia" w:ascii="黑体" w:hAnsi="仿宋" w:eastAsia="黑体" w:cs="黑体"/>
          <w:color w:val="auto"/>
          <w:sz w:val="32"/>
          <w:szCs w:val="32"/>
          <w:highlight w:val="none"/>
          <w:lang w:val="en-US" w:eastAsia="zh-CN"/>
        </w:rPr>
      </w:pPr>
      <w:r>
        <w:rPr>
          <w:rFonts w:hint="eastAsia" w:ascii="黑体" w:hAnsi="仿宋" w:eastAsia="黑体" w:cs="黑体"/>
          <w:color w:val="auto"/>
          <w:sz w:val="32"/>
          <w:szCs w:val="32"/>
          <w:highlight w:val="none"/>
          <w:lang w:val="en-US" w:eastAsia="zh-CN"/>
        </w:rPr>
        <w:t>中小企业声明函（服务）（格式）</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本公司（联合体）郑重声明，根据《政府采购促进中小企业发展管理办法》（财库﹝2020﹞46 号）的规定，本公司（联合体）参加</w:t>
      </w:r>
      <w:r>
        <w:rPr>
          <w:rFonts w:hint="eastAsia" w:ascii="宋体" w:hAnsi="宋体" w:cs="宋体"/>
          <w:color w:val="auto"/>
          <w:kern w:val="0"/>
          <w:sz w:val="24"/>
          <w:szCs w:val="20"/>
          <w:highlight w:val="none"/>
          <w:u w:val="single"/>
          <w:lang w:val="en-US" w:eastAsia="zh-CN"/>
        </w:rPr>
        <w:t>（采购代理机构名称）</w:t>
      </w:r>
      <w:r>
        <w:rPr>
          <w:rFonts w:hint="eastAsia" w:ascii="宋体" w:hAnsi="宋体" w:cs="宋体"/>
          <w:color w:val="auto"/>
          <w:kern w:val="0"/>
          <w:sz w:val="24"/>
          <w:szCs w:val="20"/>
          <w:highlight w:val="none"/>
          <w:lang w:val="en-US" w:eastAsia="zh-CN"/>
        </w:rPr>
        <w:t>的</w:t>
      </w:r>
      <w:r>
        <w:rPr>
          <w:rFonts w:hint="eastAsia" w:ascii="宋体" w:hAnsi="宋体" w:cs="宋体"/>
          <w:color w:val="auto"/>
          <w:kern w:val="0"/>
          <w:sz w:val="24"/>
          <w:szCs w:val="20"/>
          <w:highlight w:val="none"/>
          <w:u w:val="single"/>
          <w:lang w:val="en-US" w:eastAsia="zh-CN"/>
        </w:rPr>
        <w:t>（项目名称）</w:t>
      </w:r>
      <w:r>
        <w:rPr>
          <w:rFonts w:hint="eastAsia" w:ascii="宋体" w:hAnsi="宋体" w:cs="宋体"/>
          <w:color w:val="auto"/>
          <w:kern w:val="0"/>
          <w:sz w:val="24"/>
          <w:szCs w:val="20"/>
          <w:highlight w:val="none"/>
          <w:lang w:val="en-US" w:eastAsia="zh-CN"/>
        </w:rPr>
        <w:t>采购活动，服务全部由符合政策要求的中小企业承接。相关企业（含联合体中的中小企业、签订分包意向协议的中小企业）的具体情况如下：</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1.</w:t>
      </w:r>
      <w:r>
        <w:rPr>
          <w:rFonts w:hint="eastAsia" w:ascii="宋体" w:hAnsi="宋体" w:cs="宋体"/>
          <w:color w:val="auto"/>
          <w:kern w:val="0"/>
          <w:sz w:val="24"/>
          <w:szCs w:val="20"/>
          <w:highlight w:val="none"/>
          <w:u w:val="single"/>
          <w:lang w:val="en-US" w:eastAsia="zh-CN"/>
        </w:rPr>
        <w:t>（项目名称）</w:t>
      </w:r>
      <w:r>
        <w:rPr>
          <w:rFonts w:hint="eastAsia" w:ascii="宋体" w:hAnsi="宋体" w:cs="宋体"/>
          <w:color w:val="auto"/>
          <w:kern w:val="0"/>
          <w:sz w:val="24"/>
          <w:szCs w:val="20"/>
          <w:highlight w:val="none"/>
          <w:lang w:val="en-US" w:eastAsia="zh-CN"/>
        </w:rPr>
        <w:t>，属于</w:t>
      </w:r>
      <w:r>
        <w:rPr>
          <w:rFonts w:hint="eastAsia" w:ascii="宋体" w:hAnsi="宋体" w:cs="宋体"/>
          <w:color w:val="auto"/>
          <w:kern w:val="0"/>
          <w:sz w:val="24"/>
          <w:szCs w:val="20"/>
          <w:highlight w:val="none"/>
          <w:u w:val="single"/>
          <w:lang w:val="en-US" w:eastAsia="zh-CN"/>
        </w:rPr>
        <w:t>（采购文件中明确的所属行业）</w:t>
      </w:r>
      <w:r>
        <w:rPr>
          <w:rFonts w:hint="eastAsia" w:ascii="宋体" w:hAnsi="宋体" w:cs="宋体"/>
          <w:color w:val="auto"/>
          <w:kern w:val="0"/>
          <w:sz w:val="24"/>
          <w:szCs w:val="20"/>
          <w:highlight w:val="none"/>
          <w:lang w:val="en-US" w:eastAsia="zh-CN"/>
        </w:rPr>
        <w:t xml:space="preserve">；承接企业为（企业名称），从业人员   人，营业收入为   万元，资产总额为   万元1，属于（中型企业、小型企业、微型企业）；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2.</w:t>
      </w:r>
      <w:r>
        <w:rPr>
          <w:rFonts w:hint="eastAsia" w:ascii="宋体" w:hAnsi="宋体" w:cs="宋体"/>
          <w:color w:val="auto"/>
          <w:kern w:val="0"/>
          <w:sz w:val="24"/>
          <w:szCs w:val="20"/>
          <w:highlight w:val="none"/>
          <w:u w:val="single"/>
          <w:lang w:val="en-US" w:eastAsia="zh-CN"/>
        </w:rPr>
        <w:t>（项目名称）</w:t>
      </w:r>
      <w:r>
        <w:rPr>
          <w:rFonts w:hint="eastAsia" w:ascii="宋体" w:hAnsi="宋体" w:cs="宋体"/>
          <w:color w:val="auto"/>
          <w:kern w:val="0"/>
          <w:sz w:val="24"/>
          <w:szCs w:val="20"/>
          <w:highlight w:val="none"/>
          <w:lang w:val="en-US" w:eastAsia="zh-CN"/>
        </w:rPr>
        <w:t>，属于</w:t>
      </w:r>
      <w:r>
        <w:rPr>
          <w:rFonts w:hint="eastAsia" w:ascii="宋体" w:hAnsi="宋体" w:cs="宋体"/>
          <w:color w:val="auto"/>
          <w:kern w:val="0"/>
          <w:sz w:val="24"/>
          <w:szCs w:val="20"/>
          <w:highlight w:val="none"/>
          <w:u w:val="single"/>
          <w:lang w:val="en-US" w:eastAsia="zh-CN"/>
        </w:rPr>
        <w:t>（采购文件中明确的所属行业）</w:t>
      </w:r>
      <w:r>
        <w:rPr>
          <w:rFonts w:hint="eastAsia" w:ascii="宋体" w:hAnsi="宋体" w:cs="宋体"/>
          <w:color w:val="auto"/>
          <w:kern w:val="0"/>
          <w:sz w:val="24"/>
          <w:szCs w:val="20"/>
          <w:highlight w:val="none"/>
          <w:lang w:val="en-US" w:eastAsia="zh-CN"/>
        </w:rPr>
        <w:t xml:space="preserve">；承接企业为（企业名称），从业人员   人，营业收入为   万元，资产总额为   万元，属于（中型企业、小型企业、微型企业）；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以上企业，不属于大企业的分支机构，不存在控股股东为大企业的情形，也不存在与大企业的负责人为同一人的情形。</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本企业对上述声明内容的真实性负责。如有虚假，将依法承担相应责任。</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供应商名称（盖章）：</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日 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5" name="直接连接符 5"/>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1312;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M6A+GLp&#10;AQAAtAMAAA4AAAAAAAAAAQAgAAAAIQEAAGRycy9lMm9Eb2MueG1sUEsFBgAAAAAGAAYAWQEAAHwF&#10;AAAAAA==&#10;">
                <v:fill on="f" focussize="0,0"/>
                <v:stroke color="#000000" joinstyle="round"/>
                <v:imagedata o:title=""/>
                <o:lock v:ext="edit" aspectratio="f"/>
              </v:line>
            </w:pict>
          </mc:Fallback>
        </mc:AlternateConten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从业人员、营业收入、资产总额填报上一年度数据，无上一年度数据的新成立企业可不填报。</w:t>
      </w:r>
    </w:p>
    <w:p>
      <w:pPr>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（2）关于监狱企业的证明文件</w:t>
      </w:r>
    </w:p>
    <w:p>
      <w:pPr>
        <w:spacing w:line="360" w:lineRule="auto"/>
        <w:jc w:val="center"/>
        <w:outlineLvl w:val="9"/>
        <w:rPr>
          <w:rFonts w:hint="eastAsia" w:ascii="黑体" w:hAnsi="仿宋" w:eastAsia="黑体" w:cs="黑体"/>
          <w:color w:val="auto"/>
          <w:sz w:val="32"/>
          <w:szCs w:val="32"/>
          <w:highlight w:val="none"/>
          <w:lang w:val="en-US" w:eastAsia="zh-CN"/>
        </w:rPr>
      </w:pPr>
      <w:r>
        <w:rPr>
          <w:rFonts w:hint="eastAsia" w:ascii="黑体" w:hAnsi="仿宋" w:eastAsia="黑体" w:cs="黑体"/>
          <w:color w:val="auto"/>
          <w:sz w:val="32"/>
          <w:szCs w:val="32"/>
          <w:highlight w:val="none"/>
          <w:lang w:val="en-US" w:eastAsia="zh-CN"/>
        </w:rPr>
        <w:t>关于监狱企业的证明文件（格式）</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监狱企业参加政府采购活动时，应当提供由省级以上监狱管理局、戒毒管理局（含新疆生产建设兵团）出具的属于监狱企业的证明文件。</w:t>
      </w:r>
    </w:p>
    <w:p>
      <w:pPr>
        <w:spacing w:line="360" w:lineRule="auto"/>
        <w:ind w:firstLine="480" w:firstLineChars="200"/>
        <w:outlineLvl w:val="9"/>
        <w:rPr>
          <w:rFonts w:hint="eastAsia" w:ascii="宋体" w:hAnsi="宋体"/>
          <w:sz w:val="24"/>
          <w:highlight w:val="none"/>
          <w:lang w:val="en-US" w:eastAsia="zh-CN"/>
        </w:rPr>
      </w:pPr>
    </w:p>
    <w:p>
      <w:pPr>
        <w:rPr>
          <w:rFonts w:hint="eastAsia" w:ascii="宋体" w:hAnsi="宋体"/>
          <w:b/>
          <w:bCs/>
          <w:sz w:val="24"/>
          <w:highlight w:val="none"/>
        </w:rPr>
      </w:pPr>
      <w:r>
        <w:rPr>
          <w:rFonts w:hint="eastAsia" w:ascii="宋体" w:hAnsi="宋体"/>
          <w:b/>
          <w:bCs/>
          <w:sz w:val="24"/>
          <w:highlight w:val="none"/>
        </w:rPr>
        <w:br w:type="page"/>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（3）关于残疾人福利性单位判定</w:t>
      </w: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残疾人福利单位声明函</w:t>
      </w:r>
    </w:p>
    <w:p>
      <w:pPr>
        <w:spacing w:line="360" w:lineRule="auto"/>
        <w:ind w:firstLine="567"/>
        <w:rPr>
          <w:rFonts w:hint="eastAsia" w:ascii="宋体" w:hAnsi="宋体" w:cs="宋体"/>
          <w:kern w:val="0"/>
          <w:sz w:val="24"/>
          <w:szCs w:val="20"/>
          <w:highlight w:val="none"/>
        </w:rPr>
      </w:pPr>
      <w:r>
        <w:rPr>
          <w:rFonts w:hint="eastAsia" w:ascii="宋体" w:hAnsi="宋体" w:cs="宋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采购代理机构名称</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u w:val="single"/>
          <w:lang w:val="en-US" w:eastAsia="zh-CN"/>
        </w:rPr>
        <w:t>项目名称</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rPr>
        <w:t>采购活动提供本单位制造的货物</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由本单位承担工程/提供服务）</w:t>
      </w:r>
      <w:r>
        <w:rPr>
          <w:rFonts w:hint="eastAsia" w:ascii="宋体" w:hAnsi="宋体" w:cs="宋体"/>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宋体" w:hAnsi="宋体" w:cs="宋体"/>
          <w:kern w:val="0"/>
          <w:sz w:val="24"/>
          <w:szCs w:val="20"/>
          <w:highlight w:val="none"/>
        </w:rPr>
      </w:pPr>
      <w:r>
        <w:rPr>
          <w:rFonts w:hint="eastAsia" w:ascii="宋体" w:hAnsi="宋体" w:cs="宋体"/>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宋体" w:hAnsi="宋体" w:cs="宋体"/>
          <w:kern w:val="0"/>
          <w:sz w:val="24"/>
          <w:szCs w:val="20"/>
          <w:highlight w:val="none"/>
        </w:rPr>
      </w:pPr>
    </w:p>
    <w:p>
      <w:pPr>
        <w:spacing w:line="360" w:lineRule="auto"/>
        <w:ind w:left="1080" w:leftChars="257" w:hanging="540"/>
        <w:jc w:val="center"/>
        <w:rPr>
          <w:rFonts w:hint="eastAsia" w:ascii="宋体" w:hAnsi="宋体" w:cs="宋体"/>
          <w:kern w:val="0"/>
          <w:sz w:val="24"/>
          <w:szCs w:val="20"/>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6" name="直接连接符 6"/>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2336;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PHBae3p&#10;AQAAtAMAAA4AAAAAAAAAAQAgAAAAIQEAAGRycy9lMm9Eb2MueG1sUEsFBgAAAAAGAAYAWQEAAHwF&#10;AAAAAA==&#10;">
                <v:fill on="f" focussize="0,0"/>
                <v:stroke color="#000000" joinstyle="round"/>
                <v:imagedata o:title=""/>
                <o:lock v:ext="edit" aspectratio="f"/>
              </v:line>
            </w:pict>
          </mc:Fallback>
        </mc:AlternateContent>
      </w:r>
    </w:p>
    <w:p>
      <w:pPr>
        <w:keepNext w:val="0"/>
        <w:keepLines w:val="0"/>
        <w:widowControl/>
        <w:suppressLineNumbers w:val="0"/>
        <w:jc w:val="left"/>
        <w:rPr>
          <w:sz w:val="21"/>
          <w:szCs w:val="21"/>
          <w:highlight w:val="none"/>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 xml:space="preserve">根据《财政部 民政部 中国残疾人联合会关于促进残疾人就业政府采购政策的通知》（财库 </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〔2017〕141 号）的规定：</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一、享受政府采购支持政策的残疾人福利性单位应当同时满足以下条件：</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（一）安置的残疾人占本单位在职职工人数的比例不低于 </w:t>
      </w:r>
      <w:r>
        <w:rPr>
          <w:rFonts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 xml:space="preserve">%（含 </w:t>
      </w:r>
      <w:r>
        <w:rPr>
          <w:rFonts w:hint="eastAsia"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%），并且安置的残疾人人数不少于10人（含10人）；</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（二）依法与安置的每位残疾人签订了一年以上（含一年）的劳动合同或服务协议；</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（三）为安置的每位残疾人按月足额缴纳了基本养老保险、基本医疗保险、失业保险、工伤保险和生育保险等社会保险费；</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二、中标、成交供应商为残疾人福利性单位的，采购人或者其委托的采购代理机构应当随中标、成交结果同时公告其《残疾人福利性单位声明函》，接受社会监督。</w:t>
      </w:r>
    </w:p>
    <w:p>
      <w:pPr>
        <w:rPr>
          <w:rFonts w:hint="eastAsia" w:ascii="宋体" w:hAnsi="宋体"/>
          <w:b/>
          <w:bCs/>
          <w:sz w:val="24"/>
          <w:highlight w:val="none"/>
        </w:rPr>
      </w:pPr>
      <w:r>
        <w:rPr>
          <w:rFonts w:hint="eastAsia" w:ascii="宋体" w:hAnsi="宋体"/>
          <w:b/>
          <w:bCs/>
          <w:sz w:val="24"/>
          <w:highlight w:val="none"/>
        </w:rPr>
        <w:br w:type="page"/>
      </w:r>
    </w:p>
    <w:p>
      <w:pPr>
        <w:spacing w:line="360" w:lineRule="auto"/>
        <w:ind w:firstLine="482" w:firstLineChars="200"/>
        <w:rPr>
          <w:rFonts w:ascii="宋体" w:hAnsi="宋体"/>
          <w:b/>
          <w:bCs/>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5</w:t>
      </w:r>
      <w:r>
        <w:rPr>
          <w:rFonts w:hint="eastAsia" w:ascii="宋体" w:hAnsi="宋体"/>
          <w:b/>
          <w:bCs/>
          <w:sz w:val="24"/>
          <w:highlight w:val="none"/>
          <w:lang w:val="en-GB"/>
        </w:rPr>
        <w:t>名称变更</w:t>
      </w:r>
      <w:r>
        <w:rPr>
          <w:rFonts w:hint="eastAsia" w:ascii="宋体" w:hAnsi="宋体"/>
          <w:b/>
          <w:bCs/>
          <w:sz w:val="24"/>
          <w:highlight w:val="none"/>
        </w:rPr>
        <w:t>证明</w:t>
      </w:r>
    </w:p>
    <w:p>
      <w:pPr>
        <w:spacing w:line="360" w:lineRule="auto"/>
        <w:ind w:firstLine="482" w:firstLineChars="200"/>
        <w:rPr>
          <w:rFonts w:ascii="宋体" w:hAnsi="宋体"/>
          <w:b/>
          <w:bCs/>
          <w:sz w:val="24"/>
          <w:highlight w:val="none"/>
        </w:rPr>
      </w:pPr>
    </w:p>
    <w:p>
      <w:pPr>
        <w:spacing w:line="360" w:lineRule="atLeast"/>
        <w:jc w:val="center"/>
        <w:rPr>
          <w:rFonts w:ascii="黑体" w:hAnsi="仿宋" w:eastAsia="黑体" w:cs="仿宋"/>
          <w:bCs/>
          <w:sz w:val="32"/>
          <w:szCs w:val="32"/>
          <w:highlight w:val="none"/>
          <w:lang w:val="en-GB"/>
        </w:rPr>
      </w:pPr>
      <w:r>
        <w:rPr>
          <w:rFonts w:hint="eastAsia" w:ascii="黑体" w:hAnsi="仿宋" w:eastAsia="黑体" w:cs="仿宋"/>
          <w:bCs/>
          <w:sz w:val="32"/>
          <w:szCs w:val="32"/>
          <w:highlight w:val="none"/>
          <w:lang w:val="en-GB"/>
        </w:rPr>
        <w:t>名称变更</w:t>
      </w:r>
      <w:r>
        <w:rPr>
          <w:rFonts w:hint="eastAsia" w:ascii="黑体" w:hAnsi="仿宋" w:eastAsia="黑体" w:cs="仿宋"/>
          <w:bCs/>
          <w:sz w:val="32"/>
          <w:szCs w:val="32"/>
          <w:highlight w:val="none"/>
        </w:rPr>
        <w:t>证明（如果有）</w:t>
      </w:r>
    </w:p>
    <w:p>
      <w:pPr>
        <w:pStyle w:val="11"/>
        <w:spacing w:line="500" w:lineRule="exact"/>
        <w:ind w:left="-120" w:leftChars="-57" w:firstLine="527" w:firstLineChars="250"/>
        <w:rPr>
          <w:rFonts w:hAnsi="宋体"/>
          <w:b/>
          <w:bCs/>
          <w:highlight w:val="none"/>
          <w:u w:val="single"/>
        </w:rPr>
      </w:pPr>
      <w:r>
        <w:rPr>
          <w:rFonts w:hint="eastAsia" w:hAnsi="宋体"/>
          <w:b/>
          <w:bCs/>
          <w:highlight w:val="none"/>
          <w:u w:val="single"/>
        </w:rPr>
        <w:t>注：供应商如果有名称变更的，应提供由工商管理部门出具的变更证明文件。（复印件加盖供应商公章）</w:t>
      </w: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1"/>
        <w:rPr>
          <w:rFonts w:ascii="黑体" w:hAnsi="仿宋" w:eastAsia="黑体" w:cs="仿宋"/>
          <w:b/>
          <w:sz w:val="32"/>
          <w:szCs w:val="32"/>
          <w:highlight w:val="none"/>
        </w:rPr>
      </w:pPr>
      <w:bookmarkStart w:id="508" w:name="_Toc17366"/>
      <w:bookmarkStart w:id="509" w:name="_Toc7153"/>
      <w:bookmarkStart w:id="510" w:name="_Toc1613"/>
      <w:bookmarkStart w:id="511" w:name="_Toc451"/>
      <w:r>
        <w:rPr>
          <w:rFonts w:hint="eastAsia" w:ascii="黑体" w:hAnsi="仿宋" w:eastAsia="黑体" w:cs="仿宋"/>
          <w:b/>
          <w:sz w:val="32"/>
          <w:szCs w:val="32"/>
          <w:highlight w:val="none"/>
        </w:rPr>
        <w:t>二、自查表</w:t>
      </w:r>
      <w:bookmarkEnd w:id="508"/>
      <w:bookmarkEnd w:id="509"/>
      <w:bookmarkEnd w:id="510"/>
      <w:bookmarkEnd w:id="511"/>
    </w:p>
    <w:p>
      <w:pPr>
        <w:spacing w:line="360" w:lineRule="auto"/>
        <w:ind w:firstLine="482" w:firstLineChars="200"/>
        <w:rPr>
          <w:rFonts w:hint="eastAsia" w:ascii="宋体" w:hAnsi="宋体" w:cs="宋体"/>
          <w:b/>
          <w:bCs/>
          <w:sz w:val="24"/>
          <w:szCs w:val="24"/>
          <w:highlight w:val="none"/>
        </w:rPr>
      </w:pPr>
      <w:r>
        <w:rPr>
          <w:rFonts w:ascii="宋体" w:hAnsi="宋体" w:cs="宋体"/>
          <w:b/>
          <w:bCs/>
          <w:sz w:val="24"/>
          <w:szCs w:val="24"/>
          <w:highlight w:val="none"/>
        </w:rPr>
        <w:t>2.1</w:t>
      </w:r>
      <w:r>
        <w:rPr>
          <w:rFonts w:hint="eastAsia" w:ascii="宋体" w:hAnsi="宋体" w:cs="宋体"/>
          <w:b/>
          <w:bCs/>
          <w:sz w:val="24"/>
          <w:szCs w:val="24"/>
          <w:highlight w:val="none"/>
        </w:rPr>
        <w:t>符合性自查表</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kern w:val="2"/>
          <w:sz w:val="24"/>
          <w:szCs w:val="24"/>
          <w:highlight w:val="none"/>
          <w:lang w:val="en-US" w:eastAsia="zh-CN" w:bidi="ar-SA"/>
        </w:rPr>
        <w:t>2.2</w:t>
      </w:r>
      <w:r>
        <w:rPr>
          <w:rFonts w:hint="eastAsia" w:ascii="宋体" w:hAnsi="宋体" w:cs="宋体"/>
          <w:b/>
          <w:bCs/>
          <w:kern w:val="2"/>
          <w:sz w:val="24"/>
          <w:szCs w:val="24"/>
          <w:highlight w:val="none"/>
          <w:lang w:val="en-GB" w:eastAsia="zh-CN" w:bidi="ar-SA"/>
        </w:rPr>
        <w:t>“★”</w:t>
      </w:r>
      <w:r>
        <w:rPr>
          <w:rFonts w:hint="eastAsia" w:ascii="宋体" w:hAnsi="宋体" w:cs="宋体"/>
          <w:b/>
          <w:bCs/>
          <w:kern w:val="2"/>
          <w:sz w:val="24"/>
          <w:szCs w:val="24"/>
          <w:highlight w:val="none"/>
          <w:lang w:val="en-US" w:eastAsia="zh-CN" w:bidi="ar-SA"/>
        </w:rPr>
        <w:t>条款自查表（如果有）</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技术评审自查表</w:t>
      </w:r>
    </w:p>
    <w:p>
      <w:pPr>
        <w:spacing w:line="360" w:lineRule="auto"/>
        <w:ind w:firstLine="482" w:firstLineChars="200"/>
        <w:rPr>
          <w:rFonts w:ascii="宋体" w:cs="Times New Roman"/>
          <w:b/>
          <w:bCs/>
          <w:sz w:val="24"/>
          <w:szCs w:val="24"/>
          <w:highlight w:val="none"/>
        </w:rPr>
      </w:pPr>
      <w:r>
        <w:rPr>
          <w:rFonts w:hint="eastAsia" w:ascii="宋体" w:hAnsi="宋体" w:cs="宋体"/>
          <w:b/>
          <w:bCs/>
          <w:sz w:val="24"/>
          <w:szCs w:val="24"/>
          <w:highlight w:val="none"/>
        </w:rPr>
        <w:t>2.</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商务评审自查表</w:t>
      </w: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宋体" w:hAnsi="宋体"/>
          <w:b/>
          <w:bCs/>
          <w:sz w:val="24"/>
          <w:highlight w:val="none"/>
        </w:rPr>
      </w:pPr>
      <w:bookmarkStart w:id="512" w:name="_Toc29191"/>
      <w:bookmarkStart w:id="513" w:name="_Toc21086"/>
      <w:r>
        <w:rPr>
          <w:rFonts w:hint="eastAsia" w:ascii="宋体" w:hAnsi="宋体"/>
          <w:b/>
          <w:bCs/>
          <w:sz w:val="24"/>
          <w:highlight w:val="none"/>
        </w:rPr>
        <w:t>2.1符合性自查表</w:t>
      </w:r>
    </w:p>
    <w:p>
      <w:pPr>
        <w:spacing w:line="360" w:lineRule="atLeast"/>
        <w:jc w:val="center"/>
        <w:rPr>
          <w:rFonts w:ascii="黑体" w:hAnsi="仿宋" w:eastAsia="黑体" w:cs="黑体"/>
          <w:sz w:val="32"/>
          <w:szCs w:val="32"/>
          <w:highlight w:val="none"/>
        </w:rPr>
      </w:pPr>
      <w:r>
        <w:rPr>
          <w:rFonts w:hint="eastAsia" w:ascii="黑体" w:hAnsi="仿宋" w:eastAsia="黑体" w:cs="黑体"/>
          <w:sz w:val="32"/>
          <w:szCs w:val="32"/>
          <w:highlight w:val="none"/>
        </w:rPr>
        <w:t>符合性自查表</w:t>
      </w:r>
    </w:p>
    <w:tbl>
      <w:tblPr>
        <w:tblStyle w:val="2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5086"/>
        <w:gridCol w:w="18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60" w:lineRule="auto"/>
              <w:jc w:val="center"/>
              <w:outlineLvl w:val="9"/>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5086" w:type="dxa"/>
            <w:noWrap w:val="0"/>
            <w:vAlign w:val="center"/>
          </w:tcPr>
          <w:p>
            <w:pPr>
              <w:spacing w:line="360" w:lineRule="auto"/>
              <w:jc w:val="center"/>
              <w:outlineLvl w:val="9"/>
              <w:rPr>
                <w:rFonts w:hint="eastAsia" w:ascii="黑体" w:hAnsi="黑体" w:eastAsia="黑体" w:cs="黑体"/>
                <w:sz w:val="24"/>
                <w:szCs w:val="24"/>
                <w:highlight w:val="none"/>
              </w:rPr>
            </w:pPr>
            <w:r>
              <w:rPr>
                <w:rFonts w:hint="eastAsia" w:ascii="黑体" w:hAnsi="黑体" w:eastAsia="黑体" w:cs="黑体"/>
                <w:sz w:val="24"/>
                <w:szCs w:val="24"/>
                <w:highlight w:val="none"/>
                <w:lang w:eastAsia="zh-CN"/>
              </w:rPr>
              <w:t>采购</w:t>
            </w:r>
            <w:r>
              <w:rPr>
                <w:rFonts w:hint="eastAsia" w:ascii="黑体" w:hAnsi="黑体" w:eastAsia="黑体" w:cs="黑体"/>
                <w:sz w:val="24"/>
                <w:szCs w:val="24"/>
                <w:highlight w:val="none"/>
              </w:rPr>
              <w:t>文件要求</w:t>
            </w:r>
          </w:p>
        </w:tc>
        <w:tc>
          <w:tcPr>
            <w:tcW w:w="1895" w:type="dxa"/>
            <w:noWrap w:val="0"/>
            <w:vAlign w:val="center"/>
          </w:tcPr>
          <w:p>
            <w:pPr>
              <w:spacing w:line="360" w:lineRule="auto"/>
              <w:jc w:val="center"/>
              <w:outlineLvl w:val="9"/>
              <w:rPr>
                <w:rFonts w:ascii="黑体" w:hAnsi="黑体" w:eastAsia="黑体" w:cs="Times New Roman"/>
                <w:sz w:val="24"/>
                <w:szCs w:val="24"/>
                <w:highlight w:val="none"/>
              </w:rPr>
            </w:pPr>
            <w:r>
              <w:rPr>
                <w:rFonts w:hint="eastAsia" w:ascii="黑体" w:hAnsi="黑体" w:eastAsia="黑体" w:cs="黑体"/>
                <w:sz w:val="24"/>
                <w:szCs w:val="24"/>
                <w:highlight w:val="none"/>
              </w:rPr>
              <w:t>自查结论</w:t>
            </w:r>
          </w:p>
        </w:tc>
        <w:tc>
          <w:tcPr>
            <w:tcW w:w="1898" w:type="dxa"/>
            <w:noWrap w:val="0"/>
            <w:vAlign w:val="center"/>
          </w:tcPr>
          <w:p>
            <w:pPr>
              <w:spacing w:line="360" w:lineRule="auto"/>
              <w:jc w:val="center"/>
              <w:outlineLvl w:val="9"/>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1</w:t>
            </w:r>
          </w:p>
        </w:tc>
        <w:tc>
          <w:tcPr>
            <w:tcW w:w="5086" w:type="dxa"/>
            <w:noWrap w:val="0"/>
            <w:vAlign w:val="center"/>
          </w:tcPr>
          <w:p>
            <w:pPr>
              <w:rPr>
                <w:rFonts w:hint="eastAsia" w:ascii="宋体" w:hAnsi="宋体" w:eastAsia="宋体" w:cs="宋体"/>
                <w:highlight w:val="none"/>
                <w:lang w:val="en-US" w:eastAsia="zh-CN"/>
              </w:rPr>
            </w:pPr>
            <w:r>
              <w:rPr>
                <w:rFonts w:hint="eastAsia" w:eastAsia="宋体"/>
                <w:highlight w:val="none"/>
                <w:lang w:val="en-US" w:eastAsia="zh-CN"/>
              </w:rPr>
              <w:t>响应文件语言及有效期符合磋商文件要求。</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2</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响应文件封面、响应函、法定代表人授权委托书三处的项目名称、项目编号均无遗漏，且与所投项目名称、项目编号一致。</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3</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响应文件签署、盖章均按磋商文件要求签字、盖章（评分标准中要求提供的证明材料除外）。</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4</w:t>
            </w:r>
          </w:p>
        </w:tc>
        <w:tc>
          <w:tcPr>
            <w:tcW w:w="5086" w:type="dxa"/>
            <w:noWrap w:val="0"/>
            <w:vAlign w:val="center"/>
          </w:tcPr>
          <w:p>
            <w:pPr>
              <w:rPr>
                <w:rFonts w:hint="eastAsia" w:ascii="宋体" w:hAnsi="宋体" w:eastAsia="宋体" w:cs="宋体"/>
                <w:highlight w:val="none"/>
                <w:lang w:eastAsia="zh-CN"/>
              </w:rPr>
            </w:pPr>
            <w:r>
              <w:rPr>
                <w:rFonts w:hint="eastAsia"/>
                <w:highlight w:val="none"/>
                <w:lang w:val="en-US" w:eastAsia="zh-CN"/>
              </w:rPr>
              <w:t>首次</w:t>
            </w:r>
            <w:r>
              <w:rPr>
                <w:rFonts w:hint="eastAsia" w:eastAsia="宋体"/>
                <w:highlight w:val="none"/>
                <w:lang w:val="en-US" w:eastAsia="zh-CN"/>
              </w:rPr>
              <w:t>报价</w:t>
            </w:r>
            <w:r>
              <w:rPr>
                <w:rFonts w:hint="eastAsia"/>
                <w:highlight w:val="none"/>
                <w:lang w:val="en-US" w:eastAsia="zh-CN"/>
              </w:rPr>
              <w:t>一览</w:t>
            </w:r>
            <w:r>
              <w:rPr>
                <w:rFonts w:hint="eastAsia" w:eastAsia="宋体"/>
                <w:highlight w:val="none"/>
                <w:lang w:val="en-US" w:eastAsia="zh-CN"/>
              </w:rPr>
              <w:t>表填写符合要求</w:t>
            </w:r>
            <w:r>
              <w:rPr>
                <w:rFonts w:hint="eastAsia"/>
                <w:highlight w:val="none"/>
                <w:lang w:val="en-US" w:eastAsia="zh-CN"/>
              </w:rPr>
              <w:t>且</w:t>
            </w:r>
            <w:r>
              <w:rPr>
                <w:rFonts w:hint="eastAsia" w:eastAsia="宋体"/>
                <w:highlight w:val="none"/>
                <w:lang w:val="en-US" w:eastAsia="zh-CN"/>
              </w:rPr>
              <w:t>未超出采购预算或磋商文件规定的最高限价。</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5</w:t>
            </w:r>
          </w:p>
        </w:tc>
        <w:tc>
          <w:tcPr>
            <w:tcW w:w="5086" w:type="dxa"/>
            <w:noWrap w:val="0"/>
            <w:vAlign w:val="center"/>
          </w:tcPr>
          <w:p>
            <w:pPr>
              <w:rPr>
                <w:rFonts w:hint="eastAsia" w:ascii="宋体" w:hAnsi="宋体" w:eastAsia="宋体"/>
                <w:highlight w:val="none"/>
                <w:lang w:eastAsia="zh-CN"/>
              </w:rPr>
            </w:pPr>
            <w:r>
              <w:rPr>
                <w:rFonts w:hint="eastAsia"/>
                <w:highlight w:val="none"/>
              </w:rPr>
              <w:t>响应招标文件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6</w:t>
            </w:r>
          </w:p>
        </w:tc>
        <w:tc>
          <w:tcPr>
            <w:tcW w:w="5086" w:type="dxa"/>
            <w:noWrap w:val="0"/>
            <w:vAlign w:val="center"/>
          </w:tcPr>
          <w:p>
            <w:pPr>
              <w:rPr>
                <w:rFonts w:hint="eastAsia" w:ascii="宋体" w:hAnsi="宋体" w:cs="宋体"/>
                <w:highlight w:val="none"/>
              </w:rPr>
            </w:pPr>
            <w:r>
              <w:rPr>
                <w:rFonts w:hint="eastAsia"/>
                <w:highlight w:val="none"/>
                <w:lang w:val="en-US" w:eastAsia="zh-CN"/>
              </w:rPr>
              <w:t>没有不符合磋商文件规定的被视为无效响应的其他条款。</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bl>
    <w:p>
      <w:pPr>
        <w:wordWrap w:val="0"/>
        <w:topLinePunct/>
        <w:spacing w:line="500" w:lineRule="exact"/>
        <w:ind w:firstLine="422" w:firstLineChars="200"/>
        <w:rPr>
          <w:rFonts w:ascii="宋体" w:hAnsi="宋体"/>
          <w:b/>
          <w:bCs/>
          <w:highlight w:val="none"/>
          <w:u w:val="single"/>
          <w:lang w:val="en-GB"/>
        </w:rPr>
      </w:pPr>
      <w:r>
        <w:rPr>
          <w:rFonts w:hint="eastAsia" w:ascii="宋体" w:hAnsi="宋体"/>
          <w:b/>
          <w:bCs/>
          <w:highlight w:val="none"/>
          <w:u w:val="single"/>
          <w:lang w:val="en-GB"/>
        </w:rPr>
        <w:t>注：以上材料将作为</w:t>
      </w:r>
      <w:r>
        <w:rPr>
          <w:rFonts w:hint="eastAsia" w:ascii="宋体" w:hAnsi="宋体"/>
          <w:b/>
          <w:bCs/>
          <w:highlight w:val="none"/>
          <w:u w:val="single"/>
        </w:rPr>
        <w:t>响应</w:t>
      </w:r>
      <w:r>
        <w:rPr>
          <w:rFonts w:hint="eastAsia" w:ascii="宋体" w:hAnsi="宋体"/>
          <w:b/>
          <w:bCs/>
          <w:highlight w:val="none"/>
          <w:u w:val="single"/>
          <w:lang w:val="en-GB"/>
        </w:rPr>
        <w:t>供应商</w:t>
      </w:r>
      <w:r>
        <w:rPr>
          <w:rFonts w:hint="eastAsia" w:ascii="宋体" w:hAnsi="宋体"/>
          <w:b/>
          <w:bCs/>
          <w:highlight w:val="none"/>
          <w:u w:val="single"/>
        </w:rPr>
        <w:t>符合</w:t>
      </w:r>
      <w:r>
        <w:rPr>
          <w:rFonts w:hint="eastAsia" w:ascii="宋体" w:hAnsi="宋体"/>
          <w:b/>
          <w:bCs/>
          <w:highlight w:val="none"/>
          <w:u w:val="single"/>
          <w:lang w:val="en-GB"/>
        </w:rPr>
        <w:t>性审核的重要内容之一，</w:t>
      </w:r>
      <w:r>
        <w:rPr>
          <w:rFonts w:hint="eastAsia" w:ascii="宋体" w:hAnsi="宋体"/>
          <w:b/>
          <w:bCs/>
          <w:highlight w:val="none"/>
          <w:u w:val="single"/>
        </w:rPr>
        <w:t>响应</w:t>
      </w:r>
      <w:r>
        <w:rPr>
          <w:rFonts w:hint="eastAsia" w:ascii="宋体" w:hAnsi="宋体"/>
          <w:b/>
          <w:bCs/>
          <w:highlight w:val="none"/>
          <w:u w:val="single"/>
          <w:lang w:val="en-GB"/>
        </w:rPr>
        <w:t>供应商必须严格按照其内容及序列要求在</w:t>
      </w:r>
      <w:r>
        <w:rPr>
          <w:rFonts w:hint="eastAsia" w:ascii="宋体" w:hAnsi="宋体"/>
          <w:b/>
          <w:bCs/>
          <w:highlight w:val="none"/>
          <w:u w:val="single"/>
        </w:rPr>
        <w:t>响应</w:t>
      </w:r>
      <w:r>
        <w:rPr>
          <w:rFonts w:hint="eastAsia" w:ascii="宋体" w:hAnsi="宋体"/>
          <w:b/>
          <w:bCs/>
          <w:highlight w:val="none"/>
          <w:u w:val="single"/>
          <w:lang w:val="en-GB"/>
        </w:rPr>
        <w:t>文件中对应如实提供，对符合性证明文件的任何缺漏和不符合项将会直接导致无效</w:t>
      </w:r>
      <w:r>
        <w:rPr>
          <w:rFonts w:hint="eastAsia" w:ascii="宋体" w:hAnsi="宋体"/>
          <w:b/>
          <w:bCs/>
          <w:highlight w:val="none"/>
          <w:u w:val="single"/>
        </w:rPr>
        <w:t>响应</w:t>
      </w:r>
      <w:r>
        <w:rPr>
          <w:rFonts w:hint="eastAsia" w:ascii="宋体" w:hAnsi="宋体"/>
          <w:b/>
          <w:bCs/>
          <w:highlight w:val="none"/>
          <w:u w:val="single"/>
          <w:lang w:val="en-GB"/>
        </w:rPr>
        <w:t>！</w:t>
      </w:r>
      <w:r>
        <w:rPr>
          <w:rFonts w:hint="eastAsia" w:ascii="宋体" w:hAnsi="宋体"/>
          <w:b/>
          <w:bCs/>
          <w:highlight w:val="none"/>
          <w:u w:val="single"/>
        </w:rPr>
        <w:t>响应</w:t>
      </w:r>
      <w:r>
        <w:rPr>
          <w:rFonts w:hint="eastAsia" w:ascii="宋体" w:hAnsi="宋体"/>
          <w:b/>
          <w:bCs/>
          <w:highlight w:val="none"/>
          <w:u w:val="single"/>
          <w:lang w:val="en-GB"/>
        </w:rPr>
        <w:t>供应商根据自查结论在对应的□打“√”。</w:t>
      </w: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wordWrap w:val="0"/>
        <w:topLinePunct/>
        <w:spacing w:line="500" w:lineRule="exact"/>
        <w:ind w:firstLine="482" w:firstLineChars="200"/>
        <w:rPr>
          <w:rFonts w:hint="eastAsia" w:ascii="宋体" w:hAnsi="宋体" w:cs="宋体"/>
          <w:b/>
          <w:bCs/>
          <w:kern w:val="2"/>
          <w:sz w:val="24"/>
          <w:szCs w:val="24"/>
          <w:highlight w:val="none"/>
          <w:lang w:val="en-US" w:eastAsia="zh-CN" w:bidi="ar-SA"/>
        </w:rPr>
      </w:pPr>
    </w:p>
    <w:p>
      <w:pPr>
        <w:wordWrap w:val="0"/>
        <w:topLinePunct/>
        <w:spacing w:line="500" w:lineRule="exact"/>
        <w:ind w:firstLine="482" w:firstLineChars="200"/>
        <w:rPr>
          <w:rFonts w:hint="eastAsia" w:ascii="宋体" w:hAnsi="宋体" w:cs="宋体"/>
          <w:b/>
          <w:bCs/>
          <w:kern w:val="2"/>
          <w:sz w:val="24"/>
          <w:szCs w:val="24"/>
          <w:highlight w:val="none"/>
          <w:lang w:val="en-US" w:eastAsia="zh-CN" w:bidi="ar-SA"/>
        </w:rPr>
      </w:pPr>
    </w:p>
    <w:p>
      <w:pPr>
        <w:rPr>
          <w:rFonts w:hint="eastAsia" w:ascii="宋体" w:hAnsi="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br w:type="page"/>
      </w:r>
    </w:p>
    <w:p>
      <w:pPr>
        <w:wordWrap w:val="0"/>
        <w:topLinePunct/>
        <w:spacing w:line="500" w:lineRule="exact"/>
        <w:ind w:firstLine="482" w:firstLineChars="200"/>
        <w:rPr>
          <w:rFonts w:hint="eastAsia" w:ascii="宋体" w:hAnsi="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2.2</w:t>
      </w:r>
      <w:r>
        <w:rPr>
          <w:rFonts w:hint="eastAsia" w:ascii="宋体" w:hAnsi="宋体" w:cs="宋体"/>
          <w:b/>
          <w:bCs/>
          <w:kern w:val="2"/>
          <w:sz w:val="24"/>
          <w:szCs w:val="24"/>
          <w:highlight w:val="none"/>
          <w:lang w:val="en-GB" w:eastAsia="zh-CN" w:bidi="ar-SA"/>
        </w:rPr>
        <w:t>“★”</w:t>
      </w:r>
      <w:r>
        <w:rPr>
          <w:rFonts w:hint="eastAsia" w:ascii="宋体" w:hAnsi="宋体" w:cs="宋体"/>
          <w:b/>
          <w:bCs/>
          <w:kern w:val="2"/>
          <w:sz w:val="24"/>
          <w:szCs w:val="24"/>
          <w:highlight w:val="none"/>
          <w:lang w:val="en-US" w:eastAsia="zh-CN" w:bidi="ar-SA"/>
        </w:rPr>
        <w:t>条款自查表（如果有）</w:t>
      </w:r>
    </w:p>
    <w:p>
      <w:pPr>
        <w:spacing w:line="360" w:lineRule="atLeast"/>
        <w:jc w:val="center"/>
        <w:rPr>
          <w:rFonts w:hint="eastAsia" w:ascii="黑体" w:hAnsi="仿宋" w:eastAsia="黑体" w:cs="黑体"/>
          <w:sz w:val="32"/>
          <w:szCs w:val="32"/>
          <w:highlight w:val="none"/>
          <w:lang w:val="en-US" w:eastAsia="zh-CN"/>
        </w:rPr>
      </w:pPr>
    </w:p>
    <w:p>
      <w:pPr>
        <w:spacing w:line="360" w:lineRule="atLeast"/>
        <w:jc w:val="center"/>
        <w:rPr>
          <w:rFonts w:hint="eastAsia" w:ascii="黑体" w:hAnsi="仿宋" w:eastAsia="黑体" w:cs="黑体"/>
          <w:sz w:val="32"/>
          <w:szCs w:val="32"/>
          <w:highlight w:val="none"/>
          <w:lang w:val="en-US" w:eastAsia="zh-CN"/>
        </w:rPr>
      </w:pPr>
      <w:r>
        <w:rPr>
          <w:rFonts w:hint="eastAsia" w:ascii="黑体" w:hAnsi="仿宋" w:eastAsia="黑体" w:cs="黑体"/>
          <w:sz w:val="32"/>
          <w:szCs w:val="32"/>
          <w:highlight w:val="none"/>
          <w:lang w:val="en-US" w:eastAsia="zh-CN"/>
        </w:rPr>
        <w:t>“★”条款自查表</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733"/>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序号</w:t>
            </w:r>
          </w:p>
        </w:tc>
        <w:tc>
          <w:tcPr>
            <w:tcW w:w="3733"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lang w:val="en-GB"/>
              </w:rPr>
              <w:t>“</w:t>
            </w:r>
            <w:r>
              <w:rPr>
                <w:rFonts w:hint="eastAsia" w:ascii="黑体" w:hAnsi="黑体" w:eastAsia="黑体" w:cs="黑体"/>
                <w:sz w:val="24"/>
                <w:szCs w:val="24"/>
                <w:highlight w:val="none"/>
              </w:rPr>
              <w:t>★</w:t>
            </w:r>
            <w:r>
              <w:rPr>
                <w:rFonts w:hint="eastAsia" w:ascii="黑体" w:hAnsi="黑体" w:eastAsia="黑体" w:cs="黑体"/>
                <w:sz w:val="24"/>
                <w:szCs w:val="24"/>
                <w:highlight w:val="none"/>
                <w:lang w:val="en-GB"/>
              </w:rPr>
              <w:t>”</w:t>
            </w:r>
            <w:r>
              <w:rPr>
                <w:rFonts w:hint="eastAsia" w:ascii="黑体" w:hAnsi="黑体" w:eastAsia="黑体" w:cs="黑体"/>
                <w:sz w:val="24"/>
                <w:szCs w:val="24"/>
                <w:highlight w:val="none"/>
              </w:rPr>
              <w:t>条款要求</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自查结论</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1</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2</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3</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4</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5</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p>
        </w:tc>
        <w:tc>
          <w:tcPr>
            <w:tcW w:w="2491"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hint="eastAsia" w:ascii="宋体" w:hAnsi="宋体"/>
          <w:szCs w:val="21"/>
          <w:highlight w:val="none"/>
          <w:lang w:val="en-GB"/>
        </w:rPr>
      </w:pPr>
      <w:r>
        <w:rPr>
          <w:rFonts w:hint="eastAsia" w:ascii="宋体" w:hAnsi="宋体" w:cs="宋体"/>
          <w:b/>
          <w:bCs/>
          <w:highlight w:val="none"/>
          <w:u w:val="single"/>
          <w:lang w:val="en-GB"/>
        </w:rPr>
        <w:t>注：此表内容必须与</w:t>
      </w:r>
      <w:r>
        <w:rPr>
          <w:rFonts w:hint="eastAsia" w:ascii="宋体" w:hAnsi="宋体" w:cs="宋体"/>
          <w:b/>
          <w:bCs/>
          <w:highlight w:val="none"/>
          <w:u w:val="single"/>
          <w:lang w:val="en-US" w:eastAsia="zh-CN"/>
        </w:rPr>
        <w:t>响应</w:t>
      </w:r>
      <w:r>
        <w:rPr>
          <w:rFonts w:hint="eastAsia" w:ascii="宋体" w:hAnsi="宋体" w:cs="宋体"/>
          <w:b/>
          <w:bCs/>
          <w:highlight w:val="none"/>
          <w:u w:val="single"/>
          <w:lang w:val="en-GB"/>
        </w:rPr>
        <w:t>文件中所介绍的内容一致。</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2.</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技术评审自查表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技术评审自查表</w:t>
      </w:r>
    </w:p>
    <w:tbl>
      <w:tblPr>
        <w:tblStyle w:val="20"/>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182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评审分项</w:t>
            </w:r>
          </w:p>
        </w:tc>
        <w:tc>
          <w:tcPr>
            <w:tcW w:w="3150"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内容</w:t>
            </w:r>
          </w:p>
        </w:tc>
        <w:tc>
          <w:tcPr>
            <w:tcW w:w="2863"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lang w:val="en-US" w:eastAsia="zh-CN"/>
        </w:rPr>
        <w:t>响应</w:t>
      </w:r>
      <w:r>
        <w:rPr>
          <w:rFonts w:hint="eastAsia" w:ascii="宋体" w:hAnsi="宋体" w:cs="宋体"/>
          <w:b/>
          <w:bCs/>
          <w:highlight w:val="none"/>
          <w:u w:val="single"/>
        </w:rPr>
        <w:t>供应商应根据《技术评审表》的各项内容填写此表</w:t>
      </w:r>
      <w:r>
        <w:rPr>
          <w:rFonts w:hint="eastAsia" w:ascii="宋体" w:hAnsi="宋体" w:cs="宋体"/>
          <w:b/>
          <w:bCs/>
          <w:highlight w:val="none"/>
          <w:u w:val="single"/>
          <w:lang w:val="en-GB"/>
        </w:rPr>
        <w:t>。</w:t>
      </w: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pStyle w:val="9"/>
        <w:spacing w:after="0" w:line="360" w:lineRule="auto"/>
        <w:rPr>
          <w:rFonts w:ascii="宋体"/>
          <w:sz w:val="21"/>
          <w:szCs w:val="21"/>
          <w:highlight w:val="none"/>
          <w:lang w:val="en-GB"/>
        </w:rPr>
      </w:pP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商务评审自查表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商务评审自查表</w:t>
      </w:r>
    </w:p>
    <w:tbl>
      <w:tblPr>
        <w:tblStyle w:val="20"/>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182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评审分项</w:t>
            </w:r>
          </w:p>
        </w:tc>
        <w:tc>
          <w:tcPr>
            <w:tcW w:w="3150"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内容</w:t>
            </w:r>
          </w:p>
        </w:tc>
        <w:tc>
          <w:tcPr>
            <w:tcW w:w="2863"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lang w:val="en-US" w:eastAsia="zh-CN"/>
        </w:rPr>
        <w:t>响应</w:t>
      </w:r>
      <w:r>
        <w:rPr>
          <w:rFonts w:hint="eastAsia" w:ascii="宋体" w:hAnsi="宋体" w:cs="宋体"/>
          <w:b/>
          <w:bCs/>
          <w:highlight w:val="none"/>
          <w:u w:val="single"/>
          <w:lang w:val="en-GB"/>
        </w:rPr>
        <w:t>供应商应根据《商务评审表》的各项内容填写此表。</w:t>
      </w: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rPr>
          <w:highlight w:val="none"/>
        </w:rPr>
      </w:pPr>
    </w:p>
    <w:p>
      <w:pPr>
        <w:spacing w:line="360" w:lineRule="auto"/>
        <w:jc w:val="center"/>
        <w:outlineLvl w:val="1"/>
        <w:rPr>
          <w:rFonts w:ascii="黑体" w:hAnsi="仿宋" w:eastAsia="黑体" w:cs="仿宋"/>
          <w:b/>
          <w:sz w:val="32"/>
          <w:szCs w:val="32"/>
          <w:highlight w:val="none"/>
        </w:rPr>
      </w:pPr>
      <w:bookmarkStart w:id="514" w:name="_Toc23471"/>
      <w:bookmarkStart w:id="515" w:name="_Toc21642"/>
      <w:r>
        <w:rPr>
          <w:rFonts w:hint="eastAsia" w:ascii="黑体" w:hAnsi="仿宋" w:eastAsia="黑体" w:cs="仿宋"/>
          <w:b/>
          <w:sz w:val="32"/>
          <w:szCs w:val="32"/>
          <w:highlight w:val="none"/>
        </w:rPr>
        <w:t>三、</w:t>
      </w:r>
      <w:bookmarkEnd w:id="453"/>
      <w:r>
        <w:rPr>
          <w:rFonts w:hint="eastAsia" w:ascii="黑体" w:hAnsi="仿宋" w:eastAsia="黑体" w:cs="仿宋"/>
          <w:b/>
          <w:sz w:val="32"/>
          <w:szCs w:val="32"/>
          <w:highlight w:val="none"/>
        </w:rPr>
        <w:t>响应函（格式）</w:t>
      </w:r>
      <w:bookmarkEnd w:id="512"/>
      <w:bookmarkEnd w:id="513"/>
      <w:bookmarkEnd w:id="514"/>
      <w:bookmarkEnd w:id="515"/>
    </w:p>
    <w:p>
      <w:pPr>
        <w:spacing w:line="360" w:lineRule="auto"/>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spacing w:line="360" w:lineRule="auto"/>
        <w:ind w:firstLine="480" w:firstLineChars="200"/>
        <w:rPr>
          <w:rFonts w:ascii="宋体" w:hAnsi="宋体"/>
          <w:sz w:val="24"/>
          <w:highlight w:val="none"/>
        </w:rPr>
      </w:pPr>
      <w:r>
        <w:rPr>
          <w:rFonts w:hint="eastAsia" w:ascii="宋体" w:hAnsi="宋体"/>
          <w:sz w:val="24"/>
          <w:highlight w:val="none"/>
        </w:rPr>
        <w:t>为响应你方组织的</w:t>
      </w:r>
      <w:r>
        <w:rPr>
          <w:rFonts w:hint="eastAsia" w:ascii="宋体" w:hAnsi="宋体"/>
          <w:sz w:val="24"/>
          <w:highlight w:val="none"/>
          <w:u w:val="single"/>
          <w:lang w:eastAsia="zh-CN"/>
        </w:rPr>
        <w:t>（</w:t>
      </w:r>
      <w:r>
        <w:rPr>
          <w:rFonts w:hint="eastAsia" w:hAnsi="宋体"/>
          <w:sz w:val="24"/>
          <w:szCs w:val="24"/>
          <w:highlight w:val="none"/>
          <w:u w:val="single"/>
        </w:rPr>
        <w:t>采购项目名称</w:t>
      </w:r>
      <w:r>
        <w:rPr>
          <w:rFonts w:hint="eastAsia" w:hAnsi="宋体"/>
          <w:sz w:val="24"/>
          <w:szCs w:val="24"/>
          <w:highlight w:val="none"/>
          <w:u w:val="single"/>
          <w:lang w:eastAsia="zh-CN"/>
        </w:rPr>
        <w:t>）</w:t>
      </w:r>
      <w:r>
        <w:rPr>
          <w:rFonts w:hint="eastAsia" w:ascii="宋体" w:hAnsi="宋体"/>
          <w:sz w:val="24"/>
          <w:highlight w:val="none"/>
        </w:rPr>
        <w:t>的竞争性磋商采购（项目编号为：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），我方愿参与磋商。</w:t>
      </w:r>
    </w:p>
    <w:p>
      <w:pPr>
        <w:spacing w:line="360" w:lineRule="auto"/>
        <w:ind w:firstLine="480" w:firstLineChars="200"/>
        <w:rPr>
          <w:rFonts w:ascii="宋体" w:hAnsi="宋体"/>
          <w:sz w:val="24"/>
          <w:highlight w:val="none"/>
        </w:rPr>
      </w:pPr>
      <w:r>
        <w:rPr>
          <w:rFonts w:hint="eastAsia" w:ascii="宋体" w:hAnsi="宋体"/>
          <w:sz w:val="24"/>
          <w:highlight w:val="none"/>
        </w:rPr>
        <w:t>我方确认收到贵方提供的</w:t>
      </w:r>
      <w:r>
        <w:rPr>
          <w:rFonts w:hint="eastAsia" w:ascii="宋体" w:hAnsi="宋体"/>
          <w:sz w:val="24"/>
          <w:highlight w:val="none"/>
          <w:u w:val="single"/>
        </w:rPr>
        <w:t xml:space="preserve">  </w:t>
      </w:r>
      <w:r>
        <w:rPr>
          <w:rFonts w:hint="eastAsia" w:ascii="宋体" w:hAnsi="宋体"/>
          <w:sz w:val="24"/>
          <w:highlight w:val="none"/>
          <w:u w:val="single"/>
          <w:lang w:eastAsia="zh-CN"/>
        </w:rPr>
        <w:t>（</w:t>
      </w:r>
      <w:r>
        <w:rPr>
          <w:rFonts w:hint="eastAsia" w:hAnsi="宋体"/>
          <w:sz w:val="24"/>
          <w:szCs w:val="24"/>
          <w:highlight w:val="none"/>
          <w:u w:val="single"/>
        </w:rPr>
        <w:t>采购项目名称</w:t>
      </w:r>
      <w:r>
        <w:rPr>
          <w:rFonts w:hint="eastAsia" w:hAnsi="宋体"/>
          <w:sz w:val="24"/>
          <w:szCs w:val="24"/>
          <w:highlight w:val="none"/>
          <w:u w:val="single"/>
          <w:lang w:eastAsia="zh-CN"/>
        </w:rPr>
        <w:t>）</w:t>
      </w:r>
      <w:r>
        <w:rPr>
          <w:rFonts w:hint="eastAsia" w:ascii="宋体" w:hAnsi="宋体"/>
          <w:sz w:val="24"/>
          <w:highlight w:val="none"/>
          <w:u w:val="single"/>
        </w:rPr>
        <w:t xml:space="preserve">  </w:t>
      </w:r>
      <w:r>
        <w:rPr>
          <w:rFonts w:hint="eastAsia" w:ascii="宋体" w:hAnsi="宋体"/>
          <w:sz w:val="24"/>
          <w:highlight w:val="none"/>
        </w:rPr>
        <w:t>磋商文件的全部内容。</w:t>
      </w:r>
    </w:p>
    <w:p>
      <w:pPr>
        <w:spacing w:line="360" w:lineRule="auto"/>
        <w:ind w:firstLine="480" w:firstLineChars="200"/>
        <w:rPr>
          <w:rFonts w:ascii="宋体" w:hAnsi="宋体"/>
          <w:sz w:val="24"/>
          <w:highlight w:val="none"/>
        </w:rPr>
      </w:pPr>
      <w:r>
        <w:rPr>
          <w:rFonts w:hint="eastAsia" w:ascii="宋体" w:hAnsi="宋体"/>
          <w:sz w:val="24"/>
          <w:highlight w:val="none"/>
        </w:rPr>
        <w:t>我方在</w:t>
      </w:r>
      <w:r>
        <w:rPr>
          <w:rFonts w:hint="eastAsia" w:ascii="宋体" w:hAnsi="宋体"/>
          <w:sz w:val="24"/>
          <w:highlight w:val="none"/>
          <w:lang w:eastAsia="zh-CN"/>
        </w:rPr>
        <w:t>参与磋商</w:t>
      </w:r>
      <w:r>
        <w:rPr>
          <w:rFonts w:hint="eastAsia" w:ascii="宋体" w:hAnsi="宋体"/>
          <w:sz w:val="24"/>
          <w:highlight w:val="none"/>
        </w:rPr>
        <w:t>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spacing w:line="360" w:lineRule="auto"/>
        <w:ind w:firstLine="480" w:firstLineChars="200"/>
        <w:rPr>
          <w:rFonts w:ascii="宋体" w:hAnsi="宋体"/>
          <w:sz w:val="24"/>
          <w:highlight w:val="none"/>
        </w:rPr>
      </w:pPr>
      <w:r>
        <w:rPr>
          <w:rFonts w:hint="eastAsia" w:ascii="宋体" w:hAnsi="宋体"/>
          <w:sz w:val="24"/>
          <w:highlight w:val="none"/>
          <w:u w:val="single"/>
        </w:rPr>
        <w:t xml:space="preserve">      (供应商名称)      </w:t>
      </w:r>
      <w:r>
        <w:rPr>
          <w:rFonts w:hint="eastAsia" w:ascii="宋体" w:hAnsi="宋体"/>
          <w:sz w:val="24"/>
          <w:highlight w:val="none"/>
        </w:rPr>
        <w:t>作为供应商正式授权</w:t>
      </w:r>
      <w:r>
        <w:rPr>
          <w:rFonts w:hint="eastAsia" w:ascii="宋体" w:hAnsi="宋体"/>
          <w:sz w:val="24"/>
          <w:highlight w:val="none"/>
          <w:u w:val="single"/>
        </w:rPr>
        <w:t xml:space="preserve">  (授权代表全名, 职务)  </w:t>
      </w:r>
      <w:r>
        <w:rPr>
          <w:rFonts w:hint="eastAsia" w:ascii="宋体" w:hAnsi="宋体"/>
          <w:sz w:val="24"/>
          <w:highlight w:val="none"/>
        </w:rPr>
        <w:t>代表我方全权处理有关本响应的一切事宜。</w:t>
      </w:r>
    </w:p>
    <w:p>
      <w:pPr>
        <w:spacing w:line="360" w:lineRule="auto"/>
        <w:ind w:firstLine="480" w:firstLineChars="200"/>
        <w:rPr>
          <w:rFonts w:ascii="宋体" w:hAnsi="宋体"/>
          <w:sz w:val="24"/>
          <w:highlight w:val="none"/>
        </w:rPr>
      </w:pPr>
      <w:r>
        <w:rPr>
          <w:rFonts w:hint="eastAsia" w:ascii="宋体" w:hAnsi="宋体"/>
          <w:sz w:val="24"/>
          <w:highlight w:val="none"/>
        </w:rPr>
        <w:t>在此提交的响应文件，正本壹份，副本</w:t>
      </w:r>
      <w:r>
        <w:rPr>
          <w:rFonts w:hint="eastAsia" w:ascii="宋体" w:hAnsi="宋体"/>
          <w:sz w:val="24"/>
          <w:highlight w:val="none"/>
          <w:u w:val="single"/>
        </w:rPr>
        <w:t xml:space="preserve">  </w:t>
      </w:r>
      <w:r>
        <w:rPr>
          <w:rFonts w:hint="eastAsia" w:ascii="宋体" w:hAnsi="宋体"/>
          <w:sz w:val="24"/>
          <w:highlight w:val="none"/>
        </w:rPr>
        <w:t>份，电子版本</w:t>
      </w:r>
      <w:r>
        <w:rPr>
          <w:rFonts w:hint="eastAsia" w:ascii="宋体" w:hAnsi="宋体"/>
          <w:sz w:val="24"/>
          <w:highlight w:val="none"/>
          <w:u w:val="single"/>
        </w:rPr>
        <w:t xml:space="preserve">  </w:t>
      </w:r>
      <w:r>
        <w:rPr>
          <w:rFonts w:hint="eastAsia" w:ascii="宋体" w:hAnsi="宋体"/>
          <w:sz w:val="24"/>
          <w:highlight w:val="none"/>
        </w:rPr>
        <w:t>份。</w:t>
      </w:r>
    </w:p>
    <w:p>
      <w:pPr>
        <w:spacing w:line="360" w:lineRule="auto"/>
        <w:ind w:firstLine="480" w:firstLineChars="200"/>
        <w:rPr>
          <w:rFonts w:ascii="宋体" w:hAnsi="宋体"/>
          <w:sz w:val="24"/>
          <w:highlight w:val="none"/>
        </w:rPr>
      </w:pPr>
      <w:r>
        <w:rPr>
          <w:rFonts w:hint="eastAsia" w:ascii="宋体" w:hAnsi="宋体"/>
          <w:sz w:val="24"/>
          <w:highlight w:val="none"/>
        </w:rPr>
        <w:t>我方已完全明白磋商文件的所有条款要求，并申明如下：</w:t>
      </w:r>
    </w:p>
    <w:p>
      <w:pPr>
        <w:spacing w:line="360" w:lineRule="auto"/>
        <w:ind w:firstLine="480" w:firstLineChars="200"/>
        <w:rPr>
          <w:rFonts w:ascii="宋体" w:hAnsi="宋体"/>
          <w:sz w:val="24"/>
          <w:highlight w:val="none"/>
        </w:rPr>
      </w:pPr>
      <w:r>
        <w:rPr>
          <w:rFonts w:hint="eastAsia" w:ascii="宋体" w:hAnsi="宋体"/>
          <w:sz w:val="24"/>
          <w:highlight w:val="none"/>
        </w:rPr>
        <w:t>（一）按磋商文件提供的全部服务的响应总价详见《</w:t>
      </w:r>
      <w:r>
        <w:rPr>
          <w:rFonts w:hint="eastAsia" w:ascii="宋体" w:hAnsi="宋体"/>
          <w:sz w:val="24"/>
          <w:highlight w:val="none"/>
          <w:lang w:val="en-US" w:eastAsia="zh-CN"/>
        </w:rPr>
        <w:t>首次</w:t>
      </w:r>
      <w:r>
        <w:rPr>
          <w:rFonts w:hint="eastAsia" w:ascii="宋体" w:hAnsi="宋体"/>
          <w:sz w:val="24"/>
          <w:highlight w:val="none"/>
        </w:rPr>
        <w:t>报价一览表》。</w:t>
      </w:r>
    </w:p>
    <w:p>
      <w:pPr>
        <w:spacing w:line="360" w:lineRule="auto"/>
        <w:ind w:firstLine="480" w:firstLineChars="200"/>
        <w:rPr>
          <w:rFonts w:ascii="宋体" w:hAnsi="宋体"/>
          <w:sz w:val="24"/>
          <w:highlight w:val="none"/>
        </w:rPr>
      </w:pPr>
      <w:r>
        <w:rPr>
          <w:rFonts w:hint="eastAsia" w:ascii="宋体" w:hAnsi="宋体"/>
          <w:sz w:val="24"/>
          <w:highlight w:val="none"/>
        </w:rPr>
        <w:t>（二）本响应文件的有效期为响应截止时间起90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spacing w:line="360" w:lineRule="auto"/>
        <w:ind w:firstLine="480" w:firstLineChars="200"/>
        <w:rPr>
          <w:rFonts w:ascii="宋体" w:hAnsi="宋体"/>
          <w:sz w:val="24"/>
          <w:highlight w:val="none"/>
        </w:rPr>
      </w:pPr>
      <w:r>
        <w:rPr>
          <w:rFonts w:hint="eastAsia" w:ascii="宋体" w:hAnsi="宋体"/>
          <w:sz w:val="24"/>
          <w:highlight w:val="none"/>
        </w:rPr>
        <w:t>（三）我方明白并同意，在规定的开标日之后，响应有效期之内撤回响应或成交后不按规定与采购人签订合同或不提交履约保证金，则贵方将不予退还磋商保证金。</w:t>
      </w:r>
    </w:p>
    <w:p>
      <w:pPr>
        <w:spacing w:line="360" w:lineRule="auto"/>
        <w:ind w:firstLine="480" w:firstLineChars="200"/>
        <w:rPr>
          <w:rFonts w:ascii="宋体" w:hAnsi="宋体"/>
          <w:sz w:val="24"/>
          <w:highlight w:val="none"/>
        </w:rPr>
      </w:pPr>
      <w:r>
        <w:rPr>
          <w:rFonts w:hint="eastAsia" w:ascii="宋体" w:hAnsi="宋体"/>
          <w:sz w:val="24"/>
          <w:highlight w:val="none"/>
        </w:rPr>
        <w:t>（四）我方同意按照贵方可能提出的要求而提供与响应有关的任何其它数据、信息或资料。</w:t>
      </w:r>
    </w:p>
    <w:p>
      <w:pPr>
        <w:spacing w:line="360" w:lineRule="auto"/>
        <w:ind w:firstLine="480" w:firstLineChars="200"/>
        <w:rPr>
          <w:rFonts w:ascii="宋体" w:hAnsi="宋体"/>
          <w:sz w:val="24"/>
          <w:highlight w:val="none"/>
        </w:rPr>
      </w:pPr>
      <w:r>
        <w:rPr>
          <w:rFonts w:hint="eastAsia" w:ascii="宋体" w:hAnsi="宋体"/>
          <w:sz w:val="24"/>
          <w:highlight w:val="none"/>
        </w:rPr>
        <w:t>（五）我方理解贵方不一定接受最低响应价或任何贵方可能收到的响应报价。</w:t>
      </w:r>
    </w:p>
    <w:p>
      <w:pPr>
        <w:spacing w:line="360" w:lineRule="auto"/>
        <w:ind w:firstLine="480" w:firstLineChars="200"/>
        <w:rPr>
          <w:rFonts w:ascii="宋体" w:hAnsi="宋体"/>
          <w:sz w:val="24"/>
          <w:highlight w:val="none"/>
        </w:rPr>
      </w:pPr>
      <w:r>
        <w:rPr>
          <w:rFonts w:hint="eastAsia" w:ascii="宋体" w:hAnsi="宋体"/>
          <w:sz w:val="24"/>
          <w:highlight w:val="none"/>
        </w:rPr>
        <w:t>（六）我方如果成交，将保证履行磋商文件及其澄清、修改文件（如果有）中的全部责任和义务，按质、按量、按期完成《用户需求书》及《合同书》中的全部任务。</w:t>
      </w:r>
    </w:p>
    <w:p>
      <w:pPr>
        <w:spacing w:line="360" w:lineRule="auto"/>
        <w:ind w:firstLine="480" w:firstLineChars="200"/>
        <w:rPr>
          <w:rFonts w:ascii="宋体" w:hAnsi="宋体"/>
          <w:sz w:val="24"/>
          <w:highlight w:val="none"/>
        </w:rPr>
      </w:pPr>
      <w:r>
        <w:rPr>
          <w:rFonts w:hint="eastAsia" w:ascii="宋体" w:hAnsi="宋体"/>
          <w:sz w:val="24"/>
          <w:highlight w:val="none"/>
        </w:rPr>
        <w:t>（七）如我方被授予合同，我方承诺支付就本次采购应支付或将支付的采购代理服务费。</w:t>
      </w:r>
    </w:p>
    <w:p>
      <w:pPr>
        <w:spacing w:line="360" w:lineRule="auto"/>
        <w:ind w:firstLine="480" w:firstLineChars="200"/>
        <w:rPr>
          <w:rFonts w:ascii="宋体" w:hAnsi="宋体"/>
          <w:sz w:val="24"/>
          <w:highlight w:val="none"/>
        </w:rPr>
      </w:pPr>
      <w:r>
        <w:rPr>
          <w:rFonts w:hint="eastAsia" w:ascii="宋体" w:hAnsi="宋体"/>
          <w:sz w:val="24"/>
          <w:highlight w:val="none"/>
        </w:rPr>
        <w:t>（八）我方作为在法律、财务和运作上独立于采购人、采购代理机构的供应商，在此保证所提交的所有文件和全部说明是真实的和正确的。</w:t>
      </w:r>
    </w:p>
    <w:p>
      <w:pPr>
        <w:spacing w:line="360" w:lineRule="auto"/>
        <w:ind w:firstLine="480" w:firstLineChars="200"/>
        <w:rPr>
          <w:rFonts w:ascii="宋体" w:hAnsi="宋体"/>
          <w:sz w:val="24"/>
          <w:highlight w:val="none"/>
        </w:rPr>
      </w:pPr>
      <w:r>
        <w:rPr>
          <w:rFonts w:hint="eastAsia" w:ascii="宋体" w:hAnsi="宋体"/>
          <w:sz w:val="24"/>
          <w:highlight w:val="none"/>
        </w:rPr>
        <w:t xml:space="preserve">（九）我方响应报价已包含应向知识产权所有权人支付的所有相关税费，并保证采购人在中国使用我方提供的货物时，如有第三方提出侵犯其知识产权主张的，责任由我方承担。 </w:t>
      </w:r>
    </w:p>
    <w:p>
      <w:pPr>
        <w:spacing w:line="360" w:lineRule="auto"/>
        <w:ind w:firstLine="480" w:firstLineChars="200"/>
        <w:outlineLvl w:val="9"/>
        <w:rPr>
          <w:rFonts w:ascii="宋体" w:hAnsi="宋体"/>
          <w:sz w:val="24"/>
          <w:highlight w:val="none"/>
        </w:rPr>
      </w:pPr>
      <w:bookmarkStart w:id="516" w:name="_Toc2656"/>
      <w:bookmarkStart w:id="517" w:name="_Toc20139"/>
      <w:bookmarkStart w:id="518" w:name="_Toc30327"/>
      <w:r>
        <w:rPr>
          <w:rFonts w:hint="eastAsia" w:ascii="宋体" w:hAnsi="宋体"/>
          <w:sz w:val="24"/>
          <w:highlight w:val="none"/>
        </w:rPr>
        <w:t>（十）</w:t>
      </w:r>
      <w:r>
        <w:rPr>
          <w:rFonts w:hint="eastAsia" w:ascii="宋体" w:hAnsi="宋体"/>
          <w:b/>
          <w:bCs/>
          <w:sz w:val="24"/>
          <w:highlight w:val="none"/>
          <w:u w:val="single"/>
        </w:rPr>
        <w:t>我方符合磋商文件中“供应商资格要求”规定的条件</w:t>
      </w:r>
      <w:r>
        <w:rPr>
          <w:rFonts w:hint="eastAsia" w:ascii="宋体" w:hAnsi="宋体"/>
          <w:sz w:val="24"/>
          <w:highlight w:val="none"/>
        </w:rPr>
        <w:t>，承诺如下：</w:t>
      </w:r>
      <w:bookmarkEnd w:id="516"/>
      <w:bookmarkEnd w:id="517"/>
      <w:bookmarkEnd w:id="518"/>
    </w:p>
    <w:p>
      <w:pPr>
        <w:spacing w:line="360" w:lineRule="auto"/>
        <w:ind w:firstLine="480" w:firstLineChars="200"/>
        <w:outlineLvl w:val="9"/>
        <w:rPr>
          <w:rFonts w:hint="eastAsia" w:ascii="宋体" w:hAnsi="宋体"/>
          <w:sz w:val="24"/>
          <w:highlight w:val="none"/>
        </w:rPr>
      </w:pPr>
      <w:bookmarkStart w:id="519" w:name="_Toc2071"/>
      <w:bookmarkStart w:id="520" w:name="_Toc17937"/>
      <w:bookmarkStart w:id="521" w:name="_Toc14364"/>
      <w:r>
        <w:rPr>
          <w:rFonts w:hint="eastAsia" w:ascii="宋体" w:hAnsi="宋体"/>
          <w:sz w:val="24"/>
          <w:highlight w:val="none"/>
        </w:rPr>
        <w:t>（1）我方具有独立承担民事责任的能力，且是中华人民共和国境内注册的法人、其他组织或自然人；</w:t>
      </w:r>
      <w:bookmarkEnd w:id="519"/>
    </w:p>
    <w:p>
      <w:pPr>
        <w:spacing w:line="360" w:lineRule="auto"/>
        <w:ind w:firstLine="480" w:firstLineChars="200"/>
        <w:outlineLvl w:val="9"/>
        <w:rPr>
          <w:rFonts w:ascii="宋体" w:hAnsi="宋体"/>
          <w:sz w:val="24"/>
          <w:highlight w:val="none"/>
        </w:rPr>
      </w:pPr>
      <w:bookmarkStart w:id="522" w:name="_Toc9945"/>
      <w:r>
        <w:rPr>
          <w:rFonts w:hint="eastAsia" w:ascii="宋体" w:hAnsi="宋体"/>
          <w:sz w:val="24"/>
          <w:highlight w:val="none"/>
        </w:rPr>
        <w:t>（2）我方具有良好的商业信誉和健全的财务会计制度；</w:t>
      </w:r>
      <w:bookmarkEnd w:id="520"/>
      <w:bookmarkEnd w:id="521"/>
      <w:bookmarkEnd w:id="522"/>
    </w:p>
    <w:p>
      <w:pPr>
        <w:spacing w:line="360" w:lineRule="auto"/>
        <w:ind w:firstLine="480" w:firstLineChars="200"/>
        <w:outlineLvl w:val="9"/>
        <w:rPr>
          <w:rFonts w:ascii="宋体" w:hAnsi="宋体"/>
          <w:sz w:val="24"/>
          <w:highlight w:val="none"/>
        </w:rPr>
      </w:pPr>
      <w:bookmarkStart w:id="523" w:name="_Toc25294"/>
      <w:bookmarkStart w:id="524" w:name="_Toc24656"/>
      <w:bookmarkStart w:id="525" w:name="_Toc25137"/>
      <w:r>
        <w:rPr>
          <w:rFonts w:hint="eastAsia" w:ascii="宋体" w:hAnsi="宋体"/>
          <w:sz w:val="24"/>
          <w:highlight w:val="none"/>
        </w:rPr>
        <w:t>（3）我方具有履行合同所必须的设备和专业技术能力；</w:t>
      </w:r>
      <w:bookmarkEnd w:id="523"/>
      <w:bookmarkEnd w:id="524"/>
      <w:bookmarkEnd w:id="525"/>
    </w:p>
    <w:p>
      <w:pPr>
        <w:spacing w:line="360" w:lineRule="auto"/>
        <w:ind w:firstLine="480" w:firstLineChars="200"/>
        <w:outlineLvl w:val="9"/>
        <w:rPr>
          <w:rFonts w:ascii="宋体" w:hAnsi="宋体"/>
          <w:sz w:val="24"/>
          <w:highlight w:val="none"/>
        </w:rPr>
      </w:pPr>
      <w:bookmarkStart w:id="526" w:name="_Toc16193"/>
      <w:bookmarkStart w:id="527" w:name="_Toc20410"/>
      <w:bookmarkStart w:id="528" w:name="_Toc20191"/>
      <w:r>
        <w:rPr>
          <w:rFonts w:hint="eastAsia" w:ascii="宋体" w:hAnsi="宋体"/>
          <w:sz w:val="24"/>
          <w:highlight w:val="none"/>
        </w:rPr>
        <w:t>（4）我方具有依法缴纳税收和社会保障资金的良好记录；</w:t>
      </w:r>
      <w:bookmarkEnd w:id="526"/>
      <w:bookmarkEnd w:id="527"/>
      <w:bookmarkEnd w:id="528"/>
    </w:p>
    <w:p>
      <w:pPr>
        <w:spacing w:line="360" w:lineRule="auto"/>
        <w:ind w:firstLine="480" w:firstLineChars="200"/>
        <w:outlineLvl w:val="9"/>
        <w:rPr>
          <w:rFonts w:hint="eastAsia" w:ascii="宋体" w:hAnsi="宋体"/>
          <w:sz w:val="24"/>
          <w:highlight w:val="none"/>
        </w:rPr>
      </w:pPr>
      <w:bookmarkStart w:id="529" w:name="_Toc14579"/>
      <w:bookmarkStart w:id="530" w:name="_Toc21563"/>
      <w:bookmarkStart w:id="531" w:name="_Toc16926"/>
      <w:r>
        <w:rPr>
          <w:rFonts w:hint="eastAsia" w:ascii="宋体" w:hAnsi="宋体"/>
          <w:sz w:val="24"/>
          <w:highlight w:val="none"/>
        </w:rPr>
        <w:t>（5）我方参加本次政府采购活动前三年内，在经营活动中没有重大违法记录；</w:t>
      </w:r>
      <w:bookmarkEnd w:id="529"/>
      <w:bookmarkEnd w:id="530"/>
      <w:bookmarkEnd w:id="531"/>
    </w:p>
    <w:p>
      <w:pPr>
        <w:spacing w:line="360" w:lineRule="auto"/>
        <w:ind w:firstLine="480" w:firstLineChars="200"/>
        <w:outlineLvl w:val="9"/>
        <w:rPr>
          <w:rFonts w:ascii="宋体" w:hAnsi="宋体"/>
          <w:sz w:val="24"/>
          <w:highlight w:val="none"/>
        </w:rPr>
      </w:pPr>
      <w:bookmarkStart w:id="532" w:name="_Toc7846"/>
      <w:bookmarkStart w:id="533" w:name="_Toc30273"/>
      <w:bookmarkStart w:id="534" w:name="_Toc32489"/>
      <w:r>
        <w:rPr>
          <w:rFonts w:hint="eastAsia" w:ascii="宋体" w:hAnsi="宋体"/>
          <w:sz w:val="24"/>
          <w:highlight w:val="none"/>
        </w:rPr>
        <w:t>（6）我方具有法律、行政法规规定的其他条件；</w:t>
      </w:r>
      <w:bookmarkEnd w:id="532"/>
      <w:bookmarkEnd w:id="533"/>
      <w:bookmarkEnd w:id="534"/>
    </w:p>
    <w:p>
      <w:pPr>
        <w:spacing w:line="360" w:lineRule="auto"/>
        <w:ind w:firstLine="480" w:firstLineChars="200"/>
        <w:outlineLvl w:val="9"/>
        <w:rPr>
          <w:rFonts w:ascii="宋体" w:hAnsi="宋体"/>
          <w:sz w:val="24"/>
          <w:highlight w:val="none"/>
        </w:rPr>
      </w:pPr>
      <w:bookmarkStart w:id="535" w:name="_Toc3674"/>
      <w:bookmarkStart w:id="536" w:name="_Toc9446"/>
      <w:bookmarkStart w:id="537" w:name="_Toc19026"/>
      <w:r>
        <w:rPr>
          <w:rFonts w:hint="eastAsia" w:ascii="宋体" w:hAnsi="宋体"/>
          <w:sz w:val="24"/>
          <w:highlight w:val="none"/>
        </w:rPr>
        <w:t>（7）我方具备采购人根据采购项目提出的特殊条件（如果有）。</w:t>
      </w:r>
      <w:bookmarkEnd w:id="535"/>
      <w:bookmarkEnd w:id="536"/>
      <w:bookmarkEnd w:id="537"/>
    </w:p>
    <w:p>
      <w:pPr>
        <w:spacing w:line="360" w:lineRule="auto"/>
        <w:ind w:firstLine="482" w:firstLineChars="200"/>
        <w:outlineLvl w:val="9"/>
        <w:rPr>
          <w:rFonts w:ascii="宋体" w:hAnsi="宋体"/>
          <w:b/>
          <w:bCs/>
          <w:sz w:val="24"/>
          <w:highlight w:val="none"/>
          <w:u w:val="single"/>
        </w:rPr>
      </w:pPr>
      <w:bookmarkStart w:id="538" w:name="_Toc7440"/>
      <w:bookmarkStart w:id="539" w:name="_Toc18816"/>
      <w:bookmarkStart w:id="540" w:name="_Toc28260"/>
      <w:r>
        <w:rPr>
          <w:rFonts w:hint="eastAsia" w:ascii="宋体" w:hAnsi="宋体"/>
          <w:b/>
          <w:bCs/>
          <w:sz w:val="24"/>
          <w:highlight w:val="none"/>
          <w:u w:val="single"/>
        </w:rPr>
        <w:t>以上内容如有虚假或与事实不符的，磋商小组可将我方做无效响应处理，相关法律责任和处罚也由我方承担。</w:t>
      </w:r>
      <w:bookmarkEnd w:id="538"/>
      <w:bookmarkEnd w:id="539"/>
      <w:bookmarkEnd w:id="540"/>
    </w:p>
    <w:p>
      <w:pPr>
        <w:spacing w:line="360" w:lineRule="auto"/>
        <w:ind w:firstLine="480" w:firstLineChars="200"/>
        <w:outlineLvl w:val="9"/>
        <w:rPr>
          <w:rFonts w:ascii="宋体" w:hAnsi="宋体"/>
          <w:sz w:val="24"/>
          <w:highlight w:val="none"/>
        </w:rPr>
      </w:pPr>
      <w:r>
        <w:rPr>
          <w:rFonts w:hint="eastAsia" w:ascii="宋体" w:hAnsi="宋体"/>
          <w:sz w:val="24"/>
          <w:highlight w:val="none"/>
        </w:rPr>
        <w:t>（十一）我方对在本函及响应文件中所作的所有承诺承担法律责任。</w:t>
      </w:r>
    </w:p>
    <w:p>
      <w:pPr>
        <w:spacing w:line="360" w:lineRule="auto"/>
        <w:ind w:firstLine="480" w:firstLineChars="200"/>
        <w:rPr>
          <w:rFonts w:ascii="宋体" w:hAnsi="宋体"/>
          <w:sz w:val="24"/>
          <w:highlight w:val="none"/>
        </w:rPr>
      </w:pPr>
      <w:r>
        <w:rPr>
          <w:rFonts w:hint="eastAsia" w:ascii="宋体" w:hAnsi="宋体"/>
          <w:sz w:val="24"/>
          <w:highlight w:val="none"/>
        </w:rPr>
        <w:t>（十二）所有与本采购有关的函件请发往下列地址：</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r>
        <w:rPr>
          <w:rFonts w:hint="eastAsia" w:ascii="宋体" w:hAnsi="宋体"/>
          <w:sz w:val="24"/>
          <w:highlight w:val="none"/>
        </w:rPr>
        <w:t>.邮政编码：</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传    真：</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代表姓名：</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firstLine="480" w:firstLineChars="200"/>
        <w:rPr>
          <w:rFonts w:ascii="仿宋_GB2312" w:hAnsi="仿宋" w:eastAsia="仿宋_GB2312" w:cs="仿宋"/>
          <w:sz w:val="24"/>
          <w:highlight w:val="none"/>
        </w:rPr>
      </w:pPr>
    </w:p>
    <w:p>
      <w:pPr>
        <w:pStyle w:val="2"/>
        <w:rPr>
          <w:rFonts w:ascii="仿宋_GB2312" w:hAnsi="仿宋" w:eastAsia="仿宋_GB2312" w:cs="仿宋"/>
          <w:sz w:val="24"/>
          <w:highlight w:val="none"/>
        </w:rPr>
      </w:pPr>
    </w:p>
    <w:p>
      <w:pPr>
        <w:pStyle w:val="2"/>
        <w:rPr>
          <w:rFonts w:ascii="仿宋_GB2312" w:hAnsi="仿宋" w:eastAsia="仿宋_GB2312" w:cs="仿宋"/>
          <w:sz w:val="24"/>
          <w:highlight w:val="none"/>
        </w:rPr>
      </w:pPr>
    </w:p>
    <w:p>
      <w:pPr>
        <w:spacing w:line="360" w:lineRule="atLeast"/>
        <w:jc w:val="center"/>
        <w:outlineLvl w:val="1"/>
        <w:rPr>
          <w:rFonts w:ascii="黑体" w:hAnsi="仿宋" w:eastAsia="黑体" w:cs="仿宋"/>
          <w:b/>
          <w:sz w:val="32"/>
          <w:szCs w:val="32"/>
          <w:highlight w:val="none"/>
        </w:rPr>
      </w:pPr>
      <w:bookmarkStart w:id="541" w:name="_Toc4675"/>
      <w:r>
        <w:rPr>
          <w:rFonts w:hint="eastAsia" w:ascii="黑体" w:hAnsi="仿宋" w:eastAsia="黑体" w:cs="仿宋"/>
          <w:b/>
          <w:sz w:val="32"/>
          <w:szCs w:val="32"/>
          <w:highlight w:val="none"/>
        </w:rPr>
        <w:t>四、报价表</w:t>
      </w:r>
      <w:bookmarkEnd w:id="541"/>
    </w:p>
    <w:p>
      <w:pPr>
        <w:spacing w:line="360" w:lineRule="auto"/>
        <w:ind w:firstLine="482" w:firstLineChars="200"/>
        <w:rPr>
          <w:rFonts w:ascii="宋体" w:cs="Times New Roman"/>
          <w:b/>
          <w:bCs/>
          <w:sz w:val="24"/>
          <w:highlight w:val="none"/>
        </w:rPr>
      </w:pPr>
      <w:r>
        <w:rPr>
          <w:rFonts w:ascii="宋体" w:hAnsi="宋体"/>
          <w:b/>
          <w:bCs/>
          <w:sz w:val="24"/>
          <w:highlight w:val="none"/>
        </w:rPr>
        <w:t>4.1</w:t>
      </w:r>
      <w:r>
        <w:rPr>
          <w:rFonts w:hint="eastAsia" w:ascii="宋体" w:hAnsi="宋体"/>
          <w:b/>
          <w:bCs/>
          <w:sz w:val="24"/>
          <w:highlight w:val="none"/>
          <w:lang w:val="en-US" w:eastAsia="zh-CN"/>
        </w:rPr>
        <w:t>首次</w:t>
      </w:r>
      <w:r>
        <w:rPr>
          <w:rFonts w:hint="eastAsia" w:ascii="宋体" w:hAnsi="宋体"/>
          <w:b/>
          <w:bCs/>
          <w:sz w:val="24"/>
          <w:highlight w:val="none"/>
        </w:rPr>
        <w:t>报价一览表（格式）</w:t>
      </w:r>
    </w:p>
    <w:p>
      <w:pPr>
        <w:spacing w:line="360" w:lineRule="auto"/>
        <w:ind w:firstLine="482" w:firstLineChars="200"/>
        <w:rPr>
          <w:rFonts w:ascii="宋体" w:cs="Times New Roman"/>
          <w:b/>
          <w:bCs/>
          <w:sz w:val="24"/>
          <w:highlight w:val="none"/>
        </w:rPr>
      </w:pPr>
      <w:r>
        <w:rPr>
          <w:rFonts w:ascii="宋体" w:hAnsi="宋体"/>
          <w:b/>
          <w:bCs/>
          <w:sz w:val="24"/>
          <w:highlight w:val="none"/>
        </w:rPr>
        <w:t>4.2</w:t>
      </w:r>
      <w:r>
        <w:rPr>
          <w:rFonts w:hint="eastAsia" w:ascii="宋体" w:hAnsi="宋体"/>
          <w:b/>
          <w:bCs/>
          <w:sz w:val="24"/>
          <w:highlight w:val="none"/>
        </w:rPr>
        <w:t>分项报价表（格式）</w:t>
      </w: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cs="Times New Roman"/>
          <w:b/>
          <w:bCs/>
          <w:sz w:val="24"/>
          <w:highlight w:val="none"/>
        </w:rPr>
      </w:pPr>
      <w:r>
        <w:rPr>
          <w:rFonts w:ascii="宋体" w:hAnsi="宋体"/>
          <w:b/>
          <w:bCs/>
          <w:sz w:val="24"/>
          <w:highlight w:val="none"/>
        </w:rPr>
        <w:t>4.1</w:t>
      </w:r>
      <w:r>
        <w:rPr>
          <w:rFonts w:hint="eastAsia" w:ascii="宋体" w:hAnsi="宋体"/>
          <w:b/>
          <w:bCs/>
          <w:sz w:val="24"/>
          <w:highlight w:val="none"/>
          <w:lang w:val="en-US" w:eastAsia="zh-CN"/>
        </w:rPr>
        <w:t>首次</w:t>
      </w:r>
      <w:r>
        <w:rPr>
          <w:rFonts w:hint="eastAsia" w:ascii="宋体" w:hAnsi="宋体"/>
          <w:b/>
          <w:bCs/>
          <w:sz w:val="24"/>
          <w:highlight w:val="none"/>
        </w:rPr>
        <w:t>报价一览表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lang w:val="en-US" w:eastAsia="zh-CN"/>
        </w:rPr>
        <w:t>首次</w:t>
      </w:r>
      <w:r>
        <w:rPr>
          <w:rFonts w:hint="eastAsia" w:ascii="黑体" w:hAnsi="仿宋" w:eastAsia="黑体" w:cs="黑体"/>
          <w:sz w:val="32"/>
          <w:szCs w:val="32"/>
          <w:highlight w:val="none"/>
        </w:rPr>
        <w:t>报价一览表（格式）</w:t>
      </w:r>
    </w:p>
    <w:p>
      <w:pPr>
        <w:spacing w:line="360" w:lineRule="auto"/>
        <w:ind w:firstLine="480" w:firstLineChars="200"/>
        <w:rPr>
          <w:rFonts w:ascii="宋体" w:cs="Times New Roman"/>
          <w:sz w:val="24"/>
          <w:highlight w:val="none"/>
        </w:rPr>
      </w:pPr>
      <w:r>
        <w:rPr>
          <w:rFonts w:hint="eastAsia" w:ascii="宋体" w:hAnsi="宋体"/>
          <w:sz w:val="24"/>
          <w:highlight w:val="none"/>
        </w:rPr>
        <w:t>项目名称：</w:t>
      </w:r>
    </w:p>
    <w:p>
      <w:pPr>
        <w:spacing w:line="360" w:lineRule="auto"/>
        <w:ind w:firstLine="480" w:firstLineChars="200"/>
        <w:rPr>
          <w:rFonts w:ascii="宋体" w:cs="Times New Roman"/>
          <w:sz w:val="24"/>
          <w:highlight w:val="none"/>
        </w:rPr>
      </w:pPr>
      <w:r>
        <w:rPr>
          <w:rFonts w:hint="eastAsia" w:ascii="宋体" w:hAnsi="宋体"/>
          <w:sz w:val="24"/>
          <w:highlight w:val="none"/>
        </w:rPr>
        <w:t>项目编号：</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w:t>
      </w:r>
    </w:p>
    <w:p>
      <w:pPr>
        <w:kinsoku w:val="0"/>
        <w:spacing w:line="500" w:lineRule="exact"/>
        <w:ind w:firstLine="120" w:firstLineChars="50"/>
        <w:jc w:val="center"/>
        <w:rPr>
          <w:rFonts w:ascii="??_GB2312" w:hAnsi="仿宋" w:eastAsia="Times New Roman" w:cs="Times New Roman"/>
          <w:sz w:val="24"/>
          <w:highlight w:val="none"/>
        </w:rPr>
      </w:pPr>
      <w:r>
        <w:rPr>
          <w:rFonts w:ascii="宋体" w:hAnsi="宋体"/>
          <w:sz w:val="24"/>
          <w:highlight w:val="none"/>
        </w:rPr>
        <w:t xml:space="preserve">                                                           </w:t>
      </w:r>
    </w:p>
    <w:tbl>
      <w:tblPr>
        <w:tblStyle w:val="20"/>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restart"/>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lang w:val="en-US" w:eastAsia="zh-CN"/>
              </w:rPr>
              <w:t>首次</w:t>
            </w:r>
            <w:r>
              <w:rPr>
                <w:rFonts w:hint="eastAsia" w:ascii="黑体" w:hAnsi="黑体" w:eastAsia="黑体" w:cs="黑体"/>
                <w:sz w:val="24"/>
                <w:highlight w:val="none"/>
              </w:rPr>
              <w:t>总报价</w:t>
            </w:r>
          </w:p>
        </w:tc>
        <w:tc>
          <w:tcPr>
            <w:tcW w:w="6503" w:type="dxa"/>
            <w:vAlign w:val="center"/>
          </w:tcPr>
          <w:p>
            <w:pPr>
              <w:jc w:val="center"/>
              <w:rPr>
                <w:rFonts w:ascii="宋体" w:cs="Times New Roman"/>
                <w:sz w:val="24"/>
                <w:highlight w:val="none"/>
              </w:rPr>
            </w:pPr>
            <w:r>
              <w:rPr>
                <w:rFonts w:hint="eastAsia" w:ascii="宋体" w:hAnsi="宋体"/>
                <w:spacing w:val="-6"/>
                <w:sz w:val="24"/>
                <w:highlight w:val="none"/>
              </w:rPr>
              <w:t>（</w:t>
            </w:r>
            <w:r>
              <w:rPr>
                <w:rFonts w:ascii="宋体" w:hAnsi="宋体"/>
                <w:spacing w:val="-6"/>
                <w:sz w:val="24"/>
                <w:highlight w:val="none"/>
                <w:u w:val="single"/>
              </w:rPr>
              <w:t xml:space="preserve">                          </w:t>
            </w:r>
            <w:r>
              <w:rPr>
                <w:rFonts w:hint="eastAsia" w:ascii="宋体" w:hAnsi="宋体"/>
                <w:spacing w:val="-6"/>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continue"/>
            <w:vAlign w:val="center"/>
          </w:tcPr>
          <w:p>
            <w:pPr>
              <w:spacing w:line="360" w:lineRule="auto"/>
              <w:jc w:val="center"/>
              <w:rPr>
                <w:rFonts w:ascii="黑体" w:hAnsi="黑体" w:eastAsia="黑体" w:cs="Times New Roman"/>
                <w:sz w:val="24"/>
                <w:highlight w:val="none"/>
              </w:rPr>
            </w:pPr>
          </w:p>
        </w:tc>
        <w:tc>
          <w:tcPr>
            <w:tcW w:w="6503" w:type="dxa"/>
            <w:vAlign w:val="center"/>
          </w:tcPr>
          <w:p>
            <w:pPr>
              <w:jc w:val="center"/>
              <w:rPr>
                <w:rFonts w:ascii="宋体" w:cs="Times New Roman"/>
                <w:sz w:val="24"/>
                <w:highlight w:val="none"/>
              </w:rPr>
            </w:pPr>
            <w:r>
              <w:rPr>
                <w:rFonts w:hint="eastAsia" w:ascii="宋体" w:hAnsi="宋体"/>
                <w:sz w:val="24"/>
                <w:highlight w:val="none"/>
              </w:rPr>
              <w:t>（人民币大写：</w:t>
            </w:r>
            <w:r>
              <w:rPr>
                <w:rFonts w:ascii="宋体" w:hAnsi="宋体"/>
                <w:sz w:val="24"/>
                <w:highlight w:val="none"/>
                <w:u w:val="single"/>
              </w:rPr>
              <w:t xml:space="preserve">             </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pPr>
              <w:spacing w:line="360" w:lineRule="auto"/>
              <w:jc w:val="center"/>
              <w:rPr>
                <w:rFonts w:hint="default" w:ascii="黑体" w:hAnsi="黑体" w:eastAsia="黑体" w:cs="Times New Roman"/>
                <w:sz w:val="24"/>
                <w:highlight w:val="none"/>
                <w:lang w:val="en-US" w:eastAsia="zh-CN"/>
              </w:rPr>
            </w:pPr>
            <w:r>
              <w:rPr>
                <w:rFonts w:hint="eastAsia" w:ascii="黑体" w:hAnsi="黑体" w:eastAsia="黑体" w:cs="Times New Roman"/>
                <w:sz w:val="24"/>
                <w:highlight w:val="none"/>
                <w:lang w:val="en-US" w:eastAsia="zh-CN"/>
              </w:rPr>
              <w:t>服务期</w:t>
            </w:r>
          </w:p>
        </w:tc>
        <w:tc>
          <w:tcPr>
            <w:tcW w:w="6503" w:type="dxa"/>
            <w:vAlign w:val="center"/>
          </w:tcPr>
          <w:p>
            <w:pPr>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pacing w:val="-6"/>
                <w:sz w:val="24"/>
                <w:highlight w:val="none"/>
              </w:rPr>
              <w:t>备注</w:t>
            </w:r>
          </w:p>
        </w:tc>
        <w:tc>
          <w:tcPr>
            <w:tcW w:w="6503" w:type="dxa"/>
            <w:vAlign w:val="center"/>
          </w:tcPr>
          <w:p>
            <w:pPr>
              <w:jc w:val="center"/>
              <w:rPr>
                <w:rFonts w:ascii="??_GB2312" w:hAnsi="仿宋" w:eastAsia="Times New Roman" w:cs="Times New Roman"/>
                <w:spacing w:val="-6"/>
                <w:sz w:val="24"/>
                <w:highlight w:val="none"/>
              </w:rPr>
            </w:pPr>
          </w:p>
        </w:tc>
      </w:tr>
    </w:tbl>
    <w:p>
      <w:pPr>
        <w:pStyle w:val="11"/>
        <w:spacing w:line="500" w:lineRule="exact"/>
        <w:ind w:left="-120" w:leftChars="-57" w:firstLine="527" w:firstLineChars="250"/>
        <w:rPr>
          <w:b/>
          <w:bCs/>
          <w:highlight w:val="none"/>
          <w:u w:val="single"/>
        </w:rPr>
      </w:pPr>
    </w:p>
    <w:p>
      <w:pPr>
        <w:pStyle w:val="11"/>
        <w:spacing w:line="440" w:lineRule="exact"/>
        <w:ind w:left="-120" w:leftChars="-57" w:firstLine="527" w:firstLineChars="250"/>
        <w:rPr>
          <w:b/>
          <w:bCs/>
          <w:highlight w:val="none"/>
          <w:u w:val="single"/>
        </w:rPr>
      </w:pPr>
      <w:r>
        <w:rPr>
          <w:rFonts w:hint="eastAsia" w:hAnsi="宋体"/>
          <w:b/>
          <w:bCs/>
          <w:highlight w:val="none"/>
          <w:u w:val="single"/>
        </w:rPr>
        <w:t>注：</w:t>
      </w:r>
    </w:p>
    <w:p>
      <w:pPr>
        <w:pStyle w:val="11"/>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此表“</w:t>
      </w:r>
      <w:r>
        <w:rPr>
          <w:rFonts w:hint="eastAsia" w:hAnsi="宋体"/>
          <w:b/>
          <w:bCs/>
          <w:highlight w:val="none"/>
          <w:u w:val="single"/>
          <w:lang w:val="en-US" w:eastAsia="zh-CN"/>
        </w:rPr>
        <w:t>首次</w:t>
      </w:r>
      <w:r>
        <w:rPr>
          <w:rFonts w:hint="eastAsia" w:hAnsi="宋体"/>
          <w:b/>
          <w:bCs/>
          <w:highlight w:val="none"/>
          <w:u w:val="single"/>
        </w:rPr>
        <w:t>总报价”是包括完成《用户需求书》要求的全部内容的所有可预见以及不可预见的费用。</w:t>
      </w:r>
    </w:p>
    <w:p>
      <w:pPr>
        <w:pStyle w:val="11"/>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w:t>
      </w:r>
      <w:r>
        <w:rPr>
          <w:rFonts w:hint="eastAsia" w:hAnsi="宋体"/>
          <w:b/>
          <w:bCs/>
          <w:highlight w:val="none"/>
          <w:u w:val="single"/>
          <w:lang w:val="en-US" w:eastAsia="zh-CN"/>
        </w:rPr>
        <w:t>首次</w:t>
      </w:r>
      <w:r>
        <w:rPr>
          <w:rFonts w:hint="eastAsia" w:hAnsi="宋体"/>
          <w:b/>
          <w:bCs/>
          <w:highlight w:val="none"/>
          <w:u w:val="single"/>
        </w:rPr>
        <w:t>报价一览表》除在</w:t>
      </w:r>
      <w:r>
        <w:rPr>
          <w:rFonts w:hint="eastAsia" w:hAnsi="宋体"/>
          <w:b/>
          <w:bCs/>
          <w:highlight w:val="none"/>
          <w:u w:val="single"/>
          <w:lang w:eastAsia="zh-CN"/>
        </w:rPr>
        <w:t>响应文件</w:t>
      </w:r>
      <w:r>
        <w:rPr>
          <w:rFonts w:hint="eastAsia" w:hAnsi="宋体"/>
          <w:b/>
          <w:bCs/>
          <w:highlight w:val="none"/>
          <w:u w:val="single"/>
        </w:rPr>
        <w:t>内装订外，另制作一份单独放在一个信封中。封口处应有供应商全权代表签字及供应商公章。封皮上写明</w:t>
      </w:r>
      <w:r>
        <w:rPr>
          <w:rFonts w:hint="eastAsia" w:hAnsi="宋体"/>
          <w:b/>
          <w:bCs/>
          <w:highlight w:val="none"/>
          <w:u w:val="single"/>
          <w:lang w:val="en-US" w:eastAsia="zh-CN"/>
        </w:rPr>
        <w:t>磋商</w:t>
      </w:r>
      <w:r>
        <w:rPr>
          <w:rFonts w:hint="eastAsia" w:hAnsi="宋体"/>
          <w:b/>
          <w:bCs/>
          <w:highlight w:val="none"/>
          <w:u w:val="single"/>
        </w:rPr>
        <w:t>项目名称、供应商名称，并注明“</w:t>
      </w:r>
      <w:r>
        <w:rPr>
          <w:rFonts w:hint="eastAsia" w:hAnsi="宋体"/>
          <w:b/>
          <w:bCs/>
          <w:highlight w:val="none"/>
          <w:u w:val="single"/>
          <w:lang w:val="en-US" w:eastAsia="zh-CN"/>
        </w:rPr>
        <w:t>首次</w:t>
      </w:r>
      <w:r>
        <w:rPr>
          <w:rFonts w:hint="eastAsia" w:hAnsi="宋体"/>
          <w:b/>
          <w:bCs/>
          <w:highlight w:val="none"/>
          <w:u w:val="single"/>
        </w:rPr>
        <w:t>报价一览表”字样。</w:t>
      </w:r>
    </w:p>
    <w:p>
      <w:pPr>
        <w:pStyle w:val="11"/>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磋商文件规定的《</w:t>
      </w:r>
      <w:r>
        <w:rPr>
          <w:rFonts w:hint="eastAsia" w:hAnsi="宋体"/>
          <w:b/>
          <w:bCs/>
          <w:highlight w:val="none"/>
          <w:u w:val="single"/>
          <w:lang w:val="en-US" w:eastAsia="zh-CN"/>
        </w:rPr>
        <w:t>首次</w:t>
      </w:r>
      <w:r>
        <w:rPr>
          <w:rFonts w:hint="eastAsia" w:hAnsi="宋体"/>
          <w:b/>
          <w:bCs/>
          <w:highlight w:val="none"/>
          <w:u w:val="single"/>
        </w:rPr>
        <w:t>报价一览表》格式以外的内容不予公开唱标，并不作为评</w:t>
      </w:r>
      <w:r>
        <w:rPr>
          <w:rFonts w:hint="eastAsia" w:hAnsi="宋体"/>
          <w:b/>
          <w:bCs/>
          <w:highlight w:val="none"/>
          <w:u w:val="single"/>
          <w:lang w:val="en-US" w:eastAsia="zh-CN"/>
        </w:rPr>
        <w:t>审</w:t>
      </w:r>
      <w:r>
        <w:rPr>
          <w:rFonts w:hint="eastAsia" w:hAnsi="宋体"/>
          <w:b/>
          <w:bCs/>
          <w:highlight w:val="none"/>
          <w:u w:val="single"/>
        </w:rPr>
        <w:t>依据。</w:t>
      </w:r>
    </w:p>
    <w:p>
      <w:pPr>
        <w:pStyle w:val="11"/>
        <w:spacing w:line="440" w:lineRule="exact"/>
        <w:ind w:left="-120" w:leftChars="-57" w:firstLine="527" w:firstLineChars="250"/>
        <w:rPr>
          <w:b/>
          <w:bCs/>
          <w:highlight w:val="none"/>
          <w:u w:val="single"/>
        </w:rPr>
      </w:pPr>
      <w:r>
        <w:rPr>
          <w:rFonts w:hAnsi="宋体"/>
          <w:b/>
          <w:bCs/>
          <w:highlight w:val="none"/>
          <w:u w:val="single"/>
        </w:rPr>
        <w:t>4.</w:t>
      </w:r>
      <w:r>
        <w:rPr>
          <w:rFonts w:hint="eastAsia" w:hAnsi="宋体"/>
          <w:b/>
          <w:bCs/>
          <w:highlight w:val="none"/>
          <w:u w:val="single"/>
        </w:rPr>
        <w:t>表内报价内容以元为单位</w:t>
      </w:r>
      <w:r>
        <w:rPr>
          <w:rFonts w:hint="eastAsia" w:hAnsi="宋体"/>
          <w:b/>
          <w:bCs/>
          <w:highlight w:val="none"/>
          <w:u w:val="single"/>
          <w:lang w:eastAsia="zh-CN"/>
        </w:rPr>
        <w:t>，</w:t>
      </w:r>
      <w:r>
        <w:rPr>
          <w:rFonts w:hint="eastAsia" w:hAnsi="宋体"/>
          <w:b/>
          <w:bCs/>
          <w:highlight w:val="none"/>
          <w:u w:val="single"/>
          <w:lang w:val="en-US" w:eastAsia="zh-CN"/>
        </w:rPr>
        <w:t>保留小数点后两位</w:t>
      </w:r>
      <w:r>
        <w:rPr>
          <w:rFonts w:hint="eastAsia" w:hAnsi="宋体"/>
          <w:b/>
          <w:bCs/>
          <w:highlight w:val="none"/>
          <w:u w:val="single"/>
        </w:rPr>
        <w:t>。</w:t>
      </w: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spacing w:line="360" w:lineRule="auto"/>
        <w:ind w:firstLine="420" w:firstLineChars="200"/>
        <w:rPr>
          <w:rFonts w:ascii="??_GB2312" w:hAnsi="仿宋" w:eastAsia="Times New Roman" w:cs="Times New Roman"/>
          <w:highlight w:val="none"/>
        </w:rPr>
      </w:pP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供应商法定代表人（或法定代表人授权代表）签字：</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供应商名称（盖章）：</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rPr>
      </w:pPr>
      <w:r>
        <w:rPr>
          <w:rFonts w:hint="eastAsia" w:ascii="宋体" w:hAnsi="宋体"/>
          <w:sz w:val="24"/>
          <w:highlight w:val="none"/>
        </w:rPr>
        <w:t>日期：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60" w:lineRule="auto"/>
        <w:ind w:firstLine="482" w:firstLineChars="200"/>
        <w:rPr>
          <w:rFonts w:ascii="宋体" w:hAnsi="宋体"/>
          <w:b/>
          <w:bCs/>
          <w:sz w:val="24"/>
          <w:highlight w:val="none"/>
        </w:rPr>
        <w:sectPr>
          <w:footerReference r:id="rId5" w:type="default"/>
          <w:pgSz w:w="11906" w:h="16838"/>
          <w:pgMar w:top="1440" w:right="1080" w:bottom="1440" w:left="1080" w:header="851" w:footer="992" w:gutter="0"/>
          <w:pgNumType w:fmt="decimal"/>
          <w:cols w:space="425" w:num="1"/>
          <w:docGrid w:type="lines" w:linePitch="312" w:charSpace="0"/>
        </w:sectPr>
      </w:pPr>
    </w:p>
    <w:p>
      <w:pPr>
        <w:spacing w:line="360" w:lineRule="auto"/>
        <w:ind w:firstLine="482" w:firstLineChars="200"/>
        <w:rPr>
          <w:rFonts w:ascii="宋体" w:cs="Times New Roman"/>
          <w:b/>
          <w:bCs/>
          <w:sz w:val="24"/>
          <w:highlight w:val="none"/>
        </w:rPr>
      </w:pPr>
      <w:r>
        <w:rPr>
          <w:rFonts w:ascii="宋体" w:hAnsi="宋体"/>
          <w:b/>
          <w:bCs/>
          <w:sz w:val="24"/>
          <w:highlight w:val="none"/>
        </w:rPr>
        <w:t>4.2</w:t>
      </w:r>
      <w:r>
        <w:rPr>
          <w:rFonts w:hint="eastAsia" w:ascii="宋体" w:hAnsi="宋体"/>
          <w:b/>
          <w:bCs/>
          <w:sz w:val="24"/>
          <w:highlight w:val="none"/>
        </w:rPr>
        <w:t>分项报价表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分项报价表（格式）</w:t>
      </w:r>
    </w:p>
    <w:p>
      <w:pPr>
        <w:spacing w:line="360" w:lineRule="auto"/>
        <w:ind w:firstLine="480" w:firstLineChars="200"/>
        <w:rPr>
          <w:rFonts w:ascii="宋体" w:cs="Times New Roman"/>
          <w:sz w:val="24"/>
          <w:highlight w:val="none"/>
        </w:rPr>
      </w:pPr>
      <w:r>
        <w:rPr>
          <w:rFonts w:hint="eastAsia" w:ascii="宋体" w:hAnsi="宋体"/>
          <w:sz w:val="24"/>
          <w:highlight w:val="none"/>
        </w:rPr>
        <w:t>项目名称：</w:t>
      </w:r>
    </w:p>
    <w:p>
      <w:pPr>
        <w:spacing w:line="360" w:lineRule="auto"/>
        <w:ind w:firstLine="480" w:firstLineChars="200"/>
        <w:rPr>
          <w:rFonts w:ascii="宋体" w:cs="Times New Roman"/>
          <w:sz w:val="24"/>
          <w:highlight w:val="none"/>
        </w:rPr>
      </w:pPr>
      <w:r>
        <w:rPr>
          <w:rFonts w:hint="eastAsia" w:ascii="宋体" w:hAnsi="宋体"/>
          <w:sz w:val="24"/>
          <w:highlight w:val="none"/>
        </w:rPr>
        <w:t>项目编号：</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w:t>
      </w:r>
    </w:p>
    <w:tbl>
      <w:tblPr>
        <w:tblStyle w:val="20"/>
        <w:tblW w:w="10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4"/>
        <w:gridCol w:w="1568"/>
        <w:gridCol w:w="1677"/>
        <w:gridCol w:w="1023"/>
        <w:gridCol w:w="13"/>
        <w:gridCol w:w="914"/>
        <w:gridCol w:w="14"/>
        <w:gridCol w:w="791"/>
        <w:gridCol w:w="16"/>
        <w:gridCol w:w="2352"/>
        <w:gridCol w:w="8"/>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5" w:type="dxa"/>
            <w:gridSpan w:val="13"/>
            <w:shd w:val="clear" w:color="auto" w:fill="F3F3F3"/>
            <w:noWrap w:val="0"/>
            <w:vAlign w:val="center"/>
          </w:tcPr>
          <w:p>
            <w:pPr>
              <w:tabs>
                <w:tab w:val="left" w:pos="9585"/>
                <w:tab w:val="left" w:pos="11205"/>
              </w:tabs>
              <w:jc w:val="left"/>
              <w:rPr>
                <w:rFonts w:ascii="黑体" w:hAnsi="黑体" w:eastAsia="黑体" w:cs="Times New Roman"/>
                <w:sz w:val="24"/>
                <w:szCs w:val="24"/>
                <w:highlight w:val="none"/>
              </w:rPr>
            </w:pPr>
            <w:r>
              <w:rPr>
                <w:rFonts w:hint="eastAsia" w:ascii="黑体" w:hAnsi="黑体" w:eastAsia="黑体" w:cs="黑体"/>
                <w:sz w:val="24"/>
                <w:szCs w:val="24"/>
                <w:highlight w:val="none"/>
                <w:lang w:eastAsia="zh-CN"/>
              </w:rPr>
              <w:t>一</w:t>
            </w:r>
            <w:r>
              <w:rPr>
                <w:rFonts w:hint="eastAsia" w:ascii="黑体" w:hAnsi="黑体" w:eastAsia="黑体" w:cs="黑体"/>
                <w:sz w:val="24"/>
                <w:szCs w:val="24"/>
                <w:highlight w:val="none"/>
              </w:rPr>
              <w:t>、服务类详列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6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服务内容</w:t>
            </w:r>
          </w:p>
        </w:tc>
        <w:tc>
          <w:tcPr>
            <w:tcW w:w="1023"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7"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821"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52"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15"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1</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2"/>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1122" w:type="dxa"/>
            <w:gridSpan w:val="2"/>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2</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2"/>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68" w:type="dxa"/>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23" w:type="dxa"/>
            <w:noWrap w:val="0"/>
            <w:vAlign w:val="center"/>
          </w:tcPr>
          <w:p>
            <w:pPr>
              <w:spacing w:line="360" w:lineRule="auto"/>
              <w:jc w:val="center"/>
              <w:rPr>
                <w:rFonts w:ascii="黑体" w:hAnsi="黑体" w:eastAsia="黑体" w:cs="Times New Roman"/>
                <w:highlight w:val="none"/>
              </w:rPr>
            </w:pPr>
          </w:p>
        </w:tc>
        <w:tc>
          <w:tcPr>
            <w:tcW w:w="927" w:type="dxa"/>
            <w:gridSpan w:val="2"/>
            <w:noWrap w:val="0"/>
            <w:vAlign w:val="center"/>
          </w:tcPr>
          <w:p>
            <w:pPr>
              <w:spacing w:line="360" w:lineRule="auto"/>
              <w:jc w:val="center"/>
              <w:rPr>
                <w:rFonts w:ascii="黑体" w:hAnsi="黑体" w:eastAsia="黑体" w:cs="Times New Roman"/>
                <w:highlight w:val="none"/>
              </w:rPr>
            </w:pPr>
          </w:p>
        </w:tc>
        <w:tc>
          <w:tcPr>
            <w:tcW w:w="821" w:type="dxa"/>
            <w:gridSpan w:val="3"/>
            <w:noWrap w:val="0"/>
            <w:vAlign w:val="center"/>
          </w:tcPr>
          <w:p>
            <w:pPr>
              <w:spacing w:line="360" w:lineRule="auto"/>
              <w:jc w:val="center"/>
              <w:rPr>
                <w:rFonts w:ascii="黑体" w:hAnsi="黑体" w:eastAsia="黑体" w:cs="Times New Roman"/>
                <w:highlight w:val="none"/>
              </w:rPr>
            </w:pPr>
          </w:p>
        </w:tc>
        <w:tc>
          <w:tcPr>
            <w:tcW w:w="2352" w:type="dxa"/>
            <w:noWrap w:val="0"/>
            <w:vAlign w:val="center"/>
          </w:tcPr>
          <w:p>
            <w:pPr>
              <w:spacing w:line="360" w:lineRule="auto"/>
              <w:jc w:val="center"/>
              <w:rPr>
                <w:rFonts w:ascii="黑体" w:hAnsi="黑体" w:eastAsia="黑体" w:cs="Times New Roman"/>
                <w:highlight w:val="none"/>
              </w:rPr>
            </w:pPr>
          </w:p>
        </w:tc>
        <w:tc>
          <w:tcPr>
            <w:tcW w:w="1315" w:type="dxa"/>
            <w:gridSpan w:val="2"/>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367" w:type="dxa"/>
            <w:gridSpan w:val="4"/>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71" w:type="dxa"/>
            <w:gridSpan w:val="6"/>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67"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805" w:type="dxa"/>
            <w:gridSpan w:val="13"/>
            <w:noWrap w:val="0"/>
            <w:vAlign w:val="center"/>
          </w:tcPr>
          <w:p>
            <w:pPr>
              <w:tabs>
                <w:tab w:val="left" w:pos="9585"/>
                <w:tab w:val="left" w:pos="11205"/>
              </w:tabs>
              <w:rPr>
                <w:rFonts w:hAnsi="宋体" w:cs="Times New Roman"/>
                <w:b/>
                <w:bCs/>
                <w:highlight w:val="none"/>
              </w:rPr>
            </w:pPr>
            <w:r>
              <w:rPr>
                <w:rFonts w:hint="eastAsia" w:ascii="黑体" w:hAnsi="黑体" w:eastAsia="黑体" w:cs="黑体"/>
                <w:sz w:val="24"/>
                <w:szCs w:val="24"/>
                <w:highlight w:val="none"/>
                <w:lang w:eastAsia="zh-CN"/>
              </w:rPr>
              <w:t>二</w:t>
            </w:r>
            <w:r>
              <w:rPr>
                <w:rFonts w:hint="eastAsia" w:ascii="黑体" w:hAnsi="黑体" w:eastAsia="黑体" w:cs="黑体"/>
                <w:sz w:val="24"/>
                <w:szCs w:val="24"/>
                <w:highlight w:val="none"/>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8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具体内容</w:t>
            </w:r>
          </w:p>
        </w:tc>
        <w:tc>
          <w:tcPr>
            <w:tcW w:w="1036"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8"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791"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76"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0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3</w:t>
            </w:r>
          </w:p>
        </w:tc>
        <w:tc>
          <w:tcPr>
            <w:tcW w:w="1582" w:type="dxa"/>
            <w:gridSpan w:val="2"/>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36" w:type="dxa"/>
            <w:gridSpan w:val="2"/>
            <w:noWrap w:val="0"/>
            <w:vAlign w:val="center"/>
          </w:tcPr>
          <w:p>
            <w:pPr>
              <w:spacing w:line="360" w:lineRule="auto"/>
              <w:jc w:val="center"/>
              <w:rPr>
                <w:rFonts w:ascii="黑体" w:hAnsi="黑体" w:eastAsia="黑体" w:cs="黑体"/>
                <w:highlight w:val="none"/>
              </w:rPr>
            </w:pPr>
          </w:p>
        </w:tc>
        <w:tc>
          <w:tcPr>
            <w:tcW w:w="928" w:type="dxa"/>
            <w:gridSpan w:val="2"/>
            <w:noWrap w:val="0"/>
            <w:vAlign w:val="center"/>
          </w:tcPr>
          <w:p>
            <w:pPr>
              <w:spacing w:line="360" w:lineRule="auto"/>
              <w:jc w:val="center"/>
              <w:rPr>
                <w:rFonts w:ascii="黑体" w:hAnsi="黑体" w:eastAsia="黑体" w:cs="黑体"/>
                <w:highlight w:val="none"/>
              </w:rPr>
            </w:pPr>
          </w:p>
        </w:tc>
        <w:tc>
          <w:tcPr>
            <w:tcW w:w="791" w:type="dxa"/>
            <w:noWrap w:val="0"/>
            <w:vAlign w:val="center"/>
          </w:tcPr>
          <w:p>
            <w:pPr>
              <w:spacing w:line="360" w:lineRule="auto"/>
              <w:jc w:val="center"/>
              <w:rPr>
                <w:rFonts w:ascii="黑体" w:hAnsi="黑体" w:eastAsia="黑体" w:cs="黑体"/>
                <w:highlight w:val="none"/>
              </w:rPr>
            </w:pPr>
          </w:p>
        </w:tc>
        <w:tc>
          <w:tcPr>
            <w:tcW w:w="2376" w:type="dxa"/>
            <w:gridSpan w:val="3"/>
            <w:noWrap w:val="0"/>
            <w:vAlign w:val="center"/>
          </w:tcPr>
          <w:p>
            <w:pPr>
              <w:spacing w:line="360" w:lineRule="auto"/>
              <w:jc w:val="center"/>
              <w:rPr>
                <w:rFonts w:ascii="黑体" w:hAnsi="黑体" w:eastAsia="黑体" w:cs="黑体"/>
                <w:highlight w:val="none"/>
              </w:rPr>
            </w:pPr>
          </w:p>
        </w:tc>
        <w:tc>
          <w:tcPr>
            <w:tcW w:w="1307" w:type="dxa"/>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4</w:t>
            </w:r>
          </w:p>
        </w:tc>
        <w:tc>
          <w:tcPr>
            <w:tcW w:w="1582" w:type="dxa"/>
            <w:gridSpan w:val="2"/>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36" w:type="dxa"/>
            <w:gridSpan w:val="2"/>
            <w:noWrap w:val="0"/>
            <w:vAlign w:val="center"/>
          </w:tcPr>
          <w:p>
            <w:pPr>
              <w:spacing w:line="360" w:lineRule="auto"/>
              <w:jc w:val="center"/>
              <w:rPr>
                <w:rFonts w:ascii="黑体" w:hAnsi="黑体" w:eastAsia="黑体" w:cs="黑体"/>
                <w:highlight w:val="none"/>
              </w:rPr>
            </w:pPr>
          </w:p>
        </w:tc>
        <w:tc>
          <w:tcPr>
            <w:tcW w:w="928" w:type="dxa"/>
            <w:gridSpan w:val="2"/>
            <w:noWrap w:val="0"/>
            <w:vAlign w:val="center"/>
          </w:tcPr>
          <w:p>
            <w:pPr>
              <w:spacing w:line="360" w:lineRule="auto"/>
              <w:jc w:val="center"/>
              <w:rPr>
                <w:rFonts w:ascii="黑体" w:hAnsi="黑体" w:eastAsia="黑体" w:cs="黑体"/>
                <w:highlight w:val="none"/>
              </w:rPr>
            </w:pPr>
          </w:p>
        </w:tc>
        <w:tc>
          <w:tcPr>
            <w:tcW w:w="791" w:type="dxa"/>
            <w:noWrap w:val="0"/>
            <w:vAlign w:val="center"/>
          </w:tcPr>
          <w:p>
            <w:pPr>
              <w:spacing w:line="360" w:lineRule="auto"/>
              <w:jc w:val="center"/>
              <w:rPr>
                <w:rFonts w:ascii="黑体" w:hAnsi="黑体" w:eastAsia="黑体" w:cs="黑体"/>
                <w:highlight w:val="none"/>
              </w:rPr>
            </w:pPr>
          </w:p>
        </w:tc>
        <w:tc>
          <w:tcPr>
            <w:tcW w:w="2376" w:type="dxa"/>
            <w:gridSpan w:val="3"/>
            <w:noWrap w:val="0"/>
            <w:vAlign w:val="center"/>
          </w:tcPr>
          <w:p>
            <w:pPr>
              <w:spacing w:line="360" w:lineRule="auto"/>
              <w:jc w:val="center"/>
              <w:rPr>
                <w:rFonts w:ascii="黑体" w:hAnsi="黑体" w:eastAsia="黑体" w:cs="黑体"/>
                <w:highlight w:val="none"/>
              </w:rPr>
            </w:pPr>
          </w:p>
        </w:tc>
        <w:tc>
          <w:tcPr>
            <w:tcW w:w="1307" w:type="dxa"/>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82" w:type="dxa"/>
            <w:gridSpan w:val="2"/>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36" w:type="dxa"/>
            <w:gridSpan w:val="2"/>
            <w:noWrap w:val="0"/>
            <w:vAlign w:val="center"/>
          </w:tcPr>
          <w:p>
            <w:pPr>
              <w:spacing w:line="360" w:lineRule="auto"/>
              <w:jc w:val="center"/>
              <w:rPr>
                <w:rFonts w:ascii="黑体" w:hAnsi="黑体" w:eastAsia="黑体" w:cs="Times New Roman"/>
                <w:highlight w:val="none"/>
              </w:rPr>
            </w:pPr>
          </w:p>
        </w:tc>
        <w:tc>
          <w:tcPr>
            <w:tcW w:w="928" w:type="dxa"/>
            <w:gridSpan w:val="2"/>
            <w:noWrap w:val="0"/>
            <w:vAlign w:val="center"/>
          </w:tcPr>
          <w:p>
            <w:pPr>
              <w:spacing w:line="360" w:lineRule="auto"/>
              <w:jc w:val="center"/>
              <w:rPr>
                <w:rFonts w:ascii="黑体" w:hAnsi="黑体" w:eastAsia="黑体" w:cs="Times New Roman"/>
                <w:highlight w:val="none"/>
              </w:rPr>
            </w:pPr>
          </w:p>
        </w:tc>
        <w:tc>
          <w:tcPr>
            <w:tcW w:w="791" w:type="dxa"/>
            <w:noWrap w:val="0"/>
            <w:vAlign w:val="center"/>
          </w:tcPr>
          <w:p>
            <w:pPr>
              <w:spacing w:line="360" w:lineRule="auto"/>
              <w:jc w:val="center"/>
              <w:rPr>
                <w:rFonts w:ascii="黑体" w:hAnsi="黑体" w:eastAsia="黑体" w:cs="Times New Roman"/>
                <w:highlight w:val="none"/>
              </w:rPr>
            </w:pPr>
          </w:p>
        </w:tc>
        <w:tc>
          <w:tcPr>
            <w:tcW w:w="2376" w:type="dxa"/>
            <w:gridSpan w:val="3"/>
            <w:noWrap w:val="0"/>
            <w:vAlign w:val="center"/>
          </w:tcPr>
          <w:p>
            <w:pPr>
              <w:spacing w:line="360" w:lineRule="auto"/>
              <w:jc w:val="center"/>
              <w:rPr>
                <w:rFonts w:ascii="黑体" w:hAnsi="黑体" w:eastAsia="黑体" w:cs="Times New Roman"/>
                <w:highlight w:val="none"/>
              </w:rPr>
            </w:pPr>
          </w:p>
        </w:tc>
        <w:tc>
          <w:tcPr>
            <w:tcW w:w="1307" w:type="dxa"/>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367" w:type="dxa"/>
            <w:gridSpan w:val="4"/>
            <w:shd w:val="clear" w:color="auto" w:fill="auto"/>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55" w:type="dxa"/>
            <w:gridSpan w:val="5"/>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83" w:type="dxa"/>
            <w:gridSpan w:val="4"/>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0805" w:type="dxa"/>
            <w:gridSpan w:val="13"/>
            <w:shd w:val="clear" w:color="auto" w:fill="FFFFCC"/>
            <w:noWrap w:val="0"/>
            <w:vAlign w:val="center"/>
          </w:tcPr>
          <w:p>
            <w:pPr>
              <w:rPr>
                <w:rFonts w:hAnsi="宋体" w:cs="Times New Roman"/>
                <w:b/>
                <w:bCs/>
                <w:highlight w:val="none"/>
              </w:rPr>
            </w:pPr>
            <w:r>
              <w:rPr>
                <w:rFonts w:hint="eastAsia" w:ascii="黑体" w:hAnsi="黑体" w:eastAsia="黑体" w:cs="黑体"/>
                <w:sz w:val="24"/>
                <w:szCs w:val="24"/>
                <w:highlight w:val="none"/>
                <w:lang w:eastAsia="zh-CN"/>
              </w:rPr>
              <w:t>三</w:t>
            </w:r>
            <w:r>
              <w:rPr>
                <w:rFonts w:hint="eastAsia" w:ascii="黑体" w:hAnsi="黑体" w:eastAsia="黑体" w:cs="黑体"/>
                <w:sz w:val="24"/>
                <w:szCs w:val="24"/>
                <w:highlight w:val="none"/>
              </w:rPr>
              <w:t>、报价汇总：人民币</w:t>
            </w:r>
            <w:r>
              <w:rPr>
                <w:rFonts w:ascii="黑体" w:hAnsi="黑体" w:eastAsia="黑体" w:cs="黑体"/>
                <w:sz w:val="24"/>
                <w:szCs w:val="24"/>
                <w:highlight w:val="none"/>
                <w:u w:val="single"/>
              </w:rPr>
              <w:t xml:space="preserve">    </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元。</w:t>
            </w:r>
            <w:r>
              <w:rPr>
                <w:rFonts w:ascii="黑体" w:hAnsi="黑体" w:eastAsia="黑体" w:cs="黑体"/>
                <w:sz w:val="24"/>
                <w:szCs w:val="24"/>
                <w:highlight w:val="none"/>
              </w:rPr>
              <w:t xml:space="preserve"> </w:t>
            </w:r>
            <w:r>
              <w:rPr>
                <w:rFonts w:hint="eastAsia" w:ascii="黑体" w:hAnsi="黑体" w:eastAsia="黑体" w:cs="黑体"/>
                <w:highlight w:val="none"/>
              </w:rPr>
              <w:t>（以上各合计项与</w:t>
            </w:r>
            <w:r>
              <w:rPr>
                <w:rFonts w:hint="eastAsia" w:ascii="黑体" w:hAnsi="黑体" w:eastAsia="黑体" w:cs="黑体"/>
                <w:highlight w:val="none"/>
                <w:lang w:val="en-US" w:eastAsia="zh-CN"/>
              </w:rPr>
              <w:t>首次</w:t>
            </w:r>
            <w:r>
              <w:rPr>
                <w:rFonts w:hint="eastAsia" w:ascii="黑体" w:hAnsi="黑体" w:eastAsia="黑体" w:cs="黑体"/>
                <w:highlight w:val="none"/>
              </w:rPr>
              <w:t>报价一览表中的对应项均一致相符，如不一致以</w:t>
            </w:r>
            <w:r>
              <w:rPr>
                <w:rFonts w:hint="eastAsia" w:ascii="黑体" w:hAnsi="黑体" w:eastAsia="黑体" w:cs="黑体"/>
                <w:highlight w:val="none"/>
                <w:lang w:val="en-US" w:eastAsia="zh-CN"/>
              </w:rPr>
              <w:t>首次</w:t>
            </w:r>
            <w:r>
              <w:rPr>
                <w:rFonts w:hint="eastAsia" w:ascii="黑体" w:hAnsi="黑体" w:eastAsia="黑体" w:cs="黑体"/>
                <w:highlight w:val="none"/>
              </w:rPr>
              <w:t>报价一览表为准）</w:t>
            </w:r>
          </w:p>
        </w:tc>
      </w:tr>
    </w:tbl>
    <w:p>
      <w:pPr>
        <w:pStyle w:val="11"/>
        <w:spacing w:line="440" w:lineRule="exact"/>
        <w:ind w:left="-120" w:leftChars="-57" w:firstLine="527" w:firstLineChars="250"/>
        <w:rPr>
          <w:rFonts w:hint="eastAsia" w:hAnsi="宋体"/>
          <w:b/>
          <w:bCs/>
          <w:highlight w:val="none"/>
          <w:u w:val="single"/>
        </w:rPr>
      </w:pPr>
    </w:p>
    <w:p>
      <w:pPr>
        <w:pStyle w:val="11"/>
        <w:spacing w:line="440" w:lineRule="exact"/>
        <w:ind w:left="-120" w:leftChars="-57" w:firstLine="527" w:firstLineChars="250"/>
        <w:rPr>
          <w:b/>
          <w:bCs/>
          <w:highlight w:val="none"/>
          <w:u w:val="single"/>
        </w:rPr>
      </w:pPr>
      <w:r>
        <w:rPr>
          <w:rFonts w:hint="eastAsia" w:hAnsi="宋体"/>
          <w:b/>
          <w:bCs/>
          <w:highlight w:val="none"/>
          <w:u w:val="single"/>
        </w:rPr>
        <w:t>注：</w:t>
      </w:r>
    </w:p>
    <w:p>
      <w:pPr>
        <w:pStyle w:val="11"/>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分项报价表可参照以上格式提供，也可由供应商自拟格式；</w:t>
      </w:r>
    </w:p>
    <w:p>
      <w:pPr>
        <w:pStyle w:val="11"/>
        <w:spacing w:line="440" w:lineRule="exact"/>
        <w:ind w:left="-120" w:leftChars="-57" w:firstLine="527" w:firstLineChars="250"/>
        <w:rPr>
          <w:b/>
          <w:bCs/>
          <w:highlight w:val="none"/>
          <w:u w:val="single"/>
        </w:rPr>
      </w:pPr>
      <w:r>
        <w:rPr>
          <w:rFonts w:hint="eastAsia" w:hAnsi="宋体"/>
          <w:b/>
          <w:bCs/>
          <w:highlight w:val="none"/>
          <w:u w:val="single"/>
        </w:rPr>
        <w:t>自拟格式应能清楚表达</w:t>
      </w:r>
      <w:r>
        <w:rPr>
          <w:rFonts w:hint="eastAsia" w:hAnsi="宋体"/>
          <w:b/>
          <w:bCs/>
          <w:highlight w:val="none"/>
          <w:u w:val="single"/>
          <w:lang w:eastAsia="zh-CN"/>
        </w:rPr>
        <w:t>《</w:t>
      </w:r>
      <w:r>
        <w:rPr>
          <w:rFonts w:hint="eastAsia" w:hAnsi="宋体"/>
          <w:b/>
          <w:bCs/>
          <w:highlight w:val="none"/>
          <w:u w:val="single"/>
          <w:lang w:val="en-US" w:eastAsia="zh-CN"/>
        </w:rPr>
        <w:t>首次</w:t>
      </w:r>
      <w:r>
        <w:rPr>
          <w:rFonts w:hint="eastAsia" w:hAnsi="宋体"/>
          <w:b/>
          <w:bCs/>
          <w:highlight w:val="none"/>
          <w:u w:val="single"/>
        </w:rPr>
        <w:t>报价一览表</w:t>
      </w:r>
      <w:r>
        <w:rPr>
          <w:rFonts w:hint="eastAsia" w:hAnsi="宋体"/>
          <w:b/>
          <w:bCs/>
          <w:highlight w:val="none"/>
          <w:u w:val="single"/>
          <w:lang w:eastAsia="zh-CN"/>
        </w:rPr>
        <w:t>》</w:t>
      </w:r>
      <w:r>
        <w:rPr>
          <w:rFonts w:hint="eastAsia" w:hAnsi="宋体"/>
          <w:b/>
          <w:bCs/>
          <w:highlight w:val="none"/>
          <w:u w:val="single"/>
        </w:rPr>
        <w:t>总报价组成；</w:t>
      </w:r>
    </w:p>
    <w:p>
      <w:pPr>
        <w:pStyle w:val="11"/>
        <w:spacing w:line="440" w:lineRule="exact"/>
        <w:ind w:left="-120" w:leftChars="-57" w:firstLine="527" w:firstLineChars="250"/>
        <w:rPr>
          <w:b/>
          <w:bCs/>
          <w:highlight w:val="none"/>
          <w:u w:val="single"/>
        </w:rPr>
      </w:pPr>
      <w:r>
        <w:rPr>
          <w:rFonts w:hint="eastAsia" w:hAnsi="宋体"/>
          <w:b/>
          <w:bCs/>
          <w:highlight w:val="none"/>
          <w:u w:val="single"/>
        </w:rPr>
        <w:t>如果不提供详细分项报价将视为没有实质性响应磋商文件。</w:t>
      </w:r>
    </w:p>
    <w:p>
      <w:pPr>
        <w:pStyle w:val="11"/>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对于报价免费的项目必须标明“免费”。</w:t>
      </w:r>
    </w:p>
    <w:p>
      <w:pPr>
        <w:pStyle w:val="11"/>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表内报价内容以元为单位</w:t>
      </w:r>
      <w:r>
        <w:rPr>
          <w:rFonts w:hint="eastAsia" w:hAnsi="宋体"/>
          <w:b/>
          <w:bCs/>
          <w:highlight w:val="none"/>
          <w:u w:val="single"/>
          <w:lang w:eastAsia="zh-CN"/>
        </w:rPr>
        <w:t>，</w:t>
      </w:r>
      <w:r>
        <w:rPr>
          <w:rFonts w:hint="eastAsia" w:hAnsi="宋体"/>
          <w:b/>
          <w:bCs/>
          <w:highlight w:val="none"/>
          <w:u w:val="single"/>
          <w:lang w:val="en-US" w:eastAsia="zh-CN"/>
        </w:rPr>
        <w:t>保留小数点后两位</w:t>
      </w:r>
      <w:r>
        <w:rPr>
          <w:rFonts w:hint="eastAsia" w:hAnsi="宋体"/>
          <w:b/>
          <w:bCs/>
          <w:highlight w:val="none"/>
          <w:u w:val="single"/>
        </w:rPr>
        <w:t>。</w:t>
      </w:r>
    </w:p>
    <w:p>
      <w:pPr>
        <w:pStyle w:val="11"/>
        <w:spacing w:line="500" w:lineRule="exact"/>
        <w:ind w:left="-120" w:leftChars="-57" w:firstLine="527" w:firstLineChars="250"/>
        <w:rPr>
          <w:b/>
          <w:bCs/>
          <w:highlight w:val="none"/>
          <w:u w:val="single"/>
        </w:rPr>
      </w:pPr>
    </w:p>
    <w:p>
      <w:pPr>
        <w:pStyle w:val="11"/>
        <w:spacing w:line="500" w:lineRule="exact"/>
        <w:ind w:left="-120" w:leftChars="-57" w:firstLine="527" w:firstLineChars="250"/>
        <w:rPr>
          <w:b/>
          <w:bCs/>
          <w:highlight w:val="none"/>
          <w:u w:val="single"/>
        </w:rPr>
      </w:pP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供应商法定代表人（或法定代表人授权代表）签字：</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供应商名称（盖章）：</w:t>
      </w:r>
      <w:r>
        <w:rPr>
          <w:rFonts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60" w:lineRule="auto"/>
        <w:ind w:firstLine="482" w:firstLineChars="200"/>
        <w:rPr>
          <w:rFonts w:hint="eastAsia" w:ascii="宋体" w:hAnsi="宋体" w:cs="宋体"/>
          <w:b/>
          <w:bCs/>
          <w:sz w:val="24"/>
          <w:szCs w:val="24"/>
          <w:highlight w:val="none"/>
        </w:rPr>
        <w:sectPr>
          <w:pgSz w:w="16838" w:h="11906" w:orient="landscape"/>
          <w:pgMar w:top="1080" w:right="1440" w:bottom="1080" w:left="1440" w:header="851" w:footer="992" w:gutter="0"/>
          <w:pgNumType w:fmt="decimal"/>
          <w:cols w:space="425" w:num="1"/>
          <w:docGrid w:type="lines" w:linePitch="312" w:charSpace="0"/>
        </w:sectPr>
      </w:pPr>
      <w:bookmarkStart w:id="542" w:name="_Toc27342"/>
      <w:bookmarkStart w:id="543" w:name="_Toc22652"/>
      <w:bookmarkStart w:id="544" w:name="_Toc14998"/>
      <w:bookmarkStart w:id="545" w:name="_Toc484353369"/>
      <w:bookmarkStart w:id="546" w:name="_Toc483349446"/>
    </w:p>
    <w:p>
      <w:pPr>
        <w:spacing w:line="360" w:lineRule="auto"/>
        <w:jc w:val="center"/>
        <w:outlineLvl w:val="1"/>
        <w:rPr>
          <w:rFonts w:ascii="黑体" w:hAnsi="仿宋" w:eastAsia="黑体" w:cs="Times New Roman"/>
          <w:b/>
          <w:bCs/>
          <w:sz w:val="32"/>
          <w:szCs w:val="32"/>
          <w:highlight w:val="none"/>
        </w:rPr>
      </w:pPr>
      <w:bookmarkStart w:id="547" w:name="_Toc28380"/>
      <w:bookmarkStart w:id="548" w:name="_Toc16644"/>
      <w:r>
        <w:rPr>
          <w:rFonts w:hint="eastAsia" w:ascii="黑体" w:hAnsi="仿宋" w:eastAsia="黑体" w:cs="黑体"/>
          <w:b/>
          <w:bCs/>
          <w:sz w:val="32"/>
          <w:szCs w:val="32"/>
          <w:highlight w:val="none"/>
        </w:rPr>
        <w:t>五、</w:t>
      </w:r>
      <w:r>
        <w:rPr>
          <w:rFonts w:hint="eastAsia" w:ascii="黑体" w:hAnsi="仿宋" w:eastAsia="黑体" w:cs="黑体"/>
          <w:b/>
          <w:bCs/>
          <w:sz w:val="32"/>
          <w:szCs w:val="32"/>
          <w:highlight w:val="none"/>
          <w:lang w:val="en-US" w:eastAsia="zh-CN"/>
        </w:rPr>
        <w:t>技术</w:t>
      </w:r>
      <w:r>
        <w:rPr>
          <w:rFonts w:hint="eastAsia" w:ascii="黑体" w:hAnsi="仿宋" w:eastAsia="黑体" w:cs="黑体"/>
          <w:b/>
          <w:bCs/>
          <w:sz w:val="32"/>
          <w:szCs w:val="32"/>
          <w:highlight w:val="none"/>
        </w:rPr>
        <w:t>部分</w:t>
      </w:r>
      <w:bookmarkEnd w:id="542"/>
      <w:bookmarkEnd w:id="543"/>
      <w:bookmarkEnd w:id="544"/>
      <w:bookmarkEnd w:id="545"/>
      <w:bookmarkEnd w:id="546"/>
      <w:bookmarkEnd w:id="547"/>
      <w:bookmarkEnd w:id="548"/>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响应</w:t>
      </w:r>
      <w:r>
        <w:rPr>
          <w:rFonts w:hint="eastAsia" w:ascii="宋体" w:hAnsi="宋体" w:cs="宋体"/>
          <w:sz w:val="24"/>
          <w:szCs w:val="24"/>
          <w:highlight w:val="none"/>
        </w:rPr>
        <w:t>供应商应按照</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根据《用户需求书》《技术评审表》要求内容做出全面响应并编制技术服务方案。其内容应包括但不限于人力、物力等资源的投入以及服务内容、方式、手段、措施、质量保证及建议等。服务方案设计必须科学合理、真实可行，能充分体现出自身技术和专业优势。对含糊不清或欠具体明确之处，</w:t>
      </w:r>
      <w:r>
        <w:rPr>
          <w:rFonts w:hint="eastAsia" w:ascii="宋体" w:hAnsi="宋体" w:cs="宋体"/>
          <w:sz w:val="24"/>
          <w:szCs w:val="24"/>
          <w:highlight w:val="none"/>
          <w:lang w:val="en-US" w:eastAsia="zh-CN"/>
        </w:rPr>
        <w:t>磋商小组</w:t>
      </w:r>
      <w:r>
        <w:rPr>
          <w:rFonts w:hint="eastAsia" w:ascii="宋体" w:hAnsi="宋体" w:cs="宋体"/>
          <w:sz w:val="24"/>
          <w:szCs w:val="24"/>
          <w:highlight w:val="none"/>
        </w:rPr>
        <w:t>可视为</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供应商履约能力不足或响应不全。</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jc w:val="center"/>
        <w:outlineLvl w:val="1"/>
        <w:rPr>
          <w:rFonts w:hint="eastAsia" w:ascii="黑体" w:hAnsi="仿宋" w:eastAsia="黑体" w:cs="黑体"/>
          <w:b/>
          <w:bCs/>
          <w:sz w:val="32"/>
          <w:szCs w:val="32"/>
          <w:highlight w:val="none"/>
        </w:rPr>
      </w:pPr>
      <w:bookmarkStart w:id="549" w:name="_Toc29468"/>
      <w:bookmarkStart w:id="550" w:name="_Toc484353370"/>
      <w:bookmarkStart w:id="551" w:name="_Toc28982"/>
      <w:bookmarkStart w:id="552" w:name="_Toc483349447"/>
      <w:bookmarkStart w:id="553" w:name="_Toc8463"/>
      <w:r>
        <w:rPr>
          <w:rFonts w:hint="eastAsia" w:ascii="黑体" w:hAnsi="仿宋" w:eastAsia="黑体" w:cs="黑体"/>
          <w:b/>
          <w:bCs/>
          <w:sz w:val="32"/>
          <w:szCs w:val="32"/>
          <w:highlight w:val="none"/>
        </w:rPr>
        <w:br w:type="page"/>
      </w:r>
    </w:p>
    <w:p>
      <w:pPr>
        <w:spacing w:line="360" w:lineRule="auto"/>
        <w:jc w:val="center"/>
        <w:outlineLvl w:val="1"/>
        <w:rPr>
          <w:rFonts w:ascii="黑体" w:hAnsi="仿宋" w:eastAsia="黑体" w:cs="Times New Roman"/>
          <w:b/>
          <w:bCs/>
          <w:sz w:val="32"/>
          <w:szCs w:val="32"/>
          <w:highlight w:val="none"/>
        </w:rPr>
      </w:pPr>
      <w:bookmarkStart w:id="554" w:name="_Toc20479"/>
      <w:bookmarkStart w:id="555" w:name="_Toc10245"/>
      <w:r>
        <w:rPr>
          <w:rFonts w:hint="eastAsia" w:ascii="黑体" w:hAnsi="仿宋" w:eastAsia="黑体" w:cs="黑体"/>
          <w:b/>
          <w:bCs/>
          <w:sz w:val="32"/>
          <w:szCs w:val="32"/>
          <w:highlight w:val="none"/>
        </w:rPr>
        <w:t>六、商务部分</w:t>
      </w:r>
      <w:bookmarkEnd w:id="549"/>
      <w:bookmarkEnd w:id="550"/>
      <w:bookmarkEnd w:id="551"/>
      <w:bookmarkEnd w:id="552"/>
      <w:bookmarkEnd w:id="553"/>
      <w:bookmarkEnd w:id="554"/>
      <w:bookmarkEnd w:id="555"/>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6.1供应商履约情况证明材料</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6.1.1企业简介</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6.1.2资质证书/获奖证书/荣誉证书/信用等级证书等（复印件加盖公章）</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6.1.3同类项目业绩</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6.1.4本项目管理、技术、服务人员情况表</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6.1.5其它重要事项说明及承诺</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6.2商务条款响应表</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6.3其他</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6.1供应商履约情况证明材料</w:t>
      </w:r>
    </w:p>
    <w:p>
      <w:pPr>
        <w:spacing w:line="360" w:lineRule="auto"/>
        <w:ind w:firstLine="480" w:firstLineChars="200"/>
        <w:jc w:val="left"/>
        <w:rPr>
          <w:rFonts w:hint="eastAsia" w:ascii="宋体" w:hAnsi="宋体" w:cs="宋体"/>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6.1.1企业简介</w:t>
      </w:r>
    </w:p>
    <w:p>
      <w:pPr>
        <w:spacing w:line="360" w:lineRule="auto"/>
        <w:ind w:firstLine="480" w:firstLineChars="200"/>
        <w:jc w:val="left"/>
        <w:rPr>
          <w:rFonts w:hint="eastAsia" w:ascii="宋体" w:hAnsi="宋体" w:cs="宋体"/>
          <w:sz w:val="24"/>
          <w:szCs w:val="24"/>
          <w:highlight w:val="none"/>
        </w:rPr>
      </w:pPr>
    </w:p>
    <w:p>
      <w:pPr>
        <w:spacing w:line="360" w:lineRule="auto"/>
        <w:ind w:firstLine="480" w:firstLineChars="200"/>
        <w:jc w:val="left"/>
        <w:rPr>
          <w:rFonts w:hint="eastAsia" w:ascii="宋体" w:hAnsi="宋体" w:cs="宋体"/>
          <w:b/>
          <w:bCs/>
          <w:sz w:val="24"/>
          <w:szCs w:val="24"/>
          <w:highlight w:val="none"/>
        </w:rPr>
      </w:pPr>
      <w:r>
        <w:rPr>
          <w:rFonts w:hint="eastAsia" w:ascii="宋体" w:hAnsi="宋体" w:cs="宋体"/>
          <w:sz w:val="24"/>
          <w:szCs w:val="24"/>
          <w:highlight w:val="none"/>
        </w:rPr>
        <w:t>6.1.2资质证书/获奖证书/荣誉证书/信用等级证书等（复印件加盖公章）</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6.1.3同类项目业绩</w:t>
      </w: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jc w:val="center"/>
        <w:rPr>
          <w:rFonts w:hint="eastAsia" w:ascii="仿宋_GB2312" w:hAnsi="仿宋" w:eastAsia="仿宋_GB2312" w:cs="仿宋"/>
          <w:b/>
          <w:bCs/>
          <w:sz w:val="24"/>
          <w:szCs w:val="24"/>
          <w:highlight w:val="none"/>
        </w:rPr>
      </w:pPr>
      <w:r>
        <w:rPr>
          <w:rFonts w:hint="eastAsia" w:ascii="黑体" w:hAnsi="仿宋" w:eastAsia="黑体" w:cs="仿宋"/>
          <w:bCs/>
          <w:sz w:val="32"/>
          <w:szCs w:val="32"/>
          <w:highlight w:val="none"/>
        </w:rPr>
        <w:t>同类项目业绩</w:t>
      </w:r>
    </w:p>
    <w:tbl>
      <w:tblPr>
        <w:tblStyle w:val="20"/>
        <w:tblW w:w="75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814"/>
        <w:gridCol w:w="1145"/>
        <w:gridCol w:w="1320"/>
        <w:gridCol w:w="1161"/>
        <w:gridCol w:w="1260"/>
        <w:gridCol w:w="8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top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合同签订时间</w:t>
            </w:r>
          </w:p>
        </w:tc>
        <w:tc>
          <w:tcPr>
            <w:tcW w:w="114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用户名称</w:t>
            </w:r>
          </w:p>
        </w:tc>
        <w:tc>
          <w:tcPr>
            <w:tcW w:w="132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项目名称</w:t>
            </w:r>
          </w:p>
        </w:tc>
        <w:tc>
          <w:tcPr>
            <w:tcW w:w="1161"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完成时间</w:t>
            </w:r>
          </w:p>
        </w:tc>
        <w:tc>
          <w:tcPr>
            <w:tcW w:w="126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合同金额</w:t>
            </w:r>
          </w:p>
        </w:tc>
        <w:tc>
          <w:tcPr>
            <w:tcW w:w="886" w:type="dxa"/>
            <w:tcBorders>
              <w:lef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bl>
    <w:p>
      <w:pPr>
        <w:widowControl/>
        <w:spacing w:line="360" w:lineRule="atLeast"/>
        <w:ind w:firstLine="470" w:firstLineChars="196"/>
        <w:jc w:val="left"/>
        <w:outlineLvl w:val="9"/>
        <w:rPr>
          <w:rFonts w:hint="eastAsia" w:ascii="宋体"/>
          <w:sz w:val="24"/>
          <w:highlight w:val="none"/>
        </w:rPr>
      </w:pP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仿宋_GB2312" w:hAnsi="仿宋" w:eastAsia="仿宋_GB2312" w:cs="仿宋"/>
          <w:b/>
          <w:bCs/>
          <w:highlight w:val="none"/>
          <w:u w:val="single"/>
        </w:rPr>
      </w:pPr>
      <w:r>
        <w:rPr>
          <w:rFonts w:hint="eastAsia" w:ascii="宋体" w:hAnsi="宋体" w:cs="宋体"/>
          <w:b/>
          <w:bCs/>
          <w:highlight w:val="none"/>
          <w:u w:val="single"/>
        </w:rPr>
        <w:t>1.</w:t>
      </w:r>
      <w:r>
        <w:rPr>
          <w:rFonts w:hint="eastAsia" w:ascii="宋体" w:hAnsi="宋体" w:cs="宋体"/>
          <w:b/>
          <w:bCs/>
          <w:highlight w:val="none"/>
          <w:u w:val="single"/>
          <w:lang w:val="en-US" w:eastAsia="zh-CN"/>
        </w:rPr>
        <w:t>响应</w:t>
      </w:r>
      <w:r>
        <w:rPr>
          <w:rFonts w:hint="eastAsia" w:ascii="宋体" w:hAnsi="宋体" w:cs="宋体"/>
          <w:b/>
          <w:bCs/>
          <w:highlight w:val="none"/>
          <w:u w:val="single"/>
        </w:rPr>
        <w:t>供应商（仅限于</w:t>
      </w:r>
      <w:r>
        <w:rPr>
          <w:rFonts w:hint="eastAsia" w:ascii="宋体" w:hAnsi="宋体" w:cs="宋体"/>
          <w:b/>
          <w:bCs/>
          <w:highlight w:val="none"/>
          <w:u w:val="single"/>
          <w:lang w:val="en-US" w:eastAsia="zh-CN"/>
        </w:rPr>
        <w:t>响应</w:t>
      </w:r>
      <w:r>
        <w:rPr>
          <w:rFonts w:hint="eastAsia" w:ascii="宋体" w:hAnsi="宋体" w:cs="宋体"/>
          <w:b/>
          <w:bCs/>
          <w:highlight w:val="none"/>
          <w:u w:val="single"/>
        </w:rPr>
        <w:t>供应商自己实施的）以上业绩需提供有关书面证明材料。“合同金额”需提供合同复印件； 2.对于证明材料的特殊要求参照评审表。</w:t>
      </w:r>
    </w:p>
    <w:p>
      <w:pPr>
        <w:spacing w:line="360" w:lineRule="atLeast"/>
        <w:jc w:val="center"/>
        <w:rPr>
          <w:rFonts w:hint="eastAsia" w:ascii="仿宋_GB2312" w:hAnsi="仿宋" w:eastAsia="仿宋_GB2312" w:cs="仿宋"/>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6.1.4本项目管理、技术、服务人员情况表</w:t>
      </w:r>
    </w:p>
    <w:p>
      <w:pPr>
        <w:spacing w:line="360" w:lineRule="auto"/>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本项目管理、技术、服务人员情况表</w:t>
      </w:r>
    </w:p>
    <w:tbl>
      <w:tblPr>
        <w:tblStyle w:val="20"/>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231"/>
        <w:gridCol w:w="1192"/>
        <w:gridCol w:w="2196"/>
        <w:gridCol w:w="749"/>
        <w:gridCol w:w="81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职责分工</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姓名</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现职务</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曾主持/参与的</w:t>
            </w:r>
            <w:r>
              <w:rPr>
                <w:rFonts w:hint="eastAsia" w:ascii="黑体" w:hAnsi="黑体" w:eastAsia="黑体" w:cs="黑体"/>
                <w:sz w:val="24"/>
                <w:highlight w:val="none"/>
              </w:rPr>
              <w:br w:type="textWrapping"/>
            </w:r>
            <w:r>
              <w:rPr>
                <w:rFonts w:hint="eastAsia" w:ascii="黑体" w:hAnsi="黑体" w:eastAsia="黑体" w:cs="黑体"/>
                <w:sz w:val="24"/>
                <w:highlight w:val="none"/>
              </w:rPr>
              <w:t>同类项目经历</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职称</w:t>
            </w:r>
          </w:p>
        </w:tc>
        <w:tc>
          <w:tcPr>
            <w:tcW w:w="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专业</w:t>
            </w:r>
          </w:p>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工龄</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总负责人</w:t>
            </w:r>
          </w:p>
        </w:tc>
        <w:tc>
          <w:tcPr>
            <w:tcW w:w="1231"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nil"/>
              <w:right w:val="single" w:color="auto" w:sz="4" w:space="0"/>
            </w:tcBorders>
            <w:noWrap w:val="0"/>
            <w:vAlign w:val="center"/>
          </w:tcPr>
          <w:p>
            <w:pPr>
              <w:pStyle w:val="24"/>
              <w:keepNext w:val="0"/>
              <w:adjustRightInd/>
              <w:spacing w:before="0" w:after="0" w:line="240" w:lineRule="auto"/>
              <w:rPr>
                <w:rFonts w:hint="eastAsia" w:ascii="宋体" w:hAnsi="宋体"/>
                <w:spacing w:val="0"/>
                <w:kern w:val="2"/>
                <w:sz w:val="21"/>
                <w:szCs w:val="21"/>
                <w:highlight w:val="none"/>
              </w:rPr>
            </w:pPr>
          </w:p>
        </w:tc>
        <w:tc>
          <w:tcPr>
            <w:tcW w:w="749"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highlight w:val="none"/>
              </w:rPr>
            </w:pPr>
          </w:p>
        </w:tc>
        <w:tc>
          <w:tcPr>
            <w:tcW w:w="1236"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主要技术人员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主要售后服务人员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bl>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1.对于主要管理、技术、服务人员可另页单独介绍。</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2.对于证明材料的特殊要求参照评审表。</w:t>
      </w: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6.1.5其它重要事项说明及承诺</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lang w:val="en-GB"/>
        </w:rPr>
        <w:t>（如有，请扼要叙述）</w:t>
      </w: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宋体" w:hAnsi="宋体" w:cs="宋体"/>
          <w:b/>
          <w:bCs/>
          <w:sz w:val="24"/>
          <w:szCs w:val="24"/>
          <w:highlight w:val="none"/>
        </w:rPr>
      </w:pPr>
      <w:r>
        <w:rPr>
          <w:rFonts w:hint="eastAsia" w:ascii="仿宋_GB2312" w:hAnsi="仿宋" w:eastAsia="仿宋_GB2312" w:cs="仿宋"/>
          <w:b/>
          <w:bCs/>
          <w:sz w:val="24"/>
          <w:szCs w:val="24"/>
          <w:highlight w:val="none"/>
        </w:rPr>
        <w:br w:type="page"/>
      </w:r>
      <w:r>
        <w:rPr>
          <w:rFonts w:hint="eastAsia" w:ascii="宋体" w:hAnsi="宋体" w:cs="宋体"/>
          <w:b/>
          <w:bCs/>
          <w:sz w:val="24"/>
          <w:szCs w:val="24"/>
          <w:highlight w:val="none"/>
        </w:rPr>
        <w:t>6.2商务条款响应表</w:t>
      </w:r>
    </w:p>
    <w:p>
      <w:pPr>
        <w:spacing w:line="360" w:lineRule="auto"/>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商务条款响应表</w:t>
      </w:r>
    </w:p>
    <w:tbl>
      <w:tblPr>
        <w:tblStyle w:val="20"/>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945"/>
        <w:gridCol w:w="142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594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一般商务条款要求</w:t>
            </w:r>
          </w:p>
        </w:tc>
        <w:tc>
          <w:tcPr>
            <w:tcW w:w="1428"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是否响应</w:t>
            </w:r>
          </w:p>
        </w:tc>
        <w:tc>
          <w:tcPr>
            <w:tcW w:w="125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完全理解并接受合同条款的要求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2</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完全理解并接受对合格供应商、合格服务的要求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3</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完全理解并接受对供应商须知、规约要求和责任义务</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4</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lang w:val="en-US" w:eastAsia="zh-CN"/>
              </w:rPr>
              <w:t>响应</w:t>
            </w:r>
            <w:r>
              <w:rPr>
                <w:rFonts w:hint="eastAsia" w:ascii="宋体" w:hAnsi="宋体" w:cs="宋体"/>
                <w:highlight w:val="none"/>
              </w:rPr>
              <w:t>有效期：自</w:t>
            </w:r>
            <w:r>
              <w:rPr>
                <w:rFonts w:hint="eastAsia" w:ascii="宋体" w:hAnsi="宋体" w:cs="宋体"/>
                <w:highlight w:val="none"/>
                <w:lang w:val="en-US" w:eastAsia="zh-CN"/>
              </w:rPr>
              <w:t>响应</w:t>
            </w:r>
            <w:r>
              <w:rPr>
                <w:rFonts w:hint="eastAsia" w:ascii="宋体" w:hAnsi="宋体" w:cs="宋体"/>
                <w:highlight w:val="none"/>
              </w:rPr>
              <w:t>截止起不少于90日</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5</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报价内容涵盖报价要求之一切费用和伴随服务</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6</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w:t>
            </w:r>
            <w:r>
              <w:rPr>
                <w:rFonts w:hint="eastAsia" w:ascii="宋体" w:hAnsi="宋体" w:cs="宋体"/>
                <w:highlight w:val="none"/>
                <w:lang w:val="en-US" w:eastAsia="zh-CN"/>
              </w:rPr>
              <w:t>磋商</w:t>
            </w:r>
            <w:r>
              <w:rPr>
                <w:rFonts w:hint="eastAsia" w:ascii="宋体" w:hAnsi="宋体" w:cs="宋体"/>
                <w:highlight w:val="none"/>
              </w:rPr>
              <w:t>文件要求的付款方式</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7</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w:t>
            </w:r>
            <w:r>
              <w:rPr>
                <w:rFonts w:hint="eastAsia" w:ascii="宋体" w:hAnsi="宋体" w:cs="宋体"/>
                <w:highlight w:val="none"/>
                <w:lang w:val="en-US" w:eastAsia="zh-CN"/>
              </w:rPr>
              <w:t>磋商</w:t>
            </w:r>
            <w:r>
              <w:rPr>
                <w:rFonts w:hint="eastAsia" w:ascii="宋体" w:hAnsi="宋体" w:cs="宋体"/>
                <w:highlight w:val="none"/>
              </w:rPr>
              <w:t>文件要求的服务期</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8</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w:t>
            </w:r>
            <w:r>
              <w:rPr>
                <w:rFonts w:hint="eastAsia" w:ascii="宋体" w:hAnsi="宋体" w:cs="宋体"/>
                <w:highlight w:val="none"/>
                <w:lang w:val="en-US" w:eastAsia="zh-CN"/>
              </w:rPr>
              <w:t>磋商</w:t>
            </w:r>
            <w:r>
              <w:rPr>
                <w:rFonts w:hint="eastAsia" w:ascii="宋体" w:hAnsi="宋体" w:cs="宋体"/>
                <w:highlight w:val="none"/>
              </w:rPr>
              <w:t>文件要求的售后服务的各项要求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9</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同意接受合同范本所列的各项条款</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10</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同意按照本项目要求缴付各项款项</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11</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同意采购方以各种方式对我方提供的</w:t>
            </w:r>
            <w:r>
              <w:rPr>
                <w:rFonts w:hint="eastAsia" w:ascii="宋体" w:hAnsi="宋体" w:cs="宋体"/>
                <w:highlight w:val="none"/>
                <w:lang w:val="en-US" w:eastAsia="zh-CN"/>
              </w:rPr>
              <w:t>响应</w:t>
            </w:r>
            <w:r>
              <w:rPr>
                <w:rFonts w:hint="eastAsia" w:ascii="宋体" w:hAnsi="宋体" w:cs="宋体"/>
                <w:highlight w:val="none"/>
              </w:rPr>
              <w:t>文件内容的真实性、有效性进行审查、验证</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12</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其他商务条款偏离说明：</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bl>
    <w:p>
      <w:pPr>
        <w:spacing w:line="360" w:lineRule="auto"/>
        <w:ind w:firstLine="422" w:firstLineChars="200"/>
        <w:jc w:val="left"/>
        <w:rPr>
          <w:rFonts w:hint="eastAsia" w:ascii="宋体" w:hAnsi="宋体" w:cs="宋体"/>
          <w:b/>
          <w:bCs/>
          <w:highlight w:val="none"/>
          <w:u w:val="single"/>
        </w:rPr>
      </w:pPr>
      <w:r>
        <w:rPr>
          <w:rFonts w:hint="eastAsia" w:ascii="宋体" w:hAnsi="宋体" w:cs="宋体"/>
          <w:b/>
          <w:bCs/>
          <w:highlight w:val="none"/>
          <w:u w:val="single"/>
        </w:rPr>
        <w:t>注：对于上述要求，如</w:t>
      </w:r>
      <w:r>
        <w:rPr>
          <w:rFonts w:hint="eastAsia" w:ascii="宋体" w:hAnsi="宋体" w:cs="宋体"/>
          <w:b/>
          <w:bCs/>
          <w:highlight w:val="none"/>
          <w:u w:val="single"/>
          <w:lang w:val="en-US" w:eastAsia="zh-CN"/>
        </w:rPr>
        <w:t>响应</w:t>
      </w:r>
      <w:r>
        <w:rPr>
          <w:rFonts w:hint="eastAsia" w:ascii="宋体" w:hAnsi="宋体" w:cs="宋体"/>
          <w:b/>
          <w:bCs/>
          <w:highlight w:val="none"/>
          <w:u w:val="single"/>
        </w:rPr>
        <w:t>供应商完全响应，则在“是否响应”栏打“√”，空白或打“Х”视偏离，请在“偏离说明”栏</w:t>
      </w:r>
      <w:r>
        <w:rPr>
          <w:rFonts w:hint="eastAsia" w:ascii="宋体" w:hAnsi="宋体" w:cs="宋体"/>
          <w:b/>
          <w:bCs/>
          <w:highlight w:val="none"/>
          <w:u w:val="single"/>
          <w:lang w:val="en-GB"/>
        </w:rPr>
        <w:t>扼要叙述。</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6.3其他</w:t>
      </w:r>
    </w:p>
    <w:p>
      <w:pPr>
        <w:spacing w:line="360" w:lineRule="auto"/>
        <w:ind w:firstLine="482" w:firstLineChars="200"/>
        <w:jc w:val="left"/>
        <w:rPr>
          <w:rFonts w:ascii="宋体" w:cs="Times New Roman"/>
          <w:b/>
          <w:bCs/>
          <w:sz w:val="24"/>
          <w:highlight w:val="none"/>
        </w:rPr>
      </w:pPr>
    </w:p>
    <w:p>
      <w:pPr>
        <w:spacing w:line="360" w:lineRule="auto"/>
        <w:ind w:firstLine="482" w:firstLineChars="200"/>
        <w:jc w:val="left"/>
        <w:rPr>
          <w:rFonts w:ascii="宋体" w:cs="Times New Roman"/>
          <w:b/>
          <w:bCs/>
          <w:sz w:val="24"/>
          <w:highlight w:val="none"/>
        </w:rPr>
      </w:pPr>
    </w:p>
    <w:p>
      <w:pPr>
        <w:spacing w:line="360" w:lineRule="auto"/>
        <w:ind w:firstLine="482" w:firstLineChars="200"/>
        <w:rPr>
          <w:rFonts w:ascii="宋体" w:hAnsi="宋体"/>
          <w:b/>
          <w:bCs/>
          <w:sz w:val="24"/>
          <w:highlight w:val="none"/>
        </w:rPr>
      </w:pPr>
    </w:p>
    <w:p>
      <w:pPr>
        <w:spacing w:line="360" w:lineRule="auto"/>
        <w:rPr>
          <w:rFonts w:ascii="宋体" w:hAnsi="宋体"/>
          <w:b/>
          <w:bCs/>
          <w:sz w:val="24"/>
          <w:highlight w:val="none"/>
        </w:rPr>
      </w:pPr>
    </w:p>
    <w:p>
      <w:pPr>
        <w:keepNext w:val="0"/>
        <w:keepLines w:val="0"/>
        <w:outlineLvl w:val="9"/>
        <w:rPr>
          <w:rFonts w:hint="eastAsia" w:ascii="黑体" w:hAnsi="黑体" w:eastAsia="黑体" w:cs="黑体"/>
          <w:b/>
          <w:bCs/>
          <w:sz w:val="32"/>
          <w:szCs w:val="32"/>
          <w:highlight w:val="none"/>
        </w:rPr>
      </w:pPr>
      <w:bookmarkStart w:id="556" w:name="_Toc278794818"/>
      <w:bookmarkStart w:id="557" w:name="_Toc27025"/>
      <w:bookmarkStart w:id="558" w:name="_Toc13723"/>
      <w:r>
        <w:rPr>
          <w:rFonts w:hint="eastAsia" w:ascii="黑体" w:hAnsi="黑体" w:eastAsia="黑体" w:cs="黑体"/>
          <w:b/>
          <w:bCs/>
          <w:sz w:val="32"/>
          <w:szCs w:val="32"/>
          <w:highlight w:val="none"/>
        </w:rPr>
        <w:br w:type="page"/>
      </w:r>
    </w:p>
    <w:p>
      <w:pPr>
        <w:pStyle w:val="4"/>
        <w:keepNext w:val="0"/>
        <w:keepLines w:val="0"/>
        <w:jc w:val="center"/>
        <w:outlineLvl w:val="1"/>
        <w:rPr>
          <w:rFonts w:ascii="黑体" w:hAnsi="黑体" w:eastAsia="黑体" w:cs="黑体"/>
          <w:b/>
          <w:bCs/>
          <w:sz w:val="32"/>
          <w:szCs w:val="32"/>
          <w:highlight w:val="none"/>
        </w:rPr>
      </w:pPr>
      <w:bookmarkStart w:id="559" w:name="_Toc24536"/>
      <w:bookmarkStart w:id="560" w:name="_Toc31841"/>
      <w:r>
        <w:rPr>
          <w:rFonts w:hint="eastAsia" w:ascii="黑体" w:hAnsi="黑体" w:eastAsia="黑体" w:cs="黑体"/>
          <w:b/>
          <w:bCs/>
          <w:sz w:val="32"/>
          <w:szCs w:val="32"/>
          <w:highlight w:val="none"/>
        </w:rPr>
        <w:t>七、</w:t>
      </w:r>
      <w:bookmarkEnd w:id="556"/>
      <w:r>
        <w:rPr>
          <w:rFonts w:hint="eastAsia" w:ascii="黑体" w:hAnsi="黑体" w:eastAsia="黑体" w:cs="黑体"/>
          <w:b/>
          <w:bCs/>
          <w:sz w:val="32"/>
          <w:szCs w:val="32"/>
          <w:highlight w:val="none"/>
        </w:rPr>
        <w:t>供应商认为必要说明的其它内容</w:t>
      </w:r>
      <w:bookmarkEnd w:id="557"/>
      <w:bookmarkEnd w:id="558"/>
      <w:bookmarkEnd w:id="559"/>
      <w:bookmarkEnd w:id="560"/>
    </w:p>
    <w:p>
      <w:pPr>
        <w:pStyle w:val="25"/>
        <w:spacing w:before="0" w:after="0" w:line="360" w:lineRule="auto"/>
        <w:rPr>
          <w:rFonts w:ascii="宋体" w:hAnsi="宋体"/>
          <w:sz w:val="21"/>
          <w:szCs w:val="21"/>
          <w:highlight w:val="none"/>
        </w:rPr>
      </w:pPr>
    </w:p>
    <w:p>
      <w:pPr>
        <w:spacing w:line="360" w:lineRule="atLeast"/>
        <w:jc w:val="center"/>
        <w:rPr>
          <w:rFonts w:ascii="仿宋_GB2312" w:hAnsi="仿宋" w:eastAsia="仿宋_GB2312" w:cs="仿宋"/>
          <w:sz w:val="24"/>
          <w:highlight w:val="none"/>
        </w:rPr>
      </w:pPr>
      <w:r>
        <w:rPr>
          <w:rFonts w:hint="eastAsia" w:ascii="宋体" w:hAnsi="宋体"/>
          <w:szCs w:val="21"/>
          <w:highlight w:val="none"/>
        </w:rPr>
        <w:br w:type="page"/>
      </w:r>
    </w:p>
    <w:p>
      <w:pPr>
        <w:pStyle w:val="4"/>
        <w:keepNext w:val="0"/>
        <w:keepLines w:val="0"/>
        <w:jc w:val="center"/>
        <w:outlineLvl w:val="1"/>
        <w:rPr>
          <w:rFonts w:ascii="黑体" w:hAnsi="黑体" w:eastAsia="黑体" w:cs="黑体"/>
          <w:b/>
          <w:bCs/>
          <w:sz w:val="32"/>
          <w:szCs w:val="32"/>
          <w:highlight w:val="none"/>
        </w:rPr>
      </w:pPr>
      <w:bookmarkStart w:id="561" w:name="_Toc24041"/>
      <w:bookmarkStart w:id="562" w:name="_Toc13265"/>
      <w:bookmarkStart w:id="563" w:name="_Toc15979"/>
      <w:bookmarkStart w:id="564" w:name="_Toc6268"/>
      <w:r>
        <w:rPr>
          <w:rFonts w:hint="eastAsia" w:ascii="黑体" w:hAnsi="黑体" w:eastAsia="黑体" w:cs="黑体"/>
          <w:b/>
          <w:bCs/>
          <w:sz w:val="32"/>
          <w:szCs w:val="32"/>
          <w:highlight w:val="none"/>
        </w:rPr>
        <w:t>八、承诺书</w:t>
      </w:r>
      <w:bookmarkEnd w:id="561"/>
      <w:bookmarkEnd w:id="562"/>
      <w:bookmarkEnd w:id="563"/>
      <w:bookmarkEnd w:id="564"/>
    </w:p>
    <w:p>
      <w:pPr>
        <w:pStyle w:val="11"/>
        <w:spacing w:line="360" w:lineRule="auto"/>
        <w:ind w:left="-120" w:leftChars="-57" w:firstLine="602" w:firstLineChars="250"/>
        <w:rPr>
          <w:rFonts w:hAnsi="宋体"/>
          <w:b/>
          <w:bCs/>
          <w:sz w:val="24"/>
          <w:szCs w:val="24"/>
          <w:highlight w:val="none"/>
        </w:rPr>
      </w:pPr>
      <w:r>
        <w:rPr>
          <w:rFonts w:hint="eastAsia" w:hAnsi="宋体"/>
          <w:b/>
          <w:bCs/>
          <w:sz w:val="24"/>
          <w:szCs w:val="24"/>
          <w:highlight w:val="none"/>
        </w:rPr>
        <w:t>8.1供应商拒绝政府采购领域商业贿赂承诺书（格式）</w:t>
      </w:r>
    </w:p>
    <w:p>
      <w:pPr>
        <w:pStyle w:val="11"/>
        <w:spacing w:line="360" w:lineRule="auto"/>
        <w:ind w:left="-120" w:leftChars="-57" w:firstLine="602" w:firstLineChars="250"/>
        <w:rPr>
          <w:rFonts w:ascii="仿宋_GB2312" w:hAnsi="仿宋" w:eastAsia="仿宋_GB2312" w:cs="仿宋"/>
          <w:b/>
          <w:bCs/>
          <w:sz w:val="24"/>
          <w:szCs w:val="24"/>
          <w:highlight w:val="none"/>
        </w:rPr>
      </w:pPr>
    </w:p>
    <w:p>
      <w:pPr>
        <w:spacing w:line="360" w:lineRule="auto"/>
        <w:jc w:val="center"/>
        <w:outlineLvl w:val="9"/>
        <w:rPr>
          <w:rFonts w:ascii="黑体" w:hAnsi="仿宋" w:eastAsia="黑体" w:cs="仿宋"/>
          <w:bCs/>
          <w:sz w:val="32"/>
          <w:szCs w:val="32"/>
          <w:highlight w:val="none"/>
          <w:lang w:val="en-GB"/>
        </w:rPr>
      </w:pPr>
      <w:bookmarkStart w:id="565" w:name="_Toc23819"/>
      <w:bookmarkStart w:id="566" w:name="_Toc15323"/>
      <w:bookmarkStart w:id="567" w:name="_Toc20127"/>
      <w:r>
        <w:rPr>
          <w:rFonts w:hint="eastAsia" w:ascii="黑体" w:hAnsi="仿宋" w:eastAsia="黑体" w:cs="仿宋"/>
          <w:bCs/>
          <w:sz w:val="32"/>
          <w:szCs w:val="32"/>
          <w:highlight w:val="none"/>
          <w:lang w:val="en-GB"/>
        </w:rPr>
        <w:t>陕西省政府采购供应商</w:t>
      </w:r>
      <w:bookmarkEnd w:id="565"/>
      <w:bookmarkEnd w:id="566"/>
      <w:bookmarkEnd w:id="567"/>
    </w:p>
    <w:p>
      <w:pPr>
        <w:spacing w:line="360" w:lineRule="auto"/>
        <w:jc w:val="center"/>
        <w:outlineLvl w:val="9"/>
        <w:rPr>
          <w:rFonts w:ascii="黑体" w:hAnsi="仿宋" w:eastAsia="黑体" w:cs="仿宋"/>
          <w:bCs/>
          <w:sz w:val="32"/>
          <w:szCs w:val="32"/>
          <w:highlight w:val="none"/>
          <w:lang w:val="en-GB"/>
        </w:rPr>
      </w:pPr>
      <w:bookmarkStart w:id="568" w:name="_Toc26965"/>
      <w:bookmarkStart w:id="569" w:name="_Toc17495"/>
      <w:bookmarkStart w:id="570" w:name="_Toc6239"/>
      <w:r>
        <w:rPr>
          <w:rFonts w:hint="eastAsia" w:ascii="黑体" w:hAnsi="仿宋" w:eastAsia="黑体" w:cs="仿宋"/>
          <w:bCs/>
          <w:sz w:val="32"/>
          <w:szCs w:val="32"/>
          <w:highlight w:val="none"/>
          <w:lang w:val="en-GB"/>
        </w:rPr>
        <w:t>拒绝政府采购领域商业贿赂承诺书</w:t>
      </w:r>
      <w:bookmarkEnd w:id="568"/>
      <w:bookmarkEnd w:id="569"/>
      <w:bookmarkEnd w:id="570"/>
    </w:p>
    <w:p>
      <w:pPr>
        <w:spacing w:line="360" w:lineRule="auto"/>
        <w:ind w:firstLine="480" w:firstLineChars="200"/>
        <w:outlineLvl w:val="9"/>
        <w:rPr>
          <w:rFonts w:ascii="宋体" w:hAnsi="宋体"/>
          <w:sz w:val="24"/>
          <w:highlight w:val="none"/>
          <w:lang w:val="en-GB"/>
        </w:rPr>
      </w:pPr>
      <w:r>
        <w:rPr>
          <w:rFonts w:hint="eastAsia" w:ascii="宋体" w:hAnsi="宋体"/>
          <w:sz w:val="24"/>
          <w:highlight w:val="none"/>
          <w:lang w:val="en-GB"/>
        </w:rPr>
        <w:t>为响应党中央、国务院关于治理政府采购领域商业贿赂行为的号召，我公司在此庄严承诺：</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1、在参与政府采购活动中遵纪守法、诚信经营、公平竞标。</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2、不向政府采购单位、采购代理机构和政府采购评审专家进行任何形式的商业贿赂以谋取交易机会。</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3、不向政府采购代理机构和采购单位提供虚假资质文件或采用虚假应标方式参与政府采购市场竞争并谋取成交。</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4、不采取“围标、陪标”等商业欺诈手段获得政府采购订单。</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5、不采取不正当手段诋毁、排挤其他响应单位。</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6、不在提供商品或（和）服务时“偷梁换柱、以次充好”损害采购单位的合法权益。</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7、不与采购单位、采购代理机构政府采购评审专家或其它响应单位恶意串通，进行质疑和投诉，维护政府采购市场秩序。</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8、尊重和接受政府采购监督管理部门的监督和政府采购代理机构招标采购要求，承担因违约行为给采购单位造成的损失。</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9、不发生其他有悖于政府采购公开、公平、公正和诚信原则的行为。</w:t>
      </w:r>
    </w:p>
    <w:p>
      <w:pPr>
        <w:spacing w:line="360" w:lineRule="auto"/>
        <w:ind w:firstLine="480" w:firstLineChars="200"/>
        <w:rPr>
          <w:rFonts w:ascii="宋体" w:hAnsi="宋体"/>
          <w:sz w:val="24"/>
          <w:highlight w:val="none"/>
          <w:lang w:val="en-GB"/>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承诺单位：（盖章）</w:t>
      </w:r>
    </w:p>
    <w:p>
      <w:pPr>
        <w:spacing w:line="360" w:lineRule="auto"/>
        <w:ind w:firstLine="360" w:firstLineChars="150"/>
        <w:rPr>
          <w:rFonts w:ascii="宋体" w:hAnsi="宋体"/>
          <w:sz w:val="24"/>
          <w:szCs w:val="28"/>
          <w:highlight w:val="none"/>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全权代表：（签字）</w:t>
      </w:r>
    </w:p>
    <w:p>
      <w:pPr>
        <w:spacing w:line="360" w:lineRule="auto"/>
        <w:ind w:firstLine="360" w:firstLineChars="150"/>
        <w:rPr>
          <w:rFonts w:ascii="宋体" w:hAnsi="宋体"/>
          <w:sz w:val="24"/>
          <w:szCs w:val="28"/>
          <w:highlight w:val="none"/>
        </w:rPr>
      </w:pPr>
    </w:p>
    <w:p>
      <w:pPr>
        <w:spacing w:line="360" w:lineRule="auto"/>
        <w:jc w:val="left"/>
        <w:rPr>
          <w:rFonts w:ascii="宋体" w:hAnsi="宋体"/>
          <w:sz w:val="24"/>
          <w:szCs w:val="28"/>
          <w:highlight w:val="none"/>
        </w:rPr>
      </w:pPr>
      <w:r>
        <w:rPr>
          <w:rFonts w:hint="eastAsia" w:ascii="宋体" w:hAnsi="宋体"/>
          <w:sz w:val="24"/>
          <w:szCs w:val="28"/>
          <w:highlight w:val="none"/>
        </w:rPr>
        <w:t xml:space="preserve">       年   月  日</w:t>
      </w:r>
    </w:p>
    <w:p>
      <w:pPr>
        <w:spacing w:line="360" w:lineRule="auto"/>
        <w:jc w:val="left"/>
        <w:rPr>
          <w:rFonts w:ascii="宋体" w:hAnsi="宋体"/>
          <w:b/>
          <w:bCs/>
          <w:sz w:val="24"/>
          <w:highlight w:val="none"/>
        </w:rPr>
      </w:pPr>
    </w:p>
    <w:p>
      <w:pPr>
        <w:spacing w:line="360" w:lineRule="auto"/>
        <w:jc w:val="left"/>
        <w:rPr>
          <w:rFonts w:ascii="宋体" w:hAnsi="宋体"/>
          <w:b/>
          <w:bCs/>
          <w:sz w:val="24"/>
          <w:highlight w:val="none"/>
        </w:rPr>
      </w:pPr>
    </w:p>
    <w:p>
      <w:pPr>
        <w:spacing w:line="360" w:lineRule="auto"/>
        <w:jc w:val="left"/>
        <w:rPr>
          <w:rFonts w:ascii="仿宋_GB2312" w:hAnsi="仿宋" w:eastAsia="仿宋_GB2312" w:cs="仿宋"/>
          <w:b/>
          <w:bCs/>
          <w:sz w:val="24"/>
          <w:highlight w:val="none"/>
        </w:rPr>
      </w:pPr>
    </w:p>
    <w:p>
      <w:pPr>
        <w:pStyle w:val="11"/>
        <w:spacing w:line="360" w:lineRule="auto"/>
        <w:ind w:left="-120" w:leftChars="-57" w:firstLine="602" w:firstLineChars="250"/>
        <w:rPr>
          <w:rFonts w:hint="eastAsia" w:hAnsi="宋体"/>
          <w:b/>
          <w:bCs/>
          <w:sz w:val="24"/>
          <w:szCs w:val="24"/>
          <w:highlight w:val="none"/>
        </w:rPr>
      </w:pPr>
      <w:r>
        <w:rPr>
          <w:rFonts w:hint="eastAsia" w:hAnsi="宋体"/>
          <w:b/>
          <w:bCs/>
          <w:sz w:val="24"/>
          <w:szCs w:val="24"/>
          <w:highlight w:val="none"/>
        </w:rPr>
        <w:t>8.</w:t>
      </w:r>
      <w:r>
        <w:rPr>
          <w:rFonts w:hint="eastAsia" w:hAnsi="宋体"/>
          <w:b/>
          <w:bCs/>
          <w:sz w:val="24"/>
          <w:szCs w:val="24"/>
          <w:highlight w:val="none"/>
          <w:lang w:val="en-US" w:eastAsia="zh-CN"/>
        </w:rPr>
        <w:t>2缴纳采购代理服务费承诺书</w:t>
      </w:r>
    </w:p>
    <w:p>
      <w:pPr>
        <w:spacing w:line="360" w:lineRule="auto"/>
        <w:jc w:val="center"/>
        <w:outlineLvl w:val="9"/>
        <w:rPr>
          <w:rFonts w:hint="default" w:ascii="黑体" w:hAnsi="仿宋" w:eastAsia="黑体" w:cs="仿宋"/>
          <w:bCs/>
          <w:sz w:val="32"/>
          <w:szCs w:val="32"/>
          <w:highlight w:val="none"/>
          <w:lang w:val="en-US" w:eastAsia="zh-CN"/>
        </w:rPr>
      </w:pPr>
      <w:r>
        <w:rPr>
          <w:rFonts w:hint="eastAsia" w:ascii="黑体" w:hAnsi="仿宋" w:eastAsia="黑体" w:cs="仿宋"/>
          <w:bCs/>
          <w:sz w:val="32"/>
          <w:szCs w:val="32"/>
          <w:highlight w:val="none"/>
          <w:lang w:val="en-US" w:eastAsia="zh-CN"/>
        </w:rPr>
        <w:t>缴纳采购代理服务费承诺书</w:t>
      </w:r>
    </w:p>
    <w:p>
      <w:pPr>
        <w:spacing w:line="360" w:lineRule="auto"/>
        <w:rPr>
          <w:rFonts w:hint="eastAsia" w:ascii="宋体" w:hAnsi="宋体" w:eastAsia="宋体" w:cs="宋体"/>
          <w:sz w:val="24"/>
          <w:highlight w:val="none"/>
          <w:lang w:val="en-GB"/>
        </w:rPr>
      </w:pPr>
      <w:r>
        <w:rPr>
          <w:rFonts w:hint="eastAsia" w:ascii="宋体" w:hAnsi="宋体" w:eastAsia="宋体" w:cs="宋体"/>
          <w:sz w:val="24"/>
          <w:highlight w:val="none"/>
          <w:lang w:val="en-GB"/>
        </w:rPr>
        <w:t>致：</w:t>
      </w:r>
      <w:r>
        <w:rPr>
          <w:rFonts w:hint="eastAsia" w:ascii="宋体" w:hAnsi="宋体" w:eastAsia="宋体" w:cs="宋体"/>
          <w:b/>
          <w:bCs/>
          <w:sz w:val="24"/>
          <w:highlight w:val="none"/>
          <w:lang w:val="en-GB"/>
        </w:rPr>
        <w:t>陕西德勤招标有限公司</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sz w:val="24"/>
          <w:highlight w:val="none"/>
        </w:rPr>
        <w:t>作为参加贵公司组织的采购项目的供应商</w:t>
      </w:r>
      <w:r>
        <w:rPr>
          <w:rFonts w:hint="eastAsia" w:ascii="宋体" w:hAnsi="宋体"/>
          <w:sz w:val="24"/>
          <w:highlight w:val="none"/>
          <w:lang w:eastAsia="zh-CN"/>
        </w:rPr>
        <w:t>，</w:t>
      </w:r>
      <w:r>
        <w:rPr>
          <w:rFonts w:hint="eastAsia" w:ascii="宋体" w:hAnsi="宋体"/>
          <w:sz w:val="24"/>
          <w:highlight w:val="none"/>
        </w:rPr>
        <w:t>本公司承诺：</w:t>
      </w:r>
      <w:r>
        <w:rPr>
          <w:rFonts w:hint="eastAsia" w:ascii="宋体" w:hAnsi="宋体"/>
          <w:sz w:val="24"/>
          <w:highlight w:val="none"/>
          <w:lang w:val="en-US" w:eastAsia="zh-CN"/>
        </w:rPr>
        <w:t>如果成交，我方保证在收到成交通知书的</w:t>
      </w:r>
      <w:r>
        <w:rPr>
          <w:rFonts w:hint="eastAsia" w:ascii="宋体" w:hAnsi="宋体"/>
          <w:b/>
          <w:bCs/>
          <w:sz w:val="24"/>
          <w:highlight w:val="none"/>
          <w:lang w:val="en-US" w:eastAsia="zh-CN"/>
        </w:rPr>
        <w:t>七个工作日内</w:t>
      </w:r>
      <w:r>
        <w:rPr>
          <w:rFonts w:hint="eastAsia" w:ascii="宋体" w:hAnsi="宋体"/>
          <w:sz w:val="24"/>
          <w:highlight w:val="none"/>
          <w:lang w:val="en-US" w:eastAsia="zh-CN"/>
        </w:rPr>
        <w:t>按照磋商文件规定，自愿向贵方缴纳采购代理服务费。我方如违约，</w:t>
      </w:r>
      <w:r>
        <w:rPr>
          <w:rFonts w:hint="eastAsia" w:ascii="宋体" w:hAnsi="宋体"/>
          <w:sz w:val="24"/>
          <w:highlight w:val="none"/>
        </w:rPr>
        <w:t>愿承担一切责任及后果</w:t>
      </w:r>
      <w:r>
        <w:rPr>
          <w:rFonts w:hint="eastAsia" w:ascii="宋体" w:hAnsi="宋体"/>
          <w:sz w:val="24"/>
          <w:highlight w:val="none"/>
          <w:lang w:eastAsia="zh-CN"/>
        </w:rPr>
        <w:t>。</w:t>
      </w:r>
    </w:p>
    <w:p>
      <w:pPr>
        <w:spacing w:line="360" w:lineRule="auto"/>
        <w:ind w:firstLine="480" w:firstLineChars="200"/>
        <w:rPr>
          <w:rFonts w:hint="eastAsia" w:ascii="宋体" w:hAnsi="宋体" w:eastAsia="宋体" w:cs="宋体"/>
          <w:sz w:val="24"/>
          <w:highlight w:val="none"/>
          <w:lang w:val="en-GB"/>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承诺单位：（盖章）</w:t>
      </w:r>
    </w:p>
    <w:p>
      <w:pPr>
        <w:spacing w:line="360" w:lineRule="auto"/>
        <w:ind w:firstLine="360" w:firstLineChars="150"/>
        <w:rPr>
          <w:rFonts w:ascii="宋体" w:hAnsi="宋体"/>
          <w:sz w:val="24"/>
          <w:szCs w:val="28"/>
          <w:highlight w:val="none"/>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全权代表：（签字）</w:t>
      </w:r>
    </w:p>
    <w:p>
      <w:pPr>
        <w:spacing w:line="360" w:lineRule="auto"/>
        <w:ind w:firstLine="360" w:firstLineChars="150"/>
        <w:rPr>
          <w:rFonts w:ascii="宋体" w:hAnsi="宋体"/>
          <w:sz w:val="24"/>
          <w:szCs w:val="28"/>
          <w:highlight w:val="none"/>
        </w:rPr>
      </w:pPr>
    </w:p>
    <w:p>
      <w:pPr>
        <w:spacing w:line="360" w:lineRule="auto"/>
        <w:jc w:val="left"/>
        <w:rPr>
          <w:rFonts w:ascii="宋体" w:hAnsi="宋体"/>
          <w:sz w:val="24"/>
          <w:szCs w:val="28"/>
          <w:highlight w:val="none"/>
        </w:rPr>
      </w:pPr>
      <w:r>
        <w:rPr>
          <w:rFonts w:hint="eastAsia" w:ascii="宋体" w:hAnsi="宋体"/>
          <w:sz w:val="24"/>
          <w:szCs w:val="28"/>
          <w:highlight w:val="none"/>
        </w:rPr>
        <w:t xml:space="preserve">       年   月  日</w:t>
      </w:r>
    </w:p>
    <w:p>
      <w:pPr>
        <w:rPr>
          <w:rFonts w:hint="eastAsia" w:hAnsi="宋体"/>
          <w:b/>
          <w:bCs/>
          <w:sz w:val="24"/>
          <w:szCs w:val="24"/>
          <w:highlight w:val="none"/>
        </w:rPr>
      </w:pPr>
      <w:r>
        <w:rPr>
          <w:rFonts w:hint="eastAsia" w:hAnsi="宋体"/>
          <w:b/>
          <w:bCs/>
          <w:sz w:val="24"/>
          <w:szCs w:val="24"/>
          <w:highlight w:val="none"/>
        </w:rPr>
        <w:br w:type="page"/>
      </w:r>
    </w:p>
    <w:p>
      <w:pPr>
        <w:pStyle w:val="11"/>
        <w:spacing w:line="360" w:lineRule="auto"/>
        <w:ind w:left="-120" w:leftChars="-57" w:firstLine="602" w:firstLineChars="250"/>
        <w:rPr>
          <w:rFonts w:hAnsi="宋体"/>
          <w:b/>
          <w:bCs/>
          <w:sz w:val="24"/>
          <w:szCs w:val="24"/>
          <w:highlight w:val="none"/>
        </w:rPr>
      </w:pPr>
      <w:r>
        <w:rPr>
          <w:rFonts w:hint="eastAsia" w:hAnsi="宋体"/>
          <w:b/>
          <w:bCs/>
          <w:sz w:val="24"/>
          <w:szCs w:val="24"/>
          <w:highlight w:val="none"/>
        </w:rPr>
        <w:t>8.</w:t>
      </w:r>
      <w:r>
        <w:rPr>
          <w:rFonts w:hint="eastAsia" w:hAnsi="宋体"/>
          <w:b/>
          <w:bCs/>
          <w:sz w:val="24"/>
          <w:szCs w:val="24"/>
          <w:highlight w:val="none"/>
          <w:lang w:val="en-US" w:eastAsia="zh-CN"/>
        </w:rPr>
        <w:t>3</w:t>
      </w:r>
      <w:r>
        <w:rPr>
          <w:rFonts w:hint="eastAsia" w:hAnsi="宋体"/>
          <w:b/>
          <w:bCs/>
          <w:sz w:val="24"/>
          <w:szCs w:val="24"/>
          <w:highlight w:val="none"/>
        </w:rPr>
        <w:t>其他承诺书</w:t>
      </w:r>
    </w:p>
    <w:p>
      <w:pPr>
        <w:pStyle w:val="11"/>
        <w:spacing w:line="360" w:lineRule="auto"/>
        <w:ind w:left="-120" w:leftChars="-57" w:firstLine="602" w:firstLineChars="250"/>
        <w:rPr>
          <w:rFonts w:hAnsi="宋体"/>
          <w:b/>
          <w:bCs/>
          <w:sz w:val="24"/>
          <w:szCs w:val="24"/>
          <w:highlight w:val="none"/>
        </w:rPr>
      </w:pPr>
    </w:p>
    <w:p>
      <w:pPr>
        <w:spacing w:line="360" w:lineRule="auto"/>
        <w:jc w:val="center"/>
        <w:outlineLvl w:val="9"/>
        <w:rPr>
          <w:rFonts w:ascii="黑体" w:hAnsi="仿宋" w:eastAsia="黑体" w:cs="仿宋"/>
          <w:bCs/>
          <w:sz w:val="32"/>
          <w:szCs w:val="32"/>
          <w:highlight w:val="none"/>
          <w:lang w:val="en-GB"/>
        </w:rPr>
      </w:pPr>
      <w:bookmarkStart w:id="571" w:name="_Toc26079"/>
      <w:bookmarkStart w:id="572" w:name="_Toc15733"/>
      <w:bookmarkStart w:id="573" w:name="_Toc3302"/>
      <w:r>
        <w:rPr>
          <w:rFonts w:hint="eastAsia" w:ascii="黑体" w:hAnsi="仿宋" w:eastAsia="黑体" w:cs="仿宋"/>
          <w:bCs/>
          <w:sz w:val="32"/>
          <w:szCs w:val="32"/>
          <w:highlight w:val="none"/>
          <w:lang w:val="en-GB"/>
        </w:rPr>
        <w:t>承诺书Ⅱ</w:t>
      </w:r>
      <w:bookmarkEnd w:id="571"/>
      <w:bookmarkEnd w:id="572"/>
      <w:bookmarkEnd w:id="573"/>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sz w:val="24"/>
                <w:highlight w:val="none"/>
              </w:rPr>
            </w:pPr>
            <w:r>
              <w:rPr>
                <w:rFonts w:hint="eastAsia" w:ascii="宋体" w:hAnsi="宋体"/>
                <w:sz w:val="24"/>
                <w:highlight w:val="none"/>
              </w:rPr>
              <w:t>作为参加贵公司组织的采购项目的供应商，本公司承诺：在参加本项目采购之前不存在被依法禁止经营行为、财产被接管或冻结的情况，如有隐瞒实情，愿承担一切责任及后果。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供应商</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法定代表人</w:t>
            </w:r>
          </w:p>
        </w:tc>
        <w:tc>
          <w:tcPr>
            <w:tcW w:w="2340" w:type="dxa"/>
            <w:vAlign w:val="center"/>
          </w:tcPr>
          <w:p>
            <w:pPr>
              <w:spacing w:line="360" w:lineRule="atLeast"/>
              <w:jc w:val="center"/>
              <w:rPr>
                <w:rFonts w:ascii="宋体" w:hAnsi="宋体"/>
                <w:sz w:val="24"/>
                <w:highlight w:val="none"/>
              </w:rPr>
            </w:pPr>
            <w:r>
              <w:rPr>
                <w:rFonts w:hint="eastAsia" w:ascii="宋体" w:hAnsi="宋体"/>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（公章）</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（签字或盖章）</w:t>
            </w:r>
          </w:p>
        </w:tc>
        <w:tc>
          <w:tcPr>
            <w:tcW w:w="2340" w:type="dxa"/>
            <w:vAlign w:val="center"/>
          </w:tcPr>
          <w:p>
            <w:pPr>
              <w:spacing w:line="360" w:lineRule="atLeast"/>
              <w:ind w:firstLine="240" w:firstLineChars="100"/>
              <w:jc w:val="center"/>
              <w:rPr>
                <w:rFonts w:ascii="宋体" w:hAnsi="宋体"/>
                <w:sz w:val="24"/>
                <w:highlight w:val="none"/>
              </w:rPr>
            </w:pPr>
            <w:r>
              <w:rPr>
                <w:rFonts w:hint="eastAsia" w:ascii="宋体" w:hAnsi="宋体"/>
                <w:sz w:val="24"/>
                <w:highlight w:val="none"/>
              </w:rPr>
              <w:t>年  月  日</w:t>
            </w:r>
          </w:p>
        </w:tc>
      </w:tr>
    </w:tbl>
    <w:p>
      <w:pPr>
        <w:spacing w:line="360" w:lineRule="atLeast"/>
        <w:rPr>
          <w:rFonts w:ascii="仿宋_GB2312" w:hAnsi="仿宋" w:eastAsia="仿宋_GB2312" w:cs="仿宋"/>
          <w:b/>
          <w:sz w:val="42"/>
          <w:szCs w:val="42"/>
          <w:highlight w:val="none"/>
        </w:rPr>
      </w:pPr>
    </w:p>
    <w:p>
      <w:pPr>
        <w:spacing w:line="360" w:lineRule="auto"/>
        <w:jc w:val="center"/>
        <w:outlineLvl w:val="9"/>
        <w:rPr>
          <w:rFonts w:ascii="黑体" w:hAnsi="仿宋" w:eastAsia="黑体" w:cs="仿宋"/>
          <w:bCs/>
          <w:sz w:val="32"/>
          <w:szCs w:val="32"/>
          <w:highlight w:val="none"/>
          <w:lang w:val="en-GB"/>
        </w:rPr>
      </w:pPr>
      <w:bookmarkStart w:id="574" w:name="_Toc32058"/>
      <w:bookmarkStart w:id="575" w:name="_Toc28520"/>
      <w:bookmarkStart w:id="576" w:name="_Toc1560"/>
      <w:r>
        <w:rPr>
          <w:rFonts w:hint="eastAsia" w:ascii="黑体" w:hAnsi="仿宋" w:eastAsia="黑体" w:cs="仿宋"/>
          <w:bCs/>
          <w:sz w:val="32"/>
          <w:szCs w:val="32"/>
          <w:highlight w:val="none"/>
          <w:lang w:val="en-GB"/>
        </w:rPr>
        <w:t>承诺书Ⅲ</w:t>
      </w:r>
      <w:bookmarkEnd w:id="574"/>
      <w:bookmarkEnd w:id="575"/>
      <w:bookmarkEnd w:id="576"/>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sz w:val="24"/>
                <w:highlight w:val="none"/>
              </w:rPr>
            </w:pPr>
            <w:r>
              <w:rPr>
                <w:rFonts w:hint="eastAsia" w:ascii="宋体" w:hAnsi="宋体"/>
                <w:sz w:val="24"/>
                <w:highlight w:val="none"/>
              </w:rPr>
              <w:t>作为参加贵公司组织的采购项目的供应商，本公司承诺：参加本次响应提交的所有资质证明文件及业绩证明是真实的、有效的，如有隐瞒实情，愿承担一切责任及后果。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供应商</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法定代表人</w:t>
            </w:r>
          </w:p>
        </w:tc>
        <w:tc>
          <w:tcPr>
            <w:tcW w:w="2340" w:type="dxa"/>
            <w:vAlign w:val="center"/>
          </w:tcPr>
          <w:p>
            <w:pPr>
              <w:spacing w:line="360" w:lineRule="atLeast"/>
              <w:jc w:val="center"/>
              <w:rPr>
                <w:rFonts w:ascii="宋体" w:hAnsi="宋体"/>
                <w:sz w:val="24"/>
                <w:highlight w:val="none"/>
              </w:rPr>
            </w:pPr>
            <w:r>
              <w:rPr>
                <w:rFonts w:hint="eastAsia" w:ascii="宋体" w:hAnsi="宋体"/>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（公章）</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（签字或盖章）</w:t>
            </w:r>
          </w:p>
        </w:tc>
        <w:tc>
          <w:tcPr>
            <w:tcW w:w="2340" w:type="dxa"/>
            <w:vAlign w:val="center"/>
          </w:tcPr>
          <w:p>
            <w:pPr>
              <w:spacing w:line="360" w:lineRule="atLeast"/>
              <w:ind w:firstLine="240" w:firstLineChars="100"/>
              <w:jc w:val="center"/>
              <w:rPr>
                <w:rFonts w:ascii="宋体" w:hAnsi="宋体"/>
                <w:sz w:val="24"/>
                <w:highlight w:val="none"/>
              </w:rPr>
            </w:pPr>
            <w:r>
              <w:rPr>
                <w:rFonts w:hint="eastAsia" w:ascii="宋体" w:hAnsi="宋体"/>
                <w:sz w:val="24"/>
                <w:highlight w:val="none"/>
              </w:rPr>
              <w:t>年  月  日</w:t>
            </w:r>
          </w:p>
        </w:tc>
      </w:tr>
    </w:tbl>
    <w:p>
      <w:pPr>
        <w:spacing w:line="500" w:lineRule="exact"/>
        <w:rPr>
          <w:rFonts w:ascii="仿宋_GB2312" w:hAnsi="仿宋" w:eastAsia="仿宋_GB2312" w:cs="仿宋"/>
          <w:b/>
          <w:bCs/>
          <w:sz w:val="32"/>
          <w:highlight w:val="none"/>
        </w:rPr>
      </w:pPr>
    </w:p>
    <w:p>
      <w:pPr>
        <w:spacing w:line="360" w:lineRule="auto"/>
        <w:jc w:val="center"/>
        <w:outlineLvl w:val="0"/>
        <w:rPr>
          <w:rFonts w:ascii="黑体" w:hAnsi="仿宋" w:eastAsia="黑体" w:cs="仿宋"/>
          <w:b/>
          <w:sz w:val="32"/>
          <w:szCs w:val="32"/>
          <w:highlight w:val="none"/>
          <w:lang w:val="en-GB"/>
        </w:rPr>
      </w:pPr>
      <w:bookmarkStart w:id="577" w:name="_Toc17612"/>
      <w:r>
        <w:rPr>
          <w:rFonts w:hint="eastAsia" w:ascii="黑体" w:hAnsi="仿宋" w:eastAsia="黑体" w:cs="仿宋"/>
          <w:b/>
          <w:sz w:val="32"/>
          <w:szCs w:val="32"/>
          <w:highlight w:val="none"/>
          <w:lang w:val="en-GB"/>
        </w:rPr>
        <w:t>询问函、质疑函格式</w:t>
      </w:r>
      <w:bookmarkEnd w:id="577"/>
    </w:p>
    <w:p>
      <w:pPr>
        <w:pStyle w:val="11"/>
        <w:spacing w:line="500" w:lineRule="exact"/>
        <w:ind w:left="-120" w:leftChars="-57" w:firstLine="527" w:firstLineChars="250"/>
        <w:rPr>
          <w:rFonts w:hAnsi="宋体"/>
          <w:b/>
          <w:bCs/>
          <w:highlight w:val="none"/>
          <w:u w:val="single"/>
          <w:lang w:val="en-GB"/>
        </w:rPr>
      </w:pPr>
      <w:r>
        <w:rPr>
          <w:rFonts w:hint="eastAsia" w:hAnsi="宋体"/>
          <w:b/>
          <w:bCs/>
          <w:highlight w:val="none"/>
          <w:u w:val="single"/>
          <w:lang w:val="en-GB"/>
        </w:rPr>
        <w:t>说明：本部分格式为供应商提交询问函、质疑函时使用，不属于响应文件格式的组成部分。</w:t>
      </w:r>
    </w:p>
    <w:p>
      <w:pPr>
        <w:pStyle w:val="11"/>
        <w:spacing w:line="500" w:lineRule="exact"/>
        <w:ind w:left="-120" w:leftChars="-57" w:firstLine="527" w:firstLineChars="250"/>
        <w:rPr>
          <w:rFonts w:hAnsi="宋体"/>
          <w:b/>
          <w:bCs/>
          <w:highlight w:val="none"/>
          <w:u w:val="single"/>
          <w:lang w:val="en-GB"/>
        </w:rPr>
      </w:pPr>
    </w:p>
    <w:p>
      <w:pPr>
        <w:pStyle w:val="11"/>
        <w:spacing w:line="500" w:lineRule="exact"/>
        <w:ind w:left="-120" w:leftChars="-57" w:firstLine="602" w:firstLineChars="250"/>
        <w:rPr>
          <w:rFonts w:hAnsi="宋体"/>
          <w:b/>
          <w:bCs/>
          <w:sz w:val="24"/>
          <w:szCs w:val="24"/>
          <w:highlight w:val="none"/>
        </w:rPr>
      </w:pPr>
      <w:r>
        <w:rPr>
          <w:rFonts w:hint="eastAsia" w:hAnsi="宋体"/>
          <w:b/>
          <w:bCs/>
          <w:sz w:val="24"/>
          <w:szCs w:val="24"/>
          <w:highlight w:val="none"/>
        </w:rPr>
        <w:t>1.询问函格式</w:t>
      </w:r>
    </w:p>
    <w:p>
      <w:pPr>
        <w:pStyle w:val="11"/>
        <w:spacing w:line="500" w:lineRule="exact"/>
        <w:ind w:left="-120" w:leftChars="-57" w:firstLine="602" w:firstLineChars="250"/>
        <w:rPr>
          <w:rFonts w:hAnsi="宋体"/>
          <w:b/>
          <w:bCs/>
          <w:sz w:val="24"/>
          <w:szCs w:val="24"/>
          <w:highlight w:val="none"/>
        </w:rPr>
      </w:pPr>
    </w:p>
    <w:p>
      <w:pPr>
        <w:spacing w:line="360" w:lineRule="auto"/>
        <w:jc w:val="center"/>
        <w:outlineLvl w:val="1"/>
        <w:rPr>
          <w:rFonts w:ascii="黑体" w:hAnsi="黑体" w:eastAsia="黑体" w:cs="黑体"/>
          <w:bCs/>
          <w:sz w:val="32"/>
          <w:szCs w:val="32"/>
          <w:highlight w:val="none"/>
          <w:lang w:val="en-GB"/>
        </w:rPr>
      </w:pPr>
      <w:bookmarkStart w:id="578" w:name="_Toc14289"/>
      <w:r>
        <w:rPr>
          <w:rFonts w:hint="eastAsia" w:ascii="黑体" w:hAnsi="黑体" w:eastAsia="黑体" w:cs="黑体"/>
          <w:bCs/>
          <w:sz w:val="32"/>
          <w:szCs w:val="32"/>
          <w:highlight w:val="none"/>
          <w:lang w:val="en-GB"/>
        </w:rPr>
        <w:t>询问函</w:t>
      </w:r>
      <w:bookmarkEnd w:id="578"/>
    </w:p>
    <w:p>
      <w:pPr>
        <w:widowControl/>
        <w:tabs>
          <w:tab w:val="left" w:pos="6300"/>
        </w:tabs>
        <w:snapToGrid w:val="0"/>
        <w:spacing w:line="360" w:lineRule="auto"/>
        <w:jc w:val="left"/>
        <w:rPr>
          <w:rFonts w:ascii="宋体" w:hAnsi="宋体"/>
          <w:sz w:val="24"/>
          <w:highlight w:val="none"/>
        </w:rPr>
      </w:pPr>
      <w:r>
        <w:rPr>
          <w:rFonts w:hint="eastAsia" w:ascii="宋体" w:hAnsi="宋体"/>
          <w:sz w:val="24"/>
          <w:highlight w:val="none"/>
        </w:rPr>
        <w:t>陕西德勤招标有限公司：</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我单位已报名并准备参与</w:t>
      </w:r>
      <w:r>
        <w:rPr>
          <w:rFonts w:hint="eastAsia" w:ascii="宋体" w:hAnsi="宋体"/>
          <w:sz w:val="24"/>
          <w:highlight w:val="none"/>
          <w:u w:val="single"/>
          <w:lang w:eastAsia="zh-CN"/>
        </w:rPr>
        <w:t>（</w:t>
      </w:r>
      <w:r>
        <w:rPr>
          <w:rFonts w:hint="eastAsia" w:hAnsi="宋体"/>
          <w:sz w:val="24"/>
          <w:szCs w:val="24"/>
          <w:highlight w:val="none"/>
          <w:u w:val="single"/>
        </w:rPr>
        <w:t>采购项目名称及标段</w:t>
      </w:r>
      <w:r>
        <w:rPr>
          <w:rFonts w:hint="eastAsia" w:hAnsi="宋体"/>
          <w:sz w:val="24"/>
          <w:szCs w:val="24"/>
          <w:highlight w:val="none"/>
          <w:u w:val="single"/>
          <w:lang w:eastAsia="zh-CN"/>
        </w:rPr>
        <w:t>）</w:t>
      </w:r>
      <w:r>
        <w:rPr>
          <w:rFonts w:hint="eastAsia" w:ascii="宋体" w:hAnsi="宋体"/>
          <w:sz w:val="24"/>
          <w:highlight w:val="none"/>
        </w:rPr>
        <w:t>项目（磋商文件编号：</w:t>
      </w:r>
      <w:r>
        <w:rPr>
          <w:rFonts w:hint="eastAsia" w:ascii="宋体" w:hAnsi="宋体"/>
          <w:sz w:val="24"/>
          <w:highlight w:val="none"/>
          <w:u w:val="single"/>
        </w:rPr>
        <w:t xml:space="preserve">     </w:t>
      </w:r>
      <w:r>
        <w:rPr>
          <w:rFonts w:hint="eastAsia" w:ascii="宋体" w:hAnsi="宋体"/>
          <w:sz w:val="24"/>
          <w:highlight w:val="none"/>
        </w:rPr>
        <w:t>）的响应（或报价）活动，现有以下几个内容（或条款）存在疑问（或无法理解），特提出询问。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一、_____________________（事项一）</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（3）____________________（建议）</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二、_____________________（事项二）</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随附相关证明材料如下：</w:t>
      </w: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480" w:firstLineChars="200"/>
        <w:jc w:val="left"/>
        <w:rPr>
          <w:rFonts w:ascii="宋体" w:hAnsi="宋体"/>
          <w:sz w:val="24"/>
          <w:highlight w:val="none"/>
        </w:rPr>
      </w:pP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询问人：（公章）</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法定代表人（授权代表）：</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地址/邮编：</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电话/传真：</w:t>
      </w:r>
    </w:p>
    <w:p>
      <w:pPr>
        <w:spacing w:line="360" w:lineRule="auto"/>
        <w:jc w:val="righ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napToGrid w:val="0"/>
        <w:spacing w:line="360" w:lineRule="auto"/>
        <w:ind w:firstLine="378" w:firstLineChars="180"/>
        <w:rPr>
          <w:rFonts w:ascii="宋体" w:hAnsi="宋体"/>
          <w:szCs w:val="21"/>
          <w:highlight w:val="none"/>
        </w:rPr>
      </w:pPr>
    </w:p>
    <w:p>
      <w:pPr>
        <w:pStyle w:val="19"/>
        <w:adjustRightInd w:val="0"/>
        <w:snapToGrid w:val="0"/>
        <w:spacing w:before="0" w:beforeAutospacing="0" w:after="0" w:afterAutospacing="0" w:line="360" w:lineRule="auto"/>
        <w:ind w:firstLine="481"/>
        <w:jc w:val="both"/>
        <w:rPr>
          <w:b/>
          <w:bCs/>
          <w:color w:val="auto"/>
          <w:kern w:val="2"/>
          <w:highlight w:val="none"/>
        </w:rPr>
      </w:pPr>
      <w:r>
        <w:rPr>
          <w:rFonts w:hint="eastAsia"/>
          <w:b/>
          <w:bCs/>
          <w:color w:val="auto"/>
          <w:kern w:val="2"/>
          <w:highlight w:val="none"/>
        </w:rPr>
        <w:t>2.质疑书格式</w:t>
      </w:r>
    </w:p>
    <w:p>
      <w:pPr>
        <w:pStyle w:val="19"/>
        <w:adjustRightInd w:val="0"/>
        <w:snapToGrid w:val="0"/>
        <w:spacing w:before="0" w:beforeAutospacing="0" w:after="0" w:afterAutospacing="0" w:line="360" w:lineRule="auto"/>
        <w:ind w:firstLine="481"/>
        <w:jc w:val="both"/>
        <w:rPr>
          <w:rFonts w:ascii="仿宋_GB2312" w:hAnsi="Courier New" w:eastAsia="仿宋_GB2312"/>
          <w:b/>
          <w:bCs/>
          <w:color w:val="auto"/>
          <w:kern w:val="2"/>
          <w:highlight w:val="none"/>
        </w:rPr>
      </w:pPr>
    </w:p>
    <w:p>
      <w:pPr>
        <w:spacing w:line="360" w:lineRule="auto"/>
        <w:jc w:val="center"/>
        <w:outlineLvl w:val="1"/>
        <w:rPr>
          <w:rFonts w:ascii="黑体" w:hAnsi="黑体" w:eastAsia="黑体" w:cs="黑体"/>
          <w:bCs/>
          <w:sz w:val="32"/>
          <w:szCs w:val="32"/>
          <w:highlight w:val="none"/>
          <w:lang w:val="en-GB"/>
        </w:rPr>
      </w:pPr>
      <w:bookmarkStart w:id="579" w:name="_Toc18152"/>
      <w:r>
        <w:rPr>
          <w:rFonts w:hint="eastAsia" w:ascii="黑体" w:hAnsi="黑体" w:eastAsia="黑体" w:cs="黑体"/>
          <w:bCs/>
          <w:sz w:val="32"/>
          <w:szCs w:val="32"/>
          <w:highlight w:val="none"/>
          <w:lang w:val="en-GB"/>
        </w:rPr>
        <w:t>质疑</w:t>
      </w:r>
      <w:r>
        <w:rPr>
          <w:rFonts w:hint="eastAsia" w:ascii="黑体" w:hAnsi="黑体" w:eastAsia="黑体" w:cs="黑体"/>
          <w:bCs/>
          <w:sz w:val="32"/>
          <w:szCs w:val="32"/>
          <w:highlight w:val="none"/>
        </w:rPr>
        <w:t>书</w:t>
      </w:r>
      <w:bookmarkEnd w:id="579"/>
    </w:p>
    <w:p>
      <w:pPr>
        <w:widowControl/>
        <w:tabs>
          <w:tab w:val="left" w:pos="6300"/>
        </w:tabs>
        <w:snapToGrid w:val="0"/>
        <w:spacing w:line="360" w:lineRule="auto"/>
        <w:jc w:val="left"/>
        <w:rPr>
          <w:rFonts w:ascii="仿宋_GB2312" w:hAnsi="宋体" w:eastAsia="仿宋_GB2312"/>
          <w:b/>
          <w:bCs/>
          <w:sz w:val="24"/>
          <w:highlight w:val="none"/>
        </w:rPr>
      </w:pPr>
      <w:r>
        <w:rPr>
          <w:rFonts w:hint="eastAsia" w:ascii="仿宋_GB2312" w:hAnsi="宋体" w:eastAsia="仿宋_GB2312"/>
          <w:b/>
          <w:bCs/>
          <w:sz w:val="24"/>
          <w:highlight w:val="none"/>
        </w:rPr>
        <w:t>陕西德勤招标有限公司/采购人：</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我公司依法参与了</w:t>
      </w:r>
      <w:r>
        <w:rPr>
          <w:rFonts w:hint="eastAsia" w:ascii="宋体" w:hAnsi="宋体"/>
          <w:sz w:val="24"/>
          <w:highlight w:val="none"/>
          <w:u w:val="single"/>
        </w:rPr>
        <w:t>（采购代理机构或采购人）</w:t>
      </w:r>
      <w:r>
        <w:rPr>
          <w:rFonts w:hint="eastAsia" w:ascii="宋体" w:hAnsi="宋体"/>
          <w:sz w:val="24"/>
          <w:highlight w:val="none"/>
        </w:rPr>
        <w:t>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日组织的政府采购活动。根据《政府采购法》和《政府采购供应商投诉处理办法》等规定，我公司认为</w:t>
      </w:r>
      <w:r>
        <w:rPr>
          <w:rFonts w:hint="eastAsia" w:ascii="宋体" w:hAnsi="宋体"/>
          <w:sz w:val="24"/>
          <w:highlight w:val="none"/>
          <w:u w:val="single"/>
        </w:rPr>
        <w:t xml:space="preserve"> </w:t>
      </w:r>
      <w:r>
        <w:rPr>
          <w:rFonts w:hint="eastAsia" w:ascii="宋体" w:hAnsi="宋体"/>
          <w:sz w:val="24"/>
          <w:highlight w:val="none"/>
          <w:u w:val="single"/>
          <w:lang w:eastAsia="zh-CN"/>
        </w:rPr>
        <w:t>（</w:t>
      </w:r>
      <w:r>
        <w:rPr>
          <w:rFonts w:hint="eastAsia" w:hAnsi="宋体"/>
          <w:sz w:val="24"/>
          <w:szCs w:val="24"/>
          <w:highlight w:val="none"/>
          <w:u w:val="single"/>
        </w:rPr>
        <w:t>采购项目名称及标段</w:t>
      </w:r>
      <w:r>
        <w:rPr>
          <w:rFonts w:hint="eastAsia" w:hAnsi="宋体"/>
          <w:sz w:val="24"/>
          <w:szCs w:val="24"/>
          <w:highlight w:val="none"/>
          <w:u w:val="single"/>
          <w:lang w:eastAsia="zh-CN"/>
        </w:rPr>
        <w:t>）</w:t>
      </w:r>
      <w:r>
        <w:rPr>
          <w:rFonts w:hint="eastAsia" w:ascii="宋体" w:hAnsi="宋体"/>
          <w:sz w:val="24"/>
          <w:highlight w:val="none"/>
          <w:u w:val="single"/>
        </w:rPr>
        <w:t>（采购项目编号：     ）</w:t>
      </w:r>
      <w:r>
        <w:rPr>
          <w:rFonts w:hint="eastAsia" w:ascii="宋体" w:hAnsi="宋体"/>
          <w:sz w:val="24"/>
          <w:highlight w:val="none"/>
        </w:rPr>
        <w:t>项目的采购活动中，</w:t>
      </w:r>
      <w:r>
        <w:rPr>
          <w:rFonts w:hint="eastAsia" w:ascii="宋体" w:hAnsi="宋体"/>
          <w:sz w:val="24"/>
          <w:highlight w:val="none"/>
          <w:u w:val="single"/>
        </w:rPr>
        <w:t>（磋商文件、采购过程、</w:t>
      </w:r>
      <w:r>
        <w:rPr>
          <w:rFonts w:hint="eastAsia" w:ascii="宋体" w:hAnsi="宋体"/>
          <w:sz w:val="24"/>
          <w:highlight w:val="none"/>
          <w:u w:val="single"/>
          <w:lang w:eastAsia="zh-CN"/>
        </w:rPr>
        <w:t>中标</w:t>
      </w:r>
      <w:r>
        <w:rPr>
          <w:rFonts w:hint="eastAsia" w:ascii="宋体" w:hAnsi="宋体"/>
          <w:sz w:val="24"/>
          <w:highlight w:val="none"/>
          <w:u w:val="single"/>
        </w:rPr>
        <w:t>/成交结果）</w:t>
      </w:r>
      <w:r>
        <w:rPr>
          <w:rFonts w:hint="eastAsia" w:ascii="宋体" w:hAnsi="宋体"/>
          <w:sz w:val="24"/>
          <w:highlight w:val="none"/>
        </w:rPr>
        <w:t>损害了我公司权益，特提出质疑。</w:t>
      </w:r>
    </w:p>
    <w:p>
      <w:pPr>
        <w:spacing w:line="360" w:lineRule="auto"/>
        <w:ind w:right="120" w:firstLine="480"/>
        <w:rPr>
          <w:rFonts w:ascii="宋体" w:hAnsi="宋体"/>
          <w:sz w:val="24"/>
          <w:highlight w:val="none"/>
        </w:rPr>
      </w:pPr>
      <w:r>
        <w:rPr>
          <w:rFonts w:hint="eastAsia" w:ascii="宋体" w:hAnsi="宋体"/>
          <w:sz w:val="24"/>
          <w:highlight w:val="none"/>
        </w:rPr>
        <w:t>一、我公司认为项目的</w:t>
      </w:r>
      <w:r>
        <w:rPr>
          <w:rFonts w:hint="eastAsia" w:ascii="宋体" w:hAnsi="宋体"/>
          <w:sz w:val="24"/>
          <w:highlight w:val="none"/>
          <w:u w:val="single"/>
        </w:rPr>
        <w:t>（磋商文件、采购过程、</w:t>
      </w:r>
      <w:r>
        <w:rPr>
          <w:rFonts w:hint="eastAsia" w:ascii="宋体" w:hAnsi="宋体"/>
          <w:sz w:val="24"/>
          <w:highlight w:val="none"/>
          <w:u w:val="single"/>
          <w:lang w:eastAsia="zh-CN"/>
        </w:rPr>
        <w:t>中标</w:t>
      </w:r>
      <w:r>
        <w:rPr>
          <w:rFonts w:hint="eastAsia" w:ascii="宋体" w:hAnsi="宋体"/>
          <w:sz w:val="24"/>
          <w:highlight w:val="none"/>
          <w:u w:val="single"/>
        </w:rPr>
        <w:t>/成交结果）</w:t>
      </w:r>
      <w:r>
        <w:rPr>
          <w:rFonts w:hint="eastAsia" w:ascii="宋体" w:hAnsi="宋体"/>
          <w:sz w:val="24"/>
          <w:highlight w:val="none"/>
        </w:rPr>
        <w:t>损害了我司权益，具体事项如下：（每个质疑事项应有与之相对应的证据予以支持。质疑事项属于涉密的，应提供信息来源或有效证据）：</w:t>
      </w:r>
    </w:p>
    <w:p>
      <w:pPr>
        <w:spacing w:line="360" w:lineRule="auto"/>
        <w:ind w:right="120" w:firstLine="480"/>
        <w:rPr>
          <w:rFonts w:ascii="宋体" w:hAnsi="宋体"/>
          <w:sz w:val="24"/>
          <w:highlight w:val="none"/>
        </w:rPr>
      </w:pPr>
      <w:r>
        <w:rPr>
          <w:rFonts w:hint="eastAsia" w:ascii="宋体" w:hAnsi="宋体"/>
          <w:sz w:val="24"/>
          <w:highlight w:val="none"/>
        </w:rPr>
        <w:t>（  ）质疑磋商文件</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1.质疑内容磋商文件</w:t>
      </w:r>
      <w:r>
        <w:rPr>
          <w:rFonts w:hint="eastAsia" w:ascii="宋体" w:hAnsi="宋体"/>
          <w:sz w:val="24"/>
          <w:highlight w:val="none"/>
          <w:u w:val="single"/>
        </w:rPr>
        <w:t xml:space="preserve">    </w:t>
      </w:r>
      <w:r>
        <w:rPr>
          <w:rFonts w:hint="eastAsia" w:ascii="宋体" w:hAnsi="宋体"/>
          <w:sz w:val="24"/>
          <w:highlight w:val="none"/>
        </w:rPr>
        <w:t xml:space="preserve">页，内容“ </w:t>
      </w:r>
      <w:r>
        <w:rPr>
          <w:rFonts w:hint="eastAsia" w:ascii="宋体" w:hAnsi="宋体"/>
          <w:sz w:val="24"/>
          <w:highlight w:val="none"/>
          <w:u w:val="single"/>
        </w:rPr>
        <w:t xml:space="preserve">                            </w:t>
      </w:r>
      <w:r>
        <w:rPr>
          <w:rFonts w:hint="eastAsia" w:ascii="宋体" w:hAnsi="宋体"/>
          <w:sz w:val="24"/>
          <w:highlight w:val="none"/>
        </w:rPr>
        <w:t xml:space="preserve"> ” 损害了我公司权益，</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我方请求磋商文件做如下修改：</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我方对磋商文件其他内容无质疑。</w:t>
      </w:r>
    </w:p>
    <w:p>
      <w:pPr>
        <w:spacing w:line="360" w:lineRule="auto"/>
        <w:ind w:right="120" w:firstLine="480"/>
        <w:rPr>
          <w:rFonts w:ascii="宋体" w:hAnsi="宋体"/>
          <w:sz w:val="24"/>
          <w:highlight w:val="none"/>
        </w:rPr>
      </w:pPr>
      <w:r>
        <w:rPr>
          <w:rFonts w:hint="eastAsia" w:ascii="宋体" w:hAnsi="宋体"/>
          <w:sz w:val="24"/>
          <w:highlight w:val="none"/>
        </w:rPr>
        <w:t>（  ）质疑采购过程</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日，在</w:t>
      </w:r>
      <w:r>
        <w:rPr>
          <w:rFonts w:hint="eastAsia" w:ascii="宋体" w:hAnsi="宋体"/>
          <w:sz w:val="24"/>
          <w:highlight w:val="none"/>
          <w:u w:val="single"/>
        </w:rPr>
        <w:t xml:space="preserve">                          </w:t>
      </w:r>
      <w:r>
        <w:rPr>
          <w:rFonts w:hint="eastAsia" w:ascii="宋体" w:hAnsi="宋体"/>
          <w:sz w:val="24"/>
          <w:highlight w:val="none"/>
        </w:rPr>
        <w:t>进行的（收取磋商文件（样品）、开标、谈判）过程，发生损害了我公司权益的事项，</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我方对其他采购过程无质疑。</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）质疑采购结果</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日公布的成交（成交）结果，发生损害了我公司权益的事项，</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我方对成交（成交）结果公告其他内容无质疑。</w:t>
      </w:r>
    </w:p>
    <w:p>
      <w:pPr>
        <w:widowControl/>
        <w:snapToGrid w:val="0"/>
        <w:spacing w:line="360" w:lineRule="auto"/>
        <w:ind w:firstLine="480" w:firstLineChars="200"/>
        <w:jc w:val="left"/>
        <w:rPr>
          <w:rFonts w:ascii="宋体" w:hAnsi="宋体"/>
          <w:sz w:val="24"/>
          <w:highlight w:val="none"/>
        </w:rPr>
      </w:pP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二、为维护我公司的合法权益，现要求贵方就上述质疑事项依照政府采购有关规定在限期内作出回复。</w:t>
      </w:r>
    </w:p>
    <w:p>
      <w:pPr>
        <w:widowControl/>
        <w:snapToGrid w:val="0"/>
        <w:spacing w:line="360" w:lineRule="auto"/>
        <w:jc w:val="left"/>
        <w:rPr>
          <w:rFonts w:ascii="宋体" w:hAnsi="宋体"/>
          <w:sz w:val="24"/>
          <w:highlight w:val="none"/>
        </w:rPr>
      </w:pP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质疑供应商</w:t>
      </w:r>
      <w:r>
        <w:rPr>
          <w:rFonts w:hint="eastAsia" w:ascii="宋体" w:hAnsi="宋体"/>
          <w:sz w:val="24"/>
          <w:highlight w:val="none"/>
          <w:u w:val="single"/>
        </w:rPr>
        <w:t xml:space="preserve">： （签章）    </w:t>
      </w:r>
      <w:r>
        <w:rPr>
          <w:rFonts w:hint="eastAsia" w:ascii="宋体" w:hAnsi="宋体"/>
          <w:sz w:val="24"/>
          <w:highlight w:val="none"/>
        </w:rPr>
        <w:t xml:space="preserve">   法定代表人：</w:t>
      </w:r>
      <w:r>
        <w:rPr>
          <w:rFonts w:hint="eastAsia" w:ascii="宋体" w:hAnsi="宋体"/>
          <w:sz w:val="24"/>
          <w:highlight w:val="none"/>
          <w:u w:val="single"/>
        </w:rPr>
        <w:t xml:space="preserve">        </w:t>
      </w:r>
      <w:r>
        <w:rPr>
          <w:rFonts w:hint="eastAsia" w:ascii="宋体" w:hAnsi="宋体"/>
          <w:sz w:val="24"/>
          <w:highlight w:val="none"/>
        </w:rPr>
        <w:t>（签名）</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项目联系人：</w:t>
      </w:r>
      <w:r>
        <w:rPr>
          <w:rFonts w:hint="eastAsia" w:ascii="宋体" w:hAnsi="宋体"/>
          <w:sz w:val="24"/>
          <w:highlight w:val="none"/>
          <w:u w:val="single"/>
        </w:rPr>
        <w:t xml:space="preserve">             </w:t>
      </w:r>
      <w:r>
        <w:rPr>
          <w:rFonts w:hint="eastAsia" w:ascii="宋体" w:hAnsi="宋体"/>
          <w:sz w:val="24"/>
          <w:highlight w:val="none"/>
        </w:rPr>
        <w:t xml:space="preserve">   电话（手机/座机）：</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地址：</w:t>
      </w:r>
      <w:r>
        <w:rPr>
          <w:rFonts w:hint="eastAsia" w:ascii="宋体" w:hAnsi="宋体"/>
          <w:sz w:val="24"/>
          <w:highlight w:val="none"/>
          <w:u w:val="single"/>
        </w:rPr>
        <w:t xml:space="preserve">                      </w:t>
      </w:r>
      <w:r>
        <w:rPr>
          <w:rFonts w:hint="eastAsia" w:ascii="宋体" w:hAnsi="宋体"/>
          <w:sz w:val="24"/>
          <w:highlight w:val="none"/>
        </w:rPr>
        <w:t>邮编：</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电子邮箱：</w:t>
      </w:r>
      <w:r>
        <w:rPr>
          <w:rFonts w:hint="eastAsia" w:ascii="宋体" w:hAnsi="宋体"/>
          <w:sz w:val="24"/>
          <w:highlight w:val="none"/>
          <w:u w:val="single"/>
        </w:rPr>
        <w:t xml:space="preserve">                  </w:t>
      </w:r>
      <w:r>
        <w:rPr>
          <w:rFonts w:hint="eastAsia" w:ascii="宋体" w:hAnsi="宋体"/>
          <w:sz w:val="24"/>
          <w:highlight w:val="none"/>
        </w:rPr>
        <w:t>传真：</w:t>
      </w:r>
      <w:r>
        <w:rPr>
          <w:rFonts w:hint="eastAsia" w:ascii="宋体" w:hAnsi="宋体"/>
          <w:sz w:val="24"/>
          <w:highlight w:val="none"/>
          <w:u w:val="single"/>
        </w:rPr>
        <w:t xml:space="preserve">          </w:t>
      </w:r>
    </w:p>
    <w:p>
      <w:pPr>
        <w:widowControl/>
        <w:tabs>
          <w:tab w:val="left" w:pos="6300"/>
        </w:tabs>
        <w:snapToGrid w:val="0"/>
        <w:spacing w:line="360" w:lineRule="auto"/>
        <w:jc w:val="righ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备注：</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1.每个质疑事项应有与之相对应的证据予以支持。质疑事项属于涉密的，应提供信息来源或有效证据。</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2.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pPr>
        <w:pStyle w:val="11"/>
        <w:spacing w:line="360" w:lineRule="auto"/>
        <w:ind w:left="-120" w:leftChars="-57" w:firstLine="527" w:firstLineChars="250"/>
        <w:rPr>
          <w:rFonts w:hAnsi="宋体"/>
          <w:b/>
          <w:bCs/>
          <w:highlight w:val="none"/>
          <w:u w:val="single"/>
        </w:rPr>
      </w:pPr>
      <w:r>
        <w:rPr>
          <w:rFonts w:hint="eastAsia" w:hAnsi="宋体"/>
          <w:b/>
          <w:bCs/>
          <w:highlight w:val="none"/>
          <w:u w:val="single"/>
        </w:rPr>
        <w:t>3.质疑书应</w:t>
      </w:r>
      <w:r>
        <w:rPr>
          <w:rFonts w:hint="eastAsia" w:hAnsi="宋体"/>
          <w:b/>
          <w:bCs/>
          <w:highlight w:val="none"/>
          <w:u w:val="single"/>
          <w:lang w:val="en-GB"/>
        </w:rPr>
        <w:t>当包括</w:t>
      </w:r>
      <w:r>
        <w:rPr>
          <w:rFonts w:hint="eastAsia" w:hAnsi="宋体"/>
          <w:b/>
          <w:bCs/>
          <w:highlight w:val="none"/>
          <w:u w:val="single"/>
        </w:rPr>
        <w:t>但不限于</w:t>
      </w:r>
      <w:r>
        <w:rPr>
          <w:rFonts w:hint="eastAsia" w:hAnsi="宋体"/>
          <w:b/>
          <w:bCs/>
          <w:highlight w:val="none"/>
          <w:u w:val="single"/>
          <w:lang w:val="en-GB"/>
        </w:rPr>
        <w:t>以下主要内容：被质疑项目名称、项目编号、标段（</w:t>
      </w:r>
      <w:r>
        <w:rPr>
          <w:rFonts w:hint="eastAsia" w:hAnsi="宋体"/>
          <w:b/>
          <w:bCs/>
          <w:highlight w:val="none"/>
          <w:u w:val="single"/>
        </w:rPr>
        <w:t>如果有</w:t>
      </w:r>
      <w:r>
        <w:rPr>
          <w:rFonts w:hint="eastAsia" w:hAnsi="宋体"/>
          <w:b/>
          <w:bCs/>
          <w:highlight w:val="none"/>
          <w:u w:val="single"/>
          <w:lang w:val="en-GB"/>
        </w:rPr>
        <w:t>）、采购公告发布时间、质疑事项、权益受损害的情况说明及受损害的原因、证据材料、法律依据（具体条款）、质疑供应商有效联系方式等。</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rPr>
        <w:t>4.</w:t>
      </w:r>
      <w:r>
        <w:rPr>
          <w:rFonts w:hint="eastAsia" w:hAnsi="宋体"/>
          <w:b/>
          <w:bCs/>
          <w:highlight w:val="none"/>
          <w:u w:val="single"/>
          <w:lang w:val="en-GB"/>
        </w:rPr>
        <w:t>质疑书应当由法定代表人签字并加盖公章，公章不得以合同章或其他印章代替；</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rPr>
        <w:t>5.</w:t>
      </w:r>
      <w:r>
        <w:rPr>
          <w:rFonts w:hint="eastAsia" w:hAnsi="宋体"/>
          <w:b/>
          <w:bCs/>
          <w:highlight w:val="none"/>
          <w:u w:val="single"/>
          <w:lang w:val="en-GB"/>
        </w:rPr>
        <w:t>质疑供应商可以委托代理人办理质疑事项，代理人办理质疑事项时，除提交质疑书外，还应当提交质疑供应商的授权委托书及代理人的有效身份证明，授权委托书应当载明委托代理的具体权限和事项。</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不按上述要求拟写的质疑函，</w:t>
      </w:r>
      <w:r>
        <w:rPr>
          <w:rFonts w:hint="eastAsia" w:hAnsi="宋体"/>
          <w:b/>
          <w:bCs/>
          <w:highlight w:val="none"/>
          <w:u w:val="single"/>
        </w:rPr>
        <w:t>采购人、采购代理机构</w:t>
      </w:r>
      <w:r>
        <w:rPr>
          <w:rFonts w:hint="eastAsia" w:hAnsi="宋体"/>
          <w:b/>
          <w:bCs/>
          <w:highlight w:val="none"/>
          <w:u w:val="single"/>
          <w:lang w:val="en-GB"/>
        </w:rPr>
        <w:t>将有可能不予受理。</w:t>
      </w: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jc w:val="center"/>
        <w:outlineLvl w:val="0"/>
        <w:rPr>
          <w:rFonts w:ascii="黑体" w:hAnsi="仿宋" w:eastAsia="黑体" w:cs="仿宋"/>
          <w:b/>
          <w:sz w:val="32"/>
          <w:szCs w:val="32"/>
          <w:highlight w:val="none"/>
          <w:lang w:val="en-GB"/>
        </w:rPr>
      </w:pPr>
      <w:bookmarkStart w:id="580" w:name="_Toc928"/>
      <w:r>
        <w:rPr>
          <w:rFonts w:hint="eastAsia" w:ascii="黑体" w:hAnsi="仿宋" w:eastAsia="黑体" w:cs="仿宋"/>
          <w:b/>
          <w:sz w:val="32"/>
          <w:szCs w:val="32"/>
          <w:highlight w:val="none"/>
          <w:lang w:val="en-GB"/>
        </w:rPr>
        <w:t>封袋正面标识式样</w:t>
      </w:r>
      <w:bookmarkEnd w:id="580"/>
    </w:p>
    <w:p>
      <w:pPr>
        <w:spacing w:line="360" w:lineRule="atLeast"/>
        <w:jc w:val="center"/>
        <w:outlineLvl w:val="9"/>
        <w:rPr>
          <w:rFonts w:ascii="黑体" w:hAnsi="仿宋" w:eastAsia="黑体" w:cs="仿宋"/>
          <w:b/>
          <w:sz w:val="24"/>
          <w:highlight w:val="none"/>
          <w:lang w:val="en-GB"/>
        </w:rPr>
      </w:pPr>
    </w:p>
    <w:p>
      <w:pPr>
        <w:pStyle w:val="19"/>
        <w:adjustRightInd w:val="0"/>
        <w:snapToGrid w:val="0"/>
        <w:spacing w:before="0" w:beforeAutospacing="0" w:after="0" w:afterAutospacing="0" w:line="360" w:lineRule="auto"/>
        <w:ind w:firstLine="481"/>
        <w:jc w:val="both"/>
        <w:outlineLvl w:val="9"/>
        <w:rPr>
          <w:b/>
          <w:bCs/>
          <w:color w:val="auto"/>
          <w:kern w:val="2"/>
          <w:highlight w:val="none"/>
        </w:rPr>
      </w:pPr>
      <w:r>
        <w:rPr>
          <w:rFonts w:hint="eastAsia"/>
          <w:b/>
          <w:bCs/>
          <w:color w:val="auto"/>
          <w:kern w:val="2"/>
          <w:highlight w:val="none"/>
        </w:rPr>
        <w:t>格式A：响应文件封袋正面标识式样</w:t>
      </w:r>
    </w:p>
    <w:p>
      <w:pPr>
        <w:pStyle w:val="19"/>
        <w:adjustRightInd w:val="0"/>
        <w:snapToGrid w:val="0"/>
        <w:spacing w:before="0" w:beforeAutospacing="0" w:after="0" w:afterAutospacing="0" w:line="360" w:lineRule="auto"/>
        <w:ind w:left="479" w:leftChars="228" w:firstLine="65" w:firstLineChars="27"/>
        <w:jc w:val="both"/>
        <w:outlineLvl w:val="9"/>
        <w:rPr>
          <w:b/>
          <w:bCs/>
          <w:color w:val="auto"/>
          <w:kern w:val="2"/>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027"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响应文件（正本）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2W8ddQAAAAFAQAADwAAAAAAAAABACAAAAAiAAAAZHJz&#10;L2Rvd25yZXYueG1sUEsBAhQAFAAAAAgAh07iQF0K/iwIAgAAMAQAAA4AAAAAAAAAAQAgAAAAIwEA&#10;AGRycy9lMm9Eb2MueG1sUEsFBgAAAAAGAAYAWQEAAJ0FA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响应文件（正本）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r>
        <w:rPr>
          <w:rFonts w:hint="eastAsia"/>
          <w:b/>
          <w:bCs/>
          <w:color w:val="auto"/>
          <w:kern w:val="2"/>
          <w:highlight w:val="none"/>
        </w:rPr>
        <w:t>格式</w:t>
      </w:r>
      <w:r>
        <w:rPr>
          <w:rFonts w:hint="eastAsia"/>
          <w:b/>
          <w:bCs/>
          <w:color w:val="auto"/>
          <w:kern w:val="2"/>
          <w:highlight w:val="none"/>
          <w:lang w:val="en-US" w:eastAsia="zh-CN"/>
        </w:rPr>
        <w:t>B</w:t>
      </w:r>
      <w:r>
        <w:rPr>
          <w:rFonts w:hint="eastAsia"/>
          <w:b/>
          <w:bCs/>
          <w:color w:val="auto"/>
          <w:kern w:val="2"/>
          <w:highlight w:val="none"/>
        </w:rPr>
        <w:t>：响应文件封袋正面标识式样</w:t>
      </w:r>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响应文件（副本）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CDZrzgQCAAAtBAAADgAAAAAAAAABACAAAAAjAQAAZHJz&#10;L2Uyb0RvYy54bWxQSwUGAAAAAAYABgBZAQAAmQ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响应文件（副本）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1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1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19"/>
        <w:adjustRightInd w:val="0"/>
        <w:snapToGrid w:val="0"/>
        <w:spacing w:before="0" w:beforeAutospacing="0" w:after="0" w:afterAutospacing="0" w:line="360" w:lineRule="auto"/>
        <w:ind w:firstLine="481"/>
        <w:jc w:val="both"/>
        <w:outlineLvl w:val="9"/>
        <w:rPr>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C</w:t>
      </w:r>
      <w:r>
        <w:rPr>
          <w:rFonts w:hint="eastAsia"/>
          <w:b/>
          <w:bCs/>
          <w:color w:val="auto"/>
          <w:kern w:val="2"/>
          <w:highlight w:val="none"/>
        </w:rPr>
        <w:t>：响应文件封袋正面标识式样</w:t>
      </w:r>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2"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响应文件（电子版本）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6rBmAQCAAAtBAAADgAAAAAAAAABACAAAAAjAQAAZHJz&#10;L2Uyb0RvYy54bWxQSwUGAAAAAAYABgBZAQAAmQ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响应文件（电子版本）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bookmarkStart w:id="581" w:name="_Toc30521"/>
      <w:r>
        <w:rPr>
          <w:rFonts w:hint="eastAsia"/>
          <w:b/>
          <w:bCs/>
          <w:color w:val="auto"/>
          <w:kern w:val="2"/>
          <w:highlight w:val="none"/>
        </w:rPr>
        <w:t>格式</w:t>
      </w:r>
      <w:r>
        <w:rPr>
          <w:rFonts w:hint="eastAsia"/>
          <w:b/>
          <w:bCs/>
          <w:color w:val="auto"/>
          <w:kern w:val="2"/>
          <w:highlight w:val="none"/>
          <w:lang w:val="en-US" w:eastAsia="zh-CN"/>
        </w:rPr>
        <w:t>D</w:t>
      </w:r>
      <w:r>
        <w:rPr>
          <w:rFonts w:hint="eastAsia"/>
          <w:b/>
          <w:bCs/>
          <w:color w:val="auto"/>
          <w:kern w:val="2"/>
          <w:highlight w:val="none"/>
        </w:rPr>
        <w:t>：</w:t>
      </w:r>
      <w:r>
        <w:rPr>
          <w:rFonts w:hint="eastAsia"/>
          <w:b/>
          <w:bCs/>
          <w:color w:val="auto"/>
          <w:kern w:val="2"/>
          <w:highlight w:val="none"/>
          <w:lang w:val="en-US" w:eastAsia="zh-CN"/>
        </w:rPr>
        <w:t>首次</w:t>
      </w:r>
      <w:r>
        <w:rPr>
          <w:rFonts w:hint="eastAsia"/>
          <w:b/>
          <w:bCs/>
          <w:color w:val="auto"/>
          <w:kern w:val="2"/>
          <w:highlight w:val="none"/>
        </w:rPr>
        <w:t>报价一览表封袋正面标识式样</w:t>
      </w:r>
      <w:bookmarkEnd w:id="581"/>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41395"/>
                <wp:effectExtent l="4445" t="4445" r="14605" b="16510"/>
                <wp:docPr id="1028" name="文本框 3"/>
                <wp:cNvGraphicFramePr/>
                <a:graphic xmlns:a="http://schemas.openxmlformats.org/drawingml/2006/main">
                  <a:graphicData uri="http://schemas.microsoft.com/office/word/2010/wordprocessingShape">
                    <wps:wsp>
                      <wps:cNvSpPr/>
                      <wps:spPr>
                        <a:xfrm>
                          <a:off x="0" y="0"/>
                          <a:ext cx="5791200" cy="3541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仿宋_GB2312" w:hAnsi="宋体" w:eastAsia="仿宋_GB2312"/>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lang w:val="en-US" w:eastAsia="zh-CN"/>
                              </w:rPr>
                              <w:t>首次</w:t>
                            </w:r>
                            <w:r>
                              <w:rPr>
                                <w:rFonts w:hint="eastAsia" w:ascii="黑体" w:hAnsi="黑体" w:eastAsia="黑体" w:cs="黑体"/>
                                <w:b/>
                                <w:sz w:val="40"/>
                                <w:szCs w:val="40"/>
                              </w:rPr>
                              <w:t>报价一览表</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rPr>
                                <w:rFonts w:ascii="仿宋" w:hAnsi="仿宋" w:eastAsia="仿宋" w:cs="仿宋"/>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txbxContent>
                      </wps:txbx>
                      <wps:bodyPr upright="1"/>
                    </wps:wsp>
                  </a:graphicData>
                </a:graphic>
              </wp:inline>
            </w:drawing>
          </mc:Choice>
          <mc:Fallback>
            <w:pict>
              <v:rect id="文本框 3" o:spid="_x0000_s1026" o:spt="1" style="height:278.85pt;width:456pt;" fillcolor="#FFFFFF" filled="t" stroked="t" coordsize="21600,21600" o:gfxdata="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GK4i1AAAAAUBAAAPAAAAAAAAAAEAIAAAACIAAABkcnMv&#10;ZG93bnJldi54bWxQSwECFAAUAAAACACHTuJABeLR1QcCAAAwBAAADgAAAAAAAAABACAAAAAjAQAA&#10;ZHJzL2Uyb0RvYy54bWxQSwUGAAAAAAYABgBZAQAAnA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仿宋_GB2312" w:hAnsi="宋体" w:eastAsia="仿宋_GB2312"/>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lang w:val="en-US" w:eastAsia="zh-CN"/>
                        </w:rPr>
                        <w:t>首次</w:t>
                      </w:r>
                      <w:r>
                        <w:rPr>
                          <w:rFonts w:hint="eastAsia" w:ascii="黑体" w:hAnsi="黑体" w:eastAsia="黑体" w:cs="黑体"/>
                          <w:b/>
                          <w:sz w:val="40"/>
                          <w:szCs w:val="40"/>
                        </w:rPr>
                        <w:t>报价一览表</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rPr>
                          <w:rFonts w:ascii="仿宋" w:hAnsi="仿宋" w:eastAsia="仿宋" w:cs="仿宋"/>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txbxContent>
                </v:textbox>
                <w10:wrap type="none"/>
                <w10:anchorlock/>
              </v:rect>
            </w:pict>
          </mc:Fallback>
        </mc:AlternateContent>
      </w:r>
    </w:p>
    <w:p>
      <w:pPr>
        <w:spacing w:line="360" w:lineRule="auto"/>
        <w:ind w:firstLine="482" w:firstLineChars="200"/>
        <w:outlineLvl w:val="9"/>
        <w:rPr>
          <w:rFonts w:hint="eastAsia" w:ascii="仿宋_GB2312" w:hAnsi="仿宋" w:eastAsia="仿宋_GB2312" w:cs="仿宋"/>
          <w:b/>
          <w:sz w:val="24"/>
          <w:highlight w:val="none"/>
        </w:rPr>
      </w:pPr>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bookmarkStart w:id="582" w:name="_Toc7421"/>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E</w:t>
      </w:r>
      <w:r>
        <w:rPr>
          <w:rFonts w:hint="eastAsia"/>
          <w:b/>
          <w:bCs/>
          <w:color w:val="auto"/>
          <w:kern w:val="2"/>
          <w:highlight w:val="none"/>
        </w:rPr>
        <w:t>：资格证明文件证明材料原件文件封袋正面标识式样</w:t>
      </w:r>
      <w:bookmarkEnd w:id="582"/>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029" name="文本框 5"/>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资格证明文件证明材料原件</w:t>
                            </w: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5"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&#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jZbx11AAAAAUBAAAPAAAAAAAAAAEAIAAAACIAAABk&#10;cnMvZG93bnJldi54bWxQSwECFAAUAAAACACHTuJAlZGQQQoCAAAwBAAADgAAAAAAAAABACAAAAAj&#10;AQAAZHJzL2Uyb0RvYy54bWxQSwUGAAAAAAYABgBZAQAAnw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资格证明文件证明材料原件</w:t>
                      </w: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bookmarkStart w:id="583" w:name="_Toc1342"/>
      <w:r>
        <w:rPr>
          <w:rFonts w:hint="eastAsia"/>
          <w:b/>
          <w:bCs/>
          <w:color w:val="auto"/>
          <w:kern w:val="2"/>
          <w:highlight w:val="none"/>
        </w:rPr>
        <w:t>格式</w:t>
      </w:r>
      <w:r>
        <w:rPr>
          <w:rFonts w:hint="eastAsia"/>
          <w:b/>
          <w:bCs/>
          <w:color w:val="auto"/>
          <w:kern w:val="2"/>
          <w:highlight w:val="none"/>
          <w:lang w:val="en-US" w:eastAsia="zh-CN"/>
        </w:rPr>
        <w:t>F</w:t>
      </w:r>
      <w:r>
        <w:rPr>
          <w:rFonts w:hint="eastAsia"/>
          <w:b/>
          <w:bCs/>
          <w:color w:val="auto"/>
          <w:kern w:val="2"/>
          <w:highlight w:val="none"/>
        </w:rPr>
        <w:t>：评审证明材料文件封袋正面标识式样</w:t>
      </w:r>
      <w:bookmarkEnd w:id="583"/>
    </w:p>
    <w:p>
      <w:pPr>
        <w:spacing w:line="360" w:lineRule="auto"/>
        <w:ind w:firstLine="482" w:firstLineChars="200"/>
        <w:outlineLvl w:val="9"/>
        <w:rPr>
          <w:rFonts w:hint="eastAsia" w:ascii="仿宋_GB2312" w:hAnsi="仿宋" w:eastAsia="仿宋_GB2312" w:cs="仿宋"/>
          <w:b/>
          <w:sz w:val="24"/>
          <w:highlight w:val="none"/>
        </w:rPr>
        <w:sectPr>
          <w:pgSz w:w="11906" w:h="16838"/>
          <w:pgMar w:top="1440" w:right="1080" w:bottom="1440" w:left="1080" w:header="851" w:footer="992" w:gutter="0"/>
          <w:pgNumType w:fmt="decimal"/>
          <w:cols w:space="425" w:num="1"/>
          <w:docGrid w:type="lines" w:linePitch="312" w:charSpace="0"/>
        </w:sectPr>
      </w:pPr>
      <w:r>
        <w:rPr>
          <w:rFonts w:hint="eastAsia" w:ascii="仿宋_GB2312" w:hAnsi="仿宋" w:eastAsia="仿宋_GB2312" w:cs="仿宋"/>
          <w:b/>
          <w:sz w:val="24"/>
          <w:highlight w:val="none"/>
        </w:rPr>
        <mc:AlternateContent>
          <mc:Choice Requires="wps">
            <w:drawing>
              <wp:inline distT="0" distB="0" distL="0" distR="0">
                <wp:extent cx="5791200" cy="3532505"/>
                <wp:effectExtent l="4445" t="4445" r="14605" b="6350"/>
                <wp:docPr id="1030" name="文本框 6"/>
                <wp:cNvGraphicFramePr/>
                <a:graphic xmlns:a="http://schemas.openxmlformats.org/drawingml/2006/main">
                  <a:graphicData uri="http://schemas.microsoft.com/office/word/2010/wordprocessingShape">
                    <wps:wsp>
                      <wps:cNvSpPr/>
                      <wps:spPr>
                        <a:xfrm>
                          <a:off x="0" y="0"/>
                          <a:ext cx="5791200" cy="3532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评审证明材料</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6" o:spid="_x0000_s1026" o:spt="1" style="height:278.15pt;width:456pt;" fillcolor="#FFFFFF" filled="t" stroked="t" coordsize="21600,21600" o:gfxdata="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LqGu1AAAAAUBAAAPAAAAAAAAAAEAIAAAACIAAABkcnMv&#10;ZG93bnJldi54bWxQSwECFAAUAAAACACHTuJAtW+RIQcCAAAwBAAADgAAAAAAAAABACAAAAAjAQAA&#10;ZHJzL2Uyb0RvYy54bWxQSwUGAAAAAAYABgBZAQAAnA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评审证明材料</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2"/>
        <w:rPr>
          <w:rFonts w:hint="eastAsia"/>
          <w:highlight w:val="none"/>
        </w:rPr>
      </w:pPr>
    </w:p>
    <w:sectPr>
      <w:type w:val="continuous"/>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double" w:color="auto" w:sz="8" w:space="1"/>
      </w:pBdr>
      <w:jc w:val="left"/>
      <w:rPr>
        <w:rFonts w:hint="eastAsia" w:ascii="黑体" w:hAnsi="黑体" w:eastAsia="黑体" w:cs="黑体"/>
        <w:kern w:val="2"/>
      </w:rPr>
    </w:pPr>
    <w:r>
      <mc:AlternateContent>
        <mc:Choice Requires="wps">
          <w:drawing>
            <wp:anchor distT="0" distB="0" distL="114300" distR="114300" simplePos="0" relativeHeight="251660288" behindDoc="0" locked="0" layoutInCell="1" allowOverlap="1">
              <wp:simplePos x="0" y="0"/>
              <wp:positionH relativeFrom="margin">
                <wp:posOffset>2515235</wp:posOffset>
              </wp:positionH>
              <wp:positionV relativeFrom="paragraph">
                <wp:posOffset>0</wp:posOffset>
              </wp:positionV>
              <wp:extent cx="1118235" cy="2965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18235" cy="296545"/>
                      </a:xfrm>
                      <a:prstGeom prst="rect">
                        <a:avLst/>
                      </a:prstGeom>
                      <a:noFill/>
                      <a:ln w="9525">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90</w:t>
                          </w:r>
                          <w:r>
                            <w:rPr>
                              <w:rFonts w:hint="eastAsia"/>
                              <w:sz w:val="18"/>
                            </w:rPr>
                            <w:fldChar w:fldCharType="end"/>
                          </w:r>
                          <w:r>
                            <w:rPr>
                              <w:rFonts w:hint="eastAsia"/>
                              <w:sz w:val="18"/>
                            </w:rPr>
                            <w:t xml:space="preserve"> 页</w:t>
                          </w:r>
                        </w:p>
                      </w:txbxContent>
                    </wps:txbx>
                    <wps:bodyPr lIns="0" tIns="0" rIns="0" bIns="0" upright="0"/>
                  </wps:wsp>
                </a:graphicData>
              </a:graphic>
            </wp:anchor>
          </w:drawing>
        </mc:Choice>
        <mc:Fallback>
          <w:pict>
            <v:shape id="_x0000_s1026" o:spid="_x0000_s1026" o:spt="202" type="#_x0000_t202" style="position:absolute;left:0pt;margin-left:198.05pt;margin-top:0pt;height:23.35pt;width:88.05pt;mso-position-horizontal-relative:margin;z-index:251660288;mso-width-relative:page;mso-height-relative:page;" filled="f" stroked="f" coordsize="21600,21600" o:gfxdata="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uTVnDXAAAABwEAAA8AAAAAAAAAAQAgAAAAIgAAAGRycy9kb3ducmV2&#10;LnhtbFBLAQIUABQAAAAIAIdO4kCT3DjexAEAAHsDAAAOAAAAAAAAAAEAIAAAACYBAABkcnMvZTJv&#10;RG9jLnhtbFBLBQYAAAAABgAGAFkBAABcBQAAAAA=&#10;">
              <v:fill on="f" focussize="0,0"/>
              <v:stroke on="f"/>
              <v:imagedata o:title=""/>
              <o:lock v:ext="edit" aspectratio="f"/>
              <v:textbox inset="0mm,0mm,0mm,0mm">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90</w:t>
                    </w:r>
                    <w:r>
                      <w:rPr>
                        <w:rFonts w:hint="eastAsia"/>
                        <w:sz w:val="18"/>
                      </w:rPr>
                      <w:fldChar w:fldCharType="end"/>
                    </w:r>
                    <w:r>
                      <w:rPr>
                        <w:rFonts w:hint="eastAsia"/>
                        <w:sz w:val="18"/>
                      </w:rPr>
                      <w:t xml:space="preserve"> 页</w:t>
                    </w:r>
                  </w:p>
                </w:txbxContent>
              </v:textbox>
            </v:shape>
          </w:pict>
        </mc:Fallback>
      </mc:AlternateContent>
    </w:r>
    <w:r>
      <w:rPr>
        <w:rFonts w:hint="eastAsia" w:ascii="黑体" w:hAnsi="黑体" w:eastAsia="黑体" w:cs="黑体"/>
        <w:kern w:val="2"/>
      </w:rPr>
      <w:t>陕西德勤招标有限公司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double" w:color="auto" w:sz="8" w:space="1"/>
      </w:pBdr>
      <w:jc w:val="left"/>
      <w:rPr>
        <w:rFonts w:hint="eastAsia" w:ascii="黑体" w:hAnsi="黑体" w:eastAsia="黑体" w:cs="黑体"/>
        <w:kern w:val="2"/>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9504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5045" cy="1828800"/>
                      </a:xfrm>
                      <a:prstGeom prst="rect">
                        <a:avLst/>
                      </a:prstGeom>
                      <a:noFill/>
                      <a:ln w="9525">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76</w:t>
                          </w:r>
                          <w:r>
                            <w:rPr>
                              <w:rFonts w:hint="eastAsia"/>
                              <w:sz w:val="18"/>
                            </w:rPr>
                            <w:fldChar w:fldCharType="end"/>
                          </w:r>
                          <w:r>
                            <w:rPr>
                              <w:rFonts w:hint="eastAsia"/>
                              <w:sz w:val="18"/>
                            </w:rP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78.35pt;mso-position-horizontal:center;mso-position-horizontal-relative:margin;z-index:251660288;mso-width-relative:page;mso-height-relative:page;" filled="f" stroked="f" coordsize="21600,21600" o:gfxdata="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7eYMs0wAAAAUBAAAPAAAAAAAAAAEAIAAAACIAAABkcnMv&#10;ZG93bnJldi54bWxQSwECFAAUAAAACACHTuJAnkB/cs8BAACVAwAADgAAAAAAAAABACAAAAAi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76</w:t>
                    </w:r>
                    <w:r>
                      <w:rPr>
                        <w:rFonts w:hint="eastAsia"/>
                        <w:sz w:val="18"/>
                      </w:rPr>
                      <w:fldChar w:fldCharType="end"/>
                    </w:r>
                    <w:r>
                      <w:rPr>
                        <w:rFonts w:hint="eastAsia"/>
                        <w:sz w:val="18"/>
                      </w:rPr>
                      <w:t xml:space="preserve"> 页</w:t>
                    </w:r>
                  </w:p>
                </w:txbxContent>
              </v:textbox>
            </v:shape>
          </w:pict>
        </mc:Fallback>
      </mc:AlternateContent>
    </w:r>
    <w:r>
      <w:rPr>
        <w:rFonts w:hint="eastAsia" w:ascii="黑体" w:hAnsi="黑体" w:eastAsia="黑体" w:cs="黑体"/>
        <w:kern w:val="2"/>
        <w:lang w:val="en-US" w:eastAsia="zh-CN"/>
      </w:rPr>
      <w:t>陕西德勤招标有限公司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double" w:color="auto" w:sz="8" w:space="1"/>
      </w:pBdr>
      <w:jc w:val="left"/>
      <w:rPr>
        <w:rFonts w:hint="eastAsia" w:ascii="黑体" w:hAnsi="黑体" w:eastAsia="黑体" w:cs="黑体"/>
        <w:kern w:val="2"/>
      </w:rPr>
    </w:pPr>
    <w:r>
      <w:rPr>
        <w:rFonts w:hint="eastAsia" w:ascii="黑体" w:hAnsi="黑体" w:eastAsia="黑体" w:cs="黑体"/>
        <w:kern w:val="2"/>
        <w:highlight w:val="none"/>
        <w:lang w:val="en-US" w:eastAsia="zh-CN"/>
      </w:rPr>
      <w:t>陕西省总工会2022年信息系统安全态势感知服务项目</w:t>
    </w:r>
    <w:r>
      <w:rPr>
        <w:rFonts w:hint="eastAsia" w:ascii="黑体" w:hAnsi="黑体" w:eastAsia="黑体" w:cs="黑体"/>
        <w:kern w:val="2"/>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24760A28"/>
    <w:multiLevelType w:val="multilevel"/>
    <w:tmpl w:val="24760A28"/>
    <w:lvl w:ilvl="0" w:tentative="0">
      <w:start w:val="5"/>
      <w:numFmt w:val="decimal"/>
      <w:lvlText w:val="%1"/>
      <w:lvlJc w:val="left"/>
      <w:pPr>
        <w:ind w:left="360" w:hanging="360"/>
      </w:pPr>
      <w:rPr>
        <w:rFonts w:hint="default"/>
        <w:color w:val="auto"/>
        <w:sz w:val="21"/>
      </w:rPr>
    </w:lvl>
    <w:lvl w:ilvl="1" w:tentative="0">
      <w:start w:val="1"/>
      <w:numFmt w:val="decimal"/>
      <w:lvlText w:val="%1.%2"/>
      <w:lvlJc w:val="left"/>
      <w:pPr>
        <w:ind w:left="360" w:hanging="360"/>
      </w:pPr>
      <w:rPr>
        <w:rFonts w:hint="default"/>
        <w:color w:val="auto"/>
        <w:sz w:val="21"/>
      </w:rPr>
    </w:lvl>
    <w:lvl w:ilvl="2" w:tentative="0">
      <w:start w:val="1"/>
      <w:numFmt w:val="decimal"/>
      <w:lvlText w:val="%1.%2.%3"/>
      <w:lvlJc w:val="left"/>
      <w:pPr>
        <w:ind w:left="720" w:hanging="720"/>
      </w:pPr>
      <w:rPr>
        <w:rFonts w:hint="default"/>
        <w:color w:val="auto"/>
        <w:sz w:val="21"/>
      </w:rPr>
    </w:lvl>
    <w:lvl w:ilvl="3" w:tentative="0">
      <w:start w:val="1"/>
      <w:numFmt w:val="decimal"/>
      <w:lvlText w:val="%1.%2.%3.%4"/>
      <w:lvlJc w:val="left"/>
      <w:pPr>
        <w:ind w:left="1080" w:hanging="1080"/>
      </w:pPr>
      <w:rPr>
        <w:rFonts w:hint="default"/>
        <w:color w:val="auto"/>
        <w:sz w:val="21"/>
      </w:rPr>
    </w:lvl>
    <w:lvl w:ilvl="4" w:tentative="0">
      <w:start w:val="1"/>
      <w:numFmt w:val="decimal"/>
      <w:lvlText w:val="%1.%2.%3.%4.%5"/>
      <w:lvlJc w:val="left"/>
      <w:pPr>
        <w:ind w:left="1080" w:hanging="1080"/>
      </w:pPr>
      <w:rPr>
        <w:rFonts w:hint="default"/>
        <w:color w:val="auto"/>
        <w:sz w:val="21"/>
      </w:rPr>
    </w:lvl>
    <w:lvl w:ilvl="5" w:tentative="0">
      <w:start w:val="1"/>
      <w:numFmt w:val="decimal"/>
      <w:lvlText w:val="%1.%2.%3.%4.%5.%6"/>
      <w:lvlJc w:val="left"/>
      <w:pPr>
        <w:ind w:left="1440" w:hanging="1440"/>
      </w:pPr>
      <w:rPr>
        <w:rFonts w:hint="default"/>
        <w:color w:val="auto"/>
        <w:sz w:val="21"/>
      </w:rPr>
    </w:lvl>
    <w:lvl w:ilvl="6" w:tentative="0">
      <w:start w:val="1"/>
      <w:numFmt w:val="decimal"/>
      <w:lvlText w:val="%1.%2.%3.%4.%5.%6.%7"/>
      <w:lvlJc w:val="left"/>
      <w:pPr>
        <w:ind w:left="1440" w:hanging="1440"/>
      </w:pPr>
      <w:rPr>
        <w:rFonts w:hint="default"/>
        <w:color w:val="auto"/>
        <w:sz w:val="21"/>
      </w:rPr>
    </w:lvl>
    <w:lvl w:ilvl="7" w:tentative="0">
      <w:start w:val="1"/>
      <w:numFmt w:val="decimal"/>
      <w:lvlText w:val="%1.%2.%3.%4.%5.%6.%7.%8"/>
      <w:lvlJc w:val="left"/>
      <w:pPr>
        <w:ind w:left="1800" w:hanging="1800"/>
      </w:pPr>
      <w:rPr>
        <w:rFonts w:hint="default"/>
        <w:color w:val="auto"/>
        <w:sz w:val="21"/>
      </w:rPr>
    </w:lvl>
    <w:lvl w:ilvl="8" w:tentative="0">
      <w:start w:val="1"/>
      <w:numFmt w:val="decimal"/>
      <w:lvlText w:val="%1.%2.%3.%4.%5.%6.%7.%8.%9"/>
      <w:lvlJc w:val="left"/>
      <w:pPr>
        <w:ind w:left="2160" w:hanging="2160"/>
      </w:pPr>
      <w:rPr>
        <w:rFonts w:hint="default"/>
        <w:color w:val="auto"/>
        <w:sz w:val="21"/>
      </w:rPr>
    </w:lvl>
  </w:abstractNum>
  <w:abstractNum w:abstractNumId="2">
    <w:nsid w:val="35716BA9"/>
    <w:multiLevelType w:val="multilevel"/>
    <w:tmpl w:val="35716BA9"/>
    <w:lvl w:ilvl="0" w:tentative="0">
      <w:start w:val="1"/>
      <w:numFmt w:val="decimal"/>
      <w:lvlText w:val="%1."/>
      <w:lvlJc w:val="left"/>
      <w:pPr>
        <w:ind w:left="360" w:hanging="360"/>
      </w:pPr>
      <w:rPr>
        <w:rFonts w:hint="default"/>
      </w:rPr>
    </w:lvl>
    <w:lvl w:ilvl="1" w:tentative="0">
      <w:start w:val="1"/>
      <w:numFmt w:val="decimal"/>
      <w:isLgl/>
      <w:lvlText w:val="%1.%2"/>
      <w:lvlJc w:val="left"/>
      <w:pPr>
        <w:ind w:left="420" w:hanging="4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Y2Q2ZDZjZTljNzY1MjNlOTIyNjVkNTQyYTk0OGYifQ=="/>
  </w:docVars>
  <w:rsids>
    <w:rsidRoot w:val="650F530E"/>
    <w:rsid w:val="0060727A"/>
    <w:rsid w:val="01392227"/>
    <w:rsid w:val="01E36F83"/>
    <w:rsid w:val="024C78F9"/>
    <w:rsid w:val="028445EC"/>
    <w:rsid w:val="03534455"/>
    <w:rsid w:val="0375430C"/>
    <w:rsid w:val="03CE3EC1"/>
    <w:rsid w:val="03EE0A1C"/>
    <w:rsid w:val="06861187"/>
    <w:rsid w:val="068D5C4C"/>
    <w:rsid w:val="071977CA"/>
    <w:rsid w:val="07743DDC"/>
    <w:rsid w:val="08285411"/>
    <w:rsid w:val="09660AAA"/>
    <w:rsid w:val="09AB18D7"/>
    <w:rsid w:val="09CE4698"/>
    <w:rsid w:val="0A3B3B14"/>
    <w:rsid w:val="0C3342E6"/>
    <w:rsid w:val="0C8C4370"/>
    <w:rsid w:val="0CA4781F"/>
    <w:rsid w:val="0DEA2616"/>
    <w:rsid w:val="0E2D6EE3"/>
    <w:rsid w:val="0E5B539D"/>
    <w:rsid w:val="0EA35FE3"/>
    <w:rsid w:val="0F272618"/>
    <w:rsid w:val="0F8C6A7D"/>
    <w:rsid w:val="0F9D3A55"/>
    <w:rsid w:val="0FA15454"/>
    <w:rsid w:val="0FE87B2E"/>
    <w:rsid w:val="100F64D3"/>
    <w:rsid w:val="119E5C63"/>
    <w:rsid w:val="11A445D7"/>
    <w:rsid w:val="11E76F04"/>
    <w:rsid w:val="127021BC"/>
    <w:rsid w:val="12FE6DF1"/>
    <w:rsid w:val="13705C7A"/>
    <w:rsid w:val="1408553C"/>
    <w:rsid w:val="140F22EF"/>
    <w:rsid w:val="14B1213B"/>
    <w:rsid w:val="14E34033"/>
    <w:rsid w:val="156E6238"/>
    <w:rsid w:val="16CF452D"/>
    <w:rsid w:val="18C654B9"/>
    <w:rsid w:val="1A0A54AD"/>
    <w:rsid w:val="1B942062"/>
    <w:rsid w:val="1BA4249C"/>
    <w:rsid w:val="1CB81654"/>
    <w:rsid w:val="1E881677"/>
    <w:rsid w:val="1FFD299A"/>
    <w:rsid w:val="20375807"/>
    <w:rsid w:val="21793E62"/>
    <w:rsid w:val="217D3465"/>
    <w:rsid w:val="227916F9"/>
    <w:rsid w:val="228826BC"/>
    <w:rsid w:val="23AF3EE9"/>
    <w:rsid w:val="241218F0"/>
    <w:rsid w:val="24D26BA3"/>
    <w:rsid w:val="260823CB"/>
    <w:rsid w:val="265D28C0"/>
    <w:rsid w:val="267D04DC"/>
    <w:rsid w:val="26C45CE5"/>
    <w:rsid w:val="27BA32C8"/>
    <w:rsid w:val="28820782"/>
    <w:rsid w:val="288F427A"/>
    <w:rsid w:val="28BE6FEB"/>
    <w:rsid w:val="28D42BF9"/>
    <w:rsid w:val="28F316C1"/>
    <w:rsid w:val="28FA4E70"/>
    <w:rsid w:val="291C346A"/>
    <w:rsid w:val="291E73BB"/>
    <w:rsid w:val="29260D2C"/>
    <w:rsid w:val="29CE5A60"/>
    <w:rsid w:val="2ADE10A4"/>
    <w:rsid w:val="2B5B79A3"/>
    <w:rsid w:val="2D213381"/>
    <w:rsid w:val="2E3C7C90"/>
    <w:rsid w:val="3011734D"/>
    <w:rsid w:val="31AD282D"/>
    <w:rsid w:val="31D04895"/>
    <w:rsid w:val="320A1909"/>
    <w:rsid w:val="323B7BCC"/>
    <w:rsid w:val="33B277B5"/>
    <w:rsid w:val="344477C7"/>
    <w:rsid w:val="34624D8C"/>
    <w:rsid w:val="34854DFA"/>
    <w:rsid w:val="34F474AA"/>
    <w:rsid w:val="353E6D29"/>
    <w:rsid w:val="359E1D04"/>
    <w:rsid w:val="37207864"/>
    <w:rsid w:val="37685DEA"/>
    <w:rsid w:val="37763258"/>
    <w:rsid w:val="37F63E0A"/>
    <w:rsid w:val="3A1952FA"/>
    <w:rsid w:val="3A19684F"/>
    <w:rsid w:val="3A4E260F"/>
    <w:rsid w:val="3A5656CD"/>
    <w:rsid w:val="3A607983"/>
    <w:rsid w:val="3C161516"/>
    <w:rsid w:val="3E4D3884"/>
    <w:rsid w:val="3F250382"/>
    <w:rsid w:val="41102C51"/>
    <w:rsid w:val="41321276"/>
    <w:rsid w:val="42C00539"/>
    <w:rsid w:val="447D6872"/>
    <w:rsid w:val="45014C2B"/>
    <w:rsid w:val="456654AD"/>
    <w:rsid w:val="45E12F90"/>
    <w:rsid w:val="47AC1E96"/>
    <w:rsid w:val="49A83EA5"/>
    <w:rsid w:val="49E35703"/>
    <w:rsid w:val="4C963723"/>
    <w:rsid w:val="4DC24777"/>
    <w:rsid w:val="4DC85289"/>
    <w:rsid w:val="4DFF0278"/>
    <w:rsid w:val="4EDC589A"/>
    <w:rsid w:val="4F015476"/>
    <w:rsid w:val="4F324BDE"/>
    <w:rsid w:val="4FAD0170"/>
    <w:rsid w:val="4FB915A4"/>
    <w:rsid w:val="5037643E"/>
    <w:rsid w:val="511B583B"/>
    <w:rsid w:val="51981FA8"/>
    <w:rsid w:val="52E27482"/>
    <w:rsid w:val="53355980"/>
    <w:rsid w:val="533E0AE0"/>
    <w:rsid w:val="544F298E"/>
    <w:rsid w:val="546B4EB8"/>
    <w:rsid w:val="55B57FCA"/>
    <w:rsid w:val="56AE003B"/>
    <w:rsid w:val="56CD45A9"/>
    <w:rsid w:val="58585849"/>
    <w:rsid w:val="586A76A9"/>
    <w:rsid w:val="58AE00FF"/>
    <w:rsid w:val="58D63144"/>
    <w:rsid w:val="58F00A48"/>
    <w:rsid w:val="5A2636E6"/>
    <w:rsid w:val="5A554CDC"/>
    <w:rsid w:val="5A791FD7"/>
    <w:rsid w:val="5C1D4723"/>
    <w:rsid w:val="5F7F7431"/>
    <w:rsid w:val="617A528A"/>
    <w:rsid w:val="617C2A61"/>
    <w:rsid w:val="63D454B4"/>
    <w:rsid w:val="650F530E"/>
    <w:rsid w:val="65461FD1"/>
    <w:rsid w:val="667173B8"/>
    <w:rsid w:val="671244F9"/>
    <w:rsid w:val="67F82970"/>
    <w:rsid w:val="68035B34"/>
    <w:rsid w:val="688370ED"/>
    <w:rsid w:val="6A855EEE"/>
    <w:rsid w:val="6AB8445C"/>
    <w:rsid w:val="6ADE2CC8"/>
    <w:rsid w:val="6AE94E76"/>
    <w:rsid w:val="6D2D6E53"/>
    <w:rsid w:val="6D582D10"/>
    <w:rsid w:val="6EFB6535"/>
    <w:rsid w:val="6FA1557F"/>
    <w:rsid w:val="6FBB308A"/>
    <w:rsid w:val="6FF4023B"/>
    <w:rsid w:val="6FFC691F"/>
    <w:rsid w:val="70737E30"/>
    <w:rsid w:val="70905CC7"/>
    <w:rsid w:val="70E02425"/>
    <w:rsid w:val="70F20B74"/>
    <w:rsid w:val="71CD3369"/>
    <w:rsid w:val="72A84721"/>
    <w:rsid w:val="73CE5F00"/>
    <w:rsid w:val="747807AC"/>
    <w:rsid w:val="75D30C43"/>
    <w:rsid w:val="76554A32"/>
    <w:rsid w:val="76B851FC"/>
    <w:rsid w:val="795D3FA6"/>
    <w:rsid w:val="79DD7FF0"/>
    <w:rsid w:val="7A7A343F"/>
    <w:rsid w:val="7AFD7441"/>
    <w:rsid w:val="7CD945F1"/>
    <w:rsid w:val="7DB0367D"/>
    <w:rsid w:val="7E8471DF"/>
    <w:rsid w:val="7F2F2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kern w:val="44"/>
      <w:sz w:val="30"/>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6"/>
    <w:semiHidden/>
    <w:unhideWhenUsed/>
    <w:qFormat/>
    <w:uiPriority w:val="0"/>
    <w:pPr>
      <w:keepNext/>
      <w:keepLines/>
      <w:spacing w:before="260" w:after="260" w:line="412" w:lineRule="auto"/>
      <w:outlineLvl w:val="2"/>
    </w:pPr>
    <w:rPr>
      <w:b/>
      <w:sz w:val="32"/>
    </w:rPr>
  </w:style>
  <w:style w:type="paragraph" w:styleId="7">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Calibri" w:hAnsi="Calibri" w:cs="Times New Roman"/>
      <w:kern w:val="0"/>
    </w:rPr>
  </w:style>
  <w:style w:type="paragraph" w:styleId="6">
    <w:name w:val="Normal Indent"/>
    <w:basedOn w:val="1"/>
    <w:qFormat/>
    <w:uiPriority w:val="99"/>
    <w:pPr>
      <w:ind w:firstLine="200" w:firstLineChars="200"/>
    </w:pPr>
  </w:style>
  <w:style w:type="paragraph" w:styleId="8">
    <w:name w:val="annotation text"/>
    <w:basedOn w:val="1"/>
    <w:qFormat/>
    <w:uiPriority w:val="0"/>
    <w:pPr>
      <w:jc w:val="left"/>
    </w:pPr>
  </w:style>
  <w:style w:type="paragraph" w:styleId="9">
    <w:name w:val="Body Text 3"/>
    <w:basedOn w:val="1"/>
    <w:qFormat/>
    <w:uiPriority w:val="0"/>
    <w:pPr>
      <w:spacing w:after="120"/>
    </w:pPr>
    <w:rPr>
      <w:rFonts w:ascii="Times New Roman" w:hAnsi="Times New Roman"/>
      <w:sz w:val="16"/>
      <w:szCs w:val="16"/>
    </w:rPr>
  </w:style>
  <w:style w:type="paragraph" w:styleId="10">
    <w:name w:val="toc 3"/>
    <w:basedOn w:val="1"/>
    <w:next w:val="1"/>
    <w:semiHidden/>
    <w:qFormat/>
    <w:uiPriority w:val="0"/>
    <w:pPr>
      <w:ind w:left="420"/>
      <w:jc w:val="left"/>
    </w:pPr>
    <w:rPr>
      <w:rFonts w:ascii="Times New Roman" w:hAnsi="Times New Roman" w:cs="Times New Roman"/>
      <w:i/>
      <w:iCs/>
      <w:sz w:val="20"/>
      <w:szCs w:val="20"/>
    </w:rPr>
  </w:style>
  <w:style w:type="paragraph" w:styleId="11">
    <w:name w:val="Plain Text"/>
    <w:basedOn w:val="1"/>
    <w:qFormat/>
    <w:uiPriority w:val="0"/>
    <w:rPr>
      <w:rFonts w:ascii="宋体" w:hAnsi="Courier New"/>
      <w:szCs w:val="21"/>
    </w:rPr>
  </w:style>
  <w:style w:type="paragraph" w:styleId="12">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index heading"/>
    <w:basedOn w:val="1"/>
    <w:next w:val="17"/>
    <w:qFormat/>
    <w:uiPriority w:val="0"/>
    <w:rPr>
      <w:rFonts w:ascii="Times New Roman" w:hAnsi="Times New Roman"/>
      <w:szCs w:val="20"/>
    </w:rPr>
  </w:style>
  <w:style w:type="paragraph" w:styleId="17">
    <w:name w:val="index 1"/>
    <w:basedOn w:val="1"/>
    <w:next w:val="1"/>
    <w:qFormat/>
    <w:uiPriority w:val="0"/>
    <w:pPr>
      <w:tabs>
        <w:tab w:val="left" w:pos="7740"/>
      </w:tabs>
      <w:jc w:val="center"/>
    </w:pPr>
    <w:rPr>
      <w:rFonts w:ascii="仿宋" w:hAnsi="仿宋" w:eastAsia="仿宋"/>
      <w:b/>
      <w:sz w:val="28"/>
      <w:szCs w:val="28"/>
    </w:rPr>
  </w:style>
  <w:style w:type="paragraph" w:styleId="18">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22">
    <w:name w:val="Hyperlink"/>
    <w:qFormat/>
    <w:uiPriority w:val="99"/>
    <w:rPr>
      <w:color w:val="333333"/>
      <w:u w:val="none"/>
    </w:rPr>
  </w:style>
  <w:style w:type="paragraph" w:customStyle="1" w:styleId="2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4">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25">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26">
    <w:name w:val="_Style 2"/>
    <w:basedOn w:val="1"/>
    <w:qFormat/>
    <w:uiPriority w:val="34"/>
    <w:pPr>
      <w:ind w:firstLine="420" w:firstLineChars="200"/>
    </w:pPr>
    <w:rPr>
      <w:szCs w:val="20"/>
    </w:rPr>
  </w:style>
  <w:style w:type="paragraph" w:styleId="27">
    <w:name w:val="List Paragraph"/>
    <w:basedOn w:val="1"/>
    <w:qFormat/>
    <w:uiPriority w:val="34"/>
    <w:pPr>
      <w:ind w:firstLine="420" w:firstLineChars="200"/>
    </w:pPr>
  </w:style>
  <w:style w:type="paragraph" w:customStyle="1" w:styleId="28">
    <w:name w:val="纯文本1"/>
    <w:basedOn w:val="1"/>
    <w:qFormat/>
    <w:uiPriority w:val="0"/>
    <w:rPr>
      <w:rFonts w:ascii="宋体" w:hAnsi="Courier New" w:eastAsia="宋体" w:cs="Times New Roman"/>
      <w:szCs w:val="22"/>
    </w:rPr>
  </w:style>
  <w:style w:type="paragraph" w:customStyle="1" w:styleId="29">
    <w:name w:val="正文缩进1"/>
    <w:basedOn w:val="1"/>
    <w:qFormat/>
    <w:uiPriority w:val="0"/>
    <w:pPr>
      <w:autoSpaceDE w:val="0"/>
      <w:autoSpaceDN w:val="0"/>
      <w:adjustRightInd w:val="0"/>
      <w:ind w:firstLine="420"/>
      <w:jc w:val="left"/>
    </w:pPr>
    <w:rPr>
      <w:rFonts w:ascii="宋体"/>
      <w:kern w:val="0"/>
      <w:sz w:val="24"/>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1"/>
      <w:szCs w:val="22"/>
      <w:lang w:val="en-US" w:eastAsia="zh-CN" w:bidi="ar-SA"/>
    </w:rPr>
  </w:style>
  <w:style w:type="paragraph" w:customStyle="1" w:styleId="3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12"/>
    <w:basedOn w:val="1"/>
    <w:next w:val="27"/>
    <w:qFormat/>
    <w:uiPriority w:val="34"/>
    <w:pPr>
      <w:spacing w:line="360" w:lineRule="auto"/>
      <w:ind w:firstLine="420" w:firstLineChars="200"/>
    </w:pPr>
    <w:rPr>
      <w:rFonts w:ascii="Arial" w:hAnsi="Arial"/>
      <w:sz w:val="24"/>
      <w:szCs w:val="22"/>
    </w:rPr>
  </w:style>
  <w:style w:type="character" w:customStyle="1" w:styleId="33">
    <w:name w:val="标题 1 Char"/>
    <w:qFormat/>
    <w:locked/>
    <w:uiPriority w:val="99"/>
    <w:rPr>
      <w:rFonts w:ascii="Calibri" w:hAnsi="Calibri" w:cs="Calibri"/>
      <w:b/>
      <w:bCs/>
      <w:kern w:val="44"/>
      <w:sz w:val="44"/>
      <w:szCs w:val="44"/>
    </w:rPr>
  </w:style>
  <w:style w:type="paragraph" w:customStyle="1" w:styleId="34">
    <w:name w:val="列表段落1"/>
    <w:basedOn w:val="1"/>
    <w:qFormat/>
    <w:uiPriority w:val="34"/>
    <w:pPr>
      <w:ind w:firstLine="420" w:firstLineChars="200"/>
    </w:pPr>
    <w:rPr>
      <w:rFonts w:ascii="Times New Roman" w:hAnsi="Times New Roman" w:eastAsia="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46530</Words>
  <Characters>49973</Characters>
  <Lines>0</Lines>
  <Paragraphs>0</Paragraphs>
  <TotalTime>69</TotalTime>
  <ScaleCrop>false</ScaleCrop>
  <LinksUpToDate>false</LinksUpToDate>
  <CharactersWithSpaces>52248</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2022-08-24T05:55:00Z</dcterms:created>
  <dc:creator>HP</dc:creator>
  <cp:lastModifiedBy>HP</cp:lastModifiedBy>
  <dcterms:modified xsi:type="dcterms:W3CDTF">2022-08-25T13:31:07Z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F6CB7BB44D564505B87C41D43565F4F5</vt:lpwstr>
  </property>
</Properties>
</file>