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right"/>
        <w:rPr>
          <w:color w:val="auto"/>
          <w:highlight w:val="none"/>
        </w:rPr>
      </w:pPr>
      <w:r>
        <w:rPr>
          <w:rFonts w:hint="eastAsia" w:ascii="宋体" w:hAnsi="宋体" w:cs="宋体"/>
          <w:b/>
          <w:bCs/>
          <w:color w:val="auto"/>
          <w:sz w:val="32"/>
          <w:highlight w:val="none"/>
          <w:bdr w:val="single" w:color="auto" w:sz="4" w:space="0"/>
        </w:rPr>
        <w:t>政府采购项目</w:t>
      </w:r>
      <w:r>
        <w:rPr>
          <w:rFonts w:hint="eastAsia" w:ascii="宋体" w:hAnsi="宋体" w:cs="宋体"/>
          <w:b/>
          <w:bCs/>
          <w:color w:val="auto"/>
          <w:kern w:val="0"/>
          <w:sz w:val="30"/>
          <w:szCs w:val="30"/>
          <w:highlight w:val="none"/>
        </w:rPr>
        <w:t xml:space="preserve"> </w:t>
      </w:r>
    </w:p>
    <w:p>
      <w:pPr>
        <w:rPr>
          <w:color w:val="auto"/>
          <w:highlight w:val="none"/>
        </w:rPr>
      </w:pPr>
    </w:p>
    <w:p>
      <w:pPr>
        <w:rPr>
          <w:color w:val="auto"/>
          <w:highlight w:val="none"/>
        </w:rPr>
      </w:pPr>
    </w:p>
    <w:p>
      <w:pPr>
        <w:jc w:val="center"/>
        <w:rPr>
          <w:rFonts w:hint="eastAsia" w:hAnsi="宋体" w:eastAsia="宋体" w:cs="宋体"/>
          <w:b/>
          <w:color w:val="auto"/>
          <w:sz w:val="44"/>
          <w:szCs w:val="44"/>
          <w:highlight w:val="none"/>
          <w:lang w:eastAsia="zh-CN"/>
        </w:rPr>
      </w:pPr>
      <w:r>
        <w:rPr>
          <w:rFonts w:hint="eastAsia" w:hAnsi="宋体" w:cs="宋体"/>
          <w:b/>
          <w:bCs/>
          <w:color w:val="auto"/>
          <w:sz w:val="44"/>
          <w:szCs w:val="44"/>
          <w:highlight w:val="none"/>
          <w:lang w:eastAsia="zh-CN"/>
        </w:rPr>
        <w:t>西安美术学院2023年图书采购项目</w:t>
      </w:r>
    </w:p>
    <w:p>
      <w:pPr>
        <w:rPr>
          <w:color w:val="auto"/>
          <w:highlight w:val="none"/>
        </w:rPr>
      </w:pPr>
    </w:p>
    <w:p>
      <w:pPr>
        <w:jc w:val="center"/>
        <w:rPr>
          <w:rFonts w:hint="eastAsia" w:hAnsi="宋体" w:eastAsia="宋体" w:cs="宋体"/>
          <w:b/>
          <w:color w:val="auto"/>
          <w:sz w:val="32"/>
          <w:szCs w:val="32"/>
          <w:highlight w:val="none"/>
          <w:lang w:eastAsia="zh-CN"/>
        </w:rPr>
      </w:pPr>
      <w:r>
        <w:rPr>
          <w:rFonts w:hint="eastAsia" w:hAnsi="宋体" w:cs="宋体"/>
          <w:b/>
          <w:color w:val="auto"/>
          <w:sz w:val="32"/>
          <w:szCs w:val="32"/>
          <w:highlight w:val="none"/>
        </w:rPr>
        <w:t>项目编号：</w:t>
      </w:r>
      <w:r>
        <w:rPr>
          <w:rFonts w:hint="eastAsia" w:hAnsi="宋体" w:cs="宋体"/>
          <w:b/>
          <w:color w:val="auto"/>
          <w:sz w:val="32"/>
          <w:szCs w:val="32"/>
          <w:highlight w:val="none"/>
          <w:lang w:eastAsia="zh-CN"/>
        </w:rPr>
        <w:t>ZHZB-2022-GK-12112</w:t>
      </w:r>
    </w:p>
    <w:p>
      <w:pPr>
        <w:pStyle w:val="11"/>
        <w:rPr>
          <w:rFonts w:ascii="宋体" w:hAnsi="宋体" w:cs="宋体"/>
          <w:color w:val="auto"/>
          <w:highlight w:val="none"/>
        </w:rPr>
      </w:pPr>
    </w:p>
    <w:p>
      <w:pPr>
        <w:rPr>
          <w:color w:val="auto"/>
          <w:highlight w:val="none"/>
        </w:rPr>
      </w:pPr>
    </w:p>
    <w:p>
      <w:pPr>
        <w:pStyle w:val="11"/>
        <w:rPr>
          <w:color w:val="auto"/>
          <w:highlight w:val="none"/>
        </w:rPr>
      </w:pPr>
    </w:p>
    <w:p>
      <w:pPr>
        <w:jc w:val="center"/>
        <w:rPr>
          <w:rFonts w:hAnsi="宋体" w:cs="宋体"/>
          <w:b/>
          <w:color w:val="auto"/>
          <w:sz w:val="84"/>
          <w:szCs w:val="84"/>
          <w:highlight w:val="none"/>
        </w:rPr>
      </w:pPr>
      <w:r>
        <w:rPr>
          <w:rFonts w:hint="eastAsia" w:hAnsi="宋体" w:cs="宋体"/>
          <w:b/>
          <w:color w:val="auto"/>
          <w:sz w:val="84"/>
          <w:szCs w:val="84"/>
          <w:highlight w:val="none"/>
        </w:rPr>
        <w:t>招标文件</w:t>
      </w:r>
    </w:p>
    <w:p>
      <w:pPr>
        <w:jc w:val="center"/>
        <w:rPr>
          <w:rFonts w:hAnsi="宋体" w:cs="宋体"/>
          <w:b/>
          <w:color w:val="auto"/>
          <w:sz w:val="21"/>
          <w:szCs w:val="21"/>
          <w:highlight w:val="none"/>
        </w:rPr>
      </w:pPr>
    </w:p>
    <w:p>
      <w:pPr>
        <w:jc w:val="center"/>
        <w:rPr>
          <w:rFonts w:hAnsi="宋体" w:cs="宋体"/>
          <w:color w:val="auto"/>
          <w:sz w:val="72"/>
          <w:szCs w:val="72"/>
          <w:highlight w:val="none"/>
        </w:rPr>
      </w:pPr>
      <w:r>
        <w:rPr>
          <w:rFonts w:hint="eastAsia" w:hAnsi="宋体" w:cs="宋体"/>
          <w:b/>
          <w:color w:val="auto"/>
          <w:sz w:val="21"/>
          <w:szCs w:val="21"/>
          <w:highlight w:val="none"/>
        </w:rPr>
        <w:br w:type="textWrapping"/>
      </w:r>
      <w:r>
        <w:rPr>
          <w:rFonts w:hint="eastAsia" w:hAnsi="宋体" w:cs="宋体"/>
          <w:color w:val="auto"/>
          <w:highlight w:val="none"/>
        </w:rPr>
        <w:drawing>
          <wp:inline distT="0" distB="0" distL="114300" distR="114300">
            <wp:extent cx="2265045" cy="2265045"/>
            <wp:effectExtent l="0" t="0" r="1905" b="1905"/>
            <wp:docPr id="4" name="图片 1" descr="不带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不带字"/>
                    <pic:cNvPicPr>
                      <a:picLocks noChangeAspect="1"/>
                    </pic:cNvPicPr>
                  </pic:nvPicPr>
                  <pic:blipFill>
                    <a:blip r:embed="rId14"/>
                    <a:stretch>
                      <a:fillRect/>
                    </a:stretch>
                  </pic:blipFill>
                  <pic:spPr>
                    <a:xfrm>
                      <a:off x="0" y="0"/>
                      <a:ext cx="2265045" cy="2265045"/>
                    </a:xfrm>
                    <a:prstGeom prst="rect">
                      <a:avLst/>
                    </a:prstGeom>
                    <a:noFill/>
                    <a:ln>
                      <a:noFill/>
                    </a:ln>
                  </pic:spPr>
                </pic:pic>
              </a:graphicData>
            </a:graphic>
          </wp:inline>
        </w:drawing>
      </w:r>
    </w:p>
    <w:p>
      <w:pPr>
        <w:spacing w:line="480" w:lineRule="auto"/>
        <w:rPr>
          <w:rFonts w:hAnsi="宋体" w:cs="宋体"/>
          <w:b/>
          <w:color w:val="auto"/>
          <w:sz w:val="32"/>
          <w:szCs w:val="32"/>
          <w:highlight w:val="none"/>
        </w:rPr>
      </w:pPr>
    </w:p>
    <w:p>
      <w:pPr>
        <w:pStyle w:val="11"/>
        <w:rPr>
          <w:color w:val="auto"/>
          <w:highlight w:val="none"/>
        </w:rPr>
      </w:pPr>
    </w:p>
    <w:p>
      <w:pPr>
        <w:pStyle w:val="11"/>
        <w:rPr>
          <w:color w:val="auto"/>
          <w:highlight w:val="none"/>
        </w:rPr>
      </w:pPr>
    </w:p>
    <w:p>
      <w:pPr>
        <w:spacing w:line="360" w:lineRule="auto"/>
        <w:ind w:firstLine="1285" w:firstLineChars="400"/>
        <w:rPr>
          <w:rFonts w:hAnsi="宋体" w:cs="宋体"/>
          <w:b/>
          <w:color w:val="auto"/>
          <w:sz w:val="32"/>
          <w:szCs w:val="32"/>
          <w:highlight w:val="none"/>
        </w:rPr>
      </w:pPr>
      <w:r>
        <w:rPr>
          <w:rFonts w:hint="eastAsia" w:hAnsi="宋体" w:cs="宋体"/>
          <w:b/>
          <w:color w:val="auto"/>
          <w:sz w:val="32"/>
          <w:szCs w:val="32"/>
          <w:highlight w:val="none"/>
        </w:rPr>
        <w:t>采   购   人：</w:t>
      </w:r>
      <w:r>
        <w:rPr>
          <w:rFonts w:hint="eastAsia" w:hAnsi="宋体" w:cs="宋体"/>
          <w:b/>
          <w:color w:val="auto"/>
          <w:sz w:val="32"/>
          <w:szCs w:val="32"/>
          <w:highlight w:val="none"/>
          <w:u w:val="single"/>
        </w:rPr>
        <w:t xml:space="preserve">    </w:t>
      </w:r>
      <w:r>
        <w:rPr>
          <w:rFonts w:hint="eastAsia" w:hAnsi="宋体" w:cs="宋体"/>
          <w:b/>
          <w:color w:val="auto"/>
          <w:sz w:val="32"/>
          <w:szCs w:val="32"/>
          <w:highlight w:val="none"/>
          <w:u w:val="single"/>
          <w:lang w:eastAsia="zh-CN"/>
        </w:rPr>
        <w:t>西安美术学院</w:t>
      </w:r>
      <w:r>
        <w:rPr>
          <w:rFonts w:hint="eastAsia" w:hAnsi="宋体" w:cs="宋体"/>
          <w:b/>
          <w:color w:val="auto"/>
          <w:sz w:val="32"/>
          <w:szCs w:val="32"/>
          <w:highlight w:val="none"/>
          <w:u w:val="single"/>
        </w:rPr>
        <w:t xml:space="preserve">     </w:t>
      </w:r>
    </w:p>
    <w:p>
      <w:pPr>
        <w:spacing w:line="360" w:lineRule="auto"/>
        <w:ind w:firstLine="1285" w:firstLineChars="400"/>
        <w:rPr>
          <w:rFonts w:hAnsi="宋体" w:cs="宋体"/>
          <w:b/>
          <w:color w:val="auto"/>
          <w:sz w:val="32"/>
          <w:szCs w:val="32"/>
          <w:highlight w:val="none"/>
        </w:rPr>
      </w:pPr>
      <w:r>
        <w:rPr>
          <w:rFonts w:hint="eastAsia" w:hAnsi="宋体" w:cs="宋体"/>
          <w:b/>
          <w:color w:val="auto"/>
          <w:sz w:val="32"/>
          <w:szCs w:val="32"/>
          <w:highlight w:val="none"/>
        </w:rPr>
        <w:t>采购代理机构:</w:t>
      </w:r>
      <w:r>
        <w:rPr>
          <w:rFonts w:hint="eastAsia" w:hAnsi="宋体" w:cs="宋体"/>
          <w:b/>
          <w:color w:val="auto"/>
          <w:sz w:val="32"/>
          <w:szCs w:val="32"/>
          <w:highlight w:val="none"/>
          <w:u w:val="single"/>
        </w:rPr>
        <w:t xml:space="preserve"> 陕西正鸿招标有限公司 </w:t>
      </w:r>
    </w:p>
    <w:p>
      <w:pPr>
        <w:snapToGrid w:val="0"/>
        <w:spacing w:line="360" w:lineRule="auto"/>
        <w:ind w:firstLine="3373" w:firstLineChars="1050"/>
        <w:rPr>
          <w:rFonts w:hAnsi="宋体" w:cs="宋体"/>
          <w:b/>
          <w:color w:val="auto"/>
          <w:sz w:val="32"/>
          <w:szCs w:val="32"/>
          <w:highlight w:val="none"/>
        </w:rPr>
      </w:pPr>
      <w:r>
        <w:rPr>
          <w:rFonts w:hint="eastAsia" w:hAnsi="宋体" w:cs="宋体"/>
          <w:b/>
          <w:color w:val="auto"/>
          <w:sz w:val="32"/>
          <w:szCs w:val="32"/>
          <w:highlight w:val="none"/>
        </w:rPr>
        <w:t>202</w:t>
      </w:r>
      <w:r>
        <w:rPr>
          <w:rFonts w:hint="eastAsia" w:hAnsi="宋体" w:cs="宋体"/>
          <w:b/>
          <w:color w:val="auto"/>
          <w:sz w:val="32"/>
          <w:szCs w:val="32"/>
          <w:highlight w:val="none"/>
          <w:lang w:val="en-US" w:eastAsia="zh-CN"/>
        </w:rPr>
        <w:t>2</w:t>
      </w:r>
      <w:r>
        <w:rPr>
          <w:rFonts w:hint="eastAsia" w:hAnsi="宋体" w:cs="宋体"/>
          <w:b/>
          <w:color w:val="auto"/>
          <w:sz w:val="32"/>
          <w:szCs w:val="32"/>
          <w:highlight w:val="none"/>
        </w:rPr>
        <w:t>年</w:t>
      </w:r>
      <w:r>
        <w:rPr>
          <w:rFonts w:hint="eastAsia" w:hAnsi="宋体" w:cs="宋体"/>
          <w:b/>
          <w:color w:val="auto"/>
          <w:sz w:val="32"/>
          <w:szCs w:val="32"/>
          <w:highlight w:val="none"/>
          <w:lang w:val="en-US" w:eastAsia="zh-CN"/>
        </w:rPr>
        <w:t>12</w:t>
      </w:r>
      <w:r>
        <w:rPr>
          <w:rFonts w:hint="eastAsia" w:hAnsi="宋体" w:cs="宋体"/>
          <w:b/>
          <w:color w:val="auto"/>
          <w:sz w:val="32"/>
          <w:szCs w:val="32"/>
          <w:highlight w:val="none"/>
        </w:rPr>
        <w:t>月</w:t>
      </w:r>
    </w:p>
    <w:p>
      <w:pPr>
        <w:spacing w:line="360" w:lineRule="auto"/>
        <w:rPr>
          <w:color w:val="auto"/>
          <w:highlight w:val="none"/>
        </w:rPr>
        <w:sectPr>
          <w:headerReference r:id="rId4" w:type="first"/>
          <w:footerReference r:id="rId6" w:type="first"/>
          <w:headerReference r:id="rId3" w:type="default"/>
          <w:footerReference r:id="rId5" w:type="default"/>
          <w:pgSz w:w="11906" w:h="16838"/>
          <w:pgMar w:top="1417" w:right="1417" w:bottom="1417" w:left="1417" w:header="992" w:footer="992" w:gutter="170"/>
          <w:pgNumType w:start="1"/>
          <w:cols w:space="0" w:num="1"/>
          <w:docGrid w:type="lines" w:linePitch="333" w:charSpace="0"/>
        </w:sectPr>
      </w:pPr>
    </w:p>
    <w:p>
      <w:pPr>
        <w:spacing w:before="166" w:beforeLines="50" w:line="360" w:lineRule="auto"/>
        <w:jc w:val="center"/>
        <w:rPr>
          <w:rFonts w:hAnsi="宋体" w:cs="宋体"/>
          <w:b/>
          <w:color w:val="auto"/>
          <w:sz w:val="44"/>
          <w:szCs w:val="44"/>
          <w:highlight w:val="none"/>
        </w:rPr>
      </w:pPr>
      <w:r>
        <w:rPr>
          <w:rFonts w:hint="eastAsia" w:hAnsi="宋体" w:cs="宋体"/>
          <w:b/>
          <w:color w:val="auto"/>
          <w:sz w:val="48"/>
          <w:szCs w:val="48"/>
          <w:highlight w:val="none"/>
        </w:rPr>
        <w:t>目   录</w:t>
      </w:r>
    </w:p>
    <w:p>
      <w:pPr>
        <w:pStyle w:val="17"/>
        <w:tabs>
          <w:tab w:val="right" w:leader="dot" w:pos="8902"/>
          <w:tab w:val="clear" w:pos="1418"/>
          <w:tab w:val="clear" w:pos="8302"/>
        </w:tabs>
        <w:rPr>
          <w:color w:val="auto"/>
          <w:highlight w:val="none"/>
        </w:rPr>
      </w:pPr>
      <w:bookmarkStart w:id="0" w:name="_Toc389582033"/>
      <w:bookmarkStart w:id="1" w:name="_Toc426457691"/>
      <w:bookmarkStart w:id="2" w:name="_Toc21518"/>
      <w:bookmarkStart w:id="3" w:name="_Toc19886"/>
      <w:bookmarkStart w:id="4" w:name="_Toc20858"/>
      <w:bookmarkStart w:id="5" w:name="_Toc16218"/>
      <w:bookmarkStart w:id="6" w:name="_Toc5293"/>
      <w:bookmarkStart w:id="7" w:name="_Toc20652"/>
      <w:bookmarkStart w:id="8" w:name="_Toc363474016"/>
      <w:bookmarkStart w:id="9" w:name="_Toc363473971"/>
      <w:bookmarkStart w:id="10" w:name="_Toc403077638"/>
      <w:r>
        <w:rPr>
          <w:rFonts w:hint="eastAsia" w:cs="宋体"/>
          <w:color w:val="auto"/>
          <w:highlight w:val="none"/>
        </w:rPr>
        <w:fldChar w:fldCharType="begin"/>
      </w:r>
      <w:r>
        <w:rPr>
          <w:rFonts w:hint="eastAsia" w:cs="宋体"/>
          <w:color w:val="auto"/>
          <w:highlight w:val="none"/>
        </w:rPr>
        <w:instrText xml:space="preserve">TOC \o "1-1" \h \u </w:instrText>
      </w:r>
      <w:r>
        <w:rPr>
          <w:rFonts w:hint="eastAsia" w:cs="宋体"/>
          <w:color w:val="auto"/>
          <w:highlight w:val="none"/>
        </w:rPr>
        <w:fldChar w:fldCharType="separate"/>
      </w:r>
      <w:r>
        <w:rPr>
          <w:color w:val="auto"/>
          <w:highlight w:val="none"/>
        </w:rPr>
        <w:fldChar w:fldCharType="begin"/>
      </w:r>
      <w:r>
        <w:rPr>
          <w:color w:val="auto"/>
          <w:highlight w:val="none"/>
        </w:rPr>
        <w:instrText xml:space="preserve"> HYPERLINK \l "_Toc9013" </w:instrText>
      </w:r>
      <w:r>
        <w:rPr>
          <w:color w:val="auto"/>
          <w:highlight w:val="none"/>
        </w:rPr>
        <w:fldChar w:fldCharType="separate"/>
      </w:r>
      <w:r>
        <w:rPr>
          <w:rFonts w:hint="eastAsia"/>
          <w:color w:val="auto"/>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_Toc9013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7"/>
        <w:tabs>
          <w:tab w:val="right" w:leader="dot" w:pos="8902"/>
          <w:tab w:val="clear" w:pos="1418"/>
          <w:tab w:val="clear" w:pos="8302"/>
        </w:tabs>
        <w:rPr>
          <w:color w:val="auto"/>
          <w:highlight w:val="none"/>
        </w:rPr>
      </w:pPr>
      <w:r>
        <w:rPr>
          <w:color w:val="auto"/>
          <w:highlight w:val="none"/>
        </w:rPr>
        <w:fldChar w:fldCharType="begin"/>
      </w:r>
      <w:r>
        <w:rPr>
          <w:color w:val="auto"/>
          <w:highlight w:val="none"/>
        </w:rPr>
        <w:instrText xml:space="preserve"> HYPERLINK \l "_Toc1397" </w:instrText>
      </w:r>
      <w:r>
        <w:rPr>
          <w:color w:val="auto"/>
          <w:highlight w:val="none"/>
        </w:rPr>
        <w:fldChar w:fldCharType="separate"/>
      </w:r>
      <w:r>
        <w:rPr>
          <w:rFonts w:hint="eastAsia"/>
          <w:color w:val="auto"/>
          <w:szCs w:val="36"/>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_Toc1397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7"/>
        <w:tabs>
          <w:tab w:val="right" w:leader="dot" w:pos="8902"/>
          <w:tab w:val="clear" w:pos="1418"/>
          <w:tab w:val="clear" w:pos="8302"/>
        </w:tabs>
        <w:rPr>
          <w:color w:val="auto"/>
          <w:highlight w:val="none"/>
        </w:rPr>
      </w:pPr>
      <w:r>
        <w:rPr>
          <w:color w:val="auto"/>
          <w:highlight w:val="none"/>
        </w:rPr>
        <w:fldChar w:fldCharType="begin"/>
      </w:r>
      <w:r>
        <w:rPr>
          <w:color w:val="auto"/>
          <w:highlight w:val="none"/>
        </w:rPr>
        <w:instrText xml:space="preserve"> HYPERLINK \l "_Toc26429" </w:instrText>
      </w:r>
      <w:r>
        <w:rPr>
          <w:color w:val="auto"/>
          <w:highlight w:val="none"/>
        </w:rPr>
        <w:fldChar w:fldCharType="separate"/>
      </w:r>
      <w:r>
        <w:rPr>
          <w:rFonts w:hint="eastAsia"/>
          <w:color w:val="auto"/>
          <w:highlight w:val="none"/>
        </w:rPr>
        <w:t>第三章  商务及合同主要条款</w:t>
      </w:r>
      <w:r>
        <w:rPr>
          <w:color w:val="auto"/>
          <w:highlight w:val="none"/>
        </w:rPr>
        <w:tab/>
      </w:r>
      <w:r>
        <w:rPr>
          <w:color w:val="auto"/>
          <w:highlight w:val="none"/>
        </w:rPr>
        <w:fldChar w:fldCharType="begin"/>
      </w:r>
      <w:r>
        <w:rPr>
          <w:color w:val="auto"/>
          <w:highlight w:val="none"/>
        </w:rPr>
        <w:instrText xml:space="preserve"> PAGEREF _Toc26429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7"/>
        <w:tabs>
          <w:tab w:val="right" w:leader="dot" w:pos="8902"/>
          <w:tab w:val="clear" w:pos="1418"/>
          <w:tab w:val="clear" w:pos="8302"/>
        </w:tabs>
        <w:rPr>
          <w:color w:val="auto"/>
          <w:highlight w:val="none"/>
        </w:rPr>
      </w:pPr>
      <w:r>
        <w:rPr>
          <w:color w:val="auto"/>
          <w:highlight w:val="none"/>
        </w:rPr>
        <w:fldChar w:fldCharType="begin"/>
      </w:r>
      <w:r>
        <w:rPr>
          <w:color w:val="auto"/>
          <w:highlight w:val="none"/>
        </w:rPr>
        <w:instrText xml:space="preserve"> HYPERLINK \l "_Toc15166" </w:instrText>
      </w:r>
      <w:r>
        <w:rPr>
          <w:color w:val="auto"/>
          <w:highlight w:val="none"/>
        </w:rPr>
        <w:fldChar w:fldCharType="separate"/>
      </w:r>
      <w:r>
        <w:rPr>
          <w:rFonts w:hint="eastAsia"/>
          <w:color w:val="auto"/>
          <w:szCs w:val="36"/>
          <w:highlight w:val="none"/>
        </w:rPr>
        <w:t>第四章  采购内容及技术要求</w:t>
      </w:r>
      <w:r>
        <w:rPr>
          <w:color w:val="auto"/>
          <w:highlight w:val="none"/>
        </w:rPr>
        <w:tab/>
      </w:r>
      <w:r>
        <w:rPr>
          <w:color w:val="auto"/>
          <w:highlight w:val="none"/>
        </w:rPr>
        <w:fldChar w:fldCharType="begin"/>
      </w:r>
      <w:r>
        <w:rPr>
          <w:color w:val="auto"/>
          <w:highlight w:val="none"/>
        </w:rPr>
        <w:instrText xml:space="preserve"> PAGEREF _Toc15166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7"/>
        <w:tabs>
          <w:tab w:val="right" w:leader="dot" w:pos="8902"/>
          <w:tab w:val="clear" w:pos="1418"/>
          <w:tab w:val="clear" w:pos="8302"/>
        </w:tabs>
        <w:rPr>
          <w:color w:val="auto"/>
          <w:highlight w:val="none"/>
        </w:rPr>
      </w:pPr>
      <w:r>
        <w:rPr>
          <w:color w:val="auto"/>
          <w:highlight w:val="none"/>
        </w:rPr>
        <w:fldChar w:fldCharType="begin"/>
      </w:r>
      <w:r>
        <w:rPr>
          <w:color w:val="auto"/>
          <w:highlight w:val="none"/>
        </w:rPr>
        <w:instrText xml:space="preserve"> HYPERLINK \l "_Toc23137" </w:instrText>
      </w:r>
      <w:r>
        <w:rPr>
          <w:color w:val="auto"/>
          <w:highlight w:val="none"/>
        </w:rPr>
        <w:fldChar w:fldCharType="separate"/>
      </w:r>
      <w:r>
        <w:rPr>
          <w:rFonts w:hint="eastAsia"/>
          <w:color w:val="auto"/>
          <w:highlight w:val="none"/>
        </w:rPr>
        <w:t>第五章  评标办法</w:t>
      </w:r>
      <w:r>
        <w:rPr>
          <w:color w:val="auto"/>
          <w:highlight w:val="none"/>
        </w:rPr>
        <w:tab/>
      </w:r>
      <w:r>
        <w:rPr>
          <w:color w:val="auto"/>
          <w:highlight w:val="none"/>
        </w:rPr>
        <w:fldChar w:fldCharType="begin"/>
      </w:r>
      <w:r>
        <w:rPr>
          <w:color w:val="auto"/>
          <w:highlight w:val="none"/>
        </w:rPr>
        <w:instrText xml:space="preserve"> PAGEREF _Toc23137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7"/>
        <w:tabs>
          <w:tab w:val="right" w:leader="dot" w:pos="8902"/>
          <w:tab w:val="clear" w:pos="1418"/>
          <w:tab w:val="clear" w:pos="8302"/>
        </w:tabs>
        <w:rPr>
          <w:color w:val="auto"/>
          <w:highlight w:val="none"/>
        </w:rPr>
      </w:pPr>
      <w:r>
        <w:rPr>
          <w:color w:val="auto"/>
          <w:highlight w:val="none"/>
        </w:rPr>
        <w:fldChar w:fldCharType="begin"/>
      </w:r>
      <w:r>
        <w:rPr>
          <w:color w:val="auto"/>
          <w:highlight w:val="none"/>
        </w:rPr>
        <w:instrText xml:space="preserve"> HYPERLINK \l "_Toc22000" </w:instrText>
      </w:r>
      <w:r>
        <w:rPr>
          <w:color w:val="auto"/>
          <w:highlight w:val="none"/>
        </w:rPr>
        <w:fldChar w:fldCharType="separate"/>
      </w:r>
      <w:r>
        <w:rPr>
          <w:rFonts w:hint="eastAsia"/>
          <w:color w:val="auto"/>
          <w:highlight w:val="none"/>
        </w:rPr>
        <w:t>第六章  投标文件构成及格式</w:t>
      </w:r>
      <w:r>
        <w:rPr>
          <w:color w:val="auto"/>
          <w:highlight w:val="none"/>
        </w:rPr>
        <w:tab/>
      </w:r>
      <w:r>
        <w:rPr>
          <w:color w:val="auto"/>
          <w:highlight w:val="none"/>
        </w:rPr>
        <w:fldChar w:fldCharType="begin"/>
      </w:r>
      <w:r>
        <w:rPr>
          <w:color w:val="auto"/>
          <w:highlight w:val="none"/>
        </w:rPr>
        <w:instrText xml:space="preserve"> PAGEREF _Toc22000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17"/>
        <w:spacing w:line="720" w:lineRule="auto"/>
        <w:rPr>
          <w:rFonts w:cs="宋体"/>
          <w:color w:val="auto"/>
          <w:highlight w:val="none"/>
        </w:rPr>
      </w:pPr>
      <w:r>
        <w:rPr>
          <w:rFonts w:hint="eastAsia" w:cs="宋体"/>
          <w:color w:val="auto"/>
          <w:highlight w:val="none"/>
        </w:rPr>
        <w:fldChar w:fldCharType="end"/>
      </w:r>
    </w:p>
    <w:p>
      <w:pPr>
        <w:tabs>
          <w:tab w:val="left" w:pos="525"/>
        </w:tabs>
        <w:spacing w:line="560" w:lineRule="exact"/>
        <w:jc w:val="center"/>
        <w:rPr>
          <w:rFonts w:hAnsi="宋体" w:cs="宋体"/>
          <w:color w:val="auto"/>
          <w:highlight w:val="none"/>
        </w:rPr>
        <w:sectPr>
          <w:headerReference r:id="rId8" w:type="first"/>
          <w:footerReference r:id="rId10" w:type="first"/>
          <w:headerReference r:id="rId7" w:type="default"/>
          <w:footerReference r:id="rId9" w:type="default"/>
          <w:pgSz w:w="11906" w:h="16838"/>
          <w:pgMar w:top="1417" w:right="1417" w:bottom="1417" w:left="1417" w:header="992" w:footer="992" w:gutter="170"/>
          <w:pgNumType w:start="1"/>
          <w:cols w:space="0" w:num="1"/>
          <w:docGrid w:type="lines" w:linePitch="333" w:charSpace="0"/>
        </w:sectPr>
      </w:pPr>
    </w:p>
    <w:bookmarkEnd w:id="0"/>
    <w:bookmarkEnd w:id="1"/>
    <w:bookmarkEnd w:id="2"/>
    <w:bookmarkEnd w:id="3"/>
    <w:bookmarkEnd w:id="4"/>
    <w:bookmarkEnd w:id="5"/>
    <w:bookmarkEnd w:id="6"/>
    <w:bookmarkEnd w:id="7"/>
    <w:p>
      <w:pPr>
        <w:pStyle w:val="3"/>
        <w:spacing w:before="333"/>
        <w:rPr>
          <w:color w:val="auto"/>
          <w:highlight w:val="none"/>
        </w:rPr>
      </w:pPr>
      <w:bookmarkStart w:id="11" w:name="_Toc9013"/>
      <w:bookmarkStart w:id="12" w:name="_Toc30205"/>
      <w:r>
        <w:rPr>
          <w:rFonts w:hint="eastAsia"/>
          <w:color w:val="auto"/>
          <w:highlight w:val="none"/>
        </w:rPr>
        <w:t>第一章  招标公告</w:t>
      </w:r>
      <w:bookmarkEnd w:id="11"/>
      <w:bookmarkEnd w:id="12"/>
    </w:p>
    <w:tbl>
      <w:tblPr>
        <w:tblStyle w:val="21"/>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9640" w:type="dxa"/>
          </w:tcPr>
          <w:p>
            <w:pPr>
              <w:pStyle w:val="18"/>
              <w:spacing w:before="150" w:beforeAutospacing="0" w:after="150" w:afterAutospacing="0" w:line="480" w:lineRule="atLeast"/>
              <w:jc w:val="both"/>
              <w:rPr>
                <w:rStyle w:val="23"/>
                <w:rFonts w:hint="eastAsia" w:cs="宋体"/>
                <w:color w:val="auto"/>
                <w:highlight w:val="none"/>
                <w:shd w:val="clear" w:color="auto" w:fill="FFFFFF"/>
              </w:rPr>
            </w:pPr>
            <w:r>
              <w:rPr>
                <w:rStyle w:val="23"/>
                <w:rFonts w:hint="eastAsia" w:cs="宋体"/>
                <w:color w:val="auto"/>
                <w:highlight w:val="none"/>
                <w:shd w:val="clear" w:color="auto" w:fill="FFFFFF"/>
              </w:rPr>
              <w:t>项目概况</w:t>
            </w:r>
          </w:p>
          <w:p>
            <w:pPr>
              <w:pStyle w:val="18"/>
              <w:spacing w:before="150" w:beforeAutospacing="0" w:after="150" w:afterAutospacing="0" w:line="480" w:lineRule="atLeast"/>
              <w:ind w:firstLine="480"/>
              <w:jc w:val="both"/>
              <w:rPr>
                <w:rStyle w:val="23"/>
                <w:rFonts w:cs="宋体"/>
                <w:color w:val="auto"/>
                <w:highlight w:val="none"/>
                <w:shd w:val="clear" w:color="auto" w:fill="FFFFFF"/>
              </w:rPr>
            </w:pPr>
            <w:r>
              <w:rPr>
                <w:rStyle w:val="23"/>
                <w:rFonts w:hint="eastAsia" w:cs="宋体"/>
                <w:b w:val="0"/>
                <w:bCs w:val="0"/>
                <w:color w:val="auto"/>
                <w:highlight w:val="none"/>
                <w:shd w:val="clear" w:color="auto" w:fill="FFFFFF"/>
                <w:lang w:eastAsia="zh-CN"/>
              </w:rPr>
              <w:t>2023年图书采购项目</w:t>
            </w:r>
            <w:r>
              <w:rPr>
                <w:rStyle w:val="23"/>
                <w:rFonts w:hint="eastAsia" w:cs="宋体"/>
                <w:b w:val="0"/>
                <w:bCs w:val="0"/>
                <w:color w:val="auto"/>
                <w:highlight w:val="none"/>
                <w:shd w:val="clear" w:color="auto" w:fill="FFFFFF"/>
              </w:rPr>
              <w:t xml:space="preserve">招标项目的潜在投标人应在陕西省西安市雁塔区南二环东段凯森盛世一号A座4层408室获取招标文件，并于 </w:t>
            </w:r>
            <w:r>
              <w:rPr>
                <w:rStyle w:val="23"/>
                <w:rFonts w:hint="eastAsia" w:cs="宋体"/>
                <w:b w:val="0"/>
                <w:bCs w:val="0"/>
                <w:color w:val="auto"/>
                <w:highlight w:val="none"/>
                <w:shd w:val="clear" w:color="auto" w:fill="FFFFFF"/>
                <w:lang w:eastAsia="zh-CN"/>
              </w:rPr>
              <w:t>2023年</w:t>
            </w:r>
            <w:r>
              <w:rPr>
                <w:rStyle w:val="23"/>
                <w:rFonts w:hint="eastAsia" w:cs="宋体"/>
                <w:b w:val="0"/>
                <w:bCs w:val="0"/>
                <w:color w:val="auto"/>
                <w:highlight w:val="none"/>
                <w:shd w:val="clear" w:color="auto" w:fill="FFFFFF"/>
                <w:lang w:val="en-US" w:eastAsia="zh-CN"/>
              </w:rPr>
              <w:t>0</w:t>
            </w:r>
            <w:r>
              <w:rPr>
                <w:rStyle w:val="23"/>
                <w:rFonts w:hint="eastAsia" w:cs="宋体"/>
                <w:b w:val="0"/>
                <w:bCs w:val="0"/>
                <w:color w:val="auto"/>
                <w:highlight w:val="none"/>
                <w:shd w:val="clear" w:color="auto" w:fill="FFFFFF"/>
                <w:lang w:eastAsia="zh-CN"/>
              </w:rPr>
              <w:t>1月13日 15时00分</w:t>
            </w:r>
            <w:r>
              <w:rPr>
                <w:rStyle w:val="23"/>
                <w:rFonts w:hint="eastAsia" w:cs="宋体"/>
                <w:b w:val="0"/>
                <w:bCs w:val="0"/>
                <w:color w:val="auto"/>
                <w:highlight w:val="none"/>
                <w:shd w:val="clear" w:color="auto" w:fill="FFFFFF"/>
              </w:rPr>
              <w:t xml:space="preserve"> （北京时间）前递交投标文件。</w:t>
            </w:r>
          </w:p>
        </w:tc>
      </w:tr>
    </w:tbl>
    <w:p>
      <w:pPr>
        <w:pStyle w:val="18"/>
        <w:spacing w:before="0" w:beforeAutospacing="0" w:after="0" w:afterAutospacing="0" w:line="510" w:lineRule="atLeast"/>
        <w:rPr>
          <w:b/>
          <w:bCs/>
          <w:color w:val="auto"/>
          <w:highlight w:val="none"/>
        </w:rPr>
      </w:pPr>
      <w:r>
        <w:rPr>
          <w:b/>
          <w:bCs/>
          <w:color w:val="auto"/>
          <w:highlight w:val="none"/>
        </w:rPr>
        <w:t>一、项目基本情况：</w:t>
      </w:r>
    </w:p>
    <w:p>
      <w:pPr>
        <w:pStyle w:val="18"/>
        <w:spacing w:before="0" w:beforeAutospacing="0" w:after="0" w:afterAutospacing="0" w:line="510" w:lineRule="atLeast"/>
        <w:ind w:firstLine="420"/>
        <w:rPr>
          <w:rFonts w:hint="eastAsia" w:eastAsia="宋体"/>
          <w:color w:val="auto"/>
          <w:highlight w:val="none"/>
          <w:lang w:eastAsia="zh-CN"/>
        </w:rPr>
      </w:pPr>
      <w:r>
        <w:rPr>
          <w:color w:val="auto"/>
          <w:highlight w:val="none"/>
        </w:rPr>
        <w:t>项目编号：</w:t>
      </w:r>
      <w:r>
        <w:rPr>
          <w:rFonts w:hint="eastAsia"/>
          <w:color w:val="auto"/>
          <w:highlight w:val="none"/>
          <w:lang w:eastAsia="zh-CN"/>
        </w:rPr>
        <w:t>ZHZB-2022-GK-12112</w:t>
      </w:r>
    </w:p>
    <w:p>
      <w:pPr>
        <w:pStyle w:val="18"/>
        <w:spacing w:before="0" w:beforeAutospacing="0" w:after="0" w:afterAutospacing="0" w:line="510" w:lineRule="atLeast"/>
        <w:ind w:firstLine="420"/>
        <w:rPr>
          <w:rFonts w:hint="eastAsia"/>
          <w:color w:val="auto"/>
          <w:highlight w:val="none"/>
          <w:lang w:eastAsia="zh-CN"/>
        </w:rPr>
      </w:pPr>
      <w:r>
        <w:rPr>
          <w:color w:val="auto"/>
          <w:highlight w:val="none"/>
        </w:rPr>
        <w:t>项目名称：</w:t>
      </w:r>
      <w:r>
        <w:rPr>
          <w:rFonts w:hint="eastAsia"/>
          <w:color w:val="auto"/>
          <w:highlight w:val="none"/>
          <w:lang w:eastAsia="zh-CN"/>
        </w:rPr>
        <w:t>西安美术学院2023年图书采购项目</w:t>
      </w:r>
    </w:p>
    <w:p>
      <w:pPr>
        <w:pStyle w:val="18"/>
        <w:spacing w:before="0" w:beforeAutospacing="0" w:after="0" w:afterAutospacing="0" w:line="510" w:lineRule="atLeast"/>
        <w:ind w:firstLine="420"/>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采购方式：公开招标</w:t>
      </w:r>
    </w:p>
    <w:p>
      <w:pPr>
        <w:pStyle w:val="18"/>
        <w:spacing w:before="0" w:beforeAutospacing="0" w:after="0" w:afterAutospacing="0" w:line="510" w:lineRule="atLeast"/>
        <w:ind w:firstLine="420"/>
        <w:rPr>
          <w:color w:val="auto"/>
          <w:highlight w:val="none"/>
        </w:rPr>
      </w:pPr>
      <w:r>
        <w:rPr>
          <w:color w:val="auto"/>
          <w:highlight w:val="none"/>
        </w:rPr>
        <w:t>预算金额：</w:t>
      </w:r>
      <w:r>
        <w:rPr>
          <w:rFonts w:hint="eastAsia"/>
          <w:color w:val="auto"/>
          <w:highlight w:val="none"/>
          <w:lang w:val="en-US" w:eastAsia="zh-CN"/>
        </w:rPr>
        <w:t>1200000.00</w:t>
      </w:r>
      <w:r>
        <w:rPr>
          <w:rFonts w:hint="eastAsia"/>
          <w:color w:val="auto"/>
          <w:highlight w:val="none"/>
        </w:rPr>
        <w:t>元</w:t>
      </w:r>
    </w:p>
    <w:p>
      <w:pPr>
        <w:pStyle w:val="18"/>
        <w:spacing w:before="0" w:beforeAutospacing="0" w:after="0" w:afterAutospacing="0" w:line="510" w:lineRule="atLeast"/>
        <w:ind w:firstLine="420"/>
        <w:rPr>
          <w:color w:val="auto"/>
          <w:highlight w:val="none"/>
        </w:rPr>
      </w:pPr>
      <w:r>
        <w:rPr>
          <w:color w:val="auto"/>
          <w:highlight w:val="none"/>
        </w:rPr>
        <w:t xml:space="preserve">采购需求：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合同包1(</w:t>
      </w:r>
      <w:r>
        <w:rPr>
          <w:rFonts w:hint="eastAsia"/>
          <w:color w:val="auto"/>
          <w:highlight w:val="none"/>
          <w:lang w:eastAsia="zh-CN"/>
        </w:rPr>
        <w:t>中版美术图书文献</w:t>
      </w:r>
      <w:r>
        <w:rPr>
          <w:rFonts w:hint="eastAsia"/>
          <w:color w:val="auto"/>
          <w:highlight w:val="none"/>
        </w:rPr>
        <w:t>):</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合同包预算金额：</w:t>
      </w:r>
      <w:r>
        <w:rPr>
          <w:rFonts w:hint="eastAsia"/>
          <w:color w:val="auto"/>
          <w:highlight w:val="none"/>
          <w:lang w:eastAsia="zh-CN"/>
        </w:rPr>
        <w:t>700,000.00</w:t>
      </w:r>
      <w:r>
        <w:rPr>
          <w:rFonts w:hint="eastAsia"/>
          <w:color w:val="auto"/>
          <w:highlight w:val="none"/>
        </w:rPr>
        <w:t>元</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合同包最高限价：</w:t>
      </w:r>
      <w:r>
        <w:rPr>
          <w:rFonts w:hint="eastAsia"/>
          <w:color w:val="auto"/>
          <w:highlight w:val="none"/>
          <w:lang w:eastAsia="zh-CN"/>
        </w:rPr>
        <w:t>700,000.00</w:t>
      </w:r>
      <w:r>
        <w:rPr>
          <w:rFonts w:hint="eastAsia"/>
          <w:color w:val="auto"/>
          <w:highlight w:val="none"/>
        </w:rPr>
        <w:t>元</w:t>
      </w:r>
    </w:p>
    <w:tbl>
      <w:tblPr>
        <w:tblStyle w:val="20"/>
        <w:tblW w:w="99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64"/>
        <w:gridCol w:w="1082"/>
        <w:gridCol w:w="2235"/>
        <w:gridCol w:w="1233"/>
        <w:gridCol w:w="1383"/>
        <w:gridCol w:w="1584"/>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8" w:hRule="atLeast"/>
          <w:tblHeader/>
          <w:jc w:val="center"/>
        </w:trPr>
        <w:tc>
          <w:tcPr>
            <w:tcW w:w="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品目号</w:t>
            </w:r>
          </w:p>
        </w:tc>
        <w:tc>
          <w:tcPr>
            <w:tcW w:w="10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品目名称</w:t>
            </w:r>
          </w:p>
        </w:tc>
        <w:tc>
          <w:tcPr>
            <w:tcW w:w="22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采购标的</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数量（单位）</w:t>
            </w:r>
          </w:p>
        </w:tc>
        <w:tc>
          <w:tcPr>
            <w:tcW w:w="13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技术规格、参数及要求</w:t>
            </w:r>
          </w:p>
        </w:tc>
        <w:tc>
          <w:tcPr>
            <w:tcW w:w="15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品目预算(元)</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1-1</w:t>
            </w:r>
          </w:p>
        </w:tc>
        <w:tc>
          <w:tcPr>
            <w:tcW w:w="10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百科全书</w:t>
            </w:r>
          </w:p>
        </w:tc>
        <w:tc>
          <w:tcPr>
            <w:tcW w:w="22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default"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700000</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1(批)</w:t>
            </w:r>
          </w:p>
        </w:tc>
        <w:tc>
          <w:tcPr>
            <w:tcW w:w="13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15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240" w:lineRule="auto"/>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vertAlign w:val="baseline"/>
                <w:lang w:val="en-US" w:eastAsia="zh-CN" w:bidi="ar"/>
              </w:rPr>
              <w:t>700,000.00</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240" w:lineRule="auto"/>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vertAlign w:val="baseline"/>
                <w:lang w:val="en-US" w:eastAsia="zh-CN" w:bidi="ar"/>
              </w:rPr>
              <w:t>700,000.00</w:t>
            </w:r>
          </w:p>
        </w:tc>
      </w:tr>
    </w:tbl>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本合同包不接受联合体投标</w:t>
      </w:r>
    </w:p>
    <w:p>
      <w:pPr>
        <w:pStyle w:val="18"/>
        <w:spacing w:before="0" w:beforeAutospacing="0" w:after="0" w:afterAutospacing="0" w:line="510" w:lineRule="atLeast"/>
        <w:ind w:firstLine="420"/>
        <w:rPr>
          <w:rFonts w:hint="eastAsia" w:eastAsia="宋体"/>
          <w:color w:val="auto"/>
          <w:highlight w:val="none"/>
          <w:lang w:eastAsia="zh-CN"/>
        </w:rPr>
      </w:pPr>
      <w:r>
        <w:rPr>
          <w:rFonts w:hint="eastAsia"/>
          <w:color w:val="auto"/>
          <w:highlight w:val="none"/>
        </w:rPr>
        <w:t>合同履行期限：</w:t>
      </w:r>
      <w:r>
        <w:rPr>
          <w:rFonts w:hint="eastAsia"/>
          <w:color w:val="auto"/>
          <w:highlight w:val="none"/>
          <w:lang w:eastAsia="zh-CN"/>
        </w:rPr>
        <w:t>2023年</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合同包2(</w:t>
      </w:r>
      <w:r>
        <w:rPr>
          <w:rFonts w:hint="eastAsia"/>
          <w:color w:val="auto"/>
          <w:highlight w:val="none"/>
          <w:lang w:eastAsia="zh-CN"/>
        </w:rPr>
        <w:t>中版社科类图书文献</w:t>
      </w:r>
      <w:r>
        <w:rPr>
          <w:rFonts w:hint="eastAsia"/>
          <w:color w:val="auto"/>
          <w:highlight w:val="none"/>
        </w:rPr>
        <w:t>):</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合同包预算金额：</w:t>
      </w:r>
      <w:r>
        <w:rPr>
          <w:rFonts w:hint="eastAsia"/>
          <w:color w:val="auto"/>
          <w:highlight w:val="none"/>
          <w:lang w:eastAsia="zh-CN"/>
        </w:rPr>
        <w:t>500,000.00</w:t>
      </w:r>
      <w:r>
        <w:rPr>
          <w:rFonts w:hint="eastAsia"/>
          <w:color w:val="auto"/>
          <w:highlight w:val="none"/>
        </w:rPr>
        <w:t>元</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合同包最高限价：</w:t>
      </w:r>
      <w:r>
        <w:rPr>
          <w:rFonts w:hint="eastAsia"/>
          <w:color w:val="auto"/>
          <w:highlight w:val="none"/>
          <w:lang w:eastAsia="zh-CN"/>
        </w:rPr>
        <w:t>500,000.00</w:t>
      </w:r>
      <w:r>
        <w:rPr>
          <w:rFonts w:hint="eastAsia"/>
          <w:color w:val="auto"/>
          <w:highlight w:val="none"/>
        </w:rPr>
        <w:t>元</w:t>
      </w:r>
    </w:p>
    <w:tbl>
      <w:tblPr>
        <w:tblStyle w:val="20"/>
        <w:tblW w:w="10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00"/>
        <w:gridCol w:w="1701"/>
        <w:gridCol w:w="1705"/>
        <w:gridCol w:w="1030"/>
        <w:gridCol w:w="1721"/>
        <w:gridCol w:w="1480"/>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4" w:hRule="atLeast"/>
          <w:tblHeader/>
          <w:jc w:val="center"/>
        </w:trPr>
        <w:tc>
          <w:tcPr>
            <w:tcW w:w="1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品目号</w:t>
            </w:r>
          </w:p>
        </w:tc>
        <w:tc>
          <w:tcPr>
            <w:tcW w:w="17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品目名称</w:t>
            </w:r>
          </w:p>
        </w:tc>
        <w:tc>
          <w:tcPr>
            <w:tcW w:w="17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采购标的</w:t>
            </w:r>
          </w:p>
        </w:tc>
        <w:tc>
          <w:tcPr>
            <w:tcW w:w="1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数量（单位）</w:t>
            </w:r>
          </w:p>
        </w:tc>
        <w:tc>
          <w:tcPr>
            <w:tcW w:w="17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技术规格、参数及要求</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品目预算(元)</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9" w:hRule="atLeast"/>
          <w:jc w:val="center"/>
        </w:trPr>
        <w:tc>
          <w:tcPr>
            <w:tcW w:w="1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2-1</w:t>
            </w:r>
          </w:p>
        </w:tc>
        <w:tc>
          <w:tcPr>
            <w:tcW w:w="17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百科全书</w:t>
            </w:r>
          </w:p>
        </w:tc>
        <w:tc>
          <w:tcPr>
            <w:tcW w:w="17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500000</w:t>
            </w:r>
          </w:p>
        </w:tc>
        <w:tc>
          <w:tcPr>
            <w:tcW w:w="1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1(批)</w:t>
            </w:r>
          </w:p>
        </w:tc>
        <w:tc>
          <w:tcPr>
            <w:tcW w:w="17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uto"/>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vertAlign w:val="baseline"/>
                <w:lang w:val="en-US" w:eastAsia="zh-CN" w:bidi="ar"/>
              </w:rPr>
              <w:t>500,000.00</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uto"/>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vertAlign w:val="baseline"/>
                <w:lang w:val="en-US" w:eastAsia="zh-CN" w:bidi="ar"/>
              </w:rPr>
              <w:t>500,000.00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fill="FFFFFF"/>
          <w:vertAlign w:val="baseline"/>
        </w:rPr>
        <w:t>合同履行期限：</w:t>
      </w:r>
      <w:r>
        <w:rPr>
          <w:rFonts w:hint="eastAsia" w:ascii="宋体" w:hAnsi="宋体" w:eastAsia="宋体" w:cs="宋体"/>
          <w:i w:val="0"/>
          <w:caps w:val="0"/>
          <w:color w:val="auto"/>
          <w:spacing w:val="0"/>
          <w:sz w:val="24"/>
          <w:szCs w:val="24"/>
          <w:highlight w:val="none"/>
          <w:shd w:val="clear" w:fill="FFFFFF"/>
          <w:vertAlign w:val="baseline"/>
          <w:lang w:eastAsia="zh-CN"/>
        </w:rPr>
        <w:t>2023年</w:t>
      </w:r>
    </w:p>
    <w:p>
      <w:pPr>
        <w:pStyle w:val="18"/>
        <w:spacing w:before="0" w:beforeAutospacing="0" w:after="0" w:afterAutospacing="0" w:line="510" w:lineRule="atLeast"/>
        <w:rPr>
          <w:b/>
          <w:bCs/>
          <w:color w:val="auto"/>
          <w:highlight w:val="none"/>
        </w:rPr>
      </w:pPr>
      <w:r>
        <w:rPr>
          <w:b/>
          <w:bCs/>
          <w:color w:val="auto"/>
          <w:highlight w:val="none"/>
        </w:rPr>
        <w:t xml:space="preserve">二、 </w:t>
      </w:r>
      <w:r>
        <w:rPr>
          <w:rFonts w:hint="eastAsia"/>
          <w:b/>
          <w:bCs/>
          <w:color w:val="auto"/>
          <w:highlight w:val="none"/>
          <w:lang w:val="en-US" w:eastAsia="zh-CN"/>
        </w:rPr>
        <w:t>申请人</w:t>
      </w:r>
      <w:r>
        <w:rPr>
          <w:b/>
          <w:bCs/>
          <w:color w:val="auto"/>
          <w:highlight w:val="none"/>
        </w:rPr>
        <w:t xml:space="preserve">的资格要求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1.满足《中华人民共和国政府采购法》第二十二条规定;</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2.落实政府采购政策需满足的资格要求：</w:t>
      </w:r>
    </w:p>
    <w:p>
      <w:pPr>
        <w:pStyle w:val="18"/>
        <w:spacing w:before="0" w:beforeAutospacing="0" w:after="0" w:afterAutospacing="0" w:line="510" w:lineRule="atLeast"/>
        <w:ind w:firstLine="420"/>
        <w:rPr>
          <w:rFonts w:hint="eastAsia"/>
          <w:b/>
          <w:bCs/>
          <w:color w:val="auto"/>
          <w:highlight w:val="none"/>
        </w:rPr>
      </w:pPr>
      <w:r>
        <w:rPr>
          <w:rFonts w:hint="eastAsia"/>
          <w:b/>
          <w:bCs/>
          <w:color w:val="auto"/>
          <w:highlight w:val="none"/>
        </w:rPr>
        <w:t>合同包1(</w:t>
      </w:r>
      <w:r>
        <w:rPr>
          <w:rFonts w:hint="eastAsia"/>
          <w:b/>
          <w:bCs/>
          <w:color w:val="auto"/>
          <w:highlight w:val="none"/>
          <w:lang w:eastAsia="zh-CN"/>
        </w:rPr>
        <w:t>中版美术图书文献</w:t>
      </w:r>
      <w:r>
        <w:rPr>
          <w:rFonts w:hint="eastAsia"/>
          <w:b/>
          <w:bCs/>
          <w:color w:val="auto"/>
          <w:highlight w:val="none"/>
        </w:rPr>
        <w:t>)落实政府采购政策需满足的资格要求如下:</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本次项目参照政府采购规定落实政府采购政策：</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依据《中华人民共和国政府采购法》和《中华人民共和国政府采购法实施条例》的有关规定，落实政府采购政策，详见招标文件。</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（1）《政府采购促进中小企业发展管理办法》的通知--财库[2020]46号。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（2）财政部司法部关于政府采购支持监狱企业发展有关问题的通知--财库〔2014〕68号。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（3）《国务院办公厅关于建立政府强制采购节能产品制度的通知》--国办发〔2007〕51号。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（4）《财政部发展改革委生态环境部市场监督总局关于调整优化节能产品、环境标志产品政府采购执行机制的通知》--（财库[2019]9号）。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（5）《关于印发环境标志产品政府采购品目清单的通知》--（财库〔2019〕18号）。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（6）《关于印发节能产品政府采购品目清单的通知》--（财库〔2019〕19号）。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（7）《财政部民政部中国残疾人联合会关于促进残疾人就业政府采购政策的通知》--（财库〔2017〕141号）。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（8）《关于运用政府采购政策支持乡村产业振兴的通知》（财库〔2021〕19号）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（9）陕西省财政厅关于印发《陕西省中小企业政府采购信用融资办法》（陕财办采〔2018〕23号）。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（10）《陕西省财政厅关于加快推进我省中小企业政府采购信用融资工作的通知》（陕财办采〔2020〕15号）。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（11）《关于进一步加强政府绿色采购有关问题的通知》（陕财办采〔2021〕29号）。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若享受以上政策优惠的企业，提供相应声明函或品目范围内产品有效认证证书。</w:t>
      </w:r>
    </w:p>
    <w:p>
      <w:pPr>
        <w:pStyle w:val="18"/>
        <w:spacing w:before="0" w:beforeAutospacing="0" w:after="0" w:afterAutospacing="0" w:line="510" w:lineRule="atLeast"/>
        <w:ind w:firstLine="420"/>
        <w:rPr>
          <w:rFonts w:hint="eastAsia"/>
          <w:b/>
          <w:bCs/>
          <w:color w:val="auto"/>
          <w:highlight w:val="none"/>
        </w:rPr>
      </w:pPr>
      <w:r>
        <w:rPr>
          <w:rFonts w:hint="eastAsia"/>
          <w:b/>
          <w:bCs/>
          <w:color w:val="auto"/>
          <w:highlight w:val="none"/>
        </w:rPr>
        <w:t>合同包2(</w:t>
      </w:r>
      <w:r>
        <w:rPr>
          <w:rFonts w:hint="eastAsia"/>
          <w:b/>
          <w:bCs/>
          <w:color w:val="auto"/>
          <w:highlight w:val="none"/>
          <w:lang w:eastAsia="zh-CN"/>
        </w:rPr>
        <w:t>中版社科类图书文献</w:t>
      </w:r>
      <w:r>
        <w:rPr>
          <w:rFonts w:hint="eastAsia"/>
          <w:b/>
          <w:bCs/>
          <w:color w:val="auto"/>
          <w:highlight w:val="none"/>
        </w:rPr>
        <w:t>)落实政府采购政策需满足的资格要求如下:</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本次项目参照政府采购规定落实政府采购政策：</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依据《中华人民共和国政府采购法》和《中华人民共和国政府采购法实施条例》的有关规定，落实政府采购政策，详见招标文件。</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（1）《政府采购促进中小企业发展管理办法》的通知--财库[2020]46号。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（2）财政部司法部关于政府采购支持监狱企业发展有关问题的通知--财库〔2014〕68号。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（3）《国务院办公厅关于建立政府强制采购节能产品制度的通知》--国办发〔2007〕51号。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（4）《财政部发展改革委生态环境部市场监督总局关于调整优化节能产品、环境标志产品政府采购执行机制的通知》--（财库[2019]9号）。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（5）《关于印发环境标志产品政府采购品目清单的通知》--（财库〔2019〕18号）。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（6）《关于印发节能产品政府采购品目清单的通知》--（财库〔2019〕19号）。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（7）《财政部民政部中国残疾人联合会关于促进残疾人就业政府采购政策的通知》--（财库〔2017〕141号）。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（8）《关于运用政府采购政策支持乡村产业振兴的通知》（财库〔2021〕19号）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（9）陕西省财政厅关于印发《陕西省中小企业政府采购信用融资办法》（陕财办采〔2018〕23号）。 </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（10）《陕西省财政厅关于加快推进我省中小企业政府采购信用融资工作的通知》（陕财办采〔2020〕15号）。</w:t>
      </w:r>
    </w:p>
    <w:p>
      <w:pPr>
        <w:pStyle w:val="18"/>
        <w:spacing w:before="0" w:beforeAutospacing="0" w:after="0" w:afterAutospacing="0" w:line="510" w:lineRule="atLeast"/>
        <w:ind w:firstLine="420"/>
        <w:rPr>
          <w:rFonts w:hint="eastAsia"/>
          <w:color w:val="auto"/>
          <w:highlight w:val="none"/>
        </w:rPr>
      </w:pPr>
      <w:r>
        <w:rPr>
          <w:rFonts w:hint="eastAsia"/>
          <w:color w:val="auto"/>
          <w:highlight w:val="none"/>
        </w:rPr>
        <w:t>（11）《关于进一步加强政府绿色采购有关问题的通知》（陕财办采〔2021〕29号）。</w:t>
      </w:r>
    </w:p>
    <w:p>
      <w:pPr>
        <w:pStyle w:val="18"/>
        <w:spacing w:before="0" w:beforeAutospacing="0" w:after="0" w:afterAutospacing="0" w:line="510" w:lineRule="atLeast"/>
        <w:ind w:firstLine="420"/>
        <w:rPr>
          <w:color w:val="auto"/>
          <w:highlight w:val="none"/>
        </w:rPr>
      </w:pPr>
      <w:r>
        <w:rPr>
          <w:rFonts w:hint="eastAsia"/>
          <w:color w:val="auto"/>
          <w:highlight w:val="none"/>
        </w:rPr>
        <w:t>若享受以上政策优惠的企业，提供相应声明函或品目范围内产品有效认证证书。</w:t>
      </w:r>
    </w:p>
    <w:p>
      <w:pPr>
        <w:pStyle w:val="18"/>
        <w:spacing w:before="0" w:beforeAutospacing="0" w:after="0" w:afterAutospacing="0" w:line="510" w:lineRule="atLeast"/>
        <w:ind w:firstLine="480" w:firstLineChars="200"/>
        <w:rPr>
          <w:rFonts w:hint="eastAsia"/>
          <w:color w:val="auto"/>
          <w:highlight w:val="none"/>
        </w:rPr>
      </w:pPr>
      <w:r>
        <w:rPr>
          <w:rFonts w:hint="eastAsia"/>
          <w:color w:val="auto"/>
          <w:highlight w:val="none"/>
        </w:rPr>
        <w:t>3.本项目的特定资格要求：</w:t>
      </w:r>
    </w:p>
    <w:p>
      <w:pPr>
        <w:pStyle w:val="18"/>
        <w:spacing w:before="0" w:beforeAutospacing="0" w:after="0" w:afterAutospacing="0" w:line="510" w:lineRule="atLeast"/>
        <w:ind w:firstLine="482" w:firstLineChars="200"/>
        <w:rPr>
          <w:rFonts w:hint="eastAsia"/>
          <w:b/>
          <w:bCs/>
          <w:color w:val="auto"/>
          <w:highlight w:val="none"/>
        </w:rPr>
      </w:pPr>
      <w:r>
        <w:rPr>
          <w:rFonts w:hint="eastAsia"/>
          <w:b/>
          <w:bCs/>
          <w:color w:val="auto"/>
          <w:highlight w:val="none"/>
        </w:rPr>
        <w:t>合同包1(</w:t>
      </w:r>
      <w:r>
        <w:rPr>
          <w:rFonts w:hint="eastAsia"/>
          <w:b/>
          <w:bCs/>
          <w:color w:val="auto"/>
          <w:highlight w:val="none"/>
          <w:lang w:eastAsia="zh-CN"/>
        </w:rPr>
        <w:t>中版美术图书文献</w:t>
      </w:r>
      <w:r>
        <w:rPr>
          <w:rFonts w:hint="eastAsia"/>
          <w:b/>
          <w:bCs/>
          <w:color w:val="auto"/>
          <w:highlight w:val="none"/>
        </w:rPr>
        <w:t>)特定资格要求如下:</w:t>
      </w:r>
    </w:p>
    <w:p>
      <w:pPr>
        <w:pStyle w:val="18"/>
        <w:spacing w:before="0" w:beforeAutospacing="0" w:after="0" w:afterAutospacing="0" w:line="510" w:lineRule="atLeast"/>
        <w:ind w:firstLine="480" w:firstLineChars="200"/>
        <w:rPr>
          <w:rFonts w:hint="eastAsia"/>
          <w:color w:val="auto"/>
          <w:highlight w:val="none"/>
        </w:rPr>
      </w:pPr>
      <w:r>
        <w:rPr>
          <w:rFonts w:hint="eastAsia"/>
          <w:color w:val="auto"/>
          <w:highlight w:val="none"/>
        </w:rPr>
        <w:t>1）法定代表人授权书（附法定代表人、被授权人身份证复印件）、被授权人身份证（法定代表人直接参加投标，须提供法定代表人身份证明及身份证原件）； </w:t>
      </w:r>
    </w:p>
    <w:p>
      <w:pPr>
        <w:pStyle w:val="18"/>
        <w:spacing w:before="0" w:beforeAutospacing="0" w:after="0" w:afterAutospacing="0" w:line="510" w:lineRule="atLeast"/>
        <w:ind w:firstLine="480" w:firstLineChars="200"/>
        <w:rPr>
          <w:rFonts w:hint="eastAsia"/>
          <w:color w:val="auto"/>
          <w:highlight w:val="none"/>
        </w:rPr>
      </w:pPr>
      <w:r>
        <w:rPr>
          <w:rFonts w:hint="eastAsia"/>
          <w:color w:val="auto"/>
          <w:highlight w:val="none"/>
        </w:rPr>
        <w:t>2）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18"/>
        <w:spacing w:before="0" w:beforeAutospacing="0" w:after="0" w:afterAutospacing="0" w:line="510" w:lineRule="atLeast"/>
        <w:ind w:firstLine="482" w:firstLineChars="200"/>
        <w:rPr>
          <w:rFonts w:hint="eastAsia"/>
          <w:b/>
          <w:bCs/>
          <w:color w:val="auto"/>
          <w:highlight w:val="none"/>
        </w:rPr>
      </w:pPr>
      <w:r>
        <w:rPr>
          <w:rFonts w:hint="eastAsia"/>
          <w:b/>
          <w:bCs/>
          <w:color w:val="auto"/>
          <w:highlight w:val="none"/>
        </w:rPr>
        <w:t>合同包2(</w:t>
      </w:r>
      <w:r>
        <w:rPr>
          <w:rFonts w:hint="eastAsia"/>
          <w:b/>
          <w:bCs/>
          <w:color w:val="auto"/>
          <w:highlight w:val="none"/>
          <w:lang w:eastAsia="zh-CN"/>
        </w:rPr>
        <w:t>中版社科类图书文献</w:t>
      </w:r>
      <w:r>
        <w:rPr>
          <w:rFonts w:hint="eastAsia"/>
          <w:b/>
          <w:bCs/>
          <w:color w:val="auto"/>
          <w:highlight w:val="none"/>
        </w:rPr>
        <w:t>)特定资格要求如下:</w:t>
      </w:r>
    </w:p>
    <w:p>
      <w:pPr>
        <w:pStyle w:val="18"/>
        <w:spacing w:before="0" w:beforeAutospacing="0" w:after="0" w:afterAutospacing="0" w:line="510" w:lineRule="atLeast"/>
        <w:ind w:firstLine="480" w:firstLineChars="200"/>
        <w:rPr>
          <w:rFonts w:hint="eastAsia"/>
          <w:color w:val="auto"/>
          <w:highlight w:val="none"/>
        </w:rPr>
      </w:pPr>
      <w:r>
        <w:rPr>
          <w:rFonts w:hint="eastAsia"/>
          <w:color w:val="auto"/>
          <w:highlight w:val="none"/>
        </w:rPr>
        <w:t>1）法定代表人授权书（附法定代表人、被授权人身份证复印件）、被授权人身份证（法定代表人直接参加投标，须提供法定代表人身份证明及身份证原件）； </w:t>
      </w:r>
    </w:p>
    <w:p>
      <w:pPr>
        <w:pStyle w:val="18"/>
        <w:spacing w:before="0" w:beforeAutospacing="0" w:after="0" w:afterAutospacing="0" w:line="510" w:lineRule="atLeast"/>
        <w:ind w:firstLine="480" w:firstLineChars="200"/>
        <w:rPr>
          <w:color w:val="auto"/>
          <w:highlight w:val="none"/>
        </w:rPr>
      </w:pPr>
      <w:r>
        <w:rPr>
          <w:rFonts w:hint="eastAsia"/>
          <w:color w:val="auto"/>
          <w:highlight w:val="none"/>
        </w:rPr>
        <w:t>2）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i w:val="0"/>
          <w:caps w:val="0"/>
          <w:color w:val="auto"/>
          <w:spacing w:val="0"/>
          <w:sz w:val="24"/>
          <w:szCs w:val="24"/>
          <w:highlight w:val="none"/>
        </w:rPr>
      </w:pPr>
      <w:r>
        <w:rPr>
          <w:rStyle w:val="23"/>
          <w:rFonts w:hint="eastAsia" w:ascii="宋体" w:hAnsi="宋体" w:eastAsia="宋体" w:cs="宋体"/>
          <w:b/>
          <w:bCs w:val="0"/>
          <w:i w:val="0"/>
          <w:caps w:val="0"/>
          <w:color w:val="auto"/>
          <w:spacing w:val="0"/>
          <w:sz w:val="24"/>
          <w:szCs w:val="24"/>
          <w:highlight w:val="none"/>
          <w:shd w:val="clear" w:fill="FFFFFF"/>
          <w:vertAlign w:val="baseline"/>
        </w:rPr>
        <w:t>三、获取招标文件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时间：2022年</w:t>
      </w:r>
      <w:r>
        <w:rPr>
          <w:rFonts w:hint="eastAsia" w:ascii="宋体" w:hAnsi="宋体" w:eastAsia="宋体" w:cs="宋体"/>
          <w:i w:val="0"/>
          <w:caps w:val="0"/>
          <w:color w:val="auto"/>
          <w:spacing w:val="0"/>
          <w:sz w:val="24"/>
          <w:szCs w:val="24"/>
          <w:highlight w:val="none"/>
          <w:shd w:val="clear" w:fill="FFFFFF"/>
          <w:vertAlign w:val="baseline"/>
          <w:lang w:val="en-US" w:eastAsia="zh-CN"/>
        </w:rPr>
        <w:t>12</w:t>
      </w:r>
      <w:r>
        <w:rPr>
          <w:rFonts w:hint="eastAsia" w:ascii="宋体" w:hAnsi="宋体" w:eastAsia="宋体" w:cs="宋体"/>
          <w:i w:val="0"/>
          <w:caps w:val="0"/>
          <w:color w:val="auto"/>
          <w:spacing w:val="0"/>
          <w:sz w:val="24"/>
          <w:szCs w:val="24"/>
          <w:highlight w:val="none"/>
          <w:shd w:val="clear" w:fill="FFFFFF"/>
          <w:vertAlign w:val="baseline"/>
        </w:rPr>
        <w:t>月</w:t>
      </w:r>
      <w:r>
        <w:rPr>
          <w:rFonts w:hint="eastAsia" w:ascii="宋体" w:hAnsi="宋体" w:eastAsia="宋体" w:cs="宋体"/>
          <w:i w:val="0"/>
          <w:caps w:val="0"/>
          <w:color w:val="auto"/>
          <w:spacing w:val="0"/>
          <w:sz w:val="24"/>
          <w:szCs w:val="24"/>
          <w:highlight w:val="none"/>
          <w:shd w:val="clear" w:fill="FFFFFF"/>
          <w:vertAlign w:val="baseline"/>
          <w:lang w:val="en-US" w:eastAsia="zh-CN"/>
        </w:rPr>
        <w:t>23</w:t>
      </w:r>
      <w:r>
        <w:rPr>
          <w:rFonts w:hint="eastAsia" w:ascii="宋体" w:hAnsi="宋体" w:eastAsia="宋体" w:cs="宋体"/>
          <w:i w:val="0"/>
          <w:caps w:val="0"/>
          <w:color w:val="auto"/>
          <w:spacing w:val="0"/>
          <w:sz w:val="24"/>
          <w:szCs w:val="24"/>
          <w:highlight w:val="none"/>
          <w:shd w:val="clear" w:fill="FFFFFF"/>
          <w:vertAlign w:val="baseline"/>
        </w:rPr>
        <w:t>日至2022年12月</w:t>
      </w:r>
      <w:r>
        <w:rPr>
          <w:rFonts w:hint="eastAsia" w:ascii="宋体" w:hAnsi="宋体" w:eastAsia="宋体" w:cs="宋体"/>
          <w:i w:val="0"/>
          <w:caps w:val="0"/>
          <w:color w:val="auto"/>
          <w:spacing w:val="0"/>
          <w:sz w:val="24"/>
          <w:szCs w:val="24"/>
          <w:highlight w:val="none"/>
          <w:shd w:val="clear" w:fill="FFFFFF"/>
          <w:vertAlign w:val="baseline"/>
          <w:lang w:val="en-US" w:eastAsia="zh-CN"/>
        </w:rPr>
        <w:t>30</w:t>
      </w:r>
      <w:r>
        <w:rPr>
          <w:rFonts w:hint="eastAsia" w:ascii="宋体" w:hAnsi="宋体" w:eastAsia="宋体" w:cs="宋体"/>
          <w:i w:val="0"/>
          <w:caps w:val="0"/>
          <w:color w:val="auto"/>
          <w:spacing w:val="0"/>
          <w:sz w:val="24"/>
          <w:szCs w:val="24"/>
          <w:highlight w:val="none"/>
          <w:shd w:val="clear" w:fill="FFFFFF"/>
          <w:vertAlign w:val="baseline"/>
        </w:rPr>
        <w:t>日，每天上午09:00:00至12:00:00，下午14:00:00至17:00:00（北京时间）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途径：陕西省西安市雁塔区南二环东段凯森盛世一号A座4层408室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方式：现场获取</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售价：300元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i w:val="0"/>
          <w:caps w:val="0"/>
          <w:color w:val="auto"/>
          <w:spacing w:val="0"/>
          <w:sz w:val="24"/>
          <w:szCs w:val="24"/>
          <w:highlight w:val="none"/>
        </w:rPr>
      </w:pPr>
      <w:r>
        <w:rPr>
          <w:rStyle w:val="23"/>
          <w:rFonts w:hint="eastAsia" w:ascii="宋体" w:hAnsi="宋体" w:eastAsia="宋体" w:cs="宋体"/>
          <w:b/>
          <w:bCs w:val="0"/>
          <w:i w:val="0"/>
          <w:caps w:val="0"/>
          <w:color w:val="auto"/>
          <w:spacing w:val="0"/>
          <w:sz w:val="24"/>
          <w:szCs w:val="24"/>
          <w:highlight w:val="none"/>
          <w:shd w:val="clear" w:fill="FFFFFF"/>
          <w:vertAlign w:val="baseline"/>
        </w:rPr>
        <w:t>四、提交投标文件截止时间、开标时间和地点</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时间：</w:t>
      </w:r>
      <w:r>
        <w:rPr>
          <w:rFonts w:hint="eastAsia" w:ascii="宋体" w:hAnsi="宋体" w:eastAsia="宋体" w:cs="宋体"/>
          <w:i w:val="0"/>
          <w:caps w:val="0"/>
          <w:color w:val="auto"/>
          <w:spacing w:val="0"/>
          <w:sz w:val="24"/>
          <w:szCs w:val="24"/>
          <w:highlight w:val="none"/>
          <w:shd w:val="clear" w:fill="FFFFFF"/>
          <w:vertAlign w:val="baseline"/>
          <w:lang w:eastAsia="zh-CN"/>
        </w:rPr>
        <w:t>2023年1月13日 15时00分00秒</w:t>
      </w:r>
      <w:r>
        <w:rPr>
          <w:rFonts w:hint="eastAsia" w:ascii="宋体" w:hAnsi="宋体" w:eastAsia="宋体" w:cs="宋体"/>
          <w:i w:val="0"/>
          <w:caps w:val="0"/>
          <w:color w:val="auto"/>
          <w:spacing w:val="0"/>
          <w:sz w:val="24"/>
          <w:szCs w:val="24"/>
          <w:highlight w:val="none"/>
          <w:shd w:val="clear" w:fill="FFFFFF"/>
          <w:vertAlign w:val="baseline"/>
        </w:rPr>
        <w:t>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提交投标文件地点：西安市雁塔区南二环凯森盛世1号A座408室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开标地点：西安市雁塔区南二环凯森盛世1号A座408室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i w:val="0"/>
          <w:caps w:val="0"/>
          <w:color w:val="auto"/>
          <w:spacing w:val="0"/>
          <w:sz w:val="24"/>
          <w:szCs w:val="24"/>
          <w:highlight w:val="none"/>
        </w:rPr>
      </w:pPr>
      <w:r>
        <w:rPr>
          <w:rStyle w:val="23"/>
          <w:rFonts w:hint="eastAsia" w:ascii="宋体" w:hAnsi="宋体" w:eastAsia="宋体" w:cs="宋体"/>
          <w:b/>
          <w:bCs w:val="0"/>
          <w:i w:val="0"/>
          <w:caps w:val="0"/>
          <w:color w:val="auto"/>
          <w:spacing w:val="0"/>
          <w:sz w:val="24"/>
          <w:szCs w:val="24"/>
          <w:highlight w:val="none"/>
          <w:shd w:val="clear" w:fill="FFFFFF"/>
          <w:vertAlign w:val="baseline"/>
        </w:rPr>
        <w:t>五、公告期限</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i w:val="0"/>
          <w:caps w:val="0"/>
          <w:color w:val="auto"/>
          <w:spacing w:val="0"/>
          <w:sz w:val="24"/>
          <w:szCs w:val="24"/>
          <w:highlight w:val="none"/>
        </w:rPr>
      </w:pPr>
      <w:r>
        <w:rPr>
          <w:rStyle w:val="23"/>
          <w:rFonts w:hint="eastAsia" w:ascii="宋体" w:hAnsi="宋体" w:eastAsia="宋体" w:cs="宋体"/>
          <w:b/>
          <w:bCs w:val="0"/>
          <w:i w:val="0"/>
          <w:caps w:val="0"/>
          <w:color w:val="auto"/>
          <w:spacing w:val="0"/>
          <w:sz w:val="24"/>
          <w:szCs w:val="24"/>
          <w:highlight w:val="none"/>
          <w:shd w:val="clear" w:fill="FFFFFF"/>
          <w:vertAlign w:val="baseline"/>
        </w:rPr>
        <w:t>六、其他补充事宜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1、招标文件售价300元/合同包。</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2、获取招标文件请携带单位介绍信原件（须注明：联系人、联系电话、项目编号）、经办人身份证原件及复印件加盖公章一份。</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3、请投标人按照陕西省财政厅关于政府采购供应商注册登记有关事项的通知中的要求，通过陕西省政府采购网（http://www.ccgp-shaanxi.gov.cn/）注册登记加入陕西省政府采购供应商库。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i w:val="0"/>
          <w:caps w:val="0"/>
          <w:color w:val="auto"/>
          <w:spacing w:val="0"/>
          <w:sz w:val="24"/>
          <w:szCs w:val="24"/>
          <w:highlight w:val="none"/>
        </w:rPr>
      </w:pPr>
      <w:r>
        <w:rPr>
          <w:rStyle w:val="23"/>
          <w:rFonts w:hint="eastAsia" w:ascii="宋体" w:hAnsi="宋体" w:eastAsia="宋体" w:cs="宋体"/>
          <w:b/>
          <w:bCs w:val="0"/>
          <w:i w:val="0"/>
          <w:caps w:val="0"/>
          <w:color w:val="auto"/>
          <w:spacing w:val="0"/>
          <w:sz w:val="24"/>
          <w:szCs w:val="24"/>
          <w:highlight w:val="none"/>
          <w:shd w:val="clear" w:fill="FFFFFF"/>
          <w:vertAlign w:val="baseline"/>
        </w:rPr>
        <w:t>七、对本次招标提出询问，请按以下方式联系。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color w:val="auto"/>
          <w:sz w:val="24"/>
          <w:szCs w:val="24"/>
          <w:highlight w:val="none"/>
        </w:rPr>
      </w:pPr>
      <w:r>
        <w:rPr>
          <w:rFonts w:hint="eastAsia" w:ascii="宋体" w:hAnsi="宋体" w:eastAsia="宋体" w:cs="宋体"/>
          <w:b w:val="0"/>
          <w:i w:val="0"/>
          <w:caps w:val="0"/>
          <w:color w:val="auto"/>
          <w:spacing w:val="0"/>
          <w:sz w:val="24"/>
          <w:szCs w:val="24"/>
          <w:highlight w:val="none"/>
          <w:shd w:val="clear" w:fill="FFFFFF"/>
          <w:vertAlign w:val="baseline"/>
        </w:rPr>
        <w:t>1.采购人信息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fill="FFFFFF"/>
          <w:vertAlign w:val="baseline"/>
        </w:rPr>
        <w:t>名称：</w:t>
      </w:r>
      <w:r>
        <w:rPr>
          <w:rFonts w:hint="eastAsia" w:ascii="宋体" w:hAnsi="宋体" w:eastAsia="宋体" w:cs="宋体"/>
          <w:i w:val="0"/>
          <w:caps w:val="0"/>
          <w:color w:val="auto"/>
          <w:spacing w:val="0"/>
          <w:sz w:val="24"/>
          <w:szCs w:val="24"/>
          <w:highlight w:val="none"/>
          <w:shd w:val="clear" w:fill="FFFFFF"/>
          <w:vertAlign w:val="baseline"/>
          <w:lang w:eastAsia="zh-CN"/>
        </w:rPr>
        <w:t>西安美术学院</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fill="FFFFFF"/>
          <w:vertAlign w:val="baseline"/>
        </w:rPr>
        <w:t>地址：</w:t>
      </w:r>
      <w:r>
        <w:rPr>
          <w:rFonts w:hint="eastAsia" w:ascii="宋体" w:hAnsi="宋体" w:eastAsia="宋体" w:cs="宋体"/>
          <w:i w:val="0"/>
          <w:caps w:val="0"/>
          <w:color w:val="auto"/>
          <w:spacing w:val="0"/>
          <w:sz w:val="24"/>
          <w:szCs w:val="24"/>
          <w:highlight w:val="none"/>
          <w:shd w:val="clear" w:fill="FFFFFF"/>
          <w:vertAlign w:val="baseline"/>
          <w:lang w:eastAsia="zh-CN"/>
        </w:rPr>
        <w:t>西安市雁塔区含光路100号西安美术学院</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fill="FFFFFF"/>
          <w:vertAlign w:val="baseline"/>
        </w:rPr>
        <w:t>联系方式：</w:t>
      </w:r>
      <w:r>
        <w:rPr>
          <w:rFonts w:hint="eastAsia" w:ascii="宋体" w:hAnsi="宋体" w:eastAsia="宋体" w:cs="宋体"/>
          <w:i w:val="0"/>
          <w:caps w:val="0"/>
          <w:color w:val="auto"/>
          <w:spacing w:val="0"/>
          <w:sz w:val="24"/>
          <w:szCs w:val="24"/>
          <w:highlight w:val="none"/>
          <w:shd w:val="clear" w:fill="FFFFFF"/>
          <w:vertAlign w:val="baseline"/>
          <w:lang w:eastAsia="zh-CN"/>
        </w:rPr>
        <w:t>029-88214244</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color w:val="auto"/>
          <w:sz w:val="24"/>
          <w:szCs w:val="24"/>
          <w:highlight w:val="none"/>
        </w:rPr>
      </w:pPr>
      <w:r>
        <w:rPr>
          <w:rFonts w:hint="eastAsia" w:ascii="宋体" w:hAnsi="宋体" w:eastAsia="宋体" w:cs="宋体"/>
          <w:b w:val="0"/>
          <w:i w:val="0"/>
          <w:caps w:val="0"/>
          <w:color w:val="auto"/>
          <w:spacing w:val="0"/>
          <w:sz w:val="24"/>
          <w:szCs w:val="24"/>
          <w:highlight w:val="none"/>
          <w:shd w:val="clear" w:fill="FFFFFF"/>
          <w:vertAlign w:val="baseline"/>
        </w:rPr>
        <w:t>2.采购代理机构信息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名称：陕西正鸿招标有限公司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地址：陕西省西安市雁塔区南二环凯森盛世一号A座4层408室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联系方式：029-89338755/81511576转804</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color w:val="auto"/>
          <w:sz w:val="24"/>
          <w:szCs w:val="24"/>
          <w:highlight w:val="none"/>
        </w:rPr>
      </w:pPr>
      <w:r>
        <w:rPr>
          <w:rFonts w:hint="eastAsia" w:ascii="宋体" w:hAnsi="宋体" w:eastAsia="宋体" w:cs="宋体"/>
          <w:b w:val="0"/>
          <w:i w:val="0"/>
          <w:caps w:val="0"/>
          <w:color w:val="auto"/>
          <w:spacing w:val="0"/>
          <w:sz w:val="24"/>
          <w:szCs w:val="24"/>
          <w:highlight w:val="none"/>
          <w:shd w:val="clear" w:fill="FFFFFF"/>
          <w:vertAlign w:val="baseline"/>
        </w:rPr>
        <w:t>3.项目联系方式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项目联系人：王倩倩、</w:t>
      </w:r>
      <w:r>
        <w:rPr>
          <w:rFonts w:hint="eastAsia" w:ascii="宋体" w:hAnsi="宋体" w:eastAsia="宋体" w:cs="宋体"/>
          <w:i w:val="0"/>
          <w:caps w:val="0"/>
          <w:color w:val="auto"/>
          <w:spacing w:val="0"/>
          <w:sz w:val="24"/>
          <w:szCs w:val="24"/>
          <w:highlight w:val="none"/>
          <w:shd w:val="clear" w:fill="FFFFFF"/>
          <w:vertAlign w:val="baseline"/>
          <w:lang w:eastAsia="zh-CN"/>
        </w:rPr>
        <w:t>高欢欢</w:t>
      </w:r>
      <w:r>
        <w:rPr>
          <w:rFonts w:hint="eastAsia" w:ascii="宋体" w:hAnsi="宋体" w:eastAsia="宋体" w:cs="宋体"/>
          <w:i w:val="0"/>
          <w:caps w:val="0"/>
          <w:color w:val="auto"/>
          <w:spacing w:val="0"/>
          <w:sz w:val="24"/>
          <w:szCs w:val="24"/>
          <w:highlight w:val="none"/>
          <w:shd w:val="clear" w:fill="FFFFFF"/>
          <w:vertAlign w:val="baseline"/>
        </w:rPr>
        <w:t>、卫钰</w:t>
      </w:r>
    </w:p>
    <w:p>
      <w:pPr>
        <w:pStyle w:val="18"/>
        <w:spacing w:before="0" w:beforeAutospacing="0" w:after="0" w:afterAutospacing="0" w:line="510" w:lineRule="atLeast"/>
        <w:ind w:firstLine="420"/>
        <w:rPr>
          <w:color w:val="auto"/>
          <w:highlight w:val="none"/>
        </w:rPr>
      </w:pPr>
      <w:r>
        <w:rPr>
          <w:rFonts w:hint="eastAsia" w:ascii="宋体" w:hAnsi="宋体" w:eastAsia="宋体" w:cs="宋体"/>
          <w:i w:val="0"/>
          <w:caps w:val="0"/>
          <w:color w:val="auto"/>
          <w:spacing w:val="0"/>
          <w:sz w:val="24"/>
          <w:szCs w:val="24"/>
          <w:highlight w:val="none"/>
          <w:shd w:val="clear" w:fill="FFFFFF"/>
          <w:vertAlign w:val="baseline"/>
        </w:rPr>
        <w:t>电话：029-89338755/81511576转804</w:t>
      </w:r>
    </w:p>
    <w:p>
      <w:pPr>
        <w:spacing w:line="500" w:lineRule="exact"/>
        <w:jc w:val="center"/>
        <w:rPr>
          <w:rFonts w:hAnsi="宋体" w:cs="宋体"/>
          <w:color w:val="auto"/>
          <w:highlight w:val="none"/>
        </w:rPr>
      </w:pPr>
    </w:p>
    <w:p>
      <w:pPr>
        <w:jc w:val="center"/>
        <w:rPr>
          <w:rFonts w:hAnsi="宋体" w:cs="宋体"/>
          <w:color w:val="auto"/>
          <w:highlight w:val="none"/>
        </w:rPr>
      </w:pPr>
    </w:p>
    <w:p>
      <w:pPr>
        <w:pStyle w:val="15"/>
        <w:rPr>
          <w:rFonts w:hAnsi="宋体" w:cs="宋体"/>
          <w:color w:val="auto"/>
          <w:highlight w:val="none"/>
        </w:rPr>
      </w:pPr>
    </w:p>
    <w:p>
      <w:pPr>
        <w:pStyle w:val="3"/>
        <w:bidi w:val="0"/>
        <w:rPr>
          <w:rStyle w:val="26"/>
          <w:b/>
          <w:color w:val="auto"/>
          <w:sz w:val="36"/>
          <w:szCs w:val="36"/>
          <w:highlight w:val="none"/>
        </w:rPr>
      </w:pPr>
      <w:bookmarkStart w:id="13" w:name="_Toc2929"/>
      <w:bookmarkStart w:id="14" w:name="_Toc389582035"/>
      <w:bookmarkStart w:id="15" w:name="_Toc426457692"/>
      <w:bookmarkStart w:id="16" w:name="_Toc1397"/>
      <w:bookmarkStart w:id="17" w:name="_Toc30304"/>
      <w:bookmarkStart w:id="18" w:name="_Toc18964"/>
      <w:r>
        <w:rPr>
          <w:rStyle w:val="26"/>
          <w:rFonts w:hint="eastAsia"/>
          <w:b/>
          <w:color w:val="auto"/>
          <w:sz w:val="36"/>
          <w:szCs w:val="36"/>
          <w:highlight w:val="none"/>
        </w:rPr>
        <w:t xml:space="preserve">第二章  </w:t>
      </w:r>
      <w:bookmarkEnd w:id="13"/>
      <w:bookmarkEnd w:id="14"/>
      <w:r>
        <w:rPr>
          <w:rStyle w:val="26"/>
          <w:rFonts w:hint="eastAsia"/>
          <w:b/>
          <w:color w:val="auto"/>
          <w:sz w:val="36"/>
          <w:szCs w:val="36"/>
          <w:highlight w:val="none"/>
        </w:rPr>
        <w:t>投标人须知</w:t>
      </w:r>
      <w:bookmarkEnd w:id="15"/>
      <w:bookmarkEnd w:id="16"/>
    </w:p>
    <w:bookmarkEnd w:id="17"/>
    <w:bookmarkEnd w:id="18"/>
    <w:p>
      <w:pPr>
        <w:pStyle w:val="4"/>
        <w:rPr>
          <w:color w:val="auto"/>
          <w:highlight w:val="none"/>
        </w:rPr>
      </w:pPr>
      <w:bookmarkStart w:id="19" w:name="_Toc11975"/>
      <w:bookmarkStart w:id="20" w:name="_Toc30222"/>
      <w:bookmarkStart w:id="21" w:name="_Toc23108"/>
      <w:bookmarkStart w:id="22" w:name="_Toc426457693"/>
      <w:bookmarkStart w:id="23" w:name="_Toc13421"/>
      <w:bookmarkStart w:id="24" w:name="_Toc7400"/>
      <w:r>
        <w:rPr>
          <w:rFonts w:hint="eastAsia"/>
          <w:color w:val="auto"/>
          <w:highlight w:val="none"/>
        </w:rPr>
        <w:t>投标人须知前附表</w:t>
      </w:r>
      <w:bookmarkEnd w:id="19"/>
      <w:bookmarkEnd w:id="20"/>
      <w:bookmarkEnd w:id="21"/>
      <w:bookmarkEnd w:id="22"/>
      <w:bookmarkEnd w:id="23"/>
      <w:bookmarkEnd w:id="24"/>
    </w:p>
    <w:tbl>
      <w:tblPr>
        <w:tblStyle w:val="20"/>
        <w:tblW w:w="934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0"/>
        <w:gridCol w:w="1826"/>
        <w:gridCol w:w="66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blHeader/>
          <w:jc w:val="center"/>
        </w:trPr>
        <w:tc>
          <w:tcPr>
            <w:tcW w:w="840" w:type="dxa"/>
            <w:vAlign w:val="center"/>
          </w:tcPr>
          <w:p>
            <w:pPr>
              <w:pStyle w:val="3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条款号</w:t>
            </w:r>
          </w:p>
        </w:tc>
        <w:tc>
          <w:tcPr>
            <w:tcW w:w="1826" w:type="dxa"/>
            <w:vAlign w:val="center"/>
          </w:tcPr>
          <w:p>
            <w:pPr>
              <w:pStyle w:val="3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条款内容</w:t>
            </w:r>
          </w:p>
        </w:tc>
        <w:tc>
          <w:tcPr>
            <w:tcW w:w="6677" w:type="dxa"/>
            <w:vAlign w:val="center"/>
          </w:tcPr>
          <w:p>
            <w:pPr>
              <w:pStyle w:val="3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2" w:hRule="atLeast"/>
          <w:jc w:val="center"/>
        </w:trPr>
        <w:tc>
          <w:tcPr>
            <w:tcW w:w="840" w:type="dxa"/>
            <w:vAlign w:val="center"/>
          </w:tcPr>
          <w:p>
            <w:pPr>
              <w:pStyle w:val="3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826" w:type="dxa"/>
            <w:vAlign w:val="center"/>
          </w:tcPr>
          <w:p>
            <w:pPr>
              <w:pStyle w:val="3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6677" w:type="dxa"/>
          </w:tcPr>
          <w:p>
            <w:pPr>
              <w:pStyle w:val="30"/>
              <w:spacing w:line="360" w:lineRule="auto"/>
              <w:jc w:val="left"/>
              <w:rPr>
                <w:rFonts w:hint="eastAsia" w:ascii="宋体" w:hAnsi="宋体" w:eastAsia="宋体" w:cs="宋体"/>
                <w:color w:val="auto"/>
                <w:highlight w:val="none"/>
              </w:rPr>
            </w:pPr>
            <w:r>
              <w:rPr>
                <w:rFonts w:hint="eastAsia" w:cs="宋体"/>
                <w:color w:val="auto"/>
                <w:highlight w:val="none"/>
                <w:lang w:val="zh-CN"/>
              </w:rPr>
              <w:t>西安美术学院2023年图书采购项目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2" w:hRule="atLeast"/>
          <w:jc w:val="center"/>
        </w:trPr>
        <w:tc>
          <w:tcPr>
            <w:tcW w:w="840" w:type="dxa"/>
            <w:vAlign w:val="center"/>
          </w:tcPr>
          <w:p>
            <w:pPr>
              <w:pStyle w:val="30"/>
              <w:spacing w:line="360" w:lineRule="auto"/>
              <w:rPr>
                <w:rFonts w:hint="eastAsia" w:ascii="宋体" w:hAnsi="宋体" w:eastAsia="宋体" w:cs="宋体"/>
                <w:color w:val="auto"/>
                <w:highlight w:val="none"/>
              </w:rPr>
            </w:pPr>
            <w:r>
              <w:rPr>
                <w:rFonts w:hint="eastAsia"/>
                <w:color w:val="auto"/>
                <w:highlight w:val="none"/>
              </w:rPr>
              <w:t>2</w:t>
            </w:r>
          </w:p>
        </w:tc>
        <w:tc>
          <w:tcPr>
            <w:tcW w:w="1826" w:type="dxa"/>
            <w:vAlign w:val="center"/>
          </w:tcPr>
          <w:p>
            <w:pPr>
              <w:pStyle w:val="30"/>
              <w:spacing w:line="360" w:lineRule="auto"/>
              <w:rPr>
                <w:rFonts w:hint="eastAsia" w:ascii="宋体" w:hAnsi="宋体" w:eastAsia="宋体" w:cs="宋体"/>
                <w:color w:val="auto"/>
                <w:highlight w:val="none"/>
              </w:rPr>
            </w:pPr>
            <w:r>
              <w:rPr>
                <w:rFonts w:hint="eastAsia"/>
                <w:color w:val="auto"/>
                <w:highlight w:val="none"/>
              </w:rPr>
              <w:t>资金性质</w:t>
            </w:r>
          </w:p>
        </w:tc>
        <w:tc>
          <w:tcPr>
            <w:tcW w:w="6677" w:type="dxa"/>
            <w:vAlign w:val="center"/>
          </w:tcPr>
          <w:p>
            <w:pPr>
              <w:pStyle w:val="30"/>
              <w:spacing w:line="360" w:lineRule="auto"/>
              <w:jc w:val="left"/>
              <w:rPr>
                <w:rFonts w:hint="eastAsia" w:eastAsia="宋体" w:cs="宋体"/>
                <w:color w:val="auto"/>
                <w:highlight w:val="none"/>
                <w:lang w:val="zh-CN" w:eastAsia="zh-CN"/>
              </w:rPr>
            </w:pPr>
            <w:r>
              <w:rPr>
                <w:rFonts w:hint="eastAsia"/>
                <w:color w:val="auto"/>
                <w:highlight w:val="none"/>
                <w:lang w:val="en-US" w:eastAsia="zh-CN"/>
              </w:rPr>
              <w:t>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2" w:hRule="atLeast"/>
          <w:jc w:val="center"/>
        </w:trPr>
        <w:tc>
          <w:tcPr>
            <w:tcW w:w="840" w:type="dxa"/>
            <w:vAlign w:val="center"/>
          </w:tcPr>
          <w:p>
            <w:pPr>
              <w:pStyle w:val="30"/>
              <w:spacing w:line="360" w:lineRule="auto"/>
              <w:rPr>
                <w:rFonts w:hint="eastAsia"/>
                <w:color w:val="auto"/>
                <w:highlight w:val="none"/>
              </w:rPr>
            </w:pPr>
            <w:r>
              <w:rPr>
                <w:rFonts w:hint="eastAsia"/>
                <w:color w:val="auto"/>
                <w:highlight w:val="none"/>
              </w:rPr>
              <w:t>3</w:t>
            </w:r>
          </w:p>
        </w:tc>
        <w:tc>
          <w:tcPr>
            <w:tcW w:w="1826" w:type="dxa"/>
            <w:vAlign w:val="center"/>
          </w:tcPr>
          <w:p>
            <w:pPr>
              <w:pStyle w:val="30"/>
              <w:spacing w:line="360" w:lineRule="auto"/>
              <w:rPr>
                <w:rFonts w:hint="eastAsia"/>
                <w:color w:val="auto"/>
                <w:highlight w:val="none"/>
              </w:rPr>
            </w:pPr>
            <w:r>
              <w:rPr>
                <w:rFonts w:hint="eastAsia"/>
                <w:color w:val="auto"/>
                <w:highlight w:val="none"/>
              </w:rPr>
              <w:t>预算金额</w:t>
            </w:r>
          </w:p>
        </w:tc>
        <w:tc>
          <w:tcPr>
            <w:tcW w:w="6677" w:type="dxa"/>
            <w:vAlign w:val="center"/>
          </w:tcPr>
          <w:p>
            <w:pPr>
              <w:pStyle w:val="18"/>
              <w:spacing w:before="0" w:beforeAutospacing="0" w:after="0" w:afterAutospacing="0" w:line="510" w:lineRule="atLeast"/>
              <w:rPr>
                <w:rFonts w:cs="宋体"/>
                <w:color w:val="auto"/>
                <w:highlight w:val="none"/>
              </w:rPr>
            </w:pPr>
            <w:r>
              <w:rPr>
                <w:rFonts w:hint="eastAsia" w:cs="宋体"/>
                <w:color w:val="auto"/>
                <w:highlight w:val="none"/>
                <w:lang w:val="zh-CN"/>
              </w:rPr>
              <w:t>合同包</w:t>
            </w:r>
            <w:r>
              <w:rPr>
                <w:rFonts w:hint="eastAsia" w:cs="宋体"/>
                <w:color w:val="auto"/>
                <w:highlight w:val="none"/>
              </w:rPr>
              <w:t>1：</w:t>
            </w:r>
            <w:r>
              <w:rPr>
                <w:rFonts w:hint="eastAsia" w:cs="宋体"/>
                <w:color w:val="auto"/>
                <w:highlight w:val="none"/>
                <w:lang w:eastAsia="zh-CN"/>
              </w:rPr>
              <w:t>700,000.00</w:t>
            </w:r>
            <w:r>
              <w:rPr>
                <w:rFonts w:hint="eastAsia" w:cs="宋体"/>
                <w:color w:val="auto"/>
                <w:highlight w:val="none"/>
                <w:lang w:val="zh-CN"/>
              </w:rPr>
              <w:t>元</w:t>
            </w:r>
            <w:r>
              <w:rPr>
                <w:rFonts w:hint="eastAsia" w:cs="宋体"/>
                <w:color w:val="auto"/>
                <w:highlight w:val="none"/>
              </w:rPr>
              <w:t>；</w:t>
            </w:r>
          </w:p>
          <w:p>
            <w:pPr>
              <w:pStyle w:val="18"/>
              <w:spacing w:before="0" w:beforeAutospacing="0" w:after="0" w:afterAutospacing="0" w:line="510" w:lineRule="atLeast"/>
              <w:rPr>
                <w:rFonts w:hint="eastAsia"/>
                <w:color w:val="auto"/>
                <w:highlight w:val="none"/>
              </w:rPr>
            </w:pPr>
            <w:r>
              <w:rPr>
                <w:rFonts w:hint="eastAsia" w:cs="宋体"/>
                <w:color w:val="auto"/>
                <w:highlight w:val="none"/>
                <w:shd w:val="clear" w:color="auto" w:fill="FFFFFF"/>
              </w:rPr>
              <w:t>合同包2：</w:t>
            </w:r>
            <w:r>
              <w:rPr>
                <w:rFonts w:hint="eastAsia" w:cs="宋体"/>
                <w:color w:val="auto"/>
                <w:highlight w:val="none"/>
                <w:shd w:val="clear" w:color="auto" w:fill="FFFFFF"/>
                <w:lang w:eastAsia="zh-CN"/>
              </w:rPr>
              <w:t>500,000.00</w:t>
            </w:r>
            <w:r>
              <w:rPr>
                <w:rFonts w:hint="eastAsia" w:cs="宋体"/>
                <w:color w:val="auto"/>
                <w:highlight w:val="none"/>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eastAsia" w:ascii="宋体" w:hAnsi="宋体" w:eastAsia="宋体" w:cs="宋体"/>
                <w:color w:val="auto"/>
                <w:highlight w:val="none"/>
                <w:lang w:eastAsia="zh-CN"/>
              </w:rPr>
            </w:pPr>
            <w:r>
              <w:rPr>
                <w:rFonts w:hint="eastAsia" w:cs="宋体"/>
                <w:color w:val="auto"/>
                <w:highlight w:val="none"/>
                <w:lang w:val="en-US" w:eastAsia="zh-CN"/>
              </w:rPr>
              <w:t>4</w:t>
            </w:r>
          </w:p>
        </w:tc>
        <w:tc>
          <w:tcPr>
            <w:tcW w:w="1826" w:type="dxa"/>
            <w:vAlign w:val="center"/>
          </w:tcPr>
          <w:p>
            <w:pPr>
              <w:pStyle w:val="30"/>
              <w:spacing w:line="360" w:lineRule="auto"/>
              <w:rPr>
                <w:rFonts w:hint="eastAsia" w:ascii="宋体" w:hAnsi="宋体" w:eastAsia="宋体" w:cs="宋体"/>
                <w:color w:val="auto"/>
                <w:highlight w:val="none"/>
              </w:rPr>
            </w:pPr>
            <w:r>
              <w:rPr>
                <w:rFonts w:hint="eastAsia"/>
                <w:color w:val="auto"/>
                <w:highlight w:val="none"/>
              </w:rPr>
              <w:t>招标人</w:t>
            </w:r>
          </w:p>
        </w:tc>
        <w:tc>
          <w:tcPr>
            <w:tcW w:w="6677" w:type="dxa"/>
          </w:tcPr>
          <w:p>
            <w:pPr>
              <w:pStyle w:val="30"/>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ascii="宋体" w:hAnsi="宋体" w:eastAsia="宋体" w:cs="宋体"/>
                <w:color w:val="auto"/>
                <w:highlight w:val="none"/>
                <w:lang w:eastAsia="zh-CN"/>
              </w:rPr>
              <w:t>西安美术学院</w:t>
            </w:r>
          </w:p>
          <w:p>
            <w:pPr>
              <w:pStyle w:val="30"/>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eastAsia="宋体" w:cs="宋体"/>
                <w:color w:val="auto"/>
                <w:highlight w:val="none"/>
                <w:lang w:eastAsia="zh-CN"/>
              </w:rPr>
              <w:t>西安市雁塔区含光路100号西安美术学院</w:t>
            </w:r>
          </w:p>
          <w:p>
            <w:pPr>
              <w:pStyle w:val="30"/>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联系人：</w:t>
            </w:r>
            <w:r>
              <w:rPr>
                <w:rFonts w:hint="eastAsia" w:ascii="宋体" w:hAnsi="宋体" w:eastAsia="宋体" w:cs="宋体"/>
                <w:color w:val="auto"/>
                <w:highlight w:val="none"/>
                <w:lang w:eastAsia="zh-CN"/>
              </w:rPr>
              <w:t>吴老师</w:t>
            </w:r>
          </w:p>
          <w:p>
            <w:pPr>
              <w:pStyle w:val="30"/>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联系方式：</w:t>
            </w:r>
            <w:r>
              <w:rPr>
                <w:rFonts w:hint="eastAsia" w:ascii="宋体" w:hAnsi="宋体" w:eastAsia="宋体" w:cs="宋体"/>
                <w:color w:val="auto"/>
                <w:highlight w:val="none"/>
                <w:lang w:eastAsia="zh-CN"/>
              </w:rPr>
              <w:t>029-88214244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eastAsia" w:ascii="宋体" w:hAnsi="宋体" w:eastAsia="宋体" w:cs="宋体"/>
                <w:color w:val="auto"/>
                <w:highlight w:val="none"/>
                <w:lang w:eastAsia="zh-CN"/>
              </w:rPr>
            </w:pPr>
            <w:r>
              <w:rPr>
                <w:rFonts w:hint="eastAsia" w:cs="宋体"/>
                <w:color w:val="auto"/>
                <w:highlight w:val="none"/>
                <w:lang w:val="en-US" w:eastAsia="zh-CN"/>
              </w:rPr>
              <w:t>5</w:t>
            </w:r>
          </w:p>
        </w:tc>
        <w:tc>
          <w:tcPr>
            <w:tcW w:w="1826" w:type="dxa"/>
            <w:vAlign w:val="center"/>
          </w:tcPr>
          <w:p>
            <w:pPr>
              <w:pStyle w:val="30"/>
              <w:spacing w:line="360" w:lineRule="auto"/>
              <w:rPr>
                <w:rFonts w:hint="eastAsia" w:ascii="宋体" w:hAnsi="宋体" w:eastAsia="宋体" w:cs="宋体"/>
                <w:color w:val="auto"/>
                <w:highlight w:val="none"/>
              </w:rPr>
            </w:pPr>
            <w:r>
              <w:rPr>
                <w:rFonts w:hint="eastAsia"/>
                <w:color w:val="auto"/>
                <w:highlight w:val="none"/>
              </w:rPr>
              <w:t>招标代理机构</w:t>
            </w:r>
          </w:p>
        </w:tc>
        <w:tc>
          <w:tcPr>
            <w:tcW w:w="6677" w:type="dxa"/>
          </w:tcPr>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名称：陕西正鸿招标有限公司</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地址：陕西省西安市雁塔区南二环东段凯森盛世一号A座4层408室</w:t>
            </w:r>
          </w:p>
          <w:p>
            <w:pPr>
              <w:pStyle w:val="30"/>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联系人：</w:t>
            </w:r>
            <w:r>
              <w:rPr>
                <w:rFonts w:hint="eastAsia"/>
                <w:color w:val="auto"/>
                <w:highlight w:val="none"/>
              </w:rPr>
              <w:t>王倩倩、刘晓利、卫钰</w:t>
            </w:r>
          </w:p>
          <w:p>
            <w:pPr>
              <w:pStyle w:val="30"/>
              <w:spacing w:line="360" w:lineRule="auto"/>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联系方式：029-89338755/81511576</w:t>
            </w:r>
            <w:r>
              <w:rPr>
                <w:rFonts w:hint="eastAsia" w:cs="宋体"/>
                <w:color w:val="auto"/>
                <w:highlight w:val="none"/>
                <w:lang w:eastAsia="zh-CN"/>
              </w:rPr>
              <w:t>转802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eastAsia" w:ascii="宋体" w:hAnsi="宋体" w:eastAsia="宋体" w:cs="宋体"/>
                <w:color w:val="auto"/>
                <w:highlight w:val="none"/>
              </w:rPr>
            </w:pPr>
            <w:r>
              <w:rPr>
                <w:rFonts w:hint="eastAsia"/>
                <w:color w:val="auto"/>
                <w:highlight w:val="none"/>
              </w:rPr>
              <w:t>6</w:t>
            </w:r>
          </w:p>
        </w:tc>
        <w:tc>
          <w:tcPr>
            <w:tcW w:w="1826" w:type="dxa"/>
            <w:vAlign w:val="center"/>
          </w:tcPr>
          <w:p>
            <w:pPr>
              <w:pStyle w:val="30"/>
              <w:spacing w:line="360" w:lineRule="auto"/>
              <w:rPr>
                <w:rFonts w:hint="eastAsia" w:ascii="宋体" w:hAnsi="宋体" w:eastAsia="宋体" w:cs="宋体"/>
                <w:color w:val="auto"/>
                <w:highlight w:val="none"/>
              </w:rPr>
            </w:pPr>
            <w:r>
              <w:rPr>
                <w:rFonts w:hint="eastAsia"/>
                <w:color w:val="auto"/>
                <w:highlight w:val="none"/>
              </w:rPr>
              <w:t>监督机构</w:t>
            </w:r>
          </w:p>
        </w:tc>
        <w:tc>
          <w:tcPr>
            <w:tcW w:w="6677" w:type="dxa"/>
            <w:vAlign w:val="top"/>
          </w:tcPr>
          <w:p>
            <w:pPr>
              <w:pStyle w:val="30"/>
              <w:spacing w:line="360" w:lineRule="auto"/>
              <w:jc w:val="left"/>
              <w:rPr>
                <w:rFonts w:hint="eastAsia" w:ascii="宋体" w:hAnsi="宋体" w:eastAsia="宋体" w:cs="宋体"/>
                <w:color w:val="auto"/>
                <w:highlight w:val="none"/>
              </w:rPr>
            </w:pPr>
            <w:r>
              <w:rPr>
                <w:rFonts w:hint="eastAsia"/>
                <w:color w:val="auto"/>
                <w:highlight w:val="none"/>
              </w:rPr>
              <w:t>采购人同级财政部门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eastAsia"/>
                <w:color w:val="auto"/>
                <w:highlight w:val="none"/>
              </w:rPr>
            </w:pPr>
            <w:r>
              <w:rPr>
                <w:rFonts w:hint="eastAsia"/>
                <w:color w:val="auto"/>
                <w:highlight w:val="none"/>
              </w:rPr>
              <w:t>7</w:t>
            </w:r>
          </w:p>
        </w:tc>
        <w:tc>
          <w:tcPr>
            <w:tcW w:w="1826" w:type="dxa"/>
            <w:vAlign w:val="center"/>
          </w:tcPr>
          <w:p>
            <w:pPr>
              <w:pStyle w:val="30"/>
              <w:spacing w:line="360" w:lineRule="auto"/>
              <w:rPr>
                <w:rFonts w:hint="eastAsia"/>
                <w:color w:val="auto"/>
                <w:highlight w:val="none"/>
              </w:rPr>
            </w:pPr>
            <w:r>
              <w:rPr>
                <w:rFonts w:hint="eastAsia"/>
                <w:color w:val="auto"/>
                <w:highlight w:val="none"/>
              </w:rPr>
              <w:t>采购内容</w:t>
            </w:r>
          </w:p>
        </w:tc>
        <w:tc>
          <w:tcPr>
            <w:tcW w:w="6677" w:type="dxa"/>
            <w:vAlign w:val="center"/>
          </w:tcPr>
          <w:p>
            <w:pPr>
              <w:pStyle w:val="30"/>
              <w:spacing w:line="360" w:lineRule="auto"/>
              <w:jc w:val="left"/>
              <w:rPr>
                <w:rFonts w:hint="eastAsia"/>
                <w:color w:val="auto"/>
                <w:highlight w:val="none"/>
              </w:rPr>
            </w:pPr>
            <w:r>
              <w:rPr>
                <w:rFonts w:hint="eastAsia" w:cs="宋体"/>
                <w:color w:val="auto"/>
                <w:highlight w:val="none"/>
                <w:lang w:val="zh-CN"/>
              </w:rPr>
              <w:t>西安美术学院2023年图书采购项目</w:t>
            </w:r>
            <w:r>
              <w:rPr>
                <w:rFonts w:hint="eastAsia"/>
                <w:color w:val="auto"/>
                <w:highlight w:val="none"/>
              </w:rPr>
              <w:t>，详见第四章“</w:t>
            </w:r>
            <w:r>
              <w:rPr>
                <w:rFonts w:hint="eastAsia"/>
                <w:color w:val="auto"/>
                <w:highlight w:val="none"/>
                <w:lang w:eastAsia="zh-CN"/>
              </w:rPr>
              <w:t>采购内容及技术要求</w:t>
            </w:r>
            <w:r>
              <w:rPr>
                <w:rFonts w:hint="eastAsia"/>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eastAsia"/>
                <w:color w:val="auto"/>
                <w:highlight w:val="none"/>
              </w:rPr>
            </w:pPr>
            <w:r>
              <w:rPr>
                <w:rFonts w:hint="eastAsia"/>
                <w:color w:val="auto"/>
                <w:highlight w:val="none"/>
              </w:rPr>
              <w:t>8</w:t>
            </w:r>
          </w:p>
        </w:tc>
        <w:tc>
          <w:tcPr>
            <w:tcW w:w="1826" w:type="dxa"/>
            <w:vAlign w:val="center"/>
          </w:tcPr>
          <w:p>
            <w:pPr>
              <w:pStyle w:val="30"/>
              <w:spacing w:line="360" w:lineRule="auto"/>
              <w:rPr>
                <w:rFonts w:hint="eastAsia"/>
                <w:color w:val="auto"/>
                <w:highlight w:val="none"/>
              </w:rPr>
            </w:pPr>
            <w:r>
              <w:rPr>
                <w:rFonts w:hint="eastAsia"/>
                <w:color w:val="auto"/>
                <w:highlight w:val="none"/>
              </w:rPr>
              <w:t>交付期</w:t>
            </w:r>
          </w:p>
        </w:tc>
        <w:tc>
          <w:tcPr>
            <w:tcW w:w="6677" w:type="dxa"/>
            <w:vAlign w:val="center"/>
          </w:tcPr>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供货期：</w:t>
            </w:r>
            <w:r>
              <w:rPr>
                <w:rFonts w:hint="eastAsia" w:cs="宋体"/>
                <w:color w:val="auto"/>
                <w:highlight w:val="none"/>
                <w:lang w:eastAsia="zh-CN"/>
              </w:rPr>
              <w:t>202</w:t>
            </w:r>
            <w:r>
              <w:rPr>
                <w:rFonts w:hint="eastAsia" w:cs="宋体"/>
                <w:color w:val="auto"/>
                <w:highlight w:val="none"/>
                <w:lang w:val="en-US" w:eastAsia="zh-CN"/>
              </w:rPr>
              <w:t>3</w:t>
            </w:r>
            <w:r>
              <w:rPr>
                <w:rFonts w:hint="eastAsia" w:cs="宋体"/>
                <w:color w:val="auto"/>
                <w:highlight w:val="none"/>
                <w:lang w:eastAsia="zh-CN"/>
              </w:rPr>
              <w:t>年</w:t>
            </w:r>
            <w:r>
              <w:rPr>
                <w:rFonts w:hint="eastAsia" w:ascii="宋体" w:hAnsi="宋体" w:eastAsia="宋体" w:cs="宋体"/>
                <w:color w:val="auto"/>
                <w:highlight w:val="none"/>
              </w:rPr>
              <w:t>。</w:t>
            </w:r>
          </w:p>
          <w:p>
            <w:pPr>
              <w:pStyle w:val="30"/>
              <w:spacing w:line="360" w:lineRule="auto"/>
              <w:jc w:val="left"/>
              <w:rPr>
                <w:rFonts w:hint="eastAsia" w:cs="宋体"/>
                <w:color w:val="auto"/>
                <w:highlight w:val="none"/>
                <w:lang w:val="zh-CN"/>
              </w:rPr>
            </w:pPr>
            <w:r>
              <w:rPr>
                <w:rFonts w:hint="eastAsia" w:ascii="宋体" w:hAnsi="宋体" w:eastAsia="宋体" w:cs="宋体"/>
                <w:color w:val="auto"/>
                <w:highlight w:val="none"/>
                <w:lang w:val="en-US" w:eastAsia="zh-CN"/>
              </w:rPr>
              <w:t>供货时间：现场采购图书的供货时间不超过10个工作日；预定图书自发出订单之日起，供货时间不超过30个工作日</w:t>
            </w:r>
            <w:r>
              <w:rPr>
                <w:rFonts w:hint="eastAsia" w:cs="宋体"/>
                <w:color w:val="auto"/>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eastAsia"/>
                <w:color w:val="auto"/>
                <w:highlight w:val="none"/>
              </w:rPr>
            </w:pPr>
            <w:r>
              <w:rPr>
                <w:rFonts w:hint="eastAsia"/>
                <w:color w:val="auto"/>
                <w:highlight w:val="none"/>
              </w:rPr>
              <w:t>9</w:t>
            </w:r>
          </w:p>
        </w:tc>
        <w:tc>
          <w:tcPr>
            <w:tcW w:w="1826" w:type="dxa"/>
            <w:vAlign w:val="center"/>
          </w:tcPr>
          <w:p>
            <w:pPr>
              <w:pStyle w:val="30"/>
              <w:spacing w:line="360" w:lineRule="auto"/>
              <w:rPr>
                <w:rFonts w:hint="eastAsia" w:eastAsia="宋体"/>
                <w:color w:val="auto"/>
                <w:highlight w:val="none"/>
                <w:lang w:eastAsia="zh-CN"/>
              </w:rPr>
            </w:pPr>
            <w:r>
              <w:rPr>
                <w:rFonts w:hint="eastAsia"/>
                <w:color w:val="auto"/>
                <w:szCs w:val="22"/>
                <w:highlight w:val="none"/>
                <w:lang w:val="en-US" w:eastAsia="zh-CN"/>
              </w:rPr>
              <w:t>交付地点</w:t>
            </w:r>
          </w:p>
        </w:tc>
        <w:tc>
          <w:tcPr>
            <w:tcW w:w="6677" w:type="dxa"/>
            <w:vAlign w:val="center"/>
          </w:tcPr>
          <w:p>
            <w:pPr>
              <w:pStyle w:val="30"/>
              <w:spacing w:line="360" w:lineRule="auto"/>
              <w:jc w:val="left"/>
              <w:rPr>
                <w:rFonts w:hint="eastAsia" w:eastAsia="宋体"/>
                <w:color w:val="auto"/>
                <w:highlight w:val="none"/>
                <w:lang w:eastAsia="zh-CN"/>
              </w:rPr>
            </w:pPr>
            <w:r>
              <w:rPr>
                <w:rFonts w:hint="eastAsia" w:ascii="宋体" w:hAnsi="宋体" w:eastAsia="宋体" w:cs="宋体"/>
                <w:color w:val="auto"/>
                <w:highlight w:val="none"/>
              </w:rPr>
              <w:t>供应商收到订单后，应保证在订单有效期内将图书免费送至采购单位指定地点。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10</w:t>
            </w:r>
          </w:p>
        </w:tc>
        <w:tc>
          <w:tcPr>
            <w:tcW w:w="1826" w:type="dxa"/>
            <w:vAlign w:val="center"/>
          </w:tcPr>
          <w:p>
            <w:pPr>
              <w:pStyle w:val="30"/>
              <w:spacing w:line="360" w:lineRule="auto"/>
              <w:rPr>
                <w:rFonts w:hint="eastAsia"/>
                <w:color w:val="auto"/>
                <w:szCs w:val="22"/>
                <w:highlight w:val="none"/>
                <w:lang w:val="en-US" w:eastAsia="zh-CN"/>
              </w:rPr>
            </w:pPr>
            <w:r>
              <w:rPr>
                <w:rFonts w:hint="eastAsia"/>
                <w:color w:val="auto"/>
                <w:highlight w:val="none"/>
              </w:rPr>
              <w:t>投标人资格要求</w:t>
            </w:r>
          </w:p>
        </w:tc>
        <w:tc>
          <w:tcPr>
            <w:tcW w:w="6677" w:type="dxa"/>
            <w:vAlign w:val="top"/>
          </w:tcPr>
          <w:p>
            <w:pPr>
              <w:pStyle w:val="5"/>
              <w:ind w:firstLine="0" w:firstLineChars="0"/>
              <w:rPr>
                <w:color w:val="auto"/>
                <w:highlight w:val="none"/>
              </w:rPr>
            </w:pPr>
            <w:r>
              <w:rPr>
                <w:rFonts w:hint="eastAsia"/>
                <w:b/>
                <w:bCs/>
                <w:color w:val="auto"/>
                <w:highlight w:val="none"/>
              </w:rPr>
              <w:t>适用</w:t>
            </w:r>
            <w:r>
              <w:rPr>
                <w:rFonts w:hint="eastAsia"/>
                <w:b/>
                <w:bCs/>
                <w:color w:val="auto"/>
                <w:highlight w:val="none"/>
                <w:shd w:val="clear" w:color="auto" w:fill="FFFFFF"/>
              </w:rPr>
              <w:t>合同包1；合同包2；</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（1）基本资格条件：符合《中华人民共和国政府采购法》第二十二条的规定：</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1）具有独立承担民事责任能力的法人、其他组织或自然人，提供合法有效的统一社会信用代码营业执照（事业单位提供法人证书，自然人提供身份证）；</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2）财务状况报告：法人提供经审计的2020或2021年度的财务报告（成立时间至递交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截止时间不足一年的可提供成立后任意时段的资产负债表）或递交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截止时间前六个月内银行出具的资信证明；其他组织和自然人提供银行出具的资信证明或财务报表；</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3）税收缴纳证明：法人提供递交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前一年内至少一个月依法缴纳税收的相关凭据（时间以税款所属日期为准，税种须包含增值税或企业所得税或营业税，凭据应有税务机关或代收机关的公章或业务专用章）；其他组织和自然人提供缴纳税收的凭据；依法免税的投标人应提供相关文件证明；</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4）社会保障资金缴纳证明：提供递交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截止时间前一年内至少一个月已缴纳的社会保障资金的凭据（社会保障资金缴存单据或社保机构开具的社会保险参保缴费情况证明）；依法不需要缴纳社会保障资金的投标人应提供相关文件证明；</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5）具有履行本合同所必需的设备和专业技术能力（提供承诺）；</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6）参加本次政府采购活动前三年内在经营活动中没有重大违法记录（提供书面声明）；</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（2）</w:t>
            </w:r>
            <w:r>
              <w:rPr>
                <w:rFonts w:hint="eastAsia"/>
                <w:color w:val="auto"/>
                <w:highlight w:val="none"/>
              </w:rPr>
              <w:t>本项目的特定资格要求：</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1）法定代表人授权书（附法定代表人、被授权人身份证复印件）、被授权人身份证（法定代表人直接参加投标，须提供法定代表人身份证明及身份证原件）； </w:t>
            </w:r>
          </w:p>
          <w:p>
            <w:pPr>
              <w:pStyle w:val="18"/>
              <w:spacing w:before="0" w:beforeAutospacing="0" w:after="0" w:afterAutospacing="0" w:line="360" w:lineRule="auto"/>
              <w:ind w:firstLine="480" w:firstLineChars="200"/>
              <w:rPr>
                <w:rFonts w:cs="宋体"/>
                <w:color w:val="auto"/>
                <w:highlight w:val="none"/>
              </w:rPr>
            </w:pPr>
            <w:r>
              <w:rPr>
                <w:rFonts w:hint="eastAsia" w:hAnsi="宋体" w:cs="宋体"/>
                <w:color w:val="auto"/>
                <w:szCs w:val="24"/>
                <w:highlight w:val="none"/>
              </w:rPr>
              <w:t>2）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30"/>
              <w:spacing w:line="360" w:lineRule="auto"/>
              <w:jc w:val="left"/>
              <w:rPr>
                <w:rFonts w:hint="eastAsia" w:ascii="宋体" w:hAnsi="宋体" w:eastAsia="宋体" w:cs="宋体"/>
                <w:color w:val="auto"/>
                <w:highlight w:val="none"/>
              </w:rPr>
            </w:pPr>
            <w:r>
              <w:rPr>
                <w:rFonts w:hint="eastAsia"/>
                <w:b/>
                <w:bCs/>
                <w:color w:val="auto"/>
                <w:highlight w:val="none"/>
              </w:rPr>
              <w:t>注：以上为必备资格条件，缺一项或某项达不到要求，按无效文件处理。资格审查时以投标文件中所附证明材料（信用中国和中国政府采购网信用记录可不提供，由代理机构查询并留存）为准，原件备查。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11</w:t>
            </w:r>
          </w:p>
        </w:tc>
        <w:tc>
          <w:tcPr>
            <w:tcW w:w="1826" w:type="dxa"/>
            <w:vAlign w:val="center"/>
          </w:tcPr>
          <w:p>
            <w:pPr>
              <w:pStyle w:val="30"/>
              <w:spacing w:line="360" w:lineRule="auto"/>
              <w:rPr>
                <w:rFonts w:hint="eastAsia"/>
                <w:color w:val="auto"/>
                <w:szCs w:val="22"/>
                <w:highlight w:val="none"/>
                <w:lang w:val="en-US" w:eastAsia="zh-CN"/>
              </w:rPr>
            </w:pPr>
            <w:r>
              <w:rPr>
                <w:rFonts w:hint="eastAsia"/>
                <w:color w:val="auto"/>
                <w:highlight w:val="none"/>
              </w:rPr>
              <w:t>联合体投标</w:t>
            </w:r>
          </w:p>
        </w:tc>
        <w:tc>
          <w:tcPr>
            <w:tcW w:w="6677" w:type="dxa"/>
            <w:vAlign w:val="top"/>
          </w:tcPr>
          <w:p>
            <w:pPr>
              <w:pStyle w:val="30"/>
              <w:spacing w:line="360" w:lineRule="auto"/>
              <w:jc w:val="left"/>
              <w:rPr>
                <w:rFonts w:hint="eastAsia" w:ascii="宋体" w:hAnsi="宋体" w:eastAsia="宋体" w:cs="宋体"/>
                <w:color w:val="auto"/>
                <w:highlight w:val="none"/>
              </w:rPr>
            </w:pPr>
            <w:r>
              <w:rPr>
                <w:rFonts w:hint="eastAsia"/>
                <w:color w:val="auto"/>
                <w:highlight w:val="none"/>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12</w:t>
            </w:r>
          </w:p>
        </w:tc>
        <w:tc>
          <w:tcPr>
            <w:tcW w:w="1826" w:type="dxa"/>
            <w:vAlign w:val="center"/>
          </w:tcPr>
          <w:p>
            <w:pPr>
              <w:pStyle w:val="30"/>
              <w:spacing w:line="360" w:lineRule="auto"/>
              <w:rPr>
                <w:rFonts w:hint="eastAsia"/>
                <w:color w:val="auto"/>
                <w:szCs w:val="22"/>
                <w:highlight w:val="none"/>
                <w:lang w:val="en-US" w:eastAsia="zh-CN"/>
              </w:rPr>
            </w:pPr>
            <w:r>
              <w:rPr>
                <w:rFonts w:hint="eastAsia"/>
                <w:color w:val="auto"/>
                <w:highlight w:val="none"/>
              </w:rPr>
              <w:t>备选方案</w:t>
            </w:r>
          </w:p>
        </w:tc>
        <w:tc>
          <w:tcPr>
            <w:tcW w:w="6677" w:type="dxa"/>
            <w:vAlign w:val="center"/>
          </w:tcPr>
          <w:p>
            <w:pPr>
              <w:pStyle w:val="30"/>
              <w:spacing w:line="360" w:lineRule="auto"/>
              <w:jc w:val="left"/>
              <w:rPr>
                <w:rFonts w:hint="eastAsia" w:ascii="宋体" w:hAnsi="宋体" w:eastAsia="宋体" w:cs="宋体"/>
                <w:color w:val="auto"/>
                <w:highlight w:val="none"/>
              </w:rPr>
            </w:pPr>
            <w:r>
              <w:rPr>
                <w:rFonts w:hint="eastAsia"/>
                <w:color w:val="auto"/>
                <w:highlight w:val="none"/>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13</w:t>
            </w:r>
          </w:p>
        </w:tc>
        <w:tc>
          <w:tcPr>
            <w:tcW w:w="1826" w:type="dxa"/>
            <w:vAlign w:val="center"/>
          </w:tcPr>
          <w:p>
            <w:pPr>
              <w:pStyle w:val="30"/>
              <w:spacing w:line="360" w:lineRule="auto"/>
              <w:rPr>
                <w:rFonts w:hint="eastAsia"/>
                <w:color w:val="auto"/>
                <w:szCs w:val="22"/>
                <w:highlight w:val="none"/>
                <w:lang w:val="en-US" w:eastAsia="zh-CN"/>
              </w:rPr>
            </w:pPr>
            <w:r>
              <w:rPr>
                <w:rFonts w:hint="eastAsia"/>
                <w:color w:val="auto"/>
                <w:highlight w:val="none"/>
              </w:rPr>
              <w:t>本次投标的最小单元</w:t>
            </w:r>
          </w:p>
        </w:tc>
        <w:tc>
          <w:tcPr>
            <w:tcW w:w="6677" w:type="dxa"/>
            <w:vAlign w:val="top"/>
          </w:tcPr>
          <w:p>
            <w:pPr>
              <w:pStyle w:val="30"/>
              <w:spacing w:line="360" w:lineRule="auto"/>
              <w:jc w:val="left"/>
              <w:rPr>
                <w:rFonts w:hint="eastAsia" w:ascii="宋体" w:hAnsi="宋体" w:eastAsia="宋体" w:cs="宋体"/>
                <w:color w:val="auto"/>
                <w:highlight w:val="none"/>
              </w:rPr>
            </w:pPr>
            <w:r>
              <w:rPr>
                <w:rFonts w:hint="eastAsia"/>
                <w:color w:val="auto"/>
                <w:highlight w:val="none"/>
              </w:rPr>
              <w:t>本次投标的最小单元为“合同包”。任何不完全的投标将按照无效投标处理。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14</w:t>
            </w:r>
          </w:p>
        </w:tc>
        <w:tc>
          <w:tcPr>
            <w:tcW w:w="1826" w:type="dxa"/>
            <w:vAlign w:val="center"/>
          </w:tcPr>
          <w:p>
            <w:pPr>
              <w:pStyle w:val="30"/>
              <w:spacing w:line="360" w:lineRule="auto"/>
              <w:rPr>
                <w:rFonts w:hint="eastAsia"/>
                <w:color w:val="auto"/>
                <w:szCs w:val="22"/>
                <w:highlight w:val="none"/>
                <w:lang w:val="en-US" w:eastAsia="zh-CN"/>
              </w:rPr>
            </w:pPr>
            <w:r>
              <w:rPr>
                <w:rFonts w:hint="eastAsia"/>
                <w:color w:val="auto"/>
                <w:highlight w:val="none"/>
              </w:rPr>
              <w:t>投标报价</w:t>
            </w:r>
          </w:p>
        </w:tc>
        <w:tc>
          <w:tcPr>
            <w:tcW w:w="6677" w:type="dxa"/>
            <w:vAlign w:val="top"/>
          </w:tcPr>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1）投标报价是指产品到达使用地点，达到正常使用条件下的所有费用，包括产品的报价及所发生的运杂费（含保险）、现场安装调试费及国家按现行税收政策征收的一切税费等。以招标文件的内容和要求作为投标依据；</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（2）投标人应在投标文件中的开标一览表上，标明供货折扣；任何有选择的折扣不予接受；</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（3）投标报价：供货折扣（最多保留到小数点后两位）；</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（4）开标一览表应有投标人公章及法定代表人或被授权人的签字或盖章；</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（5）投标报价表中标明的折扣，在合同执行过程中，不得以任何理由变更；</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（6）凡因投标人对招标文件阅读不深、理解不透、误解、疏漏、或因市场行情了解不清造成的后果和风险均由投标人自负；</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（7）最低折扣报价不是中标的唯一依据； </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8）投标人不得以低于成本的折扣报价参加投标。评标委员会认为投标人的折扣报价明显低于其他通过符合性审查投标人的折扣报价，有可能影响产品质量或者不能诚信履约的，应当要求其在评标现场合理的时间内提供书面说明，必要时提交相关证明材料；投标人不能证明其折扣报价合理性的，评标委员会应当将其作为无效投标处理。</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（9）投标人对投标</w:t>
            </w:r>
            <w:r>
              <w:rPr>
                <w:rFonts w:hint="eastAsia" w:cs="宋体"/>
                <w:color w:val="auto"/>
                <w:highlight w:val="none"/>
                <w:lang w:val="en-US" w:eastAsia="zh-CN"/>
              </w:rPr>
              <w:t>包（标段）</w:t>
            </w:r>
            <w:r>
              <w:rPr>
                <w:rFonts w:hint="eastAsia" w:ascii="宋体" w:hAnsi="宋体" w:eastAsia="宋体" w:cs="宋体"/>
                <w:color w:val="auto"/>
                <w:highlight w:val="none"/>
              </w:rPr>
              <w:t>只允许有一个折扣报价，不接受超过招标文件中规定的预算金额或者最高限价的报价、可变动性报价、赠送及“零”报价，否则视为无效投标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15</w:t>
            </w:r>
          </w:p>
        </w:tc>
        <w:tc>
          <w:tcPr>
            <w:tcW w:w="1826" w:type="dxa"/>
            <w:vAlign w:val="center"/>
          </w:tcPr>
          <w:p>
            <w:pPr>
              <w:pStyle w:val="13"/>
              <w:spacing w:line="400" w:lineRule="exact"/>
              <w:jc w:val="center"/>
              <w:rPr>
                <w:rFonts w:hint="eastAsia"/>
                <w:color w:val="auto"/>
                <w:highlight w:val="none"/>
              </w:rPr>
            </w:pPr>
            <w:r>
              <w:rPr>
                <w:rFonts w:hint="eastAsia" w:hAnsi="宋体" w:cs="宋体"/>
                <w:color w:val="auto"/>
                <w:kern w:val="0"/>
                <w:sz w:val="24"/>
                <w:szCs w:val="22"/>
                <w:highlight w:val="none"/>
              </w:rPr>
              <w:t>样品</w:t>
            </w:r>
          </w:p>
        </w:tc>
        <w:tc>
          <w:tcPr>
            <w:tcW w:w="6677" w:type="dxa"/>
            <w:vAlign w:val="center"/>
          </w:tcPr>
          <w:p>
            <w:pPr>
              <w:pStyle w:val="13"/>
              <w:spacing w:line="400" w:lineRule="exact"/>
              <w:jc w:val="left"/>
              <w:rPr>
                <w:rFonts w:hint="eastAsia" w:ascii="宋体" w:hAnsi="宋体" w:eastAsia="宋体" w:cs="宋体"/>
                <w:color w:val="auto"/>
                <w:highlight w:val="none"/>
              </w:rPr>
            </w:pPr>
            <w:r>
              <w:rPr>
                <w:rFonts w:hint="eastAsia" w:hAnsi="宋体" w:cs="宋体"/>
                <w:color w:val="auto"/>
                <w:kern w:val="0"/>
                <w:sz w:val="24"/>
                <w:szCs w:val="22"/>
                <w:highlight w:val="none"/>
              </w:rPr>
              <w:t>不需要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16</w:t>
            </w:r>
          </w:p>
        </w:tc>
        <w:tc>
          <w:tcPr>
            <w:tcW w:w="1826" w:type="dxa"/>
            <w:vAlign w:val="center"/>
          </w:tcPr>
          <w:p>
            <w:pPr>
              <w:pStyle w:val="30"/>
              <w:spacing w:line="360" w:lineRule="auto"/>
              <w:rPr>
                <w:rFonts w:hint="eastAsia"/>
                <w:color w:val="auto"/>
                <w:highlight w:val="none"/>
              </w:rPr>
            </w:pPr>
            <w:r>
              <w:rPr>
                <w:rFonts w:hint="eastAsia"/>
                <w:color w:val="auto"/>
                <w:highlight w:val="none"/>
              </w:rPr>
              <w:t>投标保证金</w:t>
            </w:r>
          </w:p>
        </w:tc>
        <w:tc>
          <w:tcPr>
            <w:tcW w:w="6677" w:type="dxa"/>
            <w:vAlign w:val="top"/>
          </w:tcPr>
          <w:p>
            <w:pPr>
              <w:pStyle w:val="30"/>
              <w:spacing w:line="360" w:lineRule="auto"/>
              <w:jc w:val="left"/>
              <w:rPr>
                <w:rFonts w:hint="eastAsia" w:ascii="宋体" w:hAnsi="宋体" w:eastAsia="宋体" w:cs="宋体"/>
                <w:color w:val="auto"/>
                <w:highlight w:val="none"/>
              </w:rPr>
            </w:pPr>
            <w:r>
              <w:rPr>
                <w:rFonts w:hint="eastAsia"/>
                <w:color w:val="auto"/>
                <w:highlight w:val="none"/>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17</w:t>
            </w:r>
          </w:p>
        </w:tc>
        <w:tc>
          <w:tcPr>
            <w:tcW w:w="1826" w:type="dxa"/>
            <w:vAlign w:val="center"/>
          </w:tcPr>
          <w:p>
            <w:pPr>
              <w:pStyle w:val="30"/>
              <w:spacing w:line="360" w:lineRule="auto"/>
              <w:rPr>
                <w:rFonts w:hint="eastAsia"/>
                <w:color w:val="auto"/>
                <w:highlight w:val="none"/>
              </w:rPr>
            </w:pPr>
            <w:r>
              <w:rPr>
                <w:rFonts w:hint="eastAsia"/>
                <w:color w:val="auto"/>
                <w:highlight w:val="none"/>
              </w:rPr>
              <w:t>投标有效期</w:t>
            </w:r>
          </w:p>
        </w:tc>
        <w:tc>
          <w:tcPr>
            <w:tcW w:w="6677" w:type="dxa"/>
            <w:vAlign w:val="top"/>
          </w:tcPr>
          <w:p>
            <w:pPr>
              <w:pStyle w:val="30"/>
              <w:spacing w:line="360" w:lineRule="auto"/>
              <w:jc w:val="left"/>
              <w:rPr>
                <w:rFonts w:hint="eastAsia" w:ascii="宋体" w:hAnsi="宋体" w:eastAsia="宋体" w:cs="宋体"/>
                <w:color w:val="auto"/>
                <w:highlight w:val="none"/>
              </w:rPr>
            </w:pPr>
            <w:r>
              <w:rPr>
                <w:rFonts w:hint="eastAsia"/>
                <w:color w:val="auto"/>
                <w:highlight w:val="none"/>
              </w:rPr>
              <w:t>投标文件的递交截止之日起90天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18</w:t>
            </w:r>
          </w:p>
        </w:tc>
        <w:tc>
          <w:tcPr>
            <w:tcW w:w="1826" w:type="dxa"/>
            <w:vAlign w:val="center"/>
          </w:tcPr>
          <w:p>
            <w:pPr>
              <w:pStyle w:val="30"/>
              <w:spacing w:line="360" w:lineRule="auto"/>
              <w:rPr>
                <w:rFonts w:hint="eastAsia"/>
                <w:color w:val="auto"/>
                <w:highlight w:val="none"/>
              </w:rPr>
            </w:pPr>
            <w:r>
              <w:rPr>
                <w:rFonts w:hint="eastAsia"/>
                <w:color w:val="auto"/>
                <w:highlight w:val="none"/>
              </w:rPr>
              <w:t>投标文件的份数及要求</w:t>
            </w:r>
          </w:p>
        </w:tc>
        <w:tc>
          <w:tcPr>
            <w:tcW w:w="6677" w:type="dxa"/>
            <w:vAlign w:val="center"/>
          </w:tcPr>
          <w:p>
            <w:pPr>
              <w:pStyle w:val="30"/>
              <w:spacing w:line="360" w:lineRule="auto"/>
              <w:jc w:val="left"/>
              <w:rPr>
                <w:color w:val="auto"/>
                <w:highlight w:val="none"/>
              </w:rPr>
            </w:pPr>
            <w:r>
              <w:rPr>
                <w:rFonts w:hint="eastAsia"/>
                <w:color w:val="auto"/>
                <w:highlight w:val="none"/>
              </w:rPr>
              <w:t>正本的份数：壹份；</w:t>
            </w:r>
          </w:p>
          <w:p>
            <w:pPr>
              <w:pStyle w:val="30"/>
              <w:spacing w:line="360" w:lineRule="auto"/>
              <w:jc w:val="left"/>
              <w:rPr>
                <w:color w:val="auto"/>
                <w:highlight w:val="none"/>
              </w:rPr>
            </w:pPr>
            <w:r>
              <w:rPr>
                <w:rFonts w:hint="eastAsia"/>
                <w:color w:val="auto"/>
                <w:highlight w:val="none"/>
              </w:rPr>
              <w:t>副本的份数：</w:t>
            </w:r>
            <w:r>
              <w:rPr>
                <w:rFonts w:hint="eastAsia"/>
                <w:color w:val="auto"/>
                <w:highlight w:val="none"/>
                <w:lang w:val="en-US" w:eastAsia="zh-CN"/>
              </w:rPr>
              <w:t>肆</w:t>
            </w:r>
            <w:r>
              <w:rPr>
                <w:rFonts w:hint="eastAsia"/>
                <w:color w:val="auto"/>
                <w:highlight w:val="none"/>
              </w:rPr>
              <w:t>份；</w:t>
            </w:r>
          </w:p>
          <w:p>
            <w:pPr>
              <w:pStyle w:val="30"/>
              <w:spacing w:line="360" w:lineRule="auto"/>
              <w:jc w:val="left"/>
              <w:rPr>
                <w:color w:val="auto"/>
                <w:highlight w:val="none"/>
              </w:rPr>
            </w:pPr>
            <w:r>
              <w:rPr>
                <w:rFonts w:hint="eastAsia"/>
                <w:color w:val="auto"/>
                <w:highlight w:val="none"/>
              </w:rPr>
              <w:t>开标一览表：壹份；</w:t>
            </w:r>
          </w:p>
          <w:p>
            <w:pPr>
              <w:pStyle w:val="30"/>
              <w:spacing w:line="360" w:lineRule="auto"/>
              <w:jc w:val="left"/>
              <w:rPr>
                <w:color w:val="auto"/>
                <w:highlight w:val="none"/>
              </w:rPr>
            </w:pPr>
            <w:r>
              <w:rPr>
                <w:rFonts w:hint="eastAsia"/>
                <w:color w:val="auto"/>
                <w:highlight w:val="none"/>
              </w:rPr>
              <w:t>电子版（U盘）：壹份（需在盘面上标注投标人全称、项目名称、项目编号）。</w:t>
            </w:r>
          </w:p>
          <w:p>
            <w:pPr>
              <w:pStyle w:val="30"/>
              <w:spacing w:line="360" w:lineRule="auto"/>
              <w:jc w:val="left"/>
              <w:rPr>
                <w:color w:val="auto"/>
                <w:highlight w:val="none"/>
              </w:rPr>
            </w:pPr>
            <w:r>
              <w:rPr>
                <w:rFonts w:hint="eastAsia"/>
                <w:color w:val="auto"/>
                <w:highlight w:val="none"/>
              </w:rPr>
              <w:t>电子版包括：</w:t>
            </w:r>
          </w:p>
          <w:p>
            <w:pPr>
              <w:pStyle w:val="30"/>
              <w:spacing w:line="360" w:lineRule="auto"/>
              <w:jc w:val="left"/>
              <w:rPr>
                <w:color w:val="auto"/>
                <w:highlight w:val="none"/>
              </w:rPr>
            </w:pPr>
            <w:r>
              <w:rPr>
                <w:rFonts w:hint="eastAsia"/>
                <w:color w:val="auto"/>
                <w:highlight w:val="none"/>
              </w:rPr>
              <w:t>（1）word版投标文件；</w:t>
            </w:r>
          </w:p>
          <w:p>
            <w:pPr>
              <w:pStyle w:val="30"/>
              <w:spacing w:line="360" w:lineRule="auto"/>
              <w:jc w:val="left"/>
              <w:rPr>
                <w:rFonts w:hint="eastAsia"/>
                <w:color w:val="auto"/>
                <w:highlight w:val="none"/>
              </w:rPr>
            </w:pPr>
            <w:r>
              <w:rPr>
                <w:rFonts w:hint="eastAsia"/>
                <w:color w:val="auto"/>
                <w:highlight w:val="none"/>
              </w:rPr>
              <w:t>（2）投标文件正本签字盖章后的PDF格式扫描件，与正本具有同等法律效力。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19</w:t>
            </w:r>
          </w:p>
        </w:tc>
        <w:tc>
          <w:tcPr>
            <w:tcW w:w="1826" w:type="dxa"/>
            <w:vAlign w:val="center"/>
          </w:tcPr>
          <w:p>
            <w:pPr>
              <w:pStyle w:val="30"/>
              <w:spacing w:line="360" w:lineRule="auto"/>
              <w:rPr>
                <w:rFonts w:hint="eastAsia"/>
                <w:color w:val="auto"/>
                <w:highlight w:val="none"/>
              </w:rPr>
            </w:pPr>
            <w:r>
              <w:rPr>
                <w:rFonts w:hint="eastAsia"/>
                <w:color w:val="auto"/>
                <w:highlight w:val="none"/>
              </w:rPr>
              <w:t>投标文件的签字、盖章要求</w:t>
            </w:r>
          </w:p>
        </w:tc>
        <w:tc>
          <w:tcPr>
            <w:tcW w:w="6677" w:type="dxa"/>
            <w:vAlign w:val="center"/>
          </w:tcPr>
          <w:p>
            <w:pPr>
              <w:pStyle w:val="30"/>
              <w:spacing w:line="360" w:lineRule="auto"/>
              <w:jc w:val="left"/>
              <w:rPr>
                <w:rFonts w:hint="eastAsia"/>
                <w:color w:val="auto"/>
                <w:highlight w:val="none"/>
              </w:rPr>
            </w:pPr>
            <w:r>
              <w:rPr>
                <w:rFonts w:hint="eastAsia"/>
                <w:color w:val="auto"/>
                <w:highlight w:val="none"/>
              </w:rPr>
              <w:t>投标文件封面、投标函及其它有要求处必须加盖投标人公章并经法定代表人或其委托代理人签字或盖章。委托代理人签字的，投标文件应附法定代表人签署的授权委托书。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20</w:t>
            </w:r>
          </w:p>
        </w:tc>
        <w:tc>
          <w:tcPr>
            <w:tcW w:w="1826" w:type="dxa"/>
            <w:vAlign w:val="center"/>
          </w:tcPr>
          <w:p>
            <w:pPr>
              <w:pStyle w:val="30"/>
              <w:spacing w:line="360" w:lineRule="auto"/>
              <w:rPr>
                <w:rFonts w:hint="eastAsia"/>
                <w:color w:val="auto"/>
                <w:highlight w:val="none"/>
              </w:rPr>
            </w:pPr>
            <w:r>
              <w:rPr>
                <w:rFonts w:hint="eastAsia"/>
                <w:color w:val="auto"/>
                <w:highlight w:val="none"/>
              </w:rPr>
              <w:t>投标文件的制作装订</w:t>
            </w:r>
          </w:p>
        </w:tc>
        <w:tc>
          <w:tcPr>
            <w:tcW w:w="6677" w:type="dxa"/>
            <w:vAlign w:val="center"/>
          </w:tcPr>
          <w:p>
            <w:pPr>
              <w:pStyle w:val="30"/>
              <w:spacing w:line="360" w:lineRule="auto"/>
              <w:jc w:val="left"/>
              <w:rPr>
                <w:color w:val="auto"/>
                <w:highlight w:val="none"/>
              </w:rPr>
            </w:pPr>
            <w:r>
              <w:rPr>
                <w:rFonts w:hint="eastAsia"/>
                <w:color w:val="auto"/>
                <w:highlight w:val="none"/>
              </w:rPr>
              <w:t>投标文件制作规范、目录清晰、页码标注、对应精准、双面打印。</w:t>
            </w:r>
          </w:p>
          <w:p>
            <w:pPr>
              <w:pStyle w:val="30"/>
              <w:spacing w:line="360" w:lineRule="auto"/>
              <w:jc w:val="left"/>
              <w:rPr>
                <w:color w:val="auto"/>
                <w:highlight w:val="none"/>
              </w:rPr>
            </w:pPr>
            <w:r>
              <w:rPr>
                <w:rFonts w:hint="eastAsia"/>
                <w:color w:val="auto"/>
                <w:highlight w:val="none"/>
              </w:rPr>
              <w:t>字迹潦草、表达不清、未按要求填写而导致非唯一理解。</w:t>
            </w:r>
          </w:p>
          <w:p>
            <w:pPr>
              <w:pStyle w:val="30"/>
              <w:spacing w:line="360" w:lineRule="auto"/>
              <w:jc w:val="left"/>
              <w:rPr>
                <w:rFonts w:hint="eastAsia"/>
                <w:color w:val="auto"/>
                <w:highlight w:val="none"/>
              </w:rPr>
            </w:pPr>
            <w:r>
              <w:rPr>
                <w:rFonts w:hint="eastAsia"/>
                <w:color w:val="auto"/>
                <w:highlight w:val="none"/>
              </w:rPr>
              <w:t>投标文件应胶装成册，不可插页抽页。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21</w:t>
            </w:r>
          </w:p>
        </w:tc>
        <w:tc>
          <w:tcPr>
            <w:tcW w:w="1826" w:type="dxa"/>
            <w:vAlign w:val="center"/>
          </w:tcPr>
          <w:p>
            <w:pPr>
              <w:pStyle w:val="30"/>
              <w:spacing w:line="360" w:lineRule="auto"/>
              <w:rPr>
                <w:rFonts w:hint="eastAsia"/>
                <w:color w:val="auto"/>
                <w:highlight w:val="none"/>
              </w:rPr>
            </w:pPr>
            <w:r>
              <w:rPr>
                <w:rFonts w:hint="eastAsia"/>
                <w:color w:val="auto"/>
                <w:highlight w:val="none"/>
              </w:rPr>
              <w:t>投标文件的密封和标记</w:t>
            </w:r>
          </w:p>
        </w:tc>
        <w:tc>
          <w:tcPr>
            <w:tcW w:w="6677" w:type="dxa"/>
            <w:vAlign w:val="center"/>
          </w:tcPr>
          <w:p>
            <w:pPr>
              <w:pStyle w:val="30"/>
              <w:spacing w:line="360" w:lineRule="auto"/>
              <w:jc w:val="left"/>
              <w:rPr>
                <w:color w:val="auto"/>
                <w:highlight w:val="none"/>
              </w:rPr>
            </w:pPr>
            <w:r>
              <w:rPr>
                <w:rFonts w:hint="eastAsia"/>
                <w:color w:val="auto"/>
                <w:highlight w:val="none"/>
              </w:rPr>
              <w:t>1、密封包装方式：</w:t>
            </w:r>
          </w:p>
          <w:p>
            <w:pPr>
              <w:pStyle w:val="30"/>
              <w:spacing w:line="360" w:lineRule="auto"/>
              <w:jc w:val="left"/>
              <w:rPr>
                <w:color w:val="auto"/>
                <w:highlight w:val="none"/>
              </w:rPr>
            </w:pPr>
            <w:r>
              <w:rPr>
                <w:rFonts w:hint="eastAsia"/>
                <w:color w:val="auto"/>
                <w:highlight w:val="none"/>
              </w:rPr>
              <w:t>投标人应将投标文件正本、所有的副本、电子版本、开标一览表分别单独密封在封袋中（封袋不得有破损）。封袋应加贴封条，并在封线处加盖投标人公章。</w:t>
            </w:r>
          </w:p>
          <w:p>
            <w:pPr>
              <w:pStyle w:val="30"/>
              <w:spacing w:line="360" w:lineRule="auto"/>
              <w:jc w:val="left"/>
              <w:rPr>
                <w:color w:val="auto"/>
                <w:highlight w:val="none"/>
              </w:rPr>
            </w:pPr>
            <w:r>
              <w:rPr>
                <w:rFonts w:hint="eastAsia"/>
                <w:color w:val="auto"/>
                <w:highlight w:val="none"/>
              </w:rPr>
              <w:t>2、外层包装请按以下要求标记：</w:t>
            </w:r>
          </w:p>
          <w:p>
            <w:pPr>
              <w:pStyle w:val="30"/>
              <w:spacing w:line="360" w:lineRule="auto"/>
              <w:jc w:val="left"/>
              <w:rPr>
                <w:color w:val="auto"/>
                <w:highlight w:val="none"/>
              </w:rPr>
            </w:pPr>
            <w:r>
              <w:rPr>
                <w:rFonts w:hint="eastAsia"/>
                <w:color w:val="auto"/>
                <w:highlight w:val="none"/>
              </w:rPr>
              <w:t>（1) 投标人的全称；</w:t>
            </w:r>
          </w:p>
          <w:p>
            <w:pPr>
              <w:pStyle w:val="30"/>
              <w:spacing w:line="360" w:lineRule="auto"/>
              <w:jc w:val="left"/>
              <w:rPr>
                <w:rFonts w:hint="default" w:eastAsia="宋体"/>
                <w:color w:val="auto"/>
                <w:highlight w:val="none"/>
                <w:lang w:val="en-US" w:eastAsia="zh-CN"/>
              </w:rPr>
            </w:pPr>
            <w:r>
              <w:rPr>
                <w:rFonts w:hint="eastAsia"/>
                <w:color w:val="auto"/>
                <w:highlight w:val="none"/>
              </w:rPr>
              <w:t>（2）投标项目名称、项目编号</w:t>
            </w:r>
            <w:r>
              <w:rPr>
                <w:rFonts w:hint="eastAsia"/>
                <w:color w:val="auto"/>
                <w:highlight w:val="none"/>
                <w:lang w:eastAsia="zh-CN"/>
              </w:rPr>
              <w:t>、</w:t>
            </w:r>
            <w:r>
              <w:rPr>
                <w:rFonts w:hint="eastAsia"/>
                <w:color w:val="auto"/>
                <w:highlight w:val="none"/>
                <w:lang w:val="en-US" w:eastAsia="zh-CN"/>
              </w:rPr>
              <w:t>合同包号</w:t>
            </w:r>
          </w:p>
          <w:p>
            <w:pPr>
              <w:pStyle w:val="30"/>
              <w:spacing w:line="360" w:lineRule="auto"/>
              <w:jc w:val="left"/>
              <w:rPr>
                <w:rFonts w:hint="eastAsia"/>
                <w:color w:val="auto"/>
                <w:highlight w:val="none"/>
              </w:rPr>
            </w:pPr>
            <w:r>
              <w:rPr>
                <w:rFonts w:hint="eastAsia"/>
                <w:color w:val="auto"/>
                <w:highlight w:val="none"/>
              </w:rPr>
              <w:t>（3）正本、副本、“电子版本”、“开标一览表”、及“请勿在＿＿＿＿＿(开标时间)之前启封”。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22</w:t>
            </w:r>
          </w:p>
        </w:tc>
        <w:tc>
          <w:tcPr>
            <w:tcW w:w="1826" w:type="dxa"/>
            <w:vAlign w:val="center"/>
          </w:tcPr>
          <w:p>
            <w:pPr>
              <w:pStyle w:val="30"/>
              <w:spacing w:line="360" w:lineRule="auto"/>
              <w:rPr>
                <w:rFonts w:hint="eastAsia"/>
                <w:color w:val="auto"/>
                <w:highlight w:val="none"/>
              </w:rPr>
            </w:pPr>
            <w:r>
              <w:rPr>
                <w:rFonts w:hint="eastAsia"/>
                <w:color w:val="auto"/>
                <w:highlight w:val="none"/>
              </w:rPr>
              <w:t>投标文件的递交</w:t>
            </w:r>
          </w:p>
        </w:tc>
        <w:tc>
          <w:tcPr>
            <w:tcW w:w="6677" w:type="dxa"/>
            <w:vAlign w:val="top"/>
          </w:tcPr>
          <w:p>
            <w:pPr>
              <w:pStyle w:val="30"/>
              <w:spacing w:line="360" w:lineRule="auto"/>
              <w:jc w:val="left"/>
              <w:rPr>
                <w:color w:val="auto"/>
                <w:highlight w:val="none"/>
              </w:rPr>
            </w:pPr>
            <w:r>
              <w:rPr>
                <w:rFonts w:hint="eastAsia"/>
                <w:color w:val="auto"/>
                <w:highlight w:val="none"/>
              </w:rPr>
              <w:t>投标文件递交截止时间：详见招标公告。</w:t>
            </w:r>
          </w:p>
          <w:p>
            <w:pPr>
              <w:pStyle w:val="30"/>
              <w:spacing w:line="360" w:lineRule="auto"/>
              <w:jc w:val="left"/>
              <w:rPr>
                <w:color w:val="auto"/>
                <w:highlight w:val="none"/>
              </w:rPr>
            </w:pPr>
            <w:r>
              <w:rPr>
                <w:rFonts w:hint="eastAsia"/>
                <w:color w:val="auto"/>
                <w:highlight w:val="none"/>
              </w:rPr>
              <w:t>投标文件递交地址：详见招标公告。</w:t>
            </w:r>
          </w:p>
          <w:p>
            <w:pPr>
              <w:pStyle w:val="30"/>
              <w:spacing w:line="360" w:lineRule="auto"/>
              <w:jc w:val="left"/>
              <w:rPr>
                <w:rFonts w:hint="eastAsia"/>
                <w:color w:val="auto"/>
                <w:highlight w:val="none"/>
              </w:rPr>
            </w:pPr>
            <w:r>
              <w:rPr>
                <w:rFonts w:hint="eastAsia"/>
                <w:color w:val="auto"/>
                <w:highlight w:val="none"/>
              </w:rPr>
              <w:t>投标文件接收人：陕西正鸿招标有限公司。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23</w:t>
            </w:r>
          </w:p>
        </w:tc>
        <w:tc>
          <w:tcPr>
            <w:tcW w:w="1826" w:type="dxa"/>
            <w:vAlign w:val="center"/>
          </w:tcPr>
          <w:p>
            <w:pPr>
              <w:pStyle w:val="30"/>
              <w:spacing w:line="360" w:lineRule="auto"/>
              <w:rPr>
                <w:rFonts w:hint="eastAsia"/>
                <w:color w:val="auto"/>
                <w:highlight w:val="none"/>
              </w:rPr>
            </w:pPr>
            <w:r>
              <w:rPr>
                <w:rFonts w:hint="eastAsia"/>
                <w:color w:val="auto"/>
                <w:highlight w:val="none"/>
              </w:rPr>
              <w:t>开标时间和地点</w:t>
            </w:r>
          </w:p>
        </w:tc>
        <w:tc>
          <w:tcPr>
            <w:tcW w:w="6677" w:type="dxa"/>
            <w:vAlign w:val="top"/>
          </w:tcPr>
          <w:p>
            <w:pPr>
              <w:pStyle w:val="30"/>
              <w:spacing w:line="360" w:lineRule="auto"/>
              <w:jc w:val="left"/>
              <w:rPr>
                <w:color w:val="auto"/>
                <w:highlight w:val="none"/>
              </w:rPr>
            </w:pPr>
            <w:r>
              <w:rPr>
                <w:rFonts w:hint="eastAsia"/>
                <w:color w:val="auto"/>
                <w:highlight w:val="none"/>
              </w:rPr>
              <w:t>开标时间：详见招标公告。</w:t>
            </w:r>
          </w:p>
          <w:p>
            <w:pPr>
              <w:pStyle w:val="30"/>
              <w:spacing w:line="360" w:lineRule="auto"/>
              <w:jc w:val="left"/>
              <w:rPr>
                <w:rFonts w:hint="eastAsia"/>
                <w:color w:val="auto"/>
                <w:highlight w:val="none"/>
              </w:rPr>
            </w:pPr>
            <w:r>
              <w:rPr>
                <w:rFonts w:hint="eastAsia"/>
                <w:color w:val="auto"/>
                <w:highlight w:val="none"/>
              </w:rPr>
              <w:t>开标地点：详见招标公告。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24</w:t>
            </w:r>
          </w:p>
        </w:tc>
        <w:tc>
          <w:tcPr>
            <w:tcW w:w="1826" w:type="dxa"/>
            <w:vAlign w:val="center"/>
          </w:tcPr>
          <w:p>
            <w:pPr>
              <w:pStyle w:val="30"/>
              <w:spacing w:line="360" w:lineRule="auto"/>
              <w:rPr>
                <w:rFonts w:hint="eastAsia"/>
                <w:color w:val="auto"/>
                <w:highlight w:val="none"/>
              </w:rPr>
            </w:pPr>
            <w:r>
              <w:rPr>
                <w:rFonts w:hint="eastAsia"/>
                <w:color w:val="auto"/>
                <w:highlight w:val="none"/>
              </w:rPr>
              <w:t>评标委员会的组建</w:t>
            </w:r>
          </w:p>
        </w:tc>
        <w:tc>
          <w:tcPr>
            <w:tcW w:w="6677" w:type="dxa"/>
            <w:vAlign w:val="center"/>
          </w:tcPr>
          <w:p>
            <w:pPr>
              <w:pStyle w:val="30"/>
              <w:spacing w:line="360" w:lineRule="auto"/>
              <w:jc w:val="left"/>
              <w:rPr>
                <w:rFonts w:hint="eastAsia"/>
                <w:color w:val="auto"/>
                <w:highlight w:val="none"/>
              </w:rPr>
            </w:pPr>
            <w:r>
              <w:rPr>
                <w:rFonts w:hint="eastAsia"/>
                <w:color w:val="auto"/>
                <w:highlight w:val="none"/>
              </w:rPr>
              <w:t>评标委员会构成：共5人。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25</w:t>
            </w:r>
          </w:p>
        </w:tc>
        <w:tc>
          <w:tcPr>
            <w:tcW w:w="1826" w:type="dxa"/>
            <w:vAlign w:val="center"/>
          </w:tcPr>
          <w:p>
            <w:pPr>
              <w:pStyle w:val="30"/>
              <w:spacing w:line="360" w:lineRule="auto"/>
              <w:rPr>
                <w:rFonts w:hint="eastAsia"/>
                <w:color w:val="auto"/>
                <w:highlight w:val="none"/>
              </w:rPr>
            </w:pPr>
            <w:r>
              <w:rPr>
                <w:rFonts w:hint="eastAsia"/>
                <w:color w:val="auto"/>
                <w:highlight w:val="none"/>
              </w:rPr>
              <w:t>评标办法</w:t>
            </w:r>
          </w:p>
        </w:tc>
        <w:tc>
          <w:tcPr>
            <w:tcW w:w="6677" w:type="dxa"/>
            <w:vAlign w:val="center"/>
          </w:tcPr>
          <w:p>
            <w:pPr>
              <w:pStyle w:val="30"/>
              <w:spacing w:line="360" w:lineRule="auto"/>
              <w:jc w:val="left"/>
              <w:rPr>
                <w:rFonts w:hint="eastAsia"/>
                <w:color w:val="auto"/>
                <w:highlight w:val="none"/>
              </w:rPr>
            </w:pPr>
            <w:r>
              <w:rPr>
                <w:rFonts w:hint="eastAsia"/>
                <w:b/>
                <w:color w:val="auto"/>
                <w:highlight w:val="none"/>
              </w:rPr>
              <w:t>综合评分法（详见第五章“评标办法”）。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26</w:t>
            </w:r>
          </w:p>
        </w:tc>
        <w:tc>
          <w:tcPr>
            <w:tcW w:w="1826" w:type="dxa"/>
            <w:vAlign w:val="center"/>
          </w:tcPr>
          <w:p>
            <w:pPr>
              <w:pStyle w:val="30"/>
              <w:spacing w:line="360" w:lineRule="auto"/>
              <w:rPr>
                <w:rFonts w:hint="eastAsia"/>
                <w:color w:val="auto"/>
                <w:highlight w:val="none"/>
              </w:rPr>
            </w:pPr>
            <w:r>
              <w:rPr>
                <w:rFonts w:hint="eastAsia"/>
                <w:color w:val="auto"/>
                <w:highlight w:val="none"/>
              </w:rPr>
              <w:t>招标代理服务费</w:t>
            </w:r>
          </w:p>
        </w:tc>
        <w:tc>
          <w:tcPr>
            <w:tcW w:w="6677" w:type="dxa"/>
            <w:vAlign w:val="center"/>
          </w:tcPr>
          <w:p>
            <w:pPr>
              <w:pStyle w:val="30"/>
              <w:spacing w:line="360" w:lineRule="auto"/>
              <w:jc w:val="left"/>
              <w:rPr>
                <w:rFonts w:hint="eastAsia" w:eastAsia="宋体"/>
                <w:color w:val="auto"/>
                <w:highlight w:val="none"/>
                <w:lang w:eastAsia="zh-CN"/>
              </w:rPr>
            </w:pPr>
            <w:r>
              <w:rPr>
                <w:rFonts w:hint="eastAsia"/>
                <w:color w:val="auto"/>
                <w:highlight w:val="none"/>
              </w:rPr>
              <w:t>各合同</w:t>
            </w:r>
            <w:r>
              <w:rPr>
                <w:rFonts w:hint="eastAsia"/>
                <w:color w:val="auto"/>
                <w:highlight w:val="none"/>
                <w:lang w:val="en-US" w:eastAsia="zh-CN"/>
              </w:rPr>
              <w:t>包</w:t>
            </w:r>
            <w:r>
              <w:rPr>
                <w:rFonts w:hint="eastAsia"/>
                <w:color w:val="auto"/>
                <w:highlight w:val="none"/>
              </w:rPr>
              <w:t>参照国家计委颁发的《招标代理服务收费管理暂行办法》（计价格[2002]1980号）和国家发展改革委员会办公厅颁发的《关于招标代理服务收费有关问题的通知》（发改办价格[2003]857号）的有关规定收取</w:t>
            </w:r>
            <w:r>
              <w:rPr>
                <w:rFonts w:hint="eastAsia"/>
                <w:color w:val="auto"/>
                <w:highlight w:val="none"/>
                <w:lang w:eastAsia="zh-CN"/>
              </w:rPr>
              <w:t>；</w:t>
            </w:r>
          </w:p>
          <w:p>
            <w:pPr>
              <w:pStyle w:val="30"/>
              <w:spacing w:line="360" w:lineRule="auto"/>
              <w:jc w:val="left"/>
              <w:rPr>
                <w:rFonts w:hint="eastAsia"/>
                <w:color w:val="auto"/>
                <w:highlight w:val="none"/>
              </w:rPr>
            </w:pPr>
            <w:r>
              <w:rPr>
                <w:rFonts w:hint="eastAsia"/>
                <w:b w:val="0"/>
                <w:bCs w:val="0"/>
                <w:color w:val="auto"/>
                <w:highlight w:val="none"/>
              </w:rPr>
              <w:t>本项目以预算金额作为</w:t>
            </w:r>
            <w:r>
              <w:rPr>
                <w:rFonts w:hint="eastAsia"/>
                <w:b w:val="0"/>
                <w:bCs w:val="0"/>
                <w:color w:val="auto"/>
                <w:highlight w:val="none"/>
                <w:lang w:eastAsia="zh-CN"/>
              </w:rPr>
              <w:t>各</w:t>
            </w:r>
            <w:r>
              <w:rPr>
                <w:rFonts w:hint="eastAsia"/>
                <w:b w:val="0"/>
                <w:bCs w:val="0"/>
                <w:color w:val="auto"/>
                <w:highlight w:val="none"/>
                <w:lang w:val="en-US" w:eastAsia="zh-CN"/>
              </w:rPr>
              <w:t>合同</w:t>
            </w:r>
            <w:r>
              <w:rPr>
                <w:rFonts w:hint="eastAsia"/>
                <w:b w:val="0"/>
                <w:bCs w:val="0"/>
                <w:color w:val="auto"/>
                <w:highlight w:val="none"/>
                <w:lang w:eastAsia="zh-CN"/>
              </w:rPr>
              <w:t>包的</w:t>
            </w:r>
            <w:r>
              <w:rPr>
                <w:rFonts w:hint="eastAsia"/>
                <w:b w:val="0"/>
                <w:bCs w:val="0"/>
                <w:color w:val="auto"/>
                <w:highlight w:val="none"/>
              </w:rPr>
              <w:t>成交金额，</w:t>
            </w:r>
            <w:r>
              <w:rPr>
                <w:rFonts w:hint="eastAsia"/>
                <w:b w:val="0"/>
                <w:bCs w:val="0"/>
                <w:color w:val="auto"/>
                <w:highlight w:val="none"/>
                <w:lang w:val="en-US" w:eastAsia="zh-CN"/>
              </w:rPr>
              <w:t>各合同包招标</w:t>
            </w:r>
            <w:r>
              <w:rPr>
                <w:rFonts w:hint="eastAsia"/>
                <w:b w:val="0"/>
                <w:bCs w:val="0"/>
                <w:color w:val="auto"/>
                <w:highlight w:val="none"/>
              </w:rPr>
              <w:t>代理服务费分别按照前三名入围供应商入围份额（即综合折扣由低到高排序分别是</w:t>
            </w:r>
            <w:r>
              <w:rPr>
                <w:rFonts w:hint="eastAsia"/>
                <w:b w:val="0"/>
                <w:bCs w:val="0"/>
                <w:color w:val="auto"/>
                <w:highlight w:val="none"/>
                <w:lang w:val="en-US" w:eastAsia="zh-CN"/>
              </w:rPr>
              <w:t>45</w:t>
            </w:r>
            <w:r>
              <w:rPr>
                <w:rFonts w:hint="eastAsia"/>
                <w:b w:val="0"/>
                <w:bCs w:val="0"/>
                <w:color w:val="auto"/>
                <w:highlight w:val="none"/>
              </w:rPr>
              <w:t>%份额，30%份额，</w:t>
            </w:r>
            <w:r>
              <w:rPr>
                <w:rFonts w:hint="eastAsia"/>
                <w:b w:val="0"/>
                <w:bCs w:val="0"/>
                <w:color w:val="auto"/>
                <w:highlight w:val="none"/>
                <w:lang w:val="en-US" w:eastAsia="zh-CN"/>
              </w:rPr>
              <w:t>25</w:t>
            </w:r>
            <w:r>
              <w:rPr>
                <w:rFonts w:hint="eastAsia"/>
                <w:b w:val="0"/>
                <w:bCs w:val="0"/>
                <w:color w:val="auto"/>
                <w:highlight w:val="none"/>
              </w:rPr>
              <w:t>%份额）</w:t>
            </w:r>
            <w:r>
              <w:rPr>
                <w:rFonts w:hint="eastAsia"/>
                <w:b w:val="0"/>
                <w:bCs w:val="0"/>
                <w:color w:val="auto"/>
                <w:highlight w:val="none"/>
                <w:lang w:val="en-US" w:eastAsia="zh-CN"/>
              </w:rPr>
              <w:t>为基数计算，</w:t>
            </w:r>
            <w:r>
              <w:rPr>
                <w:rFonts w:hint="eastAsia"/>
                <w:color w:val="auto"/>
                <w:highlight w:val="none"/>
                <w:lang w:val="en-US" w:eastAsia="zh-CN"/>
              </w:rPr>
              <w:t>各入围单位不足叁仟元的按叁仟元收取</w:t>
            </w:r>
            <w:r>
              <w:rPr>
                <w:rFonts w:hint="eastAsia"/>
                <w:b w:val="0"/>
                <w:bCs w:val="0"/>
                <w:color w:val="auto"/>
                <w:highlight w:val="none"/>
                <w:lang w:eastAsia="zh-CN"/>
              </w:rPr>
              <w:t>。</w:t>
            </w:r>
          </w:p>
          <w:p>
            <w:pPr>
              <w:pStyle w:val="30"/>
              <w:spacing w:line="360" w:lineRule="auto"/>
              <w:jc w:val="left"/>
              <w:rPr>
                <w:b/>
                <w:bCs/>
                <w:color w:val="auto"/>
                <w:kern w:val="2"/>
                <w:szCs w:val="22"/>
                <w:highlight w:val="none"/>
              </w:rPr>
            </w:pPr>
            <w:r>
              <w:rPr>
                <w:rFonts w:hint="eastAsia"/>
                <w:b/>
                <w:bCs/>
                <w:color w:val="auto"/>
                <w:kern w:val="2"/>
                <w:szCs w:val="22"/>
                <w:highlight w:val="none"/>
              </w:rPr>
              <w:t>本项目类型：货物</w:t>
            </w:r>
          </w:p>
          <w:p>
            <w:pPr>
              <w:pStyle w:val="30"/>
              <w:spacing w:line="360" w:lineRule="auto"/>
              <w:jc w:val="left"/>
              <w:rPr>
                <w:b/>
                <w:bCs/>
                <w:color w:val="auto"/>
                <w:kern w:val="2"/>
                <w:szCs w:val="22"/>
                <w:highlight w:val="none"/>
              </w:rPr>
            </w:pPr>
            <w:r>
              <w:rPr>
                <w:rFonts w:hint="eastAsia"/>
                <w:b/>
                <w:bCs/>
                <w:color w:val="auto"/>
                <w:kern w:val="2"/>
                <w:szCs w:val="22"/>
                <w:highlight w:val="none"/>
              </w:rPr>
              <w:t>账户：</w:t>
            </w:r>
          </w:p>
          <w:p>
            <w:pPr>
              <w:pStyle w:val="30"/>
              <w:spacing w:line="360" w:lineRule="auto"/>
              <w:jc w:val="left"/>
              <w:rPr>
                <w:color w:val="auto"/>
                <w:highlight w:val="none"/>
              </w:rPr>
            </w:pPr>
            <w:r>
              <w:rPr>
                <w:rFonts w:hint="eastAsia"/>
                <w:color w:val="auto"/>
                <w:highlight w:val="none"/>
              </w:rPr>
              <w:t>户名：陕西正鸿招标有限公司</w:t>
            </w:r>
          </w:p>
          <w:p>
            <w:pPr>
              <w:pStyle w:val="30"/>
              <w:spacing w:line="360" w:lineRule="auto"/>
              <w:jc w:val="left"/>
              <w:rPr>
                <w:color w:val="auto"/>
                <w:highlight w:val="none"/>
              </w:rPr>
            </w:pPr>
            <w:r>
              <w:rPr>
                <w:rFonts w:hint="eastAsia"/>
                <w:color w:val="auto"/>
                <w:highlight w:val="none"/>
              </w:rPr>
              <w:t>开户行：交通银行股份有限公司西安大雁塔支行</w:t>
            </w:r>
          </w:p>
          <w:p>
            <w:pPr>
              <w:pStyle w:val="30"/>
              <w:spacing w:line="360" w:lineRule="auto"/>
              <w:jc w:val="left"/>
              <w:rPr>
                <w:rFonts w:hint="eastAsia"/>
                <w:b/>
                <w:color w:val="auto"/>
                <w:highlight w:val="none"/>
              </w:rPr>
            </w:pPr>
            <w:r>
              <w:rPr>
                <w:rFonts w:hint="eastAsia"/>
                <w:color w:val="auto"/>
                <w:highlight w:val="none"/>
              </w:rPr>
              <w:t>账号：611301053018010099844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27</w:t>
            </w:r>
          </w:p>
        </w:tc>
        <w:tc>
          <w:tcPr>
            <w:tcW w:w="1826" w:type="dxa"/>
            <w:vAlign w:val="center"/>
          </w:tcPr>
          <w:p>
            <w:pPr>
              <w:pStyle w:val="30"/>
              <w:spacing w:line="360" w:lineRule="auto"/>
              <w:rPr>
                <w:rFonts w:hint="eastAsia"/>
                <w:color w:val="auto"/>
                <w:highlight w:val="none"/>
              </w:rPr>
            </w:pPr>
            <w:r>
              <w:rPr>
                <w:rFonts w:hint="eastAsia"/>
                <w:color w:val="auto"/>
                <w:highlight w:val="none"/>
              </w:rPr>
              <w:t>付款方式</w:t>
            </w:r>
          </w:p>
        </w:tc>
        <w:tc>
          <w:tcPr>
            <w:tcW w:w="6677" w:type="dxa"/>
            <w:vAlign w:val="center"/>
          </w:tcPr>
          <w:p>
            <w:pPr>
              <w:pStyle w:val="30"/>
              <w:spacing w:line="360" w:lineRule="auto"/>
              <w:jc w:val="left"/>
              <w:rPr>
                <w:rFonts w:hint="eastAsia"/>
                <w:b/>
                <w:color w:val="auto"/>
                <w:highlight w:val="none"/>
              </w:rPr>
            </w:pPr>
            <w:r>
              <w:rPr>
                <w:rFonts w:hint="eastAsia" w:ascii="宋体" w:hAnsi="宋体" w:eastAsia="宋体" w:cs="宋体"/>
                <w:color w:val="auto"/>
                <w:highlight w:val="none"/>
                <w:lang w:val="en-US" w:eastAsia="zh-CN"/>
              </w:rPr>
              <w:t>本项目图书分多次采购，具体采购次数以采购人的供货清单为准。货款按实际订购数量和实洋凭发票结算。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28</w:t>
            </w:r>
          </w:p>
        </w:tc>
        <w:tc>
          <w:tcPr>
            <w:tcW w:w="1826" w:type="dxa"/>
            <w:vAlign w:val="center"/>
          </w:tcPr>
          <w:p>
            <w:pPr>
              <w:pStyle w:val="30"/>
              <w:spacing w:line="360" w:lineRule="auto"/>
              <w:rPr>
                <w:rFonts w:hint="eastAsia"/>
                <w:color w:val="auto"/>
                <w:highlight w:val="none"/>
              </w:rPr>
            </w:pPr>
            <w:r>
              <w:rPr>
                <w:rFonts w:hint="eastAsia"/>
                <w:color w:val="auto"/>
                <w:szCs w:val="22"/>
                <w:highlight w:val="none"/>
                <w:lang w:eastAsia="zh-CN"/>
              </w:rPr>
              <w:t>履约保证金</w:t>
            </w:r>
          </w:p>
        </w:tc>
        <w:tc>
          <w:tcPr>
            <w:tcW w:w="6677" w:type="dxa"/>
            <w:vAlign w:val="center"/>
          </w:tcPr>
          <w:p>
            <w:pPr>
              <w:pStyle w:val="30"/>
              <w:spacing w:line="360" w:lineRule="auto"/>
              <w:jc w:val="both"/>
              <w:rPr>
                <w:rFonts w:hint="eastAsia" w:ascii="宋体" w:hAnsi="宋体" w:eastAsia="宋体" w:cs="宋体"/>
                <w:color w:val="auto"/>
                <w:highlight w:val="none"/>
                <w:lang w:val="en-US" w:eastAsia="zh-CN"/>
              </w:rPr>
            </w:pPr>
            <w:r>
              <w:rPr>
                <w:rFonts w:hint="eastAsia"/>
                <w:color w:val="auto"/>
                <w:szCs w:val="22"/>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29</w:t>
            </w:r>
          </w:p>
        </w:tc>
        <w:tc>
          <w:tcPr>
            <w:tcW w:w="1826" w:type="dxa"/>
            <w:vAlign w:val="center"/>
          </w:tcPr>
          <w:p>
            <w:pPr>
              <w:pStyle w:val="30"/>
              <w:spacing w:line="360" w:lineRule="auto"/>
              <w:rPr>
                <w:rFonts w:hint="eastAsia"/>
                <w:color w:val="auto"/>
                <w:highlight w:val="none"/>
              </w:rPr>
            </w:pPr>
            <w:r>
              <w:rPr>
                <w:rFonts w:hint="eastAsia"/>
                <w:color w:val="auto"/>
                <w:szCs w:val="22"/>
                <w:highlight w:val="none"/>
              </w:rPr>
              <w:t>现场踏勘</w:t>
            </w:r>
          </w:p>
        </w:tc>
        <w:tc>
          <w:tcPr>
            <w:tcW w:w="6677" w:type="dxa"/>
            <w:vAlign w:val="center"/>
          </w:tcPr>
          <w:p>
            <w:pPr>
              <w:pStyle w:val="30"/>
              <w:spacing w:line="360" w:lineRule="auto"/>
              <w:jc w:val="both"/>
              <w:rPr>
                <w:rFonts w:hint="eastAsia" w:ascii="宋体" w:hAnsi="宋体" w:eastAsia="宋体" w:cs="宋体"/>
                <w:color w:val="auto"/>
                <w:highlight w:val="none"/>
                <w:lang w:val="en-US" w:eastAsia="zh-CN"/>
              </w:rPr>
            </w:pPr>
            <w:r>
              <w:rPr>
                <w:rFonts w:hint="eastAsia"/>
                <w:color w:val="auto"/>
                <w:szCs w:val="22"/>
                <w:highlight w:val="none"/>
              </w:rPr>
              <w:t>不统一组织踏勘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30"/>
              <w:spacing w:line="360" w:lineRule="auto"/>
              <w:rPr>
                <w:rFonts w:hint="default" w:eastAsia="宋体"/>
                <w:color w:val="auto"/>
                <w:highlight w:val="none"/>
                <w:lang w:val="en-US" w:eastAsia="zh-CN"/>
              </w:rPr>
            </w:pPr>
            <w:r>
              <w:rPr>
                <w:rFonts w:hint="eastAsia"/>
                <w:color w:val="auto"/>
                <w:highlight w:val="none"/>
                <w:lang w:val="en-US" w:eastAsia="zh-CN"/>
              </w:rPr>
              <w:t>30</w:t>
            </w:r>
          </w:p>
        </w:tc>
        <w:tc>
          <w:tcPr>
            <w:tcW w:w="1826" w:type="dxa"/>
            <w:vAlign w:val="center"/>
          </w:tcPr>
          <w:p>
            <w:pPr>
              <w:pStyle w:val="30"/>
              <w:spacing w:line="360" w:lineRule="auto"/>
              <w:rPr>
                <w:rFonts w:hint="eastAsia"/>
                <w:color w:val="auto"/>
                <w:highlight w:val="none"/>
              </w:rPr>
            </w:pPr>
            <w:r>
              <w:rPr>
                <w:rFonts w:hint="eastAsia"/>
                <w:b/>
                <w:bCs/>
                <w:color w:val="auto"/>
                <w:szCs w:val="22"/>
                <w:highlight w:val="none"/>
              </w:rPr>
              <w:t>标的所属行业</w:t>
            </w:r>
          </w:p>
        </w:tc>
        <w:tc>
          <w:tcPr>
            <w:tcW w:w="6677" w:type="dxa"/>
            <w:vAlign w:val="center"/>
          </w:tcPr>
          <w:p>
            <w:pPr>
              <w:pStyle w:val="30"/>
              <w:spacing w:line="360" w:lineRule="auto"/>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其他未列明行业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5" w:hRule="atLeast"/>
          <w:jc w:val="center"/>
        </w:trPr>
        <w:tc>
          <w:tcPr>
            <w:tcW w:w="840" w:type="dxa"/>
            <w:vAlign w:val="center"/>
          </w:tcPr>
          <w:p>
            <w:pPr>
              <w:pStyle w:val="30"/>
              <w:spacing w:line="360" w:lineRule="auto"/>
              <w:rPr>
                <w:rFonts w:hint="default" w:ascii="宋体" w:hAnsi="宋体" w:eastAsia="宋体" w:cs="宋体"/>
                <w:b/>
                <w:bCs/>
                <w:color w:val="auto"/>
                <w:highlight w:val="none"/>
                <w:lang w:val="en-US" w:eastAsia="zh-CN"/>
              </w:rPr>
            </w:pPr>
            <w:r>
              <w:rPr>
                <w:rFonts w:hint="eastAsia" w:cs="宋体"/>
                <w:b/>
                <w:bCs/>
                <w:color w:val="auto"/>
                <w:highlight w:val="none"/>
                <w:lang w:val="en-US" w:eastAsia="zh-CN"/>
              </w:rPr>
              <w:t>31</w:t>
            </w:r>
          </w:p>
        </w:tc>
        <w:tc>
          <w:tcPr>
            <w:tcW w:w="1826" w:type="dxa"/>
            <w:vAlign w:val="center"/>
          </w:tcPr>
          <w:p>
            <w:pPr>
              <w:pStyle w:val="3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中标说明</w:t>
            </w:r>
          </w:p>
        </w:tc>
        <w:tc>
          <w:tcPr>
            <w:tcW w:w="6677" w:type="dxa"/>
            <w:vAlign w:val="center"/>
          </w:tcPr>
          <w:p>
            <w:pPr>
              <w:pStyle w:val="5"/>
              <w:bidi w:val="0"/>
              <w:ind w:left="0" w:leftChars="0" w:firstLine="0" w:firstLineChars="0"/>
              <w:rPr>
                <w:rFonts w:hint="eastAsia"/>
                <w:color w:val="auto"/>
                <w:highlight w:val="none"/>
              </w:rPr>
            </w:pPr>
            <w:r>
              <w:rPr>
                <w:rFonts w:hint="eastAsia" w:ascii="宋体" w:hAnsi="宋体" w:eastAsia="宋体" w:cs="宋体"/>
                <w:b/>
                <w:bCs/>
                <w:color w:val="auto"/>
                <w:kern w:val="0"/>
                <w:sz w:val="24"/>
                <w:szCs w:val="20"/>
                <w:highlight w:val="none"/>
                <w:lang w:val="en-US" w:eastAsia="zh-CN" w:bidi="ar-SA"/>
              </w:rPr>
              <w:t>本项目</w:t>
            </w:r>
            <w:r>
              <w:rPr>
                <w:rFonts w:hint="eastAsia" w:cs="宋体"/>
                <w:b/>
                <w:bCs/>
                <w:color w:val="auto"/>
                <w:kern w:val="0"/>
                <w:sz w:val="24"/>
                <w:szCs w:val="20"/>
                <w:highlight w:val="none"/>
                <w:lang w:val="en-US" w:eastAsia="zh-CN" w:bidi="ar-SA"/>
              </w:rPr>
              <w:t>各合同包</w:t>
            </w:r>
            <w:r>
              <w:rPr>
                <w:rFonts w:hint="eastAsia" w:ascii="宋体" w:hAnsi="宋体" w:eastAsia="宋体" w:cs="宋体"/>
                <w:b/>
                <w:bCs/>
                <w:color w:val="auto"/>
                <w:kern w:val="0"/>
                <w:sz w:val="24"/>
                <w:szCs w:val="20"/>
                <w:highlight w:val="none"/>
                <w:lang w:val="en-US" w:eastAsia="zh-CN" w:bidi="ar-SA"/>
              </w:rPr>
              <w:t>采用有限数量制入围前三名，每</w:t>
            </w:r>
            <w:r>
              <w:rPr>
                <w:rFonts w:hint="eastAsia" w:cs="宋体"/>
                <w:b/>
                <w:bCs/>
                <w:color w:val="auto"/>
                <w:kern w:val="0"/>
                <w:sz w:val="24"/>
                <w:szCs w:val="20"/>
                <w:highlight w:val="none"/>
                <w:lang w:val="en-US" w:eastAsia="zh-CN" w:bidi="ar-SA"/>
              </w:rPr>
              <w:t>合同包</w:t>
            </w:r>
            <w:r>
              <w:rPr>
                <w:rFonts w:hint="eastAsia" w:ascii="宋体" w:hAnsi="宋体" w:eastAsia="宋体" w:cs="宋体"/>
                <w:b/>
                <w:bCs/>
                <w:color w:val="auto"/>
                <w:kern w:val="0"/>
                <w:sz w:val="24"/>
                <w:szCs w:val="20"/>
                <w:highlight w:val="none"/>
                <w:lang w:val="en-US" w:eastAsia="zh-CN" w:bidi="ar-SA"/>
              </w:rPr>
              <w:t>入围供应商入围份额以该</w:t>
            </w:r>
            <w:r>
              <w:rPr>
                <w:rFonts w:hint="eastAsia" w:cs="宋体"/>
                <w:b/>
                <w:bCs/>
                <w:color w:val="auto"/>
                <w:kern w:val="0"/>
                <w:sz w:val="24"/>
                <w:szCs w:val="20"/>
                <w:highlight w:val="none"/>
                <w:lang w:val="en-US" w:eastAsia="zh-CN" w:bidi="ar-SA"/>
              </w:rPr>
              <w:t>合同包</w:t>
            </w:r>
            <w:r>
              <w:rPr>
                <w:rFonts w:hint="eastAsia" w:ascii="宋体" w:hAnsi="宋体" w:eastAsia="宋体" w:cs="宋体"/>
                <w:b/>
                <w:bCs/>
                <w:color w:val="auto"/>
                <w:kern w:val="0"/>
                <w:sz w:val="24"/>
                <w:szCs w:val="20"/>
                <w:highlight w:val="none"/>
                <w:lang w:val="en-US" w:eastAsia="zh-CN" w:bidi="ar-SA"/>
              </w:rPr>
              <w:t>报价综合折扣由低到高排序分别为45%份额、30%份额、25%份额</w:t>
            </w:r>
            <w:r>
              <w:rPr>
                <w:rFonts w:hint="eastAsia" w:cs="宋体"/>
                <w:b/>
                <w:bCs/>
                <w:color w:val="auto"/>
                <w:kern w:val="0"/>
                <w:sz w:val="24"/>
                <w:szCs w:val="20"/>
                <w:highlight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1" w:hRule="atLeast"/>
          <w:jc w:val="center"/>
        </w:trPr>
        <w:tc>
          <w:tcPr>
            <w:tcW w:w="840" w:type="dxa"/>
            <w:vAlign w:val="center"/>
          </w:tcPr>
          <w:p>
            <w:pPr>
              <w:pStyle w:val="30"/>
              <w:spacing w:line="360" w:lineRule="auto"/>
              <w:rPr>
                <w:rFonts w:hint="default" w:ascii="宋体" w:hAnsi="宋体" w:eastAsia="宋体" w:cs="宋体"/>
                <w:color w:val="auto"/>
                <w:highlight w:val="none"/>
                <w:lang w:val="en-US" w:eastAsia="zh-CN"/>
              </w:rPr>
            </w:pPr>
            <w:bookmarkStart w:id="25" w:name="_Toc15533"/>
            <w:bookmarkStart w:id="26" w:name="_Toc363474017"/>
            <w:bookmarkStart w:id="27" w:name="_Toc363473972"/>
            <w:bookmarkStart w:id="28" w:name="_Toc403077639"/>
            <w:bookmarkStart w:id="29" w:name="_Toc6935"/>
            <w:r>
              <w:rPr>
                <w:rFonts w:hint="eastAsia" w:cs="宋体"/>
                <w:color w:val="auto"/>
                <w:highlight w:val="none"/>
                <w:lang w:val="en-US" w:eastAsia="zh-CN"/>
              </w:rPr>
              <w:t>32</w:t>
            </w:r>
          </w:p>
        </w:tc>
        <w:tc>
          <w:tcPr>
            <w:tcW w:w="1826" w:type="dxa"/>
            <w:vAlign w:val="center"/>
          </w:tcPr>
          <w:p>
            <w:pPr>
              <w:pStyle w:val="3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一致性</w:t>
            </w:r>
          </w:p>
        </w:tc>
        <w:tc>
          <w:tcPr>
            <w:tcW w:w="6677" w:type="dxa"/>
            <w:vAlign w:val="center"/>
          </w:tcPr>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投标人须知前附表和须知不一致的地方，以前附表为准。</w:t>
            </w:r>
          </w:p>
        </w:tc>
      </w:tr>
      <w:bookmarkEnd w:id="8"/>
      <w:bookmarkEnd w:id="9"/>
      <w:bookmarkEnd w:id="10"/>
    </w:tbl>
    <w:p>
      <w:pPr>
        <w:rPr>
          <w:rStyle w:val="31"/>
          <w:color w:val="auto"/>
          <w:highlight w:val="none"/>
        </w:rPr>
      </w:pPr>
      <w:r>
        <w:rPr>
          <w:rStyle w:val="31"/>
          <w:rFonts w:hint="eastAsia"/>
          <w:color w:val="auto"/>
          <w:highlight w:val="none"/>
        </w:rPr>
        <w:br w:type="page"/>
      </w:r>
    </w:p>
    <w:p>
      <w:pPr>
        <w:pStyle w:val="4"/>
        <w:rPr>
          <w:rStyle w:val="31"/>
          <w:b/>
          <w:bCs/>
          <w:color w:val="auto"/>
          <w:highlight w:val="none"/>
        </w:rPr>
      </w:pPr>
      <w:r>
        <w:rPr>
          <w:rStyle w:val="31"/>
          <w:rFonts w:hint="eastAsia"/>
          <w:b/>
          <w:bCs/>
          <w:color w:val="auto"/>
          <w:highlight w:val="none"/>
        </w:rPr>
        <w:t>一.总  则</w:t>
      </w:r>
      <w:bookmarkEnd w:id="25"/>
      <w:bookmarkEnd w:id="26"/>
      <w:bookmarkEnd w:id="27"/>
      <w:bookmarkEnd w:id="28"/>
      <w:bookmarkEnd w:id="29"/>
    </w:p>
    <w:p>
      <w:pPr>
        <w:pStyle w:val="2"/>
        <w:rPr>
          <w:color w:val="auto"/>
          <w:highlight w:val="none"/>
        </w:rPr>
      </w:pPr>
      <w:bookmarkStart w:id="30" w:name="_Toc30734"/>
      <w:bookmarkStart w:id="31" w:name="_Toc23273"/>
      <w:r>
        <w:rPr>
          <w:rFonts w:hint="eastAsia"/>
          <w:color w:val="auto"/>
          <w:highlight w:val="none"/>
        </w:rPr>
        <w:t>1.资金来源</w:t>
      </w:r>
      <w:bookmarkEnd w:id="30"/>
      <w:bookmarkEnd w:id="31"/>
    </w:p>
    <w:p>
      <w:pPr>
        <w:pStyle w:val="5"/>
        <w:ind w:firstLine="480"/>
        <w:rPr>
          <w:color w:val="auto"/>
          <w:highlight w:val="none"/>
        </w:rPr>
      </w:pPr>
      <w:r>
        <w:rPr>
          <w:rFonts w:hint="eastAsia"/>
          <w:color w:val="auto"/>
          <w:highlight w:val="none"/>
        </w:rPr>
        <w:t>1.1本次招标采购所签合同使用财政资金支付，资金已落实到位。</w:t>
      </w:r>
    </w:p>
    <w:p>
      <w:pPr>
        <w:pStyle w:val="2"/>
        <w:rPr>
          <w:color w:val="auto"/>
          <w:highlight w:val="none"/>
        </w:rPr>
      </w:pPr>
      <w:bookmarkStart w:id="32" w:name="_Toc20780"/>
      <w:bookmarkStart w:id="33" w:name="_Toc15117"/>
      <w:r>
        <w:rPr>
          <w:rFonts w:hint="eastAsia"/>
          <w:color w:val="auto"/>
          <w:highlight w:val="none"/>
        </w:rPr>
        <w:t>2.名词解释</w:t>
      </w:r>
      <w:bookmarkEnd w:id="32"/>
      <w:bookmarkEnd w:id="33"/>
    </w:p>
    <w:p>
      <w:pPr>
        <w:pStyle w:val="5"/>
        <w:ind w:firstLine="480"/>
        <w:rPr>
          <w:color w:val="auto"/>
          <w:highlight w:val="none"/>
        </w:rPr>
      </w:pPr>
      <w:r>
        <w:rPr>
          <w:rFonts w:hint="eastAsia"/>
          <w:color w:val="auto"/>
          <w:highlight w:val="none"/>
        </w:rPr>
        <w:t>2.1采购人：见投标人须知前附表。</w:t>
      </w:r>
    </w:p>
    <w:p>
      <w:pPr>
        <w:pStyle w:val="5"/>
        <w:ind w:firstLine="480"/>
        <w:rPr>
          <w:color w:val="auto"/>
          <w:highlight w:val="none"/>
        </w:rPr>
      </w:pPr>
      <w:r>
        <w:rPr>
          <w:rFonts w:hint="eastAsia"/>
          <w:color w:val="auto"/>
          <w:highlight w:val="none"/>
        </w:rPr>
        <w:t>2.2采购代理机构：见投标人须知前附表。</w:t>
      </w:r>
    </w:p>
    <w:p>
      <w:pPr>
        <w:pStyle w:val="5"/>
        <w:ind w:firstLine="480"/>
        <w:rPr>
          <w:color w:val="auto"/>
          <w:highlight w:val="none"/>
        </w:rPr>
      </w:pPr>
      <w:r>
        <w:rPr>
          <w:rFonts w:hint="eastAsia"/>
          <w:color w:val="auto"/>
          <w:highlight w:val="none"/>
        </w:rPr>
        <w:t>2.3监督机构：见投标人须知前附表。</w:t>
      </w:r>
    </w:p>
    <w:p>
      <w:pPr>
        <w:pStyle w:val="5"/>
        <w:ind w:firstLine="480"/>
        <w:rPr>
          <w:color w:val="auto"/>
          <w:highlight w:val="none"/>
        </w:rPr>
      </w:pPr>
      <w:r>
        <w:rPr>
          <w:rFonts w:hint="eastAsia"/>
          <w:color w:val="auto"/>
          <w:highlight w:val="none"/>
        </w:rPr>
        <w:t>2.4投标人：是指响应和符合招标文件规定资格条件且参与投标竞争的法人、其他组织或者自然人。</w:t>
      </w:r>
    </w:p>
    <w:p>
      <w:pPr>
        <w:pStyle w:val="5"/>
        <w:ind w:firstLine="480"/>
        <w:rPr>
          <w:color w:val="auto"/>
          <w:highlight w:val="none"/>
        </w:rPr>
      </w:pPr>
      <w:r>
        <w:rPr>
          <w:rFonts w:hint="eastAsia"/>
          <w:color w:val="auto"/>
          <w:highlight w:val="none"/>
        </w:rPr>
        <w:t>2.5产品是指本招标文件中第四章所述所有产品。</w:t>
      </w:r>
    </w:p>
    <w:p>
      <w:pPr>
        <w:pStyle w:val="5"/>
        <w:ind w:firstLine="480"/>
        <w:rPr>
          <w:color w:val="auto"/>
          <w:highlight w:val="none"/>
        </w:rPr>
      </w:pPr>
      <w:r>
        <w:rPr>
          <w:rFonts w:hint="eastAsia"/>
          <w:color w:val="auto"/>
          <w:highlight w:val="none"/>
        </w:rPr>
        <w:t>2.6服务是指投标人为满足招标文件要求而提供的服务。</w:t>
      </w:r>
    </w:p>
    <w:p>
      <w:pPr>
        <w:pStyle w:val="5"/>
        <w:ind w:firstLine="480"/>
        <w:rPr>
          <w:color w:val="auto"/>
          <w:highlight w:val="none"/>
        </w:rPr>
      </w:pPr>
      <w:r>
        <w:rPr>
          <w:rFonts w:hint="eastAsia"/>
          <w:color w:val="auto"/>
          <w:highlight w:val="none"/>
        </w:rPr>
        <w:t>2.7节能产品或者环保产品是指依据国家确定的认证机构出具的、处于有效期之内的具有节能产品、环境标志产品认证证书的产品。</w:t>
      </w:r>
    </w:p>
    <w:p>
      <w:pPr>
        <w:pStyle w:val="5"/>
        <w:ind w:firstLine="480"/>
        <w:rPr>
          <w:color w:val="auto"/>
          <w:highlight w:val="none"/>
        </w:rPr>
      </w:pPr>
      <w:r>
        <w:rPr>
          <w:rFonts w:hint="eastAsia"/>
          <w:color w:val="auto"/>
          <w:highlight w:val="none"/>
        </w:rPr>
        <w:t>2.8进口产品是指通过中国海关报关验放进入中国境内且产自关境外的产品，详见《关于政府采购进口产品管理有关问题的通知》(财库[2007]119号)。</w:t>
      </w:r>
    </w:p>
    <w:p>
      <w:pPr>
        <w:pStyle w:val="5"/>
        <w:ind w:firstLine="480"/>
        <w:rPr>
          <w:color w:val="auto"/>
          <w:highlight w:val="none"/>
        </w:rPr>
      </w:pPr>
      <w:r>
        <w:rPr>
          <w:rFonts w:hint="eastAsia"/>
          <w:color w:val="auto"/>
          <w:highlight w:val="none"/>
        </w:rPr>
        <w:t>2.9中小企业是指符合《工业和信息化部、国家统计局、国家发展和改革委员会、财政部关于印发中小企业划型标准规定的通知》（工信部联企业[2011]300号）规定的对中小企业的划分标准的企业。</w:t>
      </w:r>
    </w:p>
    <w:p>
      <w:pPr>
        <w:pStyle w:val="5"/>
        <w:ind w:firstLine="480"/>
        <w:rPr>
          <w:color w:val="auto"/>
          <w:highlight w:val="none"/>
        </w:rPr>
      </w:pPr>
      <w:r>
        <w:rPr>
          <w:rFonts w:hint="eastAsia"/>
          <w:color w:val="auto"/>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
        <w:ind w:firstLine="480"/>
        <w:rPr>
          <w:color w:val="auto"/>
          <w:highlight w:val="none"/>
        </w:rPr>
      </w:pPr>
      <w:r>
        <w:rPr>
          <w:rFonts w:hint="eastAsia"/>
          <w:color w:val="auto"/>
          <w:highlight w:val="none"/>
        </w:rPr>
        <w:t>2.11残疾人福利性单位是指符合《三部门联合发布关于促进残疾人就业政府采购政策的通知》财库〔2017〕141号规定的对残疾人福利性单位划分标准的单位。</w:t>
      </w:r>
    </w:p>
    <w:p>
      <w:pPr>
        <w:pStyle w:val="2"/>
        <w:rPr>
          <w:color w:val="auto"/>
          <w:highlight w:val="none"/>
        </w:rPr>
      </w:pPr>
      <w:bookmarkStart w:id="34" w:name="_Toc796"/>
      <w:bookmarkStart w:id="35" w:name="_Toc22955"/>
      <w:r>
        <w:rPr>
          <w:rFonts w:hint="eastAsia"/>
          <w:color w:val="auto"/>
          <w:highlight w:val="none"/>
        </w:rPr>
        <w:t>3.合格的投标人</w:t>
      </w:r>
      <w:bookmarkEnd w:id="34"/>
      <w:bookmarkEnd w:id="35"/>
    </w:p>
    <w:p>
      <w:pPr>
        <w:pStyle w:val="5"/>
        <w:ind w:firstLine="480"/>
        <w:rPr>
          <w:color w:val="auto"/>
          <w:highlight w:val="none"/>
        </w:rPr>
      </w:pPr>
      <w:r>
        <w:rPr>
          <w:rFonts w:hint="eastAsia"/>
          <w:color w:val="auto"/>
          <w:highlight w:val="none"/>
        </w:rPr>
        <w:t>3.1《政府采购法》第二十二条第一款规定的投标人基本资格条件：</w:t>
      </w:r>
    </w:p>
    <w:p>
      <w:pPr>
        <w:pStyle w:val="5"/>
        <w:ind w:firstLine="480"/>
        <w:rPr>
          <w:color w:val="auto"/>
          <w:highlight w:val="none"/>
        </w:rPr>
      </w:pPr>
      <w:r>
        <w:rPr>
          <w:rFonts w:hint="eastAsia"/>
          <w:color w:val="auto"/>
          <w:highlight w:val="none"/>
        </w:rPr>
        <w:t xml:space="preserve">   （1）具有独立承担民事责任的能力；</w:t>
      </w:r>
    </w:p>
    <w:p>
      <w:pPr>
        <w:pStyle w:val="5"/>
        <w:ind w:firstLine="480"/>
        <w:rPr>
          <w:color w:val="auto"/>
          <w:highlight w:val="none"/>
        </w:rPr>
      </w:pPr>
      <w:r>
        <w:rPr>
          <w:rFonts w:hint="eastAsia"/>
          <w:color w:val="auto"/>
          <w:highlight w:val="none"/>
        </w:rPr>
        <w:t xml:space="preserve">   （2）具有良好的商业信誉和健全的财务会计制度；</w:t>
      </w:r>
    </w:p>
    <w:p>
      <w:pPr>
        <w:pStyle w:val="5"/>
        <w:ind w:firstLine="480"/>
        <w:rPr>
          <w:color w:val="auto"/>
          <w:highlight w:val="none"/>
        </w:rPr>
      </w:pPr>
      <w:r>
        <w:rPr>
          <w:rFonts w:hint="eastAsia"/>
          <w:color w:val="auto"/>
          <w:highlight w:val="none"/>
        </w:rPr>
        <w:t xml:space="preserve">   （3）具有履行合同所必需的设备和专业技术能力；</w:t>
      </w:r>
    </w:p>
    <w:p>
      <w:pPr>
        <w:pStyle w:val="5"/>
        <w:ind w:firstLine="480"/>
        <w:rPr>
          <w:color w:val="auto"/>
          <w:highlight w:val="none"/>
        </w:rPr>
      </w:pPr>
      <w:r>
        <w:rPr>
          <w:rFonts w:hint="eastAsia"/>
          <w:color w:val="auto"/>
          <w:highlight w:val="none"/>
        </w:rPr>
        <w:t xml:space="preserve">   （4）有依法缴纳税收和社会保障资金的良好记录；</w:t>
      </w:r>
    </w:p>
    <w:p>
      <w:pPr>
        <w:pStyle w:val="5"/>
        <w:ind w:firstLine="480"/>
        <w:rPr>
          <w:color w:val="auto"/>
          <w:highlight w:val="none"/>
        </w:rPr>
      </w:pPr>
      <w:r>
        <w:rPr>
          <w:rFonts w:hint="eastAsia"/>
          <w:color w:val="auto"/>
          <w:highlight w:val="none"/>
        </w:rPr>
        <w:t xml:space="preserve">   （5）参加政府采购活动前三年内，在经营活动中没有重大违法记录；</w:t>
      </w:r>
    </w:p>
    <w:p>
      <w:pPr>
        <w:pStyle w:val="5"/>
        <w:ind w:firstLine="480"/>
        <w:rPr>
          <w:color w:val="auto"/>
          <w:highlight w:val="none"/>
        </w:rPr>
      </w:pPr>
      <w:r>
        <w:rPr>
          <w:rFonts w:hint="eastAsia"/>
          <w:color w:val="auto"/>
          <w:highlight w:val="none"/>
        </w:rPr>
        <w:t xml:space="preserve">   （6）法律、行政法规规定的其他条件。</w:t>
      </w:r>
    </w:p>
    <w:p>
      <w:pPr>
        <w:pStyle w:val="5"/>
        <w:ind w:firstLine="480"/>
        <w:rPr>
          <w:color w:val="auto"/>
          <w:highlight w:val="none"/>
        </w:rPr>
      </w:pPr>
      <w:r>
        <w:rPr>
          <w:rFonts w:hint="eastAsia"/>
          <w:color w:val="auto"/>
          <w:highlight w:val="none"/>
        </w:rPr>
        <w:t>3.2根据本次采购项目的特殊要求，规定的投标人特殊条件（见投标人须知前附表）。</w:t>
      </w:r>
    </w:p>
    <w:p>
      <w:pPr>
        <w:pStyle w:val="5"/>
        <w:ind w:firstLine="480"/>
        <w:rPr>
          <w:color w:val="auto"/>
          <w:highlight w:val="none"/>
        </w:rPr>
      </w:pPr>
      <w:r>
        <w:rPr>
          <w:rFonts w:hint="eastAsia"/>
          <w:color w:val="auto"/>
          <w:highlight w:val="none"/>
        </w:rPr>
        <w:t>3.3单位负责人为同一人或者存在直接控股、管理关系的不同投标人，不得参加同一合同项下的政府采购活动。</w:t>
      </w:r>
    </w:p>
    <w:p>
      <w:pPr>
        <w:pStyle w:val="5"/>
        <w:ind w:firstLine="480"/>
        <w:rPr>
          <w:color w:val="auto"/>
          <w:highlight w:val="none"/>
        </w:rPr>
      </w:pPr>
      <w:r>
        <w:rPr>
          <w:rFonts w:hint="eastAsia"/>
          <w:color w:val="auto"/>
          <w:highlight w:val="none"/>
        </w:rPr>
        <w:t>3.4除单一来源采购项目外，为采购项目提供整体设计、规范编制或者项目管理、监理、检测等服务的投标人，不得再参加该采购项目的其他采购活动，否则均为无效投标。</w:t>
      </w:r>
    </w:p>
    <w:p>
      <w:pPr>
        <w:pStyle w:val="5"/>
        <w:ind w:firstLine="480"/>
        <w:rPr>
          <w:color w:val="auto"/>
          <w:highlight w:val="none"/>
        </w:rPr>
      </w:pPr>
      <w:r>
        <w:rPr>
          <w:rFonts w:hint="eastAsia"/>
          <w:color w:val="auto"/>
          <w:highlight w:val="none"/>
        </w:rPr>
        <w:t>3.5投标人必须在陕西正鸿招标有限公司购买招标文件，方可参加投标。招标文件售后不退。</w:t>
      </w:r>
    </w:p>
    <w:p>
      <w:pPr>
        <w:pStyle w:val="5"/>
        <w:ind w:firstLine="480"/>
        <w:rPr>
          <w:color w:val="auto"/>
          <w:highlight w:val="none"/>
        </w:rPr>
      </w:pPr>
      <w:bookmarkStart w:id="36" w:name="OLE_LINK33"/>
      <w:r>
        <w:rPr>
          <w:rFonts w:hint="eastAsia"/>
          <w:color w:val="auto"/>
          <w:highlight w:val="none"/>
        </w:rPr>
        <w:t>3.</w:t>
      </w:r>
      <w:bookmarkEnd w:id="36"/>
      <w:r>
        <w:rPr>
          <w:rFonts w:hint="eastAsia"/>
          <w:color w:val="auto"/>
          <w:highlight w:val="none"/>
        </w:rPr>
        <w:t>6联合体投标</w:t>
      </w:r>
    </w:p>
    <w:p>
      <w:pPr>
        <w:pStyle w:val="5"/>
        <w:ind w:firstLine="480"/>
        <w:rPr>
          <w:color w:val="auto"/>
          <w:highlight w:val="none"/>
        </w:rPr>
      </w:pPr>
      <w:r>
        <w:rPr>
          <w:rFonts w:hint="eastAsia"/>
          <w:color w:val="auto"/>
          <w:highlight w:val="none"/>
        </w:rPr>
        <w:t>3.6.1如果在招标文件中接受联合体投标（见投标人须知前附表），则两个以上投标人可以组成一个投标联合体，以一个投标人的身份投标。以联合体形式参加投标的，联合体各方均应当符合《中华人民共和国政府采购法》及实施条例规定的条件。采购人根据采购项目的特殊要求规定投标人特定条件的，联合体各方中至少应当有一方符合采购人规定的特定条件。</w:t>
      </w:r>
    </w:p>
    <w:p>
      <w:pPr>
        <w:pStyle w:val="5"/>
        <w:ind w:firstLine="480"/>
        <w:rPr>
          <w:color w:val="auto"/>
          <w:highlight w:val="none"/>
        </w:rPr>
      </w:pPr>
      <w:r>
        <w:rPr>
          <w:rFonts w:hint="eastAsia"/>
          <w:color w:val="auto"/>
          <w:highlight w:val="none"/>
        </w:rPr>
        <w:t>3.6.2联合体各方之间应当签订共同投标协议，明确约定联合体各方承担的工作和相应的责任，并将共同投标协议连同投标文件一并提交采购代理机构。联合体各方签订共同投标协议后，不得再以自己名义单独在同一项目中投标，也不得组成新的联合体参加同一项目投标。</w:t>
      </w:r>
    </w:p>
    <w:p>
      <w:pPr>
        <w:pStyle w:val="5"/>
        <w:ind w:firstLine="480"/>
        <w:rPr>
          <w:color w:val="auto"/>
          <w:highlight w:val="none"/>
        </w:rPr>
      </w:pPr>
      <w:r>
        <w:rPr>
          <w:rFonts w:hint="eastAsia"/>
          <w:color w:val="auto"/>
          <w:highlight w:val="none"/>
        </w:rPr>
        <w:t>3.6.3联合体各方应当共同与采购人签订采购合同，就采购合同约定的事项对采购人承担连带责任。</w:t>
      </w:r>
    </w:p>
    <w:p>
      <w:pPr>
        <w:pStyle w:val="5"/>
        <w:ind w:firstLine="480"/>
        <w:rPr>
          <w:color w:val="auto"/>
          <w:highlight w:val="none"/>
        </w:rPr>
      </w:pPr>
      <w:r>
        <w:rPr>
          <w:rFonts w:hint="eastAsia"/>
          <w:color w:val="auto"/>
          <w:highlight w:val="none"/>
        </w:rPr>
        <w:t>3.7投标费用自理。不论投标的结果如何，投标人均应自行承担所有与参加投标有关的费用。</w:t>
      </w:r>
    </w:p>
    <w:p>
      <w:pPr>
        <w:pStyle w:val="2"/>
        <w:rPr>
          <w:color w:val="auto"/>
          <w:highlight w:val="none"/>
        </w:rPr>
      </w:pPr>
      <w:bookmarkStart w:id="37" w:name="_Toc6408"/>
      <w:bookmarkStart w:id="38" w:name="_Toc26236"/>
      <w:r>
        <w:rPr>
          <w:rFonts w:hint="eastAsia"/>
          <w:color w:val="auto"/>
          <w:highlight w:val="none"/>
        </w:rPr>
        <w:t>4.合格的货物（产品）和服务</w:t>
      </w:r>
      <w:bookmarkEnd w:id="37"/>
      <w:bookmarkEnd w:id="38"/>
    </w:p>
    <w:p>
      <w:pPr>
        <w:pStyle w:val="5"/>
        <w:ind w:firstLine="480"/>
        <w:rPr>
          <w:color w:val="auto"/>
          <w:highlight w:val="none"/>
        </w:rPr>
      </w:pPr>
      <w:r>
        <w:rPr>
          <w:rFonts w:hint="eastAsia"/>
          <w:color w:val="auto"/>
          <w:highlight w:val="none"/>
        </w:rPr>
        <w:t>4.1投标人提供的所有货物和服务，必须是合法生产、合法来源（提供产品来源渠道合法的证明文件：包括但不限于销售协议、代理协议、原厂授权等），符合国家有关标准要求，并满足招标文件规定的规格、参数、质量、价格、有效期、售后服务及投标人须承担的运输、安装、技术支持、培训和招标文件规定的其它伴随服务等要求。</w:t>
      </w:r>
    </w:p>
    <w:p>
      <w:pPr>
        <w:pStyle w:val="5"/>
        <w:ind w:firstLine="480"/>
        <w:rPr>
          <w:color w:val="auto"/>
          <w:highlight w:val="none"/>
        </w:rPr>
      </w:pPr>
      <w:r>
        <w:rPr>
          <w:rFonts w:hint="eastAsia"/>
          <w:color w:val="auto"/>
          <w:highlight w:val="none"/>
        </w:rPr>
        <w:t>4.2采购人有权拒绝接受任何不合格的产品和服务，由此产生的费用及相关后果均由投标人自行承担。</w:t>
      </w:r>
    </w:p>
    <w:p>
      <w:pPr>
        <w:pStyle w:val="2"/>
        <w:rPr>
          <w:color w:val="auto"/>
          <w:highlight w:val="none"/>
        </w:rPr>
      </w:pPr>
      <w:bookmarkStart w:id="39" w:name="_Toc32166"/>
      <w:bookmarkStart w:id="40" w:name="_Toc16465"/>
      <w:r>
        <w:rPr>
          <w:rFonts w:hint="eastAsia"/>
          <w:color w:val="auto"/>
          <w:highlight w:val="none"/>
        </w:rPr>
        <w:t>5.投标人信用记录查询及使用</w:t>
      </w:r>
      <w:bookmarkEnd w:id="39"/>
      <w:bookmarkEnd w:id="40"/>
    </w:p>
    <w:p>
      <w:pPr>
        <w:pStyle w:val="5"/>
        <w:ind w:firstLine="480"/>
        <w:rPr>
          <w:color w:val="auto"/>
          <w:highlight w:val="none"/>
        </w:rPr>
      </w:pPr>
      <w:r>
        <w:rPr>
          <w:rFonts w:hint="eastAsia"/>
          <w:color w:val="auto"/>
          <w:highlight w:val="none"/>
        </w:rPr>
        <w:t xml:space="preserve">5.1“信用中国”网站（www.creditchina.gov.cn）和“中国政府采购网”（ccgp.gov.cn）为投标人信用信息查询渠道，如果投标人被查实在投标截止时间前已列入失信被执行人、重大税收违法案件当事人名单、政府采购严重违法失信行为记录名单，其投标为无效。采购代理机构将打印查询记录作为证据留存。 </w:t>
      </w:r>
    </w:p>
    <w:p>
      <w:pPr>
        <w:pStyle w:val="5"/>
        <w:ind w:firstLine="480"/>
        <w:rPr>
          <w:color w:val="auto"/>
          <w:highlight w:val="none"/>
        </w:rPr>
      </w:pPr>
      <w:r>
        <w:rPr>
          <w:rFonts w:hint="eastAsia"/>
          <w:color w:val="auto"/>
          <w:highlight w:val="none"/>
        </w:rPr>
        <w:t>5.2投标人在参加政府采购活动前3年内因违法经营被禁止在一定期限内参加政府采购活动，期限届满的，可以参加政府采购活动的，但投标人应提供相关证明材料。</w:t>
      </w:r>
    </w:p>
    <w:p>
      <w:pPr>
        <w:pStyle w:val="2"/>
        <w:rPr>
          <w:color w:val="auto"/>
          <w:highlight w:val="none"/>
        </w:rPr>
      </w:pPr>
      <w:r>
        <w:rPr>
          <w:rFonts w:hint="eastAsia"/>
          <w:color w:val="auto"/>
          <w:highlight w:val="none"/>
        </w:rPr>
        <w:t>6.投标文件内容的真实性</w:t>
      </w:r>
    </w:p>
    <w:p>
      <w:pPr>
        <w:pStyle w:val="5"/>
        <w:ind w:firstLine="480"/>
        <w:rPr>
          <w:color w:val="auto"/>
          <w:highlight w:val="none"/>
        </w:rPr>
      </w:pPr>
      <w:r>
        <w:rPr>
          <w:rFonts w:hint="eastAsia"/>
          <w:color w:val="auto"/>
          <w:highlight w:val="none"/>
        </w:rPr>
        <w:t>6.1投标人应保证其投标文件中所提供的所有投标资料、信息是真实的，并且来源于合法的渠道。因投标文件中所提供的投标资料、信息不真实或者其来源不合法而导致的所有法律责任，由投标人自行承担。</w:t>
      </w:r>
    </w:p>
    <w:p>
      <w:pPr>
        <w:pStyle w:val="4"/>
        <w:rPr>
          <w:color w:val="auto"/>
          <w:highlight w:val="none"/>
        </w:rPr>
      </w:pPr>
      <w:bookmarkStart w:id="41" w:name="_Toc22646"/>
      <w:bookmarkStart w:id="42" w:name="_Toc2698"/>
      <w:bookmarkStart w:id="43" w:name="_Toc363473973"/>
      <w:bookmarkStart w:id="44" w:name="_Toc363474018"/>
      <w:bookmarkStart w:id="45" w:name="_Toc403077640"/>
      <w:r>
        <w:rPr>
          <w:rFonts w:hint="eastAsia"/>
          <w:color w:val="auto"/>
          <w:highlight w:val="none"/>
        </w:rPr>
        <w:t>二.招标文件</w:t>
      </w:r>
      <w:bookmarkEnd w:id="41"/>
      <w:bookmarkEnd w:id="42"/>
      <w:bookmarkEnd w:id="43"/>
      <w:bookmarkEnd w:id="44"/>
      <w:bookmarkEnd w:id="45"/>
    </w:p>
    <w:p>
      <w:pPr>
        <w:pStyle w:val="2"/>
        <w:rPr>
          <w:color w:val="auto"/>
          <w:highlight w:val="none"/>
        </w:rPr>
      </w:pPr>
      <w:bookmarkStart w:id="46" w:name="_Toc23312"/>
      <w:bookmarkStart w:id="47" w:name="_Toc31372"/>
      <w:r>
        <w:rPr>
          <w:rFonts w:hint="eastAsia"/>
          <w:color w:val="auto"/>
          <w:highlight w:val="none"/>
        </w:rPr>
        <w:t>7.招标文件构成</w:t>
      </w:r>
      <w:bookmarkEnd w:id="46"/>
      <w:bookmarkEnd w:id="47"/>
    </w:p>
    <w:p>
      <w:pPr>
        <w:pStyle w:val="5"/>
        <w:ind w:firstLine="480"/>
        <w:rPr>
          <w:color w:val="auto"/>
          <w:highlight w:val="none"/>
        </w:rPr>
      </w:pPr>
      <w:r>
        <w:rPr>
          <w:rFonts w:hint="eastAsia"/>
          <w:color w:val="auto"/>
          <w:highlight w:val="none"/>
        </w:rPr>
        <w:t>7.1 招标文件要求提供的货物、服务，招标程序和合同条件在招标文件中均有说明。招标文件共六章，内容如下：</w:t>
      </w:r>
    </w:p>
    <w:p>
      <w:pPr>
        <w:pStyle w:val="5"/>
        <w:ind w:firstLine="480"/>
        <w:rPr>
          <w:color w:val="auto"/>
          <w:highlight w:val="none"/>
        </w:rPr>
      </w:pPr>
      <w:r>
        <w:rPr>
          <w:rFonts w:hint="eastAsia"/>
          <w:color w:val="auto"/>
          <w:highlight w:val="none"/>
        </w:rPr>
        <w:t>第一章 招标公告</w:t>
      </w:r>
    </w:p>
    <w:p>
      <w:pPr>
        <w:pStyle w:val="5"/>
        <w:ind w:firstLine="480"/>
        <w:rPr>
          <w:color w:val="auto"/>
          <w:highlight w:val="none"/>
        </w:rPr>
      </w:pPr>
      <w:r>
        <w:rPr>
          <w:rFonts w:hint="eastAsia"/>
          <w:color w:val="auto"/>
          <w:highlight w:val="none"/>
        </w:rPr>
        <w:t>第二章 投标人须知</w:t>
      </w:r>
    </w:p>
    <w:p>
      <w:pPr>
        <w:pStyle w:val="5"/>
        <w:ind w:firstLine="480"/>
        <w:rPr>
          <w:color w:val="auto"/>
          <w:highlight w:val="none"/>
        </w:rPr>
      </w:pPr>
      <w:r>
        <w:rPr>
          <w:rFonts w:hint="eastAsia"/>
          <w:color w:val="auto"/>
          <w:highlight w:val="none"/>
        </w:rPr>
        <w:t>第三章 商务及合同主要条款</w:t>
      </w:r>
    </w:p>
    <w:p>
      <w:pPr>
        <w:pStyle w:val="5"/>
        <w:ind w:firstLine="480"/>
        <w:rPr>
          <w:color w:val="auto"/>
          <w:highlight w:val="none"/>
        </w:rPr>
      </w:pPr>
      <w:r>
        <w:rPr>
          <w:rFonts w:hint="eastAsia"/>
          <w:color w:val="auto"/>
          <w:highlight w:val="none"/>
        </w:rPr>
        <w:t>第四章 采购内容及技术要求</w:t>
      </w:r>
    </w:p>
    <w:p>
      <w:pPr>
        <w:pStyle w:val="5"/>
        <w:ind w:firstLine="480"/>
        <w:rPr>
          <w:color w:val="auto"/>
          <w:highlight w:val="none"/>
        </w:rPr>
      </w:pPr>
      <w:r>
        <w:rPr>
          <w:rFonts w:hint="eastAsia"/>
          <w:color w:val="auto"/>
          <w:highlight w:val="none"/>
        </w:rPr>
        <w:t>第五章 评标办法</w:t>
      </w:r>
    </w:p>
    <w:p>
      <w:pPr>
        <w:pStyle w:val="5"/>
        <w:ind w:firstLine="480"/>
        <w:rPr>
          <w:color w:val="auto"/>
          <w:highlight w:val="none"/>
        </w:rPr>
      </w:pPr>
      <w:r>
        <w:rPr>
          <w:rFonts w:hint="eastAsia"/>
          <w:color w:val="auto"/>
          <w:highlight w:val="none"/>
        </w:rPr>
        <w:t xml:space="preserve">第六章 投标文件构成及格式  </w:t>
      </w:r>
    </w:p>
    <w:p>
      <w:pPr>
        <w:pStyle w:val="5"/>
        <w:ind w:firstLine="480"/>
        <w:rPr>
          <w:color w:val="auto"/>
          <w:highlight w:val="none"/>
        </w:rPr>
      </w:pPr>
      <w:r>
        <w:rPr>
          <w:rFonts w:hint="eastAsia"/>
          <w:color w:val="auto"/>
          <w:highlight w:val="none"/>
        </w:rPr>
        <w:t>7.2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pStyle w:val="5"/>
        <w:ind w:firstLine="480"/>
        <w:rPr>
          <w:color w:val="auto"/>
          <w:highlight w:val="none"/>
        </w:rPr>
      </w:pPr>
      <w:r>
        <w:rPr>
          <w:rFonts w:hint="eastAsia"/>
          <w:color w:val="auto"/>
          <w:highlight w:val="none"/>
        </w:rPr>
        <w:t>7.3本招标文件的解释权归陕西正鸿招标有限公司，如发现招标文件内容与现行法律法规不相符的情况，以现行法律法规为准。</w:t>
      </w:r>
    </w:p>
    <w:p>
      <w:pPr>
        <w:pStyle w:val="2"/>
        <w:rPr>
          <w:color w:val="auto"/>
          <w:highlight w:val="none"/>
        </w:rPr>
      </w:pPr>
      <w:bookmarkStart w:id="48" w:name="_Toc19868"/>
      <w:bookmarkStart w:id="49" w:name="_Toc616"/>
      <w:r>
        <w:rPr>
          <w:rFonts w:hint="eastAsia"/>
          <w:color w:val="auto"/>
          <w:highlight w:val="none"/>
        </w:rPr>
        <w:t>8.招标文件的澄清修改及询问</w:t>
      </w:r>
      <w:bookmarkEnd w:id="48"/>
      <w:bookmarkEnd w:id="49"/>
    </w:p>
    <w:p>
      <w:pPr>
        <w:pStyle w:val="5"/>
        <w:ind w:firstLine="480"/>
        <w:rPr>
          <w:color w:val="auto"/>
          <w:highlight w:val="none"/>
        </w:rPr>
      </w:pPr>
      <w:r>
        <w:rPr>
          <w:rFonts w:hint="eastAsia"/>
          <w:color w:val="auto"/>
          <w:highlight w:val="none"/>
        </w:rPr>
        <w:t>8.1采购人或采购代理机构如果对已发出的招标文件进行必要的澄清或者修改，将在原公告发布媒体上发布澄清公告。澄清或者修改的内容为招标文件的组成部分。</w:t>
      </w:r>
    </w:p>
    <w:p>
      <w:pPr>
        <w:pStyle w:val="5"/>
        <w:ind w:firstLine="480"/>
        <w:rPr>
          <w:color w:val="auto"/>
          <w:highlight w:val="none"/>
        </w:rPr>
      </w:pPr>
      <w:r>
        <w:rPr>
          <w:rFonts w:hint="eastAsia"/>
          <w:color w:val="auto"/>
          <w:highlight w:val="none"/>
        </w:rPr>
        <w:t>8.2澄清或者修改的内容可能影响投标文件编制的，采购代理机构将在投标截止时间至少15日前，以书面形式通知所有获取招标文件的潜在投标人；不足15日的，采购代理机构将顺延提交投标文件的截止时间。</w:t>
      </w:r>
    </w:p>
    <w:p>
      <w:pPr>
        <w:pStyle w:val="5"/>
        <w:ind w:firstLine="480"/>
        <w:rPr>
          <w:color w:val="auto"/>
          <w:highlight w:val="none"/>
        </w:rPr>
      </w:pPr>
      <w:r>
        <w:rPr>
          <w:rFonts w:hint="eastAsia"/>
          <w:color w:val="auto"/>
          <w:highlight w:val="none"/>
        </w:rPr>
        <w:t>8.3已经购买招标文件的投标人对招标文件有疑问的，均应在购买招标文件后7个工作日内以书面形式向采购代理机构提出，采购代理机构将在3个工作日内采用适当方式予以澄清或以书面形式予以答复。</w:t>
      </w:r>
    </w:p>
    <w:p>
      <w:pPr>
        <w:pStyle w:val="5"/>
        <w:ind w:firstLine="480"/>
        <w:rPr>
          <w:color w:val="auto"/>
          <w:highlight w:val="none"/>
        </w:rPr>
      </w:pPr>
      <w:r>
        <w:rPr>
          <w:rFonts w:hint="eastAsia"/>
          <w:color w:val="auto"/>
          <w:highlight w:val="none"/>
        </w:rPr>
        <w:t>8.4投标人在收到上述通知后，应立即向采购代理机构回函确认。</w:t>
      </w:r>
    </w:p>
    <w:p>
      <w:pPr>
        <w:pStyle w:val="4"/>
        <w:rPr>
          <w:color w:val="auto"/>
          <w:highlight w:val="none"/>
        </w:rPr>
      </w:pPr>
      <w:bookmarkStart w:id="50" w:name="_Toc20329"/>
      <w:bookmarkStart w:id="51" w:name="_Toc363473974"/>
      <w:bookmarkStart w:id="52" w:name="_Toc363474019"/>
      <w:bookmarkStart w:id="53" w:name="_Toc13455"/>
      <w:bookmarkStart w:id="54" w:name="_Toc403077641"/>
      <w:r>
        <w:rPr>
          <w:rFonts w:hint="eastAsia"/>
          <w:color w:val="auto"/>
          <w:highlight w:val="none"/>
        </w:rPr>
        <w:t>三.投标文件的编制</w:t>
      </w:r>
      <w:bookmarkEnd w:id="50"/>
      <w:bookmarkEnd w:id="51"/>
      <w:bookmarkEnd w:id="52"/>
      <w:bookmarkEnd w:id="53"/>
      <w:bookmarkEnd w:id="54"/>
    </w:p>
    <w:p>
      <w:pPr>
        <w:pStyle w:val="2"/>
        <w:rPr>
          <w:color w:val="auto"/>
          <w:highlight w:val="none"/>
        </w:rPr>
      </w:pPr>
      <w:bookmarkStart w:id="55" w:name="_Toc28123"/>
      <w:bookmarkStart w:id="56" w:name="_Toc17188"/>
      <w:r>
        <w:rPr>
          <w:rFonts w:hint="eastAsia"/>
          <w:color w:val="auto"/>
          <w:highlight w:val="none"/>
        </w:rPr>
        <w:t>9. 投标语言和投标货币</w:t>
      </w:r>
      <w:bookmarkEnd w:id="55"/>
      <w:bookmarkEnd w:id="56"/>
    </w:p>
    <w:p>
      <w:pPr>
        <w:pStyle w:val="5"/>
        <w:ind w:firstLine="480"/>
        <w:rPr>
          <w:color w:val="auto"/>
          <w:highlight w:val="none"/>
        </w:rPr>
      </w:pPr>
      <w:r>
        <w:rPr>
          <w:rFonts w:hint="eastAsia"/>
          <w:color w:val="auto"/>
          <w:highlight w:val="none"/>
        </w:rPr>
        <w:t>9.1投标人提交的投标文件以及投标人与采购代理机构就有关投标的所有来往函电均应使用中文。</w:t>
      </w:r>
    </w:p>
    <w:p>
      <w:pPr>
        <w:pStyle w:val="5"/>
        <w:ind w:firstLine="480"/>
        <w:rPr>
          <w:color w:val="auto"/>
          <w:highlight w:val="none"/>
        </w:rPr>
      </w:pPr>
      <w:r>
        <w:rPr>
          <w:rFonts w:hint="eastAsia"/>
          <w:color w:val="auto"/>
          <w:highlight w:val="none"/>
        </w:rPr>
        <w:t>9.2投标应以人民币报价。任何包含非人民币报价的投标将按无效投标处理。</w:t>
      </w:r>
    </w:p>
    <w:p>
      <w:pPr>
        <w:pStyle w:val="2"/>
        <w:rPr>
          <w:color w:val="auto"/>
          <w:highlight w:val="none"/>
        </w:rPr>
      </w:pPr>
      <w:bookmarkStart w:id="57" w:name="_Toc10386"/>
      <w:bookmarkStart w:id="58" w:name="_Toc3979"/>
      <w:r>
        <w:rPr>
          <w:rFonts w:hint="eastAsia"/>
          <w:color w:val="auto"/>
          <w:highlight w:val="none"/>
        </w:rPr>
        <w:t>10.投标文件的构成</w:t>
      </w:r>
      <w:bookmarkEnd w:id="57"/>
      <w:bookmarkEnd w:id="58"/>
    </w:p>
    <w:p>
      <w:pPr>
        <w:pStyle w:val="5"/>
        <w:ind w:firstLine="480"/>
        <w:rPr>
          <w:color w:val="auto"/>
          <w:highlight w:val="none"/>
        </w:rPr>
      </w:pPr>
      <w:r>
        <w:rPr>
          <w:rFonts w:hint="eastAsia"/>
          <w:color w:val="auto"/>
          <w:highlight w:val="none"/>
        </w:rPr>
        <w:t>10.1 投标人提交的投标文件应包括下列部分的内容：</w:t>
      </w:r>
    </w:p>
    <w:p>
      <w:pPr>
        <w:pStyle w:val="5"/>
        <w:ind w:firstLine="480"/>
        <w:rPr>
          <w:color w:val="auto"/>
          <w:highlight w:val="none"/>
        </w:rPr>
      </w:pPr>
      <w:r>
        <w:rPr>
          <w:rFonts w:hint="eastAsia"/>
          <w:color w:val="auto"/>
          <w:highlight w:val="none"/>
        </w:rPr>
        <w:t>（1）按照投标人须知的要求和招标文件规定的格式填写的投标函、投标报价表、法定代表人授权书。</w:t>
      </w:r>
    </w:p>
    <w:p>
      <w:pPr>
        <w:pStyle w:val="5"/>
        <w:ind w:firstLine="480"/>
        <w:rPr>
          <w:color w:val="auto"/>
          <w:highlight w:val="none"/>
        </w:rPr>
      </w:pPr>
      <w:r>
        <w:rPr>
          <w:rFonts w:hint="eastAsia"/>
          <w:color w:val="auto"/>
          <w:highlight w:val="none"/>
        </w:rPr>
        <w:t>（2）按照招标文件的要求编制的投标方案说明书，内容至少应包括组织实施计划和服务的详细说明，技术规格响应表，生产厂家确认的、相应的产品功能证明材料（包括但不限于测试报告、官网和功能截图等），质量保证，安装调试方案说明，人员配备和售后服务承诺等；</w:t>
      </w:r>
    </w:p>
    <w:p>
      <w:pPr>
        <w:pStyle w:val="5"/>
        <w:ind w:firstLine="480"/>
        <w:rPr>
          <w:color w:val="auto"/>
          <w:highlight w:val="none"/>
        </w:rPr>
      </w:pPr>
      <w:r>
        <w:rPr>
          <w:rFonts w:hint="eastAsia"/>
          <w:color w:val="auto"/>
          <w:highlight w:val="none"/>
        </w:rPr>
        <w:t xml:space="preserve">（3）按照招标文件投标人须知前附表的要求提交的资格证明文件；  </w:t>
      </w:r>
    </w:p>
    <w:p>
      <w:pPr>
        <w:pStyle w:val="5"/>
        <w:ind w:firstLine="480"/>
        <w:rPr>
          <w:color w:val="auto"/>
          <w:highlight w:val="none"/>
        </w:rPr>
      </w:pPr>
      <w:r>
        <w:rPr>
          <w:rFonts w:hint="eastAsia"/>
          <w:color w:val="auto"/>
          <w:highlight w:val="none"/>
        </w:rPr>
        <w:t>（4）按照本须知第15条要求提交的投标保证金（如有）；</w:t>
      </w:r>
    </w:p>
    <w:p>
      <w:pPr>
        <w:pStyle w:val="5"/>
        <w:ind w:firstLine="480"/>
        <w:rPr>
          <w:color w:val="auto"/>
          <w:highlight w:val="none"/>
        </w:rPr>
      </w:pPr>
      <w:r>
        <w:rPr>
          <w:rFonts w:hint="eastAsia"/>
          <w:color w:val="auto"/>
          <w:highlight w:val="none"/>
        </w:rPr>
        <w:t>（5）招标文件中要求的其他证明文件。</w:t>
      </w:r>
    </w:p>
    <w:p>
      <w:pPr>
        <w:pStyle w:val="5"/>
        <w:ind w:firstLine="480"/>
        <w:rPr>
          <w:color w:val="auto"/>
          <w:highlight w:val="none"/>
        </w:rPr>
      </w:pPr>
      <w:r>
        <w:rPr>
          <w:rFonts w:hint="eastAsia"/>
          <w:color w:val="auto"/>
          <w:highlight w:val="none"/>
        </w:rPr>
        <w:t>10.2 如果在招标文件中没有允许提供备选方案，则每个投标人只允许提交一个投标方案，否则，其投标将按照无效投标处理。</w:t>
      </w:r>
    </w:p>
    <w:p>
      <w:pPr>
        <w:pStyle w:val="5"/>
        <w:ind w:firstLine="480"/>
        <w:rPr>
          <w:color w:val="auto"/>
          <w:highlight w:val="none"/>
        </w:rPr>
      </w:pPr>
      <w:r>
        <w:rPr>
          <w:rFonts w:hint="eastAsia"/>
          <w:color w:val="auto"/>
          <w:highlight w:val="none"/>
        </w:rPr>
        <w:t>10.3 本次投标的最小单元：见投标人须知前附表，投标人可根据自身的资质情况和经营范围进行投标，但不得将其子目自行分解或针对品目进行不完全投标，任何不完全的投标将按无效投标处理。</w:t>
      </w:r>
    </w:p>
    <w:p>
      <w:pPr>
        <w:pStyle w:val="2"/>
        <w:rPr>
          <w:color w:val="auto"/>
          <w:highlight w:val="none"/>
        </w:rPr>
      </w:pPr>
      <w:bookmarkStart w:id="59" w:name="_Toc762"/>
      <w:bookmarkStart w:id="60" w:name="_Toc14995"/>
      <w:r>
        <w:rPr>
          <w:rFonts w:hint="eastAsia"/>
          <w:color w:val="auto"/>
          <w:highlight w:val="none"/>
        </w:rPr>
        <w:t>11.投标文件格式</w:t>
      </w:r>
      <w:bookmarkEnd w:id="59"/>
      <w:bookmarkEnd w:id="60"/>
    </w:p>
    <w:p>
      <w:pPr>
        <w:pStyle w:val="5"/>
        <w:ind w:firstLine="480"/>
        <w:rPr>
          <w:color w:val="auto"/>
          <w:highlight w:val="none"/>
        </w:rPr>
      </w:pPr>
      <w:r>
        <w:rPr>
          <w:rFonts w:hint="eastAsia"/>
          <w:color w:val="auto"/>
          <w:highlight w:val="none"/>
        </w:rPr>
        <w:t>11.1 投标人应按照招标文件中第六章所提供的格式和要求制作投标文件，明确表达投标意愿，详细说明投标方案、承诺及价格。</w:t>
      </w:r>
    </w:p>
    <w:p>
      <w:pPr>
        <w:pStyle w:val="5"/>
        <w:ind w:firstLine="480"/>
        <w:rPr>
          <w:color w:val="auto"/>
          <w:highlight w:val="none"/>
        </w:rPr>
      </w:pPr>
      <w:r>
        <w:rPr>
          <w:rFonts w:hint="eastAsia"/>
          <w:color w:val="auto"/>
          <w:highlight w:val="none"/>
        </w:rPr>
        <w:t>11.2投标人应完整地提供招标文件要求的所有数据和资料。</w:t>
      </w:r>
    </w:p>
    <w:p>
      <w:pPr>
        <w:pStyle w:val="2"/>
        <w:rPr>
          <w:color w:val="auto"/>
          <w:highlight w:val="none"/>
        </w:rPr>
      </w:pPr>
      <w:bookmarkStart w:id="61" w:name="_Toc11786"/>
      <w:bookmarkStart w:id="62" w:name="_Toc24246"/>
      <w:r>
        <w:rPr>
          <w:rFonts w:hint="eastAsia"/>
          <w:color w:val="auto"/>
          <w:highlight w:val="none"/>
        </w:rPr>
        <w:t>12.投标报价</w:t>
      </w:r>
      <w:bookmarkEnd w:id="61"/>
      <w:bookmarkEnd w:id="62"/>
    </w:p>
    <w:p>
      <w:pPr>
        <w:pStyle w:val="5"/>
        <w:ind w:firstLine="480"/>
        <w:rPr>
          <w:color w:val="auto"/>
          <w:highlight w:val="none"/>
        </w:rPr>
      </w:pPr>
      <w:r>
        <w:rPr>
          <w:rFonts w:hint="eastAsia"/>
          <w:color w:val="auto"/>
          <w:highlight w:val="none"/>
        </w:rPr>
        <w:t>12.1投标报价：见投标人须知前附表。</w:t>
      </w:r>
    </w:p>
    <w:p>
      <w:pPr>
        <w:pStyle w:val="5"/>
        <w:ind w:firstLine="480"/>
        <w:rPr>
          <w:color w:val="auto"/>
          <w:highlight w:val="none"/>
        </w:rPr>
      </w:pPr>
      <w:r>
        <w:rPr>
          <w:rFonts w:hint="eastAsia"/>
          <w:color w:val="auto"/>
          <w:highlight w:val="none"/>
        </w:rPr>
        <w:t>12.2投标报价表中标明的价格应为履行合同的固定价格，不得以任何理由予以变更。以可调整的价格提交的投标文件将按无效投标处理。</w:t>
      </w:r>
    </w:p>
    <w:p>
      <w:pPr>
        <w:pStyle w:val="2"/>
        <w:rPr>
          <w:color w:val="auto"/>
          <w:highlight w:val="none"/>
        </w:rPr>
      </w:pPr>
      <w:bookmarkStart w:id="63" w:name="_Toc16591"/>
      <w:bookmarkStart w:id="64" w:name="_Toc12340"/>
      <w:r>
        <w:rPr>
          <w:rFonts w:hint="eastAsia"/>
          <w:color w:val="auto"/>
          <w:highlight w:val="none"/>
        </w:rPr>
        <w:t>13.证明投标人合格和资格的文件</w:t>
      </w:r>
      <w:bookmarkEnd w:id="63"/>
      <w:bookmarkEnd w:id="64"/>
    </w:p>
    <w:p>
      <w:pPr>
        <w:pStyle w:val="5"/>
        <w:ind w:firstLine="480"/>
        <w:rPr>
          <w:color w:val="auto"/>
          <w:highlight w:val="none"/>
        </w:rPr>
      </w:pPr>
      <w:r>
        <w:rPr>
          <w:rFonts w:hint="eastAsia"/>
          <w:color w:val="auto"/>
          <w:highlight w:val="none"/>
        </w:rPr>
        <w:t>13.1投标人应按照招标文件“投标人须知前附表”的要求，在投标文件中提交合格的资格证明文件。如果资格证明文件不齐全或不合格的，其投标将按无效投标处理。</w:t>
      </w:r>
    </w:p>
    <w:p>
      <w:pPr>
        <w:pStyle w:val="2"/>
        <w:rPr>
          <w:color w:val="auto"/>
          <w:highlight w:val="none"/>
        </w:rPr>
      </w:pPr>
      <w:bookmarkStart w:id="65" w:name="_Toc13420"/>
      <w:bookmarkStart w:id="66" w:name="_Toc18707"/>
      <w:r>
        <w:rPr>
          <w:rFonts w:hint="eastAsia"/>
          <w:color w:val="auto"/>
          <w:highlight w:val="none"/>
        </w:rPr>
        <w:t>14.证明货物（含伴随服务）符合招标文件规定的文件</w:t>
      </w:r>
      <w:bookmarkEnd w:id="65"/>
      <w:bookmarkEnd w:id="66"/>
    </w:p>
    <w:p>
      <w:pPr>
        <w:pStyle w:val="5"/>
        <w:ind w:firstLine="480"/>
        <w:rPr>
          <w:color w:val="auto"/>
          <w:highlight w:val="none"/>
        </w:rPr>
      </w:pPr>
      <w:r>
        <w:rPr>
          <w:rFonts w:hint="eastAsia"/>
          <w:color w:val="auto"/>
          <w:highlight w:val="none"/>
        </w:rPr>
        <w:t>14.1投标人应在投标文件中提交产品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pStyle w:val="5"/>
        <w:ind w:firstLine="480"/>
        <w:rPr>
          <w:color w:val="auto"/>
          <w:highlight w:val="none"/>
        </w:rPr>
      </w:pPr>
      <w:r>
        <w:rPr>
          <w:rFonts w:hint="eastAsia"/>
          <w:color w:val="auto"/>
          <w:highlight w:val="none"/>
        </w:rPr>
        <w:t>14.2上述证明文件可以是文字资料、图纸、图片、数据、宣传彩页等，所有证明文件表达意思必须统一（如需投标人提供样品，样品必须与投标文件的表述完全符合）。包括：</w:t>
      </w:r>
    </w:p>
    <w:p>
      <w:pPr>
        <w:pStyle w:val="5"/>
        <w:ind w:firstLine="480"/>
        <w:rPr>
          <w:color w:val="auto"/>
          <w:highlight w:val="none"/>
        </w:rPr>
      </w:pPr>
      <w:r>
        <w:rPr>
          <w:rFonts w:hint="eastAsia"/>
          <w:color w:val="auto"/>
          <w:highlight w:val="none"/>
        </w:rPr>
        <w:t>（1)产品主要技术指标和性能的详细说明；</w:t>
      </w:r>
    </w:p>
    <w:p>
      <w:pPr>
        <w:pStyle w:val="5"/>
        <w:ind w:firstLine="480"/>
        <w:rPr>
          <w:color w:val="auto"/>
          <w:highlight w:val="none"/>
        </w:rPr>
      </w:pPr>
      <w:r>
        <w:rPr>
          <w:rFonts w:hint="eastAsia"/>
          <w:color w:val="auto"/>
          <w:highlight w:val="none"/>
        </w:rPr>
        <w:t>（2）生产厂家出具的、相应的产品功能证明材料（包括但不限于测试报告、官网和功能截图等）；</w:t>
      </w:r>
    </w:p>
    <w:p>
      <w:pPr>
        <w:pStyle w:val="5"/>
        <w:ind w:firstLine="480"/>
        <w:rPr>
          <w:color w:val="auto"/>
          <w:highlight w:val="none"/>
        </w:rPr>
      </w:pPr>
      <w:r>
        <w:rPr>
          <w:rFonts w:hint="eastAsia"/>
          <w:color w:val="auto"/>
          <w:highlight w:val="none"/>
        </w:rPr>
        <w:t>（3)逐条对招标文件提出的技术要求和商务要求进行应答，说明所提供的产品和服务对招标的技术和商务要求是否做出了实质性响应并提供支持文件；</w:t>
      </w:r>
    </w:p>
    <w:p>
      <w:pPr>
        <w:pStyle w:val="5"/>
        <w:ind w:firstLine="480"/>
        <w:rPr>
          <w:color w:val="auto"/>
          <w:highlight w:val="none"/>
        </w:rPr>
      </w:pPr>
      <w:r>
        <w:rPr>
          <w:rFonts w:hint="eastAsia"/>
          <w:color w:val="auto"/>
          <w:highlight w:val="none"/>
        </w:rPr>
        <w:t>（4）供货范围和服务内容的详细说明。</w:t>
      </w:r>
    </w:p>
    <w:p>
      <w:pPr>
        <w:pStyle w:val="2"/>
        <w:rPr>
          <w:color w:val="auto"/>
          <w:highlight w:val="none"/>
        </w:rPr>
      </w:pPr>
      <w:bookmarkStart w:id="67" w:name="_Toc25614"/>
      <w:bookmarkStart w:id="68" w:name="_Toc15245"/>
      <w:r>
        <w:rPr>
          <w:rFonts w:hint="eastAsia"/>
          <w:color w:val="auto"/>
          <w:highlight w:val="none"/>
        </w:rPr>
        <w:t>15.投标保证金</w:t>
      </w:r>
      <w:bookmarkEnd w:id="67"/>
      <w:bookmarkEnd w:id="68"/>
    </w:p>
    <w:p>
      <w:pPr>
        <w:pStyle w:val="5"/>
        <w:ind w:firstLine="480"/>
        <w:rPr>
          <w:color w:val="auto"/>
          <w:highlight w:val="none"/>
        </w:rPr>
      </w:pPr>
      <w:r>
        <w:rPr>
          <w:rFonts w:hint="eastAsia"/>
          <w:color w:val="auto"/>
          <w:highlight w:val="none"/>
        </w:rPr>
        <w:t>本项目不要求提供投标保证金。</w:t>
      </w:r>
    </w:p>
    <w:p>
      <w:pPr>
        <w:pStyle w:val="2"/>
        <w:rPr>
          <w:color w:val="auto"/>
          <w:highlight w:val="none"/>
        </w:rPr>
      </w:pPr>
      <w:bookmarkStart w:id="69" w:name="_Toc22340"/>
      <w:bookmarkStart w:id="70" w:name="_Toc12595"/>
      <w:bookmarkStart w:id="71" w:name="_Toc363474020"/>
      <w:bookmarkStart w:id="72" w:name="_Toc403077642"/>
      <w:bookmarkStart w:id="73" w:name="_Toc363473975"/>
      <w:r>
        <w:rPr>
          <w:rFonts w:hint="eastAsia"/>
          <w:color w:val="auto"/>
          <w:highlight w:val="none"/>
        </w:rPr>
        <w:t>16.投标有效期</w:t>
      </w:r>
      <w:bookmarkEnd w:id="69"/>
      <w:bookmarkEnd w:id="70"/>
    </w:p>
    <w:p>
      <w:pPr>
        <w:pStyle w:val="5"/>
        <w:ind w:firstLine="480"/>
        <w:rPr>
          <w:color w:val="auto"/>
          <w:highlight w:val="none"/>
        </w:rPr>
      </w:pPr>
      <w:r>
        <w:rPr>
          <w:rFonts w:hint="eastAsia"/>
          <w:color w:val="auto"/>
          <w:highlight w:val="none"/>
        </w:rPr>
        <w:t>16.1投标有效期：见投标人须知前附表。投标文件应在投标有效期内保持有效。投标有效期不满足规定有效期的投标文件将被视为无效投标而拒绝。</w:t>
      </w:r>
    </w:p>
    <w:p>
      <w:pPr>
        <w:pStyle w:val="5"/>
        <w:ind w:firstLine="480"/>
        <w:rPr>
          <w:color w:val="auto"/>
          <w:highlight w:val="none"/>
        </w:rPr>
      </w:pPr>
      <w:r>
        <w:rPr>
          <w:rFonts w:hint="eastAsia"/>
          <w:color w:val="auto"/>
          <w:highlight w:val="none"/>
        </w:rPr>
        <w:t>16.2特殊情况下，在原投标有效期期满之前，采购代理机构可向投标人提出延长投标有效期的要求。这种要求与答复均应以书面的形式。投标人可以拒绝采购代理机构的这种要求,其投标保证金（如有）也不被没收。同意延长的投标人既不能要求也不允许修改其投标文件，但要相应延长其投标保证金（如有）的有效期。在这种情况下，本章第15条有关投标保证金（如有）的退还和没收的规定将在延长了的有效期内继续有效。</w:t>
      </w:r>
    </w:p>
    <w:p>
      <w:pPr>
        <w:pStyle w:val="2"/>
        <w:rPr>
          <w:color w:val="auto"/>
          <w:highlight w:val="none"/>
        </w:rPr>
      </w:pPr>
      <w:bookmarkStart w:id="74" w:name="_Toc4703"/>
      <w:bookmarkStart w:id="75" w:name="_Toc23636"/>
      <w:r>
        <w:rPr>
          <w:rFonts w:hint="eastAsia"/>
          <w:color w:val="auto"/>
          <w:highlight w:val="none"/>
        </w:rPr>
        <w:t>17.投标文件的式样和签署</w:t>
      </w:r>
      <w:bookmarkEnd w:id="74"/>
      <w:bookmarkEnd w:id="75"/>
    </w:p>
    <w:p>
      <w:pPr>
        <w:pStyle w:val="5"/>
        <w:ind w:firstLine="480"/>
        <w:rPr>
          <w:color w:val="auto"/>
          <w:highlight w:val="none"/>
        </w:rPr>
      </w:pPr>
      <w:r>
        <w:rPr>
          <w:rFonts w:hint="eastAsia"/>
          <w:color w:val="auto"/>
          <w:highlight w:val="none"/>
        </w:rPr>
        <w:t>17.1投标文件份数及要求详见“投标人须知前附表”。</w:t>
      </w:r>
    </w:p>
    <w:p>
      <w:pPr>
        <w:pStyle w:val="5"/>
        <w:ind w:firstLine="480"/>
        <w:rPr>
          <w:color w:val="auto"/>
          <w:highlight w:val="none"/>
        </w:rPr>
      </w:pPr>
      <w:r>
        <w:rPr>
          <w:rFonts w:hint="eastAsia"/>
          <w:color w:val="auto"/>
          <w:highlight w:val="none"/>
        </w:rPr>
        <w:t>17.2投标文件应由投标人的法定代表人或被授权人按招标文件的规定签署（招标文件要求投标文件中签章的统一为签字或盖章），具体要求详见“投标人须知前附表”。</w:t>
      </w:r>
    </w:p>
    <w:p>
      <w:pPr>
        <w:pStyle w:val="5"/>
        <w:ind w:firstLine="480"/>
        <w:rPr>
          <w:color w:val="auto"/>
          <w:highlight w:val="none"/>
        </w:rPr>
      </w:pPr>
      <w:r>
        <w:rPr>
          <w:rFonts w:hint="eastAsia"/>
          <w:color w:val="auto"/>
          <w:highlight w:val="none"/>
        </w:rPr>
        <w:t>17.3任何行间插字、涂改和增删，必须由投标人的法定代表人或其被授权人在旁边签字方有效。</w:t>
      </w:r>
    </w:p>
    <w:p>
      <w:pPr>
        <w:pStyle w:val="5"/>
        <w:ind w:firstLine="480"/>
        <w:rPr>
          <w:color w:val="auto"/>
          <w:highlight w:val="none"/>
        </w:rPr>
      </w:pPr>
      <w:r>
        <w:rPr>
          <w:rFonts w:hint="eastAsia"/>
          <w:color w:val="auto"/>
          <w:highlight w:val="none"/>
        </w:rPr>
        <w:t>17.4 投标文件正本和副本按照招标文件第六章规定的顺序编排、并应</w:t>
      </w:r>
      <w:r>
        <w:rPr>
          <w:rFonts w:hint="eastAsia"/>
          <w:color w:val="auto"/>
          <w:highlight w:val="none"/>
          <w:lang w:val="zh-CN"/>
        </w:rPr>
        <w:t>编制目录，</w:t>
      </w:r>
      <w:r>
        <w:rPr>
          <w:rFonts w:hint="eastAsia"/>
          <w:color w:val="auto"/>
          <w:highlight w:val="none"/>
        </w:rPr>
        <w:t>逐页标注连续页码，并分别</w:t>
      </w:r>
      <w:r>
        <w:rPr>
          <w:rFonts w:hint="eastAsia"/>
          <w:color w:val="auto"/>
          <w:highlight w:val="none"/>
          <w:lang w:val="zh-CN"/>
        </w:rPr>
        <w:t>胶装成册</w:t>
      </w:r>
      <w:r>
        <w:rPr>
          <w:rFonts w:hint="eastAsia"/>
          <w:color w:val="auto"/>
          <w:highlight w:val="none"/>
        </w:rPr>
        <w:t>。</w:t>
      </w:r>
    </w:p>
    <w:p>
      <w:pPr>
        <w:pStyle w:val="5"/>
        <w:ind w:firstLine="480"/>
        <w:rPr>
          <w:color w:val="auto"/>
          <w:highlight w:val="none"/>
        </w:rPr>
      </w:pPr>
      <w:r>
        <w:rPr>
          <w:rFonts w:hint="eastAsia"/>
          <w:color w:val="auto"/>
          <w:highlight w:val="none"/>
        </w:rPr>
        <w:t>17.5 投标文件的制作装订要求详见“投标人须知前附表”。</w:t>
      </w:r>
    </w:p>
    <w:p>
      <w:pPr>
        <w:pStyle w:val="5"/>
        <w:ind w:firstLine="480"/>
        <w:rPr>
          <w:color w:val="auto"/>
          <w:highlight w:val="none"/>
        </w:rPr>
      </w:pPr>
      <w:r>
        <w:rPr>
          <w:rFonts w:hint="eastAsia"/>
          <w:color w:val="auto"/>
          <w:highlight w:val="none"/>
        </w:rPr>
        <w:t>17.6 因字迹潦草、表述不清或不按招标文件格式编制的投标文件，所引起的对投标人不利的后果，由投标人自行负责。</w:t>
      </w:r>
    </w:p>
    <w:p>
      <w:pPr>
        <w:pStyle w:val="4"/>
        <w:rPr>
          <w:color w:val="auto"/>
          <w:highlight w:val="none"/>
        </w:rPr>
      </w:pPr>
      <w:bookmarkStart w:id="76" w:name="_Toc28453"/>
      <w:bookmarkStart w:id="77" w:name="_Toc16202"/>
      <w:r>
        <w:rPr>
          <w:rFonts w:hint="eastAsia"/>
          <w:color w:val="auto"/>
          <w:highlight w:val="none"/>
        </w:rPr>
        <w:t>四.投标文件的递交</w:t>
      </w:r>
      <w:bookmarkEnd w:id="71"/>
      <w:bookmarkEnd w:id="72"/>
      <w:bookmarkEnd w:id="73"/>
      <w:bookmarkEnd w:id="76"/>
      <w:bookmarkEnd w:id="77"/>
    </w:p>
    <w:p>
      <w:pPr>
        <w:pStyle w:val="2"/>
        <w:rPr>
          <w:color w:val="auto"/>
          <w:highlight w:val="none"/>
        </w:rPr>
      </w:pPr>
      <w:bookmarkStart w:id="78" w:name="_Toc4290"/>
      <w:bookmarkStart w:id="79" w:name="_Toc2184"/>
      <w:r>
        <w:rPr>
          <w:rFonts w:hint="eastAsia"/>
          <w:color w:val="auto"/>
          <w:highlight w:val="none"/>
        </w:rPr>
        <w:t>18．投标文件的密封和标记</w:t>
      </w:r>
      <w:bookmarkEnd w:id="78"/>
      <w:bookmarkEnd w:id="79"/>
    </w:p>
    <w:p>
      <w:pPr>
        <w:pStyle w:val="5"/>
        <w:ind w:firstLine="480"/>
        <w:rPr>
          <w:color w:val="auto"/>
          <w:highlight w:val="none"/>
        </w:rPr>
      </w:pPr>
      <w:r>
        <w:rPr>
          <w:rFonts w:hint="eastAsia"/>
          <w:color w:val="auto"/>
          <w:highlight w:val="none"/>
        </w:rPr>
        <w:t>18.1投标文件的密封和标记：详见“投标人须知前附表”。</w:t>
      </w:r>
    </w:p>
    <w:p>
      <w:pPr>
        <w:pStyle w:val="5"/>
        <w:ind w:firstLine="480"/>
        <w:rPr>
          <w:color w:val="auto"/>
          <w:highlight w:val="none"/>
        </w:rPr>
      </w:pPr>
      <w:r>
        <w:rPr>
          <w:rFonts w:hint="eastAsia"/>
          <w:color w:val="auto"/>
          <w:highlight w:val="none"/>
        </w:rPr>
        <w:t>18.2如果投标人未对投标文件按要求进行密封、标记，由此产生的不利后果由投标人自行承担。</w:t>
      </w:r>
    </w:p>
    <w:p>
      <w:pPr>
        <w:pStyle w:val="2"/>
        <w:rPr>
          <w:color w:val="auto"/>
          <w:highlight w:val="none"/>
        </w:rPr>
      </w:pPr>
      <w:bookmarkStart w:id="80" w:name="_Toc6576"/>
      <w:bookmarkStart w:id="81" w:name="_Toc15552"/>
      <w:r>
        <w:rPr>
          <w:rFonts w:hint="eastAsia"/>
          <w:color w:val="auto"/>
          <w:highlight w:val="none"/>
        </w:rPr>
        <w:t>19．投标文件的递交</w:t>
      </w:r>
      <w:bookmarkEnd w:id="80"/>
      <w:bookmarkEnd w:id="81"/>
    </w:p>
    <w:p>
      <w:pPr>
        <w:pStyle w:val="5"/>
        <w:ind w:firstLine="480"/>
        <w:rPr>
          <w:color w:val="auto"/>
          <w:highlight w:val="none"/>
        </w:rPr>
      </w:pPr>
      <w:r>
        <w:rPr>
          <w:rFonts w:hint="eastAsia"/>
          <w:color w:val="auto"/>
          <w:highlight w:val="none"/>
        </w:rPr>
        <w:t>19.1投标人应按照招标公告中规定的时间、地点，在规定的投标文件递交截止时间前将全部投标文件和投标资料递交至投标文件接收人。</w:t>
      </w:r>
    </w:p>
    <w:p>
      <w:pPr>
        <w:pStyle w:val="5"/>
        <w:ind w:firstLine="480"/>
        <w:rPr>
          <w:color w:val="auto"/>
          <w:highlight w:val="none"/>
        </w:rPr>
      </w:pPr>
      <w:r>
        <w:rPr>
          <w:rFonts w:hint="eastAsia"/>
          <w:color w:val="auto"/>
          <w:highlight w:val="none"/>
        </w:rPr>
        <w:t>19.2采购代理机构在招标文件规定的投标文件递交截止时间前，只负责投标文件的接收、清点、造册登记工作，对其有效性不负任何责任。</w:t>
      </w:r>
    </w:p>
    <w:p>
      <w:pPr>
        <w:pStyle w:val="2"/>
        <w:rPr>
          <w:color w:val="auto"/>
          <w:highlight w:val="none"/>
        </w:rPr>
      </w:pPr>
      <w:bookmarkStart w:id="82" w:name="_Toc455"/>
      <w:bookmarkStart w:id="83" w:name="_Toc12399"/>
      <w:r>
        <w:rPr>
          <w:rFonts w:hint="eastAsia"/>
          <w:color w:val="auto"/>
          <w:highlight w:val="none"/>
        </w:rPr>
        <w:t>20．迟交的投标文件</w:t>
      </w:r>
      <w:bookmarkEnd w:id="82"/>
      <w:bookmarkEnd w:id="83"/>
    </w:p>
    <w:p>
      <w:pPr>
        <w:pStyle w:val="5"/>
        <w:ind w:firstLine="480"/>
        <w:rPr>
          <w:color w:val="auto"/>
          <w:highlight w:val="none"/>
        </w:rPr>
      </w:pPr>
      <w:r>
        <w:rPr>
          <w:rFonts w:hint="eastAsia"/>
          <w:color w:val="auto"/>
          <w:highlight w:val="none"/>
        </w:rPr>
        <w:t>20.1按照招标文件的规定，在递交投标文件的截止时间之后送达的投标文件，为无效投标文件，采购代理机构将拒绝接收。</w:t>
      </w:r>
    </w:p>
    <w:p>
      <w:pPr>
        <w:pStyle w:val="2"/>
        <w:rPr>
          <w:color w:val="auto"/>
          <w:highlight w:val="none"/>
        </w:rPr>
      </w:pPr>
      <w:bookmarkStart w:id="84" w:name="_Toc9159"/>
      <w:bookmarkStart w:id="85" w:name="_Toc7249"/>
      <w:r>
        <w:rPr>
          <w:rFonts w:hint="eastAsia"/>
          <w:color w:val="auto"/>
          <w:highlight w:val="none"/>
        </w:rPr>
        <w:t>21．投标的修改与撤回</w:t>
      </w:r>
      <w:bookmarkEnd w:id="84"/>
      <w:bookmarkEnd w:id="85"/>
    </w:p>
    <w:p>
      <w:pPr>
        <w:pStyle w:val="5"/>
        <w:ind w:firstLine="480"/>
        <w:rPr>
          <w:color w:val="auto"/>
          <w:highlight w:val="none"/>
        </w:rPr>
      </w:pPr>
      <w:r>
        <w:rPr>
          <w:rFonts w:hint="eastAsia"/>
          <w:color w:val="auto"/>
          <w:highlight w:val="none"/>
        </w:rPr>
        <w:t>21.1 投标人在递交投标文件后，可以修改或撤回其投标文件，也可以提出价格变动声明，但投标人必须在规定的投标文件递交截止时间之前将修改或撤回或变动价格的书面通知文件递交到陕西正鸿招标有限公司。</w:t>
      </w:r>
    </w:p>
    <w:p>
      <w:pPr>
        <w:pStyle w:val="5"/>
        <w:ind w:firstLine="480"/>
        <w:rPr>
          <w:color w:val="auto"/>
          <w:highlight w:val="none"/>
        </w:rPr>
      </w:pPr>
      <w:r>
        <w:rPr>
          <w:rFonts w:hint="eastAsia"/>
          <w:color w:val="auto"/>
          <w:highlight w:val="none"/>
        </w:rPr>
        <w:t>21.2 投标人的修改或撤回或变动价格的通知应按本须知第17条、18条、19条的规定编制、密封、标记和递交。</w:t>
      </w:r>
    </w:p>
    <w:p>
      <w:pPr>
        <w:pStyle w:val="5"/>
        <w:ind w:firstLine="480"/>
        <w:rPr>
          <w:color w:val="auto"/>
          <w:highlight w:val="none"/>
        </w:rPr>
      </w:pPr>
      <w:r>
        <w:rPr>
          <w:rFonts w:hint="eastAsia"/>
          <w:color w:val="auto"/>
          <w:highlight w:val="none"/>
        </w:rPr>
        <w:t>21.3 在投标文件递交截止时间之后，投标人不得对其投标做任何修改或撤回。</w:t>
      </w:r>
    </w:p>
    <w:p>
      <w:pPr>
        <w:pStyle w:val="4"/>
        <w:rPr>
          <w:color w:val="auto"/>
          <w:highlight w:val="none"/>
        </w:rPr>
      </w:pPr>
      <w:bookmarkStart w:id="86" w:name="_Toc500"/>
      <w:bookmarkStart w:id="87" w:name="_Toc403077643"/>
      <w:bookmarkStart w:id="88" w:name="_Toc8259"/>
      <w:bookmarkStart w:id="89" w:name="_Toc363474021"/>
      <w:bookmarkStart w:id="90" w:name="_Toc363473976"/>
      <w:r>
        <w:rPr>
          <w:rFonts w:hint="eastAsia"/>
          <w:color w:val="auto"/>
          <w:highlight w:val="none"/>
        </w:rPr>
        <w:t>五.开标与评标</w:t>
      </w:r>
      <w:bookmarkEnd w:id="86"/>
      <w:bookmarkEnd w:id="87"/>
      <w:bookmarkEnd w:id="88"/>
      <w:bookmarkEnd w:id="89"/>
      <w:bookmarkEnd w:id="90"/>
    </w:p>
    <w:p>
      <w:pPr>
        <w:pStyle w:val="2"/>
        <w:rPr>
          <w:color w:val="auto"/>
          <w:highlight w:val="none"/>
        </w:rPr>
      </w:pPr>
      <w:bookmarkStart w:id="91" w:name="_Toc8761"/>
      <w:bookmarkStart w:id="92" w:name="_Toc26680"/>
      <w:bookmarkStart w:id="93" w:name="_Toc15204"/>
      <w:bookmarkStart w:id="94" w:name="_Toc27949"/>
      <w:r>
        <w:rPr>
          <w:rFonts w:hint="eastAsia"/>
          <w:color w:val="auto"/>
          <w:highlight w:val="none"/>
        </w:rPr>
        <w:t>22. 开标</w:t>
      </w:r>
      <w:bookmarkEnd w:id="91"/>
      <w:bookmarkEnd w:id="92"/>
    </w:p>
    <w:p>
      <w:pPr>
        <w:pStyle w:val="5"/>
        <w:ind w:firstLine="480"/>
        <w:rPr>
          <w:color w:val="auto"/>
          <w:highlight w:val="none"/>
        </w:rPr>
      </w:pPr>
      <w:r>
        <w:rPr>
          <w:rFonts w:hint="eastAsia"/>
          <w:color w:val="auto"/>
          <w:highlight w:val="none"/>
        </w:rPr>
        <w:t>22.1 采购代理机构在规定的时间和地点组织公开开标。</w:t>
      </w:r>
    </w:p>
    <w:p>
      <w:pPr>
        <w:pStyle w:val="5"/>
        <w:ind w:firstLine="480"/>
        <w:rPr>
          <w:color w:val="auto"/>
          <w:highlight w:val="none"/>
        </w:rPr>
      </w:pPr>
      <w:r>
        <w:rPr>
          <w:rFonts w:hint="eastAsia"/>
          <w:color w:val="auto"/>
          <w:highlight w:val="none"/>
        </w:rPr>
        <w:t>22.2 开标时，由监标人和投标人或者其推选的代表检查投标文件的密封情况。检查完毕后，采购代理机构当众宣读投标人名称、投标价格、修改或撤回或变动价格的书面通知（如果有），以及采购代理机构认为合适的其他内容。未在开标时宣读的投标价格，评标时不予承认。</w:t>
      </w:r>
    </w:p>
    <w:p>
      <w:pPr>
        <w:pStyle w:val="5"/>
        <w:ind w:firstLine="480"/>
        <w:rPr>
          <w:color w:val="auto"/>
          <w:highlight w:val="none"/>
        </w:rPr>
      </w:pPr>
      <w:r>
        <w:rPr>
          <w:rFonts w:hint="eastAsia"/>
          <w:color w:val="auto"/>
          <w:highlight w:val="none"/>
        </w:rPr>
        <w:t>22.3只有在开标时唱出的价格和价格变动声明，评标时才能考虑。</w:t>
      </w:r>
    </w:p>
    <w:p>
      <w:pPr>
        <w:pStyle w:val="5"/>
        <w:ind w:firstLine="480"/>
        <w:rPr>
          <w:color w:val="auto"/>
          <w:highlight w:val="none"/>
        </w:rPr>
      </w:pPr>
      <w:r>
        <w:rPr>
          <w:rFonts w:hint="eastAsia"/>
          <w:color w:val="auto"/>
          <w:highlight w:val="none"/>
        </w:rPr>
        <w:t>22.4 采购代理机构将做开标记录，存档备查。</w:t>
      </w:r>
    </w:p>
    <w:p>
      <w:pPr>
        <w:pStyle w:val="5"/>
        <w:ind w:firstLine="480"/>
        <w:rPr>
          <w:color w:val="auto"/>
          <w:highlight w:val="none"/>
        </w:rPr>
      </w:pPr>
      <w:r>
        <w:rPr>
          <w:rFonts w:hint="eastAsia"/>
          <w:color w:val="auto"/>
          <w:highlight w:val="none"/>
        </w:rPr>
        <w:t>22.5投标人未参加开标的，视同认可开标结果。</w:t>
      </w:r>
    </w:p>
    <w:p>
      <w:pPr>
        <w:pStyle w:val="2"/>
        <w:rPr>
          <w:color w:val="auto"/>
          <w:highlight w:val="none"/>
        </w:rPr>
      </w:pPr>
      <w:bookmarkStart w:id="95" w:name="_Toc2836"/>
      <w:bookmarkStart w:id="96" w:name="_Toc1352"/>
      <w:r>
        <w:rPr>
          <w:rFonts w:hint="eastAsia"/>
          <w:color w:val="auto"/>
          <w:highlight w:val="none"/>
        </w:rPr>
        <w:t>23．评标组织及评标原则</w:t>
      </w:r>
      <w:bookmarkEnd w:id="95"/>
      <w:bookmarkEnd w:id="96"/>
    </w:p>
    <w:p>
      <w:pPr>
        <w:pStyle w:val="5"/>
        <w:ind w:firstLine="480"/>
        <w:rPr>
          <w:color w:val="auto"/>
          <w:highlight w:val="none"/>
        </w:rPr>
      </w:pPr>
      <w:r>
        <w:rPr>
          <w:rFonts w:hint="eastAsia"/>
          <w:color w:val="auto"/>
          <w:highlight w:val="none"/>
        </w:rPr>
        <w:t>23.1按照《中华人民共和国政府采购法》、中华人民共和国2015年第658号国务院令--《中华人民共和国政府采购法实施条例》和中华人民共和国财政部2017年第87号部长令--《政府采购服务和服务招标投标管理办法》的规定，依法组建评标委员会，评标委员会由有关技术、经济等方面的专家组成。评标委员会成员人数以及技术、经济等方面专家的确定方式见投标人须知前附表。评标委员会按照招标文件规定的评标办法独立进行评标工作。</w:t>
      </w:r>
    </w:p>
    <w:p>
      <w:pPr>
        <w:pStyle w:val="5"/>
        <w:ind w:firstLine="480"/>
        <w:rPr>
          <w:color w:val="auto"/>
          <w:highlight w:val="none"/>
        </w:rPr>
      </w:pPr>
      <w:r>
        <w:rPr>
          <w:rFonts w:hint="eastAsia"/>
          <w:color w:val="auto"/>
          <w:highlight w:val="none"/>
        </w:rPr>
        <w:t>23.2招标文件和投标文件是评标的依据。在评标中，不得改变招标文件中规定的评标标准、方法和中标条件。投标人不得在开标后使用任何方式对投标文件的实质性内容做任何更改。</w:t>
      </w:r>
    </w:p>
    <w:p>
      <w:pPr>
        <w:pStyle w:val="5"/>
        <w:ind w:firstLine="480"/>
        <w:rPr>
          <w:color w:val="auto"/>
          <w:highlight w:val="none"/>
        </w:rPr>
      </w:pPr>
      <w:r>
        <w:rPr>
          <w:rFonts w:hint="eastAsia"/>
          <w:color w:val="auto"/>
          <w:highlight w:val="none"/>
        </w:rPr>
        <w:t>23.3在评标期间，对于投标文件中含义不明确、同类问题表述不一致或者有明显文字和计算错误的内容，评标委员会应当以书面形式（由评标委员会专家签字）要求投标人做出必要的澄清、说明或者纠正。投标人的澄清、说明或者补正应当采用书面形式，并由其法人代表或授权代表签署全名。投标人的澄清、说明或者补正不得超出投标文件的范围或者改变投标文件的实质性内容。</w:t>
      </w:r>
    </w:p>
    <w:p>
      <w:pPr>
        <w:pStyle w:val="5"/>
        <w:ind w:firstLine="480"/>
        <w:rPr>
          <w:color w:val="auto"/>
          <w:highlight w:val="none"/>
        </w:rPr>
      </w:pPr>
      <w:r>
        <w:rPr>
          <w:rFonts w:hint="eastAsia"/>
          <w:color w:val="auto"/>
          <w:highlight w:val="none"/>
        </w:rPr>
        <w:t>23.4如果投标人在规定时限内，未能答复或拒绝答复评委会提出的澄清、说明或者补正的要求，将由评委会根据其投标文件按最大风险进行评标。</w:t>
      </w:r>
    </w:p>
    <w:p>
      <w:pPr>
        <w:pStyle w:val="2"/>
        <w:rPr>
          <w:color w:val="auto"/>
          <w:highlight w:val="none"/>
        </w:rPr>
      </w:pPr>
      <w:bookmarkStart w:id="97" w:name="_Toc11682"/>
      <w:bookmarkStart w:id="98" w:name="_Toc29623"/>
      <w:r>
        <w:rPr>
          <w:rFonts w:hint="eastAsia"/>
          <w:color w:val="auto"/>
          <w:highlight w:val="none"/>
        </w:rPr>
        <w:t>24．评标过程的保密</w:t>
      </w:r>
      <w:bookmarkEnd w:id="97"/>
      <w:bookmarkEnd w:id="98"/>
    </w:p>
    <w:p>
      <w:pPr>
        <w:pStyle w:val="5"/>
        <w:ind w:firstLine="480"/>
        <w:rPr>
          <w:color w:val="auto"/>
          <w:highlight w:val="none"/>
        </w:rPr>
      </w:pPr>
      <w:r>
        <w:rPr>
          <w:rFonts w:hint="eastAsia"/>
          <w:color w:val="auto"/>
          <w:highlight w:val="none"/>
        </w:rPr>
        <w:t>24.1评标委员会成员和与评标活动有关的工作人员不得泄露有关投标文件的评审和比较、中标候选人的推荐以及与评标有关的其他情况。</w:t>
      </w:r>
    </w:p>
    <w:p>
      <w:pPr>
        <w:pStyle w:val="5"/>
        <w:ind w:firstLine="480"/>
        <w:rPr>
          <w:color w:val="auto"/>
          <w:highlight w:val="none"/>
        </w:rPr>
      </w:pPr>
      <w:r>
        <w:rPr>
          <w:rFonts w:hint="eastAsia"/>
          <w:color w:val="auto"/>
          <w:highlight w:val="none"/>
        </w:rPr>
        <w:t>24.2在评标过程中，如果投标人试图在投标文件的评审和比较、中标候选人的推荐以及与评标有关的其他方面，向评标人、采购人和采购代理机构施加任何影响，其投标应做无效投标处理。</w:t>
      </w:r>
    </w:p>
    <w:p>
      <w:pPr>
        <w:pStyle w:val="2"/>
        <w:rPr>
          <w:color w:val="auto"/>
          <w:highlight w:val="none"/>
        </w:rPr>
      </w:pPr>
      <w:bookmarkStart w:id="99" w:name="_Toc12700"/>
      <w:bookmarkStart w:id="100" w:name="_Toc10826"/>
      <w:r>
        <w:rPr>
          <w:rFonts w:hint="eastAsia"/>
          <w:color w:val="auto"/>
          <w:highlight w:val="none"/>
        </w:rPr>
        <w:t>25．评标办法</w:t>
      </w:r>
      <w:bookmarkEnd w:id="99"/>
      <w:bookmarkEnd w:id="100"/>
    </w:p>
    <w:p>
      <w:pPr>
        <w:pStyle w:val="5"/>
        <w:ind w:firstLine="480"/>
        <w:rPr>
          <w:color w:val="auto"/>
          <w:highlight w:val="none"/>
        </w:rPr>
      </w:pPr>
      <w:r>
        <w:rPr>
          <w:rFonts w:hint="eastAsia"/>
          <w:color w:val="auto"/>
          <w:highlight w:val="none"/>
        </w:rPr>
        <w:t>25.1按照《中华人民共和国政府采购法实施条例》和《政府采购服务和服务招标投标管理办法》的规定，本次评标采用综合评分法。综合评分法，是指投标文件满足招标文件全部实质性要求，且按照评审因素的量化指标评审得分排序由高到低的投标人为中标候选人的评标办法。</w:t>
      </w:r>
    </w:p>
    <w:p>
      <w:pPr>
        <w:pStyle w:val="2"/>
        <w:rPr>
          <w:color w:val="auto"/>
          <w:highlight w:val="none"/>
        </w:rPr>
      </w:pPr>
      <w:bookmarkStart w:id="101" w:name="_Toc10459"/>
      <w:bookmarkStart w:id="102" w:name="_Toc26334"/>
      <w:r>
        <w:rPr>
          <w:rFonts w:hint="eastAsia"/>
          <w:color w:val="auto"/>
          <w:highlight w:val="none"/>
        </w:rPr>
        <w:t>26．评标程序</w:t>
      </w:r>
      <w:bookmarkEnd w:id="101"/>
      <w:bookmarkEnd w:id="102"/>
    </w:p>
    <w:p>
      <w:pPr>
        <w:pStyle w:val="5"/>
        <w:ind w:firstLine="480"/>
        <w:rPr>
          <w:color w:val="auto"/>
          <w:highlight w:val="none"/>
        </w:rPr>
      </w:pPr>
      <w:r>
        <w:rPr>
          <w:rFonts w:hint="eastAsia"/>
          <w:color w:val="auto"/>
          <w:highlight w:val="none"/>
        </w:rPr>
        <w:t>按照投标文件初审、澄清有关问题、比较与评价、推荐中标候选人名单的工作程序进行评标。在上一步评审中投标人被认定无效投标者，不进入下一步的评审。</w:t>
      </w:r>
    </w:p>
    <w:p>
      <w:pPr>
        <w:pStyle w:val="4"/>
        <w:rPr>
          <w:color w:val="auto"/>
          <w:highlight w:val="none"/>
        </w:rPr>
      </w:pPr>
      <w:bookmarkStart w:id="103" w:name="_Toc7785"/>
      <w:bookmarkStart w:id="104" w:name="_Toc363473977"/>
      <w:bookmarkStart w:id="105" w:name="_Toc363474022"/>
      <w:bookmarkStart w:id="106" w:name="_Toc11014"/>
      <w:bookmarkStart w:id="107" w:name="_Toc403077644"/>
      <w:r>
        <w:rPr>
          <w:rFonts w:hint="eastAsia"/>
          <w:color w:val="auto"/>
          <w:highlight w:val="none"/>
        </w:rPr>
        <w:t>六.定标、中标通知与签约</w:t>
      </w:r>
      <w:bookmarkEnd w:id="103"/>
      <w:bookmarkEnd w:id="104"/>
      <w:bookmarkEnd w:id="105"/>
      <w:bookmarkEnd w:id="106"/>
      <w:bookmarkEnd w:id="107"/>
    </w:p>
    <w:p>
      <w:pPr>
        <w:pStyle w:val="2"/>
        <w:rPr>
          <w:color w:val="auto"/>
          <w:highlight w:val="none"/>
        </w:rPr>
      </w:pPr>
      <w:bookmarkStart w:id="108" w:name="_Toc17765"/>
      <w:bookmarkStart w:id="109" w:name="_Toc22655"/>
      <w:r>
        <w:rPr>
          <w:rFonts w:hint="eastAsia"/>
          <w:color w:val="auto"/>
          <w:highlight w:val="none"/>
        </w:rPr>
        <w:t>27．定标程序</w:t>
      </w:r>
      <w:bookmarkEnd w:id="108"/>
      <w:bookmarkEnd w:id="109"/>
    </w:p>
    <w:p>
      <w:pPr>
        <w:pStyle w:val="5"/>
        <w:ind w:firstLine="480"/>
        <w:rPr>
          <w:color w:val="auto"/>
          <w:highlight w:val="none"/>
        </w:rPr>
      </w:pPr>
      <w:r>
        <w:rPr>
          <w:rFonts w:hint="eastAsia"/>
          <w:color w:val="auto"/>
          <w:highlight w:val="none"/>
        </w:rPr>
        <w:t>27.1评标委员会根据评标办法的规定对投标人进行评审排序，推荐3名中标候选人，作为评标结果。评标结果由评标委员会成员签字确认。</w:t>
      </w:r>
    </w:p>
    <w:p>
      <w:pPr>
        <w:pStyle w:val="5"/>
        <w:ind w:firstLine="480"/>
        <w:rPr>
          <w:color w:val="auto"/>
          <w:highlight w:val="none"/>
        </w:rPr>
      </w:pPr>
      <w:r>
        <w:rPr>
          <w:rFonts w:hint="eastAsia"/>
          <w:color w:val="auto"/>
          <w:highlight w:val="none"/>
        </w:rPr>
        <w:t>27.2采购代理机构在评标结束后2个工作日内将评标报告送采购人。采购人应当在收到评标报告后5个工作日内，按照评标报告中推荐的中标候选人顺序和有关规定确定中标人。</w:t>
      </w:r>
    </w:p>
    <w:p>
      <w:pPr>
        <w:pStyle w:val="5"/>
        <w:ind w:firstLine="480"/>
        <w:rPr>
          <w:color w:val="auto"/>
          <w:highlight w:val="none"/>
        </w:rPr>
      </w:pPr>
      <w:r>
        <w:rPr>
          <w:rFonts w:hint="eastAsia"/>
          <w:color w:val="auto"/>
          <w:highlight w:val="none"/>
        </w:rPr>
        <w:t>27.3确定的中标候选人放弃中标、在规定期限内未能签订合同、因不可抗力不能履行合同、不按照招标文件要求提交履约保证金（如有），或者被查实存在影响中标结果的违法行为等情形，不符合中标条件的，采购人可以按照评标委员会提出的中标候选人名单排序依次确定其他中标候选人为中标人，也可以重新招标。</w:t>
      </w:r>
    </w:p>
    <w:p>
      <w:pPr>
        <w:pStyle w:val="5"/>
        <w:ind w:firstLine="480"/>
        <w:rPr>
          <w:color w:val="auto"/>
          <w:highlight w:val="none"/>
        </w:rPr>
      </w:pPr>
      <w:r>
        <w:rPr>
          <w:rFonts w:hint="eastAsia"/>
          <w:color w:val="auto"/>
          <w:highlight w:val="none"/>
        </w:rPr>
        <w:t>27.4采购人也可以授权评标委员会评标后直接确定中标人。</w:t>
      </w:r>
    </w:p>
    <w:p>
      <w:pPr>
        <w:pStyle w:val="5"/>
        <w:ind w:firstLine="480"/>
        <w:rPr>
          <w:color w:val="auto"/>
          <w:highlight w:val="none"/>
        </w:rPr>
      </w:pPr>
      <w:r>
        <w:rPr>
          <w:rFonts w:hint="eastAsia"/>
          <w:color w:val="auto"/>
          <w:highlight w:val="none"/>
        </w:rPr>
        <w:t>27.5中标人确定之后，中标结果将在信息发布媒体上公告。</w:t>
      </w:r>
    </w:p>
    <w:p>
      <w:pPr>
        <w:pStyle w:val="5"/>
        <w:ind w:firstLine="480"/>
        <w:rPr>
          <w:color w:val="auto"/>
          <w:highlight w:val="none"/>
        </w:rPr>
      </w:pPr>
      <w:r>
        <w:rPr>
          <w:rFonts w:hint="eastAsia"/>
          <w:color w:val="auto"/>
          <w:highlight w:val="none"/>
        </w:rPr>
        <w:t>27.6投标人或者其他利害关系人对评标结果有异议的，应当在法律规定的时间内提出。</w:t>
      </w:r>
    </w:p>
    <w:p>
      <w:pPr>
        <w:pStyle w:val="2"/>
        <w:rPr>
          <w:color w:val="auto"/>
          <w:highlight w:val="none"/>
        </w:rPr>
      </w:pPr>
      <w:bookmarkStart w:id="110" w:name="_Toc26443"/>
      <w:bookmarkStart w:id="111" w:name="_Toc12566"/>
      <w:r>
        <w:rPr>
          <w:rFonts w:hint="eastAsia"/>
          <w:color w:val="auto"/>
          <w:highlight w:val="none"/>
        </w:rPr>
        <w:t>28．中标和落标通知</w:t>
      </w:r>
      <w:bookmarkEnd w:id="110"/>
      <w:bookmarkEnd w:id="111"/>
    </w:p>
    <w:p>
      <w:pPr>
        <w:pStyle w:val="5"/>
        <w:ind w:firstLine="480"/>
        <w:rPr>
          <w:color w:val="auto"/>
          <w:highlight w:val="none"/>
        </w:rPr>
      </w:pPr>
      <w:r>
        <w:rPr>
          <w:rFonts w:hint="eastAsia"/>
          <w:color w:val="auto"/>
          <w:highlight w:val="none"/>
        </w:rPr>
        <w:t>28.1 采购代理机构在发布中标公告后，向中标人发出《中标通知书》。</w:t>
      </w:r>
    </w:p>
    <w:p>
      <w:pPr>
        <w:pStyle w:val="5"/>
        <w:ind w:firstLine="480"/>
        <w:rPr>
          <w:color w:val="auto"/>
          <w:highlight w:val="none"/>
        </w:rPr>
      </w:pPr>
      <w:r>
        <w:rPr>
          <w:rFonts w:hint="eastAsia"/>
          <w:color w:val="auto"/>
          <w:highlight w:val="none"/>
        </w:rPr>
        <w:t>28.2中标通知书对采购人和中标人具有同等法律效力。中标通知书发出之后，采购人改变中标结果，或者中标人放弃中标，应当承担相应的法律责任。</w:t>
      </w:r>
    </w:p>
    <w:p>
      <w:pPr>
        <w:pStyle w:val="5"/>
        <w:ind w:firstLine="480"/>
        <w:rPr>
          <w:color w:val="auto"/>
          <w:highlight w:val="none"/>
        </w:rPr>
      </w:pPr>
      <w:r>
        <w:rPr>
          <w:rFonts w:hint="eastAsia"/>
          <w:color w:val="auto"/>
          <w:highlight w:val="none"/>
        </w:rPr>
        <w:t>28.3中标公告发布后，未中标投标人可致电采购代理机构获知本单位的评审得分与排序。</w:t>
      </w:r>
    </w:p>
    <w:p>
      <w:pPr>
        <w:pStyle w:val="2"/>
        <w:rPr>
          <w:color w:val="auto"/>
          <w:highlight w:val="none"/>
        </w:rPr>
      </w:pPr>
      <w:bookmarkStart w:id="112" w:name="_Toc32248"/>
      <w:bookmarkStart w:id="113" w:name="_Toc19838"/>
      <w:r>
        <w:rPr>
          <w:rFonts w:hint="eastAsia"/>
          <w:color w:val="auto"/>
          <w:highlight w:val="none"/>
        </w:rPr>
        <w:t>29. 中标合同的签订</w:t>
      </w:r>
      <w:bookmarkEnd w:id="112"/>
      <w:bookmarkEnd w:id="113"/>
    </w:p>
    <w:p>
      <w:pPr>
        <w:pStyle w:val="5"/>
        <w:ind w:firstLine="480"/>
        <w:rPr>
          <w:color w:val="auto"/>
          <w:highlight w:val="none"/>
        </w:rPr>
      </w:pPr>
      <w:r>
        <w:rPr>
          <w:rFonts w:hint="eastAsia"/>
          <w:color w:val="auto"/>
          <w:highlight w:val="none"/>
        </w:rPr>
        <w:t>29.1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pStyle w:val="2"/>
        <w:rPr>
          <w:color w:val="auto"/>
          <w:highlight w:val="none"/>
        </w:rPr>
      </w:pPr>
      <w:bookmarkStart w:id="114" w:name="_Toc16904"/>
      <w:bookmarkStart w:id="115" w:name="_Toc27180"/>
      <w:r>
        <w:rPr>
          <w:rFonts w:hint="eastAsia"/>
          <w:color w:val="auto"/>
          <w:highlight w:val="none"/>
        </w:rPr>
        <w:t>30．招标代理服务费</w:t>
      </w:r>
      <w:bookmarkEnd w:id="114"/>
      <w:bookmarkEnd w:id="115"/>
    </w:p>
    <w:p>
      <w:pPr>
        <w:pStyle w:val="5"/>
        <w:ind w:firstLine="480"/>
        <w:rPr>
          <w:color w:val="auto"/>
          <w:highlight w:val="none"/>
        </w:rPr>
      </w:pPr>
      <w:r>
        <w:rPr>
          <w:rFonts w:hint="eastAsia"/>
          <w:color w:val="auto"/>
          <w:highlight w:val="none"/>
        </w:rPr>
        <w:t>30.1具体金额详见投标人须知前附表。</w:t>
      </w:r>
    </w:p>
    <w:p>
      <w:pPr>
        <w:pStyle w:val="5"/>
        <w:ind w:firstLine="480"/>
        <w:rPr>
          <w:color w:val="auto"/>
          <w:highlight w:val="none"/>
        </w:rPr>
      </w:pPr>
      <w:r>
        <w:rPr>
          <w:rFonts w:hint="eastAsia"/>
          <w:color w:val="auto"/>
          <w:highlight w:val="none"/>
        </w:rPr>
        <w:t>30.2中标人承担招标代理服务费，中标人在领取中标通知书前，须向采购代理机构一次性支付招标代理服务费，具体详见前附表。</w:t>
      </w:r>
    </w:p>
    <w:p>
      <w:pPr>
        <w:pStyle w:val="2"/>
        <w:rPr>
          <w:color w:val="auto"/>
          <w:highlight w:val="none"/>
        </w:rPr>
      </w:pPr>
      <w:bookmarkStart w:id="116" w:name="_Toc23244"/>
      <w:bookmarkStart w:id="117" w:name="_Toc20770"/>
      <w:r>
        <w:rPr>
          <w:rFonts w:hint="eastAsia"/>
          <w:color w:val="auto"/>
          <w:highlight w:val="none"/>
        </w:rPr>
        <w:t>31.质疑</w:t>
      </w:r>
      <w:bookmarkEnd w:id="116"/>
      <w:bookmarkEnd w:id="117"/>
    </w:p>
    <w:p>
      <w:pPr>
        <w:pStyle w:val="5"/>
        <w:ind w:firstLine="480"/>
        <w:rPr>
          <w:color w:val="auto"/>
          <w:highlight w:val="none"/>
        </w:rPr>
      </w:pPr>
      <w:r>
        <w:rPr>
          <w:rFonts w:hint="eastAsia"/>
          <w:color w:val="auto"/>
          <w:highlight w:val="none"/>
        </w:rPr>
        <w:t>31.1投标人认为招标文件、招标过程、中标结果使自己的权益受到损害的，可以在知道或者应知其权益受到损害之日起7个工作日内，以书面形式向采购人、采购代理机构提出质疑。</w:t>
      </w:r>
    </w:p>
    <w:p>
      <w:pPr>
        <w:pStyle w:val="5"/>
        <w:ind w:firstLine="480"/>
        <w:rPr>
          <w:color w:val="auto"/>
          <w:highlight w:val="none"/>
        </w:rPr>
      </w:pPr>
      <w:r>
        <w:rPr>
          <w:rFonts w:hint="eastAsia"/>
          <w:color w:val="auto"/>
          <w:highlight w:val="none"/>
        </w:rPr>
        <w:t>31.2投标人必须在法定质疑期内一次性提出针对同一采购程序环节的质疑。</w:t>
      </w:r>
    </w:p>
    <w:p>
      <w:pPr>
        <w:pStyle w:val="5"/>
        <w:ind w:firstLine="480"/>
        <w:rPr>
          <w:color w:val="auto"/>
          <w:highlight w:val="none"/>
        </w:rPr>
      </w:pPr>
      <w:r>
        <w:rPr>
          <w:rFonts w:hint="eastAsia"/>
          <w:color w:val="auto"/>
          <w:highlight w:val="none"/>
        </w:rPr>
        <w:t>31.3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pPr>
        <w:pStyle w:val="5"/>
        <w:ind w:firstLine="480"/>
        <w:rPr>
          <w:color w:val="auto"/>
          <w:highlight w:val="none"/>
        </w:rPr>
      </w:pPr>
      <w:r>
        <w:rPr>
          <w:rFonts w:hint="eastAsia"/>
          <w:color w:val="auto"/>
          <w:highlight w:val="none"/>
        </w:rPr>
        <w:t>31.4以联合体形式参加政府采购活动的，其质疑应当由组成联合体的所有投标人共同提出。</w:t>
      </w:r>
    </w:p>
    <w:p>
      <w:pPr>
        <w:pStyle w:val="5"/>
        <w:ind w:firstLine="480"/>
        <w:rPr>
          <w:color w:val="auto"/>
          <w:highlight w:val="none"/>
        </w:rPr>
      </w:pPr>
      <w:r>
        <w:rPr>
          <w:rFonts w:hint="eastAsia"/>
          <w:color w:val="auto"/>
          <w:highlight w:val="none"/>
        </w:rPr>
        <w:t>31.5投标人提出质疑应当提交质疑函和必要的证明材料。质疑函应当包括下列内容：</w:t>
      </w:r>
    </w:p>
    <w:p>
      <w:pPr>
        <w:pStyle w:val="5"/>
        <w:ind w:firstLine="480"/>
        <w:rPr>
          <w:color w:val="auto"/>
          <w:highlight w:val="none"/>
        </w:rPr>
      </w:pPr>
      <w:r>
        <w:rPr>
          <w:rFonts w:hint="eastAsia"/>
          <w:color w:val="auto"/>
          <w:highlight w:val="none"/>
        </w:rPr>
        <w:t>31.5.1投标人的姓名或者名称、地址、邮编、联系人及联系电话；</w:t>
      </w:r>
    </w:p>
    <w:p>
      <w:pPr>
        <w:pStyle w:val="5"/>
        <w:ind w:firstLine="480"/>
        <w:rPr>
          <w:color w:val="auto"/>
          <w:highlight w:val="none"/>
        </w:rPr>
      </w:pPr>
      <w:r>
        <w:rPr>
          <w:rFonts w:hint="eastAsia"/>
          <w:color w:val="auto"/>
          <w:highlight w:val="none"/>
        </w:rPr>
        <w:t>31.5.2质疑项目的名称、编号；</w:t>
      </w:r>
    </w:p>
    <w:p>
      <w:pPr>
        <w:pStyle w:val="5"/>
        <w:ind w:firstLine="480"/>
        <w:rPr>
          <w:color w:val="auto"/>
          <w:highlight w:val="none"/>
        </w:rPr>
      </w:pPr>
      <w:r>
        <w:rPr>
          <w:rFonts w:hint="eastAsia"/>
          <w:color w:val="auto"/>
          <w:highlight w:val="none"/>
        </w:rPr>
        <w:t>31.5.3具体、明确的质疑事项和与质疑事项相关的请求；</w:t>
      </w:r>
    </w:p>
    <w:p>
      <w:pPr>
        <w:pStyle w:val="5"/>
        <w:ind w:firstLine="480"/>
        <w:rPr>
          <w:color w:val="auto"/>
          <w:highlight w:val="none"/>
        </w:rPr>
      </w:pPr>
      <w:r>
        <w:rPr>
          <w:rFonts w:hint="eastAsia"/>
          <w:color w:val="auto"/>
          <w:highlight w:val="none"/>
        </w:rPr>
        <w:t>31.5.4事实依据；</w:t>
      </w:r>
    </w:p>
    <w:p>
      <w:pPr>
        <w:pStyle w:val="5"/>
        <w:ind w:firstLine="480"/>
        <w:rPr>
          <w:color w:val="auto"/>
          <w:highlight w:val="none"/>
        </w:rPr>
      </w:pPr>
      <w:r>
        <w:rPr>
          <w:rFonts w:hint="eastAsia"/>
          <w:color w:val="auto"/>
          <w:highlight w:val="none"/>
        </w:rPr>
        <w:t>31.5.5必要的法律依据；</w:t>
      </w:r>
    </w:p>
    <w:p>
      <w:pPr>
        <w:pStyle w:val="5"/>
        <w:ind w:firstLine="480"/>
        <w:rPr>
          <w:color w:val="auto"/>
          <w:highlight w:val="none"/>
        </w:rPr>
      </w:pPr>
      <w:r>
        <w:rPr>
          <w:rFonts w:hint="eastAsia"/>
          <w:color w:val="auto"/>
          <w:highlight w:val="none"/>
        </w:rPr>
        <w:t>31.5.6提出质疑的日期。</w:t>
      </w:r>
    </w:p>
    <w:p>
      <w:pPr>
        <w:pStyle w:val="5"/>
        <w:ind w:firstLine="480"/>
        <w:rPr>
          <w:color w:val="auto"/>
          <w:highlight w:val="none"/>
        </w:rPr>
      </w:pPr>
      <w:r>
        <w:rPr>
          <w:rFonts w:hint="eastAsia"/>
          <w:color w:val="auto"/>
          <w:highlight w:val="none"/>
        </w:rPr>
        <w:t>31.6有下列情形之一的，属于无效质疑，采购代理机构和采购人不予受理：</w:t>
      </w:r>
    </w:p>
    <w:p>
      <w:pPr>
        <w:pStyle w:val="5"/>
        <w:ind w:firstLine="480"/>
        <w:rPr>
          <w:color w:val="auto"/>
          <w:highlight w:val="none"/>
        </w:rPr>
      </w:pPr>
      <w:r>
        <w:rPr>
          <w:rFonts w:hint="eastAsia"/>
          <w:color w:val="auto"/>
          <w:highlight w:val="none"/>
        </w:rPr>
        <w:t>31.6.1质疑投标人不是参与本次政府采购项目的投标人；</w:t>
      </w:r>
    </w:p>
    <w:p>
      <w:pPr>
        <w:pStyle w:val="5"/>
        <w:ind w:firstLine="480"/>
        <w:rPr>
          <w:color w:val="auto"/>
          <w:highlight w:val="none"/>
        </w:rPr>
      </w:pPr>
      <w:r>
        <w:rPr>
          <w:rFonts w:hint="eastAsia"/>
          <w:color w:val="auto"/>
          <w:highlight w:val="none"/>
        </w:rPr>
        <w:t>31.6.2质疑投标人与质疑事项不存在利害关系的；</w:t>
      </w:r>
    </w:p>
    <w:p>
      <w:pPr>
        <w:pStyle w:val="5"/>
        <w:ind w:firstLine="480"/>
        <w:rPr>
          <w:color w:val="auto"/>
          <w:highlight w:val="none"/>
        </w:rPr>
      </w:pPr>
      <w:r>
        <w:rPr>
          <w:rFonts w:hint="eastAsia"/>
          <w:color w:val="auto"/>
          <w:highlight w:val="none"/>
        </w:rPr>
        <w:t>31.6.3未在法定期限内提出质疑的；</w:t>
      </w:r>
    </w:p>
    <w:p>
      <w:pPr>
        <w:pStyle w:val="5"/>
        <w:ind w:firstLine="480"/>
        <w:rPr>
          <w:color w:val="auto"/>
          <w:highlight w:val="none"/>
        </w:rPr>
      </w:pPr>
      <w:r>
        <w:rPr>
          <w:rFonts w:hint="eastAsia"/>
          <w:color w:val="auto"/>
          <w:highlight w:val="none"/>
        </w:rPr>
        <w:t>31.6.4质疑未以书面形式提出，或质疑函主要内容构成不完整的；</w:t>
      </w:r>
    </w:p>
    <w:p>
      <w:pPr>
        <w:pStyle w:val="5"/>
        <w:ind w:firstLine="480"/>
        <w:rPr>
          <w:color w:val="auto"/>
          <w:highlight w:val="none"/>
        </w:rPr>
      </w:pPr>
      <w:r>
        <w:rPr>
          <w:rFonts w:hint="eastAsia"/>
          <w:color w:val="auto"/>
          <w:highlight w:val="none"/>
        </w:rPr>
        <w:t>31.6.5应当提交授权书而未提交的；</w:t>
      </w:r>
    </w:p>
    <w:p>
      <w:pPr>
        <w:pStyle w:val="5"/>
        <w:ind w:firstLine="480"/>
        <w:rPr>
          <w:color w:val="auto"/>
          <w:highlight w:val="none"/>
        </w:rPr>
      </w:pPr>
      <w:r>
        <w:rPr>
          <w:rFonts w:hint="eastAsia"/>
          <w:color w:val="auto"/>
          <w:highlight w:val="none"/>
        </w:rPr>
        <w:t>31.6.6以非法手段取得证据、材料的；</w:t>
      </w:r>
    </w:p>
    <w:p>
      <w:pPr>
        <w:pStyle w:val="5"/>
        <w:ind w:firstLine="480"/>
        <w:rPr>
          <w:color w:val="auto"/>
          <w:highlight w:val="none"/>
        </w:rPr>
      </w:pPr>
      <w:r>
        <w:rPr>
          <w:rFonts w:hint="eastAsia"/>
          <w:color w:val="auto"/>
          <w:highlight w:val="none"/>
        </w:rPr>
        <w:t>31.6.7质疑答复后，同一质疑人就同一事项或同一采购程序环节再次提出质疑的；</w:t>
      </w:r>
    </w:p>
    <w:p>
      <w:pPr>
        <w:pStyle w:val="5"/>
        <w:ind w:firstLine="480"/>
        <w:rPr>
          <w:color w:val="auto"/>
          <w:highlight w:val="none"/>
        </w:rPr>
      </w:pPr>
      <w:r>
        <w:rPr>
          <w:rFonts w:hint="eastAsia"/>
          <w:color w:val="auto"/>
          <w:highlight w:val="none"/>
        </w:rPr>
        <w:t>31.6.8不符合法律、法规、规章和政府采购监管机构规定的其他条件的。</w:t>
      </w:r>
    </w:p>
    <w:p>
      <w:pPr>
        <w:pStyle w:val="5"/>
        <w:ind w:firstLine="480"/>
        <w:rPr>
          <w:color w:val="auto"/>
          <w:highlight w:val="none"/>
        </w:rPr>
      </w:pPr>
      <w:r>
        <w:rPr>
          <w:rFonts w:hint="eastAsia"/>
          <w:color w:val="auto"/>
          <w:highlight w:val="none"/>
        </w:rPr>
        <w:t>31.7质疑答复</w:t>
      </w:r>
    </w:p>
    <w:p>
      <w:pPr>
        <w:pStyle w:val="5"/>
        <w:ind w:firstLine="480"/>
        <w:rPr>
          <w:color w:val="auto"/>
          <w:highlight w:val="none"/>
        </w:rPr>
      </w:pPr>
      <w:r>
        <w:rPr>
          <w:rFonts w:hint="eastAsia"/>
          <w:color w:val="auto"/>
          <w:highlight w:val="none"/>
        </w:rPr>
        <w:t>31.7.1采购人或采购代理机构在收到质疑函后7个工作日内作出答复，并以书面形式通知质疑投标人和其他有关投标人。</w:t>
      </w:r>
    </w:p>
    <w:p>
      <w:pPr>
        <w:pStyle w:val="5"/>
        <w:ind w:firstLine="480"/>
        <w:rPr>
          <w:color w:val="auto"/>
          <w:highlight w:val="none"/>
        </w:rPr>
      </w:pPr>
      <w:r>
        <w:rPr>
          <w:rFonts w:hint="eastAsia"/>
          <w:color w:val="auto"/>
          <w:highlight w:val="none"/>
        </w:rPr>
        <w:t>31.7.2质疑投标人对采购人、采购代理机构的答复不满意，或者采购人、采购代理机构未在规定时间内作出答复的，可以在答复期满后15个工作日内向同级人民政府财政部门提起投诉。</w:t>
      </w:r>
    </w:p>
    <w:p>
      <w:pPr>
        <w:pStyle w:val="5"/>
        <w:ind w:firstLine="480"/>
        <w:rPr>
          <w:color w:val="auto"/>
          <w:highlight w:val="none"/>
        </w:rPr>
      </w:pPr>
      <w:r>
        <w:rPr>
          <w:rFonts w:hint="eastAsia"/>
          <w:color w:val="auto"/>
          <w:highlight w:val="none"/>
        </w:rPr>
        <w:t>31.8其他需要说明的事项</w:t>
      </w:r>
    </w:p>
    <w:p>
      <w:pPr>
        <w:pStyle w:val="5"/>
        <w:ind w:firstLine="480"/>
        <w:rPr>
          <w:color w:val="auto"/>
          <w:highlight w:val="none"/>
        </w:rPr>
      </w:pPr>
      <w:r>
        <w:rPr>
          <w:rFonts w:hint="eastAsia"/>
          <w:color w:val="auto"/>
          <w:highlight w:val="none"/>
        </w:rPr>
        <w:t>31.8.1质疑函须按财政部《质疑函范本》给定的格式进行填写，范本下载详见【财政部国库司（gks.mof.gov.cn）】网站〖首页·政府采购管理〗栏目中的《政府采购投标人质疑函范本》。《政府采购投标人质疑函范本》链接地址：</w:t>
      </w:r>
    </w:p>
    <w:p>
      <w:pPr>
        <w:pStyle w:val="5"/>
        <w:ind w:firstLine="0" w:firstLineChars="0"/>
        <w:rPr>
          <w:color w:val="auto"/>
          <w:highlight w:val="none"/>
        </w:rPr>
      </w:pPr>
      <w:r>
        <w:rPr>
          <w:rFonts w:hint="eastAsia"/>
          <w:color w:val="auto"/>
          <w:highlight w:val="none"/>
        </w:rPr>
        <w:t>http：//gks.mof.gov.cn/zhengfucaigouguanli/201804/t20180401_2804589.html</w:t>
      </w:r>
    </w:p>
    <w:p>
      <w:pPr>
        <w:pStyle w:val="5"/>
        <w:ind w:firstLine="480"/>
        <w:rPr>
          <w:color w:val="auto"/>
          <w:highlight w:val="none"/>
        </w:rPr>
      </w:pPr>
      <w:r>
        <w:rPr>
          <w:rFonts w:hint="eastAsia"/>
          <w:color w:val="auto"/>
          <w:highlight w:val="none"/>
        </w:rPr>
        <w:t>31.8.2接收质疑函的方式：书面形式</w:t>
      </w:r>
    </w:p>
    <w:p>
      <w:pPr>
        <w:pStyle w:val="5"/>
        <w:ind w:firstLine="480"/>
        <w:rPr>
          <w:color w:val="auto"/>
          <w:highlight w:val="none"/>
        </w:rPr>
      </w:pPr>
      <w:r>
        <w:rPr>
          <w:rFonts w:hint="eastAsia"/>
          <w:color w:val="auto"/>
          <w:highlight w:val="none"/>
        </w:rPr>
        <w:t>31.8.3联系人：王倩倩、</w:t>
      </w:r>
      <w:r>
        <w:rPr>
          <w:rFonts w:hint="eastAsia"/>
          <w:color w:val="auto"/>
          <w:highlight w:val="none"/>
          <w:lang w:val="en-US" w:eastAsia="zh-CN"/>
        </w:rPr>
        <w:t>高欢欢</w:t>
      </w:r>
      <w:r>
        <w:rPr>
          <w:rFonts w:hint="eastAsia"/>
          <w:color w:val="auto"/>
          <w:highlight w:val="none"/>
        </w:rPr>
        <w:t>、卫钰</w:t>
      </w:r>
    </w:p>
    <w:p>
      <w:pPr>
        <w:pStyle w:val="5"/>
        <w:ind w:firstLine="480"/>
        <w:rPr>
          <w:rFonts w:hint="eastAsia" w:eastAsia="宋体"/>
          <w:color w:val="auto"/>
          <w:highlight w:val="none"/>
          <w:lang w:eastAsia="zh-CN"/>
        </w:rPr>
      </w:pPr>
      <w:r>
        <w:rPr>
          <w:rFonts w:hint="eastAsia"/>
          <w:color w:val="auto"/>
          <w:highlight w:val="none"/>
        </w:rPr>
        <w:t>31.8.4联系电话：029-89338755/81511576转80</w:t>
      </w:r>
      <w:r>
        <w:rPr>
          <w:rFonts w:hint="eastAsia"/>
          <w:color w:val="auto"/>
          <w:highlight w:val="none"/>
          <w:lang w:val="en-US" w:eastAsia="zh-CN"/>
        </w:rPr>
        <w:t>2</w:t>
      </w:r>
    </w:p>
    <w:p>
      <w:pPr>
        <w:pStyle w:val="5"/>
        <w:ind w:firstLine="480"/>
        <w:rPr>
          <w:color w:val="auto"/>
          <w:highlight w:val="none"/>
        </w:rPr>
      </w:pPr>
      <w:r>
        <w:rPr>
          <w:rFonts w:hint="eastAsia"/>
          <w:color w:val="auto"/>
          <w:highlight w:val="none"/>
        </w:rPr>
        <w:t>31.8.5通讯地址：陕西省西安市雁塔区南二环东段凯森盛世一号A座4层408室</w:t>
      </w:r>
    </w:p>
    <w:p>
      <w:pPr>
        <w:pStyle w:val="2"/>
        <w:rPr>
          <w:color w:val="auto"/>
          <w:highlight w:val="none"/>
        </w:rPr>
      </w:pPr>
      <w:r>
        <w:rPr>
          <w:rFonts w:hint="eastAsia"/>
          <w:color w:val="auto"/>
          <w:highlight w:val="none"/>
        </w:rPr>
        <w:t>32.政府采购信用担保及信用融资政策</w:t>
      </w:r>
    </w:p>
    <w:p>
      <w:pPr>
        <w:pStyle w:val="5"/>
        <w:ind w:firstLine="480"/>
        <w:rPr>
          <w:color w:val="auto"/>
          <w:highlight w:val="none"/>
        </w:rPr>
      </w:pPr>
      <w:r>
        <w:rPr>
          <w:rFonts w:hint="eastAsia"/>
          <w:color w:val="auto"/>
          <w:highlight w:val="none"/>
        </w:rPr>
        <w:t>《陕西省财政厅关于印发&lt;陕西省中小企业政府采购信用融资办法&gt;的通知》（陕财办采〔2018〕23号）相关政策、业务流程、办理平台</w:t>
      </w:r>
    </w:p>
    <w:p>
      <w:pPr>
        <w:pStyle w:val="5"/>
        <w:ind w:firstLine="480"/>
        <w:rPr>
          <w:color w:val="auto"/>
          <w:highlight w:val="none"/>
        </w:rPr>
      </w:pPr>
      <w:r>
        <w:rPr>
          <w:rFonts w:hint="eastAsia"/>
          <w:color w:val="auto"/>
          <w:highlight w:val="none"/>
        </w:rPr>
        <w:t>（http://www.ccgp-shaanxi.gov.cn/zcdservice/zcd/shanxi/）。</w:t>
      </w:r>
    </w:p>
    <w:p>
      <w:pPr>
        <w:pStyle w:val="2"/>
        <w:rPr>
          <w:color w:val="auto"/>
          <w:highlight w:val="none"/>
        </w:rPr>
      </w:pPr>
      <w:r>
        <w:rPr>
          <w:rFonts w:hint="eastAsia"/>
          <w:color w:val="auto"/>
          <w:highlight w:val="none"/>
        </w:rPr>
        <w:t>33.其他</w:t>
      </w:r>
      <w:bookmarkEnd w:id="93"/>
      <w:bookmarkEnd w:id="94"/>
    </w:p>
    <w:p>
      <w:pPr>
        <w:pStyle w:val="5"/>
        <w:ind w:firstLine="480"/>
        <w:rPr>
          <w:color w:val="auto"/>
          <w:highlight w:val="none"/>
        </w:rPr>
      </w:pPr>
      <w:bookmarkStart w:id="118" w:name="_Toc363474023"/>
      <w:r>
        <w:rPr>
          <w:rFonts w:hint="eastAsia"/>
          <w:color w:val="auto"/>
          <w:highlight w:val="none"/>
        </w:rPr>
        <w:t>33.1 废标的情形</w:t>
      </w:r>
    </w:p>
    <w:p>
      <w:pPr>
        <w:pStyle w:val="5"/>
        <w:ind w:firstLine="480"/>
        <w:rPr>
          <w:color w:val="auto"/>
          <w:highlight w:val="none"/>
        </w:rPr>
      </w:pPr>
      <w:r>
        <w:rPr>
          <w:rFonts w:hint="eastAsia"/>
          <w:color w:val="auto"/>
          <w:highlight w:val="none"/>
        </w:rPr>
        <w:t>33.1.1招标采购中，出现下列情形之一的，应予以废标：</w:t>
      </w:r>
    </w:p>
    <w:p>
      <w:pPr>
        <w:pStyle w:val="5"/>
        <w:ind w:firstLine="480"/>
        <w:rPr>
          <w:color w:val="auto"/>
          <w:highlight w:val="none"/>
        </w:rPr>
      </w:pPr>
      <w:r>
        <w:rPr>
          <w:rFonts w:hint="eastAsia"/>
          <w:color w:val="auto"/>
          <w:highlight w:val="none"/>
        </w:rPr>
        <w:t>（1）符合专业条件的投标人或者对招标文件作实质响应的投标人不足3家的；</w:t>
      </w:r>
    </w:p>
    <w:p>
      <w:pPr>
        <w:pStyle w:val="5"/>
        <w:ind w:firstLine="480"/>
        <w:rPr>
          <w:color w:val="auto"/>
          <w:highlight w:val="none"/>
        </w:rPr>
      </w:pPr>
      <w:r>
        <w:rPr>
          <w:rFonts w:hint="eastAsia"/>
          <w:color w:val="auto"/>
          <w:highlight w:val="none"/>
        </w:rPr>
        <w:t>（2）出现影响采购公正的违法、违规行为的；</w:t>
      </w:r>
    </w:p>
    <w:p>
      <w:pPr>
        <w:pStyle w:val="5"/>
        <w:ind w:firstLine="480"/>
        <w:rPr>
          <w:color w:val="auto"/>
          <w:highlight w:val="none"/>
        </w:rPr>
      </w:pPr>
      <w:r>
        <w:rPr>
          <w:rFonts w:hint="eastAsia"/>
          <w:color w:val="auto"/>
          <w:highlight w:val="none"/>
        </w:rPr>
        <w:t>（3）投标人的报价均超过了采购预算，采购人不能支付的；</w:t>
      </w:r>
    </w:p>
    <w:p>
      <w:pPr>
        <w:pStyle w:val="5"/>
        <w:ind w:firstLine="480"/>
        <w:rPr>
          <w:color w:val="auto"/>
          <w:highlight w:val="none"/>
        </w:rPr>
      </w:pPr>
      <w:r>
        <w:rPr>
          <w:rFonts w:hint="eastAsia"/>
          <w:color w:val="auto"/>
          <w:highlight w:val="none"/>
        </w:rPr>
        <w:t>（4）因重大变故，采购任务取消的。</w:t>
      </w:r>
    </w:p>
    <w:p>
      <w:pPr>
        <w:pStyle w:val="5"/>
        <w:ind w:firstLine="480"/>
        <w:rPr>
          <w:color w:val="auto"/>
          <w:highlight w:val="none"/>
        </w:rPr>
      </w:pPr>
      <w:r>
        <w:rPr>
          <w:rFonts w:hint="eastAsia"/>
          <w:color w:val="auto"/>
          <w:highlight w:val="none"/>
        </w:rPr>
        <w:t>33.1.2废标后，采购代理机构应在财政部门指定采购网上公告，并公告废标的详细理由。</w:t>
      </w:r>
    </w:p>
    <w:p>
      <w:pPr>
        <w:pStyle w:val="5"/>
        <w:ind w:firstLine="480"/>
        <w:rPr>
          <w:color w:val="auto"/>
          <w:highlight w:val="none"/>
        </w:rPr>
      </w:pPr>
      <w:r>
        <w:rPr>
          <w:rFonts w:hint="eastAsia"/>
          <w:color w:val="auto"/>
          <w:highlight w:val="none"/>
        </w:rPr>
        <w:t>33.2变更采购方式</w:t>
      </w:r>
    </w:p>
    <w:p>
      <w:pPr>
        <w:pStyle w:val="5"/>
        <w:ind w:firstLine="480"/>
        <w:rPr>
          <w:color w:val="auto"/>
          <w:highlight w:val="none"/>
        </w:rPr>
      </w:pPr>
      <w:r>
        <w:rPr>
          <w:rFonts w:hint="eastAsia"/>
          <w:color w:val="auto"/>
          <w:highlight w:val="none"/>
        </w:rPr>
        <w:t>33.2.1存在下列情形之一的，除采购任务取消情形外，采购人经同级财政部门同意后，可按《政府采购货物和服务招标投标管理办法》（财政部87号令）第四十三条规定的方式处理：</w:t>
      </w:r>
    </w:p>
    <w:p>
      <w:pPr>
        <w:pStyle w:val="5"/>
        <w:ind w:firstLine="480"/>
        <w:rPr>
          <w:color w:val="auto"/>
          <w:highlight w:val="none"/>
        </w:rPr>
      </w:pPr>
      <w:r>
        <w:rPr>
          <w:rFonts w:hint="eastAsia"/>
          <w:color w:val="auto"/>
          <w:highlight w:val="none"/>
        </w:rPr>
        <w:t xml:space="preserve">（1）投标截止后参加投标的人不足3家的； </w:t>
      </w:r>
    </w:p>
    <w:p>
      <w:pPr>
        <w:pStyle w:val="5"/>
        <w:ind w:firstLine="480"/>
        <w:rPr>
          <w:color w:val="auto"/>
          <w:highlight w:val="none"/>
        </w:rPr>
      </w:pPr>
      <w:r>
        <w:rPr>
          <w:rFonts w:hint="eastAsia"/>
          <w:color w:val="auto"/>
          <w:highlight w:val="none"/>
        </w:rPr>
        <w:t xml:space="preserve">（2）通过资格审查的投标人不足3家的； </w:t>
      </w:r>
    </w:p>
    <w:p>
      <w:pPr>
        <w:pStyle w:val="5"/>
        <w:ind w:firstLine="480"/>
        <w:rPr>
          <w:color w:val="auto"/>
          <w:highlight w:val="none"/>
        </w:rPr>
      </w:pPr>
      <w:r>
        <w:rPr>
          <w:rFonts w:hint="eastAsia"/>
          <w:color w:val="auto"/>
          <w:highlight w:val="none"/>
        </w:rPr>
        <w:t>（3）通过符合性审查的投标人不足3家的。</w:t>
      </w:r>
    </w:p>
    <w:p>
      <w:pPr>
        <w:pStyle w:val="5"/>
        <w:ind w:firstLine="480"/>
        <w:rPr>
          <w:color w:val="auto"/>
          <w:highlight w:val="none"/>
        </w:rPr>
      </w:pPr>
      <w:r>
        <w:rPr>
          <w:rFonts w:hint="eastAsia"/>
          <w:color w:val="auto"/>
          <w:highlight w:val="none"/>
        </w:rPr>
        <w:t>33.2.2通过符合性审查的投标人只有2家时，采购人经同级财政部门同意后，可以按《政府采购非招标采购方式管理办法》（财政部第74号令）的规定与该2家投标人进行竞争性谈判采购。</w:t>
      </w:r>
    </w:p>
    <w:p>
      <w:pPr>
        <w:pStyle w:val="6"/>
        <w:ind w:left="1440"/>
        <w:rPr>
          <w:color w:val="auto"/>
          <w:highlight w:val="none"/>
        </w:rPr>
      </w:pPr>
    </w:p>
    <w:p>
      <w:pPr>
        <w:pStyle w:val="3"/>
        <w:spacing w:before="333"/>
        <w:rPr>
          <w:color w:val="auto"/>
          <w:highlight w:val="none"/>
        </w:rPr>
      </w:pPr>
      <w:bookmarkStart w:id="119" w:name="_Toc11810"/>
      <w:bookmarkStart w:id="120" w:name="_Toc403077645"/>
      <w:bookmarkStart w:id="121" w:name="_Toc426457694"/>
      <w:bookmarkStart w:id="122" w:name="_Toc3798"/>
      <w:bookmarkStart w:id="123" w:name="_Toc15898"/>
      <w:r>
        <w:rPr>
          <w:rFonts w:hint="eastAsia"/>
          <w:color w:val="auto"/>
          <w:highlight w:val="none"/>
        </w:rPr>
        <w:br w:type="page"/>
      </w:r>
      <w:bookmarkStart w:id="124" w:name="_Toc26429"/>
      <w:r>
        <w:rPr>
          <w:rFonts w:hint="eastAsia"/>
          <w:color w:val="auto"/>
          <w:highlight w:val="none"/>
        </w:rPr>
        <w:t xml:space="preserve">第三章  </w:t>
      </w:r>
      <w:bookmarkEnd w:id="119"/>
      <w:bookmarkEnd w:id="120"/>
      <w:bookmarkEnd w:id="121"/>
      <w:bookmarkEnd w:id="122"/>
      <w:bookmarkEnd w:id="123"/>
      <w:r>
        <w:rPr>
          <w:rFonts w:hint="eastAsia"/>
          <w:color w:val="auto"/>
          <w:highlight w:val="none"/>
        </w:rPr>
        <w:t>商务及合同主要条款</w:t>
      </w:r>
      <w:bookmarkEnd w:id="124"/>
    </w:p>
    <w:p>
      <w:pPr>
        <w:pStyle w:val="2"/>
        <w:jc w:val="center"/>
        <w:rPr>
          <w:rFonts w:hint="eastAsia"/>
          <w:color w:val="auto"/>
          <w:highlight w:val="none"/>
        </w:rPr>
      </w:pPr>
      <w:bookmarkStart w:id="125" w:name="_Toc19199"/>
      <w:bookmarkStart w:id="126" w:name="_Toc31683"/>
      <w:bookmarkStart w:id="127" w:name="_Toc9053"/>
      <w:bookmarkStart w:id="128" w:name="_Toc31520"/>
      <w:bookmarkStart w:id="129" w:name="_Toc29888"/>
      <w:bookmarkStart w:id="130" w:name="_Toc8333"/>
      <w:bookmarkStart w:id="131" w:name="_Toc426457696"/>
      <w:bookmarkStart w:id="132" w:name="_Toc20109"/>
      <w:bookmarkStart w:id="133" w:name="_Toc19246"/>
      <w:bookmarkStart w:id="134" w:name="_Toc26595"/>
      <w:bookmarkStart w:id="135" w:name="_Toc389582037"/>
      <w:bookmarkStart w:id="136" w:name="_Toc20230"/>
      <w:r>
        <w:rPr>
          <w:rFonts w:hint="eastAsia"/>
          <w:color w:val="auto"/>
          <w:highlight w:val="none"/>
        </w:rPr>
        <w:t>合同主要条款</w:t>
      </w:r>
    </w:p>
    <w:p>
      <w:pPr>
        <w:pStyle w:val="2"/>
        <w:jc w:val="center"/>
        <w:rPr>
          <w:color w:val="auto"/>
          <w:highlight w:val="none"/>
        </w:rPr>
      </w:pPr>
      <w:r>
        <w:rPr>
          <w:rFonts w:hint="eastAsia"/>
          <w:color w:val="auto"/>
          <w:highlight w:val="none"/>
        </w:rPr>
        <w:t>（此合同只作为参考，最终签订的合同以采购人确定的合同内容为准）</w:t>
      </w:r>
    </w:p>
    <w:p>
      <w:pPr>
        <w:spacing w:line="440" w:lineRule="exact"/>
        <w:ind w:firstLine="482" w:firstLineChars="200"/>
        <w:rPr>
          <w:rFonts w:hAnsi="宋体"/>
          <w:b/>
          <w:color w:val="auto"/>
          <w:highlight w:val="none"/>
        </w:rPr>
      </w:pPr>
      <w:r>
        <w:rPr>
          <w:rFonts w:hint="eastAsia" w:hAnsi="宋体"/>
          <w:b/>
          <w:color w:val="auto"/>
          <w:highlight w:val="none"/>
        </w:rPr>
        <w:t>1.定义</w:t>
      </w:r>
    </w:p>
    <w:p>
      <w:pPr>
        <w:spacing w:line="440" w:lineRule="exact"/>
        <w:ind w:firstLine="480" w:firstLineChars="200"/>
        <w:rPr>
          <w:rFonts w:hAnsi="宋体"/>
          <w:color w:val="auto"/>
          <w:highlight w:val="none"/>
        </w:rPr>
      </w:pPr>
      <w:r>
        <w:rPr>
          <w:rFonts w:hint="eastAsia" w:hAnsi="宋体"/>
          <w:color w:val="auto"/>
          <w:highlight w:val="none"/>
        </w:rPr>
        <w:t>本合同的下列术语应解释为：</w:t>
      </w:r>
    </w:p>
    <w:p>
      <w:pPr>
        <w:spacing w:line="440" w:lineRule="exact"/>
        <w:ind w:firstLine="480" w:firstLineChars="200"/>
        <w:rPr>
          <w:rFonts w:hAnsi="宋体"/>
          <w:color w:val="auto"/>
          <w:highlight w:val="none"/>
        </w:rPr>
      </w:pPr>
      <w:r>
        <w:rPr>
          <w:rFonts w:hint="eastAsia" w:hAnsi="宋体"/>
          <w:color w:val="auto"/>
          <w:highlight w:val="none"/>
        </w:rPr>
        <w:t>1.1“合同”系指买卖双方签署的、合同格式中载明的买卖双方所达成的协议，包括所有的附件和上述文件所提到的构成合同的所有文件。</w:t>
      </w:r>
    </w:p>
    <w:p>
      <w:pPr>
        <w:spacing w:line="440" w:lineRule="exact"/>
        <w:ind w:firstLine="480" w:firstLineChars="200"/>
        <w:rPr>
          <w:rFonts w:hAnsi="宋体"/>
          <w:color w:val="auto"/>
          <w:highlight w:val="none"/>
        </w:rPr>
      </w:pPr>
      <w:r>
        <w:rPr>
          <w:rFonts w:hint="eastAsia" w:hAnsi="宋体"/>
          <w:color w:val="auto"/>
          <w:highlight w:val="none"/>
        </w:rPr>
        <w:t>1.2“合同价”系指根据本合同规定卖方在正确地完全履行合同义务后买方应支付给卖方的价格。</w:t>
      </w:r>
    </w:p>
    <w:p>
      <w:pPr>
        <w:spacing w:line="440" w:lineRule="exact"/>
        <w:ind w:firstLine="480" w:firstLineChars="200"/>
        <w:rPr>
          <w:rFonts w:hAnsi="宋体"/>
          <w:color w:val="auto"/>
          <w:highlight w:val="none"/>
        </w:rPr>
      </w:pPr>
      <w:r>
        <w:rPr>
          <w:rFonts w:hint="eastAsia" w:hAnsi="宋体"/>
          <w:color w:val="auto"/>
          <w:highlight w:val="none"/>
        </w:rPr>
        <w:t>1.3“图书”系指卖方根据本合同规定向买方提供的适于高校师生阅读的图书。</w:t>
      </w:r>
    </w:p>
    <w:p>
      <w:pPr>
        <w:spacing w:line="440" w:lineRule="exact"/>
        <w:ind w:firstLine="480" w:firstLineChars="200"/>
        <w:rPr>
          <w:rFonts w:hAnsi="宋体"/>
          <w:color w:val="auto"/>
          <w:highlight w:val="none"/>
        </w:rPr>
      </w:pPr>
      <w:r>
        <w:rPr>
          <w:rFonts w:hint="eastAsia" w:hAnsi="宋体"/>
          <w:color w:val="auto"/>
          <w:highlight w:val="none"/>
        </w:rPr>
        <w:t>1.4“服务”系指根据本合同规定卖方承担与供货有关的辅助服务，如运输、保险以及合同中规定卖方应承担的其它义务。</w:t>
      </w:r>
    </w:p>
    <w:p>
      <w:pPr>
        <w:spacing w:line="440" w:lineRule="exact"/>
        <w:ind w:firstLine="480" w:firstLineChars="200"/>
        <w:rPr>
          <w:rFonts w:hAnsi="宋体"/>
          <w:color w:val="auto"/>
          <w:highlight w:val="none"/>
        </w:rPr>
      </w:pPr>
      <w:r>
        <w:rPr>
          <w:rFonts w:hint="eastAsia" w:hAnsi="宋体"/>
          <w:color w:val="auto"/>
          <w:highlight w:val="none"/>
        </w:rPr>
        <w:t>1.5“买方”系指购买图书和服务的用户代表单位。</w:t>
      </w:r>
    </w:p>
    <w:p>
      <w:pPr>
        <w:spacing w:line="440" w:lineRule="exact"/>
        <w:ind w:firstLine="480" w:firstLineChars="200"/>
        <w:rPr>
          <w:rFonts w:hAnsi="宋体"/>
          <w:color w:val="auto"/>
          <w:highlight w:val="none"/>
        </w:rPr>
      </w:pPr>
      <w:r>
        <w:rPr>
          <w:rFonts w:hint="eastAsia" w:hAnsi="宋体"/>
          <w:color w:val="auto"/>
          <w:highlight w:val="none"/>
        </w:rPr>
        <w:t>1.6“卖方”系指提供本合同项下图书和服务的供货商。</w:t>
      </w:r>
    </w:p>
    <w:p>
      <w:pPr>
        <w:spacing w:line="440" w:lineRule="exact"/>
        <w:ind w:firstLine="480" w:firstLineChars="200"/>
        <w:rPr>
          <w:rFonts w:hAnsi="宋体"/>
          <w:color w:val="auto"/>
          <w:highlight w:val="none"/>
        </w:rPr>
      </w:pPr>
      <w:r>
        <w:rPr>
          <w:rFonts w:hint="eastAsia" w:hAnsi="宋体"/>
          <w:color w:val="auto"/>
          <w:highlight w:val="none"/>
        </w:rPr>
        <w:t>1.7“项目现场”系指本合同项下图书运抵的现场。</w:t>
      </w:r>
    </w:p>
    <w:p>
      <w:pPr>
        <w:spacing w:line="440" w:lineRule="exact"/>
        <w:ind w:firstLine="480" w:firstLineChars="200"/>
        <w:rPr>
          <w:rFonts w:hAnsi="宋体"/>
          <w:color w:val="auto"/>
          <w:highlight w:val="none"/>
        </w:rPr>
      </w:pPr>
      <w:r>
        <w:rPr>
          <w:rFonts w:hint="eastAsia" w:hAnsi="宋体"/>
          <w:color w:val="auto"/>
          <w:highlight w:val="none"/>
        </w:rPr>
        <w:t>1.8“验收”系指合同双方依据规定的程序和条件确认合同项下的图书符合技术的要求。</w:t>
      </w:r>
    </w:p>
    <w:p>
      <w:pPr>
        <w:spacing w:line="440" w:lineRule="exact"/>
        <w:ind w:firstLine="480" w:firstLineChars="200"/>
        <w:rPr>
          <w:rFonts w:hAnsi="宋体"/>
          <w:color w:val="auto"/>
          <w:highlight w:val="none"/>
        </w:rPr>
      </w:pPr>
      <w:r>
        <w:rPr>
          <w:rFonts w:hint="eastAsia" w:hAnsi="宋体"/>
          <w:color w:val="auto"/>
          <w:highlight w:val="none"/>
        </w:rPr>
        <w:t>1.9 “合同条款”系指本合同条款。</w:t>
      </w:r>
    </w:p>
    <w:p>
      <w:pPr>
        <w:spacing w:line="440" w:lineRule="exact"/>
        <w:ind w:firstLine="480" w:firstLineChars="200"/>
        <w:rPr>
          <w:rFonts w:hAnsi="宋体"/>
          <w:color w:val="auto"/>
          <w:highlight w:val="none"/>
        </w:rPr>
      </w:pPr>
      <w:r>
        <w:rPr>
          <w:rFonts w:hint="eastAsia" w:hAnsi="宋体"/>
          <w:color w:val="auto"/>
          <w:highlight w:val="none"/>
        </w:rPr>
        <w:t>1.10 “天”指日历天数。</w:t>
      </w:r>
    </w:p>
    <w:p>
      <w:pPr>
        <w:spacing w:line="440" w:lineRule="exact"/>
        <w:ind w:firstLine="482" w:firstLineChars="200"/>
        <w:rPr>
          <w:rFonts w:hAnsi="宋体"/>
          <w:b/>
          <w:color w:val="auto"/>
          <w:highlight w:val="none"/>
        </w:rPr>
      </w:pPr>
      <w:r>
        <w:rPr>
          <w:rFonts w:hint="eastAsia" w:hAnsi="宋体"/>
          <w:b/>
          <w:color w:val="auto"/>
          <w:highlight w:val="none"/>
        </w:rPr>
        <w:t>2. 适用性</w:t>
      </w:r>
    </w:p>
    <w:p>
      <w:pPr>
        <w:spacing w:line="440" w:lineRule="exact"/>
        <w:ind w:firstLine="480" w:firstLineChars="200"/>
        <w:rPr>
          <w:rFonts w:hAnsi="宋体"/>
          <w:b/>
          <w:color w:val="auto"/>
          <w:highlight w:val="none"/>
        </w:rPr>
      </w:pPr>
      <w:r>
        <w:rPr>
          <w:rFonts w:hint="eastAsia" w:hAnsi="宋体"/>
          <w:color w:val="auto"/>
          <w:highlight w:val="none"/>
        </w:rPr>
        <w:t>本合同条款适用于没有被本合同其他部分的条款所取代的范围。</w:t>
      </w:r>
    </w:p>
    <w:p>
      <w:pPr>
        <w:spacing w:line="440" w:lineRule="exact"/>
        <w:ind w:firstLine="482" w:firstLineChars="200"/>
        <w:rPr>
          <w:rFonts w:hAnsi="宋体"/>
          <w:b/>
          <w:color w:val="auto"/>
          <w:highlight w:val="none"/>
        </w:rPr>
      </w:pPr>
      <w:r>
        <w:rPr>
          <w:rFonts w:hint="eastAsia" w:hAnsi="宋体"/>
          <w:b/>
          <w:color w:val="auto"/>
          <w:highlight w:val="none"/>
        </w:rPr>
        <w:t>3.标准</w:t>
      </w:r>
    </w:p>
    <w:p>
      <w:pPr>
        <w:spacing w:line="440" w:lineRule="exact"/>
        <w:ind w:firstLine="480" w:firstLineChars="200"/>
        <w:rPr>
          <w:rFonts w:hAnsi="宋体"/>
          <w:b/>
          <w:color w:val="auto"/>
          <w:highlight w:val="none"/>
        </w:rPr>
      </w:pPr>
      <w:r>
        <w:rPr>
          <w:rFonts w:hint="eastAsia" w:hAnsi="宋体"/>
          <w:color w:val="auto"/>
          <w:highlight w:val="none"/>
        </w:rPr>
        <w:t>本合同下交付的图书应符合国家有关机构发布的最新版本的标准。</w:t>
      </w:r>
    </w:p>
    <w:p>
      <w:pPr>
        <w:spacing w:line="440" w:lineRule="exact"/>
        <w:ind w:firstLine="482" w:firstLineChars="200"/>
        <w:rPr>
          <w:rFonts w:hAnsi="宋体"/>
          <w:b/>
          <w:color w:val="auto"/>
          <w:highlight w:val="none"/>
        </w:rPr>
      </w:pPr>
      <w:r>
        <w:rPr>
          <w:rFonts w:hint="eastAsia" w:hAnsi="宋体"/>
          <w:b/>
          <w:color w:val="auto"/>
          <w:highlight w:val="none"/>
        </w:rPr>
        <w:t>4.知识产权</w:t>
      </w:r>
    </w:p>
    <w:p>
      <w:pPr>
        <w:spacing w:line="440" w:lineRule="exact"/>
        <w:ind w:firstLine="480" w:firstLineChars="200"/>
        <w:rPr>
          <w:rFonts w:hAnsi="宋体"/>
          <w:b/>
          <w:color w:val="auto"/>
          <w:highlight w:val="none"/>
        </w:rPr>
      </w:pPr>
      <w:r>
        <w:rPr>
          <w:rFonts w:hint="eastAsia" w:hAnsi="宋体"/>
          <w:color w:val="auto"/>
          <w:highlight w:val="none"/>
        </w:rPr>
        <w:t>卖方应保证，买方在中华人民共和国使用该图书或图书的任何一部分时，免受第三方提出的侵犯其版权的起诉。如果任何第三方提出侵权起诉，卖方须与第三方交涉并承担可能发生的一切法律责任和费用。</w:t>
      </w:r>
    </w:p>
    <w:p>
      <w:pPr>
        <w:spacing w:line="440" w:lineRule="exact"/>
        <w:ind w:firstLine="482" w:firstLineChars="200"/>
        <w:rPr>
          <w:rFonts w:hAnsi="宋体"/>
          <w:b/>
          <w:color w:val="auto"/>
          <w:highlight w:val="none"/>
        </w:rPr>
      </w:pPr>
      <w:r>
        <w:rPr>
          <w:rFonts w:hint="eastAsia" w:hAnsi="宋体"/>
          <w:b/>
          <w:color w:val="auto"/>
          <w:highlight w:val="none"/>
        </w:rPr>
        <w:t>5.履约保证金</w:t>
      </w:r>
    </w:p>
    <w:p>
      <w:pPr>
        <w:spacing w:line="440" w:lineRule="exact"/>
        <w:ind w:firstLine="480" w:firstLineChars="200"/>
        <w:rPr>
          <w:rFonts w:hAnsi="宋体"/>
          <w:color w:val="auto"/>
          <w:highlight w:val="none"/>
        </w:rPr>
      </w:pPr>
      <w:r>
        <w:rPr>
          <w:rFonts w:hint="eastAsia" w:hAnsi="宋体"/>
          <w:color w:val="auto"/>
          <w:highlight w:val="none"/>
        </w:rPr>
        <w:t>详见投标人须知前附表</w:t>
      </w:r>
    </w:p>
    <w:p>
      <w:pPr>
        <w:spacing w:line="440" w:lineRule="exact"/>
        <w:ind w:firstLine="482" w:firstLineChars="200"/>
        <w:rPr>
          <w:rFonts w:hAnsi="宋体"/>
          <w:b/>
          <w:color w:val="auto"/>
          <w:highlight w:val="none"/>
        </w:rPr>
      </w:pPr>
      <w:r>
        <w:rPr>
          <w:rFonts w:hint="eastAsia" w:hAnsi="宋体"/>
          <w:b/>
          <w:color w:val="auto"/>
          <w:highlight w:val="none"/>
        </w:rPr>
        <w:t>6.运输及包装</w:t>
      </w:r>
    </w:p>
    <w:p>
      <w:pPr>
        <w:snapToGrid w:val="0"/>
        <w:spacing w:line="440" w:lineRule="exact"/>
        <w:ind w:firstLine="480" w:firstLineChars="200"/>
        <w:rPr>
          <w:rFonts w:hAnsi="宋体"/>
          <w:color w:val="auto"/>
          <w:highlight w:val="none"/>
        </w:rPr>
      </w:pPr>
      <w:r>
        <w:rPr>
          <w:rFonts w:hint="eastAsia" w:hAnsi="宋体"/>
          <w:color w:val="auto"/>
          <w:highlight w:val="none"/>
        </w:rPr>
        <w:t>卖方免费负责买方每批选（订）购的图书的运输及包装。</w:t>
      </w:r>
    </w:p>
    <w:p>
      <w:pPr>
        <w:snapToGrid w:val="0"/>
        <w:spacing w:line="440" w:lineRule="exact"/>
        <w:ind w:firstLine="482" w:firstLineChars="200"/>
        <w:rPr>
          <w:rFonts w:hAnsi="宋体"/>
          <w:b/>
          <w:color w:val="auto"/>
          <w:highlight w:val="none"/>
        </w:rPr>
      </w:pPr>
      <w:r>
        <w:rPr>
          <w:rFonts w:hint="eastAsia" w:hAnsi="宋体"/>
          <w:b/>
          <w:color w:val="auto"/>
          <w:highlight w:val="none"/>
        </w:rPr>
        <w:t>7. 运输和保险</w:t>
      </w:r>
    </w:p>
    <w:p>
      <w:pPr>
        <w:spacing w:line="440" w:lineRule="exact"/>
        <w:ind w:firstLine="480" w:firstLineChars="200"/>
        <w:rPr>
          <w:rFonts w:hAnsi="宋体"/>
          <w:color w:val="auto"/>
          <w:highlight w:val="none"/>
        </w:rPr>
      </w:pPr>
      <w:r>
        <w:rPr>
          <w:rFonts w:hint="eastAsia" w:hAnsi="宋体"/>
          <w:color w:val="auto"/>
          <w:highlight w:val="none"/>
        </w:rPr>
        <w:t>卖方负责将买方每批选（订）购的图书送达买方指定的收货地点。并承担在此之前的所有责任及所有费用。</w:t>
      </w:r>
    </w:p>
    <w:p>
      <w:pPr>
        <w:spacing w:line="440" w:lineRule="exact"/>
        <w:ind w:firstLine="482" w:firstLineChars="200"/>
        <w:rPr>
          <w:rFonts w:hAnsi="宋体"/>
          <w:b/>
          <w:color w:val="auto"/>
          <w:highlight w:val="none"/>
        </w:rPr>
      </w:pPr>
      <w:r>
        <w:rPr>
          <w:rFonts w:hint="eastAsia" w:hAnsi="宋体"/>
          <w:b/>
          <w:color w:val="auto"/>
          <w:highlight w:val="none"/>
        </w:rPr>
        <w:t>8．验收</w:t>
      </w:r>
    </w:p>
    <w:p>
      <w:pPr>
        <w:spacing w:line="440" w:lineRule="exact"/>
        <w:ind w:firstLine="480" w:firstLineChars="200"/>
        <w:rPr>
          <w:rFonts w:hAnsi="宋体"/>
          <w:color w:val="auto"/>
          <w:highlight w:val="none"/>
        </w:rPr>
      </w:pPr>
      <w:r>
        <w:rPr>
          <w:rFonts w:hint="eastAsia" w:hAnsi="宋体"/>
          <w:color w:val="auto"/>
          <w:highlight w:val="none"/>
        </w:rPr>
        <w:t>8.1每批图书到位后，买方对图书品目、数量、质量进行验收。对于不合格的图书，卖方必须及时补齐纠正，否则按短缺图书处理。</w:t>
      </w:r>
    </w:p>
    <w:p>
      <w:pPr>
        <w:spacing w:line="440" w:lineRule="exact"/>
        <w:ind w:firstLine="480" w:firstLineChars="200"/>
        <w:rPr>
          <w:rFonts w:hAnsi="宋体"/>
          <w:color w:val="auto"/>
          <w:highlight w:val="none"/>
        </w:rPr>
      </w:pPr>
      <w:r>
        <w:rPr>
          <w:rFonts w:hint="eastAsia" w:hAnsi="宋体"/>
          <w:color w:val="auto"/>
          <w:highlight w:val="none"/>
        </w:rPr>
        <w:t>8.2 验收依据：</w:t>
      </w:r>
    </w:p>
    <w:p>
      <w:pPr>
        <w:spacing w:line="440" w:lineRule="exact"/>
        <w:ind w:firstLine="480" w:firstLineChars="200"/>
        <w:rPr>
          <w:rFonts w:hAnsi="宋体"/>
          <w:color w:val="auto"/>
          <w:highlight w:val="none"/>
        </w:rPr>
      </w:pPr>
      <w:r>
        <w:rPr>
          <w:rFonts w:hint="eastAsia" w:hAnsi="宋体"/>
          <w:color w:val="auto"/>
          <w:highlight w:val="none"/>
        </w:rPr>
        <w:t xml:space="preserve">  (1) 招标文件；</w:t>
      </w:r>
    </w:p>
    <w:p>
      <w:pPr>
        <w:spacing w:line="440" w:lineRule="exact"/>
        <w:ind w:firstLine="720" w:firstLineChars="300"/>
        <w:rPr>
          <w:rFonts w:hAnsi="宋体"/>
          <w:color w:val="auto"/>
          <w:highlight w:val="none"/>
        </w:rPr>
      </w:pPr>
      <w:r>
        <w:rPr>
          <w:rFonts w:hint="eastAsia" w:hAnsi="宋体"/>
          <w:color w:val="auto"/>
          <w:highlight w:val="none"/>
        </w:rPr>
        <w:t xml:space="preserve">(2) 合同文本； </w:t>
      </w:r>
    </w:p>
    <w:p>
      <w:pPr>
        <w:spacing w:line="440" w:lineRule="exact"/>
        <w:ind w:firstLine="720" w:firstLineChars="300"/>
        <w:rPr>
          <w:rFonts w:hAnsi="宋体"/>
          <w:color w:val="auto"/>
          <w:highlight w:val="none"/>
        </w:rPr>
      </w:pPr>
      <w:r>
        <w:rPr>
          <w:rFonts w:hint="eastAsia" w:hAnsi="宋体"/>
          <w:color w:val="auto"/>
          <w:highlight w:val="none"/>
        </w:rPr>
        <w:t>(3) 投标文件；</w:t>
      </w:r>
    </w:p>
    <w:p>
      <w:pPr>
        <w:spacing w:line="440" w:lineRule="exact"/>
        <w:ind w:firstLine="720" w:firstLineChars="300"/>
        <w:rPr>
          <w:rFonts w:hAnsi="宋体"/>
          <w:color w:val="auto"/>
          <w:highlight w:val="none"/>
        </w:rPr>
      </w:pPr>
      <w:r>
        <w:rPr>
          <w:rFonts w:hint="eastAsia" w:hAnsi="宋体"/>
          <w:color w:val="auto"/>
          <w:highlight w:val="none"/>
        </w:rPr>
        <w:t>(4) 图书订单；</w:t>
      </w:r>
    </w:p>
    <w:p>
      <w:pPr>
        <w:adjustRightInd w:val="0"/>
        <w:snapToGrid w:val="0"/>
        <w:spacing w:line="440" w:lineRule="exact"/>
        <w:ind w:firstLine="708" w:firstLineChars="295"/>
        <w:rPr>
          <w:rFonts w:hAnsi="宋体"/>
          <w:color w:val="auto"/>
          <w:highlight w:val="none"/>
        </w:rPr>
      </w:pPr>
      <w:r>
        <w:rPr>
          <w:rFonts w:hint="eastAsia" w:hAnsi="宋体"/>
          <w:color w:val="auto"/>
          <w:highlight w:val="none"/>
        </w:rPr>
        <w:t>(5) 国内相应的标准、规范。</w:t>
      </w:r>
    </w:p>
    <w:p>
      <w:pPr>
        <w:spacing w:line="440" w:lineRule="exact"/>
        <w:ind w:firstLine="480" w:firstLineChars="200"/>
        <w:rPr>
          <w:rFonts w:hAnsi="宋体"/>
          <w:color w:val="auto"/>
          <w:highlight w:val="none"/>
        </w:rPr>
      </w:pPr>
      <w:r>
        <w:rPr>
          <w:rFonts w:hint="eastAsia" w:hAnsi="宋体"/>
          <w:color w:val="auto"/>
          <w:highlight w:val="none"/>
        </w:rPr>
        <w:t>8.3 合同条款第8条的规定不能免除卖方在本合同项下的保证义务或其他义务。</w:t>
      </w:r>
    </w:p>
    <w:p>
      <w:pPr>
        <w:spacing w:line="440" w:lineRule="exact"/>
        <w:ind w:firstLine="482" w:firstLineChars="200"/>
        <w:rPr>
          <w:rFonts w:hAnsi="宋体"/>
          <w:b/>
          <w:color w:val="auto"/>
          <w:highlight w:val="none"/>
        </w:rPr>
      </w:pPr>
      <w:r>
        <w:rPr>
          <w:rFonts w:hint="eastAsia" w:hAnsi="宋体"/>
          <w:b/>
          <w:color w:val="auto"/>
          <w:highlight w:val="none"/>
        </w:rPr>
        <w:t>9.付款方式</w:t>
      </w:r>
    </w:p>
    <w:p>
      <w:pPr>
        <w:spacing w:line="440" w:lineRule="exact"/>
        <w:ind w:firstLine="480" w:firstLineChars="200"/>
        <w:rPr>
          <w:rFonts w:hAnsi="宋体"/>
          <w:color w:val="auto"/>
          <w:highlight w:val="none"/>
        </w:rPr>
      </w:pPr>
      <w:r>
        <w:rPr>
          <w:rFonts w:hint="eastAsia" w:hAnsi="宋体"/>
          <w:color w:val="auto"/>
          <w:highlight w:val="none"/>
        </w:rPr>
        <w:t>详见投标人须知前附表</w:t>
      </w:r>
    </w:p>
    <w:p>
      <w:pPr>
        <w:spacing w:line="440" w:lineRule="exact"/>
        <w:ind w:firstLine="482" w:firstLineChars="200"/>
        <w:rPr>
          <w:rFonts w:hAnsi="宋体"/>
          <w:b/>
          <w:color w:val="auto"/>
          <w:highlight w:val="none"/>
        </w:rPr>
      </w:pPr>
      <w:r>
        <w:rPr>
          <w:rFonts w:hint="eastAsia" w:hAnsi="宋体"/>
          <w:b/>
          <w:color w:val="auto"/>
          <w:highlight w:val="none"/>
        </w:rPr>
        <w:t>10.质量保证</w:t>
      </w:r>
    </w:p>
    <w:p>
      <w:pPr>
        <w:spacing w:line="440" w:lineRule="exact"/>
        <w:ind w:firstLine="480" w:firstLineChars="200"/>
        <w:rPr>
          <w:rFonts w:hAnsi="宋体"/>
          <w:color w:val="auto"/>
          <w:highlight w:val="none"/>
        </w:rPr>
      </w:pPr>
      <w:r>
        <w:rPr>
          <w:rFonts w:hint="eastAsia" w:hAnsi="宋体"/>
          <w:color w:val="auto"/>
          <w:highlight w:val="none"/>
        </w:rPr>
        <w:t>10.1 卖方保证买方每批选（订）购的图书是全新的、未使用过的。</w:t>
      </w:r>
    </w:p>
    <w:p>
      <w:pPr>
        <w:spacing w:line="440" w:lineRule="exact"/>
        <w:ind w:firstLine="480" w:firstLineChars="200"/>
        <w:rPr>
          <w:rFonts w:hAnsi="宋体"/>
          <w:color w:val="auto"/>
          <w:highlight w:val="none"/>
        </w:rPr>
      </w:pPr>
      <w:r>
        <w:rPr>
          <w:rFonts w:hint="eastAsia" w:hAnsi="宋体"/>
          <w:color w:val="auto"/>
          <w:highlight w:val="none"/>
        </w:rPr>
        <w:t>10.2若所供图书出现数字不对、书目不符、印刷错误、图书污损等情况时，卖方要及时补齐、纠正，否则按合同条款指明的办法追究卖方的违约责任。</w:t>
      </w:r>
    </w:p>
    <w:p>
      <w:pPr>
        <w:spacing w:line="440" w:lineRule="exact"/>
        <w:ind w:firstLine="480" w:firstLineChars="200"/>
        <w:rPr>
          <w:rFonts w:hAnsi="宋体"/>
          <w:color w:val="auto"/>
          <w:highlight w:val="none"/>
        </w:rPr>
      </w:pPr>
      <w:r>
        <w:rPr>
          <w:rFonts w:hint="eastAsia" w:hAnsi="宋体"/>
          <w:color w:val="auto"/>
          <w:highlight w:val="none"/>
        </w:rPr>
        <w:t>10.3 在验收期内，买方应及时将所发现的图书缺陷以书面形式通知卖方。</w:t>
      </w:r>
    </w:p>
    <w:p>
      <w:pPr>
        <w:spacing w:line="440" w:lineRule="exact"/>
        <w:ind w:firstLine="480" w:firstLineChars="200"/>
        <w:rPr>
          <w:rFonts w:hAnsi="宋体"/>
          <w:color w:val="auto"/>
          <w:highlight w:val="none"/>
        </w:rPr>
      </w:pPr>
      <w:r>
        <w:rPr>
          <w:rFonts w:hint="eastAsia" w:hAnsi="宋体"/>
          <w:color w:val="auto"/>
          <w:highlight w:val="none"/>
        </w:rPr>
        <w:t>10.4卖方收到通知后应按照投标文件承诺的售后服务方案，免费更换有缺陷的图书。</w:t>
      </w:r>
    </w:p>
    <w:p>
      <w:pPr>
        <w:spacing w:line="440" w:lineRule="exact"/>
        <w:ind w:firstLine="480" w:firstLineChars="200"/>
        <w:rPr>
          <w:rFonts w:hAnsi="宋体"/>
          <w:b/>
          <w:color w:val="auto"/>
          <w:highlight w:val="none"/>
        </w:rPr>
      </w:pPr>
      <w:r>
        <w:rPr>
          <w:rFonts w:hint="eastAsia" w:hAnsi="宋体"/>
          <w:color w:val="auto"/>
          <w:highlight w:val="none"/>
        </w:rPr>
        <w:t>10.5 如果卖方收到通知后没有以承诺的售后服务方案弥补缺陷，买方可采取必要的补救措施，但其风险和费用将由卖方承担。买方根据合同规定对卖方行使的其他权力不受影响。</w:t>
      </w:r>
    </w:p>
    <w:p>
      <w:pPr>
        <w:spacing w:line="440" w:lineRule="exact"/>
        <w:ind w:firstLine="482" w:firstLineChars="200"/>
        <w:rPr>
          <w:rFonts w:hAnsi="宋体"/>
          <w:b/>
          <w:color w:val="auto"/>
          <w:highlight w:val="none"/>
        </w:rPr>
      </w:pPr>
      <w:r>
        <w:rPr>
          <w:rFonts w:hint="eastAsia" w:hAnsi="宋体"/>
          <w:b/>
          <w:color w:val="auto"/>
          <w:highlight w:val="none"/>
        </w:rPr>
        <w:t>11.索赔</w:t>
      </w:r>
    </w:p>
    <w:p>
      <w:pPr>
        <w:spacing w:line="440" w:lineRule="exact"/>
        <w:ind w:firstLine="480" w:firstLineChars="200"/>
        <w:rPr>
          <w:rFonts w:hAnsi="宋体"/>
          <w:color w:val="auto"/>
          <w:highlight w:val="none"/>
        </w:rPr>
      </w:pPr>
      <w:r>
        <w:rPr>
          <w:rFonts w:hint="eastAsia" w:hAnsi="宋体"/>
          <w:color w:val="auto"/>
          <w:highlight w:val="none"/>
        </w:rPr>
        <w:t>11.1 如果卖方对货物质量偏差和合同执行偏差负有责任，而买方在合同条款第10条或合同的其他条款规定的检验、验收期内提出了索赔，卖方应按照买方同意的下列一种或几种方式结合起来解决索赔事宜：</w:t>
      </w:r>
    </w:p>
    <w:p>
      <w:pPr>
        <w:spacing w:line="440" w:lineRule="exact"/>
        <w:ind w:firstLine="480" w:firstLineChars="200"/>
        <w:rPr>
          <w:rFonts w:hAnsi="宋体"/>
          <w:color w:val="auto"/>
          <w:highlight w:val="none"/>
        </w:rPr>
      </w:pPr>
      <w:r>
        <w:rPr>
          <w:rFonts w:hint="eastAsia" w:hAnsi="宋体"/>
          <w:color w:val="auto"/>
          <w:highlight w:val="none"/>
        </w:rPr>
        <w:t>（1）卖方同意退货并将货款退还给买方，并承担由此发生的一切损失和费用，包括利息、银行手续费、运费、保险费、检验费、仓储费、装卸费以及为看管和保护退回货物所需的其它必要费用。</w:t>
      </w:r>
    </w:p>
    <w:p>
      <w:pPr>
        <w:spacing w:line="440" w:lineRule="exact"/>
        <w:ind w:firstLine="480" w:firstLineChars="200"/>
        <w:rPr>
          <w:rFonts w:hAnsi="宋体"/>
          <w:color w:val="auto"/>
          <w:highlight w:val="none"/>
        </w:rPr>
      </w:pPr>
      <w:r>
        <w:rPr>
          <w:rFonts w:hint="eastAsia" w:hAnsi="宋体"/>
          <w:color w:val="auto"/>
          <w:highlight w:val="none"/>
        </w:rPr>
        <w:t>（2）用相同的新图书来更换有缺陷的图书。对此，卖方应承担一切费用和风险，并负担买方蒙受的全部直接损失。</w:t>
      </w:r>
    </w:p>
    <w:p>
      <w:pPr>
        <w:spacing w:line="440" w:lineRule="exact"/>
        <w:ind w:firstLine="480" w:firstLineChars="200"/>
        <w:rPr>
          <w:rFonts w:hAnsi="宋体"/>
          <w:b/>
          <w:color w:val="auto"/>
          <w:highlight w:val="none"/>
        </w:rPr>
      </w:pPr>
      <w:r>
        <w:rPr>
          <w:rFonts w:hint="eastAsia" w:hAnsi="宋体"/>
          <w:color w:val="auto"/>
          <w:highlight w:val="none"/>
        </w:rPr>
        <w:t>11.2 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履约保证金中扣回索赔金额。</w:t>
      </w:r>
    </w:p>
    <w:p>
      <w:pPr>
        <w:spacing w:line="440" w:lineRule="exact"/>
        <w:ind w:firstLine="482" w:firstLineChars="200"/>
        <w:rPr>
          <w:rFonts w:hAnsi="宋体"/>
          <w:color w:val="auto"/>
          <w:highlight w:val="none"/>
        </w:rPr>
      </w:pPr>
      <w:r>
        <w:rPr>
          <w:rFonts w:hint="eastAsia" w:hAnsi="宋体"/>
          <w:b/>
          <w:color w:val="auto"/>
          <w:highlight w:val="none"/>
        </w:rPr>
        <w:t>12.违约责任</w:t>
      </w:r>
    </w:p>
    <w:p>
      <w:pPr>
        <w:snapToGrid w:val="0"/>
        <w:spacing w:line="440" w:lineRule="exact"/>
        <w:ind w:firstLine="480" w:firstLineChars="200"/>
        <w:rPr>
          <w:rFonts w:hAnsi="宋体"/>
          <w:color w:val="auto"/>
          <w:highlight w:val="none"/>
        </w:rPr>
      </w:pPr>
      <w:r>
        <w:rPr>
          <w:rFonts w:hint="eastAsia" w:hAnsi="宋体"/>
          <w:color w:val="auto"/>
          <w:highlight w:val="none"/>
        </w:rPr>
        <w:t>12.1按《中华人民共和国合同法》中的相应条款执行。</w:t>
      </w:r>
    </w:p>
    <w:p>
      <w:pPr>
        <w:spacing w:line="440" w:lineRule="exact"/>
        <w:ind w:firstLine="480" w:firstLineChars="200"/>
        <w:rPr>
          <w:rFonts w:hAnsi="宋体"/>
          <w:b/>
          <w:color w:val="auto"/>
          <w:highlight w:val="none"/>
        </w:rPr>
      </w:pPr>
      <w:r>
        <w:rPr>
          <w:rFonts w:hint="eastAsia" w:hAnsi="宋体"/>
          <w:color w:val="auto"/>
          <w:highlight w:val="none"/>
        </w:rPr>
        <w:t>12.2卖方未按买方要求提供图书，或图书品目、质量不能满足要求，买方有权拒收，卖方应无条件更换，并承担更换图书期间所发生的一切费用以及给买方所造成的损失。否则，买方会同</w:t>
      </w:r>
      <w:r>
        <w:rPr>
          <w:rFonts w:hint="eastAsia" w:hAnsi="宋体"/>
          <w:bCs/>
          <w:color w:val="auto"/>
          <w:highlight w:val="none"/>
        </w:rPr>
        <w:t>鉴证方</w:t>
      </w:r>
      <w:r>
        <w:rPr>
          <w:rFonts w:hint="eastAsia" w:hAnsi="宋体"/>
          <w:color w:val="auto"/>
          <w:highlight w:val="none"/>
        </w:rPr>
        <w:t>有权终止合同，并对卖方的违约行为进行追究。同时报请陕西省财政厅政府采购管理处按有关规定对其进行相应处罚。</w:t>
      </w:r>
    </w:p>
    <w:p>
      <w:pPr>
        <w:spacing w:line="440" w:lineRule="exact"/>
        <w:ind w:firstLine="472" w:firstLineChars="196"/>
        <w:rPr>
          <w:rFonts w:hAnsi="宋体"/>
          <w:b/>
          <w:color w:val="auto"/>
          <w:highlight w:val="none"/>
        </w:rPr>
      </w:pPr>
      <w:r>
        <w:rPr>
          <w:rFonts w:hint="eastAsia" w:hAnsi="宋体"/>
          <w:b/>
          <w:color w:val="auto"/>
          <w:highlight w:val="none"/>
        </w:rPr>
        <w:t>13.卖方履约误期和赔偿</w:t>
      </w:r>
    </w:p>
    <w:p>
      <w:pPr>
        <w:adjustRightInd w:val="0"/>
        <w:snapToGrid w:val="0"/>
        <w:spacing w:line="440" w:lineRule="exact"/>
        <w:ind w:firstLine="480" w:firstLineChars="200"/>
        <w:rPr>
          <w:rFonts w:hAnsi="宋体"/>
          <w:color w:val="auto"/>
          <w:highlight w:val="none"/>
        </w:rPr>
      </w:pPr>
      <w:r>
        <w:rPr>
          <w:rFonts w:hint="eastAsia" w:hAnsi="宋体"/>
          <w:color w:val="auto"/>
          <w:highlight w:val="none"/>
        </w:rPr>
        <w:t>13</w:t>
      </w:r>
      <w:r>
        <w:rPr>
          <w:rFonts w:hAnsi="宋体"/>
          <w:color w:val="auto"/>
          <w:highlight w:val="none"/>
        </w:rPr>
        <w:t>.</w:t>
      </w:r>
      <w:r>
        <w:rPr>
          <w:rFonts w:hint="eastAsia" w:hAnsi="宋体"/>
          <w:color w:val="auto"/>
          <w:highlight w:val="none"/>
        </w:rPr>
        <w:t>1</w:t>
      </w:r>
      <w:r>
        <w:rPr>
          <w:rFonts w:hAnsi="宋体"/>
          <w:color w:val="auto"/>
          <w:highlight w:val="none"/>
        </w:rPr>
        <w:t xml:space="preserve"> </w:t>
      </w:r>
      <w:r>
        <w:rPr>
          <w:rFonts w:hint="eastAsia" w:hAnsi="宋体"/>
          <w:color w:val="auto"/>
          <w:highlight w:val="none"/>
        </w:rPr>
        <w:t>在履行合同过程中，如卖方遇到妨碍按时供货和提供服务的情况时，应及时以书面形式将拖延的事实、可能拖延的时间和原因通知买方。买方在收到卖方通知后，应尽快对情况进行评价，并确定是否同意延长供货时间以及是否收取误期赔偿费。延期应通过修改合同的方式由双方认可。</w:t>
      </w:r>
    </w:p>
    <w:p>
      <w:pPr>
        <w:spacing w:line="440" w:lineRule="exact"/>
        <w:ind w:firstLine="480" w:firstLineChars="200"/>
        <w:rPr>
          <w:rFonts w:hAnsi="宋体"/>
          <w:color w:val="auto"/>
          <w:highlight w:val="none"/>
        </w:rPr>
      </w:pPr>
      <w:r>
        <w:rPr>
          <w:rFonts w:hint="eastAsia" w:hAnsi="宋体"/>
          <w:color w:val="auto"/>
          <w:highlight w:val="none"/>
        </w:rPr>
        <w:t>13</w:t>
      </w:r>
      <w:r>
        <w:rPr>
          <w:rFonts w:hAnsi="宋体"/>
          <w:color w:val="auto"/>
          <w:highlight w:val="none"/>
        </w:rPr>
        <w:t>.</w:t>
      </w:r>
      <w:r>
        <w:rPr>
          <w:rFonts w:hint="eastAsia" w:hAnsi="宋体"/>
          <w:color w:val="auto"/>
          <w:highlight w:val="none"/>
        </w:rPr>
        <w:t>2 除非误期是买卖双方取得同意而不收取误期赔偿费之外，卖方误期供货，买方将收取误期赔偿费。</w:t>
      </w:r>
    </w:p>
    <w:p>
      <w:pPr>
        <w:spacing w:line="440" w:lineRule="exact"/>
        <w:ind w:firstLine="480" w:firstLineChars="200"/>
        <w:rPr>
          <w:rFonts w:hAnsi="宋体"/>
          <w:b/>
          <w:color w:val="auto"/>
          <w:highlight w:val="none"/>
        </w:rPr>
      </w:pPr>
      <w:r>
        <w:rPr>
          <w:rFonts w:hint="eastAsia" w:hAnsi="宋体"/>
          <w:color w:val="auto"/>
          <w:highlight w:val="none"/>
        </w:rPr>
        <w:t>13</w:t>
      </w:r>
      <w:r>
        <w:rPr>
          <w:rFonts w:hAnsi="宋体"/>
          <w:color w:val="auto"/>
          <w:highlight w:val="none"/>
        </w:rPr>
        <w:t>.</w:t>
      </w:r>
      <w:r>
        <w:rPr>
          <w:rFonts w:hint="eastAsia" w:hAnsi="宋体"/>
          <w:color w:val="auto"/>
          <w:highlight w:val="none"/>
        </w:rPr>
        <w:t>3 除不可抗力因素外，如果卖方没有按合同规定的时间供货和提供服务，买方可以从货款中扣除误期赔偿费。情节严重的买方有权因卖方违约终止合同，而卖方仍有义务支付上述误期赔偿费。</w:t>
      </w:r>
    </w:p>
    <w:p>
      <w:pPr>
        <w:spacing w:line="440" w:lineRule="exact"/>
        <w:ind w:firstLine="482" w:firstLineChars="200"/>
        <w:rPr>
          <w:rFonts w:hAnsi="宋体"/>
          <w:b/>
          <w:color w:val="auto"/>
          <w:highlight w:val="none"/>
        </w:rPr>
      </w:pPr>
      <w:r>
        <w:rPr>
          <w:rFonts w:hint="eastAsia" w:hAnsi="宋体"/>
          <w:b/>
          <w:color w:val="auto"/>
          <w:highlight w:val="none"/>
        </w:rPr>
        <w:t>14</w:t>
      </w:r>
      <w:r>
        <w:rPr>
          <w:rFonts w:hAnsi="宋体"/>
          <w:b/>
          <w:color w:val="auto"/>
          <w:highlight w:val="none"/>
        </w:rPr>
        <w:t>.</w:t>
      </w:r>
      <w:r>
        <w:rPr>
          <w:rFonts w:hint="eastAsia" w:hAnsi="宋体"/>
          <w:b/>
          <w:color w:val="auto"/>
          <w:highlight w:val="none"/>
        </w:rPr>
        <w:t>不可抗力</w:t>
      </w:r>
    </w:p>
    <w:p>
      <w:pPr>
        <w:spacing w:line="440" w:lineRule="exact"/>
        <w:ind w:firstLine="480" w:firstLineChars="200"/>
        <w:rPr>
          <w:rFonts w:hAnsi="宋体"/>
          <w:b/>
          <w:color w:val="auto"/>
          <w:highlight w:val="none"/>
        </w:rPr>
      </w:pPr>
      <w:r>
        <w:rPr>
          <w:rFonts w:hint="eastAsia" w:hAnsi="宋体"/>
          <w:color w:val="auto"/>
          <w:highlight w:val="none"/>
        </w:rPr>
        <w:t>签约双方任一方由于受不可抗力事件的影响而不能执行合同时，履行合同的期限应予以延长，其延长的期限相当于事件所受影响的时间。不可抗力事件系指买卖双方在缔结合同时所不能预见的、并且它的发生及其后果是无法避免并不能克服的客观事件，诸如严重火灾，水灾，洪水，台风，地震等。受阻一方应在不可抗力事件发生后尽快用电报，传真通知对方，并于事件发生后</w:t>
      </w:r>
      <w:r>
        <w:rPr>
          <w:rFonts w:hAnsi="宋体"/>
          <w:color w:val="auto"/>
          <w:highlight w:val="none"/>
        </w:rPr>
        <w:t>14</w:t>
      </w:r>
      <w:r>
        <w:rPr>
          <w:rFonts w:hint="eastAsia" w:hAnsi="宋体"/>
          <w:color w:val="auto"/>
          <w:highlight w:val="none"/>
        </w:rPr>
        <w:t>天内将有关当局出具的证明文件用特快专递或挂号信寄给对方审阅确认。一旦不可抗力事件的影响持续</w:t>
      </w:r>
      <w:r>
        <w:rPr>
          <w:rFonts w:hAnsi="宋体"/>
          <w:color w:val="auto"/>
          <w:highlight w:val="none"/>
        </w:rPr>
        <w:t>60</w:t>
      </w:r>
      <w:r>
        <w:rPr>
          <w:rFonts w:hint="eastAsia" w:hAnsi="宋体"/>
          <w:color w:val="auto"/>
          <w:highlight w:val="none"/>
        </w:rPr>
        <w:t>天以上，双方应通过友好协商在合理的时间内达成进一步履行合同的协议。</w:t>
      </w:r>
    </w:p>
    <w:p>
      <w:pPr>
        <w:autoSpaceDN w:val="0"/>
        <w:spacing w:line="440" w:lineRule="exact"/>
        <w:ind w:firstLine="482" w:firstLineChars="200"/>
        <w:rPr>
          <w:rFonts w:hAnsi="宋体"/>
          <w:b/>
          <w:color w:val="auto"/>
          <w:highlight w:val="none"/>
        </w:rPr>
      </w:pPr>
      <w:r>
        <w:rPr>
          <w:rFonts w:hint="eastAsia" w:hAnsi="宋体"/>
          <w:b/>
          <w:color w:val="auto"/>
          <w:highlight w:val="none"/>
        </w:rPr>
        <w:t>15.争议的解决</w:t>
      </w:r>
    </w:p>
    <w:p>
      <w:pPr>
        <w:autoSpaceDN w:val="0"/>
        <w:spacing w:line="440" w:lineRule="exact"/>
        <w:ind w:firstLine="480" w:firstLineChars="200"/>
        <w:rPr>
          <w:rFonts w:hAnsi="宋体"/>
          <w:color w:val="auto"/>
          <w:highlight w:val="none"/>
        </w:rPr>
      </w:pPr>
      <w:r>
        <w:rPr>
          <w:rFonts w:hint="eastAsia" w:hAnsi="宋体"/>
          <w:color w:val="auto"/>
          <w:highlight w:val="none"/>
        </w:rPr>
        <w:t>15.1 因执行本合同所发生的或与本合同有关的一切争议,双方应通过友好协商解决。如果协商开始后六十（60）天还不能解决，任何一方均可按中华人民共和国有关法律的规定提交仲裁。</w:t>
      </w:r>
    </w:p>
    <w:p>
      <w:pPr>
        <w:autoSpaceDN w:val="0"/>
        <w:spacing w:line="440" w:lineRule="exact"/>
        <w:ind w:firstLine="480" w:firstLineChars="200"/>
        <w:rPr>
          <w:rFonts w:hAnsi="宋体"/>
          <w:color w:val="auto"/>
          <w:highlight w:val="none"/>
        </w:rPr>
      </w:pPr>
      <w:r>
        <w:rPr>
          <w:rFonts w:hint="eastAsia" w:hAnsi="宋体"/>
          <w:color w:val="auto"/>
          <w:highlight w:val="none"/>
        </w:rPr>
        <w:t>15.2 仲裁裁决应为最终裁决，对双方均具有约束力。</w:t>
      </w:r>
    </w:p>
    <w:p>
      <w:pPr>
        <w:autoSpaceDN w:val="0"/>
        <w:spacing w:line="440" w:lineRule="exact"/>
        <w:ind w:firstLine="480" w:firstLineChars="200"/>
        <w:rPr>
          <w:rFonts w:hAnsi="宋体"/>
          <w:color w:val="auto"/>
          <w:highlight w:val="none"/>
        </w:rPr>
      </w:pPr>
      <w:r>
        <w:rPr>
          <w:rFonts w:hint="eastAsia" w:hAnsi="宋体"/>
          <w:color w:val="auto"/>
          <w:highlight w:val="none"/>
        </w:rPr>
        <w:t>15.3 仲裁费除仲裁机关另有裁决外均应由败诉方负担。</w:t>
      </w:r>
    </w:p>
    <w:p>
      <w:pPr>
        <w:autoSpaceDN w:val="0"/>
        <w:spacing w:line="440" w:lineRule="exact"/>
        <w:ind w:firstLine="480" w:firstLineChars="200"/>
        <w:rPr>
          <w:rFonts w:hAnsi="宋体"/>
          <w:b/>
          <w:color w:val="auto"/>
          <w:highlight w:val="none"/>
        </w:rPr>
      </w:pPr>
      <w:r>
        <w:rPr>
          <w:rFonts w:hint="eastAsia" w:hAnsi="宋体"/>
          <w:color w:val="auto"/>
          <w:highlight w:val="none"/>
        </w:rPr>
        <w:t>15.4 在仲裁期间，除正在进行仲裁的部分外，本合同其它部分应继续执行。</w:t>
      </w:r>
    </w:p>
    <w:p>
      <w:pPr>
        <w:spacing w:line="440" w:lineRule="exact"/>
        <w:ind w:firstLine="482" w:firstLineChars="200"/>
        <w:rPr>
          <w:rFonts w:hAnsi="宋体"/>
          <w:b/>
          <w:color w:val="auto"/>
          <w:highlight w:val="none"/>
        </w:rPr>
      </w:pPr>
      <w:r>
        <w:rPr>
          <w:rFonts w:hint="eastAsia" w:hAnsi="宋体"/>
          <w:b/>
          <w:color w:val="auto"/>
          <w:highlight w:val="none"/>
        </w:rPr>
        <w:t>16</w:t>
      </w:r>
      <w:r>
        <w:rPr>
          <w:rFonts w:hAnsi="宋体"/>
          <w:b/>
          <w:color w:val="auto"/>
          <w:highlight w:val="none"/>
        </w:rPr>
        <w:t>.</w:t>
      </w:r>
      <w:r>
        <w:rPr>
          <w:rFonts w:hint="eastAsia" w:hAnsi="宋体"/>
          <w:b/>
          <w:color w:val="auto"/>
          <w:highlight w:val="none"/>
        </w:rPr>
        <w:t>违约终止合同</w:t>
      </w:r>
    </w:p>
    <w:p>
      <w:pPr>
        <w:autoSpaceDN w:val="0"/>
        <w:spacing w:line="440" w:lineRule="exact"/>
        <w:ind w:firstLine="480" w:firstLineChars="200"/>
        <w:rPr>
          <w:rFonts w:hAnsi="宋体"/>
          <w:color w:val="auto"/>
          <w:highlight w:val="none"/>
        </w:rPr>
      </w:pPr>
      <w:r>
        <w:rPr>
          <w:rFonts w:hint="eastAsia" w:hAnsi="宋体"/>
          <w:color w:val="auto"/>
          <w:highlight w:val="none"/>
        </w:rPr>
        <w:t>16</w:t>
      </w:r>
      <w:r>
        <w:rPr>
          <w:rFonts w:hAnsi="宋体"/>
          <w:color w:val="auto"/>
          <w:highlight w:val="none"/>
        </w:rPr>
        <w:t>.1</w:t>
      </w:r>
      <w:r>
        <w:rPr>
          <w:rFonts w:hint="eastAsia" w:hAnsi="宋体"/>
          <w:color w:val="auto"/>
          <w:highlight w:val="none"/>
        </w:rPr>
        <w:t xml:space="preserve"> 在买方对卖方违约而采取的任何补救措施不受影响的情况下，买方可向卖方发出书面违约通知书，提出终止部分或全部合同：</w:t>
      </w:r>
    </w:p>
    <w:p>
      <w:pPr>
        <w:autoSpaceDN w:val="0"/>
        <w:spacing w:line="440" w:lineRule="exact"/>
        <w:ind w:firstLine="480" w:firstLineChars="200"/>
        <w:rPr>
          <w:rFonts w:hAnsi="宋体"/>
          <w:color w:val="auto"/>
          <w:highlight w:val="none"/>
        </w:rPr>
      </w:pPr>
      <w:r>
        <w:rPr>
          <w:rFonts w:hint="eastAsia" w:hAnsi="宋体"/>
          <w:color w:val="auto"/>
          <w:highlight w:val="none"/>
        </w:rPr>
        <w:t>（</w:t>
      </w:r>
      <w:r>
        <w:rPr>
          <w:rFonts w:hAnsi="宋体"/>
          <w:color w:val="auto"/>
          <w:highlight w:val="none"/>
        </w:rPr>
        <w:t>1</w:t>
      </w:r>
      <w:r>
        <w:rPr>
          <w:rFonts w:hint="eastAsia" w:hAnsi="宋体"/>
          <w:color w:val="auto"/>
          <w:highlight w:val="none"/>
        </w:rPr>
        <w:t>）如果卖方未能在合同规定的期限内或买方准许的任何延期内交付部分或全部图书。</w:t>
      </w:r>
    </w:p>
    <w:p>
      <w:pPr>
        <w:autoSpaceDN w:val="0"/>
        <w:spacing w:line="440" w:lineRule="exact"/>
        <w:ind w:firstLine="480" w:firstLineChars="200"/>
        <w:rPr>
          <w:rFonts w:hAnsi="宋体"/>
          <w:color w:val="auto"/>
          <w:highlight w:val="none"/>
        </w:rPr>
      </w:pPr>
      <w:r>
        <w:rPr>
          <w:rFonts w:hint="eastAsia" w:hAnsi="宋体"/>
          <w:color w:val="auto"/>
          <w:highlight w:val="none"/>
        </w:rPr>
        <w:t>（</w:t>
      </w:r>
      <w:r>
        <w:rPr>
          <w:rFonts w:hAnsi="宋体"/>
          <w:color w:val="auto"/>
          <w:highlight w:val="none"/>
        </w:rPr>
        <w:t>2</w:t>
      </w:r>
      <w:r>
        <w:rPr>
          <w:rFonts w:hint="eastAsia" w:hAnsi="宋体"/>
          <w:color w:val="auto"/>
          <w:highlight w:val="none"/>
        </w:rPr>
        <w:t>）卖方未能履行合同项下的任何其它义务。</w:t>
      </w:r>
    </w:p>
    <w:p>
      <w:pPr>
        <w:autoSpaceDN w:val="0"/>
        <w:spacing w:line="440" w:lineRule="exact"/>
        <w:ind w:firstLine="480" w:firstLineChars="200"/>
        <w:rPr>
          <w:rFonts w:hAnsi="宋体"/>
          <w:color w:val="auto"/>
          <w:highlight w:val="none"/>
        </w:rPr>
      </w:pPr>
      <w:r>
        <w:rPr>
          <w:rFonts w:hint="eastAsia" w:hAnsi="宋体"/>
          <w:color w:val="auto"/>
          <w:highlight w:val="none"/>
        </w:rPr>
        <w:t>（3）如果买方认为卖方在本合同的竞争和实施过程中有腐败和欺诈行为。为此目的，定义下述条件：</w:t>
      </w:r>
    </w:p>
    <w:p>
      <w:pPr>
        <w:autoSpaceDN w:val="0"/>
        <w:spacing w:line="440" w:lineRule="exact"/>
        <w:ind w:firstLine="480" w:firstLineChars="200"/>
        <w:rPr>
          <w:rFonts w:hAnsi="宋体"/>
          <w:color w:val="auto"/>
          <w:highlight w:val="none"/>
        </w:rPr>
      </w:pPr>
      <w:r>
        <w:rPr>
          <w:rFonts w:hint="eastAsia" w:hAnsi="宋体"/>
          <w:color w:val="auto"/>
          <w:highlight w:val="none"/>
        </w:rPr>
        <w:t>“腐败行为”是指提供、给予、接受或索取任何有价值的物品来影响买方在采购过程或合同实施过程中的行为。</w:t>
      </w:r>
    </w:p>
    <w:p>
      <w:pPr>
        <w:autoSpaceDN w:val="0"/>
        <w:spacing w:line="440" w:lineRule="exact"/>
        <w:ind w:firstLine="480" w:firstLineChars="200"/>
        <w:rPr>
          <w:rFonts w:hAnsi="宋体"/>
          <w:color w:val="auto"/>
          <w:highlight w:val="none"/>
        </w:rPr>
      </w:pPr>
      <w:r>
        <w:rPr>
          <w:rFonts w:hint="eastAsia" w:hAnsi="宋体"/>
          <w:color w:val="auto"/>
          <w:highlight w:val="none"/>
        </w:rPr>
        <w:t>“欺诈行为”是指为了影响采购过程或合同实施过程而谎报或隐瞒事实，损害买方利益的行为。</w:t>
      </w:r>
    </w:p>
    <w:p>
      <w:pPr>
        <w:autoSpaceDN w:val="0"/>
        <w:spacing w:line="440" w:lineRule="exact"/>
        <w:ind w:firstLine="480" w:firstLineChars="200"/>
        <w:rPr>
          <w:rFonts w:hAnsi="宋体"/>
          <w:b/>
          <w:color w:val="auto"/>
          <w:highlight w:val="none"/>
        </w:rPr>
      </w:pPr>
      <w:r>
        <w:rPr>
          <w:rFonts w:hint="eastAsia" w:hAnsi="宋体"/>
          <w:color w:val="auto"/>
          <w:highlight w:val="none"/>
        </w:rPr>
        <w:t>16</w:t>
      </w:r>
      <w:r>
        <w:rPr>
          <w:rFonts w:hAnsi="宋体"/>
          <w:color w:val="auto"/>
          <w:highlight w:val="none"/>
        </w:rPr>
        <w:t>.2</w:t>
      </w:r>
      <w:r>
        <w:rPr>
          <w:rFonts w:hint="eastAsia" w:hAnsi="宋体"/>
          <w:color w:val="auto"/>
          <w:highlight w:val="none"/>
        </w:rPr>
        <w:t xml:space="preserve"> 如果买方根据第16</w:t>
      </w:r>
      <w:r>
        <w:rPr>
          <w:rFonts w:hAnsi="宋体"/>
          <w:color w:val="auto"/>
          <w:highlight w:val="none"/>
        </w:rPr>
        <w:t>.1</w:t>
      </w:r>
      <w:r>
        <w:rPr>
          <w:rFonts w:hint="eastAsia" w:hAnsi="宋体"/>
          <w:color w:val="auto"/>
          <w:highlight w:val="none"/>
        </w:rPr>
        <w:t>条的规定，终止了部分或全部合同，买方可以按其认为适当的条件和方式采购类似未交付部分的图书。卖方应对买方购买类似图书所超出的费用负责。但是，卖方应继续履行合同中未终止的部分。</w:t>
      </w:r>
    </w:p>
    <w:p>
      <w:pPr>
        <w:spacing w:line="440" w:lineRule="exact"/>
        <w:ind w:firstLine="482" w:firstLineChars="200"/>
        <w:rPr>
          <w:rFonts w:hAnsi="宋体"/>
          <w:b/>
          <w:color w:val="auto"/>
          <w:highlight w:val="none"/>
        </w:rPr>
      </w:pPr>
      <w:r>
        <w:rPr>
          <w:rFonts w:hint="eastAsia" w:hAnsi="宋体"/>
          <w:b/>
          <w:color w:val="auto"/>
          <w:highlight w:val="none"/>
        </w:rPr>
        <w:t>17</w:t>
      </w:r>
      <w:r>
        <w:rPr>
          <w:rFonts w:hAnsi="宋体"/>
          <w:b/>
          <w:color w:val="auto"/>
          <w:highlight w:val="none"/>
        </w:rPr>
        <w:t>.</w:t>
      </w:r>
      <w:r>
        <w:rPr>
          <w:rFonts w:hint="eastAsia" w:hAnsi="宋体"/>
          <w:b/>
          <w:color w:val="auto"/>
          <w:highlight w:val="none"/>
        </w:rPr>
        <w:t>合同修改</w:t>
      </w:r>
    </w:p>
    <w:p>
      <w:pPr>
        <w:spacing w:line="440" w:lineRule="exact"/>
        <w:ind w:firstLine="480" w:firstLineChars="200"/>
        <w:rPr>
          <w:rFonts w:hAnsi="宋体"/>
          <w:b/>
          <w:color w:val="auto"/>
          <w:highlight w:val="none"/>
        </w:rPr>
      </w:pPr>
      <w:r>
        <w:rPr>
          <w:rFonts w:hint="eastAsia" w:hAnsi="宋体"/>
          <w:color w:val="auto"/>
          <w:highlight w:val="none"/>
        </w:rPr>
        <w:t>任何对合同条款的变更或修改均须买卖双方签订书面的修改书。</w:t>
      </w:r>
    </w:p>
    <w:p>
      <w:pPr>
        <w:autoSpaceDN w:val="0"/>
        <w:spacing w:line="440" w:lineRule="exact"/>
        <w:ind w:firstLine="482" w:firstLineChars="200"/>
        <w:rPr>
          <w:rFonts w:hAnsi="宋体"/>
          <w:b/>
          <w:color w:val="auto"/>
          <w:highlight w:val="none"/>
        </w:rPr>
      </w:pPr>
      <w:r>
        <w:rPr>
          <w:rFonts w:hint="eastAsia" w:hAnsi="宋体"/>
          <w:b/>
          <w:color w:val="auto"/>
          <w:highlight w:val="none"/>
        </w:rPr>
        <w:t>18</w:t>
      </w:r>
      <w:r>
        <w:rPr>
          <w:rFonts w:hAnsi="宋体"/>
          <w:b/>
          <w:color w:val="auto"/>
          <w:highlight w:val="none"/>
        </w:rPr>
        <w:t>.</w:t>
      </w:r>
      <w:r>
        <w:rPr>
          <w:rFonts w:hint="eastAsia" w:hAnsi="宋体"/>
          <w:b/>
          <w:color w:val="auto"/>
          <w:highlight w:val="none"/>
        </w:rPr>
        <w:t>合同生效</w:t>
      </w:r>
    </w:p>
    <w:p>
      <w:pPr>
        <w:autoSpaceDN w:val="0"/>
        <w:spacing w:line="440" w:lineRule="exact"/>
        <w:ind w:firstLine="480" w:firstLineChars="200"/>
        <w:rPr>
          <w:rFonts w:hAnsi="宋体"/>
          <w:color w:val="auto"/>
          <w:highlight w:val="none"/>
        </w:rPr>
      </w:pPr>
      <w:r>
        <w:rPr>
          <w:rFonts w:hint="eastAsia" w:hAnsi="宋体"/>
          <w:color w:val="auto"/>
          <w:highlight w:val="none"/>
        </w:rPr>
        <w:t>本合同应在买卖双方共同签字并盖章后生效。</w:t>
      </w:r>
    </w:p>
    <w:p>
      <w:pPr>
        <w:tabs>
          <w:tab w:val="left" w:pos="980"/>
        </w:tabs>
        <w:spacing w:line="500" w:lineRule="exact"/>
        <w:ind w:firstLine="482" w:firstLineChars="200"/>
        <w:rPr>
          <w:rFonts w:hAnsi="宋体"/>
          <w:b/>
          <w:color w:val="auto"/>
          <w:highlight w:val="none"/>
        </w:rPr>
      </w:pPr>
      <w:r>
        <w:rPr>
          <w:rFonts w:hint="eastAsia" w:hAnsi="宋体"/>
          <w:b/>
          <w:color w:val="auto"/>
          <w:highlight w:val="none"/>
        </w:rPr>
        <w:t>19</w:t>
      </w:r>
      <w:r>
        <w:rPr>
          <w:rFonts w:hAnsi="宋体"/>
          <w:b/>
          <w:color w:val="auto"/>
          <w:highlight w:val="none"/>
        </w:rPr>
        <w:t>.</w:t>
      </w:r>
      <w:r>
        <w:rPr>
          <w:rFonts w:hint="eastAsia" w:hAnsi="宋体"/>
          <w:b/>
          <w:color w:val="auto"/>
          <w:highlight w:val="none"/>
        </w:rPr>
        <w:t>合同数量</w:t>
      </w:r>
    </w:p>
    <w:p>
      <w:pPr>
        <w:tabs>
          <w:tab w:val="left" w:pos="980"/>
        </w:tabs>
        <w:spacing w:line="500" w:lineRule="exact"/>
        <w:ind w:firstLine="480" w:firstLineChars="200"/>
        <w:rPr>
          <w:rFonts w:hAnsi="宋体"/>
          <w:color w:val="auto"/>
          <w:highlight w:val="none"/>
        </w:rPr>
      </w:pPr>
      <w:r>
        <w:rPr>
          <w:rFonts w:hint="eastAsia" w:hAnsi="宋体"/>
          <w:color w:val="auto"/>
          <w:highlight w:val="none"/>
        </w:rPr>
        <w:t>本合同一式柒份，甲方肆份、乙方贰份，招标代理机构壹份。签字盖章后生效，合同执行完毕自动失效。（合同的服务承诺则长期有效）。</w:t>
      </w:r>
    </w:p>
    <w:p>
      <w:pPr>
        <w:spacing w:line="360" w:lineRule="auto"/>
        <w:ind w:firstLine="482" w:firstLineChars="200"/>
        <w:rPr>
          <w:rFonts w:hAnsi="宋体"/>
          <w:color w:val="auto"/>
          <w:highlight w:val="none"/>
        </w:rPr>
      </w:pPr>
      <w:r>
        <w:rPr>
          <w:rFonts w:hint="eastAsia" w:hAnsi="宋体"/>
          <w:b/>
          <w:color w:val="auto"/>
          <w:highlight w:val="none"/>
        </w:rPr>
        <w:t>20</w:t>
      </w:r>
      <w:r>
        <w:rPr>
          <w:rFonts w:hAnsi="宋体"/>
          <w:b/>
          <w:color w:val="auto"/>
          <w:highlight w:val="none"/>
        </w:rPr>
        <w:t>.</w:t>
      </w:r>
      <w:r>
        <w:rPr>
          <w:rFonts w:hint="eastAsia" w:hAnsi="宋体"/>
          <w:b/>
          <w:color w:val="auto"/>
          <w:highlight w:val="none"/>
        </w:rPr>
        <w:t>其它</w:t>
      </w:r>
    </w:p>
    <w:p>
      <w:pPr>
        <w:spacing w:line="360" w:lineRule="auto"/>
        <w:ind w:firstLine="480" w:firstLineChars="200"/>
        <w:rPr>
          <w:rFonts w:hAnsi="宋体"/>
          <w:color w:val="auto"/>
          <w:highlight w:val="none"/>
        </w:rPr>
      </w:pPr>
      <w:r>
        <w:rPr>
          <w:rFonts w:hint="eastAsia" w:hAnsi="宋体"/>
          <w:color w:val="auto"/>
          <w:highlight w:val="none"/>
        </w:rPr>
        <w:t>（在合同中具体明确）</w:t>
      </w:r>
    </w:p>
    <w:p>
      <w:pPr>
        <w:pStyle w:val="11"/>
        <w:rPr>
          <w:color w:val="auto"/>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8"/>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甲  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（盖章）</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中标人全称</w:t>
            </w:r>
          </w:p>
          <w:p>
            <w:pPr>
              <w:spacing w:line="360" w:lineRule="auto"/>
              <w:jc w:val="left"/>
              <w:rPr>
                <w:rFonts w:hAnsi="宋体"/>
                <w:color w:val="auto"/>
                <w:highlight w:val="none"/>
              </w:rPr>
            </w:pPr>
            <w:r>
              <w:rPr>
                <w:rFonts w:hint="eastAsia" w:hAnsi="宋体"/>
                <w:color w:val="auto"/>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地址：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邮编：</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28" w:type="dxa"/>
            <w:vMerge w:val="restart"/>
            <w:tcBorders>
              <w:top w:val="single" w:color="auto" w:sz="4" w:space="0"/>
              <w:left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全权代表：（签字）</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628" w:type="dxa"/>
            <w:vMerge w:val="continue"/>
            <w:tcBorders>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电话：</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传真：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日期：  年   月   日</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auto"/>
                <w:highlight w:val="none"/>
              </w:rPr>
            </w:pPr>
            <w:r>
              <w:rPr>
                <w:rFonts w:hint="eastAsia" w:hAnsi="宋体"/>
                <w:color w:val="auto"/>
                <w:highlight w:val="none"/>
              </w:rPr>
              <w:t>日期：  年   月   日</w:t>
            </w:r>
          </w:p>
        </w:tc>
      </w:tr>
    </w:tbl>
    <w:p>
      <w:pPr>
        <w:adjustRightInd w:val="0"/>
        <w:snapToGrid w:val="0"/>
        <w:spacing w:line="360" w:lineRule="auto"/>
        <w:rPr>
          <w:rFonts w:hAnsi="宋体" w:cs="宋体"/>
          <w:color w:val="auto"/>
          <w:szCs w:val="24"/>
          <w:highlight w:val="none"/>
        </w:rPr>
      </w:pPr>
    </w:p>
    <w:p>
      <w:pPr>
        <w:rPr>
          <w:color w:val="auto"/>
          <w:highlight w:val="none"/>
        </w:rPr>
      </w:pPr>
    </w:p>
    <w:p>
      <w:pPr>
        <w:pStyle w:val="3"/>
        <w:bidi w:val="0"/>
        <w:rPr>
          <w:color w:val="auto"/>
          <w:highlight w:val="none"/>
        </w:rPr>
      </w:pPr>
      <w:r>
        <w:rPr>
          <w:rFonts w:hint="eastAsia"/>
          <w:color w:val="auto"/>
          <w:highlight w:val="none"/>
        </w:rPr>
        <w:br w:type="page"/>
      </w:r>
      <w:bookmarkStart w:id="137" w:name="_Toc15166"/>
      <w:r>
        <w:rPr>
          <w:rFonts w:hint="eastAsia"/>
          <w:color w:val="auto"/>
          <w:highlight w:val="none"/>
        </w:rPr>
        <w:t>第四章  采购内容及技术要求</w:t>
      </w:r>
      <w:bookmarkEnd w:id="125"/>
      <w:bookmarkEnd w:id="126"/>
      <w:bookmarkEnd w:id="127"/>
      <w:bookmarkEnd w:id="128"/>
      <w:bookmarkEnd w:id="129"/>
      <w:bookmarkEnd w:id="130"/>
      <w:bookmarkEnd w:id="131"/>
      <w:bookmarkEnd w:id="132"/>
      <w:bookmarkEnd w:id="133"/>
      <w:bookmarkEnd w:id="134"/>
      <w:bookmarkEnd w:id="135"/>
      <w:bookmarkEnd w:id="136"/>
      <w:bookmarkEnd w:id="137"/>
      <w:bookmarkStart w:id="138" w:name="_Toc317530110"/>
      <w:bookmarkStart w:id="139" w:name="_Toc2711"/>
      <w:bookmarkStart w:id="140" w:name="_Toc11450"/>
      <w:bookmarkStart w:id="141" w:name="_Toc1025"/>
      <w:bookmarkStart w:id="142" w:name="_Toc20481"/>
      <w:bookmarkStart w:id="143" w:name="_Toc23856"/>
      <w:bookmarkStart w:id="144" w:name="_Toc4053"/>
      <w:bookmarkStart w:id="145" w:name="_Toc389582038"/>
    </w:p>
    <w:bookmarkEnd w:id="138"/>
    <w:p>
      <w:pPr>
        <w:pStyle w:val="2"/>
        <w:bidi w:val="0"/>
        <w:rPr>
          <w:rFonts w:hint="default"/>
          <w:color w:val="auto"/>
          <w:highlight w:val="none"/>
          <w:lang w:val="en-US" w:eastAsia="zh-CN"/>
        </w:rPr>
      </w:pPr>
      <w:bookmarkStart w:id="146" w:name="_Toc2203"/>
      <w:bookmarkStart w:id="147" w:name="_Toc18238"/>
      <w:bookmarkStart w:id="148" w:name="_Toc426457697"/>
      <w:bookmarkStart w:id="149" w:name="_Toc25607"/>
      <w:bookmarkStart w:id="150" w:name="_Toc1462"/>
      <w:r>
        <w:rPr>
          <w:rFonts w:hint="eastAsia"/>
          <w:color w:val="auto"/>
          <w:highlight w:val="none"/>
          <w:lang w:val="en-US" w:eastAsia="zh-CN"/>
        </w:rPr>
        <w:t>一、采购内容及要求</w:t>
      </w:r>
    </w:p>
    <w:p>
      <w:pPr>
        <w:pStyle w:val="2"/>
        <w:bidi w:val="0"/>
        <w:rPr>
          <w:color w:val="auto"/>
          <w:highlight w:val="none"/>
        </w:rPr>
      </w:pPr>
      <w:r>
        <w:rPr>
          <w:rFonts w:hint="eastAsia"/>
          <w:color w:val="auto"/>
          <w:highlight w:val="none"/>
        </w:rPr>
        <w:t>（一）技术要求</w:t>
      </w:r>
    </w:p>
    <w:p>
      <w:pPr>
        <w:pStyle w:val="5"/>
        <w:bidi w:val="0"/>
        <w:rPr>
          <w:color w:val="auto"/>
          <w:highlight w:val="none"/>
        </w:rPr>
      </w:pPr>
      <w:r>
        <w:rPr>
          <w:rFonts w:hint="eastAsia"/>
          <w:color w:val="auto"/>
          <w:highlight w:val="none"/>
        </w:rPr>
        <w:t>1、中标人必须保证所提供的图书符合国家版权法及其他法律的规定，必须是正式出版社出版的正版纸质图书。外版美术图书供应商应有自主进口权限，所经销的出版物均为正规渠道进口的境外出版物。</w:t>
      </w:r>
    </w:p>
    <w:p>
      <w:pPr>
        <w:pStyle w:val="5"/>
        <w:bidi w:val="0"/>
        <w:rPr>
          <w:color w:val="auto"/>
          <w:highlight w:val="none"/>
        </w:rPr>
      </w:pPr>
      <w:r>
        <w:rPr>
          <w:rFonts w:hint="eastAsia"/>
          <w:color w:val="auto"/>
          <w:highlight w:val="none"/>
        </w:rPr>
        <w:t>2、</w:t>
      </w:r>
      <w:r>
        <w:rPr>
          <w:color w:val="auto"/>
          <w:highlight w:val="none"/>
        </w:rPr>
        <w:t>供应商有专业学术性图书的经营经验，有专业特色，在行业内具有良好的声誉，有专业特色图书采购渠道。如中外文艺术专业图书供货商应保证所提供的艺术类图书专业性强，除重要画册图录之外，还应具备艺术史论著、艺术理论、美学等重要学术理论图书的采买能力；人文社科类图书供应商有与艺术相关的专业历史、考古、宗教、文学、社会学等相关文史哲领域的图书经验，且能紧跟学术前沿动态。与附件</w:t>
      </w:r>
      <w:r>
        <w:rPr>
          <w:rFonts w:hint="eastAsia"/>
          <w:color w:val="auto"/>
          <w:highlight w:val="none"/>
        </w:rPr>
        <w:t>1所列院校图书馆有成功的合作案例。</w:t>
      </w:r>
    </w:p>
    <w:p>
      <w:pPr>
        <w:pStyle w:val="5"/>
        <w:bidi w:val="0"/>
        <w:rPr>
          <w:b/>
          <w:bCs/>
          <w:color w:val="auto"/>
          <w:highlight w:val="none"/>
        </w:rPr>
      </w:pPr>
      <w:r>
        <w:rPr>
          <w:rFonts w:hint="eastAsia"/>
          <w:b/>
          <w:bCs/>
          <w:color w:val="auto"/>
          <w:highlight w:val="none"/>
        </w:rPr>
        <w:t>附件1：</w:t>
      </w:r>
    </w:p>
    <w:p>
      <w:pPr>
        <w:pStyle w:val="5"/>
        <w:bidi w:val="0"/>
        <w:rPr>
          <w:color w:val="auto"/>
          <w:highlight w:val="none"/>
        </w:rPr>
      </w:pPr>
      <w:r>
        <w:rPr>
          <w:rFonts w:hint="eastAsia"/>
          <w:color w:val="auto"/>
          <w:highlight w:val="none"/>
        </w:rPr>
        <w:t>美术学院名录：中央美术学院、中国美术学院、清华大学美术学院、西安美术学院、四川美术学院、广州美术学院、鲁迅美术学院、天津美术学院、湖北美术学院。（9所）</w:t>
      </w:r>
    </w:p>
    <w:p>
      <w:pPr>
        <w:pStyle w:val="5"/>
        <w:bidi w:val="0"/>
        <w:rPr>
          <w:color w:val="auto"/>
          <w:highlight w:val="none"/>
        </w:rPr>
      </w:pPr>
      <w:r>
        <w:rPr>
          <w:rFonts w:hint="eastAsia"/>
          <w:color w:val="auto"/>
          <w:highlight w:val="none"/>
        </w:rPr>
        <w:t>艺术学院名录：南京艺术学院、山东艺术学院、山东工艺美术学院、广西艺术学院、云南艺术学院、新疆艺术学院、北京电影学院、北京服装学院。（8所）</w:t>
      </w:r>
    </w:p>
    <w:p>
      <w:pPr>
        <w:adjustRightInd w:val="0"/>
        <w:snapToGrid w:val="0"/>
        <w:spacing w:line="460" w:lineRule="exact"/>
        <w:ind w:firstLine="482" w:firstLineChars="200"/>
        <w:rPr>
          <w:rFonts w:hint="eastAsia" w:ascii="宋体" w:hAnsi="宋体"/>
          <w:b/>
          <w:bCs/>
          <w:color w:val="auto"/>
          <w:szCs w:val="21"/>
          <w:highlight w:val="none"/>
        </w:rPr>
      </w:pPr>
      <w:r>
        <w:rPr>
          <w:rFonts w:hint="eastAsia" w:ascii="宋体" w:hAnsi="宋体"/>
          <w:b/>
          <w:bCs/>
          <w:color w:val="auto"/>
          <w:szCs w:val="21"/>
          <w:highlight w:val="none"/>
        </w:rPr>
        <w:t>供应商</w:t>
      </w:r>
      <w:r>
        <w:rPr>
          <w:rFonts w:hint="eastAsia" w:hAnsi="宋体"/>
          <w:b/>
          <w:bCs/>
          <w:color w:val="auto"/>
          <w:szCs w:val="21"/>
          <w:highlight w:val="none"/>
          <w:lang w:val="en-US" w:eastAsia="zh-CN"/>
        </w:rPr>
        <w:t>可</w:t>
      </w:r>
      <w:r>
        <w:rPr>
          <w:rFonts w:hint="eastAsia" w:ascii="宋体" w:hAnsi="宋体"/>
          <w:b/>
          <w:bCs/>
          <w:color w:val="auto"/>
          <w:szCs w:val="21"/>
          <w:highlight w:val="none"/>
        </w:rPr>
        <w:t>提供与以上</w:t>
      </w:r>
      <w:r>
        <w:rPr>
          <w:rFonts w:hint="eastAsia" w:ascii="宋体" w:hAnsi="宋体"/>
          <w:b/>
          <w:bCs/>
          <w:color w:val="auto"/>
          <w:szCs w:val="21"/>
          <w:highlight w:val="none"/>
          <w:lang w:val="en-US" w:eastAsia="zh-CN"/>
        </w:rPr>
        <w:t>院校</w:t>
      </w:r>
      <w:r>
        <w:rPr>
          <w:rFonts w:hint="eastAsia" w:ascii="宋体" w:hAnsi="宋体"/>
          <w:b/>
          <w:bCs/>
          <w:color w:val="auto"/>
          <w:szCs w:val="21"/>
          <w:highlight w:val="none"/>
        </w:rPr>
        <w:t>合作的证明等。</w:t>
      </w:r>
    </w:p>
    <w:p>
      <w:pPr>
        <w:pStyle w:val="5"/>
        <w:bidi w:val="0"/>
        <w:spacing w:line="240" w:lineRule="auto"/>
        <w:ind w:left="0" w:leftChars="0" w:firstLine="0" w:firstLineChars="0"/>
        <w:rPr>
          <w:rFonts w:hint="eastAsia"/>
          <w:color w:val="auto"/>
          <w:highlight w:val="none"/>
        </w:rPr>
      </w:pPr>
    </w:p>
    <w:p>
      <w:pPr>
        <w:pStyle w:val="5"/>
        <w:bidi w:val="0"/>
        <w:rPr>
          <w:color w:val="auto"/>
          <w:highlight w:val="none"/>
        </w:rPr>
      </w:pPr>
      <w:r>
        <w:rPr>
          <w:rFonts w:hint="eastAsia"/>
          <w:color w:val="auto"/>
          <w:highlight w:val="none"/>
        </w:rPr>
        <w:t>3、</w:t>
      </w:r>
      <w:r>
        <w:rPr>
          <w:color w:val="auto"/>
          <w:highlight w:val="none"/>
        </w:rPr>
        <w:t>所供</w:t>
      </w:r>
      <w:r>
        <w:rPr>
          <w:rFonts w:hint="eastAsia"/>
          <w:color w:val="auto"/>
          <w:highlight w:val="none"/>
        </w:rPr>
        <w:t>图书内容符合西安美术学院学科建设，符合大学本科及以上层次读者阅读。</w:t>
      </w:r>
    </w:p>
    <w:p>
      <w:pPr>
        <w:pStyle w:val="5"/>
        <w:bidi w:val="0"/>
        <w:rPr>
          <w:color w:val="auto"/>
          <w:highlight w:val="none"/>
        </w:rPr>
      </w:pPr>
      <w:r>
        <w:rPr>
          <w:rFonts w:hint="eastAsia"/>
          <w:color w:val="auto"/>
          <w:highlight w:val="none"/>
        </w:rPr>
        <w:t>（1）西安美术学院学科专业具体包括艺术史论、美术学、书法学、中国画、绘画、雕塑、摄影、实验艺术、艺术设计学、视觉传达设计、产品设计、艺术与科技、环境设计、服装与服饰设计、公共艺术、工艺美术、数字媒体艺术、戏剧影视美术设计、动画、音乐学、文化产业管理等。</w:t>
      </w:r>
    </w:p>
    <w:p>
      <w:pPr>
        <w:pStyle w:val="5"/>
        <w:bidi w:val="0"/>
        <w:rPr>
          <w:color w:val="auto"/>
          <w:highlight w:val="none"/>
        </w:rPr>
      </w:pPr>
      <w:r>
        <w:rPr>
          <w:rFonts w:hint="eastAsia"/>
          <w:color w:val="auto"/>
          <w:highlight w:val="none"/>
        </w:rPr>
        <w:t>（2）</w:t>
      </w:r>
      <w:r>
        <w:rPr>
          <w:rFonts w:hint="eastAsia"/>
          <w:color w:val="auto"/>
          <w:highlight w:val="none"/>
          <w:lang w:eastAsia="zh-CN"/>
        </w:rPr>
        <w:t>合同包1</w:t>
      </w:r>
      <w:r>
        <w:rPr>
          <w:rFonts w:hint="eastAsia"/>
          <w:color w:val="auto"/>
          <w:highlight w:val="none"/>
        </w:rPr>
        <w:t>以附件</w:t>
      </w:r>
      <w:r>
        <w:rPr>
          <w:rFonts w:hint="eastAsia"/>
          <w:color w:val="auto"/>
          <w:highlight w:val="none"/>
          <w:lang w:val="en-US" w:eastAsia="zh-CN"/>
        </w:rPr>
        <w:t>2</w:t>
      </w:r>
      <w:r>
        <w:rPr>
          <w:rFonts w:hint="eastAsia"/>
          <w:color w:val="auto"/>
          <w:highlight w:val="none"/>
        </w:rPr>
        <w:t>所列出版社的艺术类图书为主。</w:t>
      </w:r>
    </w:p>
    <w:p>
      <w:pPr>
        <w:pStyle w:val="5"/>
        <w:bidi w:val="0"/>
        <w:rPr>
          <w:b/>
          <w:bCs/>
          <w:color w:val="auto"/>
          <w:highlight w:val="none"/>
        </w:rPr>
      </w:pPr>
      <w:r>
        <w:rPr>
          <w:rFonts w:hint="eastAsia"/>
          <w:b/>
          <w:bCs/>
          <w:color w:val="auto"/>
          <w:highlight w:val="none"/>
        </w:rPr>
        <w:t>附件</w:t>
      </w:r>
      <w:r>
        <w:rPr>
          <w:rFonts w:hint="eastAsia"/>
          <w:b/>
          <w:bCs/>
          <w:color w:val="auto"/>
          <w:highlight w:val="none"/>
          <w:lang w:val="en-US" w:eastAsia="zh-CN"/>
        </w:rPr>
        <w:t>2</w:t>
      </w:r>
      <w:r>
        <w:rPr>
          <w:rFonts w:hint="eastAsia"/>
          <w:b/>
          <w:bCs/>
          <w:color w:val="auto"/>
          <w:highlight w:val="none"/>
        </w:rPr>
        <w:t>：</w:t>
      </w:r>
    </w:p>
    <w:p>
      <w:pPr>
        <w:pStyle w:val="5"/>
        <w:bidi w:val="0"/>
        <w:rPr>
          <w:rFonts w:hint="eastAsia"/>
          <w:color w:val="auto"/>
          <w:highlight w:val="none"/>
        </w:rPr>
      </w:pPr>
      <w:r>
        <w:rPr>
          <w:rFonts w:hint="eastAsia"/>
          <w:color w:val="auto"/>
          <w:highlight w:val="none"/>
        </w:rPr>
        <w:t>人民美术出版社、上海人民美术出版社、上海书画出版社、湖南美术出版社、安徽美术出版社、荣宝斋、西泠印社出版社、连环画出版社、天津人民美术出版社、浙江人民美术出版社、北京工艺美术出版社、文物出版社、天津杨柳青画社、湖北美术出版社、山东美术出版社、广西美术出版社、江西美术出版社、河南美术出版社、江苏美术出版社、中国书店出版社、福建美术出版社、甘肃人民美术出版社、岭南美术出版社、云南美术出版社、陕西人民美术出版社、黑龙江美术出版社、吉林美术出版社、辽宁美术出版社、中国美术学院出版社、中国摄影出版社、中国民族摄影出版社、浙江摄影出版社、京版北美</w:t>
      </w:r>
      <w:r>
        <w:rPr>
          <w:color w:val="auto"/>
          <w:highlight w:val="none"/>
        </w:rPr>
        <w:t>(</w:t>
      </w:r>
      <w:r>
        <w:rPr>
          <w:rFonts w:hint="eastAsia"/>
          <w:color w:val="auto"/>
          <w:highlight w:val="none"/>
        </w:rPr>
        <w:t>北京</w:t>
      </w:r>
      <w:r>
        <w:rPr>
          <w:color w:val="auto"/>
          <w:highlight w:val="none"/>
        </w:rPr>
        <w:t>)</w:t>
      </w:r>
      <w:r>
        <w:rPr>
          <w:rFonts w:hint="eastAsia"/>
          <w:color w:val="auto"/>
          <w:highlight w:val="none"/>
        </w:rPr>
        <w:t>文化艺术传媒、中国纺织出版社、山东画报出版社、河北美术出版社、四川美术出版社</w:t>
      </w:r>
      <w:r>
        <w:rPr>
          <w:rFonts w:hint="eastAsia"/>
          <w:color w:val="auto"/>
          <w:highlight w:val="none"/>
          <w:lang w:eastAsia="zh-CN"/>
        </w:rPr>
        <w:t>、</w:t>
      </w:r>
      <w:r>
        <w:rPr>
          <w:rFonts w:hint="eastAsia"/>
          <w:color w:val="auto"/>
          <w:highlight w:val="none"/>
        </w:rPr>
        <w:t>故宫出版社、新疆美术出版社。（共</w:t>
      </w:r>
      <w:r>
        <w:rPr>
          <w:rFonts w:hint="eastAsia"/>
          <w:color w:val="auto"/>
          <w:highlight w:val="none"/>
          <w:lang w:val="en-US" w:eastAsia="zh-CN"/>
        </w:rPr>
        <w:t>39</w:t>
      </w:r>
      <w:r>
        <w:rPr>
          <w:rFonts w:hint="eastAsia"/>
          <w:color w:val="auto"/>
          <w:highlight w:val="none"/>
        </w:rPr>
        <w:t>家）</w:t>
      </w:r>
    </w:p>
    <w:p>
      <w:pPr>
        <w:pStyle w:val="5"/>
        <w:bidi w:val="0"/>
        <w:rPr>
          <w:color w:val="auto"/>
          <w:highlight w:val="none"/>
        </w:rPr>
      </w:pPr>
      <w:r>
        <w:rPr>
          <w:rFonts w:hint="eastAsia"/>
          <w:color w:val="auto"/>
          <w:highlight w:val="none"/>
        </w:rPr>
        <w:t>4、</w:t>
      </w:r>
      <w:r>
        <w:rPr>
          <w:color w:val="auto"/>
          <w:highlight w:val="none"/>
        </w:rPr>
        <w:t xml:space="preserve">供应商具备对图书馆自备目录、自定主题采购能力，还应具备对稀缺、绝版图书以及网上二手图书等重要学术资料性文献的采购能力。 </w:t>
      </w:r>
    </w:p>
    <w:p>
      <w:pPr>
        <w:pStyle w:val="5"/>
        <w:bidi w:val="0"/>
        <w:rPr>
          <w:color w:val="auto"/>
          <w:highlight w:val="none"/>
        </w:rPr>
      </w:pPr>
      <w:r>
        <w:rPr>
          <w:rFonts w:hint="eastAsia"/>
          <w:color w:val="auto"/>
          <w:highlight w:val="none"/>
        </w:rPr>
        <w:t>5、</w:t>
      </w:r>
      <w:r>
        <w:rPr>
          <w:color w:val="auto"/>
          <w:highlight w:val="none"/>
        </w:rPr>
        <w:t>供应商能通过互联网免费提供规范的新书征订书目数据，提供的征订书目内容均需符合大学本科以上读者的要求。</w:t>
      </w:r>
    </w:p>
    <w:p>
      <w:pPr>
        <w:pStyle w:val="5"/>
        <w:bidi w:val="0"/>
        <w:rPr>
          <w:color w:val="auto"/>
          <w:highlight w:val="none"/>
        </w:rPr>
      </w:pPr>
      <w:r>
        <w:rPr>
          <w:rFonts w:hint="eastAsia"/>
          <w:color w:val="auto"/>
          <w:highlight w:val="none"/>
        </w:rPr>
        <w:t>6、</w:t>
      </w:r>
      <w:r>
        <w:rPr>
          <w:color w:val="auto"/>
          <w:highlight w:val="none"/>
        </w:rPr>
        <w:t>供应商应建立“</w:t>
      </w:r>
      <w:r>
        <w:rPr>
          <w:rFonts w:hint="eastAsia"/>
          <w:color w:val="auto"/>
          <w:highlight w:val="none"/>
        </w:rPr>
        <w:t>西安</w:t>
      </w:r>
      <w:r>
        <w:rPr>
          <w:color w:val="auto"/>
          <w:highlight w:val="none"/>
        </w:rPr>
        <w:t xml:space="preserve">美术学院图书馆预订图书数据库”，有对采购人预订的图书进行查重的能力。 </w:t>
      </w:r>
    </w:p>
    <w:p>
      <w:pPr>
        <w:pStyle w:val="5"/>
        <w:bidi w:val="0"/>
        <w:rPr>
          <w:color w:val="auto"/>
          <w:highlight w:val="none"/>
        </w:rPr>
      </w:pPr>
      <w:r>
        <w:rPr>
          <w:rFonts w:hint="eastAsia"/>
          <w:color w:val="auto"/>
          <w:highlight w:val="none"/>
        </w:rPr>
        <w:t>7、</w:t>
      </w:r>
      <w:r>
        <w:rPr>
          <w:color w:val="auto"/>
          <w:highlight w:val="none"/>
        </w:rPr>
        <w:t>供应商应提供符合国家财税法规要求的售书发票。</w:t>
      </w:r>
    </w:p>
    <w:p>
      <w:pPr>
        <w:pStyle w:val="5"/>
        <w:bidi w:val="0"/>
        <w:rPr>
          <w:color w:val="auto"/>
          <w:highlight w:val="none"/>
        </w:rPr>
      </w:pPr>
      <w:r>
        <w:rPr>
          <w:rFonts w:hint="eastAsia"/>
          <w:color w:val="auto"/>
          <w:highlight w:val="none"/>
        </w:rPr>
        <w:t>8、供应商具有良好的商业信誉和健全的财务会计制度。</w:t>
      </w:r>
    </w:p>
    <w:p>
      <w:pPr>
        <w:pStyle w:val="5"/>
        <w:bidi w:val="0"/>
        <w:rPr>
          <w:color w:val="auto"/>
          <w:highlight w:val="none"/>
        </w:rPr>
      </w:pPr>
      <w:r>
        <w:rPr>
          <w:rFonts w:hint="eastAsia"/>
          <w:color w:val="auto"/>
          <w:highlight w:val="none"/>
        </w:rPr>
        <w:t>9、中标人不得提供以下图书：</w:t>
      </w:r>
    </w:p>
    <w:p>
      <w:pPr>
        <w:pStyle w:val="5"/>
        <w:bidi w:val="0"/>
        <w:rPr>
          <w:color w:val="auto"/>
          <w:highlight w:val="none"/>
        </w:rPr>
      </w:pPr>
      <w:r>
        <w:rPr>
          <w:rFonts w:hint="eastAsia"/>
          <w:color w:val="auto"/>
          <w:highlight w:val="none"/>
        </w:rPr>
        <w:t>（1）非法、盗版、盗印图书。</w:t>
      </w:r>
    </w:p>
    <w:p>
      <w:pPr>
        <w:pStyle w:val="5"/>
        <w:bidi w:val="0"/>
        <w:rPr>
          <w:color w:val="auto"/>
          <w:highlight w:val="none"/>
        </w:rPr>
      </w:pPr>
      <w:r>
        <w:rPr>
          <w:rFonts w:hint="eastAsia"/>
          <w:color w:val="auto"/>
          <w:highlight w:val="none"/>
        </w:rPr>
        <w:t>（2）压仓劣质图书。</w:t>
      </w:r>
    </w:p>
    <w:p>
      <w:pPr>
        <w:pStyle w:val="5"/>
        <w:bidi w:val="0"/>
        <w:rPr>
          <w:color w:val="auto"/>
          <w:highlight w:val="none"/>
        </w:rPr>
      </w:pPr>
      <w:r>
        <w:rPr>
          <w:rFonts w:hint="eastAsia"/>
          <w:color w:val="auto"/>
          <w:highlight w:val="none"/>
        </w:rPr>
        <w:t>（3）未经采购人同意私自搭配的图书。</w:t>
      </w:r>
    </w:p>
    <w:p>
      <w:pPr>
        <w:pStyle w:val="5"/>
        <w:bidi w:val="0"/>
        <w:rPr>
          <w:color w:val="auto"/>
          <w:highlight w:val="none"/>
        </w:rPr>
      </w:pPr>
      <w:r>
        <w:rPr>
          <w:rFonts w:hint="eastAsia"/>
          <w:color w:val="auto"/>
          <w:highlight w:val="none"/>
        </w:rPr>
        <w:t>（4）少儿、中专、职业技术、高职高专、美术高考类图书。</w:t>
      </w:r>
    </w:p>
    <w:p>
      <w:pPr>
        <w:pStyle w:val="2"/>
        <w:bidi w:val="0"/>
        <w:rPr>
          <w:color w:val="auto"/>
          <w:highlight w:val="none"/>
        </w:rPr>
      </w:pPr>
      <w:r>
        <w:rPr>
          <w:rFonts w:hint="eastAsia"/>
          <w:color w:val="auto"/>
          <w:highlight w:val="none"/>
        </w:rPr>
        <w:t>（</w:t>
      </w:r>
      <w:r>
        <w:rPr>
          <w:color w:val="auto"/>
          <w:highlight w:val="none"/>
        </w:rPr>
        <w:t>二</w:t>
      </w:r>
      <w:r>
        <w:rPr>
          <w:rFonts w:hint="eastAsia"/>
          <w:color w:val="auto"/>
          <w:highlight w:val="none"/>
        </w:rPr>
        <w:t>）</w:t>
      </w:r>
      <w:r>
        <w:rPr>
          <w:color w:val="auto"/>
          <w:highlight w:val="none"/>
        </w:rPr>
        <w:t xml:space="preserve">服务要求 </w:t>
      </w:r>
    </w:p>
    <w:p>
      <w:pPr>
        <w:pStyle w:val="5"/>
        <w:bidi w:val="0"/>
        <w:rPr>
          <w:color w:val="auto"/>
          <w:highlight w:val="none"/>
        </w:rPr>
      </w:pPr>
      <w:r>
        <w:rPr>
          <w:rFonts w:hint="eastAsia"/>
          <w:color w:val="auto"/>
          <w:highlight w:val="none"/>
        </w:rPr>
        <w:t>1、</w:t>
      </w:r>
      <w:r>
        <w:rPr>
          <w:color w:val="auto"/>
          <w:highlight w:val="none"/>
        </w:rPr>
        <w:t xml:space="preserve">能够满足采购人定单采购、专题采购、现场采购等多种采购方式。 </w:t>
      </w:r>
    </w:p>
    <w:p>
      <w:pPr>
        <w:pStyle w:val="5"/>
        <w:bidi w:val="0"/>
        <w:rPr>
          <w:color w:val="auto"/>
          <w:highlight w:val="none"/>
        </w:rPr>
      </w:pPr>
      <w:r>
        <w:rPr>
          <w:rFonts w:hint="eastAsia"/>
          <w:color w:val="auto"/>
          <w:highlight w:val="none"/>
        </w:rPr>
        <w:t>（1）定单采购：供应商在最大范围内为采购人征集图书出版、发行信息，提高采购效率(样本送取运输及其费用由供应商承担)。供应商提供的自编采访书目数据、现货目录数据(要求能提供电子目录)、现货样书品种均应符合</w:t>
      </w:r>
      <w:r>
        <w:rPr>
          <w:rFonts w:hint="eastAsia"/>
          <w:color w:val="auto"/>
          <w:highlight w:val="none"/>
          <w:lang w:eastAsia="zh-CN"/>
        </w:rPr>
        <w:t>招标文件</w:t>
      </w:r>
      <w:r>
        <w:rPr>
          <w:rFonts w:hint="eastAsia"/>
          <w:color w:val="auto"/>
          <w:highlight w:val="none"/>
        </w:rPr>
        <w:t>中的规定。</w:t>
      </w:r>
    </w:p>
    <w:p>
      <w:pPr>
        <w:pStyle w:val="5"/>
        <w:bidi w:val="0"/>
        <w:rPr>
          <w:color w:val="auto"/>
          <w:highlight w:val="none"/>
        </w:rPr>
      </w:pPr>
      <w:r>
        <w:rPr>
          <w:rFonts w:hint="eastAsia"/>
          <w:color w:val="auto"/>
          <w:highlight w:val="none"/>
        </w:rPr>
        <w:t>（2）现货采购：供应商能根据采购人需求，在采购人指定时间、地点举办样书展览，每年至少两次。</w:t>
      </w:r>
    </w:p>
    <w:p>
      <w:pPr>
        <w:pStyle w:val="5"/>
        <w:bidi w:val="0"/>
        <w:rPr>
          <w:color w:val="auto"/>
          <w:highlight w:val="none"/>
        </w:rPr>
      </w:pPr>
      <w:r>
        <w:rPr>
          <w:rFonts w:hint="eastAsia"/>
          <w:color w:val="auto"/>
          <w:highlight w:val="none"/>
        </w:rPr>
        <w:t>（3）专题采购：供应商配合采购人做好专题图书的采购，以满足采购人馆藏的特殊需求。</w:t>
      </w:r>
    </w:p>
    <w:p>
      <w:pPr>
        <w:pStyle w:val="5"/>
        <w:bidi w:val="0"/>
        <w:rPr>
          <w:color w:val="auto"/>
          <w:highlight w:val="none"/>
        </w:rPr>
      </w:pPr>
      <w:r>
        <w:rPr>
          <w:rFonts w:hint="eastAsia"/>
          <w:color w:val="auto"/>
          <w:highlight w:val="none"/>
        </w:rPr>
        <w:t>（4）现场采购：供应商应根据采购人要求，不定期安排采购人参加图书现采活动、参加各类书市及订货会。</w:t>
      </w:r>
    </w:p>
    <w:p>
      <w:pPr>
        <w:pStyle w:val="5"/>
        <w:bidi w:val="0"/>
        <w:rPr>
          <w:color w:val="auto"/>
          <w:highlight w:val="none"/>
        </w:rPr>
      </w:pPr>
      <w:r>
        <w:rPr>
          <w:rFonts w:hint="eastAsia"/>
          <w:color w:val="auto"/>
          <w:highlight w:val="none"/>
        </w:rPr>
        <w:t>（5）其它方式：随时进行图书增订、补订等工作。</w:t>
      </w:r>
    </w:p>
    <w:p>
      <w:pPr>
        <w:pStyle w:val="5"/>
        <w:bidi w:val="0"/>
        <w:rPr>
          <w:color w:val="auto"/>
          <w:highlight w:val="none"/>
        </w:rPr>
      </w:pPr>
      <w:r>
        <w:rPr>
          <w:rFonts w:hint="eastAsia"/>
          <w:color w:val="auto"/>
          <w:highlight w:val="none"/>
        </w:rPr>
        <w:t>2、</w:t>
      </w:r>
      <w:r>
        <w:rPr>
          <w:color w:val="auto"/>
          <w:highlight w:val="none"/>
        </w:rPr>
        <w:t xml:space="preserve">供应商接到订购单后能及时处理并反馈订单处理信息。在未征得采购人同意情况下，不得更换采购人正式订单。收到订单3日内向采购人反馈订单执行信息。 </w:t>
      </w:r>
    </w:p>
    <w:p>
      <w:pPr>
        <w:pStyle w:val="5"/>
        <w:bidi w:val="0"/>
        <w:rPr>
          <w:color w:val="auto"/>
          <w:highlight w:val="none"/>
        </w:rPr>
      </w:pPr>
      <w:r>
        <w:rPr>
          <w:rFonts w:hint="eastAsia"/>
          <w:color w:val="auto"/>
          <w:highlight w:val="none"/>
        </w:rPr>
        <w:t>3、</w:t>
      </w:r>
      <w:r>
        <w:rPr>
          <w:color w:val="auto"/>
          <w:highlight w:val="none"/>
        </w:rPr>
        <w:t>供应商对重复订购、大码洋、大订数、特殊装订、特殊开本、散页</w:t>
      </w:r>
      <w:r>
        <w:rPr>
          <w:rFonts w:hint="eastAsia"/>
          <w:color w:val="auto"/>
          <w:highlight w:val="none"/>
        </w:rPr>
        <w:t>、</w:t>
      </w:r>
      <w:r>
        <w:rPr>
          <w:color w:val="auto"/>
          <w:highlight w:val="none"/>
        </w:rPr>
        <w:t>教材等图书，应及时与采购人联系沟通。</w:t>
      </w:r>
    </w:p>
    <w:p>
      <w:pPr>
        <w:pStyle w:val="5"/>
        <w:bidi w:val="0"/>
        <w:rPr>
          <w:color w:val="auto"/>
          <w:highlight w:val="none"/>
        </w:rPr>
      </w:pPr>
      <w:r>
        <w:rPr>
          <w:rFonts w:hint="eastAsia"/>
          <w:color w:val="auto"/>
          <w:highlight w:val="none"/>
        </w:rPr>
        <w:t>4、</w:t>
      </w:r>
      <w:r>
        <w:rPr>
          <w:color w:val="auto"/>
          <w:highlight w:val="none"/>
        </w:rPr>
        <w:t xml:space="preserve">供应商必须按采购人报订的图书品种、数量及时供货，按承诺的供货期限到书。对不能按时供货的图书，采购人有权要求终止供货，因终止供货而造成的损失由供应商承担。采购人有权采取相应的补救措施（如转向其他供应商补订图书），由此给采购人造成的各项损失或增加的各项费用（如折扣损失、邮费等）均由违约的供应商承担。 </w:t>
      </w:r>
    </w:p>
    <w:p>
      <w:pPr>
        <w:pStyle w:val="5"/>
        <w:bidi w:val="0"/>
        <w:rPr>
          <w:color w:val="auto"/>
          <w:highlight w:val="none"/>
        </w:rPr>
      </w:pPr>
      <w:r>
        <w:rPr>
          <w:rFonts w:hint="eastAsia"/>
          <w:color w:val="auto"/>
          <w:highlight w:val="none"/>
        </w:rPr>
        <w:t>5、现场采购图书的供货时间不超过10个工作日，订到率不低于98%；预定图书自发出订单之日起，供货时间不超过30个工作日，订到率不低于95%。</w:t>
      </w:r>
    </w:p>
    <w:p>
      <w:pPr>
        <w:pStyle w:val="5"/>
        <w:bidi w:val="0"/>
        <w:rPr>
          <w:color w:val="auto"/>
          <w:highlight w:val="none"/>
        </w:rPr>
      </w:pPr>
      <w:r>
        <w:rPr>
          <w:rFonts w:hint="eastAsia"/>
          <w:color w:val="auto"/>
          <w:highlight w:val="none"/>
        </w:rPr>
        <w:t>6、</w:t>
      </w:r>
      <w:r>
        <w:rPr>
          <w:color w:val="auto"/>
          <w:highlight w:val="none"/>
        </w:rPr>
        <w:t>供应商提供门对门的快速送货服务</w:t>
      </w:r>
      <w:r>
        <w:rPr>
          <w:rFonts w:hint="eastAsia"/>
          <w:color w:val="auto"/>
          <w:highlight w:val="none"/>
        </w:rPr>
        <w:t>，</w:t>
      </w:r>
      <w:r>
        <w:rPr>
          <w:color w:val="auto"/>
          <w:highlight w:val="none"/>
        </w:rPr>
        <w:t>能够在约定的供货时间内将货物送到采购人指定的地点</w:t>
      </w:r>
      <w:r>
        <w:rPr>
          <w:rFonts w:hint="eastAsia"/>
          <w:color w:val="auto"/>
          <w:highlight w:val="none"/>
        </w:rPr>
        <w:t>。</w:t>
      </w:r>
      <w:r>
        <w:rPr>
          <w:color w:val="auto"/>
          <w:highlight w:val="none"/>
        </w:rPr>
        <w:t>由此所发生的任何手续和运输费全部由供应商承担。每次送货前必须提前电话通知采购人</w:t>
      </w:r>
      <w:r>
        <w:rPr>
          <w:rFonts w:hint="eastAsia"/>
          <w:color w:val="auto"/>
          <w:highlight w:val="none"/>
        </w:rPr>
        <w:t>，</w:t>
      </w:r>
      <w:r>
        <w:rPr>
          <w:color w:val="auto"/>
          <w:highlight w:val="none"/>
        </w:rPr>
        <w:t>以便采购人做好接货准备</w:t>
      </w:r>
      <w:r>
        <w:rPr>
          <w:rFonts w:hint="eastAsia"/>
          <w:color w:val="auto"/>
          <w:highlight w:val="none"/>
        </w:rPr>
        <w:t>。</w:t>
      </w:r>
    </w:p>
    <w:p>
      <w:pPr>
        <w:pStyle w:val="5"/>
        <w:bidi w:val="0"/>
        <w:rPr>
          <w:color w:val="auto"/>
          <w:highlight w:val="none"/>
        </w:rPr>
      </w:pPr>
      <w:r>
        <w:rPr>
          <w:rFonts w:hint="eastAsia"/>
          <w:color w:val="auto"/>
          <w:highlight w:val="none"/>
        </w:rPr>
        <w:t>7、</w:t>
      </w:r>
      <w:r>
        <w:rPr>
          <w:color w:val="auto"/>
          <w:highlight w:val="none"/>
        </w:rPr>
        <w:t>供应商在递交每一批图书时，同时免费提供加盖供应商公章的该批图书的清单，并提供规范标准、信息全面的电子表格书目清单，具体信息包括书名、作者、书号、出版社、出版时间、定价、折扣、订购册数等。如遇到特殊书目有特殊信息需求，供应商需全力配合满足相应的特殊需求。</w:t>
      </w:r>
    </w:p>
    <w:p>
      <w:pPr>
        <w:pStyle w:val="5"/>
        <w:bidi w:val="0"/>
        <w:rPr>
          <w:color w:val="auto"/>
          <w:highlight w:val="none"/>
        </w:rPr>
      </w:pPr>
      <w:r>
        <w:rPr>
          <w:rFonts w:hint="eastAsia"/>
          <w:color w:val="auto"/>
          <w:highlight w:val="none"/>
        </w:rPr>
        <w:t>8、</w:t>
      </w:r>
      <w:r>
        <w:rPr>
          <w:color w:val="auto"/>
          <w:highlight w:val="none"/>
        </w:rPr>
        <w:t>运输途中造成的图书破损，随书附件（光盘、软盘、磁带等）不完整（丢失、破损 等），一律退回中标单位，重新配送。</w:t>
      </w:r>
    </w:p>
    <w:p>
      <w:pPr>
        <w:pStyle w:val="5"/>
        <w:bidi w:val="0"/>
        <w:rPr>
          <w:color w:val="auto"/>
          <w:highlight w:val="none"/>
        </w:rPr>
      </w:pPr>
      <w:r>
        <w:rPr>
          <w:rFonts w:hint="eastAsia"/>
          <w:color w:val="auto"/>
          <w:highlight w:val="none"/>
        </w:rPr>
        <w:t>9、</w:t>
      </w:r>
      <w:r>
        <w:rPr>
          <w:color w:val="auto"/>
          <w:highlight w:val="none"/>
        </w:rPr>
        <w:t>采购人不承担所购图书资料的运管费。对采购人所订图书资料因供应商未及时办理提货手续所产生的一切费用（滞纳金、保管费等）概由供应商承担。</w:t>
      </w:r>
    </w:p>
    <w:p>
      <w:pPr>
        <w:pStyle w:val="5"/>
        <w:bidi w:val="0"/>
        <w:rPr>
          <w:color w:val="auto"/>
          <w:highlight w:val="none"/>
        </w:rPr>
      </w:pPr>
      <w:r>
        <w:rPr>
          <w:rFonts w:hint="eastAsia"/>
          <w:color w:val="auto"/>
          <w:highlight w:val="none"/>
        </w:rPr>
        <w:t>10、</w:t>
      </w:r>
      <w:r>
        <w:rPr>
          <w:color w:val="auto"/>
          <w:highlight w:val="none"/>
        </w:rPr>
        <w:t xml:space="preserve">供应商保证所供图书的质量。接受采购人对有质量问题图书（如污损、图文不清、错页、漏页、破损、少附件等），或到书与原订购不符或运输途中出现遗失、破损的图书的调换、退货要求，由此造成的损失及费用概由供应商承担。对于因采购人的原因出现错订、重订的问题图书，供应商应能积极协助调剂，配合采取撤订、退书、换书等方式减轻采购人的损失。 </w:t>
      </w:r>
    </w:p>
    <w:p>
      <w:pPr>
        <w:pStyle w:val="5"/>
        <w:bidi w:val="0"/>
        <w:rPr>
          <w:color w:val="auto"/>
          <w:highlight w:val="none"/>
        </w:rPr>
      </w:pPr>
      <w:r>
        <w:rPr>
          <w:rFonts w:hint="eastAsia"/>
          <w:color w:val="auto"/>
          <w:highlight w:val="none"/>
        </w:rPr>
        <w:t>11、</w:t>
      </w:r>
      <w:r>
        <w:rPr>
          <w:color w:val="auto"/>
          <w:highlight w:val="none"/>
        </w:rPr>
        <w:t xml:space="preserve">凡交到采购人的图书，图书上应标明码洋，并以此作为计算书款的依据，经验收发现书款与发货单不符的，采购人及时通知供应商派员到验收地核算，供应商接到通知之日起10个工作日内不能派员核算的，以甲方验收的实际数额计算书款金额。 </w:t>
      </w:r>
    </w:p>
    <w:p>
      <w:pPr>
        <w:pStyle w:val="5"/>
        <w:bidi w:val="0"/>
        <w:rPr>
          <w:color w:val="auto"/>
          <w:highlight w:val="none"/>
        </w:rPr>
      </w:pPr>
      <w:r>
        <w:rPr>
          <w:rFonts w:hint="eastAsia"/>
          <w:color w:val="auto"/>
          <w:highlight w:val="none"/>
        </w:rPr>
        <w:t>1</w:t>
      </w:r>
      <w:r>
        <w:rPr>
          <w:rFonts w:hint="eastAsia"/>
          <w:color w:val="auto"/>
          <w:highlight w:val="none"/>
          <w:lang w:val="en-US" w:eastAsia="zh-CN"/>
        </w:rPr>
        <w:t>2</w:t>
      </w:r>
      <w:r>
        <w:rPr>
          <w:rFonts w:hint="eastAsia"/>
          <w:color w:val="auto"/>
          <w:highlight w:val="none"/>
        </w:rPr>
        <w:t>、供应商能及时提供规范的Marc数据，并对所购图书免费提供加工编目工作，加工进度和质量须按采购人要求。</w:t>
      </w:r>
    </w:p>
    <w:p>
      <w:pPr>
        <w:pStyle w:val="5"/>
        <w:bidi w:val="0"/>
        <w:rPr>
          <w:color w:val="auto"/>
          <w:highlight w:val="none"/>
        </w:rPr>
      </w:pPr>
      <w:r>
        <w:rPr>
          <w:rFonts w:hint="eastAsia"/>
          <w:color w:val="auto"/>
          <w:highlight w:val="none"/>
        </w:rPr>
        <w:t>1</w:t>
      </w:r>
      <w:r>
        <w:rPr>
          <w:rFonts w:hint="eastAsia"/>
          <w:color w:val="auto"/>
          <w:highlight w:val="none"/>
          <w:lang w:val="en-US" w:eastAsia="zh-CN"/>
        </w:rPr>
        <w:t>3</w:t>
      </w:r>
      <w:r>
        <w:rPr>
          <w:rFonts w:hint="eastAsia"/>
          <w:color w:val="auto"/>
          <w:highlight w:val="none"/>
        </w:rPr>
        <w:t>、</w:t>
      </w:r>
      <w:r>
        <w:rPr>
          <w:color w:val="auto"/>
          <w:highlight w:val="none"/>
        </w:rPr>
        <w:t>除上述各条以外，供应商能根据采购人实际情况，及时向采购人提供相应的服务。</w:t>
      </w:r>
    </w:p>
    <w:p>
      <w:pPr>
        <w:pStyle w:val="5"/>
        <w:bidi w:val="0"/>
        <w:rPr>
          <w:color w:val="auto"/>
          <w:highlight w:val="none"/>
        </w:rPr>
      </w:pPr>
      <w:r>
        <w:rPr>
          <w:rFonts w:hint="eastAsia"/>
          <w:color w:val="auto"/>
          <w:highlight w:val="none"/>
        </w:rPr>
        <w:t>1</w:t>
      </w:r>
      <w:r>
        <w:rPr>
          <w:rFonts w:hint="eastAsia"/>
          <w:color w:val="auto"/>
          <w:highlight w:val="none"/>
          <w:lang w:val="en-US" w:eastAsia="zh-CN"/>
        </w:rPr>
        <w:t>4</w:t>
      </w:r>
      <w:r>
        <w:rPr>
          <w:rFonts w:hint="eastAsia"/>
          <w:color w:val="auto"/>
          <w:highlight w:val="none"/>
        </w:rPr>
        <w:t>、</w:t>
      </w:r>
      <w:r>
        <w:rPr>
          <w:color w:val="auto"/>
          <w:highlight w:val="none"/>
        </w:rPr>
        <w:t xml:space="preserve">本项目图书分多次采购，具体采购次数以采购人的供货清单为准。货款按实际订购数量和实洋凭发票结算。 </w:t>
      </w:r>
    </w:p>
    <w:p>
      <w:pPr>
        <w:pStyle w:val="5"/>
        <w:bidi w:val="0"/>
        <w:rPr>
          <w:rFonts w:hint="eastAsia"/>
          <w:b w:val="0"/>
          <w:bCs w:val="0"/>
          <w:color w:val="auto"/>
          <w:highlight w:val="none"/>
        </w:rPr>
      </w:pPr>
      <w:r>
        <w:rPr>
          <w:rFonts w:hint="eastAsia"/>
          <w:b w:val="0"/>
          <w:bCs w:val="0"/>
          <w:color w:val="auto"/>
          <w:highlight w:val="none"/>
          <w:lang w:val="en-US" w:eastAsia="zh-CN"/>
        </w:rPr>
        <w:t>15</w:t>
      </w:r>
      <w:r>
        <w:rPr>
          <w:rFonts w:hint="eastAsia"/>
          <w:b w:val="0"/>
          <w:bCs w:val="0"/>
          <w:color w:val="auto"/>
          <w:highlight w:val="none"/>
        </w:rPr>
        <w:t>、本项目以预算金额作为</w:t>
      </w:r>
      <w:r>
        <w:rPr>
          <w:rFonts w:hint="eastAsia"/>
          <w:b w:val="0"/>
          <w:bCs w:val="0"/>
          <w:color w:val="auto"/>
          <w:highlight w:val="none"/>
          <w:lang w:eastAsia="zh-CN"/>
        </w:rPr>
        <w:t>各</w:t>
      </w:r>
      <w:r>
        <w:rPr>
          <w:rFonts w:hint="eastAsia"/>
          <w:b w:val="0"/>
          <w:bCs w:val="0"/>
          <w:color w:val="auto"/>
          <w:highlight w:val="none"/>
          <w:lang w:val="en-US" w:eastAsia="zh-CN"/>
        </w:rPr>
        <w:t>合同</w:t>
      </w:r>
      <w:r>
        <w:rPr>
          <w:rFonts w:hint="eastAsia"/>
          <w:b w:val="0"/>
          <w:bCs w:val="0"/>
          <w:color w:val="auto"/>
          <w:highlight w:val="none"/>
          <w:lang w:eastAsia="zh-CN"/>
        </w:rPr>
        <w:t>包的</w:t>
      </w:r>
      <w:r>
        <w:rPr>
          <w:rFonts w:hint="eastAsia"/>
          <w:b w:val="0"/>
          <w:bCs w:val="0"/>
          <w:color w:val="auto"/>
          <w:highlight w:val="none"/>
        </w:rPr>
        <w:t>成交金额，</w:t>
      </w:r>
      <w:r>
        <w:rPr>
          <w:rFonts w:hint="eastAsia"/>
          <w:b w:val="0"/>
          <w:bCs w:val="0"/>
          <w:color w:val="auto"/>
          <w:highlight w:val="none"/>
          <w:lang w:eastAsia="zh-CN"/>
        </w:rPr>
        <w:t>各</w:t>
      </w:r>
      <w:r>
        <w:rPr>
          <w:rFonts w:hint="eastAsia"/>
          <w:b w:val="0"/>
          <w:bCs w:val="0"/>
          <w:color w:val="auto"/>
          <w:highlight w:val="none"/>
          <w:lang w:val="en-US" w:eastAsia="zh-CN"/>
        </w:rPr>
        <w:t>合同</w:t>
      </w:r>
      <w:r>
        <w:rPr>
          <w:rFonts w:hint="eastAsia"/>
          <w:b w:val="0"/>
          <w:bCs w:val="0"/>
          <w:color w:val="auto"/>
          <w:highlight w:val="none"/>
          <w:lang w:eastAsia="zh-CN"/>
        </w:rPr>
        <w:t>包入围供应商图书目录由采购人根据图书的市场行情结合各家的实际情况综合考量分配，各入围供应商的份额累计总量允许和预先设定的比例份额有±</w:t>
      </w:r>
      <w:r>
        <w:rPr>
          <w:rFonts w:hint="eastAsia"/>
          <w:b w:val="0"/>
          <w:bCs w:val="0"/>
          <w:color w:val="auto"/>
          <w:highlight w:val="none"/>
          <w:lang w:val="en-US" w:eastAsia="zh-CN"/>
        </w:rPr>
        <w:t>5</w:t>
      </w:r>
      <w:r>
        <w:rPr>
          <w:rFonts w:hint="eastAsia"/>
          <w:b w:val="0"/>
          <w:bCs w:val="0"/>
          <w:color w:val="auto"/>
          <w:highlight w:val="none"/>
          <w:lang w:eastAsia="zh-CN"/>
        </w:rPr>
        <w:t>%的误差（</w:t>
      </w:r>
      <w:r>
        <w:rPr>
          <w:rFonts w:hint="eastAsia"/>
          <w:b w:val="0"/>
          <w:bCs w:val="0"/>
          <w:color w:val="auto"/>
          <w:highlight w:val="none"/>
          <w:lang w:val="en-US" w:eastAsia="zh-CN"/>
        </w:rPr>
        <w:t>如</w:t>
      </w:r>
      <w:r>
        <w:rPr>
          <w:rFonts w:hint="eastAsia"/>
          <w:b w:val="0"/>
          <w:bCs w:val="0"/>
          <w:color w:val="auto"/>
          <w:highlight w:val="none"/>
          <w:lang w:eastAsia="zh-CN"/>
        </w:rPr>
        <w:t>，</w:t>
      </w:r>
      <w:r>
        <w:rPr>
          <w:rFonts w:hint="eastAsia"/>
          <w:b w:val="0"/>
          <w:bCs w:val="0"/>
          <w:color w:val="auto"/>
          <w:highlight w:val="none"/>
          <w:lang w:val="en-US" w:eastAsia="zh-CN"/>
        </w:rPr>
        <w:t>该合同包</w:t>
      </w:r>
      <w:r>
        <w:rPr>
          <w:rFonts w:hint="eastAsia"/>
          <w:b w:val="0"/>
          <w:bCs w:val="0"/>
          <w:color w:val="auto"/>
          <w:highlight w:val="none"/>
          <w:lang w:eastAsia="zh-CN"/>
        </w:rPr>
        <w:t>预算金额</w:t>
      </w:r>
      <w:r>
        <w:rPr>
          <w:rFonts w:hint="eastAsia"/>
          <w:b w:val="0"/>
          <w:bCs w:val="0"/>
          <w:color w:val="auto"/>
          <w:highlight w:val="none"/>
          <w:lang w:val="en-US" w:eastAsia="zh-CN"/>
        </w:rPr>
        <w:t>30万元，</w:t>
      </w:r>
      <w:r>
        <w:rPr>
          <w:rFonts w:hint="eastAsia"/>
          <w:b w:val="0"/>
          <w:bCs w:val="0"/>
          <w:color w:val="auto"/>
          <w:highlight w:val="none"/>
          <w:lang w:eastAsia="zh-CN"/>
        </w:rPr>
        <w:t>入围前三名中</w:t>
      </w:r>
      <w:r>
        <w:rPr>
          <w:rFonts w:hint="eastAsia"/>
          <w:b w:val="0"/>
          <w:bCs w:val="0"/>
          <w:color w:val="auto"/>
          <w:highlight w:val="none"/>
          <w:lang w:val="en-US" w:eastAsia="zh-CN"/>
        </w:rPr>
        <w:t>A公司的综合折扣为73%，是前三名里最低的，那么其实际供货量的份额应为30万*45%=13.5万元，可以上下浮动5%，即12.825万元--14.175万元之间</w:t>
      </w:r>
      <w:r>
        <w:rPr>
          <w:rFonts w:hint="eastAsia"/>
          <w:b w:val="0"/>
          <w:bCs w:val="0"/>
          <w:color w:val="auto"/>
          <w:highlight w:val="none"/>
          <w:lang w:eastAsia="zh-CN"/>
        </w:rPr>
        <w:t>）</w:t>
      </w:r>
      <w:r>
        <w:rPr>
          <w:rFonts w:hint="eastAsia"/>
          <w:b w:val="0"/>
          <w:bCs w:val="0"/>
          <w:color w:val="auto"/>
          <w:highlight w:val="none"/>
          <w:lang w:val="en-US" w:eastAsia="zh-CN"/>
        </w:rPr>
        <w:t>，最终结算入围供应商均不得有异议。</w:t>
      </w:r>
    </w:p>
    <w:p>
      <w:pPr>
        <w:pStyle w:val="2"/>
        <w:bidi w:val="0"/>
        <w:rPr>
          <w:color w:val="auto"/>
          <w:highlight w:val="none"/>
        </w:rPr>
      </w:pPr>
      <w:r>
        <w:rPr>
          <w:rFonts w:hint="eastAsia"/>
          <w:color w:val="auto"/>
          <w:highlight w:val="none"/>
        </w:rPr>
        <w:t>（三）</w:t>
      </w:r>
      <w:r>
        <w:rPr>
          <w:color w:val="auto"/>
          <w:highlight w:val="none"/>
        </w:rPr>
        <w:t>验收要求</w:t>
      </w:r>
    </w:p>
    <w:p>
      <w:pPr>
        <w:pStyle w:val="5"/>
        <w:bidi w:val="0"/>
        <w:rPr>
          <w:color w:val="auto"/>
          <w:highlight w:val="none"/>
        </w:rPr>
      </w:pPr>
      <w:r>
        <w:rPr>
          <w:color w:val="auto"/>
          <w:highlight w:val="none"/>
        </w:rPr>
        <w:t>采购人在验收时将按照约定的验收标准、要求和程序对每一项技术、服务、安全标准的履约情况进行确认并出具总体评价。如没有特殊要求，则验收时以入围供应商的</w:t>
      </w:r>
      <w:r>
        <w:rPr>
          <w:rFonts w:hint="eastAsia"/>
          <w:color w:val="auto"/>
          <w:highlight w:val="none"/>
          <w:lang w:eastAsia="zh-CN"/>
        </w:rPr>
        <w:t>投标文件</w:t>
      </w:r>
      <w:r>
        <w:rPr>
          <w:color w:val="auto"/>
          <w:highlight w:val="none"/>
        </w:rPr>
        <w:t>应答及招标文件的要求作为验收标准及依据。</w:t>
      </w:r>
    </w:p>
    <w:p>
      <w:pPr>
        <w:rPr>
          <w:rFonts w:hint="eastAsia"/>
          <w:color w:val="auto"/>
          <w:highlight w:val="none"/>
          <w:lang w:val="en-US" w:eastAsia="zh-CN"/>
        </w:rPr>
      </w:pPr>
      <w:r>
        <w:rPr>
          <w:rFonts w:hint="eastAsia"/>
          <w:color w:val="auto"/>
          <w:highlight w:val="none"/>
          <w:lang w:val="en-US" w:eastAsia="zh-CN"/>
        </w:rPr>
        <w:br w:type="page"/>
      </w:r>
    </w:p>
    <w:p>
      <w:pPr>
        <w:pStyle w:val="2"/>
        <w:bidi w:val="0"/>
        <w:rPr>
          <w:rFonts w:hint="default"/>
          <w:color w:val="auto"/>
          <w:highlight w:val="none"/>
          <w:lang w:val="en-US" w:eastAsia="zh-CN"/>
        </w:rPr>
      </w:pPr>
      <w:r>
        <w:rPr>
          <w:rFonts w:hint="eastAsia"/>
          <w:color w:val="auto"/>
          <w:highlight w:val="none"/>
          <w:lang w:val="en-US" w:eastAsia="zh-CN"/>
        </w:rPr>
        <w:t>二、商务要求</w:t>
      </w:r>
    </w:p>
    <w:tbl>
      <w:tblPr>
        <w:tblStyle w:val="20"/>
        <w:tblW w:w="934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83"/>
        <w:gridCol w:w="865"/>
        <w:gridCol w:w="78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blHeader/>
          <w:jc w:val="center"/>
        </w:trPr>
        <w:tc>
          <w:tcPr>
            <w:tcW w:w="583" w:type="dxa"/>
            <w:vAlign w:val="center"/>
          </w:tcPr>
          <w:p>
            <w:pPr>
              <w:pStyle w:val="3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条款号</w:t>
            </w:r>
          </w:p>
        </w:tc>
        <w:tc>
          <w:tcPr>
            <w:tcW w:w="865" w:type="dxa"/>
            <w:vAlign w:val="center"/>
          </w:tcPr>
          <w:p>
            <w:pPr>
              <w:pStyle w:val="3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条款内容</w:t>
            </w:r>
          </w:p>
        </w:tc>
        <w:tc>
          <w:tcPr>
            <w:tcW w:w="7895" w:type="dxa"/>
            <w:vAlign w:val="center"/>
          </w:tcPr>
          <w:p>
            <w:pPr>
              <w:pStyle w:val="3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blHeader/>
          <w:jc w:val="center"/>
        </w:trPr>
        <w:tc>
          <w:tcPr>
            <w:tcW w:w="583" w:type="dxa"/>
            <w:vAlign w:val="center"/>
          </w:tcPr>
          <w:p>
            <w:pPr>
              <w:pStyle w:val="30"/>
              <w:spacing w:line="360" w:lineRule="auto"/>
              <w:rPr>
                <w:rFonts w:hint="eastAsia" w:ascii="宋体" w:hAnsi="宋体" w:eastAsia="宋体" w:cs="宋体"/>
                <w:b w:val="0"/>
                <w:bCs w:val="0"/>
                <w:color w:val="auto"/>
                <w:highlight w:val="none"/>
                <w:lang w:val="en-US" w:eastAsia="zh-CN"/>
              </w:rPr>
            </w:pPr>
            <w:r>
              <w:rPr>
                <w:rFonts w:hint="eastAsia" w:cs="宋体"/>
                <w:b w:val="0"/>
                <w:bCs w:val="0"/>
                <w:color w:val="auto"/>
                <w:highlight w:val="none"/>
                <w:lang w:val="en-US" w:eastAsia="zh-CN"/>
              </w:rPr>
              <w:t>1</w:t>
            </w:r>
          </w:p>
        </w:tc>
        <w:tc>
          <w:tcPr>
            <w:tcW w:w="865" w:type="dxa"/>
            <w:vAlign w:val="center"/>
          </w:tcPr>
          <w:p>
            <w:pPr>
              <w:pStyle w:val="30"/>
              <w:spacing w:line="360" w:lineRule="auto"/>
              <w:rPr>
                <w:rFonts w:hint="eastAsia" w:ascii="宋体" w:hAnsi="宋体" w:eastAsia="宋体" w:cs="宋体"/>
                <w:b w:val="0"/>
                <w:bCs w:val="0"/>
                <w:color w:val="auto"/>
                <w:highlight w:val="none"/>
              </w:rPr>
            </w:pPr>
            <w:r>
              <w:rPr>
                <w:rFonts w:hint="eastAsia"/>
                <w:b w:val="0"/>
                <w:bCs w:val="0"/>
                <w:color w:val="auto"/>
                <w:highlight w:val="none"/>
              </w:rPr>
              <w:t>交付期</w:t>
            </w:r>
          </w:p>
        </w:tc>
        <w:tc>
          <w:tcPr>
            <w:tcW w:w="7895" w:type="dxa"/>
            <w:vAlign w:val="center"/>
          </w:tcPr>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供货期：</w:t>
            </w:r>
            <w:r>
              <w:rPr>
                <w:rFonts w:hint="eastAsia" w:cs="宋体"/>
                <w:color w:val="auto"/>
                <w:highlight w:val="none"/>
                <w:lang w:eastAsia="zh-CN"/>
              </w:rPr>
              <w:t>202</w:t>
            </w:r>
            <w:r>
              <w:rPr>
                <w:rFonts w:hint="eastAsia" w:cs="宋体"/>
                <w:color w:val="auto"/>
                <w:highlight w:val="none"/>
                <w:lang w:val="en-US" w:eastAsia="zh-CN"/>
              </w:rPr>
              <w:t>3</w:t>
            </w:r>
            <w:r>
              <w:rPr>
                <w:rFonts w:hint="eastAsia" w:cs="宋体"/>
                <w:color w:val="auto"/>
                <w:highlight w:val="none"/>
                <w:lang w:eastAsia="zh-CN"/>
              </w:rPr>
              <w:t>年</w:t>
            </w:r>
            <w:r>
              <w:rPr>
                <w:rFonts w:hint="eastAsia" w:ascii="宋体" w:hAnsi="宋体" w:eastAsia="宋体" w:cs="宋体"/>
                <w:color w:val="auto"/>
                <w:highlight w:val="none"/>
              </w:rPr>
              <w:t>。</w:t>
            </w:r>
          </w:p>
          <w:p>
            <w:pPr>
              <w:pStyle w:val="30"/>
              <w:spacing w:line="360" w:lineRule="auto"/>
              <w:jc w:val="left"/>
              <w:rPr>
                <w:rFonts w:hint="eastAsia" w:ascii="宋体" w:hAnsi="宋体" w:eastAsia="宋体" w:cs="宋体"/>
                <w:b/>
                <w:bCs/>
                <w:color w:val="auto"/>
                <w:highlight w:val="none"/>
              </w:rPr>
            </w:pPr>
            <w:r>
              <w:rPr>
                <w:rFonts w:hint="eastAsia" w:ascii="宋体" w:hAnsi="宋体" w:eastAsia="宋体" w:cs="宋体"/>
                <w:color w:val="auto"/>
                <w:highlight w:val="none"/>
                <w:lang w:val="en-US" w:eastAsia="zh-CN"/>
              </w:rPr>
              <w:t>供货时间：现场采购图书的供货时间不超过10个工作日；预定图书自发出订单之日起，供货时间不超过30个工作日</w:t>
            </w:r>
            <w:r>
              <w:rPr>
                <w:rFonts w:hint="eastAsia" w:cs="宋体"/>
                <w:color w:val="auto"/>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blHeader/>
          <w:jc w:val="center"/>
        </w:trPr>
        <w:tc>
          <w:tcPr>
            <w:tcW w:w="583" w:type="dxa"/>
            <w:vAlign w:val="center"/>
          </w:tcPr>
          <w:p>
            <w:pPr>
              <w:pStyle w:val="30"/>
              <w:spacing w:line="360" w:lineRule="auto"/>
              <w:rPr>
                <w:rFonts w:hint="eastAsia" w:ascii="宋体" w:hAnsi="宋体" w:eastAsia="宋体" w:cs="宋体"/>
                <w:b w:val="0"/>
                <w:bCs w:val="0"/>
                <w:color w:val="auto"/>
                <w:highlight w:val="none"/>
                <w:lang w:val="en-US" w:eastAsia="zh-CN"/>
              </w:rPr>
            </w:pPr>
            <w:r>
              <w:rPr>
                <w:rFonts w:hint="eastAsia" w:cs="宋体"/>
                <w:b w:val="0"/>
                <w:bCs w:val="0"/>
                <w:color w:val="auto"/>
                <w:highlight w:val="none"/>
                <w:lang w:val="en-US" w:eastAsia="zh-CN"/>
              </w:rPr>
              <w:t>2</w:t>
            </w:r>
          </w:p>
        </w:tc>
        <w:tc>
          <w:tcPr>
            <w:tcW w:w="865" w:type="dxa"/>
            <w:vAlign w:val="center"/>
          </w:tcPr>
          <w:p>
            <w:pPr>
              <w:pStyle w:val="30"/>
              <w:spacing w:line="360" w:lineRule="auto"/>
              <w:rPr>
                <w:rFonts w:hint="eastAsia" w:ascii="宋体" w:hAnsi="宋体" w:eastAsia="宋体" w:cs="宋体"/>
                <w:b w:val="0"/>
                <w:bCs w:val="0"/>
                <w:color w:val="auto"/>
                <w:highlight w:val="none"/>
              </w:rPr>
            </w:pPr>
            <w:r>
              <w:rPr>
                <w:rFonts w:hint="eastAsia"/>
                <w:b w:val="0"/>
                <w:bCs w:val="0"/>
                <w:color w:val="auto"/>
                <w:szCs w:val="22"/>
                <w:highlight w:val="none"/>
                <w:lang w:val="en-US" w:eastAsia="zh-CN"/>
              </w:rPr>
              <w:t>交付地点</w:t>
            </w:r>
          </w:p>
        </w:tc>
        <w:tc>
          <w:tcPr>
            <w:tcW w:w="7895" w:type="dxa"/>
            <w:vAlign w:val="center"/>
          </w:tcPr>
          <w:p>
            <w:pPr>
              <w:pStyle w:val="30"/>
              <w:spacing w:line="360" w:lineRule="auto"/>
              <w:jc w:val="left"/>
              <w:rPr>
                <w:rFonts w:hint="eastAsia" w:ascii="宋体" w:hAnsi="宋体" w:eastAsia="宋体" w:cs="宋体"/>
                <w:b/>
                <w:bCs/>
                <w:color w:val="auto"/>
                <w:highlight w:val="none"/>
              </w:rPr>
            </w:pPr>
            <w:r>
              <w:rPr>
                <w:rFonts w:hint="eastAsia" w:ascii="宋体" w:hAnsi="宋体" w:eastAsia="宋体" w:cs="宋体"/>
                <w:color w:val="auto"/>
                <w:highlight w:val="none"/>
              </w:rPr>
              <w:t>供应商收到订单后，应保证在订单有效期内将图书免费送至采购单位指定地点。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blHeader/>
          <w:jc w:val="center"/>
        </w:trPr>
        <w:tc>
          <w:tcPr>
            <w:tcW w:w="583" w:type="dxa"/>
            <w:vAlign w:val="center"/>
          </w:tcPr>
          <w:p>
            <w:pPr>
              <w:pStyle w:val="30"/>
              <w:spacing w:line="360" w:lineRule="auto"/>
              <w:rPr>
                <w:rFonts w:hint="eastAsia" w:ascii="宋体" w:hAnsi="宋体" w:eastAsia="宋体" w:cs="宋体"/>
                <w:b w:val="0"/>
                <w:bCs w:val="0"/>
                <w:color w:val="auto"/>
                <w:highlight w:val="none"/>
                <w:lang w:val="en-US" w:eastAsia="zh-CN"/>
              </w:rPr>
            </w:pPr>
            <w:r>
              <w:rPr>
                <w:rFonts w:hint="eastAsia" w:cs="宋体"/>
                <w:b w:val="0"/>
                <w:bCs w:val="0"/>
                <w:color w:val="auto"/>
                <w:highlight w:val="none"/>
                <w:lang w:val="en-US" w:eastAsia="zh-CN"/>
              </w:rPr>
              <w:t>3</w:t>
            </w:r>
          </w:p>
        </w:tc>
        <w:tc>
          <w:tcPr>
            <w:tcW w:w="865" w:type="dxa"/>
            <w:vAlign w:val="center"/>
          </w:tcPr>
          <w:p>
            <w:pPr>
              <w:pStyle w:val="30"/>
              <w:spacing w:line="360" w:lineRule="auto"/>
              <w:rPr>
                <w:rFonts w:hint="eastAsia"/>
                <w:b w:val="0"/>
                <w:bCs w:val="0"/>
                <w:color w:val="auto"/>
                <w:szCs w:val="22"/>
                <w:highlight w:val="none"/>
                <w:lang w:val="en-US" w:eastAsia="zh-CN"/>
              </w:rPr>
            </w:pPr>
            <w:r>
              <w:rPr>
                <w:rFonts w:hint="eastAsia"/>
                <w:b w:val="0"/>
                <w:bCs w:val="0"/>
                <w:color w:val="auto"/>
                <w:highlight w:val="none"/>
              </w:rPr>
              <w:t>投标报价</w:t>
            </w:r>
          </w:p>
        </w:tc>
        <w:tc>
          <w:tcPr>
            <w:tcW w:w="7895" w:type="dxa"/>
            <w:vAlign w:val="top"/>
          </w:tcPr>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1）投标报价是指产品到达使用地点，达到正常使用条件下的所有费用，包括产品的报价及所发生的运杂费（含保险）、现场安装调试费及国家按现行税收政策征收的一切税费等。以招标文件的内容和要求作为投标依据；</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（2）投标人应在投标文件中的开标一览表上，标明供货折扣；任何有选择的折扣不予接受；</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（3）投标报价：供货折扣（最多保留到小数点后两位）；</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（4）开标一览表应有投标人公章及法定代表人或被授权人的签字或盖章；</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（5）投标报价表中标明的折扣，在合同执行过程中，不得以任何理由变更；</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（6）凡因投标人对招标文件阅读不深、理解不透、误解、疏漏、或因市场行情了解不清造成的后果和风险均由投标人自负；</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（7）最低折扣报价不是中标的唯一依据； </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8）投标人不得以低于成本的折扣报价参加投标。评标委员会认为投标人的折扣报价明显低于其他通过符合性审查投标人的折扣报价，有可能影响产品质量或者不能诚信履约的，应当要求其在评标现场合理的时间内提供书面说明，必要时提交相关证明材料；投标人不能证明其折扣报价合理性的，评标委员会应当将其作为无效投标处理。</w:t>
            </w:r>
          </w:p>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（9）投标人对投标</w:t>
            </w:r>
            <w:r>
              <w:rPr>
                <w:rFonts w:hint="eastAsia" w:cs="宋体"/>
                <w:color w:val="auto"/>
                <w:highlight w:val="none"/>
                <w:lang w:val="en-US" w:eastAsia="zh-CN"/>
              </w:rPr>
              <w:t>包（标段）</w:t>
            </w:r>
            <w:r>
              <w:rPr>
                <w:rFonts w:hint="eastAsia" w:ascii="宋体" w:hAnsi="宋体" w:eastAsia="宋体" w:cs="宋体"/>
                <w:color w:val="auto"/>
                <w:highlight w:val="none"/>
              </w:rPr>
              <w:t>只允许有一个折扣报价，不接受超过招标文件中规定的预算金额或者最高限价的报价、可变动性报价、赠送及“零”报价，否则视为无效投标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blHeader/>
          <w:jc w:val="center"/>
        </w:trPr>
        <w:tc>
          <w:tcPr>
            <w:tcW w:w="583" w:type="dxa"/>
            <w:vAlign w:val="center"/>
          </w:tcPr>
          <w:p>
            <w:pPr>
              <w:pStyle w:val="30"/>
              <w:spacing w:line="360" w:lineRule="auto"/>
              <w:rPr>
                <w:rFonts w:hint="eastAsia" w:ascii="宋体" w:hAnsi="宋体" w:eastAsia="宋体" w:cs="宋体"/>
                <w:b w:val="0"/>
                <w:bCs w:val="0"/>
                <w:color w:val="auto"/>
                <w:highlight w:val="none"/>
                <w:lang w:val="en-US" w:eastAsia="zh-CN"/>
              </w:rPr>
            </w:pPr>
            <w:r>
              <w:rPr>
                <w:rFonts w:hint="eastAsia" w:cs="宋体"/>
                <w:b w:val="0"/>
                <w:bCs w:val="0"/>
                <w:color w:val="auto"/>
                <w:highlight w:val="none"/>
                <w:lang w:val="en-US" w:eastAsia="zh-CN"/>
              </w:rPr>
              <w:t>4</w:t>
            </w:r>
          </w:p>
        </w:tc>
        <w:tc>
          <w:tcPr>
            <w:tcW w:w="865" w:type="dxa"/>
            <w:vAlign w:val="center"/>
          </w:tcPr>
          <w:p>
            <w:pPr>
              <w:pStyle w:val="30"/>
              <w:spacing w:line="360" w:lineRule="auto"/>
              <w:rPr>
                <w:rFonts w:hint="eastAsia"/>
                <w:b w:val="0"/>
                <w:bCs w:val="0"/>
                <w:color w:val="auto"/>
                <w:highlight w:val="none"/>
              </w:rPr>
            </w:pPr>
            <w:r>
              <w:rPr>
                <w:rFonts w:hint="eastAsia"/>
                <w:b w:val="0"/>
                <w:bCs w:val="0"/>
                <w:color w:val="auto"/>
                <w:highlight w:val="none"/>
              </w:rPr>
              <w:t>付款方式</w:t>
            </w:r>
          </w:p>
        </w:tc>
        <w:tc>
          <w:tcPr>
            <w:tcW w:w="7895" w:type="dxa"/>
            <w:vAlign w:val="center"/>
          </w:tcPr>
          <w:p>
            <w:pPr>
              <w:pStyle w:val="3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本项目图书分多次采购，具体采购次数以采购人的供货清单为准。货款按实际订购数量和实洋凭发票结算。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blHeader/>
          <w:jc w:val="center"/>
        </w:trPr>
        <w:tc>
          <w:tcPr>
            <w:tcW w:w="583" w:type="dxa"/>
            <w:vAlign w:val="center"/>
          </w:tcPr>
          <w:p>
            <w:pPr>
              <w:pStyle w:val="30"/>
              <w:spacing w:line="360" w:lineRule="auto"/>
              <w:rPr>
                <w:rFonts w:hint="eastAsia" w:ascii="宋体" w:hAnsi="宋体" w:eastAsia="宋体" w:cs="宋体"/>
                <w:b w:val="0"/>
                <w:bCs w:val="0"/>
                <w:color w:val="auto"/>
                <w:highlight w:val="none"/>
                <w:lang w:val="en-US" w:eastAsia="zh-CN"/>
              </w:rPr>
            </w:pPr>
            <w:r>
              <w:rPr>
                <w:rFonts w:hint="eastAsia" w:cs="宋体"/>
                <w:b w:val="0"/>
                <w:bCs w:val="0"/>
                <w:color w:val="auto"/>
                <w:highlight w:val="none"/>
                <w:lang w:val="en-US" w:eastAsia="zh-CN"/>
              </w:rPr>
              <w:t>5</w:t>
            </w:r>
          </w:p>
        </w:tc>
        <w:tc>
          <w:tcPr>
            <w:tcW w:w="865" w:type="dxa"/>
            <w:vAlign w:val="center"/>
          </w:tcPr>
          <w:p>
            <w:pPr>
              <w:pStyle w:val="30"/>
              <w:spacing w:line="360" w:lineRule="auto"/>
              <w:rPr>
                <w:rFonts w:hint="eastAsia"/>
                <w:b w:val="0"/>
                <w:bCs w:val="0"/>
                <w:color w:val="auto"/>
                <w:highlight w:val="none"/>
              </w:rPr>
            </w:pPr>
            <w:r>
              <w:rPr>
                <w:rFonts w:hint="eastAsia"/>
                <w:b w:val="0"/>
                <w:bCs w:val="0"/>
                <w:color w:val="auto"/>
                <w:szCs w:val="22"/>
                <w:highlight w:val="none"/>
                <w:lang w:eastAsia="zh-CN"/>
              </w:rPr>
              <w:t>履约保证金</w:t>
            </w:r>
          </w:p>
        </w:tc>
        <w:tc>
          <w:tcPr>
            <w:tcW w:w="7895" w:type="dxa"/>
            <w:vAlign w:val="center"/>
          </w:tcPr>
          <w:p>
            <w:pPr>
              <w:pStyle w:val="30"/>
              <w:spacing w:line="360" w:lineRule="auto"/>
              <w:jc w:val="both"/>
              <w:rPr>
                <w:rFonts w:hint="eastAsia" w:ascii="宋体" w:hAnsi="宋体" w:eastAsia="宋体" w:cs="宋体"/>
                <w:color w:val="auto"/>
                <w:highlight w:val="none"/>
              </w:rPr>
            </w:pPr>
            <w:r>
              <w:rPr>
                <w:rFonts w:hint="eastAsia"/>
                <w:color w:val="auto"/>
                <w:szCs w:val="22"/>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blHeader/>
          <w:jc w:val="center"/>
        </w:trPr>
        <w:tc>
          <w:tcPr>
            <w:tcW w:w="583" w:type="dxa"/>
            <w:vAlign w:val="center"/>
          </w:tcPr>
          <w:p>
            <w:pPr>
              <w:pStyle w:val="30"/>
              <w:spacing w:line="360" w:lineRule="auto"/>
              <w:rPr>
                <w:rFonts w:hint="eastAsia" w:ascii="宋体" w:hAnsi="宋体" w:eastAsia="宋体" w:cs="宋体"/>
                <w:b/>
                <w:bCs/>
                <w:color w:val="auto"/>
                <w:highlight w:val="none"/>
                <w:lang w:val="en-US" w:eastAsia="zh-CN"/>
              </w:rPr>
            </w:pPr>
            <w:r>
              <w:rPr>
                <w:rFonts w:hint="eastAsia" w:cs="宋体"/>
                <w:b/>
                <w:bCs/>
                <w:color w:val="auto"/>
                <w:highlight w:val="none"/>
                <w:lang w:val="en-US" w:eastAsia="zh-CN"/>
              </w:rPr>
              <w:t>6</w:t>
            </w:r>
          </w:p>
        </w:tc>
        <w:tc>
          <w:tcPr>
            <w:tcW w:w="865" w:type="dxa"/>
            <w:vAlign w:val="center"/>
          </w:tcPr>
          <w:p>
            <w:pPr>
              <w:pStyle w:val="30"/>
              <w:spacing w:line="360" w:lineRule="auto"/>
              <w:rPr>
                <w:rFonts w:hint="eastAsia"/>
                <w:b/>
                <w:bCs/>
                <w:color w:val="auto"/>
                <w:szCs w:val="22"/>
                <w:highlight w:val="none"/>
                <w:lang w:eastAsia="zh-CN"/>
              </w:rPr>
            </w:pPr>
            <w:r>
              <w:rPr>
                <w:rFonts w:hint="eastAsia" w:ascii="宋体" w:hAnsi="宋体" w:eastAsia="宋体" w:cs="宋体"/>
                <w:b/>
                <w:bCs/>
                <w:color w:val="auto"/>
                <w:highlight w:val="none"/>
              </w:rPr>
              <w:t>中标说明</w:t>
            </w:r>
          </w:p>
        </w:tc>
        <w:tc>
          <w:tcPr>
            <w:tcW w:w="7895" w:type="dxa"/>
            <w:vAlign w:val="center"/>
          </w:tcPr>
          <w:p>
            <w:pPr>
              <w:pStyle w:val="5"/>
              <w:bidi w:val="0"/>
              <w:ind w:left="0" w:leftChars="0" w:firstLine="0" w:firstLineChars="0"/>
              <w:rPr>
                <w:rFonts w:hint="eastAsia"/>
                <w:color w:val="auto"/>
                <w:szCs w:val="22"/>
                <w:highlight w:val="none"/>
                <w:lang w:val="en-US" w:eastAsia="zh-CN"/>
              </w:rPr>
            </w:pPr>
            <w:r>
              <w:rPr>
                <w:rFonts w:hint="eastAsia" w:ascii="宋体" w:hAnsi="宋体" w:eastAsia="宋体" w:cs="宋体"/>
                <w:b/>
                <w:bCs/>
                <w:color w:val="auto"/>
                <w:kern w:val="0"/>
                <w:sz w:val="24"/>
                <w:szCs w:val="20"/>
                <w:highlight w:val="none"/>
                <w:lang w:val="en-US" w:eastAsia="zh-CN" w:bidi="ar-SA"/>
              </w:rPr>
              <w:t>本项目</w:t>
            </w:r>
            <w:r>
              <w:rPr>
                <w:rFonts w:hint="eastAsia" w:cs="宋体"/>
                <w:b/>
                <w:bCs/>
                <w:color w:val="auto"/>
                <w:kern w:val="0"/>
                <w:sz w:val="24"/>
                <w:szCs w:val="20"/>
                <w:highlight w:val="none"/>
                <w:lang w:val="en-US" w:eastAsia="zh-CN" w:bidi="ar-SA"/>
              </w:rPr>
              <w:t>各合同包</w:t>
            </w:r>
            <w:r>
              <w:rPr>
                <w:rFonts w:hint="eastAsia" w:ascii="宋体" w:hAnsi="宋体" w:eastAsia="宋体" w:cs="宋体"/>
                <w:b/>
                <w:bCs/>
                <w:color w:val="auto"/>
                <w:kern w:val="0"/>
                <w:sz w:val="24"/>
                <w:szCs w:val="20"/>
                <w:highlight w:val="none"/>
                <w:lang w:val="en-US" w:eastAsia="zh-CN" w:bidi="ar-SA"/>
              </w:rPr>
              <w:t>采用有限数量制入围前三名，每</w:t>
            </w:r>
            <w:r>
              <w:rPr>
                <w:rFonts w:hint="eastAsia" w:cs="宋体"/>
                <w:b/>
                <w:bCs/>
                <w:color w:val="auto"/>
                <w:kern w:val="0"/>
                <w:sz w:val="24"/>
                <w:szCs w:val="20"/>
                <w:highlight w:val="none"/>
                <w:lang w:val="en-US" w:eastAsia="zh-CN" w:bidi="ar-SA"/>
              </w:rPr>
              <w:t>合同包</w:t>
            </w:r>
            <w:r>
              <w:rPr>
                <w:rFonts w:hint="eastAsia" w:ascii="宋体" w:hAnsi="宋体" w:eastAsia="宋体" w:cs="宋体"/>
                <w:b/>
                <w:bCs/>
                <w:color w:val="auto"/>
                <w:kern w:val="0"/>
                <w:sz w:val="24"/>
                <w:szCs w:val="20"/>
                <w:highlight w:val="none"/>
                <w:lang w:val="en-US" w:eastAsia="zh-CN" w:bidi="ar-SA"/>
              </w:rPr>
              <w:t>入围供应商入围份额以该</w:t>
            </w:r>
            <w:r>
              <w:rPr>
                <w:rFonts w:hint="eastAsia" w:cs="宋体"/>
                <w:b/>
                <w:bCs/>
                <w:color w:val="auto"/>
                <w:kern w:val="0"/>
                <w:sz w:val="24"/>
                <w:szCs w:val="20"/>
                <w:highlight w:val="none"/>
                <w:lang w:val="en-US" w:eastAsia="zh-CN" w:bidi="ar-SA"/>
              </w:rPr>
              <w:t>合同包</w:t>
            </w:r>
            <w:r>
              <w:rPr>
                <w:rFonts w:hint="eastAsia" w:ascii="宋体" w:hAnsi="宋体" w:eastAsia="宋体" w:cs="宋体"/>
                <w:b/>
                <w:bCs/>
                <w:color w:val="auto"/>
                <w:kern w:val="0"/>
                <w:sz w:val="24"/>
                <w:szCs w:val="20"/>
                <w:highlight w:val="none"/>
                <w:lang w:val="en-US" w:eastAsia="zh-CN" w:bidi="ar-SA"/>
              </w:rPr>
              <w:t>报价综合折扣由低到高排序分别为45%份额、30%份额、25%份额</w:t>
            </w:r>
            <w:r>
              <w:rPr>
                <w:rFonts w:hint="eastAsia" w:cs="宋体"/>
                <w:b/>
                <w:bCs/>
                <w:color w:val="auto"/>
                <w:kern w:val="0"/>
                <w:sz w:val="24"/>
                <w:szCs w:val="20"/>
                <w:highlight w:val="none"/>
                <w:lang w:val="en-US" w:eastAsia="zh-CN" w:bidi="ar-SA"/>
              </w:rPr>
              <w:t>。</w:t>
            </w:r>
          </w:p>
        </w:tc>
      </w:tr>
    </w:tbl>
    <w:p>
      <w:pPr>
        <w:pStyle w:val="5"/>
        <w:ind w:firstLine="480"/>
        <w:rPr>
          <w:color w:val="auto"/>
          <w:highlight w:val="none"/>
        </w:rPr>
      </w:pPr>
    </w:p>
    <w:p>
      <w:pPr>
        <w:rPr>
          <w:color w:val="auto"/>
          <w:highlight w:val="none"/>
        </w:rPr>
      </w:pPr>
      <w:r>
        <w:rPr>
          <w:rFonts w:hint="eastAsia"/>
          <w:color w:val="auto"/>
          <w:highlight w:val="none"/>
        </w:rPr>
        <w:br w:type="page"/>
      </w:r>
    </w:p>
    <w:p>
      <w:pPr>
        <w:pStyle w:val="3"/>
        <w:spacing w:before="333"/>
        <w:rPr>
          <w:color w:val="auto"/>
          <w:highlight w:val="none"/>
        </w:rPr>
      </w:pPr>
      <w:bookmarkStart w:id="151" w:name="_Toc23137"/>
      <w:r>
        <w:rPr>
          <w:rFonts w:hint="eastAsia"/>
          <w:color w:val="auto"/>
          <w:highlight w:val="none"/>
        </w:rPr>
        <w:t>第五章  评标办法</w:t>
      </w:r>
      <w:bookmarkEnd w:id="146"/>
      <w:bookmarkEnd w:id="147"/>
      <w:bookmarkEnd w:id="148"/>
      <w:bookmarkEnd w:id="149"/>
      <w:bookmarkEnd w:id="150"/>
      <w:bookmarkEnd w:id="151"/>
    </w:p>
    <w:p>
      <w:pPr>
        <w:pStyle w:val="2"/>
        <w:rPr>
          <w:color w:val="auto"/>
          <w:highlight w:val="none"/>
        </w:rPr>
      </w:pPr>
      <w:bookmarkStart w:id="152" w:name="_Toc363463332"/>
      <w:bookmarkStart w:id="153" w:name="_Toc10474"/>
      <w:bookmarkStart w:id="154" w:name="_Toc12882"/>
      <w:r>
        <w:rPr>
          <w:rFonts w:hint="eastAsia"/>
          <w:color w:val="auto"/>
          <w:highlight w:val="none"/>
        </w:rPr>
        <w:t>一．评标办法</w:t>
      </w:r>
      <w:bookmarkEnd w:id="152"/>
      <w:bookmarkEnd w:id="153"/>
      <w:bookmarkEnd w:id="154"/>
    </w:p>
    <w:p>
      <w:pPr>
        <w:pStyle w:val="5"/>
        <w:ind w:firstLine="480"/>
        <w:rPr>
          <w:color w:val="auto"/>
          <w:highlight w:val="none"/>
        </w:rPr>
      </w:pPr>
      <w:r>
        <w:rPr>
          <w:rFonts w:hint="eastAsia"/>
          <w:color w:val="auto"/>
          <w:highlight w:val="none"/>
        </w:rPr>
        <w:t>按照《中华人民共和国政府采购法》、中华人民共和国2015年第658号国务院令--《中华人民共和国政府采购法实施条例》和中华人民共和国财政部2017年第87号部长令--《政府采购货物和服务招标投标管理办法》的规定，</w:t>
      </w:r>
      <w:r>
        <w:rPr>
          <w:rFonts w:hint="eastAsia"/>
          <w:b/>
          <w:color w:val="auto"/>
          <w:highlight w:val="none"/>
        </w:rPr>
        <w:t>本次评标采用综合评分法-</w:t>
      </w:r>
      <w:r>
        <w:rPr>
          <w:rFonts w:hint="eastAsia"/>
          <w:color w:val="auto"/>
          <w:highlight w:val="none"/>
        </w:rPr>
        <w:t>-投标文件满足招标文件全部实质性要求，且按照评审因素的量化指标评审得分最高的投标人为中标候选人。</w:t>
      </w:r>
      <w:r>
        <w:rPr>
          <w:rFonts w:hint="eastAsia"/>
          <w:b/>
          <w:bCs/>
          <w:color w:val="auto"/>
          <w:highlight w:val="none"/>
        </w:rPr>
        <w:t>最低报价不是中标的唯一标准。</w:t>
      </w:r>
    </w:p>
    <w:p>
      <w:pPr>
        <w:pStyle w:val="2"/>
        <w:rPr>
          <w:color w:val="auto"/>
          <w:highlight w:val="none"/>
        </w:rPr>
      </w:pPr>
      <w:bookmarkStart w:id="155" w:name="_Toc27037"/>
      <w:bookmarkStart w:id="156" w:name="_Toc20618"/>
      <w:r>
        <w:rPr>
          <w:rFonts w:hint="eastAsia"/>
          <w:color w:val="auto"/>
          <w:highlight w:val="none"/>
        </w:rPr>
        <w:t>二．评标委员会负责具体评标事务，并独立履行下列职责：</w:t>
      </w:r>
      <w:bookmarkEnd w:id="155"/>
      <w:bookmarkEnd w:id="156"/>
    </w:p>
    <w:p>
      <w:pPr>
        <w:pStyle w:val="5"/>
        <w:ind w:firstLine="480"/>
        <w:rPr>
          <w:color w:val="auto"/>
          <w:highlight w:val="none"/>
        </w:rPr>
      </w:pPr>
      <w:r>
        <w:rPr>
          <w:rFonts w:hint="eastAsia"/>
          <w:color w:val="auto"/>
          <w:highlight w:val="none"/>
        </w:rPr>
        <w:t>2.1审查、评价投标文件是否符合招标文件的商务、技术、合同条款等实质性要求；</w:t>
      </w:r>
    </w:p>
    <w:p>
      <w:pPr>
        <w:pStyle w:val="5"/>
        <w:ind w:firstLine="480"/>
        <w:rPr>
          <w:color w:val="auto"/>
          <w:highlight w:val="none"/>
        </w:rPr>
      </w:pPr>
      <w:r>
        <w:rPr>
          <w:rFonts w:hint="eastAsia"/>
          <w:color w:val="auto"/>
          <w:highlight w:val="none"/>
        </w:rPr>
        <w:t>2.2要求投标人对投标文件有关事项作出澄清或者说明；</w:t>
      </w:r>
    </w:p>
    <w:p>
      <w:pPr>
        <w:pStyle w:val="5"/>
        <w:ind w:firstLine="480"/>
        <w:rPr>
          <w:color w:val="auto"/>
          <w:highlight w:val="none"/>
        </w:rPr>
      </w:pPr>
      <w:r>
        <w:rPr>
          <w:rFonts w:hint="eastAsia"/>
          <w:color w:val="auto"/>
          <w:highlight w:val="none"/>
        </w:rPr>
        <w:t>2.3对投标文件进行比较和评价；</w:t>
      </w:r>
    </w:p>
    <w:p>
      <w:pPr>
        <w:pStyle w:val="5"/>
        <w:ind w:firstLine="480"/>
        <w:rPr>
          <w:color w:val="auto"/>
          <w:highlight w:val="none"/>
        </w:rPr>
      </w:pPr>
      <w:r>
        <w:rPr>
          <w:rFonts w:hint="eastAsia"/>
          <w:color w:val="auto"/>
          <w:highlight w:val="none"/>
        </w:rPr>
        <w:t>2.4确定中标候选人名单，以及根据采购人委托直接确定中标人；</w:t>
      </w:r>
    </w:p>
    <w:p>
      <w:pPr>
        <w:pStyle w:val="5"/>
        <w:ind w:firstLine="480"/>
        <w:rPr>
          <w:color w:val="auto"/>
          <w:highlight w:val="none"/>
        </w:rPr>
      </w:pPr>
      <w:r>
        <w:rPr>
          <w:rFonts w:hint="eastAsia"/>
          <w:color w:val="auto"/>
          <w:highlight w:val="none"/>
        </w:rPr>
        <w:t>2.5向采购人、采购代理机构或者有关部门报告评标中发现的违法行为。</w:t>
      </w:r>
    </w:p>
    <w:p>
      <w:pPr>
        <w:pStyle w:val="2"/>
        <w:rPr>
          <w:color w:val="auto"/>
          <w:highlight w:val="none"/>
        </w:rPr>
      </w:pPr>
      <w:r>
        <w:rPr>
          <w:rFonts w:hint="eastAsia"/>
          <w:color w:val="auto"/>
          <w:highlight w:val="none"/>
        </w:rPr>
        <w:t>三．投标人存在下列情况之一的，投标无效：</w:t>
      </w:r>
    </w:p>
    <w:p>
      <w:pPr>
        <w:pStyle w:val="5"/>
        <w:ind w:firstLine="480"/>
        <w:rPr>
          <w:color w:val="auto"/>
          <w:highlight w:val="none"/>
        </w:rPr>
      </w:pPr>
      <w:r>
        <w:rPr>
          <w:rFonts w:hint="eastAsia"/>
          <w:color w:val="auto"/>
          <w:highlight w:val="none"/>
        </w:rPr>
        <w:t>3.1未按照招标文件的规定提交投标保证金（如有）的；</w:t>
      </w:r>
    </w:p>
    <w:p>
      <w:pPr>
        <w:pStyle w:val="5"/>
        <w:ind w:firstLine="480"/>
        <w:rPr>
          <w:color w:val="auto"/>
          <w:highlight w:val="none"/>
        </w:rPr>
      </w:pPr>
      <w:r>
        <w:rPr>
          <w:rFonts w:hint="eastAsia"/>
          <w:color w:val="auto"/>
          <w:highlight w:val="none"/>
        </w:rPr>
        <w:t>3.2投标文件未按招标文件要求签署、盖章的；</w:t>
      </w:r>
    </w:p>
    <w:p>
      <w:pPr>
        <w:pStyle w:val="5"/>
        <w:ind w:firstLine="480"/>
        <w:rPr>
          <w:color w:val="auto"/>
          <w:highlight w:val="none"/>
        </w:rPr>
      </w:pPr>
      <w:r>
        <w:rPr>
          <w:rFonts w:hint="eastAsia"/>
          <w:color w:val="auto"/>
          <w:highlight w:val="none"/>
        </w:rPr>
        <w:t>3.3不具备招标文件中规定的资格要求的；</w:t>
      </w:r>
    </w:p>
    <w:p>
      <w:pPr>
        <w:pStyle w:val="5"/>
        <w:ind w:firstLine="480"/>
        <w:rPr>
          <w:color w:val="auto"/>
          <w:highlight w:val="none"/>
        </w:rPr>
      </w:pPr>
      <w:r>
        <w:rPr>
          <w:rFonts w:hint="eastAsia"/>
          <w:color w:val="auto"/>
          <w:highlight w:val="none"/>
        </w:rPr>
        <w:t>3.4报价超过招标文件中规定的预算金额或者最高限价的；</w:t>
      </w:r>
    </w:p>
    <w:p>
      <w:pPr>
        <w:pStyle w:val="5"/>
        <w:ind w:firstLine="480"/>
        <w:rPr>
          <w:color w:val="auto"/>
          <w:highlight w:val="none"/>
        </w:rPr>
      </w:pPr>
      <w:r>
        <w:rPr>
          <w:rFonts w:hint="eastAsia"/>
          <w:color w:val="auto"/>
          <w:highlight w:val="none"/>
        </w:rPr>
        <w:t>3.5投标文件含有采购人不能接受的附加条件的；</w:t>
      </w:r>
    </w:p>
    <w:p>
      <w:pPr>
        <w:pStyle w:val="5"/>
        <w:ind w:firstLine="480"/>
        <w:rPr>
          <w:color w:val="auto"/>
          <w:highlight w:val="none"/>
        </w:rPr>
      </w:pPr>
      <w:r>
        <w:rPr>
          <w:rFonts w:hint="eastAsia"/>
          <w:color w:val="auto"/>
          <w:highlight w:val="none"/>
        </w:rPr>
        <w:t>3.6无投标有效期或有效期达不到招标文件要求的；</w:t>
      </w:r>
    </w:p>
    <w:p>
      <w:pPr>
        <w:pStyle w:val="5"/>
        <w:ind w:firstLine="480"/>
        <w:rPr>
          <w:color w:val="auto"/>
          <w:highlight w:val="none"/>
        </w:rPr>
      </w:pPr>
      <w:r>
        <w:rPr>
          <w:rFonts w:hint="eastAsia"/>
          <w:color w:val="auto"/>
          <w:highlight w:val="none"/>
        </w:rPr>
        <w:t>3.7单位负责人为同一人或者存在直接控股、管理关系的不同投标人，参加本项目同一合同项下的投标的；</w:t>
      </w:r>
    </w:p>
    <w:p>
      <w:pPr>
        <w:pStyle w:val="5"/>
        <w:ind w:firstLine="480"/>
        <w:rPr>
          <w:color w:val="auto"/>
          <w:highlight w:val="none"/>
        </w:rPr>
      </w:pPr>
      <w:r>
        <w:rPr>
          <w:rFonts w:hint="eastAsia"/>
          <w:color w:val="auto"/>
          <w:highlight w:val="none"/>
        </w:rPr>
        <w:t>3.8为本采购项目提供整体设计、规范编制或者项目管理、监理、检测等服务的投标人，参加本采购项目投标的；</w:t>
      </w:r>
    </w:p>
    <w:p>
      <w:pPr>
        <w:pStyle w:val="5"/>
        <w:ind w:firstLine="480"/>
        <w:rPr>
          <w:color w:val="auto"/>
          <w:highlight w:val="none"/>
        </w:rPr>
      </w:pPr>
      <w:r>
        <w:rPr>
          <w:rFonts w:hint="eastAsia"/>
          <w:color w:val="auto"/>
          <w:highlight w:val="none"/>
        </w:rPr>
        <w:t>3.9提供虚假投标文件和资料的。</w:t>
      </w:r>
    </w:p>
    <w:p>
      <w:pPr>
        <w:pStyle w:val="5"/>
        <w:ind w:firstLine="480"/>
        <w:rPr>
          <w:color w:val="auto"/>
          <w:highlight w:val="none"/>
        </w:rPr>
      </w:pPr>
      <w:r>
        <w:rPr>
          <w:rFonts w:hint="eastAsia"/>
          <w:color w:val="auto"/>
          <w:highlight w:val="none"/>
        </w:rPr>
        <w:t>3.10法律、法规和招标文件规定的其他无效情形。</w:t>
      </w:r>
    </w:p>
    <w:p>
      <w:pPr>
        <w:pStyle w:val="2"/>
        <w:rPr>
          <w:color w:val="auto"/>
          <w:highlight w:val="none"/>
        </w:rPr>
      </w:pPr>
      <w:r>
        <w:rPr>
          <w:rFonts w:hint="eastAsia"/>
          <w:color w:val="auto"/>
          <w:highlight w:val="none"/>
        </w:rPr>
        <w:t>四．投标人有下列情形之一的，视为投标人串通投标，其投标无效：</w:t>
      </w:r>
    </w:p>
    <w:p>
      <w:pPr>
        <w:pStyle w:val="5"/>
        <w:ind w:firstLine="480"/>
        <w:rPr>
          <w:color w:val="auto"/>
          <w:highlight w:val="none"/>
        </w:rPr>
      </w:pPr>
      <w:r>
        <w:rPr>
          <w:rFonts w:hint="eastAsia"/>
          <w:color w:val="auto"/>
          <w:highlight w:val="none"/>
        </w:rPr>
        <w:t>4.1不同投标人的投标文件由同一单位或者个人编制；</w:t>
      </w:r>
    </w:p>
    <w:p>
      <w:pPr>
        <w:pStyle w:val="5"/>
        <w:ind w:firstLine="480"/>
        <w:rPr>
          <w:color w:val="auto"/>
          <w:highlight w:val="none"/>
        </w:rPr>
      </w:pPr>
      <w:r>
        <w:rPr>
          <w:rFonts w:hint="eastAsia"/>
          <w:color w:val="auto"/>
          <w:highlight w:val="none"/>
        </w:rPr>
        <w:t>4.2不同投标人委托同一单位或者个人办理投标事宜；</w:t>
      </w:r>
    </w:p>
    <w:p>
      <w:pPr>
        <w:pStyle w:val="5"/>
        <w:ind w:firstLine="480"/>
        <w:rPr>
          <w:color w:val="auto"/>
          <w:highlight w:val="none"/>
        </w:rPr>
      </w:pPr>
      <w:r>
        <w:rPr>
          <w:rFonts w:hint="eastAsia"/>
          <w:color w:val="auto"/>
          <w:highlight w:val="none"/>
        </w:rPr>
        <w:t>4.3不同投标人的投标文件载明的项目管理成员或者联系人员为同一人；</w:t>
      </w:r>
    </w:p>
    <w:p>
      <w:pPr>
        <w:pStyle w:val="5"/>
        <w:ind w:firstLine="480"/>
        <w:rPr>
          <w:color w:val="auto"/>
          <w:highlight w:val="none"/>
        </w:rPr>
      </w:pPr>
      <w:r>
        <w:rPr>
          <w:rFonts w:hint="eastAsia"/>
          <w:color w:val="auto"/>
          <w:highlight w:val="none"/>
        </w:rPr>
        <w:t>4.4不同投标人的投标文件异常一致或者投标报价呈规律性差异；</w:t>
      </w:r>
    </w:p>
    <w:p>
      <w:pPr>
        <w:pStyle w:val="5"/>
        <w:ind w:firstLine="480"/>
        <w:rPr>
          <w:color w:val="auto"/>
          <w:highlight w:val="none"/>
        </w:rPr>
      </w:pPr>
      <w:r>
        <w:rPr>
          <w:rFonts w:hint="eastAsia"/>
          <w:color w:val="auto"/>
          <w:highlight w:val="none"/>
        </w:rPr>
        <w:t>4.5不同投标人的投标文件相互混装；</w:t>
      </w:r>
    </w:p>
    <w:p>
      <w:pPr>
        <w:pStyle w:val="5"/>
        <w:ind w:firstLine="480"/>
        <w:rPr>
          <w:color w:val="auto"/>
          <w:spacing w:val="4"/>
          <w:szCs w:val="21"/>
          <w:highlight w:val="none"/>
        </w:rPr>
      </w:pPr>
      <w:r>
        <w:rPr>
          <w:rFonts w:hint="eastAsia"/>
          <w:color w:val="auto"/>
          <w:highlight w:val="none"/>
        </w:rPr>
        <w:t>4.6不同投标人的投标保证金从同一单位或者个人的账户转出。</w:t>
      </w:r>
    </w:p>
    <w:p>
      <w:pPr>
        <w:pStyle w:val="2"/>
        <w:rPr>
          <w:color w:val="auto"/>
          <w:highlight w:val="none"/>
        </w:rPr>
      </w:pPr>
      <w:bookmarkStart w:id="157" w:name="_Toc27272"/>
      <w:bookmarkStart w:id="158" w:name="_Toc31251"/>
      <w:bookmarkStart w:id="159" w:name="_Toc363463333"/>
      <w:r>
        <w:rPr>
          <w:rFonts w:hint="eastAsia"/>
          <w:color w:val="auto"/>
          <w:highlight w:val="none"/>
        </w:rPr>
        <w:t>五．评审程序</w:t>
      </w:r>
      <w:bookmarkEnd w:id="157"/>
      <w:bookmarkEnd w:id="158"/>
      <w:bookmarkEnd w:id="159"/>
    </w:p>
    <w:p>
      <w:pPr>
        <w:pStyle w:val="5"/>
        <w:ind w:firstLine="480"/>
        <w:rPr>
          <w:color w:val="auto"/>
          <w:highlight w:val="none"/>
        </w:rPr>
      </w:pPr>
      <w:r>
        <w:rPr>
          <w:rFonts w:hint="eastAsia"/>
          <w:color w:val="auto"/>
          <w:highlight w:val="none"/>
        </w:rPr>
        <w:t>按照投标文件初审、澄清有关问题、比较与评价、推荐中标候选人名单的工作程序进行评标。在上一步评审中被认定为无效投标者，不进入下一步的评审。</w:t>
      </w:r>
    </w:p>
    <w:p>
      <w:pPr>
        <w:pStyle w:val="5"/>
        <w:ind w:firstLine="482"/>
        <w:rPr>
          <w:b/>
          <w:bCs/>
          <w:color w:val="auto"/>
          <w:highlight w:val="none"/>
        </w:rPr>
      </w:pPr>
      <w:r>
        <w:rPr>
          <w:rFonts w:hint="eastAsia"/>
          <w:b/>
          <w:bCs/>
          <w:color w:val="auto"/>
          <w:highlight w:val="none"/>
        </w:rPr>
        <w:t>5.1投标文件初审</w:t>
      </w:r>
    </w:p>
    <w:p>
      <w:pPr>
        <w:pStyle w:val="5"/>
        <w:ind w:firstLine="480"/>
        <w:rPr>
          <w:color w:val="auto"/>
          <w:highlight w:val="none"/>
        </w:rPr>
      </w:pPr>
      <w:r>
        <w:rPr>
          <w:rFonts w:hint="eastAsia"/>
          <w:color w:val="auto"/>
          <w:highlight w:val="none"/>
        </w:rPr>
        <w:t>（1）资格性审查：采购人或采购代理机构依据法律法规和招标文件规定的评审标准（投标人须知前附表：投标人资格要求）对投标人进行资格性审查。有一项不符合评审标准的，将被视为未实质性响应招标文件，其投标文件将按无效文件处理。</w:t>
      </w:r>
    </w:p>
    <w:p>
      <w:pPr>
        <w:pStyle w:val="5"/>
        <w:ind w:firstLine="480"/>
        <w:rPr>
          <w:color w:val="auto"/>
          <w:highlight w:val="none"/>
        </w:rPr>
      </w:pPr>
      <w:r>
        <w:rPr>
          <w:rFonts w:hint="eastAsia"/>
          <w:color w:val="auto"/>
          <w:highlight w:val="none"/>
        </w:rPr>
        <w:t>（2）符合性审查：评标委员会将依据招标文件规定的评审标准对投标文件进行符合性审查。有一项不符合评审标准的，将被视为未实质性响应招标文件，其投标文件将按无效文件处理。其内容包括但不限于以下部分：</w:t>
      </w:r>
    </w:p>
    <w:p>
      <w:pPr>
        <w:pStyle w:val="5"/>
        <w:ind w:firstLine="480"/>
        <w:rPr>
          <w:color w:val="auto"/>
          <w:highlight w:val="none"/>
        </w:rPr>
      </w:pPr>
      <w:r>
        <w:rPr>
          <w:rFonts w:hint="eastAsia"/>
          <w:color w:val="auto"/>
          <w:highlight w:val="none"/>
        </w:rPr>
        <w:t>1）投标人印刷体名称、公章名称与营业执照名称是否一致；</w:t>
      </w:r>
    </w:p>
    <w:p>
      <w:pPr>
        <w:pStyle w:val="5"/>
        <w:ind w:firstLine="480"/>
        <w:rPr>
          <w:color w:val="auto"/>
          <w:highlight w:val="none"/>
        </w:rPr>
      </w:pPr>
      <w:r>
        <w:rPr>
          <w:rFonts w:hint="eastAsia"/>
          <w:color w:val="auto"/>
          <w:highlight w:val="none"/>
        </w:rPr>
        <w:t>2）投标文件的正副本数量符合性；</w:t>
      </w:r>
    </w:p>
    <w:p>
      <w:pPr>
        <w:pStyle w:val="5"/>
        <w:ind w:firstLine="480"/>
        <w:rPr>
          <w:color w:val="auto"/>
          <w:highlight w:val="none"/>
        </w:rPr>
      </w:pPr>
      <w:r>
        <w:rPr>
          <w:rFonts w:hint="eastAsia"/>
          <w:color w:val="auto"/>
          <w:highlight w:val="none"/>
        </w:rPr>
        <w:t>3）投标文件的签字盖章符合性；</w:t>
      </w:r>
    </w:p>
    <w:p>
      <w:pPr>
        <w:pStyle w:val="5"/>
        <w:ind w:firstLine="480"/>
        <w:rPr>
          <w:color w:val="auto"/>
          <w:highlight w:val="none"/>
        </w:rPr>
      </w:pPr>
      <w:r>
        <w:rPr>
          <w:rFonts w:hint="eastAsia"/>
          <w:color w:val="auto"/>
          <w:highlight w:val="none"/>
        </w:rPr>
        <w:t>4）投标有效期符合性；</w:t>
      </w:r>
    </w:p>
    <w:p>
      <w:pPr>
        <w:pStyle w:val="5"/>
        <w:ind w:firstLine="480"/>
        <w:rPr>
          <w:color w:val="auto"/>
          <w:highlight w:val="none"/>
        </w:rPr>
      </w:pPr>
      <w:r>
        <w:rPr>
          <w:rFonts w:hint="eastAsia"/>
          <w:color w:val="auto"/>
          <w:highlight w:val="none"/>
        </w:rPr>
        <w:t>5）投标报价符合性（报价唯一性、报价未超预算）；</w:t>
      </w:r>
    </w:p>
    <w:p>
      <w:pPr>
        <w:pStyle w:val="5"/>
        <w:ind w:firstLine="480"/>
        <w:rPr>
          <w:color w:val="auto"/>
          <w:highlight w:val="none"/>
        </w:rPr>
      </w:pPr>
      <w:r>
        <w:rPr>
          <w:rFonts w:hint="eastAsia"/>
          <w:color w:val="auto"/>
          <w:highlight w:val="none"/>
        </w:rPr>
        <w:t>6）商务、技术要求满足实质性要求（质保期不小于招标要求、交付期不大于招标要求、付款方式满足招标要求、投标内容无重大缺漏项）；</w:t>
      </w:r>
    </w:p>
    <w:p>
      <w:pPr>
        <w:pStyle w:val="5"/>
        <w:ind w:firstLine="480"/>
        <w:rPr>
          <w:color w:val="auto"/>
          <w:highlight w:val="none"/>
        </w:rPr>
      </w:pPr>
      <w:r>
        <w:rPr>
          <w:rFonts w:hint="eastAsia"/>
          <w:color w:val="auto"/>
          <w:highlight w:val="none"/>
        </w:rPr>
        <w:t>7）其他法律、规章、规范性文件和招标文件规定的符合性。</w:t>
      </w:r>
    </w:p>
    <w:p>
      <w:pPr>
        <w:pStyle w:val="5"/>
        <w:ind w:firstLine="480"/>
        <w:rPr>
          <w:color w:val="auto"/>
          <w:highlight w:val="none"/>
        </w:rPr>
      </w:pPr>
      <w:r>
        <w:rPr>
          <w:rFonts w:hint="eastAsia"/>
          <w:color w:val="auto"/>
          <w:highlight w:val="none"/>
        </w:rPr>
        <w:t>（3）在资格性审查阶段，不符合招标文件要求的，不得进入符合性审查，在符合性审查时未通过的，不得进入后续评审环节。</w:t>
      </w:r>
    </w:p>
    <w:p>
      <w:pPr>
        <w:pStyle w:val="5"/>
        <w:ind w:firstLine="482"/>
        <w:rPr>
          <w:color w:val="auto"/>
          <w:highlight w:val="none"/>
        </w:rPr>
      </w:pPr>
      <w:r>
        <w:rPr>
          <w:rFonts w:hint="eastAsia"/>
          <w:b/>
          <w:bCs/>
          <w:color w:val="auto"/>
          <w:highlight w:val="none"/>
        </w:rPr>
        <w:t>5.2投标文件的澄清</w:t>
      </w:r>
    </w:p>
    <w:p>
      <w:pPr>
        <w:pStyle w:val="5"/>
        <w:ind w:firstLine="480"/>
        <w:rPr>
          <w:color w:val="auto"/>
          <w:highlight w:val="none"/>
        </w:rPr>
      </w:pPr>
      <w:r>
        <w:rPr>
          <w:rFonts w:hint="eastAsia"/>
          <w:color w:val="auto"/>
          <w:highlight w:val="none"/>
        </w:rPr>
        <w:t>5.2.1为有助于投标文件的审查、比较和评价，评标委员会可要求投标人对其投标文件中非实质性（投标文件中含义不明确、同类问题表述不一致或者有明显文字和计算错误的内容）的有关问题进行澄清、说明或者补正。有关澄清、说明或者补正的要求和答复应以书面形式提交，并由其法定代表人或被授权人签字。投标人的澄清、说明或者补正不得超出投标文件的范围或者改变投标文件的实质性内容。评标委员会不接受投标人主动提出的澄清、说明。</w:t>
      </w:r>
    </w:p>
    <w:p>
      <w:pPr>
        <w:pStyle w:val="5"/>
        <w:ind w:firstLine="480"/>
        <w:rPr>
          <w:color w:val="auto"/>
          <w:highlight w:val="none"/>
        </w:rPr>
      </w:pPr>
      <w:r>
        <w:rPr>
          <w:rFonts w:hint="eastAsia"/>
          <w:color w:val="auto"/>
          <w:highlight w:val="none"/>
        </w:rPr>
        <w:t>5.2.2有效的书面澄清材料，是投标文件的补充材料，成为投标文件的组成部分。</w:t>
      </w:r>
    </w:p>
    <w:p>
      <w:pPr>
        <w:pStyle w:val="5"/>
        <w:ind w:firstLine="480"/>
        <w:rPr>
          <w:color w:val="auto"/>
          <w:highlight w:val="none"/>
        </w:rPr>
      </w:pPr>
      <w:r>
        <w:rPr>
          <w:rFonts w:hint="eastAsia"/>
          <w:color w:val="auto"/>
          <w:highlight w:val="none"/>
        </w:rPr>
        <w:t>5.2.3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ind w:firstLine="482"/>
        <w:rPr>
          <w:color w:val="auto"/>
          <w:highlight w:val="none"/>
        </w:rPr>
      </w:pPr>
      <w:r>
        <w:rPr>
          <w:rFonts w:hint="eastAsia"/>
          <w:b/>
          <w:bCs/>
          <w:color w:val="auto"/>
          <w:highlight w:val="none"/>
        </w:rPr>
        <w:t>5.3投标文件比较与评价</w:t>
      </w:r>
    </w:p>
    <w:p>
      <w:pPr>
        <w:pStyle w:val="5"/>
        <w:ind w:firstLine="480"/>
        <w:rPr>
          <w:color w:val="auto"/>
          <w:highlight w:val="none"/>
        </w:rPr>
      </w:pPr>
      <w:r>
        <w:rPr>
          <w:rFonts w:hint="eastAsia"/>
          <w:color w:val="auto"/>
          <w:highlight w:val="none"/>
        </w:rPr>
        <w:t>5.3.1评委会应按照招标文件《评标因素及权重分值表》规定的评标办法和标准，对资格性检查和符合性检查合格的投标文件进行商务和技术评估，综合比较与评价。</w:t>
      </w:r>
    </w:p>
    <w:p>
      <w:pPr>
        <w:pStyle w:val="5"/>
        <w:ind w:firstLine="480"/>
        <w:rPr>
          <w:color w:val="auto"/>
          <w:highlight w:val="none"/>
        </w:rPr>
      </w:pPr>
      <w:r>
        <w:rPr>
          <w:rFonts w:hint="eastAsia"/>
          <w:color w:val="auto"/>
          <w:highlight w:val="none"/>
        </w:rPr>
        <w:t>5.3.2评标委员会根据《评标因素及权重分值表》进行综合比较，独立评审、自主打分，按最后得分由高到低汇总排序，以项目为单位推荐中标候选人。评标委员会根据评标结果写出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ind w:firstLine="480"/>
        <w:rPr>
          <w:color w:val="auto"/>
          <w:highlight w:val="none"/>
        </w:rPr>
      </w:pPr>
      <w:r>
        <w:rPr>
          <w:rFonts w:hint="eastAsia"/>
          <w:color w:val="auto"/>
          <w:highlight w:val="none"/>
        </w:rPr>
        <w:t xml:space="preserve">5.3.3评标委员会成员须对畸高、畸低的重大差异评分进行复核或书面说明理由。 </w:t>
      </w:r>
    </w:p>
    <w:p>
      <w:pPr>
        <w:pStyle w:val="5"/>
        <w:ind w:firstLine="480"/>
        <w:rPr>
          <w:color w:val="auto"/>
          <w:highlight w:val="none"/>
        </w:rPr>
      </w:pPr>
      <w:r>
        <w:rPr>
          <w:rFonts w:hint="eastAsia"/>
          <w:color w:val="auto"/>
          <w:highlight w:val="none"/>
        </w:rPr>
        <w:t>5.3.4如果投标文件没有实质性响应招标文件的要求，评委会将予以拒绝。投标人不得通过修正或撤销不合要求的偏离或保留，从而使其投标成为实质性响应的投标。</w:t>
      </w:r>
    </w:p>
    <w:p>
      <w:pPr>
        <w:pStyle w:val="2"/>
        <w:rPr>
          <w:color w:val="auto"/>
          <w:highlight w:val="none"/>
        </w:rPr>
      </w:pPr>
      <w:bookmarkStart w:id="160" w:name="_Toc23931"/>
      <w:bookmarkStart w:id="161" w:name="_Toc20533"/>
      <w:r>
        <w:rPr>
          <w:rFonts w:hint="eastAsia"/>
          <w:color w:val="auto"/>
          <w:highlight w:val="none"/>
        </w:rPr>
        <w:t>六．政策性扣减</w:t>
      </w:r>
      <w:bookmarkEnd w:id="160"/>
      <w:bookmarkEnd w:id="161"/>
    </w:p>
    <w:p>
      <w:pPr>
        <w:pStyle w:val="5"/>
        <w:ind w:firstLine="482"/>
        <w:rPr>
          <w:b/>
          <w:bCs/>
          <w:color w:val="auto"/>
          <w:highlight w:val="none"/>
        </w:rPr>
      </w:pPr>
      <w:r>
        <w:rPr>
          <w:rFonts w:hint="eastAsia"/>
          <w:b/>
          <w:bCs/>
          <w:color w:val="auto"/>
          <w:highlight w:val="none"/>
        </w:rPr>
        <w:t>6.1政策性扣减范围</w:t>
      </w:r>
    </w:p>
    <w:p>
      <w:pPr>
        <w:pStyle w:val="5"/>
        <w:ind w:firstLine="480"/>
        <w:rPr>
          <w:color w:val="auto"/>
          <w:highlight w:val="none"/>
        </w:rPr>
      </w:pPr>
      <w:r>
        <w:rPr>
          <w:rFonts w:hint="eastAsia"/>
          <w:color w:val="auto"/>
          <w:highlight w:val="none"/>
        </w:rPr>
        <w:t>6.1.1投标人符合小型、微型企业或监狱企业、残疾人福利性单位条件的，其投标报价价格评审时将按相应比例进行扣减。</w:t>
      </w:r>
    </w:p>
    <w:p>
      <w:pPr>
        <w:pStyle w:val="5"/>
        <w:ind w:firstLine="480"/>
        <w:rPr>
          <w:color w:val="auto"/>
          <w:highlight w:val="none"/>
        </w:rPr>
      </w:pPr>
      <w:r>
        <w:rPr>
          <w:rFonts w:hint="eastAsia"/>
          <w:color w:val="auto"/>
          <w:highlight w:val="none"/>
        </w:rPr>
        <w:t>6.1.2投标人符合《政府采购促进中小企业发展管理办法》（财库﹝2020﹞46 号）条件的，其投标报价价格评审时将按相应比例进行扣减。</w:t>
      </w:r>
    </w:p>
    <w:p>
      <w:pPr>
        <w:pStyle w:val="5"/>
        <w:ind w:firstLine="480"/>
        <w:rPr>
          <w:color w:val="auto"/>
          <w:highlight w:val="none"/>
        </w:rPr>
      </w:pPr>
      <w:r>
        <w:rPr>
          <w:rFonts w:hint="eastAsia"/>
          <w:color w:val="auto"/>
          <w:highlight w:val="none"/>
        </w:rPr>
        <w:t>6.1.3采购人拟采购产品属于优先采购节能、环境标志产品范围的，应当优先采购节能、环境标志产品；拟采购产品符合政府采购强制采购政策的，实行强制采购。</w:t>
      </w:r>
    </w:p>
    <w:p>
      <w:pPr>
        <w:pStyle w:val="5"/>
        <w:ind w:firstLine="480"/>
        <w:rPr>
          <w:color w:val="auto"/>
          <w:highlight w:val="none"/>
        </w:rPr>
      </w:pPr>
      <w:r>
        <w:rPr>
          <w:rFonts w:hint="eastAsia"/>
          <w:color w:val="auto"/>
          <w:highlight w:val="none"/>
        </w:rPr>
        <w:t>（1）采购人依据节能产品、环境标志产品品目清单和节能、环境标志产品认证证书实施政府优先采购和强制采购。</w:t>
      </w:r>
    </w:p>
    <w:p>
      <w:pPr>
        <w:pStyle w:val="5"/>
        <w:ind w:firstLine="480"/>
        <w:rPr>
          <w:color w:val="auto"/>
          <w:highlight w:val="none"/>
        </w:rPr>
      </w:pPr>
      <w:r>
        <w:rPr>
          <w:rFonts w:hint="eastAsia"/>
          <w:color w:val="auto"/>
          <w:highlight w:val="none"/>
        </w:rPr>
        <w:t>（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pStyle w:val="5"/>
        <w:ind w:firstLine="480"/>
        <w:rPr>
          <w:color w:val="auto"/>
          <w:highlight w:val="none"/>
        </w:rPr>
      </w:pPr>
      <w:r>
        <w:rPr>
          <w:rFonts w:hint="eastAsia"/>
          <w:color w:val="auto"/>
          <w:highlight w:val="none"/>
        </w:rPr>
        <w:t>6.1.4监狱企业参加政府采购活动时，应当提供由省级以上监狱管理局、戒毒管理局(含新疆生产建设兵团)出具的属于监狱企业的证明文件。监狱企业参加政府采购活动时，视同小型、微型企业。</w:t>
      </w:r>
    </w:p>
    <w:p>
      <w:pPr>
        <w:pStyle w:val="5"/>
        <w:ind w:firstLine="480"/>
        <w:rPr>
          <w:color w:val="auto"/>
          <w:highlight w:val="none"/>
        </w:rPr>
      </w:pPr>
      <w:r>
        <w:rPr>
          <w:rFonts w:hint="eastAsia"/>
          <w:color w:val="auto"/>
          <w:highlight w:val="none"/>
        </w:rPr>
        <w:t>6.1.5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pStyle w:val="5"/>
        <w:ind w:firstLine="482"/>
        <w:rPr>
          <w:color w:val="auto"/>
          <w:highlight w:val="none"/>
        </w:rPr>
      </w:pPr>
      <w:r>
        <w:rPr>
          <w:rFonts w:hint="eastAsia"/>
          <w:b/>
          <w:bCs/>
          <w:color w:val="auto"/>
          <w:highlight w:val="none"/>
        </w:rPr>
        <w:t>6.2政策性扣减方式：</w:t>
      </w:r>
    </w:p>
    <w:p>
      <w:pPr>
        <w:pStyle w:val="5"/>
        <w:ind w:firstLine="480"/>
        <w:rPr>
          <w:color w:val="auto"/>
          <w:highlight w:val="none"/>
        </w:rPr>
      </w:pPr>
      <w:r>
        <w:rPr>
          <w:rFonts w:hint="eastAsia"/>
          <w:color w:val="auto"/>
          <w:highlight w:val="none"/>
        </w:rPr>
        <w:t>6.2.1在投标报价的基础上，对小微企业、监狱企业、残疾人福利性单位，按“投标报价×10%”进行扣减；</w:t>
      </w:r>
    </w:p>
    <w:p>
      <w:pPr>
        <w:pStyle w:val="5"/>
        <w:ind w:firstLine="480"/>
        <w:rPr>
          <w:color w:val="auto"/>
          <w:highlight w:val="none"/>
        </w:rPr>
      </w:pPr>
      <w:r>
        <w:rPr>
          <w:rFonts w:hint="eastAsia"/>
          <w:color w:val="auto"/>
          <w:highlight w:val="none"/>
        </w:rPr>
        <w:t>6.2.2投标人为联合体参与投标，且联合协议中约定小型或微型企业的协议合同金额占到联合体协议合同总金额30％以上的，按“投标报价×4%”进行扣减；</w:t>
      </w:r>
    </w:p>
    <w:p>
      <w:pPr>
        <w:pStyle w:val="5"/>
        <w:ind w:firstLine="480"/>
        <w:rPr>
          <w:color w:val="auto"/>
          <w:highlight w:val="none"/>
        </w:rPr>
      </w:pPr>
      <w:r>
        <w:rPr>
          <w:rFonts w:hint="eastAsia"/>
          <w:color w:val="auto"/>
          <w:highlight w:val="none"/>
        </w:rPr>
        <w:t>6.2.3小微企业、监狱企业、残疾人福利性单位不重复享受优惠政策；</w:t>
      </w:r>
    </w:p>
    <w:p>
      <w:pPr>
        <w:pStyle w:val="5"/>
        <w:ind w:firstLine="480"/>
        <w:rPr>
          <w:color w:val="auto"/>
          <w:highlight w:val="none"/>
        </w:rPr>
      </w:pPr>
      <w:r>
        <w:rPr>
          <w:rFonts w:hint="eastAsia"/>
          <w:color w:val="auto"/>
          <w:highlight w:val="none"/>
        </w:rPr>
        <w:t>6.2.4投标人享受支持中小型企业发展政策优惠的，可以同时享受节能、环境标志产品优先采购政策。</w:t>
      </w:r>
    </w:p>
    <w:p>
      <w:pPr>
        <w:pStyle w:val="5"/>
        <w:ind w:firstLine="482"/>
        <w:rPr>
          <w:b/>
          <w:bCs/>
          <w:color w:val="auto"/>
          <w:highlight w:val="none"/>
        </w:rPr>
      </w:pPr>
      <w:r>
        <w:rPr>
          <w:rFonts w:hint="eastAsia"/>
          <w:b/>
          <w:bCs/>
          <w:color w:val="auto"/>
          <w:highlight w:val="none"/>
        </w:rPr>
        <w:t>6.3节能、环境标志产品的报价幅度标准：</w:t>
      </w:r>
    </w:p>
    <w:p>
      <w:pPr>
        <w:pStyle w:val="5"/>
        <w:ind w:firstLine="480"/>
        <w:rPr>
          <w:color w:val="auto"/>
          <w:highlight w:val="none"/>
        </w:rPr>
      </w:pPr>
      <w:r>
        <w:rPr>
          <w:rFonts w:hint="eastAsia"/>
          <w:color w:val="auto"/>
          <w:highlight w:val="none"/>
        </w:rPr>
        <w:t>6.3.1投标投标人在投标文件中对所采购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pStyle w:val="5"/>
        <w:ind w:firstLine="480"/>
        <w:rPr>
          <w:color w:val="auto"/>
          <w:highlight w:val="none"/>
        </w:rPr>
      </w:pPr>
      <w:r>
        <w:rPr>
          <w:rFonts w:hint="eastAsia"/>
          <w:color w:val="auto"/>
          <w:highlight w:val="none"/>
        </w:rPr>
        <w:t>6.3.2参与投标的所有投标产品进入节能清单（有效期内）的，按“投标报价×2%”进行扣减。（注：若节能清单内的产品仅是构成采购产品的部件、组件或零件的，则该投标产品不享受此项鼓励优惠政策）</w:t>
      </w:r>
    </w:p>
    <w:p>
      <w:pPr>
        <w:pStyle w:val="5"/>
        <w:ind w:firstLine="480"/>
        <w:rPr>
          <w:color w:val="auto"/>
          <w:highlight w:val="none"/>
        </w:rPr>
      </w:pPr>
      <w:r>
        <w:rPr>
          <w:rFonts w:hint="eastAsia"/>
          <w:color w:val="auto"/>
          <w:highlight w:val="none"/>
        </w:rPr>
        <w:t>6.3.3参与投标的所有投标产品进入环境标志产品清单（有效期内）的，按“投标报价×2%”进行扣减。（注：若环境标志清单内的产品仅是构成采购产品的部件、组件或零件的，则该投标产品不享受此项鼓励优惠政策）</w:t>
      </w:r>
    </w:p>
    <w:p>
      <w:pPr>
        <w:pStyle w:val="5"/>
        <w:ind w:firstLine="480"/>
        <w:rPr>
          <w:color w:val="auto"/>
          <w:highlight w:val="none"/>
        </w:rPr>
      </w:pPr>
      <w:r>
        <w:rPr>
          <w:rFonts w:hint="eastAsia"/>
          <w:color w:val="auto"/>
          <w:highlight w:val="none"/>
        </w:rPr>
        <w:t>注：以上情况不累计扣减。</w:t>
      </w:r>
    </w:p>
    <w:p>
      <w:pPr>
        <w:pStyle w:val="5"/>
        <w:ind w:firstLine="482"/>
        <w:rPr>
          <w:b/>
          <w:bCs/>
          <w:color w:val="auto"/>
          <w:highlight w:val="none"/>
        </w:rPr>
      </w:pPr>
      <w:r>
        <w:rPr>
          <w:rFonts w:hint="eastAsia"/>
          <w:b/>
          <w:bCs/>
          <w:color w:val="auto"/>
          <w:highlight w:val="none"/>
        </w:rPr>
        <w:t>6.4中标价格=中标投标人的有效投标报价。</w:t>
      </w:r>
    </w:p>
    <w:p>
      <w:pPr>
        <w:pStyle w:val="2"/>
        <w:rPr>
          <w:color w:val="auto"/>
          <w:highlight w:val="none"/>
        </w:rPr>
      </w:pPr>
      <w:r>
        <w:rPr>
          <w:rFonts w:hint="eastAsia"/>
          <w:color w:val="auto"/>
          <w:highlight w:val="none"/>
        </w:rPr>
        <w:t>七．</w:t>
      </w:r>
      <w:bookmarkStart w:id="162" w:name="_Toc24337"/>
      <w:bookmarkStart w:id="163" w:name="_Toc3952"/>
      <w:r>
        <w:rPr>
          <w:rFonts w:hint="eastAsia"/>
          <w:color w:val="auto"/>
          <w:highlight w:val="none"/>
        </w:rPr>
        <w:t>定标</w:t>
      </w:r>
      <w:bookmarkEnd w:id="162"/>
      <w:bookmarkEnd w:id="163"/>
    </w:p>
    <w:p>
      <w:pPr>
        <w:pStyle w:val="5"/>
        <w:ind w:firstLine="480"/>
        <w:rPr>
          <w:color w:val="auto"/>
          <w:highlight w:val="none"/>
        </w:rPr>
      </w:pPr>
      <w:r>
        <w:rPr>
          <w:rFonts w:hint="eastAsia"/>
          <w:color w:val="auto"/>
          <w:highlight w:val="none"/>
          <w:lang w:val="en-US" w:eastAsia="zh-CN"/>
        </w:rPr>
        <w:t>7</w:t>
      </w:r>
      <w:r>
        <w:rPr>
          <w:rFonts w:hint="eastAsia"/>
          <w:color w:val="auto"/>
          <w:highlight w:val="none"/>
        </w:rPr>
        <w:t>.1评标结果由全体评标委员会成员签字确认。</w:t>
      </w:r>
    </w:p>
    <w:p>
      <w:pPr>
        <w:pStyle w:val="5"/>
        <w:ind w:firstLine="480"/>
        <w:rPr>
          <w:color w:val="auto"/>
          <w:highlight w:val="none"/>
        </w:rPr>
      </w:pPr>
      <w:r>
        <w:rPr>
          <w:rFonts w:hint="eastAsia"/>
          <w:color w:val="auto"/>
          <w:highlight w:val="none"/>
          <w:lang w:val="en-US" w:eastAsia="zh-CN"/>
        </w:rPr>
        <w:t>7</w:t>
      </w:r>
      <w:r>
        <w:rPr>
          <w:rFonts w:hint="eastAsia"/>
          <w:color w:val="auto"/>
          <w:highlight w:val="none"/>
        </w:rPr>
        <w:t>.2采购人根据评标报告中推荐的中标候选人排列顺序确定中标人，以复函通知采购代理机构。</w:t>
      </w:r>
    </w:p>
    <w:p>
      <w:pPr>
        <w:pStyle w:val="7"/>
        <w:bidi w:val="0"/>
        <w:rPr>
          <w:rStyle w:val="37"/>
          <w:rFonts w:hint="eastAsia" w:eastAsia="宋体"/>
          <w:b/>
          <w:color w:val="auto"/>
          <w:highlight w:val="none"/>
          <w:lang w:eastAsia="zh-CN"/>
        </w:rPr>
      </w:pPr>
      <w:r>
        <w:rPr>
          <w:rStyle w:val="37"/>
          <w:rFonts w:hint="eastAsia"/>
          <w:b/>
          <w:color w:val="auto"/>
          <w:highlight w:val="none"/>
        </w:rPr>
        <w:t>评标因素及权重分值表</w:t>
      </w:r>
      <w:r>
        <w:rPr>
          <w:rStyle w:val="37"/>
          <w:rFonts w:hint="eastAsia"/>
          <w:b/>
          <w:color w:val="auto"/>
          <w:highlight w:val="none"/>
          <w:lang w:eastAsia="zh-CN"/>
        </w:rPr>
        <w:t>（</w:t>
      </w:r>
      <w:r>
        <w:rPr>
          <w:rStyle w:val="37"/>
          <w:rFonts w:hint="eastAsia"/>
          <w:b/>
          <w:color w:val="auto"/>
          <w:highlight w:val="none"/>
          <w:lang w:val="en-US" w:eastAsia="zh-CN"/>
        </w:rPr>
        <w:t>合同包1</w:t>
      </w:r>
      <w:r>
        <w:rPr>
          <w:rStyle w:val="37"/>
          <w:rFonts w:hint="eastAsia"/>
          <w:b/>
          <w:color w:val="auto"/>
          <w:highlight w:val="none"/>
          <w:lang w:eastAsia="zh-CN"/>
        </w:rPr>
        <w:t>）</w:t>
      </w:r>
    </w:p>
    <w:bookmarkEnd w:id="118"/>
    <w:bookmarkEnd w:id="139"/>
    <w:bookmarkEnd w:id="140"/>
    <w:bookmarkEnd w:id="141"/>
    <w:bookmarkEnd w:id="142"/>
    <w:bookmarkEnd w:id="143"/>
    <w:bookmarkEnd w:id="144"/>
    <w:bookmarkEnd w:id="145"/>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769"/>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208" w:type="dxa"/>
          </w:tcPr>
          <w:p>
            <w:pPr>
              <w:pStyle w:val="30"/>
              <w:bidi w:val="0"/>
              <w:rPr>
                <w:b/>
                <w:bCs/>
                <w:color w:val="auto"/>
                <w:highlight w:val="none"/>
              </w:rPr>
            </w:pPr>
            <w:bookmarkStart w:id="164" w:name="_Toc8830"/>
            <w:bookmarkStart w:id="165" w:name="_Toc363474025"/>
            <w:bookmarkStart w:id="166" w:name="_Toc28411"/>
            <w:bookmarkStart w:id="167" w:name="_Toc426457698"/>
            <w:bookmarkStart w:id="168" w:name="_Toc22538"/>
            <w:r>
              <w:rPr>
                <w:rFonts w:hint="eastAsia"/>
                <w:b/>
                <w:bCs/>
                <w:color w:val="auto"/>
                <w:highlight w:val="none"/>
              </w:rPr>
              <w:t>评分因素</w:t>
            </w:r>
          </w:p>
        </w:tc>
        <w:tc>
          <w:tcPr>
            <w:tcW w:w="769" w:type="dxa"/>
          </w:tcPr>
          <w:p>
            <w:pPr>
              <w:pStyle w:val="30"/>
              <w:bidi w:val="0"/>
              <w:rPr>
                <w:rFonts w:hint="eastAsia" w:eastAsia="宋体"/>
                <w:b/>
                <w:bCs/>
                <w:color w:val="auto"/>
                <w:highlight w:val="none"/>
                <w:lang w:val="en-US" w:eastAsia="zh-CN"/>
              </w:rPr>
            </w:pPr>
            <w:r>
              <w:rPr>
                <w:rFonts w:hint="eastAsia"/>
                <w:b/>
                <w:bCs/>
                <w:color w:val="auto"/>
                <w:highlight w:val="none"/>
                <w:lang w:val="en-US" w:eastAsia="zh-CN"/>
              </w:rPr>
              <w:t>权值（%）</w:t>
            </w:r>
          </w:p>
        </w:tc>
        <w:tc>
          <w:tcPr>
            <w:tcW w:w="7139" w:type="dxa"/>
            <w:vAlign w:val="center"/>
          </w:tcPr>
          <w:p>
            <w:pPr>
              <w:pStyle w:val="30"/>
              <w:bidi w:val="0"/>
              <w:jc w:val="center"/>
              <w:rPr>
                <w:b/>
                <w:bCs/>
                <w:color w:val="auto"/>
                <w:highlight w:val="none"/>
              </w:rPr>
            </w:pPr>
            <w:r>
              <w:rPr>
                <w:rFonts w:hint="eastAsia"/>
                <w:b/>
                <w:bCs/>
                <w:color w:val="auto"/>
                <w:highlight w:val="none"/>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rPr>
            </w:pPr>
            <w:r>
              <w:rPr>
                <w:rFonts w:hint="eastAsia"/>
                <w:color w:val="auto"/>
                <w:highlight w:val="none"/>
              </w:rPr>
              <w:t>投标报价</w:t>
            </w:r>
          </w:p>
          <w:p>
            <w:pPr>
              <w:pStyle w:val="30"/>
              <w:bidi w:val="0"/>
              <w:rPr>
                <w:color w:val="auto"/>
                <w:highlight w:val="none"/>
              </w:rPr>
            </w:pPr>
            <w:r>
              <w:rPr>
                <w:rFonts w:hint="eastAsia"/>
                <w:color w:val="auto"/>
                <w:highlight w:val="none"/>
              </w:rPr>
              <w:t>（30分）</w:t>
            </w: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30</w:t>
            </w:r>
          </w:p>
        </w:tc>
        <w:tc>
          <w:tcPr>
            <w:tcW w:w="7139" w:type="dxa"/>
          </w:tcPr>
          <w:p>
            <w:pPr>
              <w:pStyle w:val="30"/>
              <w:ind w:firstLine="240" w:firstLineChars="100"/>
              <w:jc w:val="left"/>
              <w:rPr>
                <w:color w:val="auto"/>
                <w:highlight w:val="none"/>
              </w:rPr>
            </w:pPr>
            <w:r>
              <w:rPr>
                <w:rFonts w:hint="eastAsia"/>
                <w:color w:val="auto"/>
                <w:highlight w:val="none"/>
              </w:rPr>
              <w:t>价格分统一采用低价优先法计算，满足招标文件要求的投标报价为有效报价，有效报价经政策扣减后为评审报价（详见本章六．政策性扣减），最低的评审报价为评标基准价，其价格分为满分。其他投标人的价格分统一按照下列公式计算：</w:t>
            </w:r>
          </w:p>
          <w:p>
            <w:pPr>
              <w:pStyle w:val="30"/>
              <w:ind w:firstLine="240" w:firstLineChars="100"/>
              <w:jc w:val="left"/>
              <w:rPr>
                <w:rFonts w:hint="eastAsia"/>
                <w:color w:val="auto"/>
                <w:highlight w:val="none"/>
              </w:rPr>
            </w:pPr>
            <w:r>
              <w:rPr>
                <w:rFonts w:hint="eastAsia"/>
                <w:color w:val="auto"/>
                <w:highlight w:val="none"/>
              </w:rPr>
              <w:t>投标报价得分=(评标基准价／评审报价)×</w:t>
            </w:r>
            <w:r>
              <w:rPr>
                <w:rFonts w:hint="eastAsia"/>
                <w:color w:val="auto"/>
                <w:highlight w:val="none"/>
                <w:lang w:val="en-US" w:eastAsia="zh-CN"/>
              </w:rPr>
              <w:t>30</w:t>
            </w:r>
            <w:r>
              <w:rPr>
                <w:rFonts w:hint="eastAsia"/>
                <w:color w:val="auto"/>
                <w:highlight w:val="none"/>
              </w:rPr>
              <w:t xml:space="preserve">×100  </w:t>
            </w:r>
          </w:p>
          <w:p>
            <w:pPr>
              <w:pStyle w:val="30"/>
              <w:ind w:firstLine="240" w:firstLineChars="100"/>
              <w:jc w:val="left"/>
              <w:rPr>
                <w:color w:val="auto"/>
                <w:highlight w:val="none"/>
              </w:rPr>
            </w:pPr>
            <w:r>
              <w:rPr>
                <w:rFonts w:hint="eastAsia"/>
                <w:color w:val="auto"/>
                <w:highlight w:val="none"/>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restart"/>
            <w:vAlign w:val="center"/>
          </w:tcPr>
          <w:p>
            <w:pPr>
              <w:pStyle w:val="30"/>
              <w:bidi w:val="0"/>
              <w:rPr>
                <w:rFonts w:hint="eastAsia"/>
                <w:color w:val="auto"/>
                <w:highlight w:val="none"/>
              </w:rPr>
            </w:pPr>
            <w:r>
              <w:rPr>
                <w:rFonts w:hint="eastAsia"/>
                <w:color w:val="auto"/>
                <w:highlight w:val="none"/>
              </w:rPr>
              <w:t>实施方案</w:t>
            </w:r>
          </w:p>
          <w:p>
            <w:pPr>
              <w:pStyle w:val="30"/>
              <w:bidi w:val="0"/>
              <w:rPr>
                <w:rFonts w:hint="eastAsia"/>
                <w:color w:val="auto"/>
                <w:highlight w:val="none"/>
              </w:rPr>
            </w:pPr>
            <w:r>
              <w:rPr>
                <w:rFonts w:hint="eastAsia"/>
                <w:color w:val="auto"/>
                <w:highlight w:val="none"/>
              </w:rPr>
              <w:t>（30分）</w:t>
            </w: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12</w:t>
            </w:r>
          </w:p>
        </w:tc>
        <w:tc>
          <w:tcPr>
            <w:tcW w:w="7139" w:type="dxa"/>
          </w:tcPr>
          <w:p>
            <w:pPr>
              <w:pStyle w:val="30"/>
              <w:ind w:firstLine="240" w:firstLineChars="100"/>
              <w:jc w:val="left"/>
              <w:rPr>
                <w:rFonts w:hint="eastAsia"/>
                <w:color w:val="auto"/>
                <w:highlight w:val="none"/>
              </w:rPr>
            </w:pPr>
            <w:r>
              <w:rPr>
                <w:rFonts w:hint="eastAsia"/>
                <w:color w:val="auto"/>
                <w:highlight w:val="none"/>
              </w:rPr>
              <w:t>（1）图书质量符合相关法规及标准，承诺出版物为全新的正式出版物、无知识产权纠纷，无盗版，承诺在接到订购单后能及时处理并反馈订单处理信息后3日内反馈订单执行信息的</w:t>
            </w:r>
            <w:r>
              <w:rPr>
                <w:rFonts w:hint="eastAsia"/>
                <w:color w:val="auto"/>
                <w:highlight w:val="none"/>
                <w:lang w:eastAsia="zh-CN"/>
              </w:rPr>
              <w:t>，</w:t>
            </w:r>
            <w:r>
              <w:rPr>
                <w:rFonts w:hint="eastAsia"/>
                <w:color w:val="auto"/>
                <w:highlight w:val="none"/>
              </w:rPr>
              <w:t>计2分。</w:t>
            </w:r>
          </w:p>
          <w:p>
            <w:pPr>
              <w:pStyle w:val="30"/>
              <w:ind w:firstLine="240" w:firstLineChars="100"/>
              <w:jc w:val="left"/>
              <w:rPr>
                <w:rFonts w:hint="eastAsia"/>
                <w:color w:val="auto"/>
                <w:highlight w:val="none"/>
              </w:rPr>
            </w:pPr>
            <w:r>
              <w:rPr>
                <w:rFonts w:hint="eastAsia"/>
                <w:color w:val="auto"/>
                <w:highlight w:val="none"/>
              </w:rPr>
              <w:t>（2）配货及时，到货率高。从订单确认之日起，按其到货率及时间响应承诺计分。</w:t>
            </w:r>
          </w:p>
          <w:p>
            <w:pPr>
              <w:pStyle w:val="30"/>
              <w:ind w:firstLine="240" w:firstLineChars="100"/>
              <w:jc w:val="left"/>
              <w:rPr>
                <w:rFonts w:hint="eastAsia"/>
                <w:color w:val="auto"/>
                <w:highlight w:val="none"/>
              </w:rPr>
            </w:pPr>
            <w:r>
              <w:rPr>
                <w:rFonts w:hint="eastAsia"/>
                <w:color w:val="auto"/>
                <w:highlight w:val="none"/>
              </w:rPr>
              <w:t>30个工作日内到货率达到98%以上。（3分）</w:t>
            </w:r>
          </w:p>
          <w:p>
            <w:pPr>
              <w:pStyle w:val="30"/>
              <w:ind w:firstLine="240" w:firstLineChars="100"/>
              <w:jc w:val="left"/>
              <w:rPr>
                <w:rFonts w:hint="eastAsia"/>
                <w:color w:val="auto"/>
                <w:highlight w:val="none"/>
              </w:rPr>
            </w:pPr>
            <w:r>
              <w:rPr>
                <w:rFonts w:hint="eastAsia"/>
                <w:color w:val="auto"/>
                <w:highlight w:val="none"/>
              </w:rPr>
              <w:t>30个工作日内到货率达到95%以上。（2分）</w:t>
            </w:r>
          </w:p>
          <w:p>
            <w:pPr>
              <w:pStyle w:val="30"/>
              <w:ind w:firstLine="240" w:firstLineChars="100"/>
              <w:jc w:val="left"/>
              <w:rPr>
                <w:rFonts w:hint="eastAsia"/>
                <w:color w:val="auto"/>
                <w:highlight w:val="none"/>
              </w:rPr>
            </w:pPr>
            <w:r>
              <w:rPr>
                <w:rFonts w:hint="eastAsia"/>
                <w:color w:val="auto"/>
                <w:highlight w:val="none"/>
              </w:rPr>
              <w:t>60个工作日内到货率达到95%以上。（1分）</w:t>
            </w:r>
          </w:p>
          <w:p>
            <w:pPr>
              <w:pStyle w:val="30"/>
              <w:ind w:firstLine="240" w:firstLineChars="100"/>
              <w:jc w:val="left"/>
              <w:rPr>
                <w:rFonts w:hint="eastAsia"/>
                <w:color w:val="auto"/>
                <w:highlight w:val="none"/>
              </w:rPr>
            </w:pPr>
            <w:r>
              <w:rPr>
                <w:rFonts w:hint="eastAsia"/>
                <w:color w:val="auto"/>
                <w:highlight w:val="none"/>
              </w:rPr>
              <w:t>（3）投标人承诺针对本项目能够及时提供规范的Marc数据，响应内容完善合理、可操作性强，计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rPr>
              <w:t>（4）投标人承诺能根据采购人指定的时间和要求对所购图书免费提供加工编目工作，响应内容完善合理、可操作性强，计</w:t>
            </w:r>
            <w:r>
              <w:rPr>
                <w:rFonts w:hint="eastAsia"/>
                <w:color w:val="auto"/>
                <w:highlight w:val="none"/>
                <w:lang w:val="en-US" w:eastAsia="zh-CN"/>
              </w:rPr>
              <w:t>4</w:t>
            </w:r>
            <w:r>
              <w:rPr>
                <w:rFonts w:hint="eastAsia"/>
                <w:color w:val="auto"/>
                <w:highlight w:val="none"/>
              </w:rPr>
              <w:t>分；响应内容较完善合理、可操作性较强，计</w:t>
            </w:r>
            <w:r>
              <w:rPr>
                <w:rFonts w:hint="eastAsia"/>
                <w:color w:val="auto"/>
                <w:highlight w:val="none"/>
                <w:lang w:val="en-US" w:eastAsia="zh-CN"/>
              </w:rPr>
              <w:t>2.5</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18</w:t>
            </w:r>
          </w:p>
        </w:tc>
        <w:tc>
          <w:tcPr>
            <w:tcW w:w="7139" w:type="dxa"/>
          </w:tcPr>
          <w:p>
            <w:pPr>
              <w:pStyle w:val="30"/>
              <w:ind w:firstLine="240" w:firstLineChars="100"/>
              <w:jc w:val="left"/>
              <w:rPr>
                <w:rFonts w:hint="eastAsia"/>
                <w:color w:val="auto"/>
                <w:highlight w:val="none"/>
              </w:rPr>
            </w:pPr>
            <w:r>
              <w:rPr>
                <w:rFonts w:hint="eastAsia"/>
                <w:color w:val="auto"/>
                <w:highlight w:val="none"/>
              </w:rPr>
              <w:t>（1）有自己的经营场所可供采购人现场集中采购,响应内容完善合理、可操作性强</w:t>
            </w:r>
            <w:r>
              <w:rPr>
                <w:rFonts w:hint="eastAsia"/>
                <w:color w:val="auto"/>
                <w:highlight w:val="none"/>
                <w:lang w:eastAsia="zh-CN"/>
              </w:rPr>
              <w:t>、</w:t>
            </w:r>
            <w:r>
              <w:rPr>
                <w:rFonts w:hint="eastAsia"/>
                <w:color w:val="auto"/>
                <w:highlight w:val="none"/>
                <w:lang w:val="en-US" w:eastAsia="zh-CN"/>
              </w:rPr>
              <w:t>证明材料完整充分</w:t>
            </w:r>
            <w:r>
              <w:rPr>
                <w:rFonts w:hint="eastAsia"/>
                <w:color w:val="auto"/>
                <w:highlight w:val="none"/>
              </w:rPr>
              <w:t>，计</w:t>
            </w:r>
            <w:r>
              <w:rPr>
                <w:rFonts w:hint="eastAsia"/>
                <w:color w:val="auto"/>
                <w:highlight w:val="none"/>
                <w:lang w:val="en-US" w:eastAsia="zh-CN"/>
              </w:rPr>
              <w:t>3</w:t>
            </w:r>
            <w:r>
              <w:rPr>
                <w:rFonts w:hint="eastAsia"/>
                <w:color w:val="auto"/>
                <w:highlight w:val="none"/>
              </w:rPr>
              <w:t>分；响应内容较完善合理、可操作性较强</w:t>
            </w:r>
            <w:r>
              <w:rPr>
                <w:rFonts w:hint="eastAsia"/>
                <w:color w:val="auto"/>
                <w:highlight w:val="none"/>
                <w:lang w:eastAsia="zh-CN"/>
              </w:rPr>
              <w:t>、</w:t>
            </w:r>
            <w:r>
              <w:rPr>
                <w:rFonts w:hint="eastAsia"/>
                <w:color w:val="auto"/>
                <w:highlight w:val="none"/>
                <w:lang w:val="en-US" w:eastAsia="zh-CN"/>
              </w:rPr>
              <w:t>有证明材料但存在缺漏项</w:t>
            </w:r>
            <w:r>
              <w:rPr>
                <w:rFonts w:hint="eastAsia"/>
                <w:color w:val="auto"/>
                <w:highlight w:val="none"/>
              </w:rPr>
              <w:t>，计</w:t>
            </w:r>
            <w:r>
              <w:rPr>
                <w:rFonts w:hint="eastAsia"/>
                <w:color w:val="auto"/>
                <w:highlight w:val="none"/>
                <w:lang w:val="en-US" w:eastAsia="zh-CN"/>
              </w:rPr>
              <w:t>2</w:t>
            </w:r>
            <w:r>
              <w:rPr>
                <w:rFonts w:hint="eastAsia"/>
                <w:color w:val="auto"/>
                <w:highlight w:val="none"/>
              </w:rPr>
              <w:t>分；响应内容不完善、可操作性差，</w:t>
            </w:r>
            <w:r>
              <w:rPr>
                <w:rFonts w:hint="eastAsia"/>
                <w:color w:val="auto"/>
                <w:highlight w:val="none"/>
                <w:lang w:val="en-US" w:eastAsia="zh-CN"/>
              </w:rPr>
              <w:t>无证明材料</w:t>
            </w:r>
            <w:r>
              <w:rPr>
                <w:rFonts w:hint="eastAsia"/>
                <w:color w:val="auto"/>
                <w:highlight w:val="none"/>
              </w:rPr>
              <w:t>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rPr>
              <w:t>（2）能根据采购人要求，不定期免费安排采购人参加图书现采活动、参加各类书市及订货会，响应内容完善合理、可操作性强，计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rPr>
              <w:t>（3）承诺能配合采购人做好专题图书的采购，以满足采购人馆藏的特殊需求，响应内容完善合理、可操作性强，计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rPr>
              <w:t>（4）投标人每30天向采购人提供一份艺术图书新书书目，且书目质量必须符合</w:t>
            </w:r>
            <w:r>
              <w:rPr>
                <w:rFonts w:hint="eastAsia"/>
                <w:color w:val="auto"/>
                <w:highlight w:val="none"/>
                <w:lang w:eastAsia="zh-CN"/>
              </w:rPr>
              <w:t>招标文件</w:t>
            </w:r>
            <w:r>
              <w:rPr>
                <w:rFonts w:hint="eastAsia"/>
                <w:color w:val="auto"/>
                <w:highlight w:val="none"/>
              </w:rPr>
              <w:t>要求，响应内容完善合理、可操作性强，计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rPr>
              <w:t>（5）投标人承诺能够根据采购人要求及时有效地提供在网络上销售的图书，并按成交综合折扣结算</w:t>
            </w:r>
            <w:r>
              <w:rPr>
                <w:rFonts w:hint="eastAsia"/>
                <w:color w:val="auto"/>
                <w:highlight w:val="none"/>
                <w:lang w:eastAsia="zh-CN"/>
              </w:rPr>
              <w:t>，</w:t>
            </w:r>
            <w:r>
              <w:rPr>
                <w:rFonts w:hint="eastAsia"/>
                <w:color w:val="auto"/>
                <w:highlight w:val="none"/>
              </w:rPr>
              <w:t>响应内容完善合理、可操作性强，计</w:t>
            </w:r>
            <w:r>
              <w:rPr>
                <w:rFonts w:hint="eastAsia"/>
                <w:color w:val="auto"/>
                <w:highlight w:val="none"/>
                <w:lang w:val="en-US" w:eastAsia="zh-CN"/>
              </w:rPr>
              <w:t>2</w:t>
            </w:r>
            <w:r>
              <w:rPr>
                <w:rFonts w:hint="eastAsia"/>
                <w:color w:val="auto"/>
                <w:highlight w:val="none"/>
              </w:rPr>
              <w:t>分；响应内容较完善合理、可操作性较强，计</w:t>
            </w:r>
            <w:r>
              <w:rPr>
                <w:rFonts w:hint="eastAsia"/>
                <w:color w:val="auto"/>
                <w:highlight w:val="none"/>
                <w:lang w:val="en-US" w:eastAsia="zh-CN"/>
              </w:rPr>
              <w:t>1</w:t>
            </w:r>
            <w:r>
              <w:rPr>
                <w:rFonts w:hint="eastAsia"/>
                <w:color w:val="auto"/>
                <w:highlight w:val="none"/>
              </w:rPr>
              <w:t>分；响应内容不完善、可操作性差，计</w:t>
            </w:r>
            <w:r>
              <w:rPr>
                <w:rFonts w:hint="eastAsia"/>
                <w:color w:val="auto"/>
                <w:highlight w:val="none"/>
                <w:lang w:val="en-US" w:eastAsia="zh-CN"/>
              </w:rPr>
              <w:t>0.5</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jc w:val="left"/>
              <w:rPr>
                <w:rFonts w:hint="eastAsia"/>
                <w:b/>
                <w:bCs/>
                <w:color w:val="auto"/>
                <w:highlight w:val="none"/>
              </w:rPr>
            </w:pPr>
            <w:r>
              <w:rPr>
                <w:rFonts w:hint="eastAsia"/>
                <w:b/>
                <w:bCs/>
                <w:color w:val="auto"/>
                <w:highlight w:val="none"/>
                <w:lang w:val="en-US" w:eastAsia="zh-CN"/>
              </w:rPr>
              <w:t>注：</w:t>
            </w:r>
            <w:r>
              <w:rPr>
                <w:rFonts w:hint="eastAsia"/>
                <w:b/>
                <w:bCs/>
                <w:color w:val="auto"/>
                <w:highlight w:val="none"/>
              </w:rPr>
              <w:t>以上</w:t>
            </w:r>
            <w:r>
              <w:rPr>
                <w:rFonts w:hint="eastAsia"/>
                <w:b/>
                <w:bCs/>
                <w:color w:val="auto"/>
                <w:highlight w:val="none"/>
                <w:lang w:val="en-US" w:eastAsia="zh-CN"/>
              </w:rPr>
              <w:t>5</w:t>
            </w:r>
            <w:r>
              <w:rPr>
                <w:rFonts w:hint="eastAsia"/>
                <w:b/>
                <w:bCs/>
                <w:color w:val="auto"/>
                <w:highlight w:val="none"/>
              </w:rPr>
              <w:t>条需提供加盖公章的承诺书，并作为验收依据。</w:t>
            </w:r>
          </w:p>
          <w:p>
            <w:pPr>
              <w:pStyle w:val="30"/>
              <w:ind w:firstLine="240" w:firstLineChars="100"/>
              <w:jc w:val="left"/>
              <w:rPr>
                <w:rFonts w:hint="eastAsia"/>
                <w:color w:val="auto"/>
                <w:highlight w:val="none"/>
              </w:rPr>
            </w:pPr>
            <w:r>
              <w:rPr>
                <w:rFonts w:hint="eastAsia"/>
                <w:color w:val="auto"/>
                <w:highlight w:val="none"/>
              </w:rPr>
              <w:t>（6）在本地设有可供采购的经营场所得2分，在本地没有经营场所、但设有办事机构得1分，需提供营业执照或租房合同或购房证明，否则不计分。</w:t>
            </w:r>
          </w:p>
          <w:p>
            <w:pPr>
              <w:pStyle w:val="30"/>
              <w:ind w:firstLine="240" w:firstLineChars="100"/>
              <w:jc w:val="left"/>
              <w:rPr>
                <w:rFonts w:hint="eastAsia"/>
                <w:color w:val="auto"/>
                <w:highlight w:val="none"/>
              </w:rPr>
            </w:pPr>
            <w:r>
              <w:rPr>
                <w:rFonts w:hint="eastAsia"/>
                <w:color w:val="auto"/>
                <w:highlight w:val="none"/>
              </w:rPr>
              <w:t>（7）能提供特色增值服务，有为附件1所列9所美术院校图书馆提供特色增值服务的成功案例计2分；有为</w:t>
            </w:r>
            <w:r>
              <w:rPr>
                <w:rFonts w:hint="eastAsia"/>
                <w:color w:val="auto"/>
                <w:highlight w:val="none"/>
                <w:lang w:eastAsia="zh-CN"/>
              </w:rPr>
              <w:t>《</w:t>
            </w:r>
            <w:r>
              <w:rPr>
                <w:rFonts w:hint="eastAsia"/>
                <w:color w:val="auto"/>
                <w:highlight w:val="none"/>
                <w:lang w:val="en-US" w:eastAsia="zh-CN"/>
              </w:rPr>
              <w:t>招标文件</w:t>
            </w:r>
            <w:r>
              <w:rPr>
                <w:rFonts w:hint="eastAsia"/>
                <w:color w:val="auto"/>
                <w:highlight w:val="none"/>
                <w:lang w:eastAsia="zh-CN"/>
              </w:rPr>
              <w:t>》</w:t>
            </w:r>
            <w:r>
              <w:rPr>
                <w:rFonts w:hint="eastAsia"/>
                <w:color w:val="auto"/>
                <w:highlight w:val="none"/>
              </w:rPr>
              <w:t>第四章</w:t>
            </w:r>
            <w:r>
              <w:rPr>
                <w:rFonts w:hint="eastAsia"/>
                <w:color w:val="auto"/>
                <w:highlight w:val="none"/>
                <w:lang w:eastAsia="zh-CN"/>
              </w:rPr>
              <w:t>“</w:t>
            </w:r>
            <w:r>
              <w:rPr>
                <w:rFonts w:hint="eastAsia"/>
                <w:color w:val="auto"/>
                <w:highlight w:val="none"/>
              </w:rPr>
              <w:t>采购内容及技术要求</w:t>
            </w:r>
            <w:r>
              <w:rPr>
                <w:rFonts w:hint="eastAsia"/>
                <w:color w:val="auto"/>
                <w:highlight w:val="none"/>
                <w:lang w:eastAsia="zh-CN"/>
              </w:rPr>
              <w:t>”</w:t>
            </w:r>
            <w:r>
              <w:rPr>
                <w:rFonts w:hint="eastAsia"/>
                <w:color w:val="auto"/>
                <w:highlight w:val="none"/>
              </w:rPr>
              <w:t>附件1所列9所美术院校图书馆以外单位提供特色增值服务的成功案例计1分。需提供图书馆盖章的证明材料。</w:t>
            </w:r>
          </w:p>
          <w:p>
            <w:pPr>
              <w:pStyle w:val="30"/>
              <w:jc w:val="left"/>
              <w:rPr>
                <w:rFonts w:hint="eastAsia"/>
                <w:color w:val="auto"/>
                <w:highlight w:val="none"/>
              </w:rPr>
            </w:pPr>
            <w:r>
              <w:rPr>
                <w:rFonts w:hint="eastAsia"/>
                <w:b/>
                <w:bCs/>
                <w:color w:val="auto"/>
                <w:highlight w:val="none"/>
              </w:rPr>
              <w:t>注：以上7项未提供证明材料及承诺的均不计分。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rPr>
            </w:pPr>
            <w:r>
              <w:rPr>
                <w:rFonts w:hint="eastAsia"/>
                <w:color w:val="auto"/>
                <w:highlight w:val="none"/>
              </w:rPr>
              <w:t>履约能力（</w:t>
            </w:r>
            <w:r>
              <w:rPr>
                <w:rFonts w:hint="eastAsia"/>
                <w:color w:val="auto"/>
                <w:highlight w:val="none"/>
                <w:lang w:val="en-US" w:eastAsia="zh-CN"/>
              </w:rPr>
              <w:t>18</w:t>
            </w:r>
            <w:r>
              <w:rPr>
                <w:rFonts w:hint="eastAsia"/>
                <w:color w:val="auto"/>
                <w:highlight w:val="none"/>
              </w:rPr>
              <w:t>分）</w:t>
            </w: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18</w:t>
            </w:r>
          </w:p>
        </w:tc>
        <w:tc>
          <w:tcPr>
            <w:tcW w:w="7139" w:type="dxa"/>
          </w:tcPr>
          <w:p>
            <w:pPr>
              <w:pStyle w:val="30"/>
              <w:ind w:firstLine="240" w:firstLineChars="100"/>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与</w:t>
            </w:r>
            <w:r>
              <w:rPr>
                <w:rFonts w:hint="eastAsia"/>
                <w:color w:val="auto"/>
                <w:highlight w:val="none"/>
                <w:lang w:eastAsia="zh-CN"/>
              </w:rPr>
              <w:t>《</w:t>
            </w:r>
            <w:r>
              <w:rPr>
                <w:rFonts w:hint="eastAsia"/>
                <w:color w:val="auto"/>
                <w:highlight w:val="none"/>
                <w:lang w:val="en-US" w:eastAsia="zh-CN"/>
              </w:rPr>
              <w:t>招标文件</w:t>
            </w:r>
            <w:r>
              <w:rPr>
                <w:rFonts w:hint="eastAsia"/>
                <w:color w:val="auto"/>
                <w:highlight w:val="none"/>
                <w:lang w:eastAsia="zh-CN"/>
              </w:rPr>
              <w:t>》</w:t>
            </w:r>
            <w:r>
              <w:rPr>
                <w:rFonts w:hint="eastAsia"/>
                <w:color w:val="auto"/>
                <w:highlight w:val="none"/>
              </w:rPr>
              <w:t>第四章</w:t>
            </w:r>
            <w:r>
              <w:rPr>
                <w:rFonts w:hint="eastAsia"/>
                <w:color w:val="auto"/>
                <w:highlight w:val="none"/>
                <w:lang w:eastAsia="zh-CN"/>
              </w:rPr>
              <w:t>“</w:t>
            </w:r>
            <w:r>
              <w:rPr>
                <w:rFonts w:hint="eastAsia"/>
                <w:color w:val="auto"/>
                <w:highlight w:val="none"/>
              </w:rPr>
              <w:t>采购内容及技术要求</w:t>
            </w:r>
            <w:r>
              <w:rPr>
                <w:rFonts w:hint="eastAsia"/>
                <w:color w:val="auto"/>
                <w:highlight w:val="none"/>
                <w:lang w:eastAsia="zh-CN"/>
              </w:rPr>
              <w:t>”</w:t>
            </w:r>
            <w:r>
              <w:rPr>
                <w:rFonts w:hint="eastAsia"/>
                <w:color w:val="auto"/>
                <w:highlight w:val="none"/>
              </w:rPr>
              <w:t>附件2列出的＜12家出版社有固定业务关系的计4分；与</w:t>
            </w:r>
            <w:r>
              <w:rPr>
                <w:rFonts w:hint="eastAsia"/>
                <w:color w:val="auto"/>
                <w:highlight w:val="none"/>
                <w:lang w:eastAsia="zh-CN"/>
              </w:rPr>
              <w:t>《</w:t>
            </w:r>
            <w:r>
              <w:rPr>
                <w:rFonts w:hint="eastAsia"/>
                <w:color w:val="auto"/>
                <w:highlight w:val="none"/>
                <w:lang w:val="en-US" w:eastAsia="zh-CN"/>
              </w:rPr>
              <w:t>招标文件</w:t>
            </w:r>
            <w:r>
              <w:rPr>
                <w:rFonts w:hint="eastAsia"/>
                <w:color w:val="auto"/>
                <w:highlight w:val="none"/>
                <w:lang w:eastAsia="zh-CN"/>
              </w:rPr>
              <w:t>》</w:t>
            </w:r>
            <w:r>
              <w:rPr>
                <w:rFonts w:hint="eastAsia"/>
                <w:color w:val="auto"/>
                <w:highlight w:val="none"/>
              </w:rPr>
              <w:t>第四章</w:t>
            </w:r>
            <w:r>
              <w:rPr>
                <w:rFonts w:hint="eastAsia"/>
                <w:color w:val="auto"/>
                <w:highlight w:val="none"/>
                <w:lang w:eastAsia="zh-CN"/>
              </w:rPr>
              <w:t>“</w:t>
            </w:r>
            <w:r>
              <w:rPr>
                <w:rFonts w:hint="eastAsia"/>
                <w:color w:val="auto"/>
                <w:highlight w:val="none"/>
              </w:rPr>
              <w:t>采购内容及技术要求</w:t>
            </w:r>
            <w:r>
              <w:rPr>
                <w:rFonts w:hint="eastAsia"/>
                <w:color w:val="auto"/>
                <w:highlight w:val="none"/>
                <w:lang w:eastAsia="zh-CN"/>
              </w:rPr>
              <w:t>”</w:t>
            </w:r>
            <w:r>
              <w:rPr>
                <w:rFonts w:hint="eastAsia"/>
                <w:color w:val="auto"/>
                <w:highlight w:val="none"/>
              </w:rPr>
              <w:t>附件2列出的≥12家出版社有固定业务关系的计8分；与</w:t>
            </w:r>
            <w:r>
              <w:rPr>
                <w:rFonts w:hint="eastAsia"/>
                <w:color w:val="auto"/>
                <w:highlight w:val="none"/>
                <w:lang w:eastAsia="zh-CN"/>
              </w:rPr>
              <w:t>《</w:t>
            </w:r>
            <w:r>
              <w:rPr>
                <w:rFonts w:hint="eastAsia"/>
                <w:color w:val="auto"/>
                <w:highlight w:val="none"/>
                <w:lang w:val="en-US" w:eastAsia="zh-CN"/>
              </w:rPr>
              <w:t>招标文件</w:t>
            </w:r>
            <w:r>
              <w:rPr>
                <w:rFonts w:hint="eastAsia"/>
                <w:color w:val="auto"/>
                <w:highlight w:val="none"/>
                <w:lang w:eastAsia="zh-CN"/>
              </w:rPr>
              <w:t>》</w:t>
            </w:r>
            <w:r>
              <w:rPr>
                <w:rFonts w:hint="eastAsia"/>
                <w:color w:val="auto"/>
                <w:highlight w:val="none"/>
              </w:rPr>
              <w:t>第四章</w:t>
            </w:r>
            <w:r>
              <w:rPr>
                <w:rFonts w:hint="eastAsia"/>
                <w:color w:val="auto"/>
                <w:highlight w:val="none"/>
                <w:lang w:eastAsia="zh-CN"/>
              </w:rPr>
              <w:t>“</w:t>
            </w:r>
            <w:r>
              <w:rPr>
                <w:rFonts w:hint="eastAsia"/>
                <w:color w:val="auto"/>
                <w:highlight w:val="none"/>
              </w:rPr>
              <w:t>采购内容及技术要求</w:t>
            </w:r>
            <w:r>
              <w:rPr>
                <w:rFonts w:hint="eastAsia"/>
                <w:color w:val="auto"/>
                <w:highlight w:val="none"/>
                <w:lang w:eastAsia="zh-CN"/>
              </w:rPr>
              <w:t>”</w:t>
            </w:r>
            <w:r>
              <w:rPr>
                <w:rFonts w:hint="eastAsia"/>
                <w:color w:val="auto"/>
                <w:highlight w:val="none"/>
              </w:rPr>
              <w:t>附件2列出的≥20家出版社有固定业务关系的计13分；</w:t>
            </w:r>
          </w:p>
          <w:p>
            <w:pPr>
              <w:pStyle w:val="30"/>
              <w:ind w:firstLine="240" w:firstLineChars="100"/>
              <w:jc w:val="left"/>
              <w:rPr>
                <w:rFonts w:hint="eastAsia"/>
                <w:color w:val="auto"/>
                <w:highlight w:val="none"/>
              </w:rPr>
            </w:pPr>
            <w:r>
              <w:rPr>
                <w:rFonts w:hint="eastAsia"/>
                <w:color w:val="auto"/>
                <w:highlight w:val="none"/>
                <w:lang w:val="en-US" w:eastAsia="zh-CN"/>
              </w:rPr>
              <w:t>（2）</w:t>
            </w:r>
            <w:r>
              <w:rPr>
                <w:rFonts w:hint="eastAsia"/>
                <w:color w:val="auto"/>
                <w:highlight w:val="none"/>
              </w:rPr>
              <w:t>在</w:t>
            </w:r>
            <w:r>
              <w:rPr>
                <w:rFonts w:hint="eastAsia"/>
                <w:color w:val="auto"/>
                <w:highlight w:val="none"/>
                <w:lang w:val="en-US" w:eastAsia="zh-CN"/>
              </w:rPr>
              <w:t>20</w:t>
            </w:r>
            <w:r>
              <w:rPr>
                <w:rFonts w:hint="eastAsia"/>
                <w:color w:val="auto"/>
                <w:highlight w:val="none"/>
              </w:rPr>
              <w:t>家基础上每增加一个</w:t>
            </w:r>
            <w:r>
              <w:rPr>
                <w:rFonts w:hint="eastAsia"/>
                <w:color w:val="auto"/>
                <w:highlight w:val="none"/>
                <w:lang w:eastAsia="zh-CN"/>
              </w:rPr>
              <w:t>《</w:t>
            </w:r>
            <w:r>
              <w:rPr>
                <w:rFonts w:hint="eastAsia"/>
                <w:color w:val="auto"/>
                <w:highlight w:val="none"/>
                <w:lang w:val="en-US" w:eastAsia="zh-CN"/>
              </w:rPr>
              <w:t>招标文件</w:t>
            </w:r>
            <w:r>
              <w:rPr>
                <w:rFonts w:hint="eastAsia"/>
                <w:color w:val="auto"/>
                <w:highlight w:val="none"/>
                <w:lang w:eastAsia="zh-CN"/>
              </w:rPr>
              <w:t>》</w:t>
            </w:r>
            <w:r>
              <w:rPr>
                <w:rFonts w:hint="eastAsia"/>
                <w:color w:val="auto"/>
                <w:highlight w:val="none"/>
              </w:rPr>
              <w:t>第四章</w:t>
            </w:r>
            <w:r>
              <w:rPr>
                <w:rFonts w:hint="eastAsia"/>
                <w:color w:val="auto"/>
                <w:highlight w:val="none"/>
                <w:lang w:eastAsia="zh-CN"/>
              </w:rPr>
              <w:t>“</w:t>
            </w:r>
            <w:r>
              <w:rPr>
                <w:rFonts w:hint="eastAsia"/>
                <w:color w:val="auto"/>
                <w:highlight w:val="none"/>
              </w:rPr>
              <w:t>采购内容及技术要求</w:t>
            </w:r>
            <w:r>
              <w:rPr>
                <w:rFonts w:hint="eastAsia"/>
                <w:color w:val="auto"/>
                <w:highlight w:val="none"/>
                <w:lang w:eastAsia="zh-CN"/>
              </w:rPr>
              <w:t>”</w:t>
            </w:r>
            <w:r>
              <w:rPr>
                <w:rFonts w:hint="eastAsia"/>
                <w:color w:val="auto"/>
                <w:highlight w:val="none"/>
              </w:rPr>
              <w:t>附件2所列合作出版社加1分，最多加5分。</w:t>
            </w:r>
          </w:p>
          <w:p>
            <w:pPr>
              <w:pStyle w:val="30"/>
              <w:jc w:val="left"/>
              <w:rPr>
                <w:rFonts w:hint="eastAsia"/>
                <w:b/>
                <w:bCs/>
                <w:color w:val="auto"/>
                <w:highlight w:val="none"/>
              </w:rPr>
            </w:pPr>
            <w:r>
              <w:rPr>
                <w:rFonts w:hint="eastAsia"/>
                <w:b/>
                <w:bCs/>
                <w:color w:val="auto"/>
                <w:highlight w:val="none"/>
              </w:rPr>
              <w:t>注：以上需提供投标人有效期内、加盖公章的合作授权或代理协议或合同或协议复印件或出版社正规发票，以上证明材料需装订在</w:t>
            </w:r>
            <w:r>
              <w:rPr>
                <w:rFonts w:hint="eastAsia"/>
                <w:b/>
                <w:bCs/>
                <w:color w:val="auto"/>
                <w:highlight w:val="none"/>
                <w:lang w:val="en-US" w:eastAsia="zh-CN"/>
              </w:rPr>
              <w:t>投标</w:t>
            </w:r>
            <w:r>
              <w:rPr>
                <w:rFonts w:hint="eastAsia"/>
                <w:b/>
                <w:bCs/>
                <w:color w:val="auto"/>
                <w:highlight w:val="none"/>
              </w:rPr>
              <w:t>文件正副本中。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restart"/>
            <w:vAlign w:val="center"/>
          </w:tcPr>
          <w:p>
            <w:pPr>
              <w:pStyle w:val="30"/>
              <w:bidi w:val="0"/>
              <w:rPr>
                <w:rFonts w:hint="eastAsia"/>
                <w:color w:val="auto"/>
                <w:highlight w:val="none"/>
              </w:rPr>
            </w:pPr>
            <w:r>
              <w:rPr>
                <w:rFonts w:hint="eastAsia"/>
                <w:color w:val="auto"/>
                <w:highlight w:val="none"/>
              </w:rPr>
              <w:t>追补订</w:t>
            </w:r>
          </w:p>
          <w:p>
            <w:pPr>
              <w:pStyle w:val="30"/>
              <w:bidi w:val="0"/>
              <w:rPr>
                <w:rFonts w:hint="eastAsia"/>
                <w:color w:val="auto"/>
                <w:highlight w:val="none"/>
              </w:rPr>
            </w:pPr>
            <w:r>
              <w:rPr>
                <w:rFonts w:hint="eastAsia"/>
                <w:color w:val="auto"/>
                <w:highlight w:val="none"/>
              </w:rPr>
              <w:t>承诺</w:t>
            </w:r>
          </w:p>
          <w:p>
            <w:pPr>
              <w:pStyle w:val="30"/>
              <w:bidi w:val="0"/>
              <w:rPr>
                <w:rFonts w:hint="eastAsia"/>
                <w:color w:val="auto"/>
                <w:highlight w:val="none"/>
              </w:rPr>
            </w:pPr>
            <w:r>
              <w:rPr>
                <w:rFonts w:hint="eastAsia"/>
                <w:color w:val="auto"/>
                <w:highlight w:val="none"/>
              </w:rPr>
              <w:t>（6分）</w:t>
            </w:r>
          </w:p>
        </w:tc>
        <w:tc>
          <w:tcPr>
            <w:tcW w:w="769" w:type="dxa"/>
            <w:vAlign w:val="center"/>
          </w:tcPr>
          <w:p>
            <w:pPr>
              <w:pStyle w:val="30"/>
              <w:bidi w:val="0"/>
              <w:jc w:val="center"/>
              <w:rPr>
                <w:rFonts w:hint="eastAsia" w:eastAsia="宋体"/>
                <w:color w:val="auto"/>
                <w:highlight w:val="none"/>
                <w:lang w:val="en-US" w:eastAsia="zh-CN"/>
              </w:rPr>
            </w:pPr>
            <w:r>
              <w:rPr>
                <w:rFonts w:hint="eastAsia"/>
                <w:color w:val="auto"/>
                <w:highlight w:val="none"/>
                <w:lang w:val="en-US" w:eastAsia="zh-CN"/>
              </w:rPr>
              <w:t>3</w:t>
            </w:r>
          </w:p>
        </w:tc>
        <w:tc>
          <w:tcPr>
            <w:tcW w:w="7139" w:type="dxa"/>
          </w:tcPr>
          <w:p>
            <w:pPr>
              <w:pStyle w:val="30"/>
              <w:ind w:firstLine="240" w:firstLineChars="100"/>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在</w:t>
            </w:r>
            <w:r>
              <w:rPr>
                <w:rFonts w:hint="eastAsia"/>
                <w:color w:val="auto"/>
                <w:highlight w:val="none"/>
                <w:lang w:val="en-US" w:eastAsia="zh-CN"/>
              </w:rPr>
              <w:t>投标</w:t>
            </w:r>
            <w:r>
              <w:rPr>
                <w:rFonts w:hint="eastAsia"/>
                <w:color w:val="auto"/>
                <w:highlight w:val="none"/>
              </w:rPr>
              <w:t>文件中对追补订图书问题有响应，内容充实，切合实际，符合采购人需求，违约保证严格的计3分；有响应的，但内容空泛，方法不切合实际，违约保证避重就轻的计</w:t>
            </w:r>
            <w:r>
              <w:rPr>
                <w:rFonts w:hint="eastAsia"/>
                <w:color w:val="auto"/>
                <w:highlight w:val="none"/>
                <w:lang w:val="en-US" w:eastAsia="zh-CN"/>
              </w:rPr>
              <w:t>1</w:t>
            </w:r>
            <w:r>
              <w:rPr>
                <w:rFonts w:hint="eastAsia"/>
                <w:color w:val="auto"/>
                <w:highlight w:val="none"/>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pStyle w:val="30"/>
              <w:bidi w:val="0"/>
              <w:jc w:val="center"/>
              <w:rPr>
                <w:rFonts w:hint="eastAsia" w:eastAsia="宋体"/>
                <w:color w:val="auto"/>
                <w:highlight w:val="none"/>
                <w:lang w:val="en-US" w:eastAsia="zh-CN"/>
              </w:rPr>
            </w:pPr>
            <w:r>
              <w:rPr>
                <w:rFonts w:hint="eastAsia"/>
                <w:color w:val="auto"/>
                <w:highlight w:val="none"/>
                <w:lang w:val="en-US" w:eastAsia="zh-CN"/>
              </w:rPr>
              <w:t>3</w:t>
            </w:r>
          </w:p>
        </w:tc>
        <w:tc>
          <w:tcPr>
            <w:tcW w:w="7139" w:type="dxa"/>
          </w:tcPr>
          <w:p>
            <w:pPr>
              <w:pStyle w:val="30"/>
              <w:ind w:firstLine="240" w:firstLineChars="100"/>
              <w:jc w:val="left"/>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图书装订或印刷质量有问题，如缺页、错页、倒装、模糊不清、折页、开线、开胶、污损等</w:t>
            </w:r>
            <w:r>
              <w:rPr>
                <w:rFonts w:hint="eastAsia"/>
                <w:color w:val="auto"/>
                <w:highlight w:val="none"/>
                <w:lang w:eastAsia="zh-CN"/>
              </w:rPr>
              <w:t>，</w:t>
            </w:r>
            <w:r>
              <w:rPr>
                <w:rFonts w:hint="eastAsia"/>
                <w:color w:val="auto"/>
                <w:highlight w:val="none"/>
              </w:rPr>
              <w:t>图书种类册数与对应清单不符</w:t>
            </w:r>
            <w:r>
              <w:rPr>
                <w:rFonts w:hint="eastAsia"/>
                <w:color w:val="auto"/>
                <w:highlight w:val="none"/>
                <w:lang w:eastAsia="zh-CN"/>
              </w:rPr>
              <w:t>，</w:t>
            </w:r>
            <w:r>
              <w:rPr>
                <w:rFonts w:hint="eastAsia"/>
                <w:color w:val="auto"/>
                <w:highlight w:val="none"/>
              </w:rPr>
              <w:t>投标人应给予调换、补缺或退货</w:t>
            </w:r>
            <w:r>
              <w:rPr>
                <w:rFonts w:hint="eastAsia"/>
                <w:color w:val="auto"/>
                <w:highlight w:val="none"/>
                <w:lang w:eastAsia="zh-CN"/>
              </w:rPr>
              <w:t>，</w:t>
            </w:r>
            <w:r>
              <w:rPr>
                <w:rFonts w:hint="eastAsia"/>
                <w:color w:val="auto"/>
                <w:highlight w:val="none"/>
              </w:rPr>
              <w:t>所有调换、补缺或退货所产生的全部费用，由投标人承担</w:t>
            </w:r>
            <w:r>
              <w:rPr>
                <w:rFonts w:hint="eastAsia"/>
                <w:color w:val="auto"/>
                <w:highlight w:val="none"/>
                <w:lang w:eastAsia="zh-CN"/>
              </w:rPr>
              <w:t>，</w:t>
            </w:r>
            <w:r>
              <w:rPr>
                <w:rFonts w:hint="eastAsia"/>
                <w:color w:val="auto"/>
                <w:highlight w:val="none"/>
              </w:rPr>
              <w:t>调换、补缺应在接到通知后投标人自行承诺具体工作日的完成时间，投标人均能保证无条件响应</w:t>
            </w:r>
            <w:r>
              <w:rPr>
                <w:rFonts w:hint="eastAsia"/>
                <w:color w:val="auto"/>
                <w:highlight w:val="none"/>
                <w:lang w:eastAsia="zh-CN"/>
              </w:rPr>
              <w:t>。</w:t>
            </w:r>
          </w:p>
          <w:p>
            <w:pPr>
              <w:pStyle w:val="30"/>
              <w:ind w:firstLine="240" w:firstLineChars="100"/>
              <w:jc w:val="left"/>
              <w:rPr>
                <w:rFonts w:hint="eastAsia"/>
                <w:color w:val="auto"/>
                <w:highlight w:val="none"/>
              </w:rPr>
            </w:pPr>
            <w:r>
              <w:rPr>
                <w:rFonts w:hint="eastAsia"/>
                <w:color w:val="auto"/>
                <w:highlight w:val="none"/>
              </w:rPr>
              <w:t>承诺完整可行计3分；承诺内容空泛的计</w:t>
            </w:r>
            <w:r>
              <w:rPr>
                <w:rFonts w:hint="eastAsia"/>
                <w:color w:val="auto"/>
                <w:highlight w:val="none"/>
                <w:lang w:val="en-US" w:eastAsia="zh-CN"/>
              </w:rPr>
              <w:t>1</w:t>
            </w:r>
            <w:r>
              <w:rPr>
                <w:rFonts w:hint="eastAsia"/>
                <w:color w:val="auto"/>
                <w:highlight w:val="none"/>
              </w:rPr>
              <w:t>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lang w:val="en-US" w:eastAsia="zh-CN"/>
              </w:rPr>
            </w:pPr>
            <w:r>
              <w:rPr>
                <w:rFonts w:hint="eastAsia"/>
                <w:color w:val="auto"/>
                <w:highlight w:val="none"/>
                <w:lang w:val="en-US" w:eastAsia="zh-CN"/>
              </w:rPr>
              <w:t>业绩</w:t>
            </w:r>
          </w:p>
          <w:p>
            <w:pPr>
              <w:pStyle w:val="30"/>
              <w:bidi w:val="0"/>
              <w:rPr>
                <w:rFonts w:hint="eastAsia"/>
                <w:color w:val="auto"/>
                <w:highlight w:val="none"/>
                <w:lang w:val="en-US" w:eastAsia="zh-CN"/>
              </w:rPr>
            </w:pPr>
            <w:r>
              <w:rPr>
                <w:rFonts w:hint="eastAsia"/>
                <w:color w:val="auto"/>
                <w:highlight w:val="none"/>
                <w:lang w:val="en-US" w:eastAsia="zh-CN"/>
              </w:rPr>
              <w:t>（14分）</w:t>
            </w:r>
          </w:p>
        </w:tc>
        <w:tc>
          <w:tcPr>
            <w:tcW w:w="769" w:type="dxa"/>
            <w:vAlign w:val="center"/>
          </w:tcPr>
          <w:p>
            <w:pPr>
              <w:pStyle w:val="30"/>
              <w:bidi w:val="0"/>
              <w:jc w:val="center"/>
              <w:rPr>
                <w:rFonts w:hint="default"/>
                <w:color w:val="auto"/>
                <w:highlight w:val="none"/>
                <w:lang w:val="en-US" w:eastAsia="zh-CN"/>
              </w:rPr>
            </w:pPr>
            <w:r>
              <w:rPr>
                <w:rFonts w:hint="eastAsia"/>
                <w:color w:val="auto"/>
                <w:highlight w:val="none"/>
                <w:lang w:val="en-US" w:eastAsia="zh-CN"/>
              </w:rPr>
              <w:t>14</w:t>
            </w:r>
          </w:p>
        </w:tc>
        <w:tc>
          <w:tcPr>
            <w:tcW w:w="7139" w:type="dxa"/>
          </w:tcPr>
          <w:p>
            <w:pPr>
              <w:pStyle w:val="30"/>
              <w:ind w:firstLine="240" w:firstLineChars="100"/>
              <w:jc w:val="left"/>
              <w:rPr>
                <w:rFonts w:hint="eastAsia"/>
                <w:b/>
                <w:bCs/>
                <w:color w:val="auto"/>
                <w:highlight w:val="none"/>
              </w:rPr>
            </w:pPr>
            <w:r>
              <w:rPr>
                <w:rFonts w:hint="eastAsia"/>
                <w:color w:val="auto"/>
                <w:highlight w:val="none"/>
              </w:rPr>
              <w:t>提供</w:t>
            </w:r>
            <w:r>
              <w:rPr>
                <w:rFonts w:hint="eastAsia"/>
                <w:color w:val="auto"/>
                <w:highlight w:val="none"/>
                <w:lang w:eastAsia="zh-CN"/>
              </w:rPr>
              <w:t>投标人</w:t>
            </w:r>
            <w:r>
              <w:rPr>
                <w:rFonts w:hint="eastAsia"/>
                <w:color w:val="auto"/>
                <w:highlight w:val="none"/>
              </w:rPr>
              <w:t>201</w:t>
            </w:r>
            <w:r>
              <w:rPr>
                <w:rFonts w:hint="eastAsia"/>
                <w:color w:val="auto"/>
                <w:highlight w:val="none"/>
                <w:lang w:val="en-US" w:eastAsia="zh-CN"/>
              </w:rPr>
              <w:t>7</w:t>
            </w:r>
            <w:r>
              <w:rPr>
                <w:rFonts w:hint="eastAsia"/>
                <w:color w:val="auto"/>
                <w:highlight w:val="none"/>
              </w:rPr>
              <w:t>年1月1日至今同类业绩，要求提供合同复印件和供货图书清单，所供图书完全符合《招标文件》第四章“采购内容及技术要求”中技术要求的计2分，基本符合计1分，不符合不计分，满分14分。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rPr>
            </w:pPr>
            <w:r>
              <w:rPr>
                <w:rFonts w:hint="eastAsia"/>
                <w:color w:val="auto"/>
                <w:highlight w:val="none"/>
              </w:rPr>
              <w:t>文件编制</w:t>
            </w:r>
          </w:p>
          <w:p>
            <w:pPr>
              <w:pStyle w:val="30"/>
              <w:bidi w:val="0"/>
              <w:rPr>
                <w:rFonts w:hint="eastAsia"/>
                <w:color w:val="auto"/>
                <w:highlight w:val="none"/>
              </w:rPr>
            </w:pPr>
            <w:r>
              <w:rPr>
                <w:rFonts w:hint="eastAsia"/>
                <w:color w:val="auto"/>
                <w:highlight w:val="none"/>
              </w:rPr>
              <w:t>（2分）</w:t>
            </w:r>
          </w:p>
        </w:tc>
        <w:tc>
          <w:tcPr>
            <w:tcW w:w="769" w:type="dxa"/>
            <w:vAlign w:val="center"/>
          </w:tcPr>
          <w:p>
            <w:pPr>
              <w:pStyle w:val="30"/>
              <w:bidi w:val="0"/>
              <w:jc w:val="center"/>
              <w:rPr>
                <w:rFonts w:hint="eastAsia" w:eastAsia="宋体"/>
                <w:color w:val="auto"/>
                <w:highlight w:val="none"/>
                <w:lang w:val="en-US" w:eastAsia="zh-CN"/>
              </w:rPr>
            </w:pPr>
            <w:r>
              <w:rPr>
                <w:rFonts w:hint="eastAsia"/>
                <w:color w:val="auto"/>
                <w:highlight w:val="none"/>
                <w:lang w:val="en-US" w:eastAsia="zh-CN"/>
              </w:rPr>
              <w:t>2</w:t>
            </w:r>
          </w:p>
        </w:tc>
        <w:tc>
          <w:tcPr>
            <w:tcW w:w="7139" w:type="dxa"/>
            <w:vAlign w:val="center"/>
          </w:tcPr>
          <w:p>
            <w:pPr>
              <w:spacing w:line="360" w:lineRule="exact"/>
              <w:ind w:firstLine="240" w:firstLineChars="100"/>
              <w:jc w:val="both"/>
              <w:rPr>
                <w:rFonts w:hint="eastAsia"/>
                <w:color w:val="auto"/>
                <w:highlight w:val="none"/>
                <w:lang w:eastAsia="zh-CN"/>
              </w:rPr>
            </w:pPr>
            <w:r>
              <w:rPr>
                <w:rFonts w:hint="eastAsia" w:hAnsi="宋体" w:cs="宋体"/>
                <w:color w:val="auto"/>
                <w:sz w:val="24"/>
                <w:highlight w:val="none"/>
                <w:lang w:val="en-US" w:eastAsia="zh-CN" w:bidi="ar-SA"/>
              </w:rPr>
              <w:t>投标文件</w:t>
            </w:r>
            <w:r>
              <w:rPr>
                <w:rFonts w:hint="eastAsia" w:ascii="宋体" w:hAnsi="宋体" w:eastAsia="宋体" w:cs="宋体"/>
                <w:color w:val="auto"/>
                <w:sz w:val="24"/>
                <w:highlight w:val="none"/>
                <w:lang w:val="en-US" w:eastAsia="zh-CN" w:bidi="ar-SA"/>
              </w:rPr>
              <w:t>编制规范，</w:t>
            </w:r>
            <w:r>
              <w:rPr>
                <w:rFonts w:hint="eastAsia" w:hAnsi="宋体" w:cs="宋体"/>
                <w:color w:val="auto"/>
                <w:sz w:val="24"/>
                <w:highlight w:val="none"/>
                <w:lang w:val="en-US" w:eastAsia="zh-CN" w:bidi="ar-SA"/>
              </w:rPr>
              <w:t>投标文件</w:t>
            </w:r>
            <w:r>
              <w:rPr>
                <w:rFonts w:hint="eastAsia" w:ascii="宋体" w:hAnsi="宋体" w:eastAsia="宋体" w:cs="宋体"/>
                <w:color w:val="auto"/>
                <w:sz w:val="24"/>
                <w:highlight w:val="none"/>
                <w:lang w:val="en-US" w:eastAsia="zh-CN" w:bidi="ar-SA"/>
              </w:rPr>
              <w:t>封面标注正本或副本、双面打印、目录完整、页码准确，有一项未满足扣0.5分，扣完为止。</w:t>
            </w:r>
          </w:p>
        </w:tc>
      </w:tr>
    </w:tbl>
    <w:p>
      <w:pP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br w:type="page"/>
      </w:r>
    </w:p>
    <w:p>
      <w:pPr>
        <w:pStyle w:val="7"/>
        <w:bidi w:val="0"/>
        <w:rPr>
          <w:rFonts w:hint="eastAsia"/>
          <w:color w:val="auto"/>
          <w:highlight w:val="none"/>
          <w:lang w:eastAsia="zh-CN"/>
        </w:rPr>
      </w:pPr>
      <w:r>
        <w:rPr>
          <w:rFonts w:hint="eastAsia"/>
          <w:color w:val="auto"/>
          <w:highlight w:val="none"/>
        </w:rPr>
        <w:t>评标因素及权重分值表</w:t>
      </w:r>
      <w:r>
        <w:rPr>
          <w:rFonts w:hint="eastAsia"/>
          <w:color w:val="auto"/>
          <w:highlight w:val="none"/>
          <w:lang w:eastAsia="zh-CN"/>
        </w:rPr>
        <w:t>（</w:t>
      </w:r>
      <w:r>
        <w:rPr>
          <w:rFonts w:hint="eastAsia"/>
          <w:color w:val="auto"/>
          <w:highlight w:val="none"/>
          <w:lang w:val="en-US" w:eastAsia="zh-CN"/>
        </w:rPr>
        <w:t>合同包2</w:t>
      </w:r>
      <w:r>
        <w:rPr>
          <w:rFonts w:hint="eastAsia"/>
          <w:color w:val="auto"/>
          <w:highlight w:val="none"/>
          <w:lang w:eastAsia="zh-CN"/>
        </w:rPr>
        <w:t>）</w:t>
      </w:r>
    </w:p>
    <w:tbl>
      <w:tblPr>
        <w:tblStyle w:val="21"/>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769"/>
        <w:gridCol w:w="7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208" w:type="dxa"/>
          </w:tcPr>
          <w:p>
            <w:pPr>
              <w:pStyle w:val="30"/>
              <w:bidi w:val="0"/>
              <w:rPr>
                <w:b/>
                <w:bCs/>
                <w:color w:val="auto"/>
                <w:highlight w:val="none"/>
              </w:rPr>
            </w:pPr>
            <w:r>
              <w:rPr>
                <w:rFonts w:hint="eastAsia"/>
                <w:b/>
                <w:bCs/>
                <w:color w:val="auto"/>
                <w:highlight w:val="none"/>
              </w:rPr>
              <w:t>评分因素</w:t>
            </w:r>
          </w:p>
        </w:tc>
        <w:tc>
          <w:tcPr>
            <w:tcW w:w="769" w:type="dxa"/>
          </w:tcPr>
          <w:p>
            <w:pPr>
              <w:pStyle w:val="30"/>
              <w:bidi w:val="0"/>
              <w:rPr>
                <w:rFonts w:hint="eastAsia" w:eastAsia="宋体"/>
                <w:b/>
                <w:bCs/>
                <w:color w:val="auto"/>
                <w:highlight w:val="none"/>
                <w:lang w:val="en-US" w:eastAsia="zh-CN"/>
              </w:rPr>
            </w:pPr>
            <w:r>
              <w:rPr>
                <w:rFonts w:hint="eastAsia"/>
                <w:b/>
                <w:bCs/>
                <w:color w:val="auto"/>
                <w:highlight w:val="none"/>
                <w:lang w:val="en-US" w:eastAsia="zh-CN"/>
              </w:rPr>
              <w:t>权值（%）</w:t>
            </w:r>
          </w:p>
        </w:tc>
        <w:tc>
          <w:tcPr>
            <w:tcW w:w="7386" w:type="dxa"/>
            <w:vAlign w:val="center"/>
          </w:tcPr>
          <w:p>
            <w:pPr>
              <w:pStyle w:val="30"/>
              <w:bidi w:val="0"/>
              <w:jc w:val="center"/>
              <w:rPr>
                <w:b/>
                <w:bCs/>
                <w:color w:val="auto"/>
                <w:highlight w:val="none"/>
              </w:rPr>
            </w:pPr>
            <w:r>
              <w:rPr>
                <w:rFonts w:hint="eastAsia"/>
                <w:b/>
                <w:bCs/>
                <w:color w:val="auto"/>
                <w:highlight w:val="none"/>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rPr>
            </w:pPr>
            <w:r>
              <w:rPr>
                <w:rFonts w:hint="eastAsia"/>
                <w:color w:val="auto"/>
                <w:highlight w:val="none"/>
              </w:rPr>
              <w:t>投标报价</w:t>
            </w:r>
          </w:p>
          <w:p>
            <w:pPr>
              <w:pStyle w:val="30"/>
              <w:bidi w:val="0"/>
              <w:rPr>
                <w:color w:val="auto"/>
                <w:highlight w:val="none"/>
              </w:rPr>
            </w:pPr>
            <w:r>
              <w:rPr>
                <w:rFonts w:hint="eastAsia"/>
                <w:color w:val="auto"/>
                <w:highlight w:val="none"/>
              </w:rPr>
              <w:t>（30分）</w:t>
            </w: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30</w:t>
            </w:r>
          </w:p>
        </w:tc>
        <w:tc>
          <w:tcPr>
            <w:tcW w:w="7386" w:type="dxa"/>
          </w:tcPr>
          <w:p>
            <w:pPr>
              <w:pStyle w:val="30"/>
              <w:ind w:firstLine="240" w:firstLineChars="100"/>
              <w:jc w:val="left"/>
              <w:rPr>
                <w:color w:val="auto"/>
                <w:highlight w:val="none"/>
              </w:rPr>
            </w:pPr>
            <w:r>
              <w:rPr>
                <w:rFonts w:hint="eastAsia"/>
                <w:color w:val="auto"/>
                <w:highlight w:val="none"/>
              </w:rPr>
              <w:t>价格分统一采用低价优先法计算，满足招标文件要求的投标报价为有效报价，有效报价经政策扣减后为评审报价（详见本章六．政策性扣减），最低的评审报价为评标基准价，其价格分为满分。其他投标人的价格分统一按照下列公式计算：</w:t>
            </w:r>
          </w:p>
          <w:p>
            <w:pPr>
              <w:pStyle w:val="30"/>
              <w:ind w:firstLine="240" w:firstLineChars="100"/>
              <w:jc w:val="left"/>
              <w:rPr>
                <w:rFonts w:hint="eastAsia"/>
                <w:color w:val="auto"/>
                <w:highlight w:val="none"/>
              </w:rPr>
            </w:pPr>
            <w:r>
              <w:rPr>
                <w:rFonts w:hint="eastAsia"/>
                <w:color w:val="auto"/>
                <w:highlight w:val="none"/>
              </w:rPr>
              <w:t>投标报价得分=(评标基准价／评审报价)×</w:t>
            </w:r>
            <w:r>
              <w:rPr>
                <w:rFonts w:hint="eastAsia"/>
                <w:color w:val="auto"/>
                <w:highlight w:val="none"/>
                <w:lang w:val="en-US" w:eastAsia="zh-CN"/>
              </w:rPr>
              <w:t>30</w:t>
            </w:r>
            <w:r>
              <w:rPr>
                <w:rFonts w:hint="eastAsia"/>
                <w:color w:val="auto"/>
                <w:highlight w:val="none"/>
              </w:rPr>
              <w:t xml:space="preserve">×100  </w:t>
            </w:r>
          </w:p>
          <w:p>
            <w:pPr>
              <w:pStyle w:val="30"/>
              <w:ind w:firstLine="240" w:firstLineChars="100"/>
              <w:jc w:val="left"/>
              <w:rPr>
                <w:color w:val="auto"/>
                <w:highlight w:val="none"/>
              </w:rPr>
            </w:pPr>
            <w:r>
              <w:rPr>
                <w:rFonts w:hint="eastAsia"/>
                <w:color w:val="auto"/>
                <w:highlight w:val="none"/>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restart"/>
            <w:vAlign w:val="center"/>
          </w:tcPr>
          <w:p>
            <w:pPr>
              <w:pStyle w:val="30"/>
              <w:bidi w:val="0"/>
              <w:rPr>
                <w:rFonts w:hint="eastAsia"/>
                <w:color w:val="auto"/>
                <w:highlight w:val="none"/>
              </w:rPr>
            </w:pPr>
            <w:r>
              <w:rPr>
                <w:rFonts w:hint="eastAsia"/>
                <w:color w:val="auto"/>
                <w:highlight w:val="none"/>
              </w:rPr>
              <w:t>实施方案</w:t>
            </w:r>
          </w:p>
          <w:p>
            <w:pPr>
              <w:pStyle w:val="30"/>
              <w:bidi w:val="0"/>
              <w:rPr>
                <w:rFonts w:hint="eastAsia"/>
                <w:color w:val="auto"/>
                <w:highlight w:val="none"/>
              </w:rPr>
            </w:pPr>
            <w:r>
              <w:rPr>
                <w:rFonts w:hint="eastAsia"/>
                <w:color w:val="auto"/>
                <w:highlight w:val="none"/>
              </w:rPr>
              <w:t>（</w:t>
            </w:r>
            <w:r>
              <w:rPr>
                <w:rFonts w:hint="eastAsia"/>
                <w:color w:val="auto"/>
                <w:highlight w:val="none"/>
                <w:lang w:val="en-US" w:eastAsia="zh-CN"/>
              </w:rPr>
              <w:t>34</w:t>
            </w:r>
            <w:r>
              <w:rPr>
                <w:rFonts w:hint="eastAsia"/>
                <w:color w:val="auto"/>
                <w:highlight w:val="none"/>
              </w:rPr>
              <w:t>分）</w:t>
            </w: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11</w:t>
            </w:r>
          </w:p>
        </w:tc>
        <w:tc>
          <w:tcPr>
            <w:tcW w:w="7386" w:type="dxa"/>
          </w:tcPr>
          <w:p>
            <w:pPr>
              <w:pStyle w:val="30"/>
              <w:ind w:firstLine="240" w:firstLineChars="100"/>
              <w:jc w:val="left"/>
              <w:rPr>
                <w:rFonts w:hint="eastAsia"/>
                <w:color w:val="auto"/>
                <w:highlight w:val="none"/>
              </w:rPr>
            </w:pPr>
            <w:r>
              <w:rPr>
                <w:rFonts w:hint="eastAsia"/>
                <w:color w:val="auto"/>
                <w:highlight w:val="none"/>
              </w:rPr>
              <w:t>针对本项目有详细、具体、可行的供货方案</w:t>
            </w:r>
            <w:r>
              <w:rPr>
                <w:rFonts w:hint="eastAsia"/>
                <w:color w:val="auto"/>
                <w:highlight w:val="none"/>
                <w:lang w:eastAsia="zh-CN"/>
              </w:rPr>
              <w:t>，</w:t>
            </w:r>
            <w:r>
              <w:rPr>
                <w:rFonts w:hint="eastAsia"/>
                <w:color w:val="auto"/>
                <w:highlight w:val="none"/>
              </w:rPr>
              <w:t>图书质量符合相关法规及标准，承诺出版物为全新的正式出版物、无知识产权纠纷，无盗版。</w:t>
            </w:r>
          </w:p>
          <w:p>
            <w:pPr>
              <w:pStyle w:val="30"/>
              <w:ind w:firstLine="240" w:firstLineChars="100"/>
              <w:jc w:val="left"/>
              <w:rPr>
                <w:rFonts w:hint="eastAsia"/>
                <w:color w:val="auto"/>
                <w:highlight w:val="none"/>
              </w:rPr>
            </w:pPr>
            <w:r>
              <w:rPr>
                <w:rFonts w:hint="eastAsia"/>
                <w:color w:val="auto"/>
                <w:highlight w:val="none"/>
              </w:rPr>
              <w:t>方案详细、具体、可行计</w:t>
            </w:r>
            <w:r>
              <w:rPr>
                <w:rFonts w:hint="eastAsia"/>
                <w:color w:val="auto"/>
                <w:highlight w:val="none"/>
                <w:lang w:val="en-US" w:eastAsia="zh-CN"/>
              </w:rPr>
              <w:t>11</w:t>
            </w:r>
            <w:r>
              <w:rPr>
                <w:rFonts w:hint="eastAsia"/>
                <w:color w:val="auto"/>
                <w:highlight w:val="none"/>
              </w:rPr>
              <w:t>分，方案基本满足采购人需求计</w:t>
            </w:r>
            <w:r>
              <w:rPr>
                <w:rFonts w:hint="eastAsia"/>
                <w:color w:val="auto"/>
                <w:highlight w:val="none"/>
                <w:lang w:val="en-US" w:eastAsia="zh-CN"/>
              </w:rPr>
              <w:t>8</w:t>
            </w:r>
            <w:r>
              <w:rPr>
                <w:rFonts w:hint="eastAsia"/>
                <w:color w:val="auto"/>
                <w:highlight w:val="none"/>
              </w:rPr>
              <w:t>分，方案只提供简要大纲计</w:t>
            </w:r>
            <w:r>
              <w:rPr>
                <w:rFonts w:hint="eastAsia"/>
                <w:color w:val="auto"/>
                <w:highlight w:val="none"/>
                <w:lang w:val="en-US" w:eastAsia="zh-CN"/>
              </w:rPr>
              <w:t>5</w:t>
            </w:r>
            <w:r>
              <w:rPr>
                <w:rFonts w:hint="eastAsia"/>
                <w:color w:val="auto"/>
                <w:highlight w:val="none"/>
              </w:rPr>
              <w:t>分，方案难以满足采购人需求计</w:t>
            </w:r>
            <w:r>
              <w:rPr>
                <w:rFonts w:hint="eastAsia"/>
                <w:color w:val="auto"/>
                <w:highlight w:val="none"/>
                <w:lang w:val="en-US" w:eastAsia="zh-CN"/>
              </w:rPr>
              <w:t>2</w:t>
            </w:r>
            <w:r>
              <w:rPr>
                <w:rFonts w:hint="eastAsia"/>
                <w:color w:val="auto"/>
                <w:highlight w:val="none"/>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15</w:t>
            </w:r>
          </w:p>
        </w:tc>
        <w:tc>
          <w:tcPr>
            <w:tcW w:w="7386" w:type="dxa"/>
          </w:tcPr>
          <w:p>
            <w:pPr>
              <w:pStyle w:val="30"/>
              <w:ind w:firstLine="240" w:firstLineChars="100"/>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针对本项目的订单处理能力及效率，响应内容完善合理、可操作性强，计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投标人有为采购人提供现场集中采购能力，提供相应证明材料，响应内容完善合理、可操作性强</w:t>
            </w:r>
            <w:r>
              <w:rPr>
                <w:rFonts w:hint="eastAsia"/>
                <w:color w:val="auto"/>
                <w:highlight w:val="none"/>
                <w:lang w:eastAsia="zh-CN"/>
              </w:rPr>
              <w:t>、</w:t>
            </w:r>
            <w:r>
              <w:rPr>
                <w:rFonts w:hint="eastAsia"/>
                <w:color w:val="auto"/>
                <w:highlight w:val="none"/>
                <w:lang w:val="en-US" w:eastAsia="zh-CN"/>
              </w:rPr>
              <w:t>证明材料完整充分</w:t>
            </w:r>
            <w:r>
              <w:rPr>
                <w:rFonts w:hint="eastAsia"/>
                <w:color w:val="auto"/>
                <w:highlight w:val="none"/>
              </w:rPr>
              <w:t>，计</w:t>
            </w:r>
            <w:r>
              <w:rPr>
                <w:rFonts w:hint="eastAsia"/>
                <w:color w:val="auto"/>
                <w:highlight w:val="none"/>
                <w:lang w:val="en-US" w:eastAsia="zh-CN"/>
              </w:rPr>
              <w:t>3</w:t>
            </w:r>
            <w:r>
              <w:rPr>
                <w:rFonts w:hint="eastAsia"/>
                <w:color w:val="auto"/>
                <w:highlight w:val="none"/>
              </w:rPr>
              <w:t>分；响应内容较完善合理、可操作性较强</w:t>
            </w:r>
            <w:r>
              <w:rPr>
                <w:rFonts w:hint="eastAsia"/>
                <w:color w:val="auto"/>
                <w:highlight w:val="none"/>
                <w:lang w:eastAsia="zh-CN"/>
              </w:rPr>
              <w:t>、</w:t>
            </w:r>
            <w:r>
              <w:rPr>
                <w:rFonts w:hint="eastAsia"/>
                <w:color w:val="auto"/>
                <w:highlight w:val="none"/>
                <w:lang w:val="en-US" w:eastAsia="zh-CN"/>
              </w:rPr>
              <w:t>有证明材料但存在缺漏项</w:t>
            </w:r>
            <w:r>
              <w:rPr>
                <w:rFonts w:hint="eastAsia"/>
                <w:color w:val="auto"/>
                <w:highlight w:val="none"/>
              </w:rPr>
              <w:t>，计</w:t>
            </w:r>
            <w:r>
              <w:rPr>
                <w:rFonts w:hint="eastAsia"/>
                <w:color w:val="auto"/>
                <w:highlight w:val="none"/>
                <w:lang w:val="en-US" w:eastAsia="zh-CN"/>
              </w:rPr>
              <w:t>2</w:t>
            </w:r>
            <w:r>
              <w:rPr>
                <w:rFonts w:hint="eastAsia"/>
                <w:color w:val="auto"/>
                <w:highlight w:val="none"/>
              </w:rPr>
              <w:t>分；响应内容不完善、可操作性差，</w:t>
            </w:r>
            <w:r>
              <w:rPr>
                <w:rFonts w:hint="eastAsia"/>
                <w:color w:val="auto"/>
                <w:highlight w:val="none"/>
                <w:lang w:val="en-US" w:eastAsia="zh-CN"/>
              </w:rPr>
              <w:t>无证明材料</w:t>
            </w:r>
            <w:r>
              <w:rPr>
                <w:rFonts w:hint="eastAsia"/>
                <w:color w:val="auto"/>
                <w:highlight w:val="none"/>
              </w:rPr>
              <w:t>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根据采购人要求，投标人能够不定期免费安排采购人参加图书现采活动、参加各类书市及订货会，提供相应证明材料，响应内容完善合理、可操作性强</w:t>
            </w:r>
            <w:r>
              <w:rPr>
                <w:rFonts w:hint="eastAsia"/>
                <w:color w:val="auto"/>
                <w:highlight w:val="none"/>
                <w:lang w:eastAsia="zh-CN"/>
              </w:rPr>
              <w:t>、</w:t>
            </w:r>
            <w:r>
              <w:rPr>
                <w:rFonts w:hint="eastAsia"/>
                <w:color w:val="auto"/>
                <w:highlight w:val="none"/>
                <w:lang w:val="en-US" w:eastAsia="zh-CN"/>
              </w:rPr>
              <w:t>证明材料完整充分</w:t>
            </w:r>
            <w:r>
              <w:rPr>
                <w:rFonts w:hint="eastAsia"/>
                <w:color w:val="auto"/>
                <w:highlight w:val="none"/>
              </w:rPr>
              <w:t>，计</w:t>
            </w:r>
            <w:r>
              <w:rPr>
                <w:rFonts w:hint="eastAsia"/>
                <w:color w:val="auto"/>
                <w:highlight w:val="none"/>
                <w:lang w:val="en-US" w:eastAsia="zh-CN"/>
              </w:rPr>
              <w:t>3</w:t>
            </w:r>
            <w:r>
              <w:rPr>
                <w:rFonts w:hint="eastAsia"/>
                <w:color w:val="auto"/>
                <w:highlight w:val="none"/>
              </w:rPr>
              <w:t>分；响应内容较完善合理、可操作性较强</w:t>
            </w:r>
            <w:r>
              <w:rPr>
                <w:rFonts w:hint="eastAsia"/>
                <w:color w:val="auto"/>
                <w:highlight w:val="none"/>
                <w:lang w:eastAsia="zh-CN"/>
              </w:rPr>
              <w:t>、</w:t>
            </w:r>
            <w:r>
              <w:rPr>
                <w:rFonts w:hint="eastAsia"/>
                <w:color w:val="auto"/>
                <w:highlight w:val="none"/>
                <w:lang w:val="en-US" w:eastAsia="zh-CN"/>
              </w:rPr>
              <w:t>有证明材料但存在缺漏项</w:t>
            </w:r>
            <w:r>
              <w:rPr>
                <w:rFonts w:hint="eastAsia"/>
                <w:color w:val="auto"/>
                <w:highlight w:val="none"/>
              </w:rPr>
              <w:t>，计</w:t>
            </w:r>
            <w:r>
              <w:rPr>
                <w:rFonts w:hint="eastAsia"/>
                <w:color w:val="auto"/>
                <w:highlight w:val="none"/>
                <w:lang w:val="en-US" w:eastAsia="zh-CN"/>
              </w:rPr>
              <w:t>2</w:t>
            </w:r>
            <w:r>
              <w:rPr>
                <w:rFonts w:hint="eastAsia"/>
                <w:color w:val="auto"/>
                <w:highlight w:val="none"/>
              </w:rPr>
              <w:t>分；响应内容不完善、可操作性差，</w:t>
            </w:r>
            <w:r>
              <w:rPr>
                <w:rFonts w:hint="eastAsia"/>
                <w:color w:val="auto"/>
                <w:highlight w:val="none"/>
                <w:lang w:val="en-US" w:eastAsia="zh-CN"/>
              </w:rPr>
              <w:t>无证明材料</w:t>
            </w:r>
            <w:r>
              <w:rPr>
                <w:rFonts w:hint="eastAsia"/>
                <w:color w:val="auto"/>
                <w:highlight w:val="none"/>
              </w:rPr>
              <w:t>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jc w:val="left"/>
              <w:rPr>
                <w:rFonts w:hint="eastAsia"/>
                <w:color w:val="auto"/>
                <w:highlight w:val="none"/>
              </w:rPr>
            </w:pPr>
            <w:r>
              <w:rPr>
                <w:rFonts w:hint="eastAsia"/>
                <w:color w:val="auto"/>
                <w:highlight w:val="none"/>
                <w:lang w:val="en-US" w:eastAsia="zh-CN"/>
              </w:rPr>
              <w:t xml:space="preserve"> （4）</w:t>
            </w:r>
            <w:r>
              <w:rPr>
                <w:rFonts w:hint="eastAsia"/>
                <w:color w:val="auto"/>
                <w:highlight w:val="none"/>
              </w:rPr>
              <w:t>能配合采购人做好专题图书的采购，以满足采购人馆藏的特殊需求，响应内容完善合理、可操作性强，计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p>
            <w:pPr>
              <w:pStyle w:val="30"/>
              <w:ind w:firstLine="240" w:firstLineChars="100"/>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投标人每30天向采购人提供一份人文社科类新书书目，且书目质量必须符合招标文件要求，响应内容完善合理、可操作性强，计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color w:val="auto"/>
                <w:highlight w:val="none"/>
                <w:lang w:val="en-US" w:eastAsia="zh-CN"/>
              </w:rPr>
            </w:pPr>
            <w:r>
              <w:rPr>
                <w:rFonts w:hint="eastAsia" w:ascii="宋体" w:hAnsi="宋体" w:eastAsia="宋体" w:cs="宋体"/>
                <w:color w:val="auto"/>
                <w:sz w:val="24"/>
                <w:highlight w:val="none"/>
                <w:lang w:val="en-US" w:eastAsia="zh-CN" w:bidi="ar-SA"/>
              </w:rPr>
              <w:t>5</w:t>
            </w:r>
          </w:p>
        </w:tc>
        <w:tc>
          <w:tcPr>
            <w:tcW w:w="7386" w:type="dxa"/>
            <w:vAlign w:val="center"/>
          </w:tcPr>
          <w:p>
            <w:pPr>
              <w:keepNext w:val="0"/>
              <w:keepLines w:val="0"/>
              <w:pageBreakBefore w:val="0"/>
              <w:widowControl w:val="0"/>
              <w:kinsoku/>
              <w:wordWrap/>
              <w:overflowPunct/>
              <w:topLinePunct w:val="0"/>
              <w:autoSpaceDE/>
              <w:autoSpaceDN/>
              <w:bidi w:val="0"/>
              <w:adjustRightInd/>
              <w:snapToGrid/>
              <w:spacing w:line="410" w:lineRule="exact"/>
              <w:ind w:firstLine="240" w:firstLineChars="100"/>
              <w:jc w:val="left"/>
              <w:textAlignment w:val="auto"/>
              <w:rPr>
                <w:rFonts w:hint="eastAsia"/>
                <w:b/>
                <w:bCs/>
                <w:color w:val="auto"/>
                <w:highlight w:val="none"/>
              </w:rPr>
            </w:pPr>
            <w:r>
              <w:rPr>
                <w:rFonts w:hint="eastAsia" w:ascii="宋体" w:hAnsi="宋体" w:eastAsia="宋体" w:cs="宋体"/>
                <w:color w:val="auto"/>
                <w:sz w:val="24"/>
                <w:highlight w:val="none"/>
                <w:lang w:val="en-US" w:eastAsia="zh-CN" w:bidi="ar-SA"/>
              </w:rPr>
              <w:t>针对本项目的到货率质量，提供详细的服务承诺，</w:t>
            </w:r>
            <w:r>
              <w:rPr>
                <w:rFonts w:hint="eastAsia"/>
                <w:color w:val="auto"/>
                <w:highlight w:val="none"/>
              </w:rPr>
              <w:t>订到率</w:t>
            </w:r>
            <w:r>
              <w:rPr>
                <w:rFonts w:hint="eastAsia" w:ascii="宋体" w:hAnsi="宋体" w:eastAsia="宋体" w:cs="宋体"/>
                <w:color w:val="auto"/>
                <w:sz w:val="24"/>
                <w:highlight w:val="none"/>
                <w:lang w:val="en-US" w:eastAsia="zh-CN" w:bidi="ar-SA"/>
              </w:rPr>
              <w:t>完全满足采购人要求计</w:t>
            </w:r>
            <w:r>
              <w:rPr>
                <w:rFonts w:hint="eastAsia" w:hAnsi="宋体" w:cs="宋体"/>
                <w:color w:val="auto"/>
                <w:sz w:val="24"/>
                <w:highlight w:val="none"/>
                <w:lang w:val="en-US" w:eastAsia="zh-CN" w:bidi="ar-SA"/>
              </w:rPr>
              <w:t>5</w:t>
            </w:r>
            <w:r>
              <w:rPr>
                <w:rFonts w:hint="eastAsia" w:ascii="宋体" w:hAnsi="宋体" w:eastAsia="宋体" w:cs="宋体"/>
                <w:color w:val="auto"/>
                <w:sz w:val="24"/>
                <w:highlight w:val="none"/>
                <w:lang w:val="en-US" w:eastAsia="zh-CN" w:bidi="ar-SA"/>
              </w:rPr>
              <w:t>分；</w:t>
            </w:r>
            <w:r>
              <w:rPr>
                <w:rFonts w:hint="eastAsia"/>
                <w:color w:val="auto"/>
                <w:highlight w:val="none"/>
              </w:rPr>
              <w:t>订到率</w:t>
            </w:r>
            <w:r>
              <w:rPr>
                <w:rFonts w:hint="eastAsia" w:ascii="宋体" w:hAnsi="宋体" w:eastAsia="宋体" w:cs="宋体"/>
                <w:color w:val="auto"/>
                <w:sz w:val="24"/>
                <w:highlight w:val="none"/>
                <w:lang w:val="en-US" w:eastAsia="zh-CN" w:bidi="ar-SA"/>
              </w:rPr>
              <w:t>基本满足采购人需求计</w:t>
            </w:r>
            <w:r>
              <w:rPr>
                <w:rFonts w:hint="eastAsia" w:hAnsi="宋体" w:cs="宋体"/>
                <w:color w:val="auto"/>
                <w:sz w:val="24"/>
                <w:highlight w:val="none"/>
                <w:lang w:val="en-US" w:eastAsia="zh-CN" w:bidi="ar-SA"/>
              </w:rPr>
              <w:t>3</w:t>
            </w:r>
            <w:r>
              <w:rPr>
                <w:rFonts w:hint="eastAsia" w:ascii="宋体" w:hAnsi="宋体" w:eastAsia="宋体" w:cs="宋体"/>
                <w:color w:val="auto"/>
                <w:sz w:val="24"/>
                <w:highlight w:val="none"/>
                <w:lang w:val="en-US" w:eastAsia="zh-CN" w:bidi="ar-SA"/>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color w:val="auto"/>
                <w:highlight w:val="none"/>
                <w:lang w:val="en-US" w:eastAsia="zh-CN"/>
              </w:rPr>
            </w:pPr>
            <w:r>
              <w:rPr>
                <w:rFonts w:hint="eastAsia" w:ascii="宋体" w:hAnsi="宋体" w:eastAsia="宋体" w:cs="宋体"/>
                <w:color w:val="auto"/>
                <w:sz w:val="24"/>
                <w:highlight w:val="none"/>
                <w:lang w:val="en-US" w:eastAsia="zh-CN" w:bidi="ar-SA"/>
              </w:rPr>
              <w:t>3</w:t>
            </w:r>
          </w:p>
        </w:tc>
        <w:tc>
          <w:tcPr>
            <w:tcW w:w="7386" w:type="dxa"/>
            <w:vAlign w:val="center"/>
          </w:tcPr>
          <w:p>
            <w:pPr>
              <w:keepNext w:val="0"/>
              <w:keepLines w:val="0"/>
              <w:pageBreakBefore w:val="0"/>
              <w:widowControl w:val="0"/>
              <w:kinsoku/>
              <w:wordWrap/>
              <w:overflowPunct/>
              <w:topLinePunct w:val="0"/>
              <w:autoSpaceDE/>
              <w:autoSpaceDN/>
              <w:bidi w:val="0"/>
              <w:adjustRightInd/>
              <w:snapToGrid/>
              <w:spacing w:line="410" w:lineRule="exact"/>
              <w:jc w:val="left"/>
              <w:textAlignment w:val="auto"/>
              <w:rPr>
                <w:rFonts w:hint="eastAsia"/>
                <w:b/>
                <w:bCs/>
                <w:color w:val="auto"/>
                <w:highlight w:val="none"/>
              </w:rPr>
            </w:pPr>
            <w:r>
              <w:rPr>
                <w:rFonts w:hint="eastAsia" w:ascii="宋体" w:hAnsi="宋体" w:eastAsia="宋体" w:cs="宋体"/>
                <w:color w:val="auto"/>
                <w:sz w:val="24"/>
                <w:highlight w:val="none"/>
                <w:lang w:val="en-US" w:eastAsia="zh-CN" w:bidi="ar-SA"/>
              </w:rPr>
              <w:t>针对本项目的其他服务质量（如特色增值服务等），提供详细的服务承诺，</w:t>
            </w:r>
            <w:r>
              <w:rPr>
                <w:rFonts w:hint="eastAsia"/>
                <w:color w:val="auto"/>
                <w:highlight w:val="none"/>
              </w:rPr>
              <w:t>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r>
              <w:rPr>
                <w:rFonts w:hint="eastAsia" w:ascii="宋体" w:hAnsi="宋体" w:eastAsia="宋体" w:cs="宋体"/>
                <w:color w:val="auto"/>
                <w:sz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rPr>
            </w:pPr>
            <w:r>
              <w:rPr>
                <w:rFonts w:hint="eastAsia"/>
                <w:color w:val="auto"/>
                <w:highlight w:val="none"/>
              </w:rPr>
              <w:t>履约能力（</w:t>
            </w:r>
            <w:r>
              <w:rPr>
                <w:rFonts w:hint="eastAsia"/>
                <w:color w:val="auto"/>
                <w:highlight w:val="none"/>
                <w:lang w:val="en-US" w:eastAsia="zh-CN"/>
              </w:rPr>
              <w:t>2</w:t>
            </w:r>
            <w:r>
              <w:rPr>
                <w:rFonts w:hint="eastAsia"/>
                <w:color w:val="auto"/>
                <w:highlight w:val="none"/>
              </w:rPr>
              <w:t>分）</w:t>
            </w:r>
          </w:p>
        </w:tc>
        <w:tc>
          <w:tcPr>
            <w:tcW w:w="769" w:type="dxa"/>
            <w:vAlign w:val="center"/>
          </w:tcPr>
          <w:p>
            <w:pPr>
              <w:pStyle w:val="30"/>
              <w:bidi w:val="0"/>
              <w:jc w:val="center"/>
              <w:rPr>
                <w:rFonts w:hint="default" w:eastAsia="宋体"/>
                <w:color w:val="auto"/>
                <w:highlight w:val="none"/>
                <w:lang w:val="en-US" w:eastAsia="zh-CN"/>
              </w:rPr>
            </w:pPr>
            <w:r>
              <w:rPr>
                <w:rFonts w:hint="eastAsia"/>
                <w:color w:val="auto"/>
                <w:highlight w:val="none"/>
                <w:lang w:val="en-US" w:eastAsia="zh-CN"/>
              </w:rPr>
              <w:t>2</w:t>
            </w:r>
          </w:p>
        </w:tc>
        <w:tc>
          <w:tcPr>
            <w:tcW w:w="7386" w:type="dxa"/>
          </w:tcPr>
          <w:p>
            <w:pPr>
              <w:pStyle w:val="30"/>
              <w:ind w:firstLine="240" w:firstLineChars="100"/>
              <w:jc w:val="left"/>
              <w:rPr>
                <w:rFonts w:hint="eastAsia"/>
                <w:b/>
                <w:bCs/>
                <w:color w:val="auto"/>
                <w:highlight w:val="none"/>
              </w:rPr>
            </w:pPr>
            <w:r>
              <w:rPr>
                <w:rFonts w:hint="eastAsia" w:ascii="宋体" w:hAnsi="宋体" w:eastAsia="宋体" w:cs="宋体"/>
                <w:color w:val="auto"/>
                <w:sz w:val="24"/>
                <w:highlight w:val="none"/>
                <w:lang w:val="en-US" w:eastAsia="zh-CN" w:bidi="ar-SA"/>
              </w:rPr>
              <w:t>在本地设有可供采购的经营场所得2分，在本地没有经营场所、但设有办事机构得1分，未提供的不计分。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restart"/>
            <w:vAlign w:val="center"/>
          </w:tcPr>
          <w:p>
            <w:pPr>
              <w:pStyle w:val="30"/>
              <w:bidi w:val="0"/>
              <w:rPr>
                <w:rFonts w:hint="eastAsia"/>
                <w:color w:val="auto"/>
                <w:highlight w:val="none"/>
              </w:rPr>
            </w:pPr>
            <w:r>
              <w:rPr>
                <w:rFonts w:hint="eastAsia"/>
                <w:color w:val="auto"/>
                <w:highlight w:val="none"/>
              </w:rPr>
              <w:t>追补订</w:t>
            </w:r>
          </w:p>
          <w:p>
            <w:pPr>
              <w:pStyle w:val="30"/>
              <w:bidi w:val="0"/>
              <w:rPr>
                <w:rFonts w:hint="eastAsia"/>
                <w:color w:val="auto"/>
                <w:highlight w:val="none"/>
              </w:rPr>
            </w:pPr>
            <w:r>
              <w:rPr>
                <w:rFonts w:hint="eastAsia"/>
                <w:color w:val="auto"/>
                <w:highlight w:val="none"/>
              </w:rPr>
              <w:t>承诺</w:t>
            </w:r>
          </w:p>
          <w:p>
            <w:pPr>
              <w:pStyle w:val="30"/>
              <w:bidi w:val="0"/>
              <w:rPr>
                <w:rFonts w:hint="eastAsia"/>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分）</w:t>
            </w:r>
          </w:p>
        </w:tc>
        <w:tc>
          <w:tcPr>
            <w:tcW w:w="769" w:type="dxa"/>
            <w:vAlign w:val="center"/>
          </w:tcPr>
          <w:p>
            <w:pPr>
              <w:pStyle w:val="30"/>
              <w:bidi w:val="0"/>
              <w:jc w:val="center"/>
              <w:rPr>
                <w:rFonts w:hint="eastAsia" w:eastAsia="宋体"/>
                <w:color w:val="auto"/>
                <w:highlight w:val="none"/>
                <w:lang w:val="en-US" w:eastAsia="zh-CN"/>
              </w:rPr>
            </w:pPr>
            <w:r>
              <w:rPr>
                <w:rFonts w:hint="eastAsia"/>
                <w:color w:val="auto"/>
                <w:highlight w:val="none"/>
                <w:lang w:val="en-US" w:eastAsia="zh-CN"/>
              </w:rPr>
              <w:t>4</w:t>
            </w:r>
          </w:p>
        </w:tc>
        <w:tc>
          <w:tcPr>
            <w:tcW w:w="7386" w:type="dxa"/>
          </w:tcPr>
          <w:p>
            <w:pPr>
              <w:pStyle w:val="30"/>
              <w:ind w:firstLine="240" w:firstLineChars="100"/>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）在投标文件中对追补订图书问题有响应，内容充实，切合实际，符合采购人需求，违约保证严格的计</w:t>
            </w:r>
            <w:r>
              <w:rPr>
                <w:rFonts w:hint="eastAsia"/>
                <w:color w:val="auto"/>
                <w:highlight w:val="none"/>
                <w:lang w:val="en-US" w:eastAsia="zh-CN"/>
              </w:rPr>
              <w:t>4</w:t>
            </w:r>
            <w:r>
              <w:rPr>
                <w:rFonts w:hint="eastAsia"/>
                <w:color w:val="auto"/>
                <w:highlight w:val="none"/>
                <w:lang w:eastAsia="zh-CN"/>
              </w:rPr>
              <w:t>分；有响应的，但内容空泛，方法不切合实际，违约保证避重就轻的计</w:t>
            </w:r>
            <w:r>
              <w:rPr>
                <w:rFonts w:hint="eastAsia"/>
                <w:color w:val="auto"/>
                <w:highlight w:val="none"/>
                <w:lang w:val="en-US" w:eastAsia="zh-CN"/>
              </w:rPr>
              <w:t>2</w:t>
            </w:r>
            <w:r>
              <w:rPr>
                <w:rFonts w:hint="eastAsia"/>
                <w:color w:val="auto"/>
                <w:highlight w:val="none"/>
                <w:lang w:eastAsia="zh-CN"/>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pStyle w:val="30"/>
              <w:bidi w:val="0"/>
              <w:jc w:val="center"/>
              <w:rPr>
                <w:rFonts w:hint="eastAsia" w:eastAsia="宋体"/>
                <w:color w:val="auto"/>
                <w:highlight w:val="none"/>
                <w:lang w:val="en-US" w:eastAsia="zh-CN"/>
              </w:rPr>
            </w:pPr>
            <w:r>
              <w:rPr>
                <w:rFonts w:hint="eastAsia"/>
                <w:color w:val="auto"/>
                <w:highlight w:val="none"/>
                <w:lang w:val="en-US" w:eastAsia="zh-CN"/>
              </w:rPr>
              <w:t>4</w:t>
            </w:r>
          </w:p>
        </w:tc>
        <w:tc>
          <w:tcPr>
            <w:tcW w:w="7386" w:type="dxa"/>
          </w:tcPr>
          <w:p>
            <w:pPr>
              <w:pStyle w:val="30"/>
              <w:numPr>
                <w:ilvl w:val="0"/>
                <w:numId w:val="0"/>
              </w:numPr>
              <w:ind w:firstLine="240" w:firstLineChars="100"/>
              <w:jc w:val="left"/>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图书装订或印刷质量有问题，如缺页、错页、倒装、模糊不清、折页、开线、开胶、污损等，图书种类册数与对应清单不符，投标人应给予调换、补缺或退货，所有调换、补缺或退货所产生的全部费用，由投标人承担，调换、补缺应在接到通知后投标人自行承诺具体工作日的完成时间，投标人均能保证无条件响应。</w:t>
            </w:r>
          </w:p>
          <w:p>
            <w:pPr>
              <w:pStyle w:val="30"/>
              <w:numPr>
                <w:ilvl w:val="0"/>
                <w:numId w:val="0"/>
              </w:numPr>
              <w:ind w:firstLine="240" w:firstLineChars="100"/>
              <w:jc w:val="left"/>
              <w:rPr>
                <w:rFonts w:hint="eastAsia"/>
                <w:color w:val="auto"/>
                <w:highlight w:val="none"/>
              </w:rPr>
            </w:pPr>
            <w:r>
              <w:rPr>
                <w:rFonts w:hint="eastAsia"/>
                <w:color w:val="auto"/>
                <w:highlight w:val="none"/>
                <w:lang w:eastAsia="zh-CN"/>
              </w:rPr>
              <w:t>承诺完整可行计</w:t>
            </w:r>
            <w:r>
              <w:rPr>
                <w:rFonts w:hint="eastAsia"/>
                <w:color w:val="auto"/>
                <w:highlight w:val="none"/>
                <w:lang w:val="en-US" w:eastAsia="zh-CN"/>
              </w:rPr>
              <w:t>4</w:t>
            </w:r>
            <w:r>
              <w:rPr>
                <w:rFonts w:hint="eastAsia"/>
                <w:color w:val="auto"/>
                <w:highlight w:val="none"/>
                <w:lang w:eastAsia="zh-CN"/>
              </w:rPr>
              <w:t>分；承诺内容空泛的计</w:t>
            </w:r>
            <w:r>
              <w:rPr>
                <w:rFonts w:hint="eastAsia"/>
                <w:color w:val="auto"/>
                <w:highlight w:val="none"/>
                <w:lang w:val="en-US" w:eastAsia="zh-CN"/>
              </w:rPr>
              <w:t>2</w:t>
            </w:r>
            <w:r>
              <w:rPr>
                <w:rFonts w:hint="eastAsia"/>
                <w:color w:val="auto"/>
                <w:highlight w:val="none"/>
                <w:lang w:eastAsia="zh-CN"/>
              </w:rPr>
              <w:t>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restart"/>
            <w:vAlign w:val="center"/>
          </w:tcPr>
          <w:p>
            <w:pPr>
              <w:pStyle w:val="30"/>
              <w:bidi w:val="0"/>
              <w:rPr>
                <w:rFonts w:hint="eastAsia"/>
                <w:color w:val="auto"/>
                <w:highlight w:val="none"/>
              </w:rPr>
            </w:pPr>
            <w:r>
              <w:rPr>
                <w:rFonts w:hint="eastAsia"/>
                <w:color w:val="auto"/>
                <w:highlight w:val="none"/>
              </w:rPr>
              <w:t>服务承诺（10分）</w:t>
            </w: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bidi="ar-SA"/>
              </w:rPr>
              <w:t>2</w:t>
            </w:r>
          </w:p>
        </w:tc>
        <w:tc>
          <w:tcPr>
            <w:tcW w:w="7386" w:type="dxa"/>
            <w:vAlign w:val="top"/>
          </w:tcPr>
          <w:p>
            <w:pPr>
              <w:keepNext w:val="0"/>
              <w:keepLines w:val="0"/>
              <w:pageBreakBefore w:val="0"/>
              <w:widowControl w:val="0"/>
              <w:kinsoku/>
              <w:wordWrap/>
              <w:overflowPunct/>
              <w:topLinePunct w:val="0"/>
              <w:autoSpaceDE/>
              <w:autoSpaceDN/>
              <w:bidi w:val="0"/>
              <w:adjustRightInd/>
              <w:snapToGrid/>
              <w:spacing w:line="410" w:lineRule="exact"/>
              <w:ind w:firstLine="240" w:firstLineChars="100"/>
              <w:jc w:val="left"/>
              <w:textAlignment w:val="auto"/>
              <w:rPr>
                <w:rFonts w:hint="eastAsia" w:ascii="宋体" w:hAnsi="宋体" w:eastAsia="宋体" w:cs="宋体"/>
                <w:color w:val="auto"/>
                <w:sz w:val="24"/>
                <w:highlight w:val="none"/>
                <w:lang w:val="en-US" w:eastAsia="zh-CN" w:bidi="ar-SA"/>
              </w:rPr>
            </w:pPr>
            <w:r>
              <w:rPr>
                <w:rFonts w:hint="eastAsia" w:hAnsi="宋体" w:cs="宋体"/>
                <w:color w:val="auto"/>
                <w:sz w:val="24"/>
                <w:highlight w:val="none"/>
                <w:lang w:val="en-US" w:eastAsia="zh-CN" w:bidi="ar-SA"/>
              </w:rPr>
              <w:t>（1）</w:t>
            </w:r>
            <w:r>
              <w:rPr>
                <w:rFonts w:hint="eastAsia" w:ascii="宋体" w:hAnsi="宋体" w:eastAsia="宋体" w:cs="宋体"/>
                <w:color w:val="auto"/>
                <w:sz w:val="24"/>
                <w:highlight w:val="none"/>
                <w:lang w:val="en-US" w:eastAsia="zh-CN" w:bidi="ar-SA"/>
              </w:rPr>
              <w:t>投标人承诺针对本项目能够及时提供规范的Marc数据，</w:t>
            </w:r>
            <w:r>
              <w:rPr>
                <w:rFonts w:hint="eastAsia"/>
                <w:color w:val="auto"/>
                <w:highlight w:val="none"/>
              </w:rPr>
              <w:t>响应内容完善合理、可操作性强，计</w:t>
            </w:r>
            <w:r>
              <w:rPr>
                <w:rFonts w:hint="eastAsia"/>
                <w:color w:val="auto"/>
                <w:highlight w:val="none"/>
                <w:lang w:val="en-US" w:eastAsia="zh-CN"/>
              </w:rPr>
              <w:t>2</w:t>
            </w:r>
            <w:r>
              <w:rPr>
                <w:rFonts w:hint="eastAsia"/>
                <w:color w:val="auto"/>
                <w:highlight w:val="none"/>
              </w:rPr>
              <w:t>分；响应内容较完善合理、可操作性较强，计</w:t>
            </w:r>
            <w:r>
              <w:rPr>
                <w:rFonts w:hint="eastAsia"/>
                <w:color w:val="auto"/>
                <w:highlight w:val="none"/>
                <w:lang w:val="en-US" w:eastAsia="zh-CN"/>
              </w:rPr>
              <w:t>1</w:t>
            </w:r>
            <w:r>
              <w:rPr>
                <w:rFonts w:hint="eastAsia"/>
                <w:color w:val="auto"/>
                <w:highlight w:val="none"/>
              </w:rPr>
              <w:t>分；响应内容不完善、可操作性差，计</w:t>
            </w:r>
            <w:r>
              <w:rPr>
                <w:rFonts w:hint="eastAsia"/>
                <w:color w:val="auto"/>
                <w:highlight w:val="none"/>
                <w:lang w:val="en-US" w:eastAsia="zh-CN"/>
              </w:rPr>
              <w:t>0.5</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r>
              <w:rPr>
                <w:rFonts w:hint="eastAsia" w:ascii="宋体" w:hAnsi="宋体" w:eastAsia="宋体" w:cs="宋体"/>
                <w:color w:val="auto"/>
                <w:sz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bidi="ar-SA"/>
              </w:rPr>
              <w:t>3</w:t>
            </w:r>
          </w:p>
        </w:tc>
        <w:tc>
          <w:tcPr>
            <w:tcW w:w="7386" w:type="dxa"/>
            <w:vAlign w:val="top"/>
          </w:tcPr>
          <w:p>
            <w:pPr>
              <w:keepNext w:val="0"/>
              <w:keepLines w:val="0"/>
              <w:pageBreakBefore w:val="0"/>
              <w:widowControl w:val="0"/>
              <w:kinsoku/>
              <w:wordWrap/>
              <w:overflowPunct/>
              <w:topLinePunct w:val="0"/>
              <w:autoSpaceDE/>
              <w:autoSpaceDN/>
              <w:bidi w:val="0"/>
              <w:adjustRightInd/>
              <w:snapToGrid/>
              <w:spacing w:line="410" w:lineRule="exact"/>
              <w:ind w:firstLine="240" w:firstLineChars="100"/>
              <w:jc w:val="left"/>
              <w:textAlignment w:val="auto"/>
              <w:rPr>
                <w:rFonts w:hint="eastAsia" w:ascii="宋体" w:hAnsi="宋体" w:eastAsia="宋体" w:cs="宋体"/>
                <w:color w:val="auto"/>
                <w:sz w:val="24"/>
                <w:highlight w:val="none"/>
                <w:lang w:val="en-US" w:eastAsia="zh-CN" w:bidi="ar-SA"/>
              </w:rPr>
            </w:pPr>
            <w:r>
              <w:rPr>
                <w:rFonts w:hint="eastAsia" w:hAnsi="宋体" w:cs="宋体"/>
                <w:color w:val="auto"/>
                <w:sz w:val="24"/>
                <w:highlight w:val="none"/>
                <w:lang w:val="en-US" w:eastAsia="zh-CN" w:bidi="ar-SA"/>
              </w:rPr>
              <w:t>（2）</w:t>
            </w:r>
            <w:r>
              <w:rPr>
                <w:rFonts w:hint="eastAsia" w:ascii="宋体" w:hAnsi="宋体" w:eastAsia="宋体" w:cs="宋体"/>
                <w:color w:val="auto"/>
                <w:sz w:val="24"/>
                <w:highlight w:val="none"/>
                <w:lang w:val="en-US" w:eastAsia="zh-CN" w:bidi="ar-SA"/>
              </w:rPr>
              <w:t>投标人承诺能根据采购人指定的时间和要求对所购图书免费提供加工编目工作，</w:t>
            </w:r>
            <w:r>
              <w:rPr>
                <w:rFonts w:hint="eastAsia"/>
                <w:color w:val="auto"/>
                <w:highlight w:val="none"/>
              </w:rPr>
              <w:t>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r>
              <w:rPr>
                <w:rFonts w:hint="eastAsia" w:ascii="宋体" w:hAnsi="宋体" w:eastAsia="宋体" w:cs="宋体"/>
                <w:color w:val="auto"/>
                <w:sz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bidi="ar-SA"/>
              </w:rPr>
              <w:t>3</w:t>
            </w:r>
          </w:p>
        </w:tc>
        <w:tc>
          <w:tcPr>
            <w:tcW w:w="7386" w:type="dxa"/>
            <w:vAlign w:val="top"/>
          </w:tcPr>
          <w:p>
            <w:pPr>
              <w:keepNext w:val="0"/>
              <w:keepLines w:val="0"/>
              <w:pageBreakBefore w:val="0"/>
              <w:widowControl w:val="0"/>
              <w:kinsoku/>
              <w:wordWrap/>
              <w:overflowPunct/>
              <w:topLinePunct w:val="0"/>
              <w:autoSpaceDE/>
              <w:autoSpaceDN/>
              <w:bidi w:val="0"/>
              <w:adjustRightInd/>
              <w:snapToGrid/>
              <w:spacing w:line="410" w:lineRule="exact"/>
              <w:ind w:firstLine="240" w:firstLineChars="100"/>
              <w:jc w:val="left"/>
              <w:textAlignment w:val="auto"/>
              <w:rPr>
                <w:rFonts w:hint="eastAsia" w:ascii="宋体" w:hAnsi="宋体" w:eastAsia="宋体" w:cs="宋体"/>
                <w:color w:val="auto"/>
                <w:sz w:val="24"/>
                <w:highlight w:val="none"/>
                <w:lang w:val="en-US" w:eastAsia="zh-CN" w:bidi="ar-SA"/>
              </w:rPr>
            </w:pPr>
            <w:r>
              <w:rPr>
                <w:rFonts w:hint="eastAsia" w:hAnsi="宋体" w:cs="宋体"/>
                <w:color w:val="auto"/>
                <w:sz w:val="24"/>
                <w:highlight w:val="none"/>
                <w:lang w:val="en-US" w:eastAsia="zh-CN" w:bidi="ar-SA"/>
              </w:rPr>
              <w:t>（3）</w:t>
            </w:r>
            <w:r>
              <w:rPr>
                <w:rFonts w:hint="eastAsia" w:ascii="宋体" w:hAnsi="宋体" w:eastAsia="宋体" w:cs="宋体"/>
                <w:color w:val="auto"/>
                <w:sz w:val="24"/>
                <w:highlight w:val="none"/>
                <w:lang w:val="en-US" w:eastAsia="zh-CN" w:bidi="ar-SA"/>
              </w:rPr>
              <w:t>已加工的图书，一经发现有质量问题，能在5天内予以退换，</w:t>
            </w:r>
            <w:r>
              <w:rPr>
                <w:rFonts w:hint="eastAsia"/>
                <w:color w:val="auto"/>
                <w:highlight w:val="none"/>
              </w:rPr>
              <w:t>响应内容完善合理、可操作性强，计</w:t>
            </w:r>
            <w:r>
              <w:rPr>
                <w:rFonts w:hint="eastAsia"/>
                <w:color w:val="auto"/>
                <w:highlight w:val="none"/>
                <w:lang w:val="en-US" w:eastAsia="zh-CN"/>
              </w:rPr>
              <w:t>3</w:t>
            </w:r>
            <w:r>
              <w:rPr>
                <w:rFonts w:hint="eastAsia"/>
                <w:color w:val="auto"/>
                <w:highlight w:val="none"/>
              </w:rPr>
              <w:t>分；响应内容较完善合理、可操作性较强，计</w:t>
            </w:r>
            <w:r>
              <w:rPr>
                <w:rFonts w:hint="eastAsia"/>
                <w:color w:val="auto"/>
                <w:highlight w:val="none"/>
                <w:lang w:val="en-US" w:eastAsia="zh-CN"/>
              </w:rPr>
              <w:t>2</w:t>
            </w:r>
            <w:r>
              <w:rPr>
                <w:rFonts w:hint="eastAsia"/>
                <w:color w:val="auto"/>
                <w:highlight w:val="none"/>
              </w:rPr>
              <w:t>分；响应内容不完善、可操作性差，计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r>
              <w:rPr>
                <w:rFonts w:hint="eastAsia" w:ascii="宋体" w:hAnsi="宋体" w:eastAsia="宋体" w:cs="宋体"/>
                <w:color w:val="auto"/>
                <w:sz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Merge w:val="continue"/>
            <w:vAlign w:val="center"/>
          </w:tcPr>
          <w:p>
            <w:pPr>
              <w:pStyle w:val="30"/>
              <w:bidi w:val="0"/>
              <w:rPr>
                <w:rFonts w:hint="eastAsia"/>
                <w:color w:val="auto"/>
                <w:highlight w:val="none"/>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bidi="ar-SA"/>
              </w:rPr>
              <w:t>2</w:t>
            </w:r>
          </w:p>
        </w:tc>
        <w:tc>
          <w:tcPr>
            <w:tcW w:w="7386" w:type="dxa"/>
            <w:vAlign w:val="top"/>
          </w:tcPr>
          <w:p>
            <w:pPr>
              <w:keepNext w:val="0"/>
              <w:keepLines w:val="0"/>
              <w:pageBreakBefore w:val="0"/>
              <w:widowControl w:val="0"/>
              <w:kinsoku/>
              <w:wordWrap/>
              <w:overflowPunct/>
              <w:topLinePunct w:val="0"/>
              <w:autoSpaceDE/>
              <w:autoSpaceDN/>
              <w:bidi w:val="0"/>
              <w:adjustRightInd/>
              <w:snapToGrid/>
              <w:spacing w:line="410" w:lineRule="exact"/>
              <w:ind w:firstLine="240" w:firstLineChars="100"/>
              <w:jc w:val="left"/>
              <w:textAlignment w:val="auto"/>
              <w:rPr>
                <w:rFonts w:hint="eastAsia" w:ascii="宋体" w:hAnsi="宋体" w:eastAsia="宋体" w:cs="宋体"/>
                <w:color w:val="auto"/>
                <w:sz w:val="24"/>
                <w:highlight w:val="none"/>
                <w:lang w:val="en-US" w:eastAsia="zh-CN" w:bidi="ar-SA"/>
              </w:rPr>
            </w:pPr>
            <w:r>
              <w:rPr>
                <w:rFonts w:hint="eastAsia" w:hAnsi="宋体" w:cs="宋体"/>
                <w:color w:val="auto"/>
                <w:sz w:val="24"/>
                <w:highlight w:val="none"/>
                <w:lang w:val="en-US" w:eastAsia="zh-CN" w:bidi="ar-SA"/>
              </w:rPr>
              <w:t>（4）</w:t>
            </w:r>
            <w:r>
              <w:rPr>
                <w:rFonts w:hint="eastAsia" w:ascii="宋体" w:hAnsi="宋体" w:eastAsia="宋体" w:cs="宋体"/>
                <w:color w:val="auto"/>
                <w:sz w:val="24"/>
                <w:highlight w:val="none"/>
                <w:lang w:val="en-US" w:eastAsia="zh-CN" w:bidi="ar-SA"/>
              </w:rPr>
              <w:t>投标人承诺能够根据采购人要求及时有效地提供在网络上销售的图书，并按成交折扣结算，</w:t>
            </w:r>
            <w:r>
              <w:rPr>
                <w:rFonts w:hint="eastAsia"/>
                <w:color w:val="auto"/>
                <w:highlight w:val="none"/>
              </w:rPr>
              <w:t>响应内容完善合理、可操作性强，计</w:t>
            </w:r>
            <w:r>
              <w:rPr>
                <w:rFonts w:hint="eastAsia"/>
                <w:color w:val="auto"/>
                <w:highlight w:val="none"/>
                <w:lang w:val="en-US" w:eastAsia="zh-CN"/>
              </w:rPr>
              <w:t>2</w:t>
            </w:r>
            <w:r>
              <w:rPr>
                <w:rFonts w:hint="eastAsia"/>
                <w:color w:val="auto"/>
                <w:highlight w:val="none"/>
              </w:rPr>
              <w:t>分；响应内容较完善合理、可操作性较强，计</w:t>
            </w:r>
            <w:r>
              <w:rPr>
                <w:rFonts w:hint="eastAsia"/>
                <w:color w:val="auto"/>
                <w:highlight w:val="none"/>
                <w:lang w:val="en-US" w:eastAsia="zh-CN"/>
              </w:rPr>
              <w:t>1</w:t>
            </w:r>
            <w:r>
              <w:rPr>
                <w:rFonts w:hint="eastAsia"/>
                <w:color w:val="auto"/>
                <w:highlight w:val="none"/>
              </w:rPr>
              <w:t>分；响应内容不完善、可操作性差，计</w:t>
            </w:r>
            <w:r>
              <w:rPr>
                <w:rFonts w:hint="eastAsia"/>
                <w:color w:val="auto"/>
                <w:highlight w:val="none"/>
                <w:lang w:val="en-US" w:eastAsia="zh-CN"/>
              </w:rPr>
              <w:t>0.5</w:t>
            </w:r>
            <w:r>
              <w:rPr>
                <w:rFonts w:hint="eastAsia"/>
                <w:color w:val="auto"/>
                <w:highlight w:val="none"/>
              </w:rPr>
              <w:t>分</w:t>
            </w:r>
            <w:r>
              <w:rPr>
                <w:rFonts w:hint="eastAsia"/>
                <w:color w:val="auto"/>
                <w:highlight w:val="none"/>
                <w:lang w:eastAsia="zh-CN"/>
              </w:rPr>
              <w:t>；</w:t>
            </w:r>
            <w:r>
              <w:rPr>
                <w:rFonts w:hint="eastAsia"/>
                <w:color w:val="auto"/>
                <w:highlight w:val="none"/>
              </w:rPr>
              <w:t>未提供的不计分</w:t>
            </w:r>
            <w:r>
              <w:rPr>
                <w:rFonts w:hint="eastAsia" w:ascii="宋体" w:hAnsi="宋体" w:eastAsia="宋体" w:cs="宋体"/>
                <w:color w:val="auto"/>
                <w:sz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lang w:val="en-US" w:eastAsia="zh-CN"/>
              </w:rPr>
            </w:pPr>
            <w:r>
              <w:rPr>
                <w:rFonts w:hint="eastAsia"/>
                <w:color w:val="auto"/>
                <w:highlight w:val="none"/>
                <w:lang w:val="en-US" w:eastAsia="zh-CN"/>
              </w:rPr>
              <w:t>业绩</w:t>
            </w:r>
          </w:p>
          <w:p>
            <w:pPr>
              <w:pStyle w:val="30"/>
              <w:bidi w:val="0"/>
              <w:rPr>
                <w:rFonts w:hint="eastAsia"/>
                <w:color w:val="auto"/>
                <w:highlight w:val="none"/>
                <w:lang w:val="en-US" w:eastAsia="zh-CN"/>
              </w:rPr>
            </w:pPr>
            <w:r>
              <w:rPr>
                <w:rFonts w:hint="eastAsia"/>
                <w:color w:val="auto"/>
                <w:highlight w:val="none"/>
                <w:lang w:val="en-US" w:eastAsia="zh-CN"/>
              </w:rPr>
              <w:t>（14分）</w:t>
            </w:r>
          </w:p>
        </w:tc>
        <w:tc>
          <w:tcPr>
            <w:tcW w:w="769" w:type="dxa"/>
            <w:vAlign w:val="center"/>
          </w:tcPr>
          <w:p>
            <w:pPr>
              <w:pStyle w:val="30"/>
              <w:bidi w:val="0"/>
              <w:jc w:val="center"/>
              <w:rPr>
                <w:rFonts w:hint="default"/>
                <w:color w:val="auto"/>
                <w:highlight w:val="none"/>
                <w:lang w:val="en-US" w:eastAsia="zh-CN"/>
              </w:rPr>
            </w:pPr>
            <w:r>
              <w:rPr>
                <w:rFonts w:hint="eastAsia"/>
                <w:color w:val="auto"/>
                <w:highlight w:val="none"/>
                <w:lang w:val="en-US" w:eastAsia="zh-CN"/>
              </w:rPr>
              <w:t>14</w:t>
            </w:r>
          </w:p>
        </w:tc>
        <w:tc>
          <w:tcPr>
            <w:tcW w:w="7386" w:type="dxa"/>
          </w:tcPr>
          <w:p>
            <w:pPr>
              <w:keepNext w:val="0"/>
              <w:keepLines w:val="0"/>
              <w:pageBreakBefore w:val="0"/>
              <w:widowControl w:val="0"/>
              <w:kinsoku/>
              <w:wordWrap/>
              <w:overflowPunct/>
              <w:topLinePunct w:val="0"/>
              <w:autoSpaceDE/>
              <w:autoSpaceDN/>
              <w:bidi w:val="0"/>
              <w:adjustRightInd/>
              <w:snapToGrid/>
              <w:spacing w:line="410" w:lineRule="exact"/>
              <w:ind w:firstLine="240" w:firstLineChars="100"/>
              <w:jc w:val="left"/>
              <w:textAlignment w:val="auto"/>
              <w:rPr>
                <w:rFonts w:hint="default"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bidi="ar-SA"/>
              </w:rPr>
              <w:t>提供投标人2017年1月1日至今同类项目合同（以合同签订日期为准），每提供1个得1分，满分14分。</w:t>
            </w:r>
          </w:p>
          <w:p>
            <w:pPr>
              <w:pStyle w:val="30"/>
              <w:jc w:val="left"/>
              <w:rPr>
                <w:rFonts w:hint="eastAsia"/>
                <w:b/>
                <w:bCs/>
                <w:color w:val="auto"/>
                <w:highlight w:val="none"/>
              </w:rPr>
            </w:pPr>
            <w:bookmarkStart w:id="317" w:name="_GoBack"/>
            <w:r>
              <w:rPr>
                <w:rFonts w:hint="eastAsia" w:ascii="宋体" w:hAnsi="宋体" w:eastAsia="宋体" w:cs="宋体"/>
                <w:b/>
                <w:bCs/>
                <w:color w:val="auto"/>
                <w:sz w:val="24"/>
                <w:highlight w:val="none"/>
                <w:lang w:val="en-US" w:eastAsia="zh-CN" w:bidi="ar-SA"/>
              </w:rPr>
              <w:t>注：投标文件正副本中提供合同复印件加盖公章。</w:t>
            </w:r>
            <w:bookmarkEnd w:id="3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vAlign w:val="center"/>
          </w:tcPr>
          <w:p>
            <w:pPr>
              <w:pStyle w:val="30"/>
              <w:bidi w:val="0"/>
              <w:rPr>
                <w:rFonts w:hint="eastAsia"/>
                <w:color w:val="auto"/>
                <w:highlight w:val="none"/>
              </w:rPr>
            </w:pPr>
            <w:r>
              <w:rPr>
                <w:rFonts w:hint="eastAsia"/>
                <w:color w:val="auto"/>
                <w:highlight w:val="none"/>
              </w:rPr>
              <w:t>文件编制</w:t>
            </w:r>
          </w:p>
          <w:p>
            <w:pPr>
              <w:pStyle w:val="30"/>
              <w:bidi w:val="0"/>
              <w:rPr>
                <w:rFonts w:hint="eastAsia"/>
                <w:color w:val="auto"/>
                <w:highlight w:val="none"/>
              </w:rPr>
            </w:pPr>
            <w:r>
              <w:rPr>
                <w:rFonts w:hint="eastAsia"/>
                <w:color w:val="auto"/>
                <w:highlight w:val="none"/>
              </w:rPr>
              <w:t>（2分）</w:t>
            </w:r>
          </w:p>
        </w:tc>
        <w:tc>
          <w:tcPr>
            <w:tcW w:w="769" w:type="dxa"/>
            <w:vAlign w:val="center"/>
          </w:tcPr>
          <w:p>
            <w:pPr>
              <w:pStyle w:val="30"/>
              <w:bidi w:val="0"/>
              <w:rPr>
                <w:rFonts w:hint="eastAsia" w:eastAsia="宋体"/>
                <w:color w:val="auto"/>
                <w:highlight w:val="none"/>
                <w:lang w:val="en-US" w:eastAsia="zh-CN"/>
              </w:rPr>
            </w:pPr>
            <w:r>
              <w:rPr>
                <w:rFonts w:hint="eastAsia"/>
                <w:color w:val="auto"/>
                <w:highlight w:val="none"/>
                <w:lang w:val="en-US" w:eastAsia="zh-CN"/>
              </w:rPr>
              <w:t>2</w:t>
            </w:r>
          </w:p>
        </w:tc>
        <w:tc>
          <w:tcPr>
            <w:tcW w:w="7386" w:type="dxa"/>
            <w:vAlign w:val="center"/>
          </w:tcPr>
          <w:p>
            <w:pPr>
              <w:spacing w:line="360" w:lineRule="exact"/>
              <w:ind w:firstLine="240" w:firstLineChars="100"/>
              <w:jc w:val="both"/>
              <w:rPr>
                <w:rFonts w:hint="eastAsia"/>
                <w:color w:val="auto"/>
                <w:highlight w:val="none"/>
                <w:lang w:eastAsia="zh-CN"/>
              </w:rPr>
            </w:pPr>
            <w:r>
              <w:rPr>
                <w:rFonts w:hint="eastAsia" w:hAnsi="宋体" w:cs="宋体"/>
                <w:color w:val="auto"/>
                <w:sz w:val="24"/>
                <w:highlight w:val="none"/>
                <w:lang w:val="en-US" w:eastAsia="zh-CN" w:bidi="ar-SA"/>
              </w:rPr>
              <w:t>投标文件</w:t>
            </w:r>
            <w:r>
              <w:rPr>
                <w:rFonts w:hint="eastAsia" w:ascii="宋体" w:hAnsi="宋体" w:eastAsia="宋体" w:cs="宋体"/>
                <w:color w:val="auto"/>
                <w:sz w:val="24"/>
                <w:highlight w:val="none"/>
                <w:lang w:val="en-US" w:eastAsia="zh-CN" w:bidi="ar-SA"/>
              </w:rPr>
              <w:t>编制规范，</w:t>
            </w:r>
            <w:r>
              <w:rPr>
                <w:rFonts w:hint="eastAsia" w:hAnsi="宋体" w:cs="宋体"/>
                <w:color w:val="auto"/>
                <w:sz w:val="24"/>
                <w:highlight w:val="none"/>
                <w:lang w:val="en-US" w:eastAsia="zh-CN" w:bidi="ar-SA"/>
              </w:rPr>
              <w:t>投标文件</w:t>
            </w:r>
            <w:r>
              <w:rPr>
                <w:rFonts w:hint="eastAsia" w:ascii="宋体" w:hAnsi="宋体" w:eastAsia="宋体" w:cs="宋体"/>
                <w:color w:val="auto"/>
                <w:sz w:val="24"/>
                <w:highlight w:val="none"/>
                <w:lang w:val="en-US" w:eastAsia="zh-CN" w:bidi="ar-SA"/>
              </w:rPr>
              <w:t>封面标注正本或副本、双面打印、目录完整、页码准确，有一项未满足扣0.5分，扣完为止。</w:t>
            </w:r>
          </w:p>
        </w:tc>
      </w:tr>
    </w:tbl>
    <w:p>
      <w:pPr>
        <w:pStyle w:val="5"/>
        <w:rPr>
          <w:rFonts w:hint="eastAsia"/>
          <w:color w:val="auto"/>
          <w:highlight w:val="none"/>
          <w:lang w:eastAsia="zh-CN"/>
        </w:rPr>
      </w:pPr>
    </w:p>
    <w:p>
      <w:pPr>
        <w:pStyle w:val="3"/>
        <w:bidi w:val="0"/>
        <w:rPr>
          <w:rStyle w:val="26"/>
          <w:b/>
          <w:color w:val="auto"/>
          <w:highlight w:val="none"/>
        </w:rPr>
      </w:pPr>
      <w:bookmarkStart w:id="169" w:name="_Toc26074"/>
      <w:bookmarkStart w:id="170" w:name="_Toc22000"/>
      <w:r>
        <w:rPr>
          <w:rStyle w:val="26"/>
          <w:rFonts w:hint="eastAsia"/>
          <w:b/>
          <w:color w:val="auto"/>
          <w:highlight w:val="none"/>
        </w:rPr>
        <w:t>第六章  投标文件构成及格式</w:t>
      </w:r>
      <w:bookmarkEnd w:id="164"/>
      <w:bookmarkEnd w:id="165"/>
      <w:bookmarkEnd w:id="166"/>
      <w:bookmarkEnd w:id="167"/>
      <w:bookmarkEnd w:id="168"/>
      <w:bookmarkEnd w:id="169"/>
      <w:bookmarkEnd w:id="170"/>
    </w:p>
    <w:p>
      <w:pPr>
        <w:rPr>
          <w:rFonts w:hAnsi="宋体" w:cs="宋体"/>
          <w:color w:val="auto"/>
          <w:highlight w:val="none"/>
        </w:rPr>
      </w:pPr>
    </w:p>
    <w:p>
      <w:pPr>
        <w:rPr>
          <w:rFonts w:hint="default" w:hAnsi="宋体" w:eastAsia="宋体" w:cs="宋体"/>
          <w:b/>
          <w:color w:val="auto"/>
          <w:sz w:val="32"/>
          <w:szCs w:val="32"/>
          <w:highlight w:val="none"/>
          <w:lang w:val="en-US" w:eastAsia="zh-CN"/>
        </w:rPr>
      </w:pPr>
      <w:r>
        <w:rPr>
          <w:rFonts w:hint="eastAsia" w:hAnsi="宋体" w:cs="宋体"/>
          <w:b/>
          <w:color w:val="auto"/>
          <w:sz w:val="32"/>
          <w:szCs w:val="32"/>
          <w:highlight w:val="none"/>
        </w:rPr>
        <w:t>项目编号：</w:t>
      </w:r>
      <w:r>
        <w:rPr>
          <w:rFonts w:hint="eastAsia" w:hAnsi="宋体" w:cs="宋体"/>
          <w:b/>
          <w:color w:val="auto"/>
          <w:sz w:val="32"/>
          <w:szCs w:val="32"/>
          <w:highlight w:val="none"/>
          <w:lang w:eastAsia="zh-CN"/>
        </w:rPr>
        <w:t>ZHZB-2022-GK-12112</w:t>
      </w:r>
      <w:r>
        <w:rPr>
          <w:rFonts w:hint="eastAsia" w:hAnsi="宋体" w:cs="宋体"/>
          <w:b/>
          <w:color w:val="auto"/>
          <w:sz w:val="32"/>
          <w:szCs w:val="32"/>
          <w:highlight w:val="none"/>
          <w:lang w:val="en-US" w:eastAsia="zh-CN"/>
        </w:rPr>
        <w:t>-</w:t>
      </w:r>
      <w:r>
        <w:rPr>
          <w:rFonts w:hint="eastAsia" w:hAnsi="宋体" w:cs="宋体"/>
          <w:b/>
          <w:color w:val="auto"/>
          <w:sz w:val="32"/>
          <w:szCs w:val="32"/>
          <w:highlight w:val="none"/>
          <w:u w:val="single"/>
          <w:lang w:val="en-US" w:eastAsia="zh-CN"/>
        </w:rPr>
        <w:t>（合同包：  ）</w:t>
      </w:r>
    </w:p>
    <w:p>
      <w:pPr>
        <w:jc w:val="right"/>
        <w:rPr>
          <w:rFonts w:hAnsi="宋体" w:cs="宋体"/>
          <w:b/>
          <w:color w:val="auto"/>
          <w:sz w:val="32"/>
          <w:szCs w:val="32"/>
          <w:highlight w:val="none"/>
        </w:rPr>
      </w:pPr>
      <w:r>
        <w:rPr>
          <w:rFonts w:hint="eastAsia" w:hAnsi="宋体" w:cs="宋体"/>
          <w:b/>
          <w:color w:val="auto"/>
          <w:sz w:val="32"/>
          <w:szCs w:val="32"/>
          <w:highlight w:val="none"/>
        </w:rPr>
        <w:t>（正本或副本）</w:t>
      </w:r>
    </w:p>
    <w:p>
      <w:pPr>
        <w:pStyle w:val="11"/>
        <w:rPr>
          <w:color w:val="auto"/>
          <w:highlight w:val="none"/>
        </w:rPr>
      </w:pPr>
    </w:p>
    <w:p>
      <w:pPr>
        <w:jc w:val="center"/>
        <w:rPr>
          <w:rFonts w:hAnsi="宋体" w:cs="宋体"/>
          <w:b/>
          <w:color w:val="auto"/>
          <w:sz w:val="48"/>
          <w:szCs w:val="48"/>
          <w:highlight w:val="none"/>
        </w:rPr>
      </w:pPr>
    </w:p>
    <w:p>
      <w:pPr>
        <w:pStyle w:val="11"/>
        <w:jc w:val="center"/>
        <w:rPr>
          <w:rFonts w:hint="eastAsia" w:hAnsi="宋体" w:cs="宋体"/>
          <w:b/>
          <w:color w:val="auto"/>
          <w:sz w:val="44"/>
          <w:szCs w:val="44"/>
          <w:highlight w:val="none"/>
          <w:lang w:eastAsia="zh-CN"/>
        </w:rPr>
      </w:pPr>
      <w:r>
        <w:rPr>
          <w:rFonts w:hint="eastAsia" w:hAnsi="宋体" w:cs="宋体"/>
          <w:b/>
          <w:color w:val="auto"/>
          <w:sz w:val="44"/>
          <w:szCs w:val="44"/>
          <w:highlight w:val="none"/>
          <w:lang w:eastAsia="zh-CN"/>
        </w:rPr>
        <w:t>西安美术学院2023年图书采购项目</w:t>
      </w:r>
    </w:p>
    <w:p>
      <w:pPr>
        <w:rPr>
          <w:rFonts w:hAnsi="宋体" w:cs="宋体"/>
          <w:b/>
          <w:color w:val="auto"/>
          <w:sz w:val="48"/>
          <w:szCs w:val="48"/>
          <w:highlight w:val="none"/>
        </w:rPr>
      </w:pPr>
    </w:p>
    <w:p>
      <w:pPr>
        <w:pStyle w:val="19"/>
        <w:rPr>
          <w:color w:val="auto"/>
          <w:highlight w:val="none"/>
        </w:rPr>
      </w:pPr>
    </w:p>
    <w:p>
      <w:pPr>
        <w:jc w:val="center"/>
        <w:rPr>
          <w:rFonts w:hAnsi="宋体" w:cs="宋体"/>
          <w:b/>
          <w:color w:val="auto"/>
          <w:sz w:val="72"/>
          <w:szCs w:val="72"/>
          <w:highlight w:val="none"/>
        </w:rPr>
      </w:pPr>
      <w:r>
        <w:rPr>
          <w:rFonts w:hint="eastAsia" w:hAnsi="宋体" w:cs="宋体"/>
          <w:b/>
          <w:color w:val="auto"/>
          <w:sz w:val="72"/>
          <w:szCs w:val="72"/>
          <w:highlight w:val="none"/>
        </w:rPr>
        <w:t>投 标 文 件</w:t>
      </w:r>
    </w:p>
    <w:p>
      <w:pPr>
        <w:jc w:val="center"/>
        <w:rPr>
          <w:rFonts w:hAnsi="宋体" w:cs="宋体"/>
          <w:b/>
          <w:color w:val="auto"/>
          <w:sz w:val="72"/>
          <w:szCs w:val="72"/>
          <w:highlight w:val="none"/>
        </w:rPr>
      </w:pPr>
    </w:p>
    <w:p>
      <w:pPr>
        <w:pStyle w:val="11"/>
        <w:rPr>
          <w:color w:val="auto"/>
          <w:highlight w:val="none"/>
        </w:rPr>
      </w:pPr>
    </w:p>
    <w:p>
      <w:pPr>
        <w:pStyle w:val="11"/>
        <w:rPr>
          <w:rFonts w:ascii="宋体" w:hAnsi="宋体" w:cs="宋体"/>
          <w:b/>
          <w:color w:val="auto"/>
          <w:sz w:val="36"/>
          <w:szCs w:val="36"/>
          <w:highlight w:val="none"/>
        </w:rPr>
      </w:pPr>
    </w:p>
    <w:p>
      <w:pPr>
        <w:spacing w:line="720" w:lineRule="auto"/>
        <w:ind w:firstLine="1205" w:firstLineChars="400"/>
        <w:rPr>
          <w:rFonts w:hAnsi="宋体" w:cs="宋体"/>
          <w:b/>
          <w:bCs/>
          <w:color w:val="auto"/>
          <w:sz w:val="30"/>
          <w:szCs w:val="30"/>
          <w:highlight w:val="none"/>
        </w:rPr>
      </w:pPr>
    </w:p>
    <w:p>
      <w:pPr>
        <w:spacing w:line="720" w:lineRule="auto"/>
        <w:ind w:firstLine="1205" w:firstLineChars="400"/>
        <w:rPr>
          <w:rFonts w:hAnsi="宋体" w:cs="宋体"/>
          <w:b/>
          <w:bCs/>
          <w:color w:val="auto"/>
          <w:sz w:val="30"/>
          <w:szCs w:val="30"/>
          <w:highlight w:val="none"/>
          <w:u w:val="single"/>
        </w:rPr>
      </w:pPr>
      <w:r>
        <w:rPr>
          <w:rFonts w:hint="eastAsia" w:hAnsi="宋体" w:cs="宋体"/>
          <w:b/>
          <w:bCs/>
          <w:color w:val="auto"/>
          <w:sz w:val="30"/>
          <w:szCs w:val="30"/>
          <w:highlight w:val="none"/>
        </w:rPr>
        <w:t>投标人（盖章）：</w:t>
      </w:r>
      <w:r>
        <w:rPr>
          <w:rFonts w:hint="eastAsia" w:hAnsi="宋体" w:cs="宋体"/>
          <w:b/>
          <w:bCs/>
          <w:color w:val="auto"/>
          <w:sz w:val="30"/>
          <w:szCs w:val="30"/>
          <w:highlight w:val="none"/>
          <w:u w:val="single"/>
        </w:rPr>
        <w:t xml:space="preserve">                              </w:t>
      </w:r>
    </w:p>
    <w:p>
      <w:pPr>
        <w:spacing w:line="720" w:lineRule="auto"/>
        <w:ind w:firstLine="1205" w:firstLineChars="400"/>
        <w:rPr>
          <w:rFonts w:hAnsi="宋体" w:cs="宋体"/>
          <w:b/>
          <w:bCs/>
          <w:color w:val="auto"/>
          <w:sz w:val="30"/>
          <w:szCs w:val="30"/>
          <w:highlight w:val="none"/>
          <w:u w:val="single"/>
        </w:rPr>
      </w:pPr>
      <w:r>
        <w:rPr>
          <w:rFonts w:hint="eastAsia" w:hAnsi="宋体" w:cs="宋体"/>
          <w:b/>
          <w:bCs/>
          <w:color w:val="auto"/>
          <w:sz w:val="30"/>
          <w:szCs w:val="30"/>
          <w:highlight w:val="none"/>
        </w:rPr>
        <w:t>法定代表人或授权代表（签字或盖章）：</w:t>
      </w:r>
      <w:r>
        <w:rPr>
          <w:rFonts w:hint="eastAsia" w:hAnsi="宋体" w:cs="宋体"/>
          <w:b/>
          <w:bCs/>
          <w:color w:val="auto"/>
          <w:sz w:val="30"/>
          <w:szCs w:val="30"/>
          <w:highlight w:val="none"/>
          <w:u w:val="single"/>
        </w:rPr>
        <w:t xml:space="preserve">          </w:t>
      </w:r>
    </w:p>
    <w:p>
      <w:pPr>
        <w:spacing w:line="720" w:lineRule="auto"/>
        <w:ind w:firstLine="1205" w:firstLineChars="400"/>
        <w:rPr>
          <w:rFonts w:hAnsi="宋体" w:cs="宋体"/>
          <w:color w:val="auto"/>
          <w:sz w:val="30"/>
          <w:szCs w:val="30"/>
          <w:highlight w:val="none"/>
          <w:u w:val="single"/>
        </w:rPr>
      </w:pPr>
      <w:r>
        <w:rPr>
          <w:rFonts w:hint="eastAsia" w:hAnsi="宋体" w:cs="宋体"/>
          <w:b/>
          <w:bCs/>
          <w:color w:val="auto"/>
          <w:sz w:val="30"/>
          <w:szCs w:val="30"/>
          <w:highlight w:val="none"/>
        </w:rPr>
        <w:t>日        期 ：</w:t>
      </w:r>
      <w:r>
        <w:rPr>
          <w:rFonts w:hint="eastAsia" w:hAnsi="宋体" w:cs="宋体"/>
          <w:b/>
          <w:bCs/>
          <w:color w:val="auto"/>
          <w:sz w:val="30"/>
          <w:szCs w:val="30"/>
          <w:highlight w:val="none"/>
          <w:u w:val="single"/>
        </w:rPr>
        <w:t xml:space="preserve">       </w:t>
      </w:r>
      <w:r>
        <w:rPr>
          <w:rFonts w:hint="eastAsia" w:hAnsi="宋体" w:cs="宋体"/>
          <w:b/>
          <w:bCs/>
          <w:color w:val="auto"/>
          <w:sz w:val="30"/>
          <w:szCs w:val="30"/>
          <w:highlight w:val="none"/>
        </w:rPr>
        <w:t>年</w:t>
      </w:r>
      <w:r>
        <w:rPr>
          <w:rFonts w:hint="eastAsia" w:hAnsi="宋体" w:cs="宋体"/>
          <w:b/>
          <w:bCs/>
          <w:color w:val="auto"/>
          <w:sz w:val="30"/>
          <w:szCs w:val="30"/>
          <w:highlight w:val="none"/>
          <w:u w:val="single"/>
        </w:rPr>
        <w:t xml:space="preserve">     </w:t>
      </w:r>
      <w:r>
        <w:rPr>
          <w:rFonts w:hint="eastAsia" w:hAnsi="宋体" w:cs="宋体"/>
          <w:b/>
          <w:bCs/>
          <w:color w:val="auto"/>
          <w:sz w:val="30"/>
          <w:szCs w:val="30"/>
          <w:highlight w:val="none"/>
        </w:rPr>
        <w:t>月</w:t>
      </w:r>
      <w:r>
        <w:rPr>
          <w:rFonts w:hint="eastAsia" w:hAnsi="宋体" w:cs="宋体"/>
          <w:b/>
          <w:bCs/>
          <w:color w:val="auto"/>
          <w:sz w:val="30"/>
          <w:szCs w:val="30"/>
          <w:highlight w:val="none"/>
          <w:u w:val="single"/>
        </w:rPr>
        <w:t xml:space="preserve">     </w:t>
      </w:r>
      <w:r>
        <w:rPr>
          <w:rFonts w:hint="eastAsia" w:hAnsi="宋体" w:cs="宋体"/>
          <w:b/>
          <w:bCs/>
          <w:color w:val="auto"/>
          <w:sz w:val="30"/>
          <w:szCs w:val="30"/>
          <w:highlight w:val="none"/>
        </w:rPr>
        <w:t>日</w:t>
      </w:r>
    </w:p>
    <w:p>
      <w:pPr>
        <w:rPr>
          <w:rFonts w:hAnsi="宋体" w:cs="宋体"/>
          <w:b/>
          <w:bCs/>
          <w:color w:val="auto"/>
          <w:sz w:val="32"/>
          <w:szCs w:val="32"/>
          <w:highlight w:val="none"/>
        </w:rPr>
      </w:pPr>
      <w:bookmarkStart w:id="171" w:name="_Toc23850"/>
      <w:bookmarkStart w:id="172" w:name="_Toc363474026"/>
      <w:bookmarkStart w:id="173" w:name="_Toc17702"/>
      <w:bookmarkStart w:id="174" w:name="_Toc23267"/>
      <w:bookmarkStart w:id="175" w:name="_Toc22537"/>
      <w:bookmarkStart w:id="176" w:name="_Toc30983"/>
      <w:bookmarkStart w:id="177" w:name="_Toc403077647"/>
      <w:bookmarkStart w:id="178" w:name="_Toc426457699"/>
      <w:r>
        <w:rPr>
          <w:rFonts w:hint="eastAsia" w:hAnsi="宋体" w:cs="宋体"/>
          <w:b/>
          <w:bCs/>
          <w:color w:val="auto"/>
          <w:sz w:val="32"/>
          <w:szCs w:val="32"/>
          <w:highlight w:val="none"/>
        </w:rPr>
        <w:br w:type="page"/>
      </w:r>
    </w:p>
    <w:p>
      <w:pPr>
        <w:spacing w:line="720" w:lineRule="auto"/>
        <w:jc w:val="center"/>
        <w:rPr>
          <w:rFonts w:hAnsi="宋体" w:cs="宋体"/>
          <w:b/>
          <w:bCs/>
          <w:color w:val="auto"/>
          <w:sz w:val="32"/>
          <w:szCs w:val="32"/>
          <w:highlight w:val="none"/>
        </w:rPr>
      </w:pPr>
      <w:r>
        <w:rPr>
          <w:rFonts w:hint="eastAsia" w:hAnsi="宋体" w:cs="宋体"/>
          <w:b/>
          <w:bCs/>
          <w:color w:val="auto"/>
          <w:sz w:val="32"/>
          <w:szCs w:val="32"/>
          <w:highlight w:val="none"/>
        </w:rPr>
        <w:t>目    录</w:t>
      </w:r>
      <w:bookmarkEnd w:id="171"/>
      <w:bookmarkEnd w:id="172"/>
      <w:bookmarkEnd w:id="173"/>
      <w:bookmarkEnd w:id="174"/>
      <w:bookmarkEnd w:id="175"/>
      <w:bookmarkEnd w:id="176"/>
      <w:bookmarkEnd w:id="177"/>
      <w:bookmarkEnd w:id="178"/>
    </w:p>
    <w:p>
      <w:pPr>
        <w:pStyle w:val="5"/>
        <w:numPr>
          <w:ilvl w:val="0"/>
          <w:numId w:val="1"/>
        </w:numPr>
        <w:spacing w:line="480" w:lineRule="auto"/>
        <w:ind w:firstLine="480"/>
        <w:rPr>
          <w:color w:val="auto"/>
          <w:highlight w:val="none"/>
        </w:rPr>
      </w:pPr>
      <w:r>
        <w:rPr>
          <w:rFonts w:hint="eastAsia"/>
          <w:color w:val="auto"/>
          <w:highlight w:val="none"/>
        </w:rPr>
        <w:t>投标函</w:t>
      </w:r>
    </w:p>
    <w:p>
      <w:pPr>
        <w:pStyle w:val="5"/>
        <w:numPr>
          <w:ilvl w:val="0"/>
          <w:numId w:val="1"/>
        </w:numPr>
        <w:spacing w:line="480" w:lineRule="auto"/>
        <w:ind w:firstLine="480"/>
        <w:rPr>
          <w:color w:val="auto"/>
          <w:highlight w:val="none"/>
        </w:rPr>
      </w:pPr>
      <w:r>
        <w:rPr>
          <w:rFonts w:hint="eastAsia"/>
          <w:color w:val="auto"/>
          <w:highlight w:val="none"/>
        </w:rPr>
        <w:t>投标报价表</w:t>
      </w:r>
    </w:p>
    <w:p>
      <w:pPr>
        <w:pStyle w:val="5"/>
        <w:numPr>
          <w:ilvl w:val="0"/>
          <w:numId w:val="1"/>
        </w:numPr>
        <w:spacing w:line="480" w:lineRule="auto"/>
        <w:ind w:firstLine="480"/>
        <w:rPr>
          <w:color w:val="auto"/>
          <w:highlight w:val="none"/>
        </w:rPr>
      </w:pPr>
      <w:r>
        <w:rPr>
          <w:rFonts w:hint="eastAsia"/>
          <w:color w:val="auto"/>
          <w:highlight w:val="none"/>
        </w:rPr>
        <w:t>投标方案说明书</w:t>
      </w:r>
    </w:p>
    <w:p>
      <w:pPr>
        <w:pStyle w:val="5"/>
        <w:numPr>
          <w:ilvl w:val="0"/>
          <w:numId w:val="1"/>
        </w:numPr>
        <w:spacing w:line="480" w:lineRule="auto"/>
        <w:ind w:firstLine="480"/>
        <w:rPr>
          <w:color w:val="auto"/>
          <w:highlight w:val="none"/>
        </w:rPr>
      </w:pPr>
      <w:r>
        <w:rPr>
          <w:rFonts w:hint="eastAsia"/>
          <w:color w:val="auto"/>
          <w:highlight w:val="none"/>
        </w:rPr>
        <w:t>商务条款偏离表</w:t>
      </w:r>
    </w:p>
    <w:p>
      <w:pPr>
        <w:pStyle w:val="5"/>
        <w:numPr>
          <w:ilvl w:val="0"/>
          <w:numId w:val="1"/>
        </w:numPr>
        <w:spacing w:line="480" w:lineRule="auto"/>
        <w:ind w:firstLine="480"/>
        <w:rPr>
          <w:color w:val="auto"/>
          <w:highlight w:val="none"/>
        </w:rPr>
      </w:pPr>
      <w:r>
        <w:rPr>
          <w:rFonts w:hint="eastAsia"/>
          <w:color w:val="auto"/>
          <w:highlight w:val="none"/>
        </w:rPr>
        <w:t>资格证明文件</w:t>
      </w:r>
    </w:p>
    <w:p>
      <w:pPr>
        <w:pStyle w:val="5"/>
        <w:numPr>
          <w:ilvl w:val="0"/>
          <w:numId w:val="1"/>
        </w:numPr>
        <w:spacing w:line="480" w:lineRule="auto"/>
        <w:ind w:firstLine="480"/>
        <w:rPr>
          <w:color w:val="auto"/>
          <w:highlight w:val="none"/>
        </w:rPr>
      </w:pPr>
      <w:r>
        <w:rPr>
          <w:rFonts w:hint="eastAsia"/>
          <w:color w:val="auto"/>
          <w:highlight w:val="none"/>
        </w:rPr>
        <w:t>投标人承诺书</w:t>
      </w:r>
    </w:p>
    <w:p>
      <w:pPr>
        <w:pStyle w:val="4"/>
        <w:rPr>
          <w:color w:val="auto"/>
          <w:highlight w:val="none"/>
        </w:rPr>
      </w:pPr>
      <w:bookmarkStart w:id="179" w:name="_Toc403077648"/>
      <w:bookmarkStart w:id="180" w:name="_Toc363474027"/>
      <w:bookmarkStart w:id="181" w:name="_Toc18434"/>
      <w:bookmarkStart w:id="182" w:name="_Toc13414"/>
      <w:bookmarkStart w:id="183" w:name="_Toc23833"/>
      <w:bookmarkStart w:id="184" w:name="_Toc28404"/>
      <w:bookmarkStart w:id="185" w:name="_Toc23702"/>
      <w:bookmarkStart w:id="186" w:name="_Toc4930"/>
      <w:bookmarkStart w:id="187" w:name="_Toc24231"/>
      <w:bookmarkStart w:id="188" w:name="_Toc14057"/>
      <w:bookmarkStart w:id="189" w:name="_Toc426457700"/>
      <w:r>
        <w:rPr>
          <w:rFonts w:hint="eastAsia"/>
          <w:color w:val="auto"/>
          <w:highlight w:val="none"/>
        </w:rPr>
        <w:br w:type="page"/>
      </w:r>
      <w:r>
        <w:rPr>
          <w:rFonts w:hint="eastAsia"/>
          <w:color w:val="auto"/>
          <w:highlight w:val="none"/>
        </w:rPr>
        <w:t>一、投标</w:t>
      </w:r>
      <w:bookmarkEnd w:id="179"/>
      <w:bookmarkEnd w:id="180"/>
      <w:r>
        <w:rPr>
          <w:rFonts w:hint="eastAsia"/>
          <w:color w:val="auto"/>
          <w:highlight w:val="none"/>
        </w:rPr>
        <w:t>函</w:t>
      </w:r>
      <w:bookmarkEnd w:id="181"/>
      <w:bookmarkEnd w:id="182"/>
      <w:bookmarkEnd w:id="183"/>
      <w:bookmarkEnd w:id="184"/>
      <w:bookmarkEnd w:id="185"/>
      <w:bookmarkEnd w:id="186"/>
      <w:bookmarkEnd w:id="187"/>
      <w:bookmarkEnd w:id="188"/>
      <w:bookmarkEnd w:id="189"/>
    </w:p>
    <w:p>
      <w:pPr>
        <w:pStyle w:val="5"/>
        <w:ind w:firstLine="0" w:firstLineChars="0"/>
        <w:rPr>
          <w:b/>
          <w:bCs/>
          <w:color w:val="auto"/>
          <w:highlight w:val="none"/>
        </w:rPr>
      </w:pPr>
      <w:r>
        <w:rPr>
          <w:rFonts w:hint="eastAsia"/>
          <w:b/>
          <w:bCs/>
          <w:color w:val="auto"/>
          <w:highlight w:val="none"/>
        </w:rPr>
        <w:t>致：</w:t>
      </w:r>
      <w:r>
        <w:rPr>
          <w:rFonts w:hint="eastAsia"/>
          <w:b/>
          <w:bCs/>
          <w:color w:val="auto"/>
          <w:highlight w:val="none"/>
          <w:u w:val="single"/>
        </w:rPr>
        <w:t>（采购人名称）/陕西正鸿招标有限公司</w:t>
      </w:r>
    </w:p>
    <w:p>
      <w:pPr>
        <w:pStyle w:val="5"/>
        <w:ind w:firstLine="480"/>
        <w:rPr>
          <w:color w:val="auto"/>
          <w:highlight w:val="none"/>
        </w:rPr>
      </w:pPr>
      <w:r>
        <w:rPr>
          <w:rFonts w:hint="eastAsia"/>
          <w:color w:val="auto"/>
          <w:highlight w:val="none"/>
        </w:rPr>
        <w:t>根据贵方</w:t>
      </w:r>
      <w:r>
        <w:rPr>
          <w:rFonts w:hint="eastAsia"/>
          <w:color w:val="auto"/>
          <w:highlight w:val="none"/>
          <w:u w:val="single"/>
        </w:rPr>
        <w:t>“       项目名称                 ”</w:t>
      </w:r>
      <w:r>
        <w:rPr>
          <w:rFonts w:hint="eastAsia"/>
          <w:color w:val="auto"/>
          <w:highlight w:val="none"/>
        </w:rPr>
        <w:t>的招标文件</w:t>
      </w:r>
      <w:r>
        <w:rPr>
          <w:rFonts w:hint="eastAsia"/>
          <w:color w:val="auto"/>
          <w:highlight w:val="none"/>
          <w:u w:val="single"/>
        </w:rPr>
        <w:t>(编号：        )</w:t>
      </w:r>
      <w:r>
        <w:rPr>
          <w:rFonts w:hint="eastAsia"/>
          <w:color w:val="auto"/>
          <w:highlight w:val="none"/>
          <w:u w:val="single"/>
          <w:lang w:eastAsia="zh-CN"/>
        </w:rPr>
        <w:t>、</w:t>
      </w:r>
      <w:r>
        <w:rPr>
          <w:rFonts w:hint="eastAsia"/>
          <w:color w:val="auto"/>
          <w:highlight w:val="none"/>
          <w:u w:val="single"/>
        </w:rPr>
        <w:t>(</w:t>
      </w:r>
      <w:r>
        <w:rPr>
          <w:rFonts w:hint="eastAsia"/>
          <w:color w:val="auto"/>
          <w:highlight w:val="none"/>
          <w:u w:val="single"/>
          <w:lang w:val="en-US" w:eastAsia="zh-CN"/>
        </w:rPr>
        <w:t>合同包</w:t>
      </w:r>
      <w:r>
        <w:rPr>
          <w:rFonts w:hint="eastAsia"/>
          <w:color w:val="auto"/>
          <w:highlight w:val="none"/>
          <w:u w:val="single"/>
        </w:rPr>
        <w:t>：        )</w:t>
      </w:r>
      <w:r>
        <w:rPr>
          <w:rFonts w:hint="eastAsia"/>
          <w:color w:val="auto"/>
          <w:highlight w:val="none"/>
        </w:rPr>
        <w:t>，签字代表</w:t>
      </w:r>
      <w:r>
        <w:rPr>
          <w:rFonts w:hint="eastAsia"/>
          <w:color w:val="auto"/>
          <w:highlight w:val="none"/>
          <w:u w:val="single"/>
        </w:rPr>
        <w:t>（全名、职务）</w:t>
      </w:r>
      <w:r>
        <w:rPr>
          <w:rFonts w:hint="eastAsia"/>
          <w:color w:val="auto"/>
          <w:highlight w:val="none"/>
        </w:rPr>
        <w:t>经正式授权并代表投标人</w:t>
      </w:r>
      <w:r>
        <w:rPr>
          <w:rFonts w:hint="eastAsia"/>
          <w:color w:val="auto"/>
          <w:highlight w:val="none"/>
          <w:u w:val="single"/>
        </w:rPr>
        <w:t xml:space="preserve">(投标人名称、地址) </w:t>
      </w:r>
      <w:r>
        <w:rPr>
          <w:rFonts w:hint="eastAsia"/>
          <w:color w:val="auto"/>
          <w:highlight w:val="none"/>
        </w:rPr>
        <w:t>提交投标文件正本</w:t>
      </w:r>
      <w:r>
        <w:rPr>
          <w:rFonts w:hint="eastAsia"/>
          <w:color w:val="auto"/>
          <w:highlight w:val="none"/>
          <w:u w:val="single"/>
        </w:rPr>
        <w:t>壹</w:t>
      </w:r>
      <w:r>
        <w:rPr>
          <w:rFonts w:hint="eastAsia"/>
          <w:color w:val="auto"/>
          <w:highlight w:val="none"/>
        </w:rPr>
        <w:t>份、副本一式</w:t>
      </w:r>
      <w:r>
        <w:rPr>
          <w:rFonts w:hint="eastAsia"/>
          <w:color w:val="auto"/>
          <w:highlight w:val="none"/>
          <w:u w:val="single"/>
        </w:rPr>
        <w:t xml:space="preserve">   </w:t>
      </w:r>
      <w:r>
        <w:rPr>
          <w:rFonts w:hint="eastAsia"/>
          <w:color w:val="auto"/>
          <w:highlight w:val="none"/>
        </w:rPr>
        <w:t>份、报价一览表</w:t>
      </w:r>
      <w:r>
        <w:rPr>
          <w:rFonts w:hint="eastAsia"/>
          <w:color w:val="auto"/>
          <w:highlight w:val="none"/>
          <w:u w:val="single"/>
        </w:rPr>
        <w:t xml:space="preserve">   </w:t>
      </w:r>
      <w:r>
        <w:rPr>
          <w:rFonts w:hint="eastAsia"/>
          <w:color w:val="auto"/>
          <w:highlight w:val="none"/>
        </w:rPr>
        <w:t>份、电子版</w:t>
      </w:r>
      <w:r>
        <w:rPr>
          <w:rFonts w:hint="eastAsia"/>
          <w:color w:val="auto"/>
          <w:highlight w:val="none"/>
          <w:u w:val="single"/>
        </w:rPr>
        <w:t xml:space="preserve">   </w:t>
      </w:r>
      <w:r>
        <w:rPr>
          <w:rFonts w:hint="eastAsia"/>
          <w:color w:val="auto"/>
          <w:highlight w:val="none"/>
        </w:rPr>
        <w:t>份。并提交投标保证金，金额为</w:t>
      </w:r>
      <w:r>
        <w:rPr>
          <w:rFonts w:hint="eastAsia"/>
          <w:color w:val="auto"/>
          <w:highlight w:val="none"/>
          <w:u w:val="single"/>
        </w:rPr>
        <w:t xml:space="preserve">              </w:t>
      </w:r>
      <w:r>
        <w:rPr>
          <w:rFonts w:hint="eastAsia"/>
          <w:color w:val="auto"/>
          <w:highlight w:val="none"/>
        </w:rPr>
        <w:t>。</w:t>
      </w:r>
    </w:p>
    <w:p>
      <w:pPr>
        <w:pStyle w:val="5"/>
        <w:ind w:firstLine="480"/>
        <w:rPr>
          <w:color w:val="auto"/>
          <w:highlight w:val="none"/>
        </w:rPr>
      </w:pPr>
      <w:r>
        <w:rPr>
          <w:rFonts w:hint="eastAsia"/>
          <w:color w:val="auto"/>
          <w:highlight w:val="none"/>
        </w:rPr>
        <w:t>我方承诺如下：</w:t>
      </w:r>
    </w:p>
    <w:p>
      <w:pPr>
        <w:pStyle w:val="5"/>
        <w:ind w:firstLine="480"/>
        <w:rPr>
          <w:color w:val="auto"/>
          <w:highlight w:val="none"/>
        </w:rPr>
      </w:pPr>
      <w:r>
        <w:rPr>
          <w:rFonts w:hint="eastAsia"/>
          <w:color w:val="auto"/>
          <w:highlight w:val="none"/>
        </w:rPr>
        <w:t>（1）投标报价为（供货折扣）：小写：</w:t>
      </w:r>
      <w:r>
        <w:rPr>
          <w:rFonts w:hint="eastAsia"/>
          <w:color w:val="auto"/>
          <w:highlight w:val="none"/>
          <w:u w:val="single"/>
        </w:rPr>
        <w:t xml:space="preserve">    % </w:t>
      </w:r>
      <w:r>
        <w:rPr>
          <w:rFonts w:hint="eastAsia"/>
          <w:color w:val="auto"/>
          <w:highlight w:val="none"/>
        </w:rPr>
        <w:t>（大写：百分之</w:t>
      </w:r>
      <w:r>
        <w:rPr>
          <w:rFonts w:hint="eastAsia"/>
          <w:color w:val="auto"/>
          <w:highlight w:val="none"/>
          <w:u w:val="single"/>
        </w:rPr>
        <w:t xml:space="preserve">     </w:t>
      </w:r>
      <w:r>
        <w:rPr>
          <w:rFonts w:hint="eastAsia"/>
          <w:color w:val="auto"/>
          <w:highlight w:val="none"/>
        </w:rPr>
        <w:t>）。</w:t>
      </w:r>
    </w:p>
    <w:p>
      <w:pPr>
        <w:pStyle w:val="5"/>
        <w:ind w:firstLine="480"/>
        <w:rPr>
          <w:color w:val="auto"/>
          <w:highlight w:val="none"/>
        </w:rPr>
      </w:pPr>
      <w:r>
        <w:rPr>
          <w:rFonts w:hint="eastAsia"/>
          <w:color w:val="auto"/>
          <w:highlight w:val="none"/>
        </w:rPr>
        <w:t>（2）如果中标，我们根据招标文件的规定，履行合同的责任和义务。</w:t>
      </w:r>
    </w:p>
    <w:p>
      <w:pPr>
        <w:pStyle w:val="5"/>
        <w:ind w:firstLine="480"/>
        <w:rPr>
          <w:color w:val="auto"/>
          <w:highlight w:val="none"/>
        </w:rPr>
      </w:pPr>
      <w:r>
        <w:rPr>
          <w:rFonts w:hint="eastAsia"/>
          <w:color w:val="auto"/>
          <w:highlight w:val="none"/>
        </w:rPr>
        <w:t>（3）我们已详细阅读和审核全部招标文件（含修改部分，如有的话）及有关附件，我们知道必须放弃提出含糊不清或误解的问题的权利。</w:t>
      </w:r>
    </w:p>
    <w:p>
      <w:pPr>
        <w:pStyle w:val="5"/>
        <w:ind w:firstLine="480"/>
        <w:rPr>
          <w:color w:val="auto"/>
          <w:highlight w:val="none"/>
        </w:rPr>
      </w:pPr>
      <w:r>
        <w:rPr>
          <w:rFonts w:hint="eastAsia"/>
          <w:color w:val="auto"/>
          <w:highlight w:val="none"/>
        </w:rPr>
        <w:t>（4）我们同意在投标有效期内（自开标之日起</w:t>
      </w:r>
      <w:r>
        <w:rPr>
          <w:rFonts w:hint="eastAsia"/>
          <w:color w:val="auto"/>
          <w:highlight w:val="none"/>
          <w:u w:val="single"/>
        </w:rPr>
        <w:t xml:space="preserve">    </w:t>
      </w:r>
      <w:r>
        <w:rPr>
          <w:rFonts w:hint="eastAsia"/>
          <w:color w:val="auto"/>
          <w:highlight w:val="none"/>
        </w:rPr>
        <w:t>天），本投标函对我方具有约束力。</w:t>
      </w:r>
    </w:p>
    <w:p>
      <w:pPr>
        <w:pStyle w:val="5"/>
        <w:ind w:firstLine="480"/>
        <w:rPr>
          <w:color w:val="auto"/>
          <w:highlight w:val="none"/>
        </w:rPr>
      </w:pPr>
      <w:r>
        <w:rPr>
          <w:rFonts w:hint="eastAsia"/>
          <w:color w:val="auto"/>
          <w:highlight w:val="none"/>
        </w:rPr>
        <w:t>（5）如果在开标后规定的投标有效期内撤回投标，我们的投标保证金可被贵方没收。</w:t>
      </w:r>
    </w:p>
    <w:p>
      <w:pPr>
        <w:pStyle w:val="5"/>
        <w:ind w:firstLine="480"/>
        <w:rPr>
          <w:color w:val="auto"/>
          <w:highlight w:val="none"/>
        </w:rPr>
      </w:pPr>
      <w:r>
        <w:rPr>
          <w:rFonts w:hint="eastAsia"/>
          <w:color w:val="auto"/>
          <w:highlight w:val="none"/>
        </w:rPr>
        <w:t xml:space="preserve">（6）同意提供贵方可能另外要求的与本投标有关的任何证据和资料。 </w:t>
      </w:r>
    </w:p>
    <w:p>
      <w:pPr>
        <w:pStyle w:val="5"/>
        <w:ind w:firstLine="480"/>
        <w:rPr>
          <w:color w:val="auto"/>
          <w:highlight w:val="none"/>
        </w:rPr>
      </w:pPr>
      <w:r>
        <w:rPr>
          <w:rFonts w:hint="eastAsia"/>
          <w:color w:val="auto"/>
          <w:highlight w:val="none"/>
        </w:rPr>
        <w:t>（7）我们同意，如果中标，向陕西正鸿招标有限公司交纳招标代理服务费。</w:t>
      </w:r>
    </w:p>
    <w:p>
      <w:pPr>
        <w:pStyle w:val="5"/>
        <w:ind w:firstLine="480"/>
        <w:rPr>
          <w:color w:val="auto"/>
          <w:highlight w:val="none"/>
        </w:rPr>
      </w:pPr>
      <w:r>
        <w:rPr>
          <w:rFonts w:hint="eastAsia"/>
          <w:color w:val="auto"/>
          <w:highlight w:val="none"/>
        </w:rPr>
        <w:t>（8）与本投标有关的一切正式往来通讯为：</w:t>
      </w:r>
    </w:p>
    <w:p>
      <w:pPr>
        <w:pStyle w:val="5"/>
        <w:ind w:firstLine="480"/>
        <w:rPr>
          <w:color w:val="auto"/>
          <w:highlight w:val="none"/>
        </w:rPr>
      </w:pPr>
    </w:p>
    <w:p>
      <w:pPr>
        <w:pStyle w:val="5"/>
        <w:ind w:firstLine="480"/>
        <w:rPr>
          <w:color w:val="auto"/>
          <w:highlight w:val="none"/>
          <w:u w:val="single"/>
        </w:rPr>
      </w:pPr>
      <w:r>
        <w:rPr>
          <w:rFonts w:hint="eastAsia"/>
          <w:color w:val="auto"/>
          <w:highlight w:val="none"/>
        </w:rPr>
        <w:t>联系地址：</w:t>
      </w:r>
      <w:r>
        <w:rPr>
          <w:rFonts w:hint="eastAsia"/>
          <w:color w:val="auto"/>
          <w:highlight w:val="none"/>
          <w:u w:val="single"/>
        </w:rPr>
        <w:t xml:space="preserve">                 </w:t>
      </w:r>
    </w:p>
    <w:p>
      <w:pPr>
        <w:pStyle w:val="5"/>
        <w:ind w:firstLine="480"/>
        <w:rPr>
          <w:b/>
          <w:bCs/>
          <w:color w:val="auto"/>
          <w:highlight w:val="none"/>
        </w:rPr>
      </w:pPr>
      <w:r>
        <w:rPr>
          <w:rFonts w:hint="eastAsia"/>
          <w:color w:val="auto"/>
          <w:highlight w:val="none"/>
        </w:rPr>
        <w:t>邮政编码：</w:t>
      </w:r>
      <w:r>
        <w:rPr>
          <w:rFonts w:hint="eastAsia"/>
          <w:color w:val="auto"/>
          <w:highlight w:val="none"/>
          <w:u w:val="single"/>
        </w:rPr>
        <w:t xml:space="preserve">                 </w:t>
      </w:r>
    </w:p>
    <w:p>
      <w:pPr>
        <w:pStyle w:val="5"/>
        <w:ind w:firstLine="480"/>
        <w:rPr>
          <w:color w:val="auto"/>
          <w:highlight w:val="none"/>
        </w:rPr>
      </w:pPr>
      <w:r>
        <w:rPr>
          <w:rFonts w:hint="eastAsia"/>
          <w:color w:val="auto"/>
          <w:highlight w:val="none"/>
        </w:rPr>
        <w:t>电    话：</w:t>
      </w:r>
      <w:r>
        <w:rPr>
          <w:rFonts w:hint="eastAsia"/>
          <w:color w:val="auto"/>
          <w:highlight w:val="none"/>
          <w:u w:val="single"/>
        </w:rPr>
        <w:t xml:space="preserve">                 </w:t>
      </w:r>
    </w:p>
    <w:p>
      <w:pPr>
        <w:pStyle w:val="5"/>
        <w:ind w:firstLine="480"/>
        <w:rPr>
          <w:color w:val="auto"/>
          <w:highlight w:val="none"/>
        </w:rPr>
      </w:pPr>
      <w:r>
        <w:rPr>
          <w:rFonts w:hint="eastAsia"/>
          <w:color w:val="auto"/>
          <w:highlight w:val="none"/>
        </w:rPr>
        <w:t>传    真：</w:t>
      </w:r>
      <w:r>
        <w:rPr>
          <w:rFonts w:hint="eastAsia"/>
          <w:color w:val="auto"/>
          <w:highlight w:val="none"/>
          <w:u w:val="single"/>
        </w:rPr>
        <w:t xml:space="preserve">                 </w:t>
      </w:r>
    </w:p>
    <w:p>
      <w:pPr>
        <w:pStyle w:val="5"/>
        <w:ind w:firstLine="48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48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480"/>
        <w:rPr>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
        <w:rPr>
          <w:rStyle w:val="31"/>
          <w:rFonts w:hint="eastAsia" w:eastAsia="宋体"/>
          <w:b/>
          <w:bCs/>
          <w:color w:val="auto"/>
          <w:highlight w:val="none"/>
          <w:lang w:eastAsia="zh-CN"/>
        </w:rPr>
      </w:pPr>
      <w:r>
        <w:rPr>
          <w:rFonts w:hint="eastAsia"/>
          <w:color w:val="auto"/>
          <w:sz w:val="28"/>
          <w:highlight w:val="none"/>
        </w:rPr>
        <w:br w:type="page"/>
      </w:r>
      <w:bookmarkStart w:id="190" w:name="_Toc29025"/>
      <w:bookmarkStart w:id="191" w:name="_Toc13499"/>
      <w:bookmarkStart w:id="192" w:name="_Toc17802"/>
      <w:bookmarkStart w:id="193" w:name="_Toc4332"/>
      <w:bookmarkStart w:id="194" w:name="_Toc27599"/>
      <w:bookmarkStart w:id="195" w:name="_Toc363474030"/>
      <w:bookmarkStart w:id="196" w:name="_Toc21967"/>
      <w:bookmarkStart w:id="197" w:name="_Toc403077651"/>
      <w:bookmarkStart w:id="198" w:name="_Toc21319"/>
      <w:bookmarkStart w:id="199" w:name="_Toc15042"/>
      <w:bookmarkStart w:id="200" w:name="_Toc426457703"/>
      <w:r>
        <w:rPr>
          <w:rStyle w:val="31"/>
          <w:rFonts w:hint="eastAsia"/>
          <w:b/>
          <w:bCs/>
          <w:color w:val="auto"/>
          <w:highlight w:val="none"/>
        </w:rPr>
        <w:t>二、投标报价表</w:t>
      </w:r>
      <w:bookmarkEnd w:id="190"/>
      <w:bookmarkEnd w:id="191"/>
      <w:bookmarkEnd w:id="192"/>
      <w:bookmarkEnd w:id="193"/>
      <w:bookmarkEnd w:id="194"/>
      <w:bookmarkEnd w:id="195"/>
      <w:bookmarkEnd w:id="196"/>
      <w:bookmarkEnd w:id="197"/>
      <w:bookmarkEnd w:id="198"/>
      <w:bookmarkEnd w:id="199"/>
      <w:bookmarkEnd w:id="200"/>
      <w:r>
        <w:rPr>
          <w:rStyle w:val="31"/>
          <w:rFonts w:hint="eastAsia"/>
          <w:b/>
          <w:bCs/>
          <w:color w:val="auto"/>
          <w:highlight w:val="none"/>
          <w:lang w:eastAsia="zh-CN"/>
        </w:rPr>
        <w:t>（</w:t>
      </w:r>
      <w:r>
        <w:rPr>
          <w:rStyle w:val="31"/>
          <w:rFonts w:hint="eastAsia"/>
          <w:b/>
          <w:bCs/>
          <w:color w:val="auto"/>
          <w:highlight w:val="none"/>
          <w:lang w:val="en-US" w:eastAsia="zh-CN"/>
        </w:rPr>
        <w:t>开标一览表</w:t>
      </w:r>
      <w:r>
        <w:rPr>
          <w:rStyle w:val="31"/>
          <w:rFonts w:hint="eastAsia"/>
          <w:b/>
          <w:bCs/>
          <w:color w:val="auto"/>
          <w:highlight w:val="none"/>
          <w:lang w:eastAsia="zh-CN"/>
        </w:rPr>
        <w:t>）</w:t>
      </w:r>
    </w:p>
    <w:p>
      <w:pPr>
        <w:spacing w:line="360" w:lineRule="auto"/>
        <w:rPr>
          <w:rFonts w:hAnsi="宋体" w:cs="宋体"/>
          <w:color w:val="auto"/>
          <w:szCs w:val="24"/>
          <w:highlight w:val="none"/>
          <w:u w:val="single"/>
        </w:rPr>
      </w:pPr>
      <w:r>
        <w:rPr>
          <w:rFonts w:hint="eastAsia" w:hAnsi="宋体" w:cs="宋体"/>
          <w:color w:val="auto"/>
          <w:szCs w:val="24"/>
          <w:highlight w:val="none"/>
        </w:rPr>
        <w:t>项目名称：</w:t>
      </w:r>
      <w:r>
        <w:rPr>
          <w:rFonts w:hint="eastAsia" w:hAnsi="宋体" w:cs="宋体"/>
          <w:color w:val="auto"/>
          <w:szCs w:val="24"/>
          <w:highlight w:val="none"/>
          <w:u w:val="single"/>
        </w:rPr>
        <w:t xml:space="preserve">                                 </w:t>
      </w:r>
    </w:p>
    <w:p>
      <w:pPr>
        <w:spacing w:line="360" w:lineRule="auto"/>
        <w:rPr>
          <w:rFonts w:hAnsi="宋体" w:cs="宋体"/>
          <w:color w:val="auto"/>
          <w:szCs w:val="24"/>
          <w:highlight w:val="none"/>
          <w:u w:val="single"/>
        </w:rPr>
      </w:pPr>
      <w:r>
        <w:rPr>
          <w:rFonts w:hint="eastAsia" w:hAnsi="宋体" w:cs="宋体"/>
          <w:color w:val="auto"/>
          <w:szCs w:val="24"/>
          <w:highlight w:val="none"/>
        </w:rPr>
        <w:t>项目编号：</w:t>
      </w:r>
      <w:r>
        <w:rPr>
          <w:rFonts w:hint="eastAsia" w:hAnsi="宋体" w:cs="宋体"/>
          <w:color w:val="auto"/>
          <w:szCs w:val="24"/>
          <w:highlight w:val="none"/>
          <w:u w:val="single"/>
        </w:rPr>
        <w:t xml:space="preserve">                                </w:t>
      </w:r>
    </w:p>
    <w:p>
      <w:pPr>
        <w:pStyle w:val="19"/>
        <w:ind w:left="0" w:leftChars="0"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合同包：</w:t>
      </w:r>
      <w:r>
        <w:rPr>
          <w:rFonts w:hint="eastAsia" w:hAnsi="宋体" w:cs="宋体"/>
          <w:color w:val="auto"/>
          <w:szCs w:val="24"/>
          <w:highlight w:val="none"/>
          <w:u w:val="single"/>
        </w:rPr>
        <w:t xml:space="preserve">                                       </w:t>
      </w:r>
    </w:p>
    <w:tbl>
      <w:tblPr>
        <w:tblStyle w:val="20"/>
        <w:tblpPr w:leftFromText="180" w:rightFromText="180" w:vertAnchor="text" w:horzAnchor="page" w:tblpX="1407" w:tblpY="478"/>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3576"/>
        <w:gridCol w:w="164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2628" w:type="dxa"/>
            <w:tcBorders>
              <w:tl2br w:val="single" w:color="auto" w:sz="4" w:space="0"/>
            </w:tcBorders>
          </w:tcPr>
          <w:p>
            <w:pPr>
              <w:kinsoku w:val="0"/>
              <w:spacing w:line="500" w:lineRule="exact"/>
              <w:ind w:firstLine="1200" w:firstLineChars="500"/>
              <w:rPr>
                <w:rFonts w:hAnsi="宋体"/>
                <w:color w:val="auto"/>
                <w:highlight w:val="none"/>
              </w:rPr>
            </w:pPr>
            <w:r>
              <w:rPr>
                <w:rFonts w:hint="eastAsia" w:hAnsi="宋体"/>
                <w:color w:val="auto"/>
                <w:highlight w:val="none"/>
              </w:rPr>
              <w:t>报价内容</w:t>
            </w:r>
          </w:p>
          <w:p>
            <w:pPr>
              <w:kinsoku w:val="0"/>
              <w:spacing w:line="500" w:lineRule="exact"/>
              <w:rPr>
                <w:rFonts w:hAnsi="宋体"/>
                <w:color w:val="auto"/>
                <w:highlight w:val="none"/>
              </w:rPr>
            </w:pPr>
          </w:p>
          <w:p>
            <w:pPr>
              <w:kinsoku w:val="0"/>
              <w:spacing w:line="500" w:lineRule="exact"/>
              <w:rPr>
                <w:rFonts w:hAnsi="宋体"/>
                <w:color w:val="auto"/>
                <w:highlight w:val="none"/>
              </w:rPr>
            </w:pPr>
            <w:r>
              <w:rPr>
                <w:rFonts w:hint="eastAsia" w:hAnsi="宋体"/>
                <w:color w:val="auto"/>
                <w:highlight w:val="none"/>
              </w:rPr>
              <w:t>投标内容</w:t>
            </w:r>
          </w:p>
        </w:tc>
        <w:tc>
          <w:tcPr>
            <w:tcW w:w="3576" w:type="dxa"/>
            <w:vAlign w:val="center"/>
          </w:tcPr>
          <w:p>
            <w:pPr>
              <w:kinsoku w:val="0"/>
              <w:spacing w:line="500" w:lineRule="exact"/>
              <w:jc w:val="center"/>
              <w:rPr>
                <w:rFonts w:hAnsi="宋体"/>
                <w:color w:val="auto"/>
                <w:highlight w:val="none"/>
              </w:rPr>
            </w:pPr>
            <w:r>
              <w:rPr>
                <w:rFonts w:hint="eastAsia" w:hAnsi="宋体"/>
                <w:color w:val="auto"/>
                <w:highlight w:val="none"/>
              </w:rPr>
              <w:t>供货折扣</w:t>
            </w:r>
          </w:p>
        </w:tc>
        <w:tc>
          <w:tcPr>
            <w:tcW w:w="1648" w:type="dxa"/>
            <w:vAlign w:val="center"/>
          </w:tcPr>
          <w:p>
            <w:pPr>
              <w:kinsoku w:val="0"/>
              <w:spacing w:line="500" w:lineRule="exact"/>
              <w:jc w:val="center"/>
              <w:rPr>
                <w:rFonts w:hAnsi="宋体"/>
                <w:color w:val="auto"/>
                <w:highlight w:val="none"/>
              </w:rPr>
            </w:pPr>
            <w:r>
              <w:rPr>
                <w:rFonts w:hint="eastAsia"/>
                <w:color w:val="auto"/>
                <w:highlight w:val="none"/>
              </w:rPr>
              <w:t>交付期</w:t>
            </w:r>
          </w:p>
        </w:tc>
        <w:tc>
          <w:tcPr>
            <w:tcW w:w="1648" w:type="dxa"/>
            <w:vAlign w:val="center"/>
          </w:tcPr>
          <w:p>
            <w:pPr>
              <w:kinsoku w:val="0"/>
              <w:spacing w:line="500" w:lineRule="exact"/>
              <w:jc w:val="center"/>
              <w:rPr>
                <w:rFonts w:hint="eastAsia"/>
                <w:color w:val="auto"/>
                <w:highlight w:val="none"/>
              </w:rPr>
            </w:pPr>
            <w:r>
              <w:rPr>
                <w:rFonts w:hint="eastAsia"/>
                <w:color w:val="auto"/>
                <w:szCs w:val="22"/>
                <w:highlight w:val="none"/>
                <w:lang w:val="en-US" w:eastAsia="zh-CN"/>
              </w:rPr>
              <w:t>交付地点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2628" w:type="dxa"/>
            <w:vAlign w:val="center"/>
          </w:tcPr>
          <w:p>
            <w:pPr>
              <w:kinsoku w:val="0"/>
              <w:spacing w:line="500" w:lineRule="exact"/>
              <w:jc w:val="center"/>
              <w:rPr>
                <w:rFonts w:hAnsi="宋体"/>
                <w:color w:val="auto"/>
                <w:highlight w:val="none"/>
              </w:rPr>
            </w:pPr>
          </w:p>
        </w:tc>
        <w:tc>
          <w:tcPr>
            <w:tcW w:w="3576" w:type="dxa"/>
            <w:vAlign w:val="center"/>
          </w:tcPr>
          <w:p>
            <w:pPr>
              <w:kinsoku w:val="0"/>
              <w:spacing w:line="500" w:lineRule="exact"/>
              <w:ind w:firstLine="480" w:firstLineChars="200"/>
              <w:rPr>
                <w:rFonts w:hAnsi="宋体"/>
                <w:color w:val="auto"/>
                <w:highlight w:val="none"/>
              </w:rPr>
            </w:pPr>
            <w:r>
              <w:rPr>
                <w:rFonts w:hint="eastAsia" w:hAnsi="宋体"/>
                <w:color w:val="auto"/>
                <w:highlight w:val="none"/>
              </w:rPr>
              <w:t>大写：百分之</w:t>
            </w:r>
            <w:r>
              <w:rPr>
                <w:rFonts w:hint="eastAsia" w:hAnsi="宋体"/>
                <w:color w:val="auto"/>
                <w:highlight w:val="none"/>
                <w:u w:val="single"/>
              </w:rPr>
              <w:t xml:space="preserve">      </w:t>
            </w:r>
            <w:r>
              <w:rPr>
                <w:rFonts w:hint="eastAsia" w:hAnsi="宋体"/>
                <w:color w:val="auto"/>
                <w:highlight w:val="none"/>
              </w:rPr>
              <w:t>。</w:t>
            </w:r>
          </w:p>
          <w:p>
            <w:pPr>
              <w:kinsoku w:val="0"/>
              <w:spacing w:line="500" w:lineRule="exact"/>
              <w:ind w:firstLine="480" w:firstLineChars="200"/>
              <w:rPr>
                <w:rFonts w:hAnsi="宋体"/>
                <w:color w:val="auto"/>
                <w:highlight w:val="none"/>
              </w:rPr>
            </w:pPr>
            <w:r>
              <w:rPr>
                <w:rFonts w:hint="eastAsia" w:hAnsi="宋体"/>
                <w:color w:val="auto"/>
                <w:highlight w:val="none"/>
              </w:rPr>
              <w:t>小写：</w:t>
            </w:r>
            <w:r>
              <w:rPr>
                <w:rFonts w:hint="eastAsia" w:hAnsi="宋体"/>
                <w:color w:val="auto"/>
                <w:highlight w:val="none"/>
                <w:u w:val="single"/>
              </w:rPr>
              <w:t xml:space="preserve">           </w:t>
            </w:r>
            <w:r>
              <w:rPr>
                <w:rFonts w:hint="eastAsia" w:hAnsi="宋体"/>
                <w:color w:val="auto"/>
                <w:highlight w:val="none"/>
              </w:rPr>
              <w:t>％</w:t>
            </w:r>
          </w:p>
        </w:tc>
        <w:tc>
          <w:tcPr>
            <w:tcW w:w="1648" w:type="dxa"/>
            <w:vAlign w:val="center"/>
          </w:tcPr>
          <w:p>
            <w:pPr>
              <w:kinsoku w:val="0"/>
              <w:spacing w:line="500" w:lineRule="exact"/>
              <w:jc w:val="center"/>
              <w:rPr>
                <w:rFonts w:hAnsi="宋体"/>
                <w:color w:val="auto"/>
                <w:highlight w:val="none"/>
              </w:rPr>
            </w:pPr>
          </w:p>
        </w:tc>
        <w:tc>
          <w:tcPr>
            <w:tcW w:w="1648" w:type="dxa"/>
            <w:vAlign w:val="center"/>
          </w:tcPr>
          <w:p>
            <w:pPr>
              <w:kinsoku w:val="0"/>
              <w:spacing w:line="500" w:lineRule="exact"/>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500" w:type="dxa"/>
            <w:gridSpan w:val="4"/>
            <w:vAlign w:val="center"/>
          </w:tcPr>
          <w:p>
            <w:pPr>
              <w:kinsoku w:val="0"/>
              <w:spacing w:line="360" w:lineRule="auto"/>
              <w:rPr>
                <w:rFonts w:hAnsi="宋体" w:cs="Helvetica"/>
                <w:color w:val="auto"/>
                <w:szCs w:val="22"/>
                <w:highlight w:val="none"/>
              </w:rPr>
            </w:pPr>
            <w:r>
              <w:rPr>
                <w:rFonts w:hint="eastAsia" w:hAnsi="宋体" w:cs="Helvetica"/>
                <w:color w:val="auto"/>
                <w:szCs w:val="22"/>
                <w:highlight w:val="none"/>
              </w:rPr>
              <w:t>备注：</w:t>
            </w:r>
          </w:p>
          <w:p>
            <w:pPr>
              <w:kinsoku w:val="0"/>
              <w:spacing w:line="360" w:lineRule="auto"/>
              <w:rPr>
                <w:rFonts w:hAnsi="宋体" w:cs="Helvetica"/>
                <w:color w:val="auto"/>
                <w:szCs w:val="22"/>
                <w:highlight w:val="none"/>
              </w:rPr>
            </w:pPr>
            <w:r>
              <w:rPr>
                <w:rFonts w:hint="eastAsia" w:hAnsi="宋体" w:cs="Helvetica"/>
                <w:color w:val="auto"/>
                <w:szCs w:val="22"/>
                <w:highlight w:val="none"/>
              </w:rPr>
              <w:t>1、图书价格以书后定价为准，不附加任何运费或其他费用。</w:t>
            </w:r>
          </w:p>
          <w:p>
            <w:pPr>
              <w:kinsoku w:val="0"/>
              <w:spacing w:line="360" w:lineRule="auto"/>
              <w:rPr>
                <w:rFonts w:hint="eastAsia" w:hAnsi="宋体" w:cs="Helvetica"/>
                <w:color w:val="auto"/>
                <w:szCs w:val="22"/>
                <w:highlight w:val="none"/>
              </w:rPr>
            </w:pPr>
            <w:r>
              <w:rPr>
                <w:rFonts w:hint="eastAsia" w:hAnsi="宋体" w:cs="Helvetica"/>
                <w:color w:val="auto"/>
                <w:szCs w:val="22"/>
                <w:highlight w:val="none"/>
              </w:rPr>
              <w:t>2、报价统一根据公式“供货折扣=结算价/图书码洋价*100%”计算。</w:t>
            </w:r>
          </w:p>
        </w:tc>
      </w:tr>
    </w:tbl>
    <w:p>
      <w:pPr>
        <w:tabs>
          <w:tab w:val="left" w:pos="7200"/>
          <w:tab w:val="left" w:pos="8504"/>
        </w:tabs>
        <w:spacing w:line="360" w:lineRule="auto"/>
        <w:ind w:right="-1"/>
        <w:rPr>
          <w:rFonts w:hAnsi="宋体" w:cs="宋体"/>
          <w:color w:val="auto"/>
          <w:highlight w:val="none"/>
        </w:rPr>
      </w:pPr>
    </w:p>
    <w:p>
      <w:pPr>
        <w:spacing w:line="120" w:lineRule="exact"/>
        <w:rPr>
          <w:rFonts w:hAnsi="宋体" w:cs="宋体"/>
          <w:color w:val="auto"/>
          <w:highlight w:val="none"/>
        </w:rPr>
      </w:pPr>
    </w:p>
    <w:p>
      <w:pPr>
        <w:pStyle w:val="5"/>
        <w:ind w:firstLine="0" w:firstLineChars="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0" w:firstLineChars="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pStyle w:val="5"/>
        <w:ind w:firstLine="0" w:firstLineChars="0"/>
        <w:rPr>
          <w:rFonts w:hint="eastAsia"/>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6"/>
        <w:rPr>
          <w:color w:val="auto"/>
          <w:highlight w:val="none"/>
        </w:rPr>
      </w:pPr>
    </w:p>
    <w:p>
      <w:pPr>
        <w:spacing w:line="480" w:lineRule="auto"/>
        <w:ind w:right="617" w:rightChars="257"/>
        <w:rPr>
          <w:rFonts w:hAnsi="宋体" w:cs="宋体"/>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201" w:name="_Toc8367"/>
      <w:bookmarkStart w:id="202" w:name="_Toc19152"/>
      <w:bookmarkStart w:id="203" w:name="_Toc4085"/>
      <w:bookmarkStart w:id="204" w:name="_Toc28866"/>
      <w:bookmarkStart w:id="205" w:name="_Toc14384"/>
      <w:bookmarkStart w:id="206" w:name="_Toc15398"/>
      <w:bookmarkStart w:id="207" w:name="_Toc31326"/>
      <w:bookmarkStart w:id="208" w:name="_Toc609"/>
      <w:r>
        <w:rPr>
          <w:rFonts w:hint="eastAsia"/>
          <w:color w:val="auto"/>
          <w:highlight w:val="none"/>
        </w:rPr>
        <w:t>三、</w:t>
      </w:r>
      <w:bookmarkEnd w:id="201"/>
      <w:bookmarkEnd w:id="202"/>
      <w:bookmarkEnd w:id="203"/>
      <w:bookmarkEnd w:id="204"/>
      <w:bookmarkEnd w:id="205"/>
      <w:bookmarkEnd w:id="206"/>
      <w:bookmarkEnd w:id="207"/>
      <w:bookmarkEnd w:id="208"/>
      <w:r>
        <w:rPr>
          <w:rFonts w:hint="eastAsia"/>
          <w:color w:val="auto"/>
          <w:highlight w:val="none"/>
        </w:rPr>
        <w:t>投标方案说明书</w:t>
      </w:r>
    </w:p>
    <w:p>
      <w:pPr>
        <w:pStyle w:val="5"/>
        <w:ind w:firstLine="482"/>
        <w:rPr>
          <w:b/>
          <w:bCs/>
          <w:color w:val="auto"/>
          <w:highlight w:val="none"/>
        </w:rPr>
      </w:pPr>
      <w:r>
        <w:rPr>
          <w:rFonts w:hint="eastAsia"/>
          <w:b/>
          <w:bCs/>
          <w:color w:val="auto"/>
          <w:highlight w:val="none"/>
        </w:rPr>
        <w:t>投标人根据招标文件</w:t>
      </w:r>
      <w:r>
        <w:rPr>
          <w:rFonts w:hint="eastAsia"/>
          <w:b/>
          <w:bCs/>
          <w:color w:val="auto"/>
          <w:highlight w:val="none"/>
          <w:lang w:eastAsia="zh-CN"/>
        </w:rPr>
        <w:t>第四章“采购内容及技术要求”</w:t>
      </w:r>
      <w:r>
        <w:rPr>
          <w:rFonts w:hint="eastAsia"/>
          <w:b/>
          <w:bCs/>
          <w:color w:val="auto"/>
          <w:highlight w:val="none"/>
        </w:rPr>
        <w:t>及《评标因素及权重分值表》，自主编写方案说明书。</w:t>
      </w:r>
    </w:p>
    <w:p>
      <w:pPr>
        <w:pStyle w:val="2"/>
        <w:rPr>
          <w:rStyle w:val="43"/>
          <w:b/>
          <w:bCs/>
          <w:color w:val="auto"/>
          <w:highlight w:val="none"/>
        </w:rPr>
      </w:pPr>
      <w:r>
        <w:rPr>
          <w:rFonts w:hint="eastAsia"/>
          <w:color w:val="auto"/>
          <w:szCs w:val="24"/>
          <w:highlight w:val="none"/>
        </w:rPr>
        <w:br w:type="page"/>
      </w:r>
      <w:r>
        <w:rPr>
          <w:rStyle w:val="43"/>
          <w:rFonts w:hint="eastAsia"/>
          <w:b/>
          <w:bCs/>
          <w:color w:val="auto"/>
          <w:highlight w:val="none"/>
        </w:rPr>
        <w:t>附表1 技术响应偏离表</w:t>
      </w:r>
    </w:p>
    <w:p>
      <w:pPr>
        <w:pStyle w:val="7"/>
        <w:spacing w:before="166"/>
        <w:rPr>
          <w:color w:val="auto"/>
          <w:highlight w:val="none"/>
        </w:rPr>
      </w:pPr>
      <w:r>
        <w:rPr>
          <w:rFonts w:hint="eastAsia"/>
          <w:color w:val="auto"/>
          <w:highlight w:val="none"/>
        </w:rPr>
        <w:t>技术响应偏离表</w:t>
      </w:r>
    </w:p>
    <w:tbl>
      <w:tblPr>
        <w:tblStyle w:val="20"/>
        <w:tblW w:w="931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716"/>
        <w:gridCol w:w="1710"/>
        <w:gridCol w:w="1611"/>
        <w:gridCol w:w="2098"/>
        <w:gridCol w:w="1067"/>
        <w:gridCol w:w="1287"/>
        <w:gridCol w:w="8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34" w:hRule="atLeast"/>
          <w:jc w:val="center"/>
        </w:trPr>
        <w:tc>
          <w:tcPr>
            <w:tcW w:w="716" w:type="dxa"/>
            <w:vAlign w:val="center"/>
          </w:tcPr>
          <w:p>
            <w:pPr>
              <w:pStyle w:val="30"/>
              <w:rPr>
                <w:color w:val="auto"/>
                <w:highlight w:val="none"/>
              </w:rPr>
            </w:pPr>
            <w:r>
              <w:rPr>
                <w:rFonts w:hint="eastAsia"/>
                <w:color w:val="auto"/>
                <w:highlight w:val="none"/>
              </w:rPr>
              <w:t>序号</w:t>
            </w:r>
          </w:p>
        </w:tc>
        <w:tc>
          <w:tcPr>
            <w:tcW w:w="1710" w:type="dxa"/>
            <w:vAlign w:val="center"/>
          </w:tcPr>
          <w:p>
            <w:pPr>
              <w:pStyle w:val="30"/>
              <w:rPr>
                <w:color w:val="auto"/>
                <w:highlight w:val="none"/>
              </w:rPr>
            </w:pPr>
            <w:r>
              <w:rPr>
                <w:rFonts w:hint="eastAsia"/>
                <w:color w:val="auto"/>
                <w:highlight w:val="none"/>
              </w:rPr>
              <w:t>品目</w:t>
            </w:r>
          </w:p>
        </w:tc>
        <w:tc>
          <w:tcPr>
            <w:tcW w:w="1611" w:type="dxa"/>
            <w:vAlign w:val="center"/>
          </w:tcPr>
          <w:p>
            <w:pPr>
              <w:pStyle w:val="30"/>
              <w:rPr>
                <w:color w:val="auto"/>
                <w:highlight w:val="none"/>
              </w:rPr>
            </w:pPr>
            <w:r>
              <w:rPr>
                <w:rFonts w:hint="eastAsia"/>
                <w:color w:val="auto"/>
                <w:highlight w:val="none"/>
              </w:rPr>
              <w:t>招标要求</w:t>
            </w:r>
          </w:p>
        </w:tc>
        <w:tc>
          <w:tcPr>
            <w:tcW w:w="2098" w:type="dxa"/>
            <w:vAlign w:val="center"/>
          </w:tcPr>
          <w:p>
            <w:pPr>
              <w:pStyle w:val="30"/>
              <w:rPr>
                <w:color w:val="auto"/>
                <w:highlight w:val="none"/>
              </w:rPr>
            </w:pPr>
            <w:r>
              <w:rPr>
                <w:rFonts w:hint="eastAsia"/>
                <w:color w:val="auto"/>
                <w:highlight w:val="none"/>
              </w:rPr>
              <w:t>投标内容</w:t>
            </w:r>
          </w:p>
        </w:tc>
        <w:tc>
          <w:tcPr>
            <w:tcW w:w="1067" w:type="dxa"/>
            <w:vAlign w:val="center"/>
          </w:tcPr>
          <w:p>
            <w:pPr>
              <w:pStyle w:val="30"/>
              <w:rPr>
                <w:color w:val="auto"/>
                <w:highlight w:val="none"/>
              </w:rPr>
            </w:pPr>
            <w:r>
              <w:rPr>
                <w:rFonts w:hint="eastAsia"/>
                <w:color w:val="auto"/>
                <w:highlight w:val="none"/>
              </w:rPr>
              <w:t>偏离说明</w:t>
            </w:r>
          </w:p>
        </w:tc>
        <w:tc>
          <w:tcPr>
            <w:tcW w:w="1287" w:type="dxa"/>
            <w:vAlign w:val="center"/>
          </w:tcPr>
          <w:p>
            <w:pPr>
              <w:pStyle w:val="30"/>
              <w:rPr>
                <w:color w:val="auto"/>
                <w:highlight w:val="none"/>
              </w:rPr>
            </w:pPr>
            <w:r>
              <w:rPr>
                <w:rFonts w:hint="eastAsia"/>
                <w:color w:val="auto"/>
                <w:szCs w:val="24"/>
                <w:highlight w:val="none"/>
              </w:rPr>
              <w:t>证明材料索引页</w:t>
            </w:r>
          </w:p>
        </w:tc>
        <w:tc>
          <w:tcPr>
            <w:tcW w:w="827" w:type="dxa"/>
            <w:vAlign w:val="center"/>
          </w:tcPr>
          <w:p>
            <w:pPr>
              <w:pStyle w:val="30"/>
              <w:rPr>
                <w:color w:val="auto"/>
                <w:highlight w:val="none"/>
              </w:rPr>
            </w:pPr>
            <w:r>
              <w:rPr>
                <w:rFonts w:hint="eastAsia"/>
                <w:color w:val="auto"/>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34" w:hRule="atLeast"/>
          <w:jc w:val="center"/>
        </w:trPr>
        <w:tc>
          <w:tcPr>
            <w:tcW w:w="716" w:type="dxa"/>
          </w:tcPr>
          <w:p>
            <w:pPr>
              <w:pStyle w:val="30"/>
              <w:rPr>
                <w:color w:val="auto"/>
                <w:highlight w:val="none"/>
              </w:rPr>
            </w:pPr>
          </w:p>
        </w:tc>
        <w:tc>
          <w:tcPr>
            <w:tcW w:w="1710" w:type="dxa"/>
          </w:tcPr>
          <w:p>
            <w:pPr>
              <w:pStyle w:val="30"/>
              <w:rPr>
                <w:color w:val="auto"/>
                <w:highlight w:val="none"/>
              </w:rPr>
            </w:pPr>
          </w:p>
        </w:tc>
        <w:tc>
          <w:tcPr>
            <w:tcW w:w="1611" w:type="dxa"/>
          </w:tcPr>
          <w:p>
            <w:pPr>
              <w:pStyle w:val="30"/>
              <w:rPr>
                <w:color w:val="auto"/>
                <w:highlight w:val="none"/>
              </w:rPr>
            </w:pPr>
          </w:p>
        </w:tc>
        <w:tc>
          <w:tcPr>
            <w:tcW w:w="2098" w:type="dxa"/>
          </w:tcPr>
          <w:p>
            <w:pPr>
              <w:pStyle w:val="30"/>
              <w:rPr>
                <w:color w:val="auto"/>
                <w:highlight w:val="none"/>
              </w:rPr>
            </w:pPr>
          </w:p>
        </w:tc>
        <w:tc>
          <w:tcPr>
            <w:tcW w:w="1067" w:type="dxa"/>
          </w:tcPr>
          <w:p>
            <w:pPr>
              <w:pStyle w:val="30"/>
              <w:rPr>
                <w:color w:val="auto"/>
                <w:highlight w:val="none"/>
              </w:rPr>
            </w:pPr>
          </w:p>
        </w:tc>
        <w:tc>
          <w:tcPr>
            <w:tcW w:w="1287" w:type="dxa"/>
          </w:tcPr>
          <w:p>
            <w:pPr>
              <w:pStyle w:val="30"/>
              <w:rPr>
                <w:color w:val="auto"/>
                <w:highlight w:val="none"/>
              </w:rPr>
            </w:pPr>
          </w:p>
        </w:tc>
        <w:tc>
          <w:tcPr>
            <w:tcW w:w="827" w:type="dxa"/>
          </w:tcPr>
          <w:p>
            <w:pPr>
              <w:pStyle w:val="30"/>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34" w:hRule="atLeast"/>
          <w:jc w:val="center"/>
        </w:trPr>
        <w:tc>
          <w:tcPr>
            <w:tcW w:w="716" w:type="dxa"/>
          </w:tcPr>
          <w:p>
            <w:pPr>
              <w:pStyle w:val="30"/>
              <w:rPr>
                <w:color w:val="auto"/>
                <w:highlight w:val="none"/>
              </w:rPr>
            </w:pPr>
          </w:p>
        </w:tc>
        <w:tc>
          <w:tcPr>
            <w:tcW w:w="1710" w:type="dxa"/>
          </w:tcPr>
          <w:p>
            <w:pPr>
              <w:pStyle w:val="30"/>
              <w:rPr>
                <w:color w:val="auto"/>
                <w:highlight w:val="none"/>
              </w:rPr>
            </w:pPr>
          </w:p>
        </w:tc>
        <w:tc>
          <w:tcPr>
            <w:tcW w:w="1611" w:type="dxa"/>
          </w:tcPr>
          <w:p>
            <w:pPr>
              <w:pStyle w:val="30"/>
              <w:rPr>
                <w:color w:val="auto"/>
                <w:highlight w:val="none"/>
              </w:rPr>
            </w:pPr>
          </w:p>
        </w:tc>
        <w:tc>
          <w:tcPr>
            <w:tcW w:w="2098" w:type="dxa"/>
          </w:tcPr>
          <w:p>
            <w:pPr>
              <w:pStyle w:val="30"/>
              <w:rPr>
                <w:color w:val="auto"/>
                <w:highlight w:val="none"/>
              </w:rPr>
            </w:pPr>
          </w:p>
        </w:tc>
        <w:tc>
          <w:tcPr>
            <w:tcW w:w="1067" w:type="dxa"/>
          </w:tcPr>
          <w:p>
            <w:pPr>
              <w:pStyle w:val="30"/>
              <w:rPr>
                <w:color w:val="auto"/>
                <w:highlight w:val="none"/>
              </w:rPr>
            </w:pPr>
          </w:p>
        </w:tc>
        <w:tc>
          <w:tcPr>
            <w:tcW w:w="1287" w:type="dxa"/>
          </w:tcPr>
          <w:p>
            <w:pPr>
              <w:pStyle w:val="30"/>
              <w:rPr>
                <w:color w:val="auto"/>
                <w:highlight w:val="none"/>
              </w:rPr>
            </w:pPr>
          </w:p>
        </w:tc>
        <w:tc>
          <w:tcPr>
            <w:tcW w:w="827" w:type="dxa"/>
          </w:tcPr>
          <w:p>
            <w:pPr>
              <w:pStyle w:val="30"/>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39" w:hRule="atLeast"/>
          <w:jc w:val="center"/>
        </w:trPr>
        <w:tc>
          <w:tcPr>
            <w:tcW w:w="716" w:type="dxa"/>
          </w:tcPr>
          <w:p>
            <w:pPr>
              <w:pStyle w:val="30"/>
              <w:rPr>
                <w:color w:val="auto"/>
                <w:highlight w:val="none"/>
              </w:rPr>
            </w:pPr>
          </w:p>
        </w:tc>
        <w:tc>
          <w:tcPr>
            <w:tcW w:w="1710" w:type="dxa"/>
          </w:tcPr>
          <w:p>
            <w:pPr>
              <w:pStyle w:val="30"/>
              <w:rPr>
                <w:color w:val="auto"/>
                <w:highlight w:val="none"/>
              </w:rPr>
            </w:pPr>
          </w:p>
        </w:tc>
        <w:tc>
          <w:tcPr>
            <w:tcW w:w="1611" w:type="dxa"/>
          </w:tcPr>
          <w:p>
            <w:pPr>
              <w:pStyle w:val="30"/>
              <w:rPr>
                <w:color w:val="auto"/>
                <w:highlight w:val="none"/>
              </w:rPr>
            </w:pPr>
          </w:p>
        </w:tc>
        <w:tc>
          <w:tcPr>
            <w:tcW w:w="2098" w:type="dxa"/>
          </w:tcPr>
          <w:p>
            <w:pPr>
              <w:pStyle w:val="30"/>
              <w:rPr>
                <w:color w:val="auto"/>
                <w:highlight w:val="none"/>
              </w:rPr>
            </w:pPr>
          </w:p>
        </w:tc>
        <w:tc>
          <w:tcPr>
            <w:tcW w:w="1067" w:type="dxa"/>
          </w:tcPr>
          <w:p>
            <w:pPr>
              <w:pStyle w:val="30"/>
              <w:rPr>
                <w:color w:val="auto"/>
                <w:highlight w:val="none"/>
              </w:rPr>
            </w:pPr>
          </w:p>
        </w:tc>
        <w:tc>
          <w:tcPr>
            <w:tcW w:w="1287" w:type="dxa"/>
          </w:tcPr>
          <w:p>
            <w:pPr>
              <w:pStyle w:val="30"/>
              <w:rPr>
                <w:color w:val="auto"/>
                <w:highlight w:val="none"/>
              </w:rPr>
            </w:pPr>
          </w:p>
        </w:tc>
        <w:tc>
          <w:tcPr>
            <w:tcW w:w="827" w:type="dxa"/>
          </w:tcPr>
          <w:p>
            <w:pPr>
              <w:pStyle w:val="30"/>
              <w:rPr>
                <w:color w:val="auto"/>
                <w:highlight w:val="none"/>
              </w:rPr>
            </w:pPr>
          </w:p>
        </w:tc>
      </w:tr>
    </w:tbl>
    <w:p>
      <w:pPr>
        <w:tabs>
          <w:tab w:val="left" w:pos="7200"/>
          <w:tab w:val="left" w:pos="8504"/>
        </w:tabs>
        <w:spacing w:line="360" w:lineRule="auto"/>
        <w:ind w:right="-1"/>
        <w:rPr>
          <w:rFonts w:hAnsi="宋体" w:cs="宋体"/>
          <w:color w:val="auto"/>
          <w:highlight w:val="none"/>
        </w:rPr>
      </w:pPr>
    </w:p>
    <w:p>
      <w:pPr>
        <w:spacing w:line="120" w:lineRule="exact"/>
        <w:rPr>
          <w:rFonts w:hAnsi="宋体" w:cs="宋体"/>
          <w:color w:val="auto"/>
          <w:highlight w:val="none"/>
        </w:rPr>
      </w:pPr>
    </w:p>
    <w:p>
      <w:pPr>
        <w:pStyle w:val="5"/>
        <w:ind w:firstLine="0" w:firstLineChars="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0" w:firstLineChars="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pStyle w:val="5"/>
        <w:ind w:firstLine="0" w:firstLineChars="0"/>
        <w:rPr>
          <w:b/>
          <w:bCs/>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adjustRightInd w:val="0"/>
        <w:snapToGrid w:val="0"/>
        <w:spacing w:line="440" w:lineRule="exact"/>
        <w:ind w:left="137" w:leftChars="57" w:firstLine="1446" w:firstLineChars="600"/>
        <w:rPr>
          <w:rFonts w:hAnsi="宋体" w:cs="宋体"/>
          <w:b/>
          <w:bCs/>
          <w:color w:val="auto"/>
          <w:szCs w:val="24"/>
          <w:highlight w:val="none"/>
        </w:rPr>
      </w:pPr>
    </w:p>
    <w:p>
      <w:pPr>
        <w:rPr>
          <w:rFonts w:hAnsi="宋体" w:cs="宋体"/>
          <w:color w:val="auto"/>
          <w:szCs w:val="24"/>
          <w:highlight w:val="none"/>
        </w:rPr>
      </w:pPr>
    </w:p>
    <w:p>
      <w:pPr>
        <w:pStyle w:val="32"/>
        <w:rPr>
          <w:rFonts w:hAnsi="宋体" w:cs="宋体"/>
          <w:color w:val="auto"/>
          <w:szCs w:val="24"/>
          <w:highlight w:val="none"/>
        </w:rPr>
      </w:pPr>
      <w:r>
        <w:rPr>
          <w:rFonts w:hint="eastAsia" w:hAnsi="宋体" w:cs="宋体"/>
          <w:b/>
          <w:bCs/>
          <w:color w:val="auto"/>
          <w:szCs w:val="24"/>
          <w:highlight w:val="none"/>
        </w:rPr>
        <w:t>注：</w:t>
      </w:r>
      <w:r>
        <w:rPr>
          <w:rFonts w:hint="eastAsia" w:hAnsi="宋体" w:cs="宋体"/>
          <w:color w:val="auto"/>
          <w:szCs w:val="24"/>
          <w:highlight w:val="none"/>
        </w:rPr>
        <w:t xml:space="preserve"> </w:t>
      </w:r>
    </w:p>
    <w:p>
      <w:pPr>
        <w:pStyle w:val="5"/>
        <w:numPr>
          <w:ilvl w:val="0"/>
          <w:numId w:val="2"/>
        </w:numPr>
        <w:ind w:firstLine="480"/>
        <w:rPr>
          <w:color w:val="auto"/>
          <w:highlight w:val="none"/>
        </w:rPr>
      </w:pPr>
      <w:r>
        <w:rPr>
          <w:rFonts w:hint="eastAsia"/>
          <w:color w:val="auto"/>
          <w:highlight w:val="none"/>
        </w:rPr>
        <w:t>招标要求指招标文件</w:t>
      </w:r>
      <w:r>
        <w:rPr>
          <w:rFonts w:hint="eastAsia"/>
          <w:b/>
          <w:bCs/>
          <w:color w:val="auto"/>
          <w:highlight w:val="none"/>
        </w:rPr>
        <w:t>第四章“采购内容及技术要求”一、采购内容及要求</w:t>
      </w:r>
      <w:r>
        <w:rPr>
          <w:rFonts w:hint="eastAsia"/>
          <w:b w:val="0"/>
          <w:bCs w:val="0"/>
          <w:color w:val="auto"/>
          <w:highlight w:val="none"/>
        </w:rPr>
        <w:t>所投合同包</w:t>
      </w:r>
      <w:r>
        <w:rPr>
          <w:rFonts w:hint="eastAsia"/>
          <w:color w:val="auto"/>
          <w:highlight w:val="none"/>
        </w:rPr>
        <w:t>中所列内容,投标人应按照招标文件中的内容逐项响应。</w:t>
      </w:r>
    </w:p>
    <w:p>
      <w:pPr>
        <w:pStyle w:val="5"/>
        <w:numPr>
          <w:ilvl w:val="0"/>
          <w:numId w:val="2"/>
        </w:numPr>
        <w:ind w:firstLine="480"/>
        <w:rPr>
          <w:color w:val="auto"/>
          <w:highlight w:val="none"/>
        </w:rPr>
      </w:pPr>
      <w:r>
        <w:rPr>
          <w:rFonts w:hint="eastAsia"/>
          <w:color w:val="auto"/>
          <w:highlight w:val="none"/>
        </w:rPr>
        <w:t>投标内容指投标人拟提供的相应响应内容,</w:t>
      </w:r>
      <w:r>
        <w:rPr>
          <w:rFonts w:hint="eastAsia"/>
          <w:b/>
          <w:bCs/>
          <w:color w:val="auto"/>
          <w:highlight w:val="none"/>
        </w:rPr>
        <w:t>投标人应逐条如实填写并提供相应的支持文件。</w:t>
      </w:r>
      <w:r>
        <w:rPr>
          <w:rFonts w:hint="eastAsia"/>
          <w:color w:val="auto"/>
          <w:highlight w:val="none"/>
        </w:rPr>
        <w:t xml:space="preserve"> </w:t>
      </w:r>
    </w:p>
    <w:p>
      <w:pPr>
        <w:pStyle w:val="5"/>
        <w:numPr>
          <w:ilvl w:val="0"/>
          <w:numId w:val="2"/>
        </w:numPr>
        <w:ind w:firstLine="480"/>
        <w:rPr>
          <w:color w:val="auto"/>
          <w:highlight w:val="none"/>
        </w:rPr>
      </w:pPr>
      <w:r>
        <w:rPr>
          <w:rFonts w:hint="eastAsia"/>
          <w:color w:val="auto"/>
          <w:highlight w:val="none"/>
        </w:rPr>
        <w:t>偏离说明填写：优于、满足或低于。</w:t>
      </w:r>
    </w:p>
    <w:p>
      <w:pPr>
        <w:pStyle w:val="5"/>
        <w:numPr>
          <w:ilvl w:val="0"/>
          <w:numId w:val="2"/>
        </w:numPr>
        <w:ind w:firstLine="480"/>
        <w:rPr>
          <w:color w:val="auto"/>
          <w:highlight w:val="none"/>
        </w:rPr>
      </w:pPr>
      <w:r>
        <w:rPr>
          <w:rFonts w:hint="eastAsia"/>
          <w:color w:val="auto"/>
          <w:highlight w:val="none"/>
        </w:rPr>
        <w:t>投标人必须据实填写，不得虚假响应，否则将取消其投标或中标资格。</w:t>
      </w:r>
    </w:p>
    <w:p>
      <w:pPr>
        <w:rPr>
          <w:rFonts w:hAnsi="宋体" w:cs="宋体"/>
          <w:color w:val="auto"/>
          <w:szCs w:val="24"/>
          <w:highlight w:val="none"/>
        </w:rPr>
      </w:pPr>
      <w:r>
        <w:rPr>
          <w:rFonts w:hint="eastAsia" w:hAnsi="宋体" w:cs="宋体"/>
          <w:color w:val="auto"/>
          <w:szCs w:val="24"/>
          <w:highlight w:val="none"/>
        </w:rPr>
        <w:t xml:space="preserve">     </w:t>
      </w:r>
    </w:p>
    <w:p>
      <w:pPr>
        <w:pStyle w:val="2"/>
        <w:rPr>
          <w:rStyle w:val="38"/>
          <w:b/>
          <w:bCs/>
          <w:color w:val="auto"/>
          <w:highlight w:val="none"/>
        </w:rPr>
      </w:pPr>
      <w:bookmarkStart w:id="209" w:name="_Toc225566882"/>
      <w:bookmarkStart w:id="210" w:name="_Toc396304713"/>
      <w:bookmarkStart w:id="211" w:name="_Toc225566701"/>
      <w:bookmarkStart w:id="212" w:name="_Toc225567481"/>
      <w:bookmarkStart w:id="213" w:name="_Toc225410181"/>
      <w:bookmarkStart w:id="214" w:name="_Toc225415860"/>
      <w:bookmarkStart w:id="215" w:name="_Toc225412171"/>
      <w:bookmarkStart w:id="216" w:name="_Toc225409965"/>
      <w:bookmarkStart w:id="217" w:name="_Toc225416061"/>
      <w:bookmarkStart w:id="218" w:name="_Toc225412373"/>
      <w:bookmarkStart w:id="219" w:name="_Toc225410807"/>
      <w:bookmarkStart w:id="220" w:name="_Toc341541375"/>
      <w:bookmarkStart w:id="221" w:name="_Toc225415659"/>
      <w:r>
        <w:rPr>
          <w:rFonts w:hint="eastAsia"/>
          <w:color w:val="auto"/>
          <w:szCs w:val="24"/>
          <w:highlight w:val="none"/>
        </w:rPr>
        <w:br w:type="page"/>
      </w:r>
      <w:r>
        <w:rPr>
          <w:rStyle w:val="38"/>
          <w:rFonts w:hint="eastAsia"/>
          <w:b/>
          <w:bCs/>
          <w:color w:val="auto"/>
          <w:highlight w:val="none"/>
        </w:rPr>
        <w:t>附表2 本项目拟投入人员汇总表</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7"/>
        <w:spacing w:before="666" w:after="666"/>
        <w:rPr>
          <w:color w:val="auto"/>
          <w:highlight w:val="none"/>
        </w:rPr>
      </w:pPr>
      <w:bookmarkStart w:id="222" w:name="_Toc214"/>
      <w:bookmarkStart w:id="223" w:name="_Toc14631"/>
      <w:bookmarkStart w:id="224" w:name="_Toc25551"/>
      <w:bookmarkStart w:id="225" w:name="_Toc19082"/>
      <w:bookmarkStart w:id="226" w:name="_Toc13827"/>
      <w:bookmarkStart w:id="227" w:name="_Toc396304714"/>
      <w:bookmarkStart w:id="228" w:name="_Toc17592"/>
      <w:bookmarkStart w:id="229" w:name="_Toc403077652"/>
      <w:bookmarkStart w:id="230" w:name="_Toc26523"/>
      <w:bookmarkStart w:id="231" w:name="_Toc4115"/>
      <w:bookmarkStart w:id="232" w:name="_Toc2768"/>
      <w:bookmarkStart w:id="233" w:name="_Toc426457710"/>
      <w:r>
        <w:rPr>
          <w:rFonts w:hint="eastAsia"/>
          <w:color w:val="auto"/>
          <w:highlight w:val="none"/>
        </w:rPr>
        <w:t>（一）本项目拟投入人员汇总表</w:t>
      </w:r>
      <w:bookmarkEnd w:id="222"/>
      <w:bookmarkEnd w:id="223"/>
      <w:bookmarkEnd w:id="224"/>
      <w:bookmarkEnd w:id="225"/>
      <w:bookmarkEnd w:id="226"/>
      <w:bookmarkEnd w:id="227"/>
      <w:bookmarkEnd w:id="228"/>
      <w:bookmarkEnd w:id="229"/>
      <w:bookmarkEnd w:id="230"/>
      <w:bookmarkEnd w:id="231"/>
      <w:bookmarkEnd w:id="232"/>
      <w:bookmarkEnd w:id="233"/>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序号</w:t>
            </w:r>
          </w:p>
        </w:tc>
        <w:tc>
          <w:tcPr>
            <w:tcW w:w="1240"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姓  名</w:t>
            </w:r>
          </w:p>
        </w:tc>
        <w:tc>
          <w:tcPr>
            <w:tcW w:w="570"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性别</w:t>
            </w:r>
          </w:p>
        </w:tc>
        <w:tc>
          <w:tcPr>
            <w:tcW w:w="570"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年龄</w:t>
            </w:r>
          </w:p>
        </w:tc>
        <w:tc>
          <w:tcPr>
            <w:tcW w:w="570"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学历</w:t>
            </w:r>
          </w:p>
        </w:tc>
        <w:tc>
          <w:tcPr>
            <w:tcW w:w="835"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技术</w:t>
            </w:r>
          </w:p>
          <w:p>
            <w:pPr>
              <w:pStyle w:val="30"/>
              <w:rPr>
                <w:b/>
                <w:bCs/>
                <w:color w:val="auto"/>
                <w:highlight w:val="none"/>
              </w:rPr>
            </w:pPr>
            <w:r>
              <w:rPr>
                <w:rFonts w:hint="eastAsia"/>
                <w:b/>
                <w:bCs/>
                <w:color w:val="auto"/>
                <w:highlight w:val="none"/>
              </w:rPr>
              <w:t>职称</w:t>
            </w:r>
          </w:p>
        </w:tc>
        <w:tc>
          <w:tcPr>
            <w:tcW w:w="1157" w:type="dxa"/>
            <w:tcMar>
              <w:top w:w="15" w:type="dxa"/>
              <w:left w:w="15" w:type="dxa"/>
              <w:bottom w:w="0" w:type="dxa"/>
              <w:right w:w="15" w:type="dxa"/>
            </w:tcMar>
          </w:tcPr>
          <w:p>
            <w:pPr>
              <w:pStyle w:val="30"/>
              <w:rPr>
                <w:b/>
                <w:bCs/>
                <w:color w:val="auto"/>
                <w:highlight w:val="none"/>
              </w:rPr>
            </w:pPr>
            <w:r>
              <w:rPr>
                <w:rFonts w:hint="eastAsia"/>
                <w:b/>
                <w:bCs/>
                <w:color w:val="auto"/>
                <w:highlight w:val="none"/>
              </w:rPr>
              <w:t>资格证</w:t>
            </w:r>
          </w:p>
          <w:p>
            <w:pPr>
              <w:pStyle w:val="30"/>
              <w:rPr>
                <w:b/>
                <w:bCs/>
                <w:color w:val="auto"/>
                <w:highlight w:val="none"/>
              </w:rPr>
            </w:pPr>
            <w:r>
              <w:rPr>
                <w:rFonts w:hint="eastAsia"/>
                <w:b/>
                <w:bCs/>
                <w:color w:val="auto"/>
                <w:highlight w:val="none"/>
              </w:rPr>
              <w:t>书种类</w:t>
            </w:r>
          </w:p>
        </w:tc>
        <w:tc>
          <w:tcPr>
            <w:tcW w:w="748"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工作</w:t>
            </w:r>
          </w:p>
          <w:p>
            <w:pPr>
              <w:pStyle w:val="30"/>
              <w:rPr>
                <w:b/>
                <w:bCs/>
                <w:color w:val="auto"/>
                <w:highlight w:val="none"/>
              </w:rPr>
            </w:pPr>
            <w:r>
              <w:rPr>
                <w:rFonts w:hint="eastAsia"/>
                <w:b/>
                <w:bCs/>
                <w:color w:val="auto"/>
                <w:highlight w:val="none"/>
              </w:rPr>
              <w:t>年限</w:t>
            </w:r>
          </w:p>
        </w:tc>
        <w:tc>
          <w:tcPr>
            <w:tcW w:w="1877"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拟担任的职务</w:t>
            </w:r>
          </w:p>
        </w:tc>
        <w:tc>
          <w:tcPr>
            <w:tcW w:w="680" w:type="dxa"/>
            <w:tcMar>
              <w:top w:w="15" w:type="dxa"/>
              <w:left w:w="15" w:type="dxa"/>
              <w:bottom w:w="0" w:type="dxa"/>
              <w:right w:w="15" w:type="dxa"/>
            </w:tcMar>
            <w:vAlign w:val="center"/>
          </w:tcPr>
          <w:p>
            <w:pPr>
              <w:pStyle w:val="30"/>
              <w:rPr>
                <w:b/>
                <w:bCs/>
                <w:color w:val="auto"/>
                <w:highlight w:val="none"/>
              </w:rPr>
            </w:pPr>
            <w:r>
              <w:rPr>
                <w:rFonts w:hint="eastAsia"/>
                <w:b/>
                <w:bCs/>
                <w:color w:val="auto"/>
                <w:highlight w:val="none"/>
              </w:rPr>
              <w:t>岗位</w:t>
            </w:r>
          </w:p>
          <w:p>
            <w:pPr>
              <w:pStyle w:val="30"/>
              <w:rPr>
                <w:b/>
                <w:bCs/>
                <w:color w:val="auto"/>
                <w:highlight w:val="none"/>
              </w:rPr>
            </w:pPr>
            <w:r>
              <w:rPr>
                <w:rFonts w:hint="eastAsia"/>
                <w:b/>
                <w:bCs/>
                <w:color w:val="auto"/>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0"/>
              <w:rPr>
                <w:color w:val="auto"/>
                <w:highlight w:val="none"/>
              </w:rPr>
            </w:pPr>
          </w:p>
        </w:tc>
        <w:tc>
          <w:tcPr>
            <w:tcW w:w="124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570" w:type="dxa"/>
            <w:tcMar>
              <w:top w:w="15" w:type="dxa"/>
              <w:left w:w="15" w:type="dxa"/>
              <w:bottom w:w="0" w:type="dxa"/>
              <w:right w:w="15" w:type="dxa"/>
            </w:tcMar>
            <w:vAlign w:val="bottom"/>
          </w:tcPr>
          <w:p>
            <w:pPr>
              <w:pStyle w:val="30"/>
              <w:rPr>
                <w:color w:val="auto"/>
                <w:highlight w:val="none"/>
              </w:rPr>
            </w:pPr>
          </w:p>
        </w:tc>
        <w:tc>
          <w:tcPr>
            <w:tcW w:w="835" w:type="dxa"/>
            <w:tcMar>
              <w:top w:w="15" w:type="dxa"/>
              <w:left w:w="15" w:type="dxa"/>
              <w:bottom w:w="0" w:type="dxa"/>
              <w:right w:w="15" w:type="dxa"/>
            </w:tcMar>
            <w:vAlign w:val="bottom"/>
          </w:tcPr>
          <w:p>
            <w:pPr>
              <w:pStyle w:val="30"/>
              <w:rPr>
                <w:color w:val="auto"/>
                <w:highlight w:val="none"/>
              </w:rPr>
            </w:pPr>
          </w:p>
        </w:tc>
        <w:tc>
          <w:tcPr>
            <w:tcW w:w="1157" w:type="dxa"/>
            <w:tcMar>
              <w:top w:w="15" w:type="dxa"/>
              <w:left w:w="15" w:type="dxa"/>
              <w:bottom w:w="0" w:type="dxa"/>
              <w:right w:w="15" w:type="dxa"/>
            </w:tcMar>
          </w:tcPr>
          <w:p>
            <w:pPr>
              <w:pStyle w:val="30"/>
              <w:rPr>
                <w:color w:val="auto"/>
                <w:highlight w:val="none"/>
              </w:rPr>
            </w:pPr>
          </w:p>
        </w:tc>
        <w:tc>
          <w:tcPr>
            <w:tcW w:w="748" w:type="dxa"/>
            <w:tcMar>
              <w:top w:w="15" w:type="dxa"/>
              <w:left w:w="15" w:type="dxa"/>
              <w:bottom w:w="0" w:type="dxa"/>
              <w:right w:w="15" w:type="dxa"/>
            </w:tcMar>
            <w:vAlign w:val="bottom"/>
          </w:tcPr>
          <w:p>
            <w:pPr>
              <w:pStyle w:val="30"/>
              <w:rPr>
                <w:color w:val="auto"/>
                <w:highlight w:val="none"/>
              </w:rPr>
            </w:pPr>
          </w:p>
        </w:tc>
        <w:tc>
          <w:tcPr>
            <w:tcW w:w="1877" w:type="dxa"/>
            <w:tcMar>
              <w:top w:w="15" w:type="dxa"/>
              <w:left w:w="15" w:type="dxa"/>
              <w:bottom w:w="0" w:type="dxa"/>
              <w:right w:w="15" w:type="dxa"/>
            </w:tcMar>
            <w:vAlign w:val="bottom"/>
          </w:tcPr>
          <w:p>
            <w:pPr>
              <w:pStyle w:val="30"/>
              <w:rPr>
                <w:color w:val="auto"/>
                <w:highlight w:val="none"/>
              </w:rPr>
            </w:pPr>
          </w:p>
        </w:tc>
        <w:tc>
          <w:tcPr>
            <w:tcW w:w="680" w:type="dxa"/>
            <w:tcMar>
              <w:top w:w="15" w:type="dxa"/>
              <w:left w:w="15" w:type="dxa"/>
              <w:bottom w:w="0" w:type="dxa"/>
              <w:right w:w="15" w:type="dxa"/>
            </w:tcMar>
            <w:vAlign w:val="bottom"/>
          </w:tcPr>
          <w:p>
            <w:pPr>
              <w:pStyle w:val="30"/>
              <w:rPr>
                <w:color w:val="auto"/>
                <w:highlight w:val="none"/>
              </w:rPr>
            </w:pPr>
          </w:p>
        </w:tc>
      </w:tr>
    </w:tbl>
    <w:p>
      <w:pPr>
        <w:pStyle w:val="5"/>
        <w:ind w:firstLine="480"/>
        <w:rPr>
          <w:color w:val="auto"/>
          <w:highlight w:val="none"/>
        </w:rPr>
      </w:pPr>
      <w:r>
        <w:rPr>
          <w:rFonts w:hint="eastAsia"/>
          <w:color w:val="auto"/>
          <w:highlight w:val="none"/>
        </w:rPr>
        <w:t>注：“岗位情况”须注明该人在本单位是在岗、返聘还是外聘。</w:t>
      </w:r>
    </w:p>
    <w:p>
      <w:pPr>
        <w:pStyle w:val="7"/>
        <w:spacing w:before="666" w:after="666"/>
        <w:rPr>
          <w:color w:val="auto"/>
          <w:highlight w:val="none"/>
        </w:rPr>
      </w:pPr>
      <w:bookmarkStart w:id="234" w:name="_Toc341541376"/>
      <w:bookmarkStart w:id="235" w:name="_Toc225415660"/>
      <w:bookmarkStart w:id="236" w:name="_Toc225410182"/>
      <w:bookmarkStart w:id="237" w:name="_Toc16685"/>
      <w:bookmarkStart w:id="238" w:name="_Toc26060"/>
      <w:bookmarkStart w:id="239" w:name="_Toc225415861"/>
      <w:bookmarkStart w:id="240" w:name="_Toc8175"/>
      <w:bookmarkStart w:id="241" w:name="_Toc225410808"/>
      <w:bookmarkStart w:id="242" w:name="_Toc4548"/>
      <w:bookmarkStart w:id="243" w:name="_Toc225566883"/>
      <w:bookmarkStart w:id="244" w:name="_Toc5691"/>
      <w:bookmarkStart w:id="245" w:name="_Toc225412172"/>
      <w:bookmarkStart w:id="246" w:name="_Toc5833"/>
      <w:bookmarkStart w:id="247" w:name="_Toc225566702"/>
      <w:bookmarkStart w:id="248" w:name="_Toc225409966"/>
      <w:bookmarkStart w:id="249" w:name="_Toc225412374"/>
      <w:bookmarkStart w:id="250" w:name="_Toc396304715"/>
      <w:bookmarkStart w:id="251" w:name="_Toc15882"/>
      <w:bookmarkStart w:id="252" w:name="_Toc6668"/>
      <w:bookmarkStart w:id="253" w:name="_Toc225416062"/>
      <w:bookmarkStart w:id="254" w:name="_Toc225567482"/>
      <w:bookmarkStart w:id="255" w:name="_Toc403077653"/>
      <w:bookmarkStart w:id="256" w:name="_Toc14010"/>
      <w:bookmarkStart w:id="257" w:name="_Toc426457711"/>
      <w:r>
        <w:rPr>
          <w:rFonts w:hint="eastAsia"/>
          <w:color w:val="auto"/>
          <w:highlight w:val="none"/>
        </w:rPr>
        <w:t>（二） 本项目拟投入主要人员简历表</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33"/>
        <w:spacing w:line="360" w:lineRule="auto"/>
        <w:ind w:firstLine="0" w:firstLineChars="0"/>
        <w:jc w:val="center"/>
        <w:outlineLvl w:val="9"/>
        <w:rPr>
          <w:rFonts w:hAnsi="宋体"/>
          <w:color w:val="auto"/>
          <w:szCs w:val="24"/>
          <w:highlight w:val="none"/>
        </w:rPr>
      </w:pPr>
      <w:bookmarkStart w:id="258" w:name="_Toc12576"/>
      <w:bookmarkStart w:id="259" w:name="_Toc396304716"/>
      <w:bookmarkStart w:id="260" w:name="_Toc26268"/>
      <w:bookmarkStart w:id="261" w:name="_Toc21195"/>
      <w:bookmarkStart w:id="262" w:name="_Toc426457712"/>
      <w:bookmarkStart w:id="263" w:name="_Toc13947"/>
      <w:bookmarkStart w:id="264" w:name="_Toc30540"/>
      <w:bookmarkStart w:id="265" w:name="_Toc23862"/>
      <w:bookmarkStart w:id="266" w:name="_Toc1696"/>
      <w:bookmarkStart w:id="267" w:name="_Toc23655"/>
      <w:bookmarkStart w:id="268" w:name="_Toc4640"/>
      <w:bookmarkStart w:id="269" w:name="_Toc403077654"/>
      <w:r>
        <w:rPr>
          <w:rFonts w:hint="eastAsia" w:hAnsi="宋体"/>
          <w:color w:val="auto"/>
          <w:szCs w:val="24"/>
          <w:highlight w:val="none"/>
        </w:rPr>
        <w:t>本项目拟投入主要人员简历表</w:t>
      </w:r>
      <w:bookmarkEnd w:id="258"/>
      <w:bookmarkEnd w:id="259"/>
      <w:bookmarkEnd w:id="260"/>
      <w:bookmarkEnd w:id="261"/>
      <w:bookmarkEnd w:id="262"/>
      <w:bookmarkEnd w:id="263"/>
      <w:bookmarkEnd w:id="264"/>
      <w:bookmarkEnd w:id="265"/>
      <w:bookmarkEnd w:id="266"/>
      <w:bookmarkEnd w:id="267"/>
      <w:bookmarkEnd w:id="268"/>
      <w:bookmarkEnd w:id="269"/>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30"/>
              <w:rPr>
                <w:color w:val="auto"/>
                <w:highlight w:val="none"/>
              </w:rPr>
            </w:pPr>
            <w:r>
              <w:rPr>
                <w:rFonts w:hint="eastAsia"/>
                <w:color w:val="auto"/>
                <w:highlight w:val="none"/>
              </w:rPr>
              <w:t>姓  名</w:t>
            </w:r>
          </w:p>
        </w:tc>
        <w:tc>
          <w:tcPr>
            <w:tcW w:w="1577" w:type="dxa"/>
            <w:vAlign w:val="center"/>
          </w:tcPr>
          <w:p>
            <w:pPr>
              <w:pStyle w:val="30"/>
              <w:rPr>
                <w:color w:val="auto"/>
                <w:highlight w:val="none"/>
              </w:rPr>
            </w:pPr>
          </w:p>
        </w:tc>
        <w:tc>
          <w:tcPr>
            <w:tcW w:w="1525" w:type="dxa"/>
            <w:vAlign w:val="center"/>
          </w:tcPr>
          <w:p>
            <w:pPr>
              <w:pStyle w:val="30"/>
              <w:rPr>
                <w:color w:val="auto"/>
                <w:highlight w:val="none"/>
              </w:rPr>
            </w:pPr>
            <w:r>
              <w:rPr>
                <w:rFonts w:hint="eastAsia"/>
                <w:color w:val="auto"/>
                <w:highlight w:val="none"/>
              </w:rPr>
              <w:t>性 别</w:t>
            </w:r>
          </w:p>
        </w:tc>
        <w:tc>
          <w:tcPr>
            <w:tcW w:w="1331" w:type="dxa"/>
            <w:gridSpan w:val="2"/>
            <w:vAlign w:val="center"/>
          </w:tcPr>
          <w:p>
            <w:pPr>
              <w:pStyle w:val="30"/>
              <w:rPr>
                <w:color w:val="auto"/>
                <w:highlight w:val="none"/>
              </w:rPr>
            </w:pPr>
          </w:p>
        </w:tc>
        <w:tc>
          <w:tcPr>
            <w:tcW w:w="1709" w:type="dxa"/>
            <w:vAlign w:val="center"/>
          </w:tcPr>
          <w:p>
            <w:pPr>
              <w:pStyle w:val="30"/>
              <w:rPr>
                <w:color w:val="auto"/>
                <w:highlight w:val="none"/>
              </w:rPr>
            </w:pPr>
            <w:r>
              <w:rPr>
                <w:rFonts w:hint="eastAsia"/>
                <w:color w:val="auto"/>
                <w:highlight w:val="none"/>
              </w:rPr>
              <w:t>年 龄</w:t>
            </w:r>
          </w:p>
        </w:tc>
        <w:tc>
          <w:tcPr>
            <w:tcW w:w="1139" w:type="dxa"/>
            <w:gridSpan w:val="2"/>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30"/>
              <w:rPr>
                <w:color w:val="auto"/>
                <w:highlight w:val="none"/>
              </w:rPr>
            </w:pPr>
            <w:r>
              <w:rPr>
                <w:rFonts w:hint="eastAsia"/>
                <w:color w:val="auto"/>
                <w:highlight w:val="none"/>
              </w:rPr>
              <w:t>职  称</w:t>
            </w:r>
          </w:p>
        </w:tc>
        <w:tc>
          <w:tcPr>
            <w:tcW w:w="1577" w:type="dxa"/>
            <w:vAlign w:val="center"/>
          </w:tcPr>
          <w:p>
            <w:pPr>
              <w:pStyle w:val="30"/>
              <w:rPr>
                <w:color w:val="auto"/>
                <w:highlight w:val="none"/>
              </w:rPr>
            </w:pPr>
          </w:p>
        </w:tc>
        <w:tc>
          <w:tcPr>
            <w:tcW w:w="1525" w:type="dxa"/>
            <w:vAlign w:val="center"/>
          </w:tcPr>
          <w:p>
            <w:pPr>
              <w:pStyle w:val="30"/>
              <w:rPr>
                <w:color w:val="auto"/>
                <w:highlight w:val="none"/>
              </w:rPr>
            </w:pPr>
            <w:r>
              <w:rPr>
                <w:rFonts w:hint="eastAsia"/>
                <w:color w:val="auto"/>
                <w:highlight w:val="none"/>
              </w:rPr>
              <w:t>身份证号</w:t>
            </w:r>
          </w:p>
        </w:tc>
        <w:tc>
          <w:tcPr>
            <w:tcW w:w="1331" w:type="dxa"/>
            <w:gridSpan w:val="2"/>
            <w:vAlign w:val="center"/>
          </w:tcPr>
          <w:p>
            <w:pPr>
              <w:pStyle w:val="30"/>
              <w:rPr>
                <w:color w:val="auto"/>
                <w:highlight w:val="none"/>
              </w:rPr>
            </w:pPr>
          </w:p>
        </w:tc>
        <w:tc>
          <w:tcPr>
            <w:tcW w:w="1709" w:type="dxa"/>
            <w:vAlign w:val="center"/>
          </w:tcPr>
          <w:p>
            <w:pPr>
              <w:pStyle w:val="30"/>
              <w:rPr>
                <w:color w:val="auto"/>
                <w:highlight w:val="none"/>
              </w:rPr>
            </w:pPr>
            <w:r>
              <w:rPr>
                <w:rFonts w:hint="eastAsia"/>
                <w:color w:val="auto"/>
                <w:highlight w:val="none"/>
              </w:rPr>
              <w:t>专业/年限</w:t>
            </w:r>
          </w:p>
        </w:tc>
        <w:tc>
          <w:tcPr>
            <w:tcW w:w="1139" w:type="dxa"/>
            <w:gridSpan w:val="2"/>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30"/>
              <w:rPr>
                <w:color w:val="auto"/>
                <w:highlight w:val="none"/>
              </w:rPr>
            </w:pPr>
            <w:r>
              <w:rPr>
                <w:rFonts w:hint="eastAsia"/>
                <w:color w:val="auto"/>
                <w:highlight w:val="none"/>
              </w:rPr>
              <w:t>毕业时间</w:t>
            </w:r>
          </w:p>
        </w:tc>
        <w:tc>
          <w:tcPr>
            <w:tcW w:w="1577" w:type="dxa"/>
            <w:vAlign w:val="center"/>
          </w:tcPr>
          <w:p>
            <w:pPr>
              <w:pStyle w:val="30"/>
              <w:rPr>
                <w:color w:val="auto"/>
                <w:highlight w:val="none"/>
              </w:rPr>
            </w:pPr>
          </w:p>
        </w:tc>
        <w:tc>
          <w:tcPr>
            <w:tcW w:w="1525" w:type="dxa"/>
            <w:vAlign w:val="center"/>
          </w:tcPr>
          <w:p>
            <w:pPr>
              <w:pStyle w:val="30"/>
              <w:rPr>
                <w:color w:val="auto"/>
                <w:highlight w:val="none"/>
              </w:rPr>
            </w:pPr>
            <w:r>
              <w:rPr>
                <w:rFonts w:hint="eastAsia"/>
                <w:color w:val="auto"/>
                <w:highlight w:val="none"/>
              </w:rPr>
              <w:t>毕业学校</w:t>
            </w:r>
          </w:p>
        </w:tc>
        <w:tc>
          <w:tcPr>
            <w:tcW w:w="1331" w:type="dxa"/>
            <w:gridSpan w:val="2"/>
            <w:vAlign w:val="center"/>
          </w:tcPr>
          <w:p>
            <w:pPr>
              <w:pStyle w:val="30"/>
              <w:rPr>
                <w:color w:val="auto"/>
                <w:highlight w:val="none"/>
              </w:rPr>
            </w:pPr>
          </w:p>
        </w:tc>
        <w:tc>
          <w:tcPr>
            <w:tcW w:w="1709" w:type="dxa"/>
            <w:vAlign w:val="center"/>
          </w:tcPr>
          <w:p>
            <w:pPr>
              <w:pStyle w:val="30"/>
              <w:rPr>
                <w:color w:val="auto"/>
                <w:highlight w:val="none"/>
              </w:rPr>
            </w:pPr>
            <w:r>
              <w:rPr>
                <w:rFonts w:hint="eastAsia"/>
                <w:color w:val="auto"/>
                <w:highlight w:val="none"/>
              </w:rPr>
              <w:t>学历/专业</w:t>
            </w:r>
          </w:p>
        </w:tc>
        <w:tc>
          <w:tcPr>
            <w:tcW w:w="1139" w:type="dxa"/>
            <w:gridSpan w:val="2"/>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30"/>
              <w:rPr>
                <w:color w:val="auto"/>
                <w:highlight w:val="none"/>
              </w:rPr>
            </w:pPr>
            <w:r>
              <w:rPr>
                <w:rFonts w:hint="eastAsia"/>
                <w:color w:val="auto"/>
                <w:highlight w:val="none"/>
              </w:rPr>
              <w:t>资格证书</w:t>
            </w:r>
          </w:p>
        </w:tc>
        <w:tc>
          <w:tcPr>
            <w:tcW w:w="1577" w:type="dxa"/>
            <w:vAlign w:val="center"/>
          </w:tcPr>
          <w:p>
            <w:pPr>
              <w:pStyle w:val="30"/>
              <w:rPr>
                <w:color w:val="auto"/>
                <w:highlight w:val="none"/>
              </w:rPr>
            </w:pPr>
          </w:p>
        </w:tc>
        <w:tc>
          <w:tcPr>
            <w:tcW w:w="1525" w:type="dxa"/>
            <w:vAlign w:val="center"/>
          </w:tcPr>
          <w:p>
            <w:pPr>
              <w:pStyle w:val="30"/>
              <w:rPr>
                <w:color w:val="auto"/>
                <w:highlight w:val="none"/>
              </w:rPr>
            </w:pPr>
            <w:r>
              <w:rPr>
                <w:rFonts w:hint="eastAsia"/>
                <w:color w:val="auto"/>
                <w:highlight w:val="none"/>
              </w:rPr>
              <w:t>注册时间</w:t>
            </w:r>
          </w:p>
        </w:tc>
        <w:tc>
          <w:tcPr>
            <w:tcW w:w="1331" w:type="dxa"/>
            <w:gridSpan w:val="2"/>
            <w:vAlign w:val="center"/>
          </w:tcPr>
          <w:p>
            <w:pPr>
              <w:pStyle w:val="30"/>
              <w:rPr>
                <w:color w:val="auto"/>
                <w:highlight w:val="none"/>
              </w:rPr>
            </w:pPr>
          </w:p>
        </w:tc>
        <w:tc>
          <w:tcPr>
            <w:tcW w:w="1709" w:type="dxa"/>
            <w:vAlign w:val="center"/>
          </w:tcPr>
          <w:p>
            <w:pPr>
              <w:pStyle w:val="30"/>
              <w:rPr>
                <w:color w:val="auto"/>
                <w:highlight w:val="none"/>
              </w:rPr>
            </w:pPr>
            <w:r>
              <w:rPr>
                <w:rFonts w:hint="eastAsia"/>
                <w:color w:val="auto"/>
                <w:highlight w:val="none"/>
              </w:rPr>
              <w:t>从业时间</w:t>
            </w:r>
          </w:p>
        </w:tc>
        <w:tc>
          <w:tcPr>
            <w:tcW w:w="1139" w:type="dxa"/>
            <w:gridSpan w:val="2"/>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30"/>
              <w:rPr>
                <w:color w:val="auto"/>
                <w:highlight w:val="none"/>
              </w:rPr>
            </w:pPr>
            <w:r>
              <w:rPr>
                <w:rFonts w:hint="eastAsia"/>
                <w:color w:val="auto"/>
                <w:highlight w:val="none"/>
              </w:rPr>
              <w:t>是否属投标人固定雇员</w:t>
            </w:r>
          </w:p>
        </w:tc>
        <w:tc>
          <w:tcPr>
            <w:tcW w:w="1525" w:type="dxa"/>
            <w:vAlign w:val="center"/>
          </w:tcPr>
          <w:p>
            <w:pPr>
              <w:pStyle w:val="30"/>
              <w:rPr>
                <w:color w:val="auto"/>
                <w:highlight w:val="none"/>
              </w:rPr>
            </w:pPr>
          </w:p>
        </w:tc>
        <w:tc>
          <w:tcPr>
            <w:tcW w:w="3040" w:type="dxa"/>
            <w:gridSpan w:val="3"/>
            <w:vAlign w:val="center"/>
          </w:tcPr>
          <w:p>
            <w:pPr>
              <w:pStyle w:val="30"/>
              <w:rPr>
                <w:color w:val="auto"/>
                <w:highlight w:val="none"/>
              </w:rPr>
            </w:pPr>
            <w:r>
              <w:rPr>
                <w:rFonts w:hint="eastAsia"/>
                <w:color w:val="auto"/>
                <w:highlight w:val="none"/>
              </w:rPr>
              <w:t>为投标人服务时间</w:t>
            </w:r>
          </w:p>
        </w:tc>
        <w:tc>
          <w:tcPr>
            <w:tcW w:w="1139" w:type="dxa"/>
            <w:gridSpan w:val="2"/>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30"/>
              <w:rPr>
                <w:color w:val="auto"/>
                <w:highlight w:val="none"/>
              </w:rPr>
            </w:pPr>
            <w:r>
              <w:rPr>
                <w:rFonts w:hint="eastAsia"/>
                <w:color w:val="auto"/>
                <w:highlight w:val="none"/>
              </w:rPr>
              <w:t>拟在本项目担任职务</w:t>
            </w:r>
          </w:p>
        </w:tc>
        <w:tc>
          <w:tcPr>
            <w:tcW w:w="5704" w:type="dxa"/>
            <w:gridSpan w:val="6"/>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pStyle w:val="30"/>
              <w:rPr>
                <w:color w:val="auto"/>
                <w:highlight w:val="none"/>
              </w:rPr>
            </w:pPr>
            <w:r>
              <w:rPr>
                <w:rFonts w:hint="eastAsia"/>
                <w:color w:val="auto"/>
                <w:highlight w:val="none"/>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053" w:type="dxa"/>
            <w:gridSpan w:val="9"/>
          </w:tcPr>
          <w:p>
            <w:pPr>
              <w:pStyle w:val="30"/>
              <w:rPr>
                <w:color w:val="auto"/>
                <w:highlight w:val="none"/>
              </w:rPr>
            </w:pPr>
            <w:r>
              <w:rPr>
                <w:rFonts w:hint="eastAsia"/>
                <w:color w:val="auto"/>
                <w:highlight w:val="none"/>
              </w:rPr>
              <w:t>（教育背景从大学开始，包括毕业院校名称、专业、起始时间。培训填写与专业技术、业务有关的内容）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30"/>
              <w:rPr>
                <w:color w:val="auto"/>
                <w:highlight w:val="none"/>
              </w:rPr>
            </w:pPr>
            <w:r>
              <w:rPr>
                <w:rFonts w:hint="eastAsia"/>
                <w:color w:val="auto"/>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0"/>
              <w:rPr>
                <w:color w:val="auto"/>
                <w:highlight w:val="none"/>
              </w:rPr>
            </w:pPr>
            <w:r>
              <w:rPr>
                <w:rFonts w:hint="eastAsia"/>
                <w:color w:val="auto"/>
                <w:highlight w:val="none"/>
              </w:rPr>
              <w:t>时  间</w:t>
            </w:r>
          </w:p>
        </w:tc>
        <w:tc>
          <w:tcPr>
            <w:tcW w:w="3374" w:type="dxa"/>
            <w:gridSpan w:val="3"/>
            <w:vAlign w:val="center"/>
          </w:tcPr>
          <w:p>
            <w:pPr>
              <w:pStyle w:val="30"/>
              <w:rPr>
                <w:color w:val="auto"/>
                <w:highlight w:val="none"/>
              </w:rPr>
            </w:pPr>
            <w:r>
              <w:rPr>
                <w:rFonts w:hint="eastAsia"/>
                <w:color w:val="auto"/>
                <w:highlight w:val="none"/>
              </w:rPr>
              <w:t>参加过的项目名称</w:t>
            </w:r>
          </w:p>
          <w:p>
            <w:pPr>
              <w:pStyle w:val="30"/>
              <w:rPr>
                <w:color w:val="auto"/>
                <w:highlight w:val="none"/>
              </w:rPr>
            </w:pPr>
            <w:r>
              <w:rPr>
                <w:rFonts w:hint="eastAsia"/>
                <w:color w:val="auto"/>
                <w:highlight w:val="none"/>
              </w:rPr>
              <w:t>及当时所在单位</w:t>
            </w:r>
          </w:p>
        </w:tc>
        <w:tc>
          <w:tcPr>
            <w:tcW w:w="1286" w:type="dxa"/>
            <w:vAlign w:val="center"/>
          </w:tcPr>
          <w:p>
            <w:pPr>
              <w:pStyle w:val="30"/>
              <w:rPr>
                <w:color w:val="auto"/>
                <w:highlight w:val="none"/>
              </w:rPr>
            </w:pPr>
            <w:r>
              <w:rPr>
                <w:rFonts w:hint="eastAsia"/>
                <w:color w:val="auto"/>
                <w:highlight w:val="none"/>
              </w:rPr>
              <w:t>担任何职</w:t>
            </w:r>
          </w:p>
        </w:tc>
        <w:tc>
          <w:tcPr>
            <w:tcW w:w="1761" w:type="dxa"/>
            <w:gridSpan w:val="3"/>
            <w:vAlign w:val="center"/>
          </w:tcPr>
          <w:p>
            <w:pPr>
              <w:pStyle w:val="30"/>
              <w:rPr>
                <w:color w:val="auto"/>
                <w:highlight w:val="none"/>
              </w:rPr>
            </w:pPr>
            <w:r>
              <w:rPr>
                <w:rFonts w:hint="eastAsia"/>
                <w:color w:val="auto"/>
                <w:highlight w:val="none"/>
              </w:rPr>
              <w:t>主要工作内容</w:t>
            </w:r>
          </w:p>
        </w:tc>
        <w:tc>
          <w:tcPr>
            <w:tcW w:w="1132" w:type="dxa"/>
            <w:vAlign w:val="center"/>
          </w:tcPr>
          <w:p>
            <w:pPr>
              <w:pStyle w:val="30"/>
              <w:rPr>
                <w:color w:val="auto"/>
                <w:highlight w:val="none"/>
              </w:rPr>
            </w:pPr>
            <w:r>
              <w:rPr>
                <w:rFonts w:hint="eastAsia"/>
                <w:color w:val="auto"/>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0"/>
              <w:rPr>
                <w:color w:val="auto"/>
                <w:highlight w:val="none"/>
              </w:rPr>
            </w:pPr>
          </w:p>
        </w:tc>
        <w:tc>
          <w:tcPr>
            <w:tcW w:w="3374" w:type="dxa"/>
            <w:gridSpan w:val="3"/>
            <w:vAlign w:val="center"/>
          </w:tcPr>
          <w:p>
            <w:pPr>
              <w:pStyle w:val="30"/>
              <w:rPr>
                <w:color w:val="auto"/>
                <w:highlight w:val="none"/>
              </w:rPr>
            </w:pPr>
          </w:p>
        </w:tc>
        <w:tc>
          <w:tcPr>
            <w:tcW w:w="1286" w:type="dxa"/>
            <w:vAlign w:val="center"/>
          </w:tcPr>
          <w:p>
            <w:pPr>
              <w:pStyle w:val="30"/>
              <w:rPr>
                <w:color w:val="auto"/>
                <w:highlight w:val="none"/>
              </w:rPr>
            </w:pPr>
          </w:p>
        </w:tc>
        <w:tc>
          <w:tcPr>
            <w:tcW w:w="1761" w:type="dxa"/>
            <w:gridSpan w:val="3"/>
            <w:vAlign w:val="center"/>
          </w:tcPr>
          <w:p>
            <w:pPr>
              <w:pStyle w:val="30"/>
              <w:rPr>
                <w:color w:val="auto"/>
                <w:highlight w:val="none"/>
              </w:rPr>
            </w:pPr>
          </w:p>
        </w:tc>
        <w:tc>
          <w:tcPr>
            <w:tcW w:w="1132"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30"/>
              <w:rPr>
                <w:color w:val="auto"/>
                <w:highlight w:val="none"/>
              </w:rPr>
            </w:pPr>
          </w:p>
        </w:tc>
        <w:tc>
          <w:tcPr>
            <w:tcW w:w="3374" w:type="dxa"/>
            <w:gridSpan w:val="3"/>
            <w:vAlign w:val="center"/>
          </w:tcPr>
          <w:p>
            <w:pPr>
              <w:pStyle w:val="30"/>
              <w:rPr>
                <w:color w:val="auto"/>
                <w:highlight w:val="none"/>
              </w:rPr>
            </w:pPr>
          </w:p>
        </w:tc>
        <w:tc>
          <w:tcPr>
            <w:tcW w:w="1286" w:type="dxa"/>
            <w:vAlign w:val="center"/>
          </w:tcPr>
          <w:p>
            <w:pPr>
              <w:pStyle w:val="30"/>
              <w:rPr>
                <w:color w:val="auto"/>
                <w:highlight w:val="none"/>
              </w:rPr>
            </w:pPr>
          </w:p>
        </w:tc>
        <w:tc>
          <w:tcPr>
            <w:tcW w:w="1761" w:type="dxa"/>
            <w:gridSpan w:val="3"/>
            <w:vAlign w:val="center"/>
          </w:tcPr>
          <w:p>
            <w:pPr>
              <w:pStyle w:val="30"/>
              <w:rPr>
                <w:color w:val="auto"/>
                <w:highlight w:val="none"/>
              </w:rPr>
            </w:pPr>
          </w:p>
        </w:tc>
        <w:tc>
          <w:tcPr>
            <w:tcW w:w="1132"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0"/>
              <w:rPr>
                <w:color w:val="auto"/>
                <w:highlight w:val="none"/>
              </w:rPr>
            </w:pPr>
          </w:p>
        </w:tc>
        <w:tc>
          <w:tcPr>
            <w:tcW w:w="3374" w:type="dxa"/>
            <w:gridSpan w:val="3"/>
            <w:vAlign w:val="center"/>
          </w:tcPr>
          <w:p>
            <w:pPr>
              <w:pStyle w:val="30"/>
              <w:rPr>
                <w:color w:val="auto"/>
                <w:highlight w:val="none"/>
              </w:rPr>
            </w:pPr>
          </w:p>
        </w:tc>
        <w:tc>
          <w:tcPr>
            <w:tcW w:w="1286" w:type="dxa"/>
            <w:vAlign w:val="center"/>
          </w:tcPr>
          <w:p>
            <w:pPr>
              <w:pStyle w:val="30"/>
              <w:rPr>
                <w:color w:val="auto"/>
                <w:highlight w:val="none"/>
              </w:rPr>
            </w:pPr>
          </w:p>
        </w:tc>
        <w:tc>
          <w:tcPr>
            <w:tcW w:w="1761" w:type="dxa"/>
            <w:gridSpan w:val="3"/>
            <w:vAlign w:val="center"/>
          </w:tcPr>
          <w:p>
            <w:pPr>
              <w:pStyle w:val="30"/>
              <w:rPr>
                <w:color w:val="auto"/>
                <w:highlight w:val="none"/>
              </w:rPr>
            </w:pPr>
          </w:p>
        </w:tc>
        <w:tc>
          <w:tcPr>
            <w:tcW w:w="1132"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0"/>
              <w:rPr>
                <w:color w:val="auto"/>
                <w:highlight w:val="none"/>
              </w:rPr>
            </w:pPr>
          </w:p>
        </w:tc>
        <w:tc>
          <w:tcPr>
            <w:tcW w:w="3374" w:type="dxa"/>
            <w:gridSpan w:val="3"/>
            <w:vAlign w:val="center"/>
          </w:tcPr>
          <w:p>
            <w:pPr>
              <w:pStyle w:val="30"/>
              <w:rPr>
                <w:color w:val="auto"/>
                <w:highlight w:val="none"/>
              </w:rPr>
            </w:pPr>
          </w:p>
        </w:tc>
        <w:tc>
          <w:tcPr>
            <w:tcW w:w="1286" w:type="dxa"/>
            <w:vAlign w:val="center"/>
          </w:tcPr>
          <w:p>
            <w:pPr>
              <w:pStyle w:val="30"/>
              <w:rPr>
                <w:color w:val="auto"/>
                <w:highlight w:val="none"/>
              </w:rPr>
            </w:pPr>
          </w:p>
        </w:tc>
        <w:tc>
          <w:tcPr>
            <w:tcW w:w="1761" w:type="dxa"/>
            <w:gridSpan w:val="3"/>
            <w:vAlign w:val="center"/>
          </w:tcPr>
          <w:p>
            <w:pPr>
              <w:pStyle w:val="30"/>
              <w:rPr>
                <w:color w:val="auto"/>
                <w:highlight w:val="none"/>
              </w:rPr>
            </w:pPr>
          </w:p>
        </w:tc>
        <w:tc>
          <w:tcPr>
            <w:tcW w:w="1132"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0"/>
              <w:rPr>
                <w:color w:val="auto"/>
                <w:highlight w:val="none"/>
              </w:rPr>
            </w:pPr>
          </w:p>
        </w:tc>
        <w:tc>
          <w:tcPr>
            <w:tcW w:w="3374" w:type="dxa"/>
            <w:gridSpan w:val="3"/>
            <w:vAlign w:val="center"/>
          </w:tcPr>
          <w:p>
            <w:pPr>
              <w:pStyle w:val="30"/>
              <w:rPr>
                <w:color w:val="auto"/>
                <w:highlight w:val="none"/>
              </w:rPr>
            </w:pPr>
          </w:p>
        </w:tc>
        <w:tc>
          <w:tcPr>
            <w:tcW w:w="1286" w:type="dxa"/>
            <w:vAlign w:val="center"/>
          </w:tcPr>
          <w:p>
            <w:pPr>
              <w:pStyle w:val="30"/>
              <w:rPr>
                <w:color w:val="auto"/>
                <w:highlight w:val="none"/>
              </w:rPr>
            </w:pPr>
          </w:p>
        </w:tc>
        <w:tc>
          <w:tcPr>
            <w:tcW w:w="1761" w:type="dxa"/>
            <w:gridSpan w:val="3"/>
            <w:vAlign w:val="center"/>
          </w:tcPr>
          <w:p>
            <w:pPr>
              <w:pStyle w:val="30"/>
              <w:rPr>
                <w:color w:val="auto"/>
                <w:highlight w:val="none"/>
              </w:rPr>
            </w:pPr>
          </w:p>
        </w:tc>
        <w:tc>
          <w:tcPr>
            <w:tcW w:w="1132"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0"/>
              <w:rPr>
                <w:color w:val="auto"/>
                <w:highlight w:val="none"/>
              </w:rPr>
            </w:pPr>
          </w:p>
        </w:tc>
        <w:tc>
          <w:tcPr>
            <w:tcW w:w="3374" w:type="dxa"/>
            <w:gridSpan w:val="3"/>
            <w:vAlign w:val="center"/>
          </w:tcPr>
          <w:p>
            <w:pPr>
              <w:pStyle w:val="30"/>
              <w:rPr>
                <w:color w:val="auto"/>
                <w:highlight w:val="none"/>
              </w:rPr>
            </w:pPr>
          </w:p>
        </w:tc>
        <w:tc>
          <w:tcPr>
            <w:tcW w:w="1286" w:type="dxa"/>
            <w:vAlign w:val="center"/>
          </w:tcPr>
          <w:p>
            <w:pPr>
              <w:pStyle w:val="30"/>
              <w:rPr>
                <w:color w:val="auto"/>
                <w:highlight w:val="none"/>
              </w:rPr>
            </w:pPr>
          </w:p>
        </w:tc>
        <w:tc>
          <w:tcPr>
            <w:tcW w:w="1761" w:type="dxa"/>
            <w:gridSpan w:val="3"/>
            <w:vAlign w:val="center"/>
          </w:tcPr>
          <w:p>
            <w:pPr>
              <w:pStyle w:val="30"/>
              <w:rPr>
                <w:color w:val="auto"/>
                <w:highlight w:val="none"/>
              </w:rPr>
            </w:pPr>
          </w:p>
        </w:tc>
        <w:tc>
          <w:tcPr>
            <w:tcW w:w="1132" w:type="dxa"/>
            <w:vAlign w:val="center"/>
          </w:tcPr>
          <w:p>
            <w:pPr>
              <w:pStyle w:val="30"/>
              <w:rPr>
                <w:color w:val="auto"/>
                <w:highlight w:val="none"/>
              </w:rPr>
            </w:pPr>
          </w:p>
        </w:tc>
      </w:tr>
    </w:tbl>
    <w:p>
      <w:pPr>
        <w:pStyle w:val="5"/>
        <w:ind w:firstLine="480"/>
        <w:rPr>
          <w:color w:val="auto"/>
          <w:highlight w:val="none"/>
        </w:rPr>
      </w:pPr>
      <w:bookmarkStart w:id="270" w:name="_Toc363474032"/>
      <w:bookmarkStart w:id="271" w:name="_Toc9218"/>
      <w:bookmarkStart w:id="272" w:name="_Toc23455"/>
      <w:bookmarkStart w:id="273" w:name="_Toc21284"/>
      <w:bookmarkStart w:id="274" w:name="_Toc2621"/>
      <w:bookmarkStart w:id="275" w:name="_Toc426457713"/>
      <w:bookmarkStart w:id="276" w:name="_Toc403077655"/>
      <w:bookmarkStart w:id="277" w:name="_Toc1379"/>
      <w:bookmarkStart w:id="278" w:name="_Toc3362"/>
    </w:p>
    <w:p>
      <w:pPr>
        <w:pStyle w:val="5"/>
        <w:ind w:firstLine="0" w:firstLineChars="0"/>
        <w:rPr>
          <w:b/>
          <w:bCs/>
          <w:color w:val="auto"/>
          <w:highlight w:val="none"/>
        </w:rPr>
      </w:pPr>
      <w:r>
        <w:rPr>
          <w:rFonts w:hint="eastAsia"/>
          <w:b/>
          <w:bCs/>
          <w:color w:val="auto"/>
          <w:highlight w:val="none"/>
        </w:rPr>
        <w:t>注：</w:t>
      </w:r>
    </w:p>
    <w:p>
      <w:pPr>
        <w:pStyle w:val="5"/>
        <w:ind w:firstLine="480"/>
        <w:rPr>
          <w:color w:val="auto"/>
          <w:highlight w:val="none"/>
        </w:rPr>
      </w:pPr>
      <w:r>
        <w:rPr>
          <w:rFonts w:hint="eastAsia"/>
          <w:color w:val="auto"/>
          <w:highlight w:val="none"/>
        </w:rPr>
        <w:t>1.表后附身份证、毕业证、职称证、执业资格证、获奖证书（如果有）复印件。</w:t>
      </w:r>
    </w:p>
    <w:p>
      <w:pPr>
        <w:pStyle w:val="5"/>
        <w:ind w:firstLine="480"/>
        <w:rPr>
          <w:color w:val="auto"/>
          <w:highlight w:val="none"/>
        </w:rPr>
      </w:pPr>
      <w:r>
        <w:rPr>
          <w:rFonts w:hint="eastAsia"/>
          <w:color w:val="auto"/>
          <w:highlight w:val="none"/>
        </w:rPr>
        <w:t>2.获奖情况包括项目、集体或个人获奖情况，如有，应附复印件或者扫描件。</w:t>
      </w:r>
    </w:p>
    <w:p>
      <w:pPr>
        <w:pStyle w:val="2"/>
        <w:rPr>
          <w:color w:val="auto"/>
          <w:szCs w:val="24"/>
          <w:highlight w:val="none"/>
        </w:rPr>
      </w:pPr>
      <w:r>
        <w:rPr>
          <w:rFonts w:hint="eastAsia"/>
          <w:color w:val="auto"/>
          <w:sz w:val="32"/>
          <w:szCs w:val="32"/>
          <w:highlight w:val="none"/>
        </w:rPr>
        <w:br w:type="page"/>
      </w:r>
      <w:r>
        <w:rPr>
          <w:rFonts w:hint="eastAsia"/>
          <w:color w:val="auto"/>
          <w:szCs w:val="24"/>
          <w:highlight w:val="none"/>
        </w:rPr>
        <w:t>附表3 业绩一览表</w:t>
      </w:r>
    </w:p>
    <w:p>
      <w:pPr>
        <w:pStyle w:val="11"/>
        <w:rPr>
          <w:rFonts w:ascii="宋体" w:hAnsi="宋体" w:cs="宋体"/>
          <w:b/>
          <w:color w:val="auto"/>
          <w:szCs w:val="24"/>
          <w:highlight w:val="none"/>
        </w:rPr>
      </w:pPr>
    </w:p>
    <w:p>
      <w:pPr>
        <w:rPr>
          <w:color w:val="auto"/>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3663"/>
        <w:gridCol w:w="2241"/>
        <w:gridCol w:w="2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序号</w:t>
            </w: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项目名称</w:t>
            </w: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合同金额</w:t>
            </w: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bl>
    <w:p>
      <w:pPr>
        <w:rPr>
          <w:rFonts w:hAnsi="宋体" w:cs="宋体"/>
          <w:color w:val="auto"/>
          <w:kern w:val="2"/>
          <w:szCs w:val="24"/>
          <w:highlight w:val="none"/>
        </w:rPr>
      </w:pPr>
    </w:p>
    <w:p>
      <w:pPr>
        <w:pStyle w:val="5"/>
        <w:ind w:firstLine="480"/>
        <w:rPr>
          <w:color w:val="auto"/>
          <w:highlight w:val="none"/>
        </w:rPr>
      </w:pPr>
      <w:r>
        <w:rPr>
          <w:rFonts w:hint="eastAsia"/>
          <w:color w:val="auto"/>
          <w:highlight w:val="none"/>
        </w:rPr>
        <w:t>注：须根据《评标因素及权重分值表》等要求附相关证明资料复印件（加盖公章）。</w:t>
      </w:r>
    </w:p>
    <w:p>
      <w:pPr>
        <w:pStyle w:val="5"/>
        <w:ind w:firstLine="480"/>
        <w:rPr>
          <w:color w:val="auto"/>
          <w:highlight w:val="none"/>
        </w:rPr>
      </w:pPr>
    </w:p>
    <w:p>
      <w:pPr>
        <w:pStyle w:val="4"/>
        <w:rPr>
          <w:rStyle w:val="31"/>
          <w:b/>
          <w:bCs/>
          <w:color w:val="auto"/>
          <w:highlight w:val="none"/>
        </w:rPr>
      </w:pPr>
      <w:r>
        <w:rPr>
          <w:rFonts w:hint="eastAsia"/>
          <w:color w:val="auto"/>
          <w:sz w:val="32"/>
          <w:highlight w:val="none"/>
        </w:rPr>
        <w:br w:type="page"/>
      </w:r>
      <w:bookmarkStart w:id="279" w:name="_Toc3923"/>
      <w:bookmarkStart w:id="280" w:name="_Toc10895"/>
      <w:r>
        <w:rPr>
          <w:rStyle w:val="31"/>
          <w:rFonts w:hint="eastAsia"/>
          <w:b/>
          <w:bCs/>
          <w:color w:val="auto"/>
          <w:highlight w:val="none"/>
        </w:rPr>
        <w:t>四、</w:t>
      </w:r>
      <w:bookmarkEnd w:id="270"/>
      <w:bookmarkEnd w:id="271"/>
      <w:bookmarkEnd w:id="272"/>
      <w:bookmarkEnd w:id="273"/>
      <w:bookmarkEnd w:id="274"/>
      <w:bookmarkEnd w:id="275"/>
      <w:bookmarkEnd w:id="276"/>
      <w:bookmarkEnd w:id="277"/>
      <w:r>
        <w:rPr>
          <w:rStyle w:val="31"/>
          <w:rFonts w:hint="eastAsia"/>
          <w:b/>
          <w:bCs/>
          <w:color w:val="auto"/>
          <w:highlight w:val="none"/>
        </w:rPr>
        <w:t>商务条款偏离表</w:t>
      </w:r>
      <w:bookmarkEnd w:id="278"/>
      <w:bookmarkEnd w:id="279"/>
      <w:bookmarkEnd w:id="280"/>
    </w:p>
    <w:p>
      <w:pPr>
        <w:pStyle w:val="7"/>
        <w:spacing w:before="166"/>
        <w:rPr>
          <w:color w:val="auto"/>
          <w:highlight w:val="none"/>
        </w:rPr>
      </w:pPr>
      <w:bookmarkStart w:id="281" w:name="_Toc10058"/>
      <w:bookmarkStart w:id="282" w:name="_Toc14939"/>
      <w:bookmarkStart w:id="283" w:name="_Toc403077656"/>
      <w:bookmarkStart w:id="284" w:name="_Toc6862"/>
      <w:bookmarkStart w:id="285" w:name="_Toc24076"/>
      <w:bookmarkStart w:id="286" w:name="_Toc363474033"/>
      <w:bookmarkStart w:id="287" w:name="_Toc10179"/>
      <w:bookmarkStart w:id="288" w:name="_Toc8692"/>
      <w:bookmarkStart w:id="289" w:name="_Toc426457714"/>
      <w:bookmarkStart w:id="290" w:name="_Toc6432"/>
      <w:r>
        <w:rPr>
          <w:rFonts w:hint="eastAsia"/>
          <w:color w:val="auto"/>
          <w:highlight w:val="none"/>
        </w:rPr>
        <w:t>4.1商务条款偏离表（一）</w:t>
      </w:r>
    </w:p>
    <w:tbl>
      <w:tblPr>
        <w:tblStyle w:val="20"/>
        <w:tblW w:w="879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48"/>
        <w:gridCol w:w="1642"/>
        <w:gridCol w:w="1521"/>
        <w:gridCol w:w="1657"/>
        <w:gridCol w:w="1208"/>
        <w:gridCol w:w="1339"/>
        <w:gridCol w:w="7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648" w:type="dxa"/>
            <w:vAlign w:val="center"/>
          </w:tcPr>
          <w:p>
            <w:pPr>
              <w:pStyle w:val="30"/>
              <w:rPr>
                <w:color w:val="auto"/>
                <w:highlight w:val="none"/>
              </w:rPr>
            </w:pPr>
            <w:r>
              <w:rPr>
                <w:rFonts w:hint="eastAsia"/>
                <w:color w:val="auto"/>
                <w:highlight w:val="none"/>
              </w:rPr>
              <w:t>序号</w:t>
            </w:r>
          </w:p>
        </w:tc>
        <w:tc>
          <w:tcPr>
            <w:tcW w:w="1642" w:type="dxa"/>
            <w:vAlign w:val="center"/>
          </w:tcPr>
          <w:p>
            <w:pPr>
              <w:pStyle w:val="30"/>
              <w:rPr>
                <w:color w:val="auto"/>
                <w:highlight w:val="none"/>
              </w:rPr>
            </w:pPr>
            <w:r>
              <w:rPr>
                <w:rFonts w:hint="eastAsia"/>
                <w:color w:val="auto"/>
                <w:highlight w:val="none"/>
              </w:rPr>
              <w:t>名称</w:t>
            </w:r>
          </w:p>
        </w:tc>
        <w:tc>
          <w:tcPr>
            <w:tcW w:w="1521" w:type="dxa"/>
            <w:vAlign w:val="center"/>
          </w:tcPr>
          <w:p>
            <w:pPr>
              <w:pStyle w:val="30"/>
              <w:rPr>
                <w:color w:val="auto"/>
                <w:highlight w:val="none"/>
              </w:rPr>
            </w:pPr>
            <w:r>
              <w:rPr>
                <w:rFonts w:hint="eastAsia"/>
                <w:color w:val="auto"/>
                <w:highlight w:val="none"/>
              </w:rPr>
              <w:t>商务要求</w:t>
            </w:r>
          </w:p>
        </w:tc>
        <w:tc>
          <w:tcPr>
            <w:tcW w:w="1657" w:type="dxa"/>
            <w:vAlign w:val="center"/>
          </w:tcPr>
          <w:p>
            <w:pPr>
              <w:pStyle w:val="30"/>
              <w:rPr>
                <w:color w:val="auto"/>
                <w:highlight w:val="none"/>
              </w:rPr>
            </w:pPr>
            <w:r>
              <w:rPr>
                <w:rFonts w:hint="eastAsia"/>
                <w:color w:val="auto"/>
                <w:highlight w:val="none"/>
              </w:rPr>
              <w:t>投标内容</w:t>
            </w:r>
          </w:p>
        </w:tc>
        <w:tc>
          <w:tcPr>
            <w:tcW w:w="1208" w:type="dxa"/>
            <w:vAlign w:val="center"/>
          </w:tcPr>
          <w:p>
            <w:pPr>
              <w:pStyle w:val="30"/>
              <w:rPr>
                <w:color w:val="auto"/>
                <w:highlight w:val="none"/>
              </w:rPr>
            </w:pPr>
            <w:r>
              <w:rPr>
                <w:rFonts w:hint="eastAsia"/>
                <w:color w:val="auto"/>
                <w:highlight w:val="none"/>
              </w:rPr>
              <w:t>偏离说明</w:t>
            </w:r>
          </w:p>
        </w:tc>
        <w:tc>
          <w:tcPr>
            <w:tcW w:w="1339" w:type="dxa"/>
            <w:vAlign w:val="center"/>
          </w:tcPr>
          <w:p>
            <w:pPr>
              <w:pStyle w:val="30"/>
              <w:rPr>
                <w:color w:val="auto"/>
                <w:highlight w:val="none"/>
              </w:rPr>
            </w:pPr>
            <w:r>
              <w:rPr>
                <w:rFonts w:hint="eastAsia"/>
                <w:color w:val="auto"/>
                <w:szCs w:val="24"/>
                <w:highlight w:val="none"/>
              </w:rPr>
              <w:t>证明材料索引页（如有）</w:t>
            </w:r>
          </w:p>
        </w:tc>
        <w:tc>
          <w:tcPr>
            <w:tcW w:w="781" w:type="dxa"/>
            <w:vAlign w:val="center"/>
          </w:tcPr>
          <w:p>
            <w:pPr>
              <w:pStyle w:val="30"/>
              <w:rPr>
                <w:color w:val="auto"/>
                <w:highlight w:val="none"/>
              </w:rPr>
            </w:pPr>
            <w:r>
              <w:rPr>
                <w:rFonts w:hint="eastAsia"/>
                <w:color w:val="auto"/>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648" w:type="dxa"/>
          </w:tcPr>
          <w:p>
            <w:pPr>
              <w:pStyle w:val="30"/>
              <w:rPr>
                <w:color w:val="auto"/>
                <w:highlight w:val="none"/>
              </w:rPr>
            </w:pPr>
          </w:p>
        </w:tc>
        <w:tc>
          <w:tcPr>
            <w:tcW w:w="1642" w:type="dxa"/>
          </w:tcPr>
          <w:p>
            <w:pPr>
              <w:pStyle w:val="30"/>
              <w:rPr>
                <w:color w:val="auto"/>
                <w:highlight w:val="none"/>
              </w:rPr>
            </w:pPr>
          </w:p>
        </w:tc>
        <w:tc>
          <w:tcPr>
            <w:tcW w:w="1521" w:type="dxa"/>
          </w:tcPr>
          <w:p>
            <w:pPr>
              <w:pStyle w:val="30"/>
              <w:rPr>
                <w:color w:val="auto"/>
                <w:highlight w:val="none"/>
              </w:rPr>
            </w:pPr>
          </w:p>
        </w:tc>
        <w:tc>
          <w:tcPr>
            <w:tcW w:w="1657" w:type="dxa"/>
          </w:tcPr>
          <w:p>
            <w:pPr>
              <w:pStyle w:val="30"/>
              <w:rPr>
                <w:color w:val="auto"/>
                <w:highlight w:val="none"/>
              </w:rPr>
            </w:pPr>
          </w:p>
        </w:tc>
        <w:tc>
          <w:tcPr>
            <w:tcW w:w="1208" w:type="dxa"/>
          </w:tcPr>
          <w:p>
            <w:pPr>
              <w:pStyle w:val="30"/>
              <w:rPr>
                <w:color w:val="auto"/>
                <w:highlight w:val="none"/>
              </w:rPr>
            </w:pPr>
          </w:p>
        </w:tc>
        <w:tc>
          <w:tcPr>
            <w:tcW w:w="1339" w:type="dxa"/>
          </w:tcPr>
          <w:p>
            <w:pPr>
              <w:pStyle w:val="30"/>
              <w:rPr>
                <w:color w:val="auto"/>
                <w:highlight w:val="none"/>
              </w:rPr>
            </w:pPr>
          </w:p>
        </w:tc>
        <w:tc>
          <w:tcPr>
            <w:tcW w:w="781" w:type="dxa"/>
          </w:tcPr>
          <w:p>
            <w:pPr>
              <w:pStyle w:val="30"/>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648" w:type="dxa"/>
          </w:tcPr>
          <w:p>
            <w:pPr>
              <w:pStyle w:val="30"/>
              <w:rPr>
                <w:color w:val="auto"/>
                <w:highlight w:val="none"/>
              </w:rPr>
            </w:pPr>
          </w:p>
        </w:tc>
        <w:tc>
          <w:tcPr>
            <w:tcW w:w="1642" w:type="dxa"/>
          </w:tcPr>
          <w:p>
            <w:pPr>
              <w:pStyle w:val="30"/>
              <w:rPr>
                <w:color w:val="auto"/>
                <w:highlight w:val="none"/>
              </w:rPr>
            </w:pPr>
          </w:p>
        </w:tc>
        <w:tc>
          <w:tcPr>
            <w:tcW w:w="1521" w:type="dxa"/>
          </w:tcPr>
          <w:p>
            <w:pPr>
              <w:pStyle w:val="30"/>
              <w:rPr>
                <w:color w:val="auto"/>
                <w:highlight w:val="none"/>
              </w:rPr>
            </w:pPr>
          </w:p>
        </w:tc>
        <w:tc>
          <w:tcPr>
            <w:tcW w:w="1657" w:type="dxa"/>
          </w:tcPr>
          <w:p>
            <w:pPr>
              <w:pStyle w:val="30"/>
              <w:rPr>
                <w:color w:val="auto"/>
                <w:highlight w:val="none"/>
              </w:rPr>
            </w:pPr>
          </w:p>
        </w:tc>
        <w:tc>
          <w:tcPr>
            <w:tcW w:w="1208" w:type="dxa"/>
          </w:tcPr>
          <w:p>
            <w:pPr>
              <w:pStyle w:val="30"/>
              <w:rPr>
                <w:color w:val="auto"/>
                <w:highlight w:val="none"/>
              </w:rPr>
            </w:pPr>
          </w:p>
        </w:tc>
        <w:tc>
          <w:tcPr>
            <w:tcW w:w="1339" w:type="dxa"/>
          </w:tcPr>
          <w:p>
            <w:pPr>
              <w:pStyle w:val="30"/>
              <w:rPr>
                <w:color w:val="auto"/>
                <w:highlight w:val="none"/>
              </w:rPr>
            </w:pPr>
          </w:p>
        </w:tc>
        <w:tc>
          <w:tcPr>
            <w:tcW w:w="781" w:type="dxa"/>
          </w:tcPr>
          <w:p>
            <w:pPr>
              <w:pStyle w:val="30"/>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5" w:hRule="atLeast"/>
          <w:jc w:val="center"/>
        </w:trPr>
        <w:tc>
          <w:tcPr>
            <w:tcW w:w="648" w:type="dxa"/>
          </w:tcPr>
          <w:p>
            <w:pPr>
              <w:pStyle w:val="30"/>
              <w:rPr>
                <w:color w:val="auto"/>
                <w:highlight w:val="none"/>
              </w:rPr>
            </w:pPr>
          </w:p>
        </w:tc>
        <w:tc>
          <w:tcPr>
            <w:tcW w:w="1642" w:type="dxa"/>
          </w:tcPr>
          <w:p>
            <w:pPr>
              <w:pStyle w:val="30"/>
              <w:rPr>
                <w:color w:val="auto"/>
                <w:highlight w:val="none"/>
              </w:rPr>
            </w:pPr>
          </w:p>
        </w:tc>
        <w:tc>
          <w:tcPr>
            <w:tcW w:w="1521" w:type="dxa"/>
          </w:tcPr>
          <w:p>
            <w:pPr>
              <w:pStyle w:val="30"/>
              <w:rPr>
                <w:color w:val="auto"/>
                <w:highlight w:val="none"/>
              </w:rPr>
            </w:pPr>
          </w:p>
        </w:tc>
        <w:tc>
          <w:tcPr>
            <w:tcW w:w="1657" w:type="dxa"/>
          </w:tcPr>
          <w:p>
            <w:pPr>
              <w:pStyle w:val="30"/>
              <w:rPr>
                <w:color w:val="auto"/>
                <w:highlight w:val="none"/>
              </w:rPr>
            </w:pPr>
          </w:p>
        </w:tc>
        <w:tc>
          <w:tcPr>
            <w:tcW w:w="1208" w:type="dxa"/>
          </w:tcPr>
          <w:p>
            <w:pPr>
              <w:pStyle w:val="30"/>
              <w:rPr>
                <w:color w:val="auto"/>
                <w:highlight w:val="none"/>
              </w:rPr>
            </w:pPr>
          </w:p>
        </w:tc>
        <w:tc>
          <w:tcPr>
            <w:tcW w:w="1339" w:type="dxa"/>
          </w:tcPr>
          <w:p>
            <w:pPr>
              <w:pStyle w:val="30"/>
              <w:rPr>
                <w:color w:val="auto"/>
                <w:highlight w:val="none"/>
              </w:rPr>
            </w:pPr>
          </w:p>
        </w:tc>
        <w:tc>
          <w:tcPr>
            <w:tcW w:w="781" w:type="dxa"/>
          </w:tcPr>
          <w:p>
            <w:pPr>
              <w:pStyle w:val="30"/>
              <w:rPr>
                <w:color w:val="auto"/>
                <w:highlight w:val="none"/>
              </w:rPr>
            </w:pPr>
          </w:p>
        </w:tc>
      </w:tr>
    </w:tbl>
    <w:p>
      <w:pPr>
        <w:tabs>
          <w:tab w:val="left" w:pos="7200"/>
          <w:tab w:val="left" w:pos="8504"/>
        </w:tabs>
        <w:spacing w:line="360" w:lineRule="auto"/>
        <w:ind w:right="-1"/>
        <w:rPr>
          <w:rFonts w:hAnsi="宋体" w:cs="宋体"/>
          <w:color w:val="auto"/>
          <w:highlight w:val="none"/>
        </w:rPr>
      </w:pPr>
    </w:p>
    <w:p>
      <w:pPr>
        <w:spacing w:line="120" w:lineRule="exact"/>
        <w:rPr>
          <w:rFonts w:hAnsi="宋体" w:cs="宋体"/>
          <w:color w:val="auto"/>
          <w:highlight w:val="none"/>
        </w:rPr>
      </w:pPr>
    </w:p>
    <w:p>
      <w:pPr>
        <w:pStyle w:val="5"/>
        <w:ind w:firstLine="0" w:firstLineChars="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0" w:firstLineChars="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pStyle w:val="5"/>
        <w:ind w:firstLine="0" w:firstLineChars="0"/>
        <w:rPr>
          <w:b/>
          <w:bCs/>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adjustRightInd w:val="0"/>
        <w:snapToGrid w:val="0"/>
        <w:spacing w:line="440" w:lineRule="exact"/>
        <w:ind w:left="137" w:leftChars="57" w:firstLine="1446" w:firstLineChars="600"/>
        <w:rPr>
          <w:rFonts w:hAnsi="宋体" w:cs="宋体"/>
          <w:b/>
          <w:bCs/>
          <w:color w:val="auto"/>
          <w:szCs w:val="24"/>
          <w:highlight w:val="none"/>
        </w:rPr>
      </w:pPr>
    </w:p>
    <w:p>
      <w:pPr>
        <w:rPr>
          <w:rFonts w:hAnsi="宋体" w:cs="宋体"/>
          <w:color w:val="auto"/>
          <w:szCs w:val="24"/>
          <w:highlight w:val="none"/>
        </w:rPr>
      </w:pPr>
    </w:p>
    <w:p>
      <w:pPr>
        <w:pStyle w:val="32"/>
        <w:rPr>
          <w:rFonts w:hAnsi="宋体" w:cs="宋体"/>
          <w:color w:val="auto"/>
          <w:szCs w:val="24"/>
          <w:highlight w:val="none"/>
        </w:rPr>
      </w:pPr>
      <w:r>
        <w:rPr>
          <w:rFonts w:hint="eastAsia" w:hAnsi="宋体" w:cs="宋体"/>
          <w:b/>
          <w:bCs/>
          <w:color w:val="auto"/>
          <w:szCs w:val="24"/>
          <w:highlight w:val="none"/>
        </w:rPr>
        <w:t>注：</w:t>
      </w:r>
      <w:r>
        <w:rPr>
          <w:rFonts w:hint="eastAsia" w:hAnsi="宋体" w:cs="宋体"/>
          <w:color w:val="auto"/>
          <w:szCs w:val="24"/>
          <w:highlight w:val="none"/>
        </w:rPr>
        <w:t xml:space="preserve"> </w:t>
      </w:r>
    </w:p>
    <w:p>
      <w:pPr>
        <w:pStyle w:val="5"/>
        <w:numPr>
          <w:ilvl w:val="0"/>
          <w:numId w:val="3"/>
        </w:numPr>
        <w:tabs>
          <w:tab w:val="clear" w:pos="312"/>
        </w:tabs>
        <w:ind w:firstLine="480"/>
        <w:rPr>
          <w:color w:val="auto"/>
          <w:highlight w:val="none"/>
        </w:rPr>
      </w:pPr>
      <w:r>
        <w:rPr>
          <w:rFonts w:hint="eastAsia"/>
          <w:color w:val="auto"/>
          <w:highlight w:val="none"/>
        </w:rPr>
        <w:t>商务要求指招标文件</w:t>
      </w:r>
      <w:r>
        <w:rPr>
          <w:rFonts w:hint="eastAsia"/>
          <w:b/>
          <w:bCs/>
          <w:color w:val="auto"/>
          <w:highlight w:val="none"/>
        </w:rPr>
        <w:t>第四章“采购内容及技术要求”二、商务要求</w:t>
      </w:r>
      <w:r>
        <w:rPr>
          <w:rFonts w:hint="eastAsia"/>
          <w:color w:val="auto"/>
          <w:highlight w:val="none"/>
        </w:rPr>
        <w:t>中所列内容,投标人应按照招标文件中的内容逐项响应。</w:t>
      </w:r>
    </w:p>
    <w:p>
      <w:pPr>
        <w:pStyle w:val="5"/>
        <w:numPr>
          <w:ilvl w:val="0"/>
          <w:numId w:val="3"/>
        </w:numPr>
        <w:tabs>
          <w:tab w:val="clear" w:pos="312"/>
        </w:tabs>
        <w:ind w:firstLine="480"/>
        <w:rPr>
          <w:color w:val="auto"/>
          <w:highlight w:val="none"/>
        </w:rPr>
      </w:pPr>
      <w:r>
        <w:rPr>
          <w:rFonts w:hint="eastAsia"/>
          <w:color w:val="auto"/>
          <w:highlight w:val="none"/>
        </w:rPr>
        <w:t xml:space="preserve">投标内容指投标人拟提供的相应响应内容,投标人应逐条如实填写并提供相应的支持文件（如有）。 </w:t>
      </w:r>
    </w:p>
    <w:p>
      <w:pPr>
        <w:pStyle w:val="5"/>
        <w:numPr>
          <w:ilvl w:val="0"/>
          <w:numId w:val="3"/>
        </w:numPr>
        <w:tabs>
          <w:tab w:val="clear" w:pos="312"/>
        </w:tabs>
        <w:ind w:firstLine="480"/>
        <w:rPr>
          <w:color w:val="auto"/>
          <w:highlight w:val="none"/>
        </w:rPr>
      </w:pPr>
      <w:r>
        <w:rPr>
          <w:rFonts w:hint="eastAsia"/>
          <w:color w:val="auto"/>
          <w:highlight w:val="none"/>
        </w:rPr>
        <w:t>偏离说明填写：优于、满足或低于。</w:t>
      </w:r>
    </w:p>
    <w:p>
      <w:pPr>
        <w:pStyle w:val="5"/>
        <w:numPr>
          <w:ilvl w:val="0"/>
          <w:numId w:val="3"/>
        </w:numPr>
        <w:tabs>
          <w:tab w:val="clear" w:pos="312"/>
        </w:tabs>
        <w:ind w:firstLine="480"/>
        <w:rPr>
          <w:color w:val="auto"/>
          <w:highlight w:val="none"/>
        </w:rPr>
      </w:pPr>
      <w:r>
        <w:rPr>
          <w:rFonts w:hint="eastAsia"/>
          <w:color w:val="auto"/>
          <w:highlight w:val="none"/>
        </w:rPr>
        <w:t>投标人必须据实填写，不得虚假响应，否则将取消其投标或中标资格。</w:t>
      </w:r>
    </w:p>
    <w:p>
      <w:pPr>
        <w:rPr>
          <w:color w:val="auto"/>
          <w:highlight w:val="none"/>
        </w:rPr>
      </w:pPr>
    </w:p>
    <w:p>
      <w:pPr>
        <w:rPr>
          <w:rFonts w:hint="eastAsia"/>
          <w:color w:val="auto"/>
          <w:highlight w:val="none"/>
        </w:rPr>
      </w:pPr>
      <w:r>
        <w:rPr>
          <w:rFonts w:hint="eastAsia"/>
          <w:color w:val="auto"/>
          <w:highlight w:val="none"/>
        </w:rPr>
        <w:br w:type="page"/>
      </w:r>
    </w:p>
    <w:p>
      <w:pPr>
        <w:pStyle w:val="7"/>
        <w:spacing w:before="166"/>
        <w:rPr>
          <w:color w:val="auto"/>
          <w:highlight w:val="none"/>
        </w:rPr>
      </w:pPr>
      <w:r>
        <w:rPr>
          <w:rFonts w:hint="eastAsia"/>
          <w:color w:val="auto"/>
          <w:highlight w:val="none"/>
        </w:rPr>
        <w:t>4.2商务条款偏离表（二）</w:t>
      </w:r>
    </w:p>
    <w:tbl>
      <w:tblPr>
        <w:tblStyle w:val="20"/>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0"/>
              <w:rPr>
                <w:color w:val="auto"/>
                <w:highlight w:val="none"/>
              </w:rPr>
            </w:pPr>
          </w:p>
        </w:tc>
      </w:tr>
    </w:tbl>
    <w:p>
      <w:pPr>
        <w:tabs>
          <w:tab w:val="left" w:pos="7200"/>
          <w:tab w:val="left" w:pos="8504"/>
        </w:tabs>
        <w:spacing w:line="360" w:lineRule="auto"/>
        <w:ind w:right="-1"/>
        <w:rPr>
          <w:rFonts w:hAnsi="宋体" w:cs="宋体"/>
          <w:color w:val="auto"/>
          <w:highlight w:val="none"/>
        </w:rPr>
      </w:pPr>
    </w:p>
    <w:p>
      <w:pPr>
        <w:spacing w:line="120" w:lineRule="exact"/>
        <w:rPr>
          <w:rFonts w:hAnsi="宋体" w:cs="宋体"/>
          <w:color w:val="auto"/>
          <w:highlight w:val="none"/>
        </w:rPr>
      </w:pPr>
    </w:p>
    <w:p>
      <w:pPr>
        <w:pStyle w:val="5"/>
        <w:ind w:firstLine="0" w:firstLineChars="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0" w:firstLineChars="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pStyle w:val="5"/>
        <w:ind w:firstLine="0" w:firstLineChars="0"/>
        <w:rPr>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11"/>
        <w:rPr>
          <w:rFonts w:ascii="宋体" w:hAnsi="宋体" w:cs="宋体"/>
          <w:color w:val="auto"/>
          <w:szCs w:val="24"/>
          <w:highlight w:val="none"/>
        </w:rPr>
      </w:pPr>
    </w:p>
    <w:p>
      <w:pPr>
        <w:pStyle w:val="5"/>
        <w:ind w:firstLine="0" w:firstLineChars="0"/>
        <w:rPr>
          <w:color w:val="auto"/>
          <w:highlight w:val="none"/>
        </w:rPr>
      </w:pPr>
      <w:r>
        <w:rPr>
          <w:rFonts w:hint="eastAsia"/>
          <w:b/>
          <w:bCs/>
          <w:color w:val="auto"/>
          <w:highlight w:val="none"/>
        </w:rPr>
        <w:t>注：</w:t>
      </w:r>
    </w:p>
    <w:p>
      <w:pPr>
        <w:pStyle w:val="5"/>
        <w:ind w:firstLine="480"/>
        <w:rPr>
          <w:color w:val="auto"/>
          <w:highlight w:val="none"/>
        </w:rPr>
      </w:pPr>
      <w:r>
        <w:rPr>
          <w:rFonts w:hint="eastAsia"/>
          <w:color w:val="auto"/>
          <w:highlight w:val="none"/>
        </w:rPr>
        <w:t>1.本表只填写投标文件中与招标文件</w:t>
      </w:r>
      <w:r>
        <w:rPr>
          <w:rFonts w:hint="eastAsia"/>
          <w:b/>
          <w:bCs/>
          <w:color w:val="auto"/>
          <w:highlight w:val="none"/>
        </w:rPr>
        <w:t>第三章“商务及合同主要条款”</w:t>
      </w:r>
      <w:r>
        <w:rPr>
          <w:rFonts w:hint="eastAsia"/>
          <w:color w:val="auto"/>
          <w:highlight w:val="none"/>
        </w:rPr>
        <w:t>有偏离（包括正偏离和负偏离）的内容，投标文件中商务响应与招标文件要求完全一致的，不用在此表中列出，但必须提交空白表。</w:t>
      </w:r>
    </w:p>
    <w:p>
      <w:pPr>
        <w:pStyle w:val="5"/>
        <w:ind w:firstLine="480"/>
        <w:rPr>
          <w:color w:val="auto"/>
          <w:highlight w:val="none"/>
        </w:rPr>
      </w:pPr>
      <w:r>
        <w:rPr>
          <w:rFonts w:hint="eastAsia"/>
          <w:color w:val="auto"/>
          <w:highlight w:val="none"/>
        </w:rPr>
        <w:t>2.凡是投标文件的商务响应与招标文件的要求之间存在负偏离（即不能满足招标文件要求）的或者正偏离（即优于招标文件要求），必须在投标文件的“商务条款偏离表”中予以明确响应（偏离填写：正偏离或负偏离）。</w:t>
      </w:r>
    </w:p>
    <w:p>
      <w:pPr>
        <w:pStyle w:val="5"/>
        <w:ind w:firstLine="480"/>
        <w:rPr>
          <w:color w:val="auto"/>
          <w:highlight w:val="none"/>
        </w:rPr>
      </w:pPr>
      <w:r>
        <w:rPr>
          <w:rFonts w:hint="eastAsia"/>
          <w:color w:val="auto"/>
          <w:highlight w:val="none"/>
        </w:rPr>
        <w:t>3.如果在投标文件的“商务条款偏离表”之外发现上述负偏离的，评标时评标委员会将作出对投标人不利的评估。</w:t>
      </w:r>
    </w:p>
    <w:p>
      <w:pPr>
        <w:rPr>
          <w:rStyle w:val="31"/>
          <w:color w:val="auto"/>
          <w:highlight w:val="none"/>
        </w:rPr>
      </w:pPr>
      <w:r>
        <w:rPr>
          <w:rFonts w:hint="eastAsia"/>
          <w:color w:val="auto"/>
          <w:highlight w:val="none"/>
        </w:rPr>
        <w:t>4.投标人必须据实填写，不得虚假响应，否则将取消其投标或中标资格，并按有关规定进处罚。</w:t>
      </w:r>
      <w:r>
        <w:rPr>
          <w:rStyle w:val="31"/>
          <w:rFonts w:hint="eastAsia"/>
          <w:color w:val="auto"/>
          <w:highlight w:val="none"/>
        </w:rPr>
        <w:br w:type="page"/>
      </w:r>
    </w:p>
    <w:bookmarkEnd w:id="281"/>
    <w:bookmarkEnd w:id="282"/>
    <w:bookmarkEnd w:id="283"/>
    <w:bookmarkEnd w:id="284"/>
    <w:bookmarkEnd w:id="285"/>
    <w:bookmarkEnd w:id="286"/>
    <w:bookmarkEnd w:id="287"/>
    <w:bookmarkEnd w:id="288"/>
    <w:bookmarkEnd w:id="289"/>
    <w:bookmarkEnd w:id="290"/>
    <w:p>
      <w:pPr>
        <w:pStyle w:val="4"/>
        <w:rPr>
          <w:color w:val="auto"/>
          <w:highlight w:val="none"/>
        </w:rPr>
      </w:pPr>
      <w:bookmarkStart w:id="291" w:name="_Toc31505"/>
      <w:bookmarkStart w:id="292" w:name="_Toc18269"/>
      <w:r>
        <w:rPr>
          <w:rFonts w:hint="eastAsia"/>
          <w:color w:val="auto"/>
          <w:highlight w:val="none"/>
          <w:lang w:val="en-US" w:eastAsia="zh-CN"/>
        </w:rPr>
        <w:t>五</w:t>
      </w:r>
      <w:r>
        <w:rPr>
          <w:rFonts w:hint="eastAsia"/>
          <w:color w:val="auto"/>
          <w:highlight w:val="none"/>
        </w:rPr>
        <w:t>、资格证明文件</w:t>
      </w:r>
      <w:bookmarkEnd w:id="291"/>
      <w:bookmarkEnd w:id="292"/>
    </w:p>
    <w:p>
      <w:pPr>
        <w:spacing w:line="312" w:lineRule="auto"/>
        <w:ind w:firstLine="480" w:firstLineChars="200"/>
        <w:rPr>
          <w:rFonts w:hAnsi="宋体" w:cs="宋体"/>
          <w:color w:val="auto"/>
          <w:szCs w:val="24"/>
          <w:highlight w:val="none"/>
        </w:rPr>
      </w:pPr>
      <w:r>
        <w:rPr>
          <w:rFonts w:hint="eastAsia" w:hAnsi="宋体" w:cs="宋体"/>
          <w:color w:val="auto"/>
          <w:szCs w:val="24"/>
          <w:highlight w:val="none"/>
        </w:rPr>
        <w:t>投标人按招标文件的要求，依据</w:t>
      </w:r>
      <w:r>
        <w:rPr>
          <w:rFonts w:hint="eastAsia" w:hAnsi="宋体" w:cs="宋体"/>
          <w:b/>
          <w:bCs/>
          <w:color w:val="auto"/>
          <w:szCs w:val="24"/>
          <w:highlight w:val="none"/>
        </w:rPr>
        <w:t>《第五章  评标办法》之《初步审查要素表》</w:t>
      </w:r>
      <w:r>
        <w:rPr>
          <w:rFonts w:hint="eastAsia" w:hAnsi="宋体" w:cs="宋体"/>
          <w:color w:val="auto"/>
          <w:szCs w:val="24"/>
          <w:highlight w:val="none"/>
        </w:rPr>
        <w:t>审查内容逐项提供加盖公章的复印件，缺少其中任何一项，其投标文件将被视为无效文件。</w:t>
      </w:r>
    </w:p>
    <w:p>
      <w:pPr>
        <w:pStyle w:val="7"/>
        <w:spacing w:before="666" w:after="666"/>
        <w:rPr>
          <w:color w:val="auto"/>
          <w:highlight w:val="none"/>
        </w:rPr>
      </w:pPr>
      <w:r>
        <w:rPr>
          <w:rFonts w:hint="eastAsia"/>
          <w:color w:val="auto"/>
          <w:highlight w:val="none"/>
        </w:rPr>
        <w:t>投标人基本情况表</w:t>
      </w:r>
    </w:p>
    <w:p>
      <w:pPr>
        <w:jc w:val="left"/>
        <w:rPr>
          <w:rFonts w:hint="default" w:hAnsi="宋体" w:eastAsia="宋体" w:cs="宋体"/>
          <w:color w:val="auto"/>
          <w:szCs w:val="24"/>
          <w:highlight w:val="none"/>
          <w:lang w:val="en-US" w:eastAsia="zh-CN"/>
        </w:rPr>
      </w:pPr>
      <w:r>
        <w:rPr>
          <w:rFonts w:hint="eastAsia" w:hAnsi="宋体" w:cs="宋体"/>
          <w:color w:val="auto"/>
          <w:szCs w:val="24"/>
          <w:highlight w:val="none"/>
        </w:rPr>
        <w:t>项目名称：                          项目编号：</w:t>
      </w:r>
      <w:r>
        <w:rPr>
          <w:rFonts w:hint="eastAsia" w:hAnsi="宋体" w:cs="宋体"/>
          <w:color w:val="auto"/>
          <w:szCs w:val="24"/>
          <w:highlight w:val="none"/>
          <w:lang w:val="en-US" w:eastAsia="zh-CN"/>
        </w:rPr>
        <w:t xml:space="preserve">          合同包：</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502"/>
        <w:gridCol w:w="644"/>
        <w:gridCol w:w="1530"/>
        <w:gridCol w:w="2174"/>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73" w:type="dxa"/>
            <w:gridSpan w:val="2"/>
            <w:vAlign w:val="center"/>
          </w:tcPr>
          <w:p>
            <w:pPr>
              <w:pStyle w:val="30"/>
              <w:rPr>
                <w:color w:val="auto"/>
                <w:highlight w:val="none"/>
              </w:rPr>
            </w:pPr>
            <w:r>
              <w:rPr>
                <w:rFonts w:hint="eastAsia"/>
                <w:color w:val="auto"/>
                <w:highlight w:val="none"/>
              </w:rPr>
              <w:t>投标人名称</w:t>
            </w:r>
          </w:p>
        </w:tc>
        <w:tc>
          <w:tcPr>
            <w:tcW w:w="2174" w:type="dxa"/>
            <w:gridSpan w:val="2"/>
            <w:vAlign w:val="center"/>
          </w:tcPr>
          <w:p>
            <w:pPr>
              <w:pStyle w:val="30"/>
              <w:rPr>
                <w:color w:val="auto"/>
                <w:highlight w:val="none"/>
              </w:rPr>
            </w:pPr>
          </w:p>
        </w:tc>
        <w:tc>
          <w:tcPr>
            <w:tcW w:w="2174" w:type="dxa"/>
            <w:vAlign w:val="center"/>
          </w:tcPr>
          <w:p>
            <w:pPr>
              <w:pStyle w:val="30"/>
              <w:rPr>
                <w:color w:val="auto"/>
                <w:highlight w:val="none"/>
              </w:rPr>
            </w:pPr>
            <w:r>
              <w:rPr>
                <w:rFonts w:hint="eastAsia"/>
                <w:color w:val="auto"/>
                <w:highlight w:val="none"/>
              </w:rPr>
              <w:t>法定代表人</w:t>
            </w:r>
          </w:p>
        </w:tc>
        <w:tc>
          <w:tcPr>
            <w:tcW w:w="217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73" w:type="dxa"/>
            <w:gridSpan w:val="2"/>
            <w:vAlign w:val="center"/>
          </w:tcPr>
          <w:p>
            <w:pPr>
              <w:pStyle w:val="30"/>
              <w:rPr>
                <w:color w:val="auto"/>
                <w:highlight w:val="none"/>
              </w:rPr>
            </w:pPr>
            <w:r>
              <w:rPr>
                <w:rFonts w:hint="eastAsia"/>
                <w:color w:val="auto"/>
                <w:highlight w:val="none"/>
              </w:rPr>
              <w:t>企业统一社会信</w:t>
            </w:r>
          </w:p>
          <w:p>
            <w:pPr>
              <w:pStyle w:val="30"/>
              <w:rPr>
                <w:color w:val="auto"/>
                <w:highlight w:val="none"/>
              </w:rPr>
            </w:pPr>
            <w:r>
              <w:rPr>
                <w:rFonts w:hint="eastAsia"/>
                <w:color w:val="auto"/>
                <w:highlight w:val="none"/>
              </w:rPr>
              <w:t>用代码</w:t>
            </w:r>
          </w:p>
        </w:tc>
        <w:tc>
          <w:tcPr>
            <w:tcW w:w="2174" w:type="dxa"/>
            <w:gridSpan w:val="2"/>
            <w:vAlign w:val="center"/>
          </w:tcPr>
          <w:p>
            <w:pPr>
              <w:pStyle w:val="30"/>
              <w:rPr>
                <w:color w:val="auto"/>
                <w:highlight w:val="none"/>
              </w:rPr>
            </w:pPr>
          </w:p>
        </w:tc>
        <w:tc>
          <w:tcPr>
            <w:tcW w:w="2174" w:type="dxa"/>
            <w:vAlign w:val="center"/>
          </w:tcPr>
          <w:p>
            <w:pPr>
              <w:pStyle w:val="30"/>
              <w:rPr>
                <w:color w:val="auto"/>
                <w:highlight w:val="none"/>
              </w:rPr>
            </w:pPr>
            <w:r>
              <w:rPr>
                <w:rFonts w:hint="eastAsia"/>
                <w:color w:val="auto"/>
                <w:highlight w:val="none"/>
              </w:rPr>
              <w:t>邮政编码</w:t>
            </w:r>
          </w:p>
        </w:tc>
        <w:tc>
          <w:tcPr>
            <w:tcW w:w="217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73" w:type="dxa"/>
            <w:gridSpan w:val="2"/>
            <w:vAlign w:val="center"/>
          </w:tcPr>
          <w:p>
            <w:pPr>
              <w:pStyle w:val="30"/>
              <w:rPr>
                <w:color w:val="auto"/>
                <w:highlight w:val="none"/>
              </w:rPr>
            </w:pPr>
            <w:r>
              <w:rPr>
                <w:rFonts w:hint="eastAsia"/>
                <w:color w:val="auto"/>
                <w:highlight w:val="none"/>
              </w:rPr>
              <w:t>委托代理人</w:t>
            </w:r>
          </w:p>
        </w:tc>
        <w:tc>
          <w:tcPr>
            <w:tcW w:w="2174" w:type="dxa"/>
            <w:gridSpan w:val="2"/>
            <w:vAlign w:val="center"/>
          </w:tcPr>
          <w:p>
            <w:pPr>
              <w:pStyle w:val="30"/>
              <w:rPr>
                <w:color w:val="auto"/>
                <w:highlight w:val="none"/>
              </w:rPr>
            </w:pPr>
          </w:p>
        </w:tc>
        <w:tc>
          <w:tcPr>
            <w:tcW w:w="2174" w:type="dxa"/>
            <w:vAlign w:val="center"/>
          </w:tcPr>
          <w:p>
            <w:pPr>
              <w:pStyle w:val="30"/>
              <w:rPr>
                <w:color w:val="auto"/>
                <w:highlight w:val="none"/>
              </w:rPr>
            </w:pPr>
            <w:r>
              <w:rPr>
                <w:rFonts w:hint="eastAsia"/>
                <w:color w:val="auto"/>
                <w:highlight w:val="none"/>
              </w:rPr>
              <w:t>电子邮箱</w:t>
            </w:r>
          </w:p>
        </w:tc>
        <w:tc>
          <w:tcPr>
            <w:tcW w:w="217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73" w:type="dxa"/>
            <w:gridSpan w:val="2"/>
            <w:vAlign w:val="center"/>
          </w:tcPr>
          <w:p>
            <w:pPr>
              <w:pStyle w:val="30"/>
              <w:rPr>
                <w:color w:val="auto"/>
                <w:highlight w:val="none"/>
              </w:rPr>
            </w:pPr>
            <w:r>
              <w:rPr>
                <w:rFonts w:hint="eastAsia"/>
                <w:color w:val="auto"/>
                <w:highlight w:val="none"/>
              </w:rPr>
              <w:t>上年营业收入</w:t>
            </w:r>
          </w:p>
        </w:tc>
        <w:tc>
          <w:tcPr>
            <w:tcW w:w="2174" w:type="dxa"/>
            <w:gridSpan w:val="2"/>
            <w:vAlign w:val="center"/>
          </w:tcPr>
          <w:p>
            <w:pPr>
              <w:pStyle w:val="30"/>
              <w:rPr>
                <w:color w:val="auto"/>
                <w:highlight w:val="none"/>
              </w:rPr>
            </w:pPr>
          </w:p>
        </w:tc>
        <w:tc>
          <w:tcPr>
            <w:tcW w:w="2174" w:type="dxa"/>
            <w:vAlign w:val="center"/>
          </w:tcPr>
          <w:p>
            <w:pPr>
              <w:pStyle w:val="30"/>
              <w:rPr>
                <w:color w:val="auto"/>
                <w:highlight w:val="none"/>
              </w:rPr>
            </w:pPr>
            <w:r>
              <w:rPr>
                <w:rFonts w:hint="eastAsia"/>
                <w:color w:val="auto"/>
                <w:highlight w:val="none"/>
              </w:rPr>
              <w:t>员工总人数</w:t>
            </w:r>
          </w:p>
        </w:tc>
        <w:tc>
          <w:tcPr>
            <w:tcW w:w="217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71" w:type="dxa"/>
            <w:vMerge w:val="restart"/>
            <w:vAlign w:val="center"/>
          </w:tcPr>
          <w:p>
            <w:pPr>
              <w:pStyle w:val="30"/>
              <w:rPr>
                <w:color w:val="auto"/>
                <w:highlight w:val="none"/>
              </w:rPr>
            </w:pPr>
            <w:r>
              <w:rPr>
                <w:rFonts w:hint="eastAsia"/>
                <w:color w:val="auto"/>
                <w:highlight w:val="none"/>
              </w:rPr>
              <w:t>营业</w:t>
            </w:r>
          </w:p>
          <w:p>
            <w:pPr>
              <w:pStyle w:val="30"/>
              <w:rPr>
                <w:color w:val="auto"/>
                <w:highlight w:val="none"/>
              </w:rPr>
            </w:pPr>
            <w:r>
              <w:rPr>
                <w:rFonts w:hint="eastAsia"/>
                <w:color w:val="auto"/>
                <w:highlight w:val="none"/>
              </w:rPr>
              <w:t>执照</w:t>
            </w:r>
          </w:p>
        </w:tc>
        <w:tc>
          <w:tcPr>
            <w:tcW w:w="2146" w:type="dxa"/>
            <w:gridSpan w:val="2"/>
            <w:tcBorders>
              <w:right w:val="single" w:color="000000" w:sz="4" w:space="0"/>
            </w:tcBorders>
            <w:vAlign w:val="center"/>
          </w:tcPr>
          <w:p>
            <w:pPr>
              <w:pStyle w:val="30"/>
              <w:rPr>
                <w:color w:val="auto"/>
                <w:highlight w:val="none"/>
              </w:rPr>
            </w:pPr>
            <w:r>
              <w:rPr>
                <w:rFonts w:hint="eastAsia"/>
                <w:color w:val="auto"/>
                <w:highlight w:val="none"/>
              </w:rPr>
              <w:t>注册日期</w:t>
            </w:r>
          </w:p>
        </w:tc>
        <w:tc>
          <w:tcPr>
            <w:tcW w:w="1530" w:type="dxa"/>
            <w:tcBorders>
              <w:left w:val="single" w:color="000000" w:sz="4" w:space="0"/>
            </w:tcBorders>
            <w:vAlign w:val="center"/>
          </w:tcPr>
          <w:p>
            <w:pPr>
              <w:pStyle w:val="30"/>
              <w:rPr>
                <w:color w:val="auto"/>
                <w:highlight w:val="none"/>
              </w:rPr>
            </w:pPr>
          </w:p>
        </w:tc>
        <w:tc>
          <w:tcPr>
            <w:tcW w:w="2174" w:type="dxa"/>
            <w:vAlign w:val="center"/>
          </w:tcPr>
          <w:p>
            <w:pPr>
              <w:pStyle w:val="30"/>
              <w:rPr>
                <w:color w:val="auto"/>
                <w:highlight w:val="none"/>
              </w:rPr>
            </w:pPr>
            <w:r>
              <w:rPr>
                <w:rFonts w:hint="eastAsia"/>
                <w:color w:val="auto"/>
                <w:highlight w:val="none"/>
              </w:rPr>
              <w:t>注册地址</w:t>
            </w:r>
          </w:p>
        </w:tc>
        <w:tc>
          <w:tcPr>
            <w:tcW w:w="217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1" w:type="dxa"/>
            <w:vMerge w:val="continue"/>
            <w:vAlign w:val="center"/>
          </w:tcPr>
          <w:p>
            <w:pPr>
              <w:pStyle w:val="30"/>
              <w:rPr>
                <w:color w:val="auto"/>
                <w:highlight w:val="none"/>
              </w:rPr>
            </w:pPr>
          </w:p>
        </w:tc>
        <w:tc>
          <w:tcPr>
            <w:tcW w:w="2146" w:type="dxa"/>
            <w:gridSpan w:val="2"/>
            <w:tcBorders>
              <w:right w:val="single" w:color="000000" w:sz="4" w:space="0"/>
            </w:tcBorders>
            <w:vAlign w:val="center"/>
          </w:tcPr>
          <w:p>
            <w:pPr>
              <w:pStyle w:val="30"/>
              <w:rPr>
                <w:color w:val="auto"/>
                <w:highlight w:val="none"/>
              </w:rPr>
            </w:pPr>
            <w:r>
              <w:rPr>
                <w:rFonts w:hint="eastAsia"/>
                <w:color w:val="auto"/>
                <w:highlight w:val="none"/>
              </w:rPr>
              <w:t>发证机关</w:t>
            </w:r>
          </w:p>
        </w:tc>
        <w:tc>
          <w:tcPr>
            <w:tcW w:w="1530" w:type="dxa"/>
            <w:tcBorders>
              <w:left w:val="single" w:color="000000" w:sz="4" w:space="0"/>
            </w:tcBorders>
            <w:vAlign w:val="center"/>
          </w:tcPr>
          <w:p>
            <w:pPr>
              <w:pStyle w:val="30"/>
              <w:rPr>
                <w:color w:val="auto"/>
                <w:highlight w:val="none"/>
              </w:rPr>
            </w:pPr>
          </w:p>
        </w:tc>
        <w:tc>
          <w:tcPr>
            <w:tcW w:w="2174" w:type="dxa"/>
            <w:vAlign w:val="center"/>
          </w:tcPr>
          <w:p>
            <w:pPr>
              <w:pStyle w:val="30"/>
              <w:rPr>
                <w:color w:val="auto"/>
                <w:highlight w:val="none"/>
              </w:rPr>
            </w:pPr>
            <w:r>
              <w:rPr>
                <w:rFonts w:hint="eastAsia"/>
                <w:color w:val="auto"/>
                <w:highlight w:val="none"/>
              </w:rPr>
              <w:t>发证日期</w:t>
            </w:r>
          </w:p>
        </w:tc>
        <w:tc>
          <w:tcPr>
            <w:tcW w:w="217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71" w:type="dxa"/>
            <w:vMerge w:val="continue"/>
            <w:vAlign w:val="center"/>
          </w:tcPr>
          <w:p>
            <w:pPr>
              <w:pStyle w:val="30"/>
              <w:rPr>
                <w:color w:val="auto"/>
                <w:highlight w:val="none"/>
              </w:rPr>
            </w:pPr>
          </w:p>
        </w:tc>
        <w:tc>
          <w:tcPr>
            <w:tcW w:w="2146" w:type="dxa"/>
            <w:gridSpan w:val="2"/>
            <w:tcBorders>
              <w:right w:val="single" w:color="000000" w:sz="4" w:space="0"/>
            </w:tcBorders>
            <w:vAlign w:val="center"/>
          </w:tcPr>
          <w:p>
            <w:pPr>
              <w:pStyle w:val="30"/>
              <w:rPr>
                <w:color w:val="auto"/>
                <w:highlight w:val="none"/>
              </w:rPr>
            </w:pPr>
            <w:r>
              <w:rPr>
                <w:rFonts w:hint="eastAsia"/>
                <w:color w:val="auto"/>
                <w:highlight w:val="none"/>
              </w:rPr>
              <w:t>营业范围（主营）</w:t>
            </w:r>
          </w:p>
        </w:tc>
        <w:tc>
          <w:tcPr>
            <w:tcW w:w="5882" w:type="dxa"/>
            <w:gridSpan w:val="3"/>
            <w:tcBorders>
              <w:left w:val="single" w:color="000000"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1" w:type="dxa"/>
            <w:vMerge w:val="continue"/>
            <w:vAlign w:val="center"/>
          </w:tcPr>
          <w:p>
            <w:pPr>
              <w:pStyle w:val="30"/>
              <w:rPr>
                <w:color w:val="auto"/>
                <w:highlight w:val="none"/>
              </w:rPr>
            </w:pPr>
          </w:p>
        </w:tc>
        <w:tc>
          <w:tcPr>
            <w:tcW w:w="2146" w:type="dxa"/>
            <w:gridSpan w:val="2"/>
            <w:tcBorders>
              <w:right w:val="single" w:color="000000" w:sz="4" w:space="0"/>
            </w:tcBorders>
            <w:vAlign w:val="center"/>
          </w:tcPr>
          <w:p>
            <w:pPr>
              <w:pStyle w:val="30"/>
              <w:rPr>
                <w:color w:val="auto"/>
                <w:highlight w:val="none"/>
              </w:rPr>
            </w:pPr>
            <w:r>
              <w:rPr>
                <w:rFonts w:hint="eastAsia"/>
                <w:color w:val="auto"/>
                <w:highlight w:val="none"/>
              </w:rPr>
              <w:t>营业范围（兼营）</w:t>
            </w:r>
          </w:p>
        </w:tc>
        <w:tc>
          <w:tcPr>
            <w:tcW w:w="5882" w:type="dxa"/>
            <w:gridSpan w:val="3"/>
            <w:tcBorders>
              <w:left w:val="single" w:color="000000"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817" w:type="dxa"/>
            <w:gridSpan w:val="3"/>
            <w:tcBorders>
              <w:right w:val="single" w:color="000000" w:sz="4" w:space="0"/>
            </w:tcBorders>
            <w:vAlign w:val="center"/>
          </w:tcPr>
          <w:p>
            <w:pPr>
              <w:pStyle w:val="30"/>
              <w:rPr>
                <w:color w:val="auto"/>
                <w:highlight w:val="none"/>
              </w:rPr>
            </w:pPr>
            <w:r>
              <w:rPr>
                <w:rFonts w:hint="eastAsia"/>
                <w:color w:val="auto"/>
                <w:highlight w:val="none"/>
              </w:rPr>
              <w:t>基本账户开户行及账号</w:t>
            </w:r>
          </w:p>
        </w:tc>
        <w:tc>
          <w:tcPr>
            <w:tcW w:w="5882" w:type="dxa"/>
            <w:gridSpan w:val="3"/>
            <w:tcBorders>
              <w:left w:val="single" w:color="000000"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817" w:type="dxa"/>
            <w:gridSpan w:val="3"/>
            <w:tcBorders>
              <w:right w:val="single" w:color="000000" w:sz="4" w:space="0"/>
            </w:tcBorders>
            <w:vAlign w:val="center"/>
          </w:tcPr>
          <w:p>
            <w:pPr>
              <w:pStyle w:val="30"/>
              <w:rPr>
                <w:color w:val="auto"/>
                <w:highlight w:val="none"/>
              </w:rPr>
            </w:pPr>
            <w:r>
              <w:rPr>
                <w:rFonts w:hint="eastAsia"/>
                <w:color w:val="auto"/>
                <w:highlight w:val="none"/>
              </w:rPr>
              <w:t>税务登记机关</w:t>
            </w:r>
          </w:p>
        </w:tc>
        <w:tc>
          <w:tcPr>
            <w:tcW w:w="5882" w:type="dxa"/>
            <w:gridSpan w:val="3"/>
            <w:tcBorders>
              <w:left w:val="single" w:color="000000" w:sz="4" w:space="0"/>
            </w:tcBorders>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699" w:type="dxa"/>
            <w:gridSpan w:val="6"/>
            <w:vAlign w:val="center"/>
          </w:tcPr>
          <w:p>
            <w:pPr>
              <w:pStyle w:val="30"/>
              <w:rPr>
                <w:color w:val="auto"/>
                <w:highlight w:val="none"/>
              </w:rPr>
            </w:pPr>
            <w:r>
              <w:rPr>
                <w:rFonts w:hint="eastAsia"/>
                <w:color w:val="auto"/>
                <w:highlight w:val="none"/>
              </w:rPr>
              <w:t>公司简介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173" w:type="dxa"/>
            <w:gridSpan w:val="2"/>
            <w:vAlign w:val="center"/>
          </w:tcPr>
          <w:p>
            <w:pPr>
              <w:pStyle w:val="30"/>
              <w:rPr>
                <w:color w:val="auto"/>
                <w:highlight w:val="none"/>
              </w:rPr>
            </w:pPr>
            <w:r>
              <w:rPr>
                <w:rFonts w:hint="eastAsia"/>
                <w:color w:val="auto"/>
                <w:highlight w:val="none"/>
              </w:rPr>
              <w:t>备注</w:t>
            </w:r>
          </w:p>
        </w:tc>
        <w:tc>
          <w:tcPr>
            <w:tcW w:w="6526" w:type="dxa"/>
            <w:gridSpan w:val="4"/>
            <w:vAlign w:val="center"/>
          </w:tcPr>
          <w:p>
            <w:pPr>
              <w:pStyle w:val="30"/>
              <w:rPr>
                <w:color w:val="auto"/>
                <w:highlight w:val="none"/>
              </w:rPr>
            </w:pPr>
          </w:p>
        </w:tc>
      </w:tr>
    </w:tbl>
    <w:p>
      <w:pPr>
        <w:rPr>
          <w:color w:val="auto"/>
          <w:highlight w:val="none"/>
        </w:rPr>
      </w:pPr>
    </w:p>
    <w:p>
      <w:pPr>
        <w:pStyle w:val="5"/>
        <w:ind w:firstLine="3600" w:firstLineChars="150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3600" w:firstLineChars="150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wordWrap w:val="0"/>
        <w:spacing w:line="336" w:lineRule="auto"/>
        <w:ind w:right="-159" w:firstLine="3600" w:firstLineChars="1500"/>
        <w:rPr>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
        <w:rPr>
          <w:color w:val="auto"/>
          <w:highlight w:val="none"/>
        </w:rPr>
      </w:pPr>
      <w:r>
        <w:rPr>
          <w:rFonts w:hint="eastAsia"/>
          <w:color w:val="auto"/>
          <w:highlight w:val="none"/>
        </w:rPr>
        <w:t>后附证明资料（逐项提供加盖公章的复印件）：</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（1）基本资格条件：符合《中华人民共和国政府采购法》第二十二条的规定：</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1）具有独立承担民事责任能力的法人、其他组织或自然人，提供合法有效的统一社会信用代码营业执照（事业单位提供法人证书，自然人提供身份证）；</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2）财务状况报告：法人提供经审计的2020或2021年度的财务报告（成立时间至递交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截止时间不足一年的可提供成立后任意时段的资产负债表）或递交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截止时间前六个月内银行出具的资信证明；其他组织和自然人提供银行出具的资信证明或财务报表；</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3）税收缴纳证明：法人提供递交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前一年内至少一个月依法缴纳税收的相关凭据（时间以税款所属日期为准，税种须包含增值税或企业所得税或营业税，凭据应有税务机关或代收机关的公章或业务专用章）；其他组织和自然人提供缴纳税收的凭据；依法免税的投标人应提供相关文件证明；</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4）社会保障资金缴纳证明：提供递交</w:t>
      </w:r>
      <w:r>
        <w:rPr>
          <w:rFonts w:hint="eastAsia" w:hAnsi="宋体" w:cs="宋体"/>
          <w:color w:val="auto"/>
          <w:szCs w:val="24"/>
          <w:highlight w:val="none"/>
          <w:lang w:eastAsia="zh-CN"/>
        </w:rPr>
        <w:t>投标文件</w:t>
      </w:r>
      <w:r>
        <w:rPr>
          <w:rFonts w:hint="eastAsia" w:hAnsi="宋体" w:cs="宋体"/>
          <w:color w:val="auto"/>
          <w:szCs w:val="24"/>
          <w:highlight w:val="none"/>
        </w:rPr>
        <w:t>截止时间前一年内至少一个月已缴纳的社会保障资金的凭据（社会保障资金缴存单据或社保机构开具的社会保险参保缴费情况证明）；依法不需要缴纳社会保障资金的投标人应提供相关文件证明；</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5）具有履行本合同所必需的设备和专业技术能力（提供承诺）；</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6）参加本次政府采购活动前三年内在经营活动中没有重大违法记录（提供书面声明）；</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（2）</w:t>
      </w:r>
      <w:r>
        <w:rPr>
          <w:rFonts w:hint="eastAsia"/>
          <w:color w:val="auto"/>
          <w:highlight w:val="none"/>
        </w:rPr>
        <w:t>本项目的特定资格要求：</w:t>
      </w:r>
    </w:p>
    <w:p>
      <w:pPr>
        <w:adjustRightInd w:val="0"/>
        <w:snapToGrid w:val="0"/>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 xml:space="preserve">1）法定代表人授权书（附法定代表人、被授权人身份证复印件）、被授权人身份证（法定代表人直接参加投标，须提供法定代表人身份证明及身份证原件）； </w:t>
      </w:r>
    </w:p>
    <w:p>
      <w:pPr>
        <w:adjustRightInd w:val="0"/>
        <w:snapToGrid w:val="0"/>
        <w:spacing w:line="360" w:lineRule="auto"/>
        <w:ind w:firstLine="480" w:firstLineChars="200"/>
        <w:rPr>
          <w:color w:val="auto"/>
          <w:highlight w:val="none"/>
        </w:rPr>
      </w:pPr>
      <w:r>
        <w:rPr>
          <w:rFonts w:hint="eastAsia" w:hAnsi="宋体" w:cs="宋体"/>
          <w:color w:val="auto"/>
          <w:szCs w:val="24"/>
          <w:highlight w:val="none"/>
        </w:rPr>
        <w:t>2）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color w:val="auto"/>
          <w:highlight w:val="none"/>
        </w:rPr>
        <w:br w:type="page"/>
      </w:r>
    </w:p>
    <w:p>
      <w:pPr>
        <w:pStyle w:val="2"/>
        <w:rPr>
          <w:color w:val="auto"/>
          <w:highlight w:val="none"/>
        </w:rPr>
      </w:pPr>
      <w:r>
        <w:rPr>
          <w:rFonts w:hint="eastAsia"/>
          <w:color w:val="auto"/>
          <w:highlight w:val="none"/>
        </w:rPr>
        <w:t>附件1  履行合同所必需的设备和专业技术能力的承诺（格式）</w:t>
      </w:r>
    </w:p>
    <w:p>
      <w:pPr>
        <w:pStyle w:val="7"/>
        <w:spacing w:before="666" w:after="666"/>
        <w:rPr>
          <w:color w:val="auto"/>
          <w:highlight w:val="none"/>
        </w:rPr>
      </w:pPr>
      <w:r>
        <w:rPr>
          <w:rFonts w:hint="eastAsia"/>
          <w:color w:val="auto"/>
          <w:highlight w:val="none"/>
        </w:rPr>
        <w:t>履行合同所必需的设备和专业技术能力的承诺</w:t>
      </w:r>
    </w:p>
    <w:p>
      <w:pPr>
        <w:pStyle w:val="5"/>
        <w:ind w:firstLine="0" w:firstLineChars="0"/>
        <w:rPr>
          <w:color w:val="auto"/>
          <w:highlight w:val="none"/>
          <w:u w:val="single"/>
        </w:rPr>
      </w:pPr>
      <w:r>
        <w:rPr>
          <w:rFonts w:hint="eastAsia"/>
          <w:color w:val="auto"/>
          <w:highlight w:val="none"/>
          <w:u w:val="single"/>
        </w:rPr>
        <w:t>（采购人名称）：</w:t>
      </w:r>
    </w:p>
    <w:p>
      <w:pPr>
        <w:pStyle w:val="5"/>
        <w:ind w:firstLine="480"/>
        <w:rPr>
          <w:color w:val="auto"/>
          <w:highlight w:val="none"/>
        </w:rPr>
      </w:pPr>
      <w:r>
        <w:rPr>
          <w:rFonts w:hint="eastAsia"/>
          <w:color w:val="auto"/>
          <w:highlight w:val="none"/>
          <w:u w:val="single"/>
        </w:rPr>
        <w:t xml:space="preserve">（投标人名称） </w:t>
      </w:r>
      <w:r>
        <w:rPr>
          <w:rFonts w:hint="eastAsia"/>
          <w:color w:val="auto"/>
          <w:highlight w:val="none"/>
        </w:rPr>
        <w:t>于</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日在中华人民共和国境内</w:t>
      </w:r>
      <w:r>
        <w:rPr>
          <w:rFonts w:hint="eastAsia"/>
          <w:color w:val="auto"/>
          <w:highlight w:val="none"/>
          <w:u w:val="single"/>
        </w:rPr>
        <w:t xml:space="preserve"> （详细注册地址）</w:t>
      </w:r>
      <w:r>
        <w:rPr>
          <w:rFonts w:hint="eastAsia"/>
          <w:color w:val="auto"/>
          <w:highlight w:val="none"/>
        </w:rPr>
        <w:t>合法注册并经营，公司主营业务为</w:t>
      </w:r>
      <w:r>
        <w:rPr>
          <w:rFonts w:hint="eastAsia"/>
          <w:color w:val="auto"/>
          <w:highlight w:val="none"/>
          <w:u w:val="single"/>
        </w:rPr>
        <w:t xml:space="preserve">                          </w:t>
      </w:r>
      <w:r>
        <w:rPr>
          <w:rFonts w:hint="eastAsia"/>
          <w:color w:val="auto"/>
          <w:highlight w:val="none"/>
        </w:rPr>
        <w:t>，营业（生产经营）面积为</w:t>
      </w:r>
      <w:r>
        <w:rPr>
          <w:rFonts w:hint="eastAsia"/>
          <w:color w:val="auto"/>
          <w:highlight w:val="none"/>
          <w:u w:val="single"/>
        </w:rPr>
        <w:t xml:space="preserve">              </w:t>
      </w:r>
      <w:r>
        <w:rPr>
          <w:rFonts w:hint="eastAsia"/>
          <w:color w:val="auto"/>
          <w:highlight w:val="none"/>
        </w:rPr>
        <w:t>，现有员工数量为</w:t>
      </w:r>
      <w:r>
        <w:rPr>
          <w:rFonts w:hint="eastAsia"/>
          <w:color w:val="auto"/>
          <w:highlight w:val="none"/>
          <w:u w:val="single"/>
        </w:rPr>
        <w:t xml:space="preserve">         </w:t>
      </w:r>
      <w:r>
        <w:rPr>
          <w:rFonts w:hint="eastAsia"/>
          <w:color w:val="auto"/>
          <w:highlight w:val="none"/>
        </w:rPr>
        <w:t>，本公司郑重承诺，具有履行本合同所必需的设备和专业技术能力。</w:t>
      </w:r>
    </w:p>
    <w:p>
      <w:pPr>
        <w:pStyle w:val="13"/>
        <w:adjustRightInd w:val="0"/>
        <w:snapToGrid w:val="0"/>
        <w:spacing w:line="500" w:lineRule="exact"/>
        <w:rPr>
          <w:rFonts w:hAnsi="宋体" w:cs="宋体"/>
          <w:color w:val="auto"/>
          <w:spacing w:val="4"/>
          <w:sz w:val="24"/>
          <w:szCs w:val="24"/>
          <w:highlight w:val="none"/>
        </w:rPr>
      </w:pPr>
    </w:p>
    <w:p>
      <w:pPr>
        <w:pStyle w:val="13"/>
        <w:adjustRightInd w:val="0"/>
        <w:snapToGrid w:val="0"/>
        <w:spacing w:line="500" w:lineRule="exact"/>
        <w:rPr>
          <w:rFonts w:hAnsi="宋体" w:cs="宋体"/>
          <w:color w:val="auto"/>
          <w:spacing w:val="4"/>
          <w:sz w:val="24"/>
          <w:szCs w:val="24"/>
          <w:highlight w:val="none"/>
        </w:rPr>
      </w:pPr>
    </w:p>
    <w:p>
      <w:pPr>
        <w:pStyle w:val="5"/>
        <w:ind w:firstLine="3600" w:firstLineChars="150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3600" w:firstLineChars="150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adjustRightInd w:val="0"/>
        <w:snapToGrid w:val="0"/>
        <w:spacing w:line="500" w:lineRule="exact"/>
        <w:ind w:firstLine="3600" w:firstLineChars="1500"/>
        <w:rPr>
          <w:rFonts w:hAnsi="宋体" w:cs="宋体"/>
          <w:color w:val="auto"/>
          <w:szCs w:val="24"/>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11"/>
        <w:rPr>
          <w:color w:val="auto"/>
          <w:highlight w:val="none"/>
        </w:rPr>
      </w:pPr>
    </w:p>
    <w:p>
      <w:pPr>
        <w:rPr>
          <w:rStyle w:val="38"/>
          <w:bCs w:val="0"/>
          <w:color w:val="auto"/>
          <w:highlight w:val="none"/>
        </w:rPr>
      </w:pPr>
      <w:bookmarkStart w:id="293" w:name="_Toc31818"/>
      <w:r>
        <w:rPr>
          <w:rStyle w:val="38"/>
          <w:rFonts w:hint="eastAsia"/>
          <w:bCs w:val="0"/>
          <w:color w:val="auto"/>
          <w:highlight w:val="none"/>
        </w:rPr>
        <w:br w:type="page"/>
      </w:r>
    </w:p>
    <w:p>
      <w:pPr>
        <w:pStyle w:val="2"/>
        <w:rPr>
          <w:rStyle w:val="38"/>
          <w:b/>
          <w:bCs w:val="0"/>
          <w:color w:val="auto"/>
          <w:highlight w:val="none"/>
        </w:rPr>
      </w:pPr>
      <w:r>
        <w:rPr>
          <w:rStyle w:val="38"/>
          <w:rFonts w:hint="eastAsia"/>
          <w:b/>
          <w:bCs w:val="0"/>
          <w:color w:val="auto"/>
          <w:highlight w:val="none"/>
        </w:rPr>
        <w:t>附件2  参加政府采购活动前3年内在经营活动中没有重大违法记录的书面声明（格式）</w:t>
      </w:r>
      <w:bookmarkEnd w:id="293"/>
    </w:p>
    <w:p>
      <w:pPr>
        <w:pStyle w:val="7"/>
        <w:spacing w:before="666" w:after="666"/>
        <w:rPr>
          <w:color w:val="auto"/>
          <w:highlight w:val="none"/>
        </w:rPr>
      </w:pPr>
      <w:r>
        <w:rPr>
          <w:rFonts w:hint="eastAsia"/>
          <w:color w:val="auto"/>
          <w:highlight w:val="none"/>
        </w:rPr>
        <w:t>近三年无重大违法、违纪书面声明</w:t>
      </w:r>
    </w:p>
    <w:p>
      <w:pPr>
        <w:pStyle w:val="5"/>
        <w:ind w:firstLine="0" w:firstLineChars="0"/>
        <w:rPr>
          <w:color w:val="auto"/>
          <w:highlight w:val="none"/>
        </w:rPr>
      </w:pPr>
      <w:r>
        <w:rPr>
          <w:rFonts w:hint="eastAsia"/>
          <w:color w:val="auto"/>
          <w:highlight w:val="none"/>
        </w:rPr>
        <w:t>致：</w:t>
      </w:r>
      <w:r>
        <w:rPr>
          <w:rFonts w:hint="eastAsia"/>
          <w:color w:val="auto"/>
          <w:highlight w:val="none"/>
          <w:u w:val="single"/>
        </w:rPr>
        <w:t xml:space="preserve">     （采购人名称）  </w:t>
      </w:r>
      <w:r>
        <w:rPr>
          <w:rFonts w:hint="eastAsia"/>
          <w:color w:val="auto"/>
          <w:highlight w:val="none"/>
        </w:rPr>
        <w:t xml:space="preserve"> </w:t>
      </w:r>
    </w:p>
    <w:p>
      <w:pPr>
        <w:pStyle w:val="5"/>
        <w:ind w:firstLine="480"/>
        <w:rPr>
          <w:color w:val="auto"/>
          <w:highlight w:val="none"/>
        </w:rPr>
      </w:pPr>
      <w:r>
        <w:rPr>
          <w:rFonts w:hint="eastAsia"/>
          <w:color w:val="auto"/>
          <w:highlight w:val="none"/>
        </w:rPr>
        <w:t>我单位声明参加本次政府采购活动前三年内，在经营活动中没有重大违纪，以及未被列入失信被执行人、未在重大税收违法案件当事人名单及政府采购严重违法失信行为记录名单中。</w:t>
      </w:r>
    </w:p>
    <w:p>
      <w:pPr>
        <w:pStyle w:val="5"/>
        <w:ind w:firstLine="480"/>
        <w:rPr>
          <w:color w:val="auto"/>
          <w:highlight w:val="none"/>
        </w:rPr>
      </w:pPr>
      <w:r>
        <w:rPr>
          <w:rFonts w:hint="eastAsia"/>
          <w:color w:val="auto"/>
          <w:highlight w:val="none"/>
        </w:rPr>
        <w:t>以上如构成虚假，自愿承担相关法律责任。</w:t>
      </w:r>
    </w:p>
    <w:p>
      <w:pPr>
        <w:pStyle w:val="5"/>
        <w:ind w:firstLine="480"/>
        <w:rPr>
          <w:color w:val="auto"/>
          <w:highlight w:val="none"/>
        </w:rPr>
      </w:pPr>
    </w:p>
    <w:p>
      <w:pPr>
        <w:pStyle w:val="5"/>
        <w:ind w:firstLine="480"/>
        <w:rPr>
          <w:color w:val="auto"/>
          <w:highlight w:val="none"/>
        </w:rPr>
      </w:pPr>
      <w:r>
        <w:rPr>
          <w:rFonts w:hint="eastAsia"/>
          <w:color w:val="auto"/>
          <w:highlight w:val="none"/>
        </w:rPr>
        <w:t>特此声明！</w:t>
      </w:r>
    </w:p>
    <w:p>
      <w:pPr>
        <w:spacing w:line="360" w:lineRule="auto"/>
        <w:ind w:firstLine="480" w:firstLineChars="200"/>
        <w:jc w:val="left"/>
        <w:rPr>
          <w:rFonts w:hAnsi="宋体" w:cs="宋体"/>
          <w:color w:val="auto"/>
          <w:highlight w:val="none"/>
        </w:rPr>
      </w:pPr>
    </w:p>
    <w:p>
      <w:pPr>
        <w:spacing w:line="360" w:lineRule="auto"/>
        <w:ind w:firstLine="480" w:firstLineChars="200"/>
        <w:jc w:val="left"/>
        <w:rPr>
          <w:rFonts w:hAnsi="宋体" w:cs="宋体"/>
          <w:color w:val="auto"/>
          <w:highlight w:val="none"/>
        </w:rPr>
      </w:pPr>
    </w:p>
    <w:p>
      <w:pPr>
        <w:pStyle w:val="5"/>
        <w:ind w:firstLine="3600" w:firstLineChars="150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3600" w:firstLineChars="150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spacing w:line="360" w:lineRule="auto"/>
        <w:ind w:firstLine="3600" w:firstLineChars="1500"/>
        <w:rPr>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11"/>
        <w:rPr>
          <w:color w:val="auto"/>
          <w:highlight w:val="none"/>
        </w:rPr>
      </w:pPr>
    </w:p>
    <w:p>
      <w:pPr>
        <w:rPr>
          <w:color w:val="auto"/>
          <w:highlight w:val="none"/>
        </w:rPr>
      </w:pPr>
      <w:r>
        <w:rPr>
          <w:rFonts w:hint="eastAsia"/>
          <w:color w:val="auto"/>
          <w:highlight w:val="none"/>
        </w:rPr>
        <w:br w:type="page"/>
      </w:r>
    </w:p>
    <w:p>
      <w:pPr>
        <w:pStyle w:val="2"/>
        <w:rPr>
          <w:color w:val="auto"/>
          <w:highlight w:val="none"/>
        </w:rPr>
      </w:pPr>
      <w:r>
        <w:rPr>
          <w:rFonts w:hint="eastAsia"/>
          <w:color w:val="auto"/>
          <w:highlight w:val="none"/>
        </w:rPr>
        <w:t>附件3  法定代表人身份证明/法定代表人授权委托书</w:t>
      </w:r>
    </w:p>
    <w:p>
      <w:pPr>
        <w:pStyle w:val="7"/>
        <w:spacing w:before="666" w:after="666"/>
        <w:rPr>
          <w:color w:val="auto"/>
          <w:sz w:val="24"/>
          <w:highlight w:val="none"/>
        </w:rPr>
      </w:pPr>
      <w:r>
        <w:rPr>
          <w:rFonts w:hint="eastAsia"/>
          <w:color w:val="auto"/>
          <w:sz w:val="24"/>
          <w:highlight w:val="none"/>
        </w:rPr>
        <w:t>法定代表人身份证明</w:t>
      </w:r>
      <w:r>
        <w:rPr>
          <w:rStyle w:val="37"/>
          <w:rFonts w:hint="eastAsia"/>
          <w:b/>
          <w:color w:val="auto"/>
          <w:sz w:val="24"/>
          <w:highlight w:val="none"/>
        </w:rPr>
        <w:t>（格式）</w:t>
      </w:r>
    </w:p>
    <w:p>
      <w:pPr>
        <w:pStyle w:val="5"/>
        <w:ind w:firstLine="480"/>
        <w:rPr>
          <w:color w:val="auto"/>
          <w:highlight w:val="none"/>
          <w:u w:val="single"/>
        </w:rPr>
      </w:pPr>
      <w:r>
        <w:rPr>
          <w:rFonts w:hint="eastAsia"/>
          <w:color w:val="auto"/>
          <w:highlight w:val="none"/>
        </w:rPr>
        <w:t>投标人名称：</w:t>
      </w:r>
      <w:r>
        <w:rPr>
          <w:rFonts w:hint="eastAsia"/>
          <w:color w:val="auto"/>
          <w:highlight w:val="none"/>
          <w:u w:val="single"/>
        </w:rPr>
        <w:t xml:space="preserve">                                </w:t>
      </w:r>
    </w:p>
    <w:p>
      <w:pPr>
        <w:pStyle w:val="5"/>
        <w:ind w:firstLine="480"/>
        <w:rPr>
          <w:color w:val="auto"/>
          <w:highlight w:val="none"/>
        </w:rPr>
      </w:pPr>
      <w:r>
        <w:rPr>
          <w:rFonts w:hint="eastAsia"/>
          <w:color w:val="auto"/>
          <w:highlight w:val="none"/>
        </w:rPr>
        <w:t>统一社会信用代码：</w:t>
      </w:r>
      <w:r>
        <w:rPr>
          <w:rFonts w:hint="eastAsia"/>
          <w:color w:val="auto"/>
          <w:highlight w:val="none"/>
          <w:u w:val="single"/>
        </w:rPr>
        <w:t xml:space="preserve">                          </w:t>
      </w:r>
      <w:r>
        <w:rPr>
          <w:rFonts w:hint="eastAsia"/>
          <w:color w:val="auto"/>
          <w:highlight w:val="none"/>
        </w:rPr>
        <w:t xml:space="preserve">                             </w:t>
      </w:r>
    </w:p>
    <w:p>
      <w:pPr>
        <w:pStyle w:val="5"/>
        <w:ind w:firstLine="480"/>
        <w:rPr>
          <w:color w:val="auto"/>
          <w:highlight w:val="none"/>
        </w:rPr>
      </w:pPr>
      <w:r>
        <w:rPr>
          <w:rFonts w:hint="eastAsia"/>
          <w:color w:val="auto"/>
          <w:highlight w:val="none"/>
        </w:rPr>
        <w:t>注册地址：</w:t>
      </w:r>
      <w:r>
        <w:rPr>
          <w:rFonts w:hint="eastAsia"/>
          <w:color w:val="auto"/>
          <w:highlight w:val="none"/>
          <w:u w:val="single"/>
        </w:rPr>
        <w:t xml:space="preserve">                                 </w:t>
      </w:r>
      <w:r>
        <w:rPr>
          <w:rFonts w:hint="eastAsia"/>
          <w:color w:val="auto"/>
          <w:highlight w:val="none"/>
        </w:rPr>
        <w:t xml:space="preserve">                                     </w:t>
      </w:r>
    </w:p>
    <w:p>
      <w:pPr>
        <w:pStyle w:val="5"/>
        <w:ind w:firstLine="480"/>
        <w:rPr>
          <w:color w:val="auto"/>
          <w:highlight w:val="none"/>
        </w:rPr>
      </w:pPr>
      <w:r>
        <w:rPr>
          <w:rFonts w:hint="eastAsia"/>
          <w:color w:val="auto"/>
          <w:highlight w:val="none"/>
        </w:rPr>
        <w:t>成立时间：</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5"/>
        <w:ind w:firstLine="480"/>
        <w:rPr>
          <w:color w:val="auto"/>
          <w:highlight w:val="none"/>
        </w:rPr>
      </w:pPr>
      <w:r>
        <w:rPr>
          <w:rFonts w:hint="eastAsia"/>
          <w:color w:val="auto"/>
          <w:highlight w:val="none"/>
        </w:rPr>
        <w:t>经营期限：</w:t>
      </w:r>
      <w:r>
        <w:rPr>
          <w:rFonts w:hint="eastAsia"/>
          <w:color w:val="auto"/>
          <w:highlight w:val="none"/>
          <w:u w:val="single"/>
        </w:rPr>
        <w:t xml:space="preserve">                                  </w:t>
      </w:r>
      <w:r>
        <w:rPr>
          <w:rFonts w:hint="eastAsia"/>
          <w:color w:val="auto"/>
          <w:highlight w:val="none"/>
        </w:rPr>
        <w:t xml:space="preserve">                               </w:t>
      </w:r>
    </w:p>
    <w:p>
      <w:pPr>
        <w:pStyle w:val="5"/>
        <w:ind w:firstLine="480"/>
        <w:rPr>
          <w:color w:val="auto"/>
          <w:highlight w:val="none"/>
        </w:rPr>
      </w:pPr>
      <w:r>
        <w:rPr>
          <w:rFonts w:hint="eastAsia"/>
          <w:color w:val="auto"/>
          <w:highlight w:val="none"/>
        </w:rPr>
        <w:t>姓名：</w:t>
      </w:r>
      <w:r>
        <w:rPr>
          <w:rFonts w:hint="eastAsia"/>
          <w:color w:val="auto"/>
          <w:highlight w:val="none"/>
          <w:u w:val="single"/>
        </w:rPr>
        <w:t xml:space="preserve">      </w:t>
      </w:r>
      <w:r>
        <w:rPr>
          <w:rFonts w:hint="eastAsia"/>
          <w:color w:val="auto"/>
          <w:highlight w:val="none"/>
        </w:rPr>
        <w:t>性别：</w:t>
      </w:r>
      <w:r>
        <w:rPr>
          <w:rFonts w:hint="eastAsia"/>
          <w:color w:val="auto"/>
          <w:highlight w:val="none"/>
          <w:u w:val="single"/>
        </w:rPr>
        <w:t xml:space="preserve">  </w:t>
      </w:r>
      <w:r>
        <w:rPr>
          <w:rFonts w:hint="eastAsia"/>
          <w:color w:val="auto"/>
          <w:highlight w:val="none"/>
        </w:rPr>
        <w:t>年龄：</w:t>
      </w:r>
      <w:r>
        <w:rPr>
          <w:rFonts w:hint="eastAsia"/>
          <w:color w:val="auto"/>
          <w:highlight w:val="none"/>
          <w:u w:val="single"/>
        </w:rPr>
        <w:t xml:space="preserve">  </w:t>
      </w:r>
      <w:r>
        <w:rPr>
          <w:rFonts w:hint="eastAsia"/>
          <w:color w:val="auto"/>
          <w:highlight w:val="none"/>
        </w:rPr>
        <w:t>联系电话：</w:t>
      </w:r>
      <w:r>
        <w:rPr>
          <w:rFonts w:hint="eastAsia"/>
          <w:color w:val="auto"/>
          <w:highlight w:val="none"/>
          <w:u w:val="single"/>
        </w:rPr>
        <w:t xml:space="preserve">           </w:t>
      </w:r>
      <w:r>
        <w:rPr>
          <w:rFonts w:hint="eastAsia"/>
          <w:color w:val="auto"/>
          <w:highlight w:val="none"/>
        </w:rPr>
        <w:t>系</w:t>
      </w:r>
      <w:r>
        <w:rPr>
          <w:rFonts w:hint="eastAsia"/>
          <w:color w:val="auto"/>
          <w:highlight w:val="none"/>
          <w:u w:val="single"/>
        </w:rPr>
        <w:t xml:space="preserve">           （投标人名称）</w:t>
      </w:r>
      <w:r>
        <w:rPr>
          <w:rFonts w:hint="eastAsia"/>
          <w:color w:val="auto"/>
          <w:highlight w:val="none"/>
        </w:rPr>
        <w:t>的法定代表人。</w:t>
      </w:r>
    </w:p>
    <w:p>
      <w:pPr>
        <w:pStyle w:val="5"/>
        <w:ind w:firstLine="480"/>
        <w:rPr>
          <w:color w:val="auto"/>
          <w:highlight w:val="none"/>
        </w:rPr>
      </w:pPr>
      <w:r>
        <w:rPr>
          <w:rFonts w:hint="eastAsia"/>
          <w:color w:val="auto"/>
          <w:highlight w:val="none"/>
        </w:rPr>
        <w:t>特此证明。</w:t>
      </w:r>
    </w:p>
    <w:p>
      <w:pPr>
        <w:pStyle w:val="5"/>
        <w:ind w:firstLine="480"/>
        <w:rPr>
          <w:color w:val="auto"/>
          <w:highlight w:val="none"/>
        </w:rPr>
      </w:pPr>
      <w:r>
        <w:rPr>
          <w:rFonts w:hint="eastAsia"/>
          <w:color w:val="auto"/>
          <w:highlight w:val="none"/>
        </w:rPr>
        <w:t>附：法定代表人身份证复印件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947" w:type="dxa"/>
            <w:vAlign w:val="center"/>
          </w:tcPr>
          <w:p>
            <w:pPr>
              <w:pStyle w:val="30"/>
              <w:rPr>
                <w:color w:val="auto"/>
                <w:highlight w:val="none"/>
              </w:rPr>
            </w:pPr>
            <w:r>
              <w:rPr>
                <w:rFonts w:hint="eastAsia"/>
                <w:color w:val="auto"/>
                <w:highlight w:val="none"/>
              </w:rPr>
              <w:t>法人身份证复印件</w:t>
            </w:r>
          </w:p>
          <w:p>
            <w:pPr>
              <w:pStyle w:val="30"/>
              <w:rPr>
                <w:color w:val="auto"/>
                <w:szCs w:val="24"/>
                <w:highlight w:val="none"/>
              </w:rPr>
            </w:pPr>
            <w:r>
              <w:rPr>
                <w:rFonts w:hint="eastAsia"/>
                <w:color w:val="auto"/>
                <w:highlight w:val="none"/>
              </w:rPr>
              <w:t>正、反面</w:t>
            </w:r>
          </w:p>
        </w:tc>
      </w:tr>
    </w:tbl>
    <w:p>
      <w:pPr>
        <w:tabs>
          <w:tab w:val="left" w:pos="8820"/>
        </w:tabs>
        <w:spacing w:line="336" w:lineRule="auto"/>
        <w:jc w:val="center"/>
        <w:rPr>
          <w:rFonts w:hAnsi="宋体" w:cs="宋体"/>
          <w:b/>
          <w:bCs/>
          <w:color w:val="auto"/>
          <w:szCs w:val="24"/>
          <w:highlight w:val="none"/>
        </w:rPr>
      </w:pPr>
    </w:p>
    <w:p>
      <w:pPr>
        <w:pStyle w:val="5"/>
        <w:ind w:firstLine="3600" w:firstLineChars="150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3600" w:firstLineChars="1500"/>
        <w:rPr>
          <w:color w:val="auto"/>
          <w:highlight w:val="none"/>
        </w:rPr>
      </w:pPr>
      <w:r>
        <w:rPr>
          <w:rFonts w:hint="eastAsia"/>
          <w:color w:val="auto"/>
          <w:highlight w:val="none"/>
        </w:rPr>
        <w:t>法定代表人：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wordWrap w:val="0"/>
        <w:spacing w:line="336" w:lineRule="auto"/>
        <w:ind w:right="-159" w:firstLine="3600" w:firstLineChars="1500"/>
        <w:rPr>
          <w:rFonts w:hAnsi="宋体" w:cs="宋体"/>
          <w:color w:val="auto"/>
          <w:szCs w:val="24"/>
          <w:highlight w:val="none"/>
          <w:u w:val="singl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rPr>
          <w:rStyle w:val="37"/>
          <w:color w:val="auto"/>
          <w:highlight w:val="none"/>
        </w:rPr>
      </w:pPr>
      <w:r>
        <w:rPr>
          <w:rStyle w:val="37"/>
          <w:rFonts w:hint="eastAsia"/>
          <w:color w:val="auto"/>
          <w:highlight w:val="none"/>
        </w:rPr>
        <w:br w:type="page"/>
      </w:r>
    </w:p>
    <w:p>
      <w:pPr>
        <w:pStyle w:val="7"/>
        <w:spacing w:before="666" w:after="666"/>
        <w:rPr>
          <w:color w:val="auto"/>
          <w:highlight w:val="none"/>
        </w:rPr>
      </w:pPr>
      <w:r>
        <w:rPr>
          <w:rFonts w:hint="eastAsia"/>
          <w:color w:val="auto"/>
          <w:highlight w:val="none"/>
        </w:rPr>
        <w:t>法定代表人授权委托书（格式）</w:t>
      </w:r>
    </w:p>
    <w:p>
      <w:pPr>
        <w:tabs>
          <w:tab w:val="left" w:pos="8820"/>
        </w:tabs>
        <w:spacing w:line="336" w:lineRule="auto"/>
        <w:ind w:firstLine="570"/>
        <w:rPr>
          <w:rFonts w:hAnsi="宋体" w:cs="宋体"/>
          <w:color w:val="auto"/>
          <w:szCs w:val="24"/>
          <w:highlight w:val="none"/>
        </w:rPr>
      </w:pPr>
    </w:p>
    <w:p>
      <w:pPr>
        <w:pStyle w:val="5"/>
        <w:ind w:firstLine="480"/>
        <w:rPr>
          <w:color w:val="auto"/>
          <w:highlight w:val="none"/>
        </w:rPr>
      </w:pPr>
      <w:r>
        <w:rPr>
          <w:rFonts w:hint="eastAsia"/>
          <w:color w:val="auto"/>
          <w:highlight w:val="none"/>
        </w:rPr>
        <w:t>本授权委托书声明：我</w:t>
      </w:r>
      <w:r>
        <w:rPr>
          <w:rFonts w:hint="eastAsia"/>
          <w:color w:val="auto"/>
          <w:highlight w:val="none"/>
          <w:u w:val="single"/>
        </w:rPr>
        <w:t>（法定代表人姓名）</w:t>
      </w:r>
      <w:r>
        <w:rPr>
          <w:rFonts w:hint="eastAsia"/>
          <w:color w:val="auto"/>
          <w:highlight w:val="none"/>
        </w:rPr>
        <w:t>系注册于</w:t>
      </w:r>
      <w:r>
        <w:rPr>
          <w:rFonts w:hint="eastAsia"/>
          <w:color w:val="auto"/>
          <w:highlight w:val="none"/>
          <w:u w:val="single"/>
        </w:rPr>
        <w:t xml:space="preserve">  （投标人地址）</w:t>
      </w:r>
      <w:r>
        <w:rPr>
          <w:rFonts w:hint="eastAsia"/>
          <w:color w:val="auto"/>
          <w:highlight w:val="none"/>
        </w:rPr>
        <w:t>的</w:t>
      </w:r>
      <w:r>
        <w:rPr>
          <w:rFonts w:hint="eastAsia"/>
          <w:color w:val="auto"/>
          <w:highlight w:val="none"/>
          <w:u w:val="single"/>
        </w:rPr>
        <w:t xml:space="preserve">（投标人名称）  </w:t>
      </w:r>
      <w:r>
        <w:rPr>
          <w:rFonts w:hint="eastAsia"/>
          <w:color w:val="auto"/>
          <w:highlight w:val="none"/>
        </w:rPr>
        <w:t>的法定代表人，现代表公司授权下面签字的</w:t>
      </w:r>
      <w:r>
        <w:rPr>
          <w:rFonts w:hint="eastAsia"/>
          <w:color w:val="auto"/>
          <w:highlight w:val="none"/>
          <w:u w:val="single"/>
        </w:rPr>
        <w:t>（被授权人的姓名、职务）</w:t>
      </w:r>
      <w:r>
        <w:rPr>
          <w:rFonts w:hint="eastAsia"/>
          <w:color w:val="auto"/>
          <w:highlight w:val="none"/>
        </w:rPr>
        <w:t>为我公司合法代理人，代表本公司参加</w:t>
      </w:r>
      <w:r>
        <w:rPr>
          <w:rFonts w:hint="eastAsia"/>
          <w:color w:val="auto"/>
          <w:highlight w:val="none"/>
          <w:u w:val="single"/>
        </w:rPr>
        <w:t xml:space="preserve">  （项目名称） </w:t>
      </w:r>
      <w:r>
        <w:rPr>
          <w:rFonts w:hint="eastAsia"/>
          <w:color w:val="auto"/>
          <w:highlight w:val="none"/>
        </w:rPr>
        <w:t>项目编号为</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u w:val="none"/>
          <w:lang w:val="en-US" w:eastAsia="zh-CN"/>
        </w:rPr>
        <w:t>包</w:t>
      </w:r>
      <w:r>
        <w:rPr>
          <w:rFonts w:hint="eastAsia"/>
          <w:color w:val="auto"/>
          <w:highlight w:val="none"/>
        </w:rPr>
        <w:t>号为</w:t>
      </w:r>
      <w:r>
        <w:rPr>
          <w:rFonts w:hint="eastAsia"/>
          <w:color w:val="auto"/>
          <w:highlight w:val="none"/>
          <w:u w:val="single"/>
        </w:rPr>
        <w:t xml:space="preserve">     </w:t>
      </w:r>
      <w:r>
        <w:rPr>
          <w:rFonts w:hint="eastAsia"/>
          <w:color w:val="auto"/>
          <w:highlight w:val="none"/>
        </w:rPr>
        <w:t>的投标活动。代理人在本次投标中所签署的一切文件和处理的一切有关事物，我公司均予承认。</w:t>
      </w:r>
    </w:p>
    <w:tbl>
      <w:tblPr>
        <w:tblStyle w:val="20"/>
        <w:tblW w:w="9019" w:type="dxa"/>
        <w:tblInd w:w="0" w:type="dxa"/>
        <w:tblLayout w:type="fixed"/>
        <w:tblCellMar>
          <w:top w:w="0" w:type="dxa"/>
          <w:left w:w="108" w:type="dxa"/>
          <w:bottom w:w="0" w:type="dxa"/>
          <w:right w:w="108" w:type="dxa"/>
        </w:tblCellMar>
      </w:tblPr>
      <w:tblGrid>
        <w:gridCol w:w="4625"/>
        <w:gridCol w:w="4394"/>
      </w:tblGrid>
      <w:tr>
        <w:tblPrEx>
          <w:tblCellMar>
            <w:top w:w="0" w:type="dxa"/>
            <w:left w:w="108" w:type="dxa"/>
            <w:bottom w:w="0" w:type="dxa"/>
            <w:right w:w="108" w:type="dxa"/>
          </w:tblCellMar>
        </w:tblPrEx>
        <w:trPr>
          <w:trHeight w:val="585" w:hRule="atLeast"/>
        </w:trPr>
        <w:tc>
          <w:tcPr>
            <w:tcW w:w="4625" w:type="dxa"/>
            <w:vAlign w:val="center"/>
          </w:tcPr>
          <w:p>
            <w:pPr>
              <w:pStyle w:val="30"/>
              <w:jc w:val="both"/>
              <w:rPr>
                <w:color w:val="auto"/>
                <w:highlight w:val="none"/>
              </w:rPr>
            </w:pPr>
            <w:r>
              <w:rPr>
                <w:rFonts w:hint="eastAsia"/>
                <w:color w:val="auto"/>
                <w:highlight w:val="none"/>
              </w:rPr>
              <w:t>被授权人签字或盖章：</w:t>
            </w:r>
          </w:p>
        </w:tc>
        <w:tc>
          <w:tcPr>
            <w:tcW w:w="4394" w:type="dxa"/>
            <w:vAlign w:val="center"/>
          </w:tcPr>
          <w:p>
            <w:pPr>
              <w:pStyle w:val="30"/>
              <w:jc w:val="both"/>
              <w:rPr>
                <w:color w:val="auto"/>
                <w:highlight w:val="none"/>
              </w:rPr>
            </w:pPr>
            <w:r>
              <w:rPr>
                <w:rFonts w:hint="eastAsia"/>
                <w:color w:val="auto"/>
                <w:highlight w:val="none"/>
              </w:rPr>
              <w:t>法定代表人签字或盖章：</w:t>
            </w:r>
          </w:p>
        </w:tc>
      </w:tr>
      <w:tr>
        <w:tblPrEx>
          <w:tblCellMar>
            <w:top w:w="0" w:type="dxa"/>
            <w:left w:w="108" w:type="dxa"/>
            <w:bottom w:w="0" w:type="dxa"/>
            <w:right w:w="108" w:type="dxa"/>
          </w:tblCellMar>
        </w:tblPrEx>
        <w:trPr>
          <w:trHeight w:val="585" w:hRule="atLeast"/>
        </w:trPr>
        <w:tc>
          <w:tcPr>
            <w:tcW w:w="4625" w:type="dxa"/>
            <w:vAlign w:val="center"/>
          </w:tcPr>
          <w:p>
            <w:pPr>
              <w:pStyle w:val="30"/>
              <w:jc w:val="both"/>
              <w:rPr>
                <w:color w:val="auto"/>
                <w:highlight w:val="none"/>
              </w:rPr>
            </w:pPr>
            <w:r>
              <w:rPr>
                <w:rFonts w:hint="eastAsia"/>
                <w:color w:val="auto"/>
                <w:highlight w:val="none"/>
              </w:rPr>
              <w:t>职务：</w:t>
            </w:r>
          </w:p>
        </w:tc>
        <w:tc>
          <w:tcPr>
            <w:tcW w:w="4394" w:type="dxa"/>
            <w:vAlign w:val="center"/>
          </w:tcPr>
          <w:p>
            <w:pPr>
              <w:pStyle w:val="30"/>
              <w:jc w:val="both"/>
              <w:rPr>
                <w:color w:val="auto"/>
                <w:highlight w:val="none"/>
              </w:rPr>
            </w:pPr>
            <w:r>
              <w:rPr>
                <w:rFonts w:hint="eastAsia"/>
                <w:color w:val="auto"/>
                <w:highlight w:val="none"/>
              </w:rPr>
              <w:t>职务：</w:t>
            </w:r>
          </w:p>
        </w:tc>
      </w:tr>
      <w:tr>
        <w:tblPrEx>
          <w:tblCellMar>
            <w:top w:w="0" w:type="dxa"/>
            <w:left w:w="108" w:type="dxa"/>
            <w:bottom w:w="0" w:type="dxa"/>
            <w:right w:w="108" w:type="dxa"/>
          </w:tblCellMar>
        </w:tblPrEx>
        <w:trPr>
          <w:trHeight w:val="585" w:hRule="atLeast"/>
        </w:trPr>
        <w:tc>
          <w:tcPr>
            <w:tcW w:w="4625" w:type="dxa"/>
            <w:vAlign w:val="center"/>
          </w:tcPr>
          <w:p>
            <w:pPr>
              <w:pStyle w:val="30"/>
              <w:jc w:val="both"/>
              <w:rPr>
                <w:color w:val="auto"/>
                <w:highlight w:val="none"/>
              </w:rPr>
            </w:pPr>
            <w:r>
              <w:rPr>
                <w:rFonts w:hint="eastAsia"/>
                <w:color w:val="auto"/>
                <w:highlight w:val="none"/>
              </w:rPr>
              <w:t>身份证号：</w:t>
            </w:r>
          </w:p>
        </w:tc>
        <w:tc>
          <w:tcPr>
            <w:tcW w:w="4394" w:type="dxa"/>
            <w:vAlign w:val="center"/>
          </w:tcPr>
          <w:p>
            <w:pPr>
              <w:pStyle w:val="30"/>
              <w:jc w:val="both"/>
              <w:rPr>
                <w:color w:val="auto"/>
                <w:highlight w:val="none"/>
              </w:rPr>
            </w:pPr>
            <w:r>
              <w:rPr>
                <w:rFonts w:hint="eastAsia"/>
                <w:color w:val="auto"/>
                <w:highlight w:val="none"/>
              </w:rPr>
              <w:t>身份证号：</w:t>
            </w:r>
          </w:p>
        </w:tc>
      </w:tr>
      <w:tr>
        <w:tblPrEx>
          <w:tblCellMar>
            <w:top w:w="0" w:type="dxa"/>
            <w:left w:w="108" w:type="dxa"/>
            <w:bottom w:w="0" w:type="dxa"/>
            <w:right w:w="108" w:type="dxa"/>
          </w:tblCellMar>
        </w:tblPrEx>
        <w:trPr>
          <w:trHeight w:val="585" w:hRule="atLeast"/>
        </w:trPr>
        <w:tc>
          <w:tcPr>
            <w:tcW w:w="4625" w:type="dxa"/>
            <w:vAlign w:val="center"/>
          </w:tcPr>
          <w:p>
            <w:pPr>
              <w:pStyle w:val="30"/>
              <w:jc w:val="both"/>
              <w:rPr>
                <w:color w:val="auto"/>
                <w:highlight w:val="none"/>
              </w:rPr>
            </w:pPr>
            <w:r>
              <w:rPr>
                <w:rFonts w:hint="eastAsia"/>
                <w:color w:val="auto"/>
                <w:highlight w:val="none"/>
              </w:rPr>
              <w:t>所在部门：</w:t>
            </w:r>
          </w:p>
        </w:tc>
        <w:tc>
          <w:tcPr>
            <w:tcW w:w="4394" w:type="dxa"/>
            <w:vAlign w:val="center"/>
          </w:tcPr>
          <w:p>
            <w:pPr>
              <w:pStyle w:val="30"/>
              <w:rPr>
                <w:color w:val="auto"/>
                <w:highlight w:val="none"/>
              </w:rPr>
            </w:pPr>
          </w:p>
        </w:tc>
      </w:tr>
      <w:tr>
        <w:tblPrEx>
          <w:tblCellMar>
            <w:top w:w="0" w:type="dxa"/>
            <w:left w:w="108" w:type="dxa"/>
            <w:bottom w:w="0" w:type="dxa"/>
            <w:right w:w="108" w:type="dxa"/>
          </w:tblCellMar>
        </w:tblPrEx>
        <w:trPr>
          <w:trHeight w:val="585" w:hRule="atLeast"/>
        </w:trPr>
        <w:tc>
          <w:tcPr>
            <w:tcW w:w="4625" w:type="dxa"/>
            <w:vAlign w:val="center"/>
          </w:tcPr>
          <w:p>
            <w:pPr>
              <w:pStyle w:val="30"/>
              <w:jc w:val="both"/>
              <w:rPr>
                <w:color w:val="auto"/>
                <w:highlight w:val="none"/>
              </w:rPr>
            </w:pPr>
            <w:r>
              <w:rPr>
                <w:rFonts w:hint="eastAsia"/>
                <w:color w:val="auto"/>
                <w:highlight w:val="none"/>
              </w:rPr>
              <w:t>联系电话：</w:t>
            </w:r>
          </w:p>
        </w:tc>
        <w:tc>
          <w:tcPr>
            <w:tcW w:w="4394" w:type="dxa"/>
            <w:vAlign w:val="center"/>
          </w:tcPr>
          <w:p>
            <w:pPr>
              <w:pStyle w:val="30"/>
              <w:rPr>
                <w:color w:val="auto"/>
                <w:highlight w:val="none"/>
              </w:rPr>
            </w:pPr>
          </w:p>
        </w:tc>
      </w:tr>
    </w:tbl>
    <w:p>
      <w:pPr>
        <w:pStyle w:val="11"/>
        <w:rPr>
          <w:rFonts w:ascii="宋体" w:hAnsi="宋体" w:cs="宋体"/>
          <w:color w:val="auto"/>
          <w:sz w:val="24"/>
          <w:szCs w:val="24"/>
          <w:highlight w:val="none"/>
        </w:rPr>
      </w:pPr>
    </w:p>
    <w:p>
      <w:pPr>
        <w:spacing w:line="336" w:lineRule="auto"/>
        <w:ind w:firstLine="480" w:firstLineChars="200"/>
        <w:rPr>
          <w:rFonts w:hAnsi="宋体" w:cs="宋体"/>
          <w:color w:val="auto"/>
          <w:szCs w:val="24"/>
          <w:highlight w:val="none"/>
        </w:rPr>
      </w:pPr>
      <w:r>
        <w:rPr>
          <w:rStyle w:val="40"/>
          <w:rFonts w:hint="eastAsia"/>
          <w:color w:val="auto"/>
          <w:highlight w:val="none"/>
        </w:rPr>
        <w:t>本授权书有效期自</w:t>
      </w:r>
      <w:r>
        <w:rPr>
          <w:rStyle w:val="40"/>
          <w:rFonts w:hint="eastAsia"/>
          <w:color w:val="auto"/>
          <w:highlight w:val="none"/>
          <w:lang w:eastAsia="zh-CN"/>
        </w:rPr>
        <w:t>投标文件</w:t>
      </w:r>
      <w:r>
        <w:rPr>
          <w:rStyle w:val="40"/>
          <w:rFonts w:hint="eastAsia"/>
          <w:color w:val="auto"/>
          <w:highlight w:val="none"/>
        </w:rPr>
        <w:t>递交截止之日起</w:t>
      </w:r>
      <w:r>
        <w:rPr>
          <w:rStyle w:val="40"/>
          <w:rFonts w:hint="eastAsia"/>
          <w:color w:val="auto"/>
          <w:highlight w:val="none"/>
          <w:u w:val="single"/>
        </w:rPr>
        <w:t xml:space="preserve">   </w:t>
      </w:r>
      <w:r>
        <w:rPr>
          <w:rStyle w:val="40"/>
          <w:rFonts w:hint="eastAsia"/>
          <w:color w:val="auto"/>
          <w:highlight w:val="none"/>
        </w:rPr>
        <w:t xml:space="preserve">天，特此声明。 </w:t>
      </w:r>
      <w:r>
        <w:rPr>
          <w:rFonts w:hint="eastAsia" w:hAnsi="宋体" w:cs="宋体"/>
          <w:color w:val="auto"/>
          <w:szCs w:val="24"/>
          <w:highlight w:val="none"/>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4473" w:type="dxa"/>
            <w:vAlign w:val="center"/>
          </w:tcPr>
          <w:p>
            <w:pPr>
              <w:pStyle w:val="30"/>
              <w:rPr>
                <w:color w:val="auto"/>
                <w:highlight w:val="none"/>
              </w:rPr>
            </w:pPr>
            <w:r>
              <w:rPr>
                <w:rFonts w:hint="eastAsia"/>
                <w:color w:val="auto"/>
                <w:highlight w:val="none"/>
              </w:rPr>
              <w:t>法人身份证复印件</w:t>
            </w:r>
          </w:p>
          <w:p>
            <w:pPr>
              <w:pStyle w:val="30"/>
              <w:rPr>
                <w:color w:val="auto"/>
                <w:highlight w:val="none"/>
              </w:rPr>
            </w:pPr>
            <w:r>
              <w:rPr>
                <w:rFonts w:hint="eastAsia"/>
                <w:color w:val="auto"/>
                <w:highlight w:val="none"/>
              </w:rPr>
              <w:t>正、反面</w:t>
            </w:r>
          </w:p>
        </w:tc>
        <w:tc>
          <w:tcPr>
            <w:tcW w:w="4474" w:type="dxa"/>
            <w:vAlign w:val="center"/>
          </w:tcPr>
          <w:p>
            <w:pPr>
              <w:pStyle w:val="30"/>
              <w:rPr>
                <w:color w:val="auto"/>
                <w:highlight w:val="none"/>
              </w:rPr>
            </w:pPr>
            <w:r>
              <w:rPr>
                <w:rFonts w:hint="eastAsia"/>
                <w:color w:val="auto"/>
                <w:highlight w:val="none"/>
              </w:rPr>
              <w:t>被授权人身份证复印件</w:t>
            </w:r>
          </w:p>
          <w:p>
            <w:pPr>
              <w:pStyle w:val="30"/>
              <w:rPr>
                <w:color w:val="auto"/>
                <w:highlight w:val="none"/>
              </w:rPr>
            </w:pPr>
            <w:r>
              <w:rPr>
                <w:rFonts w:hint="eastAsia"/>
                <w:color w:val="auto"/>
                <w:highlight w:val="none"/>
              </w:rPr>
              <w:t>正、反面</w:t>
            </w:r>
          </w:p>
          <w:p>
            <w:pPr>
              <w:pStyle w:val="30"/>
              <w:rPr>
                <w:color w:val="auto"/>
                <w:highlight w:val="none"/>
              </w:rPr>
            </w:pPr>
          </w:p>
        </w:tc>
      </w:tr>
    </w:tbl>
    <w:p>
      <w:pPr>
        <w:pStyle w:val="11"/>
        <w:rPr>
          <w:rFonts w:ascii="宋体" w:hAnsi="宋体" w:cs="宋体"/>
          <w:color w:val="auto"/>
          <w:sz w:val="24"/>
          <w:szCs w:val="24"/>
          <w:highlight w:val="none"/>
        </w:rPr>
      </w:pPr>
    </w:p>
    <w:p>
      <w:pPr>
        <w:pStyle w:val="5"/>
        <w:ind w:firstLine="3600" w:firstLineChars="150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3600" w:firstLineChars="1500"/>
        <w:rPr>
          <w:color w:val="auto"/>
          <w:highlight w:val="none"/>
        </w:rPr>
      </w:pPr>
      <w:r>
        <w:rPr>
          <w:rFonts w:hint="eastAsia"/>
          <w:color w:val="auto"/>
          <w:highlight w:val="none"/>
        </w:rPr>
        <w:t>法定代表人：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wordWrap w:val="0"/>
        <w:spacing w:line="336" w:lineRule="auto"/>
        <w:ind w:firstLine="3600" w:firstLineChars="1500"/>
        <w:rPr>
          <w:rFonts w:hAnsi="宋体" w:cs="宋体"/>
          <w:color w:val="auto"/>
          <w:szCs w:val="24"/>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336" w:lineRule="auto"/>
        <w:rPr>
          <w:rFonts w:hAnsi="宋体" w:cs="宋体"/>
          <w:b/>
          <w:bCs/>
          <w:color w:val="auto"/>
          <w:szCs w:val="24"/>
          <w:highlight w:val="none"/>
        </w:rPr>
      </w:pPr>
      <w:r>
        <w:rPr>
          <w:rFonts w:hint="eastAsia" w:hAnsi="宋体" w:cs="宋体"/>
          <w:b/>
          <w:bCs/>
          <w:color w:val="auto"/>
          <w:szCs w:val="24"/>
          <w:highlight w:val="none"/>
        </w:rPr>
        <w:t>注：</w:t>
      </w:r>
    </w:p>
    <w:p>
      <w:pPr>
        <w:spacing w:line="336" w:lineRule="auto"/>
        <w:ind w:firstLine="480" w:firstLineChars="200"/>
        <w:rPr>
          <w:rFonts w:hAnsi="宋体" w:cs="宋体"/>
          <w:color w:val="auto"/>
          <w:szCs w:val="24"/>
          <w:highlight w:val="none"/>
        </w:rPr>
      </w:pPr>
      <w:r>
        <w:rPr>
          <w:rFonts w:hint="eastAsia" w:hAnsi="宋体" w:cs="宋体"/>
          <w:color w:val="auto"/>
          <w:szCs w:val="24"/>
          <w:highlight w:val="none"/>
        </w:rPr>
        <w:t>1.此授权书的有效期应与</w:t>
      </w:r>
      <w:r>
        <w:rPr>
          <w:rFonts w:hint="eastAsia" w:hAnsi="宋体" w:cs="宋体"/>
          <w:color w:val="auto"/>
          <w:szCs w:val="24"/>
          <w:highlight w:val="none"/>
          <w:lang w:eastAsia="zh-CN"/>
        </w:rPr>
        <w:t>投标文件</w:t>
      </w:r>
      <w:r>
        <w:rPr>
          <w:rFonts w:hint="eastAsia" w:hAnsi="宋体" w:cs="宋体"/>
          <w:color w:val="auto"/>
          <w:szCs w:val="24"/>
          <w:highlight w:val="none"/>
        </w:rPr>
        <w:t>有效期一致；</w:t>
      </w:r>
    </w:p>
    <w:p>
      <w:pPr>
        <w:ind w:firstLine="480" w:firstLineChars="200"/>
        <w:rPr>
          <w:rFonts w:hAnsi="宋体" w:cs="宋体"/>
          <w:color w:val="auto"/>
          <w:szCs w:val="24"/>
          <w:highlight w:val="none"/>
          <w:lang w:val="zh-CN"/>
        </w:rPr>
      </w:pPr>
      <w:r>
        <w:rPr>
          <w:rFonts w:hint="eastAsia" w:hAnsi="宋体" w:cs="宋体"/>
          <w:color w:val="auto"/>
          <w:szCs w:val="24"/>
          <w:highlight w:val="none"/>
        </w:rPr>
        <w:t>2.</w:t>
      </w:r>
      <w:r>
        <w:rPr>
          <w:rFonts w:hint="eastAsia" w:hAnsi="宋体" w:cs="宋体"/>
          <w:color w:val="auto"/>
          <w:szCs w:val="24"/>
          <w:highlight w:val="none"/>
          <w:lang w:val="zh-CN"/>
        </w:rPr>
        <w:t>法定代表人直接</w:t>
      </w:r>
      <w:r>
        <w:rPr>
          <w:rFonts w:hint="eastAsia" w:hAnsi="宋体" w:cs="宋体"/>
          <w:color w:val="auto"/>
          <w:szCs w:val="24"/>
          <w:highlight w:val="none"/>
        </w:rPr>
        <w:t>投标</w:t>
      </w:r>
      <w:r>
        <w:rPr>
          <w:rFonts w:hint="eastAsia" w:hAnsi="宋体" w:cs="宋体"/>
          <w:color w:val="auto"/>
          <w:szCs w:val="24"/>
          <w:highlight w:val="none"/>
          <w:lang w:val="zh-CN"/>
        </w:rPr>
        <w:t>时无需提供。</w:t>
      </w:r>
    </w:p>
    <w:p>
      <w:pPr>
        <w:rPr>
          <w:rStyle w:val="31"/>
          <w:color w:val="auto"/>
          <w:highlight w:val="none"/>
        </w:rPr>
      </w:pPr>
      <w:bookmarkStart w:id="294" w:name="_Toc363474028"/>
      <w:bookmarkStart w:id="295" w:name="_Toc4867"/>
      <w:bookmarkStart w:id="296" w:name="_Toc19075"/>
      <w:bookmarkStart w:id="297" w:name="_Toc2470"/>
      <w:bookmarkStart w:id="298" w:name="_Toc403077649"/>
      <w:bookmarkStart w:id="299" w:name="_Toc426457701"/>
      <w:bookmarkStart w:id="300" w:name="_Toc25348"/>
      <w:bookmarkStart w:id="301" w:name="_Toc16210"/>
      <w:bookmarkStart w:id="302" w:name="_Toc30210"/>
      <w:bookmarkStart w:id="303" w:name="_Toc16097"/>
    </w:p>
    <w:bookmarkEnd w:id="294"/>
    <w:bookmarkEnd w:id="295"/>
    <w:bookmarkEnd w:id="296"/>
    <w:bookmarkEnd w:id="297"/>
    <w:bookmarkEnd w:id="298"/>
    <w:bookmarkEnd w:id="299"/>
    <w:bookmarkEnd w:id="300"/>
    <w:bookmarkEnd w:id="301"/>
    <w:bookmarkEnd w:id="302"/>
    <w:bookmarkEnd w:id="303"/>
    <w:p>
      <w:pPr>
        <w:pStyle w:val="4"/>
        <w:bidi w:val="0"/>
        <w:rPr>
          <w:rStyle w:val="31"/>
          <w:b/>
          <w:bCs/>
          <w:color w:val="auto"/>
          <w:highlight w:val="none"/>
          <w:lang w:val="zh-CN"/>
        </w:rPr>
      </w:pPr>
      <w:r>
        <w:rPr>
          <w:rStyle w:val="31"/>
          <w:rFonts w:hint="eastAsia"/>
          <w:b/>
          <w:bCs/>
          <w:color w:val="auto"/>
          <w:highlight w:val="none"/>
          <w:lang w:val="en-US" w:eastAsia="zh-CN"/>
        </w:rPr>
        <w:t>六</w:t>
      </w:r>
      <w:r>
        <w:rPr>
          <w:rStyle w:val="31"/>
          <w:rFonts w:hint="eastAsia"/>
          <w:b/>
          <w:bCs/>
          <w:color w:val="auto"/>
          <w:highlight w:val="none"/>
        </w:rPr>
        <w:t>、</w:t>
      </w:r>
      <w:r>
        <w:rPr>
          <w:rStyle w:val="31"/>
          <w:rFonts w:hint="eastAsia"/>
          <w:b/>
          <w:bCs/>
          <w:color w:val="auto"/>
          <w:highlight w:val="none"/>
          <w:lang w:val="zh-CN"/>
        </w:rPr>
        <w:t>投标人承诺书</w:t>
      </w:r>
    </w:p>
    <w:p>
      <w:pPr>
        <w:pStyle w:val="7"/>
        <w:spacing w:before="666" w:after="666"/>
        <w:rPr>
          <w:color w:val="auto"/>
          <w:highlight w:val="none"/>
        </w:rPr>
      </w:pPr>
      <w:r>
        <w:rPr>
          <w:rFonts w:hint="eastAsia"/>
          <w:color w:val="auto"/>
          <w:highlight w:val="none"/>
          <w:lang w:val="en-US" w:eastAsia="zh-CN"/>
        </w:rPr>
        <w:t>6</w:t>
      </w:r>
      <w:r>
        <w:rPr>
          <w:rFonts w:hint="eastAsia"/>
          <w:color w:val="auto"/>
          <w:highlight w:val="none"/>
        </w:rPr>
        <w:t>.1陕西省政府采购投标人拒绝政府采购领域商业贿赂承诺书</w:t>
      </w:r>
    </w:p>
    <w:p>
      <w:pPr>
        <w:pStyle w:val="5"/>
        <w:ind w:firstLine="480"/>
        <w:rPr>
          <w:color w:val="auto"/>
          <w:highlight w:val="none"/>
        </w:rPr>
      </w:pPr>
      <w:r>
        <w:rPr>
          <w:rFonts w:hint="eastAsia"/>
          <w:color w:val="auto"/>
          <w:highlight w:val="none"/>
        </w:rPr>
        <w:t>为响应党中央、国务院关于治理政府采购领域商业贿赂行为的号召，我公司在此庄严承诺：</w:t>
      </w:r>
    </w:p>
    <w:p>
      <w:pPr>
        <w:pStyle w:val="5"/>
        <w:ind w:firstLine="480"/>
        <w:rPr>
          <w:color w:val="auto"/>
          <w:highlight w:val="none"/>
        </w:rPr>
      </w:pPr>
      <w:r>
        <w:rPr>
          <w:rFonts w:hint="eastAsia"/>
          <w:color w:val="auto"/>
          <w:highlight w:val="none"/>
        </w:rPr>
        <w:t>1.在参与政府采购活动中遵纪守法、诚信经营、公平竞标。</w:t>
      </w:r>
    </w:p>
    <w:p>
      <w:pPr>
        <w:pStyle w:val="5"/>
        <w:ind w:firstLine="480"/>
        <w:rPr>
          <w:color w:val="auto"/>
          <w:highlight w:val="none"/>
        </w:rPr>
      </w:pPr>
      <w:r>
        <w:rPr>
          <w:rFonts w:hint="eastAsia"/>
          <w:color w:val="auto"/>
          <w:highlight w:val="none"/>
        </w:rPr>
        <w:t>2.不向政府采购人、采购代理机构和政府采购评审专家进行任何形式的商业贿赂以谋取交易机会。</w:t>
      </w:r>
    </w:p>
    <w:p>
      <w:pPr>
        <w:pStyle w:val="5"/>
        <w:ind w:firstLine="480"/>
        <w:rPr>
          <w:color w:val="auto"/>
          <w:highlight w:val="none"/>
        </w:rPr>
      </w:pPr>
      <w:r>
        <w:rPr>
          <w:rFonts w:hint="eastAsia"/>
          <w:color w:val="auto"/>
          <w:highlight w:val="none"/>
        </w:rPr>
        <w:t>3.不向政府采购代理机构和采购人提供虚假资质文件或采用虚假应标方式参与政府采购市场竞争并谋取中标、成交。</w:t>
      </w:r>
    </w:p>
    <w:p>
      <w:pPr>
        <w:pStyle w:val="5"/>
        <w:ind w:firstLine="480"/>
        <w:rPr>
          <w:color w:val="auto"/>
          <w:highlight w:val="none"/>
        </w:rPr>
      </w:pPr>
      <w:r>
        <w:rPr>
          <w:rFonts w:hint="eastAsia"/>
          <w:color w:val="auto"/>
          <w:highlight w:val="none"/>
        </w:rPr>
        <w:t>4.不采取“围标、陪标”等商业欺诈手段获得政府采购定单。</w:t>
      </w:r>
    </w:p>
    <w:p>
      <w:pPr>
        <w:pStyle w:val="5"/>
        <w:ind w:firstLine="480"/>
        <w:rPr>
          <w:color w:val="auto"/>
          <w:highlight w:val="none"/>
        </w:rPr>
      </w:pPr>
      <w:r>
        <w:rPr>
          <w:rFonts w:hint="eastAsia"/>
          <w:color w:val="auto"/>
          <w:highlight w:val="none"/>
        </w:rPr>
        <w:t>5.不采取不正当手段诋毁、排挤其他投标人。</w:t>
      </w:r>
    </w:p>
    <w:p>
      <w:pPr>
        <w:pStyle w:val="5"/>
        <w:ind w:firstLine="480"/>
        <w:rPr>
          <w:color w:val="auto"/>
          <w:highlight w:val="none"/>
        </w:rPr>
      </w:pPr>
      <w:r>
        <w:rPr>
          <w:rFonts w:hint="eastAsia"/>
          <w:color w:val="auto"/>
          <w:highlight w:val="none"/>
        </w:rPr>
        <w:t>6.不在提供商品和服务时“偷梁换柱、以次充好”损害采购人的合法权益。</w:t>
      </w:r>
    </w:p>
    <w:p>
      <w:pPr>
        <w:pStyle w:val="5"/>
        <w:ind w:firstLine="480"/>
        <w:rPr>
          <w:color w:val="auto"/>
          <w:highlight w:val="none"/>
        </w:rPr>
      </w:pPr>
      <w:r>
        <w:rPr>
          <w:rFonts w:hint="eastAsia"/>
          <w:color w:val="auto"/>
          <w:highlight w:val="none"/>
        </w:rPr>
        <w:t>7.不与采购人、采购代理机构政府采购评审专家或其它投标人恶意串通，进行质疑和投诉，维护政府采购市场秩序。</w:t>
      </w:r>
    </w:p>
    <w:p>
      <w:pPr>
        <w:pStyle w:val="5"/>
        <w:ind w:firstLine="480"/>
        <w:rPr>
          <w:color w:val="auto"/>
          <w:highlight w:val="none"/>
        </w:rPr>
      </w:pPr>
      <w:r>
        <w:rPr>
          <w:rFonts w:hint="eastAsia"/>
          <w:color w:val="auto"/>
          <w:highlight w:val="none"/>
        </w:rPr>
        <w:t>8.尊重和接受政府采购监督管理部门的监督和政府采购代理机构招标采购要求，承担因违约行为给采购人造成的损失。</w:t>
      </w:r>
    </w:p>
    <w:p>
      <w:pPr>
        <w:pStyle w:val="5"/>
        <w:ind w:firstLine="480"/>
        <w:rPr>
          <w:color w:val="auto"/>
          <w:highlight w:val="none"/>
        </w:rPr>
      </w:pPr>
      <w:r>
        <w:rPr>
          <w:rFonts w:hint="eastAsia"/>
          <w:color w:val="auto"/>
          <w:highlight w:val="none"/>
        </w:rPr>
        <w:t>9.不发生其他有悖于政府采购公开、公平、公正和诚信原则的行为。</w:t>
      </w:r>
    </w:p>
    <w:p>
      <w:pPr>
        <w:pStyle w:val="5"/>
        <w:ind w:firstLine="0" w:firstLineChars="0"/>
        <w:rPr>
          <w:color w:val="auto"/>
          <w:highlight w:val="none"/>
        </w:rPr>
      </w:pPr>
    </w:p>
    <w:p>
      <w:pPr>
        <w:pStyle w:val="5"/>
        <w:ind w:firstLine="0" w:firstLineChars="0"/>
        <w:rPr>
          <w:color w:val="auto"/>
          <w:highlight w:val="none"/>
        </w:rPr>
      </w:pPr>
      <w:r>
        <w:rPr>
          <w:rFonts w:hint="eastAsia"/>
          <w:color w:val="auto"/>
          <w:highlight w:val="none"/>
        </w:rPr>
        <w:t>承诺单位：</w:t>
      </w:r>
      <w:r>
        <w:rPr>
          <w:rFonts w:hint="eastAsia"/>
          <w:color w:val="auto"/>
          <w:highlight w:val="none"/>
          <w:u w:val="single"/>
        </w:rPr>
        <w:t xml:space="preserve">                       </w:t>
      </w:r>
      <w:r>
        <w:rPr>
          <w:rFonts w:hint="eastAsia"/>
          <w:color w:val="auto"/>
          <w:highlight w:val="none"/>
        </w:rPr>
        <w:t>（盖章）</w:t>
      </w:r>
      <w:r>
        <w:rPr>
          <w:rFonts w:hint="eastAsia"/>
          <w:color w:val="auto"/>
          <w:highlight w:val="none"/>
        </w:rPr>
        <w:br w:type="textWrapping"/>
      </w:r>
      <w:r>
        <w:rPr>
          <w:rFonts w:hint="eastAsia"/>
          <w:color w:val="auto"/>
          <w:highlight w:val="none"/>
        </w:rPr>
        <w:t>被授权人：</w:t>
      </w:r>
      <w:r>
        <w:rPr>
          <w:rFonts w:hint="eastAsia"/>
          <w:color w:val="auto"/>
          <w:highlight w:val="none"/>
          <w:u w:val="single"/>
        </w:rPr>
        <w:t xml:space="preserve">                       </w:t>
      </w:r>
      <w:r>
        <w:rPr>
          <w:rFonts w:hint="eastAsia"/>
          <w:color w:val="auto"/>
          <w:highlight w:val="none"/>
        </w:rPr>
        <w:t>（签字）</w:t>
      </w:r>
      <w:r>
        <w:rPr>
          <w:rFonts w:hint="eastAsia"/>
          <w:color w:val="auto"/>
          <w:highlight w:val="none"/>
        </w:rPr>
        <w:br w:type="textWrapping"/>
      </w:r>
      <w:r>
        <w:rPr>
          <w:rFonts w:hint="eastAsia"/>
          <w:color w:val="auto"/>
          <w:highlight w:val="none"/>
        </w:rPr>
        <w:t>地  址：</w:t>
      </w:r>
      <w:r>
        <w:rPr>
          <w:rFonts w:hint="eastAsia"/>
          <w:color w:val="auto"/>
          <w:highlight w:val="none"/>
          <w:u w:val="single"/>
        </w:rPr>
        <w:t xml:space="preserve">                       </w:t>
      </w:r>
      <w:r>
        <w:rPr>
          <w:rFonts w:hint="eastAsia"/>
          <w:color w:val="auto"/>
          <w:highlight w:val="none"/>
        </w:rPr>
        <w:t>               </w:t>
      </w:r>
    </w:p>
    <w:p>
      <w:pPr>
        <w:widowControl/>
        <w:spacing w:line="408" w:lineRule="auto"/>
        <w:jc w:val="left"/>
        <w:rPr>
          <w:color w:val="auto"/>
          <w:highlight w:val="none"/>
        </w:rPr>
      </w:pPr>
      <w:r>
        <w:rPr>
          <w:rFonts w:hint="eastAsia" w:hAnsi="宋体" w:cs="宋体"/>
          <w:color w:val="auto"/>
          <w:highlight w:val="none"/>
        </w:rPr>
        <w:t>邮  编：</w:t>
      </w:r>
      <w:r>
        <w:rPr>
          <w:rFonts w:hint="eastAsia"/>
          <w:color w:val="auto"/>
          <w:highlight w:val="none"/>
          <w:u w:val="single"/>
        </w:rPr>
        <w:t xml:space="preserve">                       </w:t>
      </w:r>
      <w:r>
        <w:rPr>
          <w:rFonts w:hint="eastAsia" w:hAnsi="宋体" w:cs="宋体"/>
          <w:color w:val="auto"/>
          <w:highlight w:val="none"/>
          <w:u w:val="single"/>
        </w:rPr>
        <w:br w:type="textWrapping"/>
      </w:r>
      <w:r>
        <w:rPr>
          <w:rFonts w:hint="eastAsia" w:hAnsi="宋体" w:cs="宋体"/>
          <w:color w:val="auto"/>
          <w:highlight w:val="none"/>
        </w:rPr>
        <w:t>电  话：</w:t>
      </w:r>
      <w:r>
        <w:rPr>
          <w:rFonts w:hint="eastAsia"/>
          <w:color w:val="auto"/>
          <w:highlight w:val="none"/>
          <w:u w:val="single"/>
        </w:rPr>
        <w:t xml:space="preserve">                       </w:t>
      </w:r>
      <w:r>
        <w:rPr>
          <w:rFonts w:hint="eastAsia" w:hAnsi="宋体" w:cs="宋体"/>
          <w:color w:val="auto"/>
          <w:highlight w:val="none"/>
        </w:rPr>
        <w:t xml:space="preserve">                                                      </w:t>
      </w: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11"/>
        <w:rPr>
          <w:color w:val="auto"/>
          <w:highlight w:val="none"/>
        </w:rPr>
      </w:pPr>
    </w:p>
    <w:p>
      <w:pPr>
        <w:pStyle w:val="7"/>
        <w:spacing w:before="666" w:after="666"/>
        <w:rPr>
          <w:color w:val="auto"/>
          <w:highlight w:val="none"/>
          <w:lang w:val="zh-CN"/>
        </w:rPr>
      </w:pPr>
      <w:bookmarkStart w:id="304" w:name="_Toc426457715"/>
      <w:bookmarkStart w:id="305" w:name="_Toc155"/>
      <w:bookmarkStart w:id="306" w:name="_Toc20139"/>
      <w:bookmarkStart w:id="307" w:name="_Toc7550"/>
      <w:bookmarkStart w:id="308" w:name="_Toc363474034"/>
      <w:bookmarkStart w:id="309" w:name="_Toc23245"/>
      <w:bookmarkStart w:id="310" w:name="_Toc403077657"/>
      <w:bookmarkStart w:id="311" w:name="_Toc28113"/>
      <w:bookmarkStart w:id="312" w:name="_Toc8066"/>
      <w:r>
        <w:rPr>
          <w:rFonts w:hint="eastAsia"/>
          <w:color w:val="auto"/>
          <w:sz w:val="32"/>
          <w:szCs w:val="32"/>
          <w:highlight w:val="none"/>
        </w:rPr>
        <w:br w:type="page"/>
      </w:r>
      <w:bookmarkEnd w:id="304"/>
      <w:bookmarkEnd w:id="305"/>
      <w:bookmarkEnd w:id="306"/>
      <w:bookmarkEnd w:id="307"/>
      <w:bookmarkEnd w:id="308"/>
      <w:bookmarkEnd w:id="309"/>
      <w:bookmarkEnd w:id="310"/>
      <w:bookmarkEnd w:id="311"/>
      <w:bookmarkEnd w:id="312"/>
      <w:r>
        <w:rPr>
          <w:rFonts w:hint="eastAsia"/>
          <w:color w:val="auto"/>
          <w:sz w:val="30"/>
          <w:szCs w:val="30"/>
          <w:highlight w:val="none"/>
          <w:lang w:val="en-US" w:eastAsia="zh-CN"/>
        </w:rPr>
        <w:t>6</w:t>
      </w:r>
      <w:r>
        <w:rPr>
          <w:rFonts w:hint="eastAsia"/>
          <w:color w:val="auto"/>
          <w:sz w:val="30"/>
          <w:szCs w:val="30"/>
          <w:highlight w:val="none"/>
        </w:rPr>
        <w:t>.2</w:t>
      </w:r>
      <w:r>
        <w:rPr>
          <w:rFonts w:hint="eastAsia"/>
          <w:color w:val="auto"/>
          <w:sz w:val="30"/>
          <w:szCs w:val="30"/>
          <w:highlight w:val="none"/>
          <w:lang w:val="zh-CN"/>
        </w:rPr>
        <w:t xml:space="preserve"> 投标人企业关系关联承诺书</w:t>
      </w:r>
    </w:p>
    <w:p>
      <w:pPr>
        <w:pStyle w:val="5"/>
        <w:ind w:firstLine="480"/>
        <w:rPr>
          <w:color w:val="auto"/>
          <w:highlight w:val="none"/>
        </w:rPr>
      </w:pPr>
      <w:r>
        <w:rPr>
          <w:rFonts w:hint="eastAsia"/>
          <w:color w:val="auto"/>
          <w:highlight w:val="none"/>
        </w:rPr>
        <w:t>1、投标人在本项目投标中，不存在与其它投标人负责人为同一人，有控股、管理等关联关系承诺：</w:t>
      </w:r>
    </w:p>
    <w:p>
      <w:pPr>
        <w:pStyle w:val="5"/>
        <w:ind w:firstLine="480"/>
        <w:rPr>
          <w:color w:val="auto"/>
          <w:highlight w:val="none"/>
        </w:rPr>
      </w:pPr>
      <w:r>
        <w:rPr>
          <w:rFonts w:hint="eastAsia"/>
          <w:color w:val="auto"/>
          <w:highlight w:val="none"/>
        </w:rPr>
        <w:t>1.1管理关系说明：</w:t>
      </w:r>
    </w:p>
    <w:p>
      <w:pPr>
        <w:pStyle w:val="5"/>
        <w:ind w:firstLine="480"/>
        <w:rPr>
          <w:color w:val="auto"/>
          <w:highlight w:val="none"/>
        </w:rPr>
      </w:pPr>
      <w:r>
        <w:rPr>
          <w:rFonts w:hint="eastAsia"/>
          <w:color w:val="auto"/>
          <w:highlight w:val="none"/>
        </w:rPr>
        <w:t>我单位管理的具有独立法人的下属单位有：</w:t>
      </w:r>
      <w:r>
        <w:rPr>
          <w:rFonts w:hint="eastAsia"/>
          <w:color w:val="auto"/>
          <w:highlight w:val="none"/>
          <w:u w:val="single"/>
        </w:rPr>
        <w:t xml:space="preserve">                 </w:t>
      </w:r>
      <w:r>
        <w:rPr>
          <w:rFonts w:hint="eastAsia"/>
          <w:color w:val="auto"/>
          <w:highlight w:val="none"/>
        </w:rPr>
        <w:t>。</w:t>
      </w:r>
    </w:p>
    <w:p>
      <w:pPr>
        <w:pStyle w:val="5"/>
        <w:ind w:firstLine="480"/>
        <w:rPr>
          <w:color w:val="auto"/>
          <w:highlight w:val="none"/>
        </w:rPr>
      </w:pPr>
      <w:r>
        <w:rPr>
          <w:rFonts w:hint="eastAsia"/>
          <w:color w:val="auto"/>
          <w:highlight w:val="none"/>
        </w:rPr>
        <w:t>我单位的上级管理单位有</w:t>
      </w:r>
      <w:r>
        <w:rPr>
          <w:rFonts w:hint="eastAsia"/>
          <w:color w:val="auto"/>
          <w:highlight w:val="none"/>
          <w:u w:val="single"/>
        </w:rPr>
        <w:t xml:space="preserve">                 </w:t>
      </w:r>
      <w:r>
        <w:rPr>
          <w:rFonts w:hint="eastAsia"/>
          <w:color w:val="auto"/>
          <w:highlight w:val="none"/>
        </w:rPr>
        <w:t>。</w:t>
      </w:r>
    </w:p>
    <w:p>
      <w:pPr>
        <w:pStyle w:val="5"/>
        <w:ind w:firstLine="480"/>
        <w:rPr>
          <w:color w:val="auto"/>
          <w:highlight w:val="none"/>
        </w:rPr>
      </w:pPr>
      <w:r>
        <w:rPr>
          <w:rFonts w:hint="eastAsia"/>
          <w:color w:val="auto"/>
          <w:highlight w:val="none"/>
        </w:rPr>
        <w:t>1.2股权关系说明：</w:t>
      </w:r>
    </w:p>
    <w:p>
      <w:pPr>
        <w:pStyle w:val="5"/>
        <w:ind w:firstLine="480"/>
        <w:rPr>
          <w:color w:val="auto"/>
          <w:highlight w:val="none"/>
        </w:rPr>
      </w:pPr>
      <w:r>
        <w:rPr>
          <w:rFonts w:hint="eastAsia"/>
          <w:color w:val="auto"/>
          <w:highlight w:val="none"/>
        </w:rPr>
        <w:t>我单位控股的单位有</w:t>
      </w:r>
      <w:r>
        <w:rPr>
          <w:rFonts w:hint="eastAsia"/>
          <w:color w:val="auto"/>
          <w:highlight w:val="none"/>
          <w:u w:val="single"/>
        </w:rPr>
        <w:t xml:space="preserve">                 </w:t>
      </w:r>
      <w:r>
        <w:rPr>
          <w:rFonts w:hint="eastAsia"/>
          <w:color w:val="auto"/>
          <w:highlight w:val="none"/>
        </w:rPr>
        <w:t>。</w:t>
      </w:r>
    </w:p>
    <w:p>
      <w:pPr>
        <w:pStyle w:val="5"/>
        <w:ind w:firstLine="480"/>
        <w:rPr>
          <w:color w:val="auto"/>
          <w:highlight w:val="none"/>
        </w:rPr>
      </w:pPr>
      <w:r>
        <w:rPr>
          <w:rFonts w:hint="eastAsia"/>
          <w:color w:val="auto"/>
          <w:highlight w:val="none"/>
        </w:rPr>
        <w:t>我单位被</w:t>
      </w:r>
      <w:r>
        <w:rPr>
          <w:rFonts w:hint="eastAsia"/>
          <w:color w:val="auto"/>
          <w:highlight w:val="none"/>
          <w:u w:val="single"/>
        </w:rPr>
        <w:t xml:space="preserve">                 </w:t>
      </w:r>
      <w:r>
        <w:rPr>
          <w:rFonts w:hint="eastAsia"/>
          <w:color w:val="auto"/>
          <w:highlight w:val="none"/>
        </w:rPr>
        <w:t>单位控股。</w:t>
      </w:r>
    </w:p>
    <w:p>
      <w:pPr>
        <w:pStyle w:val="5"/>
        <w:ind w:firstLine="480"/>
        <w:rPr>
          <w:color w:val="auto"/>
          <w:highlight w:val="none"/>
          <w:u w:val="single"/>
        </w:rPr>
      </w:pPr>
      <w:r>
        <w:rPr>
          <w:rFonts w:hint="eastAsia"/>
          <w:color w:val="auto"/>
          <w:highlight w:val="none"/>
        </w:rPr>
        <w:t>1.3、单位负责人：</w:t>
      </w:r>
      <w:r>
        <w:rPr>
          <w:rFonts w:hint="eastAsia"/>
          <w:color w:val="auto"/>
          <w:highlight w:val="none"/>
          <w:u w:val="single"/>
        </w:rPr>
        <w:t xml:space="preserve">                 </w:t>
      </w:r>
    </w:p>
    <w:p>
      <w:pPr>
        <w:pStyle w:val="5"/>
        <w:ind w:firstLine="480"/>
        <w:rPr>
          <w:color w:val="auto"/>
          <w:highlight w:val="none"/>
        </w:rPr>
      </w:pPr>
      <w:r>
        <w:rPr>
          <w:rFonts w:hint="eastAsia"/>
          <w:color w:val="auto"/>
          <w:highlight w:val="none"/>
        </w:rPr>
        <w:t>2、</w:t>
      </w:r>
      <w:r>
        <w:rPr>
          <w:rFonts w:hint="eastAsia"/>
          <w:color w:val="auto"/>
          <w:highlight w:val="none"/>
          <w:u w:val="single"/>
        </w:rPr>
        <w:t xml:space="preserve">                 </w:t>
      </w:r>
      <w:r>
        <w:rPr>
          <w:rFonts w:hint="eastAsia"/>
          <w:color w:val="auto"/>
          <w:highlight w:val="none"/>
        </w:rPr>
        <w:t>（是或否）为采购项目提供整体设计、规范编制或者项目管理、监理、检测等服务的投标人。</w:t>
      </w:r>
    </w:p>
    <w:p>
      <w:pPr>
        <w:pStyle w:val="5"/>
        <w:ind w:firstLine="480"/>
        <w:rPr>
          <w:color w:val="auto"/>
          <w:highlight w:val="none"/>
          <w:u w:val="single"/>
        </w:rPr>
      </w:pPr>
      <w:r>
        <w:rPr>
          <w:rFonts w:hint="eastAsia"/>
          <w:color w:val="auto"/>
          <w:highlight w:val="none"/>
        </w:rPr>
        <w:t>3、其他与本项目有关的利害关系说明：</w:t>
      </w:r>
      <w:r>
        <w:rPr>
          <w:rFonts w:hint="eastAsia"/>
          <w:color w:val="auto"/>
          <w:highlight w:val="none"/>
          <w:u w:val="single"/>
        </w:rPr>
        <w:t xml:space="preserve">                 </w:t>
      </w:r>
    </w:p>
    <w:p>
      <w:pPr>
        <w:pStyle w:val="5"/>
        <w:ind w:firstLine="480"/>
        <w:rPr>
          <w:color w:val="auto"/>
          <w:highlight w:val="none"/>
          <w:u w:val="single"/>
        </w:rPr>
      </w:pPr>
    </w:p>
    <w:p>
      <w:pPr>
        <w:pStyle w:val="5"/>
        <w:ind w:firstLine="480"/>
        <w:rPr>
          <w:color w:val="auto"/>
          <w:highlight w:val="none"/>
        </w:rPr>
      </w:pPr>
      <w:r>
        <w:rPr>
          <w:rFonts w:hint="eastAsia"/>
          <w:color w:val="auto"/>
          <w:highlight w:val="none"/>
        </w:rPr>
        <w:t>我单位承诺以上说明真实有效，无虚假内容或隐瞒。</w:t>
      </w:r>
    </w:p>
    <w:p>
      <w:pPr>
        <w:spacing w:line="500" w:lineRule="exact"/>
        <w:ind w:firstLine="240" w:firstLineChars="100"/>
        <w:rPr>
          <w:rFonts w:hAnsi="宋体" w:cs="宋体"/>
          <w:color w:val="auto"/>
          <w:szCs w:val="24"/>
          <w:highlight w:val="none"/>
        </w:rPr>
      </w:pPr>
    </w:p>
    <w:p>
      <w:pPr>
        <w:pStyle w:val="11"/>
        <w:rPr>
          <w:color w:val="auto"/>
          <w:highlight w:val="none"/>
        </w:rPr>
      </w:pPr>
    </w:p>
    <w:p>
      <w:pPr>
        <w:pStyle w:val="5"/>
        <w:ind w:firstLine="3600" w:firstLineChars="150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5"/>
        <w:ind w:firstLine="0" w:firstLineChars="0"/>
        <w:rPr>
          <w:color w:val="auto"/>
          <w:highlight w:val="none"/>
        </w:rPr>
      </w:pPr>
    </w:p>
    <w:p>
      <w:pPr>
        <w:pStyle w:val="5"/>
        <w:ind w:firstLine="3600" w:firstLineChars="150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5"/>
        <w:ind w:firstLine="0" w:firstLineChars="0"/>
        <w:rPr>
          <w:color w:val="auto"/>
          <w:highlight w:val="none"/>
        </w:rPr>
      </w:pPr>
    </w:p>
    <w:p>
      <w:pPr>
        <w:spacing w:line="500" w:lineRule="exact"/>
        <w:ind w:firstLine="3600" w:firstLineChars="1500"/>
        <w:rPr>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rPr>
          <w:rFonts w:hint="eastAsia"/>
          <w:color w:val="auto"/>
          <w:highlight w:val="none"/>
        </w:rPr>
      </w:pPr>
      <w:r>
        <w:rPr>
          <w:rFonts w:hint="eastAsia"/>
          <w:color w:val="auto"/>
          <w:highlight w:val="none"/>
        </w:rPr>
        <w:br w:type="page"/>
      </w:r>
    </w:p>
    <w:p>
      <w:pPr>
        <w:pStyle w:val="2"/>
        <w:rPr>
          <w:color w:val="auto"/>
          <w:highlight w:val="none"/>
        </w:rPr>
      </w:pPr>
      <w:r>
        <w:rPr>
          <w:rFonts w:hint="eastAsia"/>
          <w:color w:val="auto"/>
          <w:highlight w:val="none"/>
        </w:rPr>
        <w:t>附件</w:t>
      </w:r>
      <w:r>
        <w:rPr>
          <w:rFonts w:hint="eastAsia"/>
          <w:color w:val="auto"/>
          <w:highlight w:val="none"/>
          <w:lang w:val="en-US" w:eastAsia="zh-CN"/>
        </w:rPr>
        <w:t>1</w:t>
      </w:r>
      <w:r>
        <w:rPr>
          <w:rFonts w:hint="eastAsia"/>
          <w:color w:val="auto"/>
          <w:highlight w:val="none"/>
        </w:rPr>
        <w:t>（如有）</w:t>
      </w:r>
    </w:p>
    <w:p>
      <w:pPr>
        <w:pStyle w:val="7"/>
        <w:spacing w:before="666" w:after="666"/>
        <w:rPr>
          <w:color w:val="auto"/>
          <w:highlight w:val="none"/>
        </w:rPr>
      </w:pPr>
      <w:r>
        <w:rPr>
          <w:rFonts w:hint="eastAsia"/>
          <w:color w:val="auto"/>
          <w:highlight w:val="none"/>
        </w:rPr>
        <w:t>中小企业声明函（货物）(非中小企业不填写)</w:t>
      </w:r>
    </w:p>
    <w:p>
      <w:pPr>
        <w:pStyle w:val="5"/>
        <w:ind w:firstLine="480"/>
        <w:rPr>
          <w:color w:val="auto"/>
          <w:highlight w:val="none"/>
        </w:rPr>
      </w:pPr>
      <w:r>
        <w:rPr>
          <w:rFonts w:hint="eastAsia"/>
          <w:color w:val="auto"/>
          <w:highlight w:val="none"/>
        </w:rPr>
        <w:t>本公司（联合体）郑重声明，根据《政府采购促进中小企业发展管理办法》（财库﹝2020﹞46 号）的规定，本公司（联合体）参加</w:t>
      </w:r>
      <w:r>
        <w:rPr>
          <w:rFonts w:hint="eastAsia"/>
          <w:color w:val="auto"/>
          <w:highlight w:val="none"/>
          <w:u w:val="single"/>
        </w:rPr>
        <w:t>（单位名称）</w:t>
      </w:r>
      <w:r>
        <w:rPr>
          <w:rFonts w:hint="eastAsia"/>
          <w:color w:val="auto"/>
          <w:highlight w:val="none"/>
        </w:rPr>
        <w:t>的</w:t>
      </w:r>
      <w:r>
        <w:rPr>
          <w:rFonts w:hint="eastAsia"/>
          <w:color w:val="auto"/>
          <w:highlight w:val="none"/>
          <w:u w:val="single"/>
        </w:rPr>
        <w:t>（项目名称）</w:t>
      </w:r>
      <w:r>
        <w:rPr>
          <w:rFonts w:hint="eastAsia"/>
          <w:color w:val="auto"/>
          <w:highlight w:val="none"/>
        </w:rPr>
        <w:t>采购活动，提供的货物全部由符合政策要求的中小企业制造。相关企业（含联合体中的中小企业、签订分包意向协议的中小企业） 的具体情况如下：</w:t>
      </w:r>
    </w:p>
    <w:p>
      <w:pPr>
        <w:pStyle w:val="5"/>
        <w:ind w:firstLine="480"/>
        <w:rPr>
          <w:color w:val="auto"/>
          <w:highlight w:val="none"/>
        </w:rPr>
      </w:pPr>
      <w:r>
        <w:rPr>
          <w:rFonts w:hint="eastAsia"/>
          <w:color w:val="auto"/>
          <w:highlight w:val="none"/>
        </w:rPr>
        <w:t>1.</w:t>
      </w:r>
      <w:r>
        <w:rPr>
          <w:rFonts w:hint="eastAsia"/>
          <w:color w:val="auto"/>
          <w:highlight w:val="none"/>
          <w:u w:val="single"/>
        </w:rPr>
        <w:t xml:space="preserve"> （标的名称） </w:t>
      </w:r>
      <w:r>
        <w:rPr>
          <w:rFonts w:hint="eastAsia"/>
          <w:color w:val="auto"/>
          <w:highlight w:val="none"/>
        </w:rPr>
        <w:t>，属于</w:t>
      </w:r>
      <w:r>
        <w:rPr>
          <w:rFonts w:hint="eastAsia"/>
          <w:color w:val="auto"/>
          <w:highlight w:val="none"/>
          <w:u w:val="single"/>
        </w:rPr>
        <w:t>（采购文件中明确的所属行业）</w:t>
      </w:r>
      <w:r>
        <w:rPr>
          <w:rFonts w:hint="eastAsia"/>
          <w:color w:val="auto"/>
          <w:highlight w:val="none"/>
        </w:rPr>
        <w:t>行业；制造商为</w:t>
      </w:r>
      <w:r>
        <w:rPr>
          <w:rFonts w:hint="eastAsia"/>
          <w:color w:val="auto"/>
          <w:highlight w:val="none"/>
          <w:u w:val="single"/>
        </w:rPr>
        <w:t>（企业名称）</w:t>
      </w:r>
      <w:r>
        <w:rPr>
          <w:rFonts w:hint="eastAsia"/>
          <w:color w:val="auto"/>
          <w:highlight w:val="none"/>
        </w:rPr>
        <w:t>，从业人员</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人，营业收入为</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万元，资产总额为</w:t>
      </w:r>
      <w:r>
        <w:rPr>
          <w:rFonts w:hint="eastAsia"/>
          <w:color w:val="auto"/>
          <w:highlight w:val="none"/>
          <w:u w:val="single"/>
        </w:rPr>
        <w:t xml:space="preserve"> </w:t>
      </w:r>
      <w:r>
        <w:rPr>
          <w:rFonts w:hint="eastAsia"/>
          <w:color w:val="auto"/>
          <w:highlight w:val="none"/>
          <w:u w:val="single"/>
        </w:rPr>
        <w:tab/>
      </w:r>
      <w:r>
        <w:rPr>
          <w:rFonts w:hint="eastAsia"/>
          <w:color w:val="auto"/>
          <w:highlight w:val="none"/>
          <w:u w:val="single"/>
        </w:rPr>
        <w:t xml:space="preserve">   </w:t>
      </w:r>
      <w:r>
        <w:rPr>
          <w:rFonts w:hint="eastAsia"/>
          <w:color w:val="auto"/>
          <w:highlight w:val="none"/>
        </w:rPr>
        <w:t>万元1，属于</w:t>
      </w:r>
      <w:r>
        <w:rPr>
          <w:rFonts w:hint="eastAsia"/>
          <w:color w:val="auto"/>
          <w:highlight w:val="none"/>
          <w:u w:val="single"/>
        </w:rPr>
        <w:t>（中型企业、小型企业、微型企业）</w:t>
      </w:r>
      <w:r>
        <w:rPr>
          <w:rFonts w:hint="eastAsia"/>
          <w:color w:val="auto"/>
          <w:highlight w:val="none"/>
        </w:rPr>
        <w:t>；</w:t>
      </w:r>
    </w:p>
    <w:p>
      <w:pPr>
        <w:pStyle w:val="5"/>
        <w:ind w:firstLine="480"/>
        <w:rPr>
          <w:color w:val="auto"/>
          <w:highlight w:val="none"/>
        </w:rPr>
      </w:pPr>
      <w:r>
        <w:rPr>
          <w:rFonts w:hint="eastAsia"/>
          <w:color w:val="auto"/>
          <w:highlight w:val="none"/>
        </w:rPr>
        <w:t>2.</w:t>
      </w:r>
      <w:r>
        <w:rPr>
          <w:rFonts w:hint="eastAsia"/>
          <w:color w:val="auto"/>
          <w:highlight w:val="none"/>
          <w:u w:val="single"/>
        </w:rPr>
        <w:t xml:space="preserve"> （ 标 的 名 称 ） </w:t>
      </w:r>
      <w:r>
        <w:rPr>
          <w:rFonts w:hint="eastAsia"/>
          <w:color w:val="auto"/>
          <w:highlight w:val="none"/>
        </w:rPr>
        <w:t>， 属 于</w:t>
      </w:r>
      <w:r>
        <w:rPr>
          <w:rFonts w:hint="eastAsia"/>
          <w:color w:val="auto"/>
          <w:highlight w:val="none"/>
          <w:u w:val="single"/>
        </w:rPr>
        <w:t xml:space="preserve">（ 采 购 文 件 中 明 确 的 所 属 行 业 ） </w:t>
      </w:r>
      <w:r>
        <w:rPr>
          <w:rFonts w:hint="eastAsia"/>
          <w:color w:val="auto"/>
          <w:highlight w:val="none"/>
        </w:rPr>
        <w:t>行业；制造商为</w:t>
      </w:r>
      <w:r>
        <w:rPr>
          <w:rFonts w:hint="eastAsia"/>
          <w:color w:val="auto"/>
          <w:highlight w:val="none"/>
          <w:u w:val="single"/>
        </w:rPr>
        <w:t>（企业名称）</w:t>
      </w:r>
      <w:r>
        <w:rPr>
          <w:rFonts w:hint="eastAsia"/>
          <w:color w:val="auto"/>
          <w:highlight w:val="none"/>
        </w:rPr>
        <w:t>，从业人员</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人，营业收入为</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万元，资产总额为</w:t>
      </w:r>
      <w:r>
        <w:rPr>
          <w:rFonts w:hint="eastAsia"/>
          <w:color w:val="auto"/>
          <w:highlight w:val="none"/>
          <w:u w:val="single"/>
        </w:rPr>
        <w:t xml:space="preserve"> </w:t>
      </w:r>
      <w:r>
        <w:rPr>
          <w:rFonts w:hint="eastAsia"/>
          <w:color w:val="auto"/>
          <w:highlight w:val="none"/>
          <w:u w:val="single"/>
        </w:rPr>
        <w:tab/>
      </w:r>
      <w:r>
        <w:rPr>
          <w:rFonts w:hint="eastAsia"/>
          <w:color w:val="auto"/>
          <w:highlight w:val="none"/>
          <w:u w:val="single"/>
        </w:rPr>
        <w:t xml:space="preserve">  </w:t>
      </w:r>
      <w:r>
        <w:rPr>
          <w:rFonts w:hint="eastAsia"/>
          <w:color w:val="auto"/>
          <w:highlight w:val="none"/>
        </w:rPr>
        <w:t>万元，属于</w:t>
      </w:r>
      <w:r>
        <w:rPr>
          <w:rFonts w:hint="eastAsia"/>
          <w:color w:val="auto"/>
          <w:highlight w:val="none"/>
          <w:u w:val="single"/>
        </w:rPr>
        <w:t>（中型企业、小型企业、微型企业）</w:t>
      </w:r>
      <w:r>
        <w:rPr>
          <w:rFonts w:hint="eastAsia"/>
          <w:color w:val="auto"/>
          <w:highlight w:val="none"/>
        </w:rPr>
        <w:t>；</w:t>
      </w:r>
    </w:p>
    <w:p>
      <w:pPr>
        <w:pStyle w:val="5"/>
        <w:ind w:firstLine="480"/>
        <w:rPr>
          <w:color w:val="auto"/>
          <w:highlight w:val="none"/>
        </w:rPr>
      </w:pPr>
      <w:r>
        <w:rPr>
          <w:rFonts w:hint="eastAsia"/>
          <w:color w:val="auto"/>
          <w:highlight w:val="none"/>
        </w:rPr>
        <w:t>……</w:t>
      </w:r>
    </w:p>
    <w:p>
      <w:pPr>
        <w:pStyle w:val="5"/>
        <w:ind w:firstLine="480"/>
        <w:rPr>
          <w:color w:val="auto"/>
          <w:highlight w:val="none"/>
        </w:rPr>
      </w:pPr>
      <w:r>
        <w:rPr>
          <w:rFonts w:hint="eastAsia"/>
          <w:color w:val="auto"/>
          <w:highlight w:val="none"/>
        </w:rPr>
        <w:t>以上企业，不属于大企业的分支机构，不存在控股股东为大企业的情形，也不存在与大企业的负责人为同一人的情形。</w:t>
      </w:r>
    </w:p>
    <w:p>
      <w:pPr>
        <w:pStyle w:val="5"/>
        <w:ind w:firstLine="480"/>
        <w:rPr>
          <w:color w:val="auto"/>
          <w:highlight w:val="none"/>
        </w:rPr>
      </w:pPr>
      <w:r>
        <w:rPr>
          <w:rFonts w:hint="eastAsia"/>
          <w:color w:val="auto"/>
          <w:highlight w:val="none"/>
        </w:rPr>
        <w:t>本企业对上述声明内容的真实性负责。如有虚假，将依法承担相应责任。</w:t>
      </w:r>
    </w:p>
    <w:p>
      <w:pPr>
        <w:pStyle w:val="5"/>
        <w:ind w:firstLine="5040" w:firstLineChars="2100"/>
        <w:rPr>
          <w:color w:val="auto"/>
          <w:highlight w:val="none"/>
          <w:u w:val="single"/>
        </w:rPr>
      </w:pPr>
      <w:r>
        <w:rPr>
          <w:rFonts w:hint="eastAsia"/>
          <w:color w:val="auto"/>
          <w:highlight w:val="none"/>
        </w:rPr>
        <w:t>企业名称（盖章）：</w:t>
      </w:r>
      <w:r>
        <w:rPr>
          <w:rFonts w:hint="eastAsia"/>
          <w:color w:val="auto"/>
          <w:highlight w:val="none"/>
          <w:u w:val="single"/>
        </w:rPr>
        <w:t xml:space="preserve">              </w:t>
      </w:r>
    </w:p>
    <w:p>
      <w:pPr>
        <w:pStyle w:val="5"/>
        <w:ind w:firstLine="5040" w:firstLineChars="2100"/>
        <w:rPr>
          <w:color w:val="auto"/>
          <w:highlight w:val="none"/>
          <w:u w:val="single"/>
        </w:rPr>
      </w:pPr>
      <w:r>
        <w:rPr>
          <w:rFonts w:hint="eastAsia"/>
          <w:color w:val="auto"/>
          <w:highlight w:val="none"/>
        </w:rPr>
        <w:t>日期：</w:t>
      </w:r>
      <w:r>
        <w:rPr>
          <w:rFonts w:hint="eastAsia"/>
          <w:color w:val="auto"/>
          <w:highlight w:val="none"/>
          <w:u w:val="single"/>
        </w:rPr>
        <w:t xml:space="preserve">                         </w:t>
      </w:r>
    </w:p>
    <w:p>
      <w:pPr>
        <w:pStyle w:val="5"/>
        <w:ind w:firstLine="480"/>
        <w:rPr>
          <w:color w:val="auto"/>
          <w:highlight w:val="none"/>
        </w:rPr>
      </w:pPr>
    </w:p>
    <w:p>
      <w:pPr>
        <w:pStyle w:val="5"/>
        <w:rPr>
          <w:color w:val="auto"/>
          <w:sz w:val="21"/>
          <w:szCs w:val="21"/>
          <w:highlight w:val="none"/>
        </w:rPr>
      </w:pPr>
      <w:r>
        <w:rPr>
          <w:rFonts w:hint="eastAsia"/>
          <w:color w:val="auto"/>
          <w:sz w:val="21"/>
          <w:szCs w:val="21"/>
          <w:highlight w:val="none"/>
        </w:rPr>
        <w:t>1从业人员、营业收入、资产总额填报上一年度数据，无上一年度数据的新成立企业可不填报。</w:t>
      </w:r>
    </w:p>
    <w:p>
      <w:pPr>
        <w:spacing w:line="360" w:lineRule="auto"/>
        <w:rPr>
          <w:rFonts w:hAnsi="宋体" w:cs="宋体"/>
          <w:b/>
          <w:bCs/>
          <w:color w:val="auto"/>
          <w:sz w:val="21"/>
          <w:szCs w:val="21"/>
          <w:highlight w:val="none"/>
        </w:rPr>
      </w:pPr>
      <w:r>
        <w:rPr>
          <w:rFonts w:hint="eastAsia" w:hAnsi="宋体" w:cs="宋体"/>
          <w:b/>
          <w:bCs/>
          <w:color w:val="auto"/>
          <w:sz w:val="21"/>
          <w:szCs w:val="21"/>
          <w:highlight w:val="none"/>
        </w:rPr>
        <w:t>特别提醒：</w:t>
      </w:r>
    </w:p>
    <w:p>
      <w:pPr>
        <w:pStyle w:val="5"/>
        <w:rPr>
          <w:rFonts w:hint="eastAsia"/>
          <w:color w:val="auto"/>
          <w:sz w:val="21"/>
          <w:szCs w:val="21"/>
          <w:highlight w:val="none"/>
        </w:rPr>
      </w:pPr>
      <w:r>
        <w:rPr>
          <w:rFonts w:hint="eastAsia"/>
          <w:color w:val="auto"/>
          <w:sz w:val="21"/>
          <w:szCs w:val="21"/>
          <w:highlight w:val="none"/>
        </w:rPr>
        <w:t>1.《中小企业声明函》随中标结果同时公开。</w:t>
      </w:r>
    </w:p>
    <w:p>
      <w:pPr>
        <w:pStyle w:val="5"/>
        <w:rPr>
          <w:color w:val="auto"/>
          <w:highlight w:val="none"/>
        </w:rPr>
      </w:pPr>
      <w:r>
        <w:rPr>
          <w:rFonts w:hint="eastAsia"/>
          <w:color w:val="auto"/>
          <w:sz w:val="21"/>
          <w:szCs w:val="21"/>
          <w:highlight w:val="none"/>
        </w:rPr>
        <w:t>2.填写前请认真阅读《工业和信息化部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r>
        <w:rPr>
          <w:rFonts w:hint="eastAsia"/>
          <w:color w:val="auto"/>
          <w:highlight w:val="none"/>
        </w:rPr>
        <w:br w:type="page"/>
      </w:r>
    </w:p>
    <w:p>
      <w:pPr>
        <w:pStyle w:val="2"/>
        <w:rPr>
          <w:color w:val="auto"/>
          <w:highlight w:val="none"/>
        </w:rPr>
      </w:pPr>
      <w:r>
        <w:rPr>
          <w:rFonts w:hint="eastAsia"/>
          <w:color w:val="auto"/>
          <w:highlight w:val="none"/>
        </w:rPr>
        <w:t>附：《中小企业划型标准规定》各行业划型标准</w:t>
      </w:r>
    </w:p>
    <w:p>
      <w:pPr>
        <w:pStyle w:val="5"/>
        <w:rPr>
          <w:color w:val="auto"/>
          <w:sz w:val="21"/>
          <w:szCs w:val="21"/>
          <w:highlight w:val="none"/>
        </w:rPr>
      </w:pPr>
      <w:r>
        <w:rPr>
          <w:rFonts w:hint="eastAsia"/>
          <w:color w:val="auto"/>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pStyle w:val="5"/>
        <w:rPr>
          <w:color w:val="auto"/>
          <w:sz w:val="21"/>
          <w:szCs w:val="21"/>
          <w:highlight w:val="none"/>
        </w:rPr>
      </w:pPr>
      <w:r>
        <w:rPr>
          <w:rFonts w:hint="eastAsia"/>
          <w:color w:val="auto"/>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5"/>
        <w:rPr>
          <w:color w:val="auto"/>
          <w:sz w:val="21"/>
          <w:szCs w:val="21"/>
          <w:highlight w:val="none"/>
        </w:rPr>
      </w:pPr>
      <w:r>
        <w:rPr>
          <w:rFonts w:hint="eastAsia"/>
          <w:color w:val="auto"/>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5"/>
        <w:rPr>
          <w:color w:val="auto"/>
          <w:sz w:val="21"/>
          <w:szCs w:val="21"/>
          <w:highlight w:val="none"/>
        </w:rPr>
      </w:pPr>
      <w:r>
        <w:rPr>
          <w:rFonts w:hint="eastAsia"/>
          <w:color w:val="auto"/>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5"/>
        <w:rPr>
          <w:color w:val="auto"/>
          <w:sz w:val="21"/>
          <w:szCs w:val="21"/>
          <w:highlight w:val="none"/>
        </w:rPr>
      </w:pPr>
      <w:r>
        <w:rPr>
          <w:rFonts w:hint="eastAsia"/>
          <w:color w:val="auto"/>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5"/>
        <w:rPr>
          <w:color w:val="auto"/>
          <w:sz w:val="21"/>
          <w:szCs w:val="21"/>
          <w:highlight w:val="none"/>
        </w:rPr>
      </w:pPr>
      <w:r>
        <w:rPr>
          <w:rFonts w:hint="eastAsia"/>
          <w:color w:val="auto"/>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5"/>
        <w:rPr>
          <w:color w:val="auto"/>
          <w:sz w:val="21"/>
          <w:szCs w:val="21"/>
          <w:highlight w:val="none"/>
        </w:rPr>
      </w:pPr>
      <w:r>
        <w:rPr>
          <w:rFonts w:hint="eastAsia"/>
          <w:color w:val="auto"/>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5"/>
        <w:rPr>
          <w:color w:val="auto"/>
          <w:sz w:val="21"/>
          <w:szCs w:val="21"/>
          <w:highlight w:val="none"/>
        </w:rPr>
      </w:pPr>
      <w:r>
        <w:rPr>
          <w:rFonts w:hint="eastAsia"/>
          <w:color w:val="auto"/>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5"/>
        <w:rPr>
          <w:color w:val="auto"/>
          <w:sz w:val="21"/>
          <w:szCs w:val="21"/>
          <w:highlight w:val="none"/>
        </w:rPr>
      </w:pPr>
      <w:r>
        <w:rPr>
          <w:rFonts w:hint="eastAsia"/>
          <w:color w:val="auto"/>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5"/>
        <w:rPr>
          <w:color w:val="auto"/>
          <w:sz w:val="21"/>
          <w:szCs w:val="21"/>
          <w:highlight w:val="none"/>
        </w:rPr>
      </w:pPr>
      <w:r>
        <w:rPr>
          <w:rFonts w:hint="eastAsia"/>
          <w:color w:val="auto"/>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5"/>
        <w:rPr>
          <w:color w:val="auto"/>
          <w:sz w:val="21"/>
          <w:szCs w:val="21"/>
          <w:highlight w:val="none"/>
        </w:rPr>
      </w:pPr>
      <w:r>
        <w:rPr>
          <w:rFonts w:hint="eastAsia"/>
          <w:color w:val="auto"/>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5"/>
        <w:rPr>
          <w:color w:val="auto"/>
          <w:sz w:val="21"/>
          <w:szCs w:val="21"/>
          <w:highlight w:val="none"/>
        </w:rPr>
      </w:pPr>
      <w:r>
        <w:rPr>
          <w:rFonts w:hint="eastAsia"/>
          <w:color w:val="auto"/>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5"/>
        <w:rPr>
          <w:color w:val="auto"/>
          <w:sz w:val="21"/>
          <w:szCs w:val="21"/>
          <w:highlight w:val="none"/>
        </w:rPr>
      </w:pPr>
      <w:r>
        <w:rPr>
          <w:rFonts w:hint="eastAsia"/>
          <w:color w:val="auto"/>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5"/>
        <w:rPr>
          <w:color w:val="auto"/>
          <w:sz w:val="21"/>
          <w:szCs w:val="21"/>
          <w:highlight w:val="none"/>
        </w:rPr>
      </w:pPr>
      <w:r>
        <w:rPr>
          <w:rFonts w:hint="eastAsia"/>
          <w:color w:val="auto"/>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5"/>
        <w:rPr>
          <w:color w:val="auto"/>
          <w:sz w:val="21"/>
          <w:szCs w:val="21"/>
          <w:highlight w:val="none"/>
        </w:rPr>
      </w:pPr>
      <w:r>
        <w:rPr>
          <w:rFonts w:hint="eastAsia"/>
          <w:color w:val="auto"/>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5"/>
        <w:rPr>
          <w:bCs/>
          <w:color w:val="auto"/>
          <w:szCs w:val="21"/>
          <w:highlight w:val="none"/>
        </w:rPr>
      </w:pPr>
      <w:r>
        <w:rPr>
          <w:rFonts w:hint="eastAsia"/>
          <w:color w:val="auto"/>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0"/>
          <w:tab w:val="left" w:pos="7920"/>
        </w:tabs>
        <w:spacing w:line="500" w:lineRule="exact"/>
        <w:ind w:firstLine="420" w:firstLineChars="200"/>
        <w:rPr>
          <w:rFonts w:hAnsi="宋体" w:cs="宋体"/>
          <w:color w:val="auto"/>
          <w:sz w:val="21"/>
          <w:szCs w:val="21"/>
          <w:highlight w:val="none"/>
        </w:rPr>
      </w:pPr>
    </w:p>
    <w:p>
      <w:pPr>
        <w:rPr>
          <w:rFonts w:hAnsi="宋体" w:cs="宋体"/>
          <w:color w:val="auto"/>
          <w:szCs w:val="24"/>
          <w:highlight w:val="none"/>
        </w:rPr>
      </w:pPr>
    </w:p>
    <w:p>
      <w:pPr>
        <w:rPr>
          <w:rStyle w:val="38"/>
          <w:bCs w:val="0"/>
          <w:color w:val="auto"/>
          <w:highlight w:val="none"/>
        </w:rPr>
      </w:pPr>
      <w:r>
        <w:rPr>
          <w:rFonts w:hint="eastAsia" w:hAnsi="宋体" w:cs="宋体"/>
          <w:b/>
          <w:color w:val="auto"/>
          <w:sz w:val="28"/>
          <w:szCs w:val="28"/>
          <w:highlight w:val="none"/>
        </w:rPr>
        <w:br w:type="page"/>
      </w:r>
      <w:r>
        <w:rPr>
          <w:rStyle w:val="38"/>
          <w:rFonts w:hint="eastAsia"/>
          <w:bCs w:val="0"/>
          <w:color w:val="auto"/>
          <w:highlight w:val="none"/>
        </w:rPr>
        <w:t>附件</w:t>
      </w:r>
      <w:r>
        <w:rPr>
          <w:rStyle w:val="38"/>
          <w:rFonts w:hint="eastAsia"/>
          <w:bCs w:val="0"/>
          <w:color w:val="auto"/>
          <w:highlight w:val="none"/>
          <w:lang w:val="en-US" w:eastAsia="zh-CN"/>
        </w:rPr>
        <w:t>2</w:t>
      </w:r>
      <w:r>
        <w:rPr>
          <w:rStyle w:val="38"/>
          <w:rFonts w:hint="eastAsia"/>
          <w:bCs w:val="0"/>
          <w:color w:val="auto"/>
          <w:highlight w:val="none"/>
        </w:rPr>
        <w:t>（如有）</w:t>
      </w:r>
    </w:p>
    <w:p>
      <w:pPr>
        <w:pStyle w:val="7"/>
        <w:spacing w:before="166"/>
        <w:rPr>
          <w:color w:val="auto"/>
          <w:highlight w:val="none"/>
        </w:rPr>
      </w:pPr>
      <w:bookmarkStart w:id="313" w:name="OLE_LINK13"/>
      <w:bookmarkStart w:id="314" w:name="OLE_LINK14"/>
      <w:r>
        <w:rPr>
          <w:rFonts w:hint="eastAsia"/>
          <w:color w:val="auto"/>
          <w:highlight w:val="none"/>
        </w:rPr>
        <w:t>残疾人福利性单位声明函</w:t>
      </w:r>
      <w:bookmarkEnd w:id="313"/>
      <w:bookmarkEnd w:id="314"/>
    </w:p>
    <w:p>
      <w:pPr>
        <w:pStyle w:val="5"/>
        <w:ind w:firstLine="480"/>
        <w:rPr>
          <w:color w:val="auto"/>
          <w:highlight w:val="none"/>
        </w:rPr>
      </w:pPr>
      <w:r>
        <w:rPr>
          <w:rFonts w:hint="eastAsia"/>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
        <w:ind w:firstLine="480"/>
        <w:rPr>
          <w:color w:val="auto"/>
          <w:spacing w:val="6"/>
          <w:highlight w:val="none"/>
        </w:rPr>
      </w:pPr>
      <w:r>
        <w:rPr>
          <w:rFonts w:hint="eastAsia"/>
          <w:color w:val="auto"/>
          <w:highlight w:val="none"/>
        </w:rPr>
        <w:t>本单位对上述声明的真实性负责。如有虚假，将依法承担相应责任。</w:t>
      </w:r>
    </w:p>
    <w:p>
      <w:pPr>
        <w:spacing w:line="588" w:lineRule="exact"/>
        <w:ind w:firstLine="504" w:firstLineChars="200"/>
        <w:rPr>
          <w:rFonts w:hAnsi="宋体" w:cs="宋体"/>
          <w:color w:val="auto"/>
          <w:spacing w:val="6"/>
          <w:szCs w:val="24"/>
          <w:highlight w:val="none"/>
        </w:rPr>
      </w:pPr>
    </w:p>
    <w:p>
      <w:pPr>
        <w:pStyle w:val="5"/>
        <w:ind w:firstLine="4800" w:firstLineChars="2000"/>
        <w:rPr>
          <w:color w:val="auto"/>
          <w:highlight w:val="none"/>
        </w:rPr>
      </w:pPr>
      <w:r>
        <w:rPr>
          <w:rFonts w:hint="eastAsia"/>
          <w:color w:val="auto"/>
          <w:highlight w:val="none"/>
        </w:rPr>
        <w:t>单位名称：</w:t>
      </w:r>
      <w:r>
        <w:rPr>
          <w:rFonts w:hint="eastAsia"/>
          <w:color w:val="auto"/>
          <w:highlight w:val="none"/>
          <w:u w:val="single"/>
        </w:rPr>
        <w:t xml:space="preserve">                 </w:t>
      </w:r>
      <w:r>
        <w:rPr>
          <w:rFonts w:hint="eastAsia"/>
          <w:color w:val="auto"/>
          <w:highlight w:val="none"/>
        </w:rPr>
        <w:t>（盖章）</w:t>
      </w:r>
    </w:p>
    <w:p>
      <w:pPr>
        <w:pStyle w:val="5"/>
        <w:ind w:firstLine="4800" w:firstLineChars="2000"/>
        <w:rPr>
          <w:color w:val="auto"/>
          <w:highlight w:val="none"/>
        </w:rPr>
      </w:pPr>
    </w:p>
    <w:p>
      <w:pPr>
        <w:pStyle w:val="5"/>
        <w:ind w:firstLine="4800" w:firstLineChars="2000"/>
        <w:rPr>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13"/>
        <w:spacing w:line="360" w:lineRule="auto"/>
        <w:rPr>
          <w:rFonts w:hAnsi="宋体" w:cs="宋体"/>
          <w:b/>
          <w:bCs/>
          <w:color w:val="auto"/>
          <w:sz w:val="24"/>
          <w:highlight w:val="none"/>
        </w:rPr>
      </w:pPr>
      <w:r>
        <w:rPr>
          <w:rFonts w:hint="eastAsia" w:hAnsi="宋体" w:cs="宋体"/>
          <w:b/>
          <w:bCs/>
          <w:color w:val="auto"/>
          <w:sz w:val="24"/>
          <w:highlight w:val="none"/>
        </w:rPr>
        <w:t>特别提醒：</w:t>
      </w:r>
    </w:p>
    <w:p>
      <w:pPr>
        <w:pStyle w:val="5"/>
        <w:rPr>
          <w:color w:val="auto"/>
          <w:sz w:val="21"/>
          <w:szCs w:val="21"/>
          <w:highlight w:val="none"/>
        </w:rPr>
      </w:pPr>
      <w:r>
        <w:rPr>
          <w:rFonts w:hint="eastAsia"/>
          <w:color w:val="auto"/>
          <w:sz w:val="21"/>
          <w:szCs w:val="21"/>
          <w:highlight w:val="none"/>
        </w:rPr>
        <w:t>1.填写前请认真阅读《财政部 民政部 中国残疾人联合会关于促进残疾人就业政府采购政采的通知》(财库〔2017〕141号)相关规定。</w:t>
      </w:r>
    </w:p>
    <w:p>
      <w:pPr>
        <w:tabs>
          <w:tab w:val="left" w:pos="1620"/>
          <w:tab w:val="left" w:pos="1800"/>
        </w:tabs>
        <w:spacing w:line="440" w:lineRule="exact"/>
        <w:ind w:right="617" w:rightChars="257"/>
        <w:rPr>
          <w:rFonts w:hAnsi="宋体" w:cs="宋体"/>
          <w:color w:val="auto"/>
          <w:highlight w:val="none"/>
        </w:rPr>
      </w:pPr>
    </w:p>
    <w:p>
      <w:pPr>
        <w:tabs>
          <w:tab w:val="left" w:pos="1620"/>
          <w:tab w:val="left" w:pos="1800"/>
        </w:tabs>
        <w:spacing w:line="440" w:lineRule="exact"/>
        <w:ind w:right="617" w:rightChars="257"/>
        <w:rPr>
          <w:rFonts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pStyle w:val="11"/>
        <w:rPr>
          <w:rFonts w:ascii="宋体" w:hAnsi="宋体" w:cs="宋体"/>
          <w:color w:val="auto"/>
          <w:highlight w:val="none"/>
        </w:rPr>
      </w:pPr>
    </w:p>
    <w:p>
      <w:pPr>
        <w:rPr>
          <w:color w:val="auto"/>
          <w:highlight w:val="none"/>
        </w:rPr>
      </w:pPr>
      <w:r>
        <w:rPr>
          <w:rFonts w:hint="eastAsia"/>
          <w:color w:val="auto"/>
          <w:highlight w:val="none"/>
        </w:rPr>
        <w:br w:type="page"/>
      </w:r>
    </w:p>
    <w:p>
      <w:pPr>
        <w:pStyle w:val="2"/>
        <w:rPr>
          <w:color w:val="auto"/>
          <w:highlight w:val="none"/>
        </w:rPr>
      </w:pPr>
      <w:bookmarkStart w:id="315" w:name="_Toc21630"/>
      <w:bookmarkStart w:id="316" w:name="_Toc7843"/>
      <w:r>
        <w:rPr>
          <w:rFonts w:hint="eastAsia"/>
          <w:color w:val="auto"/>
          <w:highlight w:val="none"/>
        </w:rPr>
        <w:t>附件</w:t>
      </w:r>
      <w:r>
        <w:rPr>
          <w:rFonts w:hint="eastAsia"/>
          <w:color w:val="auto"/>
          <w:highlight w:val="none"/>
          <w:lang w:val="en-US" w:eastAsia="zh-CN"/>
        </w:rPr>
        <w:t>3</w:t>
      </w:r>
      <w:r>
        <w:rPr>
          <w:rFonts w:hint="eastAsia"/>
          <w:color w:val="auto"/>
          <w:highlight w:val="none"/>
        </w:rPr>
        <w:t>（如有）</w:t>
      </w:r>
      <w:bookmarkEnd w:id="315"/>
      <w:bookmarkEnd w:id="316"/>
    </w:p>
    <w:p>
      <w:pPr>
        <w:pStyle w:val="7"/>
        <w:spacing w:before="166"/>
        <w:rPr>
          <w:color w:val="auto"/>
          <w:highlight w:val="none"/>
        </w:rPr>
      </w:pPr>
      <w:r>
        <w:rPr>
          <w:rFonts w:hint="eastAsia"/>
          <w:color w:val="auto"/>
          <w:highlight w:val="none"/>
        </w:rPr>
        <w:t>监狱企业证明文件</w:t>
      </w:r>
    </w:p>
    <w:p>
      <w:pPr>
        <w:pStyle w:val="5"/>
        <w:ind w:firstLine="480"/>
        <w:rPr>
          <w:color w:val="auto"/>
          <w:highlight w:val="none"/>
        </w:rPr>
      </w:pPr>
      <w:r>
        <w:rPr>
          <w:rFonts w:hint="eastAsia"/>
          <w:color w:val="auto"/>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
        <w:ind w:firstLine="480"/>
        <w:rPr>
          <w:color w:val="auto"/>
          <w:highlight w:val="none"/>
        </w:rPr>
      </w:pPr>
      <w:r>
        <w:rPr>
          <w:rFonts w:hint="eastAsia"/>
          <w:color w:val="auto"/>
          <w:highlight w:val="none"/>
        </w:rPr>
        <w:t>监狱企业参加政府采购活动时，应当提供由省级以上监狱管理局、戒毒管理局（含新疆生产建设兵团）出具的属于监狱企业的证明文件。</w:t>
      </w:r>
    </w:p>
    <w:p>
      <w:pPr>
        <w:rPr>
          <w:color w:val="auto"/>
          <w:highlight w:val="none"/>
        </w:rPr>
      </w:pPr>
    </w:p>
    <w:p>
      <w:pPr>
        <w:pStyle w:val="13"/>
        <w:spacing w:line="360" w:lineRule="auto"/>
        <w:ind w:firstLine="241" w:firstLineChars="100"/>
        <w:rPr>
          <w:rFonts w:hAnsi="宋体" w:cs="宋体"/>
          <w:b/>
          <w:bCs/>
          <w:color w:val="auto"/>
          <w:sz w:val="24"/>
          <w:highlight w:val="none"/>
        </w:rPr>
      </w:pPr>
      <w:r>
        <w:rPr>
          <w:rFonts w:hint="eastAsia" w:hAnsi="宋体" w:cs="宋体"/>
          <w:b/>
          <w:bCs/>
          <w:color w:val="auto"/>
          <w:sz w:val="24"/>
          <w:highlight w:val="none"/>
        </w:rPr>
        <w:t>特别提醒：</w:t>
      </w:r>
    </w:p>
    <w:p>
      <w:pPr>
        <w:pStyle w:val="5"/>
        <w:ind w:firstLine="480"/>
        <w:rPr>
          <w:color w:val="auto"/>
          <w:sz w:val="21"/>
          <w:szCs w:val="21"/>
          <w:highlight w:val="none"/>
        </w:rPr>
      </w:pPr>
      <w:r>
        <w:rPr>
          <w:rFonts w:hint="eastAsia"/>
          <w:color w:val="auto"/>
          <w:sz w:val="21"/>
          <w:szCs w:val="21"/>
          <w:highlight w:val="none"/>
        </w:rPr>
        <w:t>1.填写前请认真阅读财政部、司法部《关于政府采购支持监狱企业发展有关问题的通知》（财库〔2014〕68号）相关规定。</w:t>
      </w:r>
    </w:p>
    <w:p>
      <w:pPr>
        <w:pStyle w:val="6"/>
        <w:ind w:left="1440"/>
        <w:rPr>
          <w:color w:val="auto"/>
          <w:highlight w:val="none"/>
        </w:rPr>
      </w:pPr>
    </w:p>
    <w:p>
      <w:pPr>
        <w:tabs>
          <w:tab w:val="left" w:pos="1321"/>
          <w:tab w:val="center" w:pos="4216"/>
        </w:tabs>
        <w:spacing w:line="480" w:lineRule="auto"/>
        <w:rPr>
          <w:rStyle w:val="38"/>
          <w:bCs w:val="0"/>
          <w:color w:val="auto"/>
          <w:highlight w:val="none"/>
        </w:rPr>
      </w:pPr>
      <w:r>
        <w:rPr>
          <w:rFonts w:hint="eastAsia"/>
          <w:color w:val="auto"/>
          <w:highlight w:val="none"/>
        </w:rPr>
        <w:br w:type="page"/>
      </w:r>
      <w:r>
        <w:rPr>
          <w:rStyle w:val="38"/>
          <w:rFonts w:hint="eastAsia"/>
          <w:bCs w:val="0"/>
          <w:color w:val="auto"/>
          <w:highlight w:val="none"/>
        </w:rPr>
        <w:t>附件</w:t>
      </w:r>
      <w:r>
        <w:rPr>
          <w:rStyle w:val="38"/>
          <w:rFonts w:hint="eastAsia"/>
          <w:bCs w:val="0"/>
          <w:color w:val="auto"/>
          <w:highlight w:val="none"/>
          <w:lang w:val="en-US" w:eastAsia="zh-CN"/>
        </w:rPr>
        <w:t>4</w:t>
      </w:r>
      <w:r>
        <w:rPr>
          <w:rStyle w:val="38"/>
          <w:rFonts w:hint="eastAsia"/>
          <w:bCs w:val="0"/>
          <w:color w:val="auto"/>
          <w:highlight w:val="none"/>
        </w:rPr>
        <w:t>（如有）</w:t>
      </w:r>
    </w:p>
    <w:p>
      <w:pPr>
        <w:pStyle w:val="7"/>
        <w:bidi w:val="0"/>
        <w:rPr>
          <w:color w:val="auto"/>
          <w:highlight w:val="none"/>
        </w:rPr>
      </w:pPr>
      <w:r>
        <w:rPr>
          <w:rFonts w:hint="eastAsia"/>
          <w:color w:val="auto"/>
          <w:highlight w:val="none"/>
        </w:rPr>
        <w:t>“节能产品”、“环境标志产品”证明材料</w:t>
      </w:r>
    </w:p>
    <w:p>
      <w:pPr>
        <w:pStyle w:val="5"/>
        <w:ind w:firstLine="0" w:firstLineChars="0"/>
        <w:rPr>
          <w:color w:val="auto"/>
          <w:highlight w:val="none"/>
        </w:rPr>
      </w:pPr>
      <w:r>
        <w:rPr>
          <w:rFonts w:hint="eastAsia"/>
          <w:color w:val="auto"/>
          <w:highlight w:val="none"/>
        </w:rPr>
        <w:t>说明：</w:t>
      </w:r>
    </w:p>
    <w:p>
      <w:pPr>
        <w:pStyle w:val="5"/>
        <w:ind w:firstLine="480"/>
        <w:rPr>
          <w:color w:val="auto"/>
          <w:highlight w:val="none"/>
        </w:rPr>
      </w:pPr>
      <w:r>
        <w:rPr>
          <w:rFonts w:hint="eastAsia"/>
          <w:color w:val="auto"/>
          <w:highlight w:val="none"/>
        </w:rPr>
        <w:t>1.投标人提供的主要材料与设备属于节能产品或环境标志产品的，应当按照规定提供相关证明材料，并在《投标分项报价表》中填写相应的证书编号；</w:t>
      </w:r>
    </w:p>
    <w:p>
      <w:pPr>
        <w:pStyle w:val="5"/>
        <w:ind w:firstLine="480"/>
        <w:rPr>
          <w:color w:val="auto"/>
          <w:highlight w:val="none"/>
        </w:rPr>
      </w:pPr>
      <w:r>
        <w:rPr>
          <w:rFonts w:hint="eastAsia"/>
          <w:color w:val="auto"/>
          <w:highlight w:val="none"/>
        </w:rPr>
        <w:t>2.投标人未按上述要求提供、填写的，评审时不予加分。</w:t>
      </w:r>
    </w:p>
    <w:p>
      <w:pPr>
        <w:pStyle w:val="5"/>
        <w:ind w:firstLine="480"/>
        <w:rPr>
          <w:bCs/>
          <w:color w:val="auto"/>
          <w:highlight w:val="none"/>
        </w:rPr>
      </w:pPr>
    </w:p>
    <w:p>
      <w:pPr>
        <w:rPr>
          <w:rStyle w:val="37"/>
          <w:color w:val="auto"/>
          <w:highlight w:val="none"/>
        </w:rPr>
      </w:pPr>
      <w:r>
        <w:rPr>
          <w:rStyle w:val="37"/>
          <w:rFonts w:hint="eastAsia"/>
          <w:color w:val="auto"/>
          <w:highlight w:val="none"/>
        </w:rPr>
        <w:br w:type="page"/>
      </w:r>
    </w:p>
    <w:p>
      <w:pPr>
        <w:rPr>
          <w:color w:val="auto"/>
          <w:highlight w:val="none"/>
        </w:rPr>
      </w:pPr>
    </w:p>
    <w:p>
      <w:pPr>
        <w:pStyle w:val="11"/>
        <w:rPr>
          <w:rFonts w:ascii="宋体" w:hAnsi="宋体" w:cs="宋体"/>
          <w:color w:val="auto"/>
          <w:sz w:val="44"/>
          <w:szCs w:val="44"/>
          <w:highlight w:val="none"/>
        </w:rPr>
      </w:pPr>
    </w:p>
    <w:p>
      <w:pPr>
        <w:rPr>
          <w:rFonts w:hAnsi="宋体" w:cs="宋体"/>
          <w:b/>
          <w:color w:val="auto"/>
          <w:sz w:val="44"/>
          <w:szCs w:val="44"/>
          <w:highlight w:val="none"/>
        </w:rPr>
      </w:pPr>
    </w:p>
    <w:p>
      <w:pPr>
        <w:pStyle w:val="11"/>
        <w:rPr>
          <w:rFonts w:ascii="宋体" w:hAnsi="宋体" w:cs="宋体"/>
          <w:color w:val="auto"/>
          <w:sz w:val="44"/>
          <w:szCs w:val="44"/>
          <w:highlight w:val="none"/>
        </w:rPr>
      </w:pPr>
    </w:p>
    <w:p>
      <w:pPr>
        <w:rPr>
          <w:rFonts w:hAnsi="宋体" w:cs="宋体"/>
          <w:b/>
          <w:color w:val="auto"/>
          <w:sz w:val="44"/>
          <w:szCs w:val="44"/>
          <w:highlight w:val="none"/>
        </w:rPr>
      </w:pPr>
    </w:p>
    <w:p>
      <w:pPr>
        <w:pStyle w:val="11"/>
        <w:rPr>
          <w:rFonts w:ascii="宋体" w:hAnsi="宋体" w:cs="宋体"/>
          <w:color w:val="auto"/>
          <w:sz w:val="44"/>
          <w:szCs w:val="44"/>
          <w:highlight w:val="none"/>
        </w:rPr>
      </w:pPr>
    </w:p>
    <w:p>
      <w:pPr>
        <w:rPr>
          <w:color w:val="auto"/>
          <w:highlight w:val="none"/>
        </w:rPr>
      </w:pPr>
    </w:p>
    <w:p>
      <w:pPr>
        <w:spacing w:line="336" w:lineRule="auto"/>
        <w:ind w:firstLine="221" w:firstLineChars="50"/>
        <w:rPr>
          <w:rFonts w:hAnsi="宋体" w:cs="宋体"/>
          <w:b/>
          <w:color w:val="auto"/>
          <w:sz w:val="44"/>
          <w:szCs w:val="44"/>
          <w:highlight w:val="none"/>
        </w:rPr>
      </w:pPr>
    </w:p>
    <w:p>
      <w:pPr>
        <w:spacing w:line="336" w:lineRule="auto"/>
        <w:rPr>
          <w:rFonts w:hAnsi="宋体" w:cs="宋体"/>
          <w:b/>
          <w:color w:val="auto"/>
          <w:sz w:val="44"/>
          <w:szCs w:val="44"/>
          <w:highlight w:val="none"/>
        </w:rPr>
      </w:pPr>
    </w:p>
    <w:p>
      <w:pPr>
        <w:spacing w:line="336" w:lineRule="auto"/>
        <w:rPr>
          <w:rFonts w:hAnsi="宋体" w:cs="宋体"/>
          <w:b/>
          <w:color w:val="auto"/>
          <w:sz w:val="44"/>
          <w:szCs w:val="44"/>
          <w:highlight w:val="none"/>
        </w:rPr>
      </w:pPr>
    </w:p>
    <w:p>
      <w:pPr>
        <w:spacing w:line="336" w:lineRule="auto"/>
        <w:rPr>
          <w:rFonts w:hAnsi="宋体" w:cs="宋体"/>
          <w:b/>
          <w:color w:val="auto"/>
          <w:sz w:val="36"/>
          <w:szCs w:val="36"/>
          <w:highlight w:val="none"/>
        </w:rPr>
      </w:pPr>
    </w:p>
    <w:p>
      <w:pPr>
        <w:spacing w:line="336" w:lineRule="auto"/>
        <w:rPr>
          <w:rFonts w:hAnsi="宋体" w:cs="宋体"/>
          <w:b/>
          <w:color w:val="auto"/>
          <w:sz w:val="36"/>
          <w:szCs w:val="36"/>
          <w:highlight w:val="none"/>
        </w:rPr>
      </w:pPr>
    </w:p>
    <w:p>
      <w:pPr>
        <w:spacing w:line="336" w:lineRule="auto"/>
        <w:rPr>
          <w:rFonts w:hAnsi="宋体" w:cs="宋体"/>
          <w:b/>
          <w:color w:val="auto"/>
          <w:sz w:val="36"/>
          <w:szCs w:val="36"/>
          <w:highlight w:val="none"/>
        </w:rPr>
      </w:pPr>
    </w:p>
    <w:p>
      <w:pPr>
        <w:spacing w:line="336" w:lineRule="auto"/>
        <w:rPr>
          <w:rFonts w:hAnsi="宋体" w:cs="宋体"/>
          <w:b/>
          <w:color w:val="auto"/>
          <w:sz w:val="36"/>
          <w:szCs w:val="36"/>
          <w:highlight w:val="none"/>
        </w:rPr>
      </w:pPr>
    </w:p>
    <w:p>
      <w:pPr>
        <w:spacing w:line="336" w:lineRule="auto"/>
        <w:rPr>
          <w:rFonts w:hAnsi="宋体" w:cs="宋体"/>
          <w:b/>
          <w:color w:val="auto"/>
          <w:sz w:val="36"/>
          <w:szCs w:val="36"/>
          <w:highlight w:val="none"/>
        </w:rPr>
      </w:pPr>
    </w:p>
    <w:p>
      <w:pPr>
        <w:spacing w:line="336" w:lineRule="auto"/>
        <w:rPr>
          <w:rFonts w:hAnsi="宋体" w:cs="宋体"/>
          <w:b/>
          <w:color w:val="auto"/>
          <w:sz w:val="36"/>
          <w:szCs w:val="36"/>
          <w:highlight w:val="none"/>
        </w:rPr>
      </w:pPr>
      <w:r>
        <w:rPr>
          <w:rFonts w:hint="eastAsia" w:hAnsi="宋体" w:cs="宋体"/>
          <w:b/>
          <w:color w:val="auto"/>
          <w:sz w:val="36"/>
          <w:szCs w:val="36"/>
          <w:highlight w:val="none"/>
        </w:rPr>
        <w:t>陕西正鸿招标有限公司</w:t>
      </w:r>
    </w:p>
    <w:p>
      <w:pPr>
        <w:spacing w:line="336" w:lineRule="auto"/>
        <w:ind w:firstLine="160" w:firstLineChars="50"/>
        <w:rPr>
          <w:rFonts w:hAnsi="宋体" w:cs="宋体"/>
          <w:color w:val="auto"/>
          <w:sz w:val="32"/>
          <w:szCs w:val="32"/>
          <w:highlight w:val="none"/>
        </w:rPr>
      </w:pPr>
    </w:p>
    <w:p>
      <w:pPr>
        <w:autoSpaceDE w:val="0"/>
        <w:autoSpaceDN w:val="0"/>
        <w:spacing w:line="336" w:lineRule="auto"/>
        <w:ind w:firstLine="151" w:firstLineChars="50"/>
        <w:rPr>
          <w:rFonts w:hAnsi="宋体" w:cs="宋体"/>
          <w:b/>
          <w:color w:val="auto"/>
          <w:sz w:val="30"/>
          <w:szCs w:val="30"/>
          <w:highlight w:val="none"/>
        </w:rPr>
      </w:pPr>
      <w:r>
        <w:rPr>
          <w:rFonts w:hint="eastAsia" w:hAnsi="宋体" w:cs="宋体"/>
          <w:b/>
          <w:color w:val="auto"/>
          <w:sz w:val="30"/>
          <w:szCs w:val="30"/>
          <w:highlight w:val="none"/>
        </w:rPr>
        <w:t>地    址</w:t>
      </w:r>
      <w:r>
        <w:rPr>
          <w:rFonts w:hint="eastAsia" w:hAnsi="宋体" w:cs="宋体"/>
          <w:b/>
          <w:color w:val="auto"/>
          <w:spacing w:val="-6"/>
          <w:sz w:val="30"/>
          <w:szCs w:val="30"/>
          <w:highlight w:val="none"/>
        </w:rPr>
        <w:t>：西安市雁塔区南二环凯森盛世1号A座408室</w:t>
      </w:r>
    </w:p>
    <w:p>
      <w:pPr>
        <w:autoSpaceDE w:val="0"/>
        <w:autoSpaceDN w:val="0"/>
        <w:spacing w:line="336" w:lineRule="auto"/>
        <w:ind w:firstLine="151" w:firstLineChars="50"/>
        <w:rPr>
          <w:rFonts w:hint="eastAsia" w:hAnsi="宋体" w:eastAsia="宋体" w:cs="宋体"/>
          <w:b/>
          <w:color w:val="auto"/>
          <w:sz w:val="30"/>
          <w:szCs w:val="30"/>
          <w:highlight w:val="none"/>
          <w:lang w:eastAsia="zh-CN"/>
        </w:rPr>
      </w:pPr>
      <w:r>
        <w:rPr>
          <w:rFonts w:hint="eastAsia" w:hAnsi="宋体" w:cs="宋体"/>
          <w:b/>
          <w:color w:val="auto"/>
          <w:sz w:val="30"/>
          <w:szCs w:val="30"/>
          <w:highlight w:val="none"/>
        </w:rPr>
        <w:t>电    话：029-89338755/81511576</w:t>
      </w:r>
      <w:r>
        <w:rPr>
          <w:rFonts w:hint="eastAsia" w:hAnsi="宋体" w:cs="宋体"/>
          <w:b/>
          <w:color w:val="auto"/>
          <w:sz w:val="30"/>
          <w:szCs w:val="30"/>
          <w:highlight w:val="none"/>
          <w:lang w:eastAsia="zh-CN"/>
        </w:rPr>
        <w:t>转802</w:t>
      </w:r>
    </w:p>
    <w:p>
      <w:pPr>
        <w:autoSpaceDE w:val="0"/>
        <w:autoSpaceDN w:val="0"/>
        <w:spacing w:line="336" w:lineRule="auto"/>
        <w:ind w:firstLine="151" w:firstLineChars="50"/>
        <w:rPr>
          <w:rFonts w:hAnsi="宋体" w:cs="宋体"/>
          <w:b/>
          <w:color w:val="auto"/>
          <w:sz w:val="30"/>
          <w:szCs w:val="30"/>
          <w:highlight w:val="none"/>
        </w:rPr>
      </w:pPr>
      <w:r>
        <w:rPr>
          <w:rFonts w:hint="eastAsia" w:hAnsi="宋体" w:cs="宋体"/>
          <w:b/>
          <w:color w:val="auto"/>
          <w:sz w:val="30"/>
          <w:szCs w:val="30"/>
          <w:highlight w:val="none"/>
        </w:rPr>
        <w:t>传    真：029-89338755/81511576转806</w:t>
      </w:r>
    </w:p>
    <w:p>
      <w:pPr>
        <w:autoSpaceDE w:val="0"/>
        <w:autoSpaceDN w:val="0"/>
        <w:spacing w:line="336" w:lineRule="auto"/>
        <w:ind w:firstLine="151" w:firstLineChars="50"/>
        <w:rPr>
          <w:color w:val="auto"/>
          <w:highlight w:val="none"/>
        </w:rPr>
      </w:pPr>
      <w:r>
        <w:rPr>
          <w:rFonts w:hint="eastAsia" w:hAnsi="宋体" w:cs="宋体"/>
          <w:b/>
          <w:color w:val="auto"/>
          <w:sz w:val="30"/>
          <w:szCs w:val="30"/>
          <w:highlight w:val="none"/>
        </w:rPr>
        <w:t>邮    编：710054</w:t>
      </w:r>
    </w:p>
    <w:p>
      <w:pPr>
        <w:rPr>
          <w:color w:val="auto"/>
          <w:highlight w:val="none"/>
        </w:rPr>
      </w:pPr>
    </w:p>
    <w:sectPr>
      <w:footerReference r:id="rId12" w:type="first"/>
      <w:footerReference r:id="rId11" w:type="default"/>
      <w:pgSz w:w="11906" w:h="16838"/>
      <w:pgMar w:top="1417" w:right="1417" w:bottom="1417" w:left="1417" w:header="992" w:footer="992" w:gutter="17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cs="宋体"/>
      </w:rPr>
    </w:pPr>
    <w:r>
      <w:rPr>
        <w:rFonts w:hint="eastAsia" w:ascii="宋体" w:hAnsi="宋体" w:cs="宋体"/>
      </w:rPr>
      <w:t>陕西正鸿招标有限公司                                                    电话：029-89338755/81511576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cs="宋体"/>
      </w:rPr>
      <w:t>陕西正鸿招标有限公司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36</w:t>
                    </w:r>
                    <w:r>
                      <w:fldChar w:fldCharType="end"/>
                    </w:r>
                  </w:p>
                </w:txbxContent>
              </v:textbox>
            </v:shape>
          </w:pict>
        </mc:Fallback>
      </mc:AlternateContent>
    </w:r>
    <w:r>
      <w:rPr>
        <w:rFonts w:hint="eastAsia" w:ascii="宋体" w:hAnsi="宋体" w:cs="宋体"/>
      </w:rPr>
      <w:t>陕西正鸿招标有限公司                                                    电话：029-89338755/81511576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right"/>
    </w:pPr>
    <w:r>
      <w:rPr>
        <w:rFonts w:hint="eastAsia" w:ascii="宋体" w:hAnsi="宋体" w:cs="宋体"/>
      </w:rPr>
      <w:t>陕西正鸿招标有限公司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ascii="宋体" w:hAnsi="宋体" w:cs="宋体"/>
      </w:rPr>
      <w:t xml:space="preserve">项目名称：西安美术学院2023年图书采购项目 </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项目编号：</w:t>
    </w:r>
    <w:r>
      <w:rPr>
        <w:rFonts w:hint="eastAsia" w:ascii="宋体" w:hAnsi="宋体" w:cs="宋体"/>
        <w:lang w:eastAsia="zh-CN"/>
      </w:rPr>
      <w:t>ZHZB-2022-GK-12112</w:t>
    </w:r>
    <w:r>
      <w:rPr>
        <w:rFonts w:hint="eastAsia" w:ascii="宋体" w:hAnsi="宋体" w:cs="宋体"/>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宋体" w:hAnsi="宋体" w:cs="宋体"/>
        <w:lang w:eastAsia="zh-CN"/>
      </w:rPr>
      <w:t>西安美术学院</w:t>
    </w:r>
    <w:r>
      <w:rPr>
        <w:rFonts w:hint="eastAsia" w:ascii="宋体" w:hAnsi="宋体" w:cs="宋体"/>
      </w:rPr>
      <w:t>原位红外光谱仪等仪器设备购置项目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14B66CD3"/>
    <w:multiLevelType w:val="singleLevel"/>
    <w:tmpl w:val="14B66CD3"/>
    <w:lvl w:ilvl="0" w:tentative="0">
      <w:start w:val="1"/>
      <w:numFmt w:val="chineseCounting"/>
      <w:suff w:val="nothing"/>
      <w:lvlText w:val="%1、"/>
      <w:lvlJc w:val="left"/>
      <w:rPr>
        <w:rFonts w:hint="eastAsia"/>
      </w:rPr>
    </w:lvl>
  </w:abstractNum>
  <w:abstractNum w:abstractNumId="2">
    <w:nsid w:val="2905323D"/>
    <w:multiLevelType w:val="singleLevel"/>
    <w:tmpl w:val="2905323D"/>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Y2E4NjRmNDZkN2IzZjMzOTE0ODI1OTQxOWFjMTIifQ=="/>
  </w:docVars>
  <w:rsids>
    <w:rsidRoot w:val="7AE25B78"/>
    <w:rsid w:val="0001258B"/>
    <w:rsid w:val="00015B32"/>
    <w:rsid w:val="000320A7"/>
    <w:rsid w:val="000438EB"/>
    <w:rsid w:val="000613DA"/>
    <w:rsid w:val="000C6BEC"/>
    <w:rsid w:val="000C6F52"/>
    <w:rsid w:val="000D34B5"/>
    <w:rsid w:val="00157B13"/>
    <w:rsid w:val="00170D2D"/>
    <w:rsid w:val="001874C6"/>
    <w:rsid w:val="001F6AA3"/>
    <w:rsid w:val="00214A45"/>
    <w:rsid w:val="00276E23"/>
    <w:rsid w:val="002A0820"/>
    <w:rsid w:val="002B4CAB"/>
    <w:rsid w:val="002B6181"/>
    <w:rsid w:val="002C23A3"/>
    <w:rsid w:val="002D68AE"/>
    <w:rsid w:val="00333EA6"/>
    <w:rsid w:val="0034342F"/>
    <w:rsid w:val="00404BBF"/>
    <w:rsid w:val="00414165"/>
    <w:rsid w:val="00443E74"/>
    <w:rsid w:val="00451FCB"/>
    <w:rsid w:val="004D488E"/>
    <w:rsid w:val="004F486D"/>
    <w:rsid w:val="005165B7"/>
    <w:rsid w:val="005873EF"/>
    <w:rsid w:val="005A6186"/>
    <w:rsid w:val="005B2D49"/>
    <w:rsid w:val="005C06E0"/>
    <w:rsid w:val="005C3E2C"/>
    <w:rsid w:val="005C6E28"/>
    <w:rsid w:val="005F3E16"/>
    <w:rsid w:val="005F5C49"/>
    <w:rsid w:val="005F7E1A"/>
    <w:rsid w:val="00603336"/>
    <w:rsid w:val="00630C10"/>
    <w:rsid w:val="00655523"/>
    <w:rsid w:val="00655BE2"/>
    <w:rsid w:val="00657901"/>
    <w:rsid w:val="006660EF"/>
    <w:rsid w:val="006673D6"/>
    <w:rsid w:val="006C1FBA"/>
    <w:rsid w:val="0070789E"/>
    <w:rsid w:val="00726D06"/>
    <w:rsid w:val="007276CD"/>
    <w:rsid w:val="00732094"/>
    <w:rsid w:val="0073710B"/>
    <w:rsid w:val="00744CF0"/>
    <w:rsid w:val="00765271"/>
    <w:rsid w:val="007C32FD"/>
    <w:rsid w:val="007F0242"/>
    <w:rsid w:val="00801407"/>
    <w:rsid w:val="00815D0D"/>
    <w:rsid w:val="00836B30"/>
    <w:rsid w:val="00851787"/>
    <w:rsid w:val="0088783B"/>
    <w:rsid w:val="008963C6"/>
    <w:rsid w:val="008B6316"/>
    <w:rsid w:val="008E6E7E"/>
    <w:rsid w:val="0092359A"/>
    <w:rsid w:val="0094408F"/>
    <w:rsid w:val="009622C1"/>
    <w:rsid w:val="009C73FB"/>
    <w:rsid w:val="009F218F"/>
    <w:rsid w:val="00A04447"/>
    <w:rsid w:val="00A0711A"/>
    <w:rsid w:val="00A1362D"/>
    <w:rsid w:val="00A520A0"/>
    <w:rsid w:val="00A74636"/>
    <w:rsid w:val="00A747CF"/>
    <w:rsid w:val="00AE1E98"/>
    <w:rsid w:val="00AE5ABB"/>
    <w:rsid w:val="00AF6FEF"/>
    <w:rsid w:val="00B01E72"/>
    <w:rsid w:val="00B44170"/>
    <w:rsid w:val="00B64CA9"/>
    <w:rsid w:val="00BA7EB6"/>
    <w:rsid w:val="00BB7BF2"/>
    <w:rsid w:val="00BF58E5"/>
    <w:rsid w:val="00C036C8"/>
    <w:rsid w:val="00C35480"/>
    <w:rsid w:val="00C8492F"/>
    <w:rsid w:val="00C920EC"/>
    <w:rsid w:val="00CB243E"/>
    <w:rsid w:val="00CB29B1"/>
    <w:rsid w:val="00CB3695"/>
    <w:rsid w:val="00CF513A"/>
    <w:rsid w:val="00CF5CB7"/>
    <w:rsid w:val="00D16BD7"/>
    <w:rsid w:val="00D22CB8"/>
    <w:rsid w:val="00D23C56"/>
    <w:rsid w:val="00D3199C"/>
    <w:rsid w:val="00D35AD4"/>
    <w:rsid w:val="00D64EA9"/>
    <w:rsid w:val="00D7387C"/>
    <w:rsid w:val="00D950FC"/>
    <w:rsid w:val="00DF4FD8"/>
    <w:rsid w:val="00E368F2"/>
    <w:rsid w:val="00E91ADD"/>
    <w:rsid w:val="00EA42CF"/>
    <w:rsid w:val="00EC102A"/>
    <w:rsid w:val="00F14BB0"/>
    <w:rsid w:val="00F5365F"/>
    <w:rsid w:val="00F61512"/>
    <w:rsid w:val="00F630A5"/>
    <w:rsid w:val="00F74F1A"/>
    <w:rsid w:val="01055F25"/>
    <w:rsid w:val="013F61D9"/>
    <w:rsid w:val="015730B8"/>
    <w:rsid w:val="01C93227"/>
    <w:rsid w:val="02195D76"/>
    <w:rsid w:val="022E6EBB"/>
    <w:rsid w:val="02DA4287"/>
    <w:rsid w:val="02E26B03"/>
    <w:rsid w:val="02E37B11"/>
    <w:rsid w:val="03512CDF"/>
    <w:rsid w:val="038A570F"/>
    <w:rsid w:val="03A270ED"/>
    <w:rsid w:val="03BD7687"/>
    <w:rsid w:val="04194790"/>
    <w:rsid w:val="04AF51D0"/>
    <w:rsid w:val="052A72CB"/>
    <w:rsid w:val="055B748B"/>
    <w:rsid w:val="05910AD7"/>
    <w:rsid w:val="05B815AE"/>
    <w:rsid w:val="06114E3A"/>
    <w:rsid w:val="069B1796"/>
    <w:rsid w:val="06D661F7"/>
    <w:rsid w:val="07046AFB"/>
    <w:rsid w:val="07586442"/>
    <w:rsid w:val="07C5391D"/>
    <w:rsid w:val="080F0A6A"/>
    <w:rsid w:val="08316AA1"/>
    <w:rsid w:val="083C4B54"/>
    <w:rsid w:val="08773E4A"/>
    <w:rsid w:val="089F3D42"/>
    <w:rsid w:val="08A2174C"/>
    <w:rsid w:val="08A26A71"/>
    <w:rsid w:val="08E90808"/>
    <w:rsid w:val="09122582"/>
    <w:rsid w:val="092E3F47"/>
    <w:rsid w:val="09594B91"/>
    <w:rsid w:val="09A11F9E"/>
    <w:rsid w:val="09D41182"/>
    <w:rsid w:val="0A0D0790"/>
    <w:rsid w:val="0A100B8A"/>
    <w:rsid w:val="0A117F61"/>
    <w:rsid w:val="0A192987"/>
    <w:rsid w:val="0A2A37A7"/>
    <w:rsid w:val="0A2A66DF"/>
    <w:rsid w:val="0A413699"/>
    <w:rsid w:val="0ACD3C45"/>
    <w:rsid w:val="0AD22E35"/>
    <w:rsid w:val="0AE84E46"/>
    <w:rsid w:val="0AF953DB"/>
    <w:rsid w:val="0B5E4F57"/>
    <w:rsid w:val="0B6836AB"/>
    <w:rsid w:val="0BD8604C"/>
    <w:rsid w:val="0C974BFF"/>
    <w:rsid w:val="0C976181"/>
    <w:rsid w:val="0C997D26"/>
    <w:rsid w:val="0CCC2E3C"/>
    <w:rsid w:val="0D45287A"/>
    <w:rsid w:val="0D496A50"/>
    <w:rsid w:val="0D890C97"/>
    <w:rsid w:val="0E604DEA"/>
    <w:rsid w:val="0E9A2D3E"/>
    <w:rsid w:val="0EAF52D8"/>
    <w:rsid w:val="0F41440A"/>
    <w:rsid w:val="0F566A47"/>
    <w:rsid w:val="0F760432"/>
    <w:rsid w:val="0FAB3C9F"/>
    <w:rsid w:val="0FB56209"/>
    <w:rsid w:val="0FB63842"/>
    <w:rsid w:val="0FFF2AA1"/>
    <w:rsid w:val="10340862"/>
    <w:rsid w:val="104B11D6"/>
    <w:rsid w:val="105F273B"/>
    <w:rsid w:val="11625005"/>
    <w:rsid w:val="11997035"/>
    <w:rsid w:val="11B06E02"/>
    <w:rsid w:val="11F42873"/>
    <w:rsid w:val="121750B6"/>
    <w:rsid w:val="12480071"/>
    <w:rsid w:val="1272150B"/>
    <w:rsid w:val="12BE7031"/>
    <w:rsid w:val="12DC289E"/>
    <w:rsid w:val="13341B54"/>
    <w:rsid w:val="139A657A"/>
    <w:rsid w:val="13B43BFC"/>
    <w:rsid w:val="13FA6A44"/>
    <w:rsid w:val="144F2247"/>
    <w:rsid w:val="14BA2B15"/>
    <w:rsid w:val="14EE37AD"/>
    <w:rsid w:val="156C3AD3"/>
    <w:rsid w:val="1686445B"/>
    <w:rsid w:val="16B76111"/>
    <w:rsid w:val="16CF0FA6"/>
    <w:rsid w:val="16FB0571"/>
    <w:rsid w:val="1715549E"/>
    <w:rsid w:val="17173305"/>
    <w:rsid w:val="171D6079"/>
    <w:rsid w:val="17831132"/>
    <w:rsid w:val="17851F86"/>
    <w:rsid w:val="17AF7EFF"/>
    <w:rsid w:val="17C57976"/>
    <w:rsid w:val="17E43ABA"/>
    <w:rsid w:val="189225DB"/>
    <w:rsid w:val="189B79CA"/>
    <w:rsid w:val="18A149CB"/>
    <w:rsid w:val="18A36FF2"/>
    <w:rsid w:val="18EB4791"/>
    <w:rsid w:val="194166AC"/>
    <w:rsid w:val="19584E08"/>
    <w:rsid w:val="195F2A21"/>
    <w:rsid w:val="197D7FEE"/>
    <w:rsid w:val="19AA6AC5"/>
    <w:rsid w:val="19C5409B"/>
    <w:rsid w:val="19D479CC"/>
    <w:rsid w:val="1A366B7F"/>
    <w:rsid w:val="1A584361"/>
    <w:rsid w:val="1A5E3E4B"/>
    <w:rsid w:val="1A754190"/>
    <w:rsid w:val="1A7D025E"/>
    <w:rsid w:val="1AAD1C9C"/>
    <w:rsid w:val="1B525F94"/>
    <w:rsid w:val="1B723200"/>
    <w:rsid w:val="1BE95745"/>
    <w:rsid w:val="1D602182"/>
    <w:rsid w:val="1D952664"/>
    <w:rsid w:val="1DC13BBE"/>
    <w:rsid w:val="1DC80E6F"/>
    <w:rsid w:val="1E6D2774"/>
    <w:rsid w:val="1ED36A84"/>
    <w:rsid w:val="1F1E0B22"/>
    <w:rsid w:val="1F947BE9"/>
    <w:rsid w:val="1FAB45A5"/>
    <w:rsid w:val="1FB83462"/>
    <w:rsid w:val="1FC71401"/>
    <w:rsid w:val="1FED7107"/>
    <w:rsid w:val="20084DC0"/>
    <w:rsid w:val="201A5A08"/>
    <w:rsid w:val="201B4D96"/>
    <w:rsid w:val="208D1DC3"/>
    <w:rsid w:val="20CF3444"/>
    <w:rsid w:val="212F5FE4"/>
    <w:rsid w:val="219F11ED"/>
    <w:rsid w:val="21BA145D"/>
    <w:rsid w:val="21D360B9"/>
    <w:rsid w:val="21F02F49"/>
    <w:rsid w:val="224F6D74"/>
    <w:rsid w:val="22967F78"/>
    <w:rsid w:val="22E77C53"/>
    <w:rsid w:val="22F81FF1"/>
    <w:rsid w:val="235F7309"/>
    <w:rsid w:val="23922691"/>
    <w:rsid w:val="23DE769B"/>
    <w:rsid w:val="23EA1ADF"/>
    <w:rsid w:val="23F02417"/>
    <w:rsid w:val="23F17B1E"/>
    <w:rsid w:val="24166FC9"/>
    <w:rsid w:val="2449415F"/>
    <w:rsid w:val="24837C82"/>
    <w:rsid w:val="249E5C32"/>
    <w:rsid w:val="24B21DA9"/>
    <w:rsid w:val="24E92817"/>
    <w:rsid w:val="24ED427D"/>
    <w:rsid w:val="25214F5D"/>
    <w:rsid w:val="252E3161"/>
    <w:rsid w:val="253B7C18"/>
    <w:rsid w:val="255234D3"/>
    <w:rsid w:val="25651FC9"/>
    <w:rsid w:val="259737E8"/>
    <w:rsid w:val="25A2704B"/>
    <w:rsid w:val="25B63D05"/>
    <w:rsid w:val="265716E8"/>
    <w:rsid w:val="26AC584D"/>
    <w:rsid w:val="26EC6832"/>
    <w:rsid w:val="26FD57FB"/>
    <w:rsid w:val="270B6E42"/>
    <w:rsid w:val="281B64C1"/>
    <w:rsid w:val="28525702"/>
    <w:rsid w:val="287D6259"/>
    <w:rsid w:val="288D7862"/>
    <w:rsid w:val="28C3764F"/>
    <w:rsid w:val="28EB1606"/>
    <w:rsid w:val="28FF0795"/>
    <w:rsid w:val="2907413E"/>
    <w:rsid w:val="291D4E2E"/>
    <w:rsid w:val="29EF19CF"/>
    <w:rsid w:val="2A495A29"/>
    <w:rsid w:val="2A4E52CA"/>
    <w:rsid w:val="2A5E5F22"/>
    <w:rsid w:val="2A67521A"/>
    <w:rsid w:val="2ACC2AC6"/>
    <w:rsid w:val="2AD46371"/>
    <w:rsid w:val="2B2067D5"/>
    <w:rsid w:val="2B3202B6"/>
    <w:rsid w:val="2B495DDC"/>
    <w:rsid w:val="2B6C69FE"/>
    <w:rsid w:val="2BE9356B"/>
    <w:rsid w:val="2C885A24"/>
    <w:rsid w:val="2C8F214A"/>
    <w:rsid w:val="2C9E7C2A"/>
    <w:rsid w:val="2CA43435"/>
    <w:rsid w:val="2CC87F2E"/>
    <w:rsid w:val="2CCD7F5E"/>
    <w:rsid w:val="2CF45540"/>
    <w:rsid w:val="2D265D29"/>
    <w:rsid w:val="2D695F02"/>
    <w:rsid w:val="2E0F2B40"/>
    <w:rsid w:val="2E100D83"/>
    <w:rsid w:val="2EC12F79"/>
    <w:rsid w:val="2F1E3A89"/>
    <w:rsid w:val="2F38679F"/>
    <w:rsid w:val="2F6B1289"/>
    <w:rsid w:val="2F6F5CC0"/>
    <w:rsid w:val="2F757A66"/>
    <w:rsid w:val="2F8042D7"/>
    <w:rsid w:val="30006BD5"/>
    <w:rsid w:val="3019253B"/>
    <w:rsid w:val="30B03386"/>
    <w:rsid w:val="30C20AC1"/>
    <w:rsid w:val="30D556A6"/>
    <w:rsid w:val="315C3788"/>
    <w:rsid w:val="31851F80"/>
    <w:rsid w:val="319A7B72"/>
    <w:rsid w:val="31C84B78"/>
    <w:rsid w:val="321F3583"/>
    <w:rsid w:val="322E5B21"/>
    <w:rsid w:val="326F3B9E"/>
    <w:rsid w:val="32886871"/>
    <w:rsid w:val="32924002"/>
    <w:rsid w:val="32C01964"/>
    <w:rsid w:val="32C76AE6"/>
    <w:rsid w:val="32C96CCC"/>
    <w:rsid w:val="32DB1789"/>
    <w:rsid w:val="32E77BD8"/>
    <w:rsid w:val="33194345"/>
    <w:rsid w:val="33211838"/>
    <w:rsid w:val="33433A5B"/>
    <w:rsid w:val="334E3387"/>
    <w:rsid w:val="33F6779A"/>
    <w:rsid w:val="34091BF6"/>
    <w:rsid w:val="341475A7"/>
    <w:rsid w:val="34296534"/>
    <w:rsid w:val="3444155D"/>
    <w:rsid w:val="345130B7"/>
    <w:rsid w:val="347744CB"/>
    <w:rsid w:val="34952511"/>
    <w:rsid w:val="34A43EE3"/>
    <w:rsid w:val="34B55780"/>
    <w:rsid w:val="34F23498"/>
    <w:rsid w:val="35464FF3"/>
    <w:rsid w:val="35810BEA"/>
    <w:rsid w:val="35BE6D4B"/>
    <w:rsid w:val="35FB37C2"/>
    <w:rsid w:val="364A6DFC"/>
    <w:rsid w:val="36621E8B"/>
    <w:rsid w:val="36760EF9"/>
    <w:rsid w:val="36C75462"/>
    <w:rsid w:val="373962FB"/>
    <w:rsid w:val="37536778"/>
    <w:rsid w:val="37B13D77"/>
    <w:rsid w:val="37B73C9A"/>
    <w:rsid w:val="37F83847"/>
    <w:rsid w:val="38152E75"/>
    <w:rsid w:val="39626D46"/>
    <w:rsid w:val="398B25B1"/>
    <w:rsid w:val="39A571FD"/>
    <w:rsid w:val="39C8790B"/>
    <w:rsid w:val="39DA57F0"/>
    <w:rsid w:val="39FD6825"/>
    <w:rsid w:val="3A3D2730"/>
    <w:rsid w:val="3A4B5CD3"/>
    <w:rsid w:val="3AAE1769"/>
    <w:rsid w:val="3B243926"/>
    <w:rsid w:val="3B383C19"/>
    <w:rsid w:val="3B4D48D7"/>
    <w:rsid w:val="3BBF16F2"/>
    <w:rsid w:val="3C0A73D1"/>
    <w:rsid w:val="3CA362FD"/>
    <w:rsid w:val="3CA77FE7"/>
    <w:rsid w:val="3CCC056A"/>
    <w:rsid w:val="3D236F1F"/>
    <w:rsid w:val="3D582F4C"/>
    <w:rsid w:val="3D6A11A9"/>
    <w:rsid w:val="3D9D50BD"/>
    <w:rsid w:val="3DD30BDA"/>
    <w:rsid w:val="3DDB7680"/>
    <w:rsid w:val="3DDF5951"/>
    <w:rsid w:val="3DED423B"/>
    <w:rsid w:val="3E0B76CB"/>
    <w:rsid w:val="3EC911B2"/>
    <w:rsid w:val="3F16510E"/>
    <w:rsid w:val="3F69229B"/>
    <w:rsid w:val="3F8E13DC"/>
    <w:rsid w:val="3FB11C9A"/>
    <w:rsid w:val="3FD870C5"/>
    <w:rsid w:val="3FDF5EEA"/>
    <w:rsid w:val="3FF34366"/>
    <w:rsid w:val="3FF52D82"/>
    <w:rsid w:val="4010631A"/>
    <w:rsid w:val="4021659D"/>
    <w:rsid w:val="40382F92"/>
    <w:rsid w:val="403C125E"/>
    <w:rsid w:val="40CB63F3"/>
    <w:rsid w:val="40D22ED6"/>
    <w:rsid w:val="41001F5C"/>
    <w:rsid w:val="41D55B63"/>
    <w:rsid w:val="41F42A7B"/>
    <w:rsid w:val="42706A4F"/>
    <w:rsid w:val="42EC074C"/>
    <w:rsid w:val="42F500EF"/>
    <w:rsid w:val="430E508D"/>
    <w:rsid w:val="432F16E4"/>
    <w:rsid w:val="43355326"/>
    <w:rsid w:val="439F1014"/>
    <w:rsid w:val="43A01517"/>
    <w:rsid w:val="43A56F37"/>
    <w:rsid w:val="43C20628"/>
    <w:rsid w:val="44581D6B"/>
    <w:rsid w:val="44603483"/>
    <w:rsid w:val="448B573D"/>
    <w:rsid w:val="44E62215"/>
    <w:rsid w:val="45186B13"/>
    <w:rsid w:val="451F4095"/>
    <w:rsid w:val="452B44E0"/>
    <w:rsid w:val="45A36C36"/>
    <w:rsid w:val="45B5157B"/>
    <w:rsid w:val="45EE126F"/>
    <w:rsid w:val="46227DE8"/>
    <w:rsid w:val="4645410E"/>
    <w:rsid w:val="464F3F4F"/>
    <w:rsid w:val="467005B4"/>
    <w:rsid w:val="46885F8C"/>
    <w:rsid w:val="469E48BD"/>
    <w:rsid w:val="46A367C3"/>
    <w:rsid w:val="46E10FA2"/>
    <w:rsid w:val="46F057FA"/>
    <w:rsid w:val="46FF4630"/>
    <w:rsid w:val="470E4F44"/>
    <w:rsid w:val="47631ACB"/>
    <w:rsid w:val="47892DA5"/>
    <w:rsid w:val="479F7517"/>
    <w:rsid w:val="47A6282A"/>
    <w:rsid w:val="47DB6A86"/>
    <w:rsid w:val="480A78FD"/>
    <w:rsid w:val="48362EDE"/>
    <w:rsid w:val="487E3FE2"/>
    <w:rsid w:val="48835CE6"/>
    <w:rsid w:val="4887491A"/>
    <w:rsid w:val="48D621CC"/>
    <w:rsid w:val="4986560D"/>
    <w:rsid w:val="49965CC3"/>
    <w:rsid w:val="49B151CA"/>
    <w:rsid w:val="49BE0E26"/>
    <w:rsid w:val="49EB3960"/>
    <w:rsid w:val="4A0049BE"/>
    <w:rsid w:val="4A281B71"/>
    <w:rsid w:val="4A512F05"/>
    <w:rsid w:val="4A7D1EC2"/>
    <w:rsid w:val="4A8C5241"/>
    <w:rsid w:val="4AD907B6"/>
    <w:rsid w:val="4AF059B8"/>
    <w:rsid w:val="4B6E17A2"/>
    <w:rsid w:val="4B707233"/>
    <w:rsid w:val="4B784575"/>
    <w:rsid w:val="4B997AE4"/>
    <w:rsid w:val="4BBE0C63"/>
    <w:rsid w:val="4BC22AA5"/>
    <w:rsid w:val="4BCF2A9D"/>
    <w:rsid w:val="4BE3399F"/>
    <w:rsid w:val="4BEB17A9"/>
    <w:rsid w:val="4C0E691D"/>
    <w:rsid w:val="4C1A7275"/>
    <w:rsid w:val="4C256175"/>
    <w:rsid w:val="4C373BB6"/>
    <w:rsid w:val="4C7D1EB7"/>
    <w:rsid w:val="4CA33CF9"/>
    <w:rsid w:val="4CD2672F"/>
    <w:rsid w:val="4D4A31C8"/>
    <w:rsid w:val="4D793706"/>
    <w:rsid w:val="4DD408C2"/>
    <w:rsid w:val="4DFF067C"/>
    <w:rsid w:val="4E2F09F8"/>
    <w:rsid w:val="4E60181F"/>
    <w:rsid w:val="4E640A54"/>
    <w:rsid w:val="4EDB5967"/>
    <w:rsid w:val="4F2002A2"/>
    <w:rsid w:val="4F214111"/>
    <w:rsid w:val="4F2C6C47"/>
    <w:rsid w:val="4F5148FF"/>
    <w:rsid w:val="4F8541D3"/>
    <w:rsid w:val="4F8545A9"/>
    <w:rsid w:val="4FB4318C"/>
    <w:rsid w:val="4FCA18AB"/>
    <w:rsid w:val="502E52A6"/>
    <w:rsid w:val="50742DDB"/>
    <w:rsid w:val="50B054D8"/>
    <w:rsid w:val="50E56E5F"/>
    <w:rsid w:val="51012AAC"/>
    <w:rsid w:val="5197662F"/>
    <w:rsid w:val="51E76DE3"/>
    <w:rsid w:val="51EE30CC"/>
    <w:rsid w:val="527A4E94"/>
    <w:rsid w:val="52AE4AB9"/>
    <w:rsid w:val="52B3313F"/>
    <w:rsid w:val="52D1298C"/>
    <w:rsid w:val="530104DB"/>
    <w:rsid w:val="53030FA6"/>
    <w:rsid w:val="53391670"/>
    <w:rsid w:val="53603107"/>
    <w:rsid w:val="5387430F"/>
    <w:rsid w:val="54191C53"/>
    <w:rsid w:val="544D6993"/>
    <w:rsid w:val="548C51EC"/>
    <w:rsid w:val="5490205A"/>
    <w:rsid w:val="55274553"/>
    <w:rsid w:val="55D32512"/>
    <w:rsid w:val="55F95997"/>
    <w:rsid w:val="576721AD"/>
    <w:rsid w:val="577F41C5"/>
    <w:rsid w:val="57AD4110"/>
    <w:rsid w:val="5807316E"/>
    <w:rsid w:val="586260D9"/>
    <w:rsid w:val="586E25A8"/>
    <w:rsid w:val="58732243"/>
    <w:rsid w:val="587C2F6C"/>
    <w:rsid w:val="58E45FA2"/>
    <w:rsid w:val="591C685C"/>
    <w:rsid w:val="593C6EB2"/>
    <w:rsid w:val="59B6263D"/>
    <w:rsid w:val="59F52DB1"/>
    <w:rsid w:val="5A4015FA"/>
    <w:rsid w:val="5A4C6942"/>
    <w:rsid w:val="5A76675B"/>
    <w:rsid w:val="5AB971CF"/>
    <w:rsid w:val="5AED5D48"/>
    <w:rsid w:val="5AF43851"/>
    <w:rsid w:val="5B182775"/>
    <w:rsid w:val="5B1E0E1E"/>
    <w:rsid w:val="5B5A1BF2"/>
    <w:rsid w:val="5BAB35F1"/>
    <w:rsid w:val="5BC957DF"/>
    <w:rsid w:val="5BE9434D"/>
    <w:rsid w:val="5BEC7FDE"/>
    <w:rsid w:val="5BF56D72"/>
    <w:rsid w:val="5C0C4088"/>
    <w:rsid w:val="5C0D1264"/>
    <w:rsid w:val="5C396457"/>
    <w:rsid w:val="5C707360"/>
    <w:rsid w:val="5CC523AD"/>
    <w:rsid w:val="5D2F0BB1"/>
    <w:rsid w:val="5DB011B4"/>
    <w:rsid w:val="5DB63FB0"/>
    <w:rsid w:val="5DE352BC"/>
    <w:rsid w:val="5EAD72D3"/>
    <w:rsid w:val="5EB3205F"/>
    <w:rsid w:val="5EBB31CF"/>
    <w:rsid w:val="5ECD522C"/>
    <w:rsid w:val="5EEB1C33"/>
    <w:rsid w:val="5F116C25"/>
    <w:rsid w:val="5F6C3042"/>
    <w:rsid w:val="5FB77A56"/>
    <w:rsid w:val="5FC419BA"/>
    <w:rsid w:val="60155157"/>
    <w:rsid w:val="609470E5"/>
    <w:rsid w:val="60BC67DD"/>
    <w:rsid w:val="60DC6F8B"/>
    <w:rsid w:val="60F05408"/>
    <w:rsid w:val="60F26425"/>
    <w:rsid w:val="61126B5E"/>
    <w:rsid w:val="61191962"/>
    <w:rsid w:val="61244348"/>
    <w:rsid w:val="614209A7"/>
    <w:rsid w:val="61744DC6"/>
    <w:rsid w:val="61BA4586"/>
    <w:rsid w:val="61E96899"/>
    <w:rsid w:val="61F46873"/>
    <w:rsid w:val="623B2DB1"/>
    <w:rsid w:val="62B66A85"/>
    <w:rsid w:val="63123C73"/>
    <w:rsid w:val="63402D3C"/>
    <w:rsid w:val="63485202"/>
    <w:rsid w:val="641043DB"/>
    <w:rsid w:val="643D740C"/>
    <w:rsid w:val="645B4B75"/>
    <w:rsid w:val="6485675B"/>
    <w:rsid w:val="64882D51"/>
    <w:rsid w:val="64951FC5"/>
    <w:rsid w:val="6511270F"/>
    <w:rsid w:val="651B40F1"/>
    <w:rsid w:val="652F4369"/>
    <w:rsid w:val="656004F1"/>
    <w:rsid w:val="66200990"/>
    <w:rsid w:val="66F50178"/>
    <w:rsid w:val="670D586B"/>
    <w:rsid w:val="6733081F"/>
    <w:rsid w:val="67647811"/>
    <w:rsid w:val="679A508E"/>
    <w:rsid w:val="67CA6CC4"/>
    <w:rsid w:val="67D13472"/>
    <w:rsid w:val="67E20393"/>
    <w:rsid w:val="67FC17B6"/>
    <w:rsid w:val="68352E03"/>
    <w:rsid w:val="684B3582"/>
    <w:rsid w:val="6883041D"/>
    <w:rsid w:val="68B3225D"/>
    <w:rsid w:val="68DE0675"/>
    <w:rsid w:val="68E767AA"/>
    <w:rsid w:val="690A1F2D"/>
    <w:rsid w:val="692F6B22"/>
    <w:rsid w:val="694429EE"/>
    <w:rsid w:val="69594F9D"/>
    <w:rsid w:val="698A2163"/>
    <w:rsid w:val="69B20C2D"/>
    <w:rsid w:val="69B54560"/>
    <w:rsid w:val="69CE0180"/>
    <w:rsid w:val="69E8651B"/>
    <w:rsid w:val="69E95A08"/>
    <w:rsid w:val="6A3C71FB"/>
    <w:rsid w:val="6AD67A1E"/>
    <w:rsid w:val="6B071EFF"/>
    <w:rsid w:val="6B1E28E8"/>
    <w:rsid w:val="6BDC2D7B"/>
    <w:rsid w:val="6C6352D8"/>
    <w:rsid w:val="6C915A28"/>
    <w:rsid w:val="6D22786E"/>
    <w:rsid w:val="6DAE1028"/>
    <w:rsid w:val="6DAE16E3"/>
    <w:rsid w:val="6DDE559D"/>
    <w:rsid w:val="6DF717EF"/>
    <w:rsid w:val="6E121916"/>
    <w:rsid w:val="6E353034"/>
    <w:rsid w:val="6E3F4872"/>
    <w:rsid w:val="6EA312C4"/>
    <w:rsid w:val="6EA67728"/>
    <w:rsid w:val="6EAD4736"/>
    <w:rsid w:val="6EF52489"/>
    <w:rsid w:val="6F8A0358"/>
    <w:rsid w:val="6FA77490"/>
    <w:rsid w:val="6FB80185"/>
    <w:rsid w:val="6FD62698"/>
    <w:rsid w:val="6FEF32DC"/>
    <w:rsid w:val="6FF73238"/>
    <w:rsid w:val="70286D24"/>
    <w:rsid w:val="70726BBD"/>
    <w:rsid w:val="707D03E7"/>
    <w:rsid w:val="70D27CAC"/>
    <w:rsid w:val="70D94B25"/>
    <w:rsid w:val="715D072E"/>
    <w:rsid w:val="719F09F0"/>
    <w:rsid w:val="71BF2AF1"/>
    <w:rsid w:val="71CC59FE"/>
    <w:rsid w:val="71D62FB3"/>
    <w:rsid w:val="71EB07D8"/>
    <w:rsid w:val="71F301F1"/>
    <w:rsid w:val="721B1170"/>
    <w:rsid w:val="723E1920"/>
    <w:rsid w:val="72551616"/>
    <w:rsid w:val="72684B9D"/>
    <w:rsid w:val="72865A2C"/>
    <w:rsid w:val="729D337C"/>
    <w:rsid w:val="72D019E8"/>
    <w:rsid w:val="72FB6396"/>
    <w:rsid w:val="731207F1"/>
    <w:rsid w:val="73343C02"/>
    <w:rsid w:val="736A4798"/>
    <w:rsid w:val="73B90AD3"/>
    <w:rsid w:val="73E3342B"/>
    <w:rsid w:val="7403150A"/>
    <w:rsid w:val="741F034C"/>
    <w:rsid w:val="744608D8"/>
    <w:rsid w:val="74A02FC2"/>
    <w:rsid w:val="74A1162B"/>
    <w:rsid w:val="74A75EC6"/>
    <w:rsid w:val="74DD7B58"/>
    <w:rsid w:val="7542011D"/>
    <w:rsid w:val="754F593F"/>
    <w:rsid w:val="758616DF"/>
    <w:rsid w:val="75A27357"/>
    <w:rsid w:val="75FD7F2D"/>
    <w:rsid w:val="760E7C76"/>
    <w:rsid w:val="7610715A"/>
    <w:rsid w:val="761A1D87"/>
    <w:rsid w:val="762C7ED0"/>
    <w:rsid w:val="76477075"/>
    <w:rsid w:val="765429FF"/>
    <w:rsid w:val="76554244"/>
    <w:rsid w:val="76873CF0"/>
    <w:rsid w:val="76A509A1"/>
    <w:rsid w:val="76B24A17"/>
    <w:rsid w:val="76CC21A9"/>
    <w:rsid w:val="76CD20C7"/>
    <w:rsid w:val="772C1420"/>
    <w:rsid w:val="773E4C74"/>
    <w:rsid w:val="77491189"/>
    <w:rsid w:val="77B06332"/>
    <w:rsid w:val="77D260DB"/>
    <w:rsid w:val="77D47CF8"/>
    <w:rsid w:val="77DB2909"/>
    <w:rsid w:val="78022526"/>
    <w:rsid w:val="78630DB6"/>
    <w:rsid w:val="78867E76"/>
    <w:rsid w:val="78AF224C"/>
    <w:rsid w:val="793F1E67"/>
    <w:rsid w:val="79742EB1"/>
    <w:rsid w:val="79AD265B"/>
    <w:rsid w:val="79BB65D5"/>
    <w:rsid w:val="7A2926D4"/>
    <w:rsid w:val="7A6C77D6"/>
    <w:rsid w:val="7A984E37"/>
    <w:rsid w:val="7AE25B78"/>
    <w:rsid w:val="7B1A1D7F"/>
    <w:rsid w:val="7B260D6B"/>
    <w:rsid w:val="7B382AB6"/>
    <w:rsid w:val="7B797DC7"/>
    <w:rsid w:val="7B92491A"/>
    <w:rsid w:val="7BC6204D"/>
    <w:rsid w:val="7BD02003"/>
    <w:rsid w:val="7BF57973"/>
    <w:rsid w:val="7C771F6B"/>
    <w:rsid w:val="7CA875BB"/>
    <w:rsid w:val="7D30335C"/>
    <w:rsid w:val="7D533204"/>
    <w:rsid w:val="7D805A1C"/>
    <w:rsid w:val="7D9036DC"/>
    <w:rsid w:val="7E3239CA"/>
    <w:rsid w:val="7E6A4CB7"/>
    <w:rsid w:val="7EF50D16"/>
    <w:rsid w:val="7F4C4335"/>
    <w:rsid w:val="7F5A2D7D"/>
    <w:rsid w:val="7FA071AF"/>
    <w:rsid w:val="7FD4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6"/>
    <w:qFormat/>
    <w:uiPriority w:val="0"/>
    <w:pPr>
      <w:keepNext/>
      <w:adjustRightInd w:val="0"/>
      <w:snapToGrid w:val="0"/>
      <w:spacing w:before="100" w:beforeLines="100" w:line="480" w:lineRule="auto"/>
      <w:jc w:val="center"/>
      <w:outlineLvl w:val="0"/>
    </w:pPr>
    <w:rPr>
      <w:rFonts w:hAnsi="宋体" w:cs="宋体"/>
      <w:b/>
      <w:kern w:val="2"/>
      <w:sz w:val="32"/>
    </w:rPr>
  </w:style>
  <w:style w:type="paragraph" w:styleId="4">
    <w:name w:val="heading 2"/>
    <w:basedOn w:val="1"/>
    <w:next w:val="5"/>
    <w:link w:val="31"/>
    <w:qFormat/>
    <w:uiPriority w:val="9"/>
    <w:pPr>
      <w:keepNext/>
      <w:keepLines/>
      <w:widowControl/>
      <w:spacing w:before="260" w:after="260"/>
      <w:ind w:left="284"/>
      <w:jc w:val="center"/>
      <w:outlineLvl w:val="1"/>
    </w:pPr>
    <w:rPr>
      <w:rFonts w:hAnsi="宋体" w:cs="宋体"/>
      <w:b/>
      <w:bCs/>
      <w:sz w:val="30"/>
      <w:szCs w:val="32"/>
    </w:rPr>
  </w:style>
  <w:style w:type="paragraph" w:styleId="7">
    <w:name w:val="heading 3"/>
    <w:basedOn w:val="1"/>
    <w:next w:val="5"/>
    <w:link w:val="37"/>
    <w:qFormat/>
    <w:uiPriority w:val="0"/>
    <w:pPr>
      <w:keepNext/>
      <w:adjustRightInd w:val="0"/>
      <w:snapToGrid w:val="0"/>
      <w:spacing w:line="360" w:lineRule="auto"/>
      <w:jc w:val="center"/>
      <w:outlineLvl w:val="2"/>
    </w:pPr>
    <w:rPr>
      <w:rFonts w:ascii="宋体" w:hAnsi="宋体" w:eastAsia="宋体" w:cs="宋体"/>
      <w:b/>
      <w:bCs/>
      <w:kern w:val="2"/>
      <w:sz w:val="28"/>
      <w:szCs w:val="24"/>
    </w:rPr>
  </w:style>
  <w:style w:type="paragraph" w:styleId="2">
    <w:name w:val="heading 4"/>
    <w:basedOn w:val="1"/>
    <w:next w:val="1"/>
    <w:link w:val="38"/>
    <w:qFormat/>
    <w:uiPriority w:val="0"/>
    <w:pPr>
      <w:keepNext/>
      <w:keepLines/>
      <w:tabs>
        <w:tab w:val="left" w:pos="864"/>
      </w:tabs>
      <w:adjustRightInd w:val="0"/>
      <w:snapToGrid w:val="0"/>
      <w:spacing w:before="120" w:line="360" w:lineRule="auto"/>
      <w:outlineLvl w:val="3"/>
    </w:pPr>
    <w:rPr>
      <w:rFonts w:hAnsi="宋体" w:cs="宋体"/>
      <w:b/>
      <w:bCs/>
      <w:kern w:val="2"/>
      <w:szCs w:val="28"/>
    </w:rPr>
  </w:style>
  <w:style w:type="paragraph" w:styleId="8">
    <w:name w:val="heading 5"/>
    <w:basedOn w:val="1"/>
    <w:next w:val="1"/>
    <w:link w:val="39"/>
    <w:unhideWhenUsed/>
    <w:qFormat/>
    <w:uiPriority w:val="0"/>
    <w:pPr>
      <w:keepNext/>
      <w:keepLines/>
      <w:spacing w:before="280" w:after="290" w:line="372" w:lineRule="auto"/>
      <w:outlineLvl w:val="4"/>
    </w:pPr>
    <w:rPr>
      <w:b/>
      <w:sz w:val="28"/>
    </w:rPr>
  </w:style>
  <w:style w:type="paragraph" w:styleId="9">
    <w:name w:val="heading 6"/>
    <w:basedOn w:val="1"/>
    <w:next w:val="1"/>
    <w:qFormat/>
    <w:uiPriority w:val="0"/>
    <w:pPr>
      <w:keepNext/>
      <w:keepLines/>
      <w:adjustRightInd w:val="0"/>
      <w:spacing w:line="320" w:lineRule="atLeast"/>
      <w:outlineLvl w:val="5"/>
    </w:pPr>
    <w:rPr>
      <w:rFonts w:ascii="Arial" w:hAnsi="Arial" w:eastAsia="黑体"/>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40"/>
    <w:qFormat/>
    <w:uiPriority w:val="0"/>
    <w:pPr>
      <w:adjustRightInd w:val="0"/>
      <w:snapToGrid w:val="0"/>
      <w:spacing w:line="360" w:lineRule="auto"/>
      <w:ind w:firstLine="420" w:firstLineChars="200"/>
    </w:pPr>
    <w:rPr>
      <w:rFonts w:hAnsi="宋体" w:cs="宋体"/>
      <w:kern w:val="2"/>
      <w:szCs w:val="24"/>
    </w:rPr>
  </w:style>
  <w:style w:type="paragraph" w:styleId="6">
    <w:name w:val="toc 4"/>
    <w:basedOn w:val="1"/>
    <w:next w:val="1"/>
    <w:unhideWhenUsed/>
    <w:qFormat/>
    <w:uiPriority w:val="39"/>
    <w:pPr>
      <w:ind w:left="1260" w:leftChars="600"/>
    </w:pPr>
  </w:style>
  <w:style w:type="paragraph" w:styleId="10">
    <w:name w:val="annotation text"/>
    <w:basedOn w:val="1"/>
    <w:qFormat/>
    <w:uiPriority w:val="0"/>
    <w:pPr>
      <w:jc w:val="left"/>
    </w:pPr>
  </w:style>
  <w:style w:type="paragraph" w:styleId="11">
    <w:name w:val="Body Text"/>
    <w:basedOn w:val="1"/>
    <w:next w:val="1"/>
    <w:qFormat/>
    <w:uiPriority w:val="0"/>
    <w:pPr>
      <w:spacing w:after="120"/>
    </w:pPr>
    <w:rPr>
      <w:rFonts w:ascii="Times New Roman"/>
      <w:kern w:val="2"/>
      <w:sz w:val="21"/>
    </w:rPr>
  </w:style>
  <w:style w:type="paragraph" w:styleId="12">
    <w:name w:val="Body Text Indent"/>
    <w:basedOn w:val="1"/>
    <w:next w:val="1"/>
    <w:qFormat/>
    <w:uiPriority w:val="0"/>
    <w:pPr>
      <w:widowControl/>
      <w:ind w:firstLine="652" w:firstLineChars="233"/>
    </w:pPr>
    <w:rPr>
      <w:rFonts w:ascii="Times New Roman"/>
      <w:sz w:val="28"/>
    </w:rPr>
  </w:style>
  <w:style w:type="paragraph" w:styleId="13">
    <w:name w:val="Plain Text"/>
    <w:basedOn w:val="1"/>
    <w:qFormat/>
    <w:uiPriority w:val="0"/>
    <w:rPr>
      <w:rFonts w:hAnsi="Courier New"/>
      <w:kern w:val="2"/>
      <w:sz w:val="21"/>
    </w:rPr>
  </w:style>
  <w:style w:type="paragraph" w:styleId="14">
    <w:name w:val="Balloon Text"/>
    <w:basedOn w:val="1"/>
    <w:link w:val="41"/>
    <w:qFormat/>
    <w:uiPriority w:val="0"/>
    <w:rPr>
      <w:sz w:val="18"/>
      <w:szCs w:val="18"/>
    </w:rPr>
  </w:style>
  <w:style w:type="paragraph" w:styleId="15">
    <w:name w:val="footer"/>
    <w:basedOn w:val="1"/>
    <w:qFormat/>
    <w:uiPriority w:val="99"/>
    <w:pPr>
      <w:tabs>
        <w:tab w:val="center" w:pos="4153"/>
        <w:tab w:val="right" w:pos="8306"/>
      </w:tabs>
      <w:snapToGrid w:val="0"/>
      <w:jc w:val="left"/>
    </w:pPr>
    <w:rPr>
      <w:rFonts w:ascii="Times New Roman"/>
      <w:kern w:val="2"/>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17">
    <w:name w:val="toc 1"/>
    <w:basedOn w:val="1"/>
    <w:next w:val="1"/>
    <w:unhideWhenUsed/>
    <w:qFormat/>
    <w:uiPriority w:val="39"/>
    <w:pPr>
      <w:tabs>
        <w:tab w:val="left" w:pos="1418"/>
        <w:tab w:val="right" w:leader="dot" w:pos="8302"/>
      </w:tabs>
      <w:spacing w:line="480" w:lineRule="auto"/>
    </w:pPr>
    <w:rPr>
      <w:rFonts w:hAnsi="宋体"/>
      <w:b/>
      <w:sz w:val="28"/>
    </w:rPr>
  </w:style>
  <w:style w:type="paragraph" w:styleId="18">
    <w:name w:val="Normal (Web)"/>
    <w:basedOn w:val="1"/>
    <w:qFormat/>
    <w:uiPriority w:val="99"/>
    <w:pPr>
      <w:widowControl/>
      <w:spacing w:before="100" w:beforeAutospacing="1" w:after="100" w:afterAutospacing="1"/>
      <w:jc w:val="left"/>
    </w:pPr>
    <w:rPr>
      <w:rFonts w:hAnsi="宋体"/>
      <w:szCs w:val="24"/>
    </w:rPr>
  </w:style>
  <w:style w:type="paragraph" w:styleId="19">
    <w:name w:val="Body Text First Indent 2"/>
    <w:basedOn w:val="12"/>
    <w:next w:val="1"/>
    <w:qFormat/>
    <w:uiPriority w:val="0"/>
    <w:pPr>
      <w:spacing w:after="120"/>
      <w:ind w:left="420" w:leftChars="200" w:firstLine="420" w:firstLineChars="200"/>
    </w:pPr>
    <w:rPr>
      <w:sz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qFormat/>
    <w:uiPriority w:val="0"/>
  </w:style>
  <w:style w:type="character" w:styleId="25">
    <w:name w:val="annotation reference"/>
    <w:qFormat/>
    <w:uiPriority w:val="0"/>
    <w:rPr>
      <w:sz w:val="21"/>
      <w:szCs w:val="21"/>
    </w:rPr>
  </w:style>
  <w:style w:type="character" w:customStyle="1" w:styleId="26">
    <w:name w:val="标题 1 字符"/>
    <w:link w:val="3"/>
    <w:qFormat/>
    <w:uiPriority w:val="0"/>
    <w:rPr>
      <w:rFonts w:ascii="宋体" w:hAnsi="宋体" w:eastAsia="宋体" w:cs="宋体"/>
      <w:b/>
      <w:kern w:val="2"/>
      <w:sz w:val="32"/>
    </w:rPr>
  </w:style>
  <w:style w:type="paragraph" w:customStyle="1" w:styleId="27">
    <w:name w:val="表格文字"/>
    <w:basedOn w:val="1"/>
    <w:qFormat/>
    <w:uiPriority w:val="0"/>
    <w:pPr>
      <w:spacing w:before="120" w:after="120"/>
    </w:pPr>
    <w:rPr>
      <w:rFonts w:ascii="新宋体" w:hAnsi="宋体" w:eastAsia="新宋体"/>
      <w:bCs/>
      <w:color w:val="000000"/>
      <w:sz w:val="18"/>
      <w:szCs w:val="18"/>
    </w:rPr>
  </w:style>
  <w:style w:type="paragraph" w:customStyle="1" w:styleId="28">
    <w:name w:val="列出段落1"/>
    <w:basedOn w:val="1"/>
    <w:qFormat/>
    <w:uiPriority w:val="34"/>
    <w:pPr>
      <w:ind w:firstLine="420" w:firstLineChars="200"/>
    </w:pPr>
  </w:style>
  <w:style w:type="paragraph" w:customStyle="1" w:styleId="29">
    <w:name w:val="招标书 正文"/>
    <w:basedOn w:val="1"/>
    <w:qFormat/>
    <w:uiPriority w:val="0"/>
    <w:pPr>
      <w:widowControl/>
      <w:snapToGrid w:val="0"/>
      <w:spacing w:line="560" w:lineRule="exact"/>
      <w:ind w:firstLine="560" w:firstLineChars="200"/>
      <w:jc w:val="left"/>
    </w:pPr>
    <w:rPr>
      <w:rFonts w:hAnsi="宋体"/>
      <w:color w:val="000000"/>
      <w:szCs w:val="28"/>
    </w:rPr>
  </w:style>
  <w:style w:type="paragraph" w:customStyle="1" w:styleId="30">
    <w:name w:val="表格"/>
    <w:basedOn w:val="1"/>
    <w:qFormat/>
    <w:uiPriority w:val="0"/>
    <w:pPr>
      <w:jc w:val="center"/>
    </w:pPr>
    <w:rPr>
      <w:rFonts w:hAnsi="宋体" w:cs="宋体"/>
    </w:rPr>
  </w:style>
  <w:style w:type="character" w:customStyle="1" w:styleId="31">
    <w:name w:val="标题 2 字符"/>
    <w:link w:val="4"/>
    <w:qFormat/>
    <w:uiPriority w:val="9"/>
    <w:rPr>
      <w:rFonts w:ascii="宋体" w:hAnsi="宋体" w:eastAsia="宋体" w:cs="宋体"/>
      <w:b/>
      <w:bCs/>
      <w:sz w:val="30"/>
      <w:szCs w:val="32"/>
    </w:rPr>
  </w:style>
  <w:style w:type="paragraph" w:customStyle="1" w:styleId="32">
    <w:name w:val="纯文本1"/>
    <w:basedOn w:val="1"/>
    <w:qFormat/>
    <w:uiPriority w:val="0"/>
    <w:pPr>
      <w:spacing w:line="324" w:lineRule="auto"/>
    </w:pPr>
    <w:rPr>
      <w:rFonts w:hAnsi="Courier New" w:cs="Courier New"/>
      <w:szCs w:val="21"/>
    </w:rPr>
  </w:style>
  <w:style w:type="paragraph" w:customStyle="1" w:styleId="33">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34">
    <w:name w:val="表格文字中"/>
    <w:basedOn w:val="1"/>
    <w:qFormat/>
    <w:uiPriority w:val="0"/>
    <w:pPr>
      <w:adjustRightInd w:val="0"/>
      <w:snapToGrid w:val="0"/>
      <w:ind w:left="22" w:leftChars="8"/>
      <w:jc w:val="center"/>
    </w:pPr>
    <w:rPr>
      <w:szCs w:val="24"/>
    </w:rPr>
  </w:style>
  <w:style w:type="paragraph" w:customStyle="1" w:styleId="35">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36">
    <w:name w:val="标题 3 字符"/>
    <w:qFormat/>
    <w:uiPriority w:val="0"/>
    <w:rPr>
      <w:rFonts w:ascii="Times New Roman" w:hAnsi="Times New Roman" w:eastAsia="宋体"/>
      <w:b/>
      <w:bCs/>
      <w:kern w:val="2"/>
      <w:sz w:val="28"/>
      <w:szCs w:val="24"/>
    </w:rPr>
  </w:style>
  <w:style w:type="character" w:customStyle="1" w:styleId="37">
    <w:name w:val="标题 3 字符1"/>
    <w:link w:val="7"/>
    <w:qFormat/>
    <w:uiPriority w:val="0"/>
    <w:rPr>
      <w:rFonts w:ascii="宋体" w:hAnsi="宋体" w:eastAsia="宋体" w:cs="宋体"/>
      <w:b/>
      <w:sz w:val="28"/>
    </w:rPr>
  </w:style>
  <w:style w:type="character" w:customStyle="1" w:styleId="38">
    <w:name w:val="标题 4 字符"/>
    <w:link w:val="2"/>
    <w:qFormat/>
    <w:uiPriority w:val="0"/>
    <w:rPr>
      <w:rFonts w:ascii="宋体" w:hAnsi="宋体" w:eastAsia="宋体" w:cs="宋体"/>
      <w:b/>
      <w:bCs/>
      <w:kern w:val="2"/>
      <w:szCs w:val="28"/>
    </w:rPr>
  </w:style>
  <w:style w:type="character" w:customStyle="1" w:styleId="39">
    <w:name w:val="标题 5 字符"/>
    <w:link w:val="8"/>
    <w:qFormat/>
    <w:uiPriority w:val="0"/>
    <w:rPr>
      <w:b/>
      <w:sz w:val="28"/>
    </w:rPr>
  </w:style>
  <w:style w:type="character" w:customStyle="1" w:styleId="40">
    <w:name w:val="正文缩进 字符"/>
    <w:link w:val="5"/>
    <w:qFormat/>
    <w:uiPriority w:val="0"/>
    <w:rPr>
      <w:rFonts w:ascii="宋体" w:hAnsi="宋体" w:eastAsia="宋体" w:cs="宋体"/>
      <w:kern w:val="2"/>
      <w:sz w:val="24"/>
      <w:szCs w:val="24"/>
    </w:rPr>
  </w:style>
  <w:style w:type="character" w:customStyle="1" w:styleId="41">
    <w:name w:val="批注框文本 字符"/>
    <w:basedOn w:val="22"/>
    <w:link w:val="14"/>
    <w:qFormat/>
    <w:uiPriority w:val="0"/>
    <w:rPr>
      <w:rFonts w:ascii="宋体" w:hAnsi="Times New Roman"/>
      <w:sz w:val="18"/>
      <w:szCs w:val="18"/>
    </w:rPr>
  </w:style>
  <w:style w:type="paragraph" w:styleId="42">
    <w:name w:val="List Paragraph"/>
    <w:basedOn w:val="1"/>
    <w:unhideWhenUsed/>
    <w:qFormat/>
    <w:uiPriority w:val="99"/>
    <w:pPr>
      <w:ind w:firstLine="420" w:firstLineChars="200"/>
    </w:pPr>
  </w:style>
  <w:style w:type="character" w:customStyle="1" w:styleId="43">
    <w:name w:val="标题 4 Char"/>
    <w:basedOn w:val="22"/>
    <w:qFormat/>
    <w:uiPriority w:val="0"/>
    <w:rPr>
      <w:rFonts w:ascii="宋体" w:hAnsi="宋体" w:eastAsia="宋体" w:cs="宋体"/>
      <w:b/>
      <w:bCs/>
      <w:kern w:val="2"/>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34836</Words>
  <Characters>37076</Characters>
  <Lines>312</Lines>
  <Paragraphs>87</Paragraphs>
  <TotalTime>3</TotalTime>
  <ScaleCrop>false</ScaleCrop>
  <LinksUpToDate>false</LinksUpToDate>
  <CharactersWithSpaces>38991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2021-09-23T08:20:00Z</dcterms:created>
  <dc:creator>Administrator</dc:creator>
  <cp:lastModifiedBy>好好的</cp:lastModifiedBy>
  <cp:lastPrinted>2022-02-14T06:45:00Z</cp:lastPrinted>
  <dcterms:modified xsi:type="dcterms:W3CDTF">2022-12-28T09:14:11Z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AC1E314E31244C43B413ECD6A9C68FAD</vt:lpwstr>
  </property>
</Properties>
</file>