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jc w:val="right"/>
        <w:rPr>
          <w:color w:val="auto"/>
          <w:highlight w:val="none"/>
        </w:rPr>
      </w:pPr>
      <w:r>
        <w:rPr>
          <w:rFonts w:hint="eastAsia" w:ascii="宋体" w:hAnsi="宋体" w:cs="宋体"/>
          <w:b/>
          <w:bCs/>
          <w:color w:val="auto"/>
          <w:sz w:val="32"/>
          <w:highlight w:val="none"/>
          <w:bdr w:val="single" w:color="auto" w:sz="4" w:space="0"/>
        </w:rPr>
        <w:t>政府采购项目</w:t>
      </w:r>
      <w:r>
        <w:rPr>
          <w:rFonts w:hint="eastAsia" w:ascii="宋体" w:hAnsi="宋体" w:cs="宋体"/>
          <w:b/>
          <w:bCs/>
          <w:color w:val="auto"/>
          <w:kern w:val="0"/>
          <w:sz w:val="30"/>
          <w:szCs w:val="30"/>
          <w:highlight w:val="none"/>
        </w:rPr>
        <w:t xml:space="preserve"> </w:t>
      </w:r>
    </w:p>
    <w:p>
      <w:pPr>
        <w:rPr>
          <w:color w:val="auto"/>
          <w:highlight w:val="none"/>
        </w:rPr>
      </w:pPr>
    </w:p>
    <w:p>
      <w:pPr>
        <w:rPr>
          <w:color w:val="auto"/>
          <w:highlight w:val="none"/>
        </w:rPr>
      </w:pPr>
    </w:p>
    <w:p>
      <w:pPr>
        <w:jc w:val="center"/>
        <w:rPr>
          <w:rFonts w:hint="eastAsia" w:hAnsi="宋体" w:eastAsia="宋体" w:cs="宋体"/>
          <w:b/>
          <w:color w:val="auto"/>
          <w:sz w:val="44"/>
          <w:szCs w:val="44"/>
          <w:highlight w:val="none"/>
          <w:lang w:eastAsia="zh-CN"/>
        </w:rPr>
      </w:pPr>
      <w:r>
        <w:rPr>
          <w:rFonts w:hint="eastAsia" w:hAnsi="宋体" w:cs="宋体"/>
          <w:b/>
          <w:bCs/>
          <w:color w:val="auto"/>
          <w:sz w:val="44"/>
          <w:szCs w:val="44"/>
          <w:highlight w:val="none"/>
          <w:lang w:eastAsia="zh-CN"/>
        </w:rPr>
        <w:t>西安美术学院2023年图书采购项目</w:t>
      </w:r>
    </w:p>
    <w:p>
      <w:pPr>
        <w:rPr>
          <w:color w:val="auto"/>
          <w:highlight w:val="none"/>
        </w:rPr>
      </w:pPr>
    </w:p>
    <w:p>
      <w:pPr>
        <w:jc w:val="center"/>
        <w:rPr>
          <w:rFonts w:hint="eastAsia" w:hAnsi="宋体" w:eastAsia="宋体" w:cs="宋体"/>
          <w:b/>
          <w:color w:val="auto"/>
          <w:sz w:val="32"/>
          <w:szCs w:val="32"/>
          <w:highlight w:val="none"/>
          <w:lang w:eastAsia="zh-CN"/>
        </w:rPr>
      </w:pPr>
      <w:r>
        <w:rPr>
          <w:rFonts w:hint="eastAsia" w:hAnsi="宋体" w:cs="宋体"/>
          <w:b/>
          <w:color w:val="auto"/>
          <w:sz w:val="32"/>
          <w:szCs w:val="32"/>
          <w:highlight w:val="none"/>
        </w:rPr>
        <w:t>项目编号：</w:t>
      </w:r>
      <w:r>
        <w:rPr>
          <w:rFonts w:hint="eastAsia" w:hAnsi="宋体" w:cs="宋体"/>
          <w:b/>
          <w:color w:val="auto"/>
          <w:sz w:val="32"/>
          <w:szCs w:val="32"/>
          <w:highlight w:val="none"/>
          <w:lang w:eastAsia="zh-CN"/>
        </w:rPr>
        <w:t>ZHZB-2022-GK-12112</w:t>
      </w:r>
    </w:p>
    <w:p>
      <w:pPr>
        <w:pStyle w:val="11"/>
        <w:rPr>
          <w:rFonts w:ascii="宋体" w:hAnsi="宋体" w:cs="宋体"/>
          <w:color w:val="auto"/>
          <w:highlight w:val="none"/>
        </w:rPr>
      </w:pPr>
    </w:p>
    <w:p>
      <w:pPr>
        <w:rPr>
          <w:color w:val="auto"/>
          <w:highlight w:val="none"/>
        </w:rPr>
      </w:pPr>
    </w:p>
    <w:p>
      <w:pPr>
        <w:pStyle w:val="11"/>
        <w:rPr>
          <w:color w:val="auto"/>
          <w:highlight w:val="none"/>
        </w:rPr>
      </w:pPr>
    </w:p>
    <w:p>
      <w:pPr>
        <w:jc w:val="center"/>
        <w:rPr>
          <w:rFonts w:hAnsi="宋体" w:cs="宋体"/>
          <w:b/>
          <w:color w:val="auto"/>
          <w:sz w:val="84"/>
          <w:szCs w:val="84"/>
          <w:highlight w:val="none"/>
        </w:rPr>
      </w:pPr>
      <w:r>
        <w:rPr>
          <w:rFonts w:hint="eastAsia" w:hAnsi="宋体" w:cs="宋体"/>
          <w:b/>
          <w:color w:val="auto"/>
          <w:sz w:val="84"/>
          <w:szCs w:val="84"/>
          <w:highlight w:val="none"/>
        </w:rPr>
        <w:t>招标文件</w:t>
      </w:r>
    </w:p>
    <w:p>
      <w:pPr>
        <w:jc w:val="center"/>
        <w:rPr>
          <w:rFonts w:hAnsi="宋体" w:cs="宋体"/>
          <w:b/>
          <w:color w:val="auto"/>
          <w:sz w:val="21"/>
          <w:szCs w:val="21"/>
          <w:highlight w:val="none"/>
        </w:rPr>
      </w:pPr>
    </w:p>
    <w:p>
      <w:pPr>
        <w:jc w:val="center"/>
        <w:rPr>
          <w:rFonts w:hAnsi="宋体" w:cs="宋体"/>
          <w:color w:val="auto"/>
          <w:sz w:val="72"/>
          <w:szCs w:val="72"/>
          <w:highlight w:val="none"/>
        </w:rPr>
      </w:pPr>
      <w:r>
        <w:rPr>
          <w:rFonts w:hint="eastAsia" w:hAnsi="宋体" w:cs="宋体"/>
          <w:b/>
          <w:color w:val="auto"/>
          <w:sz w:val="21"/>
          <w:szCs w:val="21"/>
          <w:highlight w:val="none"/>
        </w:rPr>
        <w:br w:type="textWrapping"/>
      </w:r>
      <w:r>
        <w:rPr>
          <w:rFonts w:hint="eastAsia" w:hAnsi="宋体" w:cs="宋体"/>
          <w:color w:val="auto"/>
          <w:highlight w:val="none"/>
        </w:rPr>
        <w:drawing>
          <wp:inline distT="0" distB="0" distL="114300" distR="114300">
            <wp:extent cx="2265045" cy="2265045"/>
            <wp:effectExtent l="0" t="0" r="1905" b="1905"/>
            <wp:docPr id="4" name="图片 1" descr="不带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不带字"/>
                    <pic:cNvPicPr>
                      <a:picLocks noChangeAspect="1"/>
                    </pic:cNvPicPr>
                  </pic:nvPicPr>
                  <pic:blipFill>
                    <a:blip r:embed="rId14"/>
                    <a:stretch>
                      <a:fillRect/>
                    </a:stretch>
                  </pic:blipFill>
                  <pic:spPr>
                    <a:xfrm>
                      <a:off x="0" y="0"/>
                      <a:ext cx="2265045" cy="2265045"/>
                    </a:xfrm>
                    <a:prstGeom prst="rect">
                      <a:avLst/>
                    </a:prstGeom>
                    <a:noFill/>
                    <a:ln>
                      <a:noFill/>
                    </a:ln>
                  </pic:spPr>
                </pic:pic>
              </a:graphicData>
            </a:graphic>
          </wp:inline>
        </w:drawing>
      </w:r>
    </w:p>
    <w:p>
      <w:pPr>
        <w:spacing w:line="480" w:lineRule="auto"/>
        <w:rPr>
          <w:rFonts w:hAnsi="宋体" w:cs="宋体"/>
          <w:b/>
          <w:color w:val="auto"/>
          <w:sz w:val="32"/>
          <w:szCs w:val="32"/>
          <w:highlight w:val="none"/>
        </w:rPr>
      </w:pPr>
    </w:p>
    <w:p>
      <w:pPr>
        <w:pStyle w:val="11"/>
        <w:rPr>
          <w:color w:val="auto"/>
          <w:highlight w:val="none"/>
        </w:rPr>
      </w:pPr>
    </w:p>
    <w:p>
      <w:pPr>
        <w:pStyle w:val="11"/>
        <w:rPr>
          <w:color w:val="auto"/>
          <w:highlight w:val="none"/>
        </w:rPr>
      </w:pPr>
    </w:p>
    <w:p>
      <w:pPr>
        <w:spacing w:line="360" w:lineRule="auto"/>
        <w:ind w:firstLine="1285" w:firstLineChars="400"/>
        <w:rPr>
          <w:rFonts w:hAnsi="宋体" w:cs="宋体"/>
          <w:b/>
          <w:color w:val="auto"/>
          <w:sz w:val="32"/>
          <w:szCs w:val="32"/>
          <w:highlight w:val="none"/>
        </w:rPr>
      </w:pPr>
      <w:r>
        <w:rPr>
          <w:rFonts w:hint="eastAsia" w:hAnsi="宋体" w:cs="宋体"/>
          <w:b/>
          <w:color w:val="auto"/>
          <w:sz w:val="32"/>
          <w:szCs w:val="32"/>
          <w:highlight w:val="none"/>
        </w:rPr>
        <w:t>采   购   人：</w:t>
      </w:r>
      <w:r>
        <w:rPr>
          <w:rFonts w:hint="eastAsia" w:hAnsi="宋体" w:cs="宋体"/>
          <w:b/>
          <w:color w:val="auto"/>
          <w:sz w:val="32"/>
          <w:szCs w:val="32"/>
          <w:highlight w:val="none"/>
          <w:u w:val="single"/>
        </w:rPr>
        <w:t xml:space="preserve">    </w:t>
      </w:r>
      <w:r>
        <w:rPr>
          <w:rFonts w:hint="eastAsia" w:hAnsi="宋体" w:cs="宋体"/>
          <w:b/>
          <w:color w:val="auto"/>
          <w:sz w:val="32"/>
          <w:szCs w:val="32"/>
          <w:highlight w:val="none"/>
          <w:u w:val="single"/>
          <w:lang w:eastAsia="zh-CN"/>
        </w:rPr>
        <w:t>西安美术学院</w:t>
      </w:r>
      <w:r>
        <w:rPr>
          <w:rFonts w:hint="eastAsia" w:hAnsi="宋体" w:cs="宋体"/>
          <w:b/>
          <w:color w:val="auto"/>
          <w:sz w:val="32"/>
          <w:szCs w:val="32"/>
          <w:highlight w:val="none"/>
          <w:u w:val="single"/>
        </w:rPr>
        <w:t xml:space="preserve">     </w:t>
      </w:r>
    </w:p>
    <w:p>
      <w:pPr>
        <w:spacing w:line="360" w:lineRule="auto"/>
        <w:ind w:firstLine="1285" w:firstLineChars="400"/>
        <w:rPr>
          <w:rFonts w:hAnsi="宋体" w:cs="宋体"/>
          <w:b/>
          <w:color w:val="auto"/>
          <w:sz w:val="32"/>
          <w:szCs w:val="32"/>
          <w:highlight w:val="none"/>
        </w:rPr>
      </w:pPr>
      <w:r>
        <w:rPr>
          <w:rFonts w:hint="eastAsia" w:hAnsi="宋体" w:cs="宋体"/>
          <w:b/>
          <w:color w:val="auto"/>
          <w:sz w:val="32"/>
          <w:szCs w:val="32"/>
          <w:highlight w:val="none"/>
        </w:rPr>
        <w:t>采购代理机构:</w:t>
      </w:r>
      <w:r>
        <w:rPr>
          <w:rFonts w:hint="eastAsia" w:hAnsi="宋体" w:cs="宋体"/>
          <w:b/>
          <w:color w:val="auto"/>
          <w:sz w:val="32"/>
          <w:szCs w:val="32"/>
          <w:highlight w:val="none"/>
          <w:u w:val="single"/>
        </w:rPr>
        <w:t xml:space="preserve"> 陕西正鸿招标有限公司 </w:t>
      </w:r>
    </w:p>
    <w:p>
      <w:pPr>
        <w:snapToGrid w:val="0"/>
        <w:spacing w:line="360" w:lineRule="auto"/>
        <w:ind w:firstLine="3373" w:firstLineChars="1050"/>
        <w:rPr>
          <w:rFonts w:hAnsi="宋体" w:cs="宋体"/>
          <w:b/>
          <w:color w:val="auto"/>
          <w:sz w:val="32"/>
          <w:szCs w:val="32"/>
          <w:highlight w:val="none"/>
        </w:rPr>
      </w:pPr>
      <w:r>
        <w:rPr>
          <w:rFonts w:hint="eastAsia" w:hAnsi="宋体" w:cs="宋体"/>
          <w:b/>
          <w:color w:val="auto"/>
          <w:sz w:val="32"/>
          <w:szCs w:val="32"/>
          <w:highlight w:val="none"/>
        </w:rPr>
        <w:t>202</w:t>
      </w:r>
      <w:r>
        <w:rPr>
          <w:rFonts w:hint="eastAsia" w:hAnsi="宋体" w:cs="宋体"/>
          <w:b/>
          <w:color w:val="auto"/>
          <w:sz w:val="32"/>
          <w:szCs w:val="32"/>
          <w:highlight w:val="none"/>
          <w:lang w:val="en-US" w:eastAsia="zh-CN"/>
        </w:rPr>
        <w:t>2</w:t>
      </w:r>
      <w:r>
        <w:rPr>
          <w:rFonts w:hint="eastAsia" w:hAnsi="宋体" w:cs="宋体"/>
          <w:b/>
          <w:color w:val="auto"/>
          <w:sz w:val="32"/>
          <w:szCs w:val="32"/>
          <w:highlight w:val="none"/>
        </w:rPr>
        <w:t>年</w:t>
      </w:r>
      <w:r>
        <w:rPr>
          <w:rFonts w:hint="eastAsia" w:hAnsi="宋体" w:cs="宋体"/>
          <w:b/>
          <w:color w:val="auto"/>
          <w:sz w:val="32"/>
          <w:szCs w:val="32"/>
          <w:highlight w:val="none"/>
          <w:lang w:val="en-US" w:eastAsia="zh-CN"/>
        </w:rPr>
        <w:t>12</w:t>
      </w:r>
      <w:r>
        <w:rPr>
          <w:rFonts w:hint="eastAsia" w:hAnsi="宋体" w:cs="宋体"/>
          <w:b/>
          <w:color w:val="auto"/>
          <w:sz w:val="32"/>
          <w:szCs w:val="32"/>
          <w:highlight w:val="none"/>
        </w:rPr>
        <w:t>月</w:t>
      </w:r>
    </w:p>
    <w:p>
      <w:pPr>
        <w:spacing w:line="360" w:lineRule="auto"/>
        <w:rPr>
          <w:color w:val="auto"/>
          <w:highlight w:val="none"/>
        </w:rPr>
        <w:sectPr>
          <w:headerReference r:id="rId4" w:type="first"/>
          <w:footerReference r:id="rId6" w:type="first"/>
          <w:headerReference r:id="rId3" w:type="default"/>
          <w:footerReference r:id="rId5" w:type="default"/>
          <w:pgSz w:w="11906" w:h="16838"/>
          <w:pgMar w:top="1417" w:right="1417" w:bottom="1417" w:left="1417" w:header="992" w:footer="992" w:gutter="170"/>
          <w:pgNumType w:start="1"/>
          <w:cols w:space="0" w:num="1"/>
          <w:docGrid w:type="lines" w:linePitch="333" w:charSpace="0"/>
        </w:sectPr>
      </w:pPr>
    </w:p>
    <w:p>
      <w:pPr>
        <w:spacing w:before="166" w:beforeLines="50" w:line="360" w:lineRule="auto"/>
        <w:jc w:val="center"/>
        <w:rPr>
          <w:rFonts w:hAnsi="宋体" w:cs="宋体"/>
          <w:b/>
          <w:color w:val="auto"/>
          <w:sz w:val="44"/>
          <w:szCs w:val="44"/>
          <w:highlight w:val="none"/>
        </w:rPr>
      </w:pPr>
      <w:r>
        <w:rPr>
          <w:rFonts w:hint="eastAsia" w:hAnsi="宋体" w:cs="宋体"/>
          <w:b/>
          <w:color w:val="auto"/>
          <w:sz w:val="48"/>
          <w:szCs w:val="48"/>
          <w:highlight w:val="none"/>
        </w:rPr>
        <w:t>目   录</w:t>
      </w:r>
    </w:p>
    <w:p>
      <w:pPr>
        <w:pStyle w:val="17"/>
        <w:tabs>
          <w:tab w:val="right" w:leader="dot" w:pos="8902"/>
          <w:tab w:val="clear" w:pos="1418"/>
          <w:tab w:val="clear" w:pos="8302"/>
        </w:tabs>
        <w:rPr>
          <w:color w:val="auto"/>
          <w:highlight w:val="none"/>
        </w:rPr>
      </w:pPr>
      <w:bookmarkStart w:id="0" w:name="_Toc389582033"/>
      <w:bookmarkStart w:id="1" w:name="_Toc426457691"/>
      <w:bookmarkStart w:id="2" w:name="_Toc21518"/>
      <w:bookmarkStart w:id="3" w:name="_Toc19886"/>
      <w:bookmarkStart w:id="4" w:name="_Toc20858"/>
      <w:bookmarkStart w:id="5" w:name="_Toc16218"/>
      <w:bookmarkStart w:id="6" w:name="_Toc5293"/>
      <w:bookmarkStart w:id="7" w:name="_Toc20652"/>
      <w:bookmarkStart w:id="8" w:name="_Toc363474016"/>
      <w:bookmarkStart w:id="9" w:name="_Toc363473971"/>
      <w:bookmarkStart w:id="10" w:name="_Toc403077638"/>
      <w:r>
        <w:rPr>
          <w:rFonts w:hint="eastAsia" w:cs="宋体"/>
          <w:color w:val="auto"/>
          <w:highlight w:val="none"/>
        </w:rPr>
        <w:fldChar w:fldCharType="begin"/>
      </w:r>
      <w:r>
        <w:rPr>
          <w:rFonts w:hint="eastAsia" w:cs="宋体"/>
          <w:color w:val="auto"/>
          <w:highlight w:val="none"/>
        </w:rPr>
        <w:instrText xml:space="preserve">TOC \o "1-1" \h \u </w:instrText>
      </w:r>
      <w:r>
        <w:rPr>
          <w:rFonts w:hint="eastAsia" w:cs="宋体"/>
          <w:color w:val="auto"/>
          <w:highlight w:val="none"/>
        </w:rPr>
        <w:fldChar w:fldCharType="separate"/>
      </w:r>
      <w:r>
        <w:rPr>
          <w:color w:val="auto"/>
          <w:highlight w:val="none"/>
        </w:rPr>
        <w:fldChar w:fldCharType="begin"/>
      </w:r>
      <w:r>
        <w:rPr>
          <w:color w:val="auto"/>
          <w:highlight w:val="none"/>
        </w:rPr>
        <w:instrText xml:space="preserve"> HYPERLINK \l "_Toc9013" </w:instrText>
      </w:r>
      <w:r>
        <w:rPr>
          <w:color w:val="auto"/>
          <w:highlight w:val="none"/>
        </w:rPr>
        <w:fldChar w:fldCharType="separate"/>
      </w:r>
      <w:r>
        <w:rPr>
          <w:rFonts w:hint="eastAsia"/>
          <w:color w:val="auto"/>
          <w:highlight w:val="none"/>
        </w:rPr>
        <w:t>第一章  招标公告</w:t>
      </w:r>
      <w:r>
        <w:rPr>
          <w:color w:val="auto"/>
          <w:highlight w:val="none"/>
        </w:rPr>
        <w:tab/>
      </w:r>
      <w:r>
        <w:rPr>
          <w:color w:val="auto"/>
          <w:highlight w:val="none"/>
        </w:rPr>
        <w:fldChar w:fldCharType="begin"/>
      </w:r>
      <w:r>
        <w:rPr>
          <w:color w:val="auto"/>
          <w:highlight w:val="none"/>
        </w:rPr>
        <w:instrText xml:space="preserve"> PAGEREF _Toc9013 \h </w:instrText>
      </w:r>
      <w:r>
        <w:rPr>
          <w:color w:val="auto"/>
          <w:highlight w:val="none"/>
        </w:rPr>
        <w:fldChar w:fldCharType="separate"/>
      </w:r>
      <w:r>
        <w:rPr>
          <w:color w:val="auto"/>
          <w:highlight w:val="none"/>
        </w:rPr>
        <w:t>2</w:t>
      </w:r>
      <w:r>
        <w:rPr>
          <w:color w:val="auto"/>
          <w:highlight w:val="none"/>
        </w:rPr>
        <w:fldChar w:fldCharType="end"/>
      </w:r>
      <w:r>
        <w:rPr>
          <w:color w:val="auto"/>
          <w:highlight w:val="none"/>
        </w:rPr>
        <w:fldChar w:fldCharType="end"/>
      </w:r>
    </w:p>
    <w:p>
      <w:pPr>
        <w:pStyle w:val="17"/>
        <w:tabs>
          <w:tab w:val="right" w:leader="dot" w:pos="8902"/>
          <w:tab w:val="clear" w:pos="1418"/>
          <w:tab w:val="clear" w:pos="8302"/>
        </w:tabs>
        <w:rPr>
          <w:color w:val="auto"/>
          <w:highlight w:val="none"/>
        </w:rPr>
      </w:pPr>
      <w:r>
        <w:rPr>
          <w:color w:val="auto"/>
          <w:highlight w:val="none"/>
        </w:rPr>
        <w:fldChar w:fldCharType="begin"/>
      </w:r>
      <w:r>
        <w:rPr>
          <w:color w:val="auto"/>
          <w:highlight w:val="none"/>
        </w:rPr>
        <w:instrText xml:space="preserve"> HYPERLINK \l "_Toc1397" </w:instrText>
      </w:r>
      <w:r>
        <w:rPr>
          <w:color w:val="auto"/>
          <w:highlight w:val="none"/>
        </w:rPr>
        <w:fldChar w:fldCharType="separate"/>
      </w:r>
      <w:r>
        <w:rPr>
          <w:rFonts w:hint="eastAsia"/>
          <w:color w:val="auto"/>
          <w:szCs w:val="36"/>
          <w:highlight w:val="none"/>
        </w:rPr>
        <w:t>第二章  投标人须知</w:t>
      </w:r>
      <w:r>
        <w:rPr>
          <w:color w:val="auto"/>
          <w:highlight w:val="none"/>
        </w:rPr>
        <w:tab/>
      </w:r>
      <w:r>
        <w:rPr>
          <w:color w:val="auto"/>
          <w:highlight w:val="none"/>
        </w:rPr>
        <w:fldChar w:fldCharType="begin"/>
      </w:r>
      <w:r>
        <w:rPr>
          <w:color w:val="auto"/>
          <w:highlight w:val="none"/>
        </w:rPr>
        <w:instrText xml:space="preserve"> PAGEREF _Toc1397 \h </w:instrText>
      </w:r>
      <w:r>
        <w:rPr>
          <w:color w:val="auto"/>
          <w:highlight w:val="none"/>
        </w:rPr>
        <w:fldChar w:fldCharType="separate"/>
      </w:r>
      <w:r>
        <w:rPr>
          <w:color w:val="auto"/>
          <w:highlight w:val="none"/>
        </w:rPr>
        <w:t>7</w:t>
      </w:r>
      <w:r>
        <w:rPr>
          <w:color w:val="auto"/>
          <w:highlight w:val="none"/>
        </w:rPr>
        <w:fldChar w:fldCharType="end"/>
      </w:r>
      <w:r>
        <w:rPr>
          <w:color w:val="auto"/>
          <w:highlight w:val="none"/>
        </w:rPr>
        <w:fldChar w:fldCharType="end"/>
      </w:r>
    </w:p>
    <w:p>
      <w:pPr>
        <w:pStyle w:val="17"/>
        <w:tabs>
          <w:tab w:val="right" w:leader="dot" w:pos="8902"/>
          <w:tab w:val="clear" w:pos="1418"/>
          <w:tab w:val="clear" w:pos="8302"/>
        </w:tabs>
        <w:rPr>
          <w:color w:val="auto"/>
          <w:highlight w:val="none"/>
        </w:rPr>
      </w:pPr>
      <w:r>
        <w:rPr>
          <w:color w:val="auto"/>
          <w:highlight w:val="none"/>
        </w:rPr>
        <w:fldChar w:fldCharType="begin"/>
      </w:r>
      <w:r>
        <w:rPr>
          <w:color w:val="auto"/>
          <w:highlight w:val="none"/>
        </w:rPr>
        <w:instrText xml:space="preserve"> HYPERLINK \l "_Toc26429" </w:instrText>
      </w:r>
      <w:r>
        <w:rPr>
          <w:color w:val="auto"/>
          <w:highlight w:val="none"/>
        </w:rPr>
        <w:fldChar w:fldCharType="separate"/>
      </w:r>
      <w:r>
        <w:rPr>
          <w:rFonts w:hint="eastAsia"/>
          <w:color w:val="auto"/>
          <w:highlight w:val="none"/>
        </w:rPr>
        <w:t>第三章  商务及合同主要条款</w:t>
      </w:r>
      <w:r>
        <w:rPr>
          <w:color w:val="auto"/>
          <w:highlight w:val="none"/>
        </w:rPr>
        <w:tab/>
      </w:r>
      <w:r>
        <w:rPr>
          <w:color w:val="auto"/>
          <w:highlight w:val="none"/>
        </w:rPr>
        <w:fldChar w:fldCharType="begin"/>
      </w:r>
      <w:r>
        <w:rPr>
          <w:color w:val="auto"/>
          <w:highlight w:val="none"/>
        </w:rPr>
        <w:instrText xml:space="preserve"> PAGEREF _Toc26429 \h </w:instrText>
      </w:r>
      <w:r>
        <w:rPr>
          <w:color w:val="auto"/>
          <w:highlight w:val="none"/>
        </w:rPr>
        <w:fldChar w:fldCharType="separate"/>
      </w:r>
      <w:r>
        <w:rPr>
          <w:color w:val="auto"/>
          <w:highlight w:val="none"/>
        </w:rPr>
        <w:t>25</w:t>
      </w:r>
      <w:r>
        <w:rPr>
          <w:color w:val="auto"/>
          <w:highlight w:val="none"/>
        </w:rPr>
        <w:fldChar w:fldCharType="end"/>
      </w:r>
      <w:r>
        <w:rPr>
          <w:color w:val="auto"/>
          <w:highlight w:val="none"/>
        </w:rPr>
        <w:fldChar w:fldCharType="end"/>
      </w:r>
    </w:p>
    <w:p>
      <w:pPr>
        <w:pStyle w:val="17"/>
        <w:tabs>
          <w:tab w:val="right" w:leader="dot" w:pos="8902"/>
          <w:tab w:val="clear" w:pos="1418"/>
          <w:tab w:val="clear" w:pos="8302"/>
        </w:tabs>
        <w:rPr>
          <w:color w:val="auto"/>
          <w:highlight w:val="none"/>
        </w:rPr>
      </w:pPr>
      <w:r>
        <w:rPr>
          <w:color w:val="auto"/>
          <w:highlight w:val="none"/>
        </w:rPr>
        <w:fldChar w:fldCharType="begin"/>
      </w:r>
      <w:r>
        <w:rPr>
          <w:color w:val="auto"/>
          <w:highlight w:val="none"/>
        </w:rPr>
        <w:instrText xml:space="preserve"> HYPERLINK \l "_Toc15166" </w:instrText>
      </w:r>
      <w:r>
        <w:rPr>
          <w:color w:val="auto"/>
          <w:highlight w:val="none"/>
        </w:rPr>
        <w:fldChar w:fldCharType="separate"/>
      </w:r>
      <w:r>
        <w:rPr>
          <w:rFonts w:hint="eastAsia"/>
          <w:color w:val="auto"/>
          <w:szCs w:val="36"/>
          <w:highlight w:val="none"/>
        </w:rPr>
        <w:t>第四章  采购内容及技术要求</w:t>
      </w:r>
      <w:r>
        <w:rPr>
          <w:color w:val="auto"/>
          <w:highlight w:val="none"/>
        </w:rPr>
        <w:tab/>
      </w:r>
      <w:r>
        <w:rPr>
          <w:color w:val="auto"/>
          <w:highlight w:val="none"/>
        </w:rPr>
        <w:fldChar w:fldCharType="begin"/>
      </w:r>
      <w:r>
        <w:rPr>
          <w:color w:val="auto"/>
          <w:highlight w:val="none"/>
        </w:rPr>
        <w:instrText xml:space="preserve"> PAGEREF _Toc15166 \h </w:instrText>
      </w:r>
      <w:r>
        <w:rPr>
          <w:color w:val="auto"/>
          <w:highlight w:val="none"/>
        </w:rPr>
        <w:fldChar w:fldCharType="separate"/>
      </w:r>
      <w:r>
        <w:rPr>
          <w:color w:val="auto"/>
          <w:highlight w:val="none"/>
        </w:rPr>
        <w:t>30</w:t>
      </w:r>
      <w:r>
        <w:rPr>
          <w:color w:val="auto"/>
          <w:highlight w:val="none"/>
        </w:rPr>
        <w:fldChar w:fldCharType="end"/>
      </w:r>
      <w:r>
        <w:rPr>
          <w:color w:val="auto"/>
          <w:highlight w:val="none"/>
        </w:rPr>
        <w:fldChar w:fldCharType="end"/>
      </w:r>
    </w:p>
    <w:p>
      <w:pPr>
        <w:pStyle w:val="17"/>
        <w:tabs>
          <w:tab w:val="right" w:leader="dot" w:pos="8902"/>
          <w:tab w:val="clear" w:pos="1418"/>
          <w:tab w:val="clear" w:pos="8302"/>
        </w:tabs>
        <w:rPr>
          <w:color w:val="auto"/>
          <w:highlight w:val="none"/>
        </w:rPr>
      </w:pPr>
      <w:r>
        <w:rPr>
          <w:color w:val="auto"/>
          <w:highlight w:val="none"/>
        </w:rPr>
        <w:fldChar w:fldCharType="begin"/>
      </w:r>
      <w:r>
        <w:rPr>
          <w:color w:val="auto"/>
          <w:highlight w:val="none"/>
        </w:rPr>
        <w:instrText xml:space="preserve"> HYPERLINK \l "_Toc23137" </w:instrText>
      </w:r>
      <w:r>
        <w:rPr>
          <w:color w:val="auto"/>
          <w:highlight w:val="none"/>
        </w:rPr>
        <w:fldChar w:fldCharType="separate"/>
      </w:r>
      <w:r>
        <w:rPr>
          <w:rFonts w:hint="eastAsia"/>
          <w:color w:val="auto"/>
          <w:highlight w:val="none"/>
        </w:rPr>
        <w:t>第五章  评标办法</w:t>
      </w:r>
      <w:r>
        <w:rPr>
          <w:color w:val="auto"/>
          <w:highlight w:val="none"/>
        </w:rPr>
        <w:tab/>
      </w:r>
      <w:r>
        <w:rPr>
          <w:color w:val="auto"/>
          <w:highlight w:val="none"/>
        </w:rPr>
        <w:fldChar w:fldCharType="begin"/>
      </w:r>
      <w:r>
        <w:rPr>
          <w:color w:val="auto"/>
          <w:highlight w:val="none"/>
        </w:rPr>
        <w:instrText xml:space="preserve"> PAGEREF _Toc23137 \h </w:instrText>
      </w:r>
      <w:r>
        <w:rPr>
          <w:color w:val="auto"/>
          <w:highlight w:val="none"/>
        </w:rPr>
        <w:fldChar w:fldCharType="separate"/>
      </w:r>
      <w:r>
        <w:rPr>
          <w:color w:val="auto"/>
          <w:highlight w:val="none"/>
        </w:rPr>
        <w:t>36</w:t>
      </w:r>
      <w:r>
        <w:rPr>
          <w:color w:val="auto"/>
          <w:highlight w:val="none"/>
        </w:rPr>
        <w:fldChar w:fldCharType="end"/>
      </w:r>
      <w:r>
        <w:rPr>
          <w:color w:val="auto"/>
          <w:highlight w:val="none"/>
        </w:rPr>
        <w:fldChar w:fldCharType="end"/>
      </w:r>
    </w:p>
    <w:p>
      <w:pPr>
        <w:pStyle w:val="17"/>
        <w:tabs>
          <w:tab w:val="right" w:leader="dot" w:pos="8902"/>
          <w:tab w:val="clear" w:pos="1418"/>
          <w:tab w:val="clear" w:pos="8302"/>
        </w:tabs>
        <w:rPr>
          <w:color w:val="auto"/>
          <w:highlight w:val="none"/>
        </w:rPr>
      </w:pPr>
      <w:r>
        <w:rPr>
          <w:color w:val="auto"/>
          <w:highlight w:val="none"/>
        </w:rPr>
        <w:fldChar w:fldCharType="begin"/>
      </w:r>
      <w:r>
        <w:rPr>
          <w:color w:val="auto"/>
          <w:highlight w:val="none"/>
        </w:rPr>
        <w:instrText xml:space="preserve"> HYPERLINK \l "_Toc22000" </w:instrText>
      </w:r>
      <w:r>
        <w:rPr>
          <w:color w:val="auto"/>
          <w:highlight w:val="none"/>
        </w:rPr>
        <w:fldChar w:fldCharType="separate"/>
      </w:r>
      <w:r>
        <w:rPr>
          <w:rFonts w:hint="eastAsia"/>
          <w:color w:val="auto"/>
          <w:highlight w:val="none"/>
        </w:rPr>
        <w:t>第六章  投标文件构成及格式</w:t>
      </w:r>
      <w:r>
        <w:rPr>
          <w:color w:val="auto"/>
          <w:highlight w:val="none"/>
        </w:rPr>
        <w:tab/>
      </w:r>
      <w:r>
        <w:rPr>
          <w:color w:val="auto"/>
          <w:highlight w:val="none"/>
        </w:rPr>
        <w:fldChar w:fldCharType="begin"/>
      </w:r>
      <w:r>
        <w:rPr>
          <w:color w:val="auto"/>
          <w:highlight w:val="none"/>
        </w:rPr>
        <w:instrText xml:space="preserve"> PAGEREF _Toc22000 \h </w:instrText>
      </w:r>
      <w:r>
        <w:rPr>
          <w:color w:val="auto"/>
          <w:highlight w:val="none"/>
        </w:rPr>
        <w:fldChar w:fldCharType="separate"/>
      </w:r>
      <w:r>
        <w:rPr>
          <w:color w:val="auto"/>
          <w:highlight w:val="none"/>
        </w:rPr>
        <w:t>45</w:t>
      </w:r>
      <w:r>
        <w:rPr>
          <w:color w:val="auto"/>
          <w:highlight w:val="none"/>
        </w:rPr>
        <w:fldChar w:fldCharType="end"/>
      </w:r>
      <w:r>
        <w:rPr>
          <w:color w:val="auto"/>
          <w:highlight w:val="none"/>
        </w:rPr>
        <w:fldChar w:fldCharType="end"/>
      </w:r>
    </w:p>
    <w:p>
      <w:pPr>
        <w:pStyle w:val="17"/>
        <w:spacing w:line="720" w:lineRule="auto"/>
        <w:rPr>
          <w:rFonts w:cs="宋体"/>
          <w:color w:val="auto"/>
          <w:highlight w:val="none"/>
        </w:rPr>
      </w:pPr>
      <w:r>
        <w:rPr>
          <w:rFonts w:hint="eastAsia" w:cs="宋体"/>
          <w:color w:val="auto"/>
          <w:highlight w:val="none"/>
        </w:rPr>
        <w:fldChar w:fldCharType="end"/>
      </w:r>
    </w:p>
    <w:p>
      <w:pPr>
        <w:tabs>
          <w:tab w:val="left" w:pos="525"/>
        </w:tabs>
        <w:spacing w:line="560" w:lineRule="exact"/>
        <w:jc w:val="center"/>
        <w:rPr>
          <w:rFonts w:hAnsi="宋体" w:cs="宋体"/>
          <w:color w:val="auto"/>
          <w:highlight w:val="none"/>
        </w:rPr>
        <w:sectPr>
          <w:headerReference r:id="rId8" w:type="first"/>
          <w:footerReference r:id="rId10" w:type="first"/>
          <w:headerReference r:id="rId7" w:type="default"/>
          <w:footerReference r:id="rId9" w:type="default"/>
          <w:pgSz w:w="11906" w:h="16838"/>
          <w:pgMar w:top="1417" w:right="1417" w:bottom="1417" w:left="1417" w:header="992" w:footer="992" w:gutter="170"/>
          <w:pgNumType w:start="1"/>
          <w:cols w:space="0" w:num="1"/>
          <w:docGrid w:type="lines" w:linePitch="333" w:charSpace="0"/>
        </w:sectPr>
      </w:pPr>
    </w:p>
    <w:bookmarkEnd w:id="0"/>
    <w:bookmarkEnd w:id="1"/>
    <w:bookmarkEnd w:id="2"/>
    <w:bookmarkEnd w:id="3"/>
    <w:bookmarkEnd w:id="4"/>
    <w:bookmarkEnd w:id="5"/>
    <w:bookmarkEnd w:id="6"/>
    <w:bookmarkEnd w:id="7"/>
    <w:p>
      <w:pPr>
        <w:pStyle w:val="3"/>
        <w:spacing w:before="333"/>
        <w:rPr>
          <w:color w:val="auto"/>
          <w:highlight w:val="none"/>
        </w:rPr>
      </w:pPr>
      <w:bookmarkStart w:id="11" w:name="_Toc9013"/>
      <w:bookmarkStart w:id="12" w:name="_Toc30205"/>
      <w:r>
        <w:rPr>
          <w:rFonts w:hint="eastAsia"/>
          <w:color w:val="auto"/>
          <w:highlight w:val="none"/>
        </w:rPr>
        <w:t>第一章  招标公告</w:t>
      </w:r>
      <w:bookmarkEnd w:id="11"/>
      <w:bookmarkEnd w:id="12"/>
    </w:p>
    <w:tbl>
      <w:tblPr>
        <w:tblStyle w:val="21"/>
        <w:tblW w:w="96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7" w:hRule="atLeast"/>
        </w:trPr>
        <w:tc>
          <w:tcPr>
            <w:tcW w:w="9640" w:type="dxa"/>
          </w:tcPr>
          <w:p>
            <w:pPr>
              <w:pStyle w:val="18"/>
              <w:spacing w:before="150" w:beforeAutospacing="0" w:after="150" w:afterAutospacing="0" w:line="480" w:lineRule="atLeast"/>
              <w:jc w:val="both"/>
              <w:rPr>
                <w:rStyle w:val="23"/>
                <w:rFonts w:hint="eastAsia" w:cs="宋体"/>
                <w:color w:val="auto"/>
                <w:highlight w:val="none"/>
                <w:shd w:val="clear" w:color="auto" w:fill="FFFFFF"/>
              </w:rPr>
            </w:pPr>
            <w:r>
              <w:rPr>
                <w:rStyle w:val="23"/>
                <w:rFonts w:hint="eastAsia" w:cs="宋体"/>
                <w:color w:val="auto"/>
                <w:highlight w:val="none"/>
                <w:shd w:val="clear" w:color="auto" w:fill="FFFFFF"/>
              </w:rPr>
              <w:t>项目概况</w:t>
            </w:r>
          </w:p>
          <w:p>
            <w:pPr>
              <w:pStyle w:val="18"/>
              <w:spacing w:before="150" w:beforeAutospacing="0" w:after="150" w:afterAutospacing="0" w:line="480" w:lineRule="atLeast"/>
              <w:ind w:firstLine="480"/>
              <w:jc w:val="both"/>
              <w:rPr>
                <w:rStyle w:val="23"/>
                <w:rFonts w:cs="宋体"/>
                <w:color w:val="auto"/>
                <w:highlight w:val="none"/>
                <w:shd w:val="clear" w:color="auto" w:fill="FFFFFF"/>
              </w:rPr>
            </w:pPr>
            <w:r>
              <w:rPr>
                <w:rStyle w:val="23"/>
                <w:rFonts w:hint="eastAsia" w:cs="宋体"/>
                <w:b w:val="0"/>
                <w:bCs w:val="0"/>
                <w:color w:val="auto"/>
                <w:highlight w:val="none"/>
                <w:shd w:val="clear" w:color="auto" w:fill="FFFFFF"/>
                <w:lang w:eastAsia="zh-CN"/>
              </w:rPr>
              <w:t>2023年图书采购项目</w:t>
            </w:r>
            <w:r>
              <w:rPr>
                <w:rStyle w:val="23"/>
                <w:rFonts w:hint="eastAsia" w:cs="宋体"/>
                <w:b w:val="0"/>
                <w:bCs w:val="0"/>
                <w:color w:val="auto"/>
                <w:highlight w:val="none"/>
                <w:shd w:val="clear" w:color="auto" w:fill="FFFFFF"/>
              </w:rPr>
              <w:t xml:space="preserve">招标项目的潜在投标人应在陕西省西安市雁塔区南二环东段凯森盛世一号A座4层408室获取招标文件，并于 </w:t>
            </w:r>
            <w:r>
              <w:rPr>
                <w:rStyle w:val="23"/>
                <w:rFonts w:hint="eastAsia" w:cs="宋体"/>
                <w:b w:val="0"/>
                <w:bCs w:val="0"/>
                <w:color w:val="auto"/>
                <w:highlight w:val="none"/>
                <w:shd w:val="clear" w:color="auto" w:fill="FFFFFF"/>
                <w:lang w:eastAsia="zh-CN"/>
              </w:rPr>
              <w:t>2023年</w:t>
            </w:r>
            <w:r>
              <w:rPr>
                <w:rStyle w:val="23"/>
                <w:rFonts w:hint="eastAsia" w:cs="宋体"/>
                <w:b w:val="0"/>
                <w:bCs w:val="0"/>
                <w:color w:val="auto"/>
                <w:highlight w:val="none"/>
                <w:shd w:val="clear" w:color="auto" w:fill="FFFFFF"/>
                <w:lang w:val="en-US" w:eastAsia="zh-CN"/>
              </w:rPr>
              <w:t>0</w:t>
            </w:r>
            <w:r>
              <w:rPr>
                <w:rStyle w:val="23"/>
                <w:rFonts w:hint="eastAsia" w:cs="宋体"/>
                <w:b w:val="0"/>
                <w:bCs w:val="0"/>
                <w:color w:val="auto"/>
                <w:highlight w:val="none"/>
                <w:shd w:val="clear" w:color="auto" w:fill="FFFFFF"/>
                <w:lang w:eastAsia="zh-CN"/>
              </w:rPr>
              <w:t>1月13日 15时00分</w:t>
            </w:r>
            <w:r>
              <w:rPr>
                <w:rStyle w:val="23"/>
                <w:rFonts w:hint="eastAsia" w:cs="宋体"/>
                <w:b w:val="0"/>
                <w:bCs w:val="0"/>
                <w:color w:val="auto"/>
                <w:highlight w:val="none"/>
                <w:shd w:val="clear" w:color="auto" w:fill="FFFFFF"/>
              </w:rPr>
              <w:t xml:space="preserve"> （北京时间）前递交投标文件。</w:t>
            </w:r>
          </w:p>
        </w:tc>
      </w:tr>
    </w:tbl>
    <w:p>
      <w:pPr>
        <w:pStyle w:val="18"/>
        <w:spacing w:before="0" w:beforeAutospacing="0" w:after="0" w:afterAutospacing="0" w:line="510" w:lineRule="atLeast"/>
        <w:rPr>
          <w:b/>
          <w:bCs/>
          <w:color w:val="auto"/>
          <w:highlight w:val="none"/>
        </w:rPr>
      </w:pPr>
      <w:r>
        <w:rPr>
          <w:b/>
          <w:bCs/>
          <w:color w:val="auto"/>
          <w:highlight w:val="none"/>
        </w:rPr>
        <w:t>一、项目基本情况：</w:t>
      </w:r>
    </w:p>
    <w:p>
      <w:pPr>
        <w:pStyle w:val="18"/>
        <w:spacing w:before="0" w:beforeAutospacing="0" w:after="0" w:afterAutospacing="0" w:line="510" w:lineRule="atLeast"/>
        <w:ind w:firstLine="420"/>
        <w:rPr>
          <w:rFonts w:hint="eastAsia" w:eastAsia="宋体"/>
          <w:color w:val="auto"/>
          <w:highlight w:val="none"/>
          <w:lang w:eastAsia="zh-CN"/>
        </w:rPr>
      </w:pPr>
      <w:r>
        <w:rPr>
          <w:color w:val="auto"/>
          <w:highlight w:val="none"/>
        </w:rPr>
        <w:t>项目编号：</w:t>
      </w:r>
      <w:r>
        <w:rPr>
          <w:rFonts w:hint="eastAsia"/>
          <w:color w:val="auto"/>
          <w:highlight w:val="none"/>
          <w:lang w:eastAsia="zh-CN"/>
        </w:rPr>
        <w:t>ZHZB-2022-GK-12112</w:t>
      </w:r>
    </w:p>
    <w:p>
      <w:pPr>
        <w:pStyle w:val="18"/>
        <w:spacing w:before="0" w:beforeAutospacing="0" w:after="0" w:afterAutospacing="0" w:line="510" w:lineRule="atLeast"/>
        <w:ind w:firstLine="420"/>
        <w:rPr>
          <w:rFonts w:hint="eastAsia"/>
          <w:color w:val="auto"/>
          <w:highlight w:val="none"/>
          <w:lang w:eastAsia="zh-CN"/>
        </w:rPr>
      </w:pPr>
      <w:r>
        <w:rPr>
          <w:color w:val="auto"/>
          <w:highlight w:val="none"/>
        </w:rPr>
        <w:t>项目名称：</w:t>
      </w:r>
      <w:r>
        <w:rPr>
          <w:rFonts w:hint="eastAsia"/>
          <w:color w:val="auto"/>
          <w:highlight w:val="none"/>
          <w:lang w:eastAsia="zh-CN"/>
        </w:rPr>
        <w:t>西安美术学院2023年图书采购项目</w:t>
      </w:r>
    </w:p>
    <w:p>
      <w:pPr>
        <w:pStyle w:val="18"/>
        <w:spacing w:before="0" w:beforeAutospacing="0" w:after="0" w:afterAutospacing="0" w:line="510" w:lineRule="atLeast"/>
        <w:ind w:firstLine="420"/>
        <w:rPr>
          <w:rFonts w:hint="eastAsia" w:ascii="宋体" w:hAnsi="宋体" w:eastAsia="宋体" w:cs="宋体"/>
          <w:i w:val="0"/>
          <w:caps w:val="0"/>
          <w:color w:val="auto"/>
          <w:spacing w:val="0"/>
          <w:sz w:val="24"/>
          <w:szCs w:val="24"/>
          <w:highlight w:val="none"/>
          <w:shd w:val="clear" w:fill="FFFFFF"/>
          <w:vertAlign w:val="baseline"/>
        </w:rPr>
      </w:pPr>
      <w:r>
        <w:rPr>
          <w:rFonts w:hint="eastAsia" w:ascii="宋体" w:hAnsi="宋体" w:eastAsia="宋体" w:cs="宋体"/>
          <w:i w:val="0"/>
          <w:caps w:val="0"/>
          <w:color w:val="auto"/>
          <w:spacing w:val="0"/>
          <w:sz w:val="24"/>
          <w:szCs w:val="24"/>
          <w:highlight w:val="none"/>
          <w:shd w:val="clear" w:fill="FFFFFF"/>
          <w:vertAlign w:val="baseline"/>
        </w:rPr>
        <w:t>采购方式：公开招标</w:t>
      </w:r>
    </w:p>
    <w:p>
      <w:pPr>
        <w:pStyle w:val="18"/>
        <w:spacing w:before="0" w:beforeAutospacing="0" w:after="0" w:afterAutospacing="0" w:line="510" w:lineRule="atLeast"/>
        <w:ind w:firstLine="420"/>
        <w:rPr>
          <w:color w:val="auto"/>
          <w:highlight w:val="none"/>
        </w:rPr>
      </w:pPr>
      <w:r>
        <w:rPr>
          <w:color w:val="auto"/>
          <w:highlight w:val="none"/>
        </w:rPr>
        <w:t>预算金额：</w:t>
      </w:r>
      <w:r>
        <w:rPr>
          <w:rFonts w:hint="eastAsia"/>
          <w:color w:val="auto"/>
          <w:highlight w:val="none"/>
          <w:lang w:val="en-US" w:eastAsia="zh-CN"/>
        </w:rPr>
        <w:t>1200000.00</w:t>
      </w:r>
      <w:r>
        <w:rPr>
          <w:rFonts w:hint="eastAsia"/>
          <w:color w:val="auto"/>
          <w:highlight w:val="none"/>
        </w:rPr>
        <w:t>元</w:t>
      </w:r>
    </w:p>
    <w:p>
      <w:pPr>
        <w:pStyle w:val="18"/>
        <w:spacing w:before="0" w:beforeAutospacing="0" w:after="0" w:afterAutospacing="0" w:line="510" w:lineRule="atLeast"/>
        <w:ind w:firstLine="420"/>
        <w:rPr>
          <w:color w:val="auto"/>
          <w:highlight w:val="none"/>
        </w:rPr>
      </w:pPr>
      <w:r>
        <w:rPr>
          <w:color w:val="auto"/>
          <w:highlight w:val="none"/>
        </w:rPr>
        <w:t xml:space="preserve">采购需求： </w:t>
      </w:r>
    </w:p>
    <w:p>
      <w:pPr>
        <w:pStyle w:val="18"/>
        <w:spacing w:before="0" w:beforeAutospacing="0" w:after="0" w:afterAutospacing="0" w:line="510" w:lineRule="atLeast"/>
        <w:ind w:firstLine="420"/>
        <w:rPr>
          <w:rFonts w:hint="eastAsia"/>
          <w:color w:val="auto"/>
          <w:highlight w:val="none"/>
        </w:rPr>
      </w:pPr>
      <w:r>
        <w:rPr>
          <w:rFonts w:hint="eastAsia"/>
          <w:color w:val="auto"/>
          <w:highlight w:val="none"/>
        </w:rPr>
        <w:t>合同包1(</w:t>
      </w:r>
      <w:r>
        <w:rPr>
          <w:rFonts w:hint="eastAsia"/>
          <w:color w:val="auto"/>
          <w:highlight w:val="none"/>
          <w:lang w:eastAsia="zh-CN"/>
        </w:rPr>
        <w:t>中版美术图书文献</w:t>
      </w:r>
      <w:r>
        <w:rPr>
          <w:rFonts w:hint="eastAsia"/>
          <w:color w:val="auto"/>
          <w:highlight w:val="none"/>
        </w:rPr>
        <w:t>):</w:t>
      </w:r>
    </w:p>
    <w:p>
      <w:pPr>
        <w:pStyle w:val="18"/>
        <w:spacing w:before="0" w:beforeAutospacing="0" w:after="0" w:afterAutospacing="0" w:line="510" w:lineRule="atLeast"/>
        <w:ind w:firstLine="420"/>
        <w:rPr>
          <w:rFonts w:hint="eastAsia"/>
          <w:color w:val="auto"/>
          <w:highlight w:val="none"/>
        </w:rPr>
      </w:pPr>
      <w:r>
        <w:rPr>
          <w:rFonts w:hint="eastAsia"/>
          <w:color w:val="auto"/>
          <w:highlight w:val="none"/>
        </w:rPr>
        <w:t>合同包预算金额：</w:t>
      </w:r>
      <w:r>
        <w:rPr>
          <w:rFonts w:hint="eastAsia"/>
          <w:color w:val="auto"/>
          <w:highlight w:val="none"/>
          <w:lang w:eastAsia="zh-CN"/>
        </w:rPr>
        <w:t>700,000.00</w:t>
      </w:r>
      <w:r>
        <w:rPr>
          <w:rFonts w:hint="eastAsia"/>
          <w:color w:val="auto"/>
          <w:highlight w:val="none"/>
        </w:rPr>
        <w:t>元</w:t>
      </w:r>
    </w:p>
    <w:p>
      <w:pPr>
        <w:pStyle w:val="18"/>
        <w:spacing w:before="0" w:beforeAutospacing="0" w:after="0" w:afterAutospacing="0" w:line="510" w:lineRule="atLeast"/>
        <w:ind w:firstLine="420"/>
        <w:rPr>
          <w:rFonts w:hint="eastAsia"/>
          <w:color w:val="auto"/>
          <w:highlight w:val="none"/>
        </w:rPr>
      </w:pPr>
      <w:r>
        <w:rPr>
          <w:rFonts w:hint="eastAsia"/>
          <w:color w:val="auto"/>
          <w:highlight w:val="none"/>
        </w:rPr>
        <w:t>合同包最高限价：</w:t>
      </w:r>
      <w:r>
        <w:rPr>
          <w:rFonts w:hint="eastAsia"/>
          <w:color w:val="auto"/>
          <w:highlight w:val="none"/>
          <w:lang w:eastAsia="zh-CN"/>
        </w:rPr>
        <w:t>700,000.00</w:t>
      </w:r>
      <w:r>
        <w:rPr>
          <w:rFonts w:hint="eastAsia"/>
          <w:color w:val="auto"/>
          <w:highlight w:val="none"/>
        </w:rPr>
        <w:t>元</w:t>
      </w:r>
    </w:p>
    <w:tbl>
      <w:tblPr>
        <w:tblStyle w:val="20"/>
        <w:tblW w:w="995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864"/>
        <w:gridCol w:w="1082"/>
        <w:gridCol w:w="2235"/>
        <w:gridCol w:w="1233"/>
        <w:gridCol w:w="1383"/>
        <w:gridCol w:w="1584"/>
        <w:gridCol w:w="15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28" w:hRule="atLeast"/>
          <w:tblHeader/>
          <w:jc w:val="center"/>
        </w:trPr>
        <w:tc>
          <w:tcPr>
            <w:tcW w:w="86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shd w:val="clear"/>
              <w:wordWrap w:val="0"/>
              <w:spacing w:before="0" w:beforeAutospacing="0" w:after="0" w:afterAutospacing="0" w:line="240" w:lineRule="auto"/>
              <w:ind w:left="0" w:right="0"/>
              <w:jc w:val="center"/>
              <w:textAlignment w:val="center"/>
              <w:rPr>
                <w:rFonts w:hint="eastAsia" w:ascii="宋体" w:hAnsi="宋体" w:eastAsia="宋体" w:cs="宋体"/>
                <w:b/>
                <w:color w:val="auto"/>
                <w:sz w:val="21"/>
                <w:szCs w:val="21"/>
                <w:highlight w:val="none"/>
              </w:rPr>
            </w:pPr>
            <w:r>
              <w:rPr>
                <w:rFonts w:hint="eastAsia" w:ascii="宋体" w:hAnsi="宋体" w:eastAsia="宋体" w:cs="宋体"/>
                <w:b/>
                <w:color w:val="auto"/>
                <w:kern w:val="0"/>
                <w:sz w:val="21"/>
                <w:szCs w:val="21"/>
                <w:highlight w:val="none"/>
                <w:lang w:val="en-US" w:eastAsia="zh-CN" w:bidi="ar"/>
              </w:rPr>
              <w:t>品目号</w:t>
            </w:r>
          </w:p>
        </w:tc>
        <w:tc>
          <w:tcPr>
            <w:tcW w:w="108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shd w:val="clear"/>
              <w:wordWrap w:val="0"/>
              <w:spacing w:before="0" w:beforeAutospacing="0" w:after="0" w:afterAutospacing="0" w:line="240" w:lineRule="auto"/>
              <w:ind w:left="0" w:right="0"/>
              <w:jc w:val="center"/>
              <w:textAlignment w:val="center"/>
              <w:rPr>
                <w:rFonts w:hint="eastAsia" w:ascii="宋体" w:hAnsi="宋体" w:eastAsia="宋体" w:cs="宋体"/>
                <w:b/>
                <w:color w:val="auto"/>
                <w:sz w:val="21"/>
                <w:szCs w:val="21"/>
                <w:highlight w:val="none"/>
              </w:rPr>
            </w:pPr>
            <w:r>
              <w:rPr>
                <w:rFonts w:hint="eastAsia" w:ascii="宋体" w:hAnsi="宋体" w:eastAsia="宋体" w:cs="宋体"/>
                <w:b/>
                <w:color w:val="auto"/>
                <w:kern w:val="0"/>
                <w:sz w:val="21"/>
                <w:szCs w:val="21"/>
                <w:highlight w:val="none"/>
                <w:lang w:val="en-US" w:eastAsia="zh-CN" w:bidi="ar"/>
              </w:rPr>
              <w:t>品目名称</w:t>
            </w:r>
          </w:p>
        </w:tc>
        <w:tc>
          <w:tcPr>
            <w:tcW w:w="223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shd w:val="clear"/>
              <w:wordWrap w:val="0"/>
              <w:spacing w:before="0" w:beforeAutospacing="0" w:after="0" w:afterAutospacing="0" w:line="240" w:lineRule="auto"/>
              <w:ind w:left="0" w:right="0"/>
              <w:jc w:val="center"/>
              <w:textAlignment w:val="center"/>
              <w:rPr>
                <w:rFonts w:hint="eastAsia" w:ascii="宋体" w:hAnsi="宋体" w:eastAsia="宋体" w:cs="宋体"/>
                <w:b/>
                <w:color w:val="auto"/>
                <w:sz w:val="21"/>
                <w:szCs w:val="21"/>
                <w:highlight w:val="none"/>
              </w:rPr>
            </w:pPr>
            <w:r>
              <w:rPr>
                <w:rFonts w:hint="eastAsia" w:ascii="宋体" w:hAnsi="宋体" w:eastAsia="宋体" w:cs="宋体"/>
                <w:b/>
                <w:color w:val="auto"/>
                <w:kern w:val="0"/>
                <w:sz w:val="21"/>
                <w:szCs w:val="21"/>
                <w:highlight w:val="none"/>
                <w:lang w:val="en-US" w:eastAsia="zh-CN" w:bidi="ar"/>
              </w:rPr>
              <w:t>采购标的</w:t>
            </w:r>
          </w:p>
        </w:tc>
        <w:tc>
          <w:tcPr>
            <w:tcW w:w="123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shd w:val="clear"/>
              <w:wordWrap w:val="0"/>
              <w:spacing w:before="0" w:beforeAutospacing="0" w:after="0" w:afterAutospacing="0" w:line="240" w:lineRule="auto"/>
              <w:ind w:left="0" w:right="0"/>
              <w:jc w:val="center"/>
              <w:textAlignment w:val="center"/>
              <w:rPr>
                <w:rFonts w:hint="eastAsia" w:ascii="宋体" w:hAnsi="宋体" w:eastAsia="宋体" w:cs="宋体"/>
                <w:b/>
                <w:color w:val="auto"/>
                <w:sz w:val="21"/>
                <w:szCs w:val="21"/>
                <w:highlight w:val="none"/>
              </w:rPr>
            </w:pPr>
            <w:r>
              <w:rPr>
                <w:rFonts w:hint="eastAsia" w:ascii="宋体" w:hAnsi="宋体" w:eastAsia="宋体" w:cs="宋体"/>
                <w:b/>
                <w:color w:val="auto"/>
                <w:kern w:val="0"/>
                <w:sz w:val="21"/>
                <w:szCs w:val="21"/>
                <w:highlight w:val="none"/>
                <w:lang w:val="en-US" w:eastAsia="zh-CN" w:bidi="ar"/>
              </w:rPr>
              <w:t>数量（单位）</w:t>
            </w:r>
          </w:p>
        </w:tc>
        <w:tc>
          <w:tcPr>
            <w:tcW w:w="138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shd w:val="clear"/>
              <w:wordWrap w:val="0"/>
              <w:spacing w:before="0" w:beforeAutospacing="0" w:after="0" w:afterAutospacing="0" w:line="240" w:lineRule="auto"/>
              <w:ind w:left="0" w:right="0"/>
              <w:jc w:val="center"/>
              <w:textAlignment w:val="center"/>
              <w:rPr>
                <w:rFonts w:hint="eastAsia" w:ascii="宋体" w:hAnsi="宋体" w:eastAsia="宋体" w:cs="宋体"/>
                <w:b/>
                <w:color w:val="auto"/>
                <w:sz w:val="21"/>
                <w:szCs w:val="21"/>
                <w:highlight w:val="none"/>
              </w:rPr>
            </w:pPr>
            <w:r>
              <w:rPr>
                <w:rFonts w:hint="eastAsia" w:ascii="宋体" w:hAnsi="宋体" w:eastAsia="宋体" w:cs="宋体"/>
                <w:b/>
                <w:color w:val="auto"/>
                <w:kern w:val="0"/>
                <w:sz w:val="21"/>
                <w:szCs w:val="21"/>
                <w:highlight w:val="none"/>
                <w:lang w:val="en-US" w:eastAsia="zh-CN" w:bidi="ar"/>
              </w:rPr>
              <w:t>技术规格、参数及要求</w:t>
            </w:r>
          </w:p>
        </w:tc>
        <w:tc>
          <w:tcPr>
            <w:tcW w:w="158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shd w:val="clear"/>
              <w:wordWrap w:val="0"/>
              <w:spacing w:before="0" w:beforeAutospacing="0" w:after="0" w:afterAutospacing="0" w:line="240" w:lineRule="auto"/>
              <w:ind w:left="0" w:right="0"/>
              <w:jc w:val="center"/>
              <w:textAlignment w:val="center"/>
              <w:rPr>
                <w:rFonts w:hint="eastAsia" w:ascii="宋体" w:hAnsi="宋体" w:eastAsia="宋体" w:cs="宋体"/>
                <w:b/>
                <w:color w:val="auto"/>
                <w:sz w:val="21"/>
                <w:szCs w:val="21"/>
                <w:highlight w:val="none"/>
              </w:rPr>
            </w:pPr>
            <w:r>
              <w:rPr>
                <w:rFonts w:hint="eastAsia" w:ascii="宋体" w:hAnsi="宋体" w:eastAsia="宋体" w:cs="宋体"/>
                <w:b/>
                <w:color w:val="auto"/>
                <w:kern w:val="0"/>
                <w:sz w:val="21"/>
                <w:szCs w:val="21"/>
                <w:highlight w:val="none"/>
                <w:lang w:val="en-US" w:eastAsia="zh-CN" w:bidi="ar"/>
              </w:rPr>
              <w:t>品目预算(元)</w:t>
            </w:r>
          </w:p>
        </w:tc>
        <w:tc>
          <w:tcPr>
            <w:tcW w:w="157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shd w:val="clear"/>
              <w:wordWrap w:val="0"/>
              <w:spacing w:before="0" w:beforeAutospacing="0" w:after="0" w:afterAutospacing="0" w:line="240" w:lineRule="auto"/>
              <w:ind w:left="0" w:right="0"/>
              <w:jc w:val="center"/>
              <w:textAlignment w:val="center"/>
              <w:rPr>
                <w:rFonts w:hint="eastAsia" w:ascii="宋体" w:hAnsi="宋体" w:eastAsia="宋体" w:cs="宋体"/>
                <w:b/>
                <w:color w:val="auto"/>
                <w:sz w:val="21"/>
                <w:szCs w:val="21"/>
                <w:highlight w:val="none"/>
              </w:rPr>
            </w:pPr>
            <w:r>
              <w:rPr>
                <w:rFonts w:hint="eastAsia" w:ascii="宋体" w:hAnsi="宋体" w:eastAsia="宋体" w:cs="宋体"/>
                <w:b/>
                <w:color w:val="auto"/>
                <w:kern w:val="0"/>
                <w:sz w:val="21"/>
                <w:szCs w:val="21"/>
                <w:highlight w:val="none"/>
                <w:lang w:val="en-US" w:eastAsia="zh-CN" w:bidi="ar"/>
              </w:rPr>
              <w:t>最高限价(元)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jc w:val="center"/>
        </w:trPr>
        <w:tc>
          <w:tcPr>
            <w:tcW w:w="86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shd w:val="clear"/>
              <w:wordWrap w:val="0"/>
              <w:spacing w:before="0" w:beforeAutospacing="0" w:after="0" w:afterAutospacing="0" w:line="240" w:lineRule="auto"/>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1-1</w:t>
            </w:r>
          </w:p>
        </w:tc>
        <w:tc>
          <w:tcPr>
            <w:tcW w:w="108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shd w:val="clear"/>
              <w:wordWrap w:val="0"/>
              <w:spacing w:before="0" w:beforeAutospacing="0" w:after="0" w:afterAutospacing="0" w:line="240" w:lineRule="auto"/>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百科全书</w:t>
            </w:r>
          </w:p>
        </w:tc>
        <w:tc>
          <w:tcPr>
            <w:tcW w:w="223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shd w:val="clear"/>
              <w:wordWrap w:val="0"/>
              <w:spacing w:before="0" w:beforeAutospacing="0" w:after="0" w:afterAutospacing="0" w:line="240" w:lineRule="auto"/>
              <w:ind w:left="0" w:right="0"/>
              <w:jc w:val="center"/>
              <w:textAlignment w:val="center"/>
              <w:rPr>
                <w:rFonts w:hint="default" w:ascii="宋体" w:hAnsi="宋体" w:eastAsia="宋体" w:cs="宋体"/>
                <w:color w:val="auto"/>
                <w:sz w:val="21"/>
                <w:szCs w:val="21"/>
                <w:highlight w:val="none"/>
                <w:lang w:val="en-US" w:eastAsia="zh-CN"/>
              </w:rPr>
            </w:pPr>
            <w:r>
              <w:rPr>
                <w:rFonts w:hint="eastAsia" w:hAnsi="宋体" w:cs="宋体"/>
                <w:color w:val="auto"/>
                <w:sz w:val="21"/>
                <w:szCs w:val="21"/>
                <w:highlight w:val="none"/>
                <w:lang w:val="en-US" w:eastAsia="zh-CN"/>
              </w:rPr>
              <w:t>700000</w:t>
            </w:r>
          </w:p>
        </w:tc>
        <w:tc>
          <w:tcPr>
            <w:tcW w:w="123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shd w:val="clear"/>
              <w:wordWrap w:val="0"/>
              <w:spacing w:before="0" w:beforeAutospacing="0" w:after="0" w:afterAutospacing="0" w:line="240" w:lineRule="auto"/>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1(批)</w:t>
            </w:r>
          </w:p>
        </w:tc>
        <w:tc>
          <w:tcPr>
            <w:tcW w:w="138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shd w:val="clear"/>
              <w:wordWrap w:val="0"/>
              <w:spacing w:before="0" w:beforeAutospacing="0" w:after="0" w:afterAutospacing="0" w:line="240" w:lineRule="auto"/>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详见采购文件</w:t>
            </w:r>
          </w:p>
        </w:tc>
        <w:tc>
          <w:tcPr>
            <w:tcW w:w="158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shd w:val="clear"/>
              <w:wordWrap/>
              <w:spacing w:before="0" w:beforeAutospacing="0" w:after="0" w:afterAutospacing="0" w:line="240" w:lineRule="auto"/>
              <w:ind w:left="0" w:right="0"/>
              <w:jc w:val="righ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vertAlign w:val="baseline"/>
                <w:lang w:val="en-US" w:eastAsia="zh-CN" w:bidi="ar"/>
              </w:rPr>
              <w:t>700,000.00</w:t>
            </w:r>
          </w:p>
        </w:tc>
        <w:tc>
          <w:tcPr>
            <w:tcW w:w="157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shd w:val="clear"/>
              <w:wordWrap/>
              <w:spacing w:before="0" w:beforeAutospacing="0" w:after="0" w:afterAutospacing="0" w:line="240" w:lineRule="auto"/>
              <w:ind w:left="0" w:right="0"/>
              <w:jc w:val="righ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vertAlign w:val="baseline"/>
                <w:lang w:val="en-US" w:eastAsia="zh-CN" w:bidi="ar"/>
              </w:rPr>
              <w:t>700,000.00</w:t>
            </w:r>
          </w:p>
        </w:tc>
      </w:tr>
    </w:tbl>
    <w:p>
      <w:pPr>
        <w:pStyle w:val="18"/>
        <w:spacing w:before="0" w:beforeAutospacing="0" w:after="0" w:afterAutospacing="0" w:line="510" w:lineRule="atLeast"/>
        <w:ind w:firstLine="420"/>
        <w:rPr>
          <w:rFonts w:hint="eastAsia"/>
          <w:color w:val="auto"/>
          <w:highlight w:val="none"/>
        </w:rPr>
      </w:pPr>
      <w:r>
        <w:rPr>
          <w:rFonts w:hint="eastAsia"/>
          <w:color w:val="auto"/>
          <w:highlight w:val="none"/>
        </w:rPr>
        <w:t>本合同包不接受联合体投标</w:t>
      </w:r>
    </w:p>
    <w:p>
      <w:pPr>
        <w:pStyle w:val="18"/>
        <w:spacing w:before="0" w:beforeAutospacing="0" w:after="0" w:afterAutospacing="0" w:line="510" w:lineRule="atLeast"/>
        <w:ind w:firstLine="420"/>
        <w:rPr>
          <w:rFonts w:hint="eastAsia" w:eastAsia="宋体"/>
          <w:color w:val="auto"/>
          <w:highlight w:val="none"/>
          <w:lang w:eastAsia="zh-CN"/>
        </w:rPr>
      </w:pPr>
      <w:r>
        <w:rPr>
          <w:rFonts w:hint="eastAsia"/>
          <w:color w:val="auto"/>
          <w:highlight w:val="none"/>
        </w:rPr>
        <w:t>合同履行期限：</w:t>
      </w:r>
      <w:r>
        <w:rPr>
          <w:rFonts w:hint="eastAsia"/>
          <w:color w:val="auto"/>
          <w:highlight w:val="none"/>
          <w:lang w:eastAsia="zh-CN"/>
        </w:rPr>
        <w:t>2023年</w:t>
      </w:r>
    </w:p>
    <w:p>
      <w:pPr>
        <w:pStyle w:val="18"/>
        <w:spacing w:before="0" w:beforeAutospacing="0" w:after="0" w:afterAutospacing="0" w:line="510" w:lineRule="atLeast"/>
        <w:ind w:firstLine="420"/>
        <w:rPr>
          <w:rFonts w:hint="eastAsia"/>
          <w:color w:val="auto"/>
          <w:highlight w:val="none"/>
        </w:rPr>
      </w:pPr>
      <w:r>
        <w:rPr>
          <w:rFonts w:hint="eastAsia"/>
          <w:color w:val="auto"/>
          <w:highlight w:val="none"/>
        </w:rPr>
        <w:t>合同包2(</w:t>
      </w:r>
      <w:r>
        <w:rPr>
          <w:rFonts w:hint="eastAsia"/>
          <w:color w:val="auto"/>
          <w:highlight w:val="none"/>
          <w:lang w:eastAsia="zh-CN"/>
        </w:rPr>
        <w:t>中版社科类图书文献</w:t>
      </w:r>
      <w:r>
        <w:rPr>
          <w:rFonts w:hint="eastAsia"/>
          <w:color w:val="auto"/>
          <w:highlight w:val="none"/>
        </w:rPr>
        <w:t>):</w:t>
      </w:r>
    </w:p>
    <w:p>
      <w:pPr>
        <w:pStyle w:val="18"/>
        <w:spacing w:before="0" w:beforeAutospacing="0" w:after="0" w:afterAutospacing="0" w:line="510" w:lineRule="atLeast"/>
        <w:ind w:firstLine="420"/>
        <w:rPr>
          <w:rFonts w:hint="eastAsia"/>
          <w:color w:val="auto"/>
          <w:highlight w:val="none"/>
        </w:rPr>
      </w:pPr>
      <w:r>
        <w:rPr>
          <w:rFonts w:hint="eastAsia"/>
          <w:color w:val="auto"/>
          <w:highlight w:val="none"/>
        </w:rPr>
        <w:t>合同包预算金额：</w:t>
      </w:r>
      <w:r>
        <w:rPr>
          <w:rFonts w:hint="eastAsia"/>
          <w:color w:val="auto"/>
          <w:highlight w:val="none"/>
          <w:lang w:eastAsia="zh-CN"/>
        </w:rPr>
        <w:t>500,000.00</w:t>
      </w:r>
      <w:r>
        <w:rPr>
          <w:rFonts w:hint="eastAsia"/>
          <w:color w:val="auto"/>
          <w:highlight w:val="none"/>
        </w:rPr>
        <w:t>元</w:t>
      </w:r>
    </w:p>
    <w:p>
      <w:pPr>
        <w:pStyle w:val="18"/>
        <w:spacing w:before="0" w:beforeAutospacing="0" w:after="0" w:afterAutospacing="0" w:line="510" w:lineRule="atLeast"/>
        <w:ind w:firstLine="420"/>
        <w:rPr>
          <w:rFonts w:hint="eastAsia"/>
          <w:color w:val="auto"/>
          <w:highlight w:val="none"/>
        </w:rPr>
      </w:pPr>
      <w:r>
        <w:rPr>
          <w:rFonts w:hint="eastAsia"/>
          <w:color w:val="auto"/>
          <w:highlight w:val="none"/>
        </w:rPr>
        <w:t>合同包最高限价：</w:t>
      </w:r>
      <w:r>
        <w:rPr>
          <w:rFonts w:hint="eastAsia"/>
          <w:color w:val="auto"/>
          <w:highlight w:val="none"/>
          <w:lang w:eastAsia="zh-CN"/>
        </w:rPr>
        <w:t>500,000.00</w:t>
      </w:r>
      <w:r>
        <w:rPr>
          <w:rFonts w:hint="eastAsia"/>
          <w:color w:val="auto"/>
          <w:highlight w:val="none"/>
        </w:rPr>
        <w:t>元</w:t>
      </w:r>
    </w:p>
    <w:tbl>
      <w:tblPr>
        <w:tblStyle w:val="20"/>
        <w:tblW w:w="1011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000"/>
        <w:gridCol w:w="1701"/>
        <w:gridCol w:w="1705"/>
        <w:gridCol w:w="1030"/>
        <w:gridCol w:w="1721"/>
        <w:gridCol w:w="1480"/>
        <w:gridCol w:w="14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34" w:hRule="atLeast"/>
          <w:tblHeader/>
          <w:jc w:val="center"/>
        </w:trPr>
        <w:tc>
          <w:tcPr>
            <w:tcW w:w="100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shd w:val="clear"/>
              <w:wordWrap w:val="0"/>
              <w:spacing w:before="0" w:beforeAutospacing="0" w:after="0" w:afterAutospacing="0" w:line="360" w:lineRule="auto"/>
              <w:ind w:left="0" w:right="0"/>
              <w:jc w:val="center"/>
              <w:textAlignment w:val="center"/>
              <w:rPr>
                <w:rFonts w:hint="eastAsia" w:ascii="宋体" w:hAnsi="宋体" w:eastAsia="宋体" w:cs="宋体"/>
                <w:b/>
                <w:color w:val="auto"/>
                <w:sz w:val="21"/>
                <w:szCs w:val="21"/>
                <w:highlight w:val="none"/>
              </w:rPr>
            </w:pPr>
            <w:r>
              <w:rPr>
                <w:rFonts w:hint="eastAsia" w:ascii="宋体" w:hAnsi="宋体" w:eastAsia="宋体" w:cs="宋体"/>
                <w:b/>
                <w:color w:val="auto"/>
                <w:kern w:val="0"/>
                <w:sz w:val="21"/>
                <w:szCs w:val="21"/>
                <w:highlight w:val="none"/>
                <w:lang w:val="en-US" w:eastAsia="zh-CN" w:bidi="ar"/>
              </w:rPr>
              <w:t>品目号</w:t>
            </w:r>
          </w:p>
        </w:tc>
        <w:tc>
          <w:tcPr>
            <w:tcW w:w="170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shd w:val="clear"/>
              <w:wordWrap w:val="0"/>
              <w:spacing w:before="0" w:beforeAutospacing="0" w:after="0" w:afterAutospacing="0" w:line="360" w:lineRule="auto"/>
              <w:ind w:left="0" w:right="0"/>
              <w:jc w:val="center"/>
              <w:textAlignment w:val="center"/>
              <w:rPr>
                <w:rFonts w:hint="eastAsia" w:ascii="宋体" w:hAnsi="宋体" w:eastAsia="宋体" w:cs="宋体"/>
                <w:b/>
                <w:color w:val="auto"/>
                <w:sz w:val="21"/>
                <w:szCs w:val="21"/>
                <w:highlight w:val="none"/>
              </w:rPr>
            </w:pPr>
            <w:r>
              <w:rPr>
                <w:rFonts w:hint="eastAsia" w:ascii="宋体" w:hAnsi="宋体" w:eastAsia="宋体" w:cs="宋体"/>
                <w:b/>
                <w:color w:val="auto"/>
                <w:kern w:val="0"/>
                <w:sz w:val="21"/>
                <w:szCs w:val="21"/>
                <w:highlight w:val="none"/>
                <w:lang w:val="en-US" w:eastAsia="zh-CN" w:bidi="ar"/>
              </w:rPr>
              <w:t>品目名称</w:t>
            </w:r>
          </w:p>
        </w:tc>
        <w:tc>
          <w:tcPr>
            <w:tcW w:w="170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shd w:val="clear"/>
              <w:wordWrap w:val="0"/>
              <w:spacing w:before="0" w:beforeAutospacing="0" w:after="0" w:afterAutospacing="0" w:line="360" w:lineRule="auto"/>
              <w:ind w:left="0" w:right="0"/>
              <w:jc w:val="center"/>
              <w:textAlignment w:val="center"/>
              <w:rPr>
                <w:rFonts w:hint="eastAsia" w:ascii="宋体" w:hAnsi="宋体" w:eastAsia="宋体" w:cs="宋体"/>
                <w:b/>
                <w:color w:val="auto"/>
                <w:sz w:val="21"/>
                <w:szCs w:val="21"/>
                <w:highlight w:val="none"/>
              </w:rPr>
            </w:pPr>
            <w:r>
              <w:rPr>
                <w:rFonts w:hint="eastAsia" w:ascii="宋体" w:hAnsi="宋体" w:eastAsia="宋体" w:cs="宋体"/>
                <w:b/>
                <w:color w:val="auto"/>
                <w:kern w:val="0"/>
                <w:sz w:val="21"/>
                <w:szCs w:val="21"/>
                <w:highlight w:val="none"/>
                <w:lang w:val="en-US" w:eastAsia="zh-CN" w:bidi="ar"/>
              </w:rPr>
              <w:t>采购标的</w:t>
            </w:r>
          </w:p>
        </w:tc>
        <w:tc>
          <w:tcPr>
            <w:tcW w:w="103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shd w:val="clear"/>
              <w:wordWrap w:val="0"/>
              <w:spacing w:before="0" w:beforeAutospacing="0" w:after="0" w:afterAutospacing="0" w:line="360" w:lineRule="auto"/>
              <w:ind w:left="0" w:right="0"/>
              <w:jc w:val="center"/>
              <w:textAlignment w:val="center"/>
              <w:rPr>
                <w:rFonts w:hint="eastAsia" w:ascii="宋体" w:hAnsi="宋体" w:eastAsia="宋体" w:cs="宋体"/>
                <w:b/>
                <w:color w:val="auto"/>
                <w:sz w:val="21"/>
                <w:szCs w:val="21"/>
                <w:highlight w:val="none"/>
              </w:rPr>
            </w:pPr>
            <w:r>
              <w:rPr>
                <w:rFonts w:hint="eastAsia" w:ascii="宋体" w:hAnsi="宋体" w:eastAsia="宋体" w:cs="宋体"/>
                <w:b/>
                <w:color w:val="auto"/>
                <w:kern w:val="0"/>
                <w:sz w:val="21"/>
                <w:szCs w:val="21"/>
                <w:highlight w:val="none"/>
                <w:lang w:val="en-US" w:eastAsia="zh-CN" w:bidi="ar"/>
              </w:rPr>
              <w:t>数量（单位）</w:t>
            </w:r>
          </w:p>
        </w:tc>
        <w:tc>
          <w:tcPr>
            <w:tcW w:w="172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shd w:val="clear"/>
              <w:wordWrap w:val="0"/>
              <w:spacing w:before="0" w:beforeAutospacing="0" w:after="0" w:afterAutospacing="0" w:line="360" w:lineRule="auto"/>
              <w:ind w:left="0" w:right="0"/>
              <w:jc w:val="center"/>
              <w:textAlignment w:val="center"/>
              <w:rPr>
                <w:rFonts w:hint="eastAsia" w:ascii="宋体" w:hAnsi="宋体" w:eastAsia="宋体" w:cs="宋体"/>
                <w:b/>
                <w:color w:val="auto"/>
                <w:sz w:val="21"/>
                <w:szCs w:val="21"/>
                <w:highlight w:val="none"/>
              </w:rPr>
            </w:pPr>
            <w:r>
              <w:rPr>
                <w:rFonts w:hint="eastAsia" w:ascii="宋体" w:hAnsi="宋体" w:eastAsia="宋体" w:cs="宋体"/>
                <w:b/>
                <w:color w:val="auto"/>
                <w:kern w:val="0"/>
                <w:sz w:val="21"/>
                <w:szCs w:val="21"/>
                <w:highlight w:val="none"/>
                <w:lang w:val="en-US" w:eastAsia="zh-CN" w:bidi="ar"/>
              </w:rPr>
              <w:t>技术规格、参数及要求</w:t>
            </w:r>
          </w:p>
        </w:tc>
        <w:tc>
          <w:tcPr>
            <w:tcW w:w="148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shd w:val="clear"/>
              <w:wordWrap w:val="0"/>
              <w:spacing w:before="0" w:beforeAutospacing="0" w:after="0" w:afterAutospacing="0" w:line="360" w:lineRule="auto"/>
              <w:ind w:left="0" w:right="0"/>
              <w:jc w:val="center"/>
              <w:textAlignment w:val="center"/>
              <w:rPr>
                <w:rFonts w:hint="eastAsia" w:ascii="宋体" w:hAnsi="宋体" w:eastAsia="宋体" w:cs="宋体"/>
                <w:b/>
                <w:color w:val="auto"/>
                <w:sz w:val="21"/>
                <w:szCs w:val="21"/>
                <w:highlight w:val="none"/>
              </w:rPr>
            </w:pPr>
            <w:r>
              <w:rPr>
                <w:rFonts w:hint="eastAsia" w:ascii="宋体" w:hAnsi="宋体" w:eastAsia="宋体" w:cs="宋体"/>
                <w:b/>
                <w:color w:val="auto"/>
                <w:kern w:val="0"/>
                <w:sz w:val="21"/>
                <w:szCs w:val="21"/>
                <w:highlight w:val="none"/>
                <w:lang w:val="en-US" w:eastAsia="zh-CN" w:bidi="ar"/>
              </w:rPr>
              <w:t>品目预算(元)</w:t>
            </w:r>
          </w:p>
        </w:tc>
        <w:tc>
          <w:tcPr>
            <w:tcW w:w="148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shd w:val="clear"/>
              <w:wordWrap w:val="0"/>
              <w:spacing w:before="0" w:beforeAutospacing="0" w:after="0" w:afterAutospacing="0" w:line="360" w:lineRule="auto"/>
              <w:ind w:left="0" w:right="0"/>
              <w:jc w:val="center"/>
              <w:textAlignment w:val="center"/>
              <w:rPr>
                <w:rFonts w:hint="eastAsia" w:ascii="宋体" w:hAnsi="宋体" w:eastAsia="宋体" w:cs="宋体"/>
                <w:b/>
                <w:color w:val="auto"/>
                <w:sz w:val="21"/>
                <w:szCs w:val="21"/>
                <w:highlight w:val="none"/>
              </w:rPr>
            </w:pPr>
            <w:r>
              <w:rPr>
                <w:rFonts w:hint="eastAsia" w:ascii="宋体" w:hAnsi="宋体" w:eastAsia="宋体" w:cs="宋体"/>
                <w:b/>
                <w:color w:val="auto"/>
                <w:kern w:val="0"/>
                <w:sz w:val="21"/>
                <w:szCs w:val="21"/>
                <w:highlight w:val="none"/>
                <w:lang w:val="en-US" w:eastAsia="zh-CN" w:bidi="ar"/>
              </w:rPr>
              <w:t>最高限价(元)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79" w:hRule="atLeast"/>
          <w:jc w:val="center"/>
        </w:trPr>
        <w:tc>
          <w:tcPr>
            <w:tcW w:w="100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shd w:val="clear"/>
              <w:wordWrap w:val="0"/>
              <w:spacing w:before="0" w:beforeAutospacing="0" w:after="0" w:afterAutospacing="0" w:line="360" w:lineRule="auto"/>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2-1</w:t>
            </w:r>
          </w:p>
        </w:tc>
        <w:tc>
          <w:tcPr>
            <w:tcW w:w="170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shd w:val="clear"/>
              <w:wordWrap w:val="0"/>
              <w:spacing w:before="0" w:beforeAutospacing="0" w:after="0" w:afterAutospacing="0" w:line="360" w:lineRule="auto"/>
              <w:ind w:left="0" w:right="0"/>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百科全书</w:t>
            </w:r>
          </w:p>
        </w:tc>
        <w:tc>
          <w:tcPr>
            <w:tcW w:w="170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shd w:val="clear"/>
              <w:wordWrap w:val="0"/>
              <w:spacing w:before="0" w:beforeAutospacing="0" w:after="0" w:afterAutospacing="0" w:line="360" w:lineRule="auto"/>
              <w:ind w:left="0" w:right="0"/>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500000</w:t>
            </w:r>
          </w:p>
        </w:tc>
        <w:tc>
          <w:tcPr>
            <w:tcW w:w="103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shd w:val="clear"/>
              <w:wordWrap w:val="0"/>
              <w:spacing w:before="0" w:beforeAutospacing="0" w:after="0" w:afterAutospacing="0" w:line="360" w:lineRule="auto"/>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1(批)</w:t>
            </w:r>
          </w:p>
        </w:tc>
        <w:tc>
          <w:tcPr>
            <w:tcW w:w="172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shd w:val="clear"/>
              <w:wordWrap w:val="0"/>
              <w:spacing w:before="0" w:beforeAutospacing="0" w:after="0" w:afterAutospacing="0" w:line="360" w:lineRule="auto"/>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详见采购文件</w:t>
            </w:r>
          </w:p>
        </w:tc>
        <w:tc>
          <w:tcPr>
            <w:tcW w:w="148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shd w:val="clear"/>
              <w:wordWrap/>
              <w:spacing w:before="0" w:beforeAutospacing="0" w:after="0" w:afterAutospacing="0" w:line="360" w:lineRule="auto"/>
              <w:ind w:left="0" w:right="0"/>
              <w:jc w:val="righ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vertAlign w:val="baseline"/>
                <w:lang w:val="en-US" w:eastAsia="zh-CN" w:bidi="ar"/>
              </w:rPr>
              <w:t>500,000.00</w:t>
            </w:r>
          </w:p>
        </w:tc>
        <w:tc>
          <w:tcPr>
            <w:tcW w:w="148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shd w:val="clear"/>
              <w:wordWrap/>
              <w:spacing w:before="0" w:beforeAutospacing="0" w:after="0" w:afterAutospacing="0" w:line="360" w:lineRule="auto"/>
              <w:ind w:left="0" w:right="0"/>
              <w:jc w:val="righ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vertAlign w:val="baseline"/>
                <w:lang w:val="en-US" w:eastAsia="zh-CN" w:bidi="ar"/>
              </w:rPr>
              <w:t>500,000.00</w:t>
            </w:r>
          </w:p>
        </w:tc>
      </w:tr>
    </w:tbl>
    <w:p>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630"/>
        <w:jc w:val="both"/>
        <w:textAlignment w:val="baseline"/>
        <w:rPr>
          <w:rFonts w:hint="eastAsia" w:ascii="宋体" w:hAnsi="宋体" w:eastAsia="宋体" w:cs="宋体"/>
          <w:color w:val="auto"/>
          <w:sz w:val="24"/>
          <w:szCs w:val="24"/>
          <w:highlight w:val="none"/>
        </w:rPr>
      </w:pPr>
      <w:r>
        <w:rPr>
          <w:rFonts w:hint="eastAsia" w:ascii="宋体" w:hAnsi="宋体" w:eastAsia="宋体" w:cs="宋体"/>
          <w:i w:val="0"/>
          <w:caps w:val="0"/>
          <w:color w:val="auto"/>
          <w:spacing w:val="0"/>
          <w:sz w:val="24"/>
          <w:szCs w:val="24"/>
          <w:highlight w:val="none"/>
          <w:shd w:val="clear" w:fill="FFFFFF"/>
          <w:vertAlign w:val="baseline"/>
        </w:rPr>
        <w:t>本合同包不接受联合体投标</w:t>
      </w:r>
    </w:p>
    <w:p>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630"/>
        <w:jc w:val="both"/>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i w:val="0"/>
          <w:caps w:val="0"/>
          <w:color w:val="auto"/>
          <w:spacing w:val="0"/>
          <w:sz w:val="24"/>
          <w:szCs w:val="24"/>
          <w:highlight w:val="none"/>
          <w:shd w:val="clear" w:fill="FFFFFF"/>
          <w:vertAlign w:val="baseline"/>
        </w:rPr>
        <w:t>合同履行期限：</w:t>
      </w:r>
      <w:r>
        <w:rPr>
          <w:rFonts w:hint="eastAsia" w:ascii="宋体" w:hAnsi="宋体" w:eastAsia="宋体" w:cs="宋体"/>
          <w:i w:val="0"/>
          <w:caps w:val="0"/>
          <w:color w:val="auto"/>
          <w:spacing w:val="0"/>
          <w:sz w:val="24"/>
          <w:szCs w:val="24"/>
          <w:highlight w:val="none"/>
          <w:shd w:val="clear" w:fill="FFFFFF"/>
          <w:vertAlign w:val="baseline"/>
          <w:lang w:eastAsia="zh-CN"/>
        </w:rPr>
        <w:t>2023年</w:t>
      </w:r>
    </w:p>
    <w:p>
      <w:pPr>
        <w:pStyle w:val="18"/>
        <w:spacing w:before="0" w:beforeAutospacing="0" w:after="0" w:afterAutospacing="0" w:line="510" w:lineRule="atLeast"/>
        <w:rPr>
          <w:b/>
          <w:bCs/>
          <w:color w:val="auto"/>
          <w:highlight w:val="none"/>
        </w:rPr>
      </w:pPr>
      <w:r>
        <w:rPr>
          <w:b/>
          <w:bCs/>
          <w:color w:val="auto"/>
          <w:highlight w:val="none"/>
        </w:rPr>
        <w:t xml:space="preserve">二、 </w:t>
      </w:r>
      <w:r>
        <w:rPr>
          <w:rFonts w:hint="eastAsia"/>
          <w:b/>
          <w:bCs/>
          <w:color w:val="auto"/>
          <w:highlight w:val="none"/>
          <w:lang w:val="en-US" w:eastAsia="zh-CN"/>
        </w:rPr>
        <w:t>申请人</w:t>
      </w:r>
      <w:r>
        <w:rPr>
          <w:b/>
          <w:bCs/>
          <w:color w:val="auto"/>
          <w:highlight w:val="none"/>
        </w:rPr>
        <w:t xml:space="preserve">的资格要求 </w:t>
      </w:r>
    </w:p>
    <w:p>
      <w:pPr>
        <w:pStyle w:val="18"/>
        <w:spacing w:before="0" w:beforeAutospacing="0" w:after="0" w:afterAutospacing="0" w:line="510" w:lineRule="atLeast"/>
        <w:ind w:firstLine="420"/>
        <w:rPr>
          <w:rFonts w:hint="eastAsia"/>
          <w:color w:val="auto"/>
          <w:highlight w:val="none"/>
        </w:rPr>
      </w:pPr>
      <w:r>
        <w:rPr>
          <w:rFonts w:hint="eastAsia"/>
          <w:color w:val="auto"/>
          <w:highlight w:val="none"/>
        </w:rPr>
        <w:t>1.满足《中华人民共和国政府采购法》第二十二条规定;</w:t>
      </w:r>
    </w:p>
    <w:p>
      <w:pPr>
        <w:pStyle w:val="18"/>
        <w:spacing w:before="0" w:beforeAutospacing="0" w:after="0" w:afterAutospacing="0" w:line="510" w:lineRule="atLeast"/>
        <w:ind w:firstLine="420"/>
        <w:rPr>
          <w:rFonts w:hint="eastAsia"/>
          <w:color w:val="auto"/>
          <w:highlight w:val="none"/>
        </w:rPr>
      </w:pPr>
      <w:r>
        <w:rPr>
          <w:rFonts w:hint="eastAsia"/>
          <w:color w:val="auto"/>
          <w:highlight w:val="none"/>
        </w:rPr>
        <w:t>2.落实政府采购政策需满足的资格要求：</w:t>
      </w:r>
    </w:p>
    <w:p>
      <w:pPr>
        <w:pStyle w:val="18"/>
        <w:spacing w:before="0" w:beforeAutospacing="0" w:after="0" w:afterAutospacing="0" w:line="510" w:lineRule="atLeast"/>
        <w:ind w:firstLine="420"/>
        <w:rPr>
          <w:rFonts w:hint="eastAsia"/>
          <w:b/>
          <w:bCs/>
          <w:color w:val="auto"/>
          <w:highlight w:val="none"/>
        </w:rPr>
      </w:pPr>
      <w:r>
        <w:rPr>
          <w:rFonts w:hint="eastAsia"/>
          <w:b/>
          <w:bCs/>
          <w:color w:val="auto"/>
          <w:highlight w:val="none"/>
        </w:rPr>
        <w:t>合同包1(</w:t>
      </w:r>
      <w:r>
        <w:rPr>
          <w:rFonts w:hint="eastAsia"/>
          <w:b/>
          <w:bCs/>
          <w:color w:val="auto"/>
          <w:highlight w:val="none"/>
          <w:lang w:eastAsia="zh-CN"/>
        </w:rPr>
        <w:t>中版美术图书文献</w:t>
      </w:r>
      <w:r>
        <w:rPr>
          <w:rFonts w:hint="eastAsia"/>
          <w:b/>
          <w:bCs/>
          <w:color w:val="auto"/>
          <w:highlight w:val="none"/>
        </w:rPr>
        <w:t>)落实政府采购政策需满足的资格要求如下:</w:t>
      </w:r>
    </w:p>
    <w:p>
      <w:pPr>
        <w:pStyle w:val="18"/>
        <w:spacing w:before="0" w:beforeAutospacing="0" w:after="0" w:afterAutospacing="0" w:line="510" w:lineRule="atLeast"/>
        <w:ind w:firstLine="420"/>
        <w:rPr>
          <w:rFonts w:hint="eastAsia"/>
          <w:color w:val="auto"/>
          <w:highlight w:val="none"/>
        </w:rPr>
      </w:pPr>
      <w:r>
        <w:rPr>
          <w:rFonts w:hint="eastAsia"/>
          <w:color w:val="auto"/>
          <w:highlight w:val="none"/>
        </w:rPr>
        <w:t>本次项目参照政府采购规定落实政府采购政策：</w:t>
      </w:r>
    </w:p>
    <w:p>
      <w:pPr>
        <w:pStyle w:val="18"/>
        <w:spacing w:before="0" w:beforeAutospacing="0" w:after="0" w:afterAutospacing="0" w:line="510" w:lineRule="atLeast"/>
        <w:ind w:firstLine="420"/>
        <w:rPr>
          <w:rFonts w:hint="eastAsia"/>
          <w:color w:val="auto"/>
          <w:highlight w:val="none"/>
        </w:rPr>
      </w:pPr>
      <w:r>
        <w:rPr>
          <w:rFonts w:hint="eastAsia"/>
          <w:color w:val="auto"/>
          <w:highlight w:val="none"/>
        </w:rPr>
        <w:t>依据《中华人民共和国政府采购法》和《中华人民共和国政府采购法实施条例》的有关规定，落实政府采购政策，详见招标文件。</w:t>
      </w:r>
    </w:p>
    <w:p>
      <w:pPr>
        <w:pStyle w:val="18"/>
        <w:spacing w:before="0" w:beforeAutospacing="0" w:after="0" w:afterAutospacing="0" w:line="510" w:lineRule="atLeast"/>
        <w:ind w:firstLine="420"/>
        <w:rPr>
          <w:rFonts w:hint="eastAsia"/>
          <w:color w:val="auto"/>
          <w:highlight w:val="none"/>
        </w:rPr>
      </w:pPr>
      <w:r>
        <w:rPr>
          <w:rFonts w:hint="eastAsia"/>
          <w:color w:val="auto"/>
          <w:highlight w:val="none"/>
        </w:rPr>
        <w:t>（1）《政府采购促进中小企业发展管理办法》的通知--财库[2020]46号。 </w:t>
      </w:r>
    </w:p>
    <w:p>
      <w:pPr>
        <w:pStyle w:val="18"/>
        <w:spacing w:before="0" w:beforeAutospacing="0" w:after="0" w:afterAutospacing="0" w:line="510" w:lineRule="atLeast"/>
        <w:ind w:firstLine="420"/>
        <w:rPr>
          <w:rFonts w:hint="eastAsia"/>
          <w:color w:val="auto"/>
          <w:highlight w:val="none"/>
        </w:rPr>
      </w:pPr>
      <w:r>
        <w:rPr>
          <w:rFonts w:hint="eastAsia"/>
          <w:color w:val="auto"/>
          <w:highlight w:val="none"/>
        </w:rPr>
        <w:t>（2）财政部司法部关于政府采购支持监狱企业发展有关问题的通知--财库〔2014〕68号。 </w:t>
      </w:r>
    </w:p>
    <w:p>
      <w:pPr>
        <w:pStyle w:val="18"/>
        <w:spacing w:before="0" w:beforeAutospacing="0" w:after="0" w:afterAutospacing="0" w:line="510" w:lineRule="atLeast"/>
        <w:ind w:firstLine="420"/>
        <w:rPr>
          <w:rFonts w:hint="eastAsia"/>
          <w:color w:val="auto"/>
          <w:highlight w:val="none"/>
        </w:rPr>
      </w:pPr>
      <w:r>
        <w:rPr>
          <w:rFonts w:hint="eastAsia"/>
          <w:color w:val="auto"/>
          <w:highlight w:val="none"/>
        </w:rPr>
        <w:t>（3）《国务院办公厅关于建立政府强制采购节能产品制度的通知》--国办发〔2007〕51号。 </w:t>
      </w:r>
    </w:p>
    <w:p>
      <w:pPr>
        <w:pStyle w:val="18"/>
        <w:spacing w:before="0" w:beforeAutospacing="0" w:after="0" w:afterAutospacing="0" w:line="510" w:lineRule="atLeast"/>
        <w:ind w:firstLine="420"/>
        <w:rPr>
          <w:rFonts w:hint="eastAsia"/>
          <w:color w:val="auto"/>
          <w:highlight w:val="none"/>
        </w:rPr>
      </w:pPr>
      <w:r>
        <w:rPr>
          <w:rFonts w:hint="eastAsia"/>
          <w:color w:val="auto"/>
          <w:highlight w:val="none"/>
        </w:rPr>
        <w:t>（4）《财政部发展改革委生态环境部市场监督总局关于调整优化节能产品、环境标志产品政府采购执行机制的通知》--（财库[2019]9号）。 </w:t>
      </w:r>
    </w:p>
    <w:p>
      <w:pPr>
        <w:pStyle w:val="18"/>
        <w:spacing w:before="0" w:beforeAutospacing="0" w:after="0" w:afterAutospacing="0" w:line="510" w:lineRule="atLeast"/>
        <w:ind w:firstLine="420"/>
        <w:rPr>
          <w:rFonts w:hint="eastAsia"/>
          <w:color w:val="auto"/>
          <w:highlight w:val="none"/>
        </w:rPr>
      </w:pPr>
      <w:r>
        <w:rPr>
          <w:rFonts w:hint="eastAsia"/>
          <w:color w:val="auto"/>
          <w:highlight w:val="none"/>
        </w:rPr>
        <w:t>（5）《关于印发环境标志产品政府采购品目清单的通知》--（财库〔2019〕18号）。 </w:t>
      </w:r>
    </w:p>
    <w:p>
      <w:pPr>
        <w:pStyle w:val="18"/>
        <w:spacing w:before="0" w:beforeAutospacing="0" w:after="0" w:afterAutospacing="0" w:line="510" w:lineRule="atLeast"/>
        <w:ind w:firstLine="420"/>
        <w:rPr>
          <w:rFonts w:hint="eastAsia"/>
          <w:color w:val="auto"/>
          <w:highlight w:val="none"/>
        </w:rPr>
      </w:pPr>
      <w:r>
        <w:rPr>
          <w:rFonts w:hint="eastAsia"/>
          <w:color w:val="auto"/>
          <w:highlight w:val="none"/>
        </w:rPr>
        <w:t>（6）《关于印发节能产品政府采购品目清单的通知》--（财库〔2019〕19号）。</w:t>
      </w:r>
    </w:p>
    <w:p>
      <w:pPr>
        <w:pStyle w:val="18"/>
        <w:spacing w:before="0" w:beforeAutospacing="0" w:after="0" w:afterAutospacing="0" w:line="510" w:lineRule="atLeast"/>
        <w:ind w:firstLine="420"/>
        <w:rPr>
          <w:rFonts w:hint="eastAsia"/>
          <w:color w:val="auto"/>
          <w:highlight w:val="none"/>
        </w:rPr>
      </w:pPr>
      <w:r>
        <w:rPr>
          <w:rFonts w:hint="eastAsia"/>
          <w:color w:val="auto"/>
          <w:highlight w:val="none"/>
        </w:rPr>
        <w:t>（7）《财政部民政部中国残疾人联合会关于促进残疾人就业政府采购政策的通知》--（财库〔2017〕141号）。</w:t>
      </w:r>
    </w:p>
    <w:p>
      <w:pPr>
        <w:pStyle w:val="18"/>
        <w:spacing w:before="0" w:beforeAutospacing="0" w:after="0" w:afterAutospacing="0" w:line="510" w:lineRule="atLeast"/>
        <w:ind w:firstLine="420"/>
        <w:rPr>
          <w:rFonts w:hint="eastAsia"/>
          <w:color w:val="auto"/>
          <w:highlight w:val="none"/>
        </w:rPr>
      </w:pPr>
      <w:r>
        <w:rPr>
          <w:rFonts w:hint="eastAsia"/>
          <w:color w:val="auto"/>
          <w:highlight w:val="none"/>
        </w:rPr>
        <w:t>（8）《关于运用政府采购政策支持乡村产业振兴的通知》（财库〔2021〕19号）</w:t>
      </w:r>
    </w:p>
    <w:p>
      <w:pPr>
        <w:pStyle w:val="18"/>
        <w:spacing w:before="0" w:beforeAutospacing="0" w:after="0" w:afterAutospacing="0" w:line="510" w:lineRule="atLeast"/>
        <w:ind w:firstLine="420"/>
        <w:rPr>
          <w:rFonts w:hint="eastAsia"/>
          <w:color w:val="auto"/>
          <w:highlight w:val="none"/>
        </w:rPr>
      </w:pPr>
      <w:r>
        <w:rPr>
          <w:rFonts w:hint="eastAsia"/>
          <w:color w:val="auto"/>
          <w:highlight w:val="none"/>
        </w:rPr>
        <w:t>（9）陕西省财政厅关于印发《陕西省中小企业政府采购信用融资办法》（陕财办采〔2018〕23号）。 </w:t>
      </w:r>
    </w:p>
    <w:p>
      <w:pPr>
        <w:pStyle w:val="18"/>
        <w:spacing w:before="0" w:beforeAutospacing="0" w:after="0" w:afterAutospacing="0" w:line="510" w:lineRule="atLeast"/>
        <w:ind w:firstLine="420"/>
        <w:rPr>
          <w:rFonts w:hint="eastAsia"/>
          <w:color w:val="auto"/>
          <w:highlight w:val="none"/>
        </w:rPr>
      </w:pPr>
      <w:r>
        <w:rPr>
          <w:rFonts w:hint="eastAsia"/>
          <w:color w:val="auto"/>
          <w:highlight w:val="none"/>
        </w:rPr>
        <w:t>（10）《陕西省财政厅关于加快推进我省中小企业政府采购信用融资工作的通知》（陕财办采〔2020〕15号）。</w:t>
      </w:r>
    </w:p>
    <w:p>
      <w:pPr>
        <w:pStyle w:val="18"/>
        <w:spacing w:before="0" w:beforeAutospacing="0" w:after="0" w:afterAutospacing="0" w:line="510" w:lineRule="atLeast"/>
        <w:ind w:firstLine="420"/>
        <w:rPr>
          <w:rFonts w:hint="eastAsia"/>
          <w:color w:val="auto"/>
          <w:highlight w:val="none"/>
        </w:rPr>
      </w:pPr>
      <w:r>
        <w:rPr>
          <w:rFonts w:hint="eastAsia"/>
          <w:color w:val="auto"/>
          <w:highlight w:val="none"/>
        </w:rPr>
        <w:t>（11）《关于进一步加强政府绿色采购有关问题的通知》（陕财办采〔2021〕29号）。</w:t>
      </w:r>
    </w:p>
    <w:p>
      <w:pPr>
        <w:pStyle w:val="18"/>
        <w:spacing w:before="0" w:beforeAutospacing="0" w:after="0" w:afterAutospacing="0" w:line="510" w:lineRule="atLeast"/>
        <w:ind w:firstLine="420"/>
        <w:rPr>
          <w:rFonts w:hint="eastAsia"/>
          <w:color w:val="auto"/>
          <w:highlight w:val="none"/>
        </w:rPr>
      </w:pPr>
      <w:r>
        <w:rPr>
          <w:rFonts w:hint="eastAsia"/>
          <w:color w:val="auto"/>
          <w:highlight w:val="none"/>
        </w:rPr>
        <w:t>若享受以上政策优惠的企业，提供相应声明函或品目范围内产品有效认证证书。</w:t>
      </w:r>
    </w:p>
    <w:p>
      <w:pPr>
        <w:pStyle w:val="18"/>
        <w:spacing w:before="0" w:beforeAutospacing="0" w:after="0" w:afterAutospacing="0" w:line="510" w:lineRule="atLeast"/>
        <w:ind w:firstLine="420"/>
        <w:rPr>
          <w:rFonts w:hint="eastAsia"/>
          <w:b/>
          <w:bCs/>
          <w:color w:val="auto"/>
          <w:highlight w:val="none"/>
        </w:rPr>
      </w:pPr>
      <w:r>
        <w:rPr>
          <w:rFonts w:hint="eastAsia"/>
          <w:b/>
          <w:bCs/>
          <w:color w:val="auto"/>
          <w:highlight w:val="none"/>
        </w:rPr>
        <w:t>合同包2(</w:t>
      </w:r>
      <w:r>
        <w:rPr>
          <w:rFonts w:hint="eastAsia"/>
          <w:b/>
          <w:bCs/>
          <w:color w:val="auto"/>
          <w:highlight w:val="none"/>
          <w:lang w:eastAsia="zh-CN"/>
        </w:rPr>
        <w:t>中版社科类图书文献</w:t>
      </w:r>
      <w:r>
        <w:rPr>
          <w:rFonts w:hint="eastAsia"/>
          <w:b/>
          <w:bCs/>
          <w:color w:val="auto"/>
          <w:highlight w:val="none"/>
        </w:rPr>
        <w:t>)落实政府采购政策需满足的资格要求如下:</w:t>
      </w:r>
    </w:p>
    <w:p>
      <w:pPr>
        <w:pStyle w:val="18"/>
        <w:spacing w:before="0" w:beforeAutospacing="0" w:after="0" w:afterAutospacing="0" w:line="510" w:lineRule="atLeast"/>
        <w:ind w:firstLine="420"/>
        <w:rPr>
          <w:rFonts w:hint="eastAsia"/>
          <w:color w:val="auto"/>
          <w:highlight w:val="none"/>
        </w:rPr>
      </w:pPr>
      <w:r>
        <w:rPr>
          <w:rFonts w:hint="eastAsia"/>
          <w:color w:val="auto"/>
          <w:highlight w:val="none"/>
        </w:rPr>
        <w:t>本次项目参照政府采购规定落实政府采购政策：</w:t>
      </w:r>
    </w:p>
    <w:p>
      <w:pPr>
        <w:pStyle w:val="18"/>
        <w:spacing w:before="0" w:beforeAutospacing="0" w:after="0" w:afterAutospacing="0" w:line="510" w:lineRule="atLeast"/>
        <w:ind w:firstLine="420"/>
        <w:rPr>
          <w:rFonts w:hint="eastAsia"/>
          <w:color w:val="auto"/>
          <w:highlight w:val="none"/>
        </w:rPr>
      </w:pPr>
      <w:r>
        <w:rPr>
          <w:rFonts w:hint="eastAsia"/>
          <w:color w:val="auto"/>
          <w:highlight w:val="none"/>
        </w:rPr>
        <w:t>依据《中华人民共和国政府采购法》和《中华人民共和国政府采购法实施条例》的有关规定，落实政府采购政策，详见招标文件。</w:t>
      </w:r>
    </w:p>
    <w:p>
      <w:pPr>
        <w:pStyle w:val="18"/>
        <w:spacing w:before="0" w:beforeAutospacing="0" w:after="0" w:afterAutospacing="0" w:line="510" w:lineRule="atLeast"/>
        <w:ind w:firstLine="420"/>
        <w:rPr>
          <w:rFonts w:hint="eastAsia"/>
          <w:color w:val="auto"/>
          <w:highlight w:val="none"/>
        </w:rPr>
      </w:pPr>
      <w:r>
        <w:rPr>
          <w:rFonts w:hint="eastAsia"/>
          <w:color w:val="auto"/>
          <w:highlight w:val="none"/>
        </w:rPr>
        <w:t>（1）《政府采购促进中小企业发展管理办法》的通知--财库[2020]46号。 </w:t>
      </w:r>
    </w:p>
    <w:p>
      <w:pPr>
        <w:pStyle w:val="18"/>
        <w:spacing w:before="0" w:beforeAutospacing="0" w:after="0" w:afterAutospacing="0" w:line="510" w:lineRule="atLeast"/>
        <w:ind w:firstLine="420"/>
        <w:rPr>
          <w:rFonts w:hint="eastAsia"/>
          <w:color w:val="auto"/>
          <w:highlight w:val="none"/>
        </w:rPr>
      </w:pPr>
      <w:r>
        <w:rPr>
          <w:rFonts w:hint="eastAsia"/>
          <w:color w:val="auto"/>
          <w:highlight w:val="none"/>
        </w:rPr>
        <w:t>（2）财政部司法部关于政府采购支持监狱企业发展有关问题的通知--财库〔2014〕68号。 </w:t>
      </w:r>
    </w:p>
    <w:p>
      <w:pPr>
        <w:pStyle w:val="18"/>
        <w:spacing w:before="0" w:beforeAutospacing="0" w:after="0" w:afterAutospacing="0" w:line="510" w:lineRule="atLeast"/>
        <w:ind w:firstLine="420"/>
        <w:rPr>
          <w:rFonts w:hint="eastAsia"/>
          <w:color w:val="auto"/>
          <w:highlight w:val="none"/>
        </w:rPr>
      </w:pPr>
      <w:r>
        <w:rPr>
          <w:rFonts w:hint="eastAsia"/>
          <w:color w:val="auto"/>
          <w:highlight w:val="none"/>
        </w:rPr>
        <w:t>（3）《国务院办公厅关于建立政府强制采购节能产品制度的通知》--国办发〔2007〕51号。 </w:t>
      </w:r>
    </w:p>
    <w:p>
      <w:pPr>
        <w:pStyle w:val="18"/>
        <w:spacing w:before="0" w:beforeAutospacing="0" w:after="0" w:afterAutospacing="0" w:line="510" w:lineRule="atLeast"/>
        <w:ind w:firstLine="420"/>
        <w:rPr>
          <w:rFonts w:hint="eastAsia"/>
          <w:color w:val="auto"/>
          <w:highlight w:val="none"/>
        </w:rPr>
      </w:pPr>
      <w:r>
        <w:rPr>
          <w:rFonts w:hint="eastAsia"/>
          <w:color w:val="auto"/>
          <w:highlight w:val="none"/>
        </w:rPr>
        <w:t>（4）《财政部发展改革委生态环境部市场监督总局关于调整优化节能产品、环境标志产品政府采购执行机制的通知》--（财库[2019]9号）。 </w:t>
      </w:r>
    </w:p>
    <w:p>
      <w:pPr>
        <w:pStyle w:val="18"/>
        <w:spacing w:before="0" w:beforeAutospacing="0" w:after="0" w:afterAutospacing="0" w:line="510" w:lineRule="atLeast"/>
        <w:ind w:firstLine="420"/>
        <w:rPr>
          <w:rFonts w:hint="eastAsia"/>
          <w:color w:val="auto"/>
          <w:highlight w:val="none"/>
        </w:rPr>
      </w:pPr>
      <w:r>
        <w:rPr>
          <w:rFonts w:hint="eastAsia"/>
          <w:color w:val="auto"/>
          <w:highlight w:val="none"/>
        </w:rPr>
        <w:t>（5）《关于印发环境标志产品政府采购品目清单的通知》--（财库〔2019〕18号）。 </w:t>
      </w:r>
    </w:p>
    <w:p>
      <w:pPr>
        <w:pStyle w:val="18"/>
        <w:spacing w:before="0" w:beforeAutospacing="0" w:after="0" w:afterAutospacing="0" w:line="510" w:lineRule="atLeast"/>
        <w:ind w:firstLine="420"/>
        <w:rPr>
          <w:rFonts w:hint="eastAsia"/>
          <w:color w:val="auto"/>
          <w:highlight w:val="none"/>
        </w:rPr>
      </w:pPr>
      <w:r>
        <w:rPr>
          <w:rFonts w:hint="eastAsia"/>
          <w:color w:val="auto"/>
          <w:highlight w:val="none"/>
        </w:rPr>
        <w:t>（6）《关于印发节能产品政府采购品目清单的通知》--（财库〔2019〕19号）。</w:t>
      </w:r>
    </w:p>
    <w:p>
      <w:pPr>
        <w:pStyle w:val="18"/>
        <w:spacing w:before="0" w:beforeAutospacing="0" w:after="0" w:afterAutospacing="0" w:line="510" w:lineRule="atLeast"/>
        <w:ind w:firstLine="420"/>
        <w:rPr>
          <w:rFonts w:hint="eastAsia"/>
          <w:color w:val="auto"/>
          <w:highlight w:val="none"/>
        </w:rPr>
      </w:pPr>
      <w:r>
        <w:rPr>
          <w:rFonts w:hint="eastAsia"/>
          <w:color w:val="auto"/>
          <w:highlight w:val="none"/>
        </w:rPr>
        <w:t>（7）《财政部民政部中国残疾人联合会关于促进残疾人就业政府采购政策的通知》--（财库〔2017〕141号）。</w:t>
      </w:r>
    </w:p>
    <w:p>
      <w:pPr>
        <w:pStyle w:val="18"/>
        <w:spacing w:before="0" w:beforeAutospacing="0" w:after="0" w:afterAutospacing="0" w:line="510" w:lineRule="atLeast"/>
        <w:ind w:firstLine="420"/>
        <w:rPr>
          <w:rFonts w:hint="eastAsia"/>
          <w:color w:val="auto"/>
          <w:highlight w:val="none"/>
        </w:rPr>
      </w:pPr>
      <w:r>
        <w:rPr>
          <w:rFonts w:hint="eastAsia"/>
          <w:color w:val="auto"/>
          <w:highlight w:val="none"/>
        </w:rPr>
        <w:t>（8）《关于运用政府采购政策支持乡村产业振兴的通知》（财库〔2021〕19号）</w:t>
      </w:r>
    </w:p>
    <w:p>
      <w:pPr>
        <w:pStyle w:val="18"/>
        <w:spacing w:before="0" w:beforeAutospacing="0" w:after="0" w:afterAutospacing="0" w:line="510" w:lineRule="atLeast"/>
        <w:ind w:firstLine="420"/>
        <w:rPr>
          <w:rFonts w:hint="eastAsia"/>
          <w:color w:val="auto"/>
          <w:highlight w:val="none"/>
        </w:rPr>
      </w:pPr>
      <w:r>
        <w:rPr>
          <w:rFonts w:hint="eastAsia"/>
          <w:color w:val="auto"/>
          <w:highlight w:val="none"/>
        </w:rPr>
        <w:t>（9）陕西省财政厅关于印发《陕西省中小企业政府采购信用融资办法》（陕财办采〔2018〕23号）。 </w:t>
      </w:r>
    </w:p>
    <w:p>
      <w:pPr>
        <w:pStyle w:val="18"/>
        <w:spacing w:before="0" w:beforeAutospacing="0" w:after="0" w:afterAutospacing="0" w:line="510" w:lineRule="atLeast"/>
        <w:ind w:firstLine="420"/>
        <w:rPr>
          <w:rFonts w:hint="eastAsia"/>
          <w:color w:val="auto"/>
          <w:highlight w:val="none"/>
        </w:rPr>
      </w:pPr>
      <w:r>
        <w:rPr>
          <w:rFonts w:hint="eastAsia"/>
          <w:color w:val="auto"/>
          <w:highlight w:val="none"/>
        </w:rPr>
        <w:t>（10）《陕西省财政厅关于加快推进我省中小企业政府采购信用融资工作的通知》（陕财办采〔2020〕15号）。</w:t>
      </w:r>
    </w:p>
    <w:p>
      <w:pPr>
        <w:pStyle w:val="18"/>
        <w:spacing w:before="0" w:beforeAutospacing="0" w:after="0" w:afterAutospacing="0" w:line="510" w:lineRule="atLeast"/>
        <w:ind w:firstLine="420"/>
        <w:rPr>
          <w:rFonts w:hint="eastAsia"/>
          <w:color w:val="auto"/>
          <w:highlight w:val="none"/>
        </w:rPr>
      </w:pPr>
      <w:r>
        <w:rPr>
          <w:rFonts w:hint="eastAsia"/>
          <w:color w:val="auto"/>
          <w:highlight w:val="none"/>
        </w:rPr>
        <w:t>（11）《关于进一步加强政府绿色采购有关问题的通知》（陕财办采〔2021〕29号）。</w:t>
      </w:r>
    </w:p>
    <w:p>
      <w:pPr>
        <w:pStyle w:val="18"/>
        <w:spacing w:before="0" w:beforeAutospacing="0" w:after="0" w:afterAutospacing="0" w:line="510" w:lineRule="atLeast"/>
        <w:ind w:firstLine="420"/>
        <w:rPr>
          <w:color w:val="auto"/>
          <w:highlight w:val="none"/>
        </w:rPr>
      </w:pPr>
      <w:r>
        <w:rPr>
          <w:rFonts w:hint="eastAsia"/>
          <w:color w:val="auto"/>
          <w:highlight w:val="none"/>
        </w:rPr>
        <w:t>若享受以上政策优惠的企业，提供相应声明函或品目范围内产品有效认证证书。</w:t>
      </w:r>
    </w:p>
    <w:p>
      <w:pPr>
        <w:pStyle w:val="18"/>
        <w:spacing w:before="0" w:beforeAutospacing="0" w:after="0" w:afterAutospacing="0" w:line="510" w:lineRule="atLeast"/>
        <w:ind w:firstLine="480" w:firstLineChars="200"/>
        <w:rPr>
          <w:rFonts w:hint="eastAsia"/>
          <w:color w:val="auto"/>
          <w:highlight w:val="none"/>
        </w:rPr>
      </w:pPr>
      <w:r>
        <w:rPr>
          <w:rFonts w:hint="eastAsia"/>
          <w:color w:val="auto"/>
          <w:highlight w:val="none"/>
        </w:rPr>
        <w:t>3.本项目的特定资格要求：</w:t>
      </w:r>
    </w:p>
    <w:p>
      <w:pPr>
        <w:pStyle w:val="18"/>
        <w:spacing w:before="0" w:beforeAutospacing="0" w:after="0" w:afterAutospacing="0" w:line="510" w:lineRule="atLeast"/>
        <w:ind w:firstLine="482" w:firstLineChars="200"/>
        <w:rPr>
          <w:rFonts w:hint="eastAsia"/>
          <w:b/>
          <w:bCs/>
          <w:color w:val="auto"/>
          <w:highlight w:val="none"/>
        </w:rPr>
      </w:pPr>
      <w:r>
        <w:rPr>
          <w:rFonts w:hint="eastAsia"/>
          <w:b/>
          <w:bCs/>
          <w:color w:val="auto"/>
          <w:highlight w:val="none"/>
        </w:rPr>
        <w:t>合同包1(</w:t>
      </w:r>
      <w:r>
        <w:rPr>
          <w:rFonts w:hint="eastAsia"/>
          <w:b/>
          <w:bCs/>
          <w:color w:val="auto"/>
          <w:highlight w:val="none"/>
          <w:lang w:eastAsia="zh-CN"/>
        </w:rPr>
        <w:t>中版美术图书文献</w:t>
      </w:r>
      <w:r>
        <w:rPr>
          <w:rFonts w:hint="eastAsia"/>
          <w:b/>
          <w:bCs/>
          <w:color w:val="auto"/>
          <w:highlight w:val="none"/>
        </w:rPr>
        <w:t>)特定资格要求如下:</w:t>
      </w:r>
    </w:p>
    <w:p>
      <w:pPr>
        <w:pStyle w:val="18"/>
        <w:spacing w:before="0" w:beforeAutospacing="0" w:after="0" w:afterAutospacing="0" w:line="510" w:lineRule="atLeast"/>
        <w:ind w:firstLine="480" w:firstLineChars="200"/>
        <w:rPr>
          <w:rFonts w:hint="eastAsia"/>
          <w:color w:val="auto"/>
          <w:highlight w:val="none"/>
        </w:rPr>
      </w:pPr>
      <w:r>
        <w:rPr>
          <w:rFonts w:hint="eastAsia"/>
          <w:color w:val="auto"/>
          <w:highlight w:val="none"/>
        </w:rPr>
        <w:t>1）法定代表人授权书（附法定代表人、被授权人身份证复印件）、被授权人身份证（法定代表人直接参加投标，须提供法定代表人身份证明及身份证原件）； </w:t>
      </w:r>
    </w:p>
    <w:p>
      <w:pPr>
        <w:pStyle w:val="18"/>
        <w:spacing w:before="0" w:beforeAutospacing="0" w:after="0" w:afterAutospacing="0" w:line="510" w:lineRule="atLeast"/>
        <w:ind w:firstLine="480" w:firstLineChars="200"/>
        <w:rPr>
          <w:rFonts w:hint="eastAsia"/>
          <w:color w:val="auto"/>
          <w:highlight w:val="none"/>
        </w:rPr>
      </w:pPr>
      <w:r>
        <w:rPr>
          <w:rFonts w:hint="eastAsia"/>
          <w:color w:val="auto"/>
          <w:highlight w:val="none"/>
        </w:rPr>
        <w:t>2）投标人不得为“信用中国”网站（www.creditchina.gov.cn）中列入失信被执行人和重大税收违法案件当事人名单的供应商，不得为中国政府采购网（www.ccgp.gov.cn）政府采购严重违法失信行为记录名单中被财政部门禁止参加政府采购活动的供应商；</w:t>
      </w:r>
    </w:p>
    <w:p>
      <w:pPr>
        <w:pStyle w:val="18"/>
        <w:spacing w:before="0" w:beforeAutospacing="0" w:after="0" w:afterAutospacing="0" w:line="510" w:lineRule="atLeast"/>
        <w:ind w:firstLine="482" w:firstLineChars="200"/>
        <w:rPr>
          <w:rFonts w:hint="eastAsia"/>
          <w:b/>
          <w:bCs/>
          <w:color w:val="auto"/>
          <w:highlight w:val="none"/>
        </w:rPr>
      </w:pPr>
      <w:r>
        <w:rPr>
          <w:rFonts w:hint="eastAsia"/>
          <w:b/>
          <w:bCs/>
          <w:color w:val="auto"/>
          <w:highlight w:val="none"/>
        </w:rPr>
        <w:t>合同包2(</w:t>
      </w:r>
      <w:r>
        <w:rPr>
          <w:rFonts w:hint="eastAsia"/>
          <w:b/>
          <w:bCs/>
          <w:color w:val="auto"/>
          <w:highlight w:val="none"/>
          <w:lang w:eastAsia="zh-CN"/>
        </w:rPr>
        <w:t>中版社科类图书文献</w:t>
      </w:r>
      <w:r>
        <w:rPr>
          <w:rFonts w:hint="eastAsia"/>
          <w:b/>
          <w:bCs/>
          <w:color w:val="auto"/>
          <w:highlight w:val="none"/>
        </w:rPr>
        <w:t>)特定资格要求如下:</w:t>
      </w:r>
    </w:p>
    <w:p>
      <w:pPr>
        <w:pStyle w:val="18"/>
        <w:spacing w:before="0" w:beforeAutospacing="0" w:after="0" w:afterAutospacing="0" w:line="510" w:lineRule="atLeast"/>
        <w:ind w:firstLine="480" w:firstLineChars="200"/>
        <w:rPr>
          <w:rFonts w:hint="eastAsia"/>
          <w:color w:val="auto"/>
          <w:highlight w:val="none"/>
        </w:rPr>
      </w:pPr>
      <w:r>
        <w:rPr>
          <w:rFonts w:hint="eastAsia"/>
          <w:color w:val="auto"/>
          <w:highlight w:val="none"/>
        </w:rPr>
        <w:t>1）法定代表人授权书（附法定代表人、被授权人身份证复印件）、被授权人身份证（法定代表人直接参加投标，须提供法定代表人身份证明及身份证原件）； </w:t>
      </w:r>
    </w:p>
    <w:p>
      <w:pPr>
        <w:pStyle w:val="18"/>
        <w:spacing w:before="0" w:beforeAutospacing="0" w:after="0" w:afterAutospacing="0" w:line="510" w:lineRule="atLeast"/>
        <w:ind w:firstLine="480" w:firstLineChars="200"/>
        <w:rPr>
          <w:color w:val="auto"/>
          <w:highlight w:val="none"/>
        </w:rPr>
      </w:pPr>
      <w:r>
        <w:rPr>
          <w:rFonts w:hint="eastAsia"/>
          <w:color w:val="auto"/>
          <w:highlight w:val="none"/>
        </w:rPr>
        <w:t>2）投标人不得为“信用中国”网站（www.creditchina.gov.cn）中列入失信被执行人和重大税收违法案件当事人名单的供应商，不得为中国政府采购网（www.ccgp.gov.cn）政府采购严重违法失信行为记录名单中被财政部门禁止参加政府采购活动的供应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0" w:afterAutospacing="0" w:line="360" w:lineRule="auto"/>
        <w:ind w:left="0" w:right="0" w:firstLine="0"/>
        <w:jc w:val="left"/>
        <w:textAlignment w:val="baseline"/>
        <w:rPr>
          <w:rFonts w:hint="eastAsia" w:ascii="宋体" w:hAnsi="宋体" w:eastAsia="宋体" w:cs="宋体"/>
          <w:b w:val="0"/>
          <w:i w:val="0"/>
          <w:caps w:val="0"/>
          <w:color w:val="auto"/>
          <w:spacing w:val="0"/>
          <w:sz w:val="24"/>
          <w:szCs w:val="24"/>
          <w:highlight w:val="none"/>
        </w:rPr>
      </w:pPr>
      <w:r>
        <w:rPr>
          <w:rStyle w:val="23"/>
          <w:rFonts w:hint="eastAsia" w:ascii="宋体" w:hAnsi="宋体" w:eastAsia="宋体" w:cs="宋体"/>
          <w:b/>
          <w:bCs w:val="0"/>
          <w:i w:val="0"/>
          <w:caps w:val="0"/>
          <w:color w:val="auto"/>
          <w:spacing w:val="0"/>
          <w:sz w:val="24"/>
          <w:szCs w:val="24"/>
          <w:highlight w:val="none"/>
          <w:shd w:val="clear" w:fill="FFFFFF"/>
          <w:vertAlign w:val="baseline"/>
        </w:rPr>
        <w:t>三、获取招标文件</w:t>
      </w:r>
    </w:p>
    <w:p>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jc w:val="both"/>
        <w:textAlignment w:val="baseline"/>
        <w:rPr>
          <w:rFonts w:hint="eastAsia" w:ascii="宋体" w:hAnsi="宋体" w:eastAsia="宋体" w:cs="宋体"/>
          <w:i w:val="0"/>
          <w:caps w:val="0"/>
          <w:color w:val="auto"/>
          <w:spacing w:val="0"/>
          <w:sz w:val="24"/>
          <w:szCs w:val="24"/>
          <w:highlight w:val="none"/>
        </w:rPr>
      </w:pPr>
      <w:r>
        <w:rPr>
          <w:rFonts w:hint="eastAsia" w:ascii="宋体" w:hAnsi="宋体" w:eastAsia="宋体" w:cs="宋体"/>
          <w:i w:val="0"/>
          <w:caps w:val="0"/>
          <w:color w:val="auto"/>
          <w:spacing w:val="0"/>
          <w:sz w:val="24"/>
          <w:szCs w:val="24"/>
          <w:highlight w:val="none"/>
          <w:shd w:val="clear" w:fill="FFFFFF"/>
          <w:vertAlign w:val="baseline"/>
        </w:rPr>
        <w:t>时间：2022年</w:t>
      </w:r>
      <w:r>
        <w:rPr>
          <w:rFonts w:hint="eastAsia" w:ascii="宋体" w:hAnsi="宋体" w:eastAsia="宋体" w:cs="宋体"/>
          <w:i w:val="0"/>
          <w:caps w:val="0"/>
          <w:color w:val="auto"/>
          <w:spacing w:val="0"/>
          <w:sz w:val="24"/>
          <w:szCs w:val="24"/>
          <w:highlight w:val="none"/>
          <w:shd w:val="clear" w:fill="FFFFFF"/>
          <w:vertAlign w:val="baseline"/>
          <w:lang w:val="en-US" w:eastAsia="zh-CN"/>
        </w:rPr>
        <w:t>12</w:t>
      </w:r>
      <w:r>
        <w:rPr>
          <w:rFonts w:hint="eastAsia" w:ascii="宋体" w:hAnsi="宋体" w:eastAsia="宋体" w:cs="宋体"/>
          <w:i w:val="0"/>
          <w:caps w:val="0"/>
          <w:color w:val="auto"/>
          <w:spacing w:val="0"/>
          <w:sz w:val="24"/>
          <w:szCs w:val="24"/>
          <w:highlight w:val="none"/>
          <w:shd w:val="clear" w:fill="FFFFFF"/>
          <w:vertAlign w:val="baseline"/>
        </w:rPr>
        <w:t>月</w:t>
      </w:r>
      <w:r>
        <w:rPr>
          <w:rFonts w:hint="eastAsia" w:ascii="宋体" w:hAnsi="宋体" w:eastAsia="宋体" w:cs="宋体"/>
          <w:i w:val="0"/>
          <w:caps w:val="0"/>
          <w:color w:val="auto"/>
          <w:spacing w:val="0"/>
          <w:sz w:val="24"/>
          <w:szCs w:val="24"/>
          <w:highlight w:val="none"/>
          <w:shd w:val="clear" w:fill="FFFFFF"/>
          <w:vertAlign w:val="baseline"/>
          <w:lang w:val="en-US" w:eastAsia="zh-CN"/>
        </w:rPr>
        <w:t>23</w:t>
      </w:r>
      <w:r>
        <w:rPr>
          <w:rFonts w:hint="eastAsia" w:ascii="宋体" w:hAnsi="宋体" w:eastAsia="宋体" w:cs="宋体"/>
          <w:i w:val="0"/>
          <w:caps w:val="0"/>
          <w:color w:val="auto"/>
          <w:spacing w:val="0"/>
          <w:sz w:val="24"/>
          <w:szCs w:val="24"/>
          <w:highlight w:val="none"/>
          <w:shd w:val="clear" w:fill="FFFFFF"/>
          <w:vertAlign w:val="baseline"/>
        </w:rPr>
        <w:t>日至2022年12月</w:t>
      </w:r>
      <w:r>
        <w:rPr>
          <w:rFonts w:hint="eastAsia" w:ascii="宋体" w:hAnsi="宋体" w:eastAsia="宋体" w:cs="宋体"/>
          <w:i w:val="0"/>
          <w:caps w:val="0"/>
          <w:color w:val="auto"/>
          <w:spacing w:val="0"/>
          <w:sz w:val="24"/>
          <w:szCs w:val="24"/>
          <w:highlight w:val="none"/>
          <w:shd w:val="clear" w:fill="FFFFFF"/>
          <w:vertAlign w:val="baseline"/>
          <w:lang w:val="en-US" w:eastAsia="zh-CN"/>
        </w:rPr>
        <w:t>30</w:t>
      </w:r>
      <w:r>
        <w:rPr>
          <w:rFonts w:hint="eastAsia" w:ascii="宋体" w:hAnsi="宋体" w:eastAsia="宋体" w:cs="宋体"/>
          <w:i w:val="0"/>
          <w:caps w:val="0"/>
          <w:color w:val="auto"/>
          <w:spacing w:val="0"/>
          <w:sz w:val="24"/>
          <w:szCs w:val="24"/>
          <w:highlight w:val="none"/>
          <w:shd w:val="clear" w:fill="FFFFFF"/>
          <w:vertAlign w:val="baseline"/>
        </w:rPr>
        <w:t>日，每天上午09:00:00至12:00:00，下午14:00:00至17:00:00（北京时间）</w:t>
      </w:r>
    </w:p>
    <w:p>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jc w:val="both"/>
        <w:textAlignment w:val="baseline"/>
        <w:rPr>
          <w:rFonts w:hint="eastAsia" w:ascii="宋体" w:hAnsi="宋体" w:eastAsia="宋体" w:cs="宋体"/>
          <w:i w:val="0"/>
          <w:caps w:val="0"/>
          <w:color w:val="auto"/>
          <w:spacing w:val="0"/>
          <w:sz w:val="24"/>
          <w:szCs w:val="24"/>
          <w:highlight w:val="none"/>
        </w:rPr>
      </w:pPr>
      <w:r>
        <w:rPr>
          <w:rFonts w:hint="eastAsia" w:ascii="宋体" w:hAnsi="宋体" w:eastAsia="宋体" w:cs="宋体"/>
          <w:i w:val="0"/>
          <w:caps w:val="0"/>
          <w:color w:val="auto"/>
          <w:spacing w:val="0"/>
          <w:sz w:val="24"/>
          <w:szCs w:val="24"/>
          <w:highlight w:val="none"/>
          <w:shd w:val="clear" w:fill="FFFFFF"/>
          <w:vertAlign w:val="baseline"/>
        </w:rPr>
        <w:t>途径：陕西省西安市雁塔区南二环东段凯森盛世一号A座4层408室</w:t>
      </w:r>
    </w:p>
    <w:p>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jc w:val="both"/>
        <w:textAlignment w:val="baseline"/>
        <w:rPr>
          <w:rFonts w:hint="eastAsia" w:ascii="宋体" w:hAnsi="宋体" w:eastAsia="宋体" w:cs="宋体"/>
          <w:i w:val="0"/>
          <w:caps w:val="0"/>
          <w:color w:val="auto"/>
          <w:spacing w:val="0"/>
          <w:sz w:val="24"/>
          <w:szCs w:val="24"/>
          <w:highlight w:val="none"/>
        </w:rPr>
      </w:pPr>
      <w:r>
        <w:rPr>
          <w:rFonts w:hint="eastAsia" w:ascii="宋体" w:hAnsi="宋体" w:eastAsia="宋体" w:cs="宋体"/>
          <w:i w:val="0"/>
          <w:caps w:val="0"/>
          <w:color w:val="auto"/>
          <w:spacing w:val="0"/>
          <w:sz w:val="24"/>
          <w:szCs w:val="24"/>
          <w:highlight w:val="none"/>
          <w:shd w:val="clear" w:fill="FFFFFF"/>
          <w:vertAlign w:val="baseline"/>
        </w:rPr>
        <w:t>方式：现场获取</w:t>
      </w:r>
    </w:p>
    <w:p>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jc w:val="both"/>
        <w:textAlignment w:val="baseline"/>
        <w:rPr>
          <w:rFonts w:hint="eastAsia" w:ascii="宋体" w:hAnsi="宋体" w:eastAsia="宋体" w:cs="宋体"/>
          <w:i w:val="0"/>
          <w:caps w:val="0"/>
          <w:color w:val="auto"/>
          <w:spacing w:val="0"/>
          <w:sz w:val="24"/>
          <w:szCs w:val="24"/>
          <w:highlight w:val="none"/>
        </w:rPr>
      </w:pPr>
      <w:r>
        <w:rPr>
          <w:rFonts w:hint="eastAsia" w:ascii="宋体" w:hAnsi="宋体" w:eastAsia="宋体" w:cs="宋体"/>
          <w:i w:val="0"/>
          <w:caps w:val="0"/>
          <w:color w:val="auto"/>
          <w:spacing w:val="0"/>
          <w:sz w:val="24"/>
          <w:szCs w:val="24"/>
          <w:highlight w:val="none"/>
          <w:shd w:val="clear" w:fill="FFFFFF"/>
          <w:vertAlign w:val="baseline"/>
        </w:rPr>
        <w:t>售价：300元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0" w:afterAutospacing="0" w:line="360" w:lineRule="auto"/>
        <w:ind w:left="0" w:right="0" w:firstLine="0"/>
        <w:jc w:val="left"/>
        <w:textAlignment w:val="baseline"/>
        <w:rPr>
          <w:rFonts w:hint="eastAsia" w:ascii="宋体" w:hAnsi="宋体" w:eastAsia="宋体" w:cs="宋体"/>
          <w:b w:val="0"/>
          <w:i w:val="0"/>
          <w:caps w:val="0"/>
          <w:color w:val="auto"/>
          <w:spacing w:val="0"/>
          <w:sz w:val="24"/>
          <w:szCs w:val="24"/>
          <w:highlight w:val="none"/>
        </w:rPr>
      </w:pPr>
      <w:r>
        <w:rPr>
          <w:rStyle w:val="23"/>
          <w:rFonts w:hint="eastAsia" w:ascii="宋体" w:hAnsi="宋体" w:eastAsia="宋体" w:cs="宋体"/>
          <w:b/>
          <w:bCs w:val="0"/>
          <w:i w:val="0"/>
          <w:caps w:val="0"/>
          <w:color w:val="auto"/>
          <w:spacing w:val="0"/>
          <w:sz w:val="24"/>
          <w:szCs w:val="24"/>
          <w:highlight w:val="none"/>
          <w:shd w:val="clear" w:fill="FFFFFF"/>
          <w:vertAlign w:val="baseline"/>
        </w:rPr>
        <w:t>四、提交投标文件截止时间、开标时间和地点</w:t>
      </w:r>
    </w:p>
    <w:p>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jc w:val="both"/>
        <w:textAlignment w:val="baseline"/>
        <w:rPr>
          <w:rFonts w:hint="eastAsia" w:ascii="宋体" w:hAnsi="宋体" w:eastAsia="宋体" w:cs="宋体"/>
          <w:i w:val="0"/>
          <w:caps w:val="0"/>
          <w:color w:val="auto"/>
          <w:spacing w:val="0"/>
          <w:sz w:val="24"/>
          <w:szCs w:val="24"/>
          <w:highlight w:val="none"/>
        </w:rPr>
      </w:pPr>
      <w:r>
        <w:rPr>
          <w:rFonts w:hint="eastAsia" w:ascii="宋体" w:hAnsi="宋体" w:eastAsia="宋体" w:cs="宋体"/>
          <w:i w:val="0"/>
          <w:caps w:val="0"/>
          <w:color w:val="auto"/>
          <w:spacing w:val="0"/>
          <w:sz w:val="24"/>
          <w:szCs w:val="24"/>
          <w:highlight w:val="none"/>
          <w:shd w:val="clear" w:fill="FFFFFF"/>
          <w:vertAlign w:val="baseline"/>
        </w:rPr>
        <w:t>时间：</w:t>
      </w:r>
      <w:r>
        <w:rPr>
          <w:rFonts w:hint="eastAsia" w:ascii="宋体" w:hAnsi="宋体" w:eastAsia="宋体" w:cs="宋体"/>
          <w:i w:val="0"/>
          <w:caps w:val="0"/>
          <w:color w:val="auto"/>
          <w:spacing w:val="0"/>
          <w:sz w:val="24"/>
          <w:szCs w:val="24"/>
          <w:highlight w:val="none"/>
          <w:shd w:val="clear" w:fill="FFFFFF"/>
          <w:vertAlign w:val="baseline"/>
          <w:lang w:eastAsia="zh-CN"/>
        </w:rPr>
        <w:t>2023年1月13日 15时00分00秒</w:t>
      </w:r>
      <w:r>
        <w:rPr>
          <w:rFonts w:hint="eastAsia" w:ascii="宋体" w:hAnsi="宋体" w:eastAsia="宋体" w:cs="宋体"/>
          <w:i w:val="0"/>
          <w:caps w:val="0"/>
          <w:color w:val="auto"/>
          <w:spacing w:val="0"/>
          <w:sz w:val="24"/>
          <w:szCs w:val="24"/>
          <w:highlight w:val="none"/>
          <w:shd w:val="clear" w:fill="FFFFFF"/>
          <w:vertAlign w:val="baseline"/>
        </w:rPr>
        <w:t> （北京时间）</w:t>
      </w:r>
    </w:p>
    <w:p>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jc w:val="both"/>
        <w:textAlignment w:val="baseline"/>
        <w:rPr>
          <w:rFonts w:hint="eastAsia" w:ascii="宋体" w:hAnsi="宋体" w:eastAsia="宋体" w:cs="宋体"/>
          <w:i w:val="0"/>
          <w:caps w:val="0"/>
          <w:color w:val="auto"/>
          <w:spacing w:val="0"/>
          <w:sz w:val="24"/>
          <w:szCs w:val="24"/>
          <w:highlight w:val="none"/>
        </w:rPr>
      </w:pPr>
      <w:r>
        <w:rPr>
          <w:rFonts w:hint="eastAsia" w:ascii="宋体" w:hAnsi="宋体" w:eastAsia="宋体" w:cs="宋体"/>
          <w:i w:val="0"/>
          <w:caps w:val="0"/>
          <w:color w:val="auto"/>
          <w:spacing w:val="0"/>
          <w:sz w:val="24"/>
          <w:szCs w:val="24"/>
          <w:highlight w:val="none"/>
          <w:shd w:val="clear" w:fill="FFFFFF"/>
          <w:vertAlign w:val="baseline"/>
        </w:rPr>
        <w:t>提交投标文件地点：西安市雁塔区南二环凯森盛世1号A座408室</w:t>
      </w:r>
    </w:p>
    <w:p>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jc w:val="both"/>
        <w:textAlignment w:val="baseline"/>
        <w:rPr>
          <w:rFonts w:hint="eastAsia" w:ascii="宋体" w:hAnsi="宋体" w:eastAsia="宋体" w:cs="宋体"/>
          <w:i w:val="0"/>
          <w:caps w:val="0"/>
          <w:color w:val="auto"/>
          <w:spacing w:val="0"/>
          <w:sz w:val="24"/>
          <w:szCs w:val="24"/>
          <w:highlight w:val="none"/>
        </w:rPr>
      </w:pPr>
      <w:r>
        <w:rPr>
          <w:rFonts w:hint="eastAsia" w:ascii="宋体" w:hAnsi="宋体" w:eastAsia="宋体" w:cs="宋体"/>
          <w:i w:val="0"/>
          <w:caps w:val="0"/>
          <w:color w:val="auto"/>
          <w:spacing w:val="0"/>
          <w:sz w:val="24"/>
          <w:szCs w:val="24"/>
          <w:highlight w:val="none"/>
          <w:shd w:val="clear" w:fill="FFFFFF"/>
          <w:vertAlign w:val="baseline"/>
        </w:rPr>
        <w:t>开标地点：西安市雁塔区南二环凯森盛世1号A座408室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0" w:afterAutospacing="0" w:line="360" w:lineRule="auto"/>
        <w:ind w:left="0" w:right="0" w:firstLine="0"/>
        <w:jc w:val="left"/>
        <w:textAlignment w:val="baseline"/>
        <w:rPr>
          <w:rFonts w:hint="eastAsia" w:ascii="宋体" w:hAnsi="宋体" w:eastAsia="宋体" w:cs="宋体"/>
          <w:b w:val="0"/>
          <w:i w:val="0"/>
          <w:caps w:val="0"/>
          <w:color w:val="auto"/>
          <w:spacing w:val="0"/>
          <w:sz w:val="24"/>
          <w:szCs w:val="24"/>
          <w:highlight w:val="none"/>
        </w:rPr>
      </w:pPr>
      <w:r>
        <w:rPr>
          <w:rStyle w:val="23"/>
          <w:rFonts w:hint="eastAsia" w:ascii="宋体" w:hAnsi="宋体" w:eastAsia="宋体" w:cs="宋体"/>
          <w:b/>
          <w:bCs w:val="0"/>
          <w:i w:val="0"/>
          <w:caps w:val="0"/>
          <w:color w:val="auto"/>
          <w:spacing w:val="0"/>
          <w:sz w:val="24"/>
          <w:szCs w:val="24"/>
          <w:highlight w:val="none"/>
          <w:shd w:val="clear" w:fill="FFFFFF"/>
          <w:vertAlign w:val="baseline"/>
        </w:rPr>
        <w:t>五、公告期限</w:t>
      </w:r>
    </w:p>
    <w:p>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jc w:val="both"/>
        <w:textAlignment w:val="baseline"/>
        <w:rPr>
          <w:rFonts w:hint="eastAsia" w:ascii="宋体" w:hAnsi="宋体" w:eastAsia="宋体" w:cs="宋体"/>
          <w:i w:val="0"/>
          <w:caps w:val="0"/>
          <w:color w:val="auto"/>
          <w:spacing w:val="0"/>
          <w:sz w:val="24"/>
          <w:szCs w:val="24"/>
          <w:highlight w:val="none"/>
        </w:rPr>
      </w:pPr>
      <w:r>
        <w:rPr>
          <w:rFonts w:hint="eastAsia" w:ascii="宋体" w:hAnsi="宋体" w:eastAsia="宋体" w:cs="宋体"/>
          <w:i w:val="0"/>
          <w:caps w:val="0"/>
          <w:color w:val="auto"/>
          <w:spacing w:val="0"/>
          <w:sz w:val="24"/>
          <w:szCs w:val="24"/>
          <w:highlight w:val="none"/>
          <w:shd w:val="clear" w:fill="FFFFFF"/>
          <w:vertAlign w:val="baseline"/>
        </w:rPr>
        <w:t>自本公告发布之日起5个工作日。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0" w:afterAutospacing="0" w:line="360" w:lineRule="auto"/>
        <w:ind w:left="0" w:right="0" w:firstLine="0"/>
        <w:jc w:val="left"/>
        <w:textAlignment w:val="baseline"/>
        <w:rPr>
          <w:rFonts w:hint="eastAsia" w:ascii="宋体" w:hAnsi="宋体" w:eastAsia="宋体" w:cs="宋体"/>
          <w:b w:val="0"/>
          <w:i w:val="0"/>
          <w:caps w:val="0"/>
          <w:color w:val="auto"/>
          <w:spacing w:val="0"/>
          <w:sz w:val="24"/>
          <w:szCs w:val="24"/>
          <w:highlight w:val="none"/>
        </w:rPr>
      </w:pPr>
      <w:r>
        <w:rPr>
          <w:rStyle w:val="23"/>
          <w:rFonts w:hint="eastAsia" w:ascii="宋体" w:hAnsi="宋体" w:eastAsia="宋体" w:cs="宋体"/>
          <w:b/>
          <w:bCs w:val="0"/>
          <w:i w:val="0"/>
          <w:caps w:val="0"/>
          <w:color w:val="auto"/>
          <w:spacing w:val="0"/>
          <w:sz w:val="24"/>
          <w:szCs w:val="24"/>
          <w:highlight w:val="none"/>
          <w:shd w:val="clear" w:fill="FFFFFF"/>
          <w:vertAlign w:val="baseline"/>
        </w:rPr>
        <w:t>六、其他补充事宜</w:t>
      </w:r>
    </w:p>
    <w:p>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jc w:val="both"/>
        <w:textAlignment w:val="baseline"/>
        <w:rPr>
          <w:rFonts w:hint="eastAsia" w:ascii="宋体" w:hAnsi="宋体" w:eastAsia="宋体" w:cs="宋体"/>
          <w:color w:val="auto"/>
          <w:sz w:val="24"/>
          <w:szCs w:val="24"/>
          <w:highlight w:val="none"/>
        </w:rPr>
      </w:pPr>
      <w:r>
        <w:rPr>
          <w:rFonts w:hint="eastAsia" w:ascii="宋体" w:hAnsi="宋体" w:eastAsia="宋体" w:cs="宋体"/>
          <w:i w:val="0"/>
          <w:caps w:val="0"/>
          <w:color w:val="auto"/>
          <w:spacing w:val="0"/>
          <w:sz w:val="24"/>
          <w:szCs w:val="24"/>
          <w:highlight w:val="none"/>
          <w:shd w:val="clear" w:fill="FFFFFF"/>
          <w:vertAlign w:val="baseline"/>
        </w:rPr>
        <w:t>1、招标文件售价300元/合同包。</w:t>
      </w:r>
    </w:p>
    <w:p>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jc w:val="both"/>
        <w:textAlignment w:val="baseline"/>
        <w:rPr>
          <w:rFonts w:hint="eastAsia" w:ascii="宋体" w:hAnsi="宋体" w:eastAsia="宋体" w:cs="宋体"/>
          <w:color w:val="auto"/>
          <w:sz w:val="24"/>
          <w:szCs w:val="24"/>
          <w:highlight w:val="none"/>
        </w:rPr>
      </w:pPr>
      <w:r>
        <w:rPr>
          <w:rFonts w:hint="eastAsia" w:ascii="宋体" w:hAnsi="宋体" w:eastAsia="宋体" w:cs="宋体"/>
          <w:i w:val="0"/>
          <w:caps w:val="0"/>
          <w:color w:val="auto"/>
          <w:spacing w:val="0"/>
          <w:sz w:val="24"/>
          <w:szCs w:val="24"/>
          <w:highlight w:val="none"/>
          <w:shd w:val="clear" w:fill="FFFFFF"/>
          <w:vertAlign w:val="baseline"/>
        </w:rPr>
        <w:t>2、获取招标文件请携带单位介绍信原件（须注明：联系人、联系电话、项目编号）、经办人身份证原件及复印件加盖公章一份。</w:t>
      </w:r>
    </w:p>
    <w:p>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jc w:val="both"/>
        <w:textAlignment w:val="baseline"/>
        <w:rPr>
          <w:rFonts w:hint="eastAsia" w:ascii="宋体" w:hAnsi="宋体" w:eastAsia="宋体" w:cs="宋体"/>
          <w:color w:val="auto"/>
          <w:sz w:val="24"/>
          <w:szCs w:val="24"/>
          <w:highlight w:val="none"/>
        </w:rPr>
      </w:pPr>
      <w:r>
        <w:rPr>
          <w:rFonts w:hint="eastAsia" w:ascii="宋体" w:hAnsi="宋体" w:eastAsia="宋体" w:cs="宋体"/>
          <w:i w:val="0"/>
          <w:caps w:val="0"/>
          <w:color w:val="auto"/>
          <w:spacing w:val="0"/>
          <w:sz w:val="24"/>
          <w:szCs w:val="24"/>
          <w:highlight w:val="none"/>
          <w:shd w:val="clear" w:fill="FFFFFF"/>
          <w:vertAlign w:val="baseline"/>
        </w:rPr>
        <w:t>3、请投标人按照陕西省财政厅关于政府采购供应商注册登记有关事项的通知中的要求，通过陕西省政府采购网（http://www.ccgp-shaanxi.gov.cn/）注册登记加入陕西省政府采购供应商库。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0" w:afterAutospacing="0" w:line="360" w:lineRule="auto"/>
        <w:ind w:left="0" w:right="0" w:firstLine="0"/>
        <w:jc w:val="left"/>
        <w:textAlignment w:val="baseline"/>
        <w:rPr>
          <w:rFonts w:hint="eastAsia" w:ascii="宋体" w:hAnsi="宋体" w:eastAsia="宋体" w:cs="宋体"/>
          <w:b w:val="0"/>
          <w:i w:val="0"/>
          <w:caps w:val="0"/>
          <w:color w:val="auto"/>
          <w:spacing w:val="0"/>
          <w:sz w:val="24"/>
          <w:szCs w:val="24"/>
          <w:highlight w:val="none"/>
        </w:rPr>
      </w:pPr>
      <w:r>
        <w:rPr>
          <w:rStyle w:val="23"/>
          <w:rFonts w:hint="eastAsia" w:ascii="宋体" w:hAnsi="宋体" w:eastAsia="宋体" w:cs="宋体"/>
          <w:b/>
          <w:bCs w:val="0"/>
          <w:i w:val="0"/>
          <w:caps w:val="0"/>
          <w:color w:val="auto"/>
          <w:spacing w:val="0"/>
          <w:sz w:val="24"/>
          <w:szCs w:val="24"/>
          <w:highlight w:val="none"/>
          <w:shd w:val="clear" w:fill="FFFFFF"/>
          <w:vertAlign w:val="baseline"/>
        </w:rPr>
        <w:t>七、对本次招标提出询问，请按以下方式联系。</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jc w:val="left"/>
        <w:textAlignment w:val="baseline"/>
        <w:rPr>
          <w:rFonts w:hint="eastAsia" w:ascii="宋体" w:hAnsi="宋体" w:eastAsia="宋体" w:cs="宋体"/>
          <w:b w:val="0"/>
          <w:color w:val="auto"/>
          <w:sz w:val="24"/>
          <w:szCs w:val="24"/>
          <w:highlight w:val="none"/>
        </w:rPr>
      </w:pPr>
      <w:r>
        <w:rPr>
          <w:rFonts w:hint="eastAsia" w:ascii="宋体" w:hAnsi="宋体" w:eastAsia="宋体" w:cs="宋体"/>
          <w:b w:val="0"/>
          <w:i w:val="0"/>
          <w:caps w:val="0"/>
          <w:color w:val="auto"/>
          <w:spacing w:val="0"/>
          <w:sz w:val="24"/>
          <w:szCs w:val="24"/>
          <w:highlight w:val="none"/>
          <w:shd w:val="clear" w:fill="FFFFFF"/>
          <w:vertAlign w:val="baseline"/>
        </w:rPr>
        <w:t>1.采购人信息</w:t>
      </w:r>
    </w:p>
    <w:p>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jc w:val="both"/>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i w:val="0"/>
          <w:caps w:val="0"/>
          <w:color w:val="auto"/>
          <w:spacing w:val="0"/>
          <w:sz w:val="24"/>
          <w:szCs w:val="24"/>
          <w:highlight w:val="none"/>
          <w:shd w:val="clear" w:fill="FFFFFF"/>
          <w:vertAlign w:val="baseline"/>
        </w:rPr>
        <w:t>名称：</w:t>
      </w:r>
      <w:r>
        <w:rPr>
          <w:rFonts w:hint="eastAsia" w:ascii="宋体" w:hAnsi="宋体" w:eastAsia="宋体" w:cs="宋体"/>
          <w:i w:val="0"/>
          <w:caps w:val="0"/>
          <w:color w:val="auto"/>
          <w:spacing w:val="0"/>
          <w:sz w:val="24"/>
          <w:szCs w:val="24"/>
          <w:highlight w:val="none"/>
          <w:shd w:val="clear" w:fill="FFFFFF"/>
          <w:vertAlign w:val="baseline"/>
          <w:lang w:eastAsia="zh-CN"/>
        </w:rPr>
        <w:t>西安美术学院</w:t>
      </w:r>
    </w:p>
    <w:p>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jc w:val="both"/>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i w:val="0"/>
          <w:caps w:val="0"/>
          <w:color w:val="auto"/>
          <w:spacing w:val="0"/>
          <w:sz w:val="24"/>
          <w:szCs w:val="24"/>
          <w:highlight w:val="none"/>
          <w:shd w:val="clear" w:fill="FFFFFF"/>
          <w:vertAlign w:val="baseline"/>
        </w:rPr>
        <w:t>地址：</w:t>
      </w:r>
      <w:r>
        <w:rPr>
          <w:rFonts w:hint="eastAsia" w:ascii="宋体" w:hAnsi="宋体" w:eastAsia="宋体" w:cs="宋体"/>
          <w:i w:val="0"/>
          <w:caps w:val="0"/>
          <w:color w:val="auto"/>
          <w:spacing w:val="0"/>
          <w:sz w:val="24"/>
          <w:szCs w:val="24"/>
          <w:highlight w:val="none"/>
          <w:shd w:val="clear" w:fill="FFFFFF"/>
          <w:vertAlign w:val="baseline"/>
          <w:lang w:eastAsia="zh-CN"/>
        </w:rPr>
        <w:t>西安市雁塔区含光路100号西安美术学院</w:t>
      </w:r>
    </w:p>
    <w:p>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jc w:val="both"/>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i w:val="0"/>
          <w:caps w:val="0"/>
          <w:color w:val="auto"/>
          <w:spacing w:val="0"/>
          <w:sz w:val="24"/>
          <w:szCs w:val="24"/>
          <w:highlight w:val="none"/>
          <w:shd w:val="clear" w:fill="FFFFFF"/>
          <w:vertAlign w:val="baseline"/>
        </w:rPr>
        <w:t>联系方式：</w:t>
      </w:r>
      <w:r>
        <w:rPr>
          <w:rFonts w:hint="eastAsia" w:ascii="宋体" w:hAnsi="宋体" w:eastAsia="宋体" w:cs="宋体"/>
          <w:i w:val="0"/>
          <w:caps w:val="0"/>
          <w:color w:val="auto"/>
          <w:spacing w:val="0"/>
          <w:sz w:val="24"/>
          <w:szCs w:val="24"/>
          <w:highlight w:val="none"/>
          <w:shd w:val="clear" w:fill="FFFFFF"/>
          <w:vertAlign w:val="baseline"/>
          <w:lang w:eastAsia="zh-CN"/>
        </w:rPr>
        <w:t>029-88214244</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jc w:val="left"/>
        <w:textAlignment w:val="baseline"/>
        <w:rPr>
          <w:rFonts w:hint="eastAsia" w:ascii="宋体" w:hAnsi="宋体" w:eastAsia="宋体" w:cs="宋体"/>
          <w:b w:val="0"/>
          <w:color w:val="auto"/>
          <w:sz w:val="24"/>
          <w:szCs w:val="24"/>
          <w:highlight w:val="none"/>
        </w:rPr>
      </w:pPr>
      <w:r>
        <w:rPr>
          <w:rFonts w:hint="eastAsia" w:ascii="宋体" w:hAnsi="宋体" w:eastAsia="宋体" w:cs="宋体"/>
          <w:b w:val="0"/>
          <w:i w:val="0"/>
          <w:caps w:val="0"/>
          <w:color w:val="auto"/>
          <w:spacing w:val="0"/>
          <w:sz w:val="24"/>
          <w:szCs w:val="24"/>
          <w:highlight w:val="none"/>
          <w:shd w:val="clear" w:fill="FFFFFF"/>
          <w:vertAlign w:val="baseline"/>
        </w:rPr>
        <w:t>2.采购代理机构信息</w:t>
      </w:r>
    </w:p>
    <w:p>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jc w:val="both"/>
        <w:textAlignment w:val="baseline"/>
        <w:rPr>
          <w:rFonts w:hint="eastAsia" w:ascii="宋体" w:hAnsi="宋体" w:eastAsia="宋体" w:cs="宋体"/>
          <w:color w:val="auto"/>
          <w:sz w:val="24"/>
          <w:szCs w:val="24"/>
          <w:highlight w:val="none"/>
        </w:rPr>
      </w:pPr>
      <w:r>
        <w:rPr>
          <w:rFonts w:hint="eastAsia" w:ascii="宋体" w:hAnsi="宋体" w:eastAsia="宋体" w:cs="宋体"/>
          <w:i w:val="0"/>
          <w:caps w:val="0"/>
          <w:color w:val="auto"/>
          <w:spacing w:val="0"/>
          <w:sz w:val="24"/>
          <w:szCs w:val="24"/>
          <w:highlight w:val="none"/>
          <w:shd w:val="clear" w:fill="FFFFFF"/>
          <w:vertAlign w:val="baseline"/>
        </w:rPr>
        <w:t>名称：陕西正鸿招标有限公司</w:t>
      </w:r>
    </w:p>
    <w:p>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jc w:val="both"/>
        <w:textAlignment w:val="baseline"/>
        <w:rPr>
          <w:rFonts w:hint="eastAsia" w:ascii="宋体" w:hAnsi="宋体" w:eastAsia="宋体" w:cs="宋体"/>
          <w:color w:val="auto"/>
          <w:sz w:val="24"/>
          <w:szCs w:val="24"/>
          <w:highlight w:val="none"/>
        </w:rPr>
      </w:pPr>
      <w:r>
        <w:rPr>
          <w:rFonts w:hint="eastAsia" w:ascii="宋体" w:hAnsi="宋体" w:eastAsia="宋体" w:cs="宋体"/>
          <w:i w:val="0"/>
          <w:caps w:val="0"/>
          <w:color w:val="auto"/>
          <w:spacing w:val="0"/>
          <w:sz w:val="24"/>
          <w:szCs w:val="24"/>
          <w:highlight w:val="none"/>
          <w:shd w:val="clear" w:fill="FFFFFF"/>
          <w:vertAlign w:val="baseline"/>
        </w:rPr>
        <w:t>地址：陕西省西安市雁塔区南二环凯森盛世一号A座4层408室</w:t>
      </w:r>
    </w:p>
    <w:p>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jc w:val="both"/>
        <w:textAlignment w:val="baseline"/>
        <w:rPr>
          <w:rFonts w:hint="eastAsia" w:ascii="宋体" w:hAnsi="宋体" w:eastAsia="宋体" w:cs="宋体"/>
          <w:color w:val="auto"/>
          <w:sz w:val="24"/>
          <w:szCs w:val="24"/>
          <w:highlight w:val="none"/>
        </w:rPr>
      </w:pPr>
      <w:r>
        <w:rPr>
          <w:rFonts w:hint="eastAsia" w:ascii="宋体" w:hAnsi="宋体" w:eastAsia="宋体" w:cs="宋体"/>
          <w:i w:val="0"/>
          <w:caps w:val="0"/>
          <w:color w:val="auto"/>
          <w:spacing w:val="0"/>
          <w:sz w:val="24"/>
          <w:szCs w:val="24"/>
          <w:highlight w:val="none"/>
          <w:shd w:val="clear" w:fill="FFFFFF"/>
          <w:vertAlign w:val="baseline"/>
        </w:rPr>
        <w:t>联系方式：029-89338755/81511576转804</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jc w:val="left"/>
        <w:textAlignment w:val="baseline"/>
        <w:rPr>
          <w:rFonts w:hint="eastAsia" w:ascii="宋体" w:hAnsi="宋体" w:eastAsia="宋体" w:cs="宋体"/>
          <w:b w:val="0"/>
          <w:color w:val="auto"/>
          <w:sz w:val="24"/>
          <w:szCs w:val="24"/>
          <w:highlight w:val="none"/>
        </w:rPr>
      </w:pPr>
      <w:r>
        <w:rPr>
          <w:rFonts w:hint="eastAsia" w:ascii="宋体" w:hAnsi="宋体" w:eastAsia="宋体" w:cs="宋体"/>
          <w:b w:val="0"/>
          <w:i w:val="0"/>
          <w:caps w:val="0"/>
          <w:color w:val="auto"/>
          <w:spacing w:val="0"/>
          <w:sz w:val="24"/>
          <w:szCs w:val="24"/>
          <w:highlight w:val="none"/>
          <w:shd w:val="clear" w:fill="FFFFFF"/>
          <w:vertAlign w:val="baseline"/>
        </w:rPr>
        <w:t>3.项目联系方式</w:t>
      </w:r>
    </w:p>
    <w:p>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jc w:val="both"/>
        <w:textAlignment w:val="baseline"/>
        <w:rPr>
          <w:rFonts w:hint="eastAsia" w:ascii="宋体" w:hAnsi="宋体" w:eastAsia="宋体" w:cs="宋体"/>
          <w:color w:val="auto"/>
          <w:sz w:val="24"/>
          <w:szCs w:val="24"/>
          <w:highlight w:val="none"/>
        </w:rPr>
      </w:pPr>
      <w:r>
        <w:rPr>
          <w:rFonts w:hint="eastAsia" w:ascii="宋体" w:hAnsi="宋体" w:eastAsia="宋体" w:cs="宋体"/>
          <w:i w:val="0"/>
          <w:caps w:val="0"/>
          <w:color w:val="auto"/>
          <w:spacing w:val="0"/>
          <w:sz w:val="24"/>
          <w:szCs w:val="24"/>
          <w:highlight w:val="none"/>
          <w:shd w:val="clear" w:fill="FFFFFF"/>
          <w:vertAlign w:val="baseline"/>
        </w:rPr>
        <w:t>项目联系人：王倩倩、</w:t>
      </w:r>
      <w:r>
        <w:rPr>
          <w:rFonts w:hint="eastAsia" w:ascii="宋体" w:hAnsi="宋体" w:eastAsia="宋体" w:cs="宋体"/>
          <w:i w:val="0"/>
          <w:caps w:val="0"/>
          <w:color w:val="auto"/>
          <w:spacing w:val="0"/>
          <w:sz w:val="24"/>
          <w:szCs w:val="24"/>
          <w:highlight w:val="none"/>
          <w:shd w:val="clear" w:fill="FFFFFF"/>
          <w:vertAlign w:val="baseline"/>
          <w:lang w:eastAsia="zh-CN"/>
        </w:rPr>
        <w:t>高欢欢</w:t>
      </w:r>
      <w:r>
        <w:rPr>
          <w:rFonts w:hint="eastAsia" w:ascii="宋体" w:hAnsi="宋体" w:eastAsia="宋体" w:cs="宋体"/>
          <w:i w:val="0"/>
          <w:caps w:val="0"/>
          <w:color w:val="auto"/>
          <w:spacing w:val="0"/>
          <w:sz w:val="24"/>
          <w:szCs w:val="24"/>
          <w:highlight w:val="none"/>
          <w:shd w:val="clear" w:fill="FFFFFF"/>
          <w:vertAlign w:val="baseline"/>
        </w:rPr>
        <w:t>、卫钰</w:t>
      </w:r>
    </w:p>
    <w:p>
      <w:pPr>
        <w:pStyle w:val="18"/>
        <w:spacing w:before="0" w:beforeAutospacing="0" w:after="0" w:afterAutospacing="0" w:line="510" w:lineRule="atLeast"/>
        <w:ind w:firstLine="420"/>
        <w:rPr>
          <w:color w:val="auto"/>
          <w:highlight w:val="none"/>
        </w:rPr>
      </w:pPr>
      <w:r>
        <w:rPr>
          <w:rFonts w:hint="eastAsia" w:ascii="宋体" w:hAnsi="宋体" w:eastAsia="宋体" w:cs="宋体"/>
          <w:i w:val="0"/>
          <w:caps w:val="0"/>
          <w:color w:val="auto"/>
          <w:spacing w:val="0"/>
          <w:sz w:val="24"/>
          <w:szCs w:val="24"/>
          <w:highlight w:val="none"/>
          <w:shd w:val="clear" w:fill="FFFFFF"/>
          <w:vertAlign w:val="baseline"/>
        </w:rPr>
        <w:t>电话：029-89338755/81511576转804</w:t>
      </w:r>
    </w:p>
    <w:p>
      <w:pPr>
        <w:spacing w:line="500" w:lineRule="exact"/>
        <w:jc w:val="center"/>
        <w:rPr>
          <w:rFonts w:hAnsi="宋体" w:cs="宋体"/>
          <w:color w:val="auto"/>
          <w:highlight w:val="none"/>
        </w:rPr>
      </w:pPr>
    </w:p>
    <w:p>
      <w:pPr>
        <w:jc w:val="center"/>
        <w:rPr>
          <w:rFonts w:hAnsi="宋体" w:cs="宋体"/>
          <w:color w:val="auto"/>
          <w:highlight w:val="none"/>
        </w:rPr>
      </w:pPr>
    </w:p>
    <w:p>
      <w:pPr>
        <w:pStyle w:val="15"/>
        <w:rPr>
          <w:rFonts w:hAnsi="宋体" w:cs="宋体"/>
          <w:color w:val="auto"/>
          <w:highlight w:val="none"/>
        </w:rPr>
      </w:pPr>
    </w:p>
    <w:p>
      <w:pPr>
        <w:pStyle w:val="3"/>
        <w:bidi w:val="0"/>
        <w:rPr>
          <w:rStyle w:val="26"/>
          <w:b/>
          <w:color w:val="auto"/>
          <w:sz w:val="36"/>
          <w:szCs w:val="36"/>
          <w:highlight w:val="none"/>
        </w:rPr>
      </w:pPr>
      <w:bookmarkStart w:id="13" w:name="_Toc2929"/>
      <w:bookmarkStart w:id="14" w:name="_Toc389582035"/>
      <w:bookmarkStart w:id="15" w:name="_Toc426457692"/>
      <w:bookmarkStart w:id="16" w:name="_Toc1397"/>
      <w:bookmarkStart w:id="17" w:name="_Toc30304"/>
      <w:bookmarkStart w:id="18" w:name="_Toc18964"/>
      <w:r>
        <w:rPr>
          <w:rStyle w:val="26"/>
          <w:rFonts w:hint="eastAsia"/>
          <w:b/>
          <w:color w:val="auto"/>
          <w:sz w:val="36"/>
          <w:szCs w:val="36"/>
          <w:highlight w:val="none"/>
        </w:rPr>
        <w:t xml:space="preserve">第二章  </w:t>
      </w:r>
      <w:bookmarkEnd w:id="13"/>
      <w:bookmarkEnd w:id="14"/>
      <w:r>
        <w:rPr>
          <w:rStyle w:val="26"/>
          <w:rFonts w:hint="eastAsia"/>
          <w:b/>
          <w:color w:val="auto"/>
          <w:sz w:val="36"/>
          <w:szCs w:val="36"/>
          <w:highlight w:val="none"/>
        </w:rPr>
        <w:t>投标人须知</w:t>
      </w:r>
      <w:bookmarkEnd w:id="15"/>
      <w:bookmarkEnd w:id="16"/>
    </w:p>
    <w:bookmarkEnd w:id="17"/>
    <w:bookmarkEnd w:id="18"/>
    <w:p>
      <w:pPr>
        <w:pStyle w:val="4"/>
        <w:rPr>
          <w:color w:val="auto"/>
          <w:highlight w:val="none"/>
        </w:rPr>
      </w:pPr>
      <w:bookmarkStart w:id="19" w:name="_Toc11975"/>
      <w:bookmarkStart w:id="20" w:name="_Toc30222"/>
      <w:bookmarkStart w:id="21" w:name="_Toc23108"/>
      <w:bookmarkStart w:id="22" w:name="_Toc426457693"/>
      <w:bookmarkStart w:id="23" w:name="_Toc13421"/>
      <w:bookmarkStart w:id="24" w:name="_Toc7400"/>
      <w:r>
        <w:rPr>
          <w:rFonts w:hint="eastAsia"/>
          <w:color w:val="auto"/>
          <w:highlight w:val="none"/>
        </w:rPr>
        <w:t>投标人须知前附表</w:t>
      </w:r>
      <w:bookmarkEnd w:id="19"/>
      <w:bookmarkEnd w:id="20"/>
      <w:bookmarkEnd w:id="21"/>
      <w:bookmarkEnd w:id="22"/>
      <w:bookmarkEnd w:id="23"/>
      <w:bookmarkEnd w:id="24"/>
    </w:p>
    <w:tbl>
      <w:tblPr>
        <w:tblStyle w:val="20"/>
        <w:tblW w:w="9343"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40"/>
        <w:gridCol w:w="1826"/>
        <w:gridCol w:w="667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14" w:hRule="atLeast"/>
          <w:tblHeader/>
          <w:jc w:val="center"/>
        </w:trPr>
        <w:tc>
          <w:tcPr>
            <w:tcW w:w="840" w:type="dxa"/>
            <w:vAlign w:val="center"/>
          </w:tcPr>
          <w:p>
            <w:pPr>
              <w:pStyle w:val="30"/>
              <w:spacing w:line="360" w:lineRule="auto"/>
              <w:rPr>
                <w:rFonts w:hint="eastAsia" w:ascii="宋体" w:hAnsi="宋体" w:eastAsia="宋体" w:cs="宋体"/>
                <w:b/>
                <w:bCs/>
                <w:color w:val="auto"/>
                <w:highlight w:val="none"/>
              </w:rPr>
            </w:pPr>
            <w:r>
              <w:rPr>
                <w:rFonts w:hint="eastAsia" w:ascii="宋体" w:hAnsi="宋体" w:eastAsia="宋体" w:cs="宋体"/>
                <w:b/>
                <w:bCs/>
                <w:color w:val="auto"/>
                <w:highlight w:val="none"/>
              </w:rPr>
              <w:t>条款号</w:t>
            </w:r>
          </w:p>
        </w:tc>
        <w:tc>
          <w:tcPr>
            <w:tcW w:w="1826" w:type="dxa"/>
            <w:vAlign w:val="center"/>
          </w:tcPr>
          <w:p>
            <w:pPr>
              <w:pStyle w:val="30"/>
              <w:spacing w:line="360" w:lineRule="auto"/>
              <w:rPr>
                <w:rFonts w:hint="eastAsia" w:ascii="宋体" w:hAnsi="宋体" w:eastAsia="宋体" w:cs="宋体"/>
                <w:b/>
                <w:bCs/>
                <w:color w:val="auto"/>
                <w:highlight w:val="none"/>
              </w:rPr>
            </w:pPr>
            <w:r>
              <w:rPr>
                <w:rFonts w:hint="eastAsia" w:ascii="宋体" w:hAnsi="宋体" w:eastAsia="宋体" w:cs="宋体"/>
                <w:b/>
                <w:bCs/>
                <w:color w:val="auto"/>
                <w:highlight w:val="none"/>
              </w:rPr>
              <w:t>条款内容</w:t>
            </w:r>
          </w:p>
        </w:tc>
        <w:tc>
          <w:tcPr>
            <w:tcW w:w="6677" w:type="dxa"/>
            <w:vAlign w:val="center"/>
          </w:tcPr>
          <w:p>
            <w:pPr>
              <w:pStyle w:val="30"/>
              <w:spacing w:line="360" w:lineRule="auto"/>
              <w:rPr>
                <w:rFonts w:hint="eastAsia" w:ascii="宋体" w:hAnsi="宋体" w:eastAsia="宋体" w:cs="宋体"/>
                <w:b/>
                <w:bCs/>
                <w:color w:val="auto"/>
                <w:highlight w:val="none"/>
              </w:rPr>
            </w:pPr>
            <w:r>
              <w:rPr>
                <w:rFonts w:hint="eastAsia" w:ascii="宋体" w:hAnsi="宋体" w:eastAsia="宋体" w:cs="宋体"/>
                <w:b/>
                <w:bCs/>
                <w:color w:val="auto"/>
                <w:highlight w:val="none"/>
              </w:rPr>
              <w:t>编 列 内 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12" w:hRule="atLeast"/>
          <w:jc w:val="center"/>
        </w:trPr>
        <w:tc>
          <w:tcPr>
            <w:tcW w:w="840" w:type="dxa"/>
            <w:vAlign w:val="center"/>
          </w:tcPr>
          <w:p>
            <w:pPr>
              <w:pStyle w:val="3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w:t>
            </w:r>
          </w:p>
        </w:tc>
        <w:tc>
          <w:tcPr>
            <w:tcW w:w="1826" w:type="dxa"/>
            <w:vAlign w:val="center"/>
          </w:tcPr>
          <w:p>
            <w:pPr>
              <w:pStyle w:val="3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项目名称</w:t>
            </w:r>
          </w:p>
        </w:tc>
        <w:tc>
          <w:tcPr>
            <w:tcW w:w="6677" w:type="dxa"/>
          </w:tcPr>
          <w:p>
            <w:pPr>
              <w:pStyle w:val="30"/>
              <w:spacing w:line="360" w:lineRule="auto"/>
              <w:jc w:val="left"/>
              <w:rPr>
                <w:rFonts w:hint="eastAsia" w:ascii="宋体" w:hAnsi="宋体" w:eastAsia="宋体" w:cs="宋体"/>
                <w:color w:val="auto"/>
                <w:highlight w:val="none"/>
              </w:rPr>
            </w:pPr>
            <w:r>
              <w:rPr>
                <w:rFonts w:hint="eastAsia" w:cs="宋体"/>
                <w:color w:val="auto"/>
                <w:highlight w:val="none"/>
                <w:lang w:val="zh-CN"/>
              </w:rPr>
              <w:t>西安美术学院2023年图书采购项目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12" w:hRule="atLeast"/>
          <w:jc w:val="center"/>
        </w:trPr>
        <w:tc>
          <w:tcPr>
            <w:tcW w:w="840" w:type="dxa"/>
            <w:vAlign w:val="center"/>
          </w:tcPr>
          <w:p>
            <w:pPr>
              <w:pStyle w:val="30"/>
              <w:spacing w:line="360" w:lineRule="auto"/>
              <w:rPr>
                <w:rFonts w:hint="eastAsia" w:ascii="宋体" w:hAnsi="宋体" w:eastAsia="宋体" w:cs="宋体"/>
                <w:color w:val="auto"/>
                <w:highlight w:val="none"/>
              </w:rPr>
            </w:pPr>
            <w:r>
              <w:rPr>
                <w:rFonts w:hint="eastAsia"/>
                <w:color w:val="auto"/>
                <w:highlight w:val="none"/>
              </w:rPr>
              <w:t>2</w:t>
            </w:r>
          </w:p>
        </w:tc>
        <w:tc>
          <w:tcPr>
            <w:tcW w:w="1826" w:type="dxa"/>
            <w:vAlign w:val="center"/>
          </w:tcPr>
          <w:p>
            <w:pPr>
              <w:pStyle w:val="30"/>
              <w:spacing w:line="360" w:lineRule="auto"/>
              <w:rPr>
                <w:rFonts w:hint="eastAsia" w:ascii="宋体" w:hAnsi="宋体" w:eastAsia="宋体" w:cs="宋体"/>
                <w:color w:val="auto"/>
                <w:highlight w:val="none"/>
              </w:rPr>
            </w:pPr>
            <w:r>
              <w:rPr>
                <w:rFonts w:hint="eastAsia"/>
                <w:color w:val="auto"/>
                <w:highlight w:val="none"/>
              </w:rPr>
              <w:t>资金性质</w:t>
            </w:r>
          </w:p>
        </w:tc>
        <w:tc>
          <w:tcPr>
            <w:tcW w:w="6677" w:type="dxa"/>
            <w:vAlign w:val="center"/>
          </w:tcPr>
          <w:p>
            <w:pPr>
              <w:pStyle w:val="30"/>
              <w:spacing w:line="360" w:lineRule="auto"/>
              <w:jc w:val="left"/>
              <w:rPr>
                <w:rFonts w:hint="eastAsia" w:eastAsia="宋体" w:cs="宋体"/>
                <w:color w:val="auto"/>
                <w:highlight w:val="none"/>
                <w:lang w:val="zh-CN" w:eastAsia="zh-CN"/>
              </w:rPr>
            </w:pPr>
            <w:r>
              <w:rPr>
                <w:rFonts w:hint="eastAsia"/>
                <w:color w:val="auto"/>
                <w:highlight w:val="none"/>
                <w:lang w:val="en-US" w:eastAsia="zh-CN"/>
              </w:rPr>
              <w:t>财政资金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12" w:hRule="atLeast"/>
          <w:jc w:val="center"/>
        </w:trPr>
        <w:tc>
          <w:tcPr>
            <w:tcW w:w="840" w:type="dxa"/>
            <w:vAlign w:val="center"/>
          </w:tcPr>
          <w:p>
            <w:pPr>
              <w:pStyle w:val="30"/>
              <w:spacing w:line="360" w:lineRule="auto"/>
              <w:rPr>
                <w:rFonts w:hint="eastAsia"/>
                <w:color w:val="auto"/>
                <w:highlight w:val="none"/>
              </w:rPr>
            </w:pPr>
            <w:r>
              <w:rPr>
                <w:rFonts w:hint="eastAsia"/>
                <w:color w:val="auto"/>
                <w:highlight w:val="none"/>
              </w:rPr>
              <w:t>3</w:t>
            </w:r>
          </w:p>
        </w:tc>
        <w:tc>
          <w:tcPr>
            <w:tcW w:w="1826" w:type="dxa"/>
            <w:vAlign w:val="center"/>
          </w:tcPr>
          <w:p>
            <w:pPr>
              <w:pStyle w:val="30"/>
              <w:spacing w:line="360" w:lineRule="auto"/>
              <w:rPr>
                <w:rFonts w:hint="eastAsia"/>
                <w:color w:val="auto"/>
                <w:highlight w:val="none"/>
              </w:rPr>
            </w:pPr>
            <w:r>
              <w:rPr>
                <w:rFonts w:hint="eastAsia"/>
                <w:color w:val="auto"/>
                <w:highlight w:val="none"/>
              </w:rPr>
              <w:t>预算金额</w:t>
            </w:r>
          </w:p>
        </w:tc>
        <w:tc>
          <w:tcPr>
            <w:tcW w:w="6677" w:type="dxa"/>
            <w:vAlign w:val="center"/>
          </w:tcPr>
          <w:p>
            <w:pPr>
              <w:pStyle w:val="18"/>
              <w:spacing w:before="0" w:beforeAutospacing="0" w:after="0" w:afterAutospacing="0" w:line="510" w:lineRule="atLeast"/>
              <w:rPr>
                <w:rFonts w:cs="宋体"/>
                <w:color w:val="auto"/>
                <w:highlight w:val="none"/>
              </w:rPr>
            </w:pPr>
            <w:r>
              <w:rPr>
                <w:rFonts w:hint="eastAsia" w:cs="宋体"/>
                <w:color w:val="auto"/>
                <w:highlight w:val="none"/>
                <w:lang w:val="zh-CN"/>
              </w:rPr>
              <w:t>合同包</w:t>
            </w:r>
            <w:r>
              <w:rPr>
                <w:rFonts w:hint="eastAsia" w:cs="宋体"/>
                <w:color w:val="auto"/>
                <w:highlight w:val="none"/>
              </w:rPr>
              <w:t>1：</w:t>
            </w:r>
            <w:r>
              <w:rPr>
                <w:rFonts w:hint="eastAsia" w:cs="宋体"/>
                <w:color w:val="auto"/>
                <w:highlight w:val="none"/>
                <w:lang w:eastAsia="zh-CN"/>
              </w:rPr>
              <w:t>700,000.00</w:t>
            </w:r>
            <w:r>
              <w:rPr>
                <w:rFonts w:hint="eastAsia" w:cs="宋体"/>
                <w:color w:val="auto"/>
                <w:highlight w:val="none"/>
                <w:lang w:val="zh-CN"/>
              </w:rPr>
              <w:t>元</w:t>
            </w:r>
            <w:r>
              <w:rPr>
                <w:rFonts w:hint="eastAsia" w:cs="宋体"/>
                <w:color w:val="auto"/>
                <w:highlight w:val="none"/>
              </w:rPr>
              <w:t>；</w:t>
            </w:r>
          </w:p>
          <w:p>
            <w:pPr>
              <w:pStyle w:val="18"/>
              <w:spacing w:before="0" w:beforeAutospacing="0" w:after="0" w:afterAutospacing="0" w:line="510" w:lineRule="atLeast"/>
              <w:rPr>
                <w:rFonts w:hint="eastAsia"/>
                <w:color w:val="auto"/>
                <w:highlight w:val="none"/>
              </w:rPr>
            </w:pPr>
            <w:r>
              <w:rPr>
                <w:rFonts w:hint="eastAsia" w:cs="宋体"/>
                <w:color w:val="auto"/>
                <w:highlight w:val="none"/>
                <w:shd w:val="clear" w:color="auto" w:fill="FFFFFF"/>
              </w:rPr>
              <w:t>合同包2：</w:t>
            </w:r>
            <w:r>
              <w:rPr>
                <w:rFonts w:hint="eastAsia" w:cs="宋体"/>
                <w:color w:val="auto"/>
                <w:highlight w:val="none"/>
                <w:shd w:val="clear" w:color="auto" w:fill="FFFFFF"/>
                <w:lang w:eastAsia="zh-CN"/>
              </w:rPr>
              <w:t>500,000.00</w:t>
            </w:r>
            <w:r>
              <w:rPr>
                <w:rFonts w:hint="eastAsia" w:cs="宋体"/>
                <w:color w:val="auto"/>
                <w:highlight w:val="none"/>
              </w:rPr>
              <w:t>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40" w:hRule="atLeast"/>
          <w:jc w:val="center"/>
        </w:trPr>
        <w:tc>
          <w:tcPr>
            <w:tcW w:w="840" w:type="dxa"/>
            <w:vAlign w:val="center"/>
          </w:tcPr>
          <w:p>
            <w:pPr>
              <w:pStyle w:val="30"/>
              <w:spacing w:line="360" w:lineRule="auto"/>
              <w:rPr>
                <w:rFonts w:hint="eastAsia" w:ascii="宋体" w:hAnsi="宋体" w:eastAsia="宋体" w:cs="宋体"/>
                <w:color w:val="auto"/>
                <w:highlight w:val="none"/>
                <w:lang w:eastAsia="zh-CN"/>
              </w:rPr>
            </w:pPr>
            <w:r>
              <w:rPr>
                <w:rFonts w:hint="eastAsia" w:cs="宋体"/>
                <w:color w:val="auto"/>
                <w:highlight w:val="none"/>
                <w:lang w:val="en-US" w:eastAsia="zh-CN"/>
              </w:rPr>
              <w:t>4</w:t>
            </w:r>
          </w:p>
        </w:tc>
        <w:tc>
          <w:tcPr>
            <w:tcW w:w="1826" w:type="dxa"/>
            <w:vAlign w:val="center"/>
          </w:tcPr>
          <w:p>
            <w:pPr>
              <w:pStyle w:val="30"/>
              <w:spacing w:line="360" w:lineRule="auto"/>
              <w:rPr>
                <w:rFonts w:hint="eastAsia" w:ascii="宋体" w:hAnsi="宋体" w:eastAsia="宋体" w:cs="宋体"/>
                <w:color w:val="auto"/>
                <w:highlight w:val="none"/>
              </w:rPr>
            </w:pPr>
            <w:r>
              <w:rPr>
                <w:rFonts w:hint="eastAsia"/>
                <w:color w:val="auto"/>
                <w:highlight w:val="none"/>
              </w:rPr>
              <w:t>招标人</w:t>
            </w:r>
          </w:p>
        </w:tc>
        <w:tc>
          <w:tcPr>
            <w:tcW w:w="6677" w:type="dxa"/>
          </w:tcPr>
          <w:p>
            <w:pPr>
              <w:pStyle w:val="30"/>
              <w:spacing w:line="360" w:lineRule="auto"/>
              <w:jc w:val="left"/>
              <w:rPr>
                <w:rFonts w:hint="eastAsia" w:ascii="宋体" w:hAnsi="宋体" w:eastAsia="宋体" w:cs="宋体"/>
                <w:color w:val="auto"/>
                <w:highlight w:val="none"/>
                <w:lang w:eastAsia="zh-CN"/>
              </w:rPr>
            </w:pPr>
            <w:r>
              <w:rPr>
                <w:rFonts w:hint="eastAsia" w:ascii="宋体" w:hAnsi="宋体" w:eastAsia="宋体" w:cs="宋体"/>
                <w:color w:val="auto"/>
                <w:highlight w:val="none"/>
              </w:rPr>
              <w:t>名称：</w:t>
            </w:r>
            <w:r>
              <w:rPr>
                <w:rFonts w:hint="eastAsia" w:ascii="宋体" w:hAnsi="宋体" w:eastAsia="宋体" w:cs="宋体"/>
                <w:color w:val="auto"/>
                <w:highlight w:val="none"/>
                <w:lang w:eastAsia="zh-CN"/>
              </w:rPr>
              <w:t>西安美术学院</w:t>
            </w:r>
          </w:p>
          <w:p>
            <w:pPr>
              <w:pStyle w:val="30"/>
              <w:spacing w:line="360" w:lineRule="auto"/>
              <w:jc w:val="left"/>
              <w:rPr>
                <w:rFonts w:hint="eastAsia" w:ascii="宋体" w:hAnsi="宋体" w:eastAsia="宋体" w:cs="宋体"/>
                <w:color w:val="auto"/>
                <w:highlight w:val="none"/>
                <w:lang w:eastAsia="zh-CN"/>
              </w:rPr>
            </w:pPr>
            <w:r>
              <w:rPr>
                <w:rFonts w:hint="eastAsia" w:ascii="宋体" w:hAnsi="宋体" w:eastAsia="宋体" w:cs="宋体"/>
                <w:color w:val="auto"/>
                <w:highlight w:val="none"/>
              </w:rPr>
              <w:t>地址：</w:t>
            </w:r>
            <w:r>
              <w:rPr>
                <w:rFonts w:hint="eastAsia" w:ascii="宋体" w:hAnsi="宋体" w:eastAsia="宋体" w:cs="宋体"/>
                <w:color w:val="auto"/>
                <w:highlight w:val="none"/>
                <w:lang w:eastAsia="zh-CN"/>
              </w:rPr>
              <w:t>西安市雁塔区含光路100号西安美术学院</w:t>
            </w:r>
          </w:p>
          <w:p>
            <w:pPr>
              <w:pStyle w:val="30"/>
              <w:spacing w:line="360" w:lineRule="auto"/>
              <w:jc w:val="left"/>
              <w:rPr>
                <w:rFonts w:hint="eastAsia" w:ascii="宋体" w:hAnsi="宋体" w:eastAsia="宋体" w:cs="宋体"/>
                <w:color w:val="auto"/>
                <w:highlight w:val="none"/>
                <w:lang w:eastAsia="zh-CN"/>
              </w:rPr>
            </w:pPr>
            <w:r>
              <w:rPr>
                <w:rFonts w:hint="eastAsia" w:ascii="宋体" w:hAnsi="宋体" w:eastAsia="宋体" w:cs="宋体"/>
                <w:color w:val="auto"/>
                <w:highlight w:val="none"/>
              </w:rPr>
              <w:t>联系人：</w:t>
            </w:r>
            <w:r>
              <w:rPr>
                <w:rFonts w:hint="eastAsia" w:ascii="宋体" w:hAnsi="宋体" w:eastAsia="宋体" w:cs="宋体"/>
                <w:color w:val="auto"/>
                <w:highlight w:val="none"/>
                <w:lang w:eastAsia="zh-CN"/>
              </w:rPr>
              <w:t>吴老师</w:t>
            </w:r>
          </w:p>
          <w:p>
            <w:pPr>
              <w:pStyle w:val="30"/>
              <w:spacing w:line="360" w:lineRule="auto"/>
              <w:jc w:val="left"/>
              <w:rPr>
                <w:rFonts w:hint="eastAsia" w:ascii="宋体" w:hAnsi="宋体" w:eastAsia="宋体" w:cs="宋体"/>
                <w:color w:val="auto"/>
                <w:highlight w:val="none"/>
                <w:lang w:eastAsia="zh-CN"/>
              </w:rPr>
            </w:pPr>
            <w:r>
              <w:rPr>
                <w:rFonts w:hint="eastAsia" w:ascii="宋体" w:hAnsi="宋体" w:eastAsia="宋体" w:cs="宋体"/>
                <w:color w:val="auto"/>
                <w:highlight w:val="none"/>
              </w:rPr>
              <w:t>联系方式：</w:t>
            </w:r>
            <w:r>
              <w:rPr>
                <w:rFonts w:hint="eastAsia" w:ascii="宋体" w:hAnsi="宋体" w:eastAsia="宋体" w:cs="宋体"/>
                <w:color w:val="auto"/>
                <w:highlight w:val="none"/>
                <w:lang w:eastAsia="zh-CN"/>
              </w:rPr>
              <w:t>029-88214244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40" w:hRule="atLeast"/>
          <w:jc w:val="center"/>
        </w:trPr>
        <w:tc>
          <w:tcPr>
            <w:tcW w:w="840" w:type="dxa"/>
            <w:vAlign w:val="center"/>
          </w:tcPr>
          <w:p>
            <w:pPr>
              <w:pStyle w:val="30"/>
              <w:spacing w:line="360" w:lineRule="auto"/>
              <w:rPr>
                <w:rFonts w:hint="eastAsia" w:ascii="宋体" w:hAnsi="宋体" w:eastAsia="宋体" w:cs="宋体"/>
                <w:color w:val="auto"/>
                <w:highlight w:val="none"/>
                <w:lang w:eastAsia="zh-CN"/>
              </w:rPr>
            </w:pPr>
            <w:r>
              <w:rPr>
                <w:rFonts w:hint="eastAsia" w:cs="宋体"/>
                <w:color w:val="auto"/>
                <w:highlight w:val="none"/>
                <w:lang w:val="en-US" w:eastAsia="zh-CN"/>
              </w:rPr>
              <w:t>5</w:t>
            </w:r>
          </w:p>
        </w:tc>
        <w:tc>
          <w:tcPr>
            <w:tcW w:w="1826" w:type="dxa"/>
            <w:vAlign w:val="center"/>
          </w:tcPr>
          <w:p>
            <w:pPr>
              <w:pStyle w:val="30"/>
              <w:spacing w:line="360" w:lineRule="auto"/>
              <w:rPr>
                <w:rFonts w:hint="eastAsia" w:ascii="宋体" w:hAnsi="宋体" w:eastAsia="宋体" w:cs="宋体"/>
                <w:color w:val="auto"/>
                <w:highlight w:val="none"/>
              </w:rPr>
            </w:pPr>
            <w:r>
              <w:rPr>
                <w:rFonts w:hint="eastAsia"/>
                <w:color w:val="auto"/>
                <w:highlight w:val="none"/>
              </w:rPr>
              <w:t>招标代理机构</w:t>
            </w:r>
          </w:p>
        </w:tc>
        <w:tc>
          <w:tcPr>
            <w:tcW w:w="6677" w:type="dxa"/>
          </w:tcPr>
          <w:p>
            <w:pPr>
              <w:pStyle w:val="30"/>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名称：陕西正鸿招标有限公司</w:t>
            </w:r>
          </w:p>
          <w:p>
            <w:pPr>
              <w:pStyle w:val="30"/>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地址：陕西省西安市雁塔区南二环东段凯森盛世一号A座4层408室</w:t>
            </w:r>
          </w:p>
          <w:p>
            <w:pPr>
              <w:pStyle w:val="30"/>
              <w:spacing w:line="360" w:lineRule="auto"/>
              <w:jc w:val="left"/>
              <w:rPr>
                <w:rFonts w:hint="eastAsia" w:ascii="宋体" w:hAnsi="宋体" w:eastAsia="宋体" w:cs="宋体"/>
                <w:color w:val="auto"/>
                <w:highlight w:val="none"/>
                <w:lang w:eastAsia="zh-CN"/>
              </w:rPr>
            </w:pPr>
            <w:r>
              <w:rPr>
                <w:rFonts w:hint="eastAsia" w:ascii="宋体" w:hAnsi="宋体" w:eastAsia="宋体" w:cs="宋体"/>
                <w:color w:val="auto"/>
                <w:highlight w:val="none"/>
              </w:rPr>
              <w:t>联系人：</w:t>
            </w:r>
            <w:r>
              <w:rPr>
                <w:rFonts w:hint="eastAsia"/>
                <w:color w:val="auto"/>
                <w:highlight w:val="none"/>
              </w:rPr>
              <w:t>王倩倩、刘晓利、卫钰</w:t>
            </w:r>
          </w:p>
          <w:p>
            <w:pPr>
              <w:pStyle w:val="30"/>
              <w:spacing w:line="360" w:lineRule="auto"/>
              <w:jc w:val="left"/>
              <w:rPr>
                <w:rFonts w:hint="eastAsia" w:ascii="宋体" w:hAnsi="宋体" w:eastAsia="宋体" w:cs="宋体"/>
                <w:color w:val="auto"/>
                <w:highlight w:val="none"/>
                <w:lang w:eastAsia="zh-CN"/>
              </w:rPr>
            </w:pPr>
            <w:r>
              <w:rPr>
                <w:rFonts w:hint="eastAsia" w:ascii="宋体" w:hAnsi="宋体" w:eastAsia="宋体" w:cs="宋体"/>
                <w:color w:val="auto"/>
                <w:highlight w:val="none"/>
              </w:rPr>
              <w:t>联系方式：029-89338755/81511576</w:t>
            </w:r>
            <w:r>
              <w:rPr>
                <w:rFonts w:hint="eastAsia" w:cs="宋体"/>
                <w:color w:val="auto"/>
                <w:highlight w:val="none"/>
                <w:lang w:eastAsia="zh-CN"/>
              </w:rPr>
              <w:t>转802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40" w:hRule="atLeast"/>
          <w:jc w:val="center"/>
        </w:trPr>
        <w:tc>
          <w:tcPr>
            <w:tcW w:w="840" w:type="dxa"/>
            <w:vAlign w:val="center"/>
          </w:tcPr>
          <w:p>
            <w:pPr>
              <w:pStyle w:val="30"/>
              <w:spacing w:line="360" w:lineRule="auto"/>
              <w:rPr>
                <w:rFonts w:hint="eastAsia" w:ascii="宋体" w:hAnsi="宋体" w:eastAsia="宋体" w:cs="宋体"/>
                <w:color w:val="auto"/>
                <w:highlight w:val="none"/>
              </w:rPr>
            </w:pPr>
            <w:r>
              <w:rPr>
                <w:rFonts w:hint="eastAsia"/>
                <w:color w:val="auto"/>
                <w:highlight w:val="none"/>
              </w:rPr>
              <w:t>6</w:t>
            </w:r>
          </w:p>
        </w:tc>
        <w:tc>
          <w:tcPr>
            <w:tcW w:w="1826" w:type="dxa"/>
            <w:vAlign w:val="center"/>
          </w:tcPr>
          <w:p>
            <w:pPr>
              <w:pStyle w:val="30"/>
              <w:spacing w:line="360" w:lineRule="auto"/>
              <w:rPr>
                <w:rFonts w:hint="eastAsia" w:ascii="宋体" w:hAnsi="宋体" w:eastAsia="宋体" w:cs="宋体"/>
                <w:color w:val="auto"/>
                <w:highlight w:val="none"/>
              </w:rPr>
            </w:pPr>
            <w:r>
              <w:rPr>
                <w:rFonts w:hint="eastAsia"/>
                <w:color w:val="auto"/>
                <w:highlight w:val="none"/>
              </w:rPr>
              <w:t>监督机构</w:t>
            </w:r>
          </w:p>
        </w:tc>
        <w:tc>
          <w:tcPr>
            <w:tcW w:w="6677" w:type="dxa"/>
            <w:vAlign w:val="top"/>
          </w:tcPr>
          <w:p>
            <w:pPr>
              <w:pStyle w:val="30"/>
              <w:spacing w:line="360" w:lineRule="auto"/>
              <w:jc w:val="left"/>
              <w:rPr>
                <w:rFonts w:hint="eastAsia" w:ascii="宋体" w:hAnsi="宋体" w:eastAsia="宋体" w:cs="宋体"/>
                <w:color w:val="auto"/>
                <w:highlight w:val="none"/>
              </w:rPr>
            </w:pPr>
            <w:r>
              <w:rPr>
                <w:rFonts w:hint="eastAsia"/>
                <w:color w:val="auto"/>
                <w:highlight w:val="none"/>
              </w:rPr>
              <w:t>采购人同级财政部门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40" w:hRule="atLeast"/>
          <w:jc w:val="center"/>
        </w:trPr>
        <w:tc>
          <w:tcPr>
            <w:tcW w:w="840" w:type="dxa"/>
            <w:vAlign w:val="center"/>
          </w:tcPr>
          <w:p>
            <w:pPr>
              <w:pStyle w:val="30"/>
              <w:spacing w:line="360" w:lineRule="auto"/>
              <w:rPr>
                <w:rFonts w:hint="eastAsia"/>
                <w:color w:val="auto"/>
                <w:highlight w:val="none"/>
              </w:rPr>
            </w:pPr>
            <w:r>
              <w:rPr>
                <w:rFonts w:hint="eastAsia"/>
                <w:color w:val="auto"/>
                <w:highlight w:val="none"/>
              </w:rPr>
              <w:t>7</w:t>
            </w:r>
          </w:p>
        </w:tc>
        <w:tc>
          <w:tcPr>
            <w:tcW w:w="1826" w:type="dxa"/>
            <w:vAlign w:val="center"/>
          </w:tcPr>
          <w:p>
            <w:pPr>
              <w:pStyle w:val="30"/>
              <w:spacing w:line="360" w:lineRule="auto"/>
              <w:rPr>
                <w:rFonts w:hint="eastAsia"/>
                <w:color w:val="auto"/>
                <w:highlight w:val="none"/>
              </w:rPr>
            </w:pPr>
            <w:r>
              <w:rPr>
                <w:rFonts w:hint="eastAsia"/>
                <w:color w:val="auto"/>
                <w:highlight w:val="none"/>
              </w:rPr>
              <w:t>采购内容</w:t>
            </w:r>
          </w:p>
        </w:tc>
        <w:tc>
          <w:tcPr>
            <w:tcW w:w="6677" w:type="dxa"/>
            <w:vAlign w:val="center"/>
          </w:tcPr>
          <w:p>
            <w:pPr>
              <w:pStyle w:val="30"/>
              <w:spacing w:line="360" w:lineRule="auto"/>
              <w:jc w:val="left"/>
              <w:rPr>
                <w:rFonts w:hint="eastAsia"/>
                <w:color w:val="auto"/>
                <w:highlight w:val="none"/>
              </w:rPr>
            </w:pPr>
            <w:r>
              <w:rPr>
                <w:rFonts w:hint="eastAsia" w:cs="宋体"/>
                <w:color w:val="auto"/>
                <w:highlight w:val="none"/>
                <w:lang w:val="zh-CN"/>
              </w:rPr>
              <w:t>西安美术学院2023年图书采购项目</w:t>
            </w:r>
            <w:r>
              <w:rPr>
                <w:rFonts w:hint="eastAsia"/>
                <w:color w:val="auto"/>
                <w:highlight w:val="none"/>
              </w:rPr>
              <w:t>，详见第四章“</w:t>
            </w:r>
            <w:r>
              <w:rPr>
                <w:rFonts w:hint="eastAsia"/>
                <w:color w:val="auto"/>
                <w:highlight w:val="none"/>
                <w:lang w:eastAsia="zh-CN"/>
              </w:rPr>
              <w:t>采购内容及技术要求</w:t>
            </w:r>
            <w:r>
              <w:rPr>
                <w:rFonts w:hint="eastAsia"/>
                <w:color w:val="auto"/>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40" w:hRule="atLeast"/>
          <w:jc w:val="center"/>
        </w:trPr>
        <w:tc>
          <w:tcPr>
            <w:tcW w:w="840" w:type="dxa"/>
            <w:vAlign w:val="center"/>
          </w:tcPr>
          <w:p>
            <w:pPr>
              <w:pStyle w:val="30"/>
              <w:spacing w:line="360" w:lineRule="auto"/>
              <w:rPr>
                <w:rFonts w:hint="eastAsia"/>
                <w:color w:val="auto"/>
                <w:highlight w:val="none"/>
              </w:rPr>
            </w:pPr>
            <w:r>
              <w:rPr>
                <w:rFonts w:hint="eastAsia"/>
                <w:color w:val="auto"/>
                <w:highlight w:val="none"/>
              </w:rPr>
              <w:t>8</w:t>
            </w:r>
          </w:p>
        </w:tc>
        <w:tc>
          <w:tcPr>
            <w:tcW w:w="1826" w:type="dxa"/>
            <w:vAlign w:val="center"/>
          </w:tcPr>
          <w:p>
            <w:pPr>
              <w:pStyle w:val="30"/>
              <w:spacing w:line="360" w:lineRule="auto"/>
              <w:rPr>
                <w:rFonts w:hint="eastAsia"/>
                <w:color w:val="auto"/>
                <w:highlight w:val="none"/>
              </w:rPr>
            </w:pPr>
            <w:r>
              <w:rPr>
                <w:rFonts w:hint="eastAsia"/>
                <w:color w:val="auto"/>
                <w:highlight w:val="none"/>
              </w:rPr>
              <w:t>交付期</w:t>
            </w:r>
          </w:p>
        </w:tc>
        <w:tc>
          <w:tcPr>
            <w:tcW w:w="6677" w:type="dxa"/>
            <w:vAlign w:val="center"/>
          </w:tcPr>
          <w:p>
            <w:pPr>
              <w:pStyle w:val="30"/>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供货期：</w:t>
            </w:r>
            <w:r>
              <w:rPr>
                <w:rFonts w:hint="eastAsia" w:cs="宋体"/>
                <w:color w:val="auto"/>
                <w:highlight w:val="none"/>
                <w:lang w:eastAsia="zh-CN"/>
              </w:rPr>
              <w:t>202</w:t>
            </w:r>
            <w:r>
              <w:rPr>
                <w:rFonts w:hint="eastAsia" w:cs="宋体"/>
                <w:color w:val="auto"/>
                <w:highlight w:val="none"/>
                <w:lang w:val="en-US" w:eastAsia="zh-CN"/>
              </w:rPr>
              <w:t>3</w:t>
            </w:r>
            <w:r>
              <w:rPr>
                <w:rFonts w:hint="eastAsia" w:cs="宋体"/>
                <w:color w:val="auto"/>
                <w:highlight w:val="none"/>
                <w:lang w:eastAsia="zh-CN"/>
              </w:rPr>
              <w:t>年</w:t>
            </w:r>
            <w:r>
              <w:rPr>
                <w:rFonts w:hint="eastAsia" w:ascii="宋体" w:hAnsi="宋体" w:eastAsia="宋体" w:cs="宋体"/>
                <w:color w:val="auto"/>
                <w:highlight w:val="none"/>
              </w:rPr>
              <w:t>。</w:t>
            </w:r>
          </w:p>
          <w:p>
            <w:pPr>
              <w:pStyle w:val="30"/>
              <w:spacing w:line="360" w:lineRule="auto"/>
              <w:jc w:val="left"/>
              <w:rPr>
                <w:rFonts w:hint="eastAsia" w:cs="宋体"/>
                <w:color w:val="auto"/>
                <w:highlight w:val="none"/>
                <w:lang w:val="zh-CN"/>
              </w:rPr>
            </w:pPr>
            <w:r>
              <w:rPr>
                <w:rFonts w:hint="eastAsia" w:ascii="宋体" w:hAnsi="宋体" w:eastAsia="宋体" w:cs="宋体"/>
                <w:color w:val="auto"/>
                <w:highlight w:val="none"/>
                <w:lang w:val="en-US" w:eastAsia="zh-CN"/>
              </w:rPr>
              <w:t>供货时间：现场采购图书的供货时间不超过10个工作日；预定图书自发出订单之日起，供货时间不超过30个工作日</w:t>
            </w:r>
            <w:r>
              <w:rPr>
                <w:rFonts w:hint="eastAsia" w:cs="宋体"/>
                <w:color w:val="auto"/>
                <w:highlight w:val="none"/>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40" w:hRule="atLeast"/>
          <w:jc w:val="center"/>
        </w:trPr>
        <w:tc>
          <w:tcPr>
            <w:tcW w:w="840" w:type="dxa"/>
            <w:vAlign w:val="center"/>
          </w:tcPr>
          <w:p>
            <w:pPr>
              <w:pStyle w:val="30"/>
              <w:spacing w:line="360" w:lineRule="auto"/>
              <w:rPr>
                <w:rFonts w:hint="eastAsia"/>
                <w:color w:val="auto"/>
                <w:highlight w:val="none"/>
              </w:rPr>
            </w:pPr>
            <w:r>
              <w:rPr>
                <w:rFonts w:hint="eastAsia"/>
                <w:color w:val="auto"/>
                <w:highlight w:val="none"/>
              </w:rPr>
              <w:t>9</w:t>
            </w:r>
          </w:p>
        </w:tc>
        <w:tc>
          <w:tcPr>
            <w:tcW w:w="1826" w:type="dxa"/>
            <w:vAlign w:val="center"/>
          </w:tcPr>
          <w:p>
            <w:pPr>
              <w:pStyle w:val="30"/>
              <w:spacing w:line="360" w:lineRule="auto"/>
              <w:rPr>
                <w:rFonts w:hint="eastAsia" w:eastAsia="宋体"/>
                <w:color w:val="auto"/>
                <w:highlight w:val="none"/>
                <w:lang w:eastAsia="zh-CN"/>
              </w:rPr>
            </w:pPr>
            <w:r>
              <w:rPr>
                <w:rFonts w:hint="eastAsia"/>
                <w:color w:val="auto"/>
                <w:szCs w:val="22"/>
                <w:highlight w:val="none"/>
                <w:lang w:val="en-US" w:eastAsia="zh-CN"/>
              </w:rPr>
              <w:t>交付地点</w:t>
            </w:r>
          </w:p>
        </w:tc>
        <w:tc>
          <w:tcPr>
            <w:tcW w:w="6677" w:type="dxa"/>
            <w:vAlign w:val="center"/>
          </w:tcPr>
          <w:p>
            <w:pPr>
              <w:pStyle w:val="30"/>
              <w:spacing w:line="360" w:lineRule="auto"/>
              <w:jc w:val="left"/>
              <w:rPr>
                <w:rFonts w:hint="eastAsia" w:eastAsia="宋体"/>
                <w:color w:val="auto"/>
                <w:highlight w:val="none"/>
                <w:lang w:eastAsia="zh-CN"/>
              </w:rPr>
            </w:pPr>
            <w:r>
              <w:rPr>
                <w:rFonts w:hint="eastAsia" w:ascii="宋体" w:hAnsi="宋体" w:eastAsia="宋体" w:cs="宋体"/>
                <w:color w:val="auto"/>
                <w:highlight w:val="none"/>
              </w:rPr>
              <w:t>供应商收到订单后，应保证在订单有效期内将图书免费送至采购单位指定地点。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40" w:hRule="atLeast"/>
          <w:jc w:val="center"/>
        </w:trPr>
        <w:tc>
          <w:tcPr>
            <w:tcW w:w="840" w:type="dxa"/>
            <w:vAlign w:val="center"/>
          </w:tcPr>
          <w:p>
            <w:pPr>
              <w:pStyle w:val="30"/>
              <w:spacing w:line="360" w:lineRule="auto"/>
              <w:rPr>
                <w:rFonts w:hint="default" w:eastAsia="宋体"/>
                <w:color w:val="auto"/>
                <w:highlight w:val="none"/>
                <w:lang w:val="en-US" w:eastAsia="zh-CN"/>
              </w:rPr>
            </w:pPr>
            <w:r>
              <w:rPr>
                <w:rFonts w:hint="eastAsia"/>
                <w:color w:val="auto"/>
                <w:highlight w:val="none"/>
                <w:lang w:val="en-US" w:eastAsia="zh-CN"/>
              </w:rPr>
              <w:t>10</w:t>
            </w:r>
          </w:p>
        </w:tc>
        <w:tc>
          <w:tcPr>
            <w:tcW w:w="1826" w:type="dxa"/>
            <w:vAlign w:val="center"/>
          </w:tcPr>
          <w:p>
            <w:pPr>
              <w:pStyle w:val="30"/>
              <w:spacing w:line="360" w:lineRule="auto"/>
              <w:rPr>
                <w:rFonts w:hint="eastAsia"/>
                <w:color w:val="auto"/>
                <w:szCs w:val="22"/>
                <w:highlight w:val="none"/>
                <w:lang w:val="en-US" w:eastAsia="zh-CN"/>
              </w:rPr>
            </w:pPr>
            <w:r>
              <w:rPr>
                <w:rFonts w:hint="eastAsia"/>
                <w:color w:val="auto"/>
                <w:highlight w:val="none"/>
              </w:rPr>
              <w:t>投标人资格要求</w:t>
            </w:r>
          </w:p>
        </w:tc>
        <w:tc>
          <w:tcPr>
            <w:tcW w:w="6677" w:type="dxa"/>
            <w:vAlign w:val="top"/>
          </w:tcPr>
          <w:p>
            <w:pPr>
              <w:pStyle w:val="5"/>
              <w:ind w:firstLine="0" w:firstLineChars="0"/>
              <w:rPr>
                <w:color w:val="auto"/>
                <w:highlight w:val="none"/>
              </w:rPr>
            </w:pPr>
            <w:r>
              <w:rPr>
                <w:rFonts w:hint="eastAsia"/>
                <w:b/>
                <w:bCs/>
                <w:color w:val="auto"/>
                <w:highlight w:val="none"/>
              </w:rPr>
              <w:t>适用</w:t>
            </w:r>
            <w:r>
              <w:rPr>
                <w:rFonts w:hint="eastAsia"/>
                <w:b/>
                <w:bCs/>
                <w:color w:val="auto"/>
                <w:highlight w:val="none"/>
                <w:shd w:val="clear" w:color="auto" w:fill="FFFFFF"/>
              </w:rPr>
              <w:t>合同包1；合同包2；</w:t>
            </w:r>
          </w:p>
          <w:p>
            <w:pPr>
              <w:adjustRightInd w:val="0"/>
              <w:snapToGrid w:val="0"/>
              <w:spacing w:line="360" w:lineRule="auto"/>
              <w:ind w:firstLine="480" w:firstLineChars="200"/>
              <w:rPr>
                <w:rFonts w:hAnsi="宋体" w:cs="宋体"/>
                <w:color w:val="auto"/>
                <w:szCs w:val="24"/>
                <w:highlight w:val="none"/>
              </w:rPr>
            </w:pPr>
            <w:r>
              <w:rPr>
                <w:rFonts w:hint="eastAsia" w:hAnsi="宋体" w:cs="宋体"/>
                <w:color w:val="auto"/>
                <w:szCs w:val="24"/>
                <w:highlight w:val="none"/>
              </w:rPr>
              <w:t>（1）基本资格条件：符合《中华人民共和国政府采购法》第二十二条的规定：</w:t>
            </w:r>
          </w:p>
          <w:p>
            <w:pPr>
              <w:adjustRightInd w:val="0"/>
              <w:snapToGrid w:val="0"/>
              <w:spacing w:line="360" w:lineRule="auto"/>
              <w:ind w:firstLine="480" w:firstLineChars="200"/>
              <w:rPr>
                <w:rFonts w:hAnsi="宋体" w:cs="宋体"/>
                <w:color w:val="auto"/>
                <w:szCs w:val="24"/>
                <w:highlight w:val="none"/>
              </w:rPr>
            </w:pPr>
            <w:r>
              <w:rPr>
                <w:rFonts w:hint="eastAsia" w:hAnsi="宋体" w:cs="宋体"/>
                <w:color w:val="auto"/>
                <w:szCs w:val="24"/>
                <w:highlight w:val="none"/>
              </w:rPr>
              <w:t>1）具有独立承担民事责任能力的法人、其他组织或自然人，提供合法有效的统一社会信用代码营业执照（事业单位提供法人证书，自然人提供身份证）；</w:t>
            </w:r>
          </w:p>
          <w:p>
            <w:pPr>
              <w:adjustRightInd w:val="0"/>
              <w:snapToGrid w:val="0"/>
              <w:spacing w:line="360" w:lineRule="auto"/>
              <w:ind w:firstLine="480" w:firstLineChars="200"/>
              <w:rPr>
                <w:rFonts w:hAnsi="宋体" w:cs="宋体"/>
                <w:color w:val="auto"/>
                <w:szCs w:val="24"/>
                <w:highlight w:val="none"/>
              </w:rPr>
            </w:pPr>
            <w:r>
              <w:rPr>
                <w:rFonts w:hint="eastAsia" w:hAnsi="宋体" w:cs="宋体"/>
                <w:color w:val="auto"/>
                <w:szCs w:val="24"/>
                <w:highlight w:val="none"/>
              </w:rPr>
              <w:t>2）财务状况报告：法人提供经审计的2020或2021年度的财务报告（成立时间至递交</w:t>
            </w:r>
            <w:r>
              <w:rPr>
                <w:rFonts w:hint="eastAsia" w:hAnsi="宋体" w:cs="宋体"/>
                <w:color w:val="auto"/>
                <w:szCs w:val="24"/>
                <w:highlight w:val="none"/>
                <w:lang w:eastAsia="zh-CN"/>
              </w:rPr>
              <w:t>投标文件</w:t>
            </w:r>
            <w:r>
              <w:rPr>
                <w:rFonts w:hint="eastAsia" w:hAnsi="宋体" w:cs="宋体"/>
                <w:color w:val="auto"/>
                <w:szCs w:val="24"/>
                <w:highlight w:val="none"/>
              </w:rPr>
              <w:t>截止时间不足一年的可提供成立后任意时段的资产负债表）或递交</w:t>
            </w:r>
            <w:r>
              <w:rPr>
                <w:rFonts w:hint="eastAsia" w:hAnsi="宋体" w:cs="宋体"/>
                <w:color w:val="auto"/>
                <w:szCs w:val="24"/>
                <w:highlight w:val="none"/>
                <w:lang w:eastAsia="zh-CN"/>
              </w:rPr>
              <w:t>投标文件</w:t>
            </w:r>
            <w:r>
              <w:rPr>
                <w:rFonts w:hint="eastAsia" w:hAnsi="宋体" w:cs="宋体"/>
                <w:color w:val="auto"/>
                <w:szCs w:val="24"/>
                <w:highlight w:val="none"/>
              </w:rPr>
              <w:t>截止时间前六个月内银行出具的资信证明；其他组织和自然人提供银行出具的资信证明或财务报表；</w:t>
            </w:r>
          </w:p>
          <w:p>
            <w:pPr>
              <w:adjustRightInd w:val="0"/>
              <w:snapToGrid w:val="0"/>
              <w:spacing w:line="360" w:lineRule="auto"/>
              <w:ind w:firstLine="480" w:firstLineChars="200"/>
              <w:rPr>
                <w:rFonts w:hAnsi="宋体" w:cs="宋体"/>
                <w:color w:val="auto"/>
                <w:szCs w:val="24"/>
                <w:highlight w:val="none"/>
              </w:rPr>
            </w:pPr>
            <w:r>
              <w:rPr>
                <w:rFonts w:hint="eastAsia" w:hAnsi="宋体" w:cs="宋体"/>
                <w:color w:val="auto"/>
                <w:szCs w:val="24"/>
                <w:highlight w:val="none"/>
              </w:rPr>
              <w:t>3）税收缴纳证明：法人提供递交</w:t>
            </w:r>
            <w:r>
              <w:rPr>
                <w:rFonts w:hint="eastAsia" w:hAnsi="宋体" w:cs="宋体"/>
                <w:color w:val="auto"/>
                <w:szCs w:val="24"/>
                <w:highlight w:val="none"/>
                <w:lang w:eastAsia="zh-CN"/>
              </w:rPr>
              <w:t>投标文件</w:t>
            </w:r>
            <w:r>
              <w:rPr>
                <w:rFonts w:hint="eastAsia" w:hAnsi="宋体" w:cs="宋体"/>
                <w:color w:val="auto"/>
                <w:szCs w:val="24"/>
                <w:highlight w:val="none"/>
              </w:rPr>
              <w:t>截止时间前一年内至少一个月依法缴纳税收的相关凭据（时间以税款所属日期为准，税种须包含增值税或企业所得税或营业税，凭据应有税务机关或代收机关的公章或业务专用章）；其他组织和自然人提供缴纳税收的凭据；依法免税的投标人应提供相关文件证明；</w:t>
            </w:r>
          </w:p>
          <w:p>
            <w:pPr>
              <w:adjustRightInd w:val="0"/>
              <w:snapToGrid w:val="0"/>
              <w:spacing w:line="360" w:lineRule="auto"/>
              <w:ind w:firstLine="480" w:firstLineChars="200"/>
              <w:rPr>
                <w:rFonts w:hAnsi="宋体" w:cs="宋体"/>
                <w:color w:val="auto"/>
                <w:szCs w:val="24"/>
                <w:highlight w:val="none"/>
              </w:rPr>
            </w:pPr>
            <w:r>
              <w:rPr>
                <w:rFonts w:hint="eastAsia" w:hAnsi="宋体" w:cs="宋体"/>
                <w:color w:val="auto"/>
                <w:szCs w:val="24"/>
                <w:highlight w:val="none"/>
              </w:rPr>
              <w:t>4）社会保障资金缴纳证明：提供递交</w:t>
            </w:r>
            <w:r>
              <w:rPr>
                <w:rFonts w:hint="eastAsia" w:hAnsi="宋体" w:cs="宋体"/>
                <w:color w:val="auto"/>
                <w:szCs w:val="24"/>
                <w:highlight w:val="none"/>
                <w:lang w:eastAsia="zh-CN"/>
              </w:rPr>
              <w:t>投标文件</w:t>
            </w:r>
            <w:r>
              <w:rPr>
                <w:rFonts w:hint="eastAsia" w:hAnsi="宋体" w:cs="宋体"/>
                <w:color w:val="auto"/>
                <w:szCs w:val="24"/>
                <w:highlight w:val="none"/>
              </w:rPr>
              <w:t>截止时间前一年内至少一个月已缴纳的社会保障资金的凭据（社会保障资金缴存单据或社保机构开具的社会保险参保缴费情况证明）；依法不需要缴纳社会保障资金的投标人应提供相关文件证明；</w:t>
            </w:r>
          </w:p>
          <w:p>
            <w:pPr>
              <w:adjustRightInd w:val="0"/>
              <w:snapToGrid w:val="0"/>
              <w:spacing w:line="360" w:lineRule="auto"/>
              <w:ind w:firstLine="480" w:firstLineChars="200"/>
              <w:rPr>
                <w:rFonts w:hAnsi="宋体" w:cs="宋体"/>
                <w:color w:val="auto"/>
                <w:szCs w:val="24"/>
                <w:highlight w:val="none"/>
              </w:rPr>
            </w:pPr>
            <w:r>
              <w:rPr>
                <w:rFonts w:hint="eastAsia" w:hAnsi="宋体" w:cs="宋体"/>
                <w:color w:val="auto"/>
                <w:szCs w:val="24"/>
                <w:highlight w:val="none"/>
              </w:rPr>
              <w:t>5）具有履行本合同所必需的设备和专业技术能力（提供承诺）；</w:t>
            </w:r>
          </w:p>
          <w:p>
            <w:pPr>
              <w:adjustRightInd w:val="0"/>
              <w:snapToGrid w:val="0"/>
              <w:spacing w:line="360" w:lineRule="auto"/>
              <w:ind w:firstLine="480" w:firstLineChars="200"/>
              <w:rPr>
                <w:rFonts w:hAnsi="宋体" w:cs="宋体"/>
                <w:color w:val="auto"/>
                <w:szCs w:val="24"/>
                <w:highlight w:val="none"/>
              </w:rPr>
            </w:pPr>
            <w:r>
              <w:rPr>
                <w:rFonts w:hint="eastAsia" w:hAnsi="宋体" w:cs="宋体"/>
                <w:color w:val="auto"/>
                <w:szCs w:val="24"/>
                <w:highlight w:val="none"/>
              </w:rPr>
              <w:t>6）参加本次政府采购活动前三年内在经营活动中没有重大违法记录（提供书面声明）；</w:t>
            </w:r>
          </w:p>
          <w:p>
            <w:pPr>
              <w:adjustRightInd w:val="0"/>
              <w:snapToGrid w:val="0"/>
              <w:spacing w:line="360" w:lineRule="auto"/>
              <w:ind w:firstLine="480" w:firstLineChars="200"/>
              <w:rPr>
                <w:rFonts w:hAnsi="宋体" w:cs="宋体"/>
                <w:color w:val="auto"/>
                <w:szCs w:val="24"/>
                <w:highlight w:val="none"/>
              </w:rPr>
            </w:pPr>
            <w:r>
              <w:rPr>
                <w:rFonts w:hint="eastAsia" w:hAnsi="宋体" w:cs="宋体"/>
                <w:color w:val="auto"/>
                <w:szCs w:val="24"/>
                <w:highlight w:val="none"/>
              </w:rPr>
              <w:t>（2）</w:t>
            </w:r>
            <w:r>
              <w:rPr>
                <w:rFonts w:hint="eastAsia"/>
                <w:color w:val="auto"/>
                <w:highlight w:val="none"/>
              </w:rPr>
              <w:t>本项目的特定资格要求：</w:t>
            </w:r>
          </w:p>
          <w:p>
            <w:pPr>
              <w:adjustRightInd w:val="0"/>
              <w:snapToGrid w:val="0"/>
              <w:spacing w:line="360" w:lineRule="auto"/>
              <w:ind w:firstLine="480" w:firstLineChars="200"/>
              <w:rPr>
                <w:rFonts w:hAnsi="宋体" w:cs="宋体"/>
                <w:color w:val="auto"/>
                <w:szCs w:val="24"/>
                <w:highlight w:val="none"/>
              </w:rPr>
            </w:pPr>
            <w:r>
              <w:rPr>
                <w:rFonts w:hint="eastAsia" w:hAnsi="宋体" w:cs="宋体"/>
                <w:color w:val="auto"/>
                <w:szCs w:val="24"/>
                <w:highlight w:val="none"/>
              </w:rPr>
              <w:t xml:space="preserve">1）法定代表人授权书（附法定代表人、被授权人身份证复印件）、被授权人身份证（法定代表人直接参加投标，须提供法定代表人身份证明及身份证原件）； </w:t>
            </w:r>
          </w:p>
          <w:p>
            <w:pPr>
              <w:pStyle w:val="18"/>
              <w:spacing w:before="0" w:beforeAutospacing="0" w:after="0" w:afterAutospacing="0" w:line="360" w:lineRule="auto"/>
              <w:ind w:firstLine="480" w:firstLineChars="200"/>
              <w:rPr>
                <w:rFonts w:cs="宋体"/>
                <w:color w:val="auto"/>
                <w:highlight w:val="none"/>
              </w:rPr>
            </w:pPr>
            <w:r>
              <w:rPr>
                <w:rFonts w:hint="eastAsia" w:hAnsi="宋体" w:cs="宋体"/>
                <w:color w:val="auto"/>
                <w:szCs w:val="24"/>
                <w:highlight w:val="none"/>
              </w:rPr>
              <w:t>2）投标人不得为“信用中国”网站（www.creditchina.gov.cn）中列入失信被执行人和重大税收违法案件当事人名单的供应商，不得为中国政府采购网（www.ccgp.gov.cn）政府采购严重违法失信行为记录名单中被财政部门禁止参加政府采购活动的供应商；</w:t>
            </w:r>
          </w:p>
          <w:p>
            <w:pPr>
              <w:pStyle w:val="30"/>
              <w:spacing w:line="360" w:lineRule="auto"/>
              <w:jc w:val="left"/>
              <w:rPr>
                <w:rFonts w:hint="eastAsia" w:ascii="宋体" w:hAnsi="宋体" w:eastAsia="宋体" w:cs="宋体"/>
                <w:color w:val="auto"/>
                <w:highlight w:val="none"/>
              </w:rPr>
            </w:pPr>
            <w:r>
              <w:rPr>
                <w:rFonts w:hint="eastAsia"/>
                <w:b/>
                <w:bCs/>
                <w:color w:val="auto"/>
                <w:highlight w:val="none"/>
              </w:rPr>
              <w:t>注：以上为必备资格条件，缺一项或某项达不到要求，按无效文件处理。资格审查时以投标文件中所附证明材料（信用中国和中国政府采购网信用记录可不提供，由代理机构查询并留存）为准，原件备查。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40" w:hRule="atLeast"/>
          <w:jc w:val="center"/>
        </w:trPr>
        <w:tc>
          <w:tcPr>
            <w:tcW w:w="840" w:type="dxa"/>
            <w:vAlign w:val="center"/>
          </w:tcPr>
          <w:p>
            <w:pPr>
              <w:pStyle w:val="30"/>
              <w:spacing w:line="360" w:lineRule="auto"/>
              <w:rPr>
                <w:rFonts w:hint="default" w:eastAsia="宋体"/>
                <w:color w:val="auto"/>
                <w:highlight w:val="none"/>
                <w:lang w:val="en-US" w:eastAsia="zh-CN"/>
              </w:rPr>
            </w:pPr>
            <w:r>
              <w:rPr>
                <w:rFonts w:hint="eastAsia"/>
                <w:color w:val="auto"/>
                <w:highlight w:val="none"/>
                <w:lang w:val="en-US" w:eastAsia="zh-CN"/>
              </w:rPr>
              <w:t>11</w:t>
            </w:r>
          </w:p>
        </w:tc>
        <w:tc>
          <w:tcPr>
            <w:tcW w:w="1826" w:type="dxa"/>
            <w:vAlign w:val="center"/>
          </w:tcPr>
          <w:p>
            <w:pPr>
              <w:pStyle w:val="30"/>
              <w:spacing w:line="360" w:lineRule="auto"/>
              <w:rPr>
                <w:rFonts w:hint="eastAsia"/>
                <w:color w:val="auto"/>
                <w:szCs w:val="22"/>
                <w:highlight w:val="none"/>
                <w:lang w:val="en-US" w:eastAsia="zh-CN"/>
              </w:rPr>
            </w:pPr>
            <w:r>
              <w:rPr>
                <w:rFonts w:hint="eastAsia"/>
                <w:color w:val="auto"/>
                <w:highlight w:val="none"/>
              </w:rPr>
              <w:t>联合体投标</w:t>
            </w:r>
          </w:p>
        </w:tc>
        <w:tc>
          <w:tcPr>
            <w:tcW w:w="6677" w:type="dxa"/>
            <w:vAlign w:val="top"/>
          </w:tcPr>
          <w:p>
            <w:pPr>
              <w:pStyle w:val="30"/>
              <w:spacing w:line="360" w:lineRule="auto"/>
              <w:jc w:val="left"/>
              <w:rPr>
                <w:rFonts w:hint="eastAsia" w:ascii="宋体" w:hAnsi="宋体" w:eastAsia="宋体" w:cs="宋体"/>
                <w:color w:val="auto"/>
                <w:highlight w:val="none"/>
              </w:rPr>
            </w:pPr>
            <w:r>
              <w:rPr>
                <w:rFonts w:hint="eastAsia"/>
                <w:color w:val="auto"/>
                <w:highlight w:val="none"/>
              </w:rPr>
              <w:t>不接受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40" w:hRule="atLeast"/>
          <w:jc w:val="center"/>
        </w:trPr>
        <w:tc>
          <w:tcPr>
            <w:tcW w:w="840" w:type="dxa"/>
            <w:vAlign w:val="center"/>
          </w:tcPr>
          <w:p>
            <w:pPr>
              <w:pStyle w:val="30"/>
              <w:spacing w:line="360" w:lineRule="auto"/>
              <w:rPr>
                <w:rFonts w:hint="default" w:eastAsia="宋体"/>
                <w:color w:val="auto"/>
                <w:highlight w:val="none"/>
                <w:lang w:val="en-US" w:eastAsia="zh-CN"/>
              </w:rPr>
            </w:pPr>
            <w:r>
              <w:rPr>
                <w:rFonts w:hint="eastAsia"/>
                <w:color w:val="auto"/>
                <w:highlight w:val="none"/>
                <w:lang w:val="en-US" w:eastAsia="zh-CN"/>
              </w:rPr>
              <w:t>12</w:t>
            </w:r>
          </w:p>
        </w:tc>
        <w:tc>
          <w:tcPr>
            <w:tcW w:w="1826" w:type="dxa"/>
            <w:vAlign w:val="center"/>
          </w:tcPr>
          <w:p>
            <w:pPr>
              <w:pStyle w:val="30"/>
              <w:spacing w:line="360" w:lineRule="auto"/>
              <w:rPr>
                <w:rFonts w:hint="eastAsia"/>
                <w:color w:val="auto"/>
                <w:szCs w:val="22"/>
                <w:highlight w:val="none"/>
                <w:lang w:val="en-US" w:eastAsia="zh-CN"/>
              </w:rPr>
            </w:pPr>
            <w:r>
              <w:rPr>
                <w:rFonts w:hint="eastAsia"/>
                <w:color w:val="auto"/>
                <w:highlight w:val="none"/>
              </w:rPr>
              <w:t>备选方案</w:t>
            </w:r>
          </w:p>
        </w:tc>
        <w:tc>
          <w:tcPr>
            <w:tcW w:w="6677" w:type="dxa"/>
            <w:vAlign w:val="center"/>
          </w:tcPr>
          <w:p>
            <w:pPr>
              <w:pStyle w:val="30"/>
              <w:spacing w:line="360" w:lineRule="auto"/>
              <w:jc w:val="left"/>
              <w:rPr>
                <w:rFonts w:hint="eastAsia" w:ascii="宋体" w:hAnsi="宋体" w:eastAsia="宋体" w:cs="宋体"/>
                <w:color w:val="auto"/>
                <w:highlight w:val="none"/>
              </w:rPr>
            </w:pPr>
            <w:r>
              <w:rPr>
                <w:rFonts w:hint="eastAsia"/>
                <w:color w:val="auto"/>
                <w:highlight w:val="none"/>
              </w:rPr>
              <w:t>不允许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40" w:hRule="atLeast"/>
          <w:jc w:val="center"/>
        </w:trPr>
        <w:tc>
          <w:tcPr>
            <w:tcW w:w="840" w:type="dxa"/>
            <w:vAlign w:val="center"/>
          </w:tcPr>
          <w:p>
            <w:pPr>
              <w:pStyle w:val="30"/>
              <w:spacing w:line="360" w:lineRule="auto"/>
              <w:rPr>
                <w:rFonts w:hint="default" w:eastAsia="宋体"/>
                <w:color w:val="auto"/>
                <w:highlight w:val="none"/>
                <w:lang w:val="en-US" w:eastAsia="zh-CN"/>
              </w:rPr>
            </w:pPr>
            <w:r>
              <w:rPr>
                <w:rFonts w:hint="eastAsia"/>
                <w:color w:val="auto"/>
                <w:highlight w:val="none"/>
                <w:lang w:val="en-US" w:eastAsia="zh-CN"/>
              </w:rPr>
              <w:t>13</w:t>
            </w:r>
          </w:p>
        </w:tc>
        <w:tc>
          <w:tcPr>
            <w:tcW w:w="1826" w:type="dxa"/>
            <w:vAlign w:val="center"/>
          </w:tcPr>
          <w:p>
            <w:pPr>
              <w:pStyle w:val="30"/>
              <w:spacing w:line="360" w:lineRule="auto"/>
              <w:rPr>
                <w:rFonts w:hint="eastAsia"/>
                <w:color w:val="auto"/>
                <w:szCs w:val="22"/>
                <w:highlight w:val="none"/>
                <w:lang w:val="en-US" w:eastAsia="zh-CN"/>
              </w:rPr>
            </w:pPr>
            <w:r>
              <w:rPr>
                <w:rFonts w:hint="eastAsia"/>
                <w:color w:val="auto"/>
                <w:highlight w:val="none"/>
              </w:rPr>
              <w:t>本次投标的最小单元</w:t>
            </w:r>
          </w:p>
        </w:tc>
        <w:tc>
          <w:tcPr>
            <w:tcW w:w="6677" w:type="dxa"/>
            <w:vAlign w:val="top"/>
          </w:tcPr>
          <w:p>
            <w:pPr>
              <w:pStyle w:val="30"/>
              <w:spacing w:line="360" w:lineRule="auto"/>
              <w:jc w:val="left"/>
              <w:rPr>
                <w:rFonts w:hint="eastAsia" w:ascii="宋体" w:hAnsi="宋体" w:eastAsia="宋体" w:cs="宋体"/>
                <w:color w:val="auto"/>
                <w:highlight w:val="none"/>
              </w:rPr>
            </w:pPr>
            <w:r>
              <w:rPr>
                <w:rFonts w:hint="eastAsia"/>
                <w:color w:val="auto"/>
                <w:highlight w:val="none"/>
              </w:rPr>
              <w:t>本次投标的最小单元为“合同包”。任何不完全的投标将按照无效投标处理。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40" w:hRule="atLeast"/>
          <w:jc w:val="center"/>
        </w:trPr>
        <w:tc>
          <w:tcPr>
            <w:tcW w:w="840" w:type="dxa"/>
            <w:vAlign w:val="center"/>
          </w:tcPr>
          <w:p>
            <w:pPr>
              <w:pStyle w:val="30"/>
              <w:spacing w:line="360" w:lineRule="auto"/>
              <w:rPr>
                <w:rFonts w:hint="default" w:eastAsia="宋体"/>
                <w:color w:val="auto"/>
                <w:highlight w:val="none"/>
                <w:lang w:val="en-US" w:eastAsia="zh-CN"/>
              </w:rPr>
            </w:pPr>
            <w:r>
              <w:rPr>
                <w:rFonts w:hint="eastAsia"/>
                <w:color w:val="auto"/>
                <w:highlight w:val="none"/>
                <w:lang w:val="en-US" w:eastAsia="zh-CN"/>
              </w:rPr>
              <w:t>14</w:t>
            </w:r>
          </w:p>
        </w:tc>
        <w:tc>
          <w:tcPr>
            <w:tcW w:w="1826" w:type="dxa"/>
            <w:vAlign w:val="center"/>
          </w:tcPr>
          <w:p>
            <w:pPr>
              <w:pStyle w:val="30"/>
              <w:spacing w:line="360" w:lineRule="auto"/>
              <w:rPr>
                <w:rFonts w:hint="eastAsia"/>
                <w:color w:val="auto"/>
                <w:szCs w:val="22"/>
                <w:highlight w:val="none"/>
                <w:lang w:val="en-US" w:eastAsia="zh-CN"/>
              </w:rPr>
            </w:pPr>
            <w:r>
              <w:rPr>
                <w:rFonts w:hint="eastAsia"/>
                <w:color w:val="auto"/>
                <w:highlight w:val="none"/>
              </w:rPr>
              <w:t>投标报价</w:t>
            </w:r>
          </w:p>
        </w:tc>
        <w:tc>
          <w:tcPr>
            <w:tcW w:w="6677" w:type="dxa"/>
            <w:vAlign w:val="top"/>
          </w:tcPr>
          <w:p>
            <w:pPr>
              <w:pStyle w:val="30"/>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1）投标报价是指产品到达使用地点，达到正常使用条件下的所有费用，包括产品的报价及所发生的运杂费（含保险）、现场安装调试费及国家按现行税收政策征收的一切税费等。以招标文件的内容和要求作为投标依据；</w:t>
            </w:r>
          </w:p>
          <w:p>
            <w:pPr>
              <w:pStyle w:val="30"/>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（2）投标人应在投标文件中的开标一览表上，标明供货折扣；任何有选择的折扣不予接受；</w:t>
            </w:r>
          </w:p>
          <w:p>
            <w:pPr>
              <w:pStyle w:val="30"/>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（3）投标报价：供货折扣（最多保留到小数点后两位）；</w:t>
            </w:r>
          </w:p>
          <w:p>
            <w:pPr>
              <w:pStyle w:val="30"/>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（4）开标一览表应有投标人公章及法定代表人或被授权人的签字或盖章；</w:t>
            </w:r>
          </w:p>
          <w:p>
            <w:pPr>
              <w:pStyle w:val="30"/>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（5）投标报价表中标明的折扣，在合同执行过程中，不得以任何理由变更；</w:t>
            </w:r>
          </w:p>
          <w:p>
            <w:pPr>
              <w:pStyle w:val="30"/>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（6）凡因投标人对招标文件阅读不深、理解不透、误解、疏漏、或因市场行情了解不清造成的后果和风险均由投标人自负；</w:t>
            </w:r>
          </w:p>
          <w:p>
            <w:pPr>
              <w:pStyle w:val="30"/>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 xml:space="preserve">（7）最低折扣报价不是中标的唯一依据； </w:t>
            </w:r>
          </w:p>
          <w:p>
            <w:pPr>
              <w:pStyle w:val="30"/>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8）投标人不得以低于成本的折扣报价参加投标。评标委员会认为投标人的折扣报价明显低于其他通过符合性审查投标人的折扣报价，有可能影响产品质量或者不能诚信履约的，应当要求其在评标现场合理的时间内提供书面说明，必要时提交相关证明材料；投标人不能证明其折扣报价合理性的，评标委员会应当将其作为无效投标处理。</w:t>
            </w:r>
          </w:p>
          <w:p>
            <w:pPr>
              <w:pStyle w:val="30"/>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（9）投标人对投标</w:t>
            </w:r>
            <w:r>
              <w:rPr>
                <w:rFonts w:hint="eastAsia" w:cs="宋体"/>
                <w:color w:val="auto"/>
                <w:highlight w:val="none"/>
                <w:lang w:val="en-US" w:eastAsia="zh-CN"/>
              </w:rPr>
              <w:t>包（标段）</w:t>
            </w:r>
            <w:r>
              <w:rPr>
                <w:rFonts w:hint="eastAsia" w:ascii="宋体" w:hAnsi="宋体" w:eastAsia="宋体" w:cs="宋体"/>
                <w:color w:val="auto"/>
                <w:highlight w:val="none"/>
              </w:rPr>
              <w:t>只允许有一个折扣报价，不接受超过招标文件中规定的预算金额或者最高限价的报价、可变动性报价、赠送及“零”报价，否则视为无效投标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40" w:hRule="atLeast"/>
          <w:jc w:val="center"/>
        </w:trPr>
        <w:tc>
          <w:tcPr>
            <w:tcW w:w="840" w:type="dxa"/>
            <w:vAlign w:val="center"/>
          </w:tcPr>
          <w:p>
            <w:pPr>
              <w:pStyle w:val="30"/>
              <w:spacing w:line="360" w:lineRule="auto"/>
              <w:rPr>
                <w:rFonts w:hint="default" w:eastAsia="宋体"/>
                <w:color w:val="auto"/>
                <w:highlight w:val="none"/>
                <w:lang w:val="en-US" w:eastAsia="zh-CN"/>
              </w:rPr>
            </w:pPr>
            <w:r>
              <w:rPr>
                <w:rFonts w:hint="eastAsia"/>
                <w:color w:val="auto"/>
                <w:highlight w:val="none"/>
                <w:lang w:val="en-US" w:eastAsia="zh-CN"/>
              </w:rPr>
              <w:t>15</w:t>
            </w:r>
          </w:p>
        </w:tc>
        <w:tc>
          <w:tcPr>
            <w:tcW w:w="1826" w:type="dxa"/>
            <w:vAlign w:val="center"/>
          </w:tcPr>
          <w:p>
            <w:pPr>
              <w:pStyle w:val="13"/>
              <w:spacing w:line="400" w:lineRule="exact"/>
              <w:jc w:val="center"/>
              <w:rPr>
                <w:rFonts w:hint="eastAsia"/>
                <w:color w:val="auto"/>
                <w:highlight w:val="none"/>
              </w:rPr>
            </w:pPr>
            <w:r>
              <w:rPr>
                <w:rFonts w:hint="eastAsia" w:hAnsi="宋体" w:cs="宋体"/>
                <w:color w:val="auto"/>
                <w:kern w:val="0"/>
                <w:sz w:val="24"/>
                <w:szCs w:val="22"/>
                <w:highlight w:val="none"/>
              </w:rPr>
              <w:t>样品</w:t>
            </w:r>
          </w:p>
        </w:tc>
        <w:tc>
          <w:tcPr>
            <w:tcW w:w="6677" w:type="dxa"/>
            <w:vAlign w:val="center"/>
          </w:tcPr>
          <w:p>
            <w:pPr>
              <w:pStyle w:val="13"/>
              <w:spacing w:line="400" w:lineRule="exact"/>
              <w:jc w:val="left"/>
              <w:rPr>
                <w:rFonts w:hint="eastAsia" w:ascii="宋体" w:hAnsi="宋体" w:eastAsia="宋体" w:cs="宋体"/>
                <w:color w:val="auto"/>
                <w:highlight w:val="none"/>
              </w:rPr>
            </w:pPr>
            <w:r>
              <w:rPr>
                <w:rFonts w:hint="eastAsia" w:hAnsi="宋体" w:cs="宋体"/>
                <w:color w:val="auto"/>
                <w:kern w:val="0"/>
                <w:sz w:val="24"/>
                <w:szCs w:val="22"/>
                <w:highlight w:val="none"/>
              </w:rPr>
              <w:t>不需要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40" w:hRule="atLeast"/>
          <w:jc w:val="center"/>
        </w:trPr>
        <w:tc>
          <w:tcPr>
            <w:tcW w:w="840" w:type="dxa"/>
            <w:vAlign w:val="center"/>
          </w:tcPr>
          <w:p>
            <w:pPr>
              <w:pStyle w:val="30"/>
              <w:spacing w:line="360" w:lineRule="auto"/>
              <w:rPr>
                <w:rFonts w:hint="default" w:eastAsia="宋体"/>
                <w:color w:val="auto"/>
                <w:highlight w:val="none"/>
                <w:lang w:val="en-US" w:eastAsia="zh-CN"/>
              </w:rPr>
            </w:pPr>
            <w:r>
              <w:rPr>
                <w:rFonts w:hint="eastAsia"/>
                <w:color w:val="auto"/>
                <w:highlight w:val="none"/>
                <w:lang w:val="en-US" w:eastAsia="zh-CN"/>
              </w:rPr>
              <w:t>16</w:t>
            </w:r>
          </w:p>
        </w:tc>
        <w:tc>
          <w:tcPr>
            <w:tcW w:w="1826" w:type="dxa"/>
            <w:vAlign w:val="center"/>
          </w:tcPr>
          <w:p>
            <w:pPr>
              <w:pStyle w:val="30"/>
              <w:spacing w:line="360" w:lineRule="auto"/>
              <w:rPr>
                <w:rFonts w:hint="eastAsia"/>
                <w:color w:val="auto"/>
                <w:highlight w:val="none"/>
              </w:rPr>
            </w:pPr>
            <w:r>
              <w:rPr>
                <w:rFonts w:hint="eastAsia"/>
                <w:color w:val="auto"/>
                <w:highlight w:val="none"/>
              </w:rPr>
              <w:t>投标保证金</w:t>
            </w:r>
          </w:p>
        </w:tc>
        <w:tc>
          <w:tcPr>
            <w:tcW w:w="6677" w:type="dxa"/>
            <w:vAlign w:val="top"/>
          </w:tcPr>
          <w:p>
            <w:pPr>
              <w:pStyle w:val="30"/>
              <w:spacing w:line="360" w:lineRule="auto"/>
              <w:jc w:val="left"/>
              <w:rPr>
                <w:rFonts w:hint="eastAsia" w:ascii="宋体" w:hAnsi="宋体" w:eastAsia="宋体" w:cs="宋体"/>
                <w:color w:val="auto"/>
                <w:highlight w:val="none"/>
              </w:rPr>
            </w:pPr>
            <w:r>
              <w:rPr>
                <w:rFonts w:hint="eastAsia"/>
                <w:color w:val="auto"/>
                <w:highlight w:val="none"/>
              </w:rPr>
              <w:t>不要求提供</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40" w:hRule="atLeast"/>
          <w:jc w:val="center"/>
        </w:trPr>
        <w:tc>
          <w:tcPr>
            <w:tcW w:w="840" w:type="dxa"/>
            <w:vAlign w:val="center"/>
          </w:tcPr>
          <w:p>
            <w:pPr>
              <w:pStyle w:val="30"/>
              <w:spacing w:line="360" w:lineRule="auto"/>
              <w:rPr>
                <w:rFonts w:hint="default" w:eastAsia="宋体"/>
                <w:color w:val="auto"/>
                <w:highlight w:val="none"/>
                <w:lang w:val="en-US" w:eastAsia="zh-CN"/>
              </w:rPr>
            </w:pPr>
            <w:r>
              <w:rPr>
                <w:rFonts w:hint="eastAsia"/>
                <w:color w:val="auto"/>
                <w:highlight w:val="none"/>
                <w:lang w:val="en-US" w:eastAsia="zh-CN"/>
              </w:rPr>
              <w:t>17</w:t>
            </w:r>
          </w:p>
        </w:tc>
        <w:tc>
          <w:tcPr>
            <w:tcW w:w="1826" w:type="dxa"/>
            <w:vAlign w:val="center"/>
          </w:tcPr>
          <w:p>
            <w:pPr>
              <w:pStyle w:val="30"/>
              <w:spacing w:line="360" w:lineRule="auto"/>
              <w:rPr>
                <w:rFonts w:hint="eastAsia"/>
                <w:color w:val="auto"/>
                <w:highlight w:val="none"/>
              </w:rPr>
            </w:pPr>
            <w:r>
              <w:rPr>
                <w:rFonts w:hint="eastAsia"/>
                <w:color w:val="auto"/>
                <w:highlight w:val="none"/>
              </w:rPr>
              <w:t>投标有效期</w:t>
            </w:r>
          </w:p>
        </w:tc>
        <w:tc>
          <w:tcPr>
            <w:tcW w:w="6677" w:type="dxa"/>
            <w:vAlign w:val="top"/>
          </w:tcPr>
          <w:p>
            <w:pPr>
              <w:pStyle w:val="30"/>
              <w:spacing w:line="360" w:lineRule="auto"/>
              <w:jc w:val="left"/>
              <w:rPr>
                <w:rFonts w:hint="eastAsia" w:ascii="宋体" w:hAnsi="宋体" w:eastAsia="宋体" w:cs="宋体"/>
                <w:color w:val="auto"/>
                <w:highlight w:val="none"/>
              </w:rPr>
            </w:pPr>
            <w:r>
              <w:rPr>
                <w:rFonts w:hint="eastAsia"/>
                <w:color w:val="auto"/>
                <w:highlight w:val="none"/>
              </w:rPr>
              <w:t>投标文件的递交截止之日起90天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40" w:hRule="atLeast"/>
          <w:jc w:val="center"/>
        </w:trPr>
        <w:tc>
          <w:tcPr>
            <w:tcW w:w="840" w:type="dxa"/>
            <w:vAlign w:val="center"/>
          </w:tcPr>
          <w:p>
            <w:pPr>
              <w:pStyle w:val="30"/>
              <w:spacing w:line="360" w:lineRule="auto"/>
              <w:rPr>
                <w:rFonts w:hint="default" w:eastAsia="宋体"/>
                <w:color w:val="auto"/>
                <w:highlight w:val="none"/>
                <w:lang w:val="en-US" w:eastAsia="zh-CN"/>
              </w:rPr>
            </w:pPr>
            <w:r>
              <w:rPr>
                <w:rFonts w:hint="eastAsia"/>
                <w:color w:val="auto"/>
                <w:highlight w:val="none"/>
                <w:lang w:val="en-US" w:eastAsia="zh-CN"/>
              </w:rPr>
              <w:t>18</w:t>
            </w:r>
          </w:p>
        </w:tc>
        <w:tc>
          <w:tcPr>
            <w:tcW w:w="1826" w:type="dxa"/>
            <w:vAlign w:val="center"/>
          </w:tcPr>
          <w:p>
            <w:pPr>
              <w:pStyle w:val="30"/>
              <w:spacing w:line="360" w:lineRule="auto"/>
              <w:rPr>
                <w:rFonts w:hint="eastAsia"/>
                <w:color w:val="auto"/>
                <w:highlight w:val="none"/>
              </w:rPr>
            </w:pPr>
            <w:r>
              <w:rPr>
                <w:rFonts w:hint="eastAsia"/>
                <w:color w:val="auto"/>
                <w:highlight w:val="none"/>
              </w:rPr>
              <w:t>投标文件的份数及要求</w:t>
            </w:r>
          </w:p>
        </w:tc>
        <w:tc>
          <w:tcPr>
            <w:tcW w:w="6677" w:type="dxa"/>
            <w:vAlign w:val="center"/>
          </w:tcPr>
          <w:p>
            <w:pPr>
              <w:pStyle w:val="30"/>
              <w:spacing w:line="360" w:lineRule="auto"/>
              <w:jc w:val="left"/>
              <w:rPr>
                <w:color w:val="auto"/>
                <w:highlight w:val="none"/>
              </w:rPr>
            </w:pPr>
            <w:r>
              <w:rPr>
                <w:rFonts w:hint="eastAsia"/>
                <w:color w:val="auto"/>
                <w:highlight w:val="none"/>
              </w:rPr>
              <w:t>正本的份数：壹份；</w:t>
            </w:r>
          </w:p>
          <w:p>
            <w:pPr>
              <w:pStyle w:val="30"/>
              <w:spacing w:line="360" w:lineRule="auto"/>
              <w:jc w:val="left"/>
              <w:rPr>
                <w:color w:val="auto"/>
                <w:highlight w:val="none"/>
              </w:rPr>
            </w:pPr>
            <w:r>
              <w:rPr>
                <w:rFonts w:hint="eastAsia"/>
                <w:color w:val="auto"/>
                <w:highlight w:val="none"/>
              </w:rPr>
              <w:t>副本的份数：</w:t>
            </w:r>
            <w:r>
              <w:rPr>
                <w:rFonts w:hint="eastAsia"/>
                <w:color w:val="auto"/>
                <w:highlight w:val="none"/>
                <w:lang w:val="en-US" w:eastAsia="zh-CN"/>
              </w:rPr>
              <w:t>肆</w:t>
            </w:r>
            <w:r>
              <w:rPr>
                <w:rFonts w:hint="eastAsia"/>
                <w:color w:val="auto"/>
                <w:highlight w:val="none"/>
              </w:rPr>
              <w:t>份；</w:t>
            </w:r>
          </w:p>
          <w:p>
            <w:pPr>
              <w:pStyle w:val="30"/>
              <w:spacing w:line="360" w:lineRule="auto"/>
              <w:jc w:val="left"/>
              <w:rPr>
                <w:color w:val="auto"/>
                <w:highlight w:val="none"/>
              </w:rPr>
            </w:pPr>
            <w:r>
              <w:rPr>
                <w:rFonts w:hint="eastAsia"/>
                <w:color w:val="auto"/>
                <w:highlight w:val="none"/>
              </w:rPr>
              <w:t>开标一览表：壹份；</w:t>
            </w:r>
          </w:p>
          <w:p>
            <w:pPr>
              <w:pStyle w:val="30"/>
              <w:spacing w:line="360" w:lineRule="auto"/>
              <w:jc w:val="left"/>
              <w:rPr>
                <w:color w:val="auto"/>
                <w:highlight w:val="none"/>
              </w:rPr>
            </w:pPr>
            <w:r>
              <w:rPr>
                <w:rFonts w:hint="eastAsia"/>
                <w:color w:val="auto"/>
                <w:highlight w:val="none"/>
              </w:rPr>
              <w:t>电子版（U盘）：壹份（需在盘面上标注投标人全称、项目名称、项目编号）。</w:t>
            </w:r>
          </w:p>
          <w:p>
            <w:pPr>
              <w:pStyle w:val="30"/>
              <w:spacing w:line="360" w:lineRule="auto"/>
              <w:jc w:val="left"/>
              <w:rPr>
                <w:color w:val="auto"/>
                <w:highlight w:val="none"/>
              </w:rPr>
            </w:pPr>
            <w:r>
              <w:rPr>
                <w:rFonts w:hint="eastAsia"/>
                <w:color w:val="auto"/>
                <w:highlight w:val="none"/>
              </w:rPr>
              <w:t>电子版包括：</w:t>
            </w:r>
          </w:p>
          <w:p>
            <w:pPr>
              <w:pStyle w:val="30"/>
              <w:spacing w:line="360" w:lineRule="auto"/>
              <w:jc w:val="left"/>
              <w:rPr>
                <w:color w:val="auto"/>
                <w:highlight w:val="none"/>
              </w:rPr>
            </w:pPr>
            <w:r>
              <w:rPr>
                <w:rFonts w:hint="eastAsia"/>
                <w:color w:val="auto"/>
                <w:highlight w:val="none"/>
              </w:rPr>
              <w:t>（1）word版投标文件；</w:t>
            </w:r>
          </w:p>
          <w:p>
            <w:pPr>
              <w:pStyle w:val="30"/>
              <w:spacing w:line="360" w:lineRule="auto"/>
              <w:jc w:val="left"/>
              <w:rPr>
                <w:rFonts w:hint="eastAsia"/>
                <w:color w:val="auto"/>
                <w:highlight w:val="none"/>
              </w:rPr>
            </w:pPr>
            <w:r>
              <w:rPr>
                <w:rFonts w:hint="eastAsia"/>
                <w:color w:val="auto"/>
                <w:highlight w:val="none"/>
              </w:rPr>
              <w:t>（2）投标文件正本签字盖章后的PDF格式扫描件，与正本具有同等法律效力。</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40" w:hRule="atLeast"/>
          <w:jc w:val="center"/>
        </w:trPr>
        <w:tc>
          <w:tcPr>
            <w:tcW w:w="840" w:type="dxa"/>
            <w:vAlign w:val="center"/>
          </w:tcPr>
          <w:p>
            <w:pPr>
              <w:pStyle w:val="30"/>
              <w:spacing w:line="360" w:lineRule="auto"/>
              <w:rPr>
                <w:rFonts w:hint="default" w:eastAsia="宋体"/>
                <w:color w:val="auto"/>
                <w:highlight w:val="none"/>
                <w:lang w:val="en-US" w:eastAsia="zh-CN"/>
              </w:rPr>
            </w:pPr>
            <w:r>
              <w:rPr>
                <w:rFonts w:hint="eastAsia"/>
                <w:color w:val="auto"/>
                <w:highlight w:val="none"/>
                <w:lang w:val="en-US" w:eastAsia="zh-CN"/>
              </w:rPr>
              <w:t>19</w:t>
            </w:r>
          </w:p>
        </w:tc>
        <w:tc>
          <w:tcPr>
            <w:tcW w:w="1826" w:type="dxa"/>
            <w:vAlign w:val="center"/>
          </w:tcPr>
          <w:p>
            <w:pPr>
              <w:pStyle w:val="30"/>
              <w:spacing w:line="360" w:lineRule="auto"/>
              <w:rPr>
                <w:rFonts w:hint="eastAsia"/>
                <w:color w:val="auto"/>
                <w:highlight w:val="none"/>
              </w:rPr>
            </w:pPr>
            <w:r>
              <w:rPr>
                <w:rFonts w:hint="eastAsia"/>
                <w:color w:val="auto"/>
                <w:highlight w:val="none"/>
              </w:rPr>
              <w:t>投标文件的签字、盖章要求</w:t>
            </w:r>
          </w:p>
        </w:tc>
        <w:tc>
          <w:tcPr>
            <w:tcW w:w="6677" w:type="dxa"/>
            <w:vAlign w:val="center"/>
          </w:tcPr>
          <w:p>
            <w:pPr>
              <w:pStyle w:val="30"/>
              <w:spacing w:line="360" w:lineRule="auto"/>
              <w:jc w:val="left"/>
              <w:rPr>
                <w:rFonts w:hint="eastAsia"/>
                <w:color w:val="auto"/>
                <w:highlight w:val="none"/>
              </w:rPr>
            </w:pPr>
            <w:r>
              <w:rPr>
                <w:rFonts w:hint="eastAsia"/>
                <w:color w:val="auto"/>
                <w:highlight w:val="none"/>
              </w:rPr>
              <w:t>投标文件封面、投标函及其它有要求处必须加盖投标人公章并经法定代表人或其委托代理人签字或盖章。委托代理人签字的，投标文件应附法定代表人签署的授权委托书。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40" w:hRule="atLeast"/>
          <w:jc w:val="center"/>
        </w:trPr>
        <w:tc>
          <w:tcPr>
            <w:tcW w:w="840" w:type="dxa"/>
            <w:vAlign w:val="center"/>
          </w:tcPr>
          <w:p>
            <w:pPr>
              <w:pStyle w:val="30"/>
              <w:spacing w:line="360" w:lineRule="auto"/>
              <w:rPr>
                <w:rFonts w:hint="default" w:eastAsia="宋体"/>
                <w:color w:val="auto"/>
                <w:highlight w:val="none"/>
                <w:lang w:val="en-US" w:eastAsia="zh-CN"/>
              </w:rPr>
            </w:pPr>
            <w:r>
              <w:rPr>
                <w:rFonts w:hint="eastAsia"/>
                <w:color w:val="auto"/>
                <w:highlight w:val="none"/>
                <w:lang w:val="en-US" w:eastAsia="zh-CN"/>
              </w:rPr>
              <w:t>20</w:t>
            </w:r>
          </w:p>
        </w:tc>
        <w:tc>
          <w:tcPr>
            <w:tcW w:w="1826" w:type="dxa"/>
            <w:vAlign w:val="center"/>
          </w:tcPr>
          <w:p>
            <w:pPr>
              <w:pStyle w:val="30"/>
              <w:spacing w:line="360" w:lineRule="auto"/>
              <w:rPr>
                <w:rFonts w:hint="eastAsia"/>
                <w:color w:val="auto"/>
                <w:highlight w:val="none"/>
              </w:rPr>
            </w:pPr>
            <w:r>
              <w:rPr>
                <w:rFonts w:hint="eastAsia"/>
                <w:color w:val="auto"/>
                <w:highlight w:val="none"/>
              </w:rPr>
              <w:t>投标文件的制作装订</w:t>
            </w:r>
          </w:p>
        </w:tc>
        <w:tc>
          <w:tcPr>
            <w:tcW w:w="6677" w:type="dxa"/>
            <w:vAlign w:val="center"/>
          </w:tcPr>
          <w:p>
            <w:pPr>
              <w:pStyle w:val="30"/>
              <w:spacing w:line="360" w:lineRule="auto"/>
              <w:jc w:val="left"/>
              <w:rPr>
                <w:color w:val="auto"/>
                <w:highlight w:val="none"/>
              </w:rPr>
            </w:pPr>
            <w:r>
              <w:rPr>
                <w:rFonts w:hint="eastAsia"/>
                <w:color w:val="auto"/>
                <w:highlight w:val="none"/>
              </w:rPr>
              <w:t>投标文件制作规范、目录清晰、页码标注、对应精准、双面打印。</w:t>
            </w:r>
          </w:p>
          <w:p>
            <w:pPr>
              <w:pStyle w:val="30"/>
              <w:spacing w:line="360" w:lineRule="auto"/>
              <w:jc w:val="left"/>
              <w:rPr>
                <w:color w:val="auto"/>
                <w:highlight w:val="none"/>
              </w:rPr>
            </w:pPr>
            <w:r>
              <w:rPr>
                <w:rFonts w:hint="eastAsia"/>
                <w:color w:val="auto"/>
                <w:highlight w:val="none"/>
              </w:rPr>
              <w:t>字迹潦草、表达不清、未按要求填写而导致非唯一理解。</w:t>
            </w:r>
          </w:p>
          <w:p>
            <w:pPr>
              <w:pStyle w:val="30"/>
              <w:spacing w:line="360" w:lineRule="auto"/>
              <w:jc w:val="left"/>
              <w:rPr>
                <w:rFonts w:hint="eastAsia"/>
                <w:color w:val="auto"/>
                <w:highlight w:val="none"/>
              </w:rPr>
            </w:pPr>
            <w:r>
              <w:rPr>
                <w:rFonts w:hint="eastAsia"/>
                <w:color w:val="auto"/>
                <w:highlight w:val="none"/>
              </w:rPr>
              <w:t>投标文件应胶装成册，不可插页抽页。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40" w:hRule="atLeast"/>
          <w:jc w:val="center"/>
        </w:trPr>
        <w:tc>
          <w:tcPr>
            <w:tcW w:w="840" w:type="dxa"/>
            <w:vAlign w:val="center"/>
          </w:tcPr>
          <w:p>
            <w:pPr>
              <w:pStyle w:val="30"/>
              <w:spacing w:line="360" w:lineRule="auto"/>
              <w:rPr>
                <w:rFonts w:hint="default" w:eastAsia="宋体"/>
                <w:color w:val="auto"/>
                <w:highlight w:val="none"/>
                <w:lang w:val="en-US" w:eastAsia="zh-CN"/>
              </w:rPr>
            </w:pPr>
            <w:r>
              <w:rPr>
                <w:rFonts w:hint="eastAsia"/>
                <w:color w:val="auto"/>
                <w:highlight w:val="none"/>
                <w:lang w:val="en-US" w:eastAsia="zh-CN"/>
              </w:rPr>
              <w:t>21</w:t>
            </w:r>
          </w:p>
        </w:tc>
        <w:tc>
          <w:tcPr>
            <w:tcW w:w="1826" w:type="dxa"/>
            <w:vAlign w:val="center"/>
          </w:tcPr>
          <w:p>
            <w:pPr>
              <w:pStyle w:val="30"/>
              <w:spacing w:line="360" w:lineRule="auto"/>
              <w:rPr>
                <w:rFonts w:hint="eastAsia"/>
                <w:color w:val="auto"/>
                <w:highlight w:val="none"/>
              </w:rPr>
            </w:pPr>
            <w:r>
              <w:rPr>
                <w:rFonts w:hint="eastAsia"/>
                <w:color w:val="auto"/>
                <w:highlight w:val="none"/>
              </w:rPr>
              <w:t>投标文件的密封和标记</w:t>
            </w:r>
          </w:p>
        </w:tc>
        <w:tc>
          <w:tcPr>
            <w:tcW w:w="6677" w:type="dxa"/>
            <w:vAlign w:val="center"/>
          </w:tcPr>
          <w:p>
            <w:pPr>
              <w:pStyle w:val="30"/>
              <w:spacing w:line="360" w:lineRule="auto"/>
              <w:jc w:val="left"/>
              <w:rPr>
                <w:color w:val="auto"/>
                <w:highlight w:val="none"/>
              </w:rPr>
            </w:pPr>
            <w:r>
              <w:rPr>
                <w:rFonts w:hint="eastAsia"/>
                <w:color w:val="auto"/>
                <w:highlight w:val="none"/>
              </w:rPr>
              <w:t>1、密封包装方式：</w:t>
            </w:r>
          </w:p>
          <w:p>
            <w:pPr>
              <w:pStyle w:val="30"/>
              <w:spacing w:line="360" w:lineRule="auto"/>
              <w:jc w:val="left"/>
              <w:rPr>
                <w:color w:val="auto"/>
                <w:highlight w:val="none"/>
              </w:rPr>
            </w:pPr>
            <w:r>
              <w:rPr>
                <w:rFonts w:hint="eastAsia"/>
                <w:color w:val="auto"/>
                <w:highlight w:val="none"/>
              </w:rPr>
              <w:t>投标人应将投标文件正本、所有的副本、电子版本、开标一览表分别单独密封在封袋中（封袋不得有破损）。封袋应加贴封条，并在封线处加盖投标人公章。</w:t>
            </w:r>
          </w:p>
          <w:p>
            <w:pPr>
              <w:pStyle w:val="30"/>
              <w:spacing w:line="360" w:lineRule="auto"/>
              <w:jc w:val="left"/>
              <w:rPr>
                <w:color w:val="auto"/>
                <w:highlight w:val="none"/>
              </w:rPr>
            </w:pPr>
            <w:r>
              <w:rPr>
                <w:rFonts w:hint="eastAsia"/>
                <w:color w:val="auto"/>
                <w:highlight w:val="none"/>
              </w:rPr>
              <w:t>2、外层包装请按以下要求标记：</w:t>
            </w:r>
          </w:p>
          <w:p>
            <w:pPr>
              <w:pStyle w:val="30"/>
              <w:spacing w:line="360" w:lineRule="auto"/>
              <w:jc w:val="left"/>
              <w:rPr>
                <w:color w:val="auto"/>
                <w:highlight w:val="none"/>
              </w:rPr>
            </w:pPr>
            <w:r>
              <w:rPr>
                <w:rFonts w:hint="eastAsia"/>
                <w:color w:val="auto"/>
                <w:highlight w:val="none"/>
              </w:rPr>
              <w:t>（1) 投标人的全称；</w:t>
            </w:r>
          </w:p>
          <w:p>
            <w:pPr>
              <w:pStyle w:val="30"/>
              <w:spacing w:line="360" w:lineRule="auto"/>
              <w:jc w:val="left"/>
              <w:rPr>
                <w:rFonts w:hint="default" w:eastAsia="宋体"/>
                <w:color w:val="auto"/>
                <w:highlight w:val="none"/>
                <w:lang w:val="en-US" w:eastAsia="zh-CN"/>
              </w:rPr>
            </w:pPr>
            <w:r>
              <w:rPr>
                <w:rFonts w:hint="eastAsia"/>
                <w:color w:val="auto"/>
                <w:highlight w:val="none"/>
              </w:rPr>
              <w:t>（2）投标项目名称、项目编号</w:t>
            </w:r>
            <w:r>
              <w:rPr>
                <w:rFonts w:hint="eastAsia"/>
                <w:color w:val="auto"/>
                <w:highlight w:val="none"/>
                <w:lang w:eastAsia="zh-CN"/>
              </w:rPr>
              <w:t>、</w:t>
            </w:r>
            <w:r>
              <w:rPr>
                <w:rFonts w:hint="eastAsia"/>
                <w:color w:val="auto"/>
                <w:highlight w:val="none"/>
                <w:lang w:val="en-US" w:eastAsia="zh-CN"/>
              </w:rPr>
              <w:t>合同包号</w:t>
            </w:r>
          </w:p>
          <w:p>
            <w:pPr>
              <w:pStyle w:val="30"/>
              <w:spacing w:line="360" w:lineRule="auto"/>
              <w:jc w:val="left"/>
              <w:rPr>
                <w:rFonts w:hint="eastAsia"/>
                <w:color w:val="auto"/>
                <w:highlight w:val="none"/>
              </w:rPr>
            </w:pPr>
            <w:r>
              <w:rPr>
                <w:rFonts w:hint="eastAsia"/>
                <w:color w:val="auto"/>
                <w:highlight w:val="none"/>
              </w:rPr>
              <w:t>（3）正本、副本、“电子版本”、“开标一览表”、及“请勿在＿＿＿＿＿(开标时间)之前启封”。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40" w:hRule="atLeast"/>
          <w:jc w:val="center"/>
        </w:trPr>
        <w:tc>
          <w:tcPr>
            <w:tcW w:w="840" w:type="dxa"/>
            <w:vAlign w:val="center"/>
          </w:tcPr>
          <w:p>
            <w:pPr>
              <w:pStyle w:val="30"/>
              <w:spacing w:line="360" w:lineRule="auto"/>
              <w:rPr>
                <w:rFonts w:hint="default" w:eastAsia="宋体"/>
                <w:color w:val="auto"/>
                <w:highlight w:val="none"/>
                <w:lang w:val="en-US" w:eastAsia="zh-CN"/>
              </w:rPr>
            </w:pPr>
            <w:r>
              <w:rPr>
                <w:rFonts w:hint="eastAsia"/>
                <w:color w:val="auto"/>
                <w:highlight w:val="none"/>
                <w:lang w:val="en-US" w:eastAsia="zh-CN"/>
              </w:rPr>
              <w:t>22</w:t>
            </w:r>
          </w:p>
        </w:tc>
        <w:tc>
          <w:tcPr>
            <w:tcW w:w="1826" w:type="dxa"/>
            <w:vAlign w:val="center"/>
          </w:tcPr>
          <w:p>
            <w:pPr>
              <w:pStyle w:val="30"/>
              <w:spacing w:line="360" w:lineRule="auto"/>
              <w:rPr>
                <w:rFonts w:hint="eastAsia"/>
                <w:color w:val="auto"/>
                <w:highlight w:val="none"/>
              </w:rPr>
            </w:pPr>
            <w:r>
              <w:rPr>
                <w:rFonts w:hint="eastAsia"/>
                <w:color w:val="auto"/>
                <w:highlight w:val="none"/>
              </w:rPr>
              <w:t>投标文件的递交</w:t>
            </w:r>
          </w:p>
        </w:tc>
        <w:tc>
          <w:tcPr>
            <w:tcW w:w="6677" w:type="dxa"/>
            <w:vAlign w:val="top"/>
          </w:tcPr>
          <w:p>
            <w:pPr>
              <w:pStyle w:val="30"/>
              <w:spacing w:line="360" w:lineRule="auto"/>
              <w:jc w:val="left"/>
              <w:rPr>
                <w:color w:val="auto"/>
                <w:highlight w:val="none"/>
              </w:rPr>
            </w:pPr>
            <w:r>
              <w:rPr>
                <w:rFonts w:hint="eastAsia"/>
                <w:color w:val="auto"/>
                <w:highlight w:val="none"/>
              </w:rPr>
              <w:t>投标文件递交截止时间：详见招标公告。</w:t>
            </w:r>
          </w:p>
          <w:p>
            <w:pPr>
              <w:pStyle w:val="30"/>
              <w:spacing w:line="360" w:lineRule="auto"/>
              <w:jc w:val="left"/>
              <w:rPr>
                <w:color w:val="auto"/>
                <w:highlight w:val="none"/>
              </w:rPr>
            </w:pPr>
            <w:r>
              <w:rPr>
                <w:rFonts w:hint="eastAsia"/>
                <w:color w:val="auto"/>
                <w:highlight w:val="none"/>
              </w:rPr>
              <w:t>投标文件递交地址：详见招标公告。</w:t>
            </w:r>
          </w:p>
          <w:p>
            <w:pPr>
              <w:pStyle w:val="30"/>
              <w:spacing w:line="360" w:lineRule="auto"/>
              <w:jc w:val="left"/>
              <w:rPr>
                <w:rFonts w:hint="eastAsia"/>
                <w:color w:val="auto"/>
                <w:highlight w:val="none"/>
              </w:rPr>
            </w:pPr>
            <w:r>
              <w:rPr>
                <w:rFonts w:hint="eastAsia"/>
                <w:color w:val="auto"/>
                <w:highlight w:val="none"/>
              </w:rPr>
              <w:t>投标文件接收人：陕西正鸿招标有限公司。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40" w:hRule="atLeast"/>
          <w:jc w:val="center"/>
        </w:trPr>
        <w:tc>
          <w:tcPr>
            <w:tcW w:w="840" w:type="dxa"/>
            <w:vAlign w:val="center"/>
          </w:tcPr>
          <w:p>
            <w:pPr>
              <w:pStyle w:val="30"/>
              <w:spacing w:line="360" w:lineRule="auto"/>
              <w:rPr>
                <w:rFonts w:hint="default" w:eastAsia="宋体"/>
                <w:color w:val="auto"/>
                <w:highlight w:val="none"/>
                <w:lang w:val="en-US" w:eastAsia="zh-CN"/>
              </w:rPr>
            </w:pPr>
            <w:r>
              <w:rPr>
                <w:rFonts w:hint="eastAsia"/>
                <w:color w:val="auto"/>
                <w:highlight w:val="none"/>
                <w:lang w:val="en-US" w:eastAsia="zh-CN"/>
              </w:rPr>
              <w:t>23</w:t>
            </w:r>
          </w:p>
        </w:tc>
        <w:tc>
          <w:tcPr>
            <w:tcW w:w="1826" w:type="dxa"/>
            <w:vAlign w:val="center"/>
          </w:tcPr>
          <w:p>
            <w:pPr>
              <w:pStyle w:val="30"/>
              <w:spacing w:line="360" w:lineRule="auto"/>
              <w:rPr>
                <w:rFonts w:hint="eastAsia"/>
                <w:color w:val="auto"/>
                <w:highlight w:val="none"/>
              </w:rPr>
            </w:pPr>
            <w:r>
              <w:rPr>
                <w:rFonts w:hint="eastAsia"/>
                <w:color w:val="auto"/>
                <w:highlight w:val="none"/>
              </w:rPr>
              <w:t>开标时间和地点</w:t>
            </w:r>
          </w:p>
        </w:tc>
        <w:tc>
          <w:tcPr>
            <w:tcW w:w="6677" w:type="dxa"/>
            <w:vAlign w:val="top"/>
          </w:tcPr>
          <w:p>
            <w:pPr>
              <w:pStyle w:val="30"/>
              <w:spacing w:line="360" w:lineRule="auto"/>
              <w:jc w:val="left"/>
              <w:rPr>
                <w:color w:val="auto"/>
                <w:highlight w:val="none"/>
              </w:rPr>
            </w:pPr>
            <w:r>
              <w:rPr>
                <w:rFonts w:hint="eastAsia"/>
                <w:color w:val="auto"/>
                <w:highlight w:val="none"/>
              </w:rPr>
              <w:t>开标时间：详见招标公告。</w:t>
            </w:r>
          </w:p>
          <w:p>
            <w:pPr>
              <w:pStyle w:val="30"/>
              <w:spacing w:line="360" w:lineRule="auto"/>
              <w:jc w:val="left"/>
              <w:rPr>
                <w:rFonts w:hint="eastAsia"/>
                <w:color w:val="auto"/>
                <w:highlight w:val="none"/>
              </w:rPr>
            </w:pPr>
            <w:r>
              <w:rPr>
                <w:rFonts w:hint="eastAsia"/>
                <w:color w:val="auto"/>
                <w:highlight w:val="none"/>
              </w:rPr>
              <w:t>开标地点：详见招标公告。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40" w:hRule="atLeast"/>
          <w:jc w:val="center"/>
        </w:trPr>
        <w:tc>
          <w:tcPr>
            <w:tcW w:w="840" w:type="dxa"/>
            <w:vAlign w:val="center"/>
          </w:tcPr>
          <w:p>
            <w:pPr>
              <w:pStyle w:val="30"/>
              <w:spacing w:line="360" w:lineRule="auto"/>
              <w:rPr>
                <w:rFonts w:hint="default" w:eastAsia="宋体"/>
                <w:color w:val="auto"/>
                <w:highlight w:val="none"/>
                <w:lang w:val="en-US" w:eastAsia="zh-CN"/>
              </w:rPr>
            </w:pPr>
            <w:r>
              <w:rPr>
                <w:rFonts w:hint="eastAsia"/>
                <w:color w:val="auto"/>
                <w:highlight w:val="none"/>
                <w:lang w:val="en-US" w:eastAsia="zh-CN"/>
              </w:rPr>
              <w:t>24</w:t>
            </w:r>
          </w:p>
        </w:tc>
        <w:tc>
          <w:tcPr>
            <w:tcW w:w="1826" w:type="dxa"/>
            <w:vAlign w:val="center"/>
          </w:tcPr>
          <w:p>
            <w:pPr>
              <w:pStyle w:val="30"/>
              <w:spacing w:line="360" w:lineRule="auto"/>
              <w:rPr>
                <w:rFonts w:hint="eastAsia"/>
                <w:color w:val="auto"/>
                <w:highlight w:val="none"/>
              </w:rPr>
            </w:pPr>
            <w:r>
              <w:rPr>
                <w:rFonts w:hint="eastAsia"/>
                <w:color w:val="auto"/>
                <w:highlight w:val="none"/>
              </w:rPr>
              <w:t>评标委员会的组建</w:t>
            </w:r>
          </w:p>
        </w:tc>
        <w:tc>
          <w:tcPr>
            <w:tcW w:w="6677" w:type="dxa"/>
            <w:vAlign w:val="center"/>
          </w:tcPr>
          <w:p>
            <w:pPr>
              <w:pStyle w:val="30"/>
              <w:spacing w:line="360" w:lineRule="auto"/>
              <w:jc w:val="left"/>
              <w:rPr>
                <w:rFonts w:hint="eastAsia"/>
                <w:color w:val="auto"/>
                <w:highlight w:val="none"/>
              </w:rPr>
            </w:pPr>
            <w:r>
              <w:rPr>
                <w:rFonts w:hint="eastAsia"/>
                <w:color w:val="auto"/>
                <w:highlight w:val="none"/>
              </w:rPr>
              <w:t>评标委员会构成：共5人。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40" w:hRule="atLeast"/>
          <w:jc w:val="center"/>
        </w:trPr>
        <w:tc>
          <w:tcPr>
            <w:tcW w:w="840" w:type="dxa"/>
            <w:vAlign w:val="center"/>
          </w:tcPr>
          <w:p>
            <w:pPr>
              <w:pStyle w:val="30"/>
              <w:spacing w:line="360" w:lineRule="auto"/>
              <w:rPr>
                <w:rFonts w:hint="default" w:eastAsia="宋体"/>
                <w:color w:val="auto"/>
                <w:highlight w:val="none"/>
                <w:lang w:val="en-US" w:eastAsia="zh-CN"/>
              </w:rPr>
            </w:pPr>
            <w:r>
              <w:rPr>
                <w:rFonts w:hint="eastAsia"/>
                <w:color w:val="auto"/>
                <w:highlight w:val="none"/>
                <w:lang w:val="en-US" w:eastAsia="zh-CN"/>
              </w:rPr>
              <w:t>25</w:t>
            </w:r>
          </w:p>
        </w:tc>
        <w:tc>
          <w:tcPr>
            <w:tcW w:w="1826" w:type="dxa"/>
            <w:vAlign w:val="center"/>
          </w:tcPr>
          <w:p>
            <w:pPr>
              <w:pStyle w:val="30"/>
              <w:spacing w:line="360" w:lineRule="auto"/>
              <w:rPr>
                <w:rFonts w:hint="eastAsia"/>
                <w:color w:val="auto"/>
                <w:highlight w:val="none"/>
              </w:rPr>
            </w:pPr>
            <w:r>
              <w:rPr>
                <w:rFonts w:hint="eastAsia"/>
                <w:color w:val="auto"/>
                <w:highlight w:val="none"/>
              </w:rPr>
              <w:t>评标办法</w:t>
            </w:r>
          </w:p>
        </w:tc>
        <w:tc>
          <w:tcPr>
            <w:tcW w:w="6677" w:type="dxa"/>
            <w:vAlign w:val="center"/>
          </w:tcPr>
          <w:p>
            <w:pPr>
              <w:pStyle w:val="30"/>
              <w:spacing w:line="360" w:lineRule="auto"/>
              <w:jc w:val="left"/>
              <w:rPr>
                <w:rFonts w:hint="eastAsia"/>
                <w:color w:val="auto"/>
                <w:highlight w:val="none"/>
              </w:rPr>
            </w:pPr>
            <w:r>
              <w:rPr>
                <w:rFonts w:hint="eastAsia"/>
                <w:b/>
                <w:color w:val="auto"/>
                <w:highlight w:val="none"/>
              </w:rPr>
              <w:t>综合评分法（详见第五章“评标办法”）。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40" w:hRule="atLeast"/>
          <w:jc w:val="center"/>
        </w:trPr>
        <w:tc>
          <w:tcPr>
            <w:tcW w:w="840" w:type="dxa"/>
            <w:vAlign w:val="center"/>
          </w:tcPr>
          <w:p>
            <w:pPr>
              <w:pStyle w:val="30"/>
              <w:spacing w:line="360" w:lineRule="auto"/>
              <w:rPr>
                <w:rFonts w:hint="default" w:eastAsia="宋体"/>
                <w:color w:val="auto"/>
                <w:highlight w:val="none"/>
                <w:lang w:val="en-US" w:eastAsia="zh-CN"/>
              </w:rPr>
            </w:pPr>
            <w:r>
              <w:rPr>
                <w:rFonts w:hint="eastAsia"/>
                <w:color w:val="auto"/>
                <w:highlight w:val="none"/>
                <w:lang w:val="en-US" w:eastAsia="zh-CN"/>
              </w:rPr>
              <w:t>26</w:t>
            </w:r>
          </w:p>
        </w:tc>
        <w:tc>
          <w:tcPr>
            <w:tcW w:w="1826" w:type="dxa"/>
            <w:vAlign w:val="center"/>
          </w:tcPr>
          <w:p>
            <w:pPr>
              <w:pStyle w:val="30"/>
              <w:spacing w:line="360" w:lineRule="auto"/>
              <w:rPr>
                <w:rFonts w:hint="eastAsia"/>
                <w:color w:val="auto"/>
                <w:highlight w:val="none"/>
              </w:rPr>
            </w:pPr>
            <w:r>
              <w:rPr>
                <w:rFonts w:hint="eastAsia"/>
                <w:color w:val="auto"/>
                <w:highlight w:val="none"/>
              </w:rPr>
              <w:t>招标代理服务费</w:t>
            </w:r>
          </w:p>
        </w:tc>
        <w:tc>
          <w:tcPr>
            <w:tcW w:w="6677" w:type="dxa"/>
            <w:vAlign w:val="center"/>
          </w:tcPr>
          <w:p>
            <w:pPr>
              <w:pStyle w:val="30"/>
              <w:spacing w:line="360" w:lineRule="auto"/>
              <w:jc w:val="left"/>
              <w:rPr>
                <w:rFonts w:hint="eastAsia" w:eastAsia="宋体"/>
                <w:color w:val="auto"/>
                <w:highlight w:val="none"/>
                <w:lang w:eastAsia="zh-CN"/>
              </w:rPr>
            </w:pPr>
            <w:r>
              <w:rPr>
                <w:rFonts w:hint="eastAsia"/>
                <w:color w:val="auto"/>
                <w:highlight w:val="none"/>
              </w:rPr>
              <w:t>各合同</w:t>
            </w:r>
            <w:r>
              <w:rPr>
                <w:rFonts w:hint="eastAsia"/>
                <w:color w:val="auto"/>
                <w:highlight w:val="none"/>
                <w:lang w:val="en-US" w:eastAsia="zh-CN"/>
              </w:rPr>
              <w:t>包</w:t>
            </w:r>
            <w:r>
              <w:rPr>
                <w:rFonts w:hint="eastAsia"/>
                <w:color w:val="auto"/>
                <w:highlight w:val="none"/>
              </w:rPr>
              <w:t>参照国家计委颁发的《招标代理服务收费管理暂行办法》（计价格[2002]1980号）和国家发展改革委员会办公厅颁发的《关于招标代理服务收费有关问题的通知》（发改办价格[2003]857号）的有关规定收取</w:t>
            </w:r>
            <w:r>
              <w:rPr>
                <w:rFonts w:hint="eastAsia"/>
                <w:color w:val="auto"/>
                <w:highlight w:val="none"/>
                <w:lang w:eastAsia="zh-CN"/>
              </w:rPr>
              <w:t>；</w:t>
            </w:r>
          </w:p>
          <w:p>
            <w:pPr>
              <w:pStyle w:val="30"/>
              <w:spacing w:line="360" w:lineRule="auto"/>
              <w:jc w:val="left"/>
              <w:rPr>
                <w:rFonts w:hint="eastAsia"/>
                <w:color w:val="auto"/>
                <w:highlight w:val="none"/>
              </w:rPr>
            </w:pPr>
            <w:r>
              <w:rPr>
                <w:rFonts w:hint="eastAsia"/>
                <w:b w:val="0"/>
                <w:bCs w:val="0"/>
                <w:color w:val="auto"/>
                <w:highlight w:val="none"/>
              </w:rPr>
              <w:t>本项目以预算金额作为</w:t>
            </w:r>
            <w:r>
              <w:rPr>
                <w:rFonts w:hint="eastAsia"/>
                <w:b w:val="0"/>
                <w:bCs w:val="0"/>
                <w:color w:val="auto"/>
                <w:highlight w:val="none"/>
                <w:lang w:eastAsia="zh-CN"/>
              </w:rPr>
              <w:t>各</w:t>
            </w:r>
            <w:r>
              <w:rPr>
                <w:rFonts w:hint="eastAsia"/>
                <w:b w:val="0"/>
                <w:bCs w:val="0"/>
                <w:color w:val="auto"/>
                <w:highlight w:val="none"/>
                <w:lang w:val="en-US" w:eastAsia="zh-CN"/>
              </w:rPr>
              <w:t>合同</w:t>
            </w:r>
            <w:r>
              <w:rPr>
                <w:rFonts w:hint="eastAsia"/>
                <w:b w:val="0"/>
                <w:bCs w:val="0"/>
                <w:color w:val="auto"/>
                <w:highlight w:val="none"/>
                <w:lang w:eastAsia="zh-CN"/>
              </w:rPr>
              <w:t>包的</w:t>
            </w:r>
            <w:r>
              <w:rPr>
                <w:rFonts w:hint="eastAsia"/>
                <w:b w:val="0"/>
                <w:bCs w:val="0"/>
                <w:color w:val="auto"/>
                <w:highlight w:val="none"/>
              </w:rPr>
              <w:t>成交金额，</w:t>
            </w:r>
            <w:r>
              <w:rPr>
                <w:rFonts w:hint="eastAsia"/>
                <w:b w:val="0"/>
                <w:bCs w:val="0"/>
                <w:color w:val="auto"/>
                <w:highlight w:val="none"/>
                <w:lang w:val="en-US" w:eastAsia="zh-CN"/>
              </w:rPr>
              <w:t>各合同包招标</w:t>
            </w:r>
            <w:r>
              <w:rPr>
                <w:rFonts w:hint="eastAsia"/>
                <w:b w:val="0"/>
                <w:bCs w:val="0"/>
                <w:color w:val="auto"/>
                <w:highlight w:val="none"/>
              </w:rPr>
              <w:t>代理服务费分别按照前三名入围供应商入围份额（即综合折扣由低到高排序分别是</w:t>
            </w:r>
            <w:r>
              <w:rPr>
                <w:rFonts w:hint="eastAsia"/>
                <w:b w:val="0"/>
                <w:bCs w:val="0"/>
                <w:color w:val="auto"/>
                <w:highlight w:val="none"/>
                <w:lang w:val="en-US" w:eastAsia="zh-CN"/>
              </w:rPr>
              <w:t>45</w:t>
            </w:r>
            <w:r>
              <w:rPr>
                <w:rFonts w:hint="eastAsia"/>
                <w:b w:val="0"/>
                <w:bCs w:val="0"/>
                <w:color w:val="auto"/>
                <w:highlight w:val="none"/>
              </w:rPr>
              <w:t>%份额，30%份额，</w:t>
            </w:r>
            <w:r>
              <w:rPr>
                <w:rFonts w:hint="eastAsia"/>
                <w:b w:val="0"/>
                <w:bCs w:val="0"/>
                <w:color w:val="auto"/>
                <w:highlight w:val="none"/>
                <w:lang w:val="en-US" w:eastAsia="zh-CN"/>
              </w:rPr>
              <w:t>25</w:t>
            </w:r>
            <w:r>
              <w:rPr>
                <w:rFonts w:hint="eastAsia"/>
                <w:b w:val="0"/>
                <w:bCs w:val="0"/>
                <w:color w:val="auto"/>
                <w:highlight w:val="none"/>
              </w:rPr>
              <w:t>%份额）</w:t>
            </w:r>
            <w:r>
              <w:rPr>
                <w:rFonts w:hint="eastAsia"/>
                <w:b w:val="0"/>
                <w:bCs w:val="0"/>
                <w:color w:val="auto"/>
                <w:highlight w:val="none"/>
                <w:lang w:val="en-US" w:eastAsia="zh-CN"/>
              </w:rPr>
              <w:t>为基数计算，</w:t>
            </w:r>
            <w:r>
              <w:rPr>
                <w:rFonts w:hint="eastAsia"/>
                <w:color w:val="auto"/>
                <w:highlight w:val="none"/>
                <w:lang w:val="en-US" w:eastAsia="zh-CN"/>
              </w:rPr>
              <w:t>各入围单位不足叁仟元的按叁仟元收取</w:t>
            </w:r>
            <w:r>
              <w:rPr>
                <w:rFonts w:hint="eastAsia"/>
                <w:b w:val="0"/>
                <w:bCs w:val="0"/>
                <w:color w:val="auto"/>
                <w:highlight w:val="none"/>
                <w:lang w:eastAsia="zh-CN"/>
              </w:rPr>
              <w:t>。</w:t>
            </w:r>
          </w:p>
          <w:p>
            <w:pPr>
              <w:pStyle w:val="30"/>
              <w:spacing w:line="360" w:lineRule="auto"/>
              <w:jc w:val="left"/>
              <w:rPr>
                <w:b/>
                <w:bCs/>
                <w:color w:val="auto"/>
                <w:kern w:val="2"/>
                <w:szCs w:val="22"/>
                <w:highlight w:val="none"/>
              </w:rPr>
            </w:pPr>
            <w:r>
              <w:rPr>
                <w:rFonts w:hint="eastAsia"/>
                <w:b/>
                <w:bCs/>
                <w:color w:val="auto"/>
                <w:kern w:val="2"/>
                <w:szCs w:val="22"/>
                <w:highlight w:val="none"/>
              </w:rPr>
              <w:t>本项目类型：货物</w:t>
            </w:r>
          </w:p>
          <w:p>
            <w:pPr>
              <w:pStyle w:val="30"/>
              <w:spacing w:line="360" w:lineRule="auto"/>
              <w:jc w:val="left"/>
              <w:rPr>
                <w:b/>
                <w:bCs/>
                <w:color w:val="auto"/>
                <w:kern w:val="2"/>
                <w:szCs w:val="22"/>
                <w:highlight w:val="none"/>
              </w:rPr>
            </w:pPr>
            <w:r>
              <w:rPr>
                <w:rFonts w:hint="eastAsia"/>
                <w:b/>
                <w:bCs/>
                <w:color w:val="auto"/>
                <w:kern w:val="2"/>
                <w:szCs w:val="22"/>
                <w:highlight w:val="none"/>
              </w:rPr>
              <w:t>账户：</w:t>
            </w:r>
          </w:p>
          <w:p>
            <w:pPr>
              <w:pStyle w:val="30"/>
              <w:spacing w:line="360" w:lineRule="auto"/>
              <w:jc w:val="left"/>
              <w:rPr>
                <w:color w:val="auto"/>
                <w:highlight w:val="none"/>
              </w:rPr>
            </w:pPr>
            <w:r>
              <w:rPr>
                <w:rFonts w:hint="eastAsia"/>
                <w:color w:val="auto"/>
                <w:highlight w:val="none"/>
              </w:rPr>
              <w:t>户名：陕西正鸿招标有限公司</w:t>
            </w:r>
          </w:p>
          <w:p>
            <w:pPr>
              <w:pStyle w:val="30"/>
              <w:spacing w:line="360" w:lineRule="auto"/>
              <w:jc w:val="left"/>
              <w:rPr>
                <w:color w:val="auto"/>
                <w:highlight w:val="none"/>
              </w:rPr>
            </w:pPr>
            <w:r>
              <w:rPr>
                <w:rFonts w:hint="eastAsia"/>
                <w:color w:val="auto"/>
                <w:highlight w:val="none"/>
              </w:rPr>
              <w:t>开户行：交通银行股份有限公司西安大雁塔支行</w:t>
            </w:r>
          </w:p>
          <w:p>
            <w:pPr>
              <w:pStyle w:val="30"/>
              <w:spacing w:line="360" w:lineRule="auto"/>
              <w:jc w:val="left"/>
              <w:rPr>
                <w:rFonts w:hint="eastAsia"/>
                <w:b/>
                <w:color w:val="auto"/>
                <w:highlight w:val="none"/>
              </w:rPr>
            </w:pPr>
            <w:r>
              <w:rPr>
                <w:rFonts w:hint="eastAsia"/>
                <w:color w:val="auto"/>
                <w:highlight w:val="none"/>
              </w:rPr>
              <w:t>账号：611301053018010099844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40" w:hRule="atLeast"/>
          <w:jc w:val="center"/>
        </w:trPr>
        <w:tc>
          <w:tcPr>
            <w:tcW w:w="840" w:type="dxa"/>
            <w:vAlign w:val="center"/>
          </w:tcPr>
          <w:p>
            <w:pPr>
              <w:pStyle w:val="30"/>
              <w:spacing w:line="360" w:lineRule="auto"/>
              <w:rPr>
                <w:rFonts w:hint="default" w:eastAsia="宋体"/>
                <w:color w:val="auto"/>
                <w:highlight w:val="none"/>
                <w:lang w:val="en-US" w:eastAsia="zh-CN"/>
              </w:rPr>
            </w:pPr>
            <w:r>
              <w:rPr>
                <w:rFonts w:hint="eastAsia"/>
                <w:color w:val="auto"/>
                <w:highlight w:val="none"/>
                <w:lang w:val="en-US" w:eastAsia="zh-CN"/>
              </w:rPr>
              <w:t>27</w:t>
            </w:r>
          </w:p>
        </w:tc>
        <w:tc>
          <w:tcPr>
            <w:tcW w:w="1826" w:type="dxa"/>
            <w:vAlign w:val="center"/>
          </w:tcPr>
          <w:p>
            <w:pPr>
              <w:pStyle w:val="30"/>
              <w:spacing w:line="360" w:lineRule="auto"/>
              <w:rPr>
                <w:rFonts w:hint="eastAsia"/>
                <w:color w:val="auto"/>
                <w:highlight w:val="none"/>
              </w:rPr>
            </w:pPr>
            <w:r>
              <w:rPr>
                <w:rFonts w:hint="eastAsia"/>
                <w:color w:val="auto"/>
                <w:highlight w:val="none"/>
              </w:rPr>
              <w:t>付款方式</w:t>
            </w:r>
          </w:p>
        </w:tc>
        <w:tc>
          <w:tcPr>
            <w:tcW w:w="6677" w:type="dxa"/>
            <w:vAlign w:val="center"/>
          </w:tcPr>
          <w:p>
            <w:pPr>
              <w:pStyle w:val="30"/>
              <w:spacing w:line="360" w:lineRule="auto"/>
              <w:jc w:val="left"/>
              <w:rPr>
                <w:rFonts w:hint="eastAsia"/>
                <w:b/>
                <w:color w:val="auto"/>
                <w:highlight w:val="none"/>
              </w:rPr>
            </w:pPr>
            <w:r>
              <w:rPr>
                <w:rFonts w:hint="eastAsia" w:ascii="宋体" w:hAnsi="宋体" w:eastAsia="宋体" w:cs="宋体"/>
                <w:color w:val="auto"/>
                <w:highlight w:val="none"/>
                <w:lang w:val="en-US" w:eastAsia="zh-CN"/>
              </w:rPr>
              <w:t>本项目图书分多次采购，具体采购次数以采购人的供货清单为准。货款按实际订购数量和实洋凭发票结算。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40" w:hRule="atLeast"/>
          <w:jc w:val="center"/>
        </w:trPr>
        <w:tc>
          <w:tcPr>
            <w:tcW w:w="840" w:type="dxa"/>
            <w:vAlign w:val="center"/>
          </w:tcPr>
          <w:p>
            <w:pPr>
              <w:pStyle w:val="30"/>
              <w:spacing w:line="360" w:lineRule="auto"/>
              <w:rPr>
                <w:rFonts w:hint="default" w:eastAsia="宋体"/>
                <w:color w:val="auto"/>
                <w:highlight w:val="none"/>
                <w:lang w:val="en-US" w:eastAsia="zh-CN"/>
              </w:rPr>
            </w:pPr>
            <w:r>
              <w:rPr>
                <w:rFonts w:hint="eastAsia"/>
                <w:color w:val="auto"/>
                <w:highlight w:val="none"/>
                <w:lang w:val="en-US" w:eastAsia="zh-CN"/>
              </w:rPr>
              <w:t>28</w:t>
            </w:r>
          </w:p>
        </w:tc>
        <w:tc>
          <w:tcPr>
            <w:tcW w:w="1826" w:type="dxa"/>
            <w:vAlign w:val="center"/>
          </w:tcPr>
          <w:p>
            <w:pPr>
              <w:pStyle w:val="30"/>
              <w:spacing w:line="360" w:lineRule="auto"/>
              <w:rPr>
                <w:rFonts w:hint="eastAsia"/>
                <w:color w:val="auto"/>
                <w:highlight w:val="none"/>
              </w:rPr>
            </w:pPr>
            <w:r>
              <w:rPr>
                <w:rFonts w:hint="eastAsia"/>
                <w:color w:val="auto"/>
                <w:szCs w:val="22"/>
                <w:highlight w:val="none"/>
                <w:lang w:eastAsia="zh-CN"/>
              </w:rPr>
              <w:t>履约保证金</w:t>
            </w:r>
          </w:p>
        </w:tc>
        <w:tc>
          <w:tcPr>
            <w:tcW w:w="6677" w:type="dxa"/>
            <w:vAlign w:val="center"/>
          </w:tcPr>
          <w:p>
            <w:pPr>
              <w:pStyle w:val="30"/>
              <w:spacing w:line="360" w:lineRule="auto"/>
              <w:jc w:val="both"/>
              <w:rPr>
                <w:rFonts w:hint="eastAsia" w:ascii="宋体" w:hAnsi="宋体" w:eastAsia="宋体" w:cs="宋体"/>
                <w:color w:val="auto"/>
                <w:highlight w:val="none"/>
                <w:lang w:val="en-US" w:eastAsia="zh-CN"/>
              </w:rPr>
            </w:pPr>
            <w:r>
              <w:rPr>
                <w:rFonts w:hint="eastAsia"/>
                <w:color w:val="auto"/>
                <w:szCs w:val="22"/>
                <w:highlight w:val="none"/>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40" w:hRule="atLeast"/>
          <w:jc w:val="center"/>
        </w:trPr>
        <w:tc>
          <w:tcPr>
            <w:tcW w:w="840" w:type="dxa"/>
            <w:vAlign w:val="center"/>
          </w:tcPr>
          <w:p>
            <w:pPr>
              <w:pStyle w:val="30"/>
              <w:spacing w:line="360" w:lineRule="auto"/>
              <w:rPr>
                <w:rFonts w:hint="default" w:eastAsia="宋体"/>
                <w:color w:val="auto"/>
                <w:highlight w:val="none"/>
                <w:lang w:val="en-US" w:eastAsia="zh-CN"/>
              </w:rPr>
            </w:pPr>
            <w:r>
              <w:rPr>
                <w:rFonts w:hint="eastAsia"/>
                <w:color w:val="auto"/>
                <w:highlight w:val="none"/>
                <w:lang w:val="en-US" w:eastAsia="zh-CN"/>
              </w:rPr>
              <w:t>29</w:t>
            </w:r>
          </w:p>
        </w:tc>
        <w:tc>
          <w:tcPr>
            <w:tcW w:w="1826" w:type="dxa"/>
            <w:vAlign w:val="center"/>
          </w:tcPr>
          <w:p>
            <w:pPr>
              <w:pStyle w:val="30"/>
              <w:spacing w:line="360" w:lineRule="auto"/>
              <w:rPr>
                <w:rFonts w:hint="eastAsia"/>
                <w:color w:val="auto"/>
                <w:highlight w:val="none"/>
              </w:rPr>
            </w:pPr>
            <w:r>
              <w:rPr>
                <w:rFonts w:hint="eastAsia"/>
                <w:color w:val="auto"/>
                <w:szCs w:val="22"/>
                <w:highlight w:val="none"/>
              </w:rPr>
              <w:t>现场踏勘</w:t>
            </w:r>
          </w:p>
        </w:tc>
        <w:tc>
          <w:tcPr>
            <w:tcW w:w="6677" w:type="dxa"/>
            <w:vAlign w:val="center"/>
          </w:tcPr>
          <w:p>
            <w:pPr>
              <w:pStyle w:val="30"/>
              <w:spacing w:line="360" w:lineRule="auto"/>
              <w:jc w:val="both"/>
              <w:rPr>
                <w:rFonts w:hint="eastAsia" w:ascii="宋体" w:hAnsi="宋体" w:eastAsia="宋体" w:cs="宋体"/>
                <w:color w:val="auto"/>
                <w:highlight w:val="none"/>
                <w:lang w:val="en-US" w:eastAsia="zh-CN"/>
              </w:rPr>
            </w:pPr>
            <w:r>
              <w:rPr>
                <w:rFonts w:hint="eastAsia"/>
                <w:color w:val="auto"/>
                <w:szCs w:val="22"/>
                <w:highlight w:val="none"/>
              </w:rPr>
              <w:t>不统一组织踏勘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40" w:hRule="atLeast"/>
          <w:jc w:val="center"/>
        </w:trPr>
        <w:tc>
          <w:tcPr>
            <w:tcW w:w="840" w:type="dxa"/>
            <w:vAlign w:val="center"/>
          </w:tcPr>
          <w:p>
            <w:pPr>
              <w:pStyle w:val="30"/>
              <w:spacing w:line="360" w:lineRule="auto"/>
              <w:rPr>
                <w:rFonts w:hint="default" w:eastAsia="宋体"/>
                <w:color w:val="auto"/>
                <w:highlight w:val="none"/>
                <w:lang w:val="en-US" w:eastAsia="zh-CN"/>
              </w:rPr>
            </w:pPr>
            <w:r>
              <w:rPr>
                <w:rFonts w:hint="eastAsia"/>
                <w:color w:val="auto"/>
                <w:highlight w:val="none"/>
                <w:lang w:val="en-US" w:eastAsia="zh-CN"/>
              </w:rPr>
              <w:t>30</w:t>
            </w:r>
          </w:p>
        </w:tc>
        <w:tc>
          <w:tcPr>
            <w:tcW w:w="1826" w:type="dxa"/>
            <w:vAlign w:val="center"/>
          </w:tcPr>
          <w:p>
            <w:pPr>
              <w:pStyle w:val="30"/>
              <w:spacing w:line="360" w:lineRule="auto"/>
              <w:rPr>
                <w:rFonts w:hint="eastAsia"/>
                <w:color w:val="auto"/>
                <w:highlight w:val="none"/>
              </w:rPr>
            </w:pPr>
            <w:r>
              <w:rPr>
                <w:rFonts w:hint="eastAsia"/>
                <w:b/>
                <w:bCs/>
                <w:color w:val="auto"/>
                <w:szCs w:val="22"/>
                <w:highlight w:val="none"/>
              </w:rPr>
              <w:t>标的所属行业</w:t>
            </w:r>
          </w:p>
        </w:tc>
        <w:tc>
          <w:tcPr>
            <w:tcW w:w="6677" w:type="dxa"/>
            <w:vAlign w:val="center"/>
          </w:tcPr>
          <w:p>
            <w:pPr>
              <w:pStyle w:val="30"/>
              <w:spacing w:line="360" w:lineRule="auto"/>
              <w:jc w:val="both"/>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其他未列明行业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85" w:hRule="atLeast"/>
          <w:jc w:val="center"/>
        </w:trPr>
        <w:tc>
          <w:tcPr>
            <w:tcW w:w="840" w:type="dxa"/>
            <w:vAlign w:val="center"/>
          </w:tcPr>
          <w:p>
            <w:pPr>
              <w:pStyle w:val="30"/>
              <w:spacing w:line="360" w:lineRule="auto"/>
              <w:rPr>
                <w:rFonts w:hint="default" w:ascii="宋体" w:hAnsi="宋体" w:eastAsia="宋体" w:cs="宋体"/>
                <w:b/>
                <w:bCs/>
                <w:color w:val="auto"/>
                <w:highlight w:val="none"/>
                <w:lang w:val="en-US" w:eastAsia="zh-CN"/>
              </w:rPr>
            </w:pPr>
            <w:r>
              <w:rPr>
                <w:rFonts w:hint="eastAsia" w:cs="宋体"/>
                <w:b/>
                <w:bCs/>
                <w:color w:val="auto"/>
                <w:highlight w:val="none"/>
                <w:lang w:val="en-US" w:eastAsia="zh-CN"/>
              </w:rPr>
              <w:t>31</w:t>
            </w:r>
          </w:p>
        </w:tc>
        <w:tc>
          <w:tcPr>
            <w:tcW w:w="1826" w:type="dxa"/>
            <w:vAlign w:val="center"/>
          </w:tcPr>
          <w:p>
            <w:pPr>
              <w:pStyle w:val="30"/>
              <w:spacing w:line="360" w:lineRule="auto"/>
              <w:rPr>
                <w:rFonts w:hint="eastAsia" w:ascii="宋体" w:hAnsi="宋体" w:eastAsia="宋体" w:cs="宋体"/>
                <w:b/>
                <w:bCs/>
                <w:color w:val="auto"/>
                <w:highlight w:val="none"/>
              </w:rPr>
            </w:pPr>
            <w:r>
              <w:rPr>
                <w:rFonts w:hint="eastAsia" w:ascii="宋体" w:hAnsi="宋体" w:eastAsia="宋体" w:cs="宋体"/>
                <w:b/>
                <w:bCs/>
                <w:color w:val="auto"/>
                <w:highlight w:val="none"/>
              </w:rPr>
              <w:t>中标说明</w:t>
            </w:r>
          </w:p>
        </w:tc>
        <w:tc>
          <w:tcPr>
            <w:tcW w:w="6677" w:type="dxa"/>
            <w:vAlign w:val="center"/>
          </w:tcPr>
          <w:p>
            <w:pPr>
              <w:pStyle w:val="5"/>
              <w:bidi w:val="0"/>
              <w:ind w:left="0" w:leftChars="0" w:firstLine="0" w:firstLineChars="0"/>
              <w:rPr>
                <w:rFonts w:hint="eastAsia"/>
                <w:color w:val="auto"/>
                <w:highlight w:val="none"/>
              </w:rPr>
            </w:pPr>
            <w:r>
              <w:rPr>
                <w:rFonts w:hint="eastAsia" w:ascii="宋体" w:hAnsi="宋体" w:eastAsia="宋体" w:cs="宋体"/>
                <w:b/>
                <w:bCs/>
                <w:color w:val="auto"/>
                <w:kern w:val="0"/>
                <w:sz w:val="24"/>
                <w:szCs w:val="20"/>
                <w:highlight w:val="none"/>
                <w:lang w:val="en-US" w:eastAsia="zh-CN" w:bidi="ar-SA"/>
              </w:rPr>
              <w:t>本项目</w:t>
            </w:r>
            <w:r>
              <w:rPr>
                <w:rFonts w:hint="eastAsia" w:cs="宋体"/>
                <w:b/>
                <w:bCs/>
                <w:color w:val="auto"/>
                <w:kern w:val="0"/>
                <w:sz w:val="24"/>
                <w:szCs w:val="20"/>
                <w:highlight w:val="none"/>
                <w:lang w:val="en-US" w:eastAsia="zh-CN" w:bidi="ar-SA"/>
              </w:rPr>
              <w:t>各合同包</w:t>
            </w:r>
            <w:r>
              <w:rPr>
                <w:rFonts w:hint="eastAsia" w:ascii="宋体" w:hAnsi="宋体" w:eastAsia="宋体" w:cs="宋体"/>
                <w:b/>
                <w:bCs/>
                <w:color w:val="auto"/>
                <w:kern w:val="0"/>
                <w:sz w:val="24"/>
                <w:szCs w:val="20"/>
                <w:highlight w:val="none"/>
                <w:lang w:val="en-US" w:eastAsia="zh-CN" w:bidi="ar-SA"/>
              </w:rPr>
              <w:t>采用有限数量制入围前三名，每</w:t>
            </w:r>
            <w:r>
              <w:rPr>
                <w:rFonts w:hint="eastAsia" w:cs="宋体"/>
                <w:b/>
                <w:bCs/>
                <w:color w:val="auto"/>
                <w:kern w:val="0"/>
                <w:sz w:val="24"/>
                <w:szCs w:val="20"/>
                <w:highlight w:val="none"/>
                <w:lang w:val="en-US" w:eastAsia="zh-CN" w:bidi="ar-SA"/>
              </w:rPr>
              <w:t>合同包</w:t>
            </w:r>
            <w:r>
              <w:rPr>
                <w:rFonts w:hint="eastAsia" w:ascii="宋体" w:hAnsi="宋体" w:eastAsia="宋体" w:cs="宋体"/>
                <w:b/>
                <w:bCs/>
                <w:color w:val="auto"/>
                <w:kern w:val="0"/>
                <w:sz w:val="24"/>
                <w:szCs w:val="20"/>
                <w:highlight w:val="none"/>
                <w:lang w:val="en-US" w:eastAsia="zh-CN" w:bidi="ar-SA"/>
              </w:rPr>
              <w:t>入围供应商入围份额以该</w:t>
            </w:r>
            <w:r>
              <w:rPr>
                <w:rFonts w:hint="eastAsia" w:cs="宋体"/>
                <w:b/>
                <w:bCs/>
                <w:color w:val="auto"/>
                <w:kern w:val="0"/>
                <w:sz w:val="24"/>
                <w:szCs w:val="20"/>
                <w:highlight w:val="none"/>
                <w:lang w:val="en-US" w:eastAsia="zh-CN" w:bidi="ar-SA"/>
              </w:rPr>
              <w:t>合同包</w:t>
            </w:r>
            <w:r>
              <w:rPr>
                <w:rFonts w:hint="eastAsia" w:ascii="宋体" w:hAnsi="宋体" w:eastAsia="宋体" w:cs="宋体"/>
                <w:b/>
                <w:bCs/>
                <w:color w:val="auto"/>
                <w:kern w:val="0"/>
                <w:sz w:val="24"/>
                <w:szCs w:val="20"/>
                <w:highlight w:val="none"/>
                <w:lang w:val="en-US" w:eastAsia="zh-CN" w:bidi="ar-SA"/>
              </w:rPr>
              <w:t>报价综合折扣由低到高排序分别为45%份额、30%份额、25%份额</w:t>
            </w:r>
            <w:r>
              <w:rPr>
                <w:rFonts w:hint="eastAsia" w:cs="宋体"/>
                <w:b/>
                <w:bCs/>
                <w:color w:val="auto"/>
                <w:kern w:val="0"/>
                <w:sz w:val="24"/>
                <w:szCs w:val="20"/>
                <w:highlight w:val="none"/>
                <w:lang w:val="en-US" w:eastAsia="zh-CN" w:bidi="ar-SA"/>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41" w:hRule="atLeast"/>
          <w:jc w:val="center"/>
        </w:trPr>
        <w:tc>
          <w:tcPr>
            <w:tcW w:w="840" w:type="dxa"/>
            <w:vAlign w:val="center"/>
          </w:tcPr>
          <w:p>
            <w:pPr>
              <w:pStyle w:val="30"/>
              <w:spacing w:line="360" w:lineRule="auto"/>
              <w:rPr>
                <w:rFonts w:hint="default" w:ascii="宋体" w:hAnsi="宋体" w:eastAsia="宋体" w:cs="宋体"/>
                <w:color w:val="auto"/>
                <w:highlight w:val="none"/>
                <w:lang w:val="en-US" w:eastAsia="zh-CN"/>
              </w:rPr>
            </w:pPr>
            <w:bookmarkStart w:id="25" w:name="_Toc15533"/>
            <w:bookmarkStart w:id="26" w:name="_Toc363474017"/>
            <w:bookmarkStart w:id="27" w:name="_Toc363473972"/>
            <w:bookmarkStart w:id="28" w:name="_Toc403077639"/>
            <w:bookmarkStart w:id="29" w:name="_Toc6935"/>
            <w:r>
              <w:rPr>
                <w:rFonts w:hint="eastAsia" w:cs="宋体"/>
                <w:color w:val="auto"/>
                <w:highlight w:val="none"/>
                <w:lang w:val="en-US" w:eastAsia="zh-CN"/>
              </w:rPr>
              <w:t>32</w:t>
            </w:r>
          </w:p>
        </w:tc>
        <w:tc>
          <w:tcPr>
            <w:tcW w:w="1826" w:type="dxa"/>
            <w:vAlign w:val="center"/>
          </w:tcPr>
          <w:p>
            <w:pPr>
              <w:pStyle w:val="3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一致性</w:t>
            </w:r>
          </w:p>
        </w:tc>
        <w:tc>
          <w:tcPr>
            <w:tcW w:w="6677" w:type="dxa"/>
            <w:vAlign w:val="center"/>
          </w:tcPr>
          <w:p>
            <w:pPr>
              <w:pStyle w:val="30"/>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投标人须知前附表和须知不一致的地方，以前附表为准。</w:t>
            </w:r>
          </w:p>
        </w:tc>
      </w:tr>
      <w:bookmarkEnd w:id="8"/>
      <w:bookmarkEnd w:id="9"/>
      <w:bookmarkEnd w:id="10"/>
    </w:tbl>
    <w:p>
      <w:pPr>
        <w:rPr>
          <w:rStyle w:val="31"/>
          <w:color w:val="auto"/>
          <w:highlight w:val="none"/>
        </w:rPr>
      </w:pPr>
      <w:r>
        <w:rPr>
          <w:rStyle w:val="31"/>
          <w:rFonts w:hint="eastAsia"/>
          <w:color w:val="auto"/>
          <w:highlight w:val="none"/>
        </w:rPr>
        <w:br w:type="page"/>
      </w:r>
    </w:p>
    <w:p>
      <w:pPr>
        <w:pStyle w:val="4"/>
        <w:rPr>
          <w:rStyle w:val="31"/>
          <w:b/>
          <w:bCs/>
          <w:color w:val="auto"/>
          <w:highlight w:val="none"/>
        </w:rPr>
      </w:pPr>
      <w:r>
        <w:rPr>
          <w:rStyle w:val="31"/>
          <w:rFonts w:hint="eastAsia"/>
          <w:b/>
          <w:bCs/>
          <w:color w:val="auto"/>
          <w:highlight w:val="none"/>
        </w:rPr>
        <w:t>一.总  则</w:t>
      </w:r>
      <w:bookmarkEnd w:id="25"/>
      <w:bookmarkEnd w:id="26"/>
      <w:bookmarkEnd w:id="27"/>
      <w:bookmarkEnd w:id="28"/>
      <w:bookmarkEnd w:id="29"/>
    </w:p>
    <w:p>
      <w:pPr>
        <w:pStyle w:val="2"/>
        <w:rPr>
          <w:color w:val="auto"/>
          <w:highlight w:val="none"/>
        </w:rPr>
      </w:pPr>
      <w:bookmarkStart w:id="30" w:name="_Toc30734"/>
      <w:bookmarkStart w:id="31" w:name="_Toc23273"/>
      <w:r>
        <w:rPr>
          <w:rFonts w:hint="eastAsia"/>
          <w:color w:val="auto"/>
          <w:highlight w:val="none"/>
        </w:rPr>
        <w:t>1.资金来源</w:t>
      </w:r>
      <w:bookmarkEnd w:id="30"/>
      <w:bookmarkEnd w:id="31"/>
    </w:p>
    <w:p>
      <w:pPr>
        <w:pStyle w:val="5"/>
        <w:ind w:firstLine="480"/>
        <w:rPr>
          <w:color w:val="auto"/>
          <w:highlight w:val="none"/>
        </w:rPr>
      </w:pPr>
      <w:r>
        <w:rPr>
          <w:rFonts w:hint="eastAsia"/>
          <w:color w:val="auto"/>
          <w:highlight w:val="none"/>
        </w:rPr>
        <w:t>1.1本次招标采购所签合同使用财政资金支付，资金已落实到位。</w:t>
      </w:r>
    </w:p>
    <w:p>
      <w:pPr>
        <w:pStyle w:val="2"/>
        <w:rPr>
          <w:color w:val="auto"/>
          <w:highlight w:val="none"/>
        </w:rPr>
      </w:pPr>
      <w:bookmarkStart w:id="32" w:name="_Toc20780"/>
      <w:bookmarkStart w:id="33" w:name="_Toc15117"/>
      <w:r>
        <w:rPr>
          <w:rFonts w:hint="eastAsia"/>
          <w:color w:val="auto"/>
          <w:highlight w:val="none"/>
        </w:rPr>
        <w:t>2.名词解释</w:t>
      </w:r>
      <w:bookmarkEnd w:id="32"/>
      <w:bookmarkEnd w:id="33"/>
    </w:p>
    <w:p>
      <w:pPr>
        <w:pStyle w:val="5"/>
        <w:ind w:firstLine="480"/>
        <w:rPr>
          <w:color w:val="auto"/>
          <w:highlight w:val="none"/>
        </w:rPr>
      </w:pPr>
      <w:r>
        <w:rPr>
          <w:rFonts w:hint="eastAsia"/>
          <w:color w:val="auto"/>
          <w:highlight w:val="none"/>
        </w:rPr>
        <w:t>2.1采购人：见投标人须知前附表。</w:t>
      </w:r>
    </w:p>
    <w:p>
      <w:pPr>
        <w:pStyle w:val="5"/>
        <w:ind w:firstLine="480"/>
        <w:rPr>
          <w:color w:val="auto"/>
          <w:highlight w:val="none"/>
        </w:rPr>
      </w:pPr>
      <w:r>
        <w:rPr>
          <w:rFonts w:hint="eastAsia"/>
          <w:color w:val="auto"/>
          <w:highlight w:val="none"/>
        </w:rPr>
        <w:t>2.2采购代理机构：见投标人须知前附表。</w:t>
      </w:r>
    </w:p>
    <w:p>
      <w:pPr>
        <w:pStyle w:val="5"/>
        <w:ind w:firstLine="480"/>
        <w:rPr>
          <w:color w:val="auto"/>
          <w:highlight w:val="none"/>
        </w:rPr>
      </w:pPr>
      <w:r>
        <w:rPr>
          <w:rFonts w:hint="eastAsia"/>
          <w:color w:val="auto"/>
          <w:highlight w:val="none"/>
        </w:rPr>
        <w:t>2.3监督机构：见投标人须知前附表。</w:t>
      </w:r>
    </w:p>
    <w:p>
      <w:pPr>
        <w:pStyle w:val="5"/>
        <w:ind w:firstLine="480"/>
        <w:rPr>
          <w:color w:val="auto"/>
          <w:highlight w:val="none"/>
        </w:rPr>
      </w:pPr>
      <w:r>
        <w:rPr>
          <w:rFonts w:hint="eastAsia"/>
          <w:color w:val="auto"/>
          <w:highlight w:val="none"/>
        </w:rPr>
        <w:t>2.4投标人：是指响应和符合招标文件规定资格条件且参与投标竞争的法人、其他组织或者自然人。</w:t>
      </w:r>
    </w:p>
    <w:p>
      <w:pPr>
        <w:pStyle w:val="5"/>
        <w:ind w:firstLine="480"/>
        <w:rPr>
          <w:color w:val="auto"/>
          <w:highlight w:val="none"/>
        </w:rPr>
      </w:pPr>
      <w:r>
        <w:rPr>
          <w:rFonts w:hint="eastAsia"/>
          <w:color w:val="auto"/>
          <w:highlight w:val="none"/>
        </w:rPr>
        <w:t>2.5产品是指本招标文件中第四章所述所有产品。</w:t>
      </w:r>
    </w:p>
    <w:p>
      <w:pPr>
        <w:pStyle w:val="5"/>
        <w:ind w:firstLine="480"/>
        <w:rPr>
          <w:color w:val="auto"/>
          <w:highlight w:val="none"/>
        </w:rPr>
      </w:pPr>
      <w:r>
        <w:rPr>
          <w:rFonts w:hint="eastAsia"/>
          <w:color w:val="auto"/>
          <w:highlight w:val="none"/>
        </w:rPr>
        <w:t>2.6服务是指投标人为满足招标文件要求而提供的服务。</w:t>
      </w:r>
    </w:p>
    <w:p>
      <w:pPr>
        <w:pStyle w:val="5"/>
        <w:ind w:firstLine="480"/>
        <w:rPr>
          <w:color w:val="auto"/>
          <w:highlight w:val="none"/>
        </w:rPr>
      </w:pPr>
      <w:r>
        <w:rPr>
          <w:rFonts w:hint="eastAsia"/>
          <w:color w:val="auto"/>
          <w:highlight w:val="none"/>
        </w:rPr>
        <w:t>2.7节能产品或者环保产品是指依据国家确定的认证机构出具的、处于有效期之内的具有节能产品、环境标志产品认证证书的产品。</w:t>
      </w:r>
    </w:p>
    <w:p>
      <w:pPr>
        <w:pStyle w:val="5"/>
        <w:ind w:firstLine="480"/>
        <w:rPr>
          <w:color w:val="auto"/>
          <w:highlight w:val="none"/>
        </w:rPr>
      </w:pPr>
      <w:r>
        <w:rPr>
          <w:rFonts w:hint="eastAsia"/>
          <w:color w:val="auto"/>
          <w:highlight w:val="none"/>
        </w:rPr>
        <w:t>2.8进口产品是指通过中国海关报关验放进入中国境内且产自关境外的产品，详见《关于政府采购进口产品管理有关问题的通知》(财库[2007]119号)。</w:t>
      </w:r>
    </w:p>
    <w:p>
      <w:pPr>
        <w:pStyle w:val="5"/>
        <w:ind w:firstLine="480"/>
        <w:rPr>
          <w:color w:val="auto"/>
          <w:highlight w:val="none"/>
        </w:rPr>
      </w:pPr>
      <w:r>
        <w:rPr>
          <w:rFonts w:hint="eastAsia"/>
          <w:color w:val="auto"/>
          <w:highlight w:val="none"/>
        </w:rPr>
        <w:t>2.9中小企业是指符合《工业和信息化部、国家统计局、国家发展和改革委员会、财政部关于印发中小企业划型标准规定的通知》（工信部联企业[2011]300号）规定的对中小企业的划分标准的企业。</w:t>
      </w:r>
    </w:p>
    <w:p>
      <w:pPr>
        <w:pStyle w:val="5"/>
        <w:ind w:firstLine="480"/>
        <w:rPr>
          <w:color w:val="auto"/>
          <w:highlight w:val="none"/>
        </w:rPr>
      </w:pPr>
      <w:r>
        <w:rPr>
          <w:rFonts w:hint="eastAsia"/>
          <w:color w:val="auto"/>
          <w:highlight w:val="none"/>
        </w:rPr>
        <w:t>2.10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pStyle w:val="5"/>
        <w:ind w:firstLine="480"/>
        <w:rPr>
          <w:color w:val="auto"/>
          <w:highlight w:val="none"/>
        </w:rPr>
      </w:pPr>
      <w:r>
        <w:rPr>
          <w:rFonts w:hint="eastAsia"/>
          <w:color w:val="auto"/>
          <w:highlight w:val="none"/>
        </w:rPr>
        <w:t>2.11残疾人福利性单位是指符合《三部门联合发布关于促进残疾人就业政府采购政策的通知》财库〔2017〕141号规定的对残疾人福利性单位划分标准的单位。</w:t>
      </w:r>
    </w:p>
    <w:p>
      <w:pPr>
        <w:pStyle w:val="2"/>
        <w:rPr>
          <w:color w:val="auto"/>
          <w:highlight w:val="none"/>
        </w:rPr>
      </w:pPr>
      <w:bookmarkStart w:id="34" w:name="_Toc796"/>
      <w:bookmarkStart w:id="35" w:name="_Toc22955"/>
      <w:r>
        <w:rPr>
          <w:rFonts w:hint="eastAsia"/>
          <w:color w:val="auto"/>
          <w:highlight w:val="none"/>
        </w:rPr>
        <w:t>3.合格的投标人</w:t>
      </w:r>
      <w:bookmarkEnd w:id="34"/>
      <w:bookmarkEnd w:id="35"/>
    </w:p>
    <w:p>
      <w:pPr>
        <w:pStyle w:val="5"/>
        <w:ind w:firstLine="480"/>
        <w:rPr>
          <w:color w:val="auto"/>
          <w:highlight w:val="none"/>
        </w:rPr>
      </w:pPr>
      <w:r>
        <w:rPr>
          <w:rFonts w:hint="eastAsia"/>
          <w:color w:val="auto"/>
          <w:highlight w:val="none"/>
        </w:rPr>
        <w:t>3.1《政府采购法》第二十二条第一款规定的投标人基本资格条件：</w:t>
      </w:r>
    </w:p>
    <w:p>
      <w:pPr>
        <w:pStyle w:val="5"/>
        <w:ind w:firstLine="480"/>
        <w:rPr>
          <w:color w:val="auto"/>
          <w:highlight w:val="none"/>
        </w:rPr>
      </w:pPr>
      <w:r>
        <w:rPr>
          <w:rFonts w:hint="eastAsia"/>
          <w:color w:val="auto"/>
          <w:highlight w:val="none"/>
        </w:rPr>
        <w:t xml:space="preserve">   （1）具有独立承担民事责任的能力；</w:t>
      </w:r>
    </w:p>
    <w:p>
      <w:pPr>
        <w:pStyle w:val="5"/>
        <w:ind w:firstLine="480"/>
        <w:rPr>
          <w:color w:val="auto"/>
          <w:highlight w:val="none"/>
        </w:rPr>
      </w:pPr>
      <w:r>
        <w:rPr>
          <w:rFonts w:hint="eastAsia"/>
          <w:color w:val="auto"/>
          <w:highlight w:val="none"/>
        </w:rPr>
        <w:t xml:space="preserve">   （2）具有良好的商业信誉和健全的财务会计制度；</w:t>
      </w:r>
    </w:p>
    <w:p>
      <w:pPr>
        <w:pStyle w:val="5"/>
        <w:ind w:firstLine="480"/>
        <w:rPr>
          <w:color w:val="auto"/>
          <w:highlight w:val="none"/>
        </w:rPr>
      </w:pPr>
      <w:r>
        <w:rPr>
          <w:rFonts w:hint="eastAsia"/>
          <w:color w:val="auto"/>
          <w:highlight w:val="none"/>
        </w:rPr>
        <w:t xml:space="preserve">   （3）具有履行合同所必需的设备和专业技术能力；</w:t>
      </w:r>
    </w:p>
    <w:p>
      <w:pPr>
        <w:pStyle w:val="5"/>
        <w:ind w:firstLine="480"/>
        <w:rPr>
          <w:color w:val="auto"/>
          <w:highlight w:val="none"/>
        </w:rPr>
      </w:pPr>
      <w:r>
        <w:rPr>
          <w:rFonts w:hint="eastAsia"/>
          <w:color w:val="auto"/>
          <w:highlight w:val="none"/>
        </w:rPr>
        <w:t xml:space="preserve">   （4）有依法缴纳税收和社会保障资金的良好记录；</w:t>
      </w:r>
    </w:p>
    <w:p>
      <w:pPr>
        <w:pStyle w:val="5"/>
        <w:ind w:firstLine="480"/>
        <w:rPr>
          <w:color w:val="auto"/>
          <w:highlight w:val="none"/>
        </w:rPr>
      </w:pPr>
      <w:r>
        <w:rPr>
          <w:rFonts w:hint="eastAsia"/>
          <w:color w:val="auto"/>
          <w:highlight w:val="none"/>
        </w:rPr>
        <w:t xml:space="preserve">   （5）参加政府采购活动前三年内，在经营活动中没有重大违法记录；</w:t>
      </w:r>
    </w:p>
    <w:p>
      <w:pPr>
        <w:pStyle w:val="5"/>
        <w:ind w:firstLine="480"/>
        <w:rPr>
          <w:color w:val="auto"/>
          <w:highlight w:val="none"/>
        </w:rPr>
      </w:pPr>
      <w:r>
        <w:rPr>
          <w:rFonts w:hint="eastAsia"/>
          <w:color w:val="auto"/>
          <w:highlight w:val="none"/>
        </w:rPr>
        <w:t xml:space="preserve">   （6）法律、行政法规规定的其他条件。</w:t>
      </w:r>
    </w:p>
    <w:p>
      <w:pPr>
        <w:pStyle w:val="5"/>
        <w:ind w:firstLine="480"/>
        <w:rPr>
          <w:color w:val="auto"/>
          <w:highlight w:val="none"/>
        </w:rPr>
      </w:pPr>
      <w:r>
        <w:rPr>
          <w:rFonts w:hint="eastAsia"/>
          <w:color w:val="auto"/>
          <w:highlight w:val="none"/>
        </w:rPr>
        <w:t>3.2根据本次采购项目的特殊要求，规定的投标人特殊条件（见投标人须知前附表）。</w:t>
      </w:r>
    </w:p>
    <w:p>
      <w:pPr>
        <w:pStyle w:val="5"/>
        <w:ind w:firstLine="480"/>
        <w:rPr>
          <w:color w:val="auto"/>
          <w:highlight w:val="none"/>
        </w:rPr>
      </w:pPr>
      <w:r>
        <w:rPr>
          <w:rFonts w:hint="eastAsia"/>
          <w:color w:val="auto"/>
          <w:highlight w:val="none"/>
        </w:rPr>
        <w:t>3.3单位负责人为同一人或者存在直接控股、管理关系的不同投标人，不得参加同一合同项下的政府采购活动。</w:t>
      </w:r>
    </w:p>
    <w:p>
      <w:pPr>
        <w:pStyle w:val="5"/>
        <w:ind w:firstLine="480"/>
        <w:rPr>
          <w:color w:val="auto"/>
          <w:highlight w:val="none"/>
        </w:rPr>
      </w:pPr>
      <w:r>
        <w:rPr>
          <w:rFonts w:hint="eastAsia"/>
          <w:color w:val="auto"/>
          <w:highlight w:val="none"/>
        </w:rPr>
        <w:t>3.4除单一来源采购项目外，为采购项目提供整体设计、规范编制或者项目管理、监理、检测等服务的投标人，不得再参加该采购项目的其他采购活动，否则均为无效投标。</w:t>
      </w:r>
    </w:p>
    <w:p>
      <w:pPr>
        <w:pStyle w:val="5"/>
        <w:ind w:firstLine="480"/>
        <w:rPr>
          <w:color w:val="auto"/>
          <w:highlight w:val="none"/>
        </w:rPr>
      </w:pPr>
      <w:r>
        <w:rPr>
          <w:rFonts w:hint="eastAsia"/>
          <w:color w:val="auto"/>
          <w:highlight w:val="none"/>
        </w:rPr>
        <w:t>3.5投标人必须在陕西正鸿招标有限公司购买招标文件，方可参加投标。招标文件售后不退。</w:t>
      </w:r>
    </w:p>
    <w:p>
      <w:pPr>
        <w:pStyle w:val="5"/>
        <w:ind w:firstLine="480"/>
        <w:rPr>
          <w:color w:val="auto"/>
          <w:highlight w:val="none"/>
        </w:rPr>
      </w:pPr>
      <w:bookmarkStart w:id="36" w:name="OLE_LINK33"/>
      <w:r>
        <w:rPr>
          <w:rFonts w:hint="eastAsia"/>
          <w:color w:val="auto"/>
          <w:highlight w:val="none"/>
        </w:rPr>
        <w:t>3.</w:t>
      </w:r>
      <w:bookmarkEnd w:id="36"/>
      <w:r>
        <w:rPr>
          <w:rFonts w:hint="eastAsia"/>
          <w:color w:val="auto"/>
          <w:highlight w:val="none"/>
        </w:rPr>
        <w:t>6联合体投标</w:t>
      </w:r>
    </w:p>
    <w:p>
      <w:pPr>
        <w:pStyle w:val="5"/>
        <w:ind w:firstLine="480"/>
        <w:rPr>
          <w:color w:val="auto"/>
          <w:highlight w:val="none"/>
        </w:rPr>
      </w:pPr>
      <w:r>
        <w:rPr>
          <w:rFonts w:hint="eastAsia"/>
          <w:color w:val="auto"/>
          <w:highlight w:val="none"/>
        </w:rPr>
        <w:t>3.6.1如果在招标文件中接受联合体投标（见投标人须知前附表），则两个以上投标人可以组成一个投标联合体，以一个投标人的身份投标。以联合体形式参加投标的，联合体各方均应当符合《中华人民共和国政府采购法》及实施条例规定的条件。采购人根据采购项目的特殊要求规定投标人特定条件的，联合体各方中至少应当有一方符合采购人规定的特定条件。</w:t>
      </w:r>
    </w:p>
    <w:p>
      <w:pPr>
        <w:pStyle w:val="5"/>
        <w:ind w:firstLine="480"/>
        <w:rPr>
          <w:color w:val="auto"/>
          <w:highlight w:val="none"/>
        </w:rPr>
      </w:pPr>
      <w:r>
        <w:rPr>
          <w:rFonts w:hint="eastAsia"/>
          <w:color w:val="auto"/>
          <w:highlight w:val="none"/>
        </w:rPr>
        <w:t>3.6.2联合体各方之间应当签订共同投标协议，明确约定联合体各方承担的工作和相应的责任，并将共同投标协议连同投标文件一并提交采购代理机构。联合体各方签订共同投标协议后，不得再以自己名义单独在同一项目中投标，也不得组成新的联合体参加同一项目投标。</w:t>
      </w:r>
    </w:p>
    <w:p>
      <w:pPr>
        <w:pStyle w:val="5"/>
        <w:ind w:firstLine="480"/>
        <w:rPr>
          <w:color w:val="auto"/>
          <w:highlight w:val="none"/>
        </w:rPr>
      </w:pPr>
      <w:r>
        <w:rPr>
          <w:rFonts w:hint="eastAsia"/>
          <w:color w:val="auto"/>
          <w:highlight w:val="none"/>
        </w:rPr>
        <w:t>3.6.3联合体各方应当共同与采购人签订采购合同，就采购合同约定的事项对采购人承担连带责任。</w:t>
      </w:r>
    </w:p>
    <w:p>
      <w:pPr>
        <w:pStyle w:val="5"/>
        <w:ind w:firstLine="480"/>
        <w:rPr>
          <w:color w:val="auto"/>
          <w:highlight w:val="none"/>
        </w:rPr>
      </w:pPr>
      <w:r>
        <w:rPr>
          <w:rFonts w:hint="eastAsia"/>
          <w:color w:val="auto"/>
          <w:highlight w:val="none"/>
        </w:rPr>
        <w:t>3.7投标费用自理。不论投标的结果如何，投标人均应自行承担所有与参加投标有关的费用。</w:t>
      </w:r>
    </w:p>
    <w:p>
      <w:pPr>
        <w:pStyle w:val="2"/>
        <w:rPr>
          <w:color w:val="auto"/>
          <w:highlight w:val="none"/>
        </w:rPr>
      </w:pPr>
      <w:bookmarkStart w:id="37" w:name="_Toc6408"/>
      <w:bookmarkStart w:id="38" w:name="_Toc26236"/>
      <w:r>
        <w:rPr>
          <w:rFonts w:hint="eastAsia"/>
          <w:color w:val="auto"/>
          <w:highlight w:val="none"/>
        </w:rPr>
        <w:t>4.合格的货物（产品）和服务</w:t>
      </w:r>
      <w:bookmarkEnd w:id="37"/>
      <w:bookmarkEnd w:id="38"/>
    </w:p>
    <w:p>
      <w:pPr>
        <w:pStyle w:val="5"/>
        <w:ind w:firstLine="480"/>
        <w:rPr>
          <w:color w:val="auto"/>
          <w:highlight w:val="none"/>
        </w:rPr>
      </w:pPr>
      <w:r>
        <w:rPr>
          <w:rFonts w:hint="eastAsia"/>
          <w:color w:val="auto"/>
          <w:highlight w:val="none"/>
        </w:rPr>
        <w:t>4.1投标人提供的所有货物和服务，必须是合法生产、合法来源（提供产品来源渠道合法的证明文件：包括但不限于销售协议、代理协议、原厂授权等），符合国家有关标准要求，并满足招标文件规定的规格、参数、质量、价格、有效期、售后服务及投标人须承担的运输、安装、技术支持、培训和招标文件规定的其它伴随服务等要求。</w:t>
      </w:r>
    </w:p>
    <w:p>
      <w:pPr>
        <w:pStyle w:val="5"/>
        <w:ind w:firstLine="480"/>
        <w:rPr>
          <w:color w:val="auto"/>
          <w:highlight w:val="none"/>
        </w:rPr>
      </w:pPr>
      <w:r>
        <w:rPr>
          <w:rFonts w:hint="eastAsia"/>
          <w:color w:val="auto"/>
          <w:highlight w:val="none"/>
        </w:rPr>
        <w:t>4.2采购人有权拒绝接受任何不合格的产品和服务，由此产生的费用及相关后果均由投标人自行承担。</w:t>
      </w:r>
    </w:p>
    <w:p>
      <w:pPr>
        <w:pStyle w:val="2"/>
        <w:rPr>
          <w:color w:val="auto"/>
          <w:highlight w:val="none"/>
        </w:rPr>
      </w:pPr>
      <w:bookmarkStart w:id="39" w:name="_Toc32166"/>
      <w:bookmarkStart w:id="40" w:name="_Toc16465"/>
      <w:r>
        <w:rPr>
          <w:rFonts w:hint="eastAsia"/>
          <w:color w:val="auto"/>
          <w:highlight w:val="none"/>
        </w:rPr>
        <w:t>5.投标人信用记录查询及使用</w:t>
      </w:r>
      <w:bookmarkEnd w:id="39"/>
      <w:bookmarkEnd w:id="40"/>
    </w:p>
    <w:p>
      <w:pPr>
        <w:pStyle w:val="5"/>
        <w:ind w:firstLine="480"/>
        <w:rPr>
          <w:color w:val="auto"/>
          <w:highlight w:val="none"/>
        </w:rPr>
      </w:pPr>
      <w:r>
        <w:rPr>
          <w:rFonts w:hint="eastAsia"/>
          <w:color w:val="auto"/>
          <w:highlight w:val="none"/>
        </w:rPr>
        <w:t xml:space="preserve">5.1“信用中国”网站（www.creditchina.gov.cn）和“中国政府采购网”（ccgp.gov.cn）为投标人信用信息查询渠道，如果投标人被查实在投标截止时间前已列入失信被执行人、重大税收违法案件当事人名单、政府采购严重违法失信行为记录名单，其投标为无效。采购代理机构将打印查询记录作为证据留存。 </w:t>
      </w:r>
    </w:p>
    <w:p>
      <w:pPr>
        <w:pStyle w:val="5"/>
        <w:ind w:firstLine="480"/>
        <w:rPr>
          <w:color w:val="auto"/>
          <w:highlight w:val="none"/>
        </w:rPr>
      </w:pPr>
      <w:r>
        <w:rPr>
          <w:rFonts w:hint="eastAsia"/>
          <w:color w:val="auto"/>
          <w:highlight w:val="none"/>
        </w:rPr>
        <w:t>5.2投标人在参加政府采购活动前3年内因违法经营被禁止在一定期限内参加政府采购活动，期限届满的，可以参加政府采购活动的，但投标人应提供相关证明材料。</w:t>
      </w:r>
    </w:p>
    <w:p>
      <w:pPr>
        <w:pStyle w:val="2"/>
        <w:rPr>
          <w:color w:val="auto"/>
          <w:highlight w:val="none"/>
        </w:rPr>
      </w:pPr>
      <w:r>
        <w:rPr>
          <w:rFonts w:hint="eastAsia"/>
          <w:color w:val="auto"/>
          <w:highlight w:val="none"/>
        </w:rPr>
        <w:t>6.投标文件内容的真实性</w:t>
      </w:r>
    </w:p>
    <w:p>
      <w:pPr>
        <w:pStyle w:val="5"/>
        <w:ind w:firstLine="480"/>
        <w:rPr>
          <w:color w:val="auto"/>
          <w:highlight w:val="none"/>
        </w:rPr>
      </w:pPr>
      <w:r>
        <w:rPr>
          <w:rFonts w:hint="eastAsia"/>
          <w:color w:val="auto"/>
          <w:highlight w:val="none"/>
        </w:rPr>
        <w:t>6.1投标人应保证其投标文件中所提供的所有投标资料、信息是真实的，并且来源于合法的渠道。因投标文件中所提供的投标资料、信息不真实或者其来源不合法而导致的所有法律责任，由投标人自行承担。</w:t>
      </w:r>
    </w:p>
    <w:p>
      <w:pPr>
        <w:pStyle w:val="4"/>
        <w:rPr>
          <w:color w:val="auto"/>
          <w:highlight w:val="none"/>
        </w:rPr>
      </w:pPr>
      <w:bookmarkStart w:id="41" w:name="_Toc22646"/>
      <w:bookmarkStart w:id="42" w:name="_Toc2698"/>
      <w:bookmarkStart w:id="43" w:name="_Toc363473973"/>
      <w:bookmarkStart w:id="44" w:name="_Toc363474018"/>
      <w:bookmarkStart w:id="45" w:name="_Toc403077640"/>
      <w:r>
        <w:rPr>
          <w:rFonts w:hint="eastAsia"/>
          <w:color w:val="auto"/>
          <w:highlight w:val="none"/>
        </w:rPr>
        <w:t>二.招标文件</w:t>
      </w:r>
      <w:bookmarkEnd w:id="41"/>
      <w:bookmarkEnd w:id="42"/>
      <w:bookmarkEnd w:id="43"/>
      <w:bookmarkEnd w:id="44"/>
      <w:bookmarkEnd w:id="45"/>
    </w:p>
    <w:p>
      <w:pPr>
        <w:pStyle w:val="2"/>
        <w:rPr>
          <w:color w:val="auto"/>
          <w:highlight w:val="none"/>
        </w:rPr>
      </w:pPr>
      <w:bookmarkStart w:id="46" w:name="_Toc23312"/>
      <w:bookmarkStart w:id="47" w:name="_Toc31372"/>
      <w:r>
        <w:rPr>
          <w:rFonts w:hint="eastAsia"/>
          <w:color w:val="auto"/>
          <w:highlight w:val="none"/>
        </w:rPr>
        <w:t>7.招标文件构成</w:t>
      </w:r>
      <w:bookmarkEnd w:id="46"/>
      <w:bookmarkEnd w:id="47"/>
    </w:p>
    <w:p>
      <w:pPr>
        <w:pStyle w:val="5"/>
        <w:ind w:firstLine="480"/>
        <w:rPr>
          <w:color w:val="auto"/>
          <w:highlight w:val="none"/>
        </w:rPr>
      </w:pPr>
      <w:r>
        <w:rPr>
          <w:rFonts w:hint="eastAsia"/>
          <w:color w:val="auto"/>
          <w:highlight w:val="none"/>
        </w:rPr>
        <w:t>7.1 招标文件要求提供的货物、服务，招标程序和合同条件在招标文件中均有说明。招标文件共六章，内容如下：</w:t>
      </w:r>
    </w:p>
    <w:p>
      <w:pPr>
        <w:pStyle w:val="5"/>
        <w:ind w:firstLine="480"/>
        <w:rPr>
          <w:color w:val="auto"/>
          <w:highlight w:val="none"/>
        </w:rPr>
      </w:pPr>
      <w:r>
        <w:rPr>
          <w:rFonts w:hint="eastAsia"/>
          <w:color w:val="auto"/>
          <w:highlight w:val="none"/>
        </w:rPr>
        <w:t>第一章 招标公告</w:t>
      </w:r>
    </w:p>
    <w:p>
      <w:pPr>
        <w:pStyle w:val="5"/>
        <w:ind w:firstLine="480"/>
        <w:rPr>
          <w:color w:val="auto"/>
          <w:highlight w:val="none"/>
        </w:rPr>
      </w:pPr>
      <w:r>
        <w:rPr>
          <w:rFonts w:hint="eastAsia"/>
          <w:color w:val="auto"/>
          <w:highlight w:val="none"/>
        </w:rPr>
        <w:t>第二章 投标人须知</w:t>
      </w:r>
    </w:p>
    <w:p>
      <w:pPr>
        <w:pStyle w:val="5"/>
        <w:ind w:firstLine="480"/>
        <w:rPr>
          <w:color w:val="auto"/>
          <w:highlight w:val="none"/>
        </w:rPr>
      </w:pPr>
      <w:r>
        <w:rPr>
          <w:rFonts w:hint="eastAsia"/>
          <w:color w:val="auto"/>
          <w:highlight w:val="none"/>
        </w:rPr>
        <w:t>第三章 商务及合同主要条款</w:t>
      </w:r>
    </w:p>
    <w:p>
      <w:pPr>
        <w:pStyle w:val="5"/>
        <w:ind w:firstLine="480"/>
        <w:rPr>
          <w:color w:val="auto"/>
          <w:highlight w:val="none"/>
        </w:rPr>
      </w:pPr>
      <w:r>
        <w:rPr>
          <w:rFonts w:hint="eastAsia"/>
          <w:color w:val="auto"/>
          <w:highlight w:val="none"/>
        </w:rPr>
        <w:t>第四章 采购内容及技术要求</w:t>
      </w:r>
    </w:p>
    <w:p>
      <w:pPr>
        <w:pStyle w:val="5"/>
        <w:ind w:firstLine="480"/>
        <w:rPr>
          <w:color w:val="auto"/>
          <w:highlight w:val="none"/>
        </w:rPr>
      </w:pPr>
      <w:r>
        <w:rPr>
          <w:rFonts w:hint="eastAsia"/>
          <w:color w:val="auto"/>
          <w:highlight w:val="none"/>
        </w:rPr>
        <w:t>第五章 评标办法</w:t>
      </w:r>
    </w:p>
    <w:p>
      <w:pPr>
        <w:pStyle w:val="5"/>
        <w:ind w:firstLine="480"/>
        <w:rPr>
          <w:color w:val="auto"/>
          <w:highlight w:val="none"/>
        </w:rPr>
      </w:pPr>
      <w:r>
        <w:rPr>
          <w:rFonts w:hint="eastAsia"/>
          <w:color w:val="auto"/>
          <w:highlight w:val="none"/>
        </w:rPr>
        <w:t xml:space="preserve">第六章 投标文件构成及格式  </w:t>
      </w:r>
    </w:p>
    <w:p>
      <w:pPr>
        <w:pStyle w:val="5"/>
        <w:ind w:firstLine="480"/>
        <w:rPr>
          <w:color w:val="auto"/>
          <w:highlight w:val="none"/>
        </w:rPr>
      </w:pPr>
      <w:r>
        <w:rPr>
          <w:rFonts w:hint="eastAsia"/>
          <w:color w:val="auto"/>
          <w:highlight w:val="none"/>
        </w:rPr>
        <w:t>7.2投标人应认真阅读招标文件中所有的事项、格式、条款和规范等要求。如果投标人没有按照招标文件要求提交全部资料，或者投标文件没有对招标文件在各方面都做出实质性响应，由此带来不利于投标人的评标结果，其风险由投标人承担。</w:t>
      </w:r>
    </w:p>
    <w:p>
      <w:pPr>
        <w:pStyle w:val="5"/>
        <w:ind w:firstLine="480"/>
        <w:rPr>
          <w:color w:val="auto"/>
          <w:highlight w:val="none"/>
        </w:rPr>
      </w:pPr>
      <w:r>
        <w:rPr>
          <w:rFonts w:hint="eastAsia"/>
          <w:color w:val="auto"/>
          <w:highlight w:val="none"/>
        </w:rPr>
        <w:t>7.3本招标文件的解释权归陕西正鸿招标有限公司，如发现招标文件内容与现行法律法规不相符的情况，以现行法律法规为准。</w:t>
      </w:r>
    </w:p>
    <w:p>
      <w:pPr>
        <w:pStyle w:val="2"/>
        <w:rPr>
          <w:color w:val="auto"/>
          <w:highlight w:val="none"/>
        </w:rPr>
      </w:pPr>
      <w:bookmarkStart w:id="48" w:name="_Toc19868"/>
      <w:bookmarkStart w:id="49" w:name="_Toc616"/>
      <w:r>
        <w:rPr>
          <w:rFonts w:hint="eastAsia"/>
          <w:color w:val="auto"/>
          <w:highlight w:val="none"/>
        </w:rPr>
        <w:t>8.招标文件的澄清修改及询问</w:t>
      </w:r>
      <w:bookmarkEnd w:id="48"/>
      <w:bookmarkEnd w:id="49"/>
    </w:p>
    <w:p>
      <w:pPr>
        <w:pStyle w:val="5"/>
        <w:ind w:firstLine="480"/>
        <w:rPr>
          <w:color w:val="auto"/>
          <w:highlight w:val="none"/>
        </w:rPr>
      </w:pPr>
      <w:r>
        <w:rPr>
          <w:rFonts w:hint="eastAsia"/>
          <w:color w:val="auto"/>
          <w:highlight w:val="none"/>
        </w:rPr>
        <w:t>8.1采购人或采购代理机构如果对已发出的招标文件进行必要的澄清或者修改，将在原公告发布媒体上发布澄清公告。澄清或者修改的内容为招标文件的组成部分。</w:t>
      </w:r>
    </w:p>
    <w:p>
      <w:pPr>
        <w:pStyle w:val="5"/>
        <w:ind w:firstLine="480"/>
        <w:rPr>
          <w:color w:val="auto"/>
          <w:highlight w:val="none"/>
        </w:rPr>
      </w:pPr>
      <w:r>
        <w:rPr>
          <w:rFonts w:hint="eastAsia"/>
          <w:color w:val="auto"/>
          <w:highlight w:val="none"/>
        </w:rPr>
        <w:t>8.2澄清或者修改的内容可能影响投标文件编制的，采购代理机构将在投标截止时间至少15日前，以书面形式通知所有获取招标文件的潜在投标人；不足15日的，采购代理机构将顺延提交投标文件的截止时间。</w:t>
      </w:r>
    </w:p>
    <w:p>
      <w:pPr>
        <w:pStyle w:val="5"/>
        <w:ind w:firstLine="480"/>
        <w:rPr>
          <w:color w:val="auto"/>
          <w:highlight w:val="none"/>
        </w:rPr>
      </w:pPr>
      <w:r>
        <w:rPr>
          <w:rFonts w:hint="eastAsia"/>
          <w:color w:val="auto"/>
          <w:highlight w:val="none"/>
        </w:rPr>
        <w:t>8.3已经购买招标文件的投标人对招标文件有疑问的，均应在购买招标文件后7个工作日内以书面形式向采购代理机构提出，采购代理机构将在3个工作日内采用适当方式予以澄清或以书面形式予以答复。</w:t>
      </w:r>
    </w:p>
    <w:p>
      <w:pPr>
        <w:pStyle w:val="5"/>
        <w:ind w:firstLine="480"/>
        <w:rPr>
          <w:color w:val="auto"/>
          <w:highlight w:val="none"/>
        </w:rPr>
      </w:pPr>
      <w:r>
        <w:rPr>
          <w:rFonts w:hint="eastAsia"/>
          <w:color w:val="auto"/>
          <w:highlight w:val="none"/>
        </w:rPr>
        <w:t>8.4投标人在收到上述通知后，应立即向采购代理机构回函确认。</w:t>
      </w:r>
    </w:p>
    <w:p>
      <w:pPr>
        <w:pStyle w:val="4"/>
        <w:rPr>
          <w:color w:val="auto"/>
          <w:highlight w:val="none"/>
        </w:rPr>
      </w:pPr>
      <w:bookmarkStart w:id="50" w:name="_Toc20329"/>
      <w:bookmarkStart w:id="51" w:name="_Toc363473974"/>
      <w:bookmarkStart w:id="52" w:name="_Toc363474019"/>
      <w:bookmarkStart w:id="53" w:name="_Toc13455"/>
      <w:bookmarkStart w:id="54" w:name="_Toc403077641"/>
      <w:r>
        <w:rPr>
          <w:rFonts w:hint="eastAsia"/>
          <w:color w:val="auto"/>
          <w:highlight w:val="none"/>
        </w:rPr>
        <w:t>三.投标文件的编制</w:t>
      </w:r>
      <w:bookmarkEnd w:id="50"/>
      <w:bookmarkEnd w:id="51"/>
      <w:bookmarkEnd w:id="52"/>
      <w:bookmarkEnd w:id="53"/>
      <w:bookmarkEnd w:id="54"/>
    </w:p>
    <w:p>
      <w:pPr>
        <w:pStyle w:val="2"/>
        <w:rPr>
          <w:color w:val="auto"/>
          <w:highlight w:val="none"/>
        </w:rPr>
      </w:pPr>
      <w:bookmarkStart w:id="55" w:name="_Toc28123"/>
      <w:bookmarkStart w:id="56" w:name="_Toc17188"/>
      <w:r>
        <w:rPr>
          <w:rFonts w:hint="eastAsia"/>
          <w:color w:val="auto"/>
          <w:highlight w:val="none"/>
        </w:rPr>
        <w:t>9. 投标语言和投标货币</w:t>
      </w:r>
      <w:bookmarkEnd w:id="55"/>
      <w:bookmarkEnd w:id="56"/>
    </w:p>
    <w:p>
      <w:pPr>
        <w:pStyle w:val="5"/>
        <w:ind w:firstLine="480"/>
        <w:rPr>
          <w:color w:val="auto"/>
          <w:highlight w:val="none"/>
        </w:rPr>
      </w:pPr>
      <w:r>
        <w:rPr>
          <w:rFonts w:hint="eastAsia"/>
          <w:color w:val="auto"/>
          <w:highlight w:val="none"/>
        </w:rPr>
        <w:t>9.1投标人提交的投标文件以及投标人与采购代理机构就有关投标的所有来往函电均应使用中文。</w:t>
      </w:r>
    </w:p>
    <w:p>
      <w:pPr>
        <w:pStyle w:val="5"/>
        <w:ind w:firstLine="480"/>
        <w:rPr>
          <w:color w:val="auto"/>
          <w:highlight w:val="none"/>
        </w:rPr>
      </w:pPr>
      <w:r>
        <w:rPr>
          <w:rFonts w:hint="eastAsia"/>
          <w:color w:val="auto"/>
          <w:highlight w:val="none"/>
        </w:rPr>
        <w:t>9.2投标应以人民币报价。任何包含非人民币报价的投标将按无效投标处理。</w:t>
      </w:r>
    </w:p>
    <w:p>
      <w:pPr>
        <w:pStyle w:val="2"/>
        <w:rPr>
          <w:color w:val="auto"/>
          <w:highlight w:val="none"/>
        </w:rPr>
      </w:pPr>
      <w:bookmarkStart w:id="57" w:name="_Toc10386"/>
      <w:bookmarkStart w:id="58" w:name="_Toc3979"/>
      <w:r>
        <w:rPr>
          <w:rFonts w:hint="eastAsia"/>
          <w:color w:val="auto"/>
          <w:highlight w:val="none"/>
        </w:rPr>
        <w:t>10.投标文件的构成</w:t>
      </w:r>
      <w:bookmarkEnd w:id="57"/>
      <w:bookmarkEnd w:id="58"/>
    </w:p>
    <w:p>
      <w:pPr>
        <w:pStyle w:val="5"/>
        <w:ind w:firstLine="480"/>
        <w:rPr>
          <w:color w:val="auto"/>
          <w:highlight w:val="none"/>
        </w:rPr>
      </w:pPr>
      <w:r>
        <w:rPr>
          <w:rFonts w:hint="eastAsia"/>
          <w:color w:val="auto"/>
          <w:highlight w:val="none"/>
        </w:rPr>
        <w:t>10.1 投标人提交的投标文件应包括下列部分的内容：</w:t>
      </w:r>
    </w:p>
    <w:p>
      <w:pPr>
        <w:pStyle w:val="5"/>
        <w:ind w:firstLine="480"/>
        <w:rPr>
          <w:color w:val="auto"/>
          <w:highlight w:val="none"/>
        </w:rPr>
      </w:pPr>
      <w:r>
        <w:rPr>
          <w:rFonts w:hint="eastAsia"/>
          <w:color w:val="auto"/>
          <w:highlight w:val="none"/>
        </w:rPr>
        <w:t>（1）按照投标人须知的要求和招标文件规定的格式填写的投标函、投标报价表、法定代表人授权书。</w:t>
      </w:r>
    </w:p>
    <w:p>
      <w:pPr>
        <w:pStyle w:val="5"/>
        <w:ind w:firstLine="480"/>
        <w:rPr>
          <w:color w:val="auto"/>
          <w:highlight w:val="none"/>
        </w:rPr>
      </w:pPr>
      <w:r>
        <w:rPr>
          <w:rFonts w:hint="eastAsia"/>
          <w:color w:val="auto"/>
          <w:highlight w:val="none"/>
        </w:rPr>
        <w:t>（2）按照招标文件的要求编制的投标方案说明书，内容至少应包括组织实施计划和服务的详细说明，技术规格响应表，生产厂家确认的、相应的产品功能证明材料（包括但不限于测试报告、官网和功能截图等），质量保证，安装调试方案说明，人员配备和售后服务承诺等；</w:t>
      </w:r>
    </w:p>
    <w:p>
      <w:pPr>
        <w:pStyle w:val="5"/>
        <w:ind w:firstLine="480"/>
        <w:rPr>
          <w:color w:val="auto"/>
          <w:highlight w:val="none"/>
        </w:rPr>
      </w:pPr>
      <w:r>
        <w:rPr>
          <w:rFonts w:hint="eastAsia"/>
          <w:color w:val="auto"/>
          <w:highlight w:val="none"/>
        </w:rPr>
        <w:t xml:space="preserve">（3）按照招标文件投标人须知前附表的要求提交的资格证明文件；  </w:t>
      </w:r>
    </w:p>
    <w:p>
      <w:pPr>
        <w:pStyle w:val="5"/>
        <w:ind w:firstLine="480"/>
        <w:rPr>
          <w:color w:val="auto"/>
          <w:highlight w:val="none"/>
        </w:rPr>
      </w:pPr>
      <w:r>
        <w:rPr>
          <w:rFonts w:hint="eastAsia"/>
          <w:color w:val="auto"/>
          <w:highlight w:val="none"/>
        </w:rPr>
        <w:t>（4）按照本须知第15条要求提交的投标保证金（如有）；</w:t>
      </w:r>
    </w:p>
    <w:p>
      <w:pPr>
        <w:pStyle w:val="5"/>
        <w:ind w:firstLine="480"/>
        <w:rPr>
          <w:color w:val="auto"/>
          <w:highlight w:val="none"/>
        </w:rPr>
      </w:pPr>
      <w:r>
        <w:rPr>
          <w:rFonts w:hint="eastAsia"/>
          <w:color w:val="auto"/>
          <w:highlight w:val="none"/>
        </w:rPr>
        <w:t>（5）招标文件中要求的其他证明文件。</w:t>
      </w:r>
    </w:p>
    <w:p>
      <w:pPr>
        <w:pStyle w:val="5"/>
        <w:ind w:firstLine="480"/>
        <w:rPr>
          <w:color w:val="auto"/>
          <w:highlight w:val="none"/>
        </w:rPr>
      </w:pPr>
      <w:r>
        <w:rPr>
          <w:rFonts w:hint="eastAsia"/>
          <w:color w:val="auto"/>
          <w:highlight w:val="none"/>
        </w:rPr>
        <w:t>10.2 如果在招标文件中没有允许提供备选方案，则每个投标人只允许提交一个投标方案，否则，其投标将按照无效投标处理。</w:t>
      </w:r>
    </w:p>
    <w:p>
      <w:pPr>
        <w:pStyle w:val="5"/>
        <w:ind w:firstLine="480"/>
        <w:rPr>
          <w:color w:val="auto"/>
          <w:highlight w:val="none"/>
        </w:rPr>
      </w:pPr>
      <w:r>
        <w:rPr>
          <w:rFonts w:hint="eastAsia"/>
          <w:color w:val="auto"/>
          <w:highlight w:val="none"/>
        </w:rPr>
        <w:t>10.3 本次投标的最小单元：见投标人须知前附表，投标人可根据自身的资质情况和经营范围进行投标，但不得将其子目自行分解或针对品目进行不完全投标，任何不完全的投标将按无效投标处理。</w:t>
      </w:r>
    </w:p>
    <w:p>
      <w:pPr>
        <w:pStyle w:val="2"/>
        <w:rPr>
          <w:color w:val="auto"/>
          <w:highlight w:val="none"/>
        </w:rPr>
      </w:pPr>
      <w:bookmarkStart w:id="59" w:name="_Toc762"/>
      <w:bookmarkStart w:id="60" w:name="_Toc14995"/>
      <w:r>
        <w:rPr>
          <w:rFonts w:hint="eastAsia"/>
          <w:color w:val="auto"/>
          <w:highlight w:val="none"/>
        </w:rPr>
        <w:t>11.投标文件格式</w:t>
      </w:r>
      <w:bookmarkEnd w:id="59"/>
      <w:bookmarkEnd w:id="60"/>
    </w:p>
    <w:p>
      <w:pPr>
        <w:pStyle w:val="5"/>
        <w:ind w:firstLine="480"/>
        <w:rPr>
          <w:color w:val="auto"/>
          <w:highlight w:val="none"/>
        </w:rPr>
      </w:pPr>
      <w:r>
        <w:rPr>
          <w:rFonts w:hint="eastAsia"/>
          <w:color w:val="auto"/>
          <w:highlight w:val="none"/>
        </w:rPr>
        <w:t>11.1 投标人应按照招标文件中第六章所提供的格式和要求制作投标文件，明确表达投标意愿，详细说明投标方案、承诺及价格。</w:t>
      </w:r>
    </w:p>
    <w:p>
      <w:pPr>
        <w:pStyle w:val="5"/>
        <w:ind w:firstLine="480"/>
        <w:rPr>
          <w:color w:val="auto"/>
          <w:highlight w:val="none"/>
        </w:rPr>
      </w:pPr>
      <w:r>
        <w:rPr>
          <w:rFonts w:hint="eastAsia"/>
          <w:color w:val="auto"/>
          <w:highlight w:val="none"/>
        </w:rPr>
        <w:t>11.2投标人应完整地提供招标文件要求的所有数据和资料。</w:t>
      </w:r>
    </w:p>
    <w:p>
      <w:pPr>
        <w:pStyle w:val="2"/>
        <w:rPr>
          <w:color w:val="auto"/>
          <w:highlight w:val="none"/>
        </w:rPr>
      </w:pPr>
      <w:bookmarkStart w:id="61" w:name="_Toc11786"/>
      <w:bookmarkStart w:id="62" w:name="_Toc24246"/>
      <w:r>
        <w:rPr>
          <w:rFonts w:hint="eastAsia"/>
          <w:color w:val="auto"/>
          <w:highlight w:val="none"/>
        </w:rPr>
        <w:t>12.投标报价</w:t>
      </w:r>
      <w:bookmarkEnd w:id="61"/>
      <w:bookmarkEnd w:id="62"/>
    </w:p>
    <w:p>
      <w:pPr>
        <w:pStyle w:val="5"/>
        <w:ind w:firstLine="480"/>
        <w:rPr>
          <w:color w:val="auto"/>
          <w:highlight w:val="none"/>
        </w:rPr>
      </w:pPr>
      <w:r>
        <w:rPr>
          <w:rFonts w:hint="eastAsia"/>
          <w:color w:val="auto"/>
          <w:highlight w:val="none"/>
        </w:rPr>
        <w:t>12.1投标报价：见投标人须知前附表。</w:t>
      </w:r>
    </w:p>
    <w:p>
      <w:pPr>
        <w:pStyle w:val="5"/>
        <w:ind w:firstLine="480"/>
        <w:rPr>
          <w:color w:val="auto"/>
          <w:highlight w:val="none"/>
        </w:rPr>
      </w:pPr>
      <w:r>
        <w:rPr>
          <w:rFonts w:hint="eastAsia"/>
          <w:color w:val="auto"/>
          <w:highlight w:val="none"/>
        </w:rPr>
        <w:t>12.2投标报价表中标明的价格应为履行合同的固定价格，不得以任何理由予以变更。以可调整的价格提交的投标文件将按无效投标处理。</w:t>
      </w:r>
    </w:p>
    <w:p>
      <w:pPr>
        <w:pStyle w:val="2"/>
        <w:rPr>
          <w:color w:val="auto"/>
          <w:highlight w:val="none"/>
        </w:rPr>
      </w:pPr>
      <w:bookmarkStart w:id="63" w:name="_Toc16591"/>
      <w:bookmarkStart w:id="64" w:name="_Toc12340"/>
      <w:r>
        <w:rPr>
          <w:rFonts w:hint="eastAsia"/>
          <w:color w:val="auto"/>
          <w:highlight w:val="none"/>
        </w:rPr>
        <w:t>13.证明投标人合格和资格的文件</w:t>
      </w:r>
      <w:bookmarkEnd w:id="63"/>
      <w:bookmarkEnd w:id="64"/>
    </w:p>
    <w:p>
      <w:pPr>
        <w:pStyle w:val="5"/>
        <w:ind w:firstLine="480"/>
        <w:rPr>
          <w:color w:val="auto"/>
          <w:highlight w:val="none"/>
        </w:rPr>
      </w:pPr>
      <w:r>
        <w:rPr>
          <w:rFonts w:hint="eastAsia"/>
          <w:color w:val="auto"/>
          <w:highlight w:val="none"/>
        </w:rPr>
        <w:t>13.1投标人应按照招标文件“投标人须知前附表”的要求，在投标文件中提交合格的资格证明文件。如果资格证明文件不齐全或不合格的，其投标将按无效投标处理。</w:t>
      </w:r>
    </w:p>
    <w:p>
      <w:pPr>
        <w:pStyle w:val="2"/>
        <w:rPr>
          <w:color w:val="auto"/>
          <w:highlight w:val="none"/>
        </w:rPr>
      </w:pPr>
      <w:bookmarkStart w:id="65" w:name="_Toc13420"/>
      <w:bookmarkStart w:id="66" w:name="_Toc18707"/>
      <w:r>
        <w:rPr>
          <w:rFonts w:hint="eastAsia"/>
          <w:color w:val="auto"/>
          <w:highlight w:val="none"/>
        </w:rPr>
        <w:t>14.证明货物（含伴随服务）符合招标文件规定的文件</w:t>
      </w:r>
      <w:bookmarkEnd w:id="65"/>
      <w:bookmarkEnd w:id="66"/>
    </w:p>
    <w:p>
      <w:pPr>
        <w:pStyle w:val="5"/>
        <w:ind w:firstLine="480"/>
        <w:rPr>
          <w:color w:val="auto"/>
          <w:highlight w:val="none"/>
        </w:rPr>
      </w:pPr>
      <w:r>
        <w:rPr>
          <w:rFonts w:hint="eastAsia"/>
          <w:color w:val="auto"/>
          <w:highlight w:val="none"/>
        </w:rPr>
        <w:t>14.1投标人应在投标文件中提交产品和服务满足招标文件要求并符合国家法律法规、行业管理部门要求的其他强制性标准的证明文件。缺少证明文件或证明文件不合格的投标，与招标文件要求有重大偏离的投标，不符合国家法律法规、行业管理部门要求的其他强制性标准的投标将按无效投标处理。</w:t>
      </w:r>
    </w:p>
    <w:p>
      <w:pPr>
        <w:pStyle w:val="5"/>
        <w:ind w:firstLine="480"/>
        <w:rPr>
          <w:color w:val="auto"/>
          <w:highlight w:val="none"/>
        </w:rPr>
      </w:pPr>
      <w:r>
        <w:rPr>
          <w:rFonts w:hint="eastAsia"/>
          <w:color w:val="auto"/>
          <w:highlight w:val="none"/>
        </w:rPr>
        <w:t>14.2上述证明文件可以是文字资料、图纸、图片、数据、宣传彩页等，所有证明文件表达意思必须统一（如需投标人提供样品，样品必须与投标文件的表述完全符合）。包括：</w:t>
      </w:r>
    </w:p>
    <w:p>
      <w:pPr>
        <w:pStyle w:val="5"/>
        <w:ind w:firstLine="480"/>
        <w:rPr>
          <w:color w:val="auto"/>
          <w:highlight w:val="none"/>
        </w:rPr>
      </w:pPr>
      <w:r>
        <w:rPr>
          <w:rFonts w:hint="eastAsia"/>
          <w:color w:val="auto"/>
          <w:highlight w:val="none"/>
        </w:rPr>
        <w:t>（1)产品主要技术指标和性能的详细说明；</w:t>
      </w:r>
    </w:p>
    <w:p>
      <w:pPr>
        <w:pStyle w:val="5"/>
        <w:ind w:firstLine="480"/>
        <w:rPr>
          <w:color w:val="auto"/>
          <w:highlight w:val="none"/>
        </w:rPr>
      </w:pPr>
      <w:r>
        <w:rPr>
          <w:rFonts w:hint="eastAsia"/>
          <w:color w:val="auto"/>
          <w:highlight w:val="none"/>
        </w:rPr>
        <w:t>（2）生产厂家出具的、相应的产品功能证明材料（包括但不限于测试报告、官网和功能截图等）；</w:t>
      </w:r>
    </w:p>
    <w:p>
      <w:pPr>
        <w:pStyle w:val="5"/>
        <w:ind w:firstLine="480"/>
        <w:rPr>
          <w:color w:val="auto"/>
          <w:highlight w:val="none"/>
        </w:rPr>
      </w:pPr>
      <w:r>
        <w:rPr>
          <w:rFonts w:hint="eastAsia"/>
          <w:color w:val="auto"/>
          <w:highlight w:val="none"/>
        </w:rPr>
        <w:t>（3)逐条对招标文件提出的技术要求和商务要求进行应答，说明所提供的产品和服务对招标的技术和商务要求是否做出了实质性响应并提供支持文件；</w:t>
      </w:r>
    </w:p>
    <w:p>
      <w:pPr>
        <w:pStyle w:val="5"/>
        <w:ind w:firstLine="480"/>
        <w:rPr>
          <w:color w:val="auto"/>
          <w:highlight w:val="none"/>
        </w:rPr>
      </w:pPr>
      <w:r>
        <w:rPr>
          <w:rFonts w:hint="eastAsia"/>
          <w:color w:val="auto"/>
          <w:highlight w:val="none"/>
        </w:rPr>
        <w:t>（4）供货范围和服务内容的详细说明。</w:t>
      </w:r>
    </w:p>
    <w:p>
      <w:pPr>
        <w:pStyle w:val="2"/>
        <w:rPr>
          <w:color w:val="auto"/>
          <w:highlight w:val="none"/>
        </w:rPr>
      </w:pPr>
      <w:bookmarkStart w:id="67" w:name="_Toc25614"/>
      <w:bookmarkStart w:id="68" w:name="_Toc15245"/>
      <w:r>
        <w:rPr>
          <w:rFonts w:hint="eastAsia"/>
          <w:color w:val="auto"/>
          <w:highlight w:val="none"/>
        </w:rPr>
        <w:t>15.投标保证金</w:t>
      </w:r>
      <w:bookmarkEnd w:id="67"/>
      <w:bookmarkEnd w:id="68"/>
    </w:p>
    <w:p>
      <w:pPr>
        <w:pStyle w:val="5"/>
        <w:ind w:firstLine="480"/>
        <w:rPr>
          <w:color w:val="auto"/>
          <w:highlight w:val="none"/>
        </w:rPr>
      </w:pPr>
      <w:r>
        <w:rPr>
          <w:rFonts w:hint="eastAsia"/>
          <w:color w:val="auto"/>
          <w:highlight w:val="none"/>
        </w:rPr>
        <w:t>本项目不要求提供投标保证金。</w:t>
      </w:r>
    </w:p>
    <w:p>
      <w:pPr>
        <w:pStyle w:val="2"/>
        <w:rPr>
          <w:color w:val="auto"/>
          <w:highlight w:val="none"/>
        </w:rPr>
      </w:pPr>
      <w:bookmarkStart w:id="69" w:name="_Toc22340"/>
      <w:bookmarkStart w:id="70" w:name="_Toc12595"/>
      <w:bookmarkStart w:id="71" w:name="_Toc363474020"/>
      <w:bookmarkStart w:id="72" w:name="_Toc403077642"/>
      <w:bookmarkStart w:id="73" w:name="_Toc363473975"/>
      <w:r>
        <w:rPr>
          <w:rFonts w:hint="eastAsia"/>
          <w:color w:val="auto"/>
          <w:highlight w:val="none"/>
        </w:rPr>
        <w:t>16.投标有效期</w:t>
      </w:r>
      <w:bookmarkEnd w:id="69"/>
      <w:bookmarkEnd w:id="70"/>
    </w:p>
    <w:p>
      <w:pPr>
        <w:pStyle w:val="5"/>
        <w:ind w:firstLine="480"/>
        <w:rPr>
          <w:color w:val="auto"/>
          <w:highlight w:val="none"/>
        </w:rPr>
      </w:pPr>
      <w:r>
        <w:rPr>
          <w:rFonts w:hint="eastAsia"/>
          <w:color w:val="auto"/>
          <w:highlight w:val="none"/>
        </w:rPr>
        <w:t>16.1投标有效期：见投标人须知前附表。投标文件应在投标有效期内保持有效。投标有效期不满足规定有效期的投标文件将被视为无效投标而拒绝。</w:t>
      </w:r>
    </w:p>
    <w:p>
      <w:pPr>
        <w:pStyle w:val="5"/>
        <w:ind w:firstLine="480"/>
        <w:rPr>
          <w:color w:val="auto"/>
          <w:highlight w:val="none"/>
        </w:rPr>
      </w:pPr>
      <w:r>
        <w:rPr>
          <w:rFonts w:hint="eastAsia"/>
          <w:color w:val="auto"/>
          <w:highlight w:val="none"/>
        </w:rPr>
        <w:t>16.2特殊情况下，在原投标有效期期满之前，采购代理机构可向投标人提出延长投标有效期的要求。这种要求与答复均应以书面的形式。投标人可以拒绝采购代理机构的这种要求,其投标保证金（如有）也不被没收。同意延长的投标人既不能要求也不允许修改其投标文件，但要相应延长其投标保证金（如有）的有效期。在这种情况下，本章第15条有关投标保证金（如有）的退还和没收的规定将在延长了的有效期内继续有效。</w:t>
      </w:r>
    </w:p>
    <w:p>
      <w:pPr>
        <w:pStyle w:val="2"/>
        <w:rPr>
          <w:color w:val="auto"/>
          <w:highlight w:val="none"/>
        </w:rPr>
      </w:pPr>
      <w:bookmarkStart w:id="74" w:name="_Toc4703"/>
      <w:bookmarkStart w:id="75" w:name="_Toc23636"/>
      <w:r>
        <w:rPr>
          <w:rFonts w:hint="eastAsia"/>
          <w:color w:val="auto"/>
          <w:highlight w:val="none"/>
        </w:rPr>
        <w:t>17.投标文件的式样和签署</w:t>
      </w:r>
      <w:bookmarkEnd w:id="74"/>
      <w:bookmarkEnd w:id="75"/>
    </w:p>
    <w:p>
      <w:pPr>
        <w:pStyle w:val="5"/>
        <w:ind w:firstLine="480"/>
        <w:rPr>
          <w:color w:val="auto"/>
          <w:highlight w:val="none"/>
        </w:rPr>
      </w:pPr>
      <w:r>
        <w:rPr>
          <w:rFonts w:hint="eastAsia"/>
          <w:color w:val="auto"/>
          <w:highlight w:val="none"/>
        </w:rPr>
        <w:t>17.1投标文件份数及要求详见“投标人须知前附表”。</w:t>
      </w:r>
    </w:p>
    <w:p>
      <w:pPr>
        <w:pStyle w:val="5"/>
        <w:ind w:firstLine="480"/>
        <w:rPr>
          <w:color w:val="auto"/>
          <w:highlight w:val="none"/>
        </w:rPr>
      </w:pPr>
      <w:r>
        <w:rPr>
          <w:rFonts w:hint="eastAsia"/>
          <w:color w:val="auto"/>
          <w:highlight w:val="none"/>
        </w:rPr>
        <w:t>17.2投标文件应由投标人的法定代表人或被授权人按招标文件的规定签署（招标文件要求投标文件中签章的统一为签字或盖章），具体要求详见“投标人须知前附表”。</w:t>
      </w:r>
    </w:p>
    <w:p>
      <w:pPr>
        <w:pStyle w:val="5"/>
        <w:ind w:firstLine="480"/>
        <w:rPr>
          <w:color w:val="auto"/>
          <w:highlight w:val="none"/>
        </w:rPr>
      </w:pPr>
      <w:r>
        <w:rPr>
          <w:rFonts w:hint="eastAsia"/>
          <w:color w:val="auto"/>
          <w:highlight w:val="none"/>
        </w:rPr>
        <w:t>17.3任何行间插字、涂改和增删，必须由投标人的法定代表人或其被授权人在旁边签字方有效。</w:t>
      </w:r>
    </w:p>
    <w:p>
      <w:pPr>
        <w:pStyle w:val="5"/>
        <w:ind w:firstLine="480"/>
        <w:rPr>
          <w:color w:val="auto"/>
          <w:highlight w:val="none"/>
        </w:rPr>
      </w:pPr>
      <w:r>
        <w:rPr>
          <w:rFonts w:hint="eastAsia"/>
          <w:color w:val="auto"/>
          <w:highlight w:val="none"/>
        </w:rPr>
        <w:t>17.4 投标文件正本和副本按照招标文件第六章规定的顺序编排、并应</w:t>
      </w:r>
      <w:r>
        <w:rPr>
          <w:rFonts w:hint="eastAsia"/>
          <w:color w:val="auto"/>
          <w:highlight w:val="none"/>
          <w:lang w:val="zh-CN"/>
        </w:rPr>
        <w:t>编制目录，</w:t>
      </w:r>
      <w:r>
        <w:rPr>
          <w:rFonts w:hint="eastAsia"/>
          <w:color w:val="auto"/>
          <w:highlight w:val="none"/>
        </w:rPr>
        <w:t>逐页标注连续页码，并分别</w:t>
      </w:r>
      <w:r>
        <w:rPr>
          <w:rFonts w:hint="eastAsia"/>
          <w:color w:val="auto"/>
          <w:highlight w:val="none"/>
          <w:lang w:val="zh-CN"/>
        </w:rPr>
        <w:t>胶装成册</w:t>
      </w:r>
      <w:r>
        <w:rPr>
          <w:rFonts w:hint="eastAsia"/>
          <w:color w:val="auto"/>
          <w:highlight w:val="none"/>
        </w:rPr>
        <w:t>。</w:t>
      </w:r>
    </w:p>
    <w:p>
      <w:pPr>
        <w:pStyle w:val="5"/>
        <w:ind w:firstLine="480"/>
        <w:rPr>
          <w:color w:val="auto"/>
          <w:highlight w:val="none"/>
        </w:rPr>
      </w:pPr>
      <w:r>
        <w:rPr>
          <w:rFonts w:hint="eastAsia"/>
          <w:color w:val="auto"/>
          <w:highlight w:val="none"/>
        </w:rPr>
        <w:t>17.5 投标文件的制作装订要求详见“投标人须知前附表”。</w:t>
      </w:r>
    </w:p>
    <w:p>
      <w:pPr>
        <w:pStyle w:val="5"/>
        <w:ind w:firstLine="480"/>
        <w:rPr>
          <w:color w:val="auto"/>
          <w:highlight w:val="none"/>
        </w:rPr>
      </w:pPr>
      <w:r>
        <w:rPr>
          <w:rFonts w:hint="eastAsia"/>
          <w:color w:val="auto"/>
          <w:highlight w:val="none"/>
        </w:rPr>
        <w:t>17.6 因字迹潦草、表述不清或不按招标文件格式编制的投标文件，所引起的对投标人不利的后果，由投标人自行负责。</w:t>
      </w:r>
    </w:p>
    <w:p>
      <w:pPr>
        <w:pStyle w:val="4"/>
        <w:rPr>
          <w:color w:val="auto"/>
          <w:highlight w:val="none"/>
        </w:rPr>
      </w:pPr>
      <w:bookmarkStart w:id="76" w:name="_Toc28453"/>
      <w:bookmarkStart w:id="77" w:name="_Toc16202"/>
      <w:r>
        <w:rPr>
          <w:rFonts w:hint="eastAsia"/>
          <w:color w:val="auto"/>
          <w:highlight w:val="none"/>
        </w:rPr>
        <w:t>四.投标文件的递交</w:t>
      </w:r>
      <w:bookmarkEnd w:id="71"/>
      <w:bookmarkEnd w:id="72"/>
      <w:bookmarkEnd w:id="73"/>
      <w:bookmarkEnd w:id="76"/>
      <w:bookmarkEnd w:id="77"/>
    </w:p>
    <w:p>
      <w:pPr>
        <w:pStyle w:val="2"/>
        <w:rPr>
          <w:color w:val="auto"/>
          <w:highlight w:val="none"/>
        </w:rPr>
      </w:pPr>
      <w:bookmarkStart w:id="78" w:name="_Toc4290"/>
      <w:bookmarkStart w:id="79" w:name="_Toc2184"/>
      <w:r>
        <w:rPr>
          <w:rFonts w:hint="eastAsia"/>
          <w:color w:val="auto"/>
          <w:highlight w:val="none"/>
        </w:rPr>
        <w:t>18．投标文件的密封和标记</w:t>
      </w:r>
      <w:bookmarkEnd w:id="78"/>
      <w:bookmarkEnd w:id="79"/>
    </w:p>
    <w:p>
      <w:pPr>
        <w:pStyle w:val="5"/>
        <w:ind w:firstLine="480"/>
        <w:rPr>
          <w:color w:val="auto"/>
          <w:highlight w:val="none"/>
        </w:rPr>
      </w:pPr>
      <w:r>
        <w:rPr>
          <w:rFonts w:hint="eastAsia"/>
          <w:color w:val="auto"/>
          <w:highlight w:val="none"/>
        </w:rPr>
        <w:t>18.1投标文件的密封和标记：详见“投标人须知前附表”。</w:t>
      </w:r>
    </w:p>
    <w:p>
      <w:pPr>
        <w:pStyle w:val="5"/>
        <w:ind w:firstLine="480"/>
        <w:rPr>
          <w:color w:val="auto"/>
          <w:highlight w:val="none"/>
        </w:rPr>
      </w:pPr>
      <w:r>
        <w:rPr>
          <w:rFonts w:hint="eastAsia"/>
          <w:color w:val="auto"/>
          <w:highlight w:val="none"/>
        </w:rPr>
        <w:t>18.2如果投标人未对投标文件按要求进行密封、标记，由此产生的不利后果由投标人自行承担。</w:t>
      </w:r>
    </w:p>
    <w:p>
      <w:pPr>
        <w:pStyle w:val="2"/>
        <w:rPr>
          <w:color w:val="auto"/>
          <w:highlight w:val="none"/>
        </w:rPr>
      </w:pPr>
      <w:bookmarkStart w:id="80" w:name="_Toc6576"/>
      <w:bookmarkStart w:id="81" w:name="_Toc15552"/>
      <w:r>
        <w:rPr>
          <w:rFonts w:hint="eastAsia"/>
          <w:color w:val="auto"/>
          <w:highlight w:val="none"/>
        </w:rPr>
        <w:t>19．投标文件的递交</w:t>
      </w:r>
      <w:bookmarkEnd w:id="80"/>
      <w:bookmarkEnd w:id="81"/>
    </w:p>
    <w:p>
      <w:pPr>
        <w:pStyle w:val="5"/>
        <w:ind w:firstLine="480"/>
        <w:rPr>
          <w:color w:val="auto"/>
          <w:highlight w:val="none"/>
        </w:rPr>
      </w:pPr>
      <w:r>
        <w:rPr>
          <w:rFonts w:hint="eastAsia"/>
          <w:color w:val="auto"/>
          <w:highlight w:val="none"/>
        </w:rPr>
        <w:t>19.1投标人应按照招标公告中规定的时间、地点，在规定的投标文件递交截止时间前将全部投标文件和投标资料递交至投标文件接收人。</w:t>
      </w:r>
    </w:p>
    <w:p>
      <w:pPr>
        <w:pStyle w:val="5"/>
        <w:ind w:firstLine="480"/>
        <w:rPr>
          <w:color w:val="auto"/>
          <w:highlight w:val="none"/>
        </w:rPr>
      </w:pPr>
      <w:r>
        <w:rPr>
          <w:rFonts w:hint="eastAsia"/>
          <w:color w:val="auto"/>
          <w:highlight w:val="none"/>
        </w:rPr>
        <w:t>19.2采购代理机构在招标文件规定的投标文件递交截止时间前，只负责投标文件的接收、清点、造册登记工作，对其有效性不负任何责任。</w:t>
      </w:r>
    </w:p>
    <w:p>
      <w:pPr>
        <w:pStyle w:val="2"/>
        <w:rPr>
          <w:color w:val="auto"/>
          <w:highlight w:val="none"/>
        </w:rPr>
      </w:pPr>
      <w:bookmarkStart w:id="82" w:name="_Toc455"/>
      <w:bookmarkStart w:id="83" w:name="_Toc12399"/>
      <w:r>
        <w:rPr>
          <w:rFonts w:hint="eastAsia"/>
          <w:color w:val="auto"/>
          <w:highlight w:val="none"/>
        </w:rPr>
        <w:t>20．迟交的投标文件</w:t>
      </w:r>
      <w:bookmarkEnd w:id="82"/>
      <w:bookmarkEnd w:id="83"/>
    </w:p>
    <w:p>
      <w:pPr>
        <w:pStyle w:val="5"/>
        <w:ind w:firstLine="480"/>
        <w:rPr>
          <w:color w:val="auto"/>
          <w:highlight w:val="none"/>
        </w:rPr>
      </w:pPr>
      <w:r>
        <w:rPr>
          <w:rFonts w:hint="eastAsia"/>
          <w:color w:val="auto"/>
          <w:highlight w:val="none"/>
        </w:rPr>
        <w:t>20.1按照招标文件的规定，在递交投标文件的截止时间之后送达的投标文件，为无效投标文件，采购代理机构将拒绝接收。</w:t>
      </w:r>
    </w:p>
    <w:p>
      <w:pPr>
        <w:pStyle w:val="2"/>
        <w:rPr>
          <w:color w:val="auto"/>
          <w:highlight w:val="none"/>
        </w:rPr>
      </w:pPr>
      <w:bookmarkStart w:id="84" w:name="_Toc9159"/>
      <w:bookmarkStart w:id="85" w:name="_Toc7249"/>
      <w:r>
        <w:rPr>
          <w:rFonts w:hint="eastAsia"/>
          <w:color w:val="auto"/>
          <w:highlight w:val="none"/>
        </w:rPr>
        <w:t>21．投标的修改与撤回</w:t>
      </w:r>
      <w:bookmarkEnd w:id="84"/>
      <w:bookmarkEnd w:id="85"/>
    </w:p>
    <w:p>
      <w:pPr>
        <w:pStyle w:val="5"/>
        <w:ind w:firstLine="480"/>
        <w:rPr>
          <w:color w:val="auto"/>
          <w:highlight w:val="none"/>
        </w:rPr>
      </w:pPr>
      <w:r>
        <w:rPr>
          <w:rFonts w:hint="eastAsia"/>
          <w:color w:val="auto"/>
          <w:highlight w:val="none"/>
        </w:rPr>
        <w:t>21.1 投标人在递交投标文件后，可以修改或撤回其投标文件，也可以提出价格变动声明，但投标人必须在规定的投标文件递交截止时间之前将修改或撤回或变动价格的书面通知文件递交到陕西正鸿招标有限公司。</w:t>
      </w:r>
    </w:p>
    <w:p>
      <w:pPr>
        <w:pStyle w:val="5"/>
        <w:ind w:firstLine="480"/>
        <w:rPr>
          <w:color w:val="auto"/>
          <w:highlight w:val="none"/>
        </w:rPr>
      </w:pPr>
      <w:r>
        <w:rPr>
          <w:rFonts w:hint="eastAsia"/>
          <w:color w:val="auto"/>
          <w:highlight w:val="none"/>
        </w:rPr>
        <w:t>21.2 投标人的修改或撤回或变动价格的通知应按本须知第17条、18条、19条的规定编制、密封、标记和递交。</w:t>
      </w:r>
    </w:p>
    <w:p>
      <w:pPr>
        <w:pStyle w:val="5"/>
        <w:ind w:firstLine="480"/>
        <w:rPr>
          <w:color w:val="auto"/>
          <w:highlight w:val="none"/>
        </w:rPr>
      </w:pPr>
      <w:r>
        <w:rPr>
          <w:rFonts w:hint="eastAsia"/>
          <w:color w:val="auto"/>
          <w:highlight w:val="none"/>
        </w:rPr>
        <w:t>21.3 在投标文件递交截止时间之后，投标人不得对其投标做任何修改或撤回。</w:t>
      </w:r>
    </w:p>
    <w:p>
      <w:pPr>
        <w:pStyle w:val="4"/>
        <w:rPr>
          <w:color w:val="auto"/>
          <w:highlight w:val="none"/>
        </w:rPr>
      </w:pPr>
      <w:bookmarkStart w:id="86" w:name="_Toc500"/>
      <w:bookmarkStart w:id="87" w:name="_Toc403077643"/>
      <w:bookmarkStart w:id="88" w:name="_Toc8259"/>
      <w:bookmarkStart w:id="89" w:name="_Toc363474021"/>
      <w:bookmarkStart w:id="90" w:name="_Toc363473976"/>
      <w:r>
        <w:rPr>
          <w:rFonts w:hint="eastAsia"/>
          <w:color w:val="auto"/>
          <w:highlight w:val="none"/>
        </w:rPr>
        <w:t>五.开标与评标</w:t>
      </w:r>
      <w:bookmarkEnd w:id="86"/>
      <w:bookmarkEnd w:id="87"/>
      <w:bookmarkEnd w:id="88"/>
      <w:bookmarkEnd w:id="89"/>
      <w:bookmarkEnd w:id="90"/>
    </w:p>
    <w:p>
      <w:pPr>
        <w:pStyle w:val="2"/>
        <w:rPr>
          <w:color w:val="auto"/>
          <w:highlight w:val="none"/>
        </w:rPr>
      </w:pPr>
      <w:bookmarkStart w:id="91" w:name="_Toc8761"/>
      <w:bookmarkStart w:id="92" w:name="_Toc26680"/>
      <w:bookmarkStart w:id="93" w:name="_Toc15204"/>
      <w:bookmarkStart w:id="94" w:name="_Toc27949"/>
      <w:r>
        <w:rPr>
          <w:rFonts w:hint="eastAsia"/>
          <w:color w:val="auto"/>
          <w:highlight w:val="none"/>
        </w:rPr>
        <w:t>22. 开标</w:t>
      </w:r>
      <w:bookmarkEnd w:id="91"/>
      <w:bookmarkEnd w:id="92"/>
    </w:p>
    <w:p>
      <w:pPr>
        <w:pStyle w:val="5"/>
        <w:ind w:firstLine="480"/>
        <w:rPr>
          <w:color w:val="auto"/>
          <w:highlight w:val="none"/>
        </w:rPr>
      </w:pPr>
      <w:r>
        <w:rPr>
          <w:rFonts w:hint="eastAsia"/>
          <w:color w:val="auto"/>
          <w:highlight w:val="none"/>
        </w:rPr>
        <w:t>22.1 采购代理机构在规定的时间和地点组织公开开标。</w:t>
      </w:r>
    </w:p>
    <w:p>
      <w:pPr>
        <w:pStyle w:val="5"/>
        <w:ind w:firstLine="480"/>
        <w:rPr>
          <w:color w:val="auto"/>
          <w:highlight w:val="none"/>
        </w:rPr>
      </w:pPr>
      <w:r>
        <w:rPr>
          <w:rFonts w:hint="eastAsia"/>
          <w:color w:val="auto"/>
          <w:highlight w:val="none"/>
        </w:rPr>
        <w:t>22.2 开标时，由监标人和投标人或者其推选的代表检查投标文件的密封情况。检查完毕后，采购代理机构当众宣读投标人名称、投标价格、修改或撤回或变动价格的书面通知（如果有），以及采购代理机构认为合适的其他内容。未在开标时宣读的投标价格，评标时不予承认。</w:t>
      </w:r>
    </w:p>
    <w:p>
      <w:pPr>
        <w:pStyle w:val="5"/>
        <w:ind w:firstLine="480"/>
        <w:rPr>
          <w:color w:val="auto"/>
          <w:highlight w:val="none"/>
        </w:rPr>
      </w:pPr>
      <w:r>
        <w:rPr>
          <w:rFonts w:hint="eastAsia"/>
          <w:color w:val="auto"/>
          <w:highlight w:val="none"/>
        </w:rPr>
        <w:t>22.3只有在开标时唱出的价格和价格变动声明，评标时才能考虑。</w:t>
      </w:r>
    </w:p>
    <w:p>
      <w:pPr>
        <w:pStyle w:val="5"/>
        <w:ind w:firstLine="480"/>
        <w:rPr>
          <w:color w:val="auto"/>
          <w:highlight w:val="none"/>
        </w:rPr>
      </w:pPr>
      <w:r>
        <w:rPr>
          <w:rFonts w:hint="eastAsia"/>
          <w:color w:val="auto"/>
          <w:highlight w:val="none"/>
        </w:rPr>
        <w:t>22.4 采购代理机构将做开标记录，存档备查。</w:t>
      </w:r>
    </w:p>
    <w:p>
      <w:pPr>
        <w:pStyle w:val="5"/>
        <w:ind w:firstLine="480"/>
        <w:rPr>
          <w:color w:val="auto"/>
          <w:highlight w:val="none"/>
        </w:rPr>
      </w:pPr>
      <w:r>
        <w:rPr>
          <w:rFonts w:hint="eastAsia"/>
          <w:color w:val="auto"/>
          <w:highlight w:val="none"/>
        </w:rPr>
        <w:t>22.5投标人未参加开标的，视同认可开标结果。</w:t>
      </w:r>
    </w:p>
    <w:p>
      <w:pPr>
        <w:pStyle w:val="2"/>
        <w:rPr>
          <w:color w:val="auto"/>
          <w:highlight w:val="none"/>
        </w:rPr>
      </w:pPr>
      <w:bookmarkStart w:id="95" w:name="_Toc2836"/>
      <w:bookmarkStart w:id="96" w:name="_Toc1352"/>
      <w:r>
        <w:rPr>
          <w:rFonts w:hint="eastAsia"/>
          <w:color w:val="auto"/>
          <w:highlight w:val="none"/>
        </w:rPr>
        <w:t>23．评标组织及评标原则</w:t>
      </w:r>
      <w:bookmarkEnd w:id="95"/>
      <w:bookmarkEnd w:id="96"/>
    </w:p>
    <w:p>
      <w:pPr>
        <w:pStyle w:val="5"/>
        <w:ind w:firstLine="480"/>
        <w:rPr>
          <w:color w:val="auto"/>
          <w:highlight w:val="none"/>
        </w:rPr>
      </w:pPr>
      <w:r>
        <w:rPr>
          <w:rFonts w:hint="eastAsia"/>
          <w:color w:val="auto"/>
          <w:highlight w:val="none"/>
        </w:rPr>
        <w:t>23.1按照《中华人民共和国政府采购法》、中华人民共和国2015年第658号国务院令--《中华人民共和国政府采购法实施条例》和中华人民共和国财政部2017年第87号部长令--《政府采购服务和服务招标投标管理办法》的规定，依法组建评标委员会，评标委员会由有关技术、经济等方面的专家组成。评标委员会成员人数以及技术、经济等方面专家的确定方式见投标人须知前附表。评标委员会按照招标文件规定的评标办法独立进行评标工作。</w:t>
      </w:r>
    </w:p>
    <w:p>
      <w:pPr>
        <w:pStyle w:val="5"/>
        <w:ind w:firstLine="480"/>
        <w:rPr>
          <w:color w:val="auto"/>
          <w:highlight w:val="none"/>
        </w:rPr>
      </w:pPr>
      <w:r>
        <w:rPr>
          <w:rFonts w:hint="eastAsia"/>
          <w:color w:val="auto"/>
          <w:highlight w:val="none"/>
        </w:rPr>
        <w:t>23.2招标文件和投标文件是评标的依据。在评标中，不得改变招标文件中规定的评标标准、方法和中标条件。投标人不得在开标后使用任何方式对投标文件的实质性内容做任何更改。</w:t>
      </w:r>
    </w:p>
    <w:p>
      <w:pPr>
        <w:pStyle w:val="5"/>
        <w:ind w:firstLine="480"/>
        <w:rPr>
          <w:color w:val="auto"/>
          <w:highlight w:val="none"/>
        </w:rPr>
      </w:pPr>
      <w:r>
        <w:rPr>
          <w:rFonts w:hint="eastAsia"/>
          <w:color w:val="auto"/>
          <w:highlight w:val="none"/>
        </w:rPr>
        <w:t>23.3在评标期间，对于投标文件中含义不明确、同类问题表述不一致或者有明显文字和计算错误的内容，评标委员会应当以书面形式（由评标委员会专家签字）要求投标人做出必要的澄清、说明或者纠正。投标人的澄清、说明或者补正应当采用书面形式，并由其法人代表或授权代表签署全名。投标人的澄清、说明或者补正不得超出投标文件的范围或者改变投标文件的实质性内容。</w:t>
      </w:r>
    </w:p>
    <w:p>
      <w:pPr>
        <w:pStyle w:val="5"/>
        <w:ind w:firstLine="480"/>
        <w:rPr>
          <w:color w:val="auto"/>
          <w:highlight w:val="none"/>
        </w:rPr>
      </w:pPr>
      <w:r>
        <w:rPr>
          <w:rFonts w:hint="eastAsia"/>
          <w:color w:val="auto"/>
          <w:highlight w:val="none"/>
        </w:rPr>
        <w:t>23.4如果投标人在规定时限内，未能答复或拒绝答复评委会提出的澄清、说明或者补正的要求，将由评委会根据其投标文件按最大风险进行评标。</w:t>
      </w:r>
    </w:p>
    <w:p>
      <w:pPr>
        <w:pStyle w:val="2"/>
        <w:rPr>
          <w:color w:val="auto"/>
          <w:highlight w:val="none"/>
        </w:rPr>
      </w:pPr>
      <w:bookmarkStart w:id="97" w:name="_Toc11682"/>
      <w:bookmarkStart w:id="98" w:name="_Toc29623"/>
      <w:r>
        <w:rPr>
          <w:rFonts w:hint="eastAsia"/>
          <w:color w:val="auto"/>
          <w:highlight w:val="none"/>
        </w:rPr>
        <w:t>24．评标过程的保密</w:t>
      </w:r>
      <w:bookmarkEnd w:id="97"/>
      <w:bookmarkEnd w:id="98"/>
    </w:p>
    <w:p>
      <w:pPr>
        <w:pStyle w:val="5"/>
        <w:ind w:firstLine="480"/>
        <w:rPr>
          <w:color w:val="auto"/>
          <w:highlight w:val="none"/>
        </w:rPr>
      </w:pPr>
      <w:r>
        <w:rPr>
          <w:rFonts w:hint="eastAsia"/>
          <w:color w:val="auto"/>
          <w:highlight w:val="none"/>
        </w:rPr>
        <w:t>24.1评标委员会成员和与评标活动有关的工作人员不得泄露有关投标文件的评审和比较、中标候选人的推荐以及与评标有关的其他情况。</w:t>
      </w:r>
    </w:p>
    <w:p>
      <w:pPr>
        <w:pStyle w:val="5"/>
        <w:ind w:firstLine="480"/>
        <w:rPr>
          <w:color w:val="auto"/>
          <w:highlight w:val="none"/>
        </w:rPr>
      </w:pPr>
      <w:r>
        <w:rPr>
          <w:rFonts w:hint="eastAsia"/>
          <w:color w:val="auto"/>
          <w:highlight w:val="none"/>
        </w:rPr>
        <w:t>24.2在评标过程中，如果投标人试图在投标文件的评审和比较、中标候选人的推荐以及与评标有关的其他方面，向评标人、采购人和采购代理机构施加任何影响，其投标应做无效投标处理。</w:t>
      </w:r>
    </w:p>
    <w:p>
      <w:pPr>
        <w:pStyle w:val="2"/>
        <w:rPr>
          <w:color w:val="auto"/>
          <w:highlight w:val="none"/>
        </w:rPr>
      </w:pPr>
      <w:bookmarkStart w:id="99" w:name="_Toc12700"/>
      <w:bookmarkStart w:id="100" w:name="_Toc10826"/>
      <w:r>
        <w:rPr>
          <w:rFonts w:hint="eastAsia"/>
          <w:color w:val="auto"/>
          <w:highlight w:val="none"/>
        </w:rPr>
        <w:t>25．评标办法</w:t>
      </w:r>
      <w:bookmarkEnd w:id="99"/>
      <w:bookmarkEnd w:id="100"/>
    </w:p>
    <w:p>
      <w:pPr>
        <w:pStyle w:val="5"/>
        <w:ind w:firstLine="480"/>
        <w:rPr>
          <w:color w:val="auto"/>
          <w:highlight w:val="none"/>
        </w:rPr>
      </w:pPr>
      <w:r>
        <w:rPr>
          <w:rFonts w:hint="eastAsia"/>
          <w:color w:val="auto"/>
          <w:highlight w:val="none"/>
        </w:rPr>
        <w:t>25.1按照《中华人民共和国政府采购法实施条例》和《政府采购服务和服务招标投标管理办法》的规定，本次评标采用综合评分法。综合评分法，是指投标文件满足招标文件全部实质性要求，且按照评审因素的量化指标评审得分排序由高到低的投标人为中标候选人的评标办法。</w:t>
      </w:r>
    </w:p>
    <w:p>
      <w:pPr>
        <w:pStyle w:val="2"/>
        <w:rPr>
          <w:color w:val="auto"/>
          <w:highlight w:val="none"/>
        </w:rPr>
      </w:pPr>
      <w:bookmarkStart w:id="101" w:name="_Toc10459"/>
      <w:bookmarkStart w:id="102" w:name="_Toc26334"/>
      <w:r>
        <w:rPr>
          <w:rFonts w:hint="eastAsia"/>
          <w:color w:val="auto"/>
          <w:highlight w:val="none"/>
        </w:rPr>
        <w:t>26．评标程序</w:t>
      </w:r>
      <w:bookmarkEnd w:id="101"/>
      <w:bookmarkEnd w:id="102"/>
    </w:p>
    <w:p>
      <w:pPr>
        <w:pStyle w:val="5"/>
        <w:ind w:firstLine="480"/>
        <w:rPr>
          <w:color w:val="auto"/>
          <w:highlight w:val="none"/>
        </w:rPr>
      </w:pPr>
      <w:r>
        <w:rPr>
          <w:rFonts w:hint="eastAsia"/>
          <w:color w:val="auto"/>
          <w:highlight w:val="none"/>
        </w:rPr>
        <w:t>按照投标文件初审、澄清有关问题、比较与评价、推荐中标候选人名单的工作程序进行评标。在上一步评审中投标人被认定无效投标者，不进入下一步的评审。</w:t>
      </w:r>
    </w:p>
    <w:p>
      <w:pPr>
        <w:pStyle w:val="4"/>
        <w:rPr>
          <w:color w:val="auto"/>
          <w:highlight w:val="none"/>
        </w:rPr>
      </w:pPr>
      <w:bookmarkStart w:id="103" w:name="_Toc7785"/>
      <w:bookmarkStart w:id="104" w:name="_Toc363473977"/>
      <w:bookmarkStart w:id="105" w:name="_Toc363474022"/>
      <w:bookmarkStart w:id="106" w:name="_Toc11014"/>
      <w:bookmarkStart w:id="107" w:name="_Toc403077644"/>
      <w:r>
        <w:rPr>
          <w:rFonts w:hint="eastAsia"/>
          <w:color w:val="auto"/>
          <w:highlight w:val="none"/>
        </w:rPr>
        <w:t>六.定标、中标通知与签约</w:t>
      </w:r>
      <w:bookmarkEnd w:id="103"/>
      <w:bookmarkEnd w:id="104"/>
      <w:bookmarkEnd w:id="105"/>
      <w:bookmarkEnd w:id="106"/>
      <w:bookmarkEnd w:id="107"/>
    </w:p>
    <w:p>
      <w:pPr>
        <w:pStyle w:val="2"/>
        <w:rPr>
          <w:color w:val="auto"/>
          <w:highlight w:val="none"/>
        </w:rPr>
      </w:pPr>
      <w:bookmarkStart w:id="108" w:name="_Toc17765"/>
      <w:bookmarkStart w:id="109" w:name="_Toc22655"/>
      <w:r>
        <w:rPr>
          <w:rFonts w:hint="eastAsia"/>
          <w:color w:val="auto"/>
          <w:highlight w:val="none"/>
        </w:rPr>
        <w:t>27．定标程序</w:t>
      </w:r>
      <w:bookmarkEnd w:id="108"/>
      <w:bookmarkEnd w:id="109"/>
    </w:p>
    <w:p>
      <w:pPr>
        <w:pStyle w:val="5"/>
        <w:ind w:firstLine="480"/>
        <w:rPr>
          <w:color w:val="auto"/>
          <w:highlight w:val="none"/>
        </w:rPr>
      </w:pPr>
      <w:r>
        <w:rPr>
          <w:rFonts w:hint="eastAsia"/>
          <w:color w:val="auto"/>
          <w:highlight w:val="none"/>
        </w:rPr>
        <w:t>27.1评标委员会根据评标办法的规定对投标人进行评审排序，推荐3名中标候选人，作为评标结果。评标结果由评标委员会成员签字确认。</w:t>
      </w:r>
    </w:p>
    <w:p>
      <w:pPr>
        <w:pStyle w:val="5"/>
        <w:ind w:firstLine="480"/>
        <w:rPr>
          <w:color w:val="auto"/>
          <w:highlight w:val="none"/>
        </w:rPr>
      </w:pPr>
      <w:r>
        <w:rPr>
          <w:rFonts w:hint="eastAsia"/>
          <w:color w:val="auto"/>
          <w:highlight w:val="none"/>
        </w:rPr>
        <w:t>27.2采购代理机构在评标结束后2个工作日内将评标报告送采购人。采购人应当在收到评标报告后5个工作日内，按照评标报告中推荐的中标候选人顺序和有关规定确定中标人。</w:t>
      </w:r>
    </w:p>
    <w:p>
      <w:pPr>
        <w:pStyle w:val="5"/>
        <w:ind w:firstLine="480"/>
        <w:rPr>
          <w:color w:val="auto"/>
          <w:highlight w:val="none"/>
        </w:rPr>
      </w:pPr>
      <w:r>
        <w:rPr>
          <w:rFonts w:hint="eastAsia"/>
          <w:color w:val="auto"/>
          <w:highlight w:val="none"/>
        </w:rPr>
        <w:t>27.3确定的中标候选人放弃中标、在规定期限内未能签订合同、因不可抗力不能履行合同、不按照招标文件要求提交履约保证金（如有），或者被查实存在影响中标结果的违法行为等情形，不符合中标条件的，采购人可以按照评标委员会提出的中标候选人名单排序依次确定其他中标候选人为中标人，也可以重新招标。</w:t>
      </w:r>
    </w:p>
    <w:p>
      <w:pPr>
        <w:pStyle w:val="5"/>
        <w:ind w:firstLine="480"/>
        <w:rPr>
          <w:color w:val="auto"/>
          <w:highlight w:val="none"/>
        </w:rPr>
      </w:pPr>
      <w:r>
        <w:rPr>
          <w:rFonts w:hint="eastAsia"/>
          <w:color w:val="auto"/>
          <w:highlight w:val="none"/>
        </w:rPr>
        <w:t>27.4采购人也可以授权评标委员会评标后直接确定中标人。</w:t>
      </w:r>
    </w:p>
    <w:p>
      <w:pPr>
        <w:pStyle w:val="5"/>
        <w:ind w:firstLine="480"/>
        <w:rPr>
          <w:color w:val="auto"/>
          <w:highlight w:val="none"/>
        </w:rPr>
      </w:pPr>
      <w:r>
        <w:rPr>
          <w:rFonts w:hint="eastAsia"/>
          <w:color w:val="auto"/>
          <w:highlight w:val="none"/>
        </w:rPr>
        <w:t>27.5中标人确定之后，中标结果将在信息发布媒体上公告。</w:t>
      </w:r>
    </w:p>
    <w:p>
      <w:pPr>
        <w:pStyle w:val="5"/>
        <w:ind w:firstLine="480"/>
        <w:rPr>
          <w:color w:val="auto"/>
          <w:highlight w:val="none"/>
        </w:rPr>
      </w:pPr>
      <w:r>
        <w:rPr>
          <w:rFonts w:hint="eastAsia"/>
          <w:color w:val="auto"/>
          <w:highlight w:val="none"/>
        </w:rPr>
        <w:t>27.6投标人或者其他利害关系人对评标结果有异议的，应当在法律规定的时间内提出。</w:t>
      </w:r>
    </w:p>
    <w:p>
      <w:pPr>
        <w:pStyle w:val="2"/>
        <w:rPr>
          <w:color w:val="auto"/>
          <w:highlight w:val="none"/>
        </w:rPr>
      </w:pPr>
      <w:bookmarkStart w:id="110" w:name="_Toc26443"/>
      <w:bookmarkStart w:id="111" w:name="_Toc12566"/>
      <w:r>
        <w:rPr>
          <w:rFonts w:hint="eastAsia"/>
          <w:color w:val="auto"/>
          <w:highlight w:val="none"/>
        </w:rPr>
        <w:t>28．中标和落标通知</w:t>
      </w:r>
      <w:bookmarkEnd w:id="110"/>
      <w:bookmarkEnd w:id="111"/>
    </w:p>
    <w:p>
      <w:pPr>
        <w:pStyle w:val="5"/>
        <w:ind w:firstLine="480"/>
        <w:rPr>
          <w:color w:val="auto"/>
          <w:highlight w:val="none"/>
        </w:rPr>
      </w:pPr>
      <w:r>
        <w:rPr>
          <w:rFonts w:hint="eastAsia"/>
          <w:color w:val="auto"/>
          <w:highlight w:val="none"/>
        </w:rPr>
        <w:t>28.1 采购代理机构在发布中标公告后，向中标人发出《中标通知书》。</w:t>
      </w:r>
    </w:p>
    <w:p>
      <w:pPr>
        <w:pStyle w:val="5"/>
        <w:ind w:firstLine="480"/>
        <w:rPr>
          <w:color w:val="auto"/>
          <w:highlight w:val="none"/>
        </w:rPr>
      </w:pPr>
      <w:r>
        <w:rPr>
          <w:rFonts w:hint="eastAsia"/>
          <w:color w:val="auto"/>
          <w:highlight w:val="none"/>
        </w:rPr>
        <w:t>28.2中标通知书对采购人和中标人具有同等法律效力。中标通知书发出之后，采购人改变中标结果，或者中标人放弃中标，应当承担相应的法律责任。</w:t>
      </w:r>
    </w:p>
    <w:p>
      <w:pPr>
        <w:pStyle w:val="5"/>
        <w:ind w:firstLine="480"/>
        <w:rPr>
          <w:color w:val="auto"/>
          <w:highlight w:val="none"/>
        </w:rPr>
      </w:pPr>
      <w:r>
        <w:rPr>
          <w:rFonts w:hint="eastAsia"/>
          <w:color w:val="auto"/>
          <w:highlight w:val="none"/>
        </w:rPr>
        <w:t>28.3中标公告发布后，未中标投标人可致电采购代理机构获知本单位的评审得分与排序。</w:t>
      </w:r>
    </w:p>
    <w:p>
      <w:pPr>
        <w:pStyle w:val="2"/>
        <w:rPr>
          <w:color w:val="auto"/>
          <w:highlight w:val="none"/>
        </w:rPr>
      </w:pPr>
      <w:bookmarkStart w:id="112" w:name="_Toc32248"/>
      <w:bookmarkStart w:id="113" w:name="_Toc19838"/>
      <w:r>
        <w:rPr>
          <w:rFonts w:hint="eastAsia"/>
          <w:color w:val="auto"/>
          <w:highlight w:val="none"/>
        </w:rPr>
        <w:t>29. 中标合同的签订</w:t>
      </w:r>
      <w:bookmarkEnd w:id="112"/>
      <w:bookmarkEnd w:id="113"/>
    </w:p>
    <w:p>
      <w:pPr>
        <w:pStyle w:val="5"/>
        <w:ind w:firstLine="480"/>
        <w:rPr>
          <w:color w:val="auto"/>
          <w:highlight w:val="none"/>
        </w:rPr>
      </w:pPr>
      <w:r>
        <w:rPr>
          <w:rFonts w:hint="eastAsia"/>
          <w:color w:val="auto"/>
          <w:highlight w:val="none"/>
        </w:rPr>
        <w:t>29.1采购人应当自中标通知书发出之日起三十日内，按照招标文件和中标人投标文件（包括评标中形成的澄清文件）的约定，与中标人签订书面合同。所签订的合同不得对招标文件和中标人的投标文件（包括评标中形成的澄清文件）作实质性修改。</w:t>
      </w:r>
    </w:p>
    <w:p>
      <w:pPr>
        <w:pStyle w:val="2"/>
        <w:rPr>
          <w:color w:val="auto"/>
          <w:highlight w:val="none"/>
        </w:rPr>
      </w:pPr>
      <w:bookmarkStart w:id="114" w:name="_Toc16904"/>
      <w:bookmarkStart w:id="115" w:name="_Toc27180"/>
      <w:r>
        <w:rPr>
          <w:rFonts w:hint="eastAsia"/>
          <w:color w:val="auto"/>
          <w:highlight w:val="none"/>
        </w:rPr>
        <w:t>30．招标代理服务费</w:t>
      </w:r>
      <w:bookmarkEnd w:id="114"/>
      <w:bookmarkEnd w:id="115"/>
    </w:p>
    <w:p>
      <w:pPr>
        <w:pStyle w:val="5"/>
        <w:ind w:firstLine="480"/>
        <w:rPr>
          <w:color w:val="auto"/>
          <w:highlight w:val="none"/>
        </w:rPr>
      </w:pPr>
      <w:r>
        <w:rPr>
          <w:rFonts w:hint="eastAsia"/>
          <w:color w:val="auto"/>
          <w:highlight w:val="none"/>
        </w:rPr>
        <w:t>30.1具体金额详见投标人须知前附表。</w:t>
      </w:r>
    </w:p>
    <w:p>
      <w:pPr>
        <w:pStyle w:val="5"/>
        <w:ind w:firstLine="480"/>
        <w:rPr>
          <w:color w:val="auto"/>
          <w:highlight w:val="none"/>
        </w:rPr>
      </w:pPr>
      <w:r>
        <w:rPr>
          <w:rFonts w:hint="eastAsia"/>
          <w:color w:val="auto"/>
          <w:highlight w:val="none"/>
        </w:rPr>
        <w:t>30.2中标人承担招标代理服务费，中标人在领取中标通知书前，须向采购代理机构一次性支付招标代理服务费，具体详见前附表。</w:t>
      </w:r>
    </w:p>
    <w:p>
      <w:pPr>
        <w:pStyle w:val="2"/>
        <w:rPr>
          <w:color w:val="auto"/>
          <w:highlight w:val="none"/>
        </w:rPr>
      </w:pPr>
      <w:bookmarkStart w:id="116" w:name="_Toc23244"/>
      <w:bookmarkStart w:id="117" w:name="_Toc20770"/>
      <w:r>
        <w:rPr>
          <w:rFonts w:hint="eastAsia"/>
          <w:color w:val="auto"/>
          <w:highlight w:val="none"/>
        </w:rPr>
        <w:t>31.质疑</w:t>
      </w:r>
      <w:bookmarkEnd w:id="116"/>
      <w:bookmarkEnd w:id="117"/>
    </w:p>
    <w:p>
      <w:pPr>
        <w:pStyle w:val="5"/>
        <w:ind w:firstLine="480"/>
        <w:rPr>
          <w:color w:val="auto"/>
          <w:highlight w:val="none"/>
        </w:rPr>
      </w:pPr>
      <w:r>
        <w:rPr>
          <w:rFonts w:hint="eastAsia"/>
          <w:color w:val="auto"/>
          <w:highlight w:val="none"/>
        </w:rPr>
        <w:t>31.1投标人认为招标文件、招标过程、中标结果使自己的权益受到损害的，可以在知道或者应知其权益受到损害之日起7个工作日内，以书面形式向采购人、采购代理机构提出质疑。</w:t>
      </w:r>
    </w:p>
    <w:p>
      <w:pPr>
        <w:pStyle w:val="5"/>
        <w:ind w:firstLine="480"/>
        <w:rPr>
          <w:color w:val="auto"/>
          <w:highlight w:val="none"/>
        </w:rPr>
      </w:pPr>
      <w:r>
        <w:rPr>
          <w:rFonts w:hint="eastAsia"/>
          <w:color w:val="auto"/>
          <w:highlight w:val="none"/>
        </w:rPr>
        <w:t>31.2投标人必须在法定质疑期内一次性提出针对同一采购程序环节的质疑。</w:t>
      </w:r>
    </w:p>
    <w:p>
      <w:pPr>
        <w:pStyle w:val="5"/>
        <w:ind w:firstLine="480"/>
        <w:rPr>
          <w:color w:val="auto"/>
          <w:highlight w:val="none"/>
        </w:rPr>
      </w:pPr>
      <w:r>
        <w:rPr>
          <w:rFonts w:hint="eastAsia"/>
          <w:color w:val="auto"/>
          <w:highlight w:val="none"/>
        </w:rPr>
        <w:t>31.3投标人可以委托代理人进行质疑。代理人提出质疑的，应当提交授权委托书。授权委托书应当载明代理人的姓名或者名称、代理事项、具体权限、期限和相关事项。投标人为自然人的，应当由本人签字；投标人为法人或者其他组织的，应当由法定代表人、主要负责人签字或者盖章，并加盖公章。</w:t>
      </w:r>
    </w:p>
    <w:p>
      <w:pPr>
        <w:pStyle w:val="5"/>
        <w:ind w:firstLine="480"/>
        <w:rPr>
          <w:color w:val="auto"/>
          <w:highlight w:val="none"/>
        </w:rPr>
      </w:pPr>
      <w:r>
        <w:rPr>
          <w:rFonts w:hint="eastAsia"/>
          <w:color w:val="auto"/>
          <w:highlight w:val="none"/>
        </w:rPr>
        <w:t>31.4以联合体形式参加政府采购活动的，其质疑应当由组成联合体的所有投标人共同提出。</w:t>
      </w:r>
    </w:p>
    <w:p>
      <w:pPr>
        <w:pStyle w:val="5"/>
        <w:ind w:firstLine="480"/>
        <w:rPr>
          <w:color w:val="auto"/>
          <w:highlight w:val="none"/>
        </w:rPr>
      </w:pPr>
      <w:r>
        <w:rPr>
          <w:rFonts w:hint="eastAsia"/>
          <w:color w:val="auto"/>
          <w:highlight w:val="none"/>
        </w:rPr>
        <w:t>31.5投标人提出质疑应当提交质疑函和必要的证明材料。质疑函应当包括下列内容：</w:t>
      </w:r>
    </w:p>
    <w:p>
      <w:pPr>
        <w:pStyle w:val="5"/>
        <w:ind w:firstLine="480"/>
        <w:rPr>
          <w:color w:val="auto"/>
          <w:highlight w:val="none"/>
        </w:rPr>
      </w:pPr>
      <w:r>
        <w:rPr>
          <w:rFonts w:hint="eastAsia"/>
          <w:color w:val="auto"/>
          <w:highlight w:val="none"/>
        </w:rPr>
        <w:t>31.5.1投标人的姓名或者名称、地址、邮编、联系人及联系电话；</w:t>
      </w:r>
    </w:p>
    <w:p>
      <w:pPr>
        <w:pStyle w:val="5"/>
        <w:ind w:firstLine="480"/>
        <w:rPr>
          <w:color w:val="auto"/>
          <w:highlight w:val="none"/>
        </w:rPr>
      </w:pPr>
      <w:r>
        <w:rPr>
          <w:rFonts w:hint="eastAsia"/>
          <w:color w:val="auto"/>
          <w:highlight w:val="none"/>
        </w:rPr>
        <w:t>31.5.2质疑项目的名称、编号；</w:t>
      </w:r>
    </w:p>
    <w:p>
      <w:pPr>
        <w:pStyle w:val="5"/>
        <w:ind w:firstLine="480"/>
        <w:rPr>
          <w:color w:val="auto"/>
          <w:highlight w:val="none"/>
        </w:rPr>
      </w:pPr>
      <w:r>
        <w:rPr>
          <w:rFonts w:hint="eastAsia"/>
          <w:color w:val="auto"/>
          <w:highlight w:val="none"/>
        </w:rPr>
        <w:t>31.5.3具体、明确的质疑事项和与质疑事项相关的请求；</w:t>
      </w:r>
    </w:p>
    <w:p>
      <w:pPr>
        <w:pStyle w:val="5"/>
        <w:ind w:firstLine="480"/>
        <w:rPr>
          <w:color w:val="auto"/>
          <w:highlight w:val="none"/>
        </w:rPr>
      </w:pPr>
      <w:r>
        <w:rPr>
          <w:rFonts w:hint="eastAsia"/>
          <w:color w:val="auto"/>
          <w:highlight w:val="none"/>
        </w:rPr>
        <w:t>31.5.4事实依据；</w:t>
      </w:r>
    </w:p>
    <w:p>
      <w:pPr>
        <w:pStyle w:val="5"/>
        <w:ind w:firstLine="480"/>
        <w:rPr>
          <w:color w:val="auto"/>
          <w:highlight w:val="none"/>
        </w:rPr>
      </w:pPr>
      <w:r>
        <w:rPr>
          <w:rFonts w:hint="eastAsia"/>
          <w:color w:val="auto"/>
          <w:highlight w:val="none"/>
        </w:rPr>
        <w:t>31.5.5必要的法律依据；</w:t>
      </w:r>
    </w:p>
    <w:p>
      <w:pPr>
        <w:pStyle w:val="5"/>
        <w:ind w:firstLine="480"/>
        <w:rPr>
          <w:color w:val="auto"/>
          <w:highlight w:val="none"/>
        </w:rPr>
      </w:pPr>
      <w:r>
        <w:rPr>
          <w:rFonts w:hint="eastAsia"/>
          <w:color w:val="auto"/>
          <w:highlight w:val="none"/>
        </w:rPr>
        <w:t>31.5.6提出质疑的日期。</w:t>
      </w:r>
    </w:p>
    <w:p>
      <w:pPr>
        <w:pStyle w:val="5"/>
        <w:ind w:firstLine="480"/>
        <w:rPr>
          <w:color w:val="auto"/>
          <w:highlight w:val="none"/>
        </w:rPr>
      </w:pPr>
      <w:r>
        <w:rPr>
          <w:rFonts w:hint="eastAsia"/>
          <w:color w:val="auto"/>
          <w:highlight w:val="none"/>
        </w:rPr>
        <w:t>31.6有下列情形之一的，属于无效质疑，采购代理机构和采购人不予受理：</w:t>
      </w:r>
    </w:p>
    <w:p>
      <w:pPr>
        <w:pStyle w:val="5"/>
        <w:ind w:firstLine="480"/>
        <w:rPr>
          <w:color w:val="auto"/>
          <w:highlight w:val="none"/>
        </w:rPr>
      </w:pPr>
      <w:r>
        <w:rPr>
          <w:rFonts w:hint="eastAsia"/>
          <w:color w:val="auto"/>
          <w:highlight w:val="none"/>
        </w:rPr>
        <w:t>31.6.1质疑投标人不是参与本次政府采购项目的投标人；</w:t>
      </w:r>
    </w:p>
    <w:p>
      <w:pPr>
        <w:pStyle w:val="5"/>
        <w:ind w:firstLine="480"/>
        <w:rPr>
          <w:color w:val="auto"/>
          <w:highlight w:val="none"/>
        </w:rPr>
      </w:pPr>
      <w:r>
        <w:rPr>
          <w:rFonts w:hint="eastAsia"/>
          <w:color w:val="auto"/>
          <w:highlight w:val="none"/>
        </w:rPr>
        <w:t>31.6.2质疑投标人与质疑事项不存在利害关系的；</w:t>
      </w:r>
    </w:p>
    <w:p>
      <w:pPr>
        <w:pStyle w:val="5"/>
        <w:ind w:firstLine="480"/>
        <w:rPr>
          <w:color w:val="auto"/>
          <w:highlight w:val="none"/>
        </w:rPr>
      </w:pPr>
      <w:r>
        <w:rPr>
          <w:rFonts w:hint="eastAsia"/>
          <w:color w:val="auto"/>
          <w:highlight w:val="none"/>
        </w:rPr>
        <w:t>31.6.3未在法定期限内提出质疑的；</w:t>
      </w:r>
    </w:p>
    <w:p>
      <w:pPr>
        <w:pStyle w:val="5"/>
        <w:ind w:firstLine="480"/>
        <w:rPr>
          <w:color w:val="auto"/>
          <w:highlight w:val="none"/>
        </w:rPr>
      </w:pPr>
      <w:r>
        <w:rPr>
          <w:rFonts w:hint="eastAsia"/>
          <w:color w:val="auto"/>
          <w:highlight w:val="none"/>
        </w:rPr>
        <w:t>31.6.4质疑未以书面形式提出，或质疑函主要内容构成不完整的；</w:t>
      </w:r>
    </w:p>
    <w:p>
      <w:pPr>
        <w:pStyle w:val="5"/>
        <w:ind w:firstLine="480"/>
        <w:rPr>
          <w:color w:val="auto"/>
          <w:highlight w:val="none"/>
        </w:rPr>
      </w:pPr>
      <w:r>
        <w:rPr>
          <w:rFonts w:hint="eastAsia"/>
          <w:color w:val="auto"/>
          <w:highlight w:val="none"/>
        </w:rPr>
        <w:t>31.6.5应当提交授权书而未提交的；</w:t>
      </w:r>
    </w:p>
    <w:p>
      <w:pPr>
        <w:pStyle w:val="5"/>
        <w:ind w:firstLine="480"/>
        <w:rPr>
          <w:color w:val="auto"/>
          <w:highlight w:val="none"/>
        </w:rPr>
      </w:pPr>
      <w:r>
        <w:rPr>
          <w:rFonts w:hint="eastAsia"/>
          <w:color w:val="auto"/>
          <w:highlight w:val="none"/>
        </w:rPr>
        <w:t>31.6.6以非法手段取得证据、材料的；</w:t>
      </w:r>
    </w:p>
    <w:p>
      <w:pPr>
        <w:pStyle w:val="5"/>
        <w:ind w:firstLine="480"/>
        <w:rPr>
          <w:color w:val="auto"/>
          <w:highlight w:val="none"/>
        </w:rPr>
      </w:pPr>
      <w:r>
        <w:rPr>
          <w:rFonts w:hint="eastAsia"/>
          <w:color w:val="auto"/>
          <w:highlight w:val="none"/>
        </w:rPr>
        <w:t>31.6.7质疑答复后，同一质疑人就同一事项或同一采购程序环节再次提出质疑的；</w:t>
      </w:r>
    </w:p>
    <w:p>
      <w:pPr>
        <w:pStyle w:val="5"/>
        <w:ind w:firstLine="480"/>
        <w:rPr>
          <w:color w:val="auto"/>
          <w:highlight w:val="none"/>
        </w:rPr>
      </w:pPr>
      <w:r>
        <w:rPr>
          <w:rFonts w:hint="eastAsia"/>
          <w:color w:val="auto"/>
          <w:highlight w:val="none"/>
        </w:rPr>
        <w:t>31.6.8不符合法律、法规、规章和政府采购监管机构规定的其他条件的。</w:t>
      </w:r>
    </w:p>
    <w:p>
      <w:pPr>
        <w:pStyle w:val="5"/>
        <w:ind w:firstLine="480"/>
        <w:rPr>
          <w:color w:val="auto"/>
          <w:highlight w:val="none"/>
        </w:rPr>
      </w:pPr>
      <w:r>
        <w:rPr>
          <w:rFonts w:hint="eastAsia"/>
          <w:color w:val="auto"/>
          <w:highlight w:val="none"/>
        </w:rPr>
        <w:t>31.7质疑答复</w:t>
      </w:r>
    </w:p>
    <w:p>
      <w:pPr>
        <w:pStyle w:val="5"/>
        <w:ind w:firstLine="480"/>
        <w:rPr>
          <w:color w:val="auto"/>
          <w:highlight w:val="none"/>
        </w:rPr>
      </w:pPr>
      <w:r>
        <w:rPr>
          <w:rFonts w:hint="eastAsia"/>
          <w:color w:val="auto"/>
          <w:highlight w:val="none"/>
        </w:rPr>
        <w:t>31.7.1采购人或采购代理机构在收到质疑函后7个工作日内作出答复，并以书面形式通知质疑投标人和其他有关投标人。</w:t>
      </w:r>
    </w:p>
    <w:p>
      <w:pPr>
        <w:pStyle w:val="5"/>
        <w:ind w:firstLine="480"/>
        <w:rPr>
          <w:color w:val="auto"/>
          <w:highlight w:val="none"/>
        </w:rPr>
      </w:pPr>
      <w:r>
        <w:rPr>
          <w:rFonts w:hint="eastAsia"/>
          <w:color w:val="auto"/>
          <w:highlight w:val="none"/>
        </w:rPr>
        <w:t>31.7.2质疑投标人对采购人、采购代理机构的答复不满意，或者采购人、采购代理机构未在规定时间内作出答复的，可以在答复期满后15个工作日内向同级人民政府财政部门提起投诉。</w:t>
      </w:r>
    </w:p>
    <w:p>
      <w:pPr>
        <w:pStyle w:val="5"/>
        <w:ind w:firstLine="480"/>
        <w:rPr>
          <w:color w:val="auto"/>
          <w:highlight w:val="none"/>
        </w:rPr>
      </w:pPr>
      <w:r>
        <w:rPr>
          <w:rFonts w:hint="eastAsia"/>
          <w:color w:val="auto"/>
          <w:highlight w:val="none"/>
        </w:rPr>
        <w:t>31.8其他需要说明的事项</w:t>
      </w:r>
    </w:p>
    <w:p>
      <w:pPr>
        <w:pStyle w:val="5"/>
        <w:ind w:firstLine="480"/>
        <w:rPr>
          <w:color w:val="auto"/>
          <w:highlight w:val="none"/>
        </w:rPr>
      </w:pPr>
      <w:r>
        <w:rPr>
          <w:rFonts w:hint="eastAsia"/>
          <w:color w:val="auto"/>
          <w:highlight w:val="none"/>
        </w:rPr>
        <w:t>31.8.1质疑函须按财政部《质疑函范本》给定的格式进行填写，范本下载详见【财政部国库司（gks.mof.gov.cn）】网站〖首页·政府采购管理〗栏目中的《政府采购投标人质疑函范本》。《政府采购投标人质疑函范本》链接地址：</w:t>
      </w:r>
    </w:p>
    <w:p>
      <w:pPr>
        <w:pStyle w:val="5"/>
        <w:ind w:firstLine="0" w:firstLineChars="0"/>
        <w:rPr>
          <w:color w:val="auto"/>
          <w:highlight w:val="none"/>
        </w:rPr>
      </w:pPr>
      <w:r>
        <w:rPr>
          <w:rFonts w:hint="eastAsia"/>
          <w:color w:val="auto"/>
          <w:highlight w:val="none"/>
        </w:rPr>
        <w:t>http：//gks.mof.gov.cn/zhengfucaigouguanli/201804/t20180401_2804589.html</w:t>
      </w:r>
    </w:p>
    <w:p>
      <w:pPr>
        <w:pStyle w:val="5"/>
        <w:ind w:firstLine="480"/>
        <w:rPr>
          <w:color w:val="auto"/>
          <w:highlight w:val="none"/>
        </w:rPr>
      </w:pPr>
      <w:r>
        <w:rPr>
          <w:rFonts w:hint="eastAsia"/>
          <w:color w:val="auto"/>
          <w:highlight w:val="none"/>
        </w:rPr>
        <w:t>31.8.2接收质疑函的方式：书面形式</w:t>
      </w:r>
    </w:p>
    <w:p>
      <w:pPr>
        <w:pStyle w:val="5"/>
        <w:ind w:firstLine="480"/>
        <w:rPr>
          <w:color w:val="auto"/>
          <w:highlight w:val="none"/>
        </w:rPr>
      </w:pPr>
      <w:r>
        <w:rPr>
          <w:rFonts w:hint="eastAsia"/>
          <w:color w:val="auto"/>
          <w:highlight w:val="none"/>
        </w:rPr>
        <w:t>31.8.3联系人：王倩倩、</w:t>
      </w:r>
      <w:r>
        <w:rPr>
          <w:rFonts w:hint="eastAsia"/>
          <w:color w:val="auto"/>
          <w:highlight w:val="none"/>
          <w:lang w:val="en-US" w:eastAsia="zh-CN"/>
        </w:rPr>
        <w:t>高欢欢</w:t>
      </w:r>
      <w:r>
        <w:rPr>
          <w:rFonts w:hint="eastAsia"/>
          <w:color w:val="auto"/>
          <w:highlight w:val="none"/>
        </w:rPr>
        <w:t>、卫钰</w:t>
      </w:r>
    </w:p>
    <w:p>
      <w:pPr>
        <w:pStyle w:val="5"/>
        <w:ind w:firstLine="480"/>
        <w:rPr>
          <w:rFonts w:hint="eastAsia" w:eastAsia="宋体"/>
          <w:color w:val="auto"/>
          <w:highlight w:val="none"/>
          <w:lang w:eastAsia="zh-CN"/>
        </w:rPr>
      </w:pPr>
      <w:r>
        <w:rPr>
          <w:rFonts w:hint="eastAsia"/>
          <w:color w:val="auto"/>
          <w:highlight w:val="none"/>
        </w:rPr>
        <w:t>31.8.4联系电话：029-89338755/81511576转80</w:t>
      </w:r>
      <w:r>
        <w:rPr>
          <w:rFonts w:hint="eastAsia"/>
          <w:color w:val="auto"/>
          <w:highlight w:val="none"/>
          <w:lang w:val="en-US" w:eastAsia="zh-CN"/>
        </w:rPr>
        <w:t>2</w:t>
      </w:r>
    </w:p>
    <w:p>
      <w:pPr>
        <w:pStyle w:val="5"/>
        <w:ind w:firstLine="480"/>
        <w:rPr>
          <w:color w:val="auto"/>
          <w:highlight w:val="none"/>
        </w:rPr>
      </w:pPr>
      <w:r>
        <w:rPr>
          <w:rFonts w:hint="eastAsia"/>
          <w:color w:val="auto"/>
          <w:highlight w:val="none"/>
        </w:rPr>
        <w:t>31.8.5通讯地址：陕西省西安市雁塔区南二环东段凯森盛世一号A座4层408室</w:t>
      </w:r>
    </w:p>
    <w:p>
      <w:pPr>
        <w:pStyle w:val="2"/>
        <w:rPr>
          <w:color w:val="auto"/>
          <w:highlight w:val="none"/>
        </w:rPr>
      </w:pPr>
      <w:r>
        <w:rPr>
          <w:rFonts w:hint="eastAsia"/>
          <w:color w:val="auto"/>
          <w:highlight w:val="none"/>
        </w:rPr>
        <w:t>32.政府采购信用担保及信用融资政策</w:t>
      </w:r>
    </w:p>
    <w:p>
      <w:pPr>
        <w:pStyle w:val="5"/>
        <w:ind w:firstLine="480"/>
        <w:rPr>
          <w:color w:val="auto"/>
          <w:highlight w:val="none"/>
        </w:rPr>
      </w:pPr>
      <w:r>
        <w:rPr>
          <w:rFonts w:hint="eastAsia"/>
          <w:color w:val="auto"/>
          <w:highlight w:val="none"/>
        </w:rPr>
        <w:t>《陕西省财政厅关于印发&lt;陕西省中小企业政府采购信用融资办法&gt;的通知》（陕财办采〔2018〕23号）相关政策、业务流程、办理平台</w:t>
      </w:r>
    </w:p>
    <w:p>
      <w:pPr>
        <w:pStyle w:val="5"/>
        <w:ind w:firstLine="480"/>
        <w:rPr>
          <w:color w:val="auto"/>
          <w:highlight w:val="none"/>
        </w:rPr>
      </w:pPr>
      <w:r>
        <w:rPr>
          <w:rFonts w:hint="eastAsia"/>
          <w:color w:val="auto"/>
          <w:highlight w:val="none"/>
        </w:rPr>
        <w:t>（http://www.ccgp-shaanxi.gov.cn/zcdservice/zcd/shanxi/）。</w:t>
      </w:r>
    </w:p>
    <w:p>
      <w:pPr>
        <w:pStyle w:val="2"/>
        <w:rPr>
          <w:color w:val="auto"/>
          <w:highlight w:val="none"/>
        </w:rPr>
      </w:pPr>
      <w:r>
        <w:rPr>
          <w:rFonts w:hint="eastAsia"/>
          <w:color w:val="auto"/>
          <w:highlight w:val="none"/>
        </w:rPr>
        <w:t>33.其他</w:t>
      </w:r>
      <w:bookmarkEnd w:id="93"/>
      <w:bookmarkEnd w:id="94"/>
    </w:p>
    <w:p>
      <w:pPr>
        <w:pStyle w:val="5"/>
        <w:ind w:firstLine="480"/>
        <w:rPr>
          <w:color w:val="auto"/>
          <w:highlight w:val="none"/>
        </w:rPr>
      </w:pPr>
      <w:bookmarkStart w:id="118" w:name="_Toc363474023"/>
      <w:r>
        <w:rPr>
          <w:rFonts w:hint="eastAsia"/>
          <w:color w:val="auto"/>
          <w:highlight w:val="none"/>
        </w:rPr>
        <w:t>33.1 废标的情形</w:t>
      </w:r>
    </w:p>
    <w:p>
      <w:pPr>
        <w:pStyle w:val="5"/>
        <w:ind w:firstLine="480"/>
        <w:rPr>
          <w:color w:val="auto"/>
          <w:highlight w:val="none"/>
        </w:rPr>
      </w:pPr>
      <w:r>
        <w:rPr>
          <w:rFonts w:hint="eastAsia"/>
          <w:color w:val="auto"/>
          <w:highlight w:val="none"/>
        </w:rPr>
        <w:t>33.1.1招标采购中，出现下列情形之一的，应予以废标：</w:t>
      </w:r>
    </w:p>
    <w:p>
      <w:pPr>
        <w:pStyle w:val="5"/>
        <w:ind w:firstLine="480"/>
        <w:rPr>
          <w:color w:val="auto"/>
          <w:highlight w:val="none"/>
        </w:rPr>
      </w:pPr>
      <w:r>
        <w:rPr>
          <w:rFonts w:hint="eastAsia"/>
          <w:color w:val="auto"/>
          <w:highlight w:val="none"/>
        </w:rPr>
        <w:t>（1）符合专业条件的投标人或者对招标文件作实质响应的投标人不足3家的；</w:t>
      </w:r>
    </w:p>
    <w:p>
      <w:pPr>
        <w:pStyle w:val="5"/>
        <w:ind w:firstLine="480"/>
        <w:rPr>
          <w:color w:val="auto"/>
          <w:highlight w:val="none"/>
        </w:rPr>
      </w:pPr>
      <w:r>
        <w:rPr>
          <w:rFonts w:hint="eastAsia"/>
          <w:color w:val="auto"/>
          <w:highlight w:val="none"/>
        </w:rPr>
        <w:t>（2）出现影响采购公正的违法、违规行为的；</w:t>
      </w:r>
    </w:p>
    <w:p>
      <w:pPr>
        <w:pStyle w:val="5"/>
        <w:ind w:firstLine="480"/>
        <w:rPr>
          <w:color w:val="auto"/>
          <w:highlight w:val="none"/>
        </w:rPr>
      </w:pPr>
      <w:r>
        <w:rPr>
          <w:rFonts w:hint="eastAsia"/>
          <w:color w:val="auto"/>
          <w:highlight w:val="none"/>
        </w:rPr>
        <w:t>（3）投标人的报价均超过了采购预算，采购人不能支付的；</w:t>
      </w:r>
    </w:p>
    <w:p>
      <w:pPr>
        <w:pStyle w:val="5"/>
        <w:ind w:firstLine="480"/>
        <w:rPr>
          <w:color w:val="auto"/>
          <w:highlight w:val="none"/>
        </w:rPr>
      </w:pPr>
      <w:r>
        <w:rPr>
          <w:rFonts w:hint="eastAsia"/>
          <w:color w:val="auto"/>
          <w:highlight w:val="none"/>
        </w:rPr>
        <w:t>（4）因重大变故，采购任务取消的。</w:t>
      </w:r>
    </w:p>
    <w:p>
      <w:pPr>
        <w:pStyle w:val="5"/>
        <w:ind w:firstLine="480"/>
        <w:rPr>
          <w:color w:val="auto"/>
          <w:highlight w:val="none"/>
        </w:rPr>
      </w:pPr>
      <w:r>
        <w:rPr>
          <w:rFonts w:hint="eastAsia"/>
          <w:color w:val="auto"/>
          <w:highlight w:val="none"/>
        </w:rPr>
        <w:t>33.1.2废标后，采购代理机构应在财政部门指定采购网上公告，并公告废标的详细理由。</w:t>
      </w:r>
    </w:p>
    <w:p>
      <w:pPr>
        <w:pStyle w:val="5"/>
        <w:ind w:firstLine="480"/>
        <w:rPr>
          <w:color w:val="auto"/>
          <w:highlight w:val="none"/>
        </w:rPr>
      </w:pPr>
      <w:r>
        <w:rPr>
          <w:rFonts w:hint="eastAsia"/>
          <w:color w:val="auto"/>
          <w:highlight w:val="none"/>
        </w:rPr>
        <w:t>33.2变更采购方式</w:t>
      </w:r>
    </w:p>
    <w:p>
      <w:pPr>
        <w:pStyle w:val="5"/>
        <w:ind w:firstLine="480"/>
        <w:rPr>
          <w:color w:val="auto"/>
          <w:highlight w:val="none"/>
        </w:rPr>
      </w:pPr>
      <w:r>
        <w:rPr>
          <w:rFonts w:hint="eastAsia"/>
          <w:color w:val="auto"/>
          <w:highlight w:val="none"/>
        </w:rPr>
        <w:t>33.2.1存在下列情形之一的，除采购任务取消情形外，采购人经同级财政部门同意后，可按《政府采购货物和服务招标投标管理办法》（财政部87号令）第四十三条规定的方式处理：</w:t>
      </w:r>
    </w:p>
    <w:p>
      <w:pPr>
        <w:pStyle w:val="5"/>
        <w:ind w:firstLine="480"/>
        <w:rPr>
          <w:color w:val="auto"/>
          <w:highlight w:val="none"/>
        </w:rPr>
      </w:pPr>
      <w:r>
        <w:rPr>
          <w:rFonts w:hint="eastAsia"/>
          <w:color w:val="auto"/>
          <w:highlight w:val="none"/>
        </w:rPr>
        <w:t xml:space="preserve">（1）投标截止后参加投标的人不足3家的； </w:t>
      </w:r>
    </w:p>
    <w:p>
      <w:pPr>
        <w:pStyle w:val="5"/>
        <w:ind w:firstLine="480"/>
        <w:rPr>
          <w:color w:val="auto"/>
          <w:highlight w:val="none"/>
        </w:rPr>
      </w:pPr>
      <w:r>
        <w:rPr>
          <w:rFonts w:hint="eastAsia"/>
          <w:color w:val="auto"/>
          <w:highlight w:val="none"/>
        </w:rPr>
        <w:t xml:space="preserve">（2）通过资格审查的投标人不足3家的； </w:t>
      </w:r>
    </w:p>
    <w:p>
      <w:pPr>
        <w:pStyle w:val="5"/>
        <w:ind w:firstLine="480"/>
        <w:rPr>
          <w:color w:val="auto"/>
          <w:highlight w:val="none"/>
        </w:rPr>
      </w:pPr>
      <w:r>
        <w:rPr>
          <w:rFonts w:hint="eastAsia"/>
          <w:color w:val="auto"/>
          <w:highlight w:val="none"/>
        </w:rPr>
        <w:t>（3）通过符合性审查的投标人不足3家的。</w:t>
      </w:r>
    </w:p>
    <w:p>
      <w:pPr>
        <w:pStyle w:val="5"/>
        <w:ind w:firstLine="480"/>
        <w:rPr>
          <w:color w:val="auto"/>
          <w:highlight w:val="none"/>
        </w:rPr>
      </w:pPr>
      <w:r>
        <w:rPr>
          <w:rFonts w:hint="eastAsia"/>
          <w:color w:val="auto"/>
          <w:highlight w:val="none"/>
        </w:rPr>
        <w:t>33.2.2通过符合性审查的投标人只有2家时，采购人经同级财政部门同意后，可以按《政府采购非招标采购方式管理办法》（财政部第74号令）的规定与该2家投标人进行竞争性谈判采购。</w:t>
      </w:r>
    </w:p>
    <w:p>
      <w:pPr>
        <w:pStyle w:val="6"/>
        <w:ind w:left="1440"/>
        <w:rPr>
          <w:color w:val="auto"/>
          <w:highlight w:val="none"/>
        </w:rPr>
      </w:pPr>
    </w:p>
    <w:p>
      <w:pPr>
        <w:pStyle w:val="3"/>
        <w:spacing w:before="333"/>
        <w:rPr>
          <w:color w:val="auto"/>
          <w:highlight w:val="none"/>
        </w:rPr>
      </w:pPr>
      <w:bookmarkStart w:id="119" w:name="_Toc11810"/>
      <w:bookmarkStart w:id="120" w:name="_Toc403077645"/>
      <w:bookmarkStart w:id="121" w:name="_Toc426457694"/>
      <w:bookmarkStart w:id="122" w:name="_Toc3798"/>
      <w:bookmarkStart w:id="123" w:name="_Toc15898"/>
      <w:r>
        <w:rPr>
          <w:rFonts w:hint="eastAsia"/>
          <w:color w:val="auto"/>
          <w:highlight w:val="none"/>
        </w:rPr>
        <w:br w:type="page"/>
      </w:r>
      <w:bookmarkStart w:id="124" w:name="_Toc26429"/>
      <w:r>
        <w:rPr>
          <w:rFonts w:hint="eastAsia"/>
          <w:color w:val="auto"/>
          <w:highlight w:val="none"/>
        </w:rPr>
        <w:t xml:space="preserve">第三章  </w:t>
      </w:r>
      <w:bookmarkEnd w:id="119"/>
      <w:bookmarkEnd w:id="120"/>
      <w:bookmarkEnd w:id="121"/>
      <w:bookmarkEnd w:id="122"/>
      <w:bookmarkEnd w:id="123"/>
      <w:r>
        <w:rPr>
          <w:rFonts w:hint="eastAsia"/>
          <w:color w:val="auto"/>
          <w:highlight w:val="none"/>
        </w:rPr>
        <w:t>商务及合同主要条款</w:t>
      </w:r>
      <w:bookmarkEnd w:id="124"/>
    </w:p>
    <w:p>
      <w:pPr>
        <w:pStyle w:val="2"/>
        <w:jc w:val="center"/>
        <w:rPr>
          <w:rFonts w:hint="eastAsia"/>
          <w:color w:val="auto"/>
          <w:highlight w:val="none"/>
        </w:rPr>
      </w:pPr>
      <w:bookmarkStart w:id="125" w:name="_Toc19199"/>
      <w:bookmarkStart w:id="126" w:name="_Toc31683"/>
      <w:bookmarkStart w:id="127" w:name="_Toc9053"/>
      <w:bookmarkStart w:id="128" w:name="_Toc31520"/>
      <w:bookmarkStart w:id="129" w:name="_Toc29888"/>
      <w:bookmarkStart w:id="130" w:name="_Toc8333"/>
      <w:bookmarkStart w:id="131" w:name="_Toc426457696"/>
      <w:bookmarkStart w:id="132" w:name="_Toc20109"/>
      <w:bookmarkStart w:id="133" w:name="_Toc19246"/>
      <w:bookmarkStart w:id="134" w:name="_Toc26595"/>
      <w:bookmarkStart w:id="135" w:name="_Toc389582037"/>
      <w:bookmarkStart w:id="136" w:name="_Toc20230"/>
      <w:r>
        <w:rPr>
          <w:rFonts w:hint="eastAsia"/>
          <w:color w:val="auto"/>
          <w:highlight w:val="none"/>
        </w:rPr>
        <w:t>合同主要条款</w:t>
      </w:r>
    </w:p>
    <w:p>
      <w:pPr>
        <w:pStyle w:val="2"/>
        <w:jc w:val="center"/>
        <w:rPr>
          <w:color w:val="auto"/>
          <w:highlight w:val="none"/>
        </w:rPr>
      </w:pPr>
      <w:r>
        <w:rPr>
          <w:rFonts w:hint="eastAsia"/>
          <w:color w:val="auto"/>
          <w:highlight w:val="none"/>
        </w:rPr>
        <w:t>（此合同只作为参考，最终签订的合同以采购人确定的合同内容为准）</w:t>
      </w:r>
    </w:p>
    <w:p>
      <w:pPr>
        <w:spacing w:line="440" w:lineRule="exact"/>
        <w:ind w:firstLine="482" w:firstLineChars="200"/>
        <w:rPr>
          <w:rFonts w:hAnsi="宋体"/>
          <w:b/>
          <w:color w:val="auto"/>
          <w:highlight w:val="none"/>
        </w:rPr>
      </w:pPr>
      <w:r>
        <w:rPr>
          <w:rFonts w:hint="eastAsia" w:hAnsi="宋体"/>
          <w:b/>
          <w:color w:val="auto"/>
          <w:highlight w:val="none"/>
        </w:rPr>
        <w:t>1.定义</w:t>
      </w:r>
    </w:p>
    <w:p>
      <w:pPr>
        <w:spacing w:line="440" w:lineRule="exact"/>
        <w:ind w:firstLine="480" w:firstLineChars="200"/>
        <w:rPr>
          <w:rFonts w:hAnsi="宋体"/>
          <w:color w:val="auto"/>
          <w:highlight w:val="none"/>
        </w:rPr>
      </w:pPr>
      <w:r>
        <w:rPr>
          <w:rFonts w:hint="eastAsia" w:hAnsi="宋体"/>
          <w:color w:val="auto"/>
          <w:highlight w:val="none"/>
        </w:rPr>
        <w:t>本合同的下列术语应解释为：</w:t>
      </w:r>
    </w:p>
    <w:p>
      <w:pPr>
        <w:spacing w:line="440" w:lineRule="exact"/>
        <w:ind w:firstLine="480" w:firstLineChars="200"/>
        <w:rPr>
          <w:rFonts w:hAnsi="宋体"/>
          <w:color w:val="auto"/>
          <w:highlight w:val="none"/>
        </w:rPr>
      </w:pPr>
      <w:r>
        <w:rPr>
          <w:rFonts w:hint="eastAsia" w:hAnsi="宋体"/>
          <w:color w:val="auto"/>
          <w:highlight w:val="none"/>
        </w:rPr>
        <w:t>1.1“合同”系指买卖双方签署的、合同格式中载明的买卖双方所达成的协议，包括所有的附件和上述文件所提到的构成合同的所有文件。</w:t>
      </w:r>
    </w:p>
    <w:p>
      <w:pPr>
        <w:spacing w:line="440" w:lineRule="exact"/>
        <w:ind w:firstLine="480" w:firstLineChars="200"/>
        <w:rPr>
          <w:rFonts w:hAnsi="宋体"/>
          <w:color w:val="auto"/>
          <w:highlight w:val="none"/>
        </w:rPr>
      </w:pPr>
      <w:r>
        <w:rPr>
          <w:rFonts w:hint="eastAsia" w:hAnsi="宋体"/>
          <w:color w:val="auto"/>
          <w:highlight w:val="none"/>
        </w:rPr>
        <w:t>1.2“合同价”系指根据本合同规定卖方在正确地完全履行合同义务后买方应支付给卖方的价格。</w:t>
      </w:r>
    </w:p>
    <w:p>
      <w:pPr>
        <w:spacing w:line="440" w:lineRule="exact"/>
        <w:ind w:firstLine="480" w:firstLineChars="200"/>
        <w:rPr>
          <w:rFonts w:hAnsi="宋体"/>
          <w:color w:val="auto"/>
          <w:highlight w:val="none"/>
        </w:rPr>
      </w:pPr>
      <w:r>
        <w:rPr>
          <w:rFonts w:hint="eastAsia" w:hAnsi="宋体"/>
          <w:color w:val="auto"/>
          <w:highlight w:val="none"/>
        </w:rPr>
        <w:t>1.3“图书”系指卖方根据本合同规定向买方提供的适于高校师生阅读的图书。</w:t>
      </w:r>
    </w:p>
    <w:p>
      <w:pPr>
        <w:spacing w:line="440" w:lineRule="exact"/>
        <w:ind w:firstLine="480" w:firstLineChars="200"/>
        <w:rPr>
          <w:rFonts w:hAnsi="宋体"/>
          <w:color w:val="auto"/>
          <w:highlight w:val="none"/>
        </w:rPr>
      </w:pPr>
      <w:r>
        <w:rPr>
          <w:rFonts w:hint="eastAsia" w:hAnsi="宋体"/>
          <w:color w:val="auto"/>
          <w:highlight w:val="none"/>
        </w:rPr>
        <w:t>1.4“服务”系指根据本合同规定卖方承担与供货有关的辅助服务，如运输、保险以及合同中规定卖方应承担的其它义务。</w:t>
      </w:r>
    </w:p>
    <w:p>
      <w:pPr>
        <w:spacing w:line="440" w:lineRule="exact"/>
        <w:ind w:firstLine="480" w:firstLineChars="200"/>
        <w:rPr>
          <w:rFonts w:hAnsi="宋体"/>
          <w:color w:val="auto"/>
          <w:highlight w:val="none"/>
        </w:rPr>
      </w:pPr>
      <w:r>
        <w:rPr>
          <w:rFonts w:hint="eastAsia" w:hAnsi="宋体"/>
          <w:color w:val="auto"/>
          <w:highlight w:val="none"/>
        </w:rPr>
        <w:t>1.5“买方”系指购买图书和服务的用户代表单位。</w:t>
      </w:r>
    </w:p>
    <w:p>
      <w:pPr>
        <w:spacing w:line="440" w:lineRule="exact"/>
        <w:ind w:firstLine="480" w:firstLineChars="200"/>
        <w:rPr>
          <w:rFonts w:hAnsi="宋体"/>
          <w:color w:val="auto"/>
          <w:highlight w:val="none"/>
        </w:rPr>
      </w:pPr>
      <w:r>
        <w:rPr>
          <w:rFonts w:hint="eastAsia" w:hAnsi="宋体"/>
          <w:color w:val="auto"/>
          <w:highlight w:val="none"/>
        </w:rPr>
        <w:t>1.6“卖方”系指提供本合同项下图书和服务的供货商。</w:t>
      </w:r>
    </w:p>
    <w:p>
      <w:pPr>
        <w:spacing w:line="440" w:lineRule="exact"/>
        <w:ind w:firstLine="480" w:firstLineChars="200"/>
        <w:rPr>
          <w:rFonts w:hAnsi="宋体"/>
          <w:color w:val="auto"/>
          <w:highlight w:val="none"/>
        </w:rPr>
      </w:pPr>
      <w:r>
        <w:rPr>
          <w:rFonts w:hint="eastAsia" w:hAnsi="宋体"/>
          <w:color w:val="auto"/>
          <w:highlight w:val="none"/>
        </w:rPr>
        <w:t>1.7“项目现场”系指本合同项下图书运抵的现场。</w:t>
      </w:r>
    </w:p>
    <w:p>
      <w:pPr>
        <w:spacing w:line="440" w:lineRule="exact"/>
        <w:ind w:firstLine="480" w:firstLineChars="200"/>
        <w:rPr>
          <w:rFonts w:hAnsi="宋体"/>
          <w:color w:val="auto"/>
          <w:highlight w:val="none"/>
        </w:rPr>
      </w:pPr>
      <w:r>
        <w:rPr>
          <w:rFonts w:hint="eastAsia" w:hAnsi="宋体"/>
          <w:color w:val="auto"/>
          <w:highlight w:val="none"/>
        </w:rPr>
        <w:t>1.8“验收”系指合同双方依据规定的程序和条件确认合同项下的图书符合技术的要求。</w:t>
      </w:r>
    </w:p>
    <w:p>
      <w:pPr>
        <w:spacing w:line="440" w:lineRule="exact"/>
        <w:ind w:firstLine="480" w:firstLineChars="200"/>
        <w:rPr>
          <w:rFonts w:hAnsi="宋体"/>
          <w:color w:val="auto"/>
          <w:highlight w:val="none"/>
        </w:rPr>
      </w:pPr>
      <w:r>
        <w:rPr>
          <w:rFonts w:hint="eastAsia" w:hAnsi="宋体"/>
          <w:color w:val="auto"/>
          <w:highlight w:val="none"/>
        </w:rPr>
        <w:t>1.9 “合同条款”系指本合同条款。</w:t>
      </w:r>
    </w:p>
    <w:p>
      <w:pPr>
        <w:spacing w:line="440" w:lineRule="exact"/>
        <w:ind w:firstLine="480" w:firstLineChars="200"/>
        <w:rPr>
          <w:rFonts w:hAnsi="宋体"/>
          <w:color w:val="auto"/>
          <w:highlight w:val="none"/>
        </w:rPr>
      </w:pPr>
      <w:r>
        <w:rPr>
          <w:rFonts w:hint="eastAsia" w:hAnsi="宋体"/>
          <w:color w:val="auto"/>
          <w:highlight w:val="none"/>
        </w:rPr>
        <w:t>1.10 “天”指日历天数。</w:t>
      </w:r>
    </w:p>
    <w:p>
      <w:pPr>
        <w:spacing w:line="440" w:lineRule="exact"/>
        <w:ind w:firstLine="482" w:firstLineChars="200"/>
        <w:rPr>
          <w:rFonts w:hAnsi="宋体"/>
          <w:b/>
          <w:color w:val="auto"/>
          <w:highlight w:val="none"/>
        </w:rPr>
      </w:pPr>
      <w:r>
        <w:rPr>
          <w:rFonts w:hint="eastAsia" w:hAnsi="宋体"/>
          <w:b/>
          <w:color w:val="auto"/>
          <w:highlight w:val="none"/>
        </w:rPr>
        <w:t>2. 适用性</w:t>
      </w:r>
    </w:p>
    <w:p>
      <w:pPr>
        <w:spacing w:line="440" w:lineRule="exact"/>
        <w:ind w:firstLine="480" w:firstLineChars="200"/>
        <w:rPr>
          <w:rFonts w:hAnsi="宋体"/>
          <w:b/>
          <w:color w:val="auto"/>
          <w:highlight w:val="none"/>
        </w:rPr>
      </w:pPr>
      <w:r>
        <w:rPr>
          <w:rFonts w:hint="eastAsia" w:hAnsi="宋体"/>
          <w:color w:val="auto"/>
          <w:highlight w:val="none"/>
        </w:rPr>
        <w:t>本合同条款适用于没有被本合同其他部分的条款所取代的范围。</w:t>
      </w:r>
    </w:p>
    <w:p>
      <w:pPr>
        <w:spacing w:line="440" w:lineRule="exact"/>
        <w:ind w:firstLine="482" w:firstLineChars="200"/>
        <w:rPr>
          <w:rFonts w:hAnsi="宋体"/>
          <w:b/>
          <w:color w:val="auto"/>
          <w:highlight w:val="none"/>
        </w:rPr>
      </w:pPr>
      <w:r>
        <w:rPr>
          <w:rFonts w:hint="eastAsia" w:hAnsi="宋体"/>
          <w:b/>
          <w:color w:val="auto"/>
          <w:highlight w:val="none"/>
        </w:rPr>
        <w:t>3.标准</w:t>
      </w:r>
    </w:p>
    <w:p>
      <w:pPr>
        <w:spacing w:line="440" w:lineRule="exact"/>
        <w:ind w:firstLine="480" w:firstLineChars="200"/>
        <w:rPr>
          <w:rFonts w:hAnsi="宋体"/>
          <w:b/>
          <w:color w:val="auto"/>
          <w:highlight w:val="none"/>
        </w:rPr>
      </w:pPr>
      <w:r>
        <w:rPr>
          <w:rFonts w:hint="eastAsia" w:hAnsi="宋体"/>
          <w:color w:val="auto"/>
          <w:highlight w:val="none"/>
        </w:rPr>
        <w:t>本合同下交付的图书应符合国家有关机构发布的最新版本的标准。</w:t>
      </w:r>
    </w:p>
    <w:p>
      <w:pPr>
        <w:spacing w:line="440" w:lineRule="exact"/>
        <w:ind w:firstLine="482" w:firstLineChars="200"/>
        <w:rPr>
          <w:rFonts w:hAnsi="宋体"/>
          <w:b/>
          <w:color w:val="auto"/>
          <w:highlight w:val="none"/>
        </w:rPr>
      </w:pPr>
      <w:r>
        <w:rPr>
          <w:rFonts w:hint="eastAsia" w:hAnsi="宋体"/>
          <w:b/>
          <w:color w:val="auto"/>
          <w:highlight w:val="none"/>
        </w:rPr>
        <w:t>4.知识产权</w:t>
      </w:r>
    </w:p>
    <w:p>
      <w:pPr>
        <w:spacing w:line="440" w:lineRule="exact"/>
        <w:ind w:firstLine="480" w:firstLineChars="200"/>
        <w:rPr>
          <w:rFonts w:hAnsi="宋体"/>
          <w:b/>
          <w:color w:val="auto"/>
          <w:highlight w:val="none"/>
        </w:rPr>
      </w:pPr>
      <w:r>
        <w:rPr>
          <w:rFonts w:hint="eastAsia" w:hAnsi="宋体"/>
          <w:color w:val="auto"/>
          <w:highlight w:val="none"/>
        </w:rPr>
        <w:t>卖方应保证，买方在中华人民共和国使用该图书或图书的任何一部分时，免受第三方提出的侵犯其版权的起诉。如果任何第三方提出侵权起诉，卖方须与第三方交涉并承担可能发生的一切法律责任和费用。</w:t>
      </w:r>
    </w:p>
    <w:p>
      <w:pPr>
        <w:spacing w:line="440" w:lineRule="exact"/>
        <w:ind w:firstLine="482" w:firstLineChars="200"/>
        <w:rPr>
          <w:rFonts w:hAnsi="宋体"/>
          <w:b/>
          <w:color w:val="auto"/>
          <w:highlight w:val="none"/>
        </w:rPr>
      </w:pPr>
      <w:r>
        <w:rPr>
          <w:rFonts w:hint="eastAsia" w:hAnsi="宋体"/>
          <w:b/>
          <w:color w:val="auto"/>
          <w:highlight w:val="none"/>
        </w:rPr>
        <w:t>5.履约保证金</w:t>
      </w:r>
    </w:p>
    <w:p>
      <w:pPr>
        <w:spacing w:line="440" w:lineRule="exact"/>
        <w:ind w:firstLine="480" w:firstLineChars="200"/>
        <w:rPr>
          <w:rFonts w:hAnsi="宋体"/>
          <w:color w:val="auto"/>
          <w:highlight w:val="none"/>
        </w:rPr>
      </w:pPr>
      <w:r>
        <w:rPr>
          <w:rFonts w:hint="eastAsia" w:hAnsi="宋体"/>
          <w:color w:val="auto"/>
          <w:highlight w:val="none"/>
        </w:rPr>
        <w:t>详见投标人须知前附表</w:t>
      </w:r>
    </w:p>
    <w:p>
      <w:pPr>
        <w:spacing w:line="440" w:lineRule="exact"/>
        <w:ind w:firstLine="482" w:firstLineChars="200"/>
        <w:rPr>
          <w:rFonts w:hAnsi="宋体"/>
          <w:b/>
          <w:color w:val="auto"/>
          <w:highlight w:val="none"/>
        </w:rPr>
      </w:pPr>
      <w:r>
        <w:rPr>
          <w:rFonts w:hint="eastAsia" w:hAnsi="宋体"/>
          <w:b/>
          <w:color w:val="auto"/>
          <w:highlight w:val="none"/>
        </w:rPr>
        <w:t>6.运输及包装</w:t>
      </w:r>
    </w:p>
    <w:p>
      <w:pPr>
        <w:snapToGrid w:val="0"/>
        <w:spacing w:line="440" w:lineRule="exact"/>
        <w:ind w:firstLine="480" w:firstLineChars="200"/>
        <w:rPr>
          <w:rFonts w:hAnsi="宋体"/>
          <w:color w:val="auto"/>
          <w:highlight w:val="none"/>
        </w:rPr>
      </w:pPr>
      <w:r>
        <w:rPr>
          <w:rFonts w:hint="eastAsia" w:hAnsi="宋体"/>
          <w:color w:val="auto"/>
          <w:highlight w:val="none"/>
        </w:rPr>
        <w:t>卖方免费负责买方每批选（订）购的图书的运输及包装。</w:t>
      </w:r>
    </w:p>
    <w:p>
      <w:pPr>
        <w:snapToGrid w:val="0"/>
        <w:spacing w:line="440" w:lineRule="exact"/>
        <w:ind w:firstLine="482" w:firstLineChars="200"/>
        <w:rPr>
          <w:rFonts w:hAnsi="宋体"/>
          <w:b/>
          <w:color w:val="auto"/>
          <w:highlight w:val="none"/>
        </w:rPr>
      </w:pPr>
      <w:r>
        <w:rPr>
          <w:rFonts w:hint="eastAsia" w:hAnsi="宋体"/>
          <w:b/>
          <w:color w:val="auto"/>
          <w:highlight w:val="none"/>
        </w:rPr>
        <w:t>7. 运输和保险</w:t>
      </w:r>
    </w:p>
    <w:p>
      <w:pPr>
        <w:spacing w:line="440" w:lineRule="exact"/>
        <w:ind w:firstLine="480" w:firstLineChars="200"/>
        <w:rPr>
          <w:rFonts w:hAnsi="宋体"/>
          <w:color w:val="auto"/>
          <w:highlight w:val="none"/>
        </w:rPr>
      </w:pPr>
      <w:r>
        <w:rPr>
          <w:rFonts w:hint="eastAsia" w:hAnsi="宋体"/>
          <w:color w:val="auto"/>
          <w:highlight w:val="none"/>
        </w:rPr>
        <w:t>卖方负责将买方每批选（订）购的图书送达买方指定的收货地点。并承担在此之前的所有责任及所有费用。</w:t>
      </w:r>
    </w:p>
    <w:p>
      <w:pPr>
        <w:spacing w:line="440" w:lineRule="exact"/>
        <w:ind w:firstLine="482" w:firstLineChars="200"/>
        <w:rPr>
          <w:rFonts w:hAnsi="宋体"/>
          <w:b/>
          <w:color w:val="auto"/>
          <w:highlight w:val="none"/>
        </w:rPr>
      </w:pPr>
      <w:r>
        <w:rPr>
          <w:rFonts w:hint="eastAsia" w:hAnsi="宋体"/>
          <w:b/>
          <w:color w:val="auto"/>
          <w:highlight w:val="none"/>
        </w:rPr>
        <w:t>8．验收</w:t>
      </w:r>
    </w:p>
    <w:p>
      <w:pPr>
        <w:spacing w:line="440" w:lineRule="exact"/>
        <w:ind w:firstLine="480" w:firstLineChars="200"/>
        <w:rPr>
          <w:rFonts w:hAnsi="宋体"/>
          <w:color w:val="auto"/>
          <w:highlight w:val="none"/>
        </w:rPr>
      </w:pPr>
      <w:r>
        <w:rPr>
          <w:rFonts w:hint="eastAsia" w:hAnsi="宋体"/>
          <w:color w:val="auto"/>
          <w:highlight w:val="none"/>
        </w:rPr>
        <w:t>8.1每批图书到位后，买方对图书品目、数量、质量进行验收。对于不合格的图书，卖方必须及时补齐纠正，否则按短缺图书处理。</w:t>
      </w:r>
    </w:p>
    <w:p>
      <w:pPr>
        <w:spacing w:line="440" w:lineRule="exact"/>
        <w:ind w:firstLine="480" w:firstLineChars="200"/>
        <w:rPr>
          <w:rFonts w:hAnsi="宋体"/>
          <w:color w:val="auto"/>
          <w:highlight w:val="none"/>
        </w:rPr>
      </w:pPr>
      <w:r>
        <w:rPr>
          <w:rFonts w:hint="eastAsia" w:hAnsi="宋体"/>
          <w:color w:val="auto"/>
          <w:highlight w:val="none"/>
        </w:rPr>
        <w:t>8.2 验收依据：</w:t>
      </w:r>
    </w:p>
    <w:p>
      <w:pPr>
        <w:spacing w:line="440" w:lineRule="exact"/>
        <w:ind w:firstLine="480" w:firstLineChars="200"/>
        <w:rPr>
          <w:rFonts w:hAnsi="宋体"/>
          <w:color w:val="auto"/>
          <w:highlight w:val="none"/>
        </w:rPr>
      </w:pPr>
      <w:r>
        <w:rPr>
          <w:rFonts w:hint="eastAsia" w:hAnsi="宋体"/>
          <w:color w:val="auto"/>
          <w:highlight w:val="none"/>
        </w:rPr>
        <w:t xml:space="preserve">  (1) 招标文件；</w:t>
      </w:r>
    </w:p>
    <w:p>
      <w:pPr>
        <w:spacing w:line="440" w:lineRule="exact"/>
        <w:ind w:firstLine="720" w:firstLineChars="300"/>
        <w:rPr>
          <w:rFonts w:hAnsi="宋体"/>
          <w:color w:val="auto"/>
          <w:highlight w:val="none"/>
        </w:rPr>
      </w:pPr>
      <w:r>
        <w:rPr>
          <w:rFonts w:hint="eastAsia" w:hAnsi="宋体"/>
          <w:color w:val="auto"/>
          <w:highlight w:val="none"/>
        </w:rPr>
        <w:t xml:space="preserve">(2) 合同文本； </w:t>
      </w:r>
    </w:p>
    <w:p>
      <w:pPr>
        <w:spacing w:line="440" w:lineRule="exact"/>
        <w:ind w:firstLine="720" w:firstLineChars="300"/>
        <w:rPr>
          <w:rFonts w:hAnsi="宋体"/>
          <w:color w:val="auto"/>
          <w:highlight w:val="none"/>
        </w:rPr>
      </w:pPr>
      <w:r>
        <w:rPr>
          <w:rFonts w:hint="eastAsia" w:hAnsi="宋体"/>
          <w:color w:val="auto"/>
          <w:highlight w:val="none"/>
        </w:rPr>
        <w:t>(3) 投标文件；</w:t>
      </w:r>
    </w:p>
    <w:p>
      <w:pPr>
        <w:spacing w:line="440" w:lineRule="exact"/>
        <w:ind w:firstLine="720" w:firstLineChars="300"/>
        <w:rPr>
          <w:rFonts w:hAnsi="宋体"/>
          <w:color w:val="auto"/>
          <w:highlight w:val="none"/>
        </w:rPr>
      </w:pPr>
      <w:r>
        <w:rPr>
          <w:rFonts w:hint="eastAsia" w:hAnsi="宋体"/>
          <w:color w:val="auto"/>
          <w:highlight w:val="none"/>
        </w:rPr>
        <w:t>(4) 图书订单；</w:t>
      </w:r>
    </w:p>
    <w:p>
      <w:pPr>
        <w:adjustRightInd w:val="0"/>
        <w:snapToGrid w:val="0"/>
        <w:spacing w:line="440" w:lineRule="exact"/>
        <w:ind w:firstLine="708" w:firstLineChars="295"/>
        <w:rPr>
          <w:rFonts w:hAnsi="宋体"/>
          <w:color w:val="auto"/>
          <w:highlight w:val="none"/>
        </w:rPr>
      </w:pPr>
      <w:r>
        <w:rPr>
          <w:rFonts w:hint="eastAsia" w:hAnsi="宋体"/>
          <w:color w:val="auto"/>
          <w:highlight w:val="none"/>
        </w:rPr>
        <w:t>(5) 国内相应的标准、规范。</w:t>
      </w:r>
    </w:p>
    <w:p>
      <w:pPr>
        <w:spacing w:line="440" w:lineRule="exact"/>
        <w:ind w:firstLine="480" w:firstLineChars="200"/>
        <w:rPr>
          <w:rFonts w:hAnsi="宋体"/>
          <w:color w:val="auto"/>
          <w:highlight w:val="none"/>
        </w:rPr>
      </w:pPr>
      <w:r>
        <w:rPr>
          <w:rFonts w:hint="eastAsia" w:hAnsi="宋体"/>
          <w:color w:val="auto"/>
          <w:highlight w:val="none"/>
        </w:rPr>
        <w:t>8.3 合同条款第8条的规定不能免除卖方在本合同项下的保证义务或其他义务。</w:t>
      </w:r>
    </w:p>
    <w:p>
      <w:pPr>
        <w:spacing w:line="440" w:lineRule="exact"/>
        <w:ind w:firstLine="482" w:firstLineChars="200"/>
        <w:rPr>
          <w:rFonts w:hAnsi="宋体"/>
          <w:b/>
          <w:color w:val="auto"/>
          <w:highlight w:val="none"/>
        </w:rPr>
      </w:pPr>
      <w:r>
        <w:rPr>
          <w:rFonts w:hint="eastAsia" w:hAnsi="宋体"/>
          <w:b/>
          <w:color w:val="auto"/>
          <w:highlight w:val="none"/>
        </w:rPr>
        <w:t>9.付款方式</w:t>
      </w:r>
    </w:p>
    <w:p>
      <w:pPr>
        <w:spacing w:line="440" w:lineRule="exact"/>
        <w:ind w:firstLine="480" w:firstLineChars="200"/>
        <w:rPr>
          <w:rFonts w:hAnsi="宋体"/>
          <w:color w:val="auto"/>
          <w:highlight w:val="none"/>
        </w:rPr>
      </w:pPr>
      <w:r>
        <w:rPr>
          <w:rFonts w:hint="eastAsia" w:hAnsi="宋体"/>
          <w:color w:val="auto"/>
          <w:highlight w:val="none"/>
        </w:rPr>
        <w:t>详见投标人须知前附表</w:t>
      </w:r>
    </w:p>
    <w:p>
      <w:pPr>
        <w:spacing w:line="440" w:lineRule="exact"/>
        <w:ind w:firstLine="482" w:firstLineChars="200"/>
        <w:rPr>
          <w:rFonts w:hAnsi="宋体"/>
          <w:b/>
          <w:color w:val="auto"/>
          <w:highlight w:val="none"/>
        </w:rPr>
      </w:pPr>
      <w:r>
        <w:rPr>
          <w:rFonts w:hint="eastAsia" w:hAnsi="宋体"/>
          <w:b/>
          <w:color w:val="auto"/>
          <w:highlight w:val="none"/>
        </w:rPr>
        <w:t>10.质量保证</w:t>
      </w:r>
    </w:p>
    <w:p>
      <w:pPr>
        <w:spacing w:line="440" w:lineRule="exact"/>
        <w:ind w:firstLine="480" w:firstLineChars="200"/>
        <w:rPr>
          <w:rFonts w:hAnsi="宋体"/>
          <w:color w:val="auto"/>
          <w:highlight w:val="none"/>
        </w:rPr>
      </w:pPr>
      <w:r>
        <w:rPr>
          <w:rFonts w:hint="eastAsia" w:hAnsi="宋体"/>
          <w:color w:val="auto"/>
          <w:highlight w:val="none"/>
        </w:rPr>
        <w:t>10.1 卖方保证买方每批选（订）购的图书是全新的、未使用过的。</w:t>
      </w:r>
    </w:p>
    <w:p>
      <w:pPr>
        <w:spacing w:line="440" w:lineRule="exact"/>
        <w:ind w:firstLine="480" w:firstLineChars="200"/>
        <w:rPr>
          <w:rFonts w:hAnsi="宋体"/>
          <w:color w:val="auto"/>
          <w:highlight w:val="none"/>
        </w:rPr>
      </w:pPr>
      <w:r>
        <w:rPr>
          <w:rFonts w:hint="eastAsia" w:hAnsi="宋体"/>
          <w:color w:val="auto"/>
          <w:highlight w:val="none"/>
        </w:rPr>
        <w:t>10.2若所供图书出现数字不对、书目不符、印刷错误、图书污损等情况时，卖方要及时补齐、纠正，否则按合同条款指明的办法追究卖方的违约责任。</w:t>
      </w:r>
    </w:p>
    <w:p>
      <w:pPr>
        <w:spacing w:line="440" w:lineRule="exact"/>
        <w:ind w:firstLine="480" w:firstLineChars="200"/>
        <w:rPr>
          <w:rFonts w:hAnsi="宋体"/>
          <w:color w:val="auto"/>
          <w:highlight w:val="none"/>
        </w:rPr>
      </w:pPr>
      <w:r>
        <w:rPr>
          <w:rFonts w:hint="eastAsia" w:hAnsi="宋体"/>
          <w:color w:val="auto"/>
          <w:highlight w:val="none"/>
        </w:rPr>
        <w:t>10.3 在验收期内，买方应及时将所发现的图书缺陷以书面形式通知卖方。</w:t>
      </w:r>
    </w:p>
    <w:p>
      <w:pPr>
        <w:spacing w:line="440" w:lineRule="exact"/>
        <w:ind w:firstLine="480" w:firstLineChars="200"/>
        <w:rPr>
          <w:rFonts w:hAnsi="宋体"/>
          <w:color w:val="auto"/>
          <w:highlight w:val="none"/>
        </w:rPr>
      </w:pPr>
      <w:r>
        <w:rPr>
          <w:rFonts w:hint="eastAsia" w:hAnsi="宋体"/>
          <w:color w:val="auto"/>
          <w:highlight w:val="none"/>
        </w:rPr>
        <w:t>10.4卖方收到通知后应按照投标文件承诺的售后服务方案，免费更换有缺陷的图书。</w:t>
      </w:r>
    </w:p>
    <w:p>
      <w:pPr>
        <w:spacing w:line="440" w:lineRule="exact"/>
        <w:ind w:firstLine="480" w:firstLineChars="200"/>
        <w:rPr>
          <w:rFonts w:hAnsi="宋体"/>
          <w:b/>
          <w:color w:val="auto"/>
          <w:highlight w:val="none"/>
        </w:rPr>
      </w:pPr>
      <w:r>
        <w:rPr>
          <w:rFonts w:hint="eastAsia" w:hAnsi="宋体"/>
          <w:color w:val="auto"/>
          <w:highlight w:val="none"/>
        </w:rPr>
        <w:t>10.5 如果卖方收到通知后没有以承诺的售后服务方案弥补缺陷，买方可采取必要的补救措施，但其风险和费用将由卖方承担。买方根据合同规定对卖方行使的其他权力不受影响。</w:t>
      </w:r>
    </w:p>
    <w:p>
      <w:pPr>
        <w:spacing w:line="440" w:lineRule="exact"/>
        <w:ind w:firstLine="482" w:firstLineChars="200"/>
        <w:rPr>
          <w:rFonts w:hAnsi="宋体"/>
          <w:b/>
          <w:color w:val="auto"/>
          <w:highlight w:val="none"/>
        </w:rPr>
      </w:pPr>
      <w:r>
        <w:rPr>
          <w:rFonts w:hint="eastAsia" w:hAnsi="宋体"/>
          <w:b/>
          <w:color w:val="auto"/>
          <w:highlight w:val="none"/>
        </w:rPr>
        <w:t>11.索赔</w:t>
      </w:r>
    </w:p>
    <w:p>
      <w:pPr>
        <w:spacing w:line="440" w:lineRule="exact"/>
        <w:ind w:firstLine="480" w:firstLineChars="200"/>
        <w:rPr>
          <w:rFonts w:hAnsi="宋体"/>
          <w:color w:val="auto"/>
          <w:highlight w:val="none"/>
        </w:rPr>
      </w:pPr>
      <w:r>
        <w:rPr>
          <w:rFonts w:hint="eastAsia" w:hAnsi="宋体"/>
          <w:color w:val="auto"/>
          <w:highlight w:val="none"/>
        </w:rPr>
        <w:t>11.1 如果卖方对货物质量偏差和合同执行偏差负有责任，而买方在合同条款第10条或合同的其他条款规定的检验、验收期内提出了索赔，卖方应按照买方同意的下列一种或几种方式结合起来解决索赔事宜：</w:t>
      </w:r>
    </w:p>
    <w:p>
      <w:pPr>
        <w:spacing w:line="440" w:lineRule="exact"/>
        <w:ind w:firstLine="480" w:firstLineChars="200"/>
        <w:rPr>
          <w:rFonts w:hAnsi="宋体"/>
          <w:color w:val="auto"/>
          <w:highlight w:val="none"/>
        </w:rPr>
      </w:pPr>
      <w:r>
        <w:rPr>
          <w:rFonts w:hint="eastAsia" w:hAnsi="宋体"/>
          <w:color w:val="auto"/>
          <w:highlight w:val="none"/>
        </w:rPr>
        <w:t>（1）卖方同意退货并将货款退还给买方，并承担由此发生的一切损失和费用，包括利息、银行手续费、运费、保险费、检验费、仓储费、装卸费以及为看管和保护退回货物所需的其它必要费用。</w:t>
      </w:r>
    </w:p>
    <w:p>
      <w:pPr>
        <w:spacing w:line="440" w:lineRule="exact"/>
        <w:ind w:firstLine="480" w:firstLineChars="200"/>
        <w:rPr>
          <w:rFonts w:hAnsi="宋体"/>
          <w:color w:val="auto"/>
          <w:highlight w:val="none"/>
        </w:rPr>
      </w:pPr>
      <w:r>
        <w:rPr>
          <w:rFonts w:hint="eastAsia" w:hAnsi="宋体"/>
          <w:color w:val="auto"/>
          <w:highlight w:val="none"/>
        </w:rPr>
        <w:t>（2）用相同的新图书来更换有缺陷的图书。对此，卖方应承担一切费用和风险，并负担买方蒙受的全部直接损失。</w:t>
      </w:r>
    </w:p>
    <w:p>
      <w:pPr>
        <w:spacing w:line="440" w:lineRule="exact"/>
        <w:ind w:firstLine="480" w:firstLineChars="200"/>
        <w:rPr>
          <w:rFonts w:hAnsi="宋体"/>
          <w:b/>
          <w:color w:val="auto"/>
          <w:highlight w:val="none"/>
        </w:rPr>
      </w:pPr>
      <w:r>
        <w:rPr>
          <w:rFonts w:hint="eastAsia" w:hAnsi="宋体"/>
          <w:color w:val="auto"/>
          <w:highlight w:val="none"/>
        </w:rPr>
        <w:t>11.2 如果在买方发出索赔通知后三十（30）天内，卖方未作答复，上述索赔应视为已被卖方接受。如卖方未能在买方发出索赔通知后三十（30）天内或买方同意的延长期限内，按照买方同意的上述规定的任何一种方法解决索赔事宜，买方将从履约保证金中扣回索赔金额。</w:t>
      </w:r>
    </w:p>
    <w:p>
      <w:pPr>
        <w:spacing w:line="440" w:lineRule="exact"/>
        <w:ind w:firstLine="482" w:firstLineChars="200"/>
        <w:rPr>
          <w:rFonts w:hAnsi="宋体"/>
          <w:color w:val="auto"/>
          <w:highlight w:val="none"/>
        </w:rPr>
      </w:pPr>
      <w:r>
        <w:rPr>
          <w:rFonts w:hint="eastAsia" w:hAnsi="宋体"/>
          <w:b/>
          <w:color w:val="auto"/>
          <w:highlight w:val="none"/>
        </w:rPr>
        <w:t>12.违约责任</w:t>
      </w:r>
    </w:p>
    <w:p>
      <w:pPr>
        <w:snapToGrid w:val="0"/>
        <w:spacing w:line="440" w:lineRule="exact"/>
        <w:ind w:firstLine="480" w:firstLineChars="200"/>
        <w:rPr>
          <w:rFonts w:hAnsi="宋体"/>
          <w:color w:val="auto"/>
          <w:highlight w:val="none"/>
        </w:rPr>
      </w:pPr>
      <w:r>
        <w:rPr>
          <w:rFonts w:hint="eastAsia" w:hAnsi="宋体"/>
          <w:color w:val="auto"/>
          <w:highlight w:val="none"/>
        </w:rPr>
        <w:t>12.1按《中华人民共和国合同法》中的相应条款执行。</w:t>
      </w:r>
    </w:p>
    <w:p>
      <w:pPr>
        <w:spacing w:line="440" w:lineRule="exact"/>
        <w:ind w:firstLine="480" w:firstLineChars="200"/>
        <w:rPr>
          <w:rFonts w:hAnsi="宋体"/>
          <w:b/>
          <w:color w:val="auto"/>
          <w:highlight w:val="none"/>
        </w:rPr>
      </w:pPr>
      <w:r>
        <w:rPr>
          <w:rFonts w:hint="eastAsia" w:hAnsi="宋体"/>
          <w:color w:val="auto"/>
          <w:highlight w:val="none"/>
        </w:rPr>
        <w:t>12.2卖方未按买方要求提供图书，或图书品目、质量不能满足要求，买方有权拒收，卖方应无条件更换，并承担更换图书期间所发生的一切费用以及给买方所造成的损失。否则，买方会同</w:t>
      </w:r>
      <w:r>
        <w:rPr>
          <w:rFonts w:hint="eastAsia" w:hAnsi="宋体"/>
          <w:bCs/>
          <w:color w:val="auto"/>
          <w:highlight w:val="none"/>
        </w:rPr>
        <w:t>鉴证方</w:t>
      </w:r>
      <w:r>
        <w:rPr>
          <w:rFonts w:hint="eastAsia" w:hAnsi="宋体"/>
          <w:color w:val="auto"/>
          <w:highlight w:val="none"/>
        </w:rPr>
        <w:t>有权终止合同，并对卖方的违约行为进行追究。同时报请陕西省财政厅政府采购管理处按有关规定对其进行相应处罚。</w:t>
      </w:r>
    </w:p>
    <w:p>
      <w:pPr>
        <w:spacing w:line="440" w:lineRule="exact"/>
        <w:ind w:firstLine="472" w:firstLineChars="196"/>
        <w:rPr>
          <w:rFonts w:hAnsi="宋体"/>
          <w:b/>
          <w:color w:val="auto"/>
          <w:highlight w:val="none"/>
        </w:rPr>
      </w:pPr>
      <w:r>
        <w:rPr>
          <w:rFonts w:hint="eastAsia" w:hAnsi="宋体"/>
          <w:b/>
          <w:color w:val="auto"/>
          <w:highlight w:val="none"/>
        </w:rPr>
        <w:t>13.卖方履约误期和赔偿</w:t>
      </w:r>
    </w:p>
    <w:p>
      <w:pPr>
        <w:adjustRightInd w:val="0"/>
        <w:snapToGrid w:val="0"/>
        <w:spacing w:line="440" w:lineRule="exact"/>
        <w:ind w:firstLine="480" w:firstLineChars="200"/>
        <w:rPr>
          <w:rFonts w:hAnsi="宋体"/>
          <w:color w:val="auto"/>
          <w:highlight w:val="none"/>
        </w:rPr>
      </w:pPr>
      <w:r>
        <w:rPr>
          <w:rFonts w:hint="eastAsia" w:hAnsi="宋体"/>
          <w:color w:val="auto"/>
          <w:highlight w:val="none"/>
        </w:rPr>
        <w:t>13</w:t>
      </w:r>
      <w:r>
        <w:rPr>
          <w:rFonts w:hAnsi="宋体"/>
          <w:color w:val="auto"/>
          <w:highlight w:val="none"/>
        </w:rPr>
        <w:t>.</w:t>
      </w:r>
      <w:r>
        <w:rPr>
          <w:rFonts w:hint="eastAsia" w:hAnsi="宋体"/>
          <w:color w:val="auto"/>
          <w:highlight w:val="none"/>
        </w:rPr>
        <w:t>1</w:t>
      </w:r>
      <w:r>
        <w:rPr>
          <w:rFonts w:hAnsi="宋体"/>
          <w:color w:val="auto"/>
          <w:highlight w:val="none"/>
        </w:rPr>
        <w:t xml:space="preserve"> </w:t>
      </w:r>
      <w:r>
        <w:rPr>
          <w:rFonts w:hint="eastAsia" w:hAnsi="宋体"/>
          <w:color w:val="auto"/>
          <w:highlight w:val="none"/>
        </w:rPr>
        <w:t>在履行合同过程中，如卖方遇到妨碍按时供货和提供服务的情况时，应及时以书面形式将拖延的事实、可能拖延的时间和原因通知买方。买方在收到卖方通知后，应尽快对情况进行评价，并确定是否同意延长供货时间以及是否收取误期赔偿费。延期应通过修改合同的方式由双方认可。</w:t>
      </w:r>
    </w:p>
    <w:p>
      <w:pPr>
        <w:spacing w:line="440" w:lineRule="exact"/>
        <w:ind w:firstLine="480" w:firstLineChars="200"/>
        <w:rPr>
          <w:rFonts w:hAnsi="宋体"/>
          <w:color w:val="auto"/>
          <w:highlight w:val="none"/>
        </w:rPr>
      </w:pPr>
      <w:r>
        <w:rPr>
          <w:rFonts w:hint="eastAsia" w:hAnsi="宋体"/>
          <w:color w:val="auto"/>
          <w:highlight w:val="none"/>
        </w:rPr>
        <w:t>13</w:t>
      </w:r>
      <w:r>
        <w:rPr>
          <w:rFonts w:hAnsi="宋体"/>
          <w:color w:val="auto"/>
          <w:highlight w:val="none"/>
        </w:rPr>
        <w:t>.</w:t>
      </w:r>
      <w:r>
        <w:rPr>
          <w:rFonts w:hint="eastAsia" w:hAnsi="宋体"/>
          <w:color w:val="auto"/>
          <w:highlight w:val="none"/>
        </w:rPr>
        <w:t>2 除非误期是买卖双方取得同意而不收取误期赔偿费之外，卖方误期供货，买方将收取误期赔偿费。</w:t>
      </w:r>
    </w:p>
    <w:p>
      <w:pPr>
        <w:spacing w:line="440" w:lineRule="exact"/>
        <w:ind w:firstLine="480" w:firstLineChars="200"/>
        <w:rPr>
          <w:rFonts w:hAnsi="宋体"/>
          <w:b/>
          <w:color w:val="auto"/>
          <w:highlight w:val="none"/>
        </w:rPr>
      </w:pPr>
      <w:r>
        <w:rPr>
          <w:rFonts w:hint="eastAsia" w:hAnsi="宋体"/>
          <w:color w:val="auto"/>
          <w:highlight w:val="none"/>
        </w:rPr>
        <w:t>13</w:t>
      </w:r>
      <w:r>
        <w:rPr>
          <w:rFonts w:hAnsi="宋体"/>
          <w:color w:val="auto"/>
          <w:highlight w:val="none"/>
        </w:rPr>
        <w:t>.</w:t>
      </w:r>
      <w:r>
        <w:rPr>
          <w:rFonts w:hint="eastAsia" w:hAnsi="宋体"/>
          <w:color w:val="auto"/>
          <w:highlight w:val="none"/>
        </w:rPr>
        <w:t>3 除不可抗力因素外，如果卖方没有按合同规定的时间供货和提供服务，买方可以从货款中扣除误期赔偿费。情节严重的买方有权因卖方违约终止合同，而卖方仍有义务支付上述误期赔偿费。</w:t>
      </w:r>
    </w:p>
    <w:p>
      <w:pPr>
        <w:spacing w:line="440" w:lineRule="exact"/>
        <w:ind w:firstLine="482" w:firstLineChars="200"/>
        <w:rPr>
          <w:rFonts w:hAnsi="宋体"/>
          <w:b/>
          <w:color w:val="auto"/>
          <w:highlight w:val="none"/>
        </w:rPr>
      </w:pPr>
      <w:r>
        <w:rPr>
          <w:rFonts w:hint="eastAsia" w:hAnsi="宋体"/>
          <w:b/>
          <w:color w:val="auto"/>
          <w:highlight w:val="none"/>
        </w:rPr>
        <w:t>14</w:t>
      </w:r>
      <w:r>
        <w:rPr>
          <w:rFonts w:hAnsi="宋体"/>
          <w:b/>
          <w:color w:val="auto"/>
          <w:highlight w:val="none"/>
        </w:rPr>
        <w:t>.</w:t>
      </w:r>
      <w:r>
        <w:rPr>
          <w:rFonts w:hint="eastAsia" w:hAnsi="宋体"/>
          <w:b/>
          <w:color w:val="auto"/>
          <w:highlight w:val="none"/>
        </w:rPr>
        <w:t>不可抗力</w:t>
      </w:r>
    </w:p>
    <w:p>
      <w:pPr>
        <w:spacing w:line="440" w:lineRule="exact"/>
        <w:ind w:firstLine="480" w:firstLineChars="200"/>
        <w:rPr>
          <w:rFonts w:hAnsi="宋体"/>
          <w:b/>
          <w:color w:val="auto"/>
          <w:highlight w:val="none"/>
        </w:rPr>
      </w:pPr>
      <w:r>
        <w:rPr>
          <w:rFonts w:hint="eastAsia" w:hAnsi="宋体"/>
          <w:color w:val="auto"/>
          <w:highlight w:val="none"/>
        </w:rPr>
        <w:t>签约双方任一方由于受不可抗力事件的影响而不能执行合同时，履行合同的期限应予以延长，其延长的期限相当于事件所受影响的时间。不可抗力事件系指买卖双方在缔结合同时所不能预见的、并且它的发生及其后果是无法避免并不能克服的客观事件，诸如严重火灾，水灾，洪水，台风，地震等。受阻一方应在不可抗力事件发生后尽快用电报，传真通知对方，并于事件发生后</w:t>
      </w:r>
      <w:r>
        <w:rPr>
          <w:rFonts w:hAnsi="宋体"/>
          <w:color w:val="auto"/>
          <w:highlight w:val="none"/>
        </w:rPr>
        <w:t>14</w:t>
      </w:r>
      <w:r>
        <w:rPr>
          <w:rFonts w:hint="eastAsia" w:hAnsi="宋体"/>
          <w:color w:val="auto"/>
          <w:highlight w:val="none"/>
        </w:rPr>
        <w:t>天内将有关当局出具的证明文件用特快专递或挂号信寄给对方审阅确认。一旦不可抗力事件的影响持续</w:t>
      </w:r>
      <w:r>
        <w:rPr>
          <w:rFonts w:hAnsi="宋体"/>
          <w:color w:val="auto"/>
          <w:highlight w:val="none"/>
        </w:rPr>
        <w:t>60</w:t>
      </w:r>
      <w:r>
        <w:rPr>
          <w:rFonts w:hint="eastAsia" w:hAnsi="宋体"/>
          <w:color w:val="auto"/>
          <w:highlight w:val="none"/>
        </w:rPr>
        <w:t>天以上，双方应通过友好协商在合理的时间内达成进一步履行合同的协议。</w:t>
      </w:r>
    </w:p>
    <w:p>
      <w:pPr>
        <w:autoSpaceDN w:val="0"/>
        <w:spacing w:line="440" w:lineRule="exact"/>
        <w:ind w:firstLine="482" w:firstLineChars="200"/>
        <w:rPr>
          <w:rFonts w:hAnsi="宋体"/>
          <w:b/>
          <w:color w:val="auto"/>
          <w:highlight w:val="none"/>
        </w:rPr>
      </w:pPr>
      <w:r>
        <w:rPr>
          <w:rFonts w:hint="eastAsia" w:hAnsi="宋体"/>
          <w:b/>
          <w:color w:val="auto"/>
          <w:highlight w:val="none"/>
        </w:rPr>
        <w:t>15.争议的解决</w:t>
      </w:r>
    </w:p>
    <w:p>
      <w:pPr>
        <w:autoSpaceDN w:val="0"/>
        <w:spacing w:line="440" w:lineRule="exact"/>
        <w:ind w:firstLine="480" w:firstLineChars="200"/>
        <w:rPr>
          <w:rFonts w:hAnsi="宋体"/>
          <w:color w:val="auto"/>
          <w:highlight w:val="none"/>
        </w:rPr>
      </w:pPr>
      <w:r>
        <w:rPr>
          <w:rFonts w:hint="eastAsia" w:hAnsi="宋体"/>
          <w:color w:val="auto"/>
          <w:highlight w:val="none"/>
        </w:rPr>
        <w:t>15.1 因执行本合同所发生的或与本合同有关的一切争议,双方应通过友好协商解决。如果协商开始后六十（60）天还不能解决，任何一方均可按中华人民共和国有关法律的规定提交仲裁。</w:t>
      </w:r>
    </w:p>
    <w:p>
      <w:pPr>
        <w:autoSpaceDN w:val="0"/>
        <w:spacing w:line="440" w:lineRule="exact"/>
        <w:ind w:firstLine="480" w:firstLineChars="200"/>
        <w:rPr>
          <w:rFonts w:hAnsi="宋体"/>
          <w:color w:val="auto"/>
          <w:highlight w:val="none"/>
        </w:rPr>
      </w:pPr>
      <w:r>
        <w:rPr>
          <w:rFonts w:hint="eastAsia" w:hAnsi="宋体"/>
          <w:color w:val="auto"/>
          <w:highlight w:val="none"/>
        </w:rPr>
        <w:t>15.2 仲裁裁决应为最终裁决，对双方均具有约束力。</w:t>
      </w:r>
    </w:p>
    <w:p>
      <w:pPr>
        <w:autoSpaceDN w:val="0"/>
        <w:spacing w:line="440" w:lineRule="exact"/>
        <w:ind w:firstLine="480" w:firstLineChars="200"/>
        <w:rPr>
          <w:rFonts w:hAnsi="宋体"/>
          <w:color w:val="auto"/>
          <w:highlight w:val="none"/>
        </w:rPr>
      </w:pPr>
      <w:r>
        <w:rPr>
          <w:rFonts w:hint="eastAsia" w:hAnsi="宋体"/>
          <w:color w:val="auto"/>
          <w:highlight w:val="none"/>
        </w:rPr>
        <w:t>15.3 仲裁费除仲裁机关另有裁决外均应由败诉方负担。</w:t>
      </w:r>
    </w:p>
    <w:p>
      <w:pPr>
        <w:autoSpaceDN w:val="0"/>
        <w:spacing w:line="440" w:lineRule="exact"/>
        <w:ind w:firstLine="480" w:firstLineChars="200"/>
        <w:rPr>
          <w:rFonts w:hAnsi="宋体"/>
          <w:b/>
          <w:color w:val="auto"/>
          <w:highlight w:val="none"/>
        </w:rPr>
      </w:pPr>
      <w:r>
        <w:rPr>
          <w:rFonts w:hint="eastAsia" w:hAnsi="宋体"/>
          <w:color w:val="auto"/>
          <w:highlight w:val="none"/>
        </w:rPr>
        <w:t>15.4 在仲裁期间，除正在进行仲裁的部分外，本合同其它部分应继续执行。</w:t>
      </w:r>
    </w:p>
    <w:p>
      <w:pPr>
        <w:spacing w:line="440" w:lineRule="exact"/>
        <w:ind w:firstLine="482" w:firstLineChars="200"/>
        <w:rPr>
          <w:rFonts w:hAnsi="宋体"/>
          <w:b/>
          <w:color w:val="auto"/>
          <w:highlight w:val="none"/>
        </w:rPr>
      </w:pPr>
      <w:r>
        <w:rPr>
          <w:rFonts w:hint="eastAsia" w:hAnsi="宋体"/>
          <w:b/>
          <w:color w:val="auto"/>
          <w:highlight w:val="none"/>
        </w:rPr>
        <w:t>16</w:t>
      </w:r>
      <w:r>
        <w:rPr>
          <w:rFonts w:hAnsi="宋体"/>
          <w:b/>
          <w:color w:val="auto"/>
          <w:highlight w:val="none"/>
        </w:rPr>
        <w:t>.</w:t>
      </w:r>
      <w:r>
        <w:rPr>
          <w:rFonts w:hint="eastAsia" w:hAnsi="宋体"/>
          <w:b/>
          <w:color w:val="auto"/>
          <w:highlight w:val="none"/>
        </w:rPr>
        <w:t>违约终止合同</w:t>
      </w:r>
    </w:p>
    <w:p>
      <w:pPr>
        <w:autoSpaceDN w:val="0"/>
        <w:spacing w:line="440" w:lineRule="exact"/>
        <w:ind w:firstLine="480" w:firstLineChars="200"/>
        <w:rPr>
          <w:rFonts w:hAnsi="宋体"/>
          <w:color w:val="auto"/>
          <w:highlight w:val="none"/>
        </w:rPr>
      </w:pPr>
      <w:r>
        <w:rPr>
          <w:rFonts w:hint="eastAsia" w:hAnsi="宋体"/>
          <w:color w:val="auto"/>
          <w:highlight w:val="none"/>
        </w:rPr>
        <w:t>16</w:t>
      </w:r>
      <w:r>
        <w:rPr>
          <w:rFonts w:hAnsi="宋体"/>
          <w:color w:val="auto"/>
          <w:highlight w:val="none"/>
        </w:rPr>
        <w:t>.1</w:t>
      </w:r>
      <w:r>
        <w:rPr>
          <w:rFonts w:hint="eastAsia" w:hAnsi="宋体"/>
          <w:color w:val="auto"/>
          <w:highlight w:val="none"/>
        </w:rPr>
        <w:t xml:space="preserve"> 在买方对卖方违约而采取的任何补救措施不受影响的情况下，买方可向卖方发出书面违约通知书，提出终止部分或全部合同：</w:t>
      </w:r>
    </w:p>
    <w:p>
      <w:pPr>
        <w:autoSpaceDN w:val="0"/>
        <w:spacing w:line="440" w:lineRule="exact"/>
        <w:ind w:firstLine="480" w:firstLineChars="200"/>
        <w:rPr>
          <w:rFonts w:hAnsi="宋体"/>
          <w:color w:val="auto"/>
          <w:highlight w:val="none"/>
        </w:rPr>
      </w:pPr>
      <w:r>
        <w:rPr>
          <w:rFonts w:hint="eastAsia" w:hAnsi="宋体"/>
          <w:color w:val="auto"/>
          <w:highlight w:val="none"/>
        </w:rPr>
        <w:t>（</w:t>
      </w:r>
      <w:r>
        <w:rPr>
          <w:rFonts w:hAnsi="宋体"/>
          <w:color w:val="auto"/>
          <w:highlight w:val="none"/>
        </w:rPr>
        <w:t>1</w:t>
      </w:r>
      <w:r>
        <w:rPr>
          <w:rFonts w:hint="eastAsia" w:hAnsi="宋体"/>
          <w:color w:val="auto"/>
          <w:highlight w:val="none"/>
        </w:rPr>
        <w:t>）如果卖方未能在合同规定的期限内或买方准许的任何延期内交付部分或全部图书。</w:t>
      </w:r>
    </w:p>
    <w:p>
      <w:pPr>
        <w:autoSpaceDN w:val="0"/>
        <w:spacing w:line="440" w:lineRule="exact"/>
        <w:ind w:firstLine="480" w:firstLineChars="200"/>
        <w:rPr>
          <w:rFonts w:hAnsi="宋体"/>
          <w:color w:val="auto"/>
          <w:highlight w:val="none"/>
        </w:rPr>
      </w:pPr>
      <w:r>
        <w:rPr>
          <w:rFonts w:hint="eastAsia" w:hAnsi="宋体"/>
          <w:color w:val="auto"/>
          <w:highlight w:val="none"/>
        </w:rPr>
        <w:t>（</w:t>
      </w:r>
      <w:r>
        <w:rPr>
          <w:rFonts w:hAnsi="宋体"/>
          <w:color w:val="auto"/>
          <w:highlight w:val="none"/>
        </w:rPr>
        <w:t>2</w:t>
      </w:r>
      <w:r>
        <w:rPr>
          <w:rFonts w:hint="eastAsia" w:hAnsi="宋体"/>
          <w:color w:val="auto"/>
          <w:highlight w:val="none"/>
        </w:rPr>
        <w:t>）卖方未能履行合同项下的任何其它义务。</w:t>
      </w:r>
    </w:p>
    <w:p>
      <w:pPr>
        <w:autoSpaceDN w:val="0"/>
        <w:spacing w:line="440" w:lineRule="exact"/>
        <w:ind w:firstLine="480" w:firstLineChars="200"/>
        <w:rPr>
          <w:rFonts w:hAnsi="宋体"/>
          <w:color w:val="auto"/>
          <w:highlight w:val="none"/>
        </w:rPr>
      </w:pPr>
      <w:r>
        <w:rPr>
          <w:rFonts w:hint="eastAsia" w:hAnsi="宋体"/>
          <w:color w:val="auto"/>
          <w:highlight w:val="none"/>
        </w:rPr>
        <w:t>（3）如果买方认为卖方在本合同的竞争和实施过程中有腐败和欺诈行为。为此目的，定义下述条件：</w:t>
      </w:r>
    </w:p>
    <w:p>
      <w:pPr>
        <w:autoSpaceDN w:val="0"/>
        <w:spacing w:line="440" w:lineRule="exact"/>
        <w:ind w:firstLine="480" w:firstLineChars="200"/>
        <w:rPr>
          <w:rFonts w:hAnsi="宋体"/>
          <w:color w:val="auto"/>
          <w:highlight w:val="none"/>
        </w:rPr>
      </w:pPr>
      <w:r>
        <w:rPr>
          <w:rFonts w:hint="eastAsia" w:hAnsi="宋体"/>
          <w:color w:val="auto"/>
          <w:highlight w:val="none"/>
        </w:rPr>
        <w:t>“腐败行为”是指提供、给予、接受或索取任何有价值的物品来影响买方在采购过程或合同实施过程中的行为。</w:t>
      </w:r>
    </w:p>
    <w:p>
      <w:pPr>
        <w:autoSpaceDN w:val="0"/>
        <w:spacing w:line="440" w:lineRule="exact"/>
        <w:ind w:firstLine="480" w:firstLineChars="200"/>
        <w:rPr>
          <w:rFonts w:hAnsi="宋体"/>
          <w:color w:val="auto"/>
          <w:highlight w:val="none"/>
        </w:rPr>
      </w:pPr>
      <w:r>
        <w:rPr>
          <w:rFonts w:hint="eastAsia" w:hAnsi="宋体"/>
          <w:color w:val="auto"/>
          <w:highlight w:val="none"/>
        </w:rPr>
        <w:t>“欺诈行为”是指为了影响采购过程或合同实施过程而谎报或隐瞒事实，损害买方利益的行为。</w:t>
      </w:r>
    </w:p>
    <w:p>
      <w:pPr>
        <w:autoSpaceDN w:val="0"/>
        <w:spacing w:line="440" w:lineRule="exact"/>
        <w:ind w:firstLine="480" w:firstLineChars="200"/>
        <w:rPr>
          <w:rFonts w:hAnsi="宋体"/>
          <w:b/>
          <w:color w:val="auto"/>
          <w:highlight w:val="none"/>
        </w:rPr>
      </w:pPr>
      <w:r>
        <w:rPr>
          <w:rFonts w:hint="eastAsia" w:hAnsi="宋体"/>
          <w:color w:val="auto"/>
          <w:highlight w:val="none"/>
        </w:rPr>
        <w:t>16</w:t>
      </w:r>
      <w:r>
        <w:rPr>
          <w:rFonts w:hAnsi="宋体"/>
          <w:color w:val="auto"/>
          <w:highlight w:val="none"/>
        </w:rPr>
        <w:t>.2</w:t>
      </w:r>
      <w:r>
        <w:rPr>
          <w:rFonts w:hint="eastAsia" w:hAnsi="宋体"/>
          <w:color w:val="auto"/>
          <w:highlight w:val="none"/>
        </w:rPr>
        <w:t xml:space="preserve"> 如果买方根据第16</w:t>
      </w:r>
      <w:r>
        <w:rPr>
          <w:rFonts w:hAnsi="宋体"/>
          <w:color w:val="auto"/>
          <w:highlight w:val="none"/>
        </w:rPr>
        <w:t>.1</w:t>
      </w:r>
      <w:r>
        <w:rPr>
          <w:rFonts w:hint="eastAsia" w:hAnsi="宋体"/>
          <w:color w:val="auto"/>
          <w:highlight w:val="none"/>
        </w:rPr>
        <w:t>条的规定，终止了部分或全部合同，买方可以按其认为适当的条件和方式采购类似未交付部分的图书。卖方应对买方购买类似图书所超出的费用负责。但是，卖方应继续履行合同中未终止的部分。</w:t>
      </w:r>
    </w:p>
    <w:p>
      <w:pPr>
        <w:spacing w:line="440" w:lineRule="exact"/>
        <w:ind w:firstLine="482" w:firstLineChars="200"/>
        <w:rPr>
          <w:rFonts w:hAnsi="宋体"/>
          <w:b/>
          <w:color w:val="auto"/>
          <w:highlight w:val="none"/>
        </w:rPr>
      </w:pPr>
      <w:r>
        <w:rPr>
          <w:rFonts w:hint="eastAsia" w:hAnsi="宋体"/>
          <w:b/>
          <w:color w:val="auto"/>
          <w:highlight w:val="none"/>
        </w:rPr>
        <w:t>17</w:t>
      </w:r>
      <w:r>
        <w:rPr>
          <w:rFonts w:hAnsi="宋体"/>
          <w:b/>
          <w:color w:val="auto"/>
          <w:highlight w:val="none"/>
        </w:rPr>
        <w:t>.</w:t>
      </w:r>
      <w:r>
        <w:rPr>
          <w:rFonts w:hint="eastAsia" w:hAnsi="宋体"/>
          <w:b/>
          <w:color w:val="auto"/>
          <w:highlight w:val="none"/>
        </w:rPr>
        <w:t>合同修改</w:t>
      </w:r>
    </w:p>
    <w:p>
      <w:pPr>
        <w:spacing w:line="440" w:lineRule="exact"/>
        <w:ind w:firstLine="480" w:firstLineChars="200"/>
        <w:rPr>
          <w:rFonts w:hAnsi="宋体"/>
          <w:b/>
          <w:color w:val="auto"/>
          <w:highlight w:val="none"/>
        </w:rPr>
      </w:pPr>
      <w:r>
        <w:rPr>
          <w:rFonts w:hint="eastAsia" w:hAnsi="宋体"/>
          <w:color w:val="auto"/>
          <w:highlight w:val="none"/>
        </w:rPr>
        <w:t>任何对合同条款的变更或修改均须买卖双方签订书面的修改书。</w:t>
      </w:r>
    </w:p>
    <w:p>
      <w:pPr>
        <w:autoSpaceDN w:val="0"/>
        <w:spacing w:line="440" w:lineRule="exact"/>
        <w:ind w:firstLine="482" w:firstLineChars="200"/>
        <w:rPr>
          <w:rFonts w:hAnsi="宋体"/>
          <w:b/>
          <w:color w:val="auto"/>
          <w:highlight w:val="none"/>
        </w:rPr>
      </w:pPr>
      <w:r>
        <w:rPr>
          <w:rFonts w:hint="eastAsia" w:hAnsi="宋体"/>
          <w:b/>
          <w:color w:val="auto"/>
          <w:highlight w:val="none"/>
        </w:rPr>
        <w:t>18</w:t>
      </w:r>
      <w:r>
        <w:rPr>
          <w:rFonts w:hAnsi="宋体"/>
          <w:b/>
          <w:color w:val="auto"/>
          <w:highlight w:val="none"/>
        </w:rPr>
        <w:t>.</w:t>
      </w:r>
      <w:r>
        <w:rPr>
          <w:rFonts w:hint="eastAsia" w:hAnsi="宋体"/>
          <w:b/>
          <w:color w:val="auto"/>
          <w:highlight w:val="none"/>
        </w:rPr>
        <w:t>合同生效</w:t>
      </w:r>
    </w:p>
    <w:p>
      <w:pPr>
        <w:autoSpaceDN w:val="0"/>
        <w:spacing w:line="440" w:lineRule="exact"/>
        <w:ind w:firstLine="480" w:firstLineChars="200"/>
        <w:rPr>
          <w:rFonts w:hAnsi="宋体"/>
          <w:color w:val="auto"/>
          <w:highlight w:val="none"/>
        </w:rPr>
      </w:pPr>
      <w:r>
        <w:rPr>
          <w:rFonts w:hint="eastAsia" w:hAnsi="宋体"/>
          <w:color w:val="auto"/>
          <w:highlight w:val="none"/>
        </w:rPr>
        <w:t>本合同应在买卖双方共同签字并盖章后生效。</w:t>
      </w:r>
    </w:p>
    <w:p>
      <w:pPr>
        <w:tabs>
          <w:tab w:val="left" w:pos="980"/>
        </w:tabs>
        <w:spacing w:line="500" w:lineRule="exact"/>
        <w:ind w:firstLine="482" w:firstLineChars="200"/>
        <w:rPr>
          <w:rFonts w:hAnsi="宋体"/>
          <w:b/>
          <w:color w:val="auto"/>
          <w:highlight w:val="none"/>
        </w:rPr>
      </w:pPr>
      <w:r>
        <w:rPr>
          <w:rFonts w:hint="eastAsia" w:hAnsi="宋体"/>
          <w:b/>
          <w:color w:val="auto"/>
          <w:highlight w:val="none"/>
        </w:rPr>
        <w:t>19</w:t>
      </w:r>
      <w:r>
        <w:rPr>
          <w:rFonts w:hAnsi="宋体"/>
          <w:b/>
          <w:color w:val="auto"/>
          <w:highlight w:val="none"/>
        </w:rPr>
        <w:t>.</w:t>
      </w:r>
      <w:r>
        <w:rPr>
          <w:rFonts w:hint="eastAsia" w:hAnsi="宋体"/>
          <w:b/>
          <w:color w:val="auto"/>
          <w:highlight w:val="none"/>
        </w:rPr>
        <w:t>合同数量</w:t>
      </w:r>
    </w:p>
    <w:p>
      <w:pPr>
        <w:tabs>
          <w:tab w:val="left" w:pos="980"/>
        </w:tabs>
        <w:spacing w:line="500" w:lineRule="exact"/>
        <w:ind w:firstLine="480" w:firstLineChars="200"/>
        <w:rPr>
          <w:rFonts w:hAnsi="宋体"/>
          <w:color w:val="auto"/>
          <w:highlight w:val="none"/>
        </w:rPr>
      </w:pPr>
      <w:r>
        <w:rPr>
          <w:rFonts w:hint="eastAsia" w:hAnsi="宋体"/>
          <w:color w:val="auto"/>
          <w:highlight w:val="none"/>
        </w:rPr>
        <w:t>本合同一式柒份，甲方肆份、乙方贰份，招标代理机构壹份。签字盖章后生效，合同执行完毕自动失效。（合同的服务承诺则长期有效）。</w:t>
      </w:r>
    </w:p>
    <w:p>
      <w:pPr>
        <w:spacing w:line="360" w:lineRule="auto"/>
        <w:ind w:firstLine="482" w:firstLineChars="200"/>
        <w:rPr>
          <w:rFonts w:hAnsi="宋体"/>
          <w:color w:val="auto"/>
          <w:highlight w:val="none"/>
        </w:rPr>
      </w:pPr>
      <w:r>
        <w:rPr>
          <w:rFonts w:hint="eastAsia" w:hAnsi="宋体"/>
          <w:b/>
          <w:color w:val="auto"/>
          <w:highlight w:val="none"/>
        </w:rPr>
        <w:t>20</w:t>
      </w:r>
      <w:r>
        <w:rPr>
          <w:rFonts w:hAnsi="宋体"/>
          <w:b/>
          <w:color w:val="auto"/>
          <w:highlight w:val="none"/>
        </w:rPr>
        <w:t>.</w:t>
      </w:r>
      <w:r>
        <w:rPr>
          <w:rFonts w:hint="eastAsia" w:hAnsi="宋体"/>
          <w:b/>
          <w:color w:val="auto"/>
          <w:highlight w:val="none"/>
        </w:rPr>
        <w:t>其它</w:t>
      </w:r>
    </w:p>
    <w:p>
      <w:pPr>
        <w:spacing w:line="360" w:lineRule="auto"/>
        <w:ind w:firstLine="480" w:firstLineChars="200"/>
        <w:rPr>
          <w:rFonts w:hAnsi="宋体"/>
          <w:color w:val="auto"/>
          <w:highlight w:val="none"/>
        </w:rPr>
      </w:pPr>
      <w:r>
        <w:rPr>
          <w:rFonts w:hint="eastAsia" w:hAnsi="宋体"/>
          <w:color w:val="auto"/>
          <w:highlight w:val="none"/>
        </w:rPr>
        <w:t>（在合同中具体明确）</w:t>
      </w:r>
    </w:p>
    <w:p>
      <w:pPr>
        <w:pStyle w:val="11"/>
        <w:rPr>
          <w:color w:val="auto"/>
          <w:highlight w:val="none"/>
        </w:rPr>
      </w:pP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28"/>
        <w:gridCol w:w="4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4628"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Ansi="宋体"/>
                <w:color w:val="auto"/>
                <w:highlight w:val="none"/>
              </w:rPr>
            </w:pPr>
            <w:r>
              <w:rPr>
                <w:rFonts w:hint="eastAsia" w:hAnsi="宋体"/>
                <w:color w:val="auto"/>
                <w:highlight w:val="none"/>
              </w:rPr>
              <w:t>甲  方</w:t>
            </w:r>
          </w:p>
        </w:tc>
        <w:tc>
          <w:tcPr>
            <w:tcW w:w="4629"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Ansi="宋体"/>
                <w:color w:val="auto"/>
                <w:highlight w:val="none"/>
              </w:rPr>
            </w:pPr>
            <w:r>
              <w:rPr>
                <w:rFonts w:hint="eastAsia" w:hAnsi="宋体"/>
                <w:color w:val="auto"/>
                <w:highlight w:val="none"/>
              </w:rPr>
              <w:t>乙  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4628"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Ansi="宋体"/>
                <w:color w:val="auto"/>
                <w:highlight w:val="none"/>
              </w:rPr>
            </w:pPr>
            <w:r>
              <w:rPr>
                <w:rFonts w:hint="eastAsia" w:hAnsi="宋体"/>
                <w:color w:val="auto"/>
                <w:highlight w:val="none"/>
              </w:rPr>
              <w:t>（盖章）</w:t>
            </w:r>
          </w:p>
        </w:tc>
        <w:tc>
          <w:tcPr>
            <w:tcW w:w="4629"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Ansi="宋体"/>
                <w:color w:val="auto"/>
                <w:highlight w:val="none"/>
              </w:rPr>
            </w:pPr>
            <w:r>
              <w:rPr>
                <w:rFonts w:hint="eastAsia" w:hAnsi="宋体"/>
                <w:color w:val="auto"/>
                <w:highlight w:val="none"/>
              </w:rPr>
              <w:t>中标人全称</w:t>
            </w:r>
          </w:p>
          <w:p>
            <w:pPr>
              <w:spacing w:line="360" w:lineRule="auto"/>
              <w:jc w:val="left"/>
              <w:rPr>
                <w:rFonts w:hAnsi="宋体"/>
                <w:color w:val="auto"/>
                <w:highlight w:val="none"/>
              </w:rPr>
            </w:pPr>
            <w:r>
              <w:rPr>
                <w:rFonts w:hint="eastAsia" w:hAnsi="宋体"/>
                <w:color w:val="auto"/>
                <w:highlight w:val="none"/>
              </w:rPr>
              <w:t>（盖章）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4628"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Ansi="宋体"/>
                <w:color w:val="auto"/>
                <w:highlight w:val="none"/>
              </w:rPr>
            </w:pPr>
            <w:r>
              <w:rPr>
                <w:rFonts w:hint="eastAsia" w:hAnsi="宋体"/>
                <w:color w:val="auto"/>
                <w:highlight w:val="none"/>
              </w:rPr>
              <w:t>地址：</w:t>
            </w:r>
          </w:p>
        </w:tc>
        <w:tc>
          <w:tcPr>
            <w:tcW w:w="4629"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Ansi="宋体"/>
                <w:color w:val="auto"/>
                <w:highlight w:val="none"/>
              </w:rPr>
            </w:pPr>
            <w:r>
              <w:rPr>
                <w:rFonts w:hint="eastAsia" w:hAnsi="宋体"/>
                <w:color w:val="auto"/>
                <w:highlight w:val="none"/>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4628"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Ansi="宋体"/>
                <w:color w:val="auto"/>
                <w:highlight w:val="none"/>
              </w:rPr>
            </w:pPr>
            <w:r>
              <w:rPr>
                <w:rFonts w:hint="eastAsia" w:hAnsi="宋体"/>
                <w:color w:val="auto"/>
                <w:highlight w:val="none"/>
              </w:rPr>
              <w:t>邮编：</w:t>
            </w:r>
          </w:p>
        </w:tc>
        <w:tc>
          <w:tcPr>
            <w:tcW w:w="4629"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Ansi="宋体"/>
                <w:color w:val="auto"/>
                <w:highlight w:val="none"/>
              </w:rPr>
            </w:pPr>
            <w:r>
              <w:rPr>
                <w:rFonts w:hint="eastAsia" w:hAnsi="宋体"/>
                <w:color w:val="auto"/>
                <w:highlight w:val="none"/>
              </w:rPr>
              <w:t>邮编：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4628" w:type="dxa"/>
            <w:vMerge w:val="restart"/>
            <w:tcBorders>
              <w:top w:val="single" w:color="auto" w:sz="4" w:space="0"/>
              <w:left w:val="single" w:color="auto" w:sz="4" w:space="0"/>
              <w:right w:val="single" w:color="auto" w:sz="4" w:space="0"/>
            </w:tcBorders>
            <w:vAlign w:val="center"/>
          </w:tcPr>
          <w:p>
            <w:pPr>
              <w:spacing w:line="360" w:lineRule="auto"/>
              <w:jc w:val="left"/>
              <w:rPr>
                <w:rFonts w:hAnsi="宋体"/>
                <w:color w:val="auto"/>
                <w:highlight w:val="none"/>
              </w:rPr>
            </w:pPr>
            <w:r>
              <w:rPr>
                <w:rFonts w:hint="eastAsia" w:hAnsi="宋体"/>
                <w:color w:val="auto"/>
                <w:highlight w:val="none"/>
              </w:rPr>
              <w:t>全权代表：（签字）</w:t>
            </w:r>
          </w:p>
        </w:tc>
        <w:tc>
          <w:tcPr>
            <w:tcW w:w="4629"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Ansi="宋体"/>
                <w:color w:val="auto"/>
                <w:highlight w:val="none"/>
              </w:rPr>
            </w:pPr>
            <w:r>
              <w:rPr>
                <w:rFonts w:hint="eastAsia" w:hAnsi="宋体"/>
                <w:color w:val="auto"/>
                <w:highlight w:val="none"/>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4628" w:type="dxa"/>
            <w:vMerge w:val="continue"/>
            <w:tcBorders>
              <w:left w:val="single" w:color="auto" w:sz="4" w:space="0"/>
              <w:bottom w:val="single" w:color="auto" w:sz="4" w:space="0"/>
              <w:right w:val="single" w:color="auto" w:sz="4" w:space="0"/>
            </w:tcBorders>
            <w:vAlign w:val="center"/>
          </w:tcPr>
          <w:p>
            <w:pPr>
              <w:spacing w:line="360" w:lineRule="auto"/>
              <w:jc w:val="left"/>
              <w:rPr>
                <w:rFonts w:hAnsi="宋体"/>
                <w:color w:val="auto"/>
                <w:highlight w:val="none"/>
              </w:rPr>
            </w:pPr>
          </w:p>
        </w:tc>
        <w:tc>
          <w:tcPr>
            <w:tcW w:w="4629"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Ansi="宋体"/>
                <w:color w:val="auto"/>
                <w:highlight w:val="none"/>
              </w:rPr>
            </w:pPr>
            <w:r>
              <w:rPr>
                <w:rFonts w:hint="eastAsia" w:hAnsi="宋体"/>
                <w:color w:val="auto"/>
                <w:highlight w:val="none"/>
              </w:rPr>
              <w:t>被授权代表：（签字）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4628"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Ansi="宋体"/>
                <w:color w:val="auto"/>
                <w:highlight w:val="none"/>
              </w:rPr>
            </w:pPr>
            <w:r>
              <w:rPr>
                <w:rFonts w:hint="eastAsia" w:hAnsi="宋体"/>
                <w:color w:val="auto"/>
                <w:highlight w:val="none"/>
              </w:rPr>
              <w:t>电话：</w:t>
            </w:r>
          </w:p>
        </w:tc>
        <w:tc>
          <w:tcPr>
            <w:tcW w:w="4629"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Ansi="宋体"/>
                <w:color w:val="auto"/>
                <w:highlight w:val="none"/>
              </w:rPr>
            </w:pPr>
            <w:r>
              <w:rPr>
                <w:rFonts w:hint="eastAsia" w:hAnsi="宋体"/>
                <w:color w:val="auto"/>
                <w:highlight w:val="none"/>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4628"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Ansi="宋体"/>
                <w:color w:val="auto"/>
                <w:highlight w:val="none"/>
              </w:rPr>
            </w:pPr>
            <w:r>
              <w:rPr>
                <w:rFonts w:hint="eastAsia" w:hAnsi="宋体"/>
                <w:color w:val="auto"/>
                <w:highlight w:val="none"/>
              </w:rPr>
              <w:t>传真：</w:t>
            </w:r>
          </w:p>
        </w:tc>
        <w:tc>
          <w:tcPr>
            <w:tcW w:w="4629"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Ansi="宋体"/>
                <w:color w:val="auto"/>
                <w:highlight w:val="none"/>
              </w:rPr>
            </w:pPr>
            <w:r>
              <w:rPr>
                <w:rFonts w:hint="eastAsia" w:hAnsi="宋体"/>
                <w:color w:val="auto"/>
                <w:highlight w:val="none"/>
              </w:rPr>
              <w:t>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4628"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Ansi="宋体"/>
                <w:color w:val="auto"/>
                <w:highlight w:val="none"/>
              </w:rPr>
            </w:pPr>
          </w:p>
        </w:tc>
        <w:tc>
          <w:tcPr>
            <w:tcW w:w="4629"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Ansi="宋体"/>
                <w:color w:val="auto"/>
                <w:highlight w:val="none"/>
              </w:rPr>
            </w:pPr>
            <w:r>
              <w:rPr>
                <w:rFonts w:hint="eastAsia" w:hAnsi="宋体"/>
                <w:color w:val="auto"/>
                <w:highlight w:val="none"/>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4628"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Ansi="宋体"/>
                <w:color w:val="auto"/>
                <w:highlight w:val="none"/>
              </w:rPr>
            </w:pPr>
          </w:p>
        </w:tc>
        <w:tc>
          <w:tcPr>
            <w:tcW w:w="4629"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Ansi="宋体"/>
                <w:color w:val="auto"/>
                <w:highlight w:val="none"/>
              </w:rPr>
            </w:pPr>
            <w:r>
              <w:rPr>
                <w:rFonts w:hint="eastAsia" w:hAnsi="宋体"/>
                <w:color w:val="auto"/>
                <w:highlight w:val="none"/>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4628"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Ansi="宋体"/>
                <w:color w:val="auto"/>
                <w:highlight w:val="none"/>
              </w:rPr>
            </w:pPr>
            <w:r>
              <w:rPr>
                <w:rFonts w:hint="eastAsia" w:hAnsi="宋体"/>
                <w:color w:val="auto"/>
                <w:highlight w:val="none"/>
              </w:rPr>
              <w:t>日期：  年   月   日</w:t>
            </w:r>
          </w:p>
        </w:tc>
        <w:tc>
          <w:tcPr>
            <w:tcW w:w="4629"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Ansi="宋体"/>
                <w:color w:val="auto"/>
                <w:highlight w:val="none"/>
              </w:rPr>
            </w:pPr>
            <w:r>
              <w:rPr>
                <w:rFonts w:hint="eastAsia" w:hAnsi="宋体"/>
                <w:color w:val="auto"/>
                <w:highlight w:val="none"/>
              </w:rPr>
              <w:t>日期：  年   月   日</w:t>
            </w:r>
          </w:p>
        </w:tc>
      </w:tr>
    </w:tbl>
    <w:p>
      <w:pPr>
        <w:adjustRightInd w:val="0"/>
        <w:snapToGrid w:val="0"/>
        <w:spacing w:line="360" w:lineRule="auto"/>
        <w:rPr>
          <w:rFonts w:hAnsi="宋体" w:cs="宋体"/>
          <w:color w:val="auto"/>
          <w:szCs w:val="24"/>
          <w:highlight w:val="none"/>
        </w:rPr>
      </w:pPr>
    </w:p>
    <w:p>
      <w:pPr>
        <w:rPr>
          <w:color w:val="auto"/>
          <w:highlight w:val="none"/>
        </w:rPr>
      </w:pPr>
    </w:p>
    <w:p>
      <w:pPr>
        <w:pStyle w:val="3"/>
        <w:bidi w:val="0"/>
        <w:rPr>
          <w:color w:val="auto"/>
          <w:highlight w:val="none"/>
        </w:rPr>
      </w:pPr>
      <w:r>
        <w:rPr>
          <w:rFonts w:hint="eastAsia"/>
          <w:color w:val="auto"/>
          <w:highlight w:val="none"/>
        </w:rPr>
        <w:br w:type="page"/>
      </w:r>
      <w:bookmarkStart w:id="137" w:name="_Toc15166"/>
      <w:r>
        <w:rPr>
          <w:rFonts w:hint="eastAsia"/>
          <w:color w:val="auto"/>
          <w:highlight w:val="none"/>
        </w:rPr>
        <w:t>第四章  采购内容及技术要求</w:t>
      </w:r>
      <w:bookmarkEnd w:id="125"/>
      <w:bookmarkEnd w:id="126"/>
      <w:bookmarkEnd w:id="127"/>
      <w:bookmarkEnd w:id="128"/>
      <w:bookmarkEnd w:id="129"/>
      <w:bookmarkEnd w:id="130"/>
      <w:bookmarkEnd w:id="131"/>
      <w:bookmarkEnd w:id="132"/>
      <w:bookmarkEnd w:id="133"/>
      <w:bookmarkEnd w:id="134"/>
      <w:bookmarkEnd w:id="135"/>
      <w:bookmarkEnd w:id="136"/>
      <w:bookmarkEnd w:id="137"/>
      <w:bookmarkStart w:id="138" w:name="_Toc317530110"/>
      <w:bookmarkStart w:id="139" w:name="_Toc2711"/>
      <w:bookmarkStart w:id="140" w:name="_Toc11450"/>
      <w:bookmarkStart w:id="141" w:name="_Toc1025"/>
      <w:bookmarkStart w:id="142" w:name="_Toc20481"/>
      <w:bookmarkStart w:id="143" w:name="_Toc23856"/>
      <w:bookmarkStart w:id="144" w:name="_Toc4053"/>
      <w:bookmarkStart w:id="145" w:name="_Toc389582038"/>
    </w:p>
    <w:bookmarkEnd w:id="138"/>
    <w:p>
      <w:pPr>
        <w:pStyle w:val="2"/>
        <w:bidi w:val="0"/>
        <w:rPr>
          <w:rFonts w:hint="default"/>
          <w:color w:val="auto"/>
          <w:highlight w:val="none"/>
          <w:lang w:val="en-US" w:eastAsia="zh-CN"/>
        </w:rPr>
      </w:pPr>
      <w:bookmarkStart w:id="146" w:name="_Toc2203"/>
      <w:bookmarkStart w:id="147" w:name="_Toc18238"/>
      <w:bookmarkStart w:id="148" w:name="_Toc426457697"/>
      <w:bookmarkStart w:id="149" w:name="_Toc25607"/>
      <w:bookmarkStart w:id="150" w:name="_Toc1462"/>
      <w:r>
        <w:rPr>
          <w:rFonts w:hint="eastAsia"/>
          <w:color w:val="auto"/>
          <w:highlight w:val="none"/>
          <w:lang w:val="en-US" w:eastAsia="zh-CN"/>
        </w:rPr>
        <w:t>一、采购内容及要求</w:t>
      </w:r>
    </w:p>
    <w:p>
      <w:pPr>
        <w:pStyle w:val="2"/>
        <w:bidi w:val="0"/>
        <w:rPr>
          <w:color w:val="auto"/>
          <w:highlight w:val="none"/>
        </w:rPr>
      </w:pPr>
      <w:r>
        <w:rPr>
          <w:rFonts w:hint="eastAsia"/>
          <w:color w:val="auto"/>
          <w:highlight w:val="none"/>
        </w:rPr>
        <w:t>（一）技术要求</w:t>
      </w:r>
    </w:p>
    <w:p>
      <w:pPr>
        <w:pStyle w:val="5"/>
        <w:bidi w:val="0"/>
        <w:rPr>
          <w:color w:val="auto"/>
          <w:highlight w:val="none"/>
        </w:rPr>
      </w:pPr>
      <w:r>
        <w:rPr>
          <w:rFonts w:hint="eastAsia"/>
          <w:color w:val="auto"/>
          <w:highlight w:val="none"/>
        </w:rPr>
        <w:t>1、中标人必须保证所提供的图书符合国家版权法及其他法律的规定，必须是正式出版社出版的正版纸质图书。外版美术图书供应商应有自主进口权限，所经销的出版物均为正规渠道进口的境外出版物。</w:t>
      </w:r>
    </w:p>
    <w:p>
      <w:pPr>
        <w:pStyle w:val="5"/>
        <w:bidi w:val="0"/>
        <w:rPr>
          <w:color w:val="auto"/>
          <w:highlight w:val="none"/>
        </w:rPr>
      </w:pPr>
      <w:r>
        <w:rPr>
          <w:rFonts w:hint="eastAsia"/>
          <w:color w:val="auto"/>
          <w:highlight w:val="none"/>
        </w:rPr>
        <w:t>2、</w:t>
      </w:r>
      <w:r>
        <w:rPr>
          <w:color w:val="auto"/>
          <w:highlight w:val="none"/>
        </w:rPr>
        <w:t>供应商有专业学术性图书的经营经验，有专业特色，在行业内具有良好的声誉，有专业特色图书采购渠道。如中外文艺术专业图书供货商应保证所提供的艺术类图书专业性强，除重要画册图录之外，还应具备艺术史论著、艺术理论、美学等重要学术理论图书的采买能力；人文社科类图书供应商有与艺术相关的专业历史、考古、宗教、文学、社会学等相关文史哲领域的图书经验，且能紧跟学术前沿动态。与附件</w:t>
      </w:r>
      <w:r>
        <w:rPr>
          <w:rFonts w:hint="eastAsia"/>
          <w:color w:val="auto"/>
          <w:highlight w:val="none"/>
        </w:rPr>
        <w:t>1所列院校图书馆有成功的合作案例。</w:t>
      </w:r>
    </w:p>
    <w:p>
      <w:pPr>
        <w:pStyle w:val="5"/>
        <w:bidi w:val="0"/>
        <w:rPr>
          <w:b/>
          <w:bCs/>
          <w:color w:val="auto"/>
          <w:highlight w:val="none"/>
        </w:rPr>
      </w:pPr>
      <w:r>
        <w:rPr>
          <w:rFonts w:hint="eastAsia"/>
          <w:b/>
          <w:bCs/>
          <w:color w:val="auto"/>
          <w:highlight w:val="none"/>
        </w:rPr>
        <w:t>附件1：</w:t>
      </w:r>
    </w:p>
    <w:p>
      <w:pPr>
        <w:pStyle w:val="5"/>
        <w:bidi w:val="0"/>
        <w:rPr>
          <w:color w:val="auto"/>
          <w:highlight w:val="none"/>
        </w:rPr>
      </w:pPr>
      <w:r>
        <w:rPr>
          <w:rFonts w:hint="eastAsia"/>
          <w:color w:val="auto"/>
          <w:highlight w:val="none"/>
        </w:rPr>
        <w:t>美术学院名录：中央美术学院、中国美术学院、清华大学美术学院、西安美术学院、四川美术学院、广州美术学院、鲁迅美术学院、天津美术学院、湖北美术学院。（9所）</w:t>
      </w:r>
    </w:p>
    <w:p>
      <w:pPr>
        <w:pStyle w:val="5"/>
        <w:bidi w:val="0"/>
        <w:rPr>
          <w:color w:val="auto"/>
          <w:highlight w:val="none"/>
        </w:rPr>
      </w:pPr>
      <w:r>
        <w:rPr>
          <w:rFonts w:hint="eastAsia"/>
          <w:color w:val="auto"/>
          <w:highlight w:val="none"/>
        </w:rPr>
        <w:t>艺术学院名录：南京艺术学院、山东艺术学院、山东工艺美术学院、广西艺术学院、云南艺术学院、新疆艺术学院、北京电影学院、北京服装学院。（8所）</w:t>
      </w:r>
    </w:p>
    <w:p>
      <w:pPr>
        <w:adjustRightInd w:val="0"/>
        <w:snapToGrid w:val="0"/>
        <w:spacing w:line="460" w:lineRule="exact"/>
        <w:ind w:firstLine="482" w:firstLineChars="200"/>
        <w:rPr>
          <w:rFonts w:hint="eastAsia" w:ascii="宋体" w:hAnsi="宋体"/>
          <w:b/>
          <w:bCs/>
          <w:color w:val="auto"/>
          <w:szCs w:val="21"/>
          <w:highlight w:val="none"/>
        </w:rPr>
      </w:pPr>
      <w:r>
        <w:rPr>
          <w:rFonts w:hint="eastAsia" w:ascii="宋体" w:hAnsi="宋体"/>
          <w:b/>
          <w:bCs/>
          <w:color w:val="auto"/>
          <w:szCs w:val="21"/>
          <w:highlight w:val="none"/>
        </w:rPr>
        <w:t>供应商</w:t>
      </w:r>
      <w:r>
        <w:rPr>
          <w:rFonts w:hint="eastAsia" w:hAnsi="宋体"/>
          <w:b/>
          <w:bCs/>
          <w:color w:val="auto"/>
          <w:szCs w:val="21"/>
          <w:highlight w:val="none"/>
          <w:lang w:val="en-US" w:eastAsia="zh-CN"/>
        </w:rPr>
        <w:t>可</w:t>
      </w:r>
      <w:r>
        <w:rPr>
          <w:rFonts w:hint="eastAsia" w:ascii="宋体" w:hAnsi="宋体"/>
          <w:b/>
          <w:bCs/>
          <w:color w:val="auto"/>
          <w:szCs w:val="21"/>
          <w:highlight w:val="none"/>
        </w:rPr>
        <w:t>提供与以上</w:t>
      </w:r>
      <w:r>
        <w:rPr>
          <w:rFonts w:hint="eastAsia" w:ascii="宋体" w:hAnsi="宋体"/>
          <w:b/>
          <w:bCs/>
          <w:color w:val="auto"/>
          <w:szCs w:val="21"/>
          <w:highlight w:val="none"/>
          <w:lang w:val="en-US" w:eastAsia="zh-CN"/>
        </w:rPr>
        <w:t>院校</w:t>
      </w:r>
      <w:r>
        <w:rPr>
          <w:rFonts w:hint="eastAsia" w:ascii="宋体" w:hAnsi="宋体"/>
          <w:b/>
          <w:bCs/>
          <w:color w:val="auto"/>
          <w:szCs w:val="21"/>
          <w:highlight w:val="none"/>
        </w:rPr>
        <w:t>合作的证明等。</w:t>
      </w:r>
    </w:p>
    <w:p>
      <w:pPr>
        <w:pStyle w:val="5"/>
        <w:bidi w:val="0"/>
        <w:spacing w:line="240" w:lineRule="auto"/>
        <w:ind w:left="0" w:leftChars="0" w:firstLine="0" w:firstLineChars="0"/>
        <w:rPr>
          <w:rFonts w:hint="eastAsia"/>
          <w:color w:val="auto"/>
          <w:highlight w:val="none"/>
        </w:rPr>
      </w:pPr>
    </w:p>
    <w:p>
      <w:pPr>
        <w:pStyle w:val="5"/>
        <w:bidi w:val="0"/>
        <w:rPr>
          <w:color w:val="auto"/>
          <w:highlight w:val="none"/>
        </w:rPr>
      </w:pPr>
      <w:r>
        <w:rPr>
          <w:rFonts w:hint="eastAsia"/>
          <w:color w:val="auto"/>
          <w:highlight w:val="none"/>
        </w:rPr>
        <w:t>3、</w:t>
      </w:r>
      <w:r>
        <w:rPr>
          <w:color w:val="auto"/>
          <w:highlight w:val="none"/>
        </w:rPr>
        <w:t>所供</w:t>
      </w:r>
      <w:r>
        <w:rPr>
          <w:rFonts w:hint="eastAsia"/>
          <w:color w:val="auto"/>
          <w:highlight w:val="none"/>
        </w:rPr>
        <w:t>图书内容符合西安美术学院学科建设，符合大学本科及以上层次读者阅读。</w:t>
      </w:r>
    </w:p>
    <w:p>
      <w:pPr>
        <w:pStyle w:val="5"/>
        <w:bidi w:val="0"/>
        <w:rPr>
          <w:color w:val="auto"/>
          <w:highlight w:val="none"/>
        </w:rPr>
      </w:pPr>
      <w:r>
        <w:rPr>
          <w:rFonts w:hint="eastAsia"/>
          <w:color w:val="auto"/>
          <w:highlight w:val="none"/>
        </w:rPr>
        <w:t>（1）西安美术学院学科专业具体包括艺术史论、美术学、书法学、中国画、绘画、雕塑、摄影、实验艺术、艺术设计学、视觉传达设计、产品设计、艺术与科技、环境设计、服装与服饰设计、公共艺术、工艺美术、数字媒体艺术、戏剧影视美术设计、动画、音乐学、文化产业管理等。</w:t>
      </w:r>
    </w:p>
    <w:p>
      <w:pPr>
        <w:pStyle w:val="5"/>
        <w:bidi w:val="0"/>
        <w:rPr>
          <w:color w:val="auto"/>
          <w:highlight w:val="none"/>
        </w:rPr>
      </w:pPr>
      <w:r>
        <w:rPr>
          <w:rFonts w:hint="eastAsia"/>
          <w:color w:val="auto"/>
          <w:highlight w:val="none"/>
        </w:rPr>
        <w:t>（2）</w:t>
      </w:r>
      <w:r>
        <w:rPr>
          <w:rFonts w:hint="eastAsia"/>
          <w:color w:val="auto"/>
          <w:highlight w:val="none"/>
          <w:lang w:eastAsia="zh-CN"/>
        </w:rPr>
        <w:t>合同包1</w:t>
      </w:r>
      <w:r>
        <w:rPr>
          <w:rFonts w:hint="eastAsia"/>
          <w:color w:val="auto"/>
          <w:highlight w:val="none"/>
        </w:rPr>
        <w:t>以附件</w:t>
      </w:r>
      <w:r>
        <w:rPr>
          <w:rFonts w:hint="eastAsia"/>
          <w:color w:val="auto"/>
          <w:highlight w:val="none"/>
          <w:lang w:val="en-US" w:eastAsia="zh-CN"/>
        </w:rPr>
        <w:t>2</w:t>
      </w:r>
      <w:r>
        <w:rPr>
          <w:rFonts w:hint="eastAsia"/>
          <w:color w:val="auto"/>
          <w:highlight w:val="none"/>
        </w:rPr>
        <w:t>所列出版社的艺术类图书为主。</w:t>
      </w:r>
    </w:p>
    <w:p>
      <w:pPr>
        <w:pStyle w:val="5"/>
        <w:bidi w:val="0"/>
        <w:rPr>
          <w:b/>
          <w:bCs/>
          <w:color w:val="auto"/>
          <w:highlight w:val="none"/>
        </w:rPr>
      </w:pPr>
      <w:r>
        <w:rPr>
          <w:rFonts w:hint="eastAsia"/>
          <w:b/>
          <w:bCs/>
          <w:color w:val="auto"/>
          <w:highlight w:val="none"/>
        </w:rPr>
        <w:t>附件</w:t>
      </w:r>
      <w:r>
        <w:rPr>
          <w:rFonts w:hint="eastAsia"/>
          <w:b/>
          <w:bCs/>
          <w:color w:val="auto"/>
          <w:highlight w:val="none"/>
          <w:lang w:val="en-US" w:eastAsia="zh-CN"/>
        </w:rPr>
        <w:t>2</w:t>
      </w:r>
      <w:r>
        <w:rPr>
          <w:rFonts w:hint="eastAsia"/>
          <w:b/>
          <w:bCs/>
          <w:color w:val="auto"/>
          <w:highlight w:val="none"/>
        </w:rPr>
        <w:t>：</w:t>
      </w:r>
    </w:p>
    <w:p>
      <w:pPr>
        <w:pStyle w:val="5"/>
        <w:bidi w:val="0"/>
        <w:rPr>
          <w:rFonts w:hint="eastAsia"/>
          <w:color w:val="auto"/>
          <w:highlight w:val="none"/>
        </w:rPr>
      </w:pPr>
      <w:r>
        <w:rPr>
          <w:rFonts w:hint="eastAsia"/>
          <w:color w:val="auto"/>
          <w:highlight w:val="none"/>
        </w:rPr>
        <w:t>人民美术出版社、上海人民美术出版社、上海书画出版社、湖南美术出版社、安徽美术出版社、荣宝斋、西泠印社出版社、连环画出版社、天津人民美术出版社、浙江人民美术出版社、北京工艺美术出版社、文物出版社、天津杨柳青画社、湖北美术出版社、山东美术出版社、广西美术出版社、江西美术出版社、河南美术出版社、江苏美术出版社、中国书店出版社、福建美术出版社、甘肃人民美术出版社、岭南美术出版社、云南美术出版社、陕西人民美术出版社、黑龙江美术出版社、吉林美术出版社、辽宁美术出版社、中国美术学院出版社、中国摄影出版社、中国民族摄影出版社、浙江摄影出版社、京版北美</w:t>
      </w:r>
      <w:r>
        <w:rPr>
          <w:color w:val="auto"/>
          <w:highlight w:val="none"/>
        </w:rPr>
        <w:t>(</w:t>
      </w:r>
      <w:r>
        <w:rPr>
          <w:rFonts w:hint="eastAsia"/>
          <w:color w:val="auto"/>
          <w:highlight w:val="none"/>
        </w:rPr>
        <w:t>北京</w:t>
      </w:r>
      <w:r>
        <w:rPr>
          <w:color w:val="auto"/>
          <w:highlight w:val="none"/>
        </w:rPr>
        <w:t>)</w:t>
      </w:r>
      <w:r>
        <w:rPr>
          <w:rFonts w:hint="eastAsia"/>
          <w:color w:val="auto"/>
          <w:highlight w:val="none"/>
        </w:rPr>
        <w:t>文化艺术传媒、中国纺织出版社、山东画报出版社、河北美术出版社、四川美术出版社</w:t>
      </w:r>
      <w:r>
        <w:rPr>
          <w:rFonts w:hint="eastAsia"/>
          <w:color w:val="auto"/>
          <w:highlight w:val="none"/>
          <w:lang w:eastAsia="zh-CN"/>
        </w:rPr>
        <w:t>、</w:t>
      </w:r>
      <w:r>
        <w:rPr>
          <w:rFonts w:hint="eastAsia"/>
          <w:color w:val="auto"/>
          <w:highlight w:val="none"/>
        </w:rPr>
        <w:t>故宫出版社、新疆美术出版社。（共</w:t>
      </w:r>
      <w:r>
        <w:rPr>
          <w:rFonts w:hint="eastAsia"/>
          <w:color w:val="auto"/>
          <w:highlight w:val="none"/>
          <w:lang w:val="en-US" w:eastAsia="zh-CN"/>
        </w:rPr>
        <w:t>39</w:t>
      </w:r>
      <w:r>
        <w:rPr>
          <w:rFonts w:hint="eastAsia"/>
          <w:color w:val="auto"/>
          <w:highlight w:val="none"/>
        </w:rPr>
        <w:t>家）</w:t>
      </w:r>
    </w:p>
    <w:p>
      <w:pPr>
        <w:pStyle w:val="5"/>
        <w:bidi w:val="0"/>
        <w:rPr>
          <w:color w:val="auto"/>
          <w:highlight w:val="none"/>
        </w:rPr>
      </w:pPr>
      <w:r>
        <w:rPr>
          <w:rFonts w:hint="eastAsia"/>
          <w:color w:val="auto"/>
          <w:highlight w:val="none"/>
        </w:rPr>
        <w:t>4、</w:t>
      </w:r>
      <w:r>
        <w:rPr>
          <w:color w:val="auto"/>
          <w:highlight w:val="none"/>
        </w:rPr>
        <w:t xml:space="preserve">供应商具备对图书馆自备目录、自定主题采购能力，还应具备对稀缺、绝版图书以及网上二手图书等重要学术资料性文献的采购能力。 </w:t>
      </w:r>
    </w:p>
    <w:p>
      <w:pPr>
        <w:pStyle w:val="5"/>
        <w:bidi w:val="0"/>
        <w:rPr>
          <w:color w:val="auto"/>
          <w:highlight w:val="none"/>
        </w:rPr>
      </w:pPr>
      <w:r>
        <w:rPr>
          <w:rFonts w:hint="eastAsia"/>
          <w:color w:val="auto"/>
          <w:highlight w:val="none"/>
        </w:rPr>
        <w:t>5、</w:t>
      </w:r>
      <w:r>
        <w:rPr>
          <w:color w:val="auto"/>
          <w:highlight w:val="none"/>
        </w:rPr>
        <w:t>供应商能通过互联网免费提供规范的新书征订书目数据，提供的征订书目内容均需符合大学本科以上读者的要求。</w:t>
      </w:r>
    </w:p>
    <w:p>
      <w:pPr>
        <w:pStyle w:val="5"/>
        <w:bidi w:val="0"/>
        <w:rPr>
          <w:color w:val="auto"/>
          <w:highlight w:val="none"/>
        </w:rPr>
      </w:pPr>
      <w:r>
        <w:rPr>
          <w:rFonts w:hint="eastAsia"/>
          <w:color w:val="auto"/>
          <w:highlight w:val="none"/>
        </w:rPr>
        <w:t>6、</w:t>
      </w:r>
      <w:r>
        <w:rPr>
          <w:color w:val="auto"/>
          <w:highlight w:val="none"/>
        </w:rPr>
        <w:t>供应商应建立“</w:t>
      </w:r>
      <w:r>
        <w:rPr>
          <w:rFonts w:hint="eastAsia"/>
          <w:color w:val="auto"/>
          <w:highlight w:val="none"/>
        </w:rPr>
        <w:t>西安</w:t>
      </w:r>
      <w:r>
        <w:rPr>
          <w:color w:val="auto"/>
          <w:highlight w:val="none"/>
        </w:rPr>
        <w:t xml:space="preserve">美术学院图书馆预订图书数据库”，有对采购人预订的图书进行查重的能力。 </w:t>
      </w:r>
    </w:p>
    <w:p>
      <w:pPr>
        <w:pStyle w:val="5"/>
        <w:bidi w:val="0"/>
        <w:rPr>
          <w:color w:val="auto"/>
          <w:highlight w:val="none"/>
        </w:rPr>
      </w:pPr>
      <w:r>
        <w:rPr>
          <w:rFonts w:hint="eastAsia"/>
          <w:color w:val="auto"/>
          <w:highlight w:val="none"/>
        </w:rPr>
        <w:t>7、</w:t>
      </w:r>
      <w:r>
        <w:rPr>
          <w:color w:val="auto"/>
          <w:highlight w:val="none"/>
        </w:rPr>
        <w:t>供应商应提供符合国家财税法规要求的售书发票。</w:t>
      </w:r>
    </w:p>
    <w:p>
      <w:pPr>
        <w:pStyle w:val="5"/>
        <w:bidi w:val="0"/>
        <w:rPr>
          <w:color w:val="auto"/>
          <w:highlight w:val="none"/>
        </w:rPr>
      </w:pPr>
      <w:r>
        <w:rPr>
          <w:rFonts w:hint="eastAsia"/>
          <w:color w:val="auto"/>
          <w:highlight w:val="none"/>
        </w:rPr>
        <w:t>8、供应商具有良好的商业信誉和健全的财务会计制度。</w:t>
      </w:r>
    </w:p>
    <w:p>
      <w:pPr>
        <w:pStyle w:val="5"/>
        <w:bidi w:val="0"/>
        <w:rPr>
          <w:color w:val="auto"/>
          <w:highlight w:val="none"/>
        </w:rPr>
      </w:pPr>
      <w:r>
        <w:rPr>
          <w:rFonts w:hint="eastAsia"/>
          <w:color w:val="auto"/>
          <w:highlight w:val="none"/>
        </w:rPr>
        <w:t>9、中标人不得提供以下图书：</w:t>
      </w:r>
    </w:p>
    <w:p>
      <w:pPr>
        <w:pStyle w:val="5"/>
        <w:bidi w:val="0"/>
        <w:rPr>
          <w:color w:val="auto"/>
          <w:highlight w:val="none"/>
        </w:rPr>
      </w:pPr>
      <w:r>
        <w:rPr>
          <w:rFonts w:hint="eastAsia"/>
          <w:color w:val="auto"/>
          <w:highlight w:val="none"/>
        </w:rPr>
        <w:t>（1）非法、盗版、盗印图书。</w:t>
      </w:r>
    </w:p>
    <w:p>
      <w:pPr>
        <w:pStyle w:val="5"/>
        <w:bidi w:val="0"/>
        <w:rPr>
          <w:color w:val="auto"/>
          <w:highlight w:val="none"/>
        </w:rPr>
      </w:pPr>
      <w:r>
        <w:rPr>
          <w:rFonts w:hint="eastAsia"/>
          <w:color w:val="auto"/>
          <w:highlight w:val="none"/>
        </w:rPr>
        <w:t>（2）压仓劣质图书。</w:t>
      </w:r>
    </w:p>
    <w:p>
      <w:pPr>
        <w:pStyle w:val="5"/>
        <w:bidi w:val="0"/>
        <w:rPr>
          <w:color w:val="auto"/>
          <w:highlight w:val="none"/>
        </w:rPr>
      </w:pPr>
      <w:r>
        <w:rPr>
          <w:rFonts w:hint="eastAsia"/>
          <w:color w:val="auto"/>
          <w:highlight w:val="none"/>
        </w:rPr>
        <w:t>（3）未经采购人同意私自搭配的图书。</w:t>
      </w:r>
    </w:p>
    <w:p>
      <w:pPr>
        <w:pStyle w:val="5"/>
        <w:bidi w:val="0"/>
        <w:rPr>
          <w:color w:val="auto"/>
          <w:highlight w:val="none"/>
        </w:rPr>
      </w:pPr>
      <w:r>
        <w:rPr>
          <w:rFonts w:hint="eastAsia"/>
          <w:color w:val="auto"/>
          <w:highlight w:val="none"/>
        </w:rPr>
        <w:t>（4）少儿、中专、职业技术、高职高专、美术高考类图书。</w:t>
      </w:r>
    </w:p>
    <w:p>
      <w:pPr>
        <w:pStyle w:val="2"/>
        <w:bidi w:val="0"/>
        <w:rPr>
          <w:color w:val="auto"/>
          <w:highlight w:val="none"/>
        </w:rPr>
      </w:pPr>
      <w:r>
        <w:rPr>
          <w:rFonts w:hint="eastAsia"/>
          <w:color w:val="auto"/>
          <w:highlight w:val="none"/>
        </w:rPr>
        <w:t>（</w:t>
      </w:r>
      <w:r>
        <w:rPr>
          <w:color w:val="auto"/>
          <w:highlight w:val="none"/>
        </w:rPr>
        <w:t>二</w:t>
      </w:r>
      <w:r>
        <w:rPr>
          <w:rFonts w:hint="eastAsia"/>
          <w:color w:val="auto"/>
          <w:highlight w:val="none"/>
        </w:rPr>
        <w:t>）</w:t>
      </w:r>
      <w:r>
        <w:rPr>
          <w:color w:val="auto"/>
          <w:highlight w:val="none"/>
        </w:rPr>
        <w:t xml:space="preserve">服务要求 </w:t>
      </w:r>
    </w:p>
    <w:p>
      <w:pPr>
        <w:pStyle w:val="5"/>
        <w:bidi w:val="0"/>
        <w:rPr>
          <w:color w:val="auto"/>
          <w:highlight w:val="none"/>
        </w:rPr>
      </w:pPr>
      <w:r>
        <w:rPr>
          <w:rFonts w:hint="eastAsia"/>
          <w:color w:val="auto"/>
          <w:highlight w:val="none"/>
        </w:rPr>
        <w:t>1、</w:t>
      </w:r>
      <w:r>
        <w:rPr>
          <w:color w:val="auto"/>
          <w:highlight w:val="none"/>
        </w:rPr>
        <w:t xml:space="preserve">能够满足采购人定单采购、专题采购、现场采购等多种采购方式。 </w:t>
      </w:r>
    </w:p>
    <w:p>
      <w:pPr>
        <w:pStyle w:val="5"/>
        <w:bidi w:val="0"/>
        <w:rPr>
          <w:color w:val="auto"/>
          <w:highlight w:val="none"/>
        </w:rPr>
      </w:pPr>
      <w:r>
        <w:rPr>
          <w:rFonts w:hint="eastAsia"/>
          <w:color w:val="auto"/>
          <w:highlight w:val="none"/>
        </w:rPr>
        <w:t>（1）定单采购：供应商在最大范围内为采购人征集图书出版、发行信息，提高采购效率(样本送取运输及其费用由供应商承担)。供应商提供的自编采访书目数据、现货目录数据(要求能提供电子目录)、现货样书品种均应符合</w:t>
      </w:r>
      <w:r>
        <w:rPr>
          <w:rFonts w:hint="eastAsia"/>
          <w:color w:val="auto"/>
          <w:highlight w:val="none"/>
          <w:lang w:eastAsia="zh-CN"/>
        </w:rPr>
        <w:t>招标文件</w:t>
      </w:r>
      <w:r>
        <w:rPr>
          <w:rFonts w:hint="eastAsia"/>
          <w:color w:val="auto"/>
          <w:highlight w:val="none"/>
        </w:rPr>
        <w:t>中的规定。</w:t>
      </w:r>
    </w:p>
    <w:p>
      <w:pPr>
        <w:pStyle w:val="5"/>
        <w:bidi w:val="0"/>
        <w:rPr>
          <w:color w:val="auto"/>
          <w:highlight w:val="none"/>
        </w:rPr>
      </w:pPr>
      <w:r>
        <w:rPr>
          <w:rFonts w:hint="eastAsia"/>
          <w:color w:val="auto"/>
          <w:highlight w:val="none"/>
        </w:rPr>
        <w:t>（2）现货采购：供应商能根据采购人需求，在采购人指定时间、地点举办样书展览，每年至少两次。</w:t>
      </w:r>
    </w:p>
    <w:p>
      <w:pPr>
        <w:pStyle w:val="5"/>
        <w:bidi w:val="0"/>
        <w:rPr>
          <w:color w:val="auto"/>
          <w:highlight w:val="none"/>
        </w:rPr>
      </w:pPr>
      <w:r>
        <w:rPr>
          <w:rFonts w:hint="eastAsia"/>
          <w:color w:val="auto"/>
          <w:highlight w:val="none"/>
        </w:rPr>
        <w:t>（3）专题采购：供应商配合采购人做好专题图书的采购，以满足采购人馆藏的特殊需求。</w:t>
      </w:r>
    </w:p>
    <w:p>
      <w:pPr>
        <w:pStyle w:val="5"/>
        <w:bidi w:val="0"/>
        <w:rPr>
          <w:color w:val="auto"/>
          <w:highlight w:val="none"/>
        </w:rPr>
      </w:pPr>
      <w:r>
        <w:rPr>
          <w:rFonts w:hint="eastAsia"/>
          <w:color w:val="auto"/>
          <w:highlight w:val="none"/>
        </w:rPr>
        <w:t>（4）现场采购：供应商应根据采购人要求，不定期安排采购人参加图书现采活动、参加各类书市及订货会。</w:t>
      </w:r>
    </w:p>
    <w:p>
      <w:pPr>
        <w:pStyle w:val="5"/>
        <w:bidi w:val="0"/>
        <w:rPr>
          <w:color w:val="auto"/>
          <w:highlight w:val="none"/>
        </w:rPr>
      </w:pPr>
      <w:r>
        <w:rPr>
          <w:rFonts w:hint="eastAsia"/>
          <w:color w:val="auto"/>
          <w:highlight w:val="none"/>
        </w:rPr>
        <w:t>（5）其它方式：随时进行图书增订、补订等工作。</w:t>
      </w:r>
    </w:p>
    <w:p>
      <w:pPr>
        <w:pStyle w:val="5"/>
        <w:bidi w:val="0"/>
        <w:rPr>
          <w:color w:val="auto"/>
          <w:highlight w:val="none"/>
        </w:rPr>
      </w:pPr>
      <w:r>
        <w:rPr>
          <w:rFonts w:hint="eastAsia"/>
          <w:color w:val="auto"/>
          <w:highlight w:val="none"/>
        </w:rPr>
        <w:t>2、</w:t>
      </w:r>
      <w:r>
        <w:rPr>
          <w:color w:val="auto"/>
          <w:highlight w:val="none"/>
        </w:rPr>
        <w:t xml:space="preserve">供应商接到订购单后能及时处理并反馈订单处理信息。在未征得采购人同意情况下，不得更换采购人正式订单。收到订单3日内向采购人反馈订单执行信息。 </w:t>
      </w:r>
    </w:p>
    <w:p>
      <w:pPr>
        <w:pStyle w:val="5"/>
        <w:bidi w:val="0"/>
        <w:rPr>
          <w:color w:val="auto"/>
          <w:highlight w:val="none"/>
        </w:rPr>
      </w:pPr>
      <w:r>
        <w:rPr>
          <w:rFonts w:hint="eastAsia"/>
          <w:color w:val="auto"/>
          <w:highlight w:val="none"/>
        </w:rPr>
        <w:t>3、</w:t>
      </w:r>
      <w:r>
        <w:rPr>
          <w:color w:val="auto"/>
          <w:highlight w:val="none"/>
        </w:rPr>
        <w:t>供应商对重复订购、大码洋、大订数、特殊装订、特殊开本、散页</w:t>
      </w:r>
      <w:r>
        <w:rPr>
          <w:rFonts w:hint="eastAsia"/>
          <w:color w:val="auto"/>
          <w:highlight w:val="none"/>
        </w:rPr>
        <w:t>、</w:t>
      </w:r>
      <w:r>
        <w:rPr>
          <w:color w:val="auto"/>
          <w:highlight w:val="none"/>
        </w:rPr>
        <w:t>教材等图书，应及时与采购人联系沟通。</w:t>
      </w:r>
    </w:p>
    <w:p>
      <w:pPr>
        <w:pStyle w:val="5"/>
        <w:bidi w:val="0"/>
        <w:rPr>
          <w:color w:val="auto"/>
          <w:highlight w:val="none"/>
        </w:rPr>
      </w:pPr>
      <w:r>
        <w:rPr>
          <w:rFonts w:hint="eastAsia"/>
          <w:color w:val="auto"/>
          <w:highlight w:val="none"/>
        </w:rPr>
        <w:t>4、</w:t>
      </w:r>
      <w:r>
        <w:rPr>
          <w:color w:val="auto"/>
          <w:highlight w:val="none"/>
        </w:rPr>
        <w:t xml:space="preserve">供应商必须按采购人报订的图书品种、数量及时供货，按承诺的供货期限到书。对不能按时供货的图书，采购人有权要求终止供货，因终止供货而造成的损失由供应商承担。采购人有权采取相应的补救措施（如转向其他供应商补订图书），由此给采购人造成的各项损失或增加的各项费用（如折扣损失、邮费等）均由违约的供应商承担。 </w:t>
      </w:r>
    </w:p>
    <w:p>
      <w:pPr>
        <w:pStyle w:val="5"/>
        <w:bidi w:val="0"/>
        <w:rPr>
          <w:color w:val="auto"/>
          <w:highlight w:val="none"/>
        </w:rPr>
      </w:pPr>
      <w:r>
        <w:rPr>
          <w:rFonts w:hint="eastAsia"/>
          <w:color w:val="auto"/>
          <w:highlight w:val="none"/>
        </w:rPr>
        <w:t>5、现场采购图书的供货时间不超过10个工作日，订到率不低于98%；预定图书自发出订单之日起，供货时间不超过30个工作日，订到率不低于95%。</w:t>
      </w:r>
    </w:p>
    <w:p>
      <w:pPr>
        <w:pStyle w:val="5"/>
        <w:bidi w:val="0"/>
        <w:rPr>
          <w:color w:val="auto"/>
          <w:highlight w:val="none"/>
        </w:rPr>
      </w:pPr>
      <w:r>
        <w:rPr>
          <w:rFonts w:hint="eastAsia"/>
          <w:color w:val="auto"/>
          <w:highlight w:val="none"/>
        </w:rPr>
        <w:t>6、</w:t>
      </w:r>
      <w:r>
        <w:rPr>
          <w:color w:val="auto"/>
          <w:highlight w:val="none"/>
        </w:rPr>
        <w:t>供应商提供门对门的快速送货服务</w:t>
      </w:r>
      <w:r>
        <w:rPr>
          <w:rFonts w:hint="eastAsia"/>
          <w:color w:val="auto"/>
          <w:highlight w:val="none"/>
        </w:rPr>
        <w:t>，</w:t>
      </w:r>
      <w:r>
        <w:rPr>
          <w:color w:val="auto"/>
          <w:highlight w:val="none"/>
        </w:rPr>
        <w:t>能够在约定的供货时间内将货物送到采购人指定的地点</w:t>
      </w:r>
      <w:r>
        <w:rPr>
          <w:rFonts w:hint="eastAsia"/>
          <w:color w:val="auto"/>
          <w:highlight w:val="none"/>
        </w:rPr>
        <w:t>。</w:t>
      </w:r>
      <w:r>
        <w:rPr>
          <w:color w:val="auto"/>
          <w:highlight w:val="none"/>
        </w:rPr>
        <w:t>由此所发生的任何手续和运输费全部由供应商承担。每次送货前必须提前电话通知采购人</w:t>
      </w:r>
      <w:r>
        <w:rPr>
          <w:rFonts w:hint="eastAsia"/>
          <w:color w:val="auto"/>
          <w:highlight w:val="none"/>
        </w:rPr>
        <w:t>，</w:t>
      </w:r>
      <w:r>
        <w:rPr>
          <w:color w:val="auto"/>
          <w:highlight w:val="none"/>
        </w:rPr>
        <w:t>以便采购人做好接货准备</w:t>
      </w:r>
      <w:r>
        <w:rPr>
          <w:rFonts w:hint="eastAsia"/>
          <w:color w:val="auto"/>
          <w:highlight w:val="none"/>
        </w:rPr>
        <w:t>。</w:t>
      </w:r>
    </w:p>
    <w:p>
      <w:pPr>
        <w:pStyle w:val="5"/>
        <w:bidi w:val="0"/>
        <w:rPr>
          <w:color w:val="auto"/>
          <w:highlight w:val="none"/>
        </w:rPr>
      </w:pPr>
      <w:r>
        <w:rPr>
          <w:rFonts w:hint="eastAsia"/>
          <w:color w:val="auto"/>
          <w:highlight w:val="none"/>
        </w:rPr>
        <w:t>7、</w:t>
      </w:r>
      <w:r>
        <w:rPr>
          <w:color w:val="auto"/>
          <w:highlight w:val="none"/>
        </w:rPr>
        <w:t>供应商在递交每一批图书时，同时免费提供加盖供应商公章的该批图书的清单，并提供规范标准、信息全面的电子表格书目清单，具体信息包括书名、作者、书号、出版社、出版时间、定价、折扣、订购册数等。如遇到特殊书目有特殊信息需求，供应商需全力配合满足相应的特殊需求。</w:t>
      </w:r>
    </w:p>
    <w:p>
      <w:pPr>
        <w:pStyle w:val="5"/>
        <w:bidi w:val="0"/>
        <w:rPr>
          <w:color w:val="auto"/>
          <w:highlight w:val="none"/>
        </w:rPr>
      </w:pPr>
      <w:r>
        <w:rPr>
          <w:rFonts w:hint="eastAsia"/>
          <w:color w:val="auto"/>
          <w:highlight w:val="none"/>
        </w:rPr>
        <w:t>8、</w:t>
      </w:r>
      <w:r>
        <w:rPr>
          <w:color w:val="auto"/>
          <w:highlight w:val="none"/>
        </w:rPr>
        <w:t>运输途中造成的图书破损，随书附件（光盘、软盘、磁带等）不完整（丢失、破损 等），一律退回中标单位，重新配送。</w:t>
      </w:r>
    </w:p>
    <w:p>
      <w:pPr>
        <w:pStyle w:val="5"/>
        <w:bidi w:val="0"/>
        <w:rPr>
          <w:color w:val="auto"/>
          <w:highlight w:val="none"/>
        </w:rPr>
      </w:pPr>
      <w:r>
        <w:rPr>
          <w:rFonts w:hint="eastAsia"/>
          <w:color w:val="auto"/>
          <w:highlight w:val="none"/>
        </w:rPr>
        <w:t>9、</w:t>
      </w:r>
      <w:r>
        <w:rPr>
          <w:color w:val="auto"/>
          <w:highlight w:val="none"/>
        </w:rPr>
        <w:t>采购人不承担所购图书资料的运管费。对采购人所订图书资料因供应商未及时办理提货手续所产生的一切费用（滞纳金、保管费等）概由供应商承担。</w:t>
      </w:r>
    </w:p>
    <w:p>
      <w:pPr>
        <w:pStyle w:val="5"/>
        <w:bidi w:val="0"/>
        <w:rPr>
          <w:color w:val="auto"/>
          <w:highlight w:val="none"/>
        </w:rPr>
      </w:pPr>
      <w:r>
        <w:rPr>
          <w:rFonts w:hint="eastAsia"/>
          <w:color w:val="auto"/>
          <w:highlight w:val="none"/>
        </w:rPr>
        <w:t>10、</w:t>
      </w:r>
      <w:r>
        <w:rPr>
          <w:color w:val="auto"/>
          <w:highlight w:val="none"/>
        </w:rPr>
        <w:t xml:space="preserve">供应商保证所供图书的质量。接受采购人对有质量问题图书（如污损、图文不清、错页、漏页、破损、少附件等），或到书与原订购不符或运输途中出现遗失、破损的图书的调换、退货要求，由此造成的损失及费用概由供应商承担。对于因采购人的原因出现错订、重订的问题图书，供应商应能积极协助调剂，配合采取撤订、退书、换书等方式减轻采购人的损失。 </w:t>
      </w:r>
    </w:p>
    <w:p>
      <w:pPr>
        <w:pStyle w:val="5"/>
        <w:bidi w:val="0"/>
        <w:rPr>
          <w:color w:val="auto"/>
          <w:highlight w:val="none"/>
        </w:rPr>
      </w:pPr>
      <w:r>
        <w:rPr>
          <w:rFonts w:hint="eastAsia"/>
          <w:color w:val="auto"/>
          <w:highlight w:val="none"/>
        </w:rPr>
        <w:t>11、</w:t>
      </w:r>
      <w:r>
        <w:rPr>
          <w:color w:val="auto"/>
          <w:highlight w:val="none"/>
        </w:rPr>
        <w:t xml:space="preserve">凡交到采购人的图书，图书上应标明码洋，并以此作为计算书款的依据，经验收发现书款与发货单不符的，采购人及时通知供应商派员到验收地核算，供应商接到通知之日起10个工作日内不能派员核算的，以甲方验收的实际数额计算书款金额。 </w:t>
      </w:r>
    </w:p>
    <w:p>
      <w:pPr>
        <w:pStyle w:val="5"/>
        <w:bidi w:val="0"/>
        <w:rPr>
          <w:color w:val="auto"/>
          <w:highlight w:val="none"/>
        </w:rPr>
      </w:pPr>
      <w:r>
        <w:rPr>
          <w:rFonts w:hint="eastAsia"/>
          <w:color w:val="auto"/>
          <w:highlight w:val="none"/>
        </w:rPr>
        <w:t>1</w:t>
      </w:r>
      <w:r>
        <w:rPr>
          <w:rFonts w:hint="eastAsia"/>
          <w:color w:val="auto"/>
          <w:highlight w:val="none"/>
          <w:lang w:val="en-US" w:eastAsia="zh-CN"/>
        </w:rPr>
        <w:t>2</w:t>
      </w:r>
      <w:r>
        <w:rPr>
          <w:rFonts w:hint="eastAsia"/>
          <w:color w:val="auto"/>
          <w:highlight w:val="none"/>
        </w:rPr>
        <w:t>、供应商能及时提供规范的Marc数据，并对所购图书免费提供加工编目工作，加工进度和质量须按采购人要求。</w:t>
      </w:r>
    </w:p>
    <w:p>
      <w:pPr>
        <w:pStyle w:val="5"/>
        <w:bidi w:val="0"/>
        <w:rPr>
          <w:color w:val="auto"/>
          <w:highlight w:val="none"/>
        </w:rPr>
      </w:pPr>
      <w:r>
        <w:rPr>
          <w:rFonts w:hint="eastAsia"/>
          <w:color w:val="auto"/>
          <w:highlight w:val="none"/>
        </w:rPr>
        <w:t>1</w:t>
      </w:r>
      <w:r>
        <w:rPr>
          <w:rFonts w:hint="eastAsia"/>
          <w:color w:val="auto"/>
          <w:highlight w:val="none"/>
          <w:lang w:val="en-US" w:eastAsia="zh-CN"/>
        </w:rPr>
        <w:t>3</w:t>
      </w:r>
      <w:r>
        <w:rPr>
          <w:rFonts w:hint="eastAsia"/>
          <w:color w:val="auto"/>
          <w:highlight w:val="none"/>
        </w:rPr>
        <w:t>、</w:t>
      </w:r>
      <w:r>
        <w:rPr>
          <w:color w:val="auto"/>
          <w:highlight w:val="none"/>
        </w:rPr>
        <w:t>除上述各条以外，供应商能根据采购人实际情况，及时向采购人提供相应的服务。</w:t>
      </w:r>
    </w:p>
    <w:p>
      <w:pPr>
        <w:pStyle w:val="5"/>
        <w:bidi w:val="0"/>
        <w:rPr>
          <w:color w:val="auto"/>
          <w:highlight w:val="none"/>
        </w:rPr>
      </w:pPr>
      <w:r>
        <w:rPr>
          <w:rFonts w:hint="eastAsia"/>
          <w:color w:val="auto"/>
          <w:highlight w:val="none"/>
        </w:rPr>
        <w:t>1</w:t>
      </w:r>
      <w:r>
        <w:rPr>
          <w:rFonts w:hint="eastAsia"/>
          <w:color w:val="auto"/>
          <w:highlight w:val="none"/>
          <w:lang w:val="en-US" w:eastAsia="zh-CN"/>
        </w:rPr>
        <w:t>4</w:t>
      </w:r>
      <w:r>
        <w:rPr>
          <w:rFonts w:hint="eastAsia"/>
          <w:color w:val="auto"/>
          <w:highlight w:val="none"/>
        </w:rPr>
        <w:t>、</w:t>
      </w:r>
      <w:r>
        <w:rPr>
          <w:color w:val="auto"/>
          <w:highlight w:val="none"/>
        </w:rPr>
        <w:t xml:space="preserve">本项目图书分多次采购，具体采购次数以采购人的供货清单为准。货款按实际订购数量和实洋凭发票结算。 </w:t>
      </w:r>
    </w:p>
    <w:p>
      <w:pPr>
        <w:pStyle w:val="5"/>
        <w:bidi w:val="0"/>
        <w:rPr>
          <w:rFonts w:hint="eastAsia"/>
          <w:b w:val="0"/>
          <w:bCs w:val="0"/>
          <w:color w:val="auto"/>
          <w:highlight w:val="none"/>
        </w:rPr>
      </w:pPr>
      <w:r>
        <w:rPr>
          <w:rFonts w:hint="eastAsia"/>
          <w:b w:val="0"/>
          <w:bCs w:val="0"/>
          <w:color w:val="auto"/>
          <w:highlight w:val="none"/>
          <w:lang w:val="en-US" w:eastAsia="zh-CN"/>
        </w:rPr>
        <w:t>15</w:t>
      </w:r>
      <w:r>
        <w:rPr>
          <w:rFonts w:hint="eastAsia"/>
          <w:b w:val="0"/>
          <w:bCs w:val="0"/>
          <w:color w:val="auto"/>
          <w:highlight w:val="none"/>
        </w:rPr>
        <w:t>、本项目以预算金额作为</w:t>
      </w:r>
      <w:r>
        <w:rPr>
          <w:rFonts w:hint="eastAsia"/>
          <w:b w:val="0"/>
          <w:bCs w:val="0"/>
          <w:color w:val="auto"/>
          <w:highlight w:val="none"/>
          <w:lang w:eastAsia="zh-CN"/>
        </w:rPr>
        <w:t>各</w:t>
      </w:r>
      <w:r>
        <w:rPr>
          <w:rFonts w:hint="eastAsia"/>
          <w:b w:val="0"/>
          <w:bCs w:val="0"/>
          <w:color w:val="auto"/>
          <w:highlight w:val="none"/>
          <w:lang w:val="en-US" w:eastAsia="zh-CN"/>
        </w:rPr>
        <w:t>合同</w:t>
      </w:r>
      <w:r>
        <w:rPr>
          <w:rFonts w:hint="eastAsia"/>
          <w:b w:val="0"/>
          <w:bCs w:val="0"/>
          <w:color w:val="auto"/>
          <w:highlight w:val="none"/>
          <w:lang w:eastAsia="zh-CN"/>
        </w:rPr>
        <w:t>包的</w:t>
      </w:r>
      <w:r>
        <w:rPr>
          <w:rFonts w:hint="eastAsia"/>
          <w:b w:val="0"/>
          <w:bCs w:val="0"/>
          <w:color w:val="auto"/>
          <w:highlight w:val="none"/>
        </w:rPr>
        <w:t>成交金额，</w:t>
      </w:r>
      <w:r>
        <w:rPr>
          <w:rFonts w:hint="eastAsia"/>
          <w:b w:val="0"/>
          <w:bCs w:val="0"/>
          <w:color w:val="auto"/>
          <w:highlight w:val="none"/>
          <w:lang w:eastAsia="zh-CN"/>
        </w:rPr>
        <w:t>各</w:t>
      </w:r>
      <w:r>
        <w:rPr>
          <w:rFonts w:hint="eastAsia"/>
          <w:b w:val="0"/>
          <w:bCs w:val="0"/>
          <w:color w:val="auto"/>
          <w:highlight w:val="none"/>
          <w:lang w:val="en-US" w:eastAsia="zh-CN"/>
        </w:rPr>
        <w:t>合同</w:t>
      </w:r>
      <w:r>
        <w:rPr>
          <w:rFonts w:hint="eastAsia"/>
          <w:b w:val="0"/>
          <w:bCs w:val="0"/>
          <w:color w:val="auto"/>
          <w:highlight w:val="none"/>
          <w:lang w:eastAsia="zh-CN"/>
        </w:rPr>
        <w:t>包入围供应商图书目录由采购人根据图书的市场行情结合各家的实际情况综合考量分配，各入围供应商的份额累计总量允许和预先设定的比例份额有±</w:t>
      </w:r>
      <w:r>
        <w:rPr>
          <w:rFonts w:hint="eastAsia"/>
          <w:b w:val="0"/>
          <w:bCs w:val="0"/>
          <w:color w:val="auto"/>
          <w:highlight w:val="none"/>
          <w:lang w:val="en-US" w:eastAsia="zh-CN"/>
        </w:rPr>
        <w:t>5</w:t>
      </w:r>
      <w:r>
        <w:rPr>
          <w:rFonts w:hint="eastAsia"/>
          <w:b w:val="0"/>
          <w:bCs w:val="0"/>
          <w:color w:val="auto"/>
          <w:highlight w:val="none"/>
          <w:lang w:eastAsia="zh-CN"/>
        </w:rPr>
        <w:t>%的误差（</w:t>
      </w:r>
      <w:r>
        <w:rPr>
          <w:rFonts w:hint="eastAsia"/>
          <w:b w:val="0"/>
          <w:bCs w:val="0"/>
          <w:color w:val="auto"/>
          <w:highlight w:val="none"/>
          <w:lang w:val="en-US" w:eastAsia="zh-CN"/>
        </w:rPr>
        <w:t>如</w:t>
      </w:r>
      <w:r>
        <w:rPr>
          <w:rFonts w:hint="eastAsia"/>
          <w:b w:val="0"/>
          <w:bCs w:val="0"/>
          <w:color w:val="auto"/>
          <w:highlight w:val="none"/>
          <w:lang w:eastAsia="zh-CN"/>
        </w:rPr>
        <w:t>，</w:t>
      </w:r>
      <w:r>
        <w:rPr>
          <w:rFonts w:hint="eastAsia"/>
          <w:b w:val="0"/>
          <w:bCs w:val="0"/>
          <w:color w:val="auto"/>
          <w:highlight w:val="none"/>
          <w:lang w:val="en-US" w:eastAsia="zh-CN"/>
        </w:rPr>
        <w:t>该合同包</w:t>
      </w:r>
      <w:r>
        <w:rPr>
          <w:rFonts w:hint="eastAsia"/>
          <w:b w:val="0"/>
          <w:bCs w:val="0"/>
          <w:color w:val="auto"/>
          <w:highlight w:val="none"/>
          <w:lang w:eastAsia="zh-CN"/>
        </w:rPr>
        <w:t>预算金额</w:t>
      </w:r>
      <w:r>
        <w:rPr>
          <w:rFonts w:hint="eastAsia"/>
          <w:b w:val="0"/>
          <w:bCs w:val="0"/>
          <w:color w:val="auto"/>
          <w:highlight w:val="none"/>
          <w:lang w:val="en-US" w:eastAsia="zh-CN"/>
        </w:rPr>
        <w:t>30万元，</w:t>
      </w:r>
      <w:r>
        <w:rPr>
          <w:rFonts w:hint="eastAsia"/>
          <w:b w:val="0"/>
          <w:bCs w:val="0"/>
          <w:color w:val="auto"/>
          <w:highlight w:val="none"/>
          <w:lang w:eastAsia="zh-CN"/>
        </w:rPr>
        <w:t>入围前三名中</w:t>
      </w:r>
      <w:r>
        <w:rPr>
          <w:rFonts w:hint="eastAsia"/>
          <w:b w:val="0"/>
          <w:bCs w:val="0"/>
          <w:color w:val="auto"/>
          <w:highlight w:val="none"/>
          <w:lang w:val="en-US" w:eastAsia="zh-CN"/>
        </w:rPr>
        <w:t>A公司的综合折扣为73%，是前三名里最低的，那么其实际供货量的份额应为30万*45%=13.5万元，可以上下浮动5%，即12.825万元--14.175万元之间</w:t>
      </w:r>
      <w:r>
        <w:rPr>
          <w:rFonts w:hint="eastAsia"/>
          <w:b w:val="0"/>
          <w:bCs w:val="0"/>
          <w:color w:val="auto"/>
          <w:highlight w:val="none"/>
          <w:lang w:eastAsia="zh-CN"/>
        </w:rPr>
        <w:t>）</w:t>
      </w:r>
      <w:r>
        <w:rPr>
          <w:rFonts w:hint="eastAsia"/>
          <w:b w:val="0"/>
          <w:bCs w:val="0"/>
          <w:color w:val="auto"/>
          <w:highlight w:val="none"/>
          <w:lang w:val="en-US" w:eastAsia="zh-CN"/>
        </w:rPr>
        <w:t>，最终结算入围供应商均不得有异议。</w:t>
      </w:r>
    </w:p>
    <w:p>
      <w:pPr>
        <w:pStyle w:val="2"/>
        <w:bidi w:val="0"/>
        <w:rPr>
          <w:color w:val="auto"/>
          <w:highlight w:val="none"/>
        </w:rPr>
      </w:pPr>
      <w:r>
        <w:rPr>
          <w:rFonts w:hint="eastAsia"/>
          <w:color w:val="auto"/>
          <w:highlight w:val="none"/>
        </w:rPr>
        <w:t>（三）</w:t>
      </w:r>
      <w:r>
        <w:rPr>
          <w:color w:val="auto"/>
          <w:highlight w:val="none"/>
        </w:rPr>
        <w:t>验收要求</w:t>
      </w:r>
    </w:p>
    <w:p>
      <w:pPr>
        <w:pStyle w:val="5"/>
        <w:bidi w:val="0"/>
        <w:rPr>
          <w:color w:val="auto"/>
          <w:highlight w:val="none"/>
        </w:rPr>
      </w:pPr>
      <w:r>
        <w:rPr>
          <w:color w:val="auto"/>
          <w:highlight w:val="none"/>
        </w:rPr>
        <w:t>采购人在验收时将按照约定的验收标准、要求和程序对每一项技术、服务、安全标准的履约情况进行确认并出具总体评价。如没有特殊要求，则验收时以入围供应商的</w:t>
      </w:r>
      <w:r>
        <w:rPr>
          <w:rFonts w:hint="eastAsia"/>
          <w:color w:val="auto"/>
          <w:highlight w:val="none"/>
          <w:lang w:eastAsia="zh-CN"/>
        </w:rPr>
        <w:t>投标文件</w:t>
      </w:r>
      <w:r>
        <w:rPr>
          <w:color w:val="auto"/>
          <w:highlight w:val="none"/>
        </w:rPr>
        <w:t>应答及招标文件的要求作为验收标准及依据。</w:t>
      </w:r>
    </w:p>
    <w:p>
      <w:pPr>
        <w:rPr>
          <w:rFonts w:hint="eastAsia"/>
          <w:color w:val="auto"/>
          <w:highlight w:val="none"/>
          <w:lang w:val="en-US" w:eastAsia="zh-CN"/>
        </w:rPr>
      </w:pPr>
      <w:r>
        <w:rPr>
          <w:rFonts w:hint="eastAsia"/>
          <w:color w:val="auto"/>
          <w:highlight w:val="none"/>
          <w:lang w:val="en-US" w:eastAsia="zh-CN"/>
        </w:rPr>
        <w:br w:type="page"/>
      </w:r>
    </w:p>
    <w:p>
      <w:pPr>
        <w:pStyle w:val="2"/>
        <w:bidi w:val="0"/>
        <w:rPr>
          <w:rFonts w:hint="default"/>
          <w:color w:val="auto"/>
          <w:highlight w:val="none"/>
          <w:lang w:val="en-US" w:eastAsia="zh-CN"/>
        </w:rPr>
      </w:pPr>
      <w:r>
        <w:rPr>
          <w:rFonts w:hint="eastAsia"/>
          <w:color w:val="auto"/>
          <w:highlight w:val="none"/>
          <w:lang w:val="en-US" w:eastAsia="zh-CN"/>
        </w:rPr>
        <w:t>二、商务要求</w:t>
      </w:r>
    </w:p>
    <w:tbl>
      <w:tblPr>
        <w:tblStyle w:val="20"/>
        <w:tblW w:w="9343"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583"/>
        <w:gridCol w:w="865"/>
        <w:gridCol w:w="789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14" w:hRule="atLeast"/>
          <w:tblHeader/>
          <w:jc w:val="center"/>
        </w:trPr>
        <w:tc>
          <w:tcPr>
            <w:tcW w:w="583" w:type="dxa"/>
            <w:vAlign w:val="center"/>
          </w:tcPr>
          <w:p>
            <w:pPr>
              <w:pStyle w:val="30"/>
              <w:spacing w:line="360" w:lineRule="auto"/>
              <w:rPr>
                <w:rFonts w:hint="eastAsia" w:ascii="宋体" w:hAnsi="宋体" w:eastAsia="宋体" w:cs="宋体"/>
                <w:b/>
                <w:bCs/>
                <w:color w:val="auto"/>
                <w:highlight w:val="none"/>
              </w:rPr>
            </w:pPr>
            <w:r>
              <w:rPr>
                <w:rFonts w:hint="eastAsia" w:ascii="宋体" w:hAnsi="宋体" w:eastAsia="宋体" w:cs="宋体"/>
                <w:b/>
                <w:bCs/>
                <w:color w:val="auto"/>
                <w:highlight w:val="none"/>
              </w:rPr>
              <w:t>条款号</w:t>
            </w:r>
          </w:p>
        </w:tc>
        <w:tc>
          <w:tcPr>
            <w:tcW w:w="865" w:type="dxa"/>
            <w:vAlign w:val="center"/>
          </w:tcPr>
          <w:p>
            <w:pPr>
              <w:pStyle w:val="30"/>
              <w:spacing w:line="360" w:lineRule="auto"/>
              <w:rPr>
                <w:rFonts w:hint="eastAsia" w:ascii="宋体" w:hAnsi="宋体" w:eastAsia="宋体" w:cs="宋体"/>
                <w:b/>
                <w:bCs/>
                <w:color w:val="auto"/>
                <w:highlight w:val="none"/>
              </w:rPr>
            </w:pPr>
            <w:r>
              <w:rPr>
                <w:rFonts w:hint="eastAsia" w:ascii="宋体" w:hAnsi="宋体" w:eastAsia="宋体" w:cs="宋体"/>
                <w:b/>
                <w:bCs/>
                <w:color w:val="auto"/>
                <w:highlight w:val="none"/>
              </w:rPr>
              <w:t>条款内容</w:t>
            </w:r>
          </w:p>
        </w:tc>
        <w:tc>
          <w:tcPr>
            <w:tcW w:w="7895" w:type="dxa"/>
            <w:vAlign w:val="center"/>
          </w:tcPr>
          <w:p>
            <w:pPr>
              <w:pStyle w:val="30"/>
              <w:spacing w:line="360" w:lineRule="auto"/>
              <w:rPr>
                <w:rFonts w:hint="eastAsia" w:ascii="宋体" w:hAnsi="宋体" w:eastAsia="宋体" w:cs="宋体"/>
                <w:b/>
                <w:bCs/>
                <w:color w:val="auto"/>
                <w:highlight w:val="none"/>
              </w:rPr>
            </w:pPr>
            <w:r>
              <w:rPr>
                <w:rFonts w:hint="eastAsia" w:ascii="宋体" w:hAnsi="宋体" w:eastAsia="宋体" w:cs="宋体"/>
                <w:b/>
                <w:bCs/>
                <w:color w:val="auto"/>
                <w:highlight w:val="none"/>
              </w:rPr>
              <w:t>编 列 内 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14" w:hRule="atLeast"/>
          <w:tblHeader/>
          <w:jc w:val="center"/>
        </w:trPr>
        <w:tc>
          <w:tcPr>
            <w:tcW w:w="583" w:type="dxa"/>
            <w:vAlign w:val="center"/>
          </w:tcPr>
          <w:p>
            <w:pPr>
              <w:pStyle w:val="30"/>
              <w:spacing w:line="360" w:lineRule="auto"/>
              <w:rPr>
                <w:rFonts w:hint="eastAsia" w:ascii="宋体" w:hAnsi="宋体" w:eastAsia="宋体" w:cs="宋体"/>
                <w:b w:val="0"/>
                <w:bCs w:val="0"/>
                <w:color w:val="auto"/>
                <w:highlight w:val="none"/>
                <w:lang w:val="en-US" w:eastAsia="zh-CN"/>
              </w:rPr>
            </w:pPr>
            <w:r>
              <w:rPr>
                <w:rFonts w:hint="eastAsia" w:cs="宋体"/>
                <w:b w:val="0"/>
                <w:bCs w:val="0"/>
                <w:color w:val="auto"/>
                <w:highlight w:val="none"/>
                <w:lang w:val="en-US" w:eastAsia="zh-CN"/>
              </w:rPr>
              <w:t>1</w:t>
            </w:r>
          </w:p>
        </w:tc>
        <w:tc>
          <w:tcPr>
            <w:tcW w:w="865" w:type="dxa"/>
            <w:vAlign w:val="center"/>
          </w:tcPr>
          <w:p>
            <w:pPr>
              <w:pStyle w:val="30"/>
              <w:spacing w:line="360" w:lineRule="auto"/>
              <w:rPr>
                <w:rFonts w:hint="eastAsia" w:ascii="宋体" w:hAnsi="宋体" w:eastAsia="宋体" w:cs="宋体"/>
                <w:b w:val="0"/>
                <w:bCs w:val="0"/>
                <w:color w:val="auto"/>
                <w:highlight w:val="none"/>
              </w:rPr>
            </w:pPr>
            <w:r>
              <w:rPr>
                <w:rFonts w:hint="eastAsia"/>
                <w:b w:val="0"/>
                <w:bCs w:val="0"/>
                <w:color w:val="auto"/>
                <w:highlight w:val="none"/>
              </w:rPr>
              <w:t>交付期</w:t>
            </w:r>
          </w:p>
        </w:tc>
        <w:tc>
          <w:tcPr>
            <w:tcW w:w="7895" w:type="dxa"/>
            <w:vAlign w:val="center"/>
          </w:tcPr>
          <w:p>
            <w:pPr>
              <w:pStyle w:val="30"/>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供货期：</w:t>
            </w:r>
            <w:r>
              <w:rPr>
                <w:rFonts w:hint="eastAsia" w:cs="宋体"/>
                <w:color w:val="auto"/>
                <w:highlight w:val="none"/>
                <w:lang w:eastAsia="zh-CN"/>
              </w:rPr>
              <w:t>202</w:t>
            </w:r>
            <w:r>
              <w:rPr>
                <w:rFonts w:hint="eastAsia" w:cs="宋体"/>
                <w:color w:val="auto"/>
                <w:highlight w:val="none"/>
                <w:lang w:val="en-US" w:eastAsia="zh-CN"/>
              </w:rPr>
              <w:t>3</w:t>
            </w:r>
            <w:r>
              <w:rPr>
                <w:rFonts w:hint="eastAsia" w:cs="宋体"/>
                <w:color w:val="auto"/>
                <w:highlight w:val="none"/>
                <w:lang w:eastAsia="zh-CN"/>
              </w:rPr>
              <w:t>年</w:t>
            </w:r>
            <w:r>
              <w:rPr>
                <w:rFonts w:hint="eastAsia" w:ascii="宋体" w:hAnsi="宋体" w:eastAsia="宋体" w:cs="宋体"/>
                <w:color w:val="auto"/>
                <w:highlight w:val="none"/>
              </w:rPr>
              <w:t>。</w:t>
            </w:r>
          </w:p>
          <w:p>
            <w:pPr>
              <w:pStyle w:val="30"/>
              <w:spacing w:line="360" w:lineRule="auto"/>
              <w:jc w:val="left"/>
              <w:rPr>
                <w:rFonts w:hint="eastAsia" w:ascii="宋体" w:hAnsi="宋体" w:eastAsia="宋体" w:cs="宋体"/>
                <w:b/>
                <w:bCs/>
                <w:color w:val="auto"/>
                <w:highlight w:val="none"/>
              </w:rPr>
            </w:pPr>
            <w:r>
              <w:rPr>
                <w:rFonts w:hint="eastAsia" w:ascii="宋体" w:hAnsi="宋体" w:eastAsia="宋体" w:cs="宋体"/>
                <w:color w:val="auto"/>
                <w:highlight w:val="none"/>
                <w:lang w:val="en-US" w:eastAsia="zh-CN"/>
              </w:rPr>
              <w:t>供货时间：现场采购图书的供货时间不超过10个工作日；预定图书自发出订单之日起，供货时间不超过30个工作日</w:t>
            </w:r>
            <w:r>
              <w:rPr>
                <w:rFonts w:hint="eastAsia" w:cs="宋体"/>
                <w:color w:val="auto"/>
                <w:highlight w:val="none"/>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14" w:hRule="atLeast"/>
          <w:tblHeader/>
          <w:jc w:val="center"/>
        </w:trPr>
        <w:tc>
          <w:tcPr>
            <w:tcW w:w="583" w:type="dxa"/>
            <w:vAlign w:val="center"/>
          </w:tcPr>
          <w:p>
            <w:pPr>
              <w:pStyle w:val="30"/>
              <w:spacing w:line="360" w:lineRule="auto"/>
              <w:rPr>
                <w:rFonts w:hint="eastAsia" w:ascii="宋体" w:hAnsi="宋体" w:eastAsia="宋体" w:cs="宋体"/>
                <w:b w:val="0"/>
                <w:bCs w:val="0"/>
                <w:color w:val="auto"/>
                <w:highlight w:val="none"/>
                <w:lang w:val="en-US" w:eastAsia="zh-CN"/>
              </w:rPr>
            </w:pPr>
            <w:r>
              <w:rPr>
                <w:rFonts w:hint="eastAsia" w:cs="宋体"/>
                <w:b w:val="0"/>
                <w:bCs w:val="0"/>
                <w:color w:val="auto"/>
                <w:highlight w:val="none"/>
                <w:lang w:val="en-US" w:eastAsia="zh-CN"/>
              </w:rPr>
              <w:t>2</w:t>
            </w:r>
          </w:p>
        </w:tc>
        <w:tc>
          <w:tcPr>
            <w:tcW w:w="865" w:type="dxa"/>
            <w:vAlign w:val="center"/>
          </w:tcPr>
          <w:p>
            <w:pPr>
              <w:pStyle w:val="30"/>
              <w:spacing w:line="360" w:lineRule="auto"/>
              <w:rPr>
                <w:rFonts w:hint="eastAsia" w:ascii="宋体" w:hAnsi="宋体" w:eastAsia="宋体" w:cs="宋体"/>
                <w:b w:val="0"/>
                <w:bCs w:val="0"/>
                <w:color w:val="auto"/>
                <w:highlight w:val="none"/>
              </w:rPr>
            </w:pPr>
            <w:r>
              <w:rPr>
                <w:rFonts w:hint="eastAsia"/>
                <w:b w:val="0"/>
                <w:bCs w:val="0"/>
                <w:color w:val="auto"/>
                <w:szCs w:val="22"/>
                <w:highlight w:val="none"/>
                <w:lang w:val="en-US" w:eastAsia="zh-CN"/>
              </w:rPr>
              <w:t>交付地点</w:t>
            </w:r>
          </w:p>
        </w:tc>
        <w:tc>
          <w:tcPr>
            <w:tcW w:w="7895" w:type="dxa"/>
            <w:vAlign w:val="center"/>
          </w:tcPr>
          <w:p>
            <w:pPr>
              <w:pStyle w:val="30"/>
              <w:spacing w:line="360" w:lineRule="auto"/>
              <w:jc w:val="left"/>
              <w:rPr>
                <w:rFonts w:hint="eastAsia" w:ascii="宋体" w:hAnsi="宋体" w:eastAsia="宋体" w:cs="宋体"/>
                <w:b/>
                <w:bCs/>
                <w:color w:val="auto"/>
                <w:highlight w:val="none"/>
              </w:rPr>
            </w:pPr>
            <w:r>
              <w:rPr>
                <w:rFonts w:hint="eastAsia" w:ascii="宋体" w:hAnsi="宋体" w:eastAsia="宋体" w:cs="宋体"/>
                <w:color w:val="auto"/>
                <w:highlight w:val="none"/>
              </w:rPr>
              <w:t>供应商收到订单后，应保证在订单有效期内将图书免费送至采购单位指定地点。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tblHeader/>
          <w:jc w:val="center"/>
        </w:trPr>
        <w:tc>
          <w:tcPr>
            <w:tcW w:w="583" w:type="dxa"/>
            <w:vAlign w:val="center"/>
          </w:tcPr>
          <w:p>
            <w:pPr>
              <w:pStyle w:val="30"/>
              <w:spacing w:line="360" w:lineRule="auto"/>
              <w:rPr>
                <w:rFonts w:hint="eastAsia" w:ascii="宋体" w:hAnsi="宋体" w:eastAsia="宋体" w:cs="宋体"/>
                <w:b w:val="0"/>
                <w:bCs w:val="0"/>
                <w:color w:val="auto"/>
                <w:highlight w:val="none"/>
                <w:lang w:val="en-US" w:eastAsia="zh-CN"/>
              </w:rPr>
            </w:pPr>
            <w:r>
              <w:rPr>
                <w:rFonts w:hint="eastAsia" w:cs="宋体"/>
                <w:b w:val="0"/>
                <w:bCs w:val="0"/>
                <w:color w:val="auto"/>
                <w:highlight w:val="none"/>
                <w:lang w:val="en-US" w:eastAsia="zh-CN"/>
              </w:rPr>
              <w:t>3</w:t>
            </w:r>
          </w:p>
        </w:tc>
        <w:tc>
          <w:tcPr>
            <w:tcW w:w="865" w:type="dxa"/>
            <w:vAlign w:val="center"/>
          </w:tcPr>
          <w:p>
            <w:pPr>
              <w:pStyle w:val="30"/>
              <w:spacing w:line="360" w:lineRule="auto"/>
              <w:rPr>
                <w:rFonts w:hint="eastAsia"/>
                <w:b w:val="0"/>
                <w:bCs w:val="0"/>
                <w:color w:val="auto"/>
                <w:szCs w:val="22"/>
                <w:highlight w:val="none"/>
                <w:lang w:val="en-US" w:eastAsia="zh-CN"/>
              </w:rPr>
            </w:pPr>
            <w:r>
              <w:rPr>
                <w:rFonts w:hint="eastAsia"/>
                <w:b w:val="0"/>
                <w:bCs w:val="0"/>
                <w:color w:val="auto"/>
                <w:highlight w:val="none"/>
              </w:rPr>
              <w:t>投标报价</w:t>
            </w:r>
          </w:p>
        </w:tc>
        <w:tc>
          <w:tcPr>
            <w:tcW w:w="7895" w:type="dxa"/>
            <w:vAlign w:val="top"/>
          </w:tcPr>
          <w:p>
            <w:pPr>
              <w:pStyle w:val="30"/>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1）投标报价是指产品到达使用地点，达到正常使用条件下的所有费用，包括产品的报价及所发生的运杂费（含保险）、现场安装调试费及国家按现行税收政策征收的一切税费等。以招标文件的内容和要求作为投标依据；</w:t>
            </w:r>
          </w:p>
          <w:p>
            <w:pPr>
              <w:pStyle w:val="30"/>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（2）投标人应在投标文件中的开标一览表上，标明供货折扣；任何有选择的折扣不予接受；</w:t>
            </w:r>
          </w:p>
          <w:p>
            <w:pPr>
              <w:pStyle w:val="30"/>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（3）投标报价：供货折扣（最多保留到小数点后两位）；</w:t>
            </w:r>
          </w:p>
          <w:p>
            <w:pPr>
              <w:pStyle w:val="30"/>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（4）开标一览表应有投标人公章及法定代表人或被授权人的签字或盖章；</w:t>
            </w:r>
          </w:p>
          <w:p>
            <w:pPr>
              <w:pStyle w:val="30"/>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（5）投标报价表中标明的折扣，在合同执行过程中，不得以任何理由变更；</w:t>
            </w:r>
          </w:p>
          <w:p>
            <w:pPr>
              <w:pStyle w:val="30"/>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（6）凡因投标人对招标文件阅读不深、理解不透、误解、疏漏、或因市场行情了解不清造成的后果和风险均由投标人自负；</w:t>
            </w:r>
          </w:p>
          <w:p>
            <w:pPr>
              <w:pStyle w:val="30"/>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 xml:space="preserve">（7）最低折扣报价不是中标的唯一依据； </w:t>
            </w:r>
          </w:p>
          <w:p>
            <w:pPr>
              <w:pStyle w:val="30"/>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8）投标人不得以低于成本的折扣报价参加投标。评标委员会认为投标人的折扣报价明显低于其他通过符合性审查投标人的折扣报价，有可能影响产品质量或者不能诚信履约的，应当要求其在评标现场合理的时间内提供书面说明，必要时提交相关证明材料；投标人不能证明其折扣报价合理性的，评标委员会应当将其作为无效投标处理。</w:t>
            </w:r>
          </w:p>
          <w:p>
            <w:pPr>
              <w:pStyle w:val="30"/>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（9）投标人对投标</w:t>
            </w:r>
            <w:r>
              <w:rPr>
                <w:rFonts w:hint="eastAsia" w:cs="宋体"/>
                <w:color w:val="auto"/>
                <w:highlight w:val="none"/>
                <w:lang w:val="en-US" w:eastAsia="zh-CN"/>
              </w:rPr>
              <w:t>包（标段）</w:t>
            </w:r>
            <w:r>
              <w:rPr>
                <w:rFonts w:hint="eastAsia" w:ascii="宋体" w:hAnsi="宋体" w:eastAsia="宋体" w:cs="宋体"/>
                <w:color w:val="auto"/>
                <w:highlight w:val="none"/>
              </w:rPr>
              <w:t>只允许有一个折扣报价，不接受超过招标文件中规定的预算金额或者最高限价的报价、可变动性报价、赠送及“零”报价，否则视为无效投标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14" w:hRule="atLeast"/>
          <w:tblHeader/>
          <w:jc w:val="center"/>
        </w:trPr>
        <w:tc>
          <w:tcPr>
            <w:tcW w:w="583" w:type="dxa"/>
            <w:vAlign w:val="center"/>
          </w:tcPr>
          <w:p>
            <w:pPr>
              <w:pStyle w:val="30"/>
              <w:spacing w:line="360" w:lineRule="auto"/>
              <w:rPr>
                <w:rFonts w:hint="eastAsia" w:ascii="宋体" w:hAnsi="宋体" w:eastAsia="宋体" w:cs="宋体"/>
                <w:b w:val="0"/>
                <w:bCs w:val="0"/>
                <w:color w:val="auto"/>
                <w:highlight w:val="none"/>
                <w:lang w:val="en-US" w:eastAsia="zh-CN"/>
              </w:rPr>
            </w:pPr>
            <w:r>
              <w:rPr>
                <w:rFonts w:hint="eastAsia" w:cs="宋体"/>
                <w:b w:val="0"/>
                <w:bCs w:val="0"/>
                <w:color w:val="auto"/>
                <w:highlight w:val="none"/>
                <w:lang w:val="en-US" w:eastAsia="zh-CN"/>
              </w:rPr>
              <w:t>4</w:t>
            </w:r>
          </w:p>
        </w:tc>
        <w:tc>
          <w:tcPr>
            <w:tcW w:w="865" w:type="dxa"/>
            <w:vAlign w:val="center"/>
          </w:tcPr>
          <w:p>
            <w:pPr>
              <w:pStyle w:val="30"/>
              <w:spacing w:line="360" w:lineRule="auto"/>
              <w:rPr>
                <w:rFonts w:hint="eastAsia"/>
                <w:b w:val="0"/>
                <w:bCs w:val="0"/>
                <w:color w:val="auto"/>
                <w:highlight w:val="none"/>
              </w:rPr>
            </w:pPr>
            <w:r>
              <w:rPr>
                <w:rFonts w:hint="eastAsia"/>
                <w:b w:val="0"/>
                <w:bCs w:val="0"/>
                <w:color w:val="auto"/>
                <w:highlight w:val="none"/>
              </w:rPr>
              <w:t>付款方式</w:t>
            </w:r>
          </w:p>
        </w:tc>
        <w:tc>
          <w:tcPr>
            <w:tcW w:w="7895" w:type="dxa"/>
            <w:vAlign w:val="center"/>
          </w:tcPr>
          <w:p>
            <w:pPr>
              <w:pStyle w:val="30"/>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本项目图书分多次采购，具体采购次数以采购人的供货清单为准。货款按实际订购数量和实洋凭发票结算。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14" w:hRule="atLeast"/>
          <w:tblHeader/>
          <w:jc w:val="center"/>
        </w:trPr>
        <w:tc>
          <w:tcPr>
            <w:tcW w:w="583" w:type="dxa"/>
            <w:vAlign w:val="center"/>
          </w:tcPr>
          <w:p>
            <w:pPr>
              <w:pStyle w:val="30"/>
              <w:spacing w:line="360" w:lineRule="auto"/>
              <w:rPr>
                <w:rFonts w:hint="eastAsia" w:ascii="宋体" w:hAnsi="宋体" w:eastAsia="宋体" w:cs="宋体"/>
                <w:b w:val="0"/>
                <w:bCs w:val="0"/>
                <w:color w:val="auto"/>
                <w:highlight w:val="none"/>
                <w:lang w:val="en-US" w:eastAsia="zh-CN"/>
              </w:rPr>
            </w:pPr>
            <w:r>
              <w:rPr>
                <w:rFonts w:hint="eastAsia" w:cs="宋体"/>
                <w:b w:val="0"/>
                <w:bCs w:val="0"/>
                <w:color w:val="auto"/>
                <w:highlight w:val="none"/>
                <w:lang w:val="en-US" w:eastAsia="zh-CN"/>
              </w:rPr>
              <w:t>5</w:t>
            </w:r>
          </w:p>
        </w:tc>
        <w:tc>
          <w:tcPr>
            <w:tcW w:w="865" w:type="dxa"/>
            <w:vAlign w:val="center"/>
          </w:tcPr>
          <w:p>
            <w:pPr>
              <w:pStyle w:val="30"/>
              <w:spacing w:line="360" w:lineRule="auto"/>
              <w:rPr>
                <w:rFonts w:hint="eastAsia"/>
                <w:b w:val="0"/>
                <w:bCs w:val="0"/>
                <w:color w:val="auto"/>
                <w:highlight w:val="none"/>
              </w:rPr>
            </w:pPr>
            <w:r>
              <w:rPr>
                <w:rFonts w:hint="eastAsia"/>
                <w:b w:val="0"/>
                <w:bCs w:val="0"/>
                <w:color w:val="auto"/>
                <w:szCs w:val="22"/>
                <w:highlight w:val="none"/>
                <w:lang w:eastAsia="zh-CN"/>
              </w:rPr>
              <w:t>履约保证金</w:t>
            </w:r>
          </w:p>
        </w:tc>
        <w:tc>
          <w:tcPr>
            <w:tcW w:w="7895" w:type="dxa"/>
            <w:vAlign w:val="center"/>
          </w:tcPr>
          <w:p>
            <w:pPr>
              <w:pStyle w:val="30"/>
              <w:spacing w:line="360" w:lineRule="auto"/>
              <w:jc w:val="both"/>
              <w:rPr>
                <w:rFonts w:hint="eastAsia" w:ascii="宋体" w:hAnsi="宋体" w:eastAsia="宋体" w:cs="宋体"/>
                <w:color w:val="auto"/>
                <w:highlight w:val="none"/>
              </w:rPr>
            </w:pPr>
            <w:r>
              <w:rPr>
                <w:rFonts w:hint="eastAsia"/>
                <w:color w:val="auto"/>
                <w:szCs w:val="22"/>
                <w:highlight w:val="none"/>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14" w:hRule="atLeast"/>
          <w:tblHeader/>
          <w:jc w:val="center"/>
        </w:trPr>
        <w:tc>
          <w:tcPr>
            <w:tcW w:w="583" w:type="dxa"/>
            <w:vAlign w:val="center"/>
          </w:tcPr>
          <w:p>
            <w:pPr>
              <w:pStyle w:val="30"/>
              <w:spacing w:line="360" w:lineRule="auto"/>
              <w:rPr>
                <w:rFonts w:hint="eastAsia" w:ascii="宋体" w:hAnsi="宋体" w:eastAsia="宋体" w:cs="宋体"/>
                <w:b/>
                <w:bCs/>
                <w:color w:val="auto"/>
                <w:highlight w:val="none"/>
                <w:lang w:val="en-US" w:eastAsia="zh-CN"/>
              </w:rPr>
            </w:pPr>
            <w:r>
              <w:rPr>
                <w:rFonts w:hint="eastAsia" w:cs="宋体"/>
                <w:b/>
                <w:bCs/>
                <w:color w:val="auto"/>
                <w:highlight w:val="none"/>
                <w:lang w:val="en-US" w:eastAsia="zh-CN"/>
              </w:rPr>
              <w:t>6</w:t>
            </w:r>
          </w:p>
        </w:tc>
        <w:tc>
          <w:tcPr>
            <w:tcW w:w="865" w:type="dxa"/>
            <w:vAlign w:val="center"/>
          </w:tcPr>
          <w:p>
            <w:pPr>
              <w:pStyle w:val="30"/>
              <w:spacing w:line="360" w:lineRule="auto"/>
              <w:rPr>
                <w:rFonts w:hint="eastAsia"/>
                <w:b/>
                <w:bCs/>
                <w:color w:val="auto"/>
                <w:szCs w:val="22"/>
                <w:highlight w:val="none"/>
                <w:lang w:eastAsia="zh-CN"/>
              </w:rPr>
            </w:pPr>
            <w:r>
              <w:rPr>
                <w:rFonts w:hint="eastAsia" w:ascii="宋体" w:hAnsi="宋体" w:eastAsia="宋体" w:cs="宋体"/>
                <w:b/>
                <w:bCs/>
                <w:color w:val="auto"/>
                <w:highlight w:val="none"/>
              </w:rPr>
              <w:t>中标说明</w:t>
            </w:r>
          </w:p>
        </w:tc>
        <w:tc>
          <w:tcPr>
            <w:tcW w:w="7895" w:type="dxa"/>
            <w:vAlign w:val="center"/>
          </w:tcPr>
          <w:p>
            <w:pPr>
              <w:pStyle w:val="5"/>
              <w:bidi w:val="0"/>
              <w:ind w:left="0" w:leftChars="0" w:firstLine="0" w:firstLineChars="0"/>
              <w:rPr>
                <w:rFonts w:hint="eastAsia"/>
                <w:color w:val="auto"/>
                <w:szCs w:val="22"/>
                <w:highlight w:val="none"/>
                <w:lang w:val="en-US" w:eastAsia="zh-CN"/>
              </w:rPr>
            </w:pPr>
            <w:r>
              <w:rPr>
                <w:rFonts w:hint="eastAsia" w:ascii="宋体" w:hAnsi="宋体" w:eastAsia="宋体" w:cs="宋体"/>
                <w:b/>
                <w:bCs/>
                <w:color w:val="auto"/>
                <w:kern w:val="0"/>
                <w:sz w:val="24"/>
                <w:szCs w:val="20"/>
                <w:highlight w:val="none"/>
                <w:lang w:val="en-US" w:eastAsia="zh-CN" w:bidi="ar-SA"/>
              </w:rPr>
              <w:t>本项目</w:t>
            </w:r>
            <w:r>
              <w:rPr>
                <w:rFonts w:hint="eastAsia" w:cs="宋体"/>
                <w:b/>
                <w:bCs/>
                <w:color w:val="auto"/>
                <w:kern w:val="0"/>
                <w:sz w:val="24"/>
                <w:szCs w:val="20"/>
                <w:highlight w:val="none"/>
                <w:lang w:val="en-US" w:eastAsia="zh-CN" w:bidi="ar-SA"/>
              </w:rPr>
              <w:t>各合同包</w:t>
            </w:r>
            <w:r>
              <w:rPr>
                <w:rFonts w:hint="eastAsia" w:ascii="宋体" w:hAnsi="宋体" w:eastAsia="宋体" w:cs="宋体"/>
                <w:b/>
                <w:bCs/>
                <w:color w:val="auto"/>
                <w:kern w:val="0"/>
                <w:sz w:val="24"/>
                <w:szCs w:val="20"/>
                <w:highlight w:val="none"/>
                <w:lang w:val="en-US" w:eastAsia="zh-CN" w:bidi="ar-SA"/>
              </w:rPr>
              <w:t>采用有限数量制入围前三名，每</w:t>
            </w:r>
            <w:r>
              <w:rPr>
                <w:rFonts w:hint="eastAsia" w:cs="宋体"/>
                <w:b/>
                <w:bCs/>
                <w:color w:val="auto"/>
                <w:kern w:val="0"/>
                <w:sz w:val="24"/>
                <w:szCs w:val="20"/>
                <w:highlight w:val="none"/>
                <w:lang w:val="en-US" w:eastAsia="zh-CN" w:bidi="ar-SA"/>
              </w:rPr>
              <w:t>合同包</w:t>
            </w:r>
            <w:r>
              <w:rPr>
                <w:rFonts w:hint="eastAsia" w:ascii="宋体" w:hAnsi="宋体" w:eastAsia="宋体" w:cs="宋体"/>
                <w:b/>
                <w:bCs/>
                <w:color w:val="auto"/>
                <w:kern w:val="0"/>
                <w:sz w:val="24"/>
                <w:szCs w:val="20"/>
                <w:highlight w:val="none"/>
                <w:lang w:val="en-US" w:eastAsia="zh-CN" w:bidi="ar-SA"/>
              </w:rPr>
              <w:t>入围供应商入围份额以该</w:t>
            </w:r>
            <w:r>
              <w:rPr>
                <w:rFonts w:hint="eastAsia" w:cs="宋体"/>
                <w:b/>
                <w:bCs/>
                <w:color w:val="auto"/>
                <w:kern w:val="0"/>
                <w:sz w:val="24"/>
                <w:szCs w:val="20"/>
                <w:highlight w:val="none"/>
                <w:lang w:val="en-US" w:eastAsia="zh-CN" w:bidi="ar-SA"/>
              </w:rPr>
              <w:t>合同包</w:t>
            </w:r>
            <w:r>
              <w:rPr>
                <w:rFonts w:hint="eastAsia" w:ascii="宋体" w:hAnsi="宋体" w:eastAsia="宋体" w:cs="宋体"/>
                <w:b/>
                <w:bCs/>
                <w:color w:val="auto"/>
                <w:kern w:val="0"/>
                <w:sz w:val="24"/>
                <w:szCs w:val="20"/>
                <w:highlight w:val="none"/>
                <w:lang w:val="en-US" w:eastAsia="zh-CN" w:bidi="ar-SA"/>
              </w:rPr>
              <w:t>报价综合折扣由低到高排序分别为45%份额、30%份额、25%份额</w:t>
            </w:r>
            <w:r>
              <w:rPr>
                <w:rFonts w:hint="eastAsia" w:cs="宋体"/>
                <w:b/>
                <w:bCs/>
                <w:color w:val="auto"/>
                <w:kern w:val="0"/>
                <w:sz w:val="24"/>
                <w:szCs w:val="20"/>
                <w:highlight w:val="none"/>
                <w:lang w:val="en-US" w:eastAsia="zh-CN" w:bidi="ar-SA"/>
              </w:rPr>
              <w:t>。</w:t>
            </w:r>
          </w:p>
        </w:tc>
      </w:tr>
    </w:tbl>
    <w:p>
      <w:pPr>
        <w:pStyle w:val="5"/>
        <w:ind w:firstLine="480"/>
        <w:rPr>
          <w:color w:val="auto"/>
          <w:highlight w:val="none"/>
        </w:rPr>
      </w:pPr>
    </w:p>
    <w:p>
      <w:pPr>
        <w:rPr>
          <w:color w:val="auto"/>
          <w:highlight w:val="none"/>
        </w:rPr>
      </w:pPr>
      <w:r>
        <w:rPr>
          <w:rFonts w:hint="eastAsia"/>
          <w:color w:val="auto"/>
          <w:highlight w:val="none"/>
        </w:rPr>
        <w:br w:type="page"/>
      </w:r>
    </w:p>
    <w:p>
      <w:pPr>
        <w:pStyle w:val="3"/>
        <w:spacing w:before="333"/>
        <w:rPr>
          <w:color w:val="auto"/>
          <w:highlight w:val="none"/>
        </w:rPr>
      </w:pPr>
      <w:bookmarkStart w:id="151" w:name="_Toc23137"/>
      <w:r>
        <w:rPr>
          <w:rFonts w:hint="eastAsia"/>
          <w:color w:val="auto"/>
          <w:highlight w:val="none"/>
        </w:rPr>
        <w:t>第五章  评标办法</w:t>
      </w:r>
      <w:bookmarkEnd w:id="146"/>
      <w:bookmarkEnd w:id="147"/>
      <w:bookmarkEnd w:id="148"/>
      <w:bookmarkEnd w:id="149"/>
      <w:bookmarkEnd w:id="150"/>
      <w:bookmarkEnd w:id="151"/>
    </w:p>
    <w:p>
      <w:pPr>
        <w:pStyle w:val="2"/>
        <w:rPr>
          <w:color w:val="auto"/>
          <w:highlight w:val="none"/>
        </w:rPr>
      </w:pPr>
      <w:bookmarkStart w:id="152" w:name="_Toc363463332"/>
      <w:bookmarkStart w:id="153" w:name="_Toc10474"/>
      <w:bookmarkStart w:id="154" w:name="_Toc12882"/>
      <w:r>
        <w:rPr>
          <w:rFonts w:hint="eastAsia"/>
          <w:color w:val="auto"/>
          <w:highlight w:val="none"/>
        </w:rPr>
        <w:t>一．评标办法</w:t>
      </w:r>
      <w:bookmarkEnd w:id="152"/>
      <w:bookmarkEnd w:id="153"/>
      <w:bookmarkEnd w:id="154"/>
    </w:p>
    <w:p>
      <w:pPr>
        <w:pStyle w:val="5"/>
        <w:ind w:firstLine="480"/>
        <w:rPr>
          <w:color w:val="auto"/>
          <w:highlight w:val="none"/>
        </w:rPr>
      </w:pPr>
      <w:r>
        <w:rPr>
          <w:rFonts w:hint="eastAsia"/>
          <w:color w:val="auto"/>
          <w:highlight w:val="none"/>
        </w:rPr>
        <w:t>按照《中华人民共和国政府采购法》、中华人民共和国2015年第658号国务院令--《中华人民共和国政府采购法实施条例》和中华人民共和国财政部2017年第87号部长令--《政府采购货物和服务招标投标管理办法》的规定，</w:t>
      </w:r>
      <w:r>
        <w:rPr>
          <w:rFonts w:hint="eastAsia"/>
          <w:b/>
          <w:color w:val="auto"/>
          <w:highlight w:val="none"/>
        </w:rPr>
        <w:t>本次评标采用综合评分法-</w:t>
      </w:r>
      <w:r>
        <w:rPr>
          <w:rFonts w:hint="eastAsia"/>
          <w:color w:val="auto"/>
          <w:highlight w:val="none"/>
        </w:rPr>
        <w:t>-投标文件满足招标文件全部实质性要求，且按照评审因素的量化指标评审得分最高的投标人为中标候选人。</w:t>
      </w:r>
      <w:r>
        <w:rPr>
          <w:rFonts w:hint="eastAsia"/>
          <w:b/>
          <w:bCs/>
          <w:color w:val="auto"/>
          <w:highlight w:val="none"/>
        </w:rPr>
        <w:t>最低报价不是中标的唯一标准。</w:t>
      </w:r>
    </w:p>
    <w:p>
      <w:pPr>
        <w:pStyle w:val="2"/>
        <w:rPr>
          <w:color w:val="auto"/>
          <w:highlight w:val="none"/>
        </w:rPr>
      </w:pPr>
      <w:bookmarkStart w:id="155" w:name="_Toc27037"/>
      <w:bookmarkStart w:id="156" w:name="_Toc20618"/>
      <w:r>
        <w:rPr>
          <w:rFonts w:hint="eastAsia"/>
          <w:color w:val="auto"/>
          <w:highlight w:val="none"/>
        </w:rPr>
        <w:t>二．评标委员会负责具体评标事务，并独立履行下列职责：</w:t>
      </w:r>
      <w:bookmarkEnd w:id="155"/>
      <w:bookmarkEnd w:id="156"/>
    </w:p>
    <w:p>
      <w:pPr>
        <w:pStyle w:val="5"/>
        <w:ind w:firstLine="480"/>
        <w:rPr>
          <w:color w:val="auto"/>
          <w:highlight w:val="none"/>
        </w:rPr>
      </w:pPr>
      <w:r>
        <w:rPr>
          <w:rFonts w:hint="eastAsia"/>
          <w:color w:val="auto"/>
          <w:highlight w:val="none"/>
        </w:rPr>
        <w:t>2.1审查、评价投标文件是否符合招标文件的商务、技术、合同条款等实质性要求；</w:t>
      </w:r>
    </w:p>
    <w:p>
      <w:pPr>
        <w:pStyle w:val="5"/>
        <w:ind w:firstLine="480"/>
        <w:rPr>
          <w:color w:val="auto"/>
          <w:highlight w:val="none"/>
        </w:rPr>
      </w:pPr>
      <w:r>
        <w:rPr>
          <w:rFonts w:hint="eastAsia"/>
          <w:color w:val="auto"/>
          <w:highlight w:val="none"/>
        </w:rPr>
        <w:t>2.2要求投标人对投标文件有关事项作出澄清或者说明；</w:t>
      </w:r>
    </w:p>
    <w:p>
      <w:pPr>
        <w:pStyle w:val="5"/>
        <w:ind w:firstLine="480"/>
        <w:rPr>
          <w:color w:val="auto"/>
          <w:highlight w:val="none"/>
        </w:rPr>
      </w:pPr>
      <w:r>
        <w:rPr>
          <w:rFonts w:hint="eastAsia"/>
          <w:color w:val="auto"/>
          <w:highlight w:val="none"/>
        </w:rPr>
        <w:t>2.3对投标文件进行比较和评价；</w:t>
      </w:r>
    </w:p>
    <w:p>
      <w:pPr>
        <w:pStyle w:val="5"/>
        <w:ind w:firstLine="480"/>
        <w:rPr>
          <w:color w:val="auto"/>
          <w:highlight w:val="none"/>
        </w:rPr>
      </w:pPr>
      <w:r>
        <w:rPr>
          <w:rFonts w:hint="eastAsia"/>
          <w:color w:val="auto"/>
          <w:highlight w:val="none"/>
        </w:rPr>
        <w:t>2.4确定中标候选人名单，以及根据采购人委托直接确定中标人；</w:t>
      </w:r>
    </w:p>
    <w:p>
      <w:pPr>
        <w:pStyle w:val="5"/>
        <w:ind w:firstLine="480"/>
        <w:rPr>
          <w:color w:val="auto"/>
          <w:highlight w:val="none"/>
        </w:rPr>
      </w:pPr>
      <w:r>
        <w:rPr>
          <w:rFonts w:hint="eastAsia"/>
          <w:color w:val="auto"/>
          <w:highlight w:val="none"/>
        </w:rPr>
        <w:t>2.5向采购人、采购代理机构或者有关部门报告评标中发现的违法行为。</w:t>
      </w:r>
    </w:p>
    <w:p>
      <w:pPr>
        <w:pStyle w:val="2"/>
        <w:rPr>
          <w:color w:val="auto"/>
          <w:highlight w:val="none"/>
        </w:rPr>
      </w:pPr>
      <w:r>
        <w:rPr>
          <w:rFonts w:hint="eastAsia"/>
          <w:color w:val="auto"/>
          <w:highlight w:val="none"/>
        </w:rPr>
        <w:t>三．投标人存在下列情况之一的，投标无效：</w:t>
      </w:r>
    </w:p>
    <w:p>
      <w:pPr>
        <w:pStyle w:val="5"/>
        <w:ind w:firstLine="480"/>
        <w:rPr>
          <w:color w:val="auto"/>
          <w:highlight w:val="none"/>
        </w:rPr>
      </w:pPr>
      <w:r>
        <w:rPr>
          <w:rFonts w:hint="eastAsia"/>
          <w:color w:val="auto"/>
          <w:highlight w:val="none"/>
        </w:rPr>
        <w:t>3.1未按照招标文件的规定提交投标保证金（如有）的；</w:t>
      </w:r>
    </w:p>
    <w:p>
      <w:pPr>
        <w:pStyle w:val="5"/>
        <w:ind w:firstLine="480"/>
        <w:rPr>
          <w:color w:val="auto"/>
          <w:highlight w:val="none"/>
        </w:rPr>
      </w:pPr>
      <w:r>
        <w:rPr>
          <w:rFonts w:hint="eastAsia"/>
          <w:color w:val="auto"/>
          <w:highlight w:val="none"/>
        </w:rPr>
        <w:t>3.2投标文件未按招标文件要求签署、盖章的；</w:t>
      </w:r>
    </w:p>
    <w:p>
      <w:pPr>
        <w:pStyle w:val="5"/>
        <w:ind w:firstLine="480"/>
        <w:rPr>
          <w:color w:val="auto"/>
          <w:highlight w:val="none"/>
        </w:rPr>
      </w:pPr>
      <w:r>
        <w:rPr>
          <w:rFonts w:hint="eastAsia"/>
          <w:color w:val="auto"/>
          <w:highlight w:val="none"/>
        </w:rPr>
        <w:t>3.3不具备招标文件中规定的资格要求的；</w:t>
      </w:r>
    </w:p>
    <w:p>
      <w:pPr>
        <w:pStyle w:val="5"/>
        <w:ind w:firstLine="480"/>
        <w:rPr>
          <w:color w:val="auto"/>
          <w:highlight w:val="none"/>
        </w:rPr>
      </w:pPr>
      <w:r>
        <w:rPr>
          <w:rFonts w:hint="eastAsia"/>
          <w:color w:val="auto"/>
          <w:highlight w:val="none"/>
        </w:rPr>
        <w:t>3.4报价超过招标文件中规定的预算金额或者最高限价的；</w:t>
      </w:r>
    </w:p>
    <w:p>
      <w:pPr>
        <w:pStyle w:val="5"/>
        <w:ind w:firstLine="480"/>
        <w:rPr>
          <w:color w:val="auto"/>
          <w:highlight w:val="none"/>
        </w:rPr>
      </w:pPr>
      <w:r>
        <w:rPr>
          <w:rFonts w:hint="eastAsia"/>
          <w:color w:val="auto"/>
          <w:highlight w:val="none"/>
        </w:rPr>
        <w:t>3.5投标文件含有采购人不能接受的附加条件的；</w:t>
      </w:r>
    </w:p>
    <w:p>
      <w:pPr>
        <w:pStyle w:val="5"/>
        <w:ind w:firstLine="480"/>
        <w:rPr>
          <w:color w:val="auto"/>
          <w:highlight w:val="none"/>
        </w:rPr>
      </w:pPr>
      <w:r>
        <w:rPr>
          <w:rFonts w:hint="eastAsia"/>
          <w:color w:val="auto"/>
          <w:highlight w:val="none"/>
        </w:rPr>
        <w:t>3.6无投标有效期或有效期达不到招标文件要求的；</w:t>
      </w:r>
    </w:p>
    <w:p>
      <w:pPr>
        <w:pStyle w:val="5"/>
        <w:ind w:firstLine="480"/>
        <w:rPr>
          <w:color w:val="auto"/>
          <w:highlight w:val="none"/>
        </w:rPr>
      </w:pPr>
      <w:r>
        <w:rPr>
          <w:rFonts w:hint="eastAsia"/>
          <w:color w:val="auto"/>
          <w:highlight w:val="none"/>
        </w:rPr>
        <w:t>3.7单位负责人为同一人或者存在直接控股、管理关系的不同投标人，参加本项目同一合同项下的投标的；</w:t>
      </w:r>
    </w:p>
    <w:p>
      <w:pPr>
        <w:pStyle w:val="5"/>
        <w:ind w:firstLine="480"/>
        <w:rPr>
          <w:color w:val="auto"/>
          <w:highlight w:val="none"/>
        </w:rPr>
      </w:pPr>
      <w:r>
        <w:rPr>
          <w:rFonts w:hint="eastAsia"/>
          <w:color w:val="auto"/>
          <w:highlight w:val="none"/>
        </w:rPr>
        <w:t>3.8为本采购项目提供整体设计、规范编制或者项目管理、监理、检测等服务的投标人，参加本采购项目投标的；</w:t>
      </w:r>
    </w:p>
    <w:p>
      <w:pPr>
        <w:pStyle w:val="5"/>
        <w:ind w:firstLine="480"/>
        <w:rPr>
          <w:color w:val="auto"/>
          <w:highlight w:val="none"/>
        </w:rPr>
      </w:pPr>
      <w:r>
        <w:rPr>
          <w:rFonts w:hint="eastAsia"/>
          <w:color w:val="auto"/>
          <w:highlight w:val="none"/>
        </w:rPr>
        <w:t>3.9提供虚假投标文件和资料的。</w:t>
      </w:r>
    </w:p>
    <w:p>
      <w:pPr>
        <w:pStyle w:val="5"/>
        <w:ind w:firstLine="480"/>
        <w:rPr>
          <w:color w:val="auto"/>
          <w:highlight w:val="none"/>
        </w:rPr>
      </w:pPr>
      <w:r>
        <w:rPr>
          <w:rFonts w:hint="eastAsia"/>
          <w:color w:val="auto"/>
          <w:highlight w:val="none"/>
        </w:rPr>
        <w:t>3.10法律、法规和招标文件规定的其他无效情形。</w:t>
      </w:r>
    </w:p>
    <w:p>
      <w:pPr>
        <w:pStyle w:val="2"/>
        <w:rPr>
          <w:color w:val="auto"/>
          <w:highlight w:val="none"/>
        </w:rPr>
      </w:pPr>
      <w:r>
        <w:rPr>
          <w:rFonts w:hint="eastAsia"/>
          <w:color w:val="auto"/>
          <w:highlight w:val="none"/>
        </w:rPr>
        <w:t>四．投标人有下列情形之一的，视为投标人串通投标，其投标无效：</w:t>
      </w:r>
    </w:p>
    <w:p>
      <w:pPr>
        <w:pStyle w:val="5"/>
        <w:ind w:firstLine="480"/>
        <w:rPr>
          <w:color w:val="auto"/>
          <w:highlight w:val="none"/>
        </w:rPr>
      </w:pPr>
      <w:r>
        <w:rPr>
          <w:rFonts w:hint="eastAsia"/>
          <w:color w:val="auto"/>
          <w:highlight w:val="none"/>
        </w:rPr>
        <w:t>4.1不同投标人的投标文件由同一单位或者个人编制；</w:t>
      </w:r>
    </w:p>
    <w:p>
      <w:pPr>
        <w:pStyle w:val="5"/>
        <w:ind w:firstLine="480"/>
        <w:rPr>
          <w:color w:val="auto"/>
          <w:highlight w:val="none"/>
        </w:rPr>
      </w:pPr>
      <w:r>
        <w:rPr>
          <w:rFonts w:hint="eastAsia"/>
          <w:color w:val="auto"/>
          <w:highlight w:val="none"/>
        </w:rPr>
        <w:t>4.2不同投标人委托同一单位或者个人办理投标事宜；</w:t>
      </w:r>
    </w:p>
    <w:p>
      <w:pPr>
        <w:pStyle w:val="5"/>
        <w:ind w:firstLine="480"/>
        <w:rPr>
          <w:color w:val="auto"/>
          <w:highlight w:val="none"/>
        </w:rPr>
      </w:pPr>
      <w:r>
        <w:rPr>
          <w:rFonts w:hint="eastAsia"/>
          <w:color w:val="auto"/>
          <w:highlight w:val="none"/>
        </w:rPr>
        <w:t>4.3不同投标人的投标文件载明的项目管理成员或者联系人员为同一人；</w:t>
      </w:r>
    </w:p>
    <w:p>
      <w:pPr>
        <w:pStyle w:val="5"/>
        <w:ind w:firstLine="480"/>
        <w:rPr>
          <w:color w:val="auto"/>
          <w:highlight w:val="none"/>
        </w:rPr>
      </w:pPr>
      <w:r>
        <w:rPr>
          <w:rFonts w:hint="eastAsia"/>
          <w:color w:val="auto"/>
          <w:highlight w:val="none"/>
        </w:rPr>
        <w:t>4.4不同投标人的投标文件异常一致或者投标报价呈规律性差异；</w:t>
      </w:r>
    </w:p>
    <w:p>
      <w:pPr>
        <w:pStyle w:val="5"/>
        <w:ind w:firstLine="480"/>
        <w:rPr>
          <w:color w:val="auto"/>
          <w:highlight w:val="none"/>
        </w:rPr>
      </w:pPr>
      <w:r>
        <w:rPr>
          <w:rFonts w:hint="eastAsia"/>
          <w:color w:val="auto"/>
          <w:highlight w:val="none"/>
        </w:rPr>
        <w:t>4.5不同投标人的投标文件相互混装；</w:t>
      </w:r>
    </w:p>
    <w:p>
      <w:pPr>
        <w:pStyle w:val="5"/>
        <w:ind w:firstLine="480"/>
        <w:rPr>
          <w:color w:val="auto"/>
          <w:spacing w:val="4"/>
          <w:szCs w:val="21"/>
          <w:highlight w:val="none"/>
        </w:rPr>
      </w:pPr>
      <w:r>
        <w:rPr>
          <w:rFonts w:hint="eastAsia"/>
          <w:color w:val="auto"/>
          <w:highlight w:val="none"/>
        </w:rPr>
        <w:t>4.6不同投标人的投标保证金从同一单位或者个人的账户转出。</w:t>
      </w:r>
    </w:p>
    <w:p>
      <w:pPr>
        <w:pStyle w:val="2"/>
        <w:rPr>
          <w:color w:val="auto"/>
          <w:highlight w:val="none"/>
        </w:rPr>
      </w:pPr>
      <w:bookmarkStart w:id="157" w:name="_Toc27272"/>
      <w:bookmarkStart w:id="158" w:name="_Toc31251"/>
      <w:bookmarkStart w:id="159" w:name="_Toc363463333"/>
      <w:r>
        <w:rPr>
          <w:rFonts w:hint="eastAsia"/>
          <w:color w:val="auto"/>
          <w:highlight w:val="none"/>
        </w:rPr>
        <w:t>五．评审程序</w:t>
      </w:r>
      <w:bookmarkEnd w:id="157"/>
      <w:bookmarkEnd w:id="158"/>
      <w:bookmarkEnd w:id="159"/>
    </w:p>
    <w:p>
      <w:pPr>
        <w:pStyle w:val="5"/>
        <w:ind w:firstLine="480"/>
        <w:rPr>
          <w:color w:val="auto"/>
          <w:highlight w:val="none"/>
        </w:rPr>
      </w:pPr>
      <w:r>
        <w:rPr>
          <w:rFonts w:hint="eastAsia"/>
          <w:color w:val="auto"/>
          <w:highlight w:val="none"/>
        </w:rPr>
        <w:t>按照投标文件初审、澄清有关问题、比较与评价、推荐中标候选人名单的工作程序进行评标。在上一步评审中被认定为无效投标者，不进入下一步的评审。</w:t>
      </w:r>
    </w:p>
    <w:p>
      <w:pPr>
        <w:pStyle w:val="5"/>
        <w:ind w:firstLine="482"/>
        <w:rPr>
          <w:b/>
          <w:bCs/>
          <w:color w:val="auto"/>
          <w:highlight w:val="none"/>
        </w:rPr>
      </w:pPr>
      <w:r>
        <w:rPr>
          <w:rFonts w:hint="eastAsia"/>
          <w:b/>
          <w:bCs/>
          <w:color w:val="auto"/>
          <w:highlight w:val="none"/>
        </w:rPr>
        <w:t>5.1投标文件初审</w:t>
      </w:r>
    </w:p>
    <w:p>
      <w:pPr>
        <w:pStyle w:val="5"/>
        <w:ind w:firstLine="480"/>
        <w:rPr>
          <w:color w:val="auto"/>
          <w:highlight w:val="none"/>
        </w:rPr>
      </w:pPr>
      <w:r>
        <w:rPr>
          <w:rFonts w:hint="eastAsia"/>
          <w:color w:val="auto"/>
          <w:highlight w:val="none"/>
        </w:rPr>
        <w:t>（1）资格性审查：采购人或采购代理机构依据法律法规和招标文件规定的评审标准（投标人须知前附表：投标人资格要求）对投标人进行资格性审查。有一项不符合评审标准的，将被视为未实质性响应招标文件，其投标文件将按无效文件处理。</w:t>
      </w:r>
    </w:p>
    <w:p>
      <w:pPr>
        <w:pStyle w:val="5"/>
        <w:ind w:firstLine="480"/>
        <w:rPr>
          <w:color w:val="auto"/>
          <w:highlight w:val="none"/>
        </w:rPr>
      </w:pPr>
      <w:r>
        <w:rPr>
          <w:rFonts w:hint="eastAsia"/>
          <w:color w:val="auto"/>
          <w:highlight w:val="none"/>
        </w:rPr>
        <w:t>（2）符合性审查：评标委员会将依据招标文件规定的评审标准对投标文件进行符合性审查。有一项不符合评审标准的，将被视为未实质性响应招标文件，其投标文件将按无效文件处理。其内容包括但不限于以下部分：</w:t>
      </w:r>
    </w:p>
    <w:p>
      <w:pPr>
        <w:pStyle w:val="5"/>
        <w:ind w:firstLine="480"/>
        <w:rPr>
          <w:color w:val="auto"/>
          <w:highlight w:val="none"/>
        </w:rPr>
      </w:pPr>
      <w:r>
        <w:rPr>
          <w:rFonts w:hint="eastAsia"/>
          <w:color w:val="auto"/>
          <w:highlight w:val="none"/>
        </w:rPr>
        <w:t>1）投标人印刷体名称、公章名称与营业执照名称是否一致；</w:t>
      </w:r>
    </w:p>
    <w:p>
      <w:pPr>
        <w:pStyle w:val="5"/>
        <w:ind w:firstLine="480"/>
        <w:rPr>
          <w:color w:val="auto"/>
          <w:highlight w:val="none"/>
        </w:rPr>
      </w:pPr>
      <w:r>
        <w:rPr>
          <w:rFonts w:hint="eastAsia"/>
          <w:color w:val="auto"/>
          <w:highlight w:val="none"/>
        </w:rPr>
        <w:t>2）投标文件的正副本数量符合性；</w:t>
      </w:r>
    </w:p>
    <w:p>
      <w:pPr>
        <w:pStyle w:val="5"/>
        <w:ind w:firstLine="480"/>
        <w:rPr>
          <w:color w:val="auto"/>
          <w:highlight w:val="none"/>
        </w:rPr>
      </w:pPr>
      <w:r>
        <w:rPr>
          <w:rFonts w:hint="eastAsia"/>
          <w:color w:val="auto"/>
          <w:highlight w:val="none"/>
        </w:rPr>
        <w:t>3）投标文件的签字盖章符合性；</w:t>
      </w:r>
    </w:p>
    <w:p>
      <w:pPr>
        <w:pStyle w:val="5"/>
        <w:ind w:firstLine="480"/>
        <w:rPr>
          <w:color w:val="auto"/>
          <w:highlight w:val="none"/>
        </w:rPr>
      </w:pPr>
      <w:r>
        <w:rPr>
          <w:rFonts w:hint="eastAsia"/>
          <w:color w:val="auto"/>
          <w:highlight w:val="none"/>
        </w:rPr>
        <w:t>4）投标有效期符合性；</w:t>
      </w:r>
    </w:p>
    <w:p>
      <w:pPr>
        <w:pStyle w:val="5"/>
        <w:ind w:firstLine="480"/>
        <w:rPr>
          <w:color w:val="auto"/>
          <w:highlight w:val="none"/>
        </w:rPr>
      </w:pPr>
      <w:r>
        <w:rPr>
          <w:rFonts w:hint="eastAsia"/>
          <w:color w:val="auto"/>
          <w:highlight w:val="none"/>
        </w:rPr>
        <w:t>5）投标报价符合性（报价唯一性、报价未超预算）；</w:t>
      </w:r>
    </w:p>
    <w:p>
      <w:pPr>
        <w:pStyle w:val="5"/>
        <w:ind w:firstLine="480"/>
        <w:rPr>
          <w:color w:val="auto"/>
          <w:highlight w:val="none"/>
        </w:rPr>
      </w:pPr>
      <w:r>
        <w:rPr>
          <w:rFonts w:hint="eastAsia"/>
          <w:color w:val="auto"/>
          <w:highlight w:val="none"/>
        </w:rPr>
        <w:t>6）商务、技术要求满足实质性要求（质保期不小于招标要求、交付期不大于招标要求、付款方式满足招标要求、投标内容无重大缺漏项）；</w:t>
      </w:r>
    </w:p>
    <w:p>
      <w:pPr>
        <w:pStyle w:val="5"/>
        <w:ind w:firstLine="480"/>
        <w:rPr>
          <w:color w:val="auto"/>
          <w:highlight w:val="none"/>
        </w:rPr>
      </w:pPr>
      <w:r>
        <w:rPr>
          <w:rFonts w:hint="eastAsia"/>
          <w:color w:val="auto"/>
          <w:highlight w:val="none"/>
        </w:rPr>
        <w:t>7）其他法律、规章、规范性文件和招标文件规定的符合性。</w:t>
      </w:r>
    </w:p>
    <w:p>
      <w:pPr>
        <w:pStyle w:val="5"/>
        <w:ind w:firstLine="480"/>
        <w:rPr>
          <w:color w:val="auto"/>
          <w:highlight w:val="none"/>
        </w:rPr>
      </w:pPr>
      <w:r>
        <w:rPr>
          <w:rFonts w:hint="eastAsia"/>
          <w:color w:val="auto"/>
          <w:highlight w:val="none"/>
        </w:rPr>
        <w:t>（3）在资格性审查阶段，不符合招标文件要求的，不得进入符合性审查，在符合性审查时未通过的，不得进入后续评审环节。</w:t>
      </w:r>
    </w:p>
    <w:p>
      <w:pPr>
        <w:pStyle w:val="5"/>
        <w:ind w:firstLine="482"/>
        <w:rPr>
          <w:color w:val="auto"/>
          <w:highlight w:val="none"/>
        </w:rPr>
      </w:pPr>
      <w:r>
        <w:rPr>
          <w:rFonts w:hint="eastAsia"/>
          <w:b/>
          <w:bCs/>
          <w:color w:val="auto"/>
          <w:highlight w:val="none"/>
        </w:rPr>
        <w:t>5.2投标文件的澄清</w:t>
      </w:r>
    </w:p>
    <w:p>
      <w:pPr>
        <w:pStyle w:val="5"/>
        <w:ind w:firstLine="480"/>
        <w:rPr>
          <w:color w:val="auto"/>
          <w:highlight w:val="none"/>
        </w:rPr>
      </w:pPr>
      <w:r>
        <w:rPr>
          <w:rFonts w:hint="eastAsia"/>
          <w:color w:val="auto"/>
          <w:highlight w:val="none"/>
        </w:rPr>
        <w:t>5.2.1为有助于投标文件的审查、比较和评价，评标委员会可要求投标人对其投标文件中非实质性（投标文件中含义不明确、同类问题表述不一致或者有明显文字和计算错误的内容）的有关问题进行澄清、说明或者补正。有关澄清、说明或者补正的要求和答复应以书面形式提交，并由其法定代表人或被授权人签字。投标人的澄清、说明或者补正不得超出投标文件的范围或者改变投标文件的实质性内容。评标委员会不接受投标人主动提出的澄清、说明。</w:t>
      </w:r>
    </w:p>
    <w:p>
      <w:pPr>
        <w:pStyle w:val="5"/>
        <w:ind w:firstLine="480"/>
        <w:rPr>
          <w:color w:val="auto"/>
          <w:highlight w:val="none"/>
        </w:rPr>
      </w:pPr>
      <w:r>
        <w:rPr>
          <w:rFonts w:hint="eastAsia"/>
          <w:color w:val="auto"/>
          <w:highlight w:val="none"/>
        </w:rPr>
        <w:t>5.2.2有效的书面澄清材料，是投标文件的补充材料，成为投标文件的组成部分。</w:t>
      </w:r>
    </w:p>
    <w:p>
      <w:pPr>
        <w:pStyle w:val="5"/>
        <w:ind w:firstLine="480"/>
        <w:rPr>
          <w:color w:val="auto"/>
          <w:highlight w:val="none"/>
        </w:rPr>
      </w:pPr>
      <w:r>
        <w:rPr>
          <w:rFonts w:hint="eastAsia"/>
          <w:color w:val="auto"/>
          <w:highlight w:val="none"/>
        </w:rPr>
        <w:t>5.2.3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5"/>
        <w:ind w:firstLine="482"/>
        <w:rPr>
          <w:color w:val="auto"/>
          <w:highlight w:val="none"/>
        </w:rPr>
      </w:pPr>
      <w:r>
        <w:rPr>
          <w:rFonts w:hint="eastAsia"/>
          <w:b/>
          <w:bCs/>
          <w:color w:val="auto"/>
          <w:highlight w:val="none"/>
        </w:rPr>
        <w:t>5.3投标文件比较与评价</w:t>
      </w:r>
    </w:p>
    <w:p>
      <w:pPr>
        <w:pStyle w:val="5"/>
        <w:ind w:firstLine="480"/>
        <w:rPr>
          <w:color w:val="auto"/>
          <w:highlight w:val="none"/>
        </w:rPr>
      </w:pPr>
      <w:r>
        <w:rPr>
          <w:rFonts w:hint="eastAsia"/>
          <w:color w:val="auto"/>
          <w:highlight w:val="none"/>
        </w:rPr>
        <w:t>5.3.1评委会应按照招标文件《评标因素及权重分值表》规定的评标办法和标准，对资格性检查和符合性检查合格的投标文件进行商务和技术评估，综合比较与评价。</w:t>
      </w:r>
    </w:p>
    <w:p>
      <w:pPr>
        <w:pStyle w:val="5"/>
        <w:ind w:firstLine="480"/>
        <w:rPr>
          <w:color w:val="auto"/>
          <w:highlight w:val="none"/>
        </w:rPr>
      </w:pPr>
      <w:r>
        <w:rPr>
          <w:rFonts w:hint="eastAsia"/>
          <w:color w:val="auto"/>
          <w:highlight w:val="none"/>
        </w:rPr>
        <w:t>5.3.2评标委员会根据《评标因素及权重分值表》进行综合比较，独立评审、自主打分，按最后得分由高到低汇总排序，以项目为单位推荐中标候选人。评标委员会根据评标结果写出评标报告。评标委员会成员对需要共同认定的事项存在争议的，应当按照少数服从多数的原则作出结论。持不同意见的评标委员会成员应当在评标报告上签署不同意见及理由，否则视为同意评标报告。</w:t>
      </w:r>
    </w:p>
    <w:p>
      <w:pPr>
        <w:pStyle w:val="5"/>
        <w:ind w:firstLine="480"/>
        <w:rPr>
          <w:color w:val="auto"/>
          <w:highlight w:val="none"/>
        </w:rPr>
      </w:pPr>
      <w:r>
        <w:rPr>
          <w:rFonts w:hint="eastAsia"/>
          <w:color w:val="auto"/>
          <w:highlight w:val="none"/>
        </w:rPr>
        <w:t xml:space="preserve">5.3.3评标委员会成员须对畸高、畸低的重大差异评分进行复核或书面说明理由。 </w:t>
      </w:r>
    </w:p>
    <w:p>
      <w:pPr>
        <w:pStyle w:val="5"/>
        <w:ind w:firstLine="480"/>
        <w:rPr>
          <w:color w:val="auto"/>
          <w:highlight w:val="none"/>
        </w:rPr>
      </w:pPr>
      <w:r>
        <w:rPr>
          <w:rFonts w:hint="eastAsia"/>
          <w:color w:val="auto"/>
          <w:highlight w:val="none"/>
        </w:rPr>
        <w:t>5.3.4如果投标文件没有实质性响应招标文件的要求，评委会将予以拒绝。投标人不得通过修正或撤销不合要求的偏离或保留，从而使其投标成为实质性响应的投标。</w:t>
      </w:r>
    </w:p>
    <w:p>
      <w:pPr>
        <w:pStyle w:val="2"/>
        <w:rPr>
          <w:color w:val="auto"/>
          <w:highlight w:val="none"/>
        </w:rPr>
      </w:pPr>
      <w:bookmarkStart w:id="160" w:name="_Toc23931"/>
      <w:bookmarkStart w:id="161" w:name="_Toc20533"/>
      <w:r>
        <w:rPr>
          <w:rFonts w:hint="eastAsia"/>
          <w:color w:val="auto"/>
          <w:highlight w:val="none"/>
        </w:rPr>
        <w:t>六．政策性扣减</w:t>
      </w:r>
      <w:bookmarkEnd w:id="160"/>
      <w:bookmarkEnd w:id="161"/>
    </w:p>
    <w:p>
      <w:pPr>
        <w:pStyle w:val="5"/>
        <w:ind w:firstLine="482"/>
        <w:rPr>
          <w:b/>
          <w:bCs/>
          <w:color w:val="auto"/>
          <w:highlight w:val="none"/>
        </w:rPr>
      </w:pPr>
      <w:r>
        <w:rPr>
          <w:rFonts w:hint="eastAsia"/>
          <w:b/>
          <w:bCs/>
          <w:color w:val="auto"/>
          <w:highlight w:val="none"/>
        </w:rPr>
        <w:t>6.1政策性扣减范围</w:t>
      </w:r>
    </w:p>
    <w:p>
      <w:pPr>
        <w:pStyle w:val="5"/>
        <w:ind w:firstLine="480"/>
        <w:rPr>
          <w:color w:val="auto"/>
          <w:highlight w:val="none"/>
        </w:rPr>
      </w:pPr>
      <w:r>
        <w:rPr>
          <w:rFonts w:hint="eastAsia"/>
          <w:color w:val="auto"/>
          <w:highlight w:val="none"/>
        </w:rPr>
        <w:t>6.1.1投标人符合小型、微型企业或监狱企业、残疾人福利性单位条件的，其投标报价价格评审时将按相应比例进行扣减。</w:t>
      </w:r>
    </w:p>
    <w:p>
      <w:pPr>
        <w:pStyle w:val="5"/>
        <w:ind w:firstLine="480"/>
        <w:rPr>
          <w:color w:val="auto"/>
          <w:highlight w:val="none"/>
        </w:rPr>
      </w:pPr>
      <w:r>
        <w:rPr>
          <w:rFonts w:hint="eastAsia"/>
          <w:color w:val="auto"/>
          <w:highlight w:val="none"/>
        </w:rPr>
        <w:t>6.1.2投标人符合《政府采购促进中小企业发展管理办法》（财库﹝2020﹞46 号）条件的，其投标报价价格评审时将按相应比例进行扣减。</w:t>
      </w:r>
    </w:p>
    <w:p>
      <w:pPr>
        <w:pStyle w:val="5"/>
        <w:ind w:firstLine="480"/>
        <w:rPr>
          <w:color w:val="auto"/>
          <w:highlight w:val="none"/>
        </w:rPr>
      </w:pPr>
      <w:r>
        <w:rPr>
          <w:rFonts w:hint="eastAsia"/>
          <w:color w:val="auto"/>
          <w:highlight w:val="none"/>
        </w:rPr>
        <w:t>6.1.3采购人拟采购产品属于优先采购节能、环境标志产品范围的，应当优先采购节能、环境标志产品；拟采购产品符合政府采购强制采购政策的，实行强制采购。</w:t>
      </w:r>
    </w:p>
    <w:p>
      <w:pPr>
        <w:pStyle w:val="5"/>
        <w:ind w:firstLine="480"/>
        <w:rPr>
          <w:color w:val="auto"/>
          <w:highlight w:val="none"/>
        </w:rPr>
      </w:pPr>
      <w:r>
        <w:rPr>
          <w:rFonts w:hint="eastAsia"/>
          <w:color w:val="auto"/>
          <w:highlight w:val="none"/>
        </w:rPr>
        <w:t>（1）采购人依据节能产品、环境标志产品品目清单和节能、环境标志产品认证证书实施政府优先采购和强制采购。</w:t>
      </w:r>
    </w:p>
    <w:p>
      <w:pPr>
        <w:pStyle w:val="5"/>
        <w:ind w:firstLine="480"/>
        <w:rPr>
          <w:color w:val="auto"/>
          <w:highlight w:val="none"/>
        </w:rPr>
      </w:pPr>
      <w:r>
        <w:rPr>
          <w:rFonts w:hint="eastAsia"/>
          <w:color w:val="auto"/>
          <w:highlight w:val="none"/>
        </w:rPr>
        <w:t>（2）采购人拟采购的产品属于品目清单范围的，采购人及其委托的采购代理机构将依据国家确定的认证机构出具的、处于有效期之内的节能、环境标志产品认证证书，对获得证书的产品实施政府优先采购或强制采购。</w:t>
      </w:r>
    </w:p>
    <w:p>
      <w:pPr>
        <w:pStyle w:val="5"/>
        <w:ind w:firstLine="480"/>
        <w:rPr>
          <w:color w:val="auto"/>
          <w:highlight w:val="none"/>
        </w:rPr>
      </w:pPr>
      <w:r>
        <w:rPr>
          <w:rFonts w:hint="eastAsia"/>
          <w:color w:val="auto"/>
          <w:highlight w:val="none"/>
        </w:rPr>
        <w:t>6.1.4监狱企业参加政府采购活动时，应当提供由省级以上监狱管理局、戒毒管理局(含新疆生产建设兵团)出具的属于监狱企业的证明文件。监狱企业参加政府采购活动时，视同小型、微型企业。</w:t>
      </w:r>
    </w:p>
    <w:p>
      <w:pPr>
        <w:pStyle w:val="5"/>
        <w:ind w:firstLine="480"/>
        <w:rPr>
          <w:color w:val="auto"/>
          <w:highlight w:val="none"/>
        </w:rPr>
      </w:pPr>
      <w:r>
        <w:rPr>
          <w:rFonts w:hint="eastAsia"/>
          <w:color w:val="auto"/>
          <w:highlight w:val="none"/>
        </w:rPr>
        <w:t>6.1.5符合条件的残疾人福利性单位在参加政府采购活动时，应当提供本通知规定的《残疾人福利性单位声明函》，并对声明的真实性负责。残疾人福利性单位参加政府采购活动时，视同小型、微型企业；残疾人福利性单位属于小型、微型企业的，不重复享受政策。</w:t>
      </w:r>
    </w:p>
    <w:p>
      <w:pPr>
        <w:pStyle w:val="5"/>
        <w:ind w:firstLine="482"/>
        <w:rPr>
          <w:color w:val="auto"/>
          <w:highlight w:val="none"/>
        </w:rPr>
      </w:pPr>
      <w:r>
        <w:rPr>
          <w:rFonts w:hint="eastAsia"/>
          <w:b/>
          <w:bCs/>
          <w:color w:val="auto"/>
          <w:highlight w:val="none"/>
        </w:rPr>
        <w:t>6.2政策性扣减方式：</w:t>
      </w:r>
    </w:p>
    <w:p>
      <w:pPr>
        <w:pStyle w:val="5"/>
        <w:ind w:firstLine="480"/>
        <w:rPr>
          <w:color w:val="auto"/>
          <w:highlight w:val="none"/>
        </w:rPr>
      </w:pPr>
      <w:r>
        <w:rPr>
          <w:rFonts w:hint="eastAsia"/>
          <w:color w:val="auto"/>
          <w:highlight w:val="none"/>
        </w:rPr>
        <w:t>6.2.1在投标报价的基础上，对小微企业、监狱企业、残疾人福利性单位，按“投标报价×10%”进行扣减；</w:t>
      </w:r>
    </w:p>
    <w:p>
      <w:pPr>
        <w:pStyle w:val="5"/>
        <w:ind w:firstLine="480"/>
        <w:rPr>
          <w:color w:val="auto"/>
          <w:highlight w:val="none"/>
        </w:rPr>
      </w:pPr>
      <w:r>
        <w:rPr>
          <w:rFonts w:hint="eastAsia"/>
          <w:color w:val="auto"/>
          <w:highlight w:val="none"/>
        </w:rPr>
        <w:t>6.2.2投标人为联合体参与投标，且联合协议中约定小型或微型企业的协议合同金额占到联合体协议合同总金额30％以上的，按“投标报价×4%”进行扣减；</w:t>
      </w:r>
    </w:p>
    <w:p>
      <w:pPr>
        <w:pStyle w:val="5"/>
        <w:ind w:firstLine="480"/>
        <w:rPr>
          <w:color w:val="auto"/>
          <w:highlight w:val="none"/>
        </w:rPr>
      </w:pPr>
      <w:r>
        <w:rPr>
          <w:rFonts w:hint="eastAsia"/>
          <w:color w:val="auto"/>
          <w:highlight w:val="none"/>
        </w:rPr>
        <w:t>6.2.3小微企业、监狱企业、残疾人福利性单位不重复享受优惠政策；</w:t>
      </w:r>
    </w:p>
    <w:p>
      <w:pPr>
        <w:pStyle w:val="5"/>
        <w:ind w:firstLine="480"/>
        <w:rPr>
          <w:color w:val="auto"/>
          <w:highlight w:val="none"/>
        </w:rPr>
      </w:pPr>
      <w:r>
        <w:rPr>
          <w:rFonts w:hint="eastAsia"/>
          <w:color w:val="auto"/>
          <w:highlight w:val="none"/>
        </w:rPr>
        <w:t>6.2.4投标人享受支持中小型企业发展政策优惠的，可以同时享受节能、环境标志产品优先采购政策。</w:t>
      </w:r>
    </w:p>
    <w:p>
      <w:pPr>
        <w:pStyle w:val="5"/>
        <w:ind w:firstLine="482"/>
        <w:rPr>
          <w:b/>
          <w:bCs/>
          <w:color w:val="auto"/>
          <w:highlight w:val="none"/>
        </w:rPr>
      </w:pPr>
      <w:r>
        <w:rPr>
          <w:rFonts w:hint="eastAsia"/>
          <w:b/>
          <w:bCs/>
          <w:color w:val="auto"/>
          <w:highlight w:val="none"/>
        </w:rPr>
        <w:t>6.3节能、环境标志产品的报价幅度标准：</w:t>
      </w:r>
    </w:p>
    <w:p>
      <w:pPr>
        <w:pStyle w:val="5"/>
        <w:ind w:firstLine="480"/>
        <w:rPr>
          <w:color w:val="auto"/>
          <w:highlight w:val="none"/>
        </w:rPr>
      </w:pPr>
      <w:r>
        <w:rPr>
          <w:rFonts w:hint="eastAsia"/>
          <w:color w:val="auto"/>
          <w:highlight w:val="none"/>
        </w:rPr>
        <w:t>6.3.1投标投标人在投标文件中对所采购产品为节能、环保、环境标志产品清单中的产品，在投标报价时必须对此类产品单独分项报价，计算出小计及占投标报价总金额的百分比，并提供属于清单内产品的证明资料（从中国政府采购网上下载的网页公告等），未提供节能、环保、环境标志产品优惠明细表及属于清单内产品的证明资料的不给予优惠；</w:t>
      </w:r>
    </w:p>
    <w:p>
      <w:pPr>
        <w:pStyle w:val="5"/>
        <w:ind w:firstLine="480"/>
        <w:rPr>
          <w:color w:val="auto"/>
          <w:highlight w:val="none"/>
        </w:rPr>
      </w:pPr>
      <w:r>
        <w:rPr>
          <w:rFonts w:hint="eastAsia"/>
          <w:color w:val="auto"/>
          <w:highlight w:val="none"/>
        </w:rPr>
        <w:t>6.3.2参与投标的所有投标产品进入节能清单（有效期内）的，按“投标报价×2%”进行扣减。（注：若节能清单内的产品仅是构成采购产品的部件、组件或零件的，则该投标产品不享受此项鼓励优惠政策）</w:t>
      </w:r>
    </w:p>
    <w:p>
      <w:pPr>
        <w:pStyle w:val="5"/>
        <w:ind w:firstLine="480"/>
        <w:rPr>
          <w:color w:val="auto"/>
          <w:highlight w:val="none"/>
        </w:rPr>
      </w:pPr>
      <w:r>
        <w:rPr>
          <w:rFonts w:hint="eastAsia"/>
          <w:color w:val="auto"/>
          <w:highlight w:val="none"/>
        </w:rPr>
        <w:t>6.3.3参与投标的所有投标产品进入环境标志产品清单（有效期内）的，按“投标报价×2%”进行扣减。（注：若环境标志清单内的产品仅是构成采购产品的部件、组件或零件的，则该投标产品不享受此项鼓励优惠政策）</w:t>
      </w:r>
    </w:p>
    <w:p>
      <w:pPr>
        <w:pStyle w:val="5"/>
        <w:ind w:firstLine="480"/>
        <w:rPr>
          <w:color w:val="auto"/>
          <w:highlight w:val="none"/>
        </w:rPr>
      </w:pPr>
      <w:r>
        <w:rPr>
          <w:rFonts w:hint="eastAsia"/>
          <w:color w:val="auto"/>
          <w:highlight w:val="none"/>
        </w:rPr>
        <w:t>注：以上情况不累计扣减。</w:t>
      </w:r>
    </w:p>
    <w:p>
      <w:pPr>
        <w:pStyle w:val="5"/>
        <w:ind w:firstLine="482"/>
        <w:rPr>
          <w:b/>
          <w:bCs/>
          <w:color w:val="auto"/>
          <w:highlight w:val="none"/>
        </w:rPr>
      </w:pPr>
      <w:r>
        <w:rPr>
          <w:rFonts w:hint="eastAsia"/>
          <w:b/>
          <w:bCs/>
          <w:color w:val="auto"/>
          <w:highlight w:val="none"/>
        </w:rPr>
        <w:t>6.4中标价格=中标投标人的有效投标报价。</w:t>
      </w:r>
    </w:p>
    <w:p>
      <w:pPr>
        <w:pStyle w:val="2"/>
        <w:rPr>
          <w:color w:val="auto"/>
          <w:highlight w:val="none"/>
        </w:rPr>
      </w:pPr>
      <w:r>
        <w:rPr>
          <w:rFonts w:hint="eastAsia"/>
          <w:color w:val="auto"/>
          <w:highlight w:val="none"/>
        </w:rPr>
        <w:t>七．</w:t>
      </w:r>
      <w:bookmarkStart w:id="162" w:name="_Toc24337"/>
      <w:bookmarkStart w:id="163" w:name="_Toc3952"/>
      <w:r>
        <w:rPr>
          <w:rFonts w:hint="eastAsia"/>
          <w:color w:val="auto"/>
          <w:highlight w:val="none"/>
        </w:rPr>
        <w:t>定标</w:t>
      </w:r>
      <w:bookmarkEnd w:id="162"/>
      <w:bookmarkEnd w:id="163"/>
    </w:p>
    <w:p>
      <w:pPr>
        <w:pStyle w:val="5"/>
        <w:ind w:firstLine="480"/>
        <w:rPr>
          <w:color w:val="auto"/>
          <w:highlight w:val="none"/>
        </w:rPr>
      </w:pPr>
      <w:r>
        <w:rPr>
          <w:rFonts w:hint="eastAsia"/>
          <w:color w:val="auto"/>
          <w:highlight w:val="none"/>
          <w:lang w:val="en-US" w:eastAsia="zh-CN"/>
        </w:rPr>
        <w:t>7</w:t>
      </w:r>
      <w:r>
        <w:rPr>
          <w:rFonts w:hint="eastAsia"/>
          <w:color w:val="auto"/>
          <w:highlight w:val="none"/>
        </w:rPr>
        <w:t>.1评标结果由全体评标委员会成员签字确认。</w:t>
      </w:r>
    </w:p>
    <w:p>
      <w:pPr>
        <w:pStyle w:val="5"/>
        <w:ind w:firstLine="480"/>
        <w:rPr>
          <w:color w:val="auto"/>
          <w:highlight w:val="none"/>
        </w:rPr>
      </w:pPr>
      <w:r>
        <w:rPr>
          <w:rFonts w:hint="eastAsia"/>
          <w:color w:val="auto"/>
          <w:highlight w:val="none"/>
          <w:lang w:val="en-US" w:eastAsia="zh-CN"/>
        </w:rPr>
        <w:t>7</w:t>
      </w:r>
      <w:r>
        <w:rPr>
          <w:rFonts w:hint="eastAsia"/>
          <w:color w:val="auto"/>
          <w:highlight w:val="none"/>
        </w:rPr>
        <w:t>.2采购人根据评标报告中推荐的中标候选人排列顺序确定中标人，以复函通知采购代理机构。</w:t>
      </w:r>
    </w:p>
    <w:p>
      <w:pPr>
        <w:pStyle w:val="7"/>
        <w:bidi w:val="0"/>
        <w:rPr>
          <w:rStyle w:val="37"/>
          <w:rFonts w:hint="eastAsia" w:eastAsia="宋体"/>
          <w:b/>
          <w:color w:val="auto"/>
          <w:highlight w:val="none"/>
          <w:lang w:eastAsia="zh-CN"/>
        </w:rPr>
      </w:pPr>
      <w:r>
        <w:rPr>
          <w:rStyle w:val="37"/>
          <w:rFonts w:hint="eastAsia"/>
          <w:b/>
          <w:color w:val="auto"/>
          <w:highlight w:val="none"/>
        </w:rPr>
        <w:t>评标因素及权重分值表</w:t>
      </w:r>
      <w:r>
        <w:rPr>
          <w:rStyle w:val="37"/>
          <w:rFonts w:hint="eastAsia"/>
          <w:b/>
          <w:color w:val="auto"/>
          <w:highlight w:val="none"/>
          <w:lang w:eastAsia="zh-CN"/>
        </w:rPr>
        <w:t>（</w:t>
      </w:r>
      <w:r>
        <w:rPr>
          <w:rStyle w:val="37"/>
          <w:rFonts w:hint="eastAsia"/>
          <w:b/>
          <w:color w:val="auto"/>
          <w:highlight w:val="none"/>
          <w:lang w:val="en-US" w:eastAsia="zh-CN"/>
        </w:rPr>
        <w:t>合同包1</w:t>
      </w:r>
      <w:r>
        <w:rPr>
          <w:rStyle w:val="37"/>
          <w:rFonts w:hint="eastAsia"/>
          <w:b/>
          <w:color w:val="auto"/>
          <w:highlight w:val="none"/>
          <w:lang w:eastAsia="zh-CN"/>
        </w:rPr>
        <w:t>）</w:t>
      </w:r>
    </w:p>
    <w:bookmarkEnd w:id="118"/>
    <w:bookmarkEnd w:id="139"/>
    <w:bookmarkEnd w:id="140"/>
    <w:bookmarkEnd w:id="141"/>
    <w:bookmarkEnd w:id="142"/>
    <w:bookmarkEnd w:id="143"/>
    <w:bookmarkEnd w:id="144"/>
    <w:bookmarkEnd w:id="145"/>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8"/>
        <w:gridCol w:w="769"/>
        <w:gridCol w:w="7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1208" w:type="dxa"/>
          </w:tcPr>
          <w:p>
            <w:pPr>
              <w:pStyle w:val="30"/>
              <w:bidi w:val="0"/>
              <w:rPr>
                <w:b/>
                <w:bCs/>
                <w:color w:val="auto"/>
                <w:highlight w:val="none"/>
              </w:rPr>
            </w:pPr>
            <w:bookmarkStart w:id="164" w:name="_Toc8830"/>
            <w:bookmarkStart w:id="165" w:name="_Toc363474025"/>
            <w:bookmarkStart w:id="166" w:name="_Toc28411"/>
            <w:bookmarkStart w:id="167" w:name="_Toc426457698"/>
            <w:bookmarkStart w:id="168" w:name="_Toc22538"/>
            <w:r>
              <w:rPr>
                <w:rFonts w:hint="eastAsia"/>
                <w:b/>
                <w:bCs/>
                <w:color w:val="auto"/>
                <w:highlight w:val="none"/>
              </w:rPr>
              <w:t>评分因素</w:t>
            </w:r>
          </w:p>
        </w:tc>
        <w:tc>
          <w:tcPr>
            <w:tcW w:w="769" w:type="dxa"/>
          </w:tcPr>
          <w:p>
            <w:pPr>
              <w:pStyle w:val="30"/>
              <w:bidi w:val="0"/>
              <w:rPr>
                <w:rFonts w:hint="eastAsia" w:eastAsia="宋体"/>
                <w:b/>
                <w:bCs/>
                <w:color w:val="auto"/>
                <w:highlight w:val="none"/>
                <w:lang w:val="en-US" w:eastAsia="zh-CN"/>
              </w:rPr>
            </w:pPr>
            <w:r>
              <w:rPr>
                <w:rFonts w:hint="eastAsia"/>
                <w:b/>
                <w:bCs/>
                <w:color w:val="auto"/>
                <w:highlight w:val="none"/>
                <w:lang w:val="en-US" w:eastAsia="zh-CN"/>
              </w:rPr>
              <w:t>权值（%）</w:t>
            </w:r>
          </w:p>
        </w:tc>
        <w:tc>
          <w:tcPr>
            <w:tcW w:w="7139" w:type="dxa"/>
            <w:vAlign w:val="center"/>
          </w:tcPr>
          <w:p>
            <w:pPr>
              <w:pStyle w:val="30"/>
              <w:bidi w:val="0"/>
              <w:jc w:val="center"/>
              <w:rPr>
                <w:b/>
                <w:bCs/>
                <w:color w:val="auto"/>
                <w:highlight w:val="none"/>
              </w:rPr>
            </w:pPr>
            <w:r>
              <w:rPr>
                <w:rFonts w:hint="eastAsia"/>
                <w:b/>
                <w:bCs/>
                <w:color w:val="auto"/>
                <w:highlight w:val="none"/>
              </w:rPr>
              <w:t>评分说明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08" w:type="dxa"/>
            <w:vAlign w:val="center"/>
          </w:tcPr>
          <w:p>
            <w:pPr>
              <w:pStyle w:val="30"/>
              <w:bidi w:val="0"/>
              <w:rPr>
                <w:rFonts w:hint="eastAsia"/>
                <w:color w:val="auto"/>
                <w:highlight w:val="none"/>
              </w:rPr>
            </w:pPr>
            <w:r>
              <w:rPr>
                <w:rFonts w:hint="eastAsia"/>
                <w:color w:val="auto"/>
                <w:highlight w:val="none"/>
              </w:rPr>
              <w:t>投标报价</w:t>
            </w:r>
          </w:p>
          <w:p>
            <w:pPr>
              <w:pStyle w:val="30"/>
              <w:bidi w:val="0"/>
              <w:rPr>
                <w:color w:val="auto"/>
                <w:highlight w:val="none"/>
              </w:rPr>
            </w:pPr>
            <w:r>
              <w:rPr>
                <w:rFonts w:hint="eastAsia"/>
                <w:color w:val="auto"/>
                <w:highlight w:val="none"/>
              </w:rPr>
              <w:t>（30分）</w:t>
            </w:r>
          </w:p>
        </w:tc>
        <w:tc>
          <w:tcPr>
            <w:tcW w:w="769" w:type="dxa"/>
            <w:vAlign w:val="center"/>
          </w:tcPr>
          <w:p>
            <w:pPr>
              <w:pStyle w:val="30"/>
              <w:bidi w:val="0"/>
              <w:jc w:val="center"/>
              <w:rPr>
                <w:rFonts w:hint="default" w:eastAsia="宋体"/>
                <w:color w:val="auto"/>
                <w:highlight w:val="none"/>
                <w:lang w:val="en-US" w:eastAsia="zh-CN"/>
              </w:rPr>
            </w:pPr>
            <w:r>
              <w:rPr>
                <w:rFonts w:hint="eastAsia"/>
                <w:color w:val="auto"/>
                <w:highlight w:val="none"/>
                <w:lang w:val="en-US" w:eastAsia="zh-CN"/>
              </w:rPr>
              <w:t>30</w:t>
            </w:r>
          </w:p>
        </w:tc>
        <w:tc>
          <w:tcPr>
            <w:tcW w:w="7139" w:type="dxa"/>
          </w:tcPr>
          <w:p>
            <w:pPr>
              <w:pStyle w:val="30"/>
              <w:ind w:firstLine="240" w:firstLineChars="100"/>
              <w:jc w:val="left"/>
              <w:rPr>
                <w:color w:val="auto"/>
                <w:highlight w:val="none"/>
              </w:rPr>
            </w:pPr>
            <w:r>
              <w:rPr>
                <w:rFonts w:hint="eastAsia"/>
                <w:color w:val="auto"/>
                <w:highlight w:val="none"/>
              </w:rPr>
              <w:t>价格分统一采用低价优先法计算，满足招标文件要求的投标报价为有效报价，有效报价经政策扣减后为评审报价（详见本章六．政策性扣减），最低的评审报价为评标基准价，其价格分为满分。其他投标人的价格分统一按照下列公式计算：</w:t>
            </w:r>
          </w:p>
          <w:p>
            <w:pPr>
              <w:pStyle w:val="30"/>
              <w:ind w:firstLine="240" w:firstLineChars="100"/>
              <w:jc w:val="left"/>
              <w:rPr>
                <w:rFonts w:hint="eastAsia"/>
                <w:color w:val="auto"/>
                <w:highlight w:val="none"/>
              </w:rPr>
            </w:pPr>
            <w:r>
              <w:rPr>
                <w:rFonts w:hint="eastAsia"/>
                <w:color w:val="auto"/>
                <w:highlight w:val="none"/>
              </w:rPr>
              <w:t>投标报价得分=(评标基准价／评审报价)×</w:t>
            </w:r>
            <w:r>
              <w:rPr>
                <w:rFonts w:hint="eastAsia"/>
                <w:color w:val="auto"/>
                <w:highlight w:val="none"/>
                <w:lang w:val="en-US" w:eastAsia="zh-CN"/>
              </w:rPr>
              <w:t>30</w:t>
            </w:r>
            <w:r>
              <w:rPr>
                <w:rFonts w:hint="eastAsia"/>
                <w:color w:val="auto"/>
                <w:highlight w:val="none"/>
              </w:rPr>
              <w:t xml:space="preserve">×100  </w:t>
            </w:r>
          </w:p>
          <w:p>
            <w:pPr>
              <w:pStyle w:val="30"/>
              <w:ind w:firstLine="240" w:firstLineChars="100"/>
              <w:jc w:val="left"/>
              <w:rPr>
                <w:color w:val="auto"/>
                <w:highlight w:val="none"/>
              </w:rPr>
            </w:pPr>
            <w:r>
              <w:rPr>
                <w:rFonts w:hint="eastAsia"/>
                <w:color w:val="auto"/>
                <w:highlight w:val="none"/>
              </w:rPr>
              <w:t>计算分数时四舍五入取小数点后两位。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08" w:type="dxa"/>
            <w:vMerge w:val="restart"/>
            <w:vAlign w:val="center"/>
          </w:tcPr>
          <w:p>
            <w:pPr>
              <w:pStyle w:val="30"/>
              <w:bidi w:val="0"/>
              <w:rPr>
                <w:rFonts w:hint="eastAsia"/>
                <w:color w:val="auto"/>
                <w:highlight w:val="none"/>
              </w:rPr>
            </w:pPr>
            <w:r>
              <w:rPr>
                <w:rFonts w:hint="eastAsia"/>
                <w:color w:val="auto"/>
                <w:highlight w:val="none"/>
              </w:rPr>
              <w:t>实施方案</w:t>
            </w:r>
          </w:p>
          <w:p>
            <w:pPr>
              <w:pStyle w:val="30"/>
              <w:bidi w:val="0"/>
              <w:rPr>
                <w:rFonts w:hint="eastAsia"/>
                <w:color w:val="auto"/>
                <w:highlight w:val="none"/>
              </w:rPr>
            </w:pPr>
            <w:r>
              <w:rPr>
                <w:rFonts w:hint="eastAsia"/>
                <w:color w:val="auto"/>
                <w:highlight w:val="none"/>
              </w:rPr>
              <w:t>（30分）</w:t>
            </w:r>
          </w:p>
        </w:tc>
        <w:tc>
          <w:tcPr>
            <w:tcW w:w="769" w:type="dxa"/>
            <w:vAlign w:val="center"/>
          </w:tcPr>
          <w:p>
            <w:pPr>
              <w:pStyle w:val="30"/>
              <w:bidi w:val="0"/>
              <w:jc w:val="center"/>
              <w:rPr>
                <w:rFonts w:hint="default" w:eastAsia="宋体"/>
                <w:color w:val="auto"/>
                <w:highlight w:val="none"/>
                <w:lang w:val="en-US" w:eastAsia="zh-CN"/>
              </w:rPr>
            </w:pPr>
            <w:r>
              <w:rPr>
                <w:rFonts w:hint="eastAsia"/>
                <w:color w:val="auto"/>
                <w:highlight w:val="none"/>
                <w:lang w:val="en-US" w:eastAsia="zh-CN"/>
              </w:rPr>
              <w:t>12</w:t>
            </w:r>
          </w:p>
        </w:tc>
        <w:tc>
          <w:tcPr>
            <w:tcW w:w="7139" w:type="dxa"/>
          </w:tcPr>
          <w:p>
            <w:pPr>
              <w:pStyle w:val="30"/>
              <w:ind w:firstLine="240" w:firstLineChars="100"/>
              <w:jc w:val="left"/>
              <w:rPr>
                <w:rFonts w:hint="eastAsia"/>
                <w:color w:val="auto"/>
                <w:highlight w:val="none"/>
              </w:rPr>
            </w:pPr>
            <w:r>
              <w:rPr>
                <w:rFonts w:hint="eastAsia"/>
                <w:color w:val="auto"/>
                <w:highlight w:val="none"/>
              </w:rPr>
              <w:t>（1）图书质量符合相关法规及标准，承诺出版物为全新的正式出版物、无知识产权纠纷，无盗版，承诺在接到订购单后能及时处理并反馈订单处理信息后3日内反馈订单执行信息的</w:t>
            </w:r>
            <w:r>
              <w:rPr>
                <w:rFonts w:hint="eastAsia"/>
                <w:color w:val="auto"/>
                <w:highlight w:val="none"/>
                <w:lang w:eastAsia="zh-CN"/>
              </w:rPr>
              <w:t>，</w:t>
            </w:r>
            <w:r>
              <w:rPr>
                <w:rFonts w:hint="eastAsia"/>
                <w:color w:val="auto"/>
                <w:highlight w:val="none"/>
              </w:rPr>
              <w:t>计2分。</w:t>
            </w:r>
          </w:p>
          <w:p>
            <w:pPr>
              <w:pStyle w:val="30"/>
              <w:ind w:firstLine="240" w:firstLineChars="100"/>
              <w:jc w:val="left"/>
              <w:rPr>
                <w:rFonts w:hint="eastAsia"/>
                <w:color w:val="auto"/>
                <w:highlight w:val="none"/>
              </w:rPr>
            </w:pPr>
            <w:r>
              <w:rPr>
                <w:rFonts w:hint="eastAsia"/>
                <w:color w:val="auto"/>
                <w:highlight w:val="none"/>
              </w:rPr>
              <w:t>（2）配货及时，到货率高。从订单确认之日起，按其到货率及时间响应承诺计分。</w:t>
            </w:r>
          </w:p>
          <w:p>
            <w:pPr>
              <w:pStyle w:val="30"/>
              <w:ind w:firstLine="240" w:firstLineChars="100"/>
              <w:jc w:val="left"/>
              <w:rPr>
                <w:rFonts w:hint="eastAsia"/>
                <w:color w:val="auto"/>
                <w:highlight w:val="none"/>
              </w:rPr>
            </w:pPr>
            <w:r>
              <w:rPr>
                <w:rFonts w:hint="eastAsia"/>
                <w:color w:val="auto"/>
                <w:highlight w:val="none"/>
              </w:rPr>
              <w:t>30个工作日内到货率达到98%以上。（3分）</w:t>
            </w:r>
          </w:p>
          <w:p>
            <w:pPr>
              <w:pStyle w:val="30"/>
              <w:ind w:firstLine="240" w:firstLineChars="100"/>
              <w:jc w:val="left"/>
              <w:rPr>
                <w:rFonts w:hint="eastAsia"/>
                <w:color w:val="auto"/>
                <w:highlight w:val="none"/>
              </w:rPr>
            </w:pPr>
            <w:r>
              <w:rPr>
                <w:rFonts w:hint="eastAsia"/>
                <w:color w:val="auto"/>
                <w:highlight w:val="none"/>
              </w:rPr>
              <w:t>30个工作日内到货率达到95%以上。（2分）</w:t>
            </w:r>
          </w:p>
          <w:p>
            <w:pPr>
              <w:pStyle w:val="30"/>
              <w:ind w:firstLine="240" w:firstLineChars="100"/>
              <w:jc w:val="left"/>
              <w:rPr>
                <w:rFonts w:hint="eastAsia"/>
                <w:color w:val="auto"/>
                <w:highlight w:val="none"/>
              </w:rPr>
            </w:pPr>
            <w:r>
              <w:rPr>
                <w:rFonts w:hint="eastAsia"/>
                <w:color w:val="auto"/>
                <w:highlight w:val="none"/>
              </w:rPr>
              <w:t>60个工作日内到货率达到95%以上。（1分）</w:t>
            </w:r>
          </w:p>
          <w:p>
            <w:pPr>
              <w:pStyle w:val="30"/>
              <w:ind w:firstLine="240" w:firstLineChars="100"/>
              <w:jc w:val="left"/>
              <w:rPr>
                <w:rFonts w:hint="eastAsia"/>
                <w:color w:val="auto"/>
                <w:highlight w:val="none"/>
              </w:rPr>
            </w:pPr>
            <w:r>
              <w:rPr>
                <w:rFonts w:hint="eastAsia"/>
                <w:color w:val="auto"/>
                <w:highlight w:val="none"/>
              </w:rPr>
              <w:t>（3）投标人承诺针对本项目能够及时提供规范的Marc数据，响应内容完善合理、可操作性强，计</w:t>
            </w:r>
            <w:r>
              <w:rPr>
                <w:rFonts w:hint="eastAsia"/>
                <w:color w:val="auto"/>
                <w:highlight w:val="none"/>
                <w:lang w:val="en-US" w:eastAsia="zh-CN"/>
              </w:rPr>
              <w:t>3</w:t>
            </w:r>
            <w:r>
              <w:rPr>
                <w:rFonts w:hint="eastAsia"/>
                <w:color w:val="auto"/>
                <w:highlight w:val="none"/>
              </w:rPr>
              <w:t>分；响应内容较完善合理、可操作性较强，计</w:t>
            </w:r>
            <w:r>
              <w:rPr>
                <w:rFonts w:hint="eastAsia"/>
                <w:color w:val="auto"/>
                <w:highlight w:val="none"/>
                <w:lang w:val="en-US" w:eastAsia="zh-CN"/>
              </w:rPr>
              <w:t>2</w:t>
            </w:r>
            <w:r>
              <w:rPr>
                <w:rFonts w:hint="eastAsia"/>
                <w:color w:val="auto"/>
                <w:highlight w:val="none"/>
              </w:rPr>
              <w:t>分；响应内容不完善、可操作性差，计</w:t>
            </w:r>
            <w:r>
              <w:rPr>
                <w:rFonts w:hint="eastAsia"/>
                <w:color w:val="auto"/>
                <w:highlight w:val="none"/>
                <w:lang w:val="en-US" w:eastAsia="zh-CN"/>
              </w:rPr>
              <w:t>1</w:t>
            </w:r>
            <w:r>
              <w:rPr>
                <w:rFonts w:hint="eastAsia"/>
                <w:color w:val="auto"/>
                <w:highlight w:val="none"/>
              </w:rPr>
              <w:t>分</w:t>
            </w:r>
            <w:r>
              <w:rPr>
                <w:rFonts w:hint="eastAsia"/>
                <w:color w:val="auto"/>
                <w:highlight w:val="none"/>
                <w:lang w:eastAsia="zh-CN"/>
              </w:rPr>
              <w:t>；</w:t>
            </w:r>
            <w:r>
              <w:rPr>
                <w:rFonts w:hint="eastAsia"/>
                <w:color w:val="auto"/>
                <w:highlight w:val="none"/>
              </w:rPr>
              <w:t>未提供的不计分。</w:t>
            </w:r>
          </w:p>
          <w:p>
            <w:pPr>
              <w:pStyle w:val="30"/>
              <w:ind w:firstLine="240" w:firstLineChars="100"/>
              <w:jc w:val="left"/>
              <w:rPr>
                <w:rFonts w:hint="eastAsia"/>
                <w:color w:val="auto"/>
                <w:highlight w:val="none"/>
              </w:rPr>
            </w:pPr>
            <w:r>
              <w:rPr>
                <w:rFonts w:hint="eastAsia"/>
                <w:color w:val="auto"/>
                <w:highlight w:val="none"/>
              </w:rPr>
              <w:t>（4）投标人承诺能根据采购人指定的时间和要求对所购图书免费提供加工编目工作，响应内容完善合理、可操作性强，计</w:t>
            </w:r>
            <w:r>
              <w:rPr>
                <w:rFonts w:hint="eastAsia"/>
                <w:color w:val="auto"/>
                <w:highlight w:val="none"/>
                <w:lang w:val="en-US" w:eastAsia="zh-CN"/>
              </w:rPr>
              <w:t>4</w:t>
            </w:r>
            <w:r>
              <w:rPr>
                <w:rFonts w:hint="eastAsia"/>
                <w:color w:val="auto"/>
                <w:highlight w:val="none"/>
              </w:rPr>
              <w:t>分；响应内容较完善合理、可操作性较强，计</w:t>
            </w:r>
            <w:r>
              <w:rPr>
                <w:rFonts w:hint="eastAsia"/>
                <w:color w:val="auto"/>
                <w:highlight w:val="none"/>
                <w:lang w:val="en-US" w:eastAsia="zh-CN"/>
              </w:rPr>
              <w:t>2.5</w:t>
            </w:r>
            <w:r>
              <w:rPr>
                <w:rFonts w:hint="eastAsia"/>
                <w:color w:val="auto"/>
                <w:highlight w:val="none"/>
              </w:rPr>
              <w:t>分；响应内容不完善、可操作性差，计</w:t>
            </w:r>
            <w:r>
              <w:rPr>
                <w:rFonts w:hint="eastAsia"/>
                <w:color w:val="auto"/>
                <w:highlight w:val="none"/>
                <w:lang w:val="en-US" w:eastAsia="zh-CN"/>
              </w:rPr>
              <w:t>1</w:t>
            </w:r>
            <w:r>
              <w:rPr>
                <w:rFonts w:hint="eastAsia"/>
                <w:color w:val="auto"/>
                <w:highlight w:val="none"/>
              </w:rPr>
              <w:t>分</w:t>
            </w:r>
            <w:r>
              <w:rPr>
                <w:rFonts w:hint="eastAsia"/>
                <w:color w:val="auto"/>
                <w:highlight w:val="none"/>
                <w:lang w:eastAsia="zh-CN"/>
              </w:rPr>
              <w:t>；</w:t>
            </w:r>
            <w:r>
              <w:rPr>
                <w:rFonts w:hint="eastAsia"/>
                <w:color w:val="auto"/>
                <w:highlight w:val="none"/>
              </w:rPr>
              <w:t>未提供的不计分。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08" w:type="dxa"/>
            <w:vMerge w:val="continue"/>
            <w:vAlign w:val="center"/>
          </w:tcPr>
          <w:p>
            <w:pPr>
              <w:pStyle w:val="30"/>
              <w:bidi w:val="0"/>
              <w:rPr>
                <w:rFonts w:hint="eastAsia"/>
                <w:color w:val="auto"/>
                <w:highlight w:val="none"/>
              </w:rPr>
            </w:pPr>
          </w:p>
        </w:tc>
        <w:tc>
          <w:tcPr>
            <w:tcW w:w="769" w:type="dxa"/>
            <w:vAlign w:val="center"/>
          </w:tcPr>
          <w:p>
            <w:pPr>
              <w:pStyle w:val="30"/>
              <w:bidi w:val="0"/>
              <w:jc w:val="center"/>
              <w:rPr>
                <w:rFonts w:hint="default" w:eastAsia="宋体"/>
                <w:color w:val="auto"/>
                <w:highlight w:val="none"/>
                <w:lang w:val="en-US" w:eastAsia="zh-CN"/>
              </w:rPr>
            </w:pPr>
            <w:r>
              <w:rPr>
                <w:rFonts w:hint="eastAsia"/>
                <w:color w:val="auto"/>
                <w:highlight w:val="none"/>
                <w:lang w:val="en-US" w:eastAsia="zh-CN"/>
              </w:rPr>
              <w:t>18</w:t>
            </w:r>
          </w:p>
        </w:tc>
        <w:tc>
          <w:tcPr>
            <w:tcW w:w="7139" w:type="dxa"/>
          </w:tcPr>
          <w:p>
            <w:pPr>
              <w:pStyle w:val="30"/>
              <w:ind w:firstLine="240" w:firstLineChars="100"/>
              <w:jc w:val="left"/>
              <w:rPr>
                <w:rFonts w:hint="eastAsia"/>
                <w:color w:val="auto"/>
                <w:highlight w:val="none"/>
              </w:rPr>
            </w:pPr>
            <w:r>
              <w:rPr>
                <w:rFonts w:hint="eastAsia"/>
                <w:color w:val="auto"/>
                <w:highlight w:val="none"/>
              </w:rPr>
              <w:t>（1）有自己的经营场所可供采购人现场集中采购,响应内容完善合理、可操作性强</w:t>
            </w:r>
            <w:r>
              <w:rPr>
                <w:rFonts w:hint="eastAsia"/>
                <w:color w:val="auto"/>
                <w:highlight w:val="none"/>
                <w:lang w:eastAsia="zh-CN"/>
              </w:rPr>
              <w:t>、</w:t>
            </w:r>
            <w:r>
              <w:rPr>
                <w:rFonts w:hint="eastAsia"/>
                <w:color w:val="auto"/>
                <w:highlight w:val="none"/>
                <w:lang w:val="en-US" w:eastAsia="zh-CN"/>
              </w:rPr>
              <w:t>证明材料完整充分</w:t>
            </w:r>
            <w:r>
              <w:rPr>
                <w:rFonts w:hint="eastAsia"/>
                <w:color w:val="auto"/>
                <w:highlight w:val="none"/>
              </w:rPr>
              <w:t>，计</w:t>
            </w:r>
            <w:r>
              <w:rPr>
                <w:rFonts w:hint="eastAsia"/>
                <w:color w:val="auto"/>
                <w:highlight w:val="none"/>
                <w:lang w:val="en-US" w:eastAsia="zh-CN"/>
              </w:rPr>
              <w:t>3</w:t>
            </w:r>
            <w:r>
              <w:rPr>
                <w:rFonts w:hint="eastAsia"/>
                <w:color w:val="auto"/>
                <w:highlight w:val="none"/>
              </w:rPr>
              <w:t>分；响应内容较完善合理、可操作性较强</w:t>
            </w:r>
            <w:r>
              <w:rPr>
                <w:rFonts w:hint="eastAsia"/>
                <w:color w:val="auto"/>
                <w:highlight w:val="none"/>
                <w:lang w:eastAsia="zh-CN"/>
              </w:rPr>
              <w:t>、</w:t>
            </w:r>
            <w:r>
              <w:rPr>
                <w:rFonts w:hint="eastAsia"/>
                <w:color w:val="auto"/>
                <w:highlight w:val="none"/>
                <w:lang w:val="en-US" w:eastAsia="zh-CN"/>
              </w:rPr>
              <w:t>有证明材料但存在缺漏项</w:t>
            </w:r>
            <w:r>
              <w:rPr>
                <w:rFonts w:hint="eastAsia"/>
                <w:color w:val="auto"/>
                <w:highlight w:val="none"/>
              </w:rPr>
              <w:t>，计</w:t>
            </w:r>
            <w:r>
              <w:rPr>
                <w:rFonts w:hint="eastAsia"/>
                <w:color w:val="auto"/>
                <w:highlight w:val="none"/>
                <w:lang w:val="en-US" w:eastAsia="zh-CN"/>
              </w:rPr>
              <w:t>2</w:t>
            </w:r>
            <w:r>
              <w:rPr>
                <w:rFonts w:hint="eastAsia"/>
                <w:color w:val="auto"/>
                <w:highlight w:val="none"/>
              </w:rPr>
              <w:t>分；响应内容不完善、可操作性差，</w:t>
            </w:r>
            <w:r>
              <w:rPr>
                <w:rFonts w:hint="eastAsia"/>
                <w:color w:val="auto"/>
                <w:highlight w:val="none"/>
                <w:lang w:val="en-US" w:eastAsia="zh-CN"/>
              </w:rPr>
              <w:t>无证明材料</w:t>
            </w:r>
            <w:r>
              <w:rPr>
                <w:rFonts w:hint="eastAsia"/>
                <w:color w:val="auto"/>
                <w:highlight w:val="none"/>
              </w:rPr>
              <w:t>计</w:t>
            </w:r>
            <w:r>
              <w:rPr>
                <w:rFonts w:hint="eastAsia"/>
                <w:color w:val="auto"/>
                <w:highlight w:val="none"/>
                <w:lang w:val="en-US" w:eastAsia="zh-CN"/>
              </w:rPr>
              <w:t>1</w:t>
            </w:r>
            <w:r>
              <w:rPr>
                <w:rFonts w:hint="eastAsia"/>
                <w:color w:val="auto"/>
                <w:highlight w:val="none"/>
              </w:rPr>
              <w:t>分</w:t>
            </w:r>
            <w:r>
              <w:rPr>
                <w:rFonts w:hint="eastAsia"/>
                <w:color w:val="auto"/>
                <w:highlight w:val="none"/>
                <w:lang w:eastAsia="zh-CN"/>
              </w:rPr>
              <w:t>；</w:t>
            </w:r>
            <w:r>
              <w:rPr>
                <w:rFonts w:hint="eastAsia"/>
                <w:color w:val="auto"/>
                <w:highlight w:val="none"/>
              </w:rPr>
              <w:t>未提供的不计分。</w:t>
            </w:r>
          </w:p>
          <w:p>
            <w:pPr>
              <w:pStyle w:val="30"/>
              <w:ind w:firstLine="240" w:firstLineChars="100"/>
              <w:jc w:val="left"/>
              <w:rPr>
                <w:rFonts w:hint="eastAsia"/>
                <w:color w:val="auto"/>
                <w:highlight w:val="none"/>
              </w:rPr>
            </w:pPr>
            <w:r>
              <w:rPr>
                <w:rFonts w:hint="eastAsia"/>
                <w:color w:val="auto"/>
                <w:highlight w:val="none"/>
              </w:rPr>
              <w:t>（2）能根据采购人要求，不定期免费安排采购人参加图书现采活动、参加各类书市及订货会，响应内容完善合理、可操作性强，计</w:t>
            </w:r>
            <w:r>
              <w:rPr>
                <w:rFonts w:hint="eastAsia"/>
                <w:color w:val="auto"/>
                <w:highlight w:val="none"/>
                <w:lang w:val="en-US" w:eastAsia="zh-CN"/>
              </w:rPr>
              <w:t>3</w:t>
            </w:r>
            <w:r>
              <w:rPr>
                <w:rFonts w:hint="eastAsia"/>
                <w:color w:val="auto"/>
                <w:highlight w:val="none"/>
              </w:rPr>
              <w:t>分；响应内容较完善合理、可操作性较强，计</w:t>
            </w:r>
            <w:r>
              <w:rPr>
                <w:rFonts w:hint="eastAsia"/>
                <w:color w:val="auto"/>
                <w:highlight w:val="none"/>
                <w:lang w:val="en-US" w:eastAsia="zh-CN"/>
              </w:rPr>
              <w:t>2</w:t>
            </w:r>
            <w:r>
              <w:rPr>
                <w:rFonts w:hint="eastAsia"/>
                <w:color w:val="auto"/>
                <w:highlight w:val="none"/>
              </w:rPr>
              <w:t>分；响应内容不完善、可操作性差，计</w:t>
            </w:r>
            <w:r>
              <w:rPr>
                <w:rFonts w:hint="eastAsia"/>
                <w:color w:val="auto"/>
                <w:highlight w:val="none"/>
                <w:lang w:val="en-US" w:eastAsia="zh-CN"/>
              </w:rPr>
              <w:t>1</w:t>
            </w:r>
            <w:r>
              <w:rPr>
                <w:rFonts w:hint="eastAsia"/>
                <w:color w:val="auto"/>
                <w:highlight w:val="none"/>
              </w:rPr>
              <w:t>分</w:t>
            </w:r>
            <w:r>
              <w:rPr>
                <w:rFonts w:hint="eastAsia"/>
                <w:color w:val="auto"/>
                <w:highlight w:val="none"/>
                <w:lang w:eastAsia="zh-CN"/>
              </w:rPr>
              <w:t>；</w:t>
            </w:r>
            <w:r>
              <w:rPr>
                <w:rFonts w:hint="eastAsia"/>
                <w:color w:val="auto"/>
                <w:highlight w:val="none"/>
              </w:rPr>
              <w:t>未提供的不计分。</w:t>
            </w:r>
          </w:p>
          <w:p>
            <w:pPr>
              <w:pStyle w:val="30"/>
              <w:ind w:firstLine="240" w:firstLineChars="100"/>
              <w:jc w:val="left"/>
              <w:rPr>
                <w:rFonts w:hint="eastAsia"/>
                <w:color w:val="auto"/>
                <w:highlight w:val="none"/>
              </w:rPr>
            </w:pPr>
            <w:r>
              <w:rPr>
                <w:rFonts w:hint="eastAsia"/>
                <w:color w:val="auto"/>
                <w:highlight w:val="none"/>
              </w:rPr>
              <w:t>（3）承诺能配合采购人做好专题图书的采购，以满足采购人馆藏的特殊需求，响应内容完善合理、可操作性强，计</w:t>
            </w:r>
            <w:r>
              <w:rPr>
                <w:rFonts w:hint="eastAsia"/>
                <w:color w:val="auto"/>
                <w:highlight w:val="none"/>
                <w:lang w:val="en-US" w:eastAsia="zh-CN"/>
              </w:rPr>
              <w:t>3</w:t>
            </w:r>
            <w:r>
              <w:rPr>
                <w:rFonts w:hint="eastAsia"/>
                <w:color w:val="auto"/>
                <w:highlight w:val="none"/>
              </w:rPr>
              <w:t>分；响应内容较完善合理、可操作性较强，计</w:t>
            </w:r>
            <w:r>
              <w:rPr>
                <w:rFonts w:hint="eastAsia"/>
                <w:color w:val="auto"/>
                <w:highlight w:val="none"/>
                <w:lang w:val="en-US" w:eastAsia="zh-CN"/>
              </w:rPr>
              <w:t>2</w:t>
            </w:r>
            <w:r>
              <w:rPr>
                <w:rFonts w:hint="eastAsia"/>
                <w:color w:val="auto"/>
                <w:highlight w:val="none"/>
              </w:rPr>
              <w:t>分；响应内容不完善、可操作性差，计</w:t>
            </w:r>
            <w:r>
              <w:rPr>
                <w:rFonts w:hint="eastAsia"/>
                <w:color w:val="auto"/>
                <w:highlight w:val="none"/>
                <w:lang w:val="en-US" w:eastAsia="zh-CN"/>
              </w:rPr>
              <w:t>1</w:t>
            </w:r>
            <w:r>
              <w:rPr>
                <w:rFonts w:hint="eastAsia"/>
                <w:color w:val="auto"/>
                <w:highlight w:val="none"/>
              </w:rPr>
              <w:t>分</w:t>
            </w:r>
            <w:r>
              <w:rPr>
                <w:rFonts w:hint="eastAsia"/>
                <w:color w:val="auto"/>
                <w:highlight w:val="none"/>
                <w:lang w:eastAsia="zh-CN"/>
              </w:rPr>
              <w:t>；</w:t>
            </w:r>
            <w:r>
              <w:rPr>
                <w:rFonts w:hint="eastAsia"/>
                <w:color w:val="auto"/>
                <w:highlight w:val="none"/>
              </w:rPr>
              <w:t>未提供的不计分。</w:t>
            </w:r>
          </w:p>
          <w:p>
            <w:pPr>
              <w:pStyle w:val="30"/>
              <w:ind w:firstLine="240" w:firstLineChars="100"/>
              <w:jc w:val="left"/>
              <w:rPr>
                <w:rFonts w:hint="eastAsia"/>
                <w:color w:val="auto"/>
                <w:highlight w:val="none"/>
              </w:rPr>
            </w:pPr>
            <w:r>
              <w:rPr>
                <w:rFonts w:hint="eastAsia"/>
                <w:color w:val="auto"/>
                <w:highlight w:val="none"/>
              </w:rPr>
              <w:t>（4）投标人每30天向采购人提供一份艺术图书新书书目，且书目质量必须符合</w:t>
            </w:r>
            <w:r>
              <w:rPr>
                <w:rFonts w:hint="eastAsia"/>
                <w:color w:val="auto"/>
                <w:highlight w:val="none"/>
                <w:lang w:eastAsia="zh-CN"/>
              </w:rPr>
              <w:t>招标文件</w:t>
            </w:r>
            <w:r>
              <w:rPr>
                <w:rFonts w:hint="eastAsia"/>
                <w:color w:val="auto"/>
                <w:highlight w:val="none"/>
              </w:rPr>
              <w:t>要求，响应内容完善合理、可操作性强，计</w:t>
            </w:r>
            <w:r>
              <w:rPr>
                <w:rFonts w:hint="eastAsia"/>
                <w:color w:val="auto"/>
                <w:highlight w:val="none"/>
                <w:lang w:val="en-US" w:eastAsia="zh-CN"/>
              </w:rPr>
              <w:t>3</w:t>
            </w:r>
            <w:r>
              <w:rPr>
                <w:rFonts w:hint="eastAsia"/>
                <w:color w:val="auto"/>
                <w:highlight w:val="none"/>
              </w:rPr>
              <w:t>分；响应内容较完善合理、可操作性较强，计</w:t>
            </w:r>
            <w:r>
              <w:rPr>
                <w:rFonts w:hint="eastAsia"/>
                <w:color w:val="auto"/>
                <w:highlight w:val="none"/>
                <w:lang w:val="en-US" w:eastAsia="zh-CN"/>
              </w:rPr>
              <w:t>2</w:t>
            </w:r>
            <w:r>
              <w:rPr>
                <w:rFonts w:hint="eastAsia"/>
                <w:color w:val="auto"/>
                <w:highlight w:val="none"/>
              </w:rPr>
              <w:t>分；响应内容不完善、可操作性差，计</w:t>
            </w:r>
            <w:r>
              <w:rPr>
                <w:rFonts w:hint="eastAsia"/>
                <w:color w:val="auto"/>
                <w:highlight w:val="none"/>
                <w:lang w:val="en-US" w:eastAsia="zh-CN"/>
              </w:rPr>
              <w:t>1</w:t>
            </w:r>
            <w:r>
              <w:rPr>
                <w:rFonts w:hint="eastAsia"/>
                <w:color w:val="auto"/>
                <w:highlight w:val="none"/>
              </w:rPr>
              <w:t>分</w:t>
            </w:r>
            <w:r>
              <w:rPr>
                <w:rFonts w:hint="eastAsia"/>
                <w:color w:val="auto"/>
                <w:highlight w:val="none"/>
                <w:lang w:eastAsia="zh-CN"/>
              </w:rPr>
              <w:t>；</w:t>
            </w:r>
            <w:r>
              <w:rPr>
                <w:rFonts w:hint="eastAsia"/>
                <w:color w:val="auto"/>
                <w:highlight w:val="none"/>
              </w:rPr>
              <w:t>未提供的不计分。</w:t>
            </w:r>
          </w:p>
          <w:p>
            <w:pPr>
              <w:pStyle w:val="30"/>
              <w:ind w:firstLine="240" w:firstLineChars="100"/>
              <w:jc w:val="left"/>
              <w:rPr>
                <w:rFonts w:hint="eastAsia"/>
                <w:color w:val="auto"/>
                <w:highlight w:val="none"/>
              </w:rPr>
            </w:pPr>
            <w:r>
              <w:rPr>
                <w:rFonts w:hint="eastAsia"/>
                <w:color w:val="auto"/>
                <w:highlight w:val="none"/>
              </w:rPr>
              <w:t>（5）投标人承诺能够根据采购人要求及时有效地提供在网络上销售的图书，并按成交综合折扣结算</w:t>
            </w:r>
            <w:r>
              <w:rPr>
                <w:rFonts w:hint="eastAsia"/>
                <w:color w:val="auto"/>
                <w:highlight w:val="none"/>
                <w:lang w:eastAsia="zh-CN"/>
              </w:rPr>
              <w:t>，</w:t>
            </w:r>
            <w:r>
              <w:rPr>
                <w:rFonts w:hint="eastAsia"/>
                <w:color w:val="auto"/>
                <w:highlight w:val="none"/>
              </w:rPr>
              <w:t>响应内容完善合理、可操作性强，计</w:t>
            </w:r>
            <w:r>
              <w:rPr>
                <w:rFonts w:hint="eastAsia"/>
                <w:color w:val="auto"/>
                <w:highlight w:val="none"/>
                <w:lang w:val="en-US" w:eastAsia="zh-CN"/>
              </w:rPr>
              <w:t>2</w:t>
            </w:r>
            <w:r>
              <w:rPr>
                <w:rFonts w:hint="eastAsia"/>
                <w:color w:val="auto"/>
                <w:highlight w:val="none"/>
              </w:rPr>
              <w:t>分；响应内容较完善合理、可操作性较强，计</w:t>
            </w:r>
            <w:r>
              <w:rPr>
                <w:rFonts w:hint="eastAsia"/>
                <w:color w:val="auto"/>
                <w:highlight w:val="none"/>
                <w:lang w:val="en-US" w:eastAsia="zh-CN"/>
              </w:rPr>
              <w:t>1</w:t>
            </w:r>
            <w:r>
              <w:rPr>
                <w:rFonts w:hint="eastAsia"/>
                <w:color w:val="auto"/>
                <w:highlight w:val="none"/>
              </w:rPr>
              <w:t>分；响应内容不完善、可操作性差，计</w:t>
            </w:r>
            <w:r>
              <w:rPr>
                <w:rFonts w:hint="eastAsia"/>
                <w:color w:val="auto"/>
                <w:highlight w:val="none"/>
                <w:lang w:val="en-US" w:eastAsia="zh-CN"/>
              </w:rPr>
              <w:t>0.5</w:t>
            </w:r>
            <w:r>
              <w:rPr>
                <w:rFonts w:hint="eastAsia"/>
                <w:color w:val="auto"/>
                <w:highlight w:val="none"/>
              </w:rPr>
              <w:t>分</w:t>
            </w:r>
            <w:r>
              <w:rPr>
                <w:rFonts w:hint="eastAsia"/>
                <w:color w:val="auto"/>
                <w:highlight w:val="none"/>
                <w:lang w:eastAsia="zh-CN"/>
              </w:rPr>
              <w:t>；</w:t>
            </w:r>
            <w:r>
              <w:rPr>
                <w:rFonts w:hint="eastAsia"/>
                <w:color w:val="auto"/>
                <w:highlight w:val="none"/>
              </w:rPr>
              <w:t>未提供的不计分。</w:t>
            </w:r>
          </w:p>
          <w:p>
            <w:pPr>
              <w:pStyle w:val="30"/>
              <w:jc w:val="left"/>
              <w:rPr>
                <w:rFonts w:hint="eastAsia"/>
                <w:b/>
                <w:bCs/>
                <w:color w:val="auto"/>
                <w:highlight w:val="none"/>
              </w:rPr>
            </w:pPr>
            <w:r>
              <w:rPr>
                <w:rFonts w:hint="eastAsia"/>
                <w:b/>
                <w:bCs/>
                <w:color w:val="auto"/>
                <w:highlight w:val="none"/>
                <w:lang w:val="en-US" w:eastAsia="zh-CN"/>
              </w:rPr>
              <w:t>注：</w:t>
            </w:r>
            <w:r>
              <w:rPr>
                <w:rFonts w:hint="eastAsia"/>
                <w:b/>
                <w:bCs/>
                <w:color w:val="auto"/>
                <w:highlight w:val="none"/>
              </w:rPr>
              <w:t>以上</w:t>
            </w:r>
            <w:r>
              <w:rPr>
                <w:rFonts w:hint="eastAsia"/>
                <w:b/>
                <w:bCs/>
                <w:color w:val="auto"/>
                <w:highlight w:val="none"/>
                <w:lang w:val="en-US" w:eastAsia="zh-CN"/>
              </w:rPr>
              <w:t>5</w:t>
            </w:r>
            <w:r>
              <w:rPr>
                <w:rFonts w:hint="eastAsia"/>
                <w:b/>
                <w:bCs/>
                <w:color w:val="auto"/>
                <w:highlight w:val="none"/>
              </w:rPr>
              <w:t>条需提供加盖公章的承诺书，并作为验收依据。</w:t>
            </w:r>
          </w:p>
          <w:p>
            <w:pPr>
              <w:pStyle w:val="30"/>
              <w:ind w:firstLine="240" w:firstLineChars="100"/>
              <w:jc w:val="left"/>
              <w:rPr>
                <w:rFonts w:hint="eastAsia"/>
                <w:color w:val="auto"/>
                <w:highlight w:val="none"/>
              </w:rPr>
            </w:pPr>
            <w:r>
              <w:rPr>
                <w:rFonts w:hint="eastAsia"/>
                <w:color w:val="auto"/>
                <w:highlight w:val="none"/>
              </w:rPr>
              <w:t>（6）在本地设有可供采购的经营场所得2分，在本地没有经营场所、但设有办事机构得1分，需提供营业执照或租房合同或购房证明，否则不计分。</w:t>
            </w:r>
          </w:p>
          <w:p>
            <w:pPr>
              <w:pStyle w:val="30"/>
              <w:ind w:firstLine="240" w:firstLineChars="100"/>
              <w:jc w:val="left"/>
              <w:rPr>
                <w:rFonts w:hint="eastAsia"/>
                <w:color w:val="auto"/>
                <w:highlight w:val="none"/>
              </w:rPr>
            </w:pPr>
            <w:r>
              <w:rPr>
                <w:rFonts w:hint="eastAsia"/>
                <w:color w:val="auto"/>
                <w:highlight w:val="none"/>
              </w:rPr>
              <w:t>（7）能提供特色增值服务，有为附件1所列9所美术院校图书馆提供特色增值服务的成功案例计2分；有为</w:t>
            </w:r>
            <w:r>
              <w:rPr>
                <w:rFonts w:hint="eastAsia"/>
                <w:color w:val="auto"/>
                <w:highlight w:val="none"/>
                <w:lang w:eastAsia="zh-CN"/>
              </w:rPr>
              <w:t>《</w:t>
            </w:r>
            <w:r>
              <w:rPr>
                <w:rFonts w:hint="eastAsia"/>
                <w:color w:val="auto"/>
                <w:highlight w:val="none"/>
                <w:lang w:val="en-US" w:eastAsia="zh-CN"/>
              </w:rPr>
              <w:t>招标文件</w:t>
            </w:r>
            <w:r>
              <w:rPr>
                <w:rFonts w:hint="eastAsia"/>
                <w:color w:val="auto"/>
                <w:highlight w:val="none"/>
                <w:lang w:eastAsia="zh-CN"/>
              </w:rPr>
              <w:t>》</w:t>
            </w:r>
            <w:r>
              <w:rPr>
                <w:rFonts w:hint="eastAsia"/>
                <w:color w:val="auto"/>
                <w:highlight w:val="none"/>
              </w:rPr>
              <w:t>第四章</w:t>
            </w:r>
            <w:r>
              <w:rPr>
                <w:rFonts w:hint="eastAsia"/>
                <w:color w:val="auto"/>
                <w:highlight w:val="none"/>
                <w:lang w:eastAsia="zh-CN"/>
              </w:rPr>
              <w:t>“</w:t>
            </w:r>
            <w:r>
              <w:rPr>
                <w:rFonts w:hint="eastAsia"/>
                <w:color w:val="auto"/>
                <w:highlight w:val="none"/>
              </w:rPr>
              <w:t>采购内容及技术要求</w:t>
            </w:r>
            <w:r>
              <w:rPr>
                <w:rFonts w:hint="eastAsia"/>
                <w:color w:val="auto"/>
                <w:highlight w:val="none"/>
                <w:lang w:eastAsia="zh-CN"/>
              </w:rPr>
              <w:t>”</w:t>
            </w:r>
            <w:r>
              <w:rPr>
                <w:rFonts w:hint="eastAsia"/>
                <w:color w:val="auto"/>
                <w:highlight w:val="none"/>
              </w:rPr>
              <w:t>附件1所列9所美术院校图书馆以外单位提供特色增值服务的成功案例计1分。需提供图书馆盖章的证明材料。</w:t>
            </w:r>
          </w:p>
          <w:p>
            <w:pPr>
              <w:pStyle w:val="30"/>
              <w:jc w:val="left"/>
              <w:rPr>
                <w:rFonts w:hint="eastAsia"/>
                <w:color w:val="auto"/>
                <w:highlight w:val="none"/>
              </w:rPr>
            </w:pPr>
            <w:r>
              <w:rPr>
                <w:rFonts w:hint="eastAsia"/>
                <w:b/>
                <w:bCs/>
                <w:color w:val="auto"/>
                <w:highlight w:val="none"/>
              </w:rPr>
              <w:t>注：以上7项未提供证明材料及承诺的均不计分。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08" w:type="dxa"/>
            <w:vAlign w:val="center"/>
          </w:tcPr>
          <w:p>
            <w:pPr>
              <w:pStyle w:val="30"/>
              <w:bidi w:val="0"/>
              <w:rPr>
                <w:rFonts w:hint="eastAsia"/>
                <w:color w:val="auto"/>
                <w:highlight w:val="none"/>
              </w:rPr>
            </w:pPr>
            <w:r>
              <w:rPr>
                <w:rFonts w:hint="eastAsia"/>
                <w:color w:val="auto"/>
                <w:highlight w:val="none"/>
              </w:rPr>
              <w:t>履约能力（</w:t>
            </w:r>
            <w:r>
              <w:rPr>
                <w:rFonts w:hint="eastAsia"/>
                <w:color w:val="auto"/>
                <w:highlight w:val="none"/>
                <w:lang w:val="en-US" w:eastAsia="zh-CN"/>
              </w:rPr>
              <w:t>18</w:t>
            </w:r>
            <w:r>
              <w:rPr>
                <w:rFonts w:hint="eastAsia"/>
                <w:color w:val="auto"/>
                <w:highlight w:val="none"/>
              </w:rPr>
              <w:t>分）</w:t>
            </w:r>
          </w:p>
        </w:tc>
        <w:tc>
          <w:tcPr>
            <w:tcW w:w="769" w:type="dxa"/>
            <w:vAlign w:val="center"/>
          </w:tcPr>
          <w:p>
            <w:pPr>
              <w:pStyle w:val="30"/>
              <w:bidi w:val="0"/>
              <w:jc w:val="center"/>
              <w:rPr>
                <w:rFonts w:hint="default" w:eastAsia="宋体"/>
                <w:color w:val="auto"/>
                <w:highlight w:val="none"/>
                <w:lang w:val="en-US" w:eastAsia="zh-CN"/>
              </w:rPr>
            </w:pPr>
            <w:r>
              <w:rPr>
                <w:rFonts w:hint="eastAsia"/>
                <w:color w:val="auto"/>
                <w:highlight w:val="none"/>
                <w:lang w:val="en-US" w:eastAsia="zh-CN"/>
              </w:rPr>
              <w:t>18</w:t>
            </w:r>
          </w:p>
        </w:tc>
        <w:tc>
          <w:tcPr>
            <w:tcW w:w="7139" w:type="dxa"/>
          </w:tcPr>
          <w:p>
            <w:pPr>
              <w:pStyle w:val="30"/>
              <w:ind w:firstLine="240" w:firstLineChars="100"/>
              <w:jc w:val="left"/>
              <w:rPr>
                <w:rFonts w:hint="eastAsia"/>
                <w:color w:val="auto"/>
                <w:highlight w:val="none"/>
              </w:rPr>
            </w:pPr>
            <w:r>
              <w:rPr>
                <w:rFonts w:hint="eastAsia"/>
                <w:color w:val="auto"/>
                <w:highlight w:val="none"/>
                <w:lang w:eastAsia="zh-CN"/>
              </w:rPr>
              <w:t>（</w:t>
            </w:r>
            <w:r>
              <w:rPr>
                <w:rFonts w:hint="eastAsia"/>
                <w:color w:val="auto"/>
                <w:highlight w:val="none"/>
                <w:lang w:val="en-US" w:eastAsia="zh-CN"/>
              </w:rPr>
              <w:t>1</w:t>
            </w:r>
            <w:r>
              <w:rPr>
                <w:rFonts w:hint="eastAsia"/>
                <w:color w:val="auto"/>
                <w:highlight w:val="none"/>
                <w:lang w:eastAsia="zh-CN"/>
              </w:rPr>
              <w:t>）</w:t>
            </w:r>
            <w:r>
              <w:rPr>
                <w:rFonts w:hint="eastAsia"/>
                <w:color w:val="auto"/>
                <w:highlight w:val="none"/>
              </w:rPr>
              <w:t>与</w:t>
            </w:r>
            <w:r>
              <w:rPr>
                <w:rFonts w:hint="eastAsia"/>
                <w:color w:val="auto"/>
                <w:highlight w:val="none"/>
                <w:lang w:eastAsia="zh-CN"/>
              </w:rPr>
              <w:t>《</w:t>
            </w:r>
            <w:r>
              <w:rPr>
                <w:rFonts w:hint="eastAsia"/>
                <w:color w:val="auto"/>
                <w:highlight w:val="none"/>
                <w:lang w:val="en-US" w:eastAsia="zh-CN"/>
              </w:rPr>
              <w:t>招标文件</w:t>
            </w:r>
            <w:r>
              <w:rPr>
                <w:rFonts w:hint="eastAsia"/>
                <w:color w:val="auto"/>
                <w:highlight w:val="none"/>
                <w:lang w:eastAsia="zh-CN"/>
              </w:rPr>
              <w:t>》</w:t>
            </w:r>
            <w:r>
              <w:rPr>
                <w:rFonts w:hint="eastAsia"/>
                <w:color w:val="auto"/>
                <w:highlight w:val="none"/>
              </w:rPr>
              <w:t>第四章</w:t>
            </w:r>
            <w:r>
              <w:rPr>
                <w:rFonts w:hint="eastAsia"/>
                <w:color w:val="auto"/>
                <w:highlight w:val="none"/>
                <w:lang w:eastAsia="zh-CN"/>
              </w:rPr>
              <w:t>“</w:t>
            </w:r>
            <w:r>
              <w:rPr>
                <w:rFonts w:hint="eastAsia"/>
                <w:color w:val="auto"/>
                <w:highlight w:val="none"/>
              </w:rPr>
              <w:t>采购内容及技术要求</w:t>
            </w:r>
            <w:r>
              <w:rPr>
                <w:rFonts w:hint="eastAsia"/>
                <w:color w:val="auto"/>
                <w:highlight w:val="none"/>
                <w:lang w:eastAsia="zh-CN"/>
              </w:rPr>
              <w:t>”</w:t>
            </w:r>
            <w:r>
              <w:rPr>
                <w:rFonts w:hint="eastAsia"/>
                <w:color w:val="auto"/>
                <w:highlight w:val="none"/>
              </w:rPr>
              <w:t>附件2列出的＜12家出版社有固定业务关系的计4分；与</w:t>
            </w:r>
            <w:r>
              <w:rPr>
                <w:rFonts w:hint="eastAsia"/>
                <w:color w:val="auto"/>
                <w:highlight w:val="none"/>
                <w:lang w:eastAsia="zh-CN"/>
              </w:rPr>
              <w:t>《</w:t>
            </w:r>
            <w:r>
              <w:rPr>
                <w:rFonts w:hint="eastAsia"/>
                <w:color w:val="auto"/>
                <w:highlight w:val="none"/>
                <w:lang w:val="en-US" w:eastAsia="zh-CN"/>
              </w:rPr>
              <w:t>招标文件</w:t>
            </w:r>
            <w:r>
              <w:rPr>
                <w:rFonts w:hint="eastAsia"/>
                <w:color w:val="auto"/>
                <w:highlight w:val="none"/>
                <w:lang w:eastAsia="zh-CN"/>
              </w:rPr>
              <w:t>》</w:t>
            </w:r>
            <w:r>
              <w:rPr>
                <w:rFonts w:hint="eastAsia"/>
                <w:color w:val="auto"/>
                <w:highlight w:val="none"/>
              </w:rPr>
              <w:t>第四章</w:t>
            </w:r>
            <w:r>
              <w:rPr>
                <w:rFonts w:hint="eastAsia"/>
                <w:color w:val="auto"/>
                <w:highlight w:val="none"/>
                <w:lang w:eastAsia="zh-CN"/>
              </w:rPr>
              <w:t>“</w:t>
            </w:r>
            <w:r>
              <w:rPr>
                <w:rFonts w:hint="eastAsia"/>
                <w:color w:val="auto"/>
                <w:highlight w:val="none"/>
              </w:rPr>
              <w:t>采购内容及技术要求</w:t>
            </w:r>
            <w:r>
              <w:rPr>
                <w:rFonts w:hint="eastAsia"/>
                <w:color w:val="auto"/>
                <w:highlight w:val="none"/>
                <w:lang w:eastAsia="zh-CN"/>
              </w:rPr>
              <w:t>”</w:t>
            </w:r>
            <w:r>
              <w:rPr>
                <w:rFonts w:hint="eastAsia"/>
                <w:color w:val="auto"/>
                <w:highlight w:val="none"/>
              </w:rPr>
              <w:t>附件2列出的≥12家出版社有固定业务关系的计8分；与</w:t>
            </w:r>
            <w:r>
              <w:rPr>
                <w:rFonts w:hint="eastAsia"/>
                <w:color w:val="auto"/>
                <w:highlight w:val="none"/>
                <w:lang w:eastAsia="zh-CN"/>
              </w:rPr>
              <w:t>《</w:t>
            </w:r>
            <w:r>
              <w:rPr>
                <w:rFonts w:hint="eastAsia"/>
                <w:color w:val="auto"/>
                <w:highlight w:val="none"/>
                <w:lang w:val="en-US" w:eastAsia="zh-CN"/>
              </w:rPr>
              <w:t>招标文件</w:t>
            </w:r>
            <w:r>
              <w:rPr>
                <w:rFonts w:hint="eastAsia"/>
                <w:color w:val="auto"/>
                <w:highlight w:val="none"/>
                <w:lang w:eastAsia="zh-CN"/>
              </w:rPr>
              <w:t>》</w:t>
            </w:r>
            <w:r>
              <w:rPr>
                <w:rFonts w:hint="eastAsia"/>
                <w:color w:val="auto"/>
                <w:highlight w:val="none"/>
              </w:rPr>
              <w:t>第四章</w:t>
            </w:r>
            <w:r>
              <w:rPr>
                <w:rFonts w:hint="eastAsia"/>
                <w:color w:val="auto"/>
                <w:highlight w:val="none"/>
                <w:lang w:eastAsia="zh-CN"/>
              </w:rPr>
              <w:t>“</w:t>
            </w:r>
            <w:r>
              <w:rPr>
                <w:rFonts w:hint="eastAsia"/>
                <w:color w:val="auto"/>
                <w:highlight w:val="none"/>
              </w:rPr>
              <w:t>采购内容及技术要求</w:t>
            </w:r>
            <w:r>
              <w:rPr>
                <w:rFonts w:hint="eastAsia"/>
                <w:color w:val="auto"/>
                <w:highlight w:val="none"/>
                <w:lang w:eastAsia="zh-CN"/>
              </w:rPr>
              <w:t>”</w:t>
            </w:r>
            <w:r>
              <w:rPr>
                <w:rFonts w:hint="eastAsia"/>
                <w:color w:val="auto"/>
                <w:highlight w:val="none"/>
              </w:rPr>
              <w:t>附件2列出的≥20家出版社有固定业务关系的计13分；</w:t>
            </w:r>
          </w:p>
          <w:p>
            <w:pPr>
              <w:pStyle w:val="30"/>
              <w:ind w:firstLine="240" w:firstLineChars="100"/>
              <w:jc w:val="left"/>
              <w:rPr>
                <w:rFonts w:hint="eastAsia"/>
                <w:color w:val="auto"/>
                <w:highlight w:val="none"/>
              </w:rPr>
            </w:pPr>
            <w:r>
              <w:rPr>
                <w:rFonts w:hint="eastAsia"/>
                <w:color w:val="auto"/>
                <w:highlight w:val="none"/>
                <w:lang w:val="en-US" w:eastAsia="zh-CN"/>
              </w:rPr>
              <w:t>（2）</w:t>
            </w:r>
            <w:r>
              <w:rPr>
                <w:rFonts w:hint="eastAsia"/>
                <w:color w:val="auto"/>
                <w:highlight w:val="none"/>
              </w:rPr>
              <w:t>在</w:t>
            </w:r>
            <w:r>
              <w:rPr>
                <w:rFonts w:hint="eastAsia"/>
                <w:color w:val="auto"/>
                <w:highlight w:val="none"/>
                <w:lang w:val="en-US" w:eastAsia="zh-CN"/>
              </w:rPr>
              <w:t>20</w:t>
            </w:r>
            <w:r>
              <w:rPr>
                <w:rFonts w:hint="eastAsia"/>
                <w:color w:val="auto"/>
                <w:highlight w:val="none"/>
              </w:rPr>
              <w:t>家基础上每增加一个</w:t>
            </w:r>
            <w:r>
              <w:rPr>
                <w:rFonts w:hint="eastAsia"/>
                <w:color w:val="auto"/>
                <w:highlight w:val="none"/>
                <w:lang w:eastAsia="zh-CN"/>
              </w:rPr>
              <w:t>《</w:t>
            </w:r>
            <w:r>
              <w:rPr>
                <w:rFonts w:hint="eastAsia"/>
                <w:color w:val="auto"/>
                <w:highlight w:val="none"/>
                <w:lang w:val="en-US" w:eastAsia="zh-CN"/>
              </w:rPr>
              <w:t>招标文件</w:t>
            </w:r>
            <w:r>
              <w:rPr>
                <w:rFonts w:hint="eastAsia"/>
                <w:color w:val="auto"/>
                <w:highlight w:val="none"/>
                <w:lang w:eastAsia="zh-CN"/>
              </w:rPr>
              <w:t>》</w:t>
            </w:r>
            <w:r>
              <w:rPr>
                <w:rFonts w:hint="eastAsia"/>
                <w:color w:val="auto"/>
                <w:highlight w:val="none"/>
              </w:rPr>
              <w:t>第四章</w:t>
            </w:r>
            <w:r>
              <w:rPr>
                <w:rFonts w:hint="eastAsia"/>
                <w:color w:val="auto"/>
                <w:highlight w:val="none"/>
                <w:lang w:eastAsia="zh-CN"/>
              </w:rPr>
              <w:t>“</w:t>
            </w:r>
            <w:r>
              <w:rPr>
                <w:rFonts w:hint="eastAsia"/>
                <w:color w:val="auto"/>
                <w:highlight w:val="none"/>
              </w:rPr>
              <w:t>采购内容及技术要求</w:t>
            </w:r>
            <w:r>
              <w:rPr>
                <w:rFonts w:hint="eastAsia"/>
                <w:color w:val="auto"/>
                <w:highlight w:val="none"/>
                <w:lang w:eastAsia="zh-CN"/>
              </w:rPr>
              <w:t>”</w:t>
            </w:r>
            <w:r>
              <w:rPr>
                <w:rFonts w:hint="eastAsia"/>
                <w:color w:val="auto"/>
                <w:highlight w:val="none"/>
              </w:rPr>
              <w:t>附件2所列合作出版社加1分，最多加5分。</w:t>
            </w:r>
          </w:p>
          <w:p>
            <w:pPr>
              <w:pStyle w:val="30"/>
              <w:jc w:val="left"/>
              <w:rPr>
                <w:rFonts w:hint="eastAsia"/>
                <w:b/>
                <w:bCs/>
                <w:color w:val="auto"/>
                <w:highlight w:val="none"/>
              </w:rPr>
            </w:pPr>
            <w:r>
              <w:rPr>
                <w:rFonts w:hint="eastAsia"/>
                <w:b/>
                <w:bCs/>
                <w:color w:val="auto"/>
                <w:highlight w:val="none"/>
              </w:rPr>
              <w:t>注：以上需提供投标人有效期内、加盖公章的合作授权或代理协议或合同或协议复印件或出版社正规发票，以上证明材料需装订在</w:t>
            </w:r>
            <w:r>
              <w:rPr>
                <w:rFonts w:hint="eastAsia"/>
                <w:b/>
                <w:bCs/>
                <w:color w:val="auto"/>
                <w:highlight w:val="none"/>
                <w:lang w:val="en-US" w:eastAsia="zh-CN"/>
              </w:rPr>
              <w:t>投标</w:t>
            </w:r>
            <w:r>
              <w:rPr>
                <w:rFonts w:hint="eastAsia"/>
                <w:b/>
                <w:bCs/>
                <w:color w:val="auto"/>
                <w:highlight w:val="none"/>
              </w:rPr>
              <w:t>文件正副本中。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08" w:type="dxa"/>
            <w:vMerge w:val="restart"/>
            <w:vAlign w:val="center"/>
          </w:tcPr>
          <w:p>
            <w:pPr>
              <w:pStyle w:val="30"/>
              <w:bidi w:val="0"/>
              <w:rPr>
                <w:rFonts w:hint="eastAsia"/>
                <w:color w:val="auto"/>
                <w:highlight w:val="none"/>
              </w:rPr>
            </w:pPr>
            <w:r>
              <w:rPr>
                <w:rFonts w:hint="eastAsia"/>
                <w:color w:val="auto"/>
                <w:highlight w:val="none"/>
              </w:rPr>
              <w:t>追补订</w:t>
            </w:r>
          </w:p>
          <w:p>
            <w:pPr>
              <w:pStyle w:val="30"/>
              <w:bidi w:val="0"/>
              <w:rPr>
                <w:rFonts w:hint="eastAsia"/>
                <w:color w:val="auto"/>
                <w:highlight w:val="none"/>
              </w:rPr>
            </w:pPr>
            <w:r>
              <w:rPr>
                <w:rFonts w:hint="eastAsia"/>
                <w:color w:val="auto"/>
                <w:highlight w:val="none"/>
              </w:rPr>
              <w:t>承诺</w:t>
            </w:r>
          </w:p>
          <w:p>
            <w:pPr>
              <w:pStyle w:val="30"/>
              <w:bidi w:val="0"/>
              <w:rPr>
                <w:rFonts w:hint="eastAsia"/>
                <w:color w:val="auto"/>
                <w:highlight w:val="none"/>
              </w:rPr>
            </w:pPr>
            <w:r>
              <w:rPr>
                <w:rFonts w:hint="eastAsia"/>
                <w:color w:val="auto"/>
                <w:highlight w:val="none"/>
              </w:rPr>
              <w:t>（6分）</w:t>
            </w:r>
          </w:p>
        </w:tc>
        <w:tc>
          <w:tcPr>
            <w:tcW w:w="769" w:type="dxa"/>
            <w:vAlign w:val="center"/>
          </w:tcPr>
          <w:p>
            <w:pPr>
              <w:pStyle w:val="30"/>
              <w:bidi w:val="0"/>
              <w:jc w:val="center"/>
              <w:rPr>
                <w:rFonts w:hint="eastAsia" w:eastAsia="宋体"/>
                <w:color w:val="auto"/>
                <w:highlight w:val="none"/>
                <w:lang w:val="en-US" w:eastAsia="zh-CN"/>
              </w:rPr>
            </w:pPr>
            <w:r>
              <w:rPr>
                <w:rFonts w:hint="eastAsia"/>
                <w:color w:val="auto"/>
                <w:highlight w:val="none"/>
                <w:lang w:val="en-US" w:eastAsia="zh-CN"/>
              </w:rPr>
              <w:t>3</w:t>
            </w:r>
          </w:p>
        </w:tc>
        <w:tc>
          <w:tcPr>
            <w:tcW w:w="7139" w:type="dxa"/>
          </w:tcPr>
          <w:p>
            <w:pPr>
              <w:pStyle w:val="30"/>
              <w:ind w:firstLine="240" w:firstLineChars="100"/>
              <w:jc w:val="left"/>
              <w:rPr>
                <w:rFonts w:hint="eastAsia"/>
                <w:color w:val="auto"/>
                <w:highlight w:val="none"/>
              </w:rPr>
            </w:pPr>
            <w:r>
              <w:rPr>
                <w:rFonts w:hint="eastAsia"/>
                <w:color w:val="auto"/>
                <w:highlight w:val="none"/>
                <w:lang w:eastAsia="zh-CN"/>
              </w:rPr>
              <w:t>（</w:t>
            </w:r>
            <w:r>
              <w:rPr>
                <w:rFonts w:hint="eastAsia"/>
                <w:color w:val="auto"/>
                <w:highlight w:val="none"/>
                <w:lang w:val="en-US" w:eastAsia="zh-CN"/>
              </w:rPr>
              <w:t>1</w:t>
            </w:r>
            <w:r>
              <w:rPr>
                <w:rFonts w:hint="eastAsia"/>
                <w:color w:val="auto"/>
                <w:highlight w:val="none"/>
                <w:lang w:eastAsia="zh-CN"/>
              </w:rPr>
              <w:t>）</w:t>
            </w:r>
            <w:r>
              <w:rPr>
                <w:rFonts w:hint="eastAsia"/>
                <w:color w:val="auto"/>
                <w:highlight w:val="none"/>
              </w:rPr>
              <w:t>在</w:t>
            </w:r>
            <w:r>
              <w:rPr>
                <w:rFonts w:hint="eastAsia"/>
                <w:color w:val="auto"/>
                <w:highlight w:val="none"/>
                <w:lang w:val="en-US" w:eastAsia="zh-CN"/>
              </w:rPr>
              <w:t>投标</w:t>
            </w:r>
            <w:r>
              <w:rPr>
                <w:rFonts w:hint="eastAsia"/>
                <w:color w:val="auto"/>
                <w:highlight w:val="none"/>
              </w:rPr>
              <w:t>文件中对追补订图书问题有响应，内容充实，切合实际，符合采购人需求，违约保证严格的计3分；有响应的，但内容空泛，方法不切合实际，违约保证避重就轻的计</w:t>
            </w:r>
            <w:r>
              <w:rPr>
                <w:rFonts w:hint="eastAsia"/>
                <w:color w:val="auto"/>
                <w:highlight w:val="none"/>
                <w:lang w:val="en-US" w:eastAsia="zh-CN"/>
              </w:rPr>
              <w:t>1</w:t>
            </w:r>
            <w:r>
              <w:rPr>
                <w:rFonts w:hint="eastAsia"/>
                <w:color w:val="auto"/>
                <w:highlight w:val="none"/>
              </w:rPr>
              <w:t>分；未提供不计分。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08" w:type="dxa"/>
            <w:vMerge w:val="continue"/>
            <w:vAlign w:val="center"/>
          </w:tcPr>
          <w:p>
            <w:pPr>
              <w:pStyle w:val="30"/>
              <w:bidi w:val="0"/>
              <w:rPr>
                <w:rFonts w:hint="eastAsia"/>
                <w:color w:val="auto"/>
                <w:highlight w:val="none"/>
              </w:rPr>
            </w:pPr>
          </w:p>
        </w:tc>
        <w:tc>
          <w:tcPr>
            <w:tcW w:w="769" w:type="dxa"/>
            <w:vAlign w:val="center"/>
          </w:tcPr>
          <w:p>
            <w:pPr>
              <w:pStyle w:val="30"/>
              <w:bidi w:val="0"/>
              <w:jc w:val="center"/>
              <w:rPr>
                <w:rFonts w:hint="eastAsia" w:eastAsia="宋体"/>
                <w:color w:val="auto"/>
                <w:highlight w:val="none"/>
                <w:lang w:val="en-US" w:eastAsia="zh-CN"/>
              </w:rPr>
            </w:pPr>
            <w:r>
              <w:rPr>
                <w:rFonts w:hint="eastAsia"/>
                <w:color w:val="auto"/>
                <w:highlight w:val="none"/>
                <w:lang w:val="en-US" w:eastAsia="zh-CN"/>
              </w:rPr>
              <w:t>3</w:t>
            </w:r>
          </w:p>
        </w:tc>
        <w:tc>
          <w:tcPr>
            <w:tcW w:w="7139" w:type="dxa"/>
          </w:tcPr>
          <w:p>
            <w:pPr>
              <w:pStyle w:val="30"/>
              <w:ind w:firstLine="240" w:firstLineChars="100"/>
              <w:jc w:val="left"/>
              <w:rPr>
                <w:rFonts w:hint="eastAsia"/>
                <w:color w:val="auto"/>
                <w:highlight w:val="none"/>
                <w:lang w:eastAsia="zh-CN"/>
              </w:rPr>
            </w:pPr>
            <w:r>
              <w:rPr>
                <w:rFonts w:hint="eastAsia"/>
                <w:color w:val="auto"/>
                <w:highlight w:val="none"/>
                <w:lang w:eastAsia="zh-CN"/>
              </w:rPr>
              <w:t>（</w:t>
            </w:r>
            <w:r>
              <w:rPr>
                <w:rFonts w:hint="eastAsia"/>
                <w:color w:val="auto"/>
                <w:highlight w:val="none"/>
                <w:lang w:val="en-US" w:eastAsia="zh-CN"/>
              </w:rPr>
              <w:t>2</w:t>
            </w:r>
            <w:r>
              <w:rPr>
                <w:rFonts w:hint="eastAsia"/>
                <w:color w:val="auto"/>
                <w:highlight w:val="none"/>
                <w:lang w:eastAsia="zh-CN"/>
              </w:rPr>
              <w:t>）</w:t>
            </w:r>
            <w:r>
              <w:rPr>
                <w:rFonts w:hint="eastAsia"/>
                <w:color w:val="auto"/>
                <w:highlight w:val="none"/>
              </w:rPr>
              <w:t>图书装订或印刷质量有问题，如缺页、错页、倒装、模糊不清、折页、开线、开胶、污损等</w:t>
            </w:r>
            <w:r>
              <w:rPr>
                <w:rFonts w:hint="eastAsia"/>
                <w:color w:val="auto"/>
                <w:highlight w:val="none"/>
                <w:lang w:eastAsia="zh-CN"/>
              </w:rPr>
              <w:t>，</w:t>
            </w:r>
            <w:r>
              <w:rPr>
                <w:rFonts w:hint="eastAsia"/>
                <w:color w:val="auto"/>
                <w:highlight w:val="none"/>
              </w:rPr>
              <w:t>图书种类册数与对应清单不符</w:t>
            </w:r>
            <w:r>
              <w:rPr>
                <w:rFonts w:hint="eastAsia"/>
                <w:color w:val="auto"/>
                <w:highlight w:val="none"/>
                <w:lang w:eastAsia="zh-CN"/>
              </w:rPr>
              <w:t>，</w:t>
            </w:r>
            <w:r>
              <w:rPr>
                <w:rFonts w:hint="eastAsia"/>
                <w:color w:val="auto"/>
                <w:highlight w:val="none"/>
              </w:rPr>
              <w:t>投标人应给予调换、补缺或退货</w:t>
            </w:r>
            <w:r>
              <w:rPr>
                <w:rFonts w:hint="eastAsia"/>
                <w:color w:val="auto"/>
                <w:highlight w:val="none"/>
                <w:lang w:eastAsia="zh-CN"/>
              </w:rPr>
              <w:t>，</w:t>
            </w:r>
            <w:r>
              <w:rPr>
                <w:rFonts w:hint="eastAsia"/>
                <w:color w:val="auto"/>
                <w:highlight w:val="none"/>
              </w:rPr>
              <w:t>所有调换、补缺或退货所产生的全部费用，由投标人承担</w:t>
            </w:r>
            <w:r>
              <w:rPr>
                <w:rFonts w:hint="eastAsia"/>
                <w:color w:val="auto"/>
                <w:highlight w:val="none"/>
                <w:lang w:eastAsia="zh-CN"/>
              </w:rPr>
              <w:t>，</w:t>
            </w:r>
            <w:r>
              <w:rPr>
                <w:rFonts w:hint="eastAsia"/>
                <w:color w:val="auto"/>
                <w:highlight w:val="none"/>
              </w:rPr>
              <w:t>调换、补缺应在接到通知后投标人自行承诺具体工作日的完成时间，投标人均能保证无条件响应</w:t>
            </w:r>
            <w:r>
              <w:rPr>
                <w:rFonts w:hint="eastAsia"/>
                <w:color w:val="auto"/>
                <w:highlight w:val="none"/>
                <w:lang w:eastAsia="zh-CN"/>
              </w:rPr>
              <w:t>。</w:t>
            </w:r>
          </w:p>
          <w:p>
            <w:pPr>
              <w:pStyle w:val="30"/>
              <w:ind w:firstLine="240" w:firstLineChars="100"/>
              <w:jc w:val="left"/>
              <w:rPr>
                <w:rFonts w:hint="eastAsia"/>
                <w:color w:val="auto"/>
                <w:highlight w:val="none"/>
              </w:rPr>
            </w:pPr>
            <w:r>
              <w:rPr>
                <w:rFonts w:hint="eastAsia"/>
                <w:color w:val="auto"/>
                <w:highlight w:val="none"/>
              </w:rPr>
              <w:t>承诺完整可行计3分；承诺内容空泛的计</w:t>
            </w:r>
            <w:r>
              <w:rPr>
                <w:rFonts w:hint="eastAsia"/>
                <w:color w:val="auto"/>
                <w:highlight w:val="none"/>
                <w:lang w:val="en-US" w:eastAsia="zh-CN"/>
              </w:rPr>
              <w:t>1</w:t>
            </w:r>
            <w:r>
              <w:rPr>
                <w:rFonts w:hint="eastAsia"/>
                <w:color w:val="auto"/>
                <w:highlight w:val="none"/>
              </w:rPr>
              <w:t>分，未提供的不计分。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08" w:type="dxa"/>
            <w:vAlign w:val="center"/>
          </w:tcPr>
          <w:p>
            <w:pPr>
              <w:pStyle w:val="30"/>
              <w:bidi w:val="0"/>
              <w:rPr>
                <w:rFonts w:hint="eastAsia"/>
                <w:color w:val="auto"/>
                <w:highlight w:val="none"/>
                <w:lang w:val="en-US" w:eastAsia="zh-CN"/>
              </w:rPr>
            </w:pPr>
            <w:r>
              <w:rPr>
                <w:rFonts w:hint="eastAsia"/>
                <w:color w:val="auto"/>
                <w:highlight w:val="none"/>
                <w:lang w:val="en-US" w:eastAsia="zh-CN"/>
              </w:rPr>
              <w:t>业绩</w:t>
            </w:r>
          </w:p>
          <w:p>
            <w:pPr>
              <w:pStyle w:val="30"/>
              <w:bidi w:val="0"/>
              <w:rPr>
                <w:rFonts w:hint="eastAsia"/>
                <w:color w:val="auto"/>
                <w:highlight w:val="none"/>
                <w:lang w:val="en-US" w:eastAsia="zh-CN"/>
              </w:rPr>
            </w:pPr>
            <w:r>
              <w:rPr>
                <w:rFonts w:hint="eastAsia"/>
                <w:color w:val="auto"/>
                <w:highlight w:val="none"/>
                <w:lang w:val="en-US" w:eastAsia="zh-CN"/>
              </w:rPr>
              <w:t>（14分）</w:t>
            </w:r>
          </w:p>
        </w:tc>
        <w:tc>
          <w:tcPr>
            <w:tcW w:w="769" w:type="dxa"/>
            <w:vAlign w:val="center"/>
          </w:tcPr>
          <w:p>
            <w:pPr>
              <w:pStyle w:val="30"/>
              <w:bidi w:val="0"/>
              <w:jc w:val="center"/>
              <w:rPr>
                <w:rFonts w:hint="default"/>
                <w:color w:val="auto"/>
                <w:highlight w:val="none"/>
                <w:lang w:val="en-US" w:eastAsia="zh-CN"/>
              </w:rPr>
            </w:pPr>
            <w:r>
              <w:rPr>
                <w:rFonts w:hint="eastAsia"/>
                <w:color w:val="auto"/>
                <w:highlight w:val="none"/>
                <w:lang w:val="en-US" w:eastAsia="zh-CN"/>
              </w:rPr>
              <w:t>14</w:t>
            </w:r>
          </w:p>
        </w:tc>
        <w:tc>
          <w:tcPr>
            <w:tcW w:w="7139" w:type="dxa"/>
          </w:tcPr>
          <w:p>
            <w:pPr>
              <w:pStyle w:val="30"/>
              <w:ind w:firstLine="240" w:firstLineChars="100"/>
              <w:jc w:val="left"/>
              <w:rPr>
                <w:rFonts w:hint="eastAsia"/>
                <w:b/>
                <w:bCs/>
                <w:color w:val="auto"/>
                <w:highlight w:val="none"/>
              </w:rPr>
            </w:pPr>
            <w:r>
              <w:rPr>
                <w:rFonts w:hint="eastAsia"/>
                <w:color w:val="auto"/>
                <w:highlight w:val="none"/>
              </w:rPr>
              <w:t>提供</w:t>
            </w:r>
            <w:r>
              <w:rPr>
                <w:rFonts w:hint="eastAsia"/>
                <w:color w:val="auto"/>
                <w:highlight w:val="none"/>
                <w:lang w:eastAsia="zh-CN"/>
              </w:rPr>
              <w:t>投标人</w:t>
            </w:r>
            <w:r>
              <w:rPr>
                <w:rFonts w:hint="eastAsia"/>
                <w:color w:val="auto"/>
                <w:highlight w:val="none"/>
              </w:rPr>
              <w:t>201</w:t>
            </w:r>
            <w:r>
              <w:rPr>
                <w:rFonts w:hint="eastAsia"/>
                <w:color w:val="auto"/>
                <w:highlight w:val="none"/>
                <w:lang w:val="en-US" w:eastAsia="zh-CN"/>
              </w:rPr>
              <w:t>7</w:t>
            </w:r>
            <w:r>
              <w:rPr>
                <w:rFonts w:hint="eastAsia"/>
                <w:color w:val="auto"/>
                <w:highlight w:val="none"/>
              </w:rPr>
              <w:t>年1月1日至今同类业绩，要求提供合同复印件和供货图书清单，所供图书完全符合《招标文件》第四章“采购内容及技术要求”中技术要求的计2分，基本符合计1分，不符合不计分，满分14分。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08" w:type="dxa"/>
            <w:vAlign w:val="center"/>
          </w:tcPr>
          <w:p>
            <w:pPr>
              <w:pStyle w:val="30"/>
              <w:bidi w:val="0"/>
              <w:rPr>
                <w:rFonts w:hint="eastAsia"/>
                <w:color w:val="auto"/>
                <w:highlight w:val="none"/>
              </w:rPr>
            </w:pPr>
            <w:r>
              <w:rPr>
                <w:rFonts w:hint="eastAsia"/>
                <w:color w:val="auto"/>
                <w:highlight w:val="none"/>
              </w:rPr>
              <w:t>文件编制</w:t>
            </w:r>
          </w:p>
          <w:p>
            <w:pPr>
              <w:pStyle w:val="30"/>
              <w:bidi w:val="0"/>
              <w:rPr>
                <w:rFonts w:hint="eastAsia"/>
                <w:color w:val="auto"/>
                <w:highlight w:val="none"/>
              </w:rPr>
            </w:pPr>
            <w:r>
              <w:rPr>
                <w:rFonts w:hint="eastAsia"/>
                <w:color w:val="auto"/>
                <w:highlight w:val="none"/>
              </w:rPr>
              <w:t>（2分）</w:t>
            </w:r>
          </w:p>
        </w:tc>
        <w:tc>
          <w:tcPr>
            <w:tcW w:w="769" w:type="dxa"/>
            <w:vAlign w:val="center"/>
          </w:tcPr>
          <w:p>
            <w:pPr>
              <w:pStyle w:val="30"/>
              <w:bidi w:val="0"/>
              <w:jc w:val="center"/>
              <w:rPr>
                <w:rFonts w:hint="eastAsia" w:eastAsia="宋体"/>
                <w:color w:val="auto"/>
                <w:highlight w:val="none"/>
                <w:lang w:val="en-US" w:eastAsia="zh-CN"/>
              </w:rPr>
            </w:pPr>
            <w:r>
              <w:rPr>
                <w:rFonts w:hint="eastAsia"/>
                <w:color w:val="auto"/>
                <w:highlight w:val="none"/>
                <w:lang w:val="en-US" w:eastAsia="zh-CN"/>
              </w:rPr>
              <w:t>2</w:t>
            </w:r>
          </w:p>
        </w:tc>
        <w:tc>
          <w:tcPr>
            <w:tcW w:w="7139" w:type="dxa"/>
            <w:vAlign w:val="center"/>
          </w:tcPr>
          <w:p>
            <w:pPr>
              <w:spacing w:line="360" w:lineRule="exact"/>
              <w:ind w:firstLine="240" w:firstLineChars="100"/>
              <w:jc w:val="both"/>
              <w:rPr>
                <w:rFonts w:hint="eastAsia"/>
                <w:color w:val="auto"/>
                <w:highlight w:val="none"/>
                <w:lang w:eastAsia="zh-CN"/>
              </w:rPr>
            </w:pPr>
            <w:r>
              <w:rPr>
                <w:rFonts w:hint="eastAsia" w:hAnsi="宋体" w:cs="宋体"/>
                <w:color w:val="auto"/>
                <w:sz w:val="24"/>
                <w:highlight w:val="none"/>
                <w:lang w:val="en-US" w:eastAsia="zh-CN" w:bidi="ar-SA"/>
              </w:rPr>
              <w:t>投标文件</w:t>
            </w:r>
            <w:r>
              <w:rPr>
                <w:rFonts w:hint="eastAsia" w:ascii="宋体" w:hAnsi="宋体" w:eastAsia="宋体" w:cs="宋体"/>
                <w:color w:val="auto"/>
                <w:sz w:val="24"/>
                <w:highlight w:val="none"/>
                <w:lang w:val="en-US" w:eastAsia="zh-CN" w:bidi="ar-SA"/>
              </w:rPr>
              <w:t>编制规范，</w:t>
            </w:r>
            <w:r>
              <w:rPr>
                <w:rFonts w:hint="eastAsia" w:hAnsi="宋体" w:cs="宋体"/>
                <w:color w:val="auto"/>
                <w:sz w:val="24"/>
                <w:highlight w:val="none"/>
                <w:lang w:val="en-US" w:eastAsia="zh-CN" w:bidi="ar-SA"/>
              </w:rPr>
              <w:t>投标文件</w:t>
            </w:r>
            <w:r>
              <w:rPr>
                <w:rFonts w:hint="eastAsia" w:ascii="宋体" w:hAnsi="宋体" w:eastAsia="宋体" w:cs="宋体"/>
                <w:color w:val="auto"/>
                <w:sz w:val="24"/>
                <w:highlight w:val="none"/>
                <w:lang w:val="en-US" w:eastAsia="zh-CN" w:bidi="ar-SA"/>
              </w:rPr>
              <w:t>封面标注正本或副本、双面打印、目录完整、页码准确，有一项未满足扣0.5分，扣完为止。</w:t>
            </w:r>
          </w:p>
        </w:tc>
      </w:tr>
    </w:tbl>
    <w:p>
      <w:pPr>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br w:type="page"/>
      </w:r>
    </w:p>
    <w:p>
      <w:pPr>
        <w:pStyle w:val="7"/>
        <w:bidi w:val="0"/>
        <w:rPr>
          <w:rFonts w:hint="eastAsia"/>
          <w:color w:val="auto"/>
          <w:highlight w:val="none"/>
          <w:lang w:eastAsia="zh-CN"/>
        </w:rPr>
      </w:pPr>
      <w:r>
        <w:rPr>
          <w:rFonts w:hint="eastAsia"/>
          <w:color w:val="auto"/>
          <w:highlight w:val="none"/>
        </w:rPr>
        <w:t>评标因素及权重分值表</w:t>
      </w:r>
      <w:r>
        <w:rPr>
          <w:rFonts w:hint="eastAsia"/>
          <w:color w:val="auto"/>
          <w:highlight w:val="none"/>
          <w:lang w:eastAsia="zh-CN"/>
        </w:rPr>
        <w:t>（</w:t>
      </w:r>
      <w:r>
        <w:rPr>
          <w:rFonts w:hint="eastAsia"/>
          <w:color w:val="auto"/>
          <w:highlight w:val="none"/>
          <w:lang w:val="en-US" w:eastAsia="zh-CN"/>
        </w:rPr>
        <w:t>合同包2</w:t>
      </w:r>
      <w:r>
        <w:rPr>
          <w:rFonts w:hint="eastAsia"/>
          <w:color w:val="auto"/>
          <w:highlight w:val="none"/>
          <w:lang w:eastAsia="zh-CN"/>
        </w:rPr>
        <w:t>）</w:t>
      </w:r>
    </w:p>
    <w:tbl>
      <w:tblPr>
        <w:tblStyle w:val="21"/>
        <w:tblW w:w="93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8"/>
        <w:gridCol w:w="769"/>
        <w:gridCol w:w="7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1208" w:type="dxa"/>
          </w:tcPr>
          <w:p>
            <w:pPr>
              <w:pStyle w:val="30"/>
              <w:bidi w:val="0"/>
              <w:rPr>
                <w:b/>
                <w:bCs/>
                <w:color w:val="auto"/>
                <w:highlight w:val="none"/>
              </w:rPr>
            </w:pPr>
            <w:r>
              <w:rPr>
                <w:rFonts w:hint="eastAsia"/>
                <w:b/>
                <w:bCs/>
                <w:color w:val="auto"/>
                <w:highlight w:val="none"/>
              </w:rPr>
              <w:t>评分因素</w:t>
            </w:r>
          </w:p>
        </w:tc>
        <w:tc>
          <w:tcPr>
            <w:tcW w:w="769" w:type="dxa"/>
          </w:tcPr>
          <w:p>
            <w:pPr>
              <w:pStyle w:val="30"/>
              <w:bidi w:val="0"/>
              <w:rPr>
                <w:rFonts w:hint="eastAsia" w:eastAsia="宋体"/>
                <w:b/>
                <w:bCs/>
                <w:color w:val="auto"/>
                <w:highlight w:val="none"/>
                <w:lang w:val="en-US" w:eastAsia="zh-CN"/>
              </w:rPr>
            </w:pPr>
            <w:r>
              <w:rPr>
                <w:rFonts w:hint="eastAsia"/>
                <w:b/>
                <w:bCs/>
                <w:color w:val="auto"/>
                <w:highlight w:val="none"/>
                <w:lang w:val="en-US" w:eastAsia="zh-CN"/>
              </w:rPr>
              <w:t>权值（%）</w:t>
            </w:r>
          </w:p>
        </w:tc>
        <w:tc>
          <w:tcPr>
            <w:tcW w:w="7386" w:type="dxa"/>
            <w:vAlign w:val="center"/>
          </w:tcPr>
          <w:p>
            <w:pPr>
              <w:pStyle w:val="30"/>
              <w:bidi w:val="0"/>
              <w:jc w:val="center"/>
              <w:rPr>
                <w:b/>
                <w:bCs/>
                <w:color w:val="auto"/>
                <w:highlight w:val="none"/>
              </w:rPr>
            </w:pPr>
            <w:r>
              <w:rPr>
                <w:rFonts w:hint="eastAsia"/>
                <w:b/>
                <w:bCs/>
                <w:color w:val="auto"/>
                <w:highlight w:val="none"/>
              </w:rPr>
              <w:t>评分说明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08" w:type="dxa"/>
            <w:vAlign w:val="center"/>
          </w:tcPr>
          <w:p>
            <w:pPr>
              <w:pStyle w:val="30"/>
              <w:bidi w:val="0"/>
              <w:rPr>
                <w:rFonts w:hint="eastAsia"/>
                <w:color w:val="auto"/>
                <w:highlight w:val="none"/>
              </w:rPr>
            </w:pPr>
            <w:r>
              <w:rPr>
                <w:rFonts w:hint="eastAsia"/>
                <w:color w:val="auto"/>
                <w:highlight w:val="none"/>
              </w:rPr>
              <w:t>投标报价</w:t>
            </w:r>
          </w:p>
          <w:p>
            <w:pPr>
              <w:pStyle w:val="30"/>
              <w:bidi w:val="0"/>
              <w:rPr>
                <w:color w:val="auto"/>
                <w:highlight w:val="none"/>
              </w:rPr>
            </w:pPr>
            <w:r>
              <w:rPr>
                <w:rFonts w:hint="eastAsia"/>
                <w:color w:val="auto"/>
                <w:highlight w:val="none"/>
              </w:rPr>
              <w:t>（30分）</w:t>
            </w:r>
          </w:p>
        </w:tc>
        <w:tc>
          <w:tcPr>
            <w:tcW w:w="769" w:type="dxa"/>
            <w:vAlign w:val="center"/>
          </w:tcPr>
          <w:p>
            <w:pPr>
              <w:pStyle w:val="30"/>
              <w:bidi w:val="0"/>
              <w:jc w:val="center"/>
              <w:rPr>
                <w:rFonts w:hint="default" w:eastAsia="宋体"/>
                <w:color w:val="auto"/>
                <w:highlight w:val="none"/>
                <w:lang w:val="en-US" w:eastAsia="zh-CN"/>
              </w:rPr>
            </w:pPr>
            <w:r>
              <w:rPr>
                <w:rFonts w:hint="eastAsia"/>
                <w:color w:val="auto"/>
                <w:highlight w:val="none"/>
                <w:lang w:val="en-US" w:eastAsia="zh-CN"/>
              </w:rPr>
              <w:t>30</w:t>
            </w:r>
          </w:p>
        </w:tc>
        <w:tc>
          <w:tcPr>
            <w:tcW w:w="7386" w:type="dxa"/>
          </w:tcPr>
          <w:p>
            <w:pPr>
              <w:pStyle w:val="30"/>
              <w:ind w:firstLine="240" w:firstLineChars="100"/>
              <w:jc w:val="left"/>
              <w:rPr>
                <w:color w:val="auto"/>
                <w:highlight w:val="none"/>
              </w:rPr>
            </w:pPr>
            <w:r>
              <w:rPr>
                <w:rFonts w:hint="eastAsia"/>
                <w:color w:val="auto"/>
                <w:highlight w:val="none"/>
              </w:rPr>
              <w:t>价格分统一采用低价优先法计算，满足招标文件要求的投标报价为有效报价，有效报价经政策扣减后为评审报价（详见本章六．政策性扣减），最低的评审报价为评标基准价，其价格分为满分。其他投标人的价格分统一按照下列公式计算：</w:t>
            </w:r>
          </w:p>
          <w:p>
            <w:pPr>
              <w:pStyle w:val="30"/>
              <w:ind w:firstLine="240" w:firstLineChars="100"/>
              <w:jc w:val="left"/>
              <w:rPr>
                <w:rFonts w:hint="eastAsia"/>
                <w:color w:val="auto"/>
                <w:highlight w:val="none"/>
              </w:rPr>
            </w:pPr>
            <w:r>
              <w:rPr>
                <w:rFonts w:hint="eastAsia"/>
                <w:color w:val="auto"/>
                <w:highlight w:val="none"/>
              </w:rPr>
              <w:t>投标报价得分=(评标基准价／评审报价)×</w:t>
            </w:r>
            <w:r>
              <w:rPr>
                <w:rFonts w:hint="eastAsia"/>
                <w:color w:val="auto"/>
                <w:highlight w:val="none"/>
                <w:lang w:val="en-US" w:eastAsia="zh-CN"/>
              </w:rPr>
              <w:t>30</w:t>
            </w:r>
            <w:r>
              <w:rPr>
                <w:rFonts w:hint="eastAsia"/>
                <w:color w:val="auto"/>
                <w:highlight w:val="none"/>
              </w:rPr>
              <w:t xml:space="preserve">×100  </w:t>
            </w:r>
          </w:p>
          <w:p>
            <w:pPr>
              <w:pStyle w:val="30"/>
              <w:ind w:firstLine="240" w:firstLineChars="100"/>
              <w:jc w:val="left"/>
              <w:rPr>
                <w:color w:val="auto"/>
                <w:highlight w:val="none"/>
              </w:rPr>
            </w:pPr>
            <w:r>
              <w:rPr>
                <w:rFonts w:hint="eastAsia"/>
                <w:color w:val="auto"/>
                <w:highlight w:val="none"/>
              </w:rPr>
              <w:t>计算分数时四舍五入取小数点后两位。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08" w:type="dxa"/>
            <w:vMerge w:val="restart"/>
            <w:vAlign w:val="center"/>
          </w:tcPr>
          <w:p>
            <w:pPr>
              <w:pStyle w:val="30"/>
              <w:bidi w:val="0"/>
              <w:rPr>
                <w:rFonts w:hint="eastAsia"/>
                <w:color w:val="auto"/>
                <w:highlight w:val="none"/>
              </w:rPr>
            </w:pPr>
            <w:r>
              <w:rPr>
                <w:rFonts w:hint="eastAsia"/>
                <w:color w:val="auto"/>
                <w:highlight w:val="none"/>
              </w:rPr>
              <w:t>实施方案</w:t>
            </w:r>
          </w:p>
          <w:p>
            <w:pPr>
              <w:pStyle w:val="30"/>
              <w:bidi w:val="0"/>
              <w:rPr>
                <w:rFonts w:hint="eastAsia"/>
                <w:color w:val="auto"/>
                <w:highlight w:val="none"/>
              </w:rPr>
            </w:pPr>
            <w:r>
              <w:rPr>
                <w:rFonts w:hint="eastAsia"/>
                <w:color w:val="auto"/>
                <w:highlight w:val="none"/>
              </w:rPr>
              <w:t>（</w:t>
            </w:r>
            <w:r>
              <w:rPr>
                <w:rFonts w:hint="eastAsia"/>
                <w:color w:val="auto"/>
                <w:highlight w:val="none"/>
                <w:lang w:val="en-US" w:eastAsia="zh-CN"/>
              </w:rPr>
              <w:t>34</w:t>
            </w:r>
            <w:r>
              <w:rPr>
                <w:rFonts w:hint="eastAsia"/>
                <w:color w:val="auto"/>
                <w:highlight w:val="none"/>
              </w:rPr>
              <w:t>分）</w:t>
            </w:r>
          </w:p>
        </w:tc>
        <w:tc>
          <w:tcPr>
            <w:tcW w:w="769" w:type="dxa"/>
            <w:vAlign w:val="center"/>
          </w:tcPr>
          <w:p>
            <w:pPr>
              <w:pStyle w:val="30"/>
              <w:bidi w:val="0"/>
              <w:jc w:val="center"/>
              <w:rPr>
                <w:rFonts w:hint="default" w:eastAsia="宋体"/>
                <w:color w:val="auto"/>
                <w:highlight w:val="none"/>
                <w:lang w:val="en-US" w:eastAsia="zh-CN"/>
              </w:rPr>
            </w:pPr>
            <w:r>
              <w:rPr>
                <w:rFonts w:hint="eastAsia"/>
                <w:color w:val="auto"/>
                <w:highlight w:val="none"/>
                <w:lang w:val="en-US" w:eastAsia="zh-CN"/>
              </w:rPr>
              <w:t>11</w:t>
            </w:r>
          </w:p>
        </w:tc>
        <w:tc>
          <w:tcPr>
            <w:tcW w:w="7386" w:type="dxa"/>
          </w:tcPr>
          <w:p>
            <w:pPr>
              <w:pStyle w:val="30"/>
              <w:ind w:firstLine="240" w:firstLineChars="100"/>
              <w:jc w:val="left"/>
              <w:rPr>
                <w:rFonts w:hint="eastAsia"/>
                <w:color w:val="auto"/>
                <w:highlight w:val="none"/>
              </w:rPr>
            </w:pPr>
            <w:r>
              <w:rPr>
                <w:rFonts w:hint="eastAsia"/>
                <w:color w:val="auto"/>
                <w:highlight w:val="none"/>
              </w:rPr>
              <w:t>针对本项目有详细、具体、可行的供货方案</w:t>
            </w:r>
            <w:r>
              <w:rPr>
                <w:rFonts w:hint="eastAsia"/>
                <w:color w:val="auto"/>
                <w:highlight w:val="none"/>
                <w:lang w:eastAsia="zh-CN"/>
              </w:rPr>
              <w:t>，</w:t>
            </w:r>
            <w:r>
              <w:rPr>
                <w:rFonts w:hint="eastAsia"/>
                <w:color w:val="auto"/>
                <w:highlight w:val="none"/>
              </w:rPr>
              <w:t>图书质量符合相关法规及标准，承诺出版物为全新的正式出版物、无知识产权纠纷，无盗版。</w:t>
            </w:r>
          </w:p>
          <w:p>
            <w:pPr>
              <w:pStyle w:val="30"/>
              <w:ind w:firstLine="240" w:firstLineChars="100"/>
              <w:jc w:val="left"/>
              <w:rPr>
                <w:rFonts w:hint="eastAsia"/>
                <w:color w:val="auto"/>
                <w:highlight w:val="none"/>
              </w:rPr>
            </w:pPr>
            <w:r>
              <w:rPr>
                <w:rFonts w:hint="eastAsia"/>
                <w:color w:val="auto"/>
                <w:highlight w:val="none"/>
              </w:rPr>
              <w:t>方案详细、具体、可行计</w:t>
            </w:r>
            <w:r>
              <w:rPr>
                <w:rFonts w:hint="eastAsia"/>
                <w:color w:val="auto"/>
                <w:highlight w:val="none"/>
                <w:lang w:val="en-US" w:eastAsia="zh-CN"/>
              </w:rPr>
              <w:t>11</w:t>
            </w:r>
            <w:r>
              <w:rPr>
                <w:rFonts w:hint="eastAsia"/>
                <w:color w:val="auto"/>
                <w:highlight w:val="none"/>
              </w:rPr>
              <w:t>分，方案基本满足采购人需求计</w:t>
            </w:r>
            <w:r>
              <w:rPr>
                <w:rFonts w:hint="eastAsia"/>
                <w:color w:val="auto"/>
                <w:highlight w:val="none"/>
                <w:lang w:val="en-US" w:eastAsia="zh-CN"/>
              </w:rPr>
              <w:t>8</w:t>
            </w:r>
            <w:r>
              <w:rPr>
                <w:rFonts w:hint="eastAsia"/>
                <w:color w:val="auto"/>
                <w:highlight w:val="none"/>
              </w:rPr>
              <w:t>分，方案只提供简要大纲计</w:t>
            </w:r>
            <w:r>
              <w:rPr>
                <w:rFonts w:hint="eastAsia"/>
                <w:color w:val="auto"/>
                <w:highlight w:val="none"/>
                <w:lang w:val="en-US" w:eastAsia="zh-CN"/>
              </w:rPr>
              <w:t>5</w:t>
            </w:r>
            <w:r>
              <w:rPr>
                <w:rFonts w:hint="eastAsia"/>
                <w:color w:val="auto"/>
                <w:highlight w:val="none"/>
              </w:rPr>
              <w:t>分，方案难以满足采购人需求计</w:t>
            </w:r>
            <w:r>
              <w:rPr>
                <w:rFonts w:hint="eastAsia"/>
                <w:color w:val="auto"/>
                <w:highlight w:val="none"/>
                <w:lang w:val="en-US" w:eastAsia="zh-CN"/>
              </w:rPr>
              <w:t>2</w:t>
            </w:r>
            <w:r>
              <w:rPr>
                <w:rFonts w:hint="eastAsia"/>
                <w:color w:val="auto"/>
                <w:highlight w:val="none"/>
              </w:rPr>
              <w:t>分，未提供不计分。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08" w:type="dxa"/>
            <w:vMerge w:val="continue"/>
            <w:vAlign w:val="center"/>
          </w:tcPr>
          <w:p>
            <w:pPr>
              <w:pStyle w:val="30"/>
              <w:bidi w:val="0"/>
              <w:rPr>
                <w:rFonts w:hint="eastAsia"/>
                <w:color w:val="auto"/>
                <w:highlight w:val="none"/>
              </w:rPr>
            </w:pPr>
          </w:p>
        </w:tc>
        <w:tc>
          <w:tcPr>
            <w:tcW w:w="769" w:type="dxa"/>
            <w:vAlign w:val="center"/>
          </w:tcPr>
          <w:p>
            <w:pPr>
              <w:pStyle w:val="30"/>
              <w:bidi w:val="0"/>
              <w:jc w:val="center"/>
              <w:rPr>
                <w:rFonts w:hint="default" w:eastAsia="宋体"/>
                <w:color w:val="auto"/>
                <w:highlight w:val="none"/>
                <w:lang w:val="en-US" w:eastAsia="zh-CN"/>
              </w:rPr>
            </w:pPr>
            <w:r>
              <w:rPr>
                <w:rFonts w:hint="eastAsia"/>
                <w:color w:val="auto"/>
                <w:highlight w:val="none"/>
                <w:lang w:val="en-US" w:eastAsia="zh-CN"/>
              </w:rPr>
              <w:t>15</w:t>
            </w:r>
          </w:p>
        </w:tc>
        <w:tc>
          <w:tcPr>
            <w:tcW w:w="7386" w:type="dxa"/>
          </w:tcPr>
          <w:p>
            <w:pPr>
              <w:pStyle w:val="30"/>
              <w:ind w:firstLine="240" w:firstLineChars="100"/>
              <w:jc w:val="left"/>
              <w:rPr>
                <w:rFonts w:hint="eastAsia"/>
                <w:color w:val="auto"/>
                <w:highlight w:val="none"/>
              </w:rPr>
            </w:pPr>
            <w:r>
              <w:rPr>
                <w:rFonts w:hint="eastAsia"/>
                <w:color w:val="auto"/>
                <w:highlight w:val="none"/>
                <w:lang w:eastAsia="zh-CN"/>
              </w:rPr>
              <w:t>（</w:t>
            </w:r>
            <w:r>
              <w:rPr>
                <w:rFonts w:hint="eastAsia"/>
                <w:color w:val="auto"/>
                <w:highlight w:val="none"/>
                <w:lang w:val="en-US" w:eastAsia="zh-CN"/>
              </w:rPr>
              <w:t>1</w:t>
            </w:r>
            <w:r>
              <w:rPr>
                <w:rFonts w:hint="eastAsia"/>
                <w:color w:val="auto"/>
                <w:highlight w:val="none"/>
                <w:lang w:eastAsia="zh-CN"/>
              </w:rPr>
              <w:t>）</w:t>
            </w:r>
            <w:r>
              <w:rPr>
                <w:rFonts w:hint="eastAsia"/>
                <w:color w:val="auto"/>
                <w:highlight w:val="none"/>
              </w:rPr>
              <w:t>针对本项目的订单处理能力及效率，响应内容完善合理、可操作性强，计</w:t>
            </w:r>
            <w:r>
              <w:rPr>
                <w:rFonts w:hint="eastAsia"/>
                <w:color w:val="auto"/>
                <w:highlight w:val="none"/>
                <w:lang w:val="en-US" w:eastAsia="zh-CN"/>
              </w:rPr>
              <w:t>3</w:t>
            </w:r>
            <w:r>
              <w:rPr>
                <w:rFonts w:hint="eastAsia"/>
                <w:color w:val="auto"/>
                <w:highlight w:val="none"/>
              </w:rPr>
              <w:t>分；响应内容较完善合理、可操作性较强，计</w:t>
            </w:r>
            <w:r>
              <w:rPr>
                <w:rFonts w:hint="eastAsia"/>
                <w:color w:val="auto"/>
                <w:highlight w:val="none"/>
                <w:lang w:val="en-US" w:eastAsia="zh-CN"/>
              </w:rPr>
              <w:t>2</w:t>
            </w:r>
            <w:r>
              <w:rPr>
                <w:rFonts w:hint="eastAsia"/>
                <w:color w:val="auto"/>
                <w:highlight w:val="none"/>
              </w:rPr>
              <w:t>分；响应内容不完善、可操作性差，计</w:t>
            </w:r>
            <w:r>
              <w:rPr>
                <w:rFonts w:hint="eastAsia"/>
                <w:color w:val="auto"/>
                <w:highlight w:val="none"/>
                <w:lang w:val="en-US" w:eastAsia="zh-CN"/>
              </w:rPr>
              <w:t>1</w:t>
            </w:r>
            <w:r>
              <w:rPr>
                <w:rFonts w:hint="eastAsia"/>
                <w:color w:val="auto"/>
                <w:highlight w:val="none"/>
              </w:rPr>
              <w:t>分</w:t>
            </w:r>
            <w:r>
              <w:rPr>
                <w:rFonts w:hint="eastAsia"/>
                <w:color w:val="auto"/>
                <w:highlight w:val="none"/>
                <w:lang w:eastAsia="zh-CN"/>
              </w:rPr>
              <w:t>；</w:t>
            </w:r>
            <w:r>
              <w:rPr>
                <w:rFonts w:hint="eastAsia"/>
                <w:color w:val="auto"/>
                <w:highlight w:val="none"/>
              </w:rPr>
              <w:t>未提供的不计分；</w:t>
            </w:r>
          </w:p>
          <w:p>
            <w:pPr>
              <w:pStyle w:val="30"/>
              <w:ind w:firstLine="240" w:firstLineChars="100"/>
              <w:jc w:val="left"/>
              <w:rPr>
                <w:rFonts w:hint="eastAsia"/>
                <w:color w:val="auto"/>
                <w:highlight w:val="none"/>
              </w:rPr>
            </w:pPr>
            <w:r>
              <w:rPr>
                <w:rFonts w:hint="eastAsia"/>
                <w:color w:val="auto"/>
                <w:highlight w:val="none"/>
                <w:lang w:eastAsia="zh-CN"/>
              </w:rPr>
              <w:t>（</w:t>
            </w:r>
            <w:r>
              <w:rPr>
                <w:rFonts w:hint="eastAsia"/>
                <w:color w:val="auto"/>
                <w:highlight w:val="none"/>
                <w:lang w:val="en-US" w:eastAsia="zh-CN"/>
              </w:rPr>
              <w:t>2</w:t>
            </w:r>
            <w:r>
              <w:rPr>
                <w:rFonts w:hint="eastAsia"/>
                <w:color w:val="auto"/>
                <w:highlight w:val="none"/>
                <w:lang w:eastAsia="zh-CN"/>
              </w:rPr>
              <w:t>）</w:t>
            </w:r>
            <w:r>
              <w:rPr>
                <w:rFonts w:hint="eastAsia"/>
                <w:color w:val="auto"/>
                <w:highlight w:val="none"/>
              </w:rPr>
              <w:t>投标人有为采购人提供现场集中采购能力，提供相应证明材料，响应内容完善合理、可操作性强</w:t>
            </w:r>
            <w:r>
              <w:rPr>
                <w:rFonts w:hint="eastAsia"/>
                <w:color w:val="auto"/>
                <w:highlight w:val="none"/>
                <w:lang w:eastAsia="zh-CN"/>
              </w:rPr>
              <w:t>、</w:t>
            </w:r>
            <w:r>
              <w:rPr>
                <w:rFonts w:hint="eastAsia"/>
                <w:color w:val="auto"/>
                <w:highlight w:val="none"/>
                <w:lang w:val="en-US" w:eastAsia="zh-CN"/>
              </w:rPr>
              <w:t>证明材料完整充分</w:t>
            </w:r>
            <w:r>
              <w:rPr>
                <w:rFonts w:hint="eastAsia"/>
                <w:color w:val="auto"/>
                <w:highlight w:val="none"/>
              </w:rPr>
              <w:t>，计</w:t>
            </w:r>
            <w:r>
              <w:rPr>
                <w:rFonts w:hint="eastAsia"/>
                <w:color w:val="auto"/>
                <w:highlight w:val="none"/>
                <w:lang w:val="en-US" w:eastAsia="zh-CN"/>
              </w:rPr>
              <w:t>3</w:t>
            </w:r>
            <w:r>
              <w:rPr>
                <w:rFonts w:hint="eastAsia"/>
                <w:color w:val="auto"/>
                <w:highlight w:val="none"/>
              </w:rPr>
              <w:t>分；响应内容较完善合理、可操作性较强</w:t>
            </w:r>
            <w:r>
              <w:rPr>
                <w:rFonts w:hint="eastAsia"/>
                <w:color w:val="auto"/>
                <w:highlight w:val="none"/>
                <w:lang w:eastAsia="zh-CN"/>
              </w:rPr>
              <w:t>、</w:t>
            </w:r>
            <w:r>
              <w:rPr>
                <w:rFonts w:hint="eastAsia"/>
                <w:color w:val="auto"/>
                <w:highlight w:val="none"/>
                <w:lang w:val="en-US" w:eastAsia="zh-CN"/>
              </w:rPr>
              <w:t>有证明材料但存在缺漏项</w:t>
            </w:r>
            <w:r>
              <w:rPr>
                <w:rFonts w:hint="eastAsia"/>
                <w:color w:val="auto"/>
                <w:highlight w:val="none"/>
              </w:rPr>
              <w:t>，计</w:t>
            </w:r>
            <w:r>
              <w:rPr>
                <w:rFonts w:hint="eastAsia"/>
                <w:color w:val="auto"/>
                <w:highlight w:val="none"/>
                <w:lang w:val="en-US" w:eastAsia="zh-CN"/>
              </w:rPr>
              <w:t>2</w:t>
            </w:r>
            <w:r>
              <w:rPr>
                <w:rFonts w:hint="eastAsia"/>
                <w:color w:val="auto"/>
                <w:highlight w:val="none"/>
              </w:rPr>
              <w:t>分；响应内容不完善、可操作性差，</w:t>
            </w:r>
            <w:r>
              <w:rPr>
                <w:rFonts w:hint="eastAsia"/>
                <w:color w:val="auto"/>
                <w:highlight w:val="none"/>
                <w:lang w:val="en-US" w:eastAsia="zh-CN"/>
              </w:rPr>
              <w:t>无证明材料</w:t>
            </w:r>
            <w:r>
              <w:rPr>
                <w:rFonts w:hint="eastAsia"/>
                <w:color w:val="auto"/>
                <w:highlight w:val="none"/>
              </w:rPr>
              <w:t>计</w:t>
            </w:r>
            <w:r>
              <w:rPr>
                <w:rFonts w:hint="eastAsia"/>
                <w:color w:val="auto"/>
                <w:highlight w:val="none"/>
                <w:lang w:val="en-US" w:eastAsia="zh-CN"/>
              </w:rPr>
              <w:t>1</w:t>
            </w:r>
            <w:r>
              <w:rPr>
                <w:rFonts w:hint="eastAsia"/>
                <w:color w:val="auto"/>
                <w:highlight w:val="none"/>
              </w:rPr>
              <w:t>分</w:t>
            </w:r>
            <w:r>
              <w:rPr>
                <w:rFonts w:hint="eastAsia"/>
                <w:color w:val="auto"/>
                <w:highlight w:val="none"/>
                <w:lang w:eastAsia="zh-CN"/>
              </w:rPr>
              <w:t>；</w:t>
            </w:r>
            <w:r>
              <w:rPr>
                <w:rFonts w:hint="eastAsia"/>
                <w:color w:val="auto"/>
                <w:highlight w:val="none"/>
              </w:rPr>
              <w:t>未提供的不计分；</w:t>
            </w:r>
          </w:p>
          <w:p>
            <w:pPr>
              <w:pStyle w:val="30"/>
              <w:ind w:firstLine="240" w:firstLineChars="100"/>
              <w:jc w:val="left"/>
              <w:rPr>
                <w:rFonts w:hint="eastAsia"/>
                <w:color w:val="auto"/>
                <w:highlight w:val="none"/>
              </w:rPr>
            </w:pPr>
            <w:r>
              <w:rPr>
                <w:rFonts w:hint="eastAsia"/>
                <w:color w:val="auto"/>
                <w:highlight w:val="none"/>
                <w:lang w:eastAsia="zh-CN"/>
              </w:rPr>
              <w:t>（</w:t>
            </w:r>
            <w:r>
              <w:rPr>
                <w:rFonts w:hint="eastAsia"/>
                <w:color w:val="auto"/>
                <w:highlight w:val="none"/>
                <w:lang w:val="en-US" w:eastAsia="zh-CN"/>
              </w:rPr>
              <w:t>3</w:t>
            </w:r>
            <w:r>
              <w:rPr>
                <w:rFonts w:hint="eastAsia"/>
                <w:color w:val="auto"/>
                <w:highlight w:val="none"/>
                <w:lang w:eastAsia="zh-CN"/>
              </w:rPr>
              <w:t>）</w:t>
            </w:r>
            <w:r>
              <w:rPr>
                <w:rFonts w:hint="eastAsia"/>
                <w:color w:val="auto"/>
                <w:highlight w:val="none"/>
              </w:rPr>
              <w:t>根据采购人要求，投标人能够不定期免费安排采购人参加图书现采活动、参加各类书市及订货会，提供相应证明材料，响应内容完善合理、可操作性强</w:t>
            </w:r>
            <w:r>
              <w:rPr>
                <w:rFonts w:hint="eastAsia"/>
                <w:color w:val="auto"/>
                <w:highlight w:val="none"/>
                <w:lang w:eastAsia="zh-CN"/>
              </w:rPr>
              <w:t>、</w:t>
            </w:r>
            <w:r>
              <w:rPr>
                <w:rFonts w:hint="eastAsia"/>
                <w:color w:val="auto"/>
                <w:highlight w:val="none"/>
                <w:lang w:val="en-US" w:eastAsia="zh-CN"/>
              </w:rPr>
              <w:t>证明材料完整充分</w:t>
            </w:r>
            <w:r>
              <w:rPr>
                <w:rFonts w:hint="eastAsia"/>
                <w:color w:val="auto"/>
                <w:highlight w:val="none"/>
              </w:rPr>
              <w:t>，计</w:t>
            </w:r>
            <w:r>
              <w:rPr>
                <w:rFonts w:hint="eastAsia"/>
                <w:color w:val="auto"/>
                <w:highlight w:val="none"/>
                <w:lang w:val="en-US" w:eastAsia="zh-CN"/>
              </w:rPr>
              <w:t>3</w:t>
            </w:r>
            <w:r>
              <w:rPr>
                <w:rFonts w:hint="eastAsia"/>
                <w:color w:val="auto"/>
                <w:highlight w:val="none"/>
              </w:rPr>
              <w:t>分；响应内容较完善合理、可操作性较强</w:t>
            </w:r>
            <w:r>
              <w:rPr>
                <w:rFonts w:hint="eastAsia"/>
                <w:color w:val="auto"/>
                <w:highlight w:val="none"/>
                <w:lang w:eastAsia="zh-CN"/>
              </w:rPr>
              <w:t>、</w:t>
            </w:r>
            <w:r>
              <w:rPr>
                <w:rFonts w:hint="eastAsia"/>
                <w:color w:val="auto"/>
                <w:highlight w:val="none"/>
                <w:lang w:val="en-US" w:eastAsia="zh-CN"/>
              </w:rPr>
              <w:t>有证明材料但存在缺漏项</w:t>
            </w:r>
            <w:r>
              <w:rPr>
                <w:rFonts w:hint="eastAsia"/>
                <w:color w:val="auto"/>
                <w:highlight w:val="none"/>
              </w:rPr>
              <w:t>，计</w:t>
            </w:r>
            <w:r>
              <w:rPr>
                <w:rFonts w:hint="eastAsia"/>
                <w:color w:val="auto"/>
                <w:highlight w:val="none"/>
                <w:lang w:val="en-US" w:eastAsia="zh-CN"/>
              </w:rPr>
              <w:t>2</w:t>
            </w:r>
            <w:r>
              <w:rPr>
                <w:rFonts w:hint="eastAsia"/>
                <w:color w:val="auto"/>
                <w:highlight w:val="none"/>
              </w:rPr>
              <w:t>分；响应内容不完善、可操作性差，</w:t>
            </w:r>
            <w:r>
              <w:rPr>
                <w:rFonts w:hint="eastAsia"/>
                <w:color w:val="auto"/>
                <w:highlight w:val="none"/>
                <w:lang w:val="en-US" w:eastAsia="zh-CN"/>
              </w:rPr>
              <w:t>无证明材料</w:t>
            </w:r>
            <w:r>
              <w:rPr>
                <w:rFonts w:hint="eastAsia"/>
                <w:color w:val="auto"/>
                <w:highlight w:val="none"/>
              </w:rPr>
              <w:t>计</w:t>
            </w:r>
            <w:r>
              <w:rPr>
                <w:rFonts w:hint="eastAsia"/>
                <w:color w:val="auto"/>
                <w:highlight w:val="none"/>
                <w:lang w:val="en-US" w:eastAsia="zh-CN"/>
              </w:rPr>
              <w:t>1</w:t>
            </w:r>
            <w:r>
              <w:rPr>
                <w:rFonts w:hint="eastAsia"/>
                <w:color w:val="auto"/>
                <w:highlight w:val="none"/>
              </w:rPr>
              <w:t>分</w:t>
            </w:r>
            <w:r>
              <w:rPr>
                <w:rFonts w:hint="eastAsia"/>
                <w:color w:val="auto"/>
                <w:highlight w:val="none"/>
                <w:lang w:eastAsia="zh-CN"/>
              </w:rPr>
              <w:t>；</w:t>
            </w:r>
            <w:r>
              <w:rPr>
                <w:rFonts w:hint="eastAsia"/>
                <w:color w:val="auto"/>
                <w:highlight w:val="none"/>
              </w:rPr>
              <w:t>未提供的不计分；</w:t>
            </w:r>
          </w:p>
          <w:p>
            <w:pPr>
              <w:pStyle w:val="30"/>
              <w:jc w:val="left"/>
              <w:rPr>
                <w:rFonts w:hint="eastAsia"/>
                <w:color w:val="auto"/>
                <w:highlight w:val="none"/>
              </w:rPr>
            </w:pPr>
            <w:r>
              <w:rPr>
                <w:rFonts w:hint="eastAsia"/>
                <w:color w:val="auto"/>
                <w:highlight w:val="none"/>
                <w:lang w:val="en-US" w:eastAsia="zh-CN"/>
              </w:rPr>
              <w:t xml:space="preserve"> （4）</w:t>
            </w:r>
            <w:r>
              <w:rPr>
                <w:rFonts w:hint="eastAsia"/>
                <w:color w:val="auto"/>
                <w:highlight w:val="none"/>
              </w:rPr>
              <w:t>能配合采购人做好专题图书的采购，以满足采购人馆藏的特殊需求，响应内容完善合理、可操作性强，计</w:t>
            </w:r>
            <w:r>
              <w:rPr>
                <w:rFonts w:hint="eastAsia"/>
                <w:color w:val="auto"/>
                <w:highlight w:val="none"/>
                <w:lang w:val="en-US" w:eastAsia="zh-CN"/>
              </w:rPr>
              <w:t>3</w:t>
            </w:r>
            <w:r>
              <w:rPr>
                <w:rFonts w:hint="eastAsia"/>
                <w:color w:val="auto"/>
                <w:highlight w:val="none"/>
              </w:rPr>
              <w:t>分；响应内容较完善合理、可操作性较强，计</w:t>
            </w:r>
            <w:r>
              <w:rPr>
                <w:rFonts w:hint="eastAsia"/>
                <w:color w:val="auto"/>
                <w:highlight w:val="none"/>
                <w:lang w:val="en-US" w:eastAsia="zh-CN"/>
              </w:rPr>
              <w:t>2</w:t>
            </w:r>
            <w:r>
              <w:rPr>
                <w:rFonts w:hint="eastAsia"/>
                <w:color w:val="auto"/>
                <w:highlight w:val="none"/>
              </w:rPr>
              <w:t>分；响应内容不完善、可操作性差，计</w:t>
            </w:r>
            <w:r>
              <w:rPr>
                <w:rFonts w:hint="eastAsia"/>
                <w:color w:val="auto"/>
                <w:highlight w:val="none"/>
                <w:lang w:val="en-US" w:eastAsia="zh-CN"/>
              </w:rPr>
              <w:t>1</w:t>
            </w:r>
            <w:r>
              <w:rPr>
                <w:rFonts w:hint="eastAsia"/>
                <w:color w:val="auto"/>
                <w:highlight w:val="none"/>
              </w:rPr>
              <w:t>分</w:t>
            </w:r>
            <w:r>
              <w:rPr>
                <w:rFonts w:hint="eastAsia"/>
                <w:color w:val="auto"/>
                <w:highlight w:val="none"/>
                <w:lang w:eastAsia="zh-CN"/>
              </w:rPr>
              <w:t>；</w:t>
            </w:r>
            <w:r>
              <w:rPr>
                <w:rFonts w:hint="eastAsia"/>
                <w:color w:val="auto"/>
                <w:highlight w:val="none"/>
              </w:rPr>
              <w:t>未提供的不计分；</w:t>
            </w:r>
          </w:p>
          <w:p>
            <w:pPr>
              <w:pStyle w:val="30"/>
              <w:ind w:firstLine="240" w:firstLineChars="100"/>
              <w:jc w:val="left"/>
              <w:rPr>
                <w:rFonts w:hint="eastAsia"/>
                <w:color w:val="auto"/>
                <w:highlight w:val="none"/>
              </w:rPr>
            </w:pPr>
            <w:r>
              <w:rPr>
                <w:rFonts w:hint="eastAsia"/>
                <w:color w:val="auto"/>
                <w:highlight w:val="none"/>
                <w:lang w:eastAsia="zh-CN"/>
              </w:rPr>
              <w:t>（</w:t>
            </w:r>
            <w:r>
              <w:rPr>
                <w:rFonts w:hint="eastAsia"/>
                <w:color w:val="auto"/>
                <w:highlight w:val="none"/>
                <w:lang w:val="en-US" w:eastAsia="zh-CN"/>
              </w:rPr>
              <w:t>5</w:t>
            </w:r>
            <w:r>
              <w:rPr>
                <w:rFonts w:hint="eastAsia"/>
                <w:color w:val="auto"/>
                <w:highlight w:val="none"/>
                <w:lang w:eastAsia="zh-CN"/>
              </w:rPr>
              <w:t>）</w:t>
            </w:r>
            <w:r>
              <w:rPr>
                <w:rFonts w:hint="eastAsia"/>
                <w:color w:val="auto"/>
                <w:highlight w:val="none"/>
              </w:rPr>
              <w:t>投标人每30天向采购人提供一份人文社科类新书书目，且书目质量必须符合招标文件要求，响应内容完善合理、可操作性强，计</w:t>
            </w:r>
            <w:r>
              <w:rPr>
                <w:rFonts w:hint="eastAsia"/>
                <w:color w:val="auto"/>
                <w:highlight w:val="none"/>
                <w:lang w:val="en-US" w:eastAsia="zh-CN"/>
              </w:rPr>
              <w:t>3</w:t>
            </w:r>
            <w:r>
              <w:rPr>
                <w:rFonts w:hint="eastAsia"/>
                <w:color w:val="auto"/>
                <w:highlight w:val="none"/>
              </w:rPr>
              <w:t>分；响应内容较完善合理、可操作性较强，计</w:t>
            </w:r>
            <w:r>
              <w:rPr>
                <w:rFonts w:hint="eastAsia"/>
                <w:color w:val="auto"/>
                <w:highlight w:val="none"/>
                <w:lang w:val="en-US" w:eastAsia="zh-CN"/>
              </w:rPr>
              <w:t>2</w:t>
            </w:r>
            <w:r>
              <w:rPr>
                <w:rFonts w:hint="eastAsia"/>
                <w:color w:val="auto"/>
                <w:highlight w:val="none"/>
              </w:rPr>
              <w:t>分；响应内容不完善、可操作性差，计</w:t>
            </w:r>
            <w:r>
              <w:rPr>
                <w:rFonts w:hint="eastAsia"/>
                <w:color w:val="auto"/>
                <w:highlight w:val="none"/>
                <w:lang w:val="en-US" w:eastAsia="zh-CN"/>
              </w:rPr>
              <w:t>1</w:t>
            </w:r>
            <w:r>
              <w:rPr>
                <w:rFonts w:hint="eastAsia"/>
                <w:color w:val="auto"/>
                <w:highlight w:val="none"/>
              </w:rPr>
              <w:t>分</w:t>
            </w:r>
            <w:r>
              <w:rPr>
                <w:rFonts w:hint="eastAsia"/>
                <w:color w:val="auto"/>
                <w:highlight w:val="none"/>
                <w:lang w:eastAsia="zh-CN"/>
              </w:rPr>
              <w:t>；</w:t>
            </w:r>
            <w:r>
              <w:rPr>
                <w:rFonts w:hint="eastAsia"/>
                <w:color w:val="auto"/>
                <w:highlight w:val="none"/>
              </w:rPr>
              <w:t>未提供的不计分。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08" w:type="dxa"/>
            <w:vMerge w:val="continue"/>
            <w:vAlign w:val="center"/>
          </w:tcPr>
          <w:p>
            <w:pPr>
              <w:pStyle w:val="30"/>
              <w:bidi w:val="0"/>
              <w:rPr>
                <w:rFonts w:hint="eastAsia"/>
                <w:color w:val="auto"/>
                <w:highlight w:val="none"/>
              </w:rPr>
            </w:pPr>
          </w:p>
        </w:tc>
        <w:tc>
          <w:tcPr>
            <w:tcW w:w="769" w:type="dxa"/>
            <w:vAlign w:val="center"/>
          </w:tcPr>
          <w:p>
            <w:pPr>
              <w:keepNext w:val="0"/>
              <w:keepLines w:val="0"/>
              <w:pageBreakBefore w:val="0"/>
              <w:widowControl w:val="0"/>
              <w:kinsoku/>
              <w:wordWrap/>
              <w:overflowPunct/>
              <w:topLinePunct w:val="0"/>
              <w:autoSpaceDE/>
              <w:autoSpaceDN/>
              <w:bidi w:val="0"/>
              <w:adjustRightInd/>
              <w:snapToGrid/>
              <w:spacing w:line="410" w:lineRule="exact"/>
              <w:jc w:val="center"/>
              <w:textAlignment w:val="auto"/>
              <w:rPr>
                <w:rFonts w:hint="eastAsia"/>
                <w:color w:val="auto"/>
                <w:highlight w:val="none"/>
                <w:lang w:val="en-US" w:eastAsia="zh-CN"/>
              </w:rPr>
            </w:pPr>
            <w:r>
              <w:rPr>
                <w:rFonts w:hint="eastAsia" w:ascii="宋体" w:hAnsi="宋体" w:eastAsia="宋体" w:cs="宋体"/>
                <w:color w:val="auto"/>
                <w:sz w:val="24"/>
                <w:highlight w:val="none"/>
                <w:lang w:val="en-US" w:eastAsia="zh-CN" w:bidi="ar-SA"/>
              </w:rPr>
              <w:t>5</w:t>
            </w:r>
          </w:p>
        </w:tc>
        <w:tc>
          <w:tcPr>
            <w:tcW w:w="7386" w:type="dxa"/>
            <w:vAlign w:val="center"/>
          </w:tcPr>
          <w:p>
            <w:pPr>
              <w:keepNext w:val="0"/>
              <w:keepLines w:val="0"/>
              <w:pageBreakBefore w:val="0"/>
              <w:widowControl w:val="0"/>
              <w:kinsoku/>
              <w:wordWrap/>
              <w:overflowPunct/>
              <w:topLinePunct w:val="0"/>
              <w:autoSpaceDE/>
              <w:autoSpaceDN/>
              <w:bidi w:val="0"/>
              <w:adjustRightInd/>
              <w:snapToGrid/>
              <w:spacing w:line="410" w:lineRule="exact"/>
              <w:ind w:firstLine="240" w:firstLineChars="100"/>
              <w:jc w:val="left"/>
              <w:textAlignment w:val="auto"/>
              <w:rPr>
                <w:rFonts w:hint="eastAsia"/>
                <w:b/>
                <w:bCs/>
                <w:color w:val="auto"/>
                <w:highlight w:val="none"/>
              </w:rPr>
            </w:pPr>
            <w:r>
              <w:rPr>
                <w:rFonts w:hint="eastAsia" w:ascii="宋体" w:hAnsi="宋体" w:eastAsia="宋体" w:cs="宋体"/>
                <w:color w:val="auto"/>
                <w:sz w:val="24"/>
                <w:highlight w:val="none"/>
                <w:lang w:val="en-US" w:eastAsia="zh-CN" w:bidi="ar-SA"/>
              </w:rPr>
              <w:t>针对本项目的到货率质量，提供详细的服务承诺，</w:t>
            </w:r>
            <w:r>
              <w:rPr>
                <w:rFonts w:hint="eastAsia"/>
                <w:color w:val="auto"/>
                <w:highlight w:val="none"/>
              </w:rPr>
              <w:t>订到率</w:t>
            </w:r>
            <w:r>
              <w:rPr>
                <w:rFonts w:hint="eastAsia" w:ascii="宋体" w:hAnsi="宋体" w:eastAsia="宋体" w:cs="宋体"/>
                <w:color w:val="auto"/>
                <w:sz w:val="24"/>
                <w:highlight w:val="none"/>
                <w:lang w:val="en-US" w:eastAsia="zh-CN" w:bidi="ar-SA"/>
              </w:rPr>
              <w:t>完全满足采购人要求计</w:t>
            </w:r>
            <w:r>
              <w:rPr>
                <w:rFonts w:hint="eastAsia" w:hAnsi="宋体" w:cs="宋体"/>
                <w:color w:val="auto"/>
                <w:sz w:val="24"/>
                <w:highlight w:val="none"/>
                <w:lang w:val="en-US" w:eastAsia="zh-CN" w:bidi="ar-SA"/>
              </w:rPr>
              <w:t>5</w:t>
            </w:r>
            <w:r>
              <w:rPr>
                <w:rFonts w:hint="eastAsia" w:ascii="宋体" w:hAnsi="宋体" w:eastAsia="宋体" w:cs="宋体"/>
                <w:color w:val="auto"/>
                <w:sz w:val="24"/>
                <w:highlight w:val="none"/>
                <w:lang w:val="en-US" w:eastAsia="zh-CN" w:bidi="ar-SA"/>
              </w:rPr>
              <w:t>分；</w:t>
            </w:r>
            <w:r>
              <w:rPr>
                <w:rFonts w:hint="eastAsia"/>
                <w:color w:val="auto"/>
                <w:highlight w:val="none"/>
              </w:rPr>
              <w:t>订到率</w:t>
            </w:r>
            <w:r>
              <w:rPr>
                <w:rFonts w:hint="eastAsia" w:ascii="宋体" w:hAnsi="宋体" w:eastAsia="宋体" w:cs="宋体"/>
                <w:color w:val="auto"/>
                <w:sz w:val="24"/>
                <w:highlight w:val="none"/>
                <w:lang w:val="en-US" w:eastAsia="zh-CN" w:bidi="ar-SA"/>
              </w:rPr>
              <w:t>基本满足采购人需求计</w:t>
            </w:r>
            <w:r>
              <w:rPr>
                <w:rFonts w:hint="eastAsia" w:hAnsi="宋体" w:cs="宋体"/>
                <w:color w:val="auto"/>
                <w:sz w:val="24"/>
                <w:highlight w:val="none"/>
                <w:lang w:val="en-US" w:eastAsia="zh-CN" w:bidi="ar-SA"/>
              </w:rPr>
              <w:t>3</w:t>
            </w:r>
            <w:r>
              <w:rPr>
                <w:rFonts w:hint="eastAsia" w:ascii="宋体" w:hAnsi="宋体" w:eastAsia="宋体" w:cs="宋体"/>
                <w:color w:val="auto"/>
                <w:sz w:val="24"/>
                <w:highlight w:val="none"/>
                <w:lang w:val="en-US" w:eastAsia="zh-CN" w:bidi="ar-SA"/>
              </w:rPr>
              <w:t>分，未提供不计分。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08" w:type="dxa"/>
            <w:vMerge w:val="continue"/>
            <w:vAlign w:val="center"/>
          </w:tcPr>
          <w:p>
            <w:pPr>
              <w:pStyle w:val="30"/>
              <w:bidi w:val="0"/>
              <w:rPr>
                <w:rFonts w:hint="eastAsia"/>
                <w:color w:val="auto"/>
                <w:highlight w:val="none"/>
              </w:rPr>
            </w:pPr>
          </w:p>
        </w:tc>
        <w:tc>
          <w:tcPr>
            <w:tcW w:w="769" w:type="dxa"/>
            <w:vAlign w:val="center"/>
          </w:tcPr>
          <w:p>
            <w:pPr>
              <w:keepNext w:val="0"/>
              <w:keepLines w:val="0"/>
              <w:pageBreakBefore w:val="0"/>
              <w:widowControl w:val="0"/>
              <w:kinsoku/>
              <w:wordWrap/>
              <w:overflowPunct/>
              <w:topLinePunct w:val="0"/>
              <w:autoSpaceDE/>
              <w:autoSpaceDN/>
              <w:bidi w:val="0"/>
              <w:adjustRightInd/>
              <w:snapToGrid/>
              <w:spacing w:line="410" w:lineRule="exact"/>
              <w:jc w:val="center"/>
              <w:textAlignment w:val="auto"/>
              <w:rPr>
                <w:rFonts w:hint="eastAsia"/>
                <w:color w:val="auto"/>
                <w:highlight w:val="none"/>
                <w:lang w:val="en-US" w:eastAsia="zh-CN"/>
              </w:rPr>
            </w:pPr>
            <w:r>
              <w:rPr>
                <w:rFonts w:hint="eastAsia" w:ascii="宋体" w:hAnsi="宋体" w:eastAsia="宋体" w:cs="宋体"/>
                <w:color w:val="auto"/>
                <w:sz w:val="24"/>
                <w:highlight w:val="none"/>
                <w:lang w:val="en-US" w:eastAsia="zh-CN" w:bidi="ar-SA"/>
              </w:rPr>
              <w:t>3</w:t>
            </w:r>
          </w:p>
        </w:tc>
        <w:tc>
          <w:tcPr>
            <w:tcW w:w="7386" w:type="dxa"/>
            <w:vAlign w:val="center"/>
          </w:tcPr>
          <w:p>
            <w:pPr>
              <w:keepNext w:val="0"/>
              <w:keepLines w:val="0"/>
              <w:pageBreakBefore w:val="0"/>
              <w:widowControl w:val="0"/>
              <w:kinsoku/>
              <w:wordWrap/>
              <w:overflowPunct/>
              <w:topLinePunct w:val="0"/>
              <w:autoSpaceDE/>
              <w:autoSpaceDN/>
              <w:bidi w:val="0"/>
              <w:adjustRightInd/>
              <w:snapToGrid/>
              <w:spacing w:line="410" w:lineRule="exact"/>
              <w:jc w:val="left"/>
              <w:textAlignment w:val="auto"/>
              <w:rPr>
                <w:rFonts w:hint="eastAsia"/>
                <w:b/>
                <w:bCs/>
                <w:color w:val="auto"/>
                <w:highlight w:val="none"/>
              </w:rPr>
            </w:pPr>
            <w:r>
              <w:rPr>
                <w:rFonts w:hint="eastAsia" w:ascii="宋体" w:hAnsi="宋体" w:eastAsia="宋体" w:cs="宋体"/>
                <w:color w:val="auto"/>
                <w:sz w:val="24"/>
                <w:highlight w:val="none"/>
                <w:lang w:val="en-US" w:eastAsia="zh-CN" w:bidi="ar-SA"/>
              </w:rPr>
              <w:t>针对本项目的其他服务质量（如特色增值服务等），提供详细的服务承诺，</w:t>
            </w:r>
            <w:r>
              <w:rPr>
                <w:rFonts w:hint="eastAsia"/>
                <w:color w:val="auto"/>
                <w:highlight w:val="none"/>
              </w:rPr>
              <w:t>响应内容完善合理、可操作性强，计</w:t>
            </w:r>
            <w:r>
              <w:rPr>
                <w:rFonts w:hint="eastAsia"/>
                <w:color w:val="auto"/>
                <w:highlight w:val="none"/>
                <w:lang w:val="en-US" w:eastAsia="zh-CN"/>
              </w:rPr>
              <w:t>3</w:t>
            </w:r>
            <w:r>
              <w:rPr>
                <w:rFonts w:hint="eastAsia"/>
                <w:color w:val="auto"/>
                <w:highlight w:val="none"/>
              </w:rPr>
              <w:t>分；响应内容较完善合理、可操作性较强，计</w:t>
            </w:r>
            <w:r>
              <w:rPr>
                <w:rFonts w:hint="eastAsia"/>
                <w:color w:val="auto"/>
                <w:highlight w:val="none"/>
                <w:lang w:val="en-US" w:eastAsia="zh-CN"/>
              </w:rPr>
              <w:t>2</w:t>
            </w:r>
            <w:r>
              <w:rPr>
                <w:rFonts w:hint="eastAsia"/>
                <w:color w:val="auto"/>
                <w:highlight w:val="none"/>
              </w:rPr>
              <w:t>分；响应内容不完善、可操作性差，计</w:t>
            </w:r>
            <w:r>
              <w:rPr>
                <w:rFonts w:hint="eastAsia"/>
                <w:color w:val="auto"/>
                <w:highlight w:val="none"/>
                <w:lang w:val="en-US" w:eastAsia="zh-CN"/>
              </w:rPr>
              <w:t>1</w:t>
            </w:r>
            <w:r>
              <w:rPr>
                <w:rFonts w:hint="eastAsia"/>
                <w:color w:val="auto"/>
                <w:highlight w:val="none"/>
              </w:rPr>
              <w:t>分</w:t>
            </w:r>
            <w:r>
              <w:rPr>
                <w:rFonts w:hint="eastAsia"/>
                <w:color w:val="auto"/>
                <w:highlight w:val="none"/>
                <w:lang w:eastAsia="zh-CN"/>
              </w:rPr>
              <w:t>；</w:t>
            </w:r>
            <w:r>
              <w:rPr>
                <w:rFonts w:hint="eastAsia"/>
                <w:color w:val="auto"/>
                <w:highlight w:val="none"/>
              </w:rPr>
              <w:t>未提供的不计分</w:t>
            </w:r>
            <w:r>
              <w:rPr>
                <w:rFonts w:hint="eastAsia" w:ascii="宋体" w:hAnsi="宋体" w:eastAsia="宋体" w:cs="宋体"/>
                <w:color w:val="auto"/>
                <w:sz w:val="24"/>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08" w:type="dxa"/>
            <w:vAlign w:val="center"/>
          </w:tcPr>
          <w:p>
            <w:pPr>
              <w:pStyle w:val="30"/>
              <w:bidi w:val="0"/>
              <w:rPr>
                <w:rFonts w:hint="eastAsia"/>
                <w:color w:val="auto"/>
                <w:highlight w:val="none"/>
              </w:rPr>
            </w:pPr>
            <w:r>
              <w:rPr>
                <w:rFonts w:hint="eastAsia"/>
                <w:color w:val="auto"/>
                <w:highlight w:val="none"/>
              </w:rPr>
              <w:t>履约能力（</w:t>
            </w:r>
            <w:r>
              <w:rPr>
                <w:rFonts w:hint="eastAsia"/>
                <w:color w:val="auto"/>
                <w:highlight w:val="none"/>
                <w:lang w:val="en-US" w:eastAsia="zh-CN"/>
              </w:rPr>
              <w:t>2</w:t>
            </w:r>
            <w:r>
              <w:rPr>
                <w:rFonts w:hint="eastAsia"/>
                <w:color w:val="auto"/>
                <w:highlight w:val="none"/>
              </w:rPr>
              <w:t>分）</w:t>
            </w:r>
          </w:p>
        </w:tc>
        <w:tc>
          <w:tcPr>
            <w:tcW w:w="769" w:type="dxa"/>
            <w:vAlign w:val="center"/>
          </w:tcPr>
          <w:p>
            <w:pPr>
              <w:pStyle w:val="30"/>
              <w:bidi w:val="0"/>
              <w:jc w:val="center"/>
              <w:rPr>
                <w:rFonts w:hint="default" w:eastAsia="宋体"/>
                <w:color w:val="auto"/>
                <w:highlight w:val="none"/>
                <w:lang w:val="en-US" w:eastAsia="zh-CN"/>
              </w:rPr>
            </w:pPr>
            <w:r>
              <w:rPr>
                <w:rFonts w:hint="eastAsia"/>
                <w:color w:val="auto"/>
                <w:highlight w:val="none"/>
                <w:lang w:val="en-US" w:eastAsia="zh-CN"/>
              </w:rPr>
              <w:t>2</w:t>
            </w:r>
          </w:p>
        </w:tc>
        <w:tc>
          <w:tcPr>
            <w:tcW w:w="7386" w:type="dxa"/>
          </w:tcPr>
          <w:p>
            <w:pPr>
              <w:pStyle w:val="30"/>
              <w:ind w:firstLine="240" w:firstLineChars="100"/>
              <w:jc w:val="left"/>
              <w:rPr>
                <w:rFonts w:hint="eastAsia"/>
                <w:b/>
                <w:bCs/>
                <w:color w:val="auto"/>
                <w:highlight w:val="none"/>
              </w:rPr>
            </w:pPr>
            <w:r>
              <w:rPr>
                <w:rFonts w:hint="eastAsia" w:ascii="宋体" w:hAnsi="宋体" w:eastAsia="宋体" w:cs="宋体"/>
                <w:color w:val="auto"/>
                <w:sz w:val="24"/>
                <w:highlight w:val="none"/>
                <w:lang w:val="en-US" w:eastAsia="zh-CN" w:bidi="ar-SA"/>
              </w:rPr>
              <w:t>在本地设有可供采购的经营场所得2分，在本地没有经营场所、但设有办事机构得1分，未提供的不计分。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08" w:type="dxa"/>
            <w:vMerge w:val="restart"/>
            <w:vAlign w:val="center"/>
          </w:tcPr>
          <w:p>
            <w:pPr>
              <w:pStyle w:val="30"/>
              <w:bidi w:val="0"/>
              <w:rPr>
                <w:rFonts w:hint="eastAsia"/>
                <w:color w:val="auto"/>
                <w:highlight w:val="none"/>
              </w:rPr>
            </w:pPr>
            <w:r>
              <w:rPr>
                <w:rFonts w:hint="eastAsia"/>
                <w:color w:val="auto"/>
                <w:highlight w:val="none"/>
              </w:rPr>
              <w:t>追补订</w:t>
            </w:r>
          </w:p>
          <w:p>
            <w:pPr>
              <w:pStyle w:val="30"/>
              <w:bidi w:val="0"/>
              <w:rPr>
                <w:rFonts w:hint="eastAsia"/>
                <w:color w:val="auto"/>
                <w:highlight w:val="none"/>
              </w:rPr>
            </w:pPr>
            <w:r>
              <w:rPr>
                <w:rFonts w:hint="eastAsia"/>
                <w:color w:val="auto"/>
                <w:highlight w:val="none"/>
              </w:rPr>
              <w:t>承诺</w:t>
            </w:r>
          </w:p>
          <w:p>
            <w:pPr>
              <w:pStyle w:val="30"/>
              <w:bidi w:val="0"/>
              <w:rPr>
                <w:rFonts w:hint="eastAsia"/>
                <w:color w:val="auto"/>
                <w:highlight w:val="none"/>
              </w:rPr>
            </w:pPr>
            <w:r>
              <w:rPr>
                <w:rFonts w:hint="eastAsia"/>
                <w:color w:val="auto"/>
                <w:highlight w:val="none"/>
              </w:rPr>
              <w:t>（</w:t>
            </w:r>
            <w:r>
              <w:rPr>
                <w:rFonts w:hint="eastAsia"/>
                <w:color w:val="auto"/>
                <w:highlight w:val="none"/>
                <w:lang w:val="en-US" w:eastAsia="zh-CN"/>
              </w:rPr>
              <w:t>8</w:t>
            </w:r>
            <w:r>
              <w:rPr>
                <w:rFonts w:hint="eastAsia"/>
                <w:color w:val="auto"/>
                <w:highlight w:val="none"/>
              </w:rPr>
              <w:t>分）</w:t>
            </w:r>
          </w:p>
        </w:tc>
        <w:tc>
          <w:tcPr>
            <w:tcW w:w="769" w:type="dxa"/>
            <w:vAlign w:val="center"/>
          </w:tcPr>
          <w:p>
            <w:pPr>
              <w:pStyle w:val="30"/>
              <w:bidi w:val="0"/>
              <w:jc w:val="center"/>
              <w:rPr>
                <w:rFonts w:hint="eastAsia" w:eastAsia="宋体"/>
                <w:color w:val="auto"/>
                <w:highlight w:val="none"/>
                <w:lang w:val="en-US" w:eastAsia="zh-CN"/>
              </w:rPr>
            </w:pPr>
            <w:r>
              <w:rPr>
                <w:rFonts w:hint="eastAsia"/>
                <w:color w:val="auto"/>
                <w:highlight w:val="none"/>
                <w:lang w:val="en-US" w:eastAsia="zh-CN"/>
              </w:rPr>
              <w:t>4</w:t>
            </w:r>
          </w:p>
        </w:tc>
        <w:tc>
          <w:tcPr>
            <w:tcW w:w="7386" w:type="dxa"/>
          </w:tcPr>
          <w:p>
            <w:pPr>
              <w:pStyle w:val="30"/>
              <w:ind w:firstLine="240" w:firstLineChars="100"/>
              <w:jc w:val="left"/>
              <w:rPr>
                <w:rFonts w:hint="eastAsia"/>
                <w:color w:val="auto"/>
                <w:highlight w:val="none"/>
              </w:rPr>
            </w:pPr>
            <w:r>
              <w:rPr>
                <w:rFonts w:hint="eastAsia"/>
                <w:color w:val="auto"/>
                <w:highlight w:val="none"/>
                <w:lang w:eastAsia="zh-CN"/>
              </w:rPr>
              <w:t>（</w:t>
            </w:r>
            <w:r>
              <w:rPr>
                <w:rFonts w:hint="eastAsia"/>
                <w:color w:val="auto"/>
                <w:highlight w:val="none"/>
                <w:lang w:val="en-US" w:eastAsia="zh-CN"/>
              </w:rPr>
              <w:t>1</w:t>
            </w:r>
            <w:r>
              <w:rPr>
                <w:rFonts w:hint="eastAsia"/>
                <w:color w:val="auto"/>
                <w:highlight w:val="none"/>
                <w:lang w:eastAsia="zh-CN"/>
              </w:rPr>
              <w:t>）在投标文件中对追补订图书问题有响应，内容充实，切合实际，符合采购人需求，违约保证严格的计</w:t>
            </w:r>
            <w:r>
              <w:rPr>
                <w:rFonts w:hint="eastAsia"/>
                <w:color w:val="auto"/>
                <w:highlight w:val="none"/>
                <w:lang w:val="en-US" w:eastAsia="zh-CN"/>
              </w:rPr>
              <w:t>4</w:t>
            </w:r>
            <w:r>
              <w:rPr>
                <w:rFonts w:hint="eastAsia"/>
                <w:color w:val="auto"/>
                <w:highlight w:val="none"/>
                <w:lang w:eastAsia="zh-CN"/>
              </w:rPr>
              <w:t>分；有响应的，但内容空泛，方法不切合实际，违约保证避重就轻的计</w:t>
            </w:r>
            <w:r>
              <w:rPr>
                <w:rFonts w:hint="eastAsia"/>
                <w:color w:val="auto"/>
                <w:highlight w:val="none"/>
                <w:lang w:val="en-US" w:eastAsia="zh-CN"/>
              </w:rPr>
              <w:t>2</w:t>
            </w:r>
            <w:r>
              <w:rPr>
                <w:rFonts w:hint="eastAsia"/>
                <w:color w:val="auto"/>
                <w:highlight w:val="none"/>
                <w:lang w:eastAsia="zh-CN"/>
              </w:rPr>
              <w:t>分，未提供不计分。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08" w:type="dxa"/>
            <w:vMerge w:val="continue"/>
            <w:vAlign w:val="center"/>
          </w:tcPr>
          <w:p>
            <w:pPr>
              <w:pStyle w:val="30"/>
              <w:bidi w:val="0"/>
              <w:rPr>
                <w:rFonts w:hint="eastAsia"/>
                <w:color w:val="auto"/>
                <w:highlight w:val="none"/>
              </w:rPr>
            </w:pPr>
          </w:p>
        </w:tc>
        <w:tc>
          <w:tcPr>
            <w:tcW w:w="769" w:type="dxa"/>
            <w:vAlign w:val="center"/>
          </w:tcPr>
          <w:p>
            <w:pPr>
              <w:pStyle w:val="30"/>
              <w:bidi w:val="0"/>
              <w:jc w:val="center"/>
              <w:rPr>
                <w:rFonts w:hint="eastAsia" w:eastAsia="宋体"/>
                <w:color w:val="auto"/>
                <w:highlight w:val="none"/>
                <w:lang w:val="en-US" w:eastAsia="zh-CN"/>
              </w:rPr>
            </w:pPr>
            <w:r>
              <w:rPr>
                <w:rFonts w:hint="eastAsia"/>
                <w:color w:val="auto"/>
                <w:highlight w:val="none"/>
                <w:lang w:val="en-US" w:eastAsia="zh-CN"/>
              </w:rPr>
              <w:t>4</w:t>
            </w:r>
          </w:p>
        </w:tc>
        <w:tc>
          <w:tcPr>
            <w:tcW w:w="7386" w:type="dxa"/>
          </w:tcPr>
          <w:p>
            <w:pPr>
              <w:pStyle w:val="30"/>
              <w:numPr>
                <w:ilvl w:val="0"/>
                <w:numId w:val="0"/>
              </w:numPr>
              <w:ind w:firstLine="240" w:firstLineChars="100"/>
              <w:jc w:val="left"/>
              <w:rPr>
                <w:rFonts w:hint="eastAsia"/>
                <w:color w:val="auto"/>
                <w:highlight w:val="none"/>
                <w:lang w:eastAsia="zh-CN"/>
              </w:rPr>
            </w:pPr>
            <w:r>
              <w:rPr>
                <w:rFonts w:hint="eastAsia"/>
                <w:color w:val="auto"/>
                <w:highlight w:val="none"/>
                <w:lang w:eastAsia="zh-CN"/>
              </w:rPr>
              <w:t>（</w:t>
            </w:r>
            <w:r>
              <w:rPr>
                <w:rFonts w:hint="eastAsia"/>
                <w:color w:val="auto"/>
                <w:highlight w:val="none"/>
                <w:lang w:val="en-US" w:eastAsia="zh-CN"/>
              </w:rPr>
              <w:t>2</w:t>
            </w:r>
            <w:r>
              <w:rPr>
                <w:rFonts w:hint="eastAsia"/>
                <w:color w:val="auto"/>
                <w:highlight w:val="none"/>
                <w:lang w:eastAsia="zh-CN"/>
              </w:rPr>
              <w:t>）图书装订或印刷质量有问题，如缺页、错页、倒装、模糊不清、折页、开线、开胶、污损等，图书种类册数与对应清单不符，投标人应给予调换、补缺或退货，所有调换、补缺或退货所产生的全部费用，由投标人承担，调换、补缺应在接到通知后投标人自行承诺具体工作日的完成时间，投标人均能保证无条件响应。</w:t>
            </w:r>
          </w:p>
          <w:p>
            <w:pPr>
              <w:pStyle w:val="30"/>
              <w:numPr>
                <w:ilvl w:val="0"/>
                <w:numId w:val="0"/>
              </w:numPr>
              <w:ind w:firstLine="240" w:firstLineChars="100"/>
              <w:jc w:val="left"/>
              <w:rPr>
                <w:rFonts w:hint="eastAsia"/>
                <w:color w:val="auto"/>
                <w:highlight w:val="none"/>
              </w:rPr>
            </w:pPr>
            <w:r>
              <w:rPr>
                <w:rFonts w:hint="eastAsia"/>
                <w:color w:val="auto"/>
                <w:highlight w:val="none"/>
                <w:lang w:eastAsia="zh-CN"/>
              </w:rPr>
              <w:t>承诺完整可行计</w:t>
            </w:r>
            <w:r>
              <w:rPr>
                <w:rFonts w:hint="eastAsia"/>
                <w:color w:val="auto"/>
                <w:highlight w:val="none"/>
                <w:lang w:val="en-US" w:eastAsia="zh-CN"/>
              </w:rPr>
              <w:t>4</w:t>
            </w:r>
            <w:r>
              <w:rPr>
                <w:rFonts w:hint="eastAsia"/>
                <w:color w:val="auto"/>
                <w:highlight w:val="none"/>
                <w:lang w:eastAsia="zh-CN"/>
              </w:rPr>
              <w:t>分；承诺内容空泛的计</w:t>
            </w:r>
            <w:r>
              <w:rPr>
                <w:rFonts w:hint="eastAsia"/>
                <w:color w:val="auto"/>
                <w:highlight w:val="none"/>
                <w:lang w:val="en-US" w:eastAsia="zh-CN"/>
              </w:rPr>
              <w:t>2</w:t>
            </w:r>
            <w:r>
              <w:rPr>
                <w:rFonts w:hint="eastAsia"/>
                <w:color w:val="auto"/>
                <w:highlight w:val="none"/>
                <w:lang w:eastAsia="zh-CN"/>
              </w:rPr>
              <w:t>分，未提供的不计分。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08" w:type="dxa"/>
            <w:vMerge w:val="restart"/>
            <w:vAlign w:val="center"/>
          </w:tcPr>
          <w:p>
            <w:pPr>
              <w:pStyle w:val="30"/>
              <w:bidi w:val="0"/>
              <w:rPr>
                <w:rFonts w:hint="eastAsia"/>
                <w:color w:val="auto"/>
                <w:highlight w:val="none"/>
              </w:rPr>
            </w:pPr>
            <w:r>
              <w:rPr>
                <w:rFonts w:hint="eastAsia"/>
                <w:color w:val="auto"/>
                <w:highlight w:val="none"/>
              </w:rPr>
              <w:t>服务承诺（10分）</w:t>
            </w:r>
          </w:p>
        </w:tc>
        <w:tc>
          <w:tcPr>
            <w:tcW w:w="769" w:type="dxa"/>
            <w:vAlign w:val="center"/>
          </w:tcPr>
          <w:p>
            <w:pPr>
              <w:keepNext w:val="0"/>
              <w:keepLines w:val="0"/>
              <w:pageBreakBefore w:val="0"/>
              <w:widowControl w:val="0"/>
              <w:kinsoku/>
              <w:wordWrap/>
              <w:overflowPunct/>
              <w:topLinePunct w:val="0"/>
              <w:autoSpaceDE/>
              <w:autoSpaceDN/>
              <w:bidi w:val="0"/>
              <w:adjustRightInd/>
              <w:snapToGrid/>
              <w:spacing w:line="410" w:lineRule="exact"/>
              <w:jc w:val="center"/>
              <w:textAlignment w:val="auto"/>
              <w:rPr>
                <w:rFonts w:hint="eastAsia" w:ascii="宋体" w:hAnsi="宋体" w:eastAsia="宋体" w:cs="宋体"/>
                <w:color w:val="auto"/>
                <w:sz w:val="24"/>
                <w:highlight w:val="none"/>
                <w:lang w:val="en-US" w:eastAsia="zh-CN" w:bidi="ar-SA"/>
              </w:rPr>
            </w:pPr>
            <w:r>
              <w:rPr>
                <w:rFonts w:hint="eastAsia" w:ascii="宋体" w:hAnsi="宋体" w:eastAsia="宋体" w:cs="宋体"/>
                <w:color w:val="auto"/>
                <w:sz w:val="24"/>
                <w:highlight w:val="none"/>
                <w:lang w:val="en-US" w:eastAsia="zh-CN" w:bidi="ar-SA"/>
              </w:rPr>
              <w:t>2</w:t>
            </w:r>
          </w:p>
        </w:tc>
        <w:tc>
          <w:tcPr>
            <w:tcW w:w="7386" w:type="dxa"/>
            <w:vAlign w:val="top"/>
          </w:tcPr>
          <w:p>
            <w:pPr>
              <w:keepNext w:val="0"/>
              <w:keepLines w:val="0"/>
              <w:pageBreakBefore w:val="0"/>
              <w:widowControl w:val="0"/>
              <w:kinsoku/>
              <w:wordWrap/>
              <w:overflowPunct/>
              <w:topLinePunct w:val="0"/>
              <w:autoSpaceDE/>
              <w:autoSpaceDN/>
              <w:bidi w:val="0"/>
              <w:adjustRightInd/>
              <w:snapToGrid/>
              <w:spacing w:line="410" w:lineRule="exact"/>
              <w:ind w:firstLine="240" w:firstLineChars="100"/>
              <w:jc w:val="left"/>
              <w:textAlignment w:val="auto"/>
              <w:rPr>
                <w:rFonts w:hint="eastAsia" w:ascii="宋体" w:hAnsi="宋体" w:eastAsia="宋体" w:cs="宋体"/>
                <w:color w:val="auto"/>
                <w:sz w:val="24"/>
                <w:highlight w:val="none"/>
                <w:lang w:val="en-US" w:eastAsia="zh-CN" w:bidi="ar-SA"/>
              </w:rPr>
            </w:pPr>
            <w:r>
              <w:rPr>
                <w:rFonts w:hint="eastAsia" w:hAnsi="宋体" w:cs="宋体"/>
                <w:color w:val="auto"/>
                <w:sz w:val="24"/>
                <w:highlight w:val="none"/>
                <w:lang w:val="en-US" w:eastAsia="zh-CN" w:bidi="ar-SA"/>
              </w:rPr>
              <w:t>（1）</w:t>
            </w:r>
            <w:r>
              <w:rPr>
                <w:rFonts w:hint="eastAsia" w:ascii="宋体" w:hAnsi="宋体" w:eastAsia="宋体" w:cs="宋体"/>
                <w:color w:val="auto"/>
                <w:sz w:val="24"/>
                <w:highlight w:val="none"/>
                <w:lang w:val="en-US" w:eastAsia="zh-CN" w:bidi="ar-SA"/>
              </w:rPr>
              <w:t>投标人承诺针对本项目能够及时提供规范的Marc数据，</w:t>
            </w:r>
            <w:r>
              <w:rPr>
                <w:rFonts w:hint="eastAsia"/>
                <w:color w:val="auto"/>
                <w:highlight w:val="none"/>
              </w:rPr>
              <w:t>响应内容完善合理、可操作性强，计</w:t>
            </w:r>
            <w:r>
              <w:rPr>
                <w:rFonts w:hint="eastAsia"/>
                <w:color w:val="auto"/>
                <w:highlight w:val="none"/>
                <w:lang w:val="en-US" w:eastAsia="zh-CN"/>
              </w:rPr>
              <w:t>2</w:t>
            </w:r>
            <w:r>
              <w:rPr>
                <w:rFonts w:hint="eastAsia"/>
                <w:color w:val="auto"/>
                <w:highlight w:val="none"/>
              </w:rPr>
              <w:t>分；响应内容较完善合理、可操作性较强，计</w:t>
            </w:r>
            <w:r>
              <w:rPr>
                <w:rFonts w:hint="eastAsia"/>
                <w:color w:val="auto"/>
                <w:highlight w:val="none"/>
                <w:lang w:val="en-US" w:eastAsia="zh-CN"/>
              </w:rPr>
              <w:t>1</w:t>
            </w:r>
            <w:r>
              <w:rPr>
                <w:rFonts w:hint="eastAsia"/>
                <w:color w:val="auto"/>
                <w:highlight w:val="none"/>
              </w:rPr>
              <w:t>分；响应内容不完善、可操作性差，计</w:t>
            </w:r>
            <w:r>
              <w:rPr>
                <w:rFonts w:hint="eastAsia"/>
                <w:color w:val="auto"/>
                <w:highlight w:val="none"/>
                <w:lang w:val="en-US" w:eastAsia="zh-CN"/>
              </w:rPr>
              <w:t>0.5</w:t>
            </w:r>
            <w:r>
              <w:rPr>
                <w:rFonts w:hint="eastAsia"/>
                <w:color w:val="auto"/>
                <w:highlight w:val="none"/>
              </w:rPr>
              <w:t>分</w:t>
            </w:r>
            <w:r>
              <w:rPr>
                <w:rFonts w:hint="eastAsia"/>
                <w:color w:val="auto"/>
                <w:highlight w:val="none"/>
                <w:lang w:eastAsia="zh-CN"/>
              </w:rPr>
              <w:t>；</w:t>
            </w:r>
            <w:r>
              <w:rPr>
                <w:rFonts w:hint="eastAsia"/>
                <w:color w:val="auto"/>
                <w:highlight w:val="none"/>
              </w:rPr>
              <w:t>未提供的不计分</w:t>
            </w:r>
            <w:r>
              <w:rPr>
                <w:rFonts w:hint="eastAsia" w:ascii="宋体" w:hAnsi="宋体" w:eastAsia="宋体" w:cs="宋体"/>
                <w:color w:val="auto"/>
                <w:sz w:val="24"/>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08" w:type="dxa"/>
            <w:vMerge w:val="continue"/>
            <w:vAlign w:val="center"/>
          </w:tcPr>
          <w:p>
            <w:pPr>
              <w:pStyle w:val="30"/>
              <w:bidi w:val="0"/>
              <w:rPr>
                <w:rFonts w:hint="eastAsia"/>
                <w:color w:val="auto"/>
                <w:highlight w:val="none"/>
              </w:rPr>
            </w:pPr>
          </w:p>
        </w:tc>
        <w:tc>
          <w:tcPr>
            <w:tcW w:w="769" w:type="dxa"/>
            <w:vAlign w:val="center"/>
          </w:tcPr>
          <w:p>
            <w:pPr>
              <w:keepNext w:val="0"/>
              <w:keepLines w:val="0"/>
              <w:pageBreakBefore w:val="0"/>
              <w:widowControl w:val="0"/>
              <w:kinsoku/>
              <w:wordWrap/>
              <w:overflowPunct/>
              <w:topLinePunct w:val="0"/>
              <w:autoSpaceDE/>
              <w:autoSpaceDN/>
              <w:bidi w:val="0"/>
              <w:adjustRightInd/>
              <w:snapToGrid/>
              <w:spacing w:line="410" w:lineRule="exact"/>
              <w:jc w:val="center"/>
              <w:textAlignment w:val="auto"/>
              <w:rPr>
                <w:rFonts w:hint="eastAsia" w:ascii="宋体" w:hAnsi="宋体" w:eastAsia="宋体" w:cs="宋体"/>
                <w:color w:val="auto"/>
                <w:sz w:val="24"/>
                <w:highlight w:val="none"/>
                <w:lang w:val="en-US" w:eastAsia="zh-CN" w:bidi="ar-SA"/>
              </w:rPr>
            </w:pPr>
            <w:r>
              <w:rPr>
                <w:rFonts w:hint="eastAsia" w:ascii="宋体" w:hAnsi="宋体" w:eastAsia="宋体" w:cs="宋体"/>
                <w:color w:val="auto"/>
                <w:sz w:val="24"/>
                <w:highlight w:val="none"/>
                <w:lang w:val="en-US" w:eastAsia="zh-CN" w:bidi="ar-SA"/>
              </w:rPr>
              <w:t>3</w:t>
            </w:r>
          </w:p>
        </w:tc>
        <w:tc>
          <w:tcPr>
            <w:tcW w:w="7386" w:type="dxa"/>
            <w:vAlign w:val="top"/>
          </w:tcPr>
          <w:p>
            <w:pPr>
              <w:keepNext w:val="0"/>
              <w:keepLines w:val="0"/>
              <w:pageBreakBefore w:val="0"/>
              <w:widowControl w:val="0"/>
              <w:kinsoku/>
              <w:wordWrap/>
              <w:overflowPunct/>
              <w:topLinePunct w:val="0"/>
              <w:autoSpaceDE/>
              <w:autoSpaceDN/>
              <w:bidi w:val="0"/>
              <w:adjustRightInd/>
              <w:snapToGrid/>
              <w:spacing w:line="410" w:lineRule="exact"/>
              <w:ind w:firstLine="240" w:firstLineChars="100"/>
              <w:jc w:val="left"/>
              <w:textAlignment w:val="auto"/>
              <w:rPr>
                <w:rFonts w:hint="eastAsia" w:ascii="宋体" w:hAnsi="宋体" w:eastAsia="宋体" w:cs="宋体"/>
                <w:color w:val="auto"/>
                <w:sz w:val="24"/>
                <w:highlight w:val="none"/>
                <w:lang w:val="en-US" w:eastAsia="zh-CN" w:bidi="ar-SA"/>
              </w:rPr>
            </w:pPr>
            <w:r>
              <w:rPr>
                <w:rFonts w:hint="eastAsia" w:hAnsi="宋体" w:cs="宋体"/>
                <w:color w:val="auto"/>
                <w:sz w:val="24"/>
                <w:highlight w:val="none"/>
                <w:lang w:val="en-US" w:eastAsia="zh-CN" w:bidi="ar-SA"/>
              </w:rPr>
              <w:t>（2）</w:t>
            </w:r>
            <w:r>
              <w:rPr>
                <w:rFonts w:hint="eastAsia" w:ascii="宋体" w:hAnsi="宋体" w:eastAsia="宋体" w:cs="宋体"/>
                <w:color w:val="auto"/>
                <w:sz w:val="24"/>
                <w:highlight w:val="none"/>
                <w:lang w:val="en-US" w:eastAsia="zh-CN" w:bidi="ar-SA"/>
              </w:rPr>
              <w:t>投标人承诺能根据采购人指定的时间和要求对所购图书免费提供加工编目工作，</w:t>
            </w:r>
            <w:r>
              <w:rPr>
                <w:rFonts w:hint="eastAsia"/>
                <w:color w:val="auto"/>
                <w:highlight w:val="none"/>
              </w:rPr>
              <w:t>响应内容完善合理、可操作性强，计</w:t>
            </w:r>
            <w:r>
              <w:rPr>
                <w:rFonts w:hint="eastAsia"/>
                <w:color w:val="auto"/>
                <w:highlight w:val="none"/>
                <w:lang w:val="en-US" w:eastAsia="zh-CN"/>
              </w:rPr>
              <w:t>3</w:t>
            </w:r>
            <w:r>
              <w:rPr>
                <w:rFonts w:hint="eastAsia"/>
                <w:color w:val="auto"/>
                <w:highlight w:val="none"/>
              </w:rPr>
              <w:t>分；响应内容较完善合理、可操作性较强，计</w:t>
            </w:r>
            <w:r>
              <w:rPr>
                <w:rFonts w:hint="eastAsia"/>
                <w:color w:val="auto"/>
                <w:highlight w:val="none"/>
                <w:lang w:val="en-US" w:eastAsia="zh-CN"/>
              </w:rPr>
              <w:t>2</w:t>
            </w:r>
            <w:r>
              <w:rPr>
                <w:rFonts w:hint="eastAsia"/>
                <w:color w:val="auto"/>
                <w:highlight w:val="none"/>
              </w:rPr>
              <w:t>分；响应内容不完善、可操作性差，计</w:t>
            </w:r>
            <w:r>
              <w:rPr>
                <w:rFonts w:hint="eastAsia"/>
                <w:color w:val="auto"/>
                <w:highlight w:val="none"/>
                <w:lang w:val="en-US" w:eastAsia="zh-CN"/>
              </w:rPr>
              <w:t>1</w:t>
            </w:r>
            <w:r>
              <w:rPr>
                <w:rFonts w:hint="eastAsia"/>
                <w:color w:val="auto"/>
                <w:highlight w:val="none"/>
              </w:rPr>
              <w:t>分</w:t>
            </w:r>
            <w:r>
              <w:rPr>
                <w:rFonts w:hint="eastAsia"/>
                <w:color w:val="auto"/>
                <w:highlight w:val="none"/>
                <w:lang w:eastAsia="zh-CN"/>
              </w:rPr>
              <w:t>；</w:t>
            </w:r>
            <w:r>
              <w:rPr>
                <w:rFonts w:hint="eastAsia"/>
                <w:color w:val="auto"/>
                <w:highlight w:val="none"/>
              </w:rPr>
              <w:t>未提供的不计分</w:t>
            </w:r>
            <w:r>
              <w:rPr>
                <w:rFonts w:hint="eastAsia" w:ascii="宋体" w:hAnsi="宋体" w:eastAsia="宋体" w:cs="宋体"/>
                <w:color w:val="auto"/>
                <w:sz w:val="24"/>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08" w:type="dxa"/>
            <w:vMerge w:val="continue"/>
            <w:vAlign w:val="center"/>
          </w:tcPr>
          <w:p>
            <w:pPr>
              <w:pStyle w:val="30"/>
              <w:bidi w:val="0"/>
              <w:rPr>
                <w:rFonts w:hint="eastAsia"/>
                <w:color w:val="auto"/>
                <w:highlight w:val="none"/>
              </w:rPr>
            </w:pPr>
          </w:p>
        </w:tc>
        <w:tc>
          <w:tcPr>
            <w:tcW w:w="769" w:type="dxa"/>
            <w:vAlign w:val="center"/>
          </w:tcPr>
          <w:p>
            <w:pPr>
              <w:keepNext w:val="0"/>
              <w:keepLines w:val="0"/>
              <w:pageBreakBefore w:val="0"/>
              <w:widowControl w:val="0"/>
              <w:kinsoku/>
              <w:wordWrap/>
              <w:overflowPunct/>
              <w:topLinePunct w:val="0"/>
              <w:autoSpaceDE/>
              <w:autoSpaceDN/>
              <w:bidi w:val="0"/>
              <w:adjustRightInd/>
              <w:snapToGrid/>
              <w:spacing w:line="410" w:lineRule="exact"/>
              <w:jc w:val="center"/>
              <w:textAlignment w:val="auto"/>
              <w:rPr>
                <w:rFonts w:hint="eastAsia" w:ascii="宋体" w:hAnsi="宋体" w:eastAsia="宋体" w:cs="宋体"/>
                <w:color w:val="auto"/>
                <w:sz w:val="24"/>
                <w:highlight w:val="none"/>
                <w:lang w:val="en-US" w:eastAsia="zh-CN" w:bidi="ar-SA"/>
              </w:rPr>
            </w:pPr>
            <w:r>
              <w:rPr>
                <w:rFonts w:hint="eastAsia" w:ascii="宋体" w:hAnsi="宋体" w:eastAsia="宋体" w:cs="宋体"/>
                <w:color w:val="auto"/>
                <w:sz w:val="24"/>
                <w:highlight w:val="none"/>
                <w:lang w:val="en-US" w:eastAsia="zh-CN" w:bidi="ar-SA"/>
              </w:rPr>
              <w:t>3</w:t>
            </w:r>
          </w:p>
        </w:tc>
        <w:tc>
          <w:tcPr>
            <w:tcW w:w="7386" w:type="dxa"/>
            <w:vAlign w:val="top"/>
          </w:tcPr>
          <w:p>
            <w:pPr>
              <w:keepNext w:val="0"/>
              <w:keepLines w:val="0"/>
              <w:pageBreakBefore w:val="0"/>
              <w:widowControl w:val="0"/>
              <w:kinsoku/>
              <w:wordWrap/>
              <w:overflowPunct/>
              <w:topLinePunct w:val="0"/>
              <w:autoSpaceDE/>
              <w:autoSpaceDN/>
              <w:bidi w:val="0"/>
              <w:adjustRightInd/>
              <w:snapToGrid/>
              <w:spacing w:line="410" w:lineRule="exact"/>
              <w:ind w:firstLine="240" w:firstLineChars="100"/>
              <w:jc w:val="left"/>
              <w:textAlignment w:val="auto"/>
              <w:rPr>
                <w:rFonts w:hint="eastAsia" w:ascii="宋体" w:hAnsi="宋体" w:eastAsia="宋体" w:cs="宋体"/>
                <w:color w:val="auto"/>
                <w:sz w:val="24"/>
                <w:highlight w:val="none"/>
                <w:lang w:val="en-US" w:eastAsia="zh-CN" w:bidi="ar-SA"/>
              </w:rPr>
            </w:pPr>
            <w:r>
              <w:rPr>
                <w:rFonts w:hint="eastAsia" w:hAnsi="宋体" w:cs="宋体"/>
                <w:color w:val="auto"/>
                <w:sz w:val="24"/>
                <w:highlight w:val="none"/>
                <w:lang w:val="en-US" w:eastAsia="zh-CN" w:bidi="ar-SA"/>
              </w:rPr>
              <w:t>（3）</w:t>
            </w:r>
            <w:r>
              <w:rPr>
                <w:rFonts w:hint="eastAsia" w:ascii="宋体" w:hAnsi="宋体" w:eastAsia="宋体" w:cs="宋体"/>
                <w:color w:val="auto"/>
                <w:sz w:val="24"/>
                <w:highlight w:val="none"/>
                <w:lang w:val="en-US" w:eastAsia="zh-CN" w:bidi="ar-SA"/>
              </w:rPr>
              <w:t>已加工的图书，一经发现有质量问题，能在5天内予以退换，</w:t>
            </w:r>
            <w:r>
              <w:rPr>
                <w:rFonts w:hint="eastAsia"/>
                <w:color w:val="auto"/>
                <w:highlight w:val="none"/>
              </w:rPr>
              <w:t>响应内容完善合理、可操作性强，计</w:t>
            </w:r>
            <w:r>
              <w:rPr>
                <w:rFonts w:hint="eastAsia"/>
                <w:color w:val="auto"/>
                <w:highlight w:val="none"/>
                <w:lang w:val="en-US" w:eastAsia="zh-CN"/>
              </w:rPr>
              <w:t>3</w:t>
            </w:r>
            <w:r>
              <w:rPr>
                <w:rFonts w:hint="eastAsia"/>
                <w:color w:val="auto"/>
                <w:highlight w:val="none"/>
              </w:rPr>
              <w:t>分；响应内容较完善合理、可操作性较强，计</w:t>
            </w:r>
            <w:r>
              <w:rPr>
                <w:rFonts w:hint="eastAsia"/>
                <w:color w:val="auto"/>
                <w:highlight w:val="none"/>
                <w:lang w:val="en-US" w:eastAsia="zh-CN"/>
              </w:rPr>
              <w:t>2</w:t>
            </w:r>
            <w:r>
              <w:rPr>
                <w:rFonts w:hint="eastAsia"/>
                <w:color w:val="auto"/>
                <w:highlight w:val="none"/>
              </w:rPr>
              <w:t>分；响应内容不完善、可操作性差，计</w:t>
            </w:r>
            <w:r>
              <w:rPr>
                <w:rFonts w:hint="eastAsia"/>
                <w:color w:val="auto"/>
                <w:highlight w:val="none"/>
                <w:lang w:val="en-US" w:eastAsia="zh-CN"/>
              </w:rPr>
              <w:t>1</w:t>
            </w:r>
            <w:r>
              <w:rPr>
                <w:rFonts w:hint="eastAsia"/>
                <w:color w:val="auto"/>
                <w:highlight w:val="none"/>
              </w:rPr>
              <w:t>分</w:t>
            </w:r>
            <w:r>
              <w:rPr>
                <w:rFonts w:hint="eastAsia"/>
                <w:color w:val="auto"/>
                <w:highlight w:val="none"/>
                <w:lang w:eastAsia="zh-CN"/>
              </w:rPr>
              <w:t>；</w:t>
            </w:r>
            <w:r>
              <w:rPr>
                <w:rFonts w:hint="eastAsia"/>
                <w:color w:val="auto"/>
                <w:highlight w:val="none"/>
              </w:rPr>
              <w:t>未提供的不计分</w:t>
            </w:r>
            <w:r>
              <w:rPr>
                <w:rFonts w:hint="eastAsia" w:ascii="宋体" w:hAnsi="宋体" w:eastAsia="宋体" w:cs="宋体"/>
                <w:color w:val="auto"/>
                <w:sz w:val="24"/>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08" w:type="dxa"/>
            <w:vMerge w:val="continue"/>
            <w:vAlign w:val="center"/>
          </w:tcPr>
          <w:p>
            <w:pPr>
              <w:pStyle w:val="30"/>
              <w:bidi w:val="0"/>
              <w:rPr>
                <w:rFonts w:hint="eastAsia"/>
                <w:color w:val="auto"/>
                <w:highlight w:val="none"/>
              </w:rPr>
            </w:pPr>
          </w:p>
        </w:tc>
        <w:tc>
          <w:tcPr>
            <w:tcW w:w="769" w:type="dxa"/>
            <w:vAlign w:val="center"/>
          </w:tcPr>
          <w:p>
            <w:pPr>
              <w:keepNext w:val="0"/>
              <w:keepLines w:val="0"/>
              <w:pageBreakBefore w:val="0"/>
              <w:widowControl w:val="0"/>
              <w:kinsoku/>
              <w:wordWrap/>
              <w:overflowPunct/>
              <w:topLinePunct w:val="0"/>
              <w:autoSpaceDE/>
              <w:autoSpaceDN/>
              <w:bidi w:val="0"/>
              <w:adjustRightInd/>
              <w:snapToGrid/>
              <w:spacing w:line="410" w:lineRule="exact"/>
              <w:jc w:val="center"/>
              <w:textAlignment w:val="auto"/>
              <w:rPr>
                <w:rFonts w:hint="eastAsia" w:ascii="宋体" w:hAnsi="宋体" w:eastAsia="宋体" w:cs="宋体"/>
                <w:color w:val="auto"/>
                <w:sz w:val="24"/>
                <w:highlight w:val="none"/>
                <w:lang w:val="en-US" w:eastAsia="zh-CN" w:bidi="ar-SA"/>
              </w:rPr>
            </w:pPr>
            <w:r>
              <w:rPr>
                <w:rFonts w:hint="eastAsia" w:ascii="宋体" w:hAnsi="宋体" w:eastAsia="宋体" w:cs="宋体"/>
                <w:color w:val="auto"/>
                <w:sz w:val="24"/>
                <w:highlight w:val="none"/>
                <w:lang w:val="en-US" w:eastAsia="zh-CN" w:bidi="ar-SA"/>
              </w:rPr>
              <w:t>2</w:t>
            </w:r>
          </w:p>
        </w:tc>
        <w:tc>
          <w:tcPr>
            <w:tcW w:w="7386" w:type="dxa"/>
            <w:vAlign w:val="top"/>
          </w:tcPr>
          <w:p>
            <w:pPr>
              <w:keepNext w:val="0"/>
              <w:keepLines w:val="0"/>
              <w:pageBreakBefore w:val="0"/>
              <w:widowControl w:val="0"/>
              <w:kinsoku/>
              <w:wordWrap/>
              <w:overflowPunct/>
              <w:topLinePunct w:val="0"/>
              <w:autoSpaceDE/>
              <w:autoSpaceDN/>
              <w:bidi w:val="0"/>
              <w:adjustRightInd/>
              <w:snapToGrid/>
              <w:spacing w:line="410" w:lineRule="exact"/>
              <w:ind w:firstLine="240" w:firstLineChars="100"/>
              <w:jc w:val="left"/>
              <w:textAlignment w:val="auto"/>
              <w:rPr>
                <w:rFonts w:hint="eastAsia" w:ascii="宋体" w:hAnsi="宋体" w:eastAsia="宋体" w:cs="宋体"/>
                <w:color w:val="auto"/>
                <w:sz w:val="24"/>
                <w:highlight w:val="none"/>
                <w:lang w:val="en-US" w:eastAsia="zh-CN" w:bidi="ar-SA"/>
              </w:rPr>
            </w:pPr>
            <w:r>
              <w:rPr>
                <w:rFonts w:hint="eastAsia" w:hAnsi="宋体" w:cs="宋体"/>
                <w:color w:val="auto"/>
                <w:sz w:val="24"/>
                <w:highlight w:val="none"/>
                <w:lang w:val="en-US" w:eastAsia="zh-CN" w:bidi="ar-SA"/>
              </w:rPr>
              <w:t>（4）</w:t>
            </w:r>
            <w:r>
              <w:rPr>
                <w:rFonts w:hint="eastAsia" w:ascii="宋体" w:hAnsi="宋体" w:eastAsia="宋体" w:cs="宋体"/>
                <w:color w:val="auto"/>
                <w:sz w:val="24"/>
                <w:highlight w:val="none"/>
                <w:lang w:val="en-US" w:eastAsia="zh-CN" w:bidi="ar-SA"/>
              </w:rPr>
              <w:t>投标人承诺能够根据采购人要求及时有效地提供在网络上销售的图书，并按成交折扣结算，</w:t>
            </w:r>
            <w:r>
              <w:rPr>
                <w:rFonts w:hint="eastAsia"/>
                <w:color w:val="auto"/>
                <w:highlight w:val="none"/>
              </w:rPr>
              <w:t>响应内容完善合理、可操作性强，计</w:t>
            </w:r>
            <w:r>
              <w:rPr>
                <w:rFonts w:hint="eastAsia"/>
                <w:color w:val="auto"/>
                <w:highlight w:val="none"/>
                <w:lang w:val="en-US" w:eastAsia="zh-CN"/>
              </w:rPr>
              <w:t>2</w:t>
            </w:r>
            <w:r>
              <w:rPr>
                <w:rFonts w:hint="eastAsia"/>
                <w:color w:val="auto"/>
                <w:highlight w:val="none"/>
              </w:rPr>
              <w:t>分；响应内容较完善合理、可操作性较强，计</w:t>
            </w:r>
            <w:r>
              <w:rPr>
                <w:rFonts w:hint="eastAsia"/>
                <w:color w:val="auto"/>
                <w:highlight w:val="none"/>
                <w:lang w:val="en-US" w:eastAsia="zh-CN"/>
              </w:rPr>
              <w:t>1</w:t>
            </w:r>
            <w:r>
              <w:rPr>
                <w:rFonts w:hint="eastAsia"/>
                <w:color w:val="auto"/>
                <w:highlight w:val="none"/>
              </w:rPr>
              <w:t>分；响应内容不完善、可操作性差，计</w:t>
            </w:r>
            <w:r>
              <w:rPr>
                <w:rFonts w:hint="eastAsia"/>
                <w:color w:val="auto"/>
                <w:highlight w:val="none"/>
                <w:lang w:val="en-US" w:eastAsia="zh-CN"/>
              </w:rPr>
              <w:t>0.5</w:t>
            </w:r>
            <w:r>
              <w:rPr>
                <w:rFonts w:hint="eastAsia"/>
                <w:color w:val="auto"/>
                <w:highlight w:val="none"/>
              </w:rPr>
              <w:t>分</w:t>
            </w:r>
            <w:r>
              <w:rPr>
                <w:rFonts w:hint="eastAsia"/>
                <w:color w:val="auto"/>
                <w:highlight w:val="none"/>
                <w:lang w:eastAsia="zh-CN"/>
              </w:rPr>
              <w:t>；</w:t>
            </w:r>
            <w:r>
              <w:rPr>
                <w:rFonts w:hint="eastAsia"/>
                <w:color w:val="auto"/>
                <w:highlight w:val="none"/>
              </w:rPr>
              <w:t>未提供的不计分</w:t>
            </w:r>
            <w:r>
              <w:rPr>
                <w:rFonts w:hint="eastAsia" w:ascii="宋体" w:hAnsi="宋体" w:eastAsia="宋体" w:cs="宋体"/>
                <w:color w:val="auto"/>
                <w:sz w:val="24"/>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08" w:type="dxa"/>
            <w:vAlign w:val="center"/>
          </w:tcPr>
          <w:p>
            <w:pPr>
              <w:pStyle w:val="30"/>
              <w:bidi w:val="0"/>
              <w:rPr>
                <w:rFonts w:hint="eastAsia"/>
                <w:color w:val="auto"/>
                <w:highlight w:val="none"/>
                <w:lang w:val="en-US" w:eastAsia="zh-CN"/>
              </w:rPr>
            </w:pPr>
            <w:r>
              <w:rPr>
                <w:rFonts w:hint="eastAsia"/>
                <w:color w:val="auto"/>
                <w:highlight w:val="none"/>
                <w:lang w:val="en-US" w:eastAsia="zh-CN"/>
              </w:rPr>
              <w:t>业绩</w:t>
            </w:r>
          </w:p>
          <w:p>
            <w:pPr>
              <w:pStyle w:val="30"/>
              <w:bidi w:val="0"/>
              <w:rPr>
                <w:rFonts w:hint="eastAsia"/>
                <w:color w:val="auto"/>
                <w:highlight w:val="none"/>
                <w:lang w:val="en-US" w:eastAsia="zh-CN"/>
              </w:rPr>
            </w:pPr>
            <w:r>
              <w:rPr>
                <w:rFonts w:hint="eastAsia"/>
                <w:color w:val="auto"/>
                <w:highlight w:val="none"/>
                <w:lang w:val="en-US" w:eastAsia="zh-CN"/>
              </w:rPr>
              <w:t>（14分）</w:t>
            </w:r>
          </w:p>
        </w:tc>
        <w:tc>
          <w:tcPr>
            <w:tcW w:w="769" w:type="dxa"/>
            <w:vAlign w:val="center"/>
          </w:tcPr>
          <w:p>
            <w:pPr>
              <w:pStyle w:val="30"/>
              <w:bidi w:val="0"/>
              <w:jc w:val="center"/>
              <w:rPr>
                <w:rFonts w:hint="default"/>
                <w:color w:val="auto"/>
                <w:highlight w:val="none"/>
                <w:lang w:val="en-US" w:eastAsia="zh-CN"/>
              </w:rPr>
            </w:pPr>
            <w:r>
              <w:rPr>
                <w:rFonts w:hint="eastAsia"/>
                <w:color w:val="auto"/>
                <w:highlight w:val="none"/>
                <w:lang w:val="en-US" w:eastAsia="zh-CN"/>
              </w:rPr>
              <w:t>14</w:t>
            </w:r>
          </w:p>
        </w:tc>
        <w:tc>
          <w:tcPr>
            <w:tcW w:w="7386" w:type="dxa"/>
          </w:tcPr>
          <w:p>
            <w:pPr>
              <w:keepNext w:val="0"/>
              <w:keepLines w:val="0"/>
              <w:pageBreakBefore w:val="0"/>
              <w:widowControl w:val="0"/>
              <w:kinsoku/>
              <w:wordWrap/>
              <w:overflowPunct/>
              <w:topLinePunct w:val="0"/>
              <w:autoSpaceDE/>
              <w:autoSpaceDN/>
              <w:bidi w:val="0"/>
              <w:adjustRightInd/>
              <w:snapToGrid/>
              <w:spacing w:line="410" w:lineRule="exact"/>
              <w:ind w:firstLine="240" w:firstLineChars="100"/>
              <w:jc w:val="left"/>
              <w:textAlignment w:val="auto"/>
              <w:rPr>
                <w:rFonts w:hint="default" w:ascii="宋体" w:hAnsi="宋体" w:eastAsia="宋体" w:cs="宋体"/>
                <w:color w:val="auto"/>
                <w:sz w:val="24"/>
                <w:highlight w:val="none"/>
                <w:lang w:val="en-US" w:eastAsia="zh-CN" w:bidi="ar-SA"/>
              </w:rPr>
            </w:pPr>
            <w:r>
              <w:rPr>
                <w:rFonts w:hint="eastAsia" w:ascii="宋体" w:hAnsi="宋体" w:eastAsia="宋体" w:cs="宋体"/>
                <w:color w:val="auto"/>
                <w:sz w:val="24"/>
                <w:highlight w:val="none"/>
                <w:lang w:val="en-US" w:eastAsia="zh-CN" w:bidi="ar-SA"/>
              </w:rPr>
              <w:t>提供投标人2017年1月1日至今同类项目合同（以合同签订日期为准），每提供1个得1分，满分14分。</w:t>
            </w:r>
          </w:p>
          <w:p>
            <w:pPr>
              <w:pStyle w:val="30"/>
              <w:jc w:val="left"/>
              <w:rPr>
                <w:rFonts w:hint="eastAsia"/>
                <w:b/>
                <w:bCs/>
                <w:color w:val="auto"/>
                <w:highlight w:val="none"/>
              </w:rPr>
            </w:pPr>
            <w:bookmarkStart w:id="317" w:name="_GoBack"/>
            <w:r>
              <w:rPr>
                <w:rFonts w:hint="eastAsia" w:ascii="宋体" w:hAnsi="宋体" w:eastAsia="宋体" w:cs="宋体"/>
                <w:b/>
                <w:bCs/>
                <w:color w:val="auto"/>
                <w:sz w:val="24"/>
                <w:highlight w:val="none"/>
                <w:lang w:val="en-US" w:eastAsia="zh-CN" w:bidi="ar-SA"/>
              </w:rPr>
              <w:t>注：投标文件正副本中提供合同复印件加盖公章。</w:t>
            </w:r>
            <w:bookmarkEnd w:id="3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08" w:type="dxa"/>
            <w:vAlign w:val="center"/>
          </w:tcPr>
          <w:p>
            <w:pPr>
              <w:pStyle w:val="30"/>
              <w:bidi w:val="0"/>
              <w:rPr>
                <w:rFonts w:hint="eastAsia"/>
                <w:color w:val="auto"/>
                <w:highlight w:val="none"/>
              </w:rPr>
            </w:pPr>
            <w:r>
              <w:rPr>
                <w:rFonts w:hint="eastAsia"/>
                <w:color w:val="auto"/>
                <w:highlight w:val="none"/>
              </w:rPr>
              <w:t>文件编制</w:t>
            </w:r>
          </w:p>
          <w:p>
            <w:pPr>
              <w:pStyle w:val="30"/>
              <w:bidi w:val="0"/>
              <w:rPr>
                <w:rFonts w:hint="eastAsia"/>
                <w:color w:val="auto"/>
                <w:highlight w:val="none"/>
              </w:rPr>
            </w:pPr>
            <w:r>
              <w:rPr>
                <w:rFonts w:hint="eastAsia"/>
                <w:color w:val="auto"/>
                <w:highlight w:val="none"/>
              </w:rPr>
              <w:t>（2分）</w:t>
            </w:r>
          </w:p>
        </w:tc>
        <w:tc>
          <w:tcPr>
            <w:tcW w:w="769" w:type="dxa"/>
            <w:vAlign w:val="center"/>
          </w:tcPr>
          <w:p>
            <w:pPr>
              <w:pStyle w:val="30"/>
              <w:bidi w:val="0"/>
              <w:rPr>
                <w:rFonts w:hint="eastAsia" w:eastAsia="宋体"/>
                <w:color w:val="auto"/>
                <w:highlight w:val="none"/>
                <w:lang w:val="en-US" w:eastAsia="zh-CN"/>
              </w:rPr>
            </w:pPr>
            <w:r>
              <w:rPr>
                <w:rFonts w:hint="eastAsia"/>
                <w:color w:val="auto"/>
                <w:highlight w:val="none"/>
                <w:lang w:val="en-US" w:eastAsia="zh-CN"/>
              </w:rPr>
              <w:t>2</w:t>
            </w:r>
          </w:p>
        </w:tc>
        <w:tc>
          <w:tcPr>
            <w:tcW w:w="7386" w:type="dxa"/>
            <w:vAlign w:val="center"/>
          </w:tcPr>
          <w:p>
            <w:pPr>
              <w:spacing w:line="360" w:lineRule="exact"/>
              <w:ind w:firstLine="240" w:firstLineChars="100"/>
              <w:jc w:val="both"/>
              <w:rPr>
                <w:rFonts w:hint="eastAsia"/>
                <w:color w:val="auto"/>
                <w:highlight w:val="none"/>
                <w:lang w:eastAsia="zh-CN"/>
              </w:rPr>
            </w:pPr>
            <w:r>
              <w:rPr>
                <w:rFonts w:hint="eastAsia" w:hAnsi="宋体" w:cs="宋体"/>
                <w:color w:val="auto"/>
                <w:sz w:val="24"/>
                <w:highlight w:val="none"/>
                <w:lang w:val="en-US" w:eastAsia="zh-CN" w:bidi="ar-SA"/>
              </w:rPr>
              <w:t>投标文件</w:t>
            </w:r>
            <w:r>
              <w:rPr>
                <w:rFonts w:hint="eastAsia" w:ascii="宋体" w:hAnsi="宋体" w:eastAsia="宋体" w:cs="宋体"/>
                <w:color w:val="auto"/>
                <w:sz w:val="24"/>
                <w:highlight w:val="none"/>
                <w:lang w:val="en-US" w:eastAsia="zh-CN" w:bidi="ar-SA"/>
              </w:rPr>
              <w:t>编制规范，</w:t>
            </w:r>
            <w:r>
              <w:rPr>
                <w:rFonts w:hint="eastAsia" w:hAnsi="宋体" w:cs="宋体"/>
                <w:color w:val="auto"/>
                <w:sz w:val="24"/>
                <w:highlight w:val="none"/>
                <w:lang w:val="en-US" w:eastAsia="zh-CN" w:bidi="ar-SA"/>
              </w:rPr>
              <w:t>投标文件</w:t>
            </w:r>
            <w:r>
              <w:rPr>
                <w:rFonts w:hint="eastAsia" w:ascii="宋体" w:hAnsi="宋体" w:eastAsia="宋体" w:cs="宋体"/>
                <w:color w:val="auto"/>
                <w:sz w:val="24"/>
                <w:highlight w:val="none"/>
                <w:lang w:val="en-US" w:eastAsia="zh-CN" w:bidi="ar-SA"/>
              </w:rPr>
              <w:t>封面标注正本或副本、双面打印、目录完整、页码准确，有一项未满足扣0.5分，扣完为止。</w:t>
            </w:r>
          </w:p>
        </w:tc>
      </w:tr>
    </w:tbl>
    <w:p>
      <w:pPr>
        <w:pStyle w:val="5"/>
        <w:rPr>
          <w:rFonts w:hint="eastAsia"/>
          <w:color w:val="auto"/>
          <w:highlight w:val="none"/>
          <w:lang w:eastAsia="zh-CN"/>
        </w:rPr>
      </w:pPr>
    </w:p>
    <w:p>
      <w:pPr>
        <w:pStyle w:val="3"/>
        <w:bidi w:val="0"/>
        <w:rPr>
          <w:rStyle w:val="26"/>
          <w:b/>
          <w:color w:val="auto"/>
          <w:highlight w:val="none"/>
        </w:rPr>
      </w:pPr>
      <w:bookmarkStart w:id="169" w:name="_Toc26074"/>
      <w:bookmarkStart w:id="170" w:name="_Toc22000"/>
      <w:r>
        <w:rPr>
          <w:rStyle w:val="26"/>
          <w:rFonts w:hint="eastAsia"/>
          <w:b/>
          <w:color w:val="auto"/>
          <w:highlight w:val="none"/>
        </w:rPr>
        <w:t>第六章  投标文件构成及格式</w:t>
      </w:r>
      <w:bookmarkEnd w:id="164"/>
      <w:bookmarkEnd w:id="165"/>
      <w:bookmarkEnd w:id="166"/>
      <w:bookmarkEnd w:id="167"/>
      <w:bookmarkEnd w:id="168"/>
      <w:bookmarkEnd w:id="169"/>
      <w:bookmarkEnd w:id="170"/>
    </w:p>
    <w:p>
      <w:pPr>
        <w:rPr>
          <w:rFonts w:hAnsi="宋体" w:cs="宋体"/>
          <w:color w:val="auto"/>
          <w:highlight w:val="none"/>
        </w:rPr>
      </w:pPr>
    </w:p>
    <w:p>
      <w:pPr>
        <w:rPr>
          <w:rFonts w:hint="default" w:hAnsi="宋体" w:eastAsia="宋体" w:cs="宋体"/>
          <w:b/>
          <w:color w:val="auto"/>
          <w:sz w:val="32"/>
          <w:szCs w:val="32"/>
          <w:highlight w:val="none"/>
          <w:lang w:val="en-US" w:eastAsia="zh-CN"/>
        </w:rPr>
      </w:pPr>
      <w:r>
        <w:rPr>
          <w:rFonts w:hint="eastAsia" w:hAnsi="宋体" w:cs="宋体"/>
          <w:b/>
          <w:color w:val="auto"/>
          <w:sz w:val="32"/>
          <w:szCs w:val="32"/>
          <w:highlight w:val="none"/>
        </w:rPr>
        <w:t>项目编号：</w:t>
      </w:r>
      <w:r>
        <w:rPr>
          <w:rFonts w:hint="eastAsia" w:hAnsi="宋体" w:cs="宋体"/>
          <w:b/>
          <w:color w:val="auto"/>
          <w:sz w:val="32"/>
          <w:szCs w:val="32"/>
          <w:highlight w:val="none"/>
          <w:lang w:eastAsia="zh-CN"/>
        </w:rPr>
        <w:t>ZHZB-2022-GK-12112</w:t>
      </w:r>
      <w:r>
        <w:rPr>
          <w:rFonts w:hint="eastAsia" w:hAnsi="宋体" w:cs="宋体"/>
          <w:b/>
          <w:color w:val="auto"/>
          <w:sz w:val="32"/>
          <w:szCs w:val="32"/>
          <w:highlight w:val="none"/>
          <w:lang w:val="en-US" w:eastAsia="zh-CN"/>
        </w:rPr>
        <w:t>-</w:t>
      </w:r>
      <w:r>
        <w:rPr>
          <w:rFonts w:hint="eastAsia" w:hAnsi="宋体" w:cs="宋体"/>
          <w:b/>
          <w:color w:val="auto"/>
          <w:sz w:val="32"/>
          <w:szCs w:val="32"/>
          <w:highlight w:val="none"/>
          <w:u w:val="single"/>
          <w:lang w:val="en-US" w:eastAsia="zh-CN"/>
        </w:rPr>
        <w:t>（合同包：  ）</w:t>
      </w:r>
    </w:p>
    <w:p>
      <w:pPr>
        <w:jc w:val="right"/>
        <w:rPr>
          <w:rFonts w:hAnsi="宋体" w:cs="宋体"/>
          <w:b/>
          <w:color w:val="auto"/>
          <w:sz w:val="32"/>
          <w:szCs w:val="32"/>
          <w:highlight w:val="none"/>
        </w:rPr>
      </w:pPr>
      <w:r>
        <w:rPr>
          <w:rFonts w:hint="eastAsia" w:hAnsi="宋体" w:cs="宋体"/>
          <w:b/>
          <w:color w:val="auto"/>
          <w:sz w:val="32"/>
          <w:szCs w:val="32"/>
          <w:highlight w:val="none"/>
        </w:rPr>
        <w:t>（正本或副本）</w:t>
      </w:r>
    </w:p>
    <w:p>
      <w:pPr>
        <w:pStyle w:val="11"/>
        <w:rPr>
          <w:color w:val="auto"/>
          <w:highlight w:val="none"/>
        </w:rPr>
      </w:pPr>
    </w:p>
    <w:p>
      <w:pPr>
        <w:jc w:val="center"/>
        <w:rPr>
          <w:rFonts w:hAnsi="宋体" w:cs="宋体"/>
          <w:b/>
          <w:color w:val="auto"/>
          <w:sz w:val="48"/>
          <w:szCs w:val="48"/>
          <w:highlight w:val="none"/>
        </w:rPr>
      </w:pPr>
    </w:p>
    <w:p>
      <w:pPr>
        <w:pStyle w:val="11"/>
        <w:jc w:val="center"/>
        <w:rPr>
          <w:rFonts w:hint="eastAsia" w:hAnsi="宋体" w:cs="宋体"/>
          <w:b/>
          <w:color w:val="auto"/>
          <w:sz w:val="44"/>
          <w:szCs w:val="44"/>
          <w:highlight w:val="none"/>
          <w:lang w:eastAsia="zh-CN"/>
        </w:rPr>
      </w:pPr>
      <w:r>
        <w:rPr>
          <w:rFonts w:hint="eastAsia" w:hAnsi="宋体" w:cs="宋体"/>
          <w:b/>
          <w:color w:val="auto"/>
          <w:sz w:val="44"/>
          <w:szCs w:val="44"/>
          <w:highlight w:val="none"/>
          <w:lang w:eastAsia="zh-CN"/>
        </w:rPr>
        <w:t>西安美术学院2023年图书采购项目</w:t>
      </w:r>
    </w:p>
    <w:p>
      <w:pPr>
        <w:rPr>
          <w:rFonts w:hAnsi="宋体" w:cs="宋体"/>
          <w:b/>
          <w:color w:val="auto"/>
          <w:sz w:val="48"/>
          <w:szCs w:val="48"/>
          <w:highlight w:val="none"/>
        </w:rPr>
      </w:pPr>
    </w:p>
    <w:p>
      <w:pPr>
        <w:pStyle w:val="19"/>
        <w:rPr>
          <w:color w:val="auto"/>
          <w:highlight w:val="none"/>
        </w:rPr>
      </w:pPr>
    </w:p>
    <w:p>
      <w:pPr>
        <w:jc w:val="center"/>
        <w:rPr>
          <w:rFonts w:hAnsi="宋体" w:cs="宋体"/>
          <w:b/>
          <w:color w:val="auto"/>
          <w:sz w:val="72"/>
          <w:szCs w:val="72"/>
          <w:highlight w:val="none"/>
        </w:rPr>
      </w:pPr>
      <w:r>
        <w:rPr>
          <w:rFonts w:hint="eastAsia" w:hAnsi="宋体" w:cs="宋体"/>
          <w:b/>
          <w:color w:val="auto"/>
          <w:sz w:val="72"/>
          <w:szCs w:val="72"/>
          <w:highlight w:val="none"/>
        </w:rPr>
        <w:t>投 标 文 件</w:t>
      </w:r>
    </w:p>
    <w:p>
      <w:pPr>
        <w:jc w:val="center"/>
        <w:rPr>
          <w:rFonts w:hAnsi="宋体" w:cs="宋体"/>
          <w:b/>
          <w:color w:val="auto"/>
          <w:sz w:val="72"/>
          <w:szCs w:val="72"/>
          <w:highlight w:val="none"/>
        </w:rPr>
      </w:pPr>
    </w:p>
    <w:p>
      <w:pPr>
        <w:pStyle w:val="11"/>
        <w:rPr>
          <w:color w:val="auto"/>
          <w:highlight w:val="none"/>
        </w:rPr>
      </w:pPr>
    </w:p>
    <w:p>
      <w:pPr>
        <w:pStyle w:val="11"/>
        <w:rPr>
          <w:rFonts w:ascii="宋体" w:hAnsi="宋体" w:cs="宋体"/>
          <w:b/>
          <w:color w:val="auto"/>
          <w:sz w:val="36"/>
          <w:szCs w:val="36"/>
          <w:highlight w:val="none"/>
        </w:rPr>
      </w:pPr>
    </w:p>
    <w:p>
      <w:pPr>
        <w:spacing w:line="720" w:lineRule="auto"/>
        <w:ind w:firstLine="1205" w:firstLineChars="400"/>
        <w:rPr>
          <w:rFonts w:hAnsi="宋体" w:cs="宋体"/>
          <w:b/>
          <w:bCs/>
          <w:color w:val="auto"/>
          <w:sz w:val="30"/>
          <w:szCs w:val="30"/>
          <w:highlight w:val="none"/>
        </w:rPr>
      </w:pPr>
    </w:p>
    <w:p>
      <w:pPr>
        <w:spacing w:line="720" w:lineRule="auto"/>
        <w:ind w:firstLine="1205" w:firstLineChars="400"/>
        <w:rPr>
          <w:rFonts w:hAnsi="宋体" w:cs="宋体"/>
          <w:b/>
          <w:bCs/>
          <w:color w:val="auto"/>
          <w:sz w:val="30"/>
          <w:szCs w:val="30"/>
          <w:highlight w:val="none"/>
          <w:u w:val="single"/>
        </w:rPr>
      </w:pPr>
      <w:r>
        <w:rPr>
          <w:rFonts w:hint="eastAsia" w:hAnsi="宋体" w:cs="宋体"/>
          <w:b/>
          <w:bCs/>
          <w:color w:val="auto"/>
          <w:sz w:val="30"/>
          <w:szCs w:val="30"/>
          <w:highlight w:val="none"/>
        </w:rPr>
        <w:t>投标人（盖章）：</w:t>
      </w:r>
      <w:r>
        <w:rPr>
          <w:rFonts w:hint="eastAsia" w:hAnsi="宋体" w:cs="宋体"/>
          <w:b/>
          <w:bCs/>
          <w:color w:val="auto"/>
          <w:sz w:val="30"/>
          <w:szCs w:val="30"/>
          <w:highlight w:val="none"/>
          <w:u w:val="single"/>
        </w:rPr>
        <w:t xml:space="preserve">                              </w:t>
      </w:r>
    </w:p>
    <w:p>
      <w:pPr>
        <w:spacing w:line="720" w:lineRule="auto"/>
        <w:ind w:firstLine="1205" w:firstLineChars="400"/>
        <w:rPr>
          <w:rFonts w:hAnsi="宋体" w:cs="宋体"/>
          <w:b/>
          <w:bCs/>
          <w:color w:val="auto"/>
          <w:sz w:val="30"/>
          <w:szCs w:val="30"/>
          <w:highlight w:val="none"/>
          <w:u w:val="single"/>
        </w:rPr>
      </w:pPr>
      <w:r>
        <w:rPr>
          <w:rFonts w:hint="eastAsia" w:hAnsi="宋体" w:cs="宋体"/>
          <w:b/>
          <w:bCs/>
          <w:color w:val="auto"/>
          <w:sz w:val="30"/>
          <w:szCs w:val="30"/>
          <w:highlight w:val="none"/>
        </w:rPr>
        <w:t>法定代表人或授权代表（签字或盖章）：</w:t>
      </w:r>
      <w:r>
        <w:rPr>
          <w:rFonts w:hint="eastAsia" w:hAnsi="宋体" w:cs="宋体"/>
          <w:b/>
          <w:bCs/>
          <w:color w:val="auto"/>
          <w:sz w:val="30"/>
          <w:szCs w:val="30"/>
          <w:highlight w:val="none"/>
          <w:u w:val="single"/>
        </w:rPr>
        <w:t xml:space="preserve">          </w:t>
      </w:r>
    </w:p>
    <w:p>
      <w:pPr>
        <w:spacing w:line="720" w:lineRule="auto"/>
        <w:ind w:firstLine="1205" w:firstLineChars="400"/>
        <w:rPr>
          <w:rFonts w:hAnsi="宋体" w:cs="宋体"/>
          <w:color w:val="auto"/>
          <w:sz w:val="30"/>
          <w:szCs w:val="30"/>
          <w:highlight w:val="none"/>
          <w:u w:val="single"/>
        </w:rPr>
      </w:pPr>
      <w:r>
        <w:rPr>
          <w:rFonts w:hint="eastAsia" w:hAnsi="宋体" w:cs="宋体"/>
          <w:b/>
          <w:bCs/>
          <w:color w:val="auto"/>
          <w:sz w:val="30"/>
          <w:szCs w:val="30"/>
          <w:highlight w:val="none"/>
        </w:rPr>
        <w:t>日        期 ：</w:t>
      </w:r>
      <w:r>
        <w:rPr>
          <w:rFonts w:hint="eastAsia" w:hAnsi="宋体" w:cs="宋体"/>
          <w:b/>
          <w:bCs/>
          <w:color w:val="auto"/>
          <w:sz w:val="30"/>
          <w:szCs w:val="30"/>
          <w:highlight w:val="none"/>
          <w:u w:val="single"/>
        </w:rPr>
        <w:t xml:space="preserve">       </w:t>
      </w:r>
      <w:r>
        <w:rPr>
          <w:rFonts w:hint="eastAsia" w:hAnsi="宋体" w:cs="宋体"/>
          <w:b/>
          <w:bCs/>
          <w:color w:val="auto"/>
          <w:sz w:val="30"/>
          <w:szCs w:val="30"/>
          <w:highlight w:val="none"/>
        </w:rPr>
        <w:t>年</w:t>
      </w:r>
      <w:r>
        <w:rPr>
          <w:rFonts w:hint="eastAsia" w:hAnsi="宋体" w:cs="宋体"/>
          <w:b/>
          <w:bCs/>
          <w:color w:val="auto"/>
          <w:sz w:val="30"/>
          <w:szCs w:val="30"/>
          <w:highlight w:val="none"/>
          <w:u w:val="single"/>
        </w:rPr>
        <w:t xml:space="preserve">     </w:t>
      </w:r>
      <w:r>
        <w:rPr>
          <w:rFonts w:hint="eastAsia" w:hAnsi="宋体" w:cs="宋体"/>
          <w:b/>
          <w:bCs/>
          <w:color w:val="auto"/>
          <w:sz w:val="30"/>
          <w:szCs w:val="30"/>
          <w:highlight w:val="none"/>
        </w:rPr>
        <w:t>月</w:t>
      </w:r>
      <w:r>
        <w:rPr>
          <w:rFonts w:hint="eastAsia" w:hAnsi="宋体" w:cs="宋体"/>
          <w:b/>
          <w:bCs/>
          <w:color w:val="auto"/>
          <w:sz w:val="30"/>
          <w:szCs w:val="30"/>
          <w:highlight w:val="none"/>
          <w:u w:val="single"/>
        </w:rPr>
        <w:t xml:space="preserve">     </w:t>
      </w:r>
      <w:r>
        <w:rPr>
          <w:rFonts w:hint="eastAsia" w:hAnsi="宋体" w:cs="宋体"/>
          <w:b/>
          <w:bCs/>
          <w:color w:val="auto"/>
          <w:sz w:val="30"/>
          <w:szCs w:val="30"/>
          <w:highlight w:val="none"/>
        </w:rPr>
        <w:t>日</w:t>
      </w:r>
    </w:p>
    <w:p>
      <w:pPr>
        <w:rPr>
          <w:rFonts w:hAnsi="宋体" w:cs="宋体"/>
          <w:b/>
          <w:bCs/>
          <w:color w:val="auto"/>
          <w:sz w:val="32"/>
          <w:szCs w:val="32"/>
          <w:highlight w:val="none"/>
        </w:rPr>
      </w:pPr>
      <w:bookmarkStart w:id="171" w:name="_Toc23850"/>
      <w:bookmarkStart w:id="172" w:name="_Toc363474026"/>
      <w:bookmarkStart w:id="173" w:name="_Toc17702"/>
      <w:bookmarkStart w:id="174" w:name="_Toc23267"/>
      <w:bookmarkStart w:id="175" w:name="_Toc22537"/>
      <w:bookmarkStart w:id="176" w:name="_Toc30983"/>
      <w:bookmarkStart w:id="177" w:name="_Toc403077647"/>
      <w:bookmarkStart w:id="178" w:name="_Toc426457699"/>
      <w:r>
        <w:rPr>
          <w:rFonts w:hint="eastAsia" w:hAnsi="宋体" w:cs="宋体"/>
          <w:b/>
          <w:bCs/>
          <w:color w:val="auto"/>
          <w:sz w:val="32"/>
          <w:szCs w:val="32"/>
          <w:highlight w:val="none"/>
        </w:rPr>
        <w:br w:type="page"/>
      </w:r>
    </w:p>
    <w:p>
      <w:pPr>
        <w:spacing w:line="720" w:lineRule="auto"/>
        <w:jc w:val="center"/>
        <w:rPr>
          <w:rFonts w:hAnsi="宋体" w:cs="宋体"/>
          <w:b/>
          <w:bCs/>
          <w:color w:val="auto"/>
          <w:sz w:val="32"/>
          <w:szCs w:val="32"/>
          <w:highlight w:val="none"/>
        </w:rPr>
      </w:pPr>
      <w:r>
        <w:rPr>
          <w:rFonts w:hint="eastAsia" w:hAnsi="宋体" w:cs="宋体"/>
          <w:b/>
          <w:bCs/>
          <w:color w:val="auto"/>
          <w:sz w:val="32"/>
          <w:szCs w:val="32"/>
          <w:highlight w:val="none"/>
        </w:rPr>
        <w:t>目    录</w:t>
      </w:r>
      <w:bookmarkEnd w:id="171"/>
      <w:bookmarkEnd w:id="172"/>
      <w:bookmarkEnd w:id="173"/>
      <w:bookmarkEnd w:id="174"/>
      <w:bookmarkEnd w:id="175"/>
      <w:bookmarkEnd w:id="176"/>
      <w:bookmarkEnd w:id="177"/>
      <w:bookmarkEnd w:id="178"/>
    </w:p>
    <w:p>
      <w:pPr>
        <w:pStyle w:val="5"/>
        <w:numPr>
          <w:ilvl w:val="0"/>
          <w:numId w:val="1"/>
        </w:numPr>
        <w:spacing w:line="480" w:lineRule="auto"/>
        <w:ind w:firstLine="480"/>
        <w:rPr>
          <w:color w:val="auto"/>
          <w:highlight w:val="none"/>
        </w:rPr>
      </w:pPr>
      <w:r>
        <w:rPr>
          <w:rFonts w:hint="eastAsia"/>
          <w:color w:val="auto"/>
          <w:highlight w:val="none"/>
        </w:rPr>
        <w:t>投标函</w:t>
      </w:r>
    </w:p>
    <w:p>
      <w:pPr>
        <w:pStyle w:val="5"/>
        <w:numPr>
          <w:ilvl w:val="0"/>
          <w:numId w:val="1"/>
        </w:numPr>
        <w:spacing w:line="480" w:lineRule="auto"/>
        <w:ind w:firstLine="480"/>
        <w:rPr>
          <w:color w:val="auto"/>
          <w:highlight w:val="none"/>
        </w:rPr>
      </w:pPr>
      <w:r>
        <w:rPr>
          <w:rFonts w:hint="eastAsia"/>
          <w:color w:val="auto"/>
          <w:highlight w:val="none"/>
        </w:rPr>
        <w:t>投标报价表</w:t>
      </w:r>
    </w:p>
    <w:p>
      <w:pPr>
        <w:pStyle w:val="5"/>
        <w:numPr>
          <w:ilvl w:val="0"/>
          <w:numId w:val="1"/>
        </w:numPr>
        <w:spacing w:line="480" w:lineRule="auto"/>
        <w:ind w:firstLine="480"/>
        <w:rPr>
          <w:color w:val="auto"/>
          <w:highlight w:val="none"/>
        </w:rPr>
      </w:pPr>
      <w:r>
        <w:rPr>
          <w:rFonts w:hint="eastAsia"/>
          <w:color w:val="auto"/>
          <w:highlight w:val="none"/>
        </w:rPr>
        <w:t>投标方案说明书</w:t>
      </w:r>
    </w:p>
    <w:p>
      <w:pPr>
        <w:pStyle w:val="5"/>
        <w:numPr>
          <w:ilvl w:val="0"/>
          <w:numId w:val="1"/>
        </w:numPr>
        <w:spacing w:line="480" w:lineRule="auto"/>
        <w:ind w:firstLine="480"/>
        <w:rPr>
          <w:color w:val="auto"/>
          <w:highlight w:val="none"/>
        </w:rPr>
      </w:pPr>
      <w:r>
        <w:rPr>
          <w:rFonts w:hint="eastAsia"/>
          <w:color w:val="auto"/>
          <w:highlight w:val="none"/>
        </w:rPr>
        <w:t>商务条款偏离表</w:t>
      </w:r>
    </w:p>
    <w:p>
      <w:pPr>
        <w:pStyle w:val="5"/>
        <w:numPr>
          <w:ilvl w:val="0"/>
          <w:numId w:val="1"/>
        </w:numPr>
        <w:spacing w:line="480" w:lineRule="auto"/>
        <w:ind w:firstLine="480"/>
        <w:rPr>
          <w:color w:val="auto"/>
          <w:highlight w:val="none"/>
        </w:rPr>
      </w:pPr>
      <w:r>
        <w:rPr>
          <w:rFonts w:hint="eastAsia"/>
          <w:color w:val="auto"/>
          <w:highlight w:val="none"/>
        </w:rPr>
        <w:t>资格证明文件</w:t>
      </w:r>
    </w:p>
    <w:p>
      <w:pPr>
        <w:pStyle w:val="5"/>
        <w:numPr>
          <w:ilvl w:val="0"/>
          <w:numId w:val="1"/>
        </w:numPr>
        <w:spacing w:line="480" w:lineRule="auto"/>
        <w:ind w:firstLine="480"/>
        <w:rPr>
          <w:color w:val="auto"/>
          <w:highlight w:val="none"/>
        </w:rPr>
      </w:pPr>
      <w:r>
        <w:rPr>
          <w:rFonts w:hint="eastAsia"/>
          <w:color w:val="auto"/>
          <w:highlight w:val="none"/>
        </w:rPr>
        <w:t>投标人承诺书</w:t>
      </w:r>
    </w:p>
    <w:p>
      <w:pPr>
        <w:pStyle w:val="4"/>
        <w:rPr>
          <w:color w:val="auto"/>
          <w:highlight w:val="none"/>
        </w:rPr>
      </w:pPr>
      <w:bookmarkStart w:id="179" w:name="_Toc403077648"/>
      <w:bookmarkStart w:id="180" w:name="_Toc363474027"/>
      <w:bookmarkStart w:id="181" w:name="_Toc18434"/>
      <w:bookmarkStart w:id="182" w:name="_Toc13414"/>
      <w:bookmarkStart w:id="183" w:name="_Toc23833"/>
      <w:bookmarkStart w:id="184" w:name="_Toc28404"/>
      <w:bookmarkStart w:id="185" w:name="_Toc23702"/>
      <w:bookmarkStart w:id="186" w:name="_Toc4930"/>
      <w:bookmarkStart w:id="187" w:name="_Toc24231"/>
      <w:bookmarkStart w:id="188" w:name="_Toc14057"/>
      <w:bookmarkStart w:id="189" w:name="_Toc426457700"/>
      <w:r>
        <w:rPr>
          <w:rFonts w:hint="eastAsia"/>
          <w:color w:val="auto"/>
          <w:highlight w:val="none"/>
        </w:rPr>
        <w:br w:type="page"/>
      </w:r>
      <w:r>
        <w:rPr>
          <w:rFonts w:hint="eastAsia"/>
          <w:color w:val="auto"/>
          <w:highlight w:val="none"/>
        </w:rPr>
        <w:t>一、投标</w:t>
      </w:r>
      <w:bookmarkEnd w:id="179"/>
      <w:bookmarkEnd w:id="180"/>
      <w:r>
        <w:rPr>
          <w:rFonts w:hint="eastAsia"/>
          <w:color w:val="auto"/>
          <w:highlight w:val="none"/>
        </w:rPr>
        <w:t>函</w:t>
      </w:r>
      <w:bookmarkEnd w:id="181"/>
      <w:bookmarkEnd w:id="182"/>
      <w:bookmarkEnd w:id="183"/>
      <w:bookmarkEnd w:id="184"/>
      <w:bookmarkEnd w:id="185"/>
      <w:bookmarkEnd w:id="186"/>
      <w:bookmarkEnd w:id="187"/>
      <w:bookmarkEnd w:id="188"/>
      <w:bookmarkEnd w:id="189"/>
    </w:p>
    <w:p>
      <w:pPr>
        <w:pStyle w:val="5"/>
        <w:ind w:firstLine="0" w:firstLineChars="0"/>
        <w:rPr>
          <w:b/>
          <w:bCs/>
          <w:color w:val="auto"/>
          <w:highlight w:val="none"/>
        </w:rPr>
      </w:pPr>
      <w:r>
        <w:rPr>
          <w:rFonts w:hint="eastAsia"/>
          <w:b/>
          <w:bCs/>
          <w:color w:val="auto"/>
          <w:highlight w:val="none"/>
        </w:rPr>
        <w:t>致：</w:t>
      </w:r>
      <w:r>
        <w:rPr>
          <w:rFonts w:hint="eastAsia"/>
          <w:b/>
          <w:bCs/>
          <w:color w:val="auto"/>
          <w:highlight w:val="none"/>
          <w:u w:val="single"/>
        </w:rPr>
        <w:t>（采购人名称）/陕西正鸿招标有限公司</w:t>
      </w:r>
    </w:p>
    <w:p>
      <w:pPr>
        <w:pStyle w:val="5"/>
        <w:ind w:firstLine="480"/>
        <w:rPr>
          <w:color w:val="auto"/>
          <w:highlight w:val="none"/>
        </w:rPr>
      </w:pPr>
      <w:r>
        <w:rPr>
          <w:rFonts w:hint="eastAsia"/>
          <w:color w:val="auto"/>
          <w:highlight w:val="none"/>
        </w:rPr>
        <w:t>根据贵方</w:t>
      </w:r>
      <w:r>
        <w:rPr>
          <w:rFonts w:hint="eastAsia"/>
          <w:color w:val="auto"/>
          <w:highlight w:val="none"/>
          <w:u w:val="single"/>
        </w:rPr>
        <w:t>“       项目名称                 ”</w:t>
      </w:r>
      <w:r>
        <w:rPr>
          <w:rFonts w:hint="eastAsia"/>
          <w:color w:val="auto"/>
          <w:highlight w:val="none"/>
        </w:rPr>
        <w:t>的招标文件</w:t>
      </w:r>
      <w:r>
        <w:rPr>
          <w:rFonts w:hint="eastAsia"/>
          <w:color w:val="auto"/>
          <w:highlight w:val="none"/>
          <w:u w:val="single"/>
        </w:rPr>
        <w:t>(编号：        )</w:t>
      </w:r>
      <w:r>
        <w:rPr>
          <w:rFonts w:hint="eastAsia"/>
          <w:color w:val="auto"/>
          <w:highlight w:val="none"/>
          <w:u w:val="single"/>
          <w:lang w:eastAsia="zh-CN"/>
        </w:rPr>
        <w:t>、</w:t>
      </w:r>
      <w:r>
        <w:rPr>
          <w:rFonts w:hint="eastAsia"/>
          <w:color w:val="auto"/>
          <w:highlight w:val="none"/>
          <w:u w:val="single"/>
        </w:rPr>
        <w:t>(</w:t>
      </w:r>
      <w:r>
        <w:rPr>
          <w:rFonts w:hint="eastAsia"/>
          <w:color w:val="auto"/>
          <w:highlight w:val="none"/>
          <w:u w:val="single"/>
          <w:lang w:val="en-US" w:eastAsia="zh-CN"/>
        </w:rPr>
        <w:t>合同包</w:t>
      </w:r>
      <w:r>
        <w:rPr>
          <w:rFonts w:hint="eastAsia"/>
          <w:color w:val="auto"/>
          <w:highlight w:val="none"/>
          <w:u w:val="single"/>
        </w:rPr>
        <w:t>：        )</w:t>
      </w:r>
      <w:r>
        <w:rPr>
          <w:rFonts w:hint="eastAsia"/>
          <w:color w:val="auto"/>
          <w:highlight w:val="none"/>
        </w:rPr>
        <w:t>，签字代表</w:t>
      </w:r>
      <w:r>
        <w:rPr>
          <w:rFonts w:hint="eastAsia"/>
          <w:color w:val="auto"/>
          <w:highlight w:val="none"/>
          <w:u w:val="single"/>
        </w:rPr>
        <w:t>（全名、职务）</w:t>
      </w:r>
      <w:r>
        <w:rPr>
          <w:rFonts w:hint="eastAsia"/>
          <w:color w:val="auto"/>
          <w:highlight w:val="none"/>
        </w:rPr>
        <w:t>经正式授权并代表投标人</w:t>
      </w:r>
      <w:r>
        <w:rPr>
          <w:rFonts w:hint="eastAsia"/>
          <w:color w:val="auto"/>
          <w:highlight w:val="none"/>
          <w:u w:val="single"/>
        </w:rPr>
        <w:t xml:space="preserve">(投标人名称、地址) </w:t>
      </w:r>
      <w:r>
        <w:rPr>
          <w:rFonts w:hint="eastAsia"/>
          <w:color w:val="auto"/>
          <w:highlight w:val="none"/>
        </w:rPr>
        <w:t>提交投标文件正本</w:t>
      </w:r>
      <w:r>
        <w:rPr>
          <w:rFonts w:hint="eastAsia"/>
          <w:color w:val="auto"/>
          <w:highlight w:val="none"/>
          <w:u w:val="single"/>
        </w:rPr>
        <w:t>壹</w:t>
      </w:r>
      <w:r>
        <w:rPr>
          <w:rFonts w:hint="eastAsia"/>
          <w:color w:val="auto"/>
          <w:highlight w:val="none"/>
        </w:rPr>
        <w:t>份、副本一式</w:t>
      </w:r>
      <w:r>
        <w:rPr>
          <w:rFonts w:hint="eastAsia"/>
          <w:color w:val="auto"/>
          <w:highlight w:val="none"/>
          <w:u w:val="single"/>
        </w:rPr>
        <w:t xml:space="preserve">   </w:t>
      </w:r>
      <w:r>
        <w:rPr>
          <w:rFonts w:hint="eastAsia"/>
          <w:color w:val="auto"/>
          <w:highlight w:val="none"/>
        </w:rPr>
        <w:t>份、报价一览表</w:t>
      </w:r>
      <w:r>
        <w:rPr>
          <w:rFonts w:hint="eastAsia"/>
          <w:color w:val="auto"/>
          <w:highlight w:val="none"/>
          <w:u w:val="single"/>
        </w:rPr>
        <w:t xml:space="preserve">   </w:t>
      </w:r>
      <w:r>
        <w:rPr>
          <w:rFonts w:hint="eastAsia"/>
          <w:color w:val="auto"/>
          <w:highlight w:val="none"/>
        </w:rPr>
        <w:t>份、电子版</w:t>
      </w:r>
      <w:r>
        <w:rPr>
          <w:rFonts w:hint="eastAsia"/>
          <w:color w:val="auto"/>
          <w:highlight w:val="none"/>
          <w:u w:val="single"/>
        </w:rPr>
        <w:t xml:space="preserve">   </w:t>
      </w:r>
      <w:r>
        <w:rPr>
          <w:rFonts w:hint="eastAsia"/>
          <w:color w:val="auto"/>
          <w:highlight w:val="none"/>
        </w:rPr>
        <w:t>份。并提交投标保证金，金额为</w:t>
      </w:r>
      <w:r>
        <w:rPr>
          <w:rFonts w:hint="eastAsia"/>
          <w:color w:val="auto"/>
          <w:highlight w:val="none"/>
          <w:u w:val="single"/>
        </w:rPr>
        <w:t xml:space="preserve">              </w:t>
      </w:r>
      <w:r>
        <w:rPr>
          <w:rFonts w:hint="eastAsia"/>
          <w:color w:val="auto"/>
          <w:highlight w:val="none"/>
        </w:rPr>
        <w:t>。</w:t>
      </w:r>
    </w:p>
    <w:p>
      <w:pPr>
        <w:pStyle w:val="5"/>
        <w:ind w:firstLine="480"/>
        <w:rPr>
          <w:color w:val="auto"/>
          <w:highlight w:val="none"/>
        </w:rPr>
      </w:pPr>
      <w:r>
        <w:rPr>
          <w:rFonts w:hint="eastAsia"/>
          <w:color w:val="auto"/>
          <w:highlight w:val="none"/>
        </w:rPr>
        <w:t>我方承诺如下：</w:t>
      </w:r>
    </w:p>
    <w:p>
      <w:pPr>
        <w:pStyle w:val="5"/>
        <w:ind w:firstLine="480"/>
        <w:rPr>
          <w:color w:val="auto"/>
          <w:highlight w:val="none"/>
        </w:rPr>
      </w:pPr>
      <w:r>
        <w:rPr>
          <w:rFonts w:hint="eastAsia"/>
          <w:color w:val="auto"/>
          <w:highlight w:val="none"/>
        </w:rPr>
        <w:t>（1）投标报价为（供货折扣）：小写：</w:t>
      </w:r>
      <w:r>
        <w:rPr>
          <w:rFonts w:hint="eastAsia"/>
          <w:color w:val="auto"/>
          <w:highlight w:val="none"/>
          <w:u w:val="single"/>
        </w:rPr>
        <w:t xml:space="preserve">    % </w:t>
      </w:r>
      <w:r>
        <w:rPr>
          <w:rFonts w:hint="eastAsia"/>
          <w:color w:val="auto"/>
          <w:highlight w:val="none"/>
        </w:rPr>
        <w:t>（大写：百分之</w:t>
      </w:r>
      <w:r>
        <w:rPr>
          <w:rFonts w:hint="eastAsia"/>
          <w:color w:val="auto"/>
          <w:highlight w:val="none"/>
          <w:u w:val="single"/>
        </w:rPr>
        <w:t xml:space="preserve">     </w:t>
      </w:r>
      <w:r>
        <w:rPr>
          <w:rFonts w:hint="eastAsia"/>
          <w:color w:val="auto"/>
          <w:highlight w:val="none"/>
        </w:rPr>
        <w:t>）。</w:t>
      </w:r>
    </w:p>
    <w:p>
      <w:pPr>
        <w:pStyle w:val="5"/>
        <w:ind w:firstLine="480"/>
        <w:rPr>
          <w:color w:val="auto"/>
          <w:highlight w:val="none"/>
        </w:rPr>
      </w:pPr>
      <w:r>
        <w:rPr>
          <w:rFonts w:hint="eastAsia"/>
          <w:color w:val="auto"/>
          <w:highlight w:val="none"/>
        </w:rPr>
        <w:t>（2）如果中标，我们根据招标文件的规定，履行合同的责任和义务。</w:t>
      </w:r>
    </w:p>
    <w:p>
      <w:pPr>
        <w:pStyle w:val="5"/>
        <w:ind w:firstLine="480"/>
        <w:rPr>
          <w:color w:val="auto"/>
          <w:highlight w:val="none"/>
        </w:rPr>
      </w:pPr>
      <w:r>
        <w:rPr>
          <w:rFonts w:hint="eastAsia"/>
          <w:color w:val="auto"/>
          <w:highlight w:val="none"/>
        </w:rPr>
        <w:t>（3）我们已详细阅读和审核全部招标文件（含修改部分，如有的话）及有关附件，我们知道必须放弃提出含糊不清或误解的问题的权利。</w:t>
      </w:r>
    </w:p>
    <w:p>
      <w:pPr>
        <w:pStyle w:val="5"/>
        <w:ind w:firstLine="480"/>
        <w:rPr>
          <w:color w:val="auto"/>
          <w:highlight w:val="none"/>
        </w:rPr>
      </w:pPr>
      <w:r>
        <w:rPr>
          <w:rFonts w:hint="eastAsia"/>
          <w:color w:val="auto"/>
          <w:highlight w:val="none"/>
        </w:rPr>
        <w:t>（4）我们同意在投标有效期内（自开标之日起</w:t>
      </w:r>
      <w:r>
        <w:rPr>
          <w:rFonts w:hint="eastAsia"/>
          <w:color w:val="auto"/>
          <w:highlight w:val="none"/>
          <w:u w:val="single"/>
        </w:rPr>
        <w:t xml:space="preserve">    </w:t>
      </w:r>
      <w:r>
        <w:rPr>
          <w:rFonts w:hint="eastAsia"/>
          <w:color w:val="auto"/>
          <w:highlight w:val="none"/>
        </w:rPr>
        <w:t>天），本投标函对我方具有约束力。</w:t>
      </w:r>
    </w:p>
    <w:p>
      <w:pPr>
        <w:pStyle w:val="5"/>
        <w:ind w:firstLine="480"/>
        <w:rPr>
          <w:color w:val="auto"/>
          <w:highlight w:val="none"/>
        </w:rPr>
      </w:pPr>
      <w:r>
        <w:rPr>
          <w:rFonts w:hint="eastAsia"/>
          <w:color w:val="auto"/>
          <w:highlight w:val="none"/>
        </w:rPr>
        <w:t>（5）如果在开标后规定的投标有效期内撤回投标，我们的投标保证金可被贵方没收。</w:t>
      </w:r>
    </w:p>
    <w:p>
      <w:pPr>
        <w:pStyle w:val="5"/>
        <w:ind w:firstLine="480"/>
        <w:rPr>
          <w:color w:val="auto"/>
          <w:highlight w:val="none"/>
        </w:rPr>
      </w:pPr>
      <w:r>
        <w:rPr>
          <w:rFonts w:hint="eastAsia"/>
          <w:color w:val="auto"/>
          <w:highlight w:val="none"/>
        </w:rPr>
        <w:t xml:space="preserve">（6）同意提供贵方可能另外要求的与本投标有关的任何证据和资料。 </w:t>
      </w:r>
    </w:p>
    <w:p>
      <w:pPr>
        <w:pStyle w:val="5"/>
        <w:ind w:firstLine="480"/>
        <w:rPr>
          <w:color w:val="auto"/>
          <w:highlight w:val="none"/>
        </w:rPr>
      </w:pPr>
      <w:r>
        <w:rPr>
          <w:rFonts w:hint="eastAsia"/>
          <w:color w:val="auto"/>
          <w:highlight w:val="none"/>
        </w:rPr>
        <w:t>（7）我们同意，如果中标，向陕西正鸿招标有限公司交纳招标代理服务费。</w:t>
      </w:r>
    </w:p>
    <w:p>
      <w:pPr>
        <w:pStyle w:val="5"/>
        <w:ind w:firstLine="480"/>
        <w:rPr>
          <w:color w:val="auto"/>
          <w:highlight w:val="none"/>
        </w:rPr>
      </w:pPr>
      <w:r>
        <w:rPr>
          <w:rFonts w:hint="eastAsia"/>
          <w:color w:val="auto"/>
          <w:highlight w:val="none"/>
        </w:rPr>
        <w:t>（8）与本投标有关的一切正式往来通讯为：</w:t>
      </w:r>
    </w:p>
    <w:p>
      <w:pPr>
        <w:pStyle w:val="5"/>
        <w:ind w:firstLine="480"/>
        <w:rPr>
          <w:color w:val="auto"/>
          <w:highlight w:val="none"/>
        </w:rPr>
      </w:pPr>
    </w:p>
    <w:p>
      <w:pPr>
        <w:pStyle w:val="5"/>
        <w:ind w:firstLine="480"/>
        <w:rPr>
          <w:color w:val="auto"/>
          <w:highlight w:val="none"/>
          <w:u w:val="single"/>
        </w:rPr>
      </w:pPr>
      <w:r>
        <w:rPr>
          <w:rFonts w:hint="eastAsia"/>
          <w:color w:val="auto"/>
          <w:highlight w:val="none"/>
        </w:rPr>
        <w:t>联系地址：</w:t>
      </w:r>
      <w:r>
        <w:rPr>
          <w:rFonts w:hint="eastAsia"/>
          <w:color w:val="auto"/>
          <w:highlight w:val="none"/>
          <w:u w:val="single"/>
        </w:rPr>
        <w:t xml:space="preserve">                 </w:t>
      </w:r>
    </w:p>
    <w:p>
      <w:pPr>
        <w:pStyle w:val="5"/>
        <w:ind w:firstLine="480"/>
        <w:rPr>
          <w:b/>
          <w:bCs/>
          <w:color w:val="auto"/>
          <w:highlight w:val="none"/>
        </w:rPr>
      </w:pPr>
      <w:r>
        <w:rPr>
          <w:rFonts w:hint="eastAsia"/>
          <w:color w:val="auto"/>
          <w:highlight w:val="none"/>
        </w:rPr>
        <w:t>邮政编码：</w:t>
      </w:r>
      <w:r>
        <w:rPr>
          <w:rFonts w:hint="eastAsia"/>
          <w:color w:val="auto"/>
          <w:highlight w:val="none"/>
          <w:u w:val="single"/>
        </w:rPr>
        <w:t xml:space="preserve">                 </w:t>
      </w:r>
    </w:p>
    <w:p>
      <w:pPr>
        <w:pStyle w:val="5"/>
        <w:ind w:firstLine="480"/>
        <w:rPr>
          <w:color w:val="auto"/>
          <w:highlight w:val="none"/>
        </w:rPr>
      </w:pPr>
      <w:r>
        <w:rPr>
          <w:rFonts w:hint="eastAsia"/>
          <w:color w:val="auto"/>
          <w:highlight w:val="none"/>
        </w:rPr>
        <w:t>电    话：</w:t>
      </w:r>
      <w:r>
        <w:rPr>
          <w:rFonts w:hint="eastAsia"/>
          <w:color w:val="auto"/>
          <w:highlight w:val="none"/>
          <w:u w:val="single"/>
        </w:rPr>
        <w:t xml:space="preserve">                 </w:t>
      </w:r>
    </w:p>
    <w:p>
      <w:pPr>
        <w:pStyle w:val="5"/>
        <w:ind w:firstLine="480"/>
        <w:rPr>
          <w:color w:val="auto"/>
          <w:highlight w:val="none"/>
        </w:rPr>
      </w:pPr>
      <w:r>
        <w:rPr>
          <w:rFonts w:hint="eastAsia"/>
          <w:color w:val="auto"/>
          <w:highlight w:val="none"/>
        </w:rPr>
        <w:t>传    真：</w:t>
      </w:r>
      <w:r>
        <w:rPr>
          <w:rFonts w:hint="eastAsia"/>
          <w:color w:val="auto"/>
          <w:highlight w:val="none"/>
          <w:u w:val="single"/>
        </w:rPr>
        <w:t xml:space="preserve">                 </w:t>
      </w:r>
    </w:p>
    <w:p>
      <w:pPr>
        <w:pStyle w:val="5"/>
        <w:ind w:firstLine="480"/>
        <w:rPr>
          <w:color w:val="auto"/>
          <w:highlight w:val="none"/>
        </w:rPr>
      </w:pPr>
      <w:r>
        <w:rPr>
          <w:rFonts w:hint="eastAsia"/>
          <w:color w:val="auto"/>
          <w:highlight w:val="none"/>
        </w:rPr>
        <w:t>投标人名称：</w:t>
      </w:r>
      <w:r>
        <w:rPr>
          <w:rFonts w:hint="eastAsia"/>
          <w:color w:val="auto"/>
          <w:highlight w:val="none"/>
          <w:u w:val="single"/>
        </w:rPr>
        <w:t xml:space="preserve">                 </w:t>
      </w:r>
      <w:r>
        <w:rPr>
          <w:rFonts w:hint="eastAsia"/>
          <w:color w:val="auto"/>
          <w:highlight w:val="none"/>
        </w:rPr>
        <w:t>（盖单位公章）</w:t>
      </w:r>
    </w:p>
    <w:p>
      <w:pPr>
        <w:pStyle w:val="5"/>
        <w:ind w:firstLine="480"/>
        <w:rPr>
          <w:color w:val="auto"/>
          <w:highlight w:val="none"/>
        </w:rPr>
      </w:pPr>
      <w:r>
        <w:rPr>
          <w:rFonts w:hint="eastAsia"/>
          <w:color w:val="auto"/>
          <w:highlight w:val="none"/>
        </w:rPr>
        <w:t>法定代表人或被授权人：</w:t>
      </w:r>
      <w:r>
        <w:rPr>
          <w:rFonts w:hint="eastAsia"/>
          <w:color w:val="auto"/>
          <w:highlight w:val="none"/>
          <w:u w:val="single"/>
        </w:rPr>
        <w:t xml:space="preserve">       </w:t>
      </w:r>
      <w:r>
        <w:rPr>
          <w:rFonts w:hint="eastAsia"/>
          <w:color w:val="auto"/>
          <w:highlight w:val="none"/>
        </w:rPr>
        <w:t>（签字或盖章）</w:t>
      </w:r>
    </w:p>
    <w:p>
      <w:pPr>
        <w:pStyle w:val="5"/>
        <w:ind w:firstLine="480"/>
        <w:rPr>
          <w:color w:val="auto"/>
          <w:highlight w:val="none"/>
        </w:rPr>
      </w:pPr>
      <w:r>
        <w:rPr>
          <w:rFonts w:hint="eastAsia"/>
          <w:color w:val="auto"/>
          <w:highlight w:val="none"/>
        </w:rPr>
        <w:t>日    期：</w:t>
      </w:r>
      <w:r>
        <w:rPr>
          <w:rFonts w:hint="eastAsia"/>
          <w:color w:val="auto"/>
          <w:highlight w:val="none"/>
          <w:u w:val="single"/>
        </w:rPr>
        <w:t xml:space="preserve">   </w:t>
      </w:r>
      <w:r>
        <w:rPr>
          <w:rFonts w:hint="eastAsia"/>
          <w:color w:val="auto"/>
          <w:highlight w:val="none"/>
        </w:rPr>
        <w:t>年</w:t>
      </w:r>
      <w:r>
        <w:rPr>
          <w:rFonts w:hint="eastAsia"/>
          <w:color w:val="auto"/>
          <w:highlight w:val="none"/>
          <w:u w:val="single"/>
        </w:rPr>
        <w:t xml:space="preserve">   </w:t>
      </w:r>
      <w:r>
        <w:rPr>
          <w:rFonts w:hint="eastAsia"/>
          <w:color w:val="auto"/>
          <w:highlight w:val="none"/>
        </w:rPr>
        <w:t>月</w:t>
      </w:r>
      <w:r>
        <w:rPr>
          <w:rFonts w:hint="eastAsia"/>
          <w:color w:val="auto"/>
          <w:highlight w:val="none"/>
          <w:u w:val="single"/>
        </w:rPr>
        <w:t xml:space="preserve">   </w:t>
      </w:r>
      <w:r>
        <w:rPr>
          <w:rFonts w:hint="eastAsia"/>
          <w:color w:val="auto"/>
          <w:highlight w:val="none"/>
        </w:rPr>
        <w:t>日</w:t>
      </w:r>
    </w:p>
    <w:p>
      <w:pPr>
        <w:pStyle w:val="4"/>
        <w:rPr>
          <w:rStyle w:val="31"/>
          <w:rFonts w:hint="eastAsia" w:eastAsia="宋体"/>
          <w:b/>
          <w:bCs/>
          <w:color w:val="auto"/>
          <w:highlight w:val="none"/>
          <w:lang w:eastAsia="zh-CN"/>
        </w:rPr>
      </w:pPr>
      <w:r>
        <w:rPr>
          <w:rFonts w:hint="eastAsia"/>
          <w:color w:val="auto"/>
          <w:sz w:val="28"/>
          <w:highlight w:val="none"/>
        </w:rPr>
        <w:br w:type="page"/>
      </w:r>
      <w:bookmarkStart w:id="190" w:name="_Toc29025"/>
      <w:bookmarkStart w:id="191" w:name="_Toc13499"/>
      <w:bookmarkStart w:id="192" w:name="_Toc17802"/>
      <w:bookmarkStart w:id="193" w:name="_Toc4332"/>
      <w:bookmarkStart w:id="194" w:name="_Toc27599"/>
      <w:bookmarkStart w:id="195" w:name="_Toc363474030"/>
      <w:bookmarkStart w:id="196" w:name="_Toc21967"/>
      <w:bookmarkStart w:id="197" w:name="_Toc403077651"/>
      <w:bookmarkStart w:id="198" w:name="_Toc21319"/>
      <w:bookmarkStart w:id="199" w:name="_Toc15042"/>
      <w:bookmarkStart w:id="200" w:name="_Toc426457703"/>
      <w:r>
        <w:rPr>
          <w:rStyle w:val="31"/>
          <w:rFonts w:hint="eastAsia"/>
          <w:b/>
          <w:bCs/>
          <w:color w:val="auto"/>
          <w:highlight w:val="none"/>
        </w:rPr>
        <w:t>二、投标报价表</w:t>
      </w:r>
      <w:bookmarkEnd w:id="190"/>
      <w:bookmarkEnd w:id="191"/>
      <w:bookmarkEnd w:id="192"/>
      <w:bookmarkEnd w:id="193"/>
      <w:bookmarkEnd w:id="194"/>
      <w:bookmarkEnd w:id="195"/>
      <w:bookmarkEnd w:id="196"/>
      <w:bookmarkEnd w:id="197"/>
      <w:bookmarkEnd w:id="198"/>
      <w:bookmarkEnd w:id="199"/>
      <w:bookmarkEnd w:id="200"/>
      <w:r>
        <w:rPr>
          <w:rStyle w:val="31"/>
          <w:rFonts w:hint="eastAsia"/>
          <w:b/>
          <w:bCs/>
          <w:color w:val="auto"/>
          <w:highlight w:val="none"/>
          <w:lang w:eastAsia="zh-CN"/>
        </w:rPr>
        <w:t>（</w:t>
      </w:r>
      <w:r>
        <w:rPr>
          <w:rStyle w:val="31"/>
          <w:rFonts w:hint="eastAsia"/>
          <w:b/>
          <w:bCs/>
          <w:color w:val="auto"/>
          <w:highlight w:val="none"/>
          <w:lang w:val="en-US" w:eastAsia="zh-CN"/>
        </w:rPr>
        <w:t>开标一览表</w:t>
      </w:r>
      <w:r>
        <w:rPr>
          <w:rStyle w:val="31"/>
          <w:rFonts w:hint="eastAsia"/>
          <w:b/>
          <w:bCs/>
          <w:color w:val="auto"/>
          <w:highlight w:val="none"/>
          <w:lang w:eastAsia="zh-CN"/>
        </w:rPr>
        <w:t>）</w:t>
      </w:r>
    </w:p>
    <w:p>
      <w:pPr>
        <w:spacing w:line="360" w:lineRule="auto"/>
        <w:rPr>
          <w:rFonts w:hAnsi="宋体" w:cs="宋体"/>
          <w:color w:val="auto"/>
          <w:szCs w:val="24"/>
          <w:highlight w:val="none"/>
          <w:u w:val="single"/>
        </w:rPr>
      </w:pPr>
      <w:r>
        <w:rPr>
          <w:rFonts w:hint="eastAsia" w:hAnsi="宋体" w:cs="宋体"/>
          <w:color w:val="auto"/>
          <w:szCs w:val="24"/>
          <w:highlight w:val="none"/>
        </w:rPr>
        <w:t>项目名称：</w:t>
      </w:r>
      <w:r>
        <w:rPr>
          <w:rFonts w:hint="eastAsia" w:hAnsi="宋体" w:cs="宋体"/>
          <w:color w:val="auto"/>
          <w:szCs w:val="24"/>
          <w:highlight w:val="none"/>
          <w:u w:val="single"/>
        </w:rPr>
        <w:t xml:space="preserve">                                 </w:t>
      </w:r>
    </w:p>
    <w:p>
      <w:pPr>
        <w:spacing w:line="360" w:lineRule="auto"/>
        <w:rPr>
          <w:rFonts w:hAnsi="宋体" w:cs="宋体"/>
          <w:color w:val="auto"/>
          <w:szCs w:val="24"/>
          <w:highlight w:val="none"/>
          <w:u w:val="single"/>
        </w:rPr>
      </w:pPr>
      <w:r>
        <w:rPr>
          <w:rFonts w:hint="eastAsia" w:hAnsi="宋体" w:cs="宋体"/>
          <w:color w:val="auto"/>
          <w:szCs w:val="24"/>
          <w:highlight w:val="none"/>
        </w:rPr>
        <w:t>项目编号：</w:t>
      </w:r>
      <w:r>
        <w:rPr>
          <w:rFonts w:hint="eastAsia" w:hAnsi="宋体" w:cs="宋体"/>
          <w:color w:val="auto"/>
          <w:szCs w:val="24"/>
          <w:highlight w:val="none"/>
          <w:u w:val="single"/>
        </w:rPr>
        <w:t xml:space="preserve">                                </w:t>
      </w:r>
    </w:p>
    <w:p>
      <w:pPr>
        <w:pStyle w:val="19"/>
        <w:ind w:left="0" w:leftChars="0" w:firstLine="0" w:firstLineChars="0"/>
        <w:rPr>
          <w:rFonts w:ascii="宋体" w:hAnsi="宋体" w:cs="宋体"/>
          <w:color w:val="auto"/>
          <w:sz w:val="24"/>
          <w:szCs w:val="24"/>
          <w:highlight w:val="none"/>
        </w:rPr>
      </w:pPr>
      <w:r>
        <w:rPr>
          <w:rFonts w:hint="eastAsia" w:ascii="宋体" w:hAnsi="宋体" w:cs="宋体"/>
          <w:color w:val="auto"/>
          <w:sz w:val="24"/>
          <w:szCs w:val="24"/>
          <w:highlight w:val="none"/>
        </w:rPr>
        <w:t>合同包：</w:t>
      </w:r>
      <w:r>
        <w:rPr>
          <w:rFonts w:hint="eastAsia" w:hAnsi="宋体" w:cs="宋体"/>
          <w:color w:val="auto"/>
          <w:szCs w:val="24"/>
          <w:highlight w:val="none"/>
          <w:u w:val="single"/>
        </w:rPr>
        <w:t xml:space="preserve">                                       </w:t>
      </w:r>
    </w:p>
    <w:tbl>
      <w:tblPr>
        <w:tblStyle w:val="20"/>
        <w:tblpPr w:leftFromText="180" w:rightFromText="180" w:vertAnchor="text" w:horzAnchor="page" w:tblpX="1407" w:tblpY="478"/>
        <w:tblOverlap w:val="never"/>
        <w:tblW w:w="9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28"/>
        <w:gridCol w:w="3576"/>
        <w:gridCol w:w="1648"/>
        <w:gridCol w:w="16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3" w:hRule="atLeast"/>
        </w:trPr>
        <w:tc>
          <w:tcPr>
            <w:tcW w:w="2628" w:type="dxa"/>
            <w:tcBorders>
              <w:tl2br w:val="single" w:color="auto" w:sz="4" w:space="0"/>
            </w:tcBorders>
          </w:tcPr>
          <w:p>
            <w:pPr>
              <w:kinsoku w:val="0"/>
              <w:spacing w:line="500" w:lineRule="exact"/>
              <w:ind w:firstLine="1200" w:firstLineChars="500"/>
              <w:rPr>
                <w:rFonts w:hAnsi="宋体"/>
                <w:color w:val="auto"/>
                <w:highlight w:val="none"/>
              </w:rPr>
            </w:pPr>
            <w:r>
              <w:rPr>
                <w:rFonts w:hint="eastAsia" w:hAnsi="宋体"/>
                <w:color w:val="auto"/>
                <w:highlight w:val="none"/>
              </w:rPr>
              <w:t>报价内容</w:t>
            </w:r>
          </w:p>
          <w:p>
            <w:pPr>
              <w:kinsoku w:val="0"/>
              <w:spacing w:line="500" w:lineRule="exact"/>
              <w:rPr>
                <w:rFonts w:hAnsi="宋体"/>
                <w:color w:val="auto"/>
                <w:highlight w:val="none"/>
              </w:rPr>
            </w:pPr>
          </w:p>
          <w:p>
            <w:pPr>
              <w:kinsoku w:val="0"/>
              <w:spacing w:line="500" w:lineRule="exact"/>
              <w:rPr>
                <w:rFonts w:hAnsi="宋体"/>
                <w:color w:val="auto"/>
                <w:highlight w:val="none"/>
              </w:rPr>
            </w:pPr>
            <w:r>
              <w:rPr>
                <w:rFonts w:hint="eastAsia" w:hAnsi="宋体"/>
                <w:color w:val="auto"/>
                <w:highlight w:val="none"/>
              </w:rPr>
              <w:t>投标内容</w:t>
            </w:r>
          </w:p>
        </w:tc>
        <w:tc>
          <w:tcPr>
            <w:tcW w:w="3576" w:type="dxa"/>
            <w:vAlign w:val="center"/>
          </w:tcPr>
          <w:p>
            <w:pPr>
              <w:kinsoku w:val="0"/>
              <w:spacing w:line="500" w:lineRule="exact"/>
              <w:jc w:val="center"/>
              <w:rPr>
                <w:rFonts w:hAnsi="宋体"/>
                <w:color w:val="auto"/>
                <w:highlight w:val="none"/>
              </w:rPr>
            </w:pPr>
            <w:r>
              <w:rPr>
                <w:rFonts w:hint="eastAsia" w:hAnsi="宋体"/>
                <w:color w:val="auto"/>
                <w:highlight w:val="none"/>
              </w:rPr>
              <w:t>供货折扣</w:t>
            </w:r>
          </w:p>
        </w:tc>
        <w:tc>
          <w:tcPr>
            <w:tcW w:w="1648" w:type="dxa"/>
            <w:vAlign w:val="center"/>
          </w:tcPr>
          <w:p>
            <w:pPr>
              <w:kinsoku w:val="0"/>
              <w:spacing w:line="500" w:lineRule="exact"/>
              <w:jc w:val="center"/>
              <w:rPr>
                <w:rFonts w:hAnsi="宋体"/>
                <w:color w:val="auto"/>
                <w:highlight w:val="none"/>
              </w:rPr>
            </w:pPr>
            <w:r>
              <w:rPr>
                <w:rFonts w:hint="eastAsia"/>
                <w:color w:val="auto"/>
                <w:highlight w:val="none"/>
              </w:rPr>
              <w:t>交付期</w:t>
            </w:r>
          </w:p>
        </w:tc>
        <w:tc>
          <w:tcPr>
            <w:tcW w:w="1648" w:type="dxa"/>
            <w:vAlign w:val="center"/>
          </w:tcPr>
          <w:p>
            <w:pPr>
              <w:kinsoku w:val="0"/>
              <w:spacing w:line="500" w:lineRule="exact"/>
              <w:jc w:val="center"/>
              <w:rPr>
                <w:rFonts w:hint="eastAsia"/>
                <w:color w:val="auto"/>
                <w:highlight w:val="none"/>
              </w:rPr>
            </w:pPr>
            <w:r>
              <w:rPr>
                <w:rFonts w:hint="eastAsia"/>
                <w:color w:val="auto"/>
                <w:szCs w:val="22"/>
                <w:highlight w:val="none"/>
                <w:lang w:val="en-US" w:eastAsia="zh-CN"/>
              </w:rPr>
              <w:t>交付地点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4" w:hRule="atLeast"/>
        </w:trPr>
        <w:tc>
          <w:tcPr>
            <w:tcW w:w="2628" w:type="dxa"/>
            <w:vAlign w:val="center"/>
          </w:tcPr>
          <w:p>
            <w:pPr>
              <w:kinsoku w:val="0"/>
              <w:spacing w:line="500" w:lineRule="exact"/>
              <w:jc w:val="center"/>
              <w:rPr>
                <w:rFonts w:hAnsi="宋体"/>
                <w:color w:val="auto"/>
                <w:highlight w:val="none"/>
              </w:rPr>
            </w:pPr>
          </w:p>
        </w:tc>
        <w:tc>
          <w:tcPr>
            <w:tcW w:w="3576" w:type="dxa"/>
            <w:vAlign w:val="center"/>
          </w:tcPr>
          <w:p>
            <w:pPr>
              <w:kinsoku w:val="0"/>
              <w:spacing w:line="500" w:lineRule="exact"/>
              <w:ind w:firstLine="480" w:firstLineChars="200"/>
              <w:rPr>
                <w:rFonts w:hAnsi="宋体"/>
                <w:color w:val="auto"/>
                <w:highlight w:val="none"/>
              </w:rPr>
            </w:pPr>
            <w:r>
              <w:rPr>
                <w:rFonts w:hint="eastAsia" w:hAnsi="宋体"/>
                <w:color w:val="auto"/>
                <w:highlight w:val="none"/>
              </w:rPr>
              <w:t>大写：百分之</w:t>
            </w:r>
            <w:r>
              <w:rPr>
                <w:rFonts w:hint="eastAsia" w:hAnsi="宋体"/>
                <w:color w:val="auto"/>
                <w:highlight w:val="none"/>
                <w:u w:val="single"/>
              </w:rPr>
              <w:t xml:space="preserve">      </w:t>
            </w:r>
            <w:r>
              <w:rPr>
                <w:rFonts w:hint="eastAsia" w:hAnsi="宋体"/>
                <w:color w:val="auto"/>
                <w:highlight w:val="none"/>
              </w:rPr>
              <w:t>。</w:t>
            </w:r>
          </w:p>
          <w:p>
            <w:pPr>
              <w:kinsoku w:val="0"/>
              <w:spacing w:line="500" w:lineRule="exact"/>
              <w:ind w:firstLine="480" w:firstLineChars="200"/>
              <w:rPr>
                <w:rFonts w:hAnsi="宋体"/>
                <w:color w:val="auto"/>
                <w:highlight w:val="none"/>
              </w:rPr>
            </w:pPr>
            <w:r>
              <w:rPr>
                <w:rFonts w:hint="eastAsia" w:hAnsi="宋体"/>
                <w:color w:val="auto"/>
                <w:highlight w:val="none"/>
              </w:rPr>
              <w:t>小写：</w:t>
            </w:r>
            <w:r>
              <w:rPr>
                <w:rFonts w:hint="eastAsia" w:hAnsi="宋体"/>
                <w:color w:val="auto"/>
                <w:highlight w:val="none"/>
                <w:u w:val="single"/>
              </w:rPr>
              <w:t xml:space="preserve">           </w:t>
            </w:r>
            <w:r>
              <w:rPr>
                <w:rFonts w:hint="eastAsia" w:hAnsi="宋体"/>
                <w:color w:val="auto"/>
                <w:highlight w:val="none"/>
              </w:rPr>
              <w:t>％</w:t>
            </w:r>
          </w:p>
        </w:tc>
        <w:tc>
          <w:tcPr>
            <w:tcW w:w="1648" w:type="dxa"/>
            <w:vAlign w:val="center"/>
          </w:tcPr>
          <w:p>
            <w:pPr>
              <w:kinsoku w:val="0"/>
              <w:spacing w:line="500" w:lineRule="exact"/>
              <w:jc w:val="center"/>
              <w:rPr>
                <w:rFonts w:hAnsi="宋体"/>
                <w:color w:val="auto"/>
                <w:highlight w:val="none"/>
              </w:rPr>
            </w:pPr>
          </w:p>
        </w:tc>
        <w:tc>
          <w:tcPr>
            <w:tcW w:w="1648" w:type="dxa"/>
            <w:vAlign w:val="center"/>
          </w:tcPr>
          <w:p>
            <w:pPr>
              <w:kinsoku w:val="0"/>
              <w:spacing w:line="500" w:lineRule="exact"/>
              <w:jc w:val="center"/>
              <w:rPr>
                <w:rFonts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9500" w:type="dxa"/>
            <w:gridSpan w:val="4"/>
            <w:vAlign w:val="center"/>
          </w:tcPr>
          <w:p>
            <w:pPr>
              <w:kinsoku w:val="0"/>
              <w:spacing w:line="360" w:lineRule="auto"/>
              <w:rPr>
                <w:rFonts w:hAnsi="宋体" w:cs="Helvetica"/>
                <w:color w:val="auto"/>
                <w:szCs w:val="22"/>
                <w:highlight w:val="none"/>
              </w:rPr>
            </w:pPr>
            <w:r>
              <w:rPr>
                <w:rFonts w:hint="eastAsia" w:hAnsi="宋体" w:cs="Helvetica"/>
                <w:color w:val="auto"/>
                <w:szCs w:val="22"/>
                <w:highlight w:val="none"/>
              </w:rPr>
              <w:t>备注：</w:t>
            </w:r>
          </w:p>
          <w:p>
            <w:pPr>
              <w:kinsoku w:val="0"/>
              <w:spacing w:line="360" w:lineRule="auto"/>
              <w:rPr>
                <w:rFonts w:hAnsi="宋体" w:cs="Helvetica"/>
                <w:color w:val="auto"/>
                <w:szCs w:val="22"/>
                <w:highlight w:val="none"/>
              </w:rPr>
            </w:pPr>
            <w:r>
              <w:rPr>
                <w:rFonts w:hint="eastAsia" w:hAnsi="宋体" w:cs="Helvetica"/>
                <w:color w:val="auto"/>
                <w:szCs w:val="22"/>
                <w:highlight w:val="none"/>
              </w:rPr>
              <w:t>1、图书价格以书后定价为准，不附加任何运费或其他费用。</w:t>
            </w:r>
          </w:p>
          <w:p>
            <w:pPr>
              <w:kinsoku w:val="0"/>
              <w:spacing w:line="360" w:lineRule="auto"/>
              <w:rPr>
                <w:rFonts w:hint="eastAsia" w:hAnsi="宋体" w:cs="Helvetica"/>
                <w:color w:val="auto"/>
                <w:szCs w:val="22"/>
                <w:highlight w:val="none"/>
              </w:rPr>
            </w:pPr>
            <w:r>
              <w:rPr>
                <w:rFonts w:hint="eastAsia" w:hAnsi="宋体" w:cs="Helvetica"/>
                <w:color w:val="auto"/>
                <w:szCs w:val="22"/>
                <w:highlight w:val="none"/>
              </w:rPr>
              <w:t>2、报价统一根据公式“供货折扣=结算价/图书码洋价*100%”计算。</w:t>
            </w:r>
          </w:p>
        </w:tc>
      </w:tr>
    </w:tbl>
    <w:p>
      <w:pPr>
        <w:tabs>
          <w:tab w:val="left" w:pos="7200"/>
          <w:tab w:val="left" w:pos="8504"/>
        </w:tabs>
        <w:spacing w:line="360" w:lineRule="auto"/>
        <w:ind w:right="-1"/>
        <w:rPr>
          <w:rFonts w:hAnsi="宋体" w:cs="宋体"/>
          <w:color w:val="auto"/>
          <w:highlight w:val="none"/>
        </w:rPr>
      </w:pPr>
    </w:p>
    <w:p>
      <w:pPr>
        <w:spacing w:line="120" w:lineRule="exact"/>
        <w:rPr>
          <w:rFonts w:hAnsi="宋体" w:cs="宋体"/>
          <w:color w:val="auto"/>
          <w:highlight w:val="none"/>
        </w:rPr>
      </w:pPr>
    </w:p>
    <w:p>
      <w:pPr>
        <w:pStyle w:val="5"/>
        <w:ind w:firstLine="0" w:firstLineChars="0"/>
        <w:rPr>
          <w:color w:val="auto"/>
          <w:highlight w:val="none"/>
        </w:rPr>
      </w:pPr>
      <w:r>
        <w:rPr>
          <w:rFonts w:hint="eastAsia"/>
          <w:color w:val="auto"/>
          <w:highlight w:val="none"/>
        </w:rPr>
        <w:t>投标人名称：</w:t>
      </w:r>
      <w:r>
        <w:rPr>
          <w:rFonts w:hint="eastAsia"/>
          <w:color w:val="auto"/>
          <w:highlight w:val="none"/>
          <w:u w:val="single"/>
        </w:rPr>
        <w:t xml:space="preserve">                   </w:t>
      </w:r>
      <w:r>
        <w:rPr>
          <w:rFonts w:hint="eastAsia"/>
          <w:color w:val="auto"/>
          <w:highlight w:val="none"/>
        </w:rPr>
        <w:t>（盖单位公章）</w:t>
      </w:r>
    </w:p>
    <w:p>
      <w:pPr>
        <w:pStyle w:val="5"/>
        <w:ind w:firstLine="0" w:firstLineChars="0"/>
        <w:rPr>
          <w:color w:val="auto"/>
          <w:highlight w:val="none"/>
        </w:rPr>
      </w:pPr>
    </w:p>
    <w:p>
      <w:pPr>
        <w:pStyle w:val="5"/>
        <w:ind w:firstLine="0" w:firstLineChars="0"/>
        <w:rPr>
          <w:color w:val="auto"/>
          <w:highlight w:val="none"/>
        </w:rPr>
      </w:pPr>
      <w:r>
        <w:rPr>
          <w:rFonts w:hint="eastAsia"/>
          <w:color w:val="auto"/>
          <w:highlight w:val="none"/>
        </w:rPr>
        <w:t>法定代表人或被授权人：</w:t>
      </w:r>
      <w:r>
        <w:rPr>
          <w:rFonts w:hint="eastAsia"/>
          <w:color w:val="auto"/>
          <w:highlight w:val="none"/>
          <w:u w:val="single"/>
        </w:rPr>
        <w:t xml:space="preserve">         </w:t>
      </w:r>
      <w:r>
        <w:rPr>
          <w:rFonts w:hint="eastAsia"/>
          <w:color w:val="auto"/>
          <w:highlight w:val="none"/>
        </w:rPr>
        <w:t>（签字或盖章）</w:t>
      </w:r>
    </w:p>
    <w:p>
      <w:pPr>
        <w:pStyle w:val="5"/>
        <w:ind w:firstLine="0" w:firstLineChars="0"/>
        <w:rPr>
          <w:color w:val="auto"/>
          <w:highlight w:val="none"/>
        </w:rPr>
      </w:pPr>
    </w:p>
    <w:p>
      <w:pPr>
        <w:pStyle w:val="5"/>
        <w:ind w:firstLine="0" w:firstLineChars="0"/>
        <w:rPr>
          <w:rFonts w:hint="eastAsia"/>
          <w:color w:val="auto"/>
          <w:highlight w:val="none"/>
        </w:rPr>
      </w:pPr>
      <w:r>
        <w:rPr>
          <w:rFonts w:hint="eastAsia"/>
          <w:color w:val="auto"/>
          <w:highlight w:val="none"/>
        </w:rPr>
        <w:t>日    期：</w:t>
      </w:r>
      <w:r>
        <w:rPr>
          <w:rFonts w:hint="eastAsia"/>
          <w:color w:val="auto"/>
          <w:highlight w:val="none"/>
          <w:u w:val="single"/>
        </w:rPr>
        <w:t xml:space="preserve">   </w:t>
      </w:r>
      <w:r>
        <w:rPr>
          <w:rFonts w:hint="eastAsia"/>
          <w:color w:val="auto"/>
          <w:highlight w:val="none"/>
        </w:rPr>
        <w:t>年</w:t>
      </w:r>
      <w:r>
        <w:rPr>
          <w:rFonts w:hint="eastAsia"/>
          <w:color w:val="auto"/>
          <w:highlight w:val="none"/>
          <w:u w:val="single"/>
        </w:rPr>
        <w:t xml:space="preserve">   </w:t>
      </w:r>
      <w:r>
        <w:rPr>
          <w:rFonts w:hint="eastAsia"/>
          <w:color w:val="auto"/>
          <w:highlight w:val="none"/>
        </w:rPr>
        <w:t>月</w:t>
      </w:r>
      <w:r>
        <w:rPr>
          <w:rFonts w:hint="eastAsia"/>
          <w:color w:val="auto"/>
          <w:highlight w:val="none"/>
          <w:u w:val="single"/>
        </w:rPr>
        <w:t xml:space="preserve">   </w:t>
      </w:r>
      <w:r>
        <w:rPr>
          <w:rFonts w:hint="eastAsia"/>
          <w:color w:val="auto"/>
          <w:highlight w:val="none"/>
        </w:rPr>
        <w:t>日</w:t>
      </w:r>
    </w:p>
    <w:p>
      <w:pPr>
        <w:pStyle w:val="6"/>
        <w:rPr>
          <w:color w:val="auto"/>
          <w:highlight w:val="none"/>
        </w:rPr>
      </w:pPr>
    </w:p>
    <w:p>
      <w:pPr>
        <w:spacing w:line="480" w:lineRule="auto"/>
        <w:ind w:right="617" w:rightChars="257"/>
        <w:rPr>
          <w:rFonts w:hAnsi="宋体" w:cs="宋体"/>
          <w:color w:val="auto"/>
          <w:highlight w:val="none"/>
        </w:rPr>
      </w:pPr>
    </w:p>
    <w:p>
      <w:pPr>
        <w:rPr>
          <w:color w:val="auto"/>
          <w:highlight w:val="none"/>
        </w:rPr>
      </w:pPr>
      <w:r>
        <w:rPr>
          <w:rFonts w:hint="eastAsia"/>
          <w:color w:val="auto"/>
          <w:highlight w:val="none"/>
        </w:rPr>
        <w:br w:type="page"/>
      </w:r>
    </w:p>
    <w:p>
      <w:pPr>
        <w:pStyle w:val="4"/>
        <w:rPr>
          <w:color w:val="auto"/>
          <w:highlight w:val="none"/>
        </w:rPr>
      </w:pPr>
      <w:bookmarkStart w:id="201" w:name="_Toc8367"/>
      <w:bookmarkStart w:id="202" w:name="_Toc19152"/>
      <w:bookmarkStart w:id="203" w:name="_Toc4085"/>
      <w:bookmarkStart w:id="204" w:name="_Toc28866"/>
      <w:bookmarkStart w:id="205" w:name="_Toc14384"/>
      <w:bookmarkStart w:id="206" w:name="_Toc15398"/>
      <w:bookmarkStart w:id="207" w:name="_Toc31326"/>
      <w:bookmarkStart w:id="208" w:name="_Toc609"/>
      <w:r>
        <w:rPr>
          <w:rFonts w:hint="eastAsia"/>
          <w:color w:val="auto"/>
          <w:highlight w:val="none"/>
        </w:rPr>
        <w:t>三、</w:t>
      </w:r>
      <w:bookmarkEnd w:id="201"/>
      <w:bookmarkEnd w:id="202"/>
      <w:bookmarkEnd w:id="203"/>
      <w:bookmarkEnd w:id="204"/>
      <w:bookmarkEnd w:id="205"/>
      <w:bookmarkEnd w:id="206"/>
      <w:bookmarkEnd w:id="207"/>
      <w:bookmarkEnd w:id="208"/>
      <w:r>
        <w:rPr>
          <w:rFonts w:hint="eastAsia"/>
          <w:color w:val="auto"/>
          <w:highlight w:val="none"/>
        </w:rPr>
        <w:t>投标方案说明书</w:t>
      </w:r>
    </w:p>
    <w:p>
      <w:pPr>
        <w:pStyle w:val="5"/>
        <w:ind w:firstLine="482"/>
        <w:rPr>
          <w:b/>
          <w:bCs/>
          <w:color w:val="auto"/>
          <w:highlight w:val="none"/>
        </w:rPr>
      </w:pPr>
      <w:r>
        <w:rPr>
          <w:rFonts w:hint="eastAsia"/>
          <w:b/>
          <w:bCs/>
          <w:color w:val="auto"/>
          <w:highlight w:val="none"/>
        </w:rPr>
        <w:t>投标人根据招标文件</w:t>
      </w:r>
      <w:r>
        <w:rPr>
          <w:rFonts w:hint="eastAsia"/>
          <w:b/>
          <w:bCs/>
          <w:color w:val="auto"/>
          <w:highlight w:val="none"/>
          <w:lang w:eastAsia="zh-CN"/>
        </w:rPr>
        <w:t>第四章“采购内容及技术要求”</w:t>
      </w:r>
      <w:r>
        <w:rPr>
          <w:rFonts w:hint="eastAsia"/>
          <w:b/>
          <w:bCs/>
          <w:color w:val="auto"/>
          <w:highlight w:val="none"/>
        </w:rPr>
        <w:t>及《评标因素及权重分值表》，自主编写方案说明书。</w:t>
      </w:r>
    </w:p>
    <w:p>
      <w:pPr>
        <w:pStyle w:val="2"/>
        <w:rPr>
          <w:rStyle w:val="43"/>
          <w:b/>
          <w:bCs/>
          <w:color w:val="auto"/>
          <w:highlight w:val="none"/>
        </w:rPr>
      </w:pPr>
      <w:r>
        <w:rPr>
          <w:rFonts w:hint="eastAsia"/>
          <w:color w:val="auto"/>
          <w:szCs w:val="24"/>
          <w:highlight w:val="none"/>
        </w:rPr>
        <w:br w:type="page"/>
      </w:r>
      <w:r>
        <w:rPr>
          <w:rStyle w:val="43"/>
          <w:rFonts w:hint="eastAsia"/>
          <w:b/>
          <w:bCs/>
          <w:color w:val="auto"/>
          <w:highlight w:val="none"/>
        </w:rPr>
        <w:t>附表1 技术响应偏离表</w:t>
      </w:r>
    </w:p>
    <w:p>
      <w:pPr>
        <w:pStyle w:val="7"/>
        <w:spacing w:before="166"/>
        <w:rPr>
          <w:color w:val="auto"/>
          <w:highlight w:val="none"/>
        </w:rPr>
      </w:pPr>
      <w:r>
        <w:rPr>
          <w:rFonts w:hint="eastAsia"/>
          <w:color w:val="auto"/>
          <w:highlight w:val="none"/>
        </w:rPr>
        <w:t>技术响应偏离表</w:t>
      </w:r>
    </w:p>
    <w:tbl>
      <w:tblPr>
        <w:tblStyle w:val="20"/>
        <w:tblW w:w="9316"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716"/>
        <w:gridCol w:w="1710"/>
        <w:gridCol w:w="1611"/>
        <w:gridCol w:w="2098"/>
        <w:gridCol w:w="1067"/>
        <w:gridCol w:w="1287"/>
        <w:gridCol w:w="827"/>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834" w:hRule="atLeast"/>
          <w:jc w:val="center"/>
        </w:trPr>
        <w:tc>
          <w:tcPr>
            <w:tcW w:w="716" w:type="dxa"/>
            <w:vAlign w:val="center"/>
          </w:tcPr>
          <w:p>
            <w:pPr>
              <w:pStyle w:val="30"/>
              <w:rPr>
                <w:color w:val="auto"/>
                <w:highlight w:val="none"/>
              </w:rPr>
            </w:pPr>
            <w:r>
              <w:rPr>
                <w:rFonts w:hint="eastAsia"/>
                <w:color w:val="auto"/>
                <w:highlight w:val="none"/>
              </w:rPr>
              <w:t>序号</w:t>
            </w:r>
          </w:p>
        </w:tc>
        <w:tc>
          <w:tcPr>
            <w:tcW w:w="1710" w:type="dxa"/>
            <w:vAlign w:val="center"/>
          </w:tcPr>
          <w:p>
            <w:pPr>
              <w:pStyle w:val="30"/>
              <w:rPr>
                <w:color w:val="auto"/>
                <w:highlight w:val="none"/>
              </w:rPr>
            </w:pPr>
            <w:r>
              <w:rPr>
                <w:rFonts w:hint="eastAsia"/>
                <w:color w:val="auto"/>
                <w:highlight w:val="none"/>
              </w:rPr>
              <w:t>品目</w:t>
            </w:r>
          </w:p>
        </w:tc>
        <w:tc>
          <w:tcPr>
            <w:tcW w:w="1611" w:type="dxa"/>
            <w:vAlign w:val="center"/>
          </w:tcPr>
          <w:p>
            <w:pPr>
              <w:pStyle w:val="30"/>
              <w:rPr>
                <w:color w:val="auto"/>
                <w:highlight w:val="none"/>
              </w:rPr>
            </w:pPr>
            <w:r>
              <w:rPr>
                <w:rFonts w:hint="eastAsia"/>
                <w:color w:val="auto"/>
                <w:highlight w:val="none"/>
              </w:rPr>
              <w:t>招标要求</w:t>
            </w:r>
          </w:p>
        </w:tc>
        <w:tc>
          <w:tcPr>
            <w:tcW w:w="2098" w:type="dxa"/>
            <w:vAlign w:val="center"/>
          </w:tcPr>
          <w:p>
            <w:pPr>
              <w:pStyle w:val="30"/>
              <w:rPr>
                <w:color w:val="auto"/>
                <w:highlight w:val="none"/>
              </w:rPr>
            </w:pPr>
            <w:r>
              <w:rPr>
                <w:rFonts w:hint="eastAsia"/>
                <w:color w:val="auto"/>
                <w:highlight w:val="none"/>
              </w:rPr>
              <w:t>投标内容</w:t>
            </w:r>
          </w:p>
        </w:tc>
        <w:tc>
          <w:tcPr>
            <w:tcW w:w="1067" w:type="dxa"/>
            <w:vAlign w:val="center"/>
          </w:tcPr>
          <w:p>
            <w:pPr>
              <w:pStyle w:val="30"/>
              <w:rPr>
                <w:color w:val="auto"/>
                <w:highlight w:val="none"/>
              </w:rPr>
            </w:pPr>
            <w:r>
              <w:rPr>
                <w:rFonts w:hint="eastAsia"/>
                <w:color w:val="auto"/>
                <w:highlight w:val="none"/>
              </w:rPr>
              <w:t>偏离说明</w:t>
            </w:r>
          </w:p>
        </w:tc>
        <w:tc>
          <w:tcPr>
            <w:tcW w:w="1287" w:type="dxa"/>
            <w:vAlign w:val="center"/>
          </w:tcPr>
          <w:p>
            <w:pPr>
              <w:pStyle w:val="30"/>
              <w:rPr>
                <w:color w:val="auto"/>
                <w:highlight w:val="none"/>
              </w:rPr>
            </w:pPr>
            <w:r>
              <w:rPr>
                <w:rFonts w:hint="eastAsia"/>
                <w:color w:val="auto"/>
                <w:szCs w:val="24"/>
                <w:highlight w:val="none"/>
              </w:rPr>
              <w:t>证明材料索引页</w:t>
            </w:r>
          </w:p>
        </w:tc>
        <w:tc>
          <w:tcPr>
            <w:tcW w:w="827" w:type="dxa"/>
            <w:vAlign w:val="center"/>
          </w:tcPr>
          <w:p>
            <w:pPr>
              <w:pStyle w:val="30"/>
              <w:rPr>
                <w:color w:val="auto"/>
                <w:highlight w:val="none"/>
              </w:rPr>
            </w:pPr>
            <w:r>
              <w:rPr>
                <w:rFonts w:hint="eastAsia"/>
                <w:color w:val="auto"/>
                <w:highlight w:val="none"/>
              </w:rPr>
              <w:t>备注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834" w:hRule="atLeast"/>
          <w:jc w:val="center"/>
        </w:trPr>
        <w:tc>
          <w:tcPr>
            <w:tcW w:w="716" w:type="dxa"/>
          </w:tcPr>
          <w:p>
            <w:pPr>
              <w:pStyle w:val="30"/>
              <w:rPr>
                <w:color w:val="auto"/>
                <w:highlight w:val="none"/>
              </w:rPr>
            </w:pPr>
          </w:p>
        </w:tc>
        <w:tc>
          <w:tcPr>
            <w:tcW w:w="1710" w:type="dxa"/>
          </w:tcPr>
          <w:p>
            <w:pPr>
              <w:pStyle w:val="30"/>
              <w:rPr>
                <w:color w:val="auto"/>
                <w:highlight w:val="none"/>
              </w:rPr>
            </w:pPr>
          </w:p>
        </w:tc>
        <w:tc>
          <w:tcPr>
            <w:tcW w:w="1611" w:type="dxa"/>
          </w:tcPr>
          <w:p>
            <w:pPr>
              <w:pStyle w:val="30"/>
              <w:rPr>
                <w:color w:val="auto"/>
                <w:highlight w:val="none"/>
              </w:rPr>
            </w:pPr>
          </w:p>
        </w:tc>
        <w:tc>
          <w:tcPr>
            <w:tcW w:w="2098" w:type="dxa"/>
          </w:tcPr>
          <w:p>
            <w:pPr>
              <w:pStyle w:val="30"/>
              <w:rPr>
                <w:color w:val="auto"/>
                <w:highlight w:val="none"/>
              </w:rPr>
            </w:pPr>
          </w:p>
        </w:tc>
        <w:tc>
          <w:tcPr>
            <w:tcW w:w="1067" w:type="dxa"/>
          </w:tcPr>
          <w:p>
            <w:pPr>
              <w:pStyle w:val="30"/>
              <w:rPr>
                <w:color w:val="auto"/>
                <w:highlight w:val="none"/>
              </w:rPr>
            </w:pPr>
          </w:p>
        </w:tc>
        <w:tc>
          <w:tcPr>
            <w:tcW w:w="1287" w:type="dxa"/>
          </w:tcPr>
          <w:p>
            <w:pPr>
              <w:pStyle w:val="30"/>
              <w:rPr>
                <w:color w:val="auto"/>
                <w:highlight w:val="none"/>
              </w:rPr>
            </w:pPr>
          </w:p>
        </w:tc>
        <w:tc>
          <w:tcPr>
            <w:tcW w:w="827" w:type="dxa"/>
          </w:tcPr>
          <w:p>
            <w:pPr>
              <w:pStyle w:val="30"/>
              <w:rPr>
                <w:color w:val="auto"/>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834" w:hRule="atLeast"/>
          <w:jc w:val="center"/>
        </w:trPr>
        <w:tc>
          <w:tcPr>
            <w:tcW w:w="716" w:type="dxa"/>
          </w:tcPr>
          <w:p>
            <w:pPr>
              <w:pStyle w:val="30"/>
              <w:rPr>
                <w:color w:val="auto"/>
                <w:highlight w:val="none"/>
              </w:rPr>
            </w:pPr>
          </w:p>
        </w:tc>
        <w:tc>
          <w:tcPr>
            <w:tcW w:w="1710" w:type="dxa"/>
          </w:tcPr>
          <w:p>
            <w:pPr>
              <w:pStyle w:val="30"/>
              <w:rPr>
                <w:color w:val="auto"/>
                <w:highlight w:val="none"/>
              </w:rPr>
            </w:pPr>
          </w:p>
        </w:tc>
        <w:tc>
          <w:tcPr>
            <w:tcW w:w="1611" w:type="dxa"/>
          </w:tcPr>
          <w:p>
            <w:pPr>
              <w:pStyle w:val="30"/>
              <w:rPr>
                <w:color w:val="auto"/>
                <w:highlight w:val="none"/>
              </w:rPr>
            </w:pPr>
          </w:p>
        </w:tc>
        <w:tc>
          <w:tcPr>
            <w:tcW w:w="2098" w:type="dxa"/>
          </w:tcPr>
          <w:p>
            <w:pPr>
              <w:pStyle w:val="30"/>
              <w:rPr>
                <w:color w:val="auto"/>
                <w:highlight w:val="none"/>
              </w:rPr>
            </w:pPr>
          </w:p>
        </w:tc>
        <w:tc>
          <w:tcPr>
            <w:tcW w:w="1067" w:type="dxa"/>
          </w:tcPr>
          <w:p>
            <w:pPr>
              <w:pStyle w:val="30"/>
              <w:rPr>
                <w:color w:val="auto"/>
                <w:highlight w:val="none"/>
              </w:rPr>
            </w:pPr>
          </w:p>
        </w:tc>
        <w:tc>
          <w:tcPr>
            <w:tcW w:w="1287" w:type="dxa"/>
          </w:tcPr>
          <w:p>
            <w:pPr>
              <w:pStyle w:val="30"/>
              <w:rPr>
                <w:color w:val="auto"/>
                <w:highlight w:val="none"/>
              </w:rPr>
            </w:pPr>
          </w:p>
        </w:tc>
        <w:tc>
          <w:tcPr>
            <w:tcW w:w="827" w:type="dxa"/>
          </w:tcPr>
          <w:p>
            <w:pPr>
              <w:pStyle w:val="30"/>
              <w:rPr>
                <w:color w:val="auto"/>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839" w:hRule="atLeast"/>
          <w:jc w:val="center"/>
        </w:trPr>
        <w:tc>
          <w:tcPr>
            <w:tcW w:w="716" w:type="dxa"/>
          </w:tcPr>
          <w:p>
            <w:pPr>
              <w:pStyle w:val="30"/>
              <w:rPr>
                <w:color w:val="auto"/>
                <w:highlight w:val="none"/>
              </w:rPr>
            </w:pPr>
          </w:p>
        </w:tc>
        <w:tc>
          <w:tcPr>
            <w:tcW w:w="1710" w:type="dxa"/>
          </w:tcPr>
          <w:p>
            <w:pPr>
              <w:pStyle w:val="30"/>
              <w:rPr>
                <w:color w:val="auto"/>
                <w:highlight w:val="none"/>
              </w:rPr>
            </w:pPr>
          </w:p>
        </w:tc>
        <w:tc>
          <w:tcPr>
            <w:tcW w:w="1611" w:type="dxa"/>
          </w:tcPr>
          <w:p>
            <w:pPr>
              <w:pStyle w:val="30"/>
              <w:rPr>
                <w:color w:val="auto"/>
                <w:highlight w:val="none"/>
              </w:rPr>
            </w:pPr>
          </w:p>
        </w:tc>
        <w:tc>
          <w:tcPr>
            <w:tcW w:w="2098" w:type="dxa"/>
          </w:tcPr>
          <w:p>
            <w:pPr>
              <w:pStyle w:val="30"/>
              <w:rPr>
                <w:color w:val="auto"/>
                <w:highlight w:val="none"/>
              </w:rPr>
            </w:pPr>
          </w:p>
        </w:tc>
        <w:tc>
          <w:tcPr>
            <w:tcW w:w="1067" w:type="dxa"/>
          </w:tcPr>
          <w:p>
            <w:pPr>
              <w:pStyle w:val="30"/>
              <w:rPr>
                <w:color w:val="auto"/>
                <w:highlight w:val="none"/>
              </w:rPr>
            </w:pPr>
          </w:p>
        </w:tc>
        <w:tc>
          <w:tcPr>
            <w:tcW w:w="1287" w:type="dxa"/>
          </w:tcPr>
          <w:p>
            <w:pPr>
              <w:pStyle w:val="30"/>
              <w:rPr>
                <w:color w:val="auto"/>
                <w:highlight w:val="none"/>
              </w:rPr>
            </w:pPr>
          </w:p>
        </w:tc>
        <w:tc>
          <w:tcPr>
            <w:tcW w:w="827" w:type="dxa"/>
          </w:tcPr>
          <w:p>
            <w:pPr>
              <w:pStyle w:val="30"/>
              <w:rPr>
                <w:color w:val="auto"/>
                <w:highlight w:val="none"/>
              </w:rPr>
            </w:pPr>
          </w:p>
        </w:tc>
      </w:tr>
    </w:tbl>
    <w:p>
      <w:pPr>
        <w:tabs>
          <w:tab w:val="left" w:pos="7200"/>
          <w:tab w:val="left" w:pos="8504"/>
        </w:tabs>
        <w:spacing w:line="360" w:lineRule="auto"/>
        <w:ind w:right="-1"/>
        <w:rPr>
          <w:rFonts w:hAnsi="宋体" w:cs="宋体"/>
          <w:color w:val="auto"/>
          <w:highlight w:val="none"/>
        </w:rPr>
      </w:pPr>
    </w:p>
    <w:p>
      <w:pPr>
        <w:spacing w:line="120" w:lineRule="exact"/>
        <w:rPr>
          <w:rFonts w:hAnsi="宋体" w:cs="宋体"/>
          <w:color w:val="auto"/>
          <w:highlight w:val="none"/>
        </w:rPr>
      </w:pPr>
    </w:p>
    <w:p>
      <w:pPr>
        <w:pStyle w:val="5"/>
        <w:ind w:firstLine="0" w:firstLineChars="0"/>
        <w:rPr>
          <w:color w:val="auto"/>
          <w:highlight w:val="none"/>
        </w:rPr>
      </w:pPr>
      <w:r>
        <w:rPr>
          <w:rFonts w:hint="eastAsia"/>
          <w:color w:val="auto"/>
          <w:highlight w:val="none"/>
        </w:rPr>
        <w:t>投标人名称：</w:t>
      </w:r>
      <w:r>
        <w:rPr>
          <w:rFonts w:hint="eastAsia"/>
          <w:color w:val="auto"/>
          <w:highlight w:val="none"/>
          <w:u w:val="single"/>
        </w:rPr>
        <w:t xml:space="preserve">                   </w:t>
      </w:r>
      <w:r>
        <w:rPr>
          <w:rFonts w:hint="eastAsia"/>
          <w:color w:val="auto"/>
          <w:highlight w:val="none"/>
        </w:rPr>
        <w:t>（盖单位公章）</w:t>
      </w:r>
    </w:p>
    <w:p>
      <w:pPr>
        <w:pStyle w:val="5"/>
        <w:ind w:firstLine="0" w:firstLineChars="0"/>
        <w:rPr>
          <w:color w:val="auto"/>
          <w:highlight w:val="none"/>
        </w:rPr>
      </w:pPr>
    </w:p>
    <w:p>
      <w:pPr>
        <w:pStyle w:val="5"/>
        <w:ind w:firstLine="0" w:firstLineChars="0"/>
        <w:rPr>
          <w:color w:val="auto"/>
          <w:highlight w:val="none"/>
        </w:rPr>
      </w:pPr>
      <w:r>
        <w:rPr>
          <w:rFonts w:hint="eastAsia"/>
          <w:color w:val="auto"/>
          <w:highlight w:val="none"/>
        </w:rPr>
        <w:t>法定代表人或被授权人：</w:t>
      </w:r>
      <w:r>
        <w:rPr>
          <w:rFonts w:hint="eastAsia"/>
          <w:color w:val="auto"/>
          <w:highlight w:val="none"/>
          <w:u w:val="single"/>
        </w:rPr>
        <w:t xml:space="preserve">         </w:t>
      </w:r>
      <w:r>
        <w:rPr>
          <w:rFonts w:hint="eastAsia"/>
          <w:color w:val="auto"/>
          <w:highlight w:val="none"/>
        </w:rPr>
        <w:t>（签字或盖章）</w:t>
      </w:r>
    </w:p>
    <w:p>
      <w:pPr>
        <w:pStyle w:val="5"/>
        <w:ind w:firstLine="0" w:firstLineChars="0"/>
        <w:rPr>
          <w:color w:val="auto"/>
          <w:highlight w:val="none"/>
        </w:rPr>
      </w:pPr>
    </w:p>
    <w:p>
      <w:pPr>
        <w:pStyle w:val="5"/>
        <w:ind w:firstLine="0" w:firstLineChars="0"/>
        <w:rPr>
          <w:b/>
          <w:bCs/>
          <w:color w:val="auto"/>
          <w:highlight w:val="none"/>
        </w:rPr>
      </w:pPr>
      <w:r>
        <w:rPr>
          <w:rFonts w:hint="eastAsia"/>
          <w:color w:val="auto"/>
          <w:highlight w:val="none"/>
        </w:rPr>
        <w:t>日    期：</w:t>
      </w:r>
      <w:r>
        <w:rPr>
          <w:rFonts w:hint="eastAsia"/>
          <w:color w:val="auto"/>
          <w:highlight w:val="none"/>
          <w:u w:val="single"/>
        </w:rPr>
        <w:t xml:space="preserve">   </w:t>
      </w:r>
      <w:r>
        <w:rPr>
          <w:rFonts w:hint="eastAsia"/>
          <w:color w:val="auto"/>
          <w:highlight w:val="none"/>
        </w:rPr>
        <w:t>年</w:t>
      </w:r>
      <w:r>
        <w:rPr>
          <w:rFonts w:hint="eastAsia"/>
          <w:color w:val="auto"/>
          <w:highlight w:val="none"/>
          <w:u w:val="single"/>
        </w:rPr>
        <w:t xml:space="preserve">   </w:t>
      </w:r>
      <w:r>
        <w:rPr>
          <w:rFonts w:hint="eastAsia"/>
          <w:color w:val="auto"/>
          <w:highlight w:val="none"/>
        </w:rPr>
        <w:t>月</w:t>
      </w:r>
      <w:r>
        <w:rPr>
          <w:rFonts w:hint="eastAsia"/>
          <w:color w:val="auto"/>
          <w:highlight w:val="none"/>
          <w:u w:val="single"/>
        </w:rPr>
        <w:t xml:space="preserve">   </w:t>
      </w:r>
      <w:r>
        <w:rPr>
          <w:rFonts w:hint="eastAsia"/>
          <w:color w:val="auto"/>
          <w:highlight w:val="none"/>
        </w:rPr>
        <w:t>日</w:t>
      </w:r>
    </w:p>
    <w:p>
      <w:pPr>
        <w:adjustRightInd w:val="0"/>
        <w:snapToGrid w:val="0"/>
        <w:spacing w:line="440" w:lineRule="exact"/>
        <w:ind w:left="137" w:leftChars="57" w:firstLine="1446" w:firstLineChars="600"/>
        <w:rPr>
          <w:rFonts w:hAnsi="宋体" w:cs="宋体"/>
          <w:b/>
          <w:bCs/>
          <w:color w:val="auto"/>
          <w:szCs w:val="24"/>
          <w:highlight w:val="none"/>
        </w:rPr>
      </w:pPr>
    </w:p>
    <w:p>
      <w:pPr>
        <w:rPr>
          <w:rFonts w:hAnsi="宋体" w:cs="宋体"/>
          <w:color w:val="auto"/>
          <w:szCs w:val="24"/>
          <w:highlight w:val="none"/>
        </w:rPr>
      </w:pPr>
    </w:p>
    <w:p>
      <w:pPr>
        <w:pStyle w:val="32"/>
        <w:rPr>
          <w:rFonts w:hAnsi="宋体" w:cs="宋体"/>
          <w:color w:val="auto"/>
          <w:szCs w:val="24"/>
          <w:highlight w:val="none"/>
        </w:rPr>
      </w:pPr>
      <w:r>
        <w:rPr>
          <w:rFonts w:hint="eastAsia" w:hAnsi="宋体" w:cs="宋体"/>
          <w:b/>
          <w:bCs/>
          <w:color w:val="auto"/>
          <w:szCs w:val="24"/>
          <w:highlight w:val="none"/>
        </w:rPr>
        <w:t>注：</w:t>
      </w:r>
      <w:r>
        <w:rPr>
          <w:rFonts w:hint="eastAsia" w:hAnsi="宋体" w:cs="宋体"/>
          <w:color w:val="auto"/>
          <w:szCs w:val="24"/>
          <w:highlight w:val="none"/>
        </w:rPr>
        <w:t xml:space="preserve"> </w:t>
      </w:r>
    </w:p>
    <w:p>
      <w:pPr>
        <w:pStyle w:val="5"/>
        <w:numPr>
          <w:ilvl w:val="0"/>
          <w:numId w:val="2"/>
        </w:numPr>
        <w:ind w:firstLine="480"/>
        <w:rPr>
          <w:color w:val="auto"/>
          <w:highlight w:val="none"/>
        </w:rPr>
      </w:pPr>
      <w:r>
        <w:rPr>
          <w:rFonts w:hint="eastAsia"/>
          <w:color w:val="auto"/>
          <w:highlight w:val="none"/>
        </w:rPr>
        <w:t>招标要求指招标文件</w:t>
      </w:r>
      <w:r>
        <w:rPr>
          <w:rFonts w:hint="eastAsia"/>
          <w:b/>
          <w:bCs/>
          <w:color w:val="auto"/>
          <w:highlight w:val="none"/>
        </w:rPr>
        <w:t>第四章“采购内容及技术要求”一、采购内容及要求</w:t>
      </w:r>
      <w:r>
        <w:rPr>
          <w:rFonts w:hint="eastAsia"/>
          <w:b w:val="0"/>
          <w:bCs w:val="0"/>
          <w:color w:val="auto"/>
          <w:highlight w:val="none"/>
        </w:rPr>
        <w:t>所投合同包</w:t>
      </w:r>
      <w:r>
        <w:rPr>
          <w:rFonts w:hint="eastAsia"/>
          <w:color w:val="auto"/>
          <w:highlight w:val="none"/>
        </w:rPr>
        <w:t>中所列内容,投标人应按照招标文件中的内容逐项响应。</w:t>
      </w:r>
    </w:p>
    <w:p>
      <w:pPr>
        <w:pStyle w:val="5"/>
        <w:numPr>
          <w:ilvl w:val="0"/>
          <w:numId w:val="2"/>
        </w:numPr>
        <w:ind w:firstLine="480"/>
        <w:rPr>
          <w:color w:val="auto"/>
          <w:highlight w:val="none"/>
        </w:rPr>
      </w:pPr>
      <w:r>
        <w:rPr>
          <w:rFonts w:hint="eastAsia"/>
          <w:color w:val="auto"/>
          <w:highlight w:val="none"/>
        </w:rPr>
        <w:t>投标内容指投标人拟提供的相应响应内容,</w:t>
      </w:r>
      <w:r>
        <w:rPr>
          <w:rFonts w:hint="eastAsia"/>
          <w:b/>
          <w:bCs/>
          <w:color w:val="auto"/>
          <w:highlight w:val="none"/>
        </w:rPr>
        <w:t>投标人应逐条如实填写并提供相应的支持文件。</w:t>
      </w:r>
      <w:r>
        <w:rPr>
          <w:rFonts w:hint="eastAsia"/>
          <w:color w:val="auto"/>
          <w:highlight w:val="none"/>
        </w:rPr>
        <w:t xml:space="preserve"> </w:t>
      </w:r>
    </w:p>
    <w:p>
      <w:pPr>
        <w:pStyle w:val="5"/>
        <w:numPr>
          <w:ilvl w:val="0"/>
          <w:numId w:val="2"/>
        </w:numPr>
        <w:ind w:firstLine="480"/>
        <w:rPr>
          <w:color w:val="auto"/>
          <w:highlight w:val="none"/>
        </w:rPr>
      </w:pPr>
      <w:r>
        <w:rPr>
          <w:rFonts w:hint="eastAsia"/>
          <w:color w:val="auto"/>
          <w:highlight w:val="none"/>
        </w:rPr>
        <w:t>偏离说明填写：优于、满足或低于。</w:t>
      </w:r>
    </w:p>
    <w:p>
      <w:pPr>
        <w:pStyle w:val="5"/>
        <w:numPr>
          <w:ilvl w:val="0"/>
          <w:numId w:val="2"/>
        </w:numPr>
        <w:ind w:firstLine="480"/>
        <w:rPr>
          <w:color w:val="auto"/>
          <w:highlight w:val="none"/>
        </w:rPr>
      </w:pPr>
      <w:r>
        <w:rPr>
          <w:rFonts w:hint="eastAsia"/>
          <w:color w:val="auto"/>
          <w:highlight w:val="none"/>
        </w:rPr>
        <w:t>投标人必须据实填写，不得虚假响应，否则将取消其投标或中标资格。</w:t>
      </w:r>
    </w:p>
    <w:p>
      <w:pPr>
        <w:rPr>
          <w:rFonts w:hAnsi="宋体" w:cs="宋体"/>
          <w:color w:val="auto"/>
          <w:szCs w:val="24"/>
          <w:highlight w:val="none"/>
        </w:rPr>
      </w:pPr>
      <w:r>
        <w:rPr>
          <w:rFonts w:hint="eastAsia" w:hAnsi="宋体" w:cs="宋体"/>
          <w:color w:val="auto"/>
          <w:szCs w:val="24"/>
          <w:highlight w:val="none"/>
        </w:rPr>
        <w:t xml:space="preserve">     </w:t>
      </w:r>
    </w:p>
    <w:p>
      <w:pPr>
        <w:pStyle w:val="2"/>
        <w:rPr>
          <w:rStyle w:val="38"/>
          <w:b/>
          <w:bCs/>
          <w:color w:val="auto"/>
          <w:highlight w:val="none"/>
        </w:rPr>
      </w:pPr>
      <w:bookmarkStart w:id="209" w:name="_Toc225566882"/>
      <w:bookmarkStart w:id="210" w:name="_Toc396304713"/>
      <w:bookmarkStart w:id="211" w:name="_Toc225566701"/>
      <w:bookmarkStart w:id="212" w:name="_Toc225567481"/>
      <w:bookmarkStart w:id="213" w:name="_Toc225410181"/>
      <w:bookmarkStart w:id="214" w:name="_Toc225415860"/>
      <w:bookmarkStart w:id="215" w:name="_Toc225412171"/>
      <w:bookmarkStart w:id="216" w:name="_Toc225409965"/>
      <w:bookmarkStart w:id="217" w:name="_Toc225416061"/>
      <w:bookmarkStart w:id="218" w:name="_Toc225412373"/>
      <w:bookmarkStart w:id="219" w:name="_Toc225410807"/>
      <w:bookmarkStart w:id="220" w:name="_Toc341541375"/>
      <w:bookmarkStart w:id="221" w:name="_Toc225415659"/>
      <w:r>
        <w:rPr>
          <w:rFonts w:hint="eastAsia"/>
          <w:color w:val="auto"/>
          <w:szCs w:val="24"/>
          <w:highlight w:val="none"/>
        </w:rPr>
        <w:br w:type="page"/>
      </w:r>
      <w:r>
        <w:rPr>
          <w:rStyle w:val="38"/>
          <w:rFonts w:hint="eastAsia"/>
          <w:b/>
          <w:bCs/>
          <w:color w:val="auto"/>
          <w:highlight w:val="none"/>
        </w:rPr>
        <w:t>附表2 本项目拟投入人员汇总表</w:t>
      </w:r>
      <w:bookmarkEnd w:id="209"/>
      <w:bookmarkEnd w:id="210"/>
      <w:bookmarkEnd w:id="211"/>
      <w:bookmarkEnd w:id="212"/>
      <w:bookmarkEnd w:id="213"/>
      <w:bookmarkEnd w:id="214"/>
      <w:bookmarkEnd w:id="215"/>
      <w:bookmarkEnd w:id="216"/>
      <w:bookmarkEnd w:id="217"/>
      <w:bookmarkEnd w:id="218"/>
      <w:bookmarkEnd w:id="219"/>
      <w:bookmarkEnd w:id="220"/>
      <w:bookmarkEnd w:id="221"/>
    </w:p>
    <w:p>
      <w:pPr>
        <w:pStyle w:val="7"/>
        <w:spacing w:before="666" w:after="666"/>
        <w:rPr>
          <w:color w:val="auto"/>
          <w:highlight w:val="none"/>
        </w:rPr>
      </w:pPr>
      <w:bookmarkStart w:id="222" w:name="_Toc214"/>
      <w:bookmarkStart w:id="223" w:name="_Toc14631"/>
      <w:bookmarkStart w:id="224" w:name="_Toc25551"/>
      <w:bookmarkStart w:id="225" w:name="_Toc19082"/>
      <w:bookmarkStart w:id="226" w:name="_Toc13827"/>
      <w:bookmarkStart w:id="227" w:name="_Toc396304714"/>
      <w:bookmarkStart w:id="228" w:name="_Toc17592"/>
      <w:bookmarkStart w:id="229" w:name="_Toc403077652"/>
      <w:bookmarkStart w:id="230" w:name="_Toc26523"/>
      <w:bookmarkStart w:id="231" w:name="_Toc4115"/>
      <w:bookmarkStart w:id="232" w:name="_Toc2768"/>
      <w:bookmarkStart w:id="233" w:name="_Toc426457710"/>
      <w:r>
        <w:rPr>
          <w:rFonts w:hint="eastAsia"/>
          <w:color w:val="auto"/>
          <w:highlight w:val="none"/>
        </w:rPr>
        <w:t>（一）本项目拟投入人员汇总表</w:t>
      </w:r>
      <w:bookmarkEnd w:id="222"/>
      <w:bookmarkEnd w:id="223"/>
      <w:bookmarkEnd w:id="224"/>
      <w:bookmarkEnd w:id="225"/>
      <w:bookmarkEnd w:id="226"/>
      <w:bookmarkEnd w:id="227"/>
      <w:bookmarkEnd w:id="228"/>
      <w:bookmarkEnd w:id="229"/>
      <w:bookmarkEnd w:id="230"/>
      <w:bookmarkEnd w:id="231"/>
      <w:bookmarkEnd w:id="232"/>
      <w:bookmarkEnd w:id="233"/>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57"/>
        <w:gridCol w:w="1240"/>
        <w:gridCol w:w="570"/>
        <w:gridCol w:w="570"/>
        <w:gridCol w:w="570"/>
        <w:gridCol w:w="835"/>
        <w:gridCol w:w="1157"/>
        <w:gridCol w:w="748"/>
        <w:gridCol w:w="1877"/>
        <w:gridCol w:w="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1" w:hRule="atLeast"/>
          <w:tblHeader/>
        </w:trPr>
        <w:tc>
          <w:tcPr>
            <w:tcW w:w="557" w:type="dxa"/>
            <w:tcMar>
              <w:top w:w="15" w:type="dxa"/>
              <w:left w:w="15" w:type="dxa"/>
              <w:bottom w:w="0" w:type="dxa"/>
              <w:right w:w="15" w:type="dxa"/>
            </w:tcMar>
            <w:vAlign w:val="center"/>
          </w:tcPr>
          <w:p>
            <w:pPr>
              <w:pStyle w:val="30"/>
              <w:rPr>
                <w:b/>
                <w:bCs/>
                <w:color w:val="auto"/>
                <w:highlight w:val="none"/>
              </w:rPr>
            </w:pPr>
            <w:r>
              <w:rPr>
                <w:rFonts w:hint="eastAsia"/>
                <w:b/>
                <w:bCs/>
                <w:color w:val="auto"/>
                <w:highlight w:val="none"/>
              </w:rPr>
              <w:t>序号</w:t>
            </w:r>
          </w:p>
        </w:tc>
        <w:tc>
          <w:tcPr>
            <w:tcW w:w="1240" w:type="dxa"/>
            <w:tcMar>
              <w:top w:w="15" w:type="dxa"/>
              <w:left w:w="15" w:type="dxa"/>
              <w:bottom w:w="0" w:type="dxa"/>
              <w:right w:w="15" w:type="dxa"/>
            </w:tcMar>
            <w:vAlign w:val="center"/>
          </w:tcPr>
          <w:p>
            <w:pPr>
              <w:pStyle w:val="30"/>
              <w:rPr>
                <w:b/>
                <w:bCs/>
                <w:color w:val="auto"/>
                <w:highlight w:val="none"/>
              </w:rPr>
            </w:pPr>
            <w:r>
              <w:rPr>
                <w:rFonts w:hint="eastAsia"/>
                <w:b/>
                <w:bCs/>
                <w:color w:val="auto"/>
                <w:highlight w:val="none"/>
              </w:rPr>
              <w:t>姓  名</w:t>
            </w:r>
          </w:p>
        </w:tc>
        <w:tc>
          <w:tcPr>
            <w:tcW w:w="570" w:type="dxa"/>
            <w:tcMar>
              <w:top w:w="15" w:type="dxa"/>
              <w:left w:w="15" w:type="dxa"/>
              <w:bottom w:w="0" w:type="dxa"/>
              <w:right w:w="15" w:type="dxa"/>
            </w:tcMar>
            <w:vAlign w:val="center"/>
          </w:tcPr>
          <w:p>
            <w:pPr>
              <w:pStyle w:val="30"/>
              <w:rPr>
                <w:b/>
                <w:bCs/>
                <w:color w:val="auto"/>
                <w:highlight w:val="none"/>
              </w:rPr>
            </w:pPr>
            <w:r>
              <w:rPr>
                <w:rFonts w:hint="eastAsia"/>
                <w:b/>
                <w:bCs/>
                <w:color w:val="auto"/>
                <w:highlight w:val="none"/>
              </w:rPr>
              <w:t>性别</w:t>
            </w:r>
          </w:p>
        </w:tc>
        <w:tc>
          <w:tcPr>
            <w:tcW w:w="570" w:type="dxa"/>
            <w:tcMar>
              <w:top w:w="15" w:type="dxa"/>
              <w:left w:w="15" w:type="dxa"/>
              <w:bottom w:w="0" w:type="dxa"/>
              <w:right w:w="15" w:type="dxa"/>
            </w:tcMar>
            <w:vAlign w:val="center"/>
          </w:tcPr>
          <w:p>
            <w:pPr>
              <w:pStyle w:val="30"/>
              <w:rPr>
                <w:b/>
                <w:bCs/>
                <w:color w:val="auto"/>
                <w:highlight w:val="none"/>
              </w:rPr>
            </w:pPr>
            <w:r>
              <w:rPr>
                <w:rFonts w:hint="eastAsia"/>
                <w:b/>
                <w:bCs/>
                <w:color w:val="auto"/>
                <w:highlight w:val="none"/>
              </w:rPr>
              <w:t>年龄</w:t>
            </w:r>
          </w:p>
        </w:tc>
        <w:tc>
          <w:tcPr>
            <w:tcW w:w="570" w:type="dxa"/>
            <w:tcMar>
              <w:top w:w="15" w:type="dxa"/>
              <w:left w:w="15" w:type="dxa"/>
              <w:bottom w:w="0" w:type="dxa"/>
              <w:right w:w="15" w:type="dxa"/>
            </w:tcMar>
            <w:vAlign w:val="center"/>
          </w:tcPr>
          <w:p>
            <w:pPr>
              <w:pStyle w:val="30"/>
              <w:rPr>
                <w:b/>
                <w:bCs/>
                <w:color w:val="auto"/>
                <w:highlight w:val="none"/>
              </w:rPr>
            </w:pPr>
            <w:r>
              <w:rPr>
                <w:rFonts w:hint="eastAsia"/>
                <w:b/>
                <w:bCs/>
                <w:color w:val="auto"/>
                <w:highlight w:val="none"/>
              </w:rPr>
              <w:t>学历</w:t>
            </w:r>
          </w:p>
        </w:tc>
        <w:tc>
          <w:tcPr>
            <w:tcW w:w="835" w:type="dxa"/>
            <w:tcMar>
              <w:top w:w="15" w:type="dxa"/>
              <w:left w:w="15" w:type="dxa"/>
              <w:bottom w:w="0" w:type="dxa"/>
              <w:right w:w="15" w:type="dxa"/>
            </w:tcMar>
            <w:vAlign w:val="center"/>
          </w:tcPr>
          <w:p>
            <w:pPr>
              <w:pStyle w:val="30"/>
              <w:rPr>
                <w:b/>
                <w:bCs/>
                <w:color w:val="auto"/>
                <w:highlight w:val="none"/>
              </w:rPr>
            </w:pPr>
            <w:r>
              <w:rPr>
                <w:rFonts w:hint="eastAsia"/>
                <w:b/>
                <w:bCs/>
                <w:color w:val="auto"/>
                <w:highlight w:val="none"/>
              </w:rPr>
              <w:t>技术</w:t>
            </w:r>
          </w:p>
          <w:p>
            <w:pPr>
              <w:pStyle w:val="30"/>
              <w:rPr>
                <w:b/>
                <w:bCs/>
                <w:color w:val="auto"/>
                <w:highlight w:val="none"/>
              </w:rPr>
            </w:pPr>
            <w:r>
              <w:rPr>
                <w:rFonts w:hint="eastAsia"/>
                <w:b/>
                <w:bCs/>
                <w:color w:val="auto"/>
                <w:highlight w:val="none"/>
              </w:rPr>
              <w:t>职称</w:t>
            </w:r>
          </w:p>
        </w:tc>
        <w:tc>
          <w:tcPr>
            <w:tcW w:w="1157" w:type="dxa"/>
            <w:tcMar>
              <w:top w:w="15" w:type="dxa"/>
              <w:left w:w="15" w:type="dxa"/>
              <w:bottom w:w="0" w:type="dxa"/>
              <w:right w:w="15" w:type="dxa"/>
            </w:tcMar>
          </w:tcPr>
          <w:p>
            <w:pPr>
              <w:pStyle w:val="30"/>
              <w:rPr>
                <w:b/>
                <w:bCs/>
                <w:color w:val="auto"/>
                <w:highlight w:val="none"/>
              </w:rPr>
            </w:pPr>
            <w:r>
              <w:rPr>
                <w:rFonts w:hint="eastAsia"/>
                <w:b/>
                <w:bCs/>
                <w:color w:val="auto"/>
                <w:highlight w:val="none"/>
              </w:rPr>
              <w:t>资格证</w:t>
            </w:r>
          </w:p>
          <w:p>
            <w:pPr>
              <w:pStyle w:val="30"/>
              <w:rPr>
                <w:b/>
                <w:bCs/>
                <w:color w:val="auto"/>
                <w:highlight w:val="none"/>
              </w:rPr>
            </w:pPr>
            <w:r>
              <w:rPr>
                <w:rFonts w:hint="eastAsia"/>
                <w:b/>
                <w:bCs/>
                <w:color w:val="auto"/>
                <w:highlight w:val="none"/>
              </w:rPr>
              <w:t>书种类</w:t>
            </w:r>
          </w:p>
        </w:tc>
        <w:tc>
          <w:tcPr>
            <w:tcW w:w="748" w:type="dxa"/>
            <w:tcMar>
              <w:top w:w="15" w:type="dxa"/>
              <w:left w:w="15" w:type="dxa"/>
              <w:bottom w:w="0" w:type="dxa"/>
              <w:right w:w="15" w:type="dxa"/>
            </w:tcMar>
            <w:vAlign w:val="center"/>
          </w:tcPr>
          <w:p>
            <w:pPr>
              <w:pStyle w:val="30"/>
              <w:rPr>
                <w:b/>
                <w:bCs/>
                <w:color w:val="auto"/>
                <w:highlight w:val="none"/>
              </w:rPr>
            </w:pPr>
            <w:r>
              <w:rPr>
                <w:rFonts w:hint="eastAsia"/>
                <w:b/>
                <w:bCs/>
                <w:color w:val="auto"/>
                <w:highlight w:val="none"/>
              </w:rPr>
              <w:t>工作</w:t>
            </w:r>
          </w:p>
          <w:p>
            <w:pPr>
              <w:pStyle w:val="30"/>
              <w:rPr>
                <w:b/>
                <w:bCs/>
                <w:color w:val="auto"/>
                <w:highlight w:val="none"/>
              </w:rPr>
            </w:pPr>
            <w:r>
              <w:rPr>
                <w:rFonts w:hint="eastAsia"/>
                <w:b/>
                <w:bCs/>
                <w:color w:val="auto"/>
                <w:highlight w:val="none"/>
              </w:rPr>
              <w:t>年限</w:t>
            </w:r>
          </w:p>
        </w:tc>
        <w:tc>
          <w:tcPr>
            <w:tcW w:w="1877" w:type="dxa"/>
            <w:tcMar>
              <w:top w:w="15" w:type="dxa"/>
              <w:left w:w="15" w:type="dxa"/>
              <w:bottom w:w="0" w:type="dxa"/>
              <w:right w:w="15" w:type="dxa"/>
            </w:tcMar>
            <w:vAlign w:val="center"/>
          </w:tcPr>
          <w:p>
            <w:pPr>
              <w:pStyle w:val="30"/>
              <w:rPr>
                <w:b/>
                <w:bCs/>
                <w:color w:val="auto"/>
                <w:highlight w:val="none"/>
              </w:rPr>
            </w:pPr>
            <w:r>
              <w:rPr>
                <w:rFonts w:hint="eastAsia"/>
                <w:b/>
                <w:bCs/>
                <w:color w:val="auto"/>
                <w:highlight w:val="none"/>
              </w:rPr>
              <w:t>拟担任的职务</w:t>
            </w:r>
          </w:p>
        </w:tc>
        <w:tc>
          <w:tcPr>
            <w:tcW w:w="680" w:type="dxa"/>
            <w:tcMar>
              <w:top w:w="15" w:type="dxa"/>
              <w:left w:w="15" w:type="dxa"/>
              <w:bottom w:w="0" w:type="dxa"/>
              <w:right w:w="15" w:type="dxa"/>
            </w:tcMar>
            <w:vAlign w:val="center"/>
          </w:tcPr>
          <w:p>
            <w:pPr>
              <w:pStyle w:val="30"/>
              <w:rPr>
                <w:b/>
                <w:bCs/>
                <w:color w:val="auto"/>
                <w:highlight w:val="none"/>
              </w:rPr>
            </w:pPr>
            <w:r>
              <w:rPr>
                <w:rFonts w:hint="eastAsia"/>
                <w:b/>
                <w:bCs/>
                <w:color w:val="auto"/>
                <w:highlight w:val="none"/>
              </w:rPr>
              <w:t>岗位</w:t>
            </w:r>
          </w:p>
          <w:p>
            <w:pPr>
              <w:pStyle w:val="30"/>
              <w:rPr>
                <w:b/>
                <w:bCs/>
                <w:color w:val="auto"/>
                <w:highlight w:val="none"/>
              </w:rPr>
            </w:pPr>
            <w:r>
              <w:rPr>
                <w:rFonts w:hint="eastAsia"/>
                <w:b/>
                <w:bCs/>
                <w:color w:val="auto"/>
                <w:highlight w:val="none"/>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atLeast"/>
        </w:trPr>
        <w:tc>
          <w:tcPr>
            <w:tcW w:w="557" w:type="dxa"/>
            <w:tcMar>
              <w:top w:w="15" w:type="dxa"/>
              <w:left w:w="15" w:type="dxa"/>
              <w:bottom w:w="0" w:type="dxa"/>
              <w:right w:w="15" w:type="dxa"/>
            </w:tcMar>
            <w:vAlign w:val="bottom"/>
          </w:tcPr>
          <w:p>
            <w:pPr>
              <w:pStyle w:val="30"/>
              <w:rPr>
                <w:color w:val="auto"/>
                <w:highlight w:val="none"/>
              </w:rPr>
            </w:pPr>
          </w:p>
        </w:tc>
        <w:tc>
          <w:tcPr>
            <w:tcW w:w="1240" w:type="dxa"/>
            <w:tcMar>
              <w:top w:w="15" w:type="dxa"/>
              <w:left w:w="15" w:type="dxa"/>
              <w:bottom w:w="0" w:type="dxa"/>
              <w:right w:w="15" w:type="dxa"/>
            </w:tcMar>
            <w:vAlign w:val="bottom"/>
          </w:tcPr>
          <w:p>
            <w:pPr>
              <w:pStyle w:val="30"/>
              <w:rPr>
                <w:color w:val="auto"/>
                <w:highlight w:val="none"/>
              </w:rPr>
            </w:pPr>
          </w:p>
        </w:tc>
        <w:tc>
          <w:tcPr>
            <w:tcW w:w="570" w:type="dxa"/>
            <w:tcMar>
              <w:top w:w="15" w:type="dxa"/>
              <w:left w:w="15" w:type="dxa"/>
              <w:bottom w:w="0" w:type="dxa"/>
              <w:right w:w="15" w:type="dxa"/>
            </w:tcMar>
            <w:vAlign w:val="bottom"/>
          </w:tcPr>
          <w:p>
            <w:pPr>
              <w:pStyle w:val="30"/>
              <w:rPr>
                <w:color w:val="auto"/>
                <w:highlight w:val="none"/>
              </w:rPr>
            </w:pPr>
          </w:p>
        </w:tc>
        <w:tc>
          <w:tcPr>
            <w:tcW w:w="570" w:type="dxa"/>
            <w:tcMar>
              <w:top w:w="15" w:type="dxa"/>
              <w:left w:w="15" w:type="dxa"/>
              <w:bottom w:w="0" w:type="dxa"/>
              <w:right w:w="15" w:type="dxa"/>
            </w:tcMar>
            <w:vAlign w:val="bottom"/>
          </w:tcPr>
          <w:p>
            <w:pPr>
              <w:pStyle w:val="30"/>
              <w:rPr>
                <w:color w:val="auto"/>
                <w:highlight w:val="none"/>
              </w:rPr>
            </w:pPr>
          </w:p>
        </w:tc>
        <w:tc>
          <w:tcPr>
            <w:tcW w:w="570" w:type="dxa"/>
            <w:tcMar>
              <w:top w:w="15" w:type="dxa"/>
              <w:left w:w="15" w:type="dxa"/>
              <w:bottom w:w="0" w:type="dxa"/>
              <w:right w:w="15" w:type="dxa"/>
            </w:tcMar>
            <w:vAlign w:val="bottom"/>
          </w:tcPr>
          <w:p>
            <w:pPr>
              <w:pStyle w:val="30"/>
              <w:rPr>
                <w:color w:val="auto"/>
                <w:highlight w:val="none"/>
              </w:rPr>
            </w:pPr>
          </w:p>
        </w:tc>
        <w:tc>
          <w:tcPr>
            <w:tcW w:w="835" w:type="dxa"/>
            <w:tcMar>
              <w:top w:w="15" w:type="dxa"/>
              <w:left w:w="15" w:type="dxa"/>
              <w:bottom w:w="0" w:type="dxa"/>
              <w:right w:w="15" w:type="dxa"/>
            </w:tcMar>
            <w:vAlign w:val="bottom"/>
          </w:tcPr>
          <w:p>
            <w:pPr>
              <w:pStyle w:val="30"/>
              <w:rPr>
                <w:color w:val="auto"/>
                <w:highlight w:val="none"/>
              </w:rPr>
            </w:pPr>
          </w:p>
        </w:tc>
        <w:tc>
          <w:tcPr>
            <w:tcW w:w="1157" w:type="dxa"/>
            <w:tcMar>
              <w:top w:w="15" w:type="dxa"/>
              <w:left w:w="15" w:type="dxa"/>
              <w:bottom w:w="0" w:type="dxa"/>
              <w:right w:w="15" w:type="dxa"/>
            </w:tcMar>
          </w:tcPr>
          <w:p>
            <w:pPr>
              <w:pStyle w:val="30"/>
              <w:rPr>
                <w:color w:val="auto"/>
                <w:highlight w:val="none"/>
              </w:rPr>
            </w:pPr>
          </w:p>
        </w:tc>
        <w:tc>
          <w:tcPr>
            <w:tcW w:w="748" w:type="dxa"/>
            <w:tcMar>
              <w:top w:w="15" w:type="dxa"/>
              <w:left w:w="15" w:type="dxa"/>
              <w:bottom w:w="0" w:type="dxa"/>
              <w:right w:w="15" w:type="dxa"/>
            </w:tcMar>
            <w:vAlign w:val="bottom"/>
          </w:tcPr>
          <w:p>
            <w:pPr>
              <w:pStyle w:val="30"/>
              <w:rPr>
                <w:color w:val="auto"/>
                <w:highlight w:val="none"/>
              </w:rPr>
            </w:pPr>
          </w:p>
        </w:tc>
        <w:tc>
          <w:tcPr>
            <w:tcW w:w="1877" w:type="dxa"/>
            <w:tcMar>
              <w:top w:w="15" w:type="dxa"/>
              <w:left w:w="15" w:type="dxa"/>
              <w:bottom w:w="0" w:type="dxa"/>
              <w:right w:w="15" w:type="dxa"/>
            </w:tcMar>
            <w:vAlign w:val="bottom"/>
          </w:tcPr>
          <w:p>
            <w:pPr>
              <w:pStyle w:val="30"/>
              <w:rPr>
                <w:color w:val="auto"/>
                <w:highlight w:val="none"/>
              </w:rPr>
            </w:pPr>
          </w:p>
        </w:tc>
        <w:tc>
          <w:tcPr>
            <w:tcW w:w="680" w:type="dxa"/>
            <w:tcMar>
              <w:top w:w="15" w:type="dxa"/>
              <w:left w:w="15" w:type="dxa"/>
              <w:bottom w:w="0" w:type="dxa"/>
              <w:right w:w="15" w:type="dxa"/>
            </w:tcMar>
            <w:vAlign w:val="bottom"/>
          </w:tcPr>
          <w:p>
            <w:pPr>
              <w:pStyle w:val="30"/>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atLeast"/>
        </w:trPr>
        <w:tc>
          <w:tcPr>
            <w:tcW w:w="557" w:type="dxa"/>
            <w:tcMar>
              <w:top w:w="15" w:type="dxa"/>
              <w:left w:w="15" w:type="dxa"/>
              <w:bottom w:w="0" w:type="dxa"/>
              <w:right w:w="15" w:type="dxa"/>
            </w:tcMar>
            <w:vAlign w:val="bottom"/>
          </w:tcPr>
          <w:p>
            <w:pPr>
              <w:pStyle w:val="30"/>
              <w:rPr>
                <w:color w:val="auto"/>
                <w:highlight w:val="none"/>
              </w:rPr>
            </w:pPr>
          </w:p>
        </w:tc>
        <w:tc>
          <w:tcPr>
            <w:tcW w:w="1240" w:type="dxa"/>
            <w:tcMar>
              <w:top w:w="15" w:type="dxa"/>
              <w:left w:w="15" w:type="dxa"/>
              <w:bottom w:w="0" w:type="dxa"/>
              <w:right w:w="15" w:type="dxa"/>
            </w:tcMar>
            <w:vAlign w:val="bottom"/>
          </w:tcPr>
          <w:p>
            <w:pPr>
              <w:pStyle w:val="30"/>
              <w:rPr>
                <w:color w:val="auto"/>
                <w:highlight w:val="none"/>
              </w:rPr>
            </w:pPr>
          </w:p>
        </w:tc>
        <w:tc>
          <w:tcPr>
            <w:tcW w:w="570" w:type="dxa"/>
            <w:tcMar>
              <w:top w:w="15" w:type="dxa"/>
              <w:left w:w="15" w:type="dxa"/>
              <w:bottom w:w="0" w:type="dxa"/>
              <w:right w:w="15" w:type="dxa"/>
            </w:tcMar>
            <w:vAlign w:val="bottom"/>
          </w:tcPr>
          <w:p>
            <w:pPr>
              <w:pStyle w:val="30"/>
              <w:rPr>
                <w:color w:val="auto"/>
                <w:highlight w:val="none"/>
              </w:rPr>
            </w:pPr>
          </w:p>
        </w:tc>
        <w:tc>
          <w:tcPr>
            <w:tcW w:w="570" w:type="dxa"/>
            <w:tcMar>
              <w:top w:w="15" w:type="dxa"/>
              <w:left w:w="15" w:type="dxa"/>
              <w:bottom w:w="0" w:type="dxa"/>
              <w:right w:w="15" w:type="dxa"/>
            </w:tcMar>
            <w:vAlign w:val="bottom"/>
          </w:tcPr>
          <w:p>
            <w:pPr>
              <w:pStyle w:val="30"/>
              <w:rPr>
                <w:color w:val="auto"/>
                <w:highlight w:val="none"/>
              </w:rPr>
            </w:pPr>
          </w:p>
        </w:tc>
        <w:tc>
          <w:tcPr>
            <w:tcW w:w="570" w:type="dxa"/>
            <w:tcMar>
              <w:top w:w="15" w:type="dxa"/>
              <w:left w:w="15" w:type="dxa"/>
              <w:bottom w:w="0" w:type="dxa"/>
              <w:right w:w="15" w:type="dxa"/>
            </w:tcMar>
            <w:vAlign w:val="bottom"/>
          </w:tcPr>
          <w:p>
            <w:pPr>
              <w:pStyle w:val="30"/>
              <w:rPr>
                <w:color w:val="auto"/>
                <w:highlight w:val="none"/>
              </w:rPr>
            </w:pPr>
          </w:p>
        </w:tc>
        <w:tc>
          <w:tcPr>
            <w:tcW w:w="835" w:type="dxa"/>
            <w:tcMar>
              <w:top w:w="15" w:type="dxa"/>
              <w:left w:w="15" w:type="dxa"/>
              <w:bottom w:w="0" w:type="dxa"/>
              <w:right w:w="15" w:type="dxa"/>
            </w:tcMar>
            <w:vAlign w:val="bottom"/>
          </w:tcPr>
          <w:p>
            <w:pPr>
              <w:pStyle w:val="30"/>
              <w:rPr>
                <w:color w:val="auto"/>
                <w:highlight w:val="none"/>
              </w:rPr>
            </w:pPr>
          </w:p>
        </w:tc>
        <w:tc>
          <w:tcPr>
            <w:tcW w:w="1157" w:type="dxa"/>
            <w:tcMar>
              <w:top w:w="15" w:type="dxa"/>
              <w:left w:w="15" w:type="dxa"/>
              <w:bottom w:w="0" w:type="dxa"/>
              <w:right w:w="15" w:type="dxa"/>
            </w:tcMar>
          </w:tcPr>
          <w:p>
            <w:pPr>
              <w:pStyle w:val="30"/>
              <w:rPr>
                <w:color w:val="auto"/>
                <w:highlight w:val="none"/>
              </w:rPr>
            </w:pPr>
          </w:p>
        </w:tc>
        <w:tc>
          <w:tcPr>
            <w:tcW w:w="748" w:type="dxa"/>
            <w:tcMar>
              <w:top w:w="15" w:type="dxa"/>
              <w:left w:w="15" w:type="dxa"/>
              <w:bottom w:w="0" w:type="dxa"/>
              <w:right w:w="15" w:type="dxa"/>
            </w:tcMar>
            <w:vAlign w:val="bottom"/>
          </w:tcPr>
          <w:p>
            <w:pPr>
              <w:pStyle w:val="30"/>
              <w:rPr>
                <w:color w:val="auto"/>
                <w:highlight w:val="none"/>
              </w:rPr>
            </w:pPr>
          </w:p>
        </w:tc>
        <w:tc>
          <w:tcPr>
            <w:tcW w:w="1877" w:type="dxa"/>
            <w:tcMar>
              <w:top w:w="15" w:type="dxa"/>
              <w:left w:w="15" w:type="dxa"/>
              <w:bottom w:w="0" w:type="dxa"/>
              <w:right w:w="15" w:type="dxa"/>
            </w:tcMar>
            <w:vAlign w:val="bottom"/>
          </w:tcPr>
          <w:p>
            <w:pPr>
              <w:pStyle w:val="30"/>
              <w:rPr>
                <w:color w:val="auto"/>
                <w:highlight w:val="none"/>
              </w:rPr>
            </w:pPr>
          </w:p>
        </w:tc>
        <w:tc>
          <w:tcPr>
            <w:tcW w:w="680" w:type="dxa"/>
            <w:tcMar>
              <w:top w:w="15" w:type="dxa"/>
              <w:left w:w="15" w:type="dxa"/>
              <w:bottom w:w="0" w:type="dxa"/>
              <w:right w:w="15" w:type="dxa"/>
            </w:tcMar>
            <w:vAlign w:val="bottom"/>
          </w:tcPr>
          <w:p>
            <w:pPr>
              <w:pStyle w:val="30"/>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8" w:hRule="atLeast"/>
        </w:trPr>
        <w:tc>
          <w:tcPr>
            <w:tcW w:w="557" w:type="dxa"/>
            <w:tcMar>
              <w:top w:w="15" w:type="dxa"/>
              <w:left w:w="15" w:type="dxa"/>
              <w:bottom w:w="0" w:type="dxa"/>
              <w:right w:w="15" w:type="dxa"/>
            </w:tcMar>
            <w:vAlign w:val="bottom"/>
          </w:tcPr>
          <w:p>
            <w:pPr>
              <w:pStyle w:val="30"/>
              <w:rPr>
                <w:color w:val="auto"/>
                <w:highlight w:val="none"/>
              </w:rPr>
            </w:pPr>
          </w:p>
        </w:tc>
        <w:tc>
          <w:tcPr>
            <w:tcW w:w="1240" w:type="dxa"/>
            <w:tcMar>
              <w:top w:w="15" w:type="dxa"/>
              <w:left w:w="15" w:type="dxa"/>
              <w:bottom w:w="0" w:type="dxa"/>
              <w:right w:w="15" w:type="dxa"/>
            </w:tcMar>
            <w:vAlign w:val="bottom"/>
          </w:tcPr>
          <w:p>
            <w:pPr>
              <w:pStyle w:val="30"/>
              <w:rPr>
                <w:color w:val="auto"/>
                <w:highlight w:val="none"/>
              </w:rPr>
            </w:pPr>
          </w:p>
        </w:tc>
        <w:tc>
          <w:tcPr>
            <w:tcW w:w="570" w:type="dxa"/>
            <w:tcMar>
              <w:top w:w="15" w:type="dxa"/>
              <w:left w:w="15" w:type="dxa"/>
              <w:bottom w:w="0" w:type="dxa"/>
              <w:right w:w="15" w:type="dxa"/>
            </w:tcMar>
            <w:vAlign w:val="bottom"/>
          </w:tcPr>
          <w:p>
            <w:pPr>
              <w:pStyle w:val="30"/>
              <w:rPr>
                <w:color w:val="auto"/>
                <w:highlight w:val="none"/>
              </w:rPr>
            </w:pPr>
          </w:p>
        </w:tc>
        <w:tc>
          <w:tcPr>
            <w:tcW w:w="570" w:type="dxa"/>
            <w:tcMar>
              <w:top w:w="15" w:type="dxa"/>
              <w:left w:w="15" w:type="dxa"/>
              <w:bottom w:w="0" w:type="dxa"/>
              <w:right w:w="15" w:type="dxa"/>
            </w:tcMar>
            <w:vAlign w:val="bottom"/>
          </w:tcPr>
          <w:p>
            <w:pPr>
              <w:pStyle w:val="30"/>
              <w:rPr>
                <w:color w:val="auto"/>
                <w:highlight w:val="none"/>
              </w:rPr>
            </w:pPr>
          </w:p>
        </w:tc>
        <w:tc>
          <w:tcPr>
            <w:tcW w:w="570" w:type="dxa"/>
            <w:tcMar>
              <w:top w:w="15" w:type="dxa"/>
              <w:left w:w="15" w:type="dxa"/>
              <w:bottom w:w="0" w:type="dxa"/>
              <w:right w:w="15" w:type="dxa"/>
            </w:tcMar>
            <w:vAlign w:val="bottom"/>
          </w:tcPr>
          <w:p>
            <w:pPr>
              <w:pStyle w:val="30"/>
              <w:rPr>
                <w:color w:val="auto"/>
                <w:highlight w:val="none"/>
              </w:rPr>
            </w:pPr>
          </w:p>
        </w:tc>
        <w:tc>
          <w:tcPr>
            <w:tcW w:w="835" w:type="dxa"/>
            <w:tcMar>
              <w:top w:w="15" w:type="dxa"/>
              <w:left w:w="15" w:type="dxa"/>
              <w:bottom w:w="0" w:type="dxa"/>
              <w:right w:w="15" w:type="dxa"/>
            </w:tcMar>
            <w:vAlign w:val="bottom"/>
          </w:tcPr>
          <w:p>
            <w:pPr>
              <w:pStyle w:val="30"/>
              <w:rPr>
                <w:color w:val="auto"/>
                <w:highlight w:val="none"/>
              </w:rPr>
            </w:pPr>
          </w:p>
        </w:tc>
        <w:tc>
          <w:tcPr>
            <w:tcW w:w="1157" w:type="dxa"/>
            <w:tcMar>
              <w:top w:w="15" w:type="dxa"/>
              <w:left w:w="15" w:type="dxa"/>
              <w:bottom w:w="0" w:type="dxa"/>
              <w:right w:w="15" w:type="dxa"/>
            </w:tcMar>
          </w:tcPr>
          <w:p>
            <w:pPr>
              <w:pStyle w:val="30"/>
              <w:rPr>
                <w:color w:val="auto"/>
                <w:highlight w:val="none"/>
              </w:rPr>
            </w:pPr>
          </w:p>
        </w:tc>
        <w:tc>
          <w:tcPr>
            <w:tcW w:w="748" w:type="dxa"/>
            <w:tcMar>
              <w:top w:w="15" w:type="dxa"/>
              <w:left w:w="15" w:type="dxa"/>
              <w:bottom w:w="0" w:type="dxa"/>
              <w:right w:w="15" w:type="dxa"/>
            </w:tcMar>
            <w:vAlign w:val="bottom"/>
          </w:tcPr>
          <w:p>
            <w:pPr>
              <w:pStyle w:val="30"/>
              <w:rPr>
                <w:color w:val="auto"/>
                <w:highlight w:val="none"/>
              </w:rPr>
            </w:pPr>
          </w:p>
        </w:tc>
        <w:tc>
          <w:tcPr>
            <w:tcW w:w="1877" w:type="dxa"/>
            <w:tcMar>
              <w:top w:w="15" w:type="dxa"/>
              <w:left w:w="15" w:type="dxa"/>
              <w:bottom w:w="0" w:type="dxa"/>
              <w:right w:w="15" w:type="dxa"/>
            </w:tcMar>
            <w:vAlign w:val="bottom"/>
          </w:tcPr>
          <w:p>
            <w:pPr>
              <w:pStyle w:val="30"/>
              <w:rPr>
                <w:color w:val="auto"/>
                <w:highlight w:val="none"/>
              </w:rPr>
            </w:pPr>
          </w:p>
        </w:tc>
        <w:tc>
          <w:tcPr>
            <w:tcW w:w="680" w:type="dxa"/>
            <w:tcMar>
              <w:top w:w="15" w:type="dxa"/>
              <w:left w:w="15" w:type="dxa"/>
              <w:bottom w:w="0" w:type="dxa"/>
              <w:right w:w="15" w:type="dxa"/>
            </w:tcMar>
            <w:vAlign w:val="bottom"/>
          </w:tcPr>
          <w:p>
            <w:pPr>
              <w:pStyle w:val="30"/>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atLeast"/>
        </w:trPr>
        <w:tc>
          <w:tcPr>
            <w:tcW w:w="557" w:type="dxa"/>
            <w:tcMar>
              <w:top w:w="15" w:type="dxa"/>
              <w:left w:w="15" w:type="dxa"/>
              <w:bottom w:w="0" w:type="dxa"/>
              <w:right w:w="15" w:type="dxa"/>
            </w:tcMar>
            <w:vAlign w:val="bottom"/>
          </w:tcPr>
          <w:p>
            <w:pPr>
              <w:pStyle w:val="30"/>
              <w:rPr>
                <w:color w:val="auto"/>
                <w:highlight w:val="none"/>
              </w:rPr>
            </w:pPr>
          </w:p>
        </w:tc>
        <w:tc>
          <w:tcPr>
            <w:tcW w:w="1240" w:type="dxa"/>
            <w:tcMar>
              <w:top w:w="15" w:type="dxa"/>
              <w:left w:w="15" w:type="dxa"/>
              <w:bottom w:w="0" w:type="dxa"/>
              <w:right w:w="15" w:type="dxa"/>
            </w:tcMar>
            <w:vAlign w:val="bottom"/>
          </w:tcPr>
          <w:p>
            <w:pPr>
              <w:pStyle w:val="30"/>
              <w:rPr>
                <w:color w:val="auto"/>
                <w:highlight w:val="none"/>
              </w:rPr>
            </w:pPr>
          </w:p>
        </w:tc>
        <w:tc>
          <w:tcPr>
            <w:tcW w:w="570" w:type="dxa"/>
            <w:tcMar>
              <w:top w:w="15" w:type="dxa"/>
              <w:left w:w="15" w:type="dxa"/>
              <w:bottom w:w="0" w:type="dxa"/>
              <w:right w:w="15" w:type="dxa"/>
            </w:tcMar>
            <w:vAlign w:val="bottom"/>
          </w:tcPr>
          <w:p>
            <w:pPr>
              <w:pStyle w:val="30"/>
              <w:rPr>
                <w:color w:val="auto"/>
                <w:highlight w:val="none"/>
              </w:rPr>
            </w:pPr>
          </w:p>
        </w:tc>
        <w:tc>
          <w:tcPr>
            <w:tcW w:w="570" w:type="dxa"/>
            <w:tcMar>
              <w:top w:w="15" w:type="dxa"/>
              <w:left w:w="15" w:type="dxa"/>
              <w:bottom w:w="0" w:type="dxa"/>
              <w:right w:w="15" w:type="dxa"/>
            </w:tcMar>
            <w:vAlign w:val="bottom"/>
          </w:tcPr>
          <w:p>
            <w:pPr>
              <w:pStyle w:val="30"/>
              <w:rPr>
                <w:color w:val="auto"/>
                <w:highlight w:val="none"/>
              </w:rPr>
            </w:pPr>
          </w:p>
        </w:tc>
        <w:tc>
          <w:tcPr>
            <w:tcW w:w="570" w:type="dxa"/>
            <w:tcMar>
              <w:top w:w="15" w:type="dxa"/>
              <w:left w:w="15" w:type="dxa"/>
              <w:bottom w:w="0" w:type="dxa"/>
              <w:right w:w="15" w:type="dxa"/>
            </w:tcMar>
            <w:vAlign w:val="bottom"/>
          </w:tcPr>
          <w:p>
            <w:pPr>
              <w:pStyle w:val="30"/>
              <w:rPr>
                <w:color w:val="auto"/>
                <w:highlight w:val="none"/>
              </w:rPr>
            </w:pPr>
          </w:p>
        </w:tc>
        <w:tc>
          <w:tcPr>
            <w:tcW w:w="835" w:type="dxa"/>
            <w:tcMar>
              <w:top w:w="15" w:type="dxa"/>
              <w:left w:w="15" w:type="dxa"/>
              <w:bottom w:w="0" w:type="dxa"/>
              <w:right w:w="15" w:type="dxa"/>
            </w:tcMar>
            <w:vAlign w:val="bottom"/>
          </w:tcPr>
          <w:p>
            <w:pPr>
              <w:pStyle w:val="30"/>
              <w:rPr>
                <w:color w:val="auto"/>
                <w:highlight w:val="none"/>
              </w:rPr>
            </w:pPr>
          </w:p>
        </w:tc>
        <w:tc>
          <w:tcPr>
            <w:tcW w:w="1157" w:type="dxa"/>
            <w:tcMar>
              <w:top w:w="15" w:type="dxa"/>
              <w:left w:w="15" w:type="dxa"/>
              <w:bottom w:w="0" w:type="dxa"/>
              <w:right w:w="15" w:type="dxa"/>
            </w:tcMar>
          </w:tcPr>
          <w:p>
            <w:pPr>
              <w:pStyle w:val="30"/>
              <w:rPr>
                <w:color w:val="auto"/>
                <w:highlight w:val="none"/>
              </w:rPr>
            </w:pPr>
          </w:p>
        </w:tc>
        <w:tc>
          <w:tcPr>
            <w:tcW w:w="748" w:type="dxa"/>
            <w:tcMar>
              <w:top w:w="15" w:type="dxa"/>
              <w:left w:w="15" w:type="dxa"/>
              <w:bottom w:w="0" w:type="dxa"/>
              <w:right w:w="15" w:type="dxa"/>
            </w:tcMar>
            <w:vAlign w:val="bottom"/>
          </w:tcPr>
          <w:p>
            <w:pPr>
              <w:pStyle w:val="30"/>
              <w:rPr>
                <w:color w:val="auto"/>
                <w:highlight w:val="none"/>
              </w:rPr>
            </w:pPr>
          </w:p>
        </w:tc>
        <w:tc>
          <w:tcPr>
            <w:tcW w:w="1877" w:type="dxa"/>
            <w:tcMar>
              <w:top w:w="15" w:type="dxa"/>
              <w:left w:w="15" w:type="dxa"/>
              <w:bottom w:w="0" w:type="dxa"/>
              <w:right w:w="15" w:type="dxa"/>
            </w:tcMar>
            <w:vAlign w:val="bottom"/>
          </w:tcPr>
          <w:p>
            <w:pPr>
              <w:pStyle w:val="30"/>
              <w:rPr>
                <w:color w:val="auto"/>
                <w:highlight w:val="none"/>
              </w:rPr>
            </w:pPr>
          </w:p>
        </w:tc>
        <w:tc>
          <w:tcPr>
            <w:tcW w:w="680" w:type="dxa"/>
            <w:tcMar>
              <w:top w:w="15" w:type="dxa"/>
              <w:left w:w="15" w:type="dxa"/>
              <w:bottom w:w="0" w:type="dxa"/>
              <w:right w:w="15" w:type="dxa"/>
            </w:tcMar>
            <w:vAlign w:val="bottom"/>
          </w:tcPr>
          <w:p>
            <w:pPr>
              <w:pStyle w:val="30"/>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atLeast"/>
        </w:trPr>
        <w:tc>
          <w:tcPr>
            <w:tcW w:w="557" w:type="dxa"/>
            <w:tcMar>
              <w:top w:w="15" w:type="dxa"/>
              <w:left w:w="15" w:type="dxa"/>
              <w:bottom w:w="0" w:type="dxa"/>
              <w:right w:w="15" w:type="dxa"/>
            </w:tcMar>
            <w:vAlign w:val="bottom"/>
          </w:tcPr>
          <w:p>
            <w:pPr>
              <w:pStyle w:val="30"/>
              <w:rPr>
                <w:color w:val="auto"/>
                <w:highlight w:val="none"/>
              </w:rPr>
            </w:pPr>
          </w:p>
        </w:tc>
        <w:tc>
          <w:tcPr>
            <w:tcW w:w="1240" w:type="dxa"/>
            <w:tcMar>
              <w:top w:w="15" w:type="dxa"/>
              <w:left w:w="15" w:type="dxa"/>
              <w:bottom w:w="0" w:type="dxa"/>
              <w:right w:w="15" w:type="dxa"/>
            </w:tcMar>
            <w:vAlign w:val="bottom"/>
          </w:tcPr>
          <w:p>
            <w:pPr>
              <w:pStyle w:val="30"/>
              <w:rPr>
                <w:color w:val="auto"/>
                <w:highlight w:val="none"/>
              </w:rPr>
            </w:pPr>
          </w:p>
        </w:tc>
        <w:tc>
          <w:tcPr>
            <w:tcW w:w="570" w:type="dxa"/>
            <w:tcMar>
              <w:top w:w="15" w:type="dxa"/>
              <w:left w:w="15" w:type="dxa"/>
              <w:bottom w:w="0" w:type="dxa"/>
              <w:right w:w="15" w:type="dxa"/>
            </w:tcMar>
            <w:vAlign w:val="bottom"/>
          </w:tcPr>
          <w:p>
            <w:pPr>
              <w:pStyle w:val="30"/>
              <w:rPr>
                <w:color w:val="auto"/>
                <w:highlight w:val="none"/>
              </w:rPr>
            </w:pPr>
          </w:p>
        </w:tc>
        <w:tc>
          <w:tcPr>
            <w:tcW w:w="570" w:type="dxa"/>
            <w:tcMar>
              <w:top w:w="15" w:type="dxa"/>
              <w:left w:w="15" w:type="dxa"/>
              <w:bottom w:w="0" w:type="dxa"/>
              <w:right w:w="15" w:type="dxa"/>
            </w:tcMar>
            <w:vAlign w:val="bottom"/>
          </w:tcPr>
          <w:p>
            <w:pPr>
              <w:pStyle w:val="30"/>
              <w:rPr>
                <w:color w:val="auto"/>
                <w:highlight w:val="none"/>
              </w:rPr>
            </w:pPr>
          </w:p>
        </w:tc>
        <w:tc>
          <w:tcPr>
            <w:tcW w:w="570" w:type="dxa"/>
            <w:tcMar>
              <w:top w:w="15" w:type="dxa"/>
              <w:left w:w="15" w:type="dxa"/>
              <w:bottom w:w="0" w:type="dxa"/>
              <w:right w:w="15" w:type="dxa"/>
            </w:tcMar>
            <w:vAlign w:val="bottom"/>
          </w:tcPr>
          <w:p>
            <w:pPr>
              <w:pStyle w:val="30"/>
              <w:rPr>
                <w:color w:val="auto"/>
                <w:highlight w:val="none"/>
              </w:rPr>
            </w:pPr>
          </w:p>
        </w:tc>
        <w:tc>
          <w:tcPr>
            <w:tcW w:w="835" w:type="dxa"/>
            <w:tcMar>
              <w:top w:w="15" w:type="dxa"/>
              <w:left w:w="15" w:type="dxa"/>
              <w:bottom w:w="0" w:type="dxa"/>
              <w:right w:w="15" w:type="dxa"/>
            </w:tcMar>
            <w:vAlign w:val="bottom"/>
          </w:tcPr>
          <w:p>
            <w:pPr>
              <w:pStyle w:val="30"/>
              <w:rPr>
                <w:color w:val="auto"/>
                <w:highlight w:val="none"/>
              </w:rPr>
            </w:pPr>
          </w:p>
        </w:tc>
        <w:tc>
          <w:tcPr>
            <w:tcW w:w="1157" w:type="dxa"/>
            <w:tcMar>
              <w:top w:w="15" w:type="dxa"/>
              <w:left w:w="15" w:type="dxa"/>
              <w:bottom w:w="0" w:type="dxa"/>
              <w:right w:w="15" w:type="dxa"/>
            </w:tcMar>
          </w:tcPr>
          <w:p>
            <w:pPr>
              <w:pStyle w:val="30"/>
              <w:rPr>
                <w:color w:val="auto"/>
                <w:highlight w:val="none"/>
              </w:rPr>
            </w:pPr>
          </w:p>
        </w:tc>
        <w:tc>
          <w:tcPr>
            <w:tcW w:w="748" w:type="dxa"/>
            <w:tcMar>
              <w:top w:w="15" w:type="dxa"/>
              <w:left w:w="15" w:type="dxa"/>
              <w:bottom w:w="0" w:type="dxa"/>
              <w:right w:w="15" w:type="dxa"/>
            </w:tcMar>
            <w:vAlign w:val="bottom"/>
          </w:tcPr>
          <w:p>
            <w:pPr>
              <w:pStyle w:val="30"/>
              <w:rPr>
                <w:color w:val="auto"/>
                <w:highlight w:val="none"/>
              </w:rPr>
            </w:pPr>
          </w:p>
        </w:tc>
        <w:tc>
          <w:tcPr>
            <w:tcW w:w="1877" w:type="dxa"/>
            <w:tcMar>
              <w:top w:w="15" w:type="dxa"/>
              <w:left w:w="15" w:type="dxa"/>
              <w:bottom w:w="0" w:type="dxa"/>
              <w:right w:w="15" w:type="dxa"/>
            </w:tcMar>
            <w:vAlign w:val="bottom"/>
          </w:tcPr>
          <w:p>
            <w:pPr>
              <w:pStyle w:val="30"/>
              <w:rPr>
                <w:color w:val="auto"/>
                <w:highlight w:val="none"/>
              </w:rPr>
            </w:pPr>
          </w:p>
        </w:tc>
        <w:tc>
          <w:tcPr>
            <w:tcW w:w="680" w:type="dxa"/>
            <w:tcMar>
              <w:top w:w="15" w:type="dxa"/>
              <w:left w:w="15" w:type="dxa"/>
              <w:bottom w:w="0" w:type="dxa"/>
              <w:right w:w="15" w:type="dxa"/>
            </w:tcMar>
            <w:vAlign w:val="bottom"/>
          </w:tcPr>
          <w:p>
            <w:pPr>
              <w:pStyle w:val="30"/>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8" w:hRule="atLeast"/>
        </w:trPr>
        <w:tc>
          <w:tcPr>
            <w:tcW w:w="557" w:type="dxa"/>
            <w:tcMar>
              <w:top w:w="15" w:type="dxa"/>
              <w:left w:w="15" w:type="dxa"/>
              <w:bottom w:w="0" w:type="dxa"/>
              <w:right w:w="15" w:type="dxa"/>
            </w:tcMar>
            <w:vAlign w:val="bottom"/>
          </w:tcPr>
          <w:p>
            <w:pPr>
              <w:pStyle w:val="30"/>
              <w:rPr>
                <w:color w:val="auto"/>
                <w:highlight w:val="none"/>
              </w:rPr>
            </w:pPr>
          </w:p>
        </w:tc>
        <w:tc>
          <w:tcPr>
            <w:tcW w:w="1240" w:type="dxa"/>
            <w:tcMar>
              <w:top w:w="15" w:type="dxa"/>
              <w:left w:w="15" w:type="dxa"/>
              <w:bottom w:w="0" w:type="dxa"/>
              <w:right w:w="15" w:type="dxa"/>
            </w:tcMar>
            <w:vAlign w:val="bottom"/>
          </w:tcPr>
          <w:p>
            <w:pPr>
              <w:pStyle w:val="30"/>
              <w:rPr>
                <w:color w:val="auto"/>
                <w:highlight w:val="none"/>
              </w:rPr>
            </w:pPr>
          </w:p>
        </w:tc>
        <w:tc>
          <w:tcPr>
            <w:tcW w:w="570" w:type="dxa"/>
            <w:tcMar>
              <w:top w:w="15" w:type="dxa"/>
              <w:left w:w="15" w:type="dxa"/>
              <w:bottom w:w="0" w:type="dxa"/>
              <w:right w:w="15" w:type="dxa"/>
            </w:tcMar>
            <w:vAlign w:val="bottom"/>
          </w:tcPr>
          <w:p>
            <w:pPr>
              <w:pStyle w:val="30"/>
              <w:rPr>
                <w:color w:val="auto"/>
                <w:highlight w:val="none"/>
              </w:rPr>
            </w:pPr>
          </w:p>
        </w:tc>
        <w:tc>
          <w:tcPr>
            <w:tcW w:w="570" w:type="dxa"/>
            <w:tcMar>
              <w:top w:w="15" w:type="dxa"/>
              <w:left w:w="15" w:type="dxa"/>
              <w:bottom w:w="0" w:type="dxa"/>
              <w:right w:w="15" w:type="dxa"/>
            </w:tcMar>
            <w:vAlign w:val="bottom"/>
          </w:tcPr>
          <w:p>
            <w:pPr>
              <w:pStyle w:val="30"/>
              <w:rPr>
                <w:color w:val="auto"/>
                <w:highlight w:val="none"/>
              </w:rPr>
            </w:pPr>
          </w:p>
        </w:tc>
        <w:tc>
          <w:tcPr>
            <w:tcW w:w="570" w:type="dxa"/>
            <w:tcMar>
              <w:top w:w="15" w:type="dxa"/>
              <w:left w:w="15" w:type="dxa"/>
              <w:bottom w:w="0" w:type="dxa"/>
              <w:right w:w="15" w:type="dxa"/>
            </w:tcMar>
            <w:vAlign w:val="bottom"/>
          </w:tcPr>
          <w:p>
            <w:pPr>
              <w:pStyle w:val="30"/>
              <w:rPr>
                <w:color w:val="auto"/>
                <w:highlight w:val="none"/>
              </w:rPr>
            </w:pPr>
          </w:p>
        </w:tc>
        <w:tc>
          <w:tcPr>
            <w:tcW w:w="835" w:type="dxa"/>
            <w:tcMar>
              <w:top w:w="15" w:type="dxa"/>
              <w:left w:w="15" w:type="dxa"/>
              <w:bottom w:w="0" w:type="dxa"/>
              <w:right w:w="15" w:type="dxa"/>
            </w:tcMar>
            <w:vAlign w:val="bottom"/>
          </w:tcPr>
          <w:p>
            <w:pPr>
              <w:pStyle w:val="30"/>
              <w:rPr>
                <w:color w:val="auto"/>
                <w:highlight w:val="none"/>
              </w:rPr>
            </w:pPr>
          </w:p>
        </w:tc>
        <w:tc>
          <w:tcPr>
            <w:tcW w:w="1157" w:type="dxa"/>
            <w:tcMar>
              <w:top w:w="15" w:type="dxa"/>
              <w:left w:w="15" w:type="dxa"/>
              <w:bottom w:w="0" w:type="dxa"/>
              <w:right w:w="15" w:type="dxa"/>
            </w:tcMar>
          </w:tcPr>
          <w:p>
            <w:pPr>
              <w:pStyle w:val="30"/>
              <w:rPr>
                <w:color w:val="auto"/>
                <w:highlight w:val="none"/>
              </w:rPr>
            </w:pPr>
          </w:p>
        </w:tc>
        <w:tc>
          <w:tcPr>
            <w:tcW w:w="748" w:type="dxa"/>
            <w:tcMar>
              <w:top w:w="15" w:type="dxa"/>
              <w:left w:w="15" w:type="dxa"/>
              <w:bottom w:w="0" w:type="dxa"/>
              <w:right w:w="15" w:type="dxa"/>
            </w:tcMar>
            <w:vAlign w:val="bottom"/>
          </w:tcPr>
          <w:p>
            <w:pPr>
              <w:pStyle w:val="30"/>
              <w:rPr>
                <w:color w:val="auto"/>
                <w:highlight w:val="none"/>
              </w:rPr>
            </w:pPr>
          </w:p>
        </w:tc>
        <w:tc>
          <w:tcPr>
            <w:tcW w:w="1877" w:type="dxa"/>
            <w:tcMar>
              <w:top w:w="15" w:type="dxa"/>
              <w:left w:w="15" w:type="dxa"/>
              <w:bottom w:w="0" w:type="dxa"/>
              <w:right w:w="15" w:type="dxa"/>
            </w:tcMar>
            <w:vAlign w:val="bottom"/>
          </w:tcPr>
          <w:p>
            <w:pPr>
              <w:pStyle w:val="30"/>
              <w:rPr>
                <w:color w:val="auto"/>
                <w:highlight w:val="none"/>
              </w:rPr>
            </w:pPr>
          </w:p>
        </w:tc>
        <w:tc>
          <w:tcPr>
            <w:tcW w:w="680" w:type="dxa"/>
            <w:tcMar>
              <w:top w:w="15" w:type="dxa"/>
              <w:left w:w="15" w:type="dxa"/>
              <w:bottom w:w="0" w:type="dxa"/>
              <w:right w:w="15" w:type="dxa"/>
            </w:tcMar>
            <w:vAlign w:val="bottom"/>
          </w:tcPr>
          <w:p>
            <w:pPr>
              <w:pStyle w:val="30"/>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atLeast"/>
        </w:trPr>
        <w:tc>
          <w:tcPr>
            <w:tcW w:w="557" w:type="dxa"/>
            <w:tcMar>
              <w:top w:w="15" w:type="dxa"/>
              <w:left w:w="15" w:type="dxa"/>
              <w:bottom w:w="0" w:type="dxa"/>
              <w:right w:w="15" w:type="dxa"/>
            </w:tcMar>
            <w:vAlign w:val="bottom"/>
          </w:tcPr>
          <w:p>
            <w:pPr>
              <w:pStyle w:val="30"/>
              <w:rPr>
                <w:color w:val="auto"/>
                <w:highlight w:val="none"/>
              </w:rPr>
            </w:pPr>
          </w:p>
        </w:tc>
        <w:tc>
          <w:tcPr>
            <w:tcW w:w="1240" w:type="dxa"/>
            <w:tcMar>
              <w:top w:w="15" w:type="dxa"/>
              <w:left w:w="15" w:type="dxa"/>
              <w:bottom w:w="0" w:type="dxa"/>
              <w:right w:w="15" w:type="dxa"/>
            </w:tcMar>
            <w:vAlign w:val="bottom"/>
          </w:tcPr>
          <w:p>
            <w:pPr>
              <w:pStyle w:val="30"/>
              <w:rPr>
                <w:color w:val="auto"/>
                <w:highlight w:val="none"/>
              </w:rPr>
            </w:pPr>
          </w:p>
        </w:tc>
        <w:tc>
          <w:tcPr>
            <w:tcW w:w="570" w:type="dxa"/>
            <w:tcMar>
              <w:top w:w="15" w:type="dxa"/>
              <w:left w:w="15" w:type="dxa"/>
              <w:bottom w:w="0" w:type="dxa"/>
              <w:right w:w="15" w:type="dxa"/>
            </w:tcMar>
            <w:vAlign w:val="bottom"/>
          </w:tcPr>
          <w:p>
            <w:pPr>
              <w:pStyle w:val="30"/>
              <w:rPr>
                <w:color w:val="auto"/>
                <w:highlight w:val="none"/>
              </w:rPr>
            </w:pPr>
          </w:p>
        </w:tc>
        <w:tc>
          <w:tcPr>
            <w:tcW w:w="570" w:type="dxa"/>
            <w:tcMar>
              <w:top w:w="15" w:type="dxa"/>
              <w:left w:w="15" w:type="dxa"/>
              <w:bottom w:w="0" w:type="dxa"/>
              <w:right w:w="15" w:type="dxa"/>
            </w:tcMar>
            <w:vAlign w:val="bottom"/>
          </w:tcPr>
          <w:p>
            <w:pPr>
              <w:pStyle w:val="30"/>
              <w:rPr>
                <w:color w:val="auto"/>
                <w:highlight w:val="none"/>
              </w:rPr>
            </w:pPr>
          </w:p>
        </w:tc>
        <w:tc>
          <w:tcPr>
            <w:tcW w:w="570" w:type="dxa"/>
            <w:tcMar>
              <w:top w:w="15" w:type="dxa"/>
              <w:left w:w="15" w:type="dxa"/>
              <w:bottom w:w="0" w:type="dxa"/>
              <w:right w:w="15" w:type="dxa"/>
            </w:tcMar>
            <w:vAlign w:val="bottom"/>
          </w:tcPr>
          <w:p>
            <w:pPr>
              <w:pStyle w:val="30"/>
              <w:rPr>
                <w:color w:val="auto"/>
                <w:highlight w:val="none"/>
              </w:rPr>
            </w:pPr>
          </w:p>
        </w:tc>
        <w:tc>
          <w:tcPr>
            <w:tcW w:w="835" w:type="dxa"/>
            <w:tcMar>
              <w:top w:w="15" w:type="dxa"/>
              <w:left w:w="15" w:type="dxa"/>
              <w:bottom w:w="0" w:type="dxa"/>
              <w:right w:w="15" w:type="dxa"/>
            </w:tcMar>
            <w:vAlign w:val="bottom"/>
          </w:tcPr>
          <w:p>
            <w:pPr>
              <w:pStyle w:val="30"/>
              <w:rPr>
                <w:color w:val="auto"/>
                <w:highlight w:val="none"/>
              </w:rPr>
            </w:pPr>
          </w:p>
        </w:tc>
        <w:tc>
          <w:tcPr>
            <w:tcW w:w="1157" w:type="dxa"/>
            <w:tcMar>
              <w:top w:w="15" w:type="dxa"/>
              <w:left w:w="15" w:type="dxa"/>
              <w:bottom w:w="0" w:type="dxa"/>
              <w:right w:w="15" w:type="dxa"/>
            </w:tcMar>
          </w:tcPr>
          <w:p>
            <w:pPr>
              <w:pStyle w:val="30"/>
              <w:rPr>
                <w:color w:val="auto"/>
                <w:highlight w:val="none"/>
              </w:rPr>
            </w:pPr>
          </w:p>
        </w:tc>
        <w:tc>
          <w:tcPr>
            <w:tcW w:w="748" w:type="dxa"/>
            <w:tcMar>
              <w:top w:w="15" w:type="dxa"/>
              <w:left w:w="15" w:type="dxa"/>
              <w:bottom w:w="0" w:type="dxa"/>
              <w:right w:w="15" w:type="dxa"/>
            </w:tcMar>
            <w:vAlign w:val="bottom"/>
          </w:tcPr>
          <w:p>
            <w:pPr>
              <w:pStyle w:val="30"/>
              <w:rPr>
                <w:color w:val="auto"/>
                <w:highlight w:val="none"/>
              </w:rPr>
            </w:pPr>
          </w:p>
        </w:tc>
        <w:tc>
          <w:tcPr>
            <w:tcW w:w="1877" w:type="dxa"/>
            <w:tcMar>
              <w:top w:w="15" w:type="dxa"/>
              <w:left w:w="15" w:type="dxa"/>
              <w:bottom w:w="0" w:type="dxa"/>
              <w:right w:w="15" w:type="dxa"/>
            </w:tcMar>
            <w:vAlign w:val="bottom"/>
          </w:tcPr>
          <w:p>
            <w:pPr>
              <w:pStyle w:val="30"/>
              <w:rPr>
                <w:color w:val="auto"/>
                <w:highlight w:val="none"/>
              </w:rPr>
            </w:pPr>
          </w:p>
        </w:tc>
        <w:tc>
          <w:tcPr>
            <w:tcW w:w="680" w:type="dxa"/>
            <w:tcMar>
              <w:top w:w="15" w:type="dxa"/>
              <w:left w:w="15" w:type="dxa"/>
              <w:bottom w:w="0" w:type="dxa"/>
              <w:right w:w="15" w:type="dxa"/>
            </w:tcMar>
            <w:vAlign w:val="bottom"/>
          </w:tcPr>
          <w:p>
            <w:pPr>
              <w:pStyle w:val="30"/>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atLeast"/>
        </w:trPr>
        <w:tc>
          <w:tcPr>
            <w:tcW w:w="557" w:type="dxa"/>
            <w:tcMar>
              <w:top w:w="15" w:type="dxa"/>
              <w:left w:w="15" w:type="dxa"/>
              <w:bottom w:w="0" w:type="dxa"/>
              <w:right w:w="15" w:type="dxa"/>
            </w:tcMar>
            <w:vAlign w:val="bottom"/>
          </w:tcPr>
          <w:p>
            <w:pPr>
              <w:pStyle w:val="30"/>
              <w:rPr>
                <w:color w:val="auto"/>
                <w:highlight w:val="none"/>
              </w:rPr>
            </w:pPr>
          </w:p>
        </w:tc>
        <w:tc>
          <w:tcPr>
            <w:tcW w:w="1240" w:type="dxa"/>
            <w:tcMar>
              <w:top w:w="15" w:type="dxa"/>
              <w:left w:w="15" w:type="dxa"/>
              <w:bottom w:w="0" w:type="dxa"/>
              <w:right w:w="15" w:type="dxa"/>
            </w:tcMar>
            <w:vAlign w:val="bottom"/>
          </w:tcPr>
          <w:p>
            <w:pPr>
              <w:pStyle w:val="30"/>
              <w:rPr>
                <w:color w:val="auto"/>
                <w:highlight w:val="none"/>
              </w:rPr>
            </w:pPr>
          </w:p>
        </w:tc>
        <w:tc>
          <w:tcPr>
            <w:tcW w:w="570" w:type="dxa"/>
            <w:tcMar>
              <w:top w:w="15" w:type="dxa"/>
              <w:left w:w="15" w:type="dxa"/>
              <w:bottom w:w="0" w:type="dxa"/>
              <w:right w:w="15" w:type="dxa"/>
            </w:tcMar>
            <w:vAlign w:val="bottom"/>
          </w:tcPr>
          <w:p>
            <w:pPr>
              <w:pStyle w:val="30"/>
              <w:rPr>
                <w:color w:val="auto"/>
                <w:highlight w:val="none"/>
              </w:rPr>
            </w:pPr>
          </w:p>
        </w:tc>
        <w:tc>
          <w:tcPr>
            <w:tcW w:w="570" w:type="dxa"/>
            <w:tcMar>
              <w:top w:w="15" w:type="dxa"/>
              <w:left w:w="15" w:type="dxa"/>
              <w:bottom w:w="0" w:type="dxa"/>
              <w:right w:w="15" w:type="dxa"/>
            </w:tcMar>
            <w:vAlign w:val="bottom"/>
          </w:tcPr>
          <w:p>
            <w:pPr>
              <w:pStyle w:val="30"/>
              <w:rPr>
                <w:color w:val="auto"/>
                <w:highlight w:val="none"/>
              </w:rPr>
            </w:pPr>
          </w:p>
        </w:tc>
        <w:tc>
          <w:tcPr>
            <w:tcW w:w="570" w:type="dxa"/>
            <w:tcMar>
              <w:top w:w="15" w:type="dxa"/>
              <w:left w:w="15" w:type="dxa"/>
              <w:bottom w:w="0" w:type="dxa"/>
              <w:right w:w="15" w:type="dxa"/>
            </w:tcMar>
            <w:vAlign w:val="bottom"/>
          </w:tcPr>
          <w:p>
            <w:pPr>
              <w:pStyle w:val="30"/>
              <w:rPr>
                <w:color w:val="auto"/>
                <w:highlight w:val="none"/>
              </w:rPr>
            </w:pPr>
          </w:p>
        </w:tc>
        <w:tc>
          <w:tcPr>
            <w:tcW w:w="835" w:type="dxa"/>
            <w:tcMar>
              <w:top w:w="15" w:type="dxa"/>
              <w:left w:w="15" w:type="dxa"/>
              <w:bottom w:w="0" w:type="dxa"/>
              <w:right w:w="15" w:type="dxa"/>
            </w:tcMar>
            <w:vAlign w:val="bottom"/>
          </w:tcPr>
          <w:p>
            <w:pPr>
              <w:pStyle w:val="30"/>
              <w:rPr>
                <w:color w:val="auto"/>
                <w:highlight w:val="none"/>
              </w:rPr>
            </w:pPr>
          </w:p>
        </w:tc>
        <w:tc>
          <w:tcPr>
            <w:tcW w:w="1157" w:type="dxa"/>
            <w:tcMar>
              <w:top w:w="15" w:type="dxa"/>
              <w:left w:w="15" w:type="dxa"/>
              <w:bottom w:w="0" w:type="dxa"/>
              <w:right w:w="15" w:type="dxa"/>
            </w:tcMar>
          </w:tcPr>
          <w:p>
            <w:pPr>
              <w:pStyle w:val="30"/>
              <w:rPr>
                <w:color w:val="auto"/>
                <w:highlight w:val="none"/>
              </w:rPr>
            </w:pPr>
          </w:p>
        </w:tc>
        <w:tc>
          <w:tcPr>
            <w:tcW w:w="748" w:type="dxa"/>
            <w:tcMar>
              <w:top w:w="15" w:type="dxa"/>
              <w:left w:w="15" w:type="dxa"/>
              <w:bottom w:w="0" w:type="dxa"/>
              <w:right w:w="15" w:type="dxa"/>
            </w:tcMar>
            <w:vAlign w:val="bottom"/>
          </w:tcPr>
          <w:p>
            <w:pPr>
              <w:pStyle w:val="30"/>
              <w:rPr>
                <w:color w:val="auto"/>
                <w:highlight w:val="none"/>
              </w:rPr>
            </w:pPr>
          </w:p>
        </w:tc>
        <w:tc>
          <w:tcPr>
            <w:tcW w:w="1877" w:type="dxa"/>
            <w:tcMar>
              <w:top w:w="15" w:type="dxa"/>
              <w:left w:w="15" w:type="dxa"/>
              <w:bottom w:w="0" w:type="dxa"/>
              <w:right w:w="15" w:type="dxa"/>
            </w:tcMar>
            <w:vAlign w:val="bottom"/>
          </w:tcPr>
          <w:p>
            <w:pPr>
              <w:pStyle w:val="30"/>
              <w:rPr>
                <w:color w:val="auto"/>
                <w:highlight w:val="none"/>
              </w:rPr>
            </w:pPr>
          </w:p>
        </w:tc>
        <w:tc>
          <w:tcPr>
            <w:tcW w:w="680" w:type="dxa"/>
            <w:tcMar>
              <w:top w:w="15" w:type="dxa"/>
              <w:left w:w="15" w:type="dxa"/>
              <w:bottom w:w="0" w:type="dxa"/>
              <w:right w:w="15" w:type="dxa"/>
            </w:tcMar>
            <w:vAlign w:val="bottom"/>
          </w:tcPr>
          <w:p>
            <w:pPr>
              <w:pStyle w:val="30"/>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8" w:hRule="atLeast"/>
        </w:trPr>
        <w:tc>
          <w:tcPr>
            <w:tcW w:w="557" w:type="dxa"/>
            <w:tcMar>
              <w:top w:w="15" w:type="dxa"/>
              <w:left w:w="15" w:type="dxa"/>
              <w:bottom w:w="0" w:type="dxa"/>
              <w:right w:w="15" w:type="dxa"/>
            </w:tcMar>
            <w:vAlign w:val="bottom"/>
          </w:tcPr>
          <w:p>
            <w:pPr>
              <w:pStyle w:val="30"/>
              <w:rPr>
                <w:color w:val="auto"/>
                <w:highlight w:val="none"/>
              </w:rPr>
            </w:pPr>
          </w:p>
        </w:tc>
        <w:tc>
          <w:tcPr>
            <w:tcW w:w="1240" w:type="dxa"/>
            <w:tcMar>
              <w:top w:w="15" w:type="dxa"/>
              <w:left w:w="15" w:type="dxa"/>
              <w:bottom w:w="0" w:type="dxa"/>
              <w:right w:w="15" w:type="dxa"/>
            </w:tcMar>
            <w:vAlign w:val="bottom"/>
          </w:tcPr>
          <w:p>
            <w:pPr>
              <w:pStyle w:val="30"/>
              <w:rPr>
                <w:color w:val="auto"/>
                <w:highlight w:val="none"/>
              </w:rPr>
            </w:pPr>
          </w:p>
        </w:tc>
        <w:tc>
          <w:tcPr>
            <w:tcW w:w="570" w:type="dxa"/>
            <w:tcMar>
              <w:top w:w="15" w:type="dxa"/>
              <w:left w:w="15" w:type="dxa"/>
              <w:bottom w:w="0" w:type="dxa"/>
              <w:right w:w="15" w:type="dxa"/>
            </w:tcMar>
            <w:vAlign w:val="bottom"/>
          </w:tcPr>
          <w:p>
            <w:pPr>
              <w:pStyle w:val="30"/>
              <w:rPr>
                <w:color w:val="auto"/>
                <w:highlight w:val="none"/>
              </w:rPr>
            </w:pPr>
          </w:p>
        </w:tc>
        <w:tc>
          <w:tcPr>
            <w:tcW w:w="570" w:type="dxa"/>
            <w:tcMar>
              <w:top w:w="15" w:type="dxa"/>
              <w:left w:w="15" w:type="dxa"/>
              <w:bottom w:w="0" w:type="dxa"/>
              <w:right w:w="15" w:type="dxa"/>
            </w:tcMar>
            <w:vAlign w:val="bottom"/>
          </w:tcPr>
          <w:p>
            <w:pPr>
              <w:pStyle w:val="30"/>
              <w:rPr>
                <w:color w:val="auto"/>
                <w:highlight w:val="none"/>
              </w:rPr>
            </w:pPr>
          </w:p>
        </w:tc>
        <w:tc>
          <w:tcPr>
            <w:tcW w:w="570" w:type="dxa"/>
            <w:tcMar>
              <w:top w:w="15" w:type="dxa"/>
              <w:left w:w="15" w:type="dxa"/>
              <w:bottom w:w="0" w:type="dxa"/>
              <w:right w:w="15" w:type="dxa"/>
            </w:tcMar>
            <w:vAlign w:val="bottom"/>
          </w:tcPr>
          <w:p>
            <w:pPr>
              <w:pStyle w:val="30"/>
              <w:rPr>
                <w:color w:val="auto"/>
                <w:highlight w:val="none"/>
              </w:rPr>
            </w:pPr>
          </w:p>
        </w:tc>
        <w:tc>
          <w:tcPr>
            <w:tcW w:w="835" w:type="dxa"/>
            <w:tcMar>
              <w:top w:w="15" w:type="dxa"/>
              <w:left w:w="15" w:type="dxa"/>
              <w:bottom w:w="0" w:type="dxa"/>
              <w:right w:w="15" w:type="dxa"/>
            </w:tcMar>
            <w:vAlign w:val="bottom"/>
          </w:tcPr>
          <w:p>
            <w:pPr>
              <w:pStyle w:val="30"/>
              <w:rPr>
                <w:color w:val="auto"/>
                <w:highlight w:val="none"/>
              </w:rPr>
            </w:pPr>
          </w:p>
        </w:tc>
        <w:tc>
          <w:tcPr>
            <w:tcW w:w="1157" w:type="dxa"/>
            <w:tcMar>
              <w:top w:w="15" w:type="dxa"/>
              <w:left w:w="15" w:type="dxa"/>
              <w:bottom w:w="0" w:type="dxa"/>
              <w:right w:w="15" w:type="dxa"/>
            </w:tcMar>
          </w:tcPr>
          <w:p>
            <w:pPr>
              <w:pStyle w:val="30"/>
              <w:rPr>
                <w:color w:val="auto"/>
                <w:highlight w:val="none"/>
              </w:rPr>
            </w:pPr>
          </w:p>
        </w:tc>
        <w:tc>
          <w:tcPr>
            <w:tcW w:w="748" w:type="dxa"/>
            <w:tcMar>
              <w:top w:w="15" w:type="dxa"/>
              <w:left w:w="15" w:type="dxa"/>
              <w:bottom w:w="0" w:type="dxa"/>
              <w:right w:w="15" w:type="dxa"/>
            </w:tcMar>
            <w:vAlign w:val="bottom"/>
          </w:tcPr>
          <w:p>
            <w:pPr>
              <w:pStyle w:val="30"/>
              <w:rPr>
                <w:color w:val="auto"/>
                <w:highlight w:val="none"/>
              </w:rPr>
            </w:pPr>
          </w:p>
        </w:tc>
        <w:tc>
          <w:tcPr>
            <w:tcW w:w="1877" w:type="dxa"/>
            <w:tcMar>
              <w:top w:w="15" w:type="dxa"/>
              <w:left w:w="15" w:type="dxa"/>
              <w:bottom w:w="0" w:type="dxa"/>
              <w:right w:w="15" w:type="dxa"/>
            </w:tcMar>
            <w:vAlign w:val="bottom"/>
          </w:tcPr>
          <w:p>
            <w:pPr>
              <w:pStyle w:val="30"/>
              <w:rPr>
                <w:color w:val="auto"/>
                <w:highlight w:val="none"/>
              </w:rPr>
            </w:pPr>
          </w:p>
        </w:tc>
        <w:tc>
          <w:tcPr>
            <w:tcW w:w="680" w:type="dxa"/>
            <w:tcMar>
              <w:top w:w="15" w:type="dxa"/>
              <w:left w:w="15" w:type="dxa"/>
              <w:bottom w:w="0" w:type="dxa"/>
              <w:right w:w="15" w:type="dxa"/>
            </w:tcMar>
            <w:vAlign w:val="bottom"/>
          </w:tcPr>
          <w:p>
            <w:pPr>
              <w:pStyle w:val="30"/>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atLeast"/>
        </w:trPr>
        <w:tc>
          <w:tcPr>
            <w:tcW w:w="557" w:type="dxa"/>
            <w:tcMar>
              <w:top w:w="15" w:type="dxa"/>
              <w:left w:w="15" w:type="dxa"/>
              <w:bottom w:w="0" w:type="dxa"/>
              <w:right w:w="15" w:type="dxa"/>
            </w:tcMar>
            <w:vAlign w:val="bottom"/>
          </w:tcPr>
          <w:p>
            <w:pPr>
              <w:pStyle w:val="30"/>
              <w:rPr>
                <w:color w:val="auto"/>
                <w:highlight w:val="none"/>
              </w:rPr>
            </w:pPr>
          </w:p>
        </w:tc>
        <w:tc>
          <w:tcPr>
            <w:tcW w:w="1240" w:type="dxa"/>
            <w:tcMar>
              <w:top w:w="15" w:type="dxa"/>
              <w:left w:w="15" w:type="dxa"/>
              <w:bottom w:w="0" w:type="dxa"/>
              <w:right w:w="15" w:type="dxa"/>
            </w:tcMar>
            <w:vAlign w:val="bottom"/>
          </w:tcPr>
          <w:p>
            <w:pPr>
              <w:pStyle w:val="30"/>
              <w:rPr>
                <w:color w:val="auto"/>
                <w:highlight w:val="none"/>
              </w:rPr>
            </w:pPr>
          </w:p>
        </w:tc>
        <w:tc>
          <w:tcPr>
            <w:tcW w:w="570" w:type="dxa"/>
            <w:tcMar>
              <w:top w:w="15" w:type="dxa"/>
              <w:left w:w="15" w:type="dxa"/>
              <w:bottom w:w="0" w:type="dxa"/>
              <w:right w:w="15" w:type="dxa"/>
            </w:tcMar>
            <w:vAlign w:val="bottom"/>
          </w:tcPr>
          <w:p>
            <w:pPr>
              <w:pStyle w:val="30"/>
              <w:rPr>
                <w:color w:val="auto"/>
                <w:highlight w:val="none"/>
              </w:rPr>
            </w:pPr>
          </w:p>
        </w:tc>
        <w:tc>
          <w:tcPr>
            <w:tcW w:w="570" w:type="dxa"/>
            <w:tcMar>
              <w:top w:w="15" w:type="dxa"/>
              <w:left w:w="15" w:type="dxa"/>
              <w:bottom w:w="0" w:type="dxa"/>
              <w:right w:w="15" w:type="dxa"/>
            </w:tcMar>
            <w:vAlign w:val="bottom"/>
          </w:tcPr>
          <w:p>
            <w:pPr>
              <w:pStyle w:val="30"/>
              <w:rPr>
                <w:color w:val="auto"/>
                <w:highlight w:val="none"/>
              </w:rPr>
            </w:pPr>
          </w:p>
        </w:tc>
        <w:tc>
          <w:tcPr>
            <w:tcW w:w="570" w:type="dxa"/>
            <w:tcMar>
              <w:top w:w="15" w:type="dxa"/>
              <w:left w:w="15" w:type="dxa"/>
              <w:bottom w:w="0" w:type="dxa"/>
              <w:right w:w="15" w:type="dxa"/>
            </w:tcMar>
            <w:vAlign w:val="bottom"/>
          </w:tcPr>
          <w:p>
            <w:pPr>
              <w:pStyle w:val="30"/>
              <w:rPr>
                <w:color w:val="auto"/>
                <w:highlight w:val="none"/>
              </w:rPr>
            </w:pPr>
          </w:p>
        </w:tc>
        <w:tc>
          <w:tcPr>
            <w:tcW w:w="835" w:type="dxa"/>
            <w:tcMar>
              <w:top w:w="15" w:type="dxa"/>
              <w:left w:w="15" w:type="dxa"/>
              <w:bottom w:w="0" w:type="dxa"/>
              <w:right w:w="15" w:type="dxa"/>
            </w:tcMar>
            <w:vAlign w:val="bottom"/>
          </w:tcPr>
          <w:p>
            <w:pPr>
              <w:pStyle w:val="30"/>
              <w:rPr>
                <w:color w:val="auto"/>
                <w:highlight w:val="none"/>
              </w:rPr>
            </w:pPr>
          </w:p>
        </w:tc>
        <w:tc>
          <w:tcPr>
            <w:tcW w:w="1157" w:type="dxa"/>
            <w:tcMar>
              <w:top w:w="15" w:type="dxa"/>
              <w:left w:w="15" w:type="dxa"/>
              <w:bottom w:w="0" w:type="dxa"/>
              <w:right w:w="15" w:type="dxa"/>
            </w:tcMar>
          </w:tcPr>
          <w:p>
            <w:pPr>
              <w:pStyle w:val="30"/>
              <w:rPr>
                <w:color w:val="auto"/>
                <w:highlight w:val="none"/>
              </w:rPr>
            </w:pPr>
          </w:p>
        </w:tc>
        <w:tc>
          <w:tcPr>
            <w:tcW w:w="748" w:type="dxa"/>
            <w:tcMar>
              <w:top w:w="15" w:type="dxa"/>
              <w:left w:w="15" w:type="dxa"/>
              <w:bottom w:w="0" w:type="dxa"/>
              <w:right w:w="15" w:type="dxa"/>
            </w:tcMar>
            <w:vAlign w:val="bottom"/>
          </w:tcPr>
          <w:p>
            <w:pPr>
              <w:pStyle w:val="30"/>
              <w:rPr>
                <w:color w:val="auto"/>
                <w:highlight w:val="none"/>
              </w:rPr>
            </w:pPr>
          </w:p>
        </w:tc>
        <w:tc>
          <w:tcPr>
            <w:tcW w:w="1877" w:type="dxa"/>
            <w:tcMar>
              <w:top w:w="15" w:type="dxa"/>
              <w:left w:w="15" w:type="dxa"/>
              <w:bottom w:w="0" w:type="dxa"/>
              <w:right w:w="15" w:type="dxa"/>
            </w:tcMar>
            <w:vAlign w:val="bottom"/>
          </w:tcPr>
          <w:p>
            <w:pPr>
              <w:pStyle w:val="30"/>
              <w:rPr>
                <w:color w:val="auto"/>
                <w:highlight w:val="none"/>
              </w:rPr>
            </w:pPr>
          </w:p>
        </w:tc>
        <w:tc>
          <w:tcPr>
            <w:tcW w:w="680" w:type="dxa"/>
            <w:tcMar>
              <w:top w:w="15" w:type="dxa"/>
              <w:left w:w="15" w:type="dxa"/>
              <w:bottom w:w="0" w:type="dxa"/>
              <w:right w:w="15" w:type="dxa"/>
            </w:tcMar>
            <w:vAlign w:val="bottom"/>
          </w:tcPr>
          <w:p>
            <w:pPr>
              <w:pStyle w:val="30"/>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atLeast"/>
        </w:trPr>
        <w:tc>
          <w:tcPr>
            <w:tcW w:w="557" w:type="dxa"/>
            <w:tcMar>
              <w:top w:w="15" w:type="dxa"/>
              <w:left w:w="15" w:type="dxa"/>
              <w:bottom w:w="0" w:type="dxa"/>
              <w:right w:w="15" w:type="dxa"/>
            </w:tcMar>
            <w:vAlign w:val="bottom"/>
          </w:tcPr>
          <w:p>
            <w:pPr>
              <w:pStyle w:val="30"/>
              <w:rPr>
                <w:color w:val="auto"/>
                <w:highlight w:val="none"/>
              </w:rPr>
            </w:pPr>
          </w:p>
        </w:tc>
        <w:tc>
          <w:tcPr>
            <w:tcW w:w="1240" w:type="dxa"/>
            <w:tcMar>
              <w:top w:w="15" w:type="dxa"/>
              <w:left w:w="15" w:type="dxa"/>
              <w:bottom w:w="0" w:type="dxa"/>
              <w:right w:w="15" w:type="dxa"/>
            </w:tcMar>
            <w:vAlign w:val="bottom"/>
          </w:tcPr>
          <w:p>
            <w:pPr>
              <w:pStyle w:val="30"/>
              <w:rPr>
                <w:color w:val="auto"/>
                <w:highlight w:val="none"/>
              </w:rPr>
            </w:pPr>
          </w:p>
        </w:tc>
        <w:tc>
          <w:tcPr>
            <w:tcW w:w="570" w:type="dxa"/>
            <w:tcMar>
              <w:top w:w="15" w:type="dxa"/>
              <w:left w:w="15" w:type="dxa"/>
              <w:bottom w:w="0" w:type="dxa"/>
              <w:right w:w="15" w:type="dxa"/>
            </w:tcMar>
            <w:vAlign w:val="bottom"/>
          </w:tcPr>
          <w:p>
            <w:pPr>
              <w:pStyle w:val="30"/>
              <w:rPr>
                <w:color w:val="auto"/>
                <w:highlight w:val="none"/>
              </w:rPr>
            </w:pPr>
          </w:p>
        </w:tc>
        <w:tc>
          <w:tcPr>
            <w:tcW w:w="570" w:type="dxa"/>
            <w:tcMar>
              <w:top w:w="15" w:type="dxa"/>
              <w:left w:w="15" w:type="dxa"/>
              <w:bottom w:w="0" w:type="dxa"/>
              <w:right w:w="15" w:type="dxa"/>
            </w:tcMar>
            <w:vAlign w:val="bottom"/>
          </w:tcPr>
          <w:p>
            <w:pPr>
              <w:pStyle w:val="30"/>
              <w:rPr>
                <w:color w:val="auto"/>
                <w:highlight w:val="none"/>
              </w:rPr>
            </w:pPr>
          </w:p>
        </w:tc>
        <w:tc>
          <w:tcPr>
            <w:tcW w:w="570" w:type="dxa"/>
            <w:tcMar>
              <w:top w:w="15" w:type="dxa"/>
              <w:left w:w="15" w:type="dxa"/>
              <w:bottom w:w="0" w:type="dxa"/>
              <w:right w:w="15" w:type="dxa"/>
            </w:tcMar>
            <w:vAlign w:val="bottom"/>
          </w:tcPr>
          <w:p>
            <w:pPr>
              <w:pStyle w:val="30"/>
              <w:rPr>
                <w:color w:val="auto"/>
                <w:highlight w:val="none"/>
              </w:rPr>
            </w:pPr>
          </w:p>
        </w:tc>
        <w:tc>
          <w:tcPr>
            <w:tcW w:w="835" w:type="dxa"/>
            <w:tcMar>
              <w:top w:w="15" w:type="dxa"/>
              <w:left w:w="15" w:type="dxa"/>
              <w:bottom w:w="0" w:type="dxa"/>
              <w:right w:w="15" w:type="dxa"/>
            </w:tcMar>
            <w:vAlign w:val="bottom"/>
          </w:tcPr>
          <w:p>
            <w:pPr>
              <w:pStyle w:val="30"/>
              <w:rPr>
                <w:color w:val="auto"/>
                <w:highlight w:val="none"/>
              </w:rPr>
            </w:pPr>
          </w:p>
        </w:tc>
        <w:tc>
          <w:tcPr>
            <w:tcW w:w="1157" w:type="dxa"/>
            <w:tcMar>
              <w:top w:w="15" w:type="dxa"/>
              <w:left w:w="15" w:type="dxa"/>
              <w:bottom w:w="0" w:type="dxa"/>
              <w:right w:w="15" w:type="dxa"/>
            </w:tcMar>
          </w:tcPr>
          <w:p>
            <w:pPr>
              <w:pStyle w:val="30"/>
              <w:rPr>
                <w:color w:val="auto"/>
                <w:highlight w:val="none"/>
              </w:rPr>
            </w:pPr>
          </w:p>
        </w:tc>
        <w:tc>
          <w:tcPr>
            <w:tcW w:w="748" w:type="dxa"/>
            <w:tcMar>
              <w:top w:w="15" w:type="dxa"/>
              <w:left w:w="15" w:type="dxa"/>
              <w:bottom w:w="0" w:type="dxa"/>
              <w:right w:w="15" w:type="dxa"/>
            </w:tcMar>
            <w:vAlign w:val="bottom"/>
          </w:tcPr>
          <w:p>
            <w:pPr>
              <w:pStyle w:val="30"/>
              <w:rPr>
                <w:color w:val="auto"/>
                <w:highlight w:val="none"/>
              </w:rPr>
            </w:pPr>
          </w:p>
        </w:tc>
        <w:tc>
          <w:tcPr>
            <w:tcW w:w="1877" w:type="dxa"/>
            <w:tcMar>
              <w:top w:w="15" w:type="dxa"/>
              <w:left w:w="15" w:type="dxa"/>
              <w:bottom w:w="0" w:type="dxa"/>
              <w:right w:w="15" w:type="dxa"/>
            </w:tcMar>
            <w:vAlign w:val="bottom"/>
          </w:tcPr>
          <w:p>
            <w:pPr>
              <w:pStyle w:val="30"/>
              <w:rPr>
                <w:color w:val="auto"/>
                <w:highlight w:val="none"/>
              </w:rPr>
            </w:pPr>
          </w:p>
        </w:tc>
        <w:tc>
          <w:tcPr>
            <w:tcW w:w="680" w:type="dxa"/>
            <w:tcMar>
              <w:top w:w="15" w:type="dxa"/>
              <w:left w:w="15" w:type="dxa"/>
              <w:bottom w:w="0" w:type="dxa"/>
              <w:right w:w="15" w:type="dxa"/>
            </w:tcMar>
            <w:vAlign w:val="bottom"/>
          </w:tcPr>
          <w:p>
            <w:pPr>
              <w:pStyle w:val="30"/>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8" w:hRule="atLeast"/>
        </w:trPr>
        <w:tc>
          <w:tcPr>
            <w:tcW w:w="557" w:type="dxa"/>
            <w:tcMar>
              <w:top w:w="15" w:type="dxa"/>
              <w:left w:w="15" w:type="dxa"/>
              <w:bottom w:w="0" w:type="dxa"/>
              <w:right w:w="15" w:type="dxa"/>
            </w:tcMar>
            <w:vAlign w:val="bottom"/>
          </w:tcPr>
          <w:p>
            <w:pPr>
              <w:pStyle w:val="30"/>
              <w:rPr>
                <w:color w:val="auto"/>
                <w:highlight w:val="none"/>
              </w:rPr>
            </w:pPr>
          </w:p>
        </w:tc>
        <w:tc>
          <w:tcPr>
            <w:tcW w:w="1240" w:type="dxa"/>
            <w:tcMar>
              <w:top w:w="15" w:type="dxa"/>
              <w:left w:w="15" w:type="dxa"/>
              <w:bottom w:w="0" w:type="dxa"/>
              <w:right w:w="15" w:type="dxa"/>
            </w:tcMar>
            <w:vAlign w:val="bottom"/>
          </w:tcPr>
          <w:p>
            <w:pPr>
              <w:pStyle w:val="30"/>
              <w:rPr>
                <w:color w:val="auto"/>
                <w:highlight w:val="none"/>
              </w:rPr>
            </w:pPr>
          </w:p>
        </w:tc>
        <w:tc>
          <w:tcPr>
            <w:tcW w:w="570" w:type="dxa"/>
            <w:tcMar>
              <w:top w:w="15" w:type="dxa"/>
              <w:left w:w="15" w:type="dxa"/>
              <w:bottom w:w="0" w:type="dxa"/>
              <w:right w:w="15" w:type="dxa"/>
            </w:tcMar>
            <w:vAlign w:val="bottom"/>
          </w:tcPr>
          <w:p>
            <w:pPr>
              <w:pStyle w:val="30"/>
              <w:rPr>
                <w:color w:val="auto"/>
                <w:highlight w:val="none"/>
              </w:rPr>
            </w:pPr>
          </w:p>
        </w:tc>
        <w:tc>
          <w:tcPr>
            <w:tcW w:w="570" w:type="dxa"/>
            <w:tcMar>
              <w:top w:w="15" w:type="dxa"/>
              <w:left w:w="15" w:type="dxa"/>
              <w:bottom w:w="0" w:type="dxa"/>
              <w:right w:w="15" w:type="dxa"/>
            </w:tcMar>
            <w:vAlign w:val="bottom"/>
          </w:tcPr>
          <w:p>
            <w:pPr>
              <w:pStyle w:val="30"/>
              <w:rPr>
                <w:color w:val="auto"/>
                <w:highlight w:val="none"/>
              </w:rPr>
            </w:pPr>
          </w:p>
        </w:tc>
        <w:tc>
          <w:tcPr>
            <w:tcW w:w="570" w:type="dxa"/>
            <w:tcMar>
              <w:top w:w="15" w:type="dxa"/>
              <w:left w:w="15" w:type="dxa"/>
              <w:bottom w:w="0" w:type="dxa"/>
              <w:right w:w="15" w:type="dxa"/>
            </w:tcMar>
            <w:vAlign w:val="bottom"/>
          </w:tcPr>
          <w:p>
            <w:pPr>
              <w:pStyle w:val="30"/>
              <w:rPr>
                <w:color w:val="auto"/>
                <w:highlight w:val="none"/>
              </w:rPr>
            </w:pPr>
          </w:p>
        </w:tc>
        <w:tc>
          <w:tcPr>
            <w:tcW w:w="835" w:type="dxa"/>
            <w:tcMar>
              <w:top w:w="15" w:type="dxa"/>
              <w:left w:w="15" w:type="dxa"/>
              <w:bottom w:w="0" w:type="dxa"/>
              <w:right w:w="15" w:type="dxa"/>
            </w:tcMar>
            <w:vAlign w:val="bottom"/>
          </w:tcPr>
          <w:p>
            <w:pPr>
              <w:pStyle w:val="30"/>
              <w:rPr>
                <w:color w:val="auto"/>
                <w:highlight w:val="none"/>
              </w:rPr>
            </w:pPr>
          </w:p>
        </w:tc>
        <w:tc>
          <w:tcPr>
            <w:tcW w:w="1157" w:type="dxa"/>
            <w:tcMar>
              <w:top w:w="15" w:type="dxa"/>
              <w:left w:w="15" w:type="dxa"/>
              <w:bottom w:w="0" w:type="dxa"/>
              <w:right w:w="15" w:type="dxa"/>
            </w:tcMar>
          </w:tcPr>
          <w:p>
            <w:pPr>
              <w:pStyle w:val="30"/>
              <w:rPr>
                <w:color w:val="auto"/>
                <w:highlight w:val="none"/>
              </w:rPr>
            </w:pPr>
          </w:p>
        </w:tc>
        <w:tc>
          <w:tcPr>
            <w:tcW w:w="748" w:type="dxa"/>
            <w:tcMar>
              <w:top w:w="15" w:type="dxa"/>
              <w:left w:w="15" w:type="dxa"/>
              <w:bottom w:w="0" w:type="dxa"/>
              <w:right w:w="15" w:type="dxa"/>
            </w:tcMar>
            <w:vAlign w:val="bottom"/>
          </w:tcPr>
          <w:p>
            <w:pPr>
              <w:pStyle w:val="30"/>
              <w:rPr>
                <w:color w:val="auto"/>
                <w:highlight w:val="none"/>
              </w:rPr>
            </w:pPr>
          </w:p>
        </w:tc>
        <w:tc>
          <w:tcPr>
            <w:tcW w:w="1877" w:type="dxa"/>
            <w:tcMar>
              <w:top w:w="15" w:type="dxa"/>
              <w:left w:w="15" w:type="dxa"/>
              <w:bottom w:w="0" w:type="dxa"/>
              <w:right w:w="15" w:type="dxa"/>
            </w:tcMar>
            <w:vAlign w:val="bottom"/>
          </w:tcPr>
          <w:p>
            <w:pPr>
              <w:pStyle w:val="30"/>
              <w:rPr>
                <w:color w:val="auto"/>
                <w:highlight w:val="none"/>
              </w:rPr>
            </w:pPr>
          </w:p>
        </w:tc>
        <w:tc>
          <w:tcPr>
            <w:tcW w:w="680" w:type="dxa"/>
            <w:tcMar>
              <w:top w:w="15" w:type="dxa"/>
              <w:left w:w="15" w:type="dxa"/>
              <w:bottom w:w="0" w:type="dxa"/>
              <w:right w:w="15" w:type="dxa"/>
            </w:tcMar>
            <w:vAlign w:val="bottom"/>
          </w:tcPr>
          <w:p>
            <w:pPr>
              <w:pStyle w:val="30"/>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atLeast"/>
        </w:trPr>
        <w:tc>
          <w:tcPr>
            <w:tcW w:w="557" w:type="dxa"/>
            <w:tcMar>
              <w:top w:w="15" w:type="dxa"/>
              <w:left w:w="15" w:type="dxa"/>
              <w:bottom w:w="0" w:type="dxa"/>
              <w:right w:w="15" w:type="dxa"/>
            </w:tcMar>
            <w:vAlign w:val="bottom"/>
          </w:tcPr>
          <w:p>
            <w:pPr>
              <w:pStyle w:val="30"/>
              <w:rPr>
                <w:color w:val="auto"/>
                <w:highlight w:val="none"/>
              </w:rPr>
            </w:pPr>
          </w:p>
        </w:tc>
        <w:tc>
          <w:tcPr>
            <w:tcW w:w="1240" w:type="dxa"/>
            <w:tcMar>
              <w:top w:w="15" w:type="dxa"/>
              <w:left w:w="15" w:type="dxa"/>
              <w:bottom w:w="0" w:type="dxa"/>
              <w:right w:w="15" w:type="dxa"/>
            </w:tcMar>
            <w:vAlign w:val="bottom"/>
          </w:tcPr>
          <w:p>
            <w:pPr>
              <w:pStyle w:val="30"/>
              <w:rPr>
                <w:color w:val="auto"/>
                <w:highlight w:val="none"/>
              </w:rPr>
            </w:pPr>
          </w:p>
        </w:tc>
        <w:tc>
          <w:tcPr>
            <w:tcW w:w="570" w:type="dxa"/>
            <w:tcMar>
              <w:top w:w="15" w:type="dxa"/>
              <w:left w:w="15" w:type="dxa"/>
              <w:bottom w:w="0" w:type="dxa"/>
              <w:right w:w="15" w:type="dxa"/>
            </w:tcMar>
            <w:vAlign w:val="bottom"/>
          </w:tcPr>
          <w:p>
            <w:pPr>
              <w:pStyle w:val="30"/>
              <w:rPr>
                <w:color w:val="auto"/>
                <w:highlight w:val="none"/>
              </w:rPr>
            </w:pPr>
          </w:p>
        </w:tc>
        <w:tc>
          <w:tcPr>
            <w:tcW w:w="570" w:type="dxa"/>
            <w:tcMar>
              <w:top w:w="15" w:type="dxa"/>
              <w:left w:w="15" w:type="dxa"/>
              <w:bottom w:w="0" w:type="dxa"/>
              <w:right w:w="15" w:type="dxa"/>
            </w:tcMar>
            <w:vAlign w:val="bottom"/>
          </w:tcPr>
          <w:p>
            <w:pPr>
              <w:pStyle w:val="30"/>
              <w:rPr>
                <w:color w:val="auto"/>
                <w:highlight w:val="none"/>
              </w:rPr>
            </w:pPr>
          </w:p>
        </w:tc>
        <w:tc>
          <w:tcPr>
            <w:tcW w:w="570" w:type="dxa"/>
            <w:tcMar>
              <w:top w:w="15" w:type="dxa"/>
              <w:left w:w="15" w:type="dxa"/>
              <w:bottom w:w="0" w:type="dxa"/>
              <w:right w:w="15" w:type="dxa"/>
            </w:tcMar>
            <w:vAlign w:val="bottom"/>
          </w:tcPr>
          <w:p>
            <w:pPr>
              <w:pStyle w:val="30"/>
              <w:rPr>
                <w:color w:val="auto"/>
                <w:highlight w:val="none"/>
              </w:rPr>
            </w:pPr>
          </w:p>
        </w:tc>
        <w:tc>
          <w:tcPr>
            <w:tcW w:w="835" w:type="dxa"/>
            <w:tcMar>
              <w:top w:w="15" w:type="dxa"/>
              <w:left w:w="15" w:type="dxa"/>
              <w:bottom w:w="0" w:type="dxa"/>
              <w:right w:w="15" w:type="dxa"/>
            </w:tcMar>
            <w:vAlign w:val="bottom"/>
          </w:tcPr>
          <w:p>
            <w:pPr>
              <w:pStyle w:val="30"/>
              <w:rPr>
                <w:color w:val="auto"/>
                <w:highlight w:val="none"/>
              </w:rPr>
            </w:pPr>
          </w:p>
        </w:tc>
        <w:tc>
          <w:tcPr>
            <w:tcW w:w="1157" w:type="dxa"/>
            <w:tcMar>
              <w:top w:w="15" w:type="dxa"/>
              <w:left w:w="15" w:type="dxa"/>
              <w:bottom w:w="0" w:type="dxa"/>
              <w:right w:w="15" w:type="dxa"/>
            </w:tcMar>
          </w:tcPr>
          <w:p>
            <w:pPr>
              <w:pStyle w:val="30"/>
              <w:rPr>
                <w:color w:val="auto"/>
                <w:highlight w:val="none"/>
              </w:rPr>
            </w:pPr>
          </w:p>
        </w:tc>
        <w:tc>
          <w:tcPr>
            <w:tcW w:w="748" w:type="dxa"/>
            <w:tcMar>
              <w:top w:w="15" w:type="dxa"/>
              <w:left w:w="15" w:type="dxa"/>
              <w:bottom w:w="0" w:type="dxa"/>
              <w:right w:w="15" w:type="dxa"/>
            </w:tcMar>
            <w:vAlign w:val="bottom"/>
          </w:tcPr>
          <w:p>
            <w:pPr>
              <w:pStyle w:val="30"/>
              <w:rPr>
                <w:color w:val="auto"/>
                <w:highlight w:val="none"/>
              </w:rPr>
            </w:pPr>
          </w:p>
        </w:tc>
        <w:tc>
          <w:tcPr>
            <w:tcW w:w="1877" w:type="dxa"/>
            <w:tcMar>
              <w:top w:w="15" w:type="dxa"/>
              <w:left w:w="15" w:type="dxa"/>
              <w:bottom w:w="0" w:type="dxa"/>
              <w:right w:w="15" w:type="dxa"/>
            </w:tcMar>
            <w:vAlign w:val="bottom"/>
          </w:tcPr>
          <w:p>
            <w:pPr>
              <w:pStyle w:val="30"/>
              <w:rPr>
                <w:color w:val="auto"/>
                <w:highlight w:val="none"/>
              </w:rPr>
            </w:pPr>
          </w:p>
        </w:tc>
        <w:tc>
          <w:tcPr>
            <w:tcW w:w="680" w:type="dxa"/>
            <w:tcMar>
              <w:top w:w="15" w:type="dxa"/>
              <w:left w:w="15" w:type="dxa"/>
              <w:bottom w:w="0" w:type="dxa"/>
              <w:right w:w="15" w:type="dxa"/>
            </w:tcMar>
            <w:vAlign w:val="bottom"/>
          </w:tcPr>
          <w:p>
            <w:pPr>
              <w:pStyle w:val="30"/>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atLeast"/>
        </w:trPr>
        <w:tc>
          <w:tcPr>
            <w:tcW w:w="557" w:type="dxa"/>
            <w:tcMar>
              <w:top w:w="15" w:type="dxa"/>
              <w:left w:w="15" w:type="dxa"/>
              <w:bottom w:w="0" w:type="dxa"/>
              <w:right w:w="15" w:type="dxa"/>
            </w:tcMar>
            <w:vAlign w:val="bottom"/>
          </w:tcPr>
          <w:p>
            <w:pPr>
              <w:pStyle w:val="30"/>
              <w:rPr>
                <w:color w:val="auto"/>
                <w:highlight w:val="none"/>
              </w:rPr>
            </w:pPr>
          </w:p>
        </w:tc>
        <w:tc>
          <w:tcPr>
            <w:tcW w:w="1240" w:type="dxa"/>
            <w:tcMar>
              <w:top w:w="15" w:type="dxa"/>
              <w:left w:w="15" w:type="dxa"/>
              <w:bottom w:w="0" w:type="dxa"/>
              <w:right w:w="15" w:type="dxa"/>
            </w:tcMar>
            <w:vAlign w:val="bottom"/>
          </w:tcPr>
          <w:p>
            <w:pPr>
              <w:pStyle w:val="30"/>
              <w:rPr>
                <w:color w:val="auto"/>
                <w:highlight w:val="none"/>
              </w:rPr>
            </w:pPr>
          </w:p>
        </w:tc>
        <w:tc>
          <w:tcPr>
            <w:tcW w:w="570" w:type="dxa"/>
            <w:tcMar>
              <w:top w:w="15" w:type="dxa"/>
              <w:left w:w="15" w:type="dxa"/>
              <w:bottom w:w="0" w:type="dxa"/>
              <w:right w:w="15" w:type="dxa"/>
            </w:tcMar>
            <w:vAlign w:val="bottom"/>
          </w:tcPr>
          <w:p>
            <w:pPr>
              <w:pStyle w:val="30"/>
              <w:rPr>
                <w:color w:val="auto"/>
                <w:highlight w:val="none"/>
              </w:rPr>
            </w:pPr>
          </w:p>
        </w:tc>
        <w:tc>
          <w:tcPr>
            <w:tcW w:w="570" w:type="dxa"/>
            <w:tcMar>
              <w:top w:w="15" w:type="dxa"/>
              <w:left w:w="15" w:type="dxa"/>
              <w:bottom w:w="0" w:type="dxa"/>
              <w:right w:w="15" w:type="dxa"/>
            </w:tcMar>
            <w:vAlign w:val="bottom"/>
          </w:tcPr>
          <w:p>
            <w:pPr>
              <w:pStyle w:val="30"/>
              <w:rPr>
                <w:color w:val="auto"/>
                <w:highlight w:val="none"/>
              </w:rPr>
            </w:pPr>
          </w:p>
        </w:tc>
        <w:tc>
          <w:tcPr>
            <w:tcW w:w="570" w:type="dxa"/>
            <w:tcMar>
              <w:top w:w="15" w:type="dxa"/>
              <w:left w:w="15" w:type="dxa"/>
              <w:bottom w:w="0" w:type="dxa"/>
              <w:right w:w="15" w:type="dxa"/>
            </w:tcMar>
            <w:vAlign w:val="bottom"/>
          </w:tcPr>
          <w:p>
            <w:pPr>
              <w:pStyle w:val="30"/>
              <w:rPr>
                <w:color w:val="auto"/>
                <w:highlight w:val="none"/>
              </w:rPr>
            </w:pPr>
          </w:p>
        </w:tc>
        <w:tc>
          <w:tcPr>
            <w:tcW w:w="835" w:type="dxa"/>
            <w:tcMar>
              <w:top w:w="15" w:type="dxa"/>
              <w:left w:w="15" w:type="dxa"/>
              <w:bottom w:w="0" w:type="dxa"/>
              <w:right w:w="15" w:type="dxa"/>
            </w:tcMar>
            <w:vAlign w:val="bottom"/>
          </w:tcPr>
          <w:p>
            <w:pPr>
              <w:pStyle w:val="30"/>
              <w:rPr>
                <w:color w:val="auto"/>
                <w:highlight w:val="none"/>
              </w:rPr>
            </w:pPr>
          </w:p>
        </w:tc>
        <w:tc>
          <w:tcPr>
            <w:tcW w:w="1157" w:type="dxa"/>
            <w:tcMar>
              <w:top w:w="15" w:type="dxa"/>
              <w:left w:w="15" w:type="dxa"/>
              <w:bottom w:w="0" w:type="dxa"/>
              <w:right w:w="15" w:type="dxa"/>
            </w:tcMar>
          </w:tcPr>
          <w:p>
            <w:pPr>
              <w:pStyle w:val="30"/>
              <w:rPr>
                <w:color w:val="auto"/>
                <w:highlight w:val="none"/>
              </w:rPr>
            </w:pPr>
          </w:p>
        </w:tc>
        <w:tc>
          <w:tcPr>
            <w:tcW w:w="748" w:type="dxa"/>
            <w:tcMar>
              <w:top w:w="15" w:type="dxa"/>
              <w:left w:w="15" w:type="dxa"/>
              <w:bottom w:w="0" w:type="dxa"/>
              <w:right w:w="15" w:type="dxa"/>
            </w:tcMar>
            <w:vAlign w:val="bottom"/>
          </w:tcPr>
          <w:p>
            <w:pPr>
              <w:pStyle w:val="30"/>
              <w:rPr>
                <w:color w:val="auto"/>
                <w:highlight w:val="none"/>
              </w:rPr>
            </w:pPr>
          </w:p>
        </w:tc>
        <w:tc>
          <w:tcPr>
            <w:tcW w:w="1877" w:type="dxa"/>
            <w:tcMar>
              <w:top w:w="15" w:type="dxa"/>
              <w:left w:w="15" w:type="dxa"/>
              <w:bottom w:w="0" w:type="dxa"/>
              <w:right w:w="15" w:type="dxa"/>
            </w:tcMar>
            <w:vAlign w:val="bottom"/>
          </w:tcPr>
          <w:p>
            <w:pPr>
              <w:pStyle w:val="30"/>
              <w:rPr>
                <w:color w:val="auto"/>
                <w:highlight w:val="none"/>
              </w:rPr>
            </w:pPr>
          </w:p>
        </w:tc>
        <w:tc>
          <w:tcPr>
            <w:tcW w:w="680" w:type="dxa"/>
            <w:tcMar>
              <w:top w:w="15" w:type="dxa"/>
              <w:left w:w="15" w:type="dxa"/>
              <w:bottom w:w="0" w:type="dxa"/>
              <w:right w:w="15" w:type="dxa"/>
            </w:tcMar>
            <w:vAlign w:val="bottom"/>
          </w:tcPr>
          <w:p>
            <w:pPr>
              <w:pStyle w:val="30"/>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8" w:hRule="atLeast"/>
        </w:trPr>
        <w:tc>
          <w:tcPr>
            <w:tcW w:w="557" w:type="dxa"/>
            <w:tcMar>
              <w:top w:w="15" w:type="dxa"/>
              <w:left w:w="15" w:type="dxa"/>
              <w:bottom w:w="0" w:type="dxa"/>
              <w:right w:w="15" w:type="dxa"/>
            </w:tcMar>
            <w:vAlign w:val="bottom"/>
          </w:tcPr>
          <w:p>
            <w:pPr>
              <w:pStyle w:val="30"/>
              <w:rPr>
                <w:color w:val="auto"/>
                <w:highlight w:val="none"/>
              </w:rPr>
            </w:pPr>
          </w:p>
        </w:tc>
        <w:tc>
          <w:tcPr>
            <w:tcW w:w="1240" w:type="dxa"/>
            <w:tcMar>
              <w:top w:w="15" w:type="dxa"/>
              <w:left w:w="15" w:type="dxa"/>
              <w:bottom w:w="0" w:type="dxa"/>
              <w:right w:w="15" w:type="dxa"/>
            </w:tcMar>
            <w:vAlign w:val="bottom"/>
          </w:tcPr>
          <w:p>
            <w:pPr>
              <w:pStyle w:val="30"/>
              <w:rPr>
                <w:color w:val="auto"/>
                <w:highlight w:val="none"/>
              </w:rPr>
            </w:pPr>
          </w:p>
        </w:tc>
        <w:tc>
          <w:tcPr>
            <w:tcW w:w="570" w:type="dxa"/>
            <w:tcMar>
              <w:top w:w="15" w:type="dxa"/>
              <w:left w:w="15" w:type="dxa"/>
              <w:bottom w:w="0" w:type="dxa"/>
              <w:right w:w="15" w:type="dxa"/>
            </w:tcMar>
            <w:vAlign w:val="bottom"/>
          </w:tcPr>
          <w:p>
            <w:pPr>
              <w:pStyle w:val="30"/>
              <w:rPr>
                <w:color w:val="auto"/>
                <w:highlight w:val="none"/>
              </w:rPr>
            </w:pPr>
          </w:p>
        </w:tc>
        <w:tc>
          <w:tcPr>
            <w:tcW w:w="570" w:type="dxa"/>
            <w:tcMar>
              <w:top w:w="15" w:type="dxa"/>
              <w:left w:w="15" w:type="dxa"/>
              <w:bottom w:w="0" w:type="dxa"/>
              <w:right w:w="15" w:type="dxa"/>
            </w:tcMar>
            <w:vAlign w:val="bottom"/>
          </w:tcPr>
          <w:p>
            <w:pPr>
              <w:pStyle w:val="30"/>
              <w:rPr>
                <w:color w:val="auto"/>
                <w:highlight w:val="none"/>
              </w:rPr>
            </w:pPr>
          </w:p>
        </w:tc>
        <w:tc>
          <w:tcPr>
            <w:tcW w:w="570" w:type="dxa"/>
            <w:tcMar>
              <w:top w:w="15" w:type="dxa"/>
              <w:left w:w="15" w:type="dxa"/>
              <w:bottom w:w="0" w:type="dxa"/>
              <w:right w:w="15" w:type="dxa"/>
            </w:tcMar>
            <w:vAlign w:val="bottom"/>
          </w:tcPr>
          <w:p>
            <w:pPr>
              <w:pStyle w:val="30"/>
              <w:rPr>
                <w:color w:val="auto"/>
                <w:highlight w:val="none"/>
              </w:rPr>
            </w:pPr>
          </w:p>
        </w:tc>
        <w:tc>
          <w:tcPr>
            <w:tcW w:w="835" w:type="dxa"/>
            <w:tcMar>
              <w:top w:w="15" w:type="dxa"/>
              <w:left w:w="15" w:type="dxa"/>
              <w:bottom w:w="0" w:type="dxa"/>
              <w:right w:w="15" w:type="dxa"/>
            </w:tcMar>
            <w:vAlign w:val="bottom"/>
          </w:tcPr>
          <w:p>
            <w:pPr>
              <w:pStyle w:val="30"/>
              <w:rPr>
                <w:color w:val="auto"/>
                <w:highlight w:val="none"/>
              </w:rPr>
            </w:pPr>
          </w:p>
        </w:tc>
        <w:tc>
          <w:tcPr>
            <w:tcW w:w="1157" w:type="dxa"/>
            <w:tcMar>
              <w:top w:w="15" w:type="dxa"/>
              <w:left w:w="15" w:type="dxa"/>
              <w:bottom w:w="0" w:type="dxa"/>
              <w:right w:w="15" w:type="dxa"/>
            </w:tcMar>
          </w:tcPr>
          <w:p>
            <w:pPr>
              <w:pStyle w:val="30"/>
              <w:rPr>
                <w:color w:val="auto"/>
                <w:highlight w:val="none"/>
              </w:rPr>
            </w:pPr>
          </w:p>
        </w:tc>
        <w:tc>
          <w:tcPr>
            <w:tcW w:w="748" w:type="dxa"/>
            <w:tcMar>
              <w:top w:w="15" w:type="dxa"/>
              <w:left w:w="15" w:type="dxa"/>
              <w:bottom w:w="0" w:type="dxa"/>
              <w:right w:w="15" w:type="dxa"/>
            </w:tcMar>
            <w:vAlign w:val="bottom"/>
          </w:tcPr>
          <w:p>
            <w:pPr>
              <w:pStyle w:val="30"/>
              <w:rPr>
                <w:color w:val="auto"/>
                <w:highlight w:val="none"/>
              </w:rPr>
            </w:pPr>
          </w:p>
        </w:tc>
        <w:tc>
          <w:tcPr>
            <w:tcW w:w="1877" w:type="dxa"/>
            <w:tcMar>
              <w:top w:w="15" w:type="dxa"/>
              <w:left w:w="15" w:type="dxa"/>
              <w:bottom w:w="0" w:type="dxa"/>
              <w:right w:w="15" w:type="dxa"/>
            </w:tcMar>
            <w:vAlign w:val="bottom"/>
          </w:tcPr>
          <w:p>
            <w:pPr>
              <w:pStyle w:val="30"/>
              <w:rPr>
                <w:color w:val="auto"/>
                <w:highlight w:val="none"/>
              </w:rPr>
            </w:pPr>
          </w:p>
        </w:tc>
        <w:tc>
          <w:tcPr>
            <w:tcW w:w="680" w:type="dxa"/>
            <w:tcMar>
              <w:top w:w="15" w:type="dxa"/>
              <w:left w:w="15" w:type="dxa"/>
              <w:bottom w:w="0" w:type="dxa"/>
              <w:right w:w="15" w:type="dxa"/>
            </w:tcMar>
            <w:vAlign w:val="bottom"/>
          </w:tcPr>
          <w:p>
            <w:pPr>
              <w:pStyle w:val="30"/>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atLeast"/>
        </w:trPr>
        <w:tc>
          <w:tcPr>
            <w:tcW w:w="557" w:type="dxa"/>
            <w:tcMar>
              <w:top w:w="15" w:type="dxa"/>
              <w:left w:w="15" w:type="dxa"/>
              <w:bottom w:w="0" w:type="dxa"/>
              <w:right w:w="15" w:type="dxa"/>
            </w:tcMar>
            <w:vAlign w:val="bottom"/>
          </w:tcPr>
          <w:p>
            <w:pPr>
              <w:pStyle w:val="30"/>
              <w:rPr>
                <w:color w:val="auto"/>
                <w:highlight w:val="none"/>
              </w:rPr>
            </w:pPr>
          </w:p>
        </w:tc>
        <w:tc>
          <w:tcPr>
            <w:tcW w:w="1240" w:type="dxa"/>
            <w:tcMar>
              <w:top w:w="15" w:type="dxa"/>
              <w:left w:w="15" w:type="dxa"/>
              <w:bottom w:w="0" w:type="dxa"/>
              <w:right w:w="15" w:type="dxa"/>
            </w:tcMar>
            <w:vAlign w:val="bottom"/>
          </w:tcPr>
          <w:p>
            <w:pPr>
              <w:pStyle w:val="30"/>
              <w:rPr>
                <w:color w:val="auto"/>
                <w:highlight w:val="none"/>
              </w:rPr>
            </w:pPr>
          </w:p>
        </w:tc>
        <w:tc>
          <w:tcPr>
            <w:tcW w:w="570" w:type="dxa"/>
            <w:tcMar>
              <w:top w:w="15" w:type="dxa"/>
              <w:left w:w="15" w:type="dxa"/>
              <w:bottom w:w="0" w:type="dxa"/>
              <w:right w:w="15" w:type="dxa"/>
            </w:tcMar>
            <w:vAlign w:val="bottom"/>
          </w:tcPr>
          <w:p>
            <w:pPr>
              <w:pStyle w:val="30"/>
              <w:rPr>
                <w:color w:val="auto"/>
                <w:highlight w:val="none"/>
              </w:rPr>
            </w:pPr>
          </w:p>
        </w:tc>
        <w:tc>
          <w:tcPr>
            <w:tcW w:w="570" w:type="dxa"/>
            <w:tcMar>
              <w:top w:w="15" w:type="dxa"/>
              <w:left w:w="15" w:type="dxa"/>
              <w:bottom w:w="0" w:type="dxa"/>
              <w:right w:w="15" w:type="dxa"/>
            </w:tcMar>
            <w:vAlign w:val="bottom"/>
          </w:tcPr>
          <w:p>
            <w:pPr>
              <w:pStyle w:val="30"/>
              <w:rPr>
                <w:color w:val="auto"/>
                <w:highlight w:val="none"/>
              </w:rPr>
            </w:pPr>
          </w:p>
        </w:tc>
        <w:tc>
          <w:tcPr>
            <w:tcW w:w="570" w:type="dxa"/>
            <w:tcMar>
              <w:top w:w="15" w:type="dxa"/>
              <w:left w:w="15" w:type="dxa"/>
              <w:bottom w:w="0" w:type="dxa"/>
              <w:right w:w="15" w:type="dxa"/>
            </w:tcMar>
            <w:vAlign w:val="bottom"/>
          </w:tcPr>
          <w:p>
            <w:pPr>
              <w:pStyle w:val="30"/>
              <w:rPr>
                <w:color w:val="auto"/>
                <w:highlight w:val="none"/>
              </w:rPr>
            </w:pPr>
          </w:p>
        </w:tc>
        <w:tc>
          <w:tcPr>
            <w:tcW w:w="835" w:type="dxa"/>
            <w:tcMar>
              <w:top w:w="15" w:type="dxa"/>
              <w:left w:w="15" w:type="dxa"/>
              <w:bottom w:w="0" w:type="dxa"/>
              <w:right w:w="15" w:type="dxa"/>
            </w:tcMar>
            <w:vAlign w:val="bottom"/>
          </w:tcPr>
          <w:p>
            <w:pPr>
              <w:pStyle w:val="30"/>
              <w:rPr>
                <w:color w:val="auto"/>
                <w:highlight w:val="none"/>
              </w:rPr>
            </w:pPr>
          </w:p>
        </w:tc>
        <w:tc>
          <w:tcPr>
            <w:tcW w:w="1157" w:type="dxa"/>
            <w:tcMar>
              <w:top w:w="15" w:type="dxa"/>
              <w:left w:w="15" w:type="dxa"/>
              <w:bottom w:w="0" w:type="dxa"/>
              <w:right w:w="15" w:type="dxa"/>
            </w:tcMar>
          </w:tcPr>
          <w:p>
            <w:pPr>
              <w:pStyle w:val="30"/>
              <w:rPr>
                <w:color w:val="auto"/>
                <w:highlight w:val="none"/>
              </w:rPr>
            </w:pPr>
          </w:p>
        </w:tc>
        <w:tc>
          <w:tcPr>
            <w:tcW w:w="748" w:type="dxa"/>
            <w:tcMar>
              <w:top w:w="15" w:type="dxa"/>
              <w:left w:w="15" w:type="dxa"/>
              <w:bottom w:w="0" w:type="dxa"/>
              <w:right w:w="15" w:type="dxa"/>
            </w:tcMar>
            <w:vAlign w:val="bottom"/>
          </w:tcPr>
          <w:p>
            <w:pPr>
              <w:pStyle w:val="30"/>
              <w:rPr>
                <w:color w:val="auto"/>
                <w:highlight w:val="none"/>
              </w:rPr>
            </w:pPr>
          </w:p>
        </w:tc>
        <w:tc>
          <w:tcPr>
            <w:tcW w:w="1877" w:type="dxa"/>
            <w:tcMar>
              <w:top w:w="15" w:type="dxa"/>
              <w:left w:w="15" w:type="dxa"/>
              <w:bottom w:w="0" w:type="dxa"/>
              <w:right w:w="15" w:type="dxa"/>
            </w:tcMar>
            <w:vAlign w:val="bottom"/>
          </w:tcPr>
          <w:p>
            <w:pPr>
              <w:pStyle w:val="30"/>
              <w:rPr>
                <w:color w:val="auto"/>
                <w:highlight w:val="none"/>
              </w:rPr>
            </w:pPr>
          </w:p>
        </w:tc>
        <w:tc>
          <w:tcPr>
            <w:tcW w:w="680" w:type="dxa"/>
            <w:tcMar>
              <w:top w:w="15" w:type="dxa"/>
              <w:left w:w="15" w:type="dxa"/>
              <w:bottom w:w="0" w:type="dxa"/>
              <w:right w:w="15" w:type="dxa"/>
            </w:tcMar>
            <w:vAlign w:val="bottom"/>
          </w:tcPr>
          <w:p>
            <w:pPr>
              <w:pStyle w:val="30"/>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atLeast"/>
        </w:trPr>
        <w:tc>
          <w:tcPr>
            <w:tcW w:w="557" w:type="dxa"/>
            <w:tcMar>
              <w:top w:w="15" w:type="dxa"/>
              <w:left w:w="15" w:type="dxa"/>
              <w:bottom w:w="0" w:type="dxa"/>
              <w:right w:w="15" w:type="dxa"/>
            </w:tcMar>
            <w:vAlign w:val="bottom"/>
          </w:tcPr>
          <w:p>
            <w:pPr>
              <w:pStyle w:val="30"/>
              <w:rPr>
                <w:color w:val="auto"/>
                <w:highlight w:val="none"/>
              </w:rPr>
            </w:pPr>
          </w:p>
        </w:tc>
        <w:tc>
          <w:tcPr>
            <w:tcW w:w="1240" w:type="dxa"/>
            <w:tcMar>
              <w:top w:w="15" w:type="dxa"/>
              <w:left w:w="15" w:type="dxa"/>
              <w:bottom w:w="0" w:type="dxa"/>
              <w:right w:w="15" w:type="dxa"/>
            </w:tcMar>
            <w:vAlign w:val="bottom"/>
          </w:tcPr>
          <w:p>
            <w:pPr>
              <w:pStyle w:val="30"/>
              <w:rPr>
                <w:color w:val="auto"/>
                <w:highlight w:val="none"/>
              </w:rPr>
            </w:pPr>
          </w:p>
        </w:tc>
        <w:tc>
          <w:tcPr>
            <w:tcW w:w="570" w:type="dxa"/>
            <w:tcMar>
              <w:top w:w="15" w:type="dxa"/>
              <w:left w:w="15" w:type="dxa"/>
              <w:bottom w:w="0" w:type="dxa"/>
              <w:right w:w="15" w:type="dxa"/>
            </w:tcMar>
            <w:vAlign w:val="bottom"/>
          </w:tcPr>
          <w:p>
            <w:pPr>
              <w:pStyle w:val="30"/>
              <w:rPr>
                <w:color w:val="auto"/>
                <w:highlight w:val="none"/>
              </w:rPr>
            </w:pPr>
          </w:p>
        </w:tc>
        <w:tc>
          <w:tcPr>
            <w:tcW w:w="570" w:type="dxa"/>
            <w:tcMar>
              <w:top w:w="15" w:type="dxa"/>
              <w:left w:w="15" w:type="dxa"/>
              <w:bottom w:w="0" w:type="dxa"/>
              <w:right w:w="15" w:type="dxa"/>
            </w:tcMar>
            <w:vAlign w:val="bottom"/>
          </w:tcPr>
          <w:p>
            <w:pPr>
              <w:pStyle w:val="30"/>
              <w:rPr>
                <w:color w:val="auto"/>
                <w:highlight w:val="none"/>
              </w:rPr>
            </w:pPr>
          </w:p>
        </w:tc>
        <w:tc>
          <w:tcPr>
            <w:tcW w:w="570" w:type="dxa"/>
            <w:tcMar>
              <w:top w:w="15" w:type="dxa"/>
              <w:left w:w="15" w:type="dxa"/>
              <w:bottom w:w="0" w:type="dxa"/>
              <w:right w:w="15" w:type="dxa"/>
            </w:tcMar>
            <w:vAlign w:val="bottom"/>
          </w:tcPr>
          <w:p>
            <w:pPr>
              <w:pStyle w:val="30"/>
              <w:rPr>
                <w:color w:val="auto"/>
                <w:highlight w:val="none"/>
              </w:rPr>
            </w:pPr>
          </w:p>
        </w:tc>
        <w:tc>
          <w:tcPr>
            <w:tcW w:w="835" w:type="dxa"/>
            <w:tcMar>
              <w:top w:w="15" w:type="dxa"/>
              <w:left w:w="15" w:type="dxa"/>
              <w:bottom w:w="0" w:type="dxa"/>
              <w:right w:w="15" w:type="dxa"/>
            </w:tcMar>
            <w:vAlign w:val="bottom"/>
          </w:tcPr>
          <w:p>
            <w:pPr>
              <w:pStyle w:val="30"/>
              <w:rPr>
                <w:color w:val="auto"/>
                <w:highlight w:val="none"/>
              </w:rPr>
            </w:pPr>
          </w:p>
        </w:tc>
        <w:tc>
          <w:tcPr>
            <w:tcW w:w="1157" w:type="dxa"/>
            <w:tcMar>
              <w:top w:w="15" w:type="dxa"/>
              <w:left w:w="15" w:type="dxa"/>
              <w:bottom w:w="0" w:type="dxa"/>
              <w:right w:w="15" w:type="dxa"/>
            </w:tcMar>
          </w:tcPr>
          <w:p>
            <w:pPr>
              <w:pStyle w:val="30"/>
              <w:rPr>
                <w:color w:val="auto"/>
                <w:highlight w:val="none"/>
              </w:rPr>
            </w:pPr>
          </w:p>
        </w:tc>
        <w:tc>
          <w:tcPr>
            <w:tcW w:w="748" w:type="dxa"/>
            <w:tcMar>
              <w:top w:w="15" w:type="dxa"/>
              <w:left w:w="15" w:type="dxa"/>
              <w:bottom w:w="0" w:type="dxa"/>
              <w:right w:w="15" w:type="dxa"/>
            </w:tcMar>
            <w:vAlign w:val="bottom"/>
          </w:tcPr>
          <w:p>
            <w:pPr>
              <w:pStyle w:val="30"/>
              <w:rPr>
                <w:color w:val="auto"/>
                <w:highlight w:val="none"/>
              </w:rPr>
            </w:pPr>
          </w:p>
        </w:tc>
        <w:tc>
          <w:tcPr>
            <w:tcW w:w="1877" w:type="dxa"/>
            <w:tcMar>
              <w:top w:w="15" w:type="dxa"/>
              <w:left w:w="15" w:type="dxa"/>
              <w:bottom w:w="0" w:type="dxa"/>
              <w:right w:w="15" w:type="dxa"/>
            </w:tcMar>
            <w:vAlign w:val="bottom"/>
          </w:tcPr>
          <w:p>
            <w:pPr>
              <w:pStyle w:val="30"/>
              <w:rPr>
                <w:color w:val="auto"/>
                <w:highlight w:val="none"/>
              </w:rPr>
            </w:pPr>
          </w:p>
        </w:tc>
        <w:tc>
          <w:tcPr>
            <w:tcW w:w="680" w:type="dxa"/>
            <w:tcMar>
              <w:top w:w="15" w:type="dxa"/>
              <w:left w:w="15" w:type="dxa"/>
              <w:bottom w:w="0" w:type="dxa"/>
              <w:right w:w="15" w:type="dxa"/>
            </w:tcMar>
            <w:vAlign w:val="bottom"/>
          </w:tcPr>
          <w:p>
            <w:pPr>
              <w:pStyle w:val="30"/>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8" w:hRule="atLeast"/>
        </w:trPr>
        <w:tc>
          <w:tcPr>
            <w:tcW w:w="557" w:type="dxa"/>
            <w:tcMar>
              <w:top w:w="15" w:type="dxa"/>
              <w:left w:w="15" w:type="dxa"/>
              <w:bottom w:w="0" w:type="dxa"/>
              <w:right w:w="15" w:type="dxa"/>
            </w:tcMar>
            <w:vAlign w:val="bottom"/>
          </w:tcPr>
          <w:p>
            <w:pPr>
              <w:pStyle w:val="30"/>
              <w:rPr>
                <w:color w:val="auto"/>
                <w:highlight w:val="none"/>
              </w:rPr>
            </w:pPr>
          </w:p>
        </w:tc>
        <w:tc>
          <w:tcPr>
            <w:tcW w:w="1240" w:type="dxa"/>
            <w:tcMar>
              <w:top w:w="15" w:type="dxa"/>
              <w:left w:w="15" w:type="dxa"/>
              <w:bottom w:w="0" w:type="dxa"/>
              <w:right w:w="15" w:type="dxa"/>
            </w:tcMar>
            <w:vAlign w:val="bottom"/>
          </w:tcPr>
          <w:p>
            <w:pPr>
              <w:pStyle w:val="30"/>
              <w:rPr>
                <w:color w:val="auto"/>
                <w:highlight w:val="none"/>
              </w:rPr>
            </w:pPr>
          </w:p>
        </w:tc>
        <w:tc>
          <w:tcPr>
            <w:tcW w:w="570" w:type="dxa"/>
            <w:tcMar>
              <w:top w:w="15" w:type="dxa"/>
              <w:left w:w="15" w:type="dxa"/>
              <w:bottom w:w="0" w:type="dxa"/>
              <w:right w:w="15" w:type="dxa"/>
            </w:tcMar>
            <w:vAlign w:val="bottom"/>
          </w:tcPr>
          <w:p>
            <w:pPr>
              <w:pStyle w:val="30"/>
              <w:rPr>
                <w:color w:val="auto"/>
                <w:highlight w:val="none"/>
              </w:rPr>
            </w:pPr>
          </w:p>
        </w:tc>
        <w:tc>
          <w:tcPr>
            <w:tcW w:w="570" w:type="dxa"/>
            <w:tcMar>
              <w:top w:w="15" w:type="dxa"/>
              <w:left w:w="15" w:type="dxa"/>
              <w:bottom w:w="0" w:type="dxa"/>
              <w:right w:w="15" w:type="dxa"/>
            </w:tcMar>
            <w:vAlign w:val="bottom"/>
          </w:tcPr>
          <w:p>
            <w:pPr>
              <w:pStyle w:val="30"/>
              <w:rPr>
                <w:color w:val="auto"/>
                <w:highlight w:val="none"/>
              </w:rPr>
            </w:pPr>
          </w:p>
        </w:tc>
        <w:tc>
          <w:tcPr>
            <w:tcW w:w="570" w:type="dxa"/>
            <w:tcMar>
              <w:top w:w="15" w:type="dxa"/>
              <w:left w:w="15" w:type="dxa"/>
              <w:bottom w:w="0" w:type="dxa"/>
              <w:right w:w="15" w:type="dxa"/>
            </w:tcMar>
            <w:vAlign w:val="bottom"/>
          </w:tcPr>
          <w:p>
            <w:pPr>
              <w:pStyle w:val="30"/>
              <w:rPr>
                <w:color w:val="auto"/>
                <w:highlight w:val="none"/>
              </w:rPr>
            </w:pPr>
          </w:p>
        </w:tc>
        <w:tc>
          <w:tcPr>
            <w:tcW w:w="835" w:type="dxa"/>
            <w:tcMar>
              <w:top w:w="15" w:type="dxa"/>
              <w:left w:w="15" w:type="dxa"/>
              <w:bottom w:w="0" w:type="dxa"/>
              <w:right w:w="15" w:type="dxa"/>
            </w:tcMar>
            <w:vAlign w:val="bottom"/>
          </w:tcPr>
          <w:p>
            <w:pPr>
              <w:pStyle w:val="30"/>
              <w:rPr>
                <w:color w:val="auto"/>
                <w:highlight w:val="none"/>
              </w:rPr>
            </w:pPr>
          </w:p>
        </w:tc>
        <w:tc>
          <w:tcPr>
            <w:tcW w:w="1157" w:type="dxa"/>
            <w:tcMar>
              <w:top w:w="15" w:type="dxa"/>
              <w:left w:w="15" w:type="dxa"/>
              <w:bottom w:w="0" w:type="dxa"/>
              <w:right w:w="15" w:type="dxa"/>
            </w:tcMar>
          </w:tcPr>
          <w:p>
            <w:pPr>
              <w:pStyle w:val="30"/>
              <w:rPr>
                <w:color w:val="auto"/>
                <w:highlight w:val="none"/>
              </w:rPr>
            </w:pPr>
          </w:p>
        </w:tc>
        <w:tc>
          <w:tcPr>
            <w:tcW w:w="748" w:type="dxa"/>
            <w:tcMar>
              <w:top w:w="15" w:type="dxa"/>
              <w:left w:w="15" w:type="dxa"/>
              <w:bottom w:w="0" w:type="dxa"/>
              <w:right w:w="15" w:type="dxa"/>
            </w:tcMar>
            <w:vAlign w:val="bottom"/>
          </w:tcPr>
          <w:p>
            <w:pPr>
              <w:pStyle w:val="30"/>
              <w:rPr>
                <w:color w:val="auto"/>
                <w:highlight w:val="none"/>
              </w:rPr>
            </w:pPr>
          </w:p>
        </w:tc>
        <w:tc>
          <w:tcPr>
            <w:tcW w:w="1877" w:type="dxa"/>
            <w:tcMar>
              <w:top w:w="15" w:type="dxa"/>
              <w:left w:w="15" w:type="dxa"/>
              <w:bottom w:w="0" w:type="dxa"/>
              <w:right w:w="15" w:type="dxa"/>
            </w:tcMar>
            <w:vAlign w:val="bottom"/>
          </w:tcPr>
          <w:p>
            <w:pPr>
              <w:pStyle w:val="30"/>
              <w:rPr>
                <w:color w:val="auto"/>
                <w:highlight w:val="none"/>
              </w:rPr>
            </w:pPr>
          </w:p>
        </w:tc>
        <w:tc>
          <w:tcPr>
            <w:tcW w:w="680" w:type="dxa"/>
            <w:tcMar>
              <w:top w:w="15" w:type="dxa"/>
              <w:left w:w="15" w:type="dxa"/>
              <w:bottom w:w="0" w:type="dxa"/>
              <w:right w:w="15" w:type="dxa"/>
            </w:tcMar>
            <w:vAlign w:val="bottom"/>
          </w:tcPr>
          <w:p>
            <w:pPr>
              <w:pStyle w:val="30"/>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atLeast"/>
        </w:trPr>
        <w:tc>
          <w:tcPr>
            <w:tcW w:w="557" w:type="dxa"/>
            <w:tcMar>
              <w:top w:w="15" w:type="dxa"/>
              <w:left w:w="15" w:type="dxa"/>
              <w:bottom w:w="0" w:type="dxa"/>
              <w:right w:w="15" w:type="dxa"/>
            </w:tcMar>
            <w:vAlign w:val="bottom"/>
          </w:tcPr>
          <w:p>
            <w:pPr>
              <w:pStyle w:val="30"/>
              <w:rPr>
                <w:color w:val="auto"/>
                <w:highlight w:val="none"/>
              </w:rPr>
            </w:pPr>
          </w:p>
        </w:tc>
        <w:tc>
          <w:tcPr>
            <w:tcW w:w="1240" w:type="dxa"/>
            <w:tcMar>
              <w:top w:w="15" w:type="dxa"/>
              <w:left w:w="15" w:type="dxa"/>
              <w:bottom w:w="0" w:type="dxa"/>
              <w:right w:w="15" w:type="dxa"/>
            </w:tcMar>
            <w:vAlign w:val="bottom"/>
          </w:tcPr>
          <w:p>
            <w:pPr>
              <w:pStyle w:val="30"/>
              <w:rPr>
                <w:color w:val="auto"/>
                <w:highlight w:val="none"/>
              </w:rPr>
            </w:pPr>
          </w:p>
        </w:tc>
        <w:tc>
          <w:tcPr>
            <w:tcW w:w="570" w:type="dxa"/>
            <w:tcMar>
              <w:top w:w="15" w:type="dxa"/>
              <w:left w:w="15" w:type="dxa"/>
              <w:bottom w:w="0" w:type="dxa"/>
              <w:right w:w="15" w:type="dxa"/>
            </w:tcMar>
            <w:vAlign w:val="bottom"/>
          </w:tcPr>
          <w:p>
            <w:pPr>
              <w:pStyle w:val="30"/>
              <w:rPr>
                <w:color w:val="auto"/>
                <w:highlight w:val="none"/>
              </w:rPr>
            </w:pPr>
          </w:p>
        </w:tc>
        <w:tc>
          <w:tcPr>
            <w:tcW w:w="570" w:type="dxa"/>
            <w:tcMar>
              <w:top w:w="15" w:type="dxa"/>
              <w:left w:w="15" w:type="dxa"/>
              <w:bottom w:w="0" w:type="dxa"/>
              <w:right w:w="15" w:type="dxa"/>
            </w:tcMar>
            <w:vAlign w:val="bottom"/>
          </w:tcPr>
          <w:p>
            <w:pPr>
              <w:pStyle w:val="30"/>
              <w:rPr>
                <w:color w:val="auto"/>
                <w:highlight w:val="none"/>
              </w:rPr>
            </w:pPr>
          </w:p>
        </w:tc>
        <w:tc>
          <w:tcPr>
            <w:tcW w:w="570" w:type="dxa"/>
            <w:tcMar>
              <w:top w:w="15" w:type="dxa"/>
              <w:left w:w="15" w:type="dxa"/>
              <w:bottom w:w="0" w:type="dxa"/>
              <w:right w:w="15" w:type="dxa"/>
            </w:tcMar>
            <w:vAlign w:val="bottom"/>
          </w:tcPr>
          <w:p>
            <w:pPr>
              <w:pStyle w:val="30"/>
              <w:rPr>
                <w:color w:val="auto"/>
                <w:highlight w:val="none"/>
              </w:rPr>
            </w:pPr>
          </w:p>
        </w:tc>
        <w:tc>
          <w:tcPr>
            <w:tcW w:w="835" w:type="dxa"/>
            <w:tcMar>
              <w:top w:w="15" w:type="dxa"/>
              <w:left w:w="15" w:type="dxa"/>
              <w:bottom w:w="0" w:type="dxa"/>
              <w:right w:w="15" w:type="dxa"/>
            </w:tcMar>
            <w:vAlign w:val="bottom"/>
          </w:tcPr>
          <w:p>
            <w:pPr>
              <w:pStyle w:val="30"/>
              <w:rPr>
                <w:color w:val="auto"/>
                <w:highlight w:val="none"/>
              </w:rPr>
            </w:pPr>
          </w:p>
        </w:tc>
        <w:tc>
          <w:tcPr>
            <w:tcW w:w="1157" w:type="dxa"/>
            <w:tcMar>
              <w:top w:w="15" w:type="dxa"/>
              <w:left w:w="15" w:type="dxa"/>
              <w:bottom w:w="0" w:type="dxa"/>
              <w:right w:w="15" w:type="dxa"/>
            </w:tcMar>
          </w:tcPr>
          <w:p>
            <w:pPr>
              <w:pStyle w:val="30"/>
              <w:rPr>
                <w:color w:val="auto"/>
                <w:highlight w:val="none"/>
              </w:rPr>
            </w:pPr>
          </w:p>
        </w:tc>
        <w:tc>
          <w:tcPr>
            <w:tcW w:w="748" w:type="dxa"/>
            <w:tcMar>
              <w:top w:w="15" w:type="dxa"/>
              <w:left w:w="15" w:type="dxa"/>
              <w:bottom w:w="0" w:type="dxa"/>
              <w:right w:w="15" w:type="dxa"/>
            </w:tcMar>
            <w:vAlign w:val="bottom"/>
          </w:tcPr>
          <w:p>
            <w:pPr>
              <w:pStyle w:val="30"/>
              <w:rPr>
                <w:color w:val="auto"/>
                <w:highlight w:val="none"/>
              </w:rPr>
            </w:pPr>
          </w:p>
        </w:tc>
        <w:tc>
          <w:tcPr>
            <w:tcW w:w="1877" w:type="dxa"/>
            <w:tcMar>
              <w:top w:w="15" w:type="dxa"/>
              <w:left w:w="15" w:type="dxa"/>
              <w:bottom w:w="0" w:type="dxa"/>
              <w:right w:w="15" w:type="dxa"/>
            </w:tcMar>
            <w:vAlign w:val="bottom"/>
          </w:tcPr>
          <w:p>
            <w:pPr>
              <w:pStyle w:val="30"/>
              <w:rPr>
                <w:color w:val="auto"/>
                <w:highlight w:val="none"/>
              </w:rPr>
            </w:pPr>
          </w:p>
        </w:tc>
        <w:tc>
          <w:tcPr>
            <w:tcW w:w="680" w:type="dxa"/>
            <w:tcMar>
              <w:top w:w="15" w:type="dxa"/>
              <w:left w:w="15" w:type="dxa"/>
              <w:bottom w:w="0" w:type="dxa"/>
              <w:right w:w="15" w:type="dxa"/>
            </w:tcMar>
            <w:vAlign w:val="bottom"/>
          </w:tcPr>
          <w:p>
            <w:pPr>
              <w:pStyle w:val="30"/>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atLeast"/>
        </w:trPr>
        <w:tc>
          <w:tcPr>
            <w:tcW w:w="557" w:type="dxa"/>
            <w:tcMar>
              <w:top w:w="15" w:type="dxa"/>
              <w:left w:w="15" w:type="dxa"/>
              <w:bottom w:w="0" w:type="dxa"/>
              <w:right w:w="15" w:type="dxa"/>
            </w:tcMar>
            <w:vAlign w:val="bottom"/>
          </w:tcPr>
          <w:p>
            <w:pPr>
              <w:pStyle w:val="30"/>
              <w:rPr>
                <w:color w:val="auto"/>
                <w:highlight w:val="none"/>
              </w:rPr>
            </w:pPr>
          </w:p>
        </w:tc>
        <w:tc>
          <w:tcPr>
            <w:tcW w:w="1240" w:type="dxa"/>
            <w:tcMar>
              <w:top w:w="15" w:type="dxa"/>
              <w:left w:w="15" w:type="dxa"/>
              <w:bottom w:w="0" w:type="dxa"/>
              <w:right w:w="15" w:type="dxa"/>
            </w:tcMar>
            <w:vAlign w:val="bottom"/>
          </w:tcPr>
          <w:p>
            <w:pPr>
              <w:pStyle w:val="30"/>
              <w:rPr>
                <w:color w:val="auto"/>
                <w:highlight w:val="none"/>
              </w:rPr>
            </w:pPr>
          </w:p>
        </w:tc>
        <w:tc>
          <w:tcPr>
            <w:tcW w:w="570" w:type="dxa"/>
            <w:tcMar>
              <w:top w:w="15" w:type="dxa"/>
              <w:left w:w="15" w:type="dxa"/>
              <w:bottom w:w="0" w:type="dxa"/>
              <w:right w:w="15" w:type="dxa"/>
            </w:tcMar>
            <w:vAlign w:val="bottom"/>
          </w:tcPr>
          <w:p>
            <w:pPr>
              <w:pStyle w:val="30"/>
              <w:rPr>
                <w:color w:val="auto"/>
                <w:highlight w:val="none"/>
              </w:rPr>
            </w:pPr>
          </w:p>
        </w:tc>
        <w:tc>
          <w:tcPr>
            <w:tcW w:w="570" w:type="dxa"/>
            <w:tcMar>
              <w:top w:w="15" w:type="dxa"/>
              <w:left w:w="15" w:type="dxa"/>
              <w:bottom w:w="0" w:type="dxa"/>
              <w:right w:w="15" w:type="dxa"/>
            </w:tcMar>
            <w:vAlign w:val="bottom"/>
          </w:tcPr>
          <w:p>
            <w:pPr>
              <w:pStyle w:val="30"/>
              <w:rPr>
                <w:color w:val="auto"/>
                <w:highlight w:val="none"/>
              </w:rPr>
            </w:pPr>
          </w:p>
        </w:tc>
        <w:tc>
          <w:tcPr>
            <w:tcW w:w="570" w:type="dxa"/>
            <w:tcMar>
              <w:top w:w="15" w:type="dxa"/>
              <w:left w:w="15" w:type="dxa"/>
              <w:bottom w:w="0" w:type="dxa"/>
              <w:right w:w="15" w:type="dxa"/>
            </w:tcMar>
            <w:vAlign w:val="bottom"/>
          </w:tcPr>
          <w:p>
            <w:pPr>
              <w:pStyle w:val="30"/>
              <w:rPr>
                <w:color w:val="auto"/>
                <w:highlight w:val="none"/>
              </w:rPr>
            </w:pPr>
          </w:p>
        </w:tc>
        <w:tc>
          <w:tcPr>
            <w:tcW w:w="835" w:type="dxa"/>
            <w:tcMar>
              <w:top w:w="15" w:type="dxa"/>
              <w:left w:w="15" w:type="dxa"/>
              <w:bottom w:w="0" w:type="dxa"/>
              <w:right w:w="15" w:type="dxa"/>
            </w:tcMar>
            <w:vAlign w:val="bottom"/>
          </w:tcPr>
          <w:p>
            <w:pPr>
              <w:pStyle w:val="30"/>
              <w:rPr>
                <w:color w:val="auto"/>
                <w:highlight w:val="none"/>
              </w:rPr>
            </w:pPr>
          </w:p>
        </w:tc>
        <w:tc>
          <w:tcPr>
            <w:tcW w:w="1157" w:type="dxa"/>
            <w:tcMar>
              <w:top w:w="15" w:type="dxa"/>
              <w:left w:w="15" w:type="dxa"/>
              <w:bottom w:w="0" w:type="dxa"/>
              <w:right w:w="15" w:type="dxa"/>
            </w:tcMar>
          </w:tcPr>
          <w:p>
            <w:pPr>
              <w:pStyle w:val="30"/>
              <w:rPr>
                <w:color w:val="auto"/>
                <w:highlight w:val="none"/>
              </w:rPr>
            </w:pPr>
          </w:p>
        </w:tc>
        <w:tc>
          <w:tcPr>
            <w:tcW w:w="748" w:type="dxa"/>
            <w:tcMar>
              <w:top w:w="15" w:type="dxa"/>
              <w:left w:w="15" w:type="dxa"/>
              <w:bottom w:w="0" w:type="dxa"/>
              <w:right w:w="15" w:type="dxa"/>
            </w:tcMar>
            <w:vAlign w:val="bottom"/>
          </w:tcPr>
          <w:p>
            <w:pPr>
              <w:pStyle w:val="30"/>
              <w:rPr>
                <w:color w:val="auto"/>
                <w:highlight w:val="none"/>
              </w:rPr>
            </w:pPr>
          </w:p>
        </w:tc>
        <w:tc>
          <w:tcPr>
            <w:tcW w:w="1877" w:type="dxa"/>
            <w:tcMar>
              <w:top w:w="15" w:type="dxa"/>
              <w:left w:w="15" w:type="dxa"/>
              <w:bottom w:w="0" w:type="dxa"/>
              <w:right w:w="15" w:type="dxa"/>
            </w:tcMar>
            <w:vAlign w:val="bottom"/>
          </w:tcPr>
          <w:p>
            <w:pPr>
              <w:pStyle w:val="30"/>
              <w:rPr>
                <w:color w:val="auto"/>
                <w:highlight w:val="none"/>
              </w:rPr>
            </w:pPr>
          </w:p>
        </w:tc>
        <w:tc>
          <w:tcPr>
            <w:tcW w:w="680" w:type="dxa"/>
            <w:tcMar>
              <w:top w:w="15" w:type="dxa"/>
              <w:left w:w="15" w:type="dxa"/>
              <w:bottom w:w="0" w:type="dxa"/>
              <w:right w:w="15" w:type="dxa"/>
            </w:tcMar>
            <w:vAlign w:val="bottom"/>
          </w:tcPr>
          <w:p>
            <w:pPr>
              <w:pStyle w:val="30"/>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8" w:hRule="atLeast"/>
        </w:trPr>
        <w:tc>
          <w:tcPr>
            <w:tcW w:w="557" w:type="dxa"/>
            <w:tcMar>
              <w:top w:w="15" w:type="dxa"/>
              <w:left w:w="15" w:type="dxa"/>
              <w:bottom w:w="0" w:type="dxa"/>
              <w:right w:w="15" w:type="dxa"/>
            </w:tcMar>
            <w:vAlign w:val="bottom"/>
          </w:tcPr>
          <w:p>
            <w:pPr>
              <w:pStyle w:val="30"/>
              <w:rPr>
                <w:color w:val="auto"/>
                <w:highlight w:val="none"/>
              </w:rPr>
            </w:pPr>
          </w:p>
        </w:tc>
        <w:tc>
          <w:tcPr>
            <w:tcW w:w="1240" w:type="dxa"/>
            <w:tcMar>
              <w:top w:w="15" w:type="dxa"/>
              <w:left w:w="15" w:type="dxa"/>
              <w:bottom w:w="0" w:type="dxa"/>
              <w:right w:w="15" w:type="dxa"/>
            </w:tcMar>
            <w:vAlign w:val="bottom"/>
          </w:tcPr>
          <w:p>
            <w:pPr>
              <w:pStyle w:val="30"/>
              <w:rPr>
                <w:color w:val="auto"/>
                <w:highlight w:val="none"/>
              </w:rPr>
            </w:pPr>
          </w:p>
        </w:tc>
        <w:tc>
          <w:tcPr>
            <w:tcW w:w="570" w:type="dxa"/>
            <w:tcMar>
              <w:top w:w="15" w:type="dxa"/>
              <w:left w:w="15" w:type="dxa"/>
              <w:bottom w:w="0" w:type="dxa"/>
              <w:right w:w="15" w:type="dxa"/>
            </w:tcMar>
            <w:vAlign w:val="bottom"/>
          </w:tcPr>
          <w:p>
            <w:pPr>
              <w:pStyle w:val="30"/>
              <w:rPr>
                <w:color w:val="auto"/>
                <w:highlight w:val="none"/>
              </w:rPr>
            </w:pPr>
          </w:p>
        </w:tc>
        <w:tc>
          <w:tcPr>
            <w:tcW w:w="570" w:type="dxa"/>
            <w:tcMar>
              <w:top w:w="15" w:type="dxa"/>
              <w:left w:w="15" w:type="dxa"/>
              <w:bottom w:w="0" w:type="dxa"/>
              <w:right w:w="15" w:type="dxa"/>
            </w:tcMar>
            <w:vAlign w:val="bottom"/>
          </w:tcPr>
          <w:p>
            <w:pPr>
              <w:pStyle w:val="30"/>
              <w:rPr>
                <w:color w:val="auto"/>
                <w:highlight w:val="none"/>
              </w:rPr>
            </w:pPr>
          </w:p>
        </w:tc>
        <w:tc>
          <w:tcPr>
            <w:tcW w:w="570" w:type="dxa"/>
            <w:tcMar>
              <w:top w:w="15" w:type="dxa"/>
              <w:left w:w="15" w:type="dxa"/>
              <w:bottom w:w="0" w:type="dxa"/>
              <w:right w:w="15" w:type="dxa"/>
            </w:tcMar>
            <w:vAlign w:val="bottom"/>
          </w:tcPr>
          <w:p>
            <w:pPr>
              <w:pStyle w:val="30"/>
              <w:rPr>
                <w:color w:val="auto"/>
                <w:highlight w:val="none"/>
              </w:rPr>
            </w:pPr>
          </w:p>
        </w:tc>
        <w:tc>
          <w:tcPr>
            <w:tcW w:w="835" w:type="dxa"/>
            <w:tcMar>
              <w:top w:w="15" w:type="dxa"/>
              <w:left w:w="15" w:type="dxa"/>
              <w:bottom w:w="0" w:type="dxa"/>
              <w:right w:w="15" w:type="dxa"/>
            </w:tcMar>
            <w:vAlign w:val="bottom"/>
          </w:tcPr>
          <w:p>
            <w:pPr>
              <w:pStyle w:val="30"/>
              <w:rPr>
                <w:color w:val="auto"/>
                <w:highlight w:val="none"/>
              </w:rPr>
            </w:pPr>
          </w:p>
        </w:tc>
        <w:tc>
          <w:tcPr>
            <w:tcW w:w="1157" w:type="dxa"/>
            <w:tcMar>
              <w:top w:w="15" w:type="dxa"/>
              <w:left w:w="15" w:type="dxa"/>
              <w:bottom w:w="0" w:type="dxa"/>
              <w:right w:w="15" w:type="dxa"/>
            </w:tcMar>
          </w:tcPr>
          <w:p>
            <w:pPr>
              <w:pStyle w:val="30"/>
              <w:rPr>
                <w:color w:val="auto"/>
                <w:highlight w:val="none"/>
              </w:rPr>
            </w:pPr>
          </w:p>
        </w:tc>
        <w:tc>
          <w:tcPr>
            <w:tcW w:w="748" w:type="dxa"/>
            <w:tcMar>
              <w:top w:w="15" w:type="dxa"/>
              <w:left w:w="15" w:type="dxa"/>
              <w:bottom w:w="0" w:type="dxa"/>
              <w:right w:w="15" w:type="dxa"/>
            </w:tcMar>
            <w:vAlign w:val="bottom"/>
          </w:tcPr>
          <w:p>
            <w:pPr>
              <w:pStyle w:val="30"/>
              <w:rPr>
                <w:color w:val="auto"/>
                <w:highlight w:val="none"/>
              </w:rPr>
            </w:pPr>
          </w:p>
        </w:tc>
        <w:tc>
          <w:tcPr>
            <w:tcW w:w="1877" w:type="dxa"/>
            <w:tcMar>
              <w:top w:w="15" w:type="dxa"/>
              <w:left w:w="15" w:type="dxa"/>
              <w:bottom w:w="0" w:type="dxa"/>
              <w:right w:w="15" w:type="dxa"/>
            </w:tcMar>
            <w:vAlign w:val="bottom"/>
          </w:tcPr>
          <w:p>
            <w:pPr>
              <w:pStyle w:val="30"/>
              <w:rPr>
                <w:color w:val="auto"/>
                <w:highlight w:val="none"/>
              </w:rPr>
            </w:pPr>
          </w:p>
        </w:tc>
        <w:tc>
          <w:tcPr>
            <w:tcW w:w="680" w:type="dxa"/>
            <w:tcMar>
              <w:top w:w="15" w:type="dxa"/>
              <w:left w:w="15" w:type="dxa"/>
              <w:bottom w:w="0" w:type="dxa"/>
              <w:right w:w="15" w:type="dxa"/>
            </w:tcMar>
            <w:vAlign w:val="bottom"/>
          </w:tcPr>
          <w:p>
            <w:pPr>
              <w:pStyle w:val="30"/>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atLeast"/>
        </w:trPr>
        <w:tc>
          <w:tcPr>
            <w:tcW w:w="557" w:type="dxa"/>
            <w:tcMar>
              <w:top w:w="15" w:type="dxa"/>
              <w:left w:w="15" w:type="dxa"/>
              <w:bottom w:w="0" w:type="dxa"/>
              <w:right w:w="15" w:type="dxa"/>
            </w:tcMar>
            <w:vAlign w:val="bottom"/>
          </w:tcPr>
          <w:p>
            <w:pPr>
              <w:pStyle w:val="30"/>
              <w:rPr>
                <w:color w:val="auto"/>
                <w:highlight w:val="none"/>
              </w:rPr>
            </w:pPr>
          </w:p>
        </w:tc>
        <w:tc>
          <w:tcPr>
            <w:tcW w:w="1240" w:type="dxa"/>
            <w:tcMar>
              <w:top w:w="15" w:type="dxa"/>
              <w:left w:w="15" w:type="dxa"/>
              <w:bottom w:w="0" w:type="dxa"/>
              <w:right w:w="15" w:type="dxa"/>
            </w:tcMar>
            <w:vAlign w:val="bottom"/>
          </w:tcPr>
          <w:p>
            <w:pPr>
              <w:pStyle w:val="30"/>
              <w:rPr>
                <w:color w:val="auto"/>
                <w:highlight w:val="none"/>
              </w:rPr>
            </w:pPr>
          </w:p>
        </w:tc>
        <w:tc>
          <w:tcPr>
            <w:tcW w:w="570" w:type="dxa"/>
            <w:tcMar>
              <w:top w:w="15" w:type="dxa"/>
              <w:left w:w="15" w:type="dxa"/>
              <w:bottom w:w="0" w:type="dxa"/>
              <w:right w:w="15" w:type="dxa"/>
            </w:tcMar>
            <w:vAlign w:val="bottom"/>
          </w:tcPr>
          <w:p>
            <w:pPr>
              <w:pStyle w:val="30"/>
              <w:rPr>
                <w:color w:val="auto"/>
                <w:highlight w:val="none"/>
              </w:rPr>
            </w:pPr>
          </w:p>
        </w:tc>
        <w:tc>
          <w:tcPr>
            <w:tcW w:w="570" w:type="dxa"/>
            <w:tcMar>
              <w:top w:w="15" w:type="dxa"/>
              <w:left w:w="15" w:type="dxa"/>
              <w:bottom w:w="0" w:type="dxa"/>
              <w:right w:w="15" w:type="dxa"/>
            </w:tcMar>
            <w:vAlign w:val="bottom"/>
          </w:tcPr>
          <w:p>
            <w:pPr>
              <w:pStyle w:val="30"/>
              <w:rPr>
                <w:color w:val="auto"/>
                <w:highlight w:val="none"/>
              </w:rPr>
            </w:pPr>
          </w:p>
        </w:tc>
        <w:tc>
          <w:tcPr>
            <w:tcW w:w="570" w:type="dxa"/>
            <w:tcMar>
              <w:top w:w="15" w:type="dxa"/>
              <w:left w:w="15" w:type="dxa"/>
              <w:bottom w:w="0" w:type="dxa"/>
              <w:right w:w="15" w:type="dxa"/>
            </w:tcMar>
            <w:vAlign w:val="bottom"/>
          </w:tcPr>
          <w:p>
            <w:pPr>
              <w:pStyle w:val="30"/>
              <w:rPr>
                <w:color w:val="auto"/>
                <w:highlight w:val="none"/>
              </w:rPr>
            </w:pPr>
          </w:p>
        </w:tc>
        <w:tc>
          <w:tcPr>
            <w:tcW w:w="835" w:type="dxa"/>
            <w:tcMar>
              <w:top w:w="15" w:type="dxa"/>
              <w:left w:w="15" w:type="dxa"/>
              <w:bottom w:w="0" w:type="dxa"/>
              <w:right w:w="15" w:type="dxa"/>
            </w:tcMar>
            <w:vAlign w:val="bottom"/>
          </w:tcPr>
          <w:p>
            <w:pPr>
              <w:pStyle w:val="30"/>
              <w:rPr>
                <w:color w:val="auto"/>
                <w:highlight w:val="none"/>
              </w:rPr>
            </w:pPr>
          </w:p>
        </w:tc>
        <w:tc>
          <w:tcPr>
            <w:tcW w:w="1157" w:type="dxa"/>
            <w:tcMar>
              <w:top w:w="15" w:type="dxa"/>
              <w:left w:w="15" w:type="dxa"/>
              <w:bottom w:w="0" w:type="dxa"/>
              <w:right w:w="15" w:type="dxa"/>
            </w:tcMar>
          </w:tcPr>
          <w:p>
            <w:pPr>
              <w:pStyle w:val="30"/>
              <w:rPr>
                <w:color w:val="auto"/>
                <w:highlight w:val="none"/>
              </w:rPr>
            </w:pPr>
          </w:p>
        </w:tc>
        <w:tc>
          <w:tcPr>
            <w:tcW w:w="748" w:type="dxa"/>
            <w:tcMar>
              <w:top w:w="15" w:type="dxa"/>
              <w:left w:w="15" w:type="dxa"/>
              <w:bottom w:w="0" w:type="dxa"/>
              <w:right w:w="15" w:type="dxa"/>
            </w:tcMar>
            <w:vAlign w:val="bottom"/>
          </w:tcPr>
          <w:p>
            <w:pPr>
              <w:pStyle w:val="30"/>
              <w:rPr>
                <w:color w:val="auto"/>
                <w:highlight w:val="none"/>
              </w:rPr>
            </w:pPr>
          </w:p>
        </w:tc>
        <w:tc>
          <w:tcPr>
            <w:tcW w:w="1877" w:type="dxa"/>
            <w:tcMar>
              <w:top w:w="15" w:type="dxa"/>
              <w:left w:w="15" w:type="dxa"/>
              <w:bottom w:w="0" w:type="dxa"/>
              <w:right w:w="15" w:type="dxa"/>
            </w:tcMar>
            <w:vAlign w:val="bottom"/>
          </w:tcPr>
          <w:p>
            <w:pPr>
              <w:pStyle w:val="30"/>
              <w:rPr>
                <w:color w:val="auto"/>
                <w:highlight w:val="none"/>
              </w:rPr>
            </w:pPr>
          </w:p>
        </w:tc>
        <w:tc>
          <w:tcPr>
            <w:tcW w:w="680" w:type="dxa"/>
            <w:tcMar>
              <w:top w:w="15" w:type="dxa"/>
              <w:left w:w="15" w:type="dxa"/>
              <w:bottom w:w="0" w:type="dxa"/>
              <w:right w:w="15" w:type="dxa"/>
            </w:tcMar>
            <w:vAlign w:val="bottom"/>
          </w:tcPr>
          <w:p>
            <w:pPr>
              <w:pStyle w:val="30"/>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atLeast"/>
        </w:trPr>
        <w:tc>
          <w:tcPr>
            <w:tcW w:w="557" w:type="dxa"/>
            <w:tcMar>
              <w:top w:w="15" w:type="dxa"/>
              <w:left w:w="15" w:type="dxa"/>
              <w:bottom w:w="0" w:type="dxa"/>
              <w:right w:w="15" w:type="dxa"/>
            </w:tcMar>
            <w:vAlign w:val="bottom"/>
          </w:tcPr>
          <w:p>
            <w:pPr>
              <w:pStyle w:val="30"/>
              <w:rPr>
                <w:color w:val="auto"/>
                <w:highlight w:val="none"/>
              </w:rPr>
            </w:pPr>
          </w:p>
        </w:tc>
        <w:tc>
          <w:tcPr>
            <w:tcW w:w="1240" w:type="dxa"/>
            <w:tcMar>
              <w:top w:w="15" w:type="dxa"/>
              <w:left w:w="15" w:type="dxa"/>
              <w:bottom w:w="0" w:type="dxa"/>
              <w:right w:w="15" w:type="dxa"/>
            </w:tcMar>
            <w:vAlign w:val="bottom"/>
          </w:tcPr>
          <w:p>
            <w:pPr>
              <w:pStyle w:val="30"/>
              <w:rPr>
                <w:color w:val="auto"/>
                <w:highlight w:val="none"/>
              </w:rPr>
            </w:pPr>
          </w:p>
        </w:tc>
        <w:tc>
          <w:tcPr>
            <w:tcW w:w="570" w:type="dxa"/>
            <w:tcMar>
              <w:top w:w="15" w:type="dxa"/>
              <w:left w:w="15" w:type="dxa"/>
              <w:bottom w:w="0" w:type="dxa"/>
              <w:right w:w="15" w:type="dxa"/>
            </w:tcMar>
            <w:vAlign w:val="bottom"/>
          </w:tcPr>
          <w:p>
            <w:pPr>
              <w:pStyle w:val="30"/>
              <w:rPr>
                <w:color w:val="auto"/>
                <w:highlight w:val="none"/>
              </w:rPr>
            </w:pPr>
          </w:p>
        </w:tc>
        <w:tc>
          <w:tcPr>
            <w:tcW w:w="570" w:type="dxa"/>
            <w:tcMar>
              <w:top w:w="15" w:type="dxa"/>
              <w:left w:w="15" w:type="dxa"/>
              <w:bottom w:w="0" w:type="dxa"/>
              <w:right w:w="15" w:type="dxa"/>
            </w:tcMar>
            <w:vAlign w:val="bottom"/>
          </w:tcPr>
          <w:p>
            <w:pPr>
              <w:pStyle w:val="30"/>
              <w:rPr>
                <w:color w:val="auto"/>
                <w:highlight w:val="none"/>
              </w:rPr>
            </w:pPr>
          </w:p>
        </w:tc>
        <w:tc>
          <w:tcPr>
            <w:tcW w:w="570" w:type="dxa"/>
            <w:tcMar>
              <w:top w:w="15" w:type="dxa"/>
              <w:left w:w="15" w:type="dxa"/>
              <w:bottom w:w="0" w:type="dxa"/>
              <w:right w:w="15" w:type="dxa"/>
            </w:tcMar>
            <w:vAlign w:val="bottom"/>
          </w:tcPr>
          <w:p>
            <w:pPr>
              <w:pStyle w:val="30"/>
              <w:rPr>
                <w:color w:val="auto"/>
                <w:highlight w:val="none"/>
              </w:rPr>
            </w:pPr>
          </w:p>
        </w:tc>
        <w:tc>
          <w:tcPr>
            <w:tcW w:w="835" w:type="dxa"/>
            <w:tcMar>
              <w:top w:w="15" w:type="dxa"/>
              <w:left w:w="15" w:type="dxa"/>
              <w:bottom w:w="0" w:type="dxa"/>
              <w:right w:w="15" w:type="dxa"/>
            </w:tcMar>
            <w:vAlign w:val="bottom"/>
          </w:tcPr>
          <w:p>
            <w:pPr>
              <w:pStyle w:val="30"/>
              <w:rPr>
                <w:color w:val="auto"/>
                <w:highlight w:val="none"/>
              </w:rPr>
            </w:pPr>
          </w:p>
        </w:tc>
        <w:tc>
          <w:tcPr>
            <w:tcW w:w="1157" w:type="dxa"/>
            <w:tcMar>
              <w:top w:w="15" w:type="dxa"/>
              <w:left w:w="15" w:type="dxa"/>
              <w:bottom w:w="0" w:type="dxa"/>
              <w:right w:w="15" w:type="dxa"/>
            </w:tcMar>
          </w:tcPr>
          <w:p>
            <w:pPr>
              <w:pStyle w:val="30"/>
              <w:rPr>
                <w:color w:val="auto"/>
                <w:highlight w:val="none"/>
              </w:rPr>
            </w:pPr>
          </w:p>
        </w:tc>
        <w:tc>
          <w:tcPr>
            <w:tcW w:w="748" w:type="dxa"/>
            <w:tcMar>
              <w:top w:w="15" w:type="dxa"/>
              <w:left w:w="15" w:type="dxa"/>
              <w:bottom w:w="0" w:type="dxa"/>
              <w:right w:w="15" w:type="dxa"/>
            </w:tcMar>
            <w:vAlign w:val="bottom"/>
          </w:tcPr>
          <w:p>
            <w:pPr>
              <w:pStyle w:val="30"/>
              <w:rPr>
                <w:color w:val="auto"/>
                <w:highlight w:val="none"/>
              </w:rPr>
            </w:pPr>
          </w:p>
        </w:tc>
        <w:tc>
          <w:tcPr>
            <w:tcW w:w="1877" w:type="dxa"/>
            <w:tcMar>
              <w:top w:w="15" w:type="dxa"/>
              <w:left w:w="15" w:type="dxa"/>
              <w:bottom w:w="0" w:type="dxa"/>
              <w:right w:w="15" w:type="dxa"/>
            </w:tcMar>
            <w:vAlign w:val="bottom"/>
          </w:tcPr>
          <w:p>
            <w:pPr>
              <w:pStyle w:val="30"/>
              <w:rPr>
                <w:color w:val="auto"/>
                <w:highlight w:val="none"/>
              </w:rPr>
            </w:pPr>
          </w:p>
        </w:tc>
        <w:tc>
          <w:tcPr>
            <w:tcW w:w="680" w:type="dxa"/>
            <w:tcMar>
              <w:top w:w="15" w:type="dxa"/>
              <w:left w:w="15" w:type="dxa"/>
              <w:bottom w:w="0" w:type="dxa"/>
              <w:right w:w="15" w:type="dxa"/>
            </w:tcMar>
            <w:vAlign w:val="bottom"/>
          </w:tcPr>
          <w:p>
            <w:pPr>
              <w:pStyle w:val="30"/>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8" w:hRule="atLeast"/>
        </w:trPr>
        <w:tc>
          <w:tcPr>
            <w:tcW w:w="557" w:type="dxa"/>
            <w:tcMar>
              <w:top w:w="15" w:type="dxa"/>
              <w:left w:w="15" w:type="dxa"/>
              <w:bottom w:w="0" w:type="dxa"/>
              <w:right w:w="15" w:type="dxa"/>
            </w:tcMar>
            <w:vAlign w:val="bottom"/>
          </w:tcPr>
          <w:p>
            <w:pPr>
              <w:pStyle w:val="30"/>
              <w:rPr>
                <w:color w:val="auto"/>
                <w:highlight w:val="none"/>
              </w:rPr>
            </w:pPr>
          </w:p>
        </w:tc>
        <w:tc>
          <w:tcPr>
            <w:tcW w:w="1240" w:type="dxa"/>
            <w:tcMar>
              <w:top w:w="15" w:type="dxa"/>
              <w:left w:w="15" w:type="dxa"/>
              <w:bottom w:w="0" w:type="dxa"/>
              <w:right w:w="15" w:type="dxa"/>
            </w:tcMar>
            <w:vAlign w:val="bottom"/>
          </w:tcPr>
          <w:p>
            <w:pPr>
              <w:pStyle w:val="30"/>
              <w:rPr>
                <w:color w:val="auto"/>
                <w:highlight w:val="none"/>
              </w:rPr>
            </w:pPr>
          </w:p>
        </w:tc>
        <w:tc>
          <w:tcPr>
            <w:tcW w:w="570" w:type="dxa"/>
            <w:tcMar>
              <w:top w:w="15" w:type="dxa"/>
              <w:left w:w="15" w:type="dxa"/>
              <w:bottom w:w="0" w:type="dxa"/>
              <w:right w:w="15" w:type="dxa"/>
            </w:tcMar>
            <w:vAlign w:val="bottom"/>
          </w:tcPr>
          <w:p>
            <w:pPr>
              <w:pStyle w:val="30"/>
              <w:rPr>
                <w:color w:val="auto"/>
                <w:highlight w:val="none"/>
              </w:rPr>
            </w:pPr>
          </w:p>
        </w:tc>
        <w:tc>
          <w:tcPr>
            <w:tcW w:w="570" w:type="dxa"/>
            <w:tcMar>
              <w:top w:w="15" w:type="dxa"/>
              <w:left w:w="15" w:type="dxa"/>
              <w:bottom w:w="0" w:type="dxa"/>
              <w:right w:w="15" w:type="dxa"/>
            </w:tcMar>
            <w:vAlign w:val="bottom"/>
          </w:tcPr>
          <w:p>
            <w:pPr>
              <w:pStyle w:val="30"/>
              <w:rPr>
                <w:color w:val="auto"/>
                <w:highlight w:val="none"/>
              </w:rPr>
            </w:pPr>
          </w:p>
        </w:tc>
        <w:tc>
          <w:tcPr>
            <w:tcW w:w="570" w:type="dxa"/>
            <w:tcMar>
              <w:top w:w="15" w:type="dxa"/>
              <w:left w:w="15" w:type="dxa"/>
              <w:bottom w:w="0" w:type="dxa"/>
              <w:right w:w="15" w:type="dxa"/>
            </w:tcMar>
            <w:vAlign w:val="bottom"/>
          </w:tcPr>
          <w:p>
            <w:pPr>
              <w:pStyle w:val="30"/>
              <w:rPr>
                <w:color w:val="auto"/>
                <w:highlight w:val="none"/>
              </w:rPr>
            </w:pPr>
          </w:p>
        </w:tc>
        <w:tc>
          <w:tcPr>
            <w:tcW w:w="835" w:type="dxa"/>
            <w:tcMar>
              <w:top w:w="15" w:type="dxa"/>
              <w:left w:w="15" w:type="dxa"/>
              <w:bottom w:w="0" w:type="dxa"/>
              <w:right w:w="15" w:type="dxa"/>
            </w:tcMar>
            <w:vAlign w:val="bottom"/>
          </w:tcPr>
          <w:p>
            <w:pPr>
              <w:pStyle w:val="30"/>
              <w:rPr>
                <w:color w:val="auto"/>
                <w:highlight w:val="none"/>
              </w:rPr>
            </w:pPr>
          </w:p>
        </w:tc>
        <w:tc>
          <w:tcPr>
            <w:tcW w:w="1157" w:type="dxa"/>
            <w:tcMar>
              <w:top w:w="15" w:type="dxa"/>
              <w:left w:w="15" w:type="dxa"/>
              <w:bottom w:w="0" w:type="dxa"/>
              <w:right w:w="15" w:type="dxa"/>
            </w:tcMar>
          </w:tcPr>
          <w:p>
            <w:pPr>
              <w:pStyle w:val="30"/>
              <w:rPr>
                <w:color w:val="auto"/>
                <w:highlight w:val="none"/>
              </w:rPr>
            </w:pPr>
          </w:p>
        </w:tc>
        <w:tc>
          <w:tcPr>
            <w:tcW w:w="748" w:type="dxa"/>
            <w:tcMar>
              <w:top w:w="15" w:type="dxa"/>
              <w:left w:w="15" w:type="dxa"/>
              <w:bottom w:w="0" w:type="dxa"/>
              <w:right w:w="15" w:type="dxa"/>
            </w:tcMar>
            <w:vAlign w:val="bottom"/>
          </w:tcPr>
          <w:p>
            <w:pPr>
              <w:pStyle w:val="30"/>
              <w:rPr>
                <w:color w:val="auto"/>
                <w:highlight w:val="none"/>
              </w:rPr>
            </w:pPr>
          </w:p>
        </w:tc>
        <w:tc>
          <w:tcPr>
            <w:tcW w:w="1877" w:type="dxa"/>
            <w:tcMar>
              <w:top w:w="15" w:type="dxa"/>
              <w:left w:w="15" w:type="dxa"/>
              <w:bottom w:w="0" w:type="dxa"/>
              <w:right w:w="15" w:type="dxa"/>
            </w:tcMar>
            <w:vAlign w:val="bottom"/>
          </w:tcPr>
          <w:p>
            <w:pPr>
              <w:pStyle w:val="30"/>
              <w:rPr>
                <w:color w:val="auto"/>
                <w:highlight w:val="none"/>
              </w:rPr>
            </w:pPr>
          </w:p>
        </w:tc>
        <w:tc>
          <w:tcPr>
            <w:tcW w:w="680" w:type="dxa"/>
            <w:tcMar>
              <w:top w:w="15" w:type="dxa"/>
              <w:left w:w="15" w:type="dxa"/>
              <w:bottom w:w="0" w:type="dxa"/>
              <w:right w:w="15" w:type="dxa"/>
            </w:tcMar>
            <w:vAlign w:val="bottom"/>
          </w:tcPr>
          <w:p>
            <w:pPr>
              <w:pStyle w:val="30"/>
              <w:rPr>
                <w:color w:val="auto"/>
                <w:highlight w:val="none"/>
              </w:rPr>
            </w:pPr>
          </w:p>
        </w:tc>
      </w:tr>
    </w:tbl>
    <w:p>
      <w:pPr>
        <w:pStyle w:val="5"/>
        <w:ind w:firstLine="480"/>
        <w:rPr>
          <w:color w:val="auto"/>
          <w:highlight w:val="none"/>
        </w:rPr>
      </w:pPr>
      <w:r>
        <w:rPr>
          <w:rFonts w:hint="eastAsia"/>
          <w:color w:val="auto"/>
          <w:highlight w:val="none"/>
        </w:rPr>
        <w:t>注：“岗位情况”须注明该人在本单位是在岗、返聘还是外聘。</w:t>
      </w:r>
    </w:p>
    <w:p>
      <w:pPr>
        <w:pStyle w:val="7"/>
        <w:spacing w:before="666" w:after="666"/>
        <w:rPr>
          <w:color w:val="auto"/>
          <w:highlight w:val="none"/>
        </w:rPr>
      </w:pPr>
      <w:bookmarkStart w:id="234" w:name="_Toc341541376"/>
      <w:bookmarkStart w:id="235" w:name="_Toc225415660"/>
      <w:bookmarkStart w:id="236" w:name="_Toc225410182"/>
      <w:bookmarkStart w:id="237" w:name="_Toc16685"/>
      <w:bookmarkStart w:id="238" w:name="_Toc26060"/>
      <w:bookmarkStart w:id="239" w:name="_Toc225415861"/>
      <w:bookmarkStart w:id="240" w:name="_Toc8175"/>
      <w:bookmarkStart w:id="241" w:name="_Toc225410808"/>
      <w:bookmarkStart w:id="242" w:name="_Toc4548"/>
      <w:bookmarkStart w:id="243" w:name="_Toc225566883"/>
      <w:bookmarkStart w:id="244" w:name="_Toc5691"/>
      <w:bookmarkStart w:id="245" w:name="_Toc225412172"/>
      <w:bookmarkStart w:id="246" w:name="_Toc5833"/>
      <w:bookmarkStart w:id="247" w:name="_Toc225566702"/>
      <w:bookmarkStart w:id="248" w:name="_Toc225409966"/>
      <w:bookmarkStart w:id="249" w:name="_Toc225412374"/>
      <w:bookmarkStart w:id="250" w:name="_Toc396304715"/>
      <w:bookmarkStart w:id="251" w:name="_Toc15882"/>
      <w:bookmarkStart w:id="252" w:name="_Toc6668"/>
      <w:bookmarkStart w:id="253" w:name="_Toc225416062"/>
      <w:bookmarkStart w:id="254" w:name="_Toc225567482"/>
      <w:bookmarkStart w:id="255" w:name="_Toc403077653"/>
      <w:bookmarkStart w:id="256" w:name="_Toc14010"/>
      <w:bookmarkStart w:id="257" w:name="_Toc426457711"/>
      <w:r>
        <w:rPr>
          <w:rFonts w:hint="eastAsia"/>
          <w:color w:val="auto"/>
          <w:highlight w:val="none"/>
        </w:rPr>
        <w:t>（二） 本项目拟投入主要人员简历表</w:t>
      </w:r>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p>
    <w:p>
      <w:pPr>
        <w:pStyle w:val="33"/>
        <w:spacing w:line="360" w:lineRule="auto"/>
        <w:ind w:firstLine="0" w:firstLineChars="0"/>
        <w:jc w:val="center"/>
        <w:outlineLvl w:val="9"/>
        <w:rPr>
          <w:rFonts w:hAnsi="宋体"/>
          <w:color w:val="auto"/>
          <w:szCs w:val="24"/>
          <w:highlight w:val="none"/>
        </w:rPr>
      </w:pPr>
      <w:bookmarkStart w:id="258" w:name="_Toc12576"/>
      <w:bookmarkStart w:id="259" w:name="_Toc396304716"/>
      <w:bookmarkStart w:id="260" w:name="_Toc26268"/>
      <w:bookmarkStart w:id="261" w:name="_Toc21195"/>
      <w:bookmarkStart w:id="262" w:name="_Toc426457712"/>
      <w:bookmarkStart w:id="263" w:name="_Toc13947"/>
      <w:bookmarkStart w:id="264" w:name="_Toc30540"/>
      <w:bookmarkStart w:id="265" w:name="_Toc23862"/>
      <w:bookmarkStart w:id="266" w:name="_Toc1696"/>
      <w:bookmarkStart w:id="267" w:name="_Toc23655"/>
      <w:bookmarkStart w:id="268" w:name="_Toc4640"/>
      <w:bookmarkStart w:id="269" w:name="_Toc403077654"/>
      <w:r>
        <w:rPr>
          <w:rFonts w:hint="eastAsia" w:hAnsi="宋体"/>
          <w:color w:val="auto"/>
          <w:szCs w:val="24"/>
          <w:highlight w:val="none"/>
        </w:rPr>
        <w:t>本项目拟投入主要人员简历表</w:t>
      </w:r>
      <w:bookmarkEnd w:id="258"/>
      <w:bookmarkEnd w:id="259"/>
      <w:bookmarkEnd w:id="260"/>
      <w:bookmarkEnd w:id="261"/>
      <w:bookmarkEnd w:id="262"/>
      <w:bookmarkEnd w:id="263"/>
      <w:bookmarkEnd w:id="264"/>
      <w:bookmarkEnd w:id="265"/>
      <w:bookmarkEnd w:id="266"/>
      <w:bookmarkEnd w:id="267"/>
      <w:bookmarkEnd w:id="268"/>
      <w:bookmarkEnd w:id="269"/>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0"/>
        <w:gridCol w:w="272"/>
        <w:gridCol w:w="1577"/>
        <w:gridCol w:w="1525"/>
        <w:gridCol w:w="1286"/>
        <w:gridCol w:w="45"/>
        <w:gridCol w:w="1709"/>
        <w:gridCol w:w="7"/>
        <w:gridCol w:w="1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772" w:type="dxa"/>
            <w:gridSpan w:val="2"/>
            <w:vAlign w:val="center"/>
          </w:tcPr>
          <w:p>
            <w:pPr>
              <w:pStyle w:val="30"/>
              <w:rPr>
                <w:color w:val="auto"/>
                <w:highlight w:val="none"/>
              </w:rPr>
            </w:pPr>
            <w:r>
              <w:rPr>
                <w:rFonts w:hint="eastAsia"/>
                <w:color w:val="auto"/>
                <w:highlight w:val="none"/>
              </w:rPr>
              <w:t>姓  名</w:t>
            </w:r>
          </w:p>
        </w:tc>
        <w:tc>
          <w:tcPr>
            <w:tcW w:w="1577" w:type="dxa"/>
            <w:vAlign w:val="center"/>
          </w:tcPr>
          <w:p>
            <w:pPr>
              <w:pStyle w:val="30"/>
              <w:rPr>
                <w:color w:val="auto"/>
                <w:highlight w:val="none"/>
              </w:rPr>
            </w:pPr>
          </w:p>
        </w:tc>
        <w:tc>
          <w:tcPr>
            <w:tcW w:w="1525" w:type="dxa"/>
            <w:vAlign w:val="center"/>
          </w:tcPr>
          <w:p>
            <w:pPr>
              <w:pStyle w:val="30"/>
              <w:rPr>
                <w:color w:val="auto"/>
                <w:highlight w:val="none"/>
              </w:rPr>
            </w:pPr>
            <w:r>
              <w:rPr>
                <w:rFonts w:hint="eastAsia"/>
                <w:color w:val="auto"/>
                <w:highlight w:val="none"/>
              </w:rPr>
              <w:t>性 别</w:t>
            </w:r>
          </w:p>
        </w:tc>
        <w:tc>
          <w:tcPr>
            <w:tcW w:w="1331" w:type="dxa"/>
            <w:gridSpan w:val="2"/>
            <w:vAlign w:val="center"/>
          </w:tcPr>
          <w:p>
            <w:pPr>
              <w:pStyle w:val="30"/>
              <w:rPr>
                <w:color w:val="auto"/>
                <w:highlight w:val="none"/>
              </w:rPr>
            </w:pPr>
          </w:p>
        </w:tc>
        <w:tc>
          <w:tcPr>
            <w:tcW w:w="1709" w:type="dxa"/>
            <w:vAlign w:val="center"/>
          </w:tcPr>
          <w:p>
            <w:pPr>
              <w:pStyle w:val="30"/>
              <w:rPr>
                <w:color w:val="auto"/>
                <w:highlight w:val="none"/>
              </w:rPr>
            </w:pPr>
            <w:r>
              <w:rPr>
                <w:rFonts w:hint="eastAsia"/>
                <w:color w:val="auto"/>
                <w:highlight w:val="none"/>
              </w:rPr>
              <w:t>年 龄</w:t>
            </w:r>
          </w:p>
        </w:tc>
        <w:tc>
          <w:tcPr>
            <w:tcW w:w="1139" w:type="dxa"/>
            <w:gridSpan w:val="2"/>
            <w:vAlign w:val="center"/>
          </w:tcPr>
          <w:p>
            <w:pPr>
              <w:pStyle w:val="30"/>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772" w:type="dxa"/>
            <w:gridSpan w:val="2"/>
            <w:vAlign w:val="center"/>
          </w:tcPr>
          <w:p>
            <w:pPr>
              <w:pStyle w:val="30"/>
              <w:rPr>
                <w:color w:val="auto"/>
                <w:highlight w:val="none"/>
              </w:rPr>
            </w:pPr>
            <w:r>
              <w:rPr>
                <w:rFonts w:hint="eastAsia"/>
                <w:color w:val="auto"/>
                <w:highlight w:val="none"/>
              </w:rPr>
              <w:t>职  称</w:t>
            </w:r>
          </w:p>
        </w:tc>
        <w:tc>
          <w:tcPr>
            <w:tcW w:w="1577" w:type="dxa"/>
            <w:vAlign w:val="center"/>
          </w:tcPr>
          <w:p>
            <w:pPr>
              <w:pStyle w:val="30"/>
              <w:rPr>
                <w:color w:val="auto"/>
                <w:highlight w:val="none"/>
              </w:rPr>
            </w:pPr>
          </w:p>
        </w:tc>
        <w:tc>
          <w:tcPr>
            <w:tcW w:w="1525" w:type="dxa"/>
            <w:vAlign w:val="center"/>
          </w:tcPr>
          <w:p>
            <w:pPr>
              <w:pStyle w:val="30"/>
              <w:rPr>
                <w:color w:val="auto"/>
                <w:highlight w:val="none"/>
              </w:rPr>
            </w:pPr>
            <w:r>
              <w:rPr>
                <w:rFonts w:hint="eastAsia"/>
                <w:color w:val="auto"/>
                <w:highlight w:val="none"/>
              </w:rPr>
              <w:t>身份证号</w:t>
            </w:r>
          </w:p>
        </w:tc>
        <w:tc>
          <w:tcPr>
            <w:tcW w:w="1331" w:type="dxa"/>
            <w:gridSpan w:val="2"/>
            <w:vAlign w:val="center"/>
          </w:tcPr>
          <w:p>
            <w:pPr>
              <w:pStyle w:val="30"/>
              <w:rPr>
                <w:color w:val="auto"/>
                <w:highlight w:val="none"/>
              </w:rPr>
            </w:pPr>
          </w:p>
        </w:tc>
        <w:tc>
          <w:tcPr>
            <w:tcW w:w="1709" w:type="dxa"/>
            <w:vAlign w:val="center"/>
          </w:tcPr>
          <w:p>
            <w:pPr>
              <w:pStyle w:val="30"/>
              <w:rPr>
                <w:color w:val="auto"/>
                <w:highlight w:val="none"/>
              </w:rPr>
            </w:pPr>
            <w:r>
              <w:rPr>
                <w:rFonts w:hint="eastAsia"/>
                <w:color w:val="auto"/>
                <w:highlight w:val="none"/>
              </w:rPr>
              <w:t>专业/年限</w:t>
            </w:r>
          </w:p>
        </w:tc>
        <w:tc>
          <w:tcPr>
            <w:tcW w:w="1139" w:type="dxa"/>
            <w:gridSpan w:val="2"/>
            <w:vAlign w:val="center"/>
          </w:tcPr>
          <w:p>
            <w:pPr>
              <w:pStyle w:val="30"/>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772" w:type="dxa"/>
            <w:gridSpan w:val="2"/>
            <w:vAlign w:val="center"/>
          </w:tcPr>
          <w:p>
            <w:pPr>
              <w:pStyle w:val="30"/>
              <w:rPr>
                <w:color w:val="auto"/>
                <w:highlight w:val="none"/>
              </w:rPr>
            </w:pPr>
            <w:r>
              <w:rPr>
                <w:rFonts w:hint="eastAsia"/>
                <w:color w:val="auto"/>
                <w:highlight w:val="none"/>
              </w:rPr>
              <w:t>毕业时间</w:t>
            </w:r>
          </w:p>
        </w:tc>
        <w:tc>
          <w:tcPr>
            <w:tcW w:w="1577" w:type="dxa"/>
            <w:vAlign w:val="center"/>
          </w:tcPr>
          <w:p>
            <w:pPr>
              <w:pStyle w:val="30"/>
              <w:rPr>
                <w:color w:val="auto"/>
                <w:highlight w:val="none"/>
              </w:rPr>
            </w:pPr>
          </w:p>
        </w:tc>
        <w:tc>
          <w:tcPr>
            <w:tcW w:w="1525" w:type="dxa"/>
            <w:vAlign w:val="center"/>
          </w:tcPr>
          <w:p>
            <w:pPr>
              <w:pStyle w:val="30"/>
              <w:rPr>
                <w:color w:val="auto"/>
                <w:highlight w:val="none"/>
              </w:rPr>
            </w:pPr>
            <w:r>
              <w:rPr>
                <w:rFonts w:hint="eastAsia"/>
                <w:color w:val="auto"/>
                <w:highlight w:val="none"/>
              </w:rPr>
              <w:t>毕业学校</w:t>
            </w:r>
          </w:p>
        </w:tc>
        <w:tc>
          <w:tcPr>
            <w:tcW w:w="1331" w:type="dxa"/>
            <w:gridSpan w:val="2"/>
            <w:vAlign w:val="center"/>
          </w:tcPr>
          <w:p>
            <w:pPr>
              <w:pStyle w:val="30"/>
              <w:rPr>
                <w:color w:val="auto"/>
                <w:highlight w:val="none"/>
              </w:rPr>
            </w:pPr>
          </w:p>
        </w:tc>
        <w:tc>
          <w:tcPr>
            <w:tcW w:w="1709" w:type="dxa"/>
            <w:vAlign w:val="center"/>
          </w:tcPr>
          <w:p>
            <w:pPr>
              <w:pStyle w:val="30"/>
              <w:rPr>
                <w:color w:val="auto"/>
                <w:highlight w:val="none"/>
              </w:rPr>
            </w:pPr>
            <w:r>
              <w:rPr>
                <w:rFonts w:hint="eastAsia"/>
                <w:color w:val="auto"/>
                <w:highlight w:val="none"/>
              </w:rPr>
              <w:t>学历/专业</w:t>
            </w:r>
          </w:p>
        </w:tc>
        <w:tc>
          <w:tcPr>
            <w:tcW w:w="1139" w:type="dxa"/>
            <w:gridSpan w:val="2"/>
            <w:vAlign w:val="center"/>
          </w:tcPr>
          <w:p>
            <w:pPr>
              <w:pStyle w:val="30"/>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772" w:type="dxa"/>
            <w:gridSpan w:val="2"/>
            <w:vAlign w:val="center"/>
          </w:tcPr>
          <w:p>
            <w:pPr>
              <w:pStyle w:val="30"/>
              <w:rPr>
                <w:color w:val="auto"/>
                <w:highlight w:val="none"/>
              </w:rPr>
            </w:pPr>
            <w:r>
              <w:rPr>
                <w:rFonts w:hint="eastAsia"/>
                <w:color w:val="auto"/>
                <w:highlight w:val="none"/>
              </w:rPr>
              <w:t>资格证书</w:t>
            </w:r>
          </w:p>
        </w:tc>
        <w:tc>
          <w:tcPr>
            <w:tcW w:w="1577" w:type="dxa"/>
            <w:vAlign w:val="center"/>
          </w:tcPr>
          <w:p>
            <w:pPr>
              <w:pStyle w:val="30"/>
              <w:rPr>
                <w:color w:val="auto"/>
                <w:highlight w:val="none"/>
              </w:rPr>
            </w:pPr>
          </w:p>
        </w:tc>
        <w:tc>
          <w:tcPr>
            <w:tcW w:w="1525" w:type="dxa"/>
            <w:vAlign w:val="center"/>
          </w:tcPr>
          <w:p>
            <w:pPr>
              <w:pStyle w:val="30"/>
              <w:rPr>
                <w:color w:val="auto"/>
                <w:highlight w:val="none"/>
              </w:rPr>
            </w:pPr>
            <w:r>
              <w:rPr>
                <w:rFonts w:hint="eastAsia"/>
                <w:color w:val="auto"/>
                <w:highlight w:val="none"/>
              </w:rPr>
              <w:t>注册时间</w:t>
            </w:r>
          </w:p>
        </w:tc>
        <w:tc>
          <w:tcPr>
            <w:tcW w:w="1331" w:type="dxa"/>
            <w:gridSpan w:val="2"/>
            <w:vAlign w:val="center"/>
          </w:tcPr>
          <w:p>
            <w:pPr>
              <w:pStyle w:val="30"/>
              <w:rPr>
                <w:color w:val="auto"/>
                <w:highlight w:val="none"/>
              </w:rPr>
            </w:pPr>
          </w:p>
        </w:tc>
        <w:tc>
          <w:tcPr>
            <w:tcW w:w="1709" w:type="dxa"/>
            <w:vAlign w:val="center"/>
          </w:tcPr>
          <w:p>
            <w:pPr>
              <w:pStyle w:val="30"/>
              <w:rPr>
                <w:color w:val="auto"/>
                <w:highlight w:val="none"/>
              </w:rPr>
            </w:pPr>
            <w:r>
              <w:rPr>
                <w:rFonts w:hint="eastAsia"/>
                <w:color w:val="auto"/>
                <w:highlight w:val="none"/>
              </w:rPr>
              <w:t>从业时间</w:t>
            </w:r>
          </w:p>
        </w:tc>
        <w:tc>
          <w:tcPr>
            <w:tcW w:w="1139" w:type="dxa"/>
            <w:gridSpan w:val="2"/>
            <w:vAlign w:val="center"/>
          </w:tcPr>
          <w:p>
            <w:pPr>
              <w:pStyle w:val="30"/>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3349" w:type="dxa"/>
            <w:gridSpan w:val="3"/>
            <w:vAlign w:val="center"/>
          </w:tcPr>
          <w:p>
            <w:pPr>
              <w:pStyle w:val="30"/>
              <w:rPr>
                <w:color w:val="auto"/>
                <w:highlight w:val="none"/>
              </w:rPr>
            </w:pPr>
            <w:r>
              <w:rPr>
                <w:rFonts w:hint="eastAsia"/>
                <w:color w:val="auto"/>
                <w:highlight w:val="none"/>
              </w:rPr>
              <w:t>是否属投标人固定雇员</w:t>
            </w:r>
          </w:p>
        </w:tc>
        <w:tc>
          <w:tcPr>
            <w:tcW w:w="1525" w:type="dxa"/>
            <w:vAlign w:val="center"/>
          </w:tcPr>
          <w:p>
            <w:pPr>
              <w:pStyle w:val="30"/>
              <w:rPr>
                <w:color w:val="auto"/>
                <w:highlight w:val="none"/>
              </w:rPr>
            </w:pPr>
          </w:p>
        </w:tc>
        <w:tc>
          <w:tcPr>
            <w:tcW w:w="3040" w:type="dxa"/>
            <w:gridSpan w:val="3"/>
            <w:vAlign w:val="center"/>
          </w:tcPr>
          <w:p>
            <w:pPr>
              <w:pStyle w:val="30"/>
              <w:rPr>
                <w:color w:val="auto"/>
                <w:highlight w:val="none"/>
              </w:rPr>
            </w:pPr>
            <w:r>
              <w:rPr>
                <w:rFonts w:hint="eastAsia"/>
                <w:color w:val="auto"/>
                <w:highlight w:val="none"/>
              </w:rPr>
              <w:t>为投标人服务时间</w:t>
            </w:r>
          </w:p>
        </w:tc>
        <w:tc>
          <w:tcPr>
            <w:tcW w:w="1139" w:type="dxa"/>
            <w:gridSpan w:val="2"/>
            <w:vAlign w:val="center"/>
          </w:tcPr>
          <w:p>
            <w:pPr>
              <w:pStyle w:val="30"/>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3349" w:type="dxa"/>
            <w:gridSpan w:val="3"/>
            <w:vAlign w:val="center"/>
          </w:tcPr>
          <w:p>
            <w:pPr>
              <w:pStyle w:val="30"/>
              <w:rPr>
                <w:color w:val="auto"/>
                <w:highlight w:val="none"/>
              </w:rPr>
            </w:pPr>
            <w:r>
              <w:rPr>
                <w:rFonts w:hint="eastAsia"/>
                <w:color w:val="auto"/>
                <w:highlight w:val="none"/>
              </w:rPr>
              <w:t>拟在本项目担任职务</w:t>
            </w:r>
          </w:p>
        </w:tc>
        <w:tc>
          <w:tcPr>
            <w:tcW w:w="5704" w:type="dxa"/>
            <w:gridSpan w:val="6"/>
            <w:vAlign w:val="center"/>
          </w:tcPr>
          <w:p>
            <w:pPr>
              <w:pStyle w:val="30"/>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9053" w:type="dxa"/>
            <w:gridSpan w:val="9"/>
            <w:vAlign w:val="center"/>
          </w:tcPr>
          <w:p>
            <w:pPr>
              <w:pStyle w:val="30"/>
              <w:rPr>
                <w:color w:val="auto"/>
                <w:highlight w:val="none"/>
              </w:rPr>
            </w:pPr>
            <w:r>
              <w:rPr>
                <w:rFonts w:hint="eastAsia"/>
                <w:color w:val="auto"/>
                <w:highlight w:val="none"/>
              </w:rPr>
              <w:t>教育和培训背景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0" w:hRule="atLeast"/>
        </w:trPr>
        <w:tc>
          <w:tcPr>
            <w:tcW w:w="9053" w:type="dxa"/>
            <w:gridSpan w:val="9"/>
          </w:tcPr>
          <w:p>
            <w:pPr>
              <w:pStyle w:val="30"/>
              <w:rPr>
                <w:color w:val="auto"/>
                <w:highlight w:val="none"/>
              </w:rPr>
            </w:pPr>
            <w:r>
              <w:rPr>
                <w:rFonts w:hint="eastAsia"/>
                <w:color w:val="auto"/>
                <w:highlight w:val="none"/>
              </w:rPr>
              <w:t>（教育背景从大学开始，包括毕业院校名称、专业、起始时间。培训填写与专业技术、业务有关的内容）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9053" w:type="dxa"/>
            <w:gridSpan w:val="9"/>
            <w:vAlign w:val="center"/>
          </w:tcPr>
          <w:p>
            <w:pPr>
              <w:pStyle w:val="30"/>
              <w:rPr>
                <w:color w:val="auto"/>
                <w:highlight w:val="none"/>
              </w:rPr>
            </w:pPr>
            <w:r>
              <w:rPr>
                <w:rFonts w:hint="eastAsia"/>
                <w:color w:val="auto"/>
                <w:highlight w:val="none"/>
              </w:rPr>
              <w:t>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1500" w:type="dxa"/>
            <w:vAlign w:val="center"/>
          </w:tcPr>
          <w:p>
            <w:pPr>
              <w:pStyle w:val="30"/>
              <w:rPr>
                <w:color w:val="auto"/>
                <w:highlight w:val="none"/>
              </w:rPr>
            </w:pPr>
            <w:r>
              <w:rPr>
                <w:rFonts w:hint="eastAsia"/>
                <w:color w:val="auto"/>
                <w:highlight w:val="none"/>
              </w:rPr>
              <w:t>时  间</w:t>
            </w:r>
          </w:p>
        </w:tc>
        <w:tc>
          <w:tcPr>
            <w:tcW w:w="3374" w:type="dxa"/>
            <w:gridSpan w:val="3"/>
            <w:vAlign w:val="center"/>
          </w:tcPr>
          <w:p>
            <w:pPr>
              <w:pStyle w:val="30"/>
              <w:rPr>
                <w:color w:val="auto"/>
                <w:highlight w:val="none"/>
              </w:rPr>
            </w:pPr>
            <w:r>
              <w:rPr>
                <w:rFonts w:hint="eastAsia"/>
                <w:color w:val="auto"/>
                <w:highlight w:val="none"/>
              </w:rPr>
              <w:t>参加过的项目名称</w:t>
            </w:r>
          </w:p>
          <w:p>
            <w:pPr>
              <w:pStyle w:val="30"/>
              <w:rPr>
                <w:color w:val="auto"/>
                <w:highlight w:val="none"/>
              </w:rPr>
            </w:pPr>
            <w:r>
              <w:rPr>
                <w:rFonts w:hint="eastAsia"/>
                <w:color w:val="auto"/>
                <w:highlight w:val="none"/>
              </w:rPr>
              <w:t>及当时所在单位</w:t>
            </w:r>
          </w:p>
        </w:tc>
        <w:tc>
          <w:tcPr>
            <w:tcW w:w="1286" w:type="dxa"/>
            <w:vAlign w:val="center"/>
          </w:tcPr>
          <w:p>
            <w:pPr>
              <w:pStyle w:val="30"/>
              <w:rPr>
                <w:color w:val="auto"/>
                <w:highlight w:val="none"/>
              </w:rPr>
            </w:pPr>
            <w:r>
              <w:rPr>
                <w:rFonts w:hint="eastAsia"/>
                <w:color w:val="auto"/>
                <w:highlight w:val="none"/>
              </w:rPr>
              <w:t>担任何职</w:t>
            </w:r>
          </w:p>
        </w:tc>
        <w:tc>
          <w:tcPr>
            <w:tcW w:w="1761" w:type="dxa"/>
            <w:gridSpan w:val="3"/>
            <w:vAlign w:val="center"/>
          </w:tcPr>
          <w:p>
            <w:pPr>
              <w:pStyle w:val="30"/>
              <w:rPr>
                <w:color w:val="auto"/>
                <w:highlight w:val="none"/>
              </w:rPr>
            </w:pPr>
            <w:r>
              <w:rPr>
                <w:rFonts w:hint="eastAsia"/>
                <w:color w:val="auto"/>
                <w:highlight w:val="none"/>
              </w:rPr>
              <w:t>主要工作内容</w:t>
            </w:r>
          </w:p>
        </w:tc>
        <w:tc>
          <w:tcPr>
            <w:tcW w:w="1132" w:type="dxa"/>
            <w:vAlign w:val="center"/>
          </w:tcPr>
          <w:p>
            <w:pPr>
              <w:pStyle w:val="30"/>
              <w:rPr>
                <w:color w:val="auto"/>
                <w:highlight w:val="none"/>
              </w:rPr>
            </w:pPr>
            <w:r>
              <w:rPr>
                <w:rFonts w:hint="eastAsia"/>
                <w:color w:val="auto"/>
                <w:highlight w:val="none"/>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1500" w:type="dxa"/>
            <w:vAlign w:val="center"/>
          </w:tcPr>
          <w:p>
            <w:pPr>
              <w:pStyle w:val="30"/>
              <w:rPr>
                <w:color w:val="auto"/>
                <w:highlight w:val="none"/>
              </w:rPr>
            </w:pPr>
          </w:p>
        </w:tc>
        <w:tc>
          <w:tcPr>
            <w:tcW w:w="3374" w:type="dxa"/>
            <w:gridSpan w:val="3"/>
            <w:vAlign w:val="center"/>
          </w:tcPr>
          <w:p>
            <w:pPr>
              <w:pStyle w:val="30"/>
              <w:rPr>
                <w:color w:val="auto"/>
                <w:highlight w:val="none"/>
              </w:rPr>
            </w:pPr>
          </w:p>
        </w:tc>
        <w:tc>
          <w:tcPr>
            <w:tcW w:w="1286" w:type="dxa"/>
            <w:vAlign w:val="center"/>
          </w:tcPr>
          <w:p>
            <w:pPr>
              <w:pStyle w:val="30"/>
              <w:rPr>
                <w:color w:val="auto"/>
                <w:highlight w:val="none"/>
              </w:rPr>
            </w:pPr>
          </w:p>
        </w:tc>
        <w:tc>
          <w:tcPr>
            <w:tcW w:w="1761" w:type="dxa"/>
            <w:gridSpan w:val="3"/>
            <w:vAlign w:val="center"/>
          </w:tcPr>
          <w:p>
            <w:pPr>
              <w:pStyle w:val="30"/>
              <w:rPr>
                <w:color w:val="auto"/>
                <w:highlight w:val="none"/>
              </w:rPr>
            </w:pPr>
          </w:p>
        </w:tc>
        <w:tc>
          <w:tcPr>
            <w:tcW w:w="1132" w:type="dxa"/>
            <w:vAlign w:val="center"/>
          </w:tcPr>
          <w:p>
            <w:pPr>
              <w:pStyle w:val="30"/>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1500" w:type="dxa"/>
            <w:vAlign w:val="center"/>
          </w:tcPr>
          <w:p>
            <w:pPr>
              <w:pStyle w:val="30"/>
              <w:rPr>
                <w:color w:val="auto"/>
                <w:highlight w:val="none"/>
              </w:rPr>
            </w:pPr>
          </w:p>
        </w:tc>
        <w:tc>
          <w:tcPr>
            <w:tcW w:w="3374" w:type="dxa"/>
            <w:gridSpan w:val="3"/>
            <w:vAlign w:val="center"/>
          </w:tcPr>
          <w:p>
            <w:pPr>
              <w:pStyle w:val="30"/>
              <w:rPr>
                <w:color w:val="auto"/>
                <w:highlight w:val="none"/>
              </w:rPr>
            </w:pPr>
          </w:p>
        </w:tc>
        <w:tc>
          <w:tcPr>
            <w:tcW w:w="1286" w:type="dxa"/>
            <w:vAlign w:val="center"/>
          </w:tcPr>
          <w:p>
            <w:pPr>
              <w:pStyle w:val="30"/>
              <w:rPr>
                <w:color w:val="auto"/>
                <w:highlight w:val="none"/>
              </w:rPr>
            </w:pPr>
          </w:p>
        </w:tc>
        <w:tc>
          <w:tcPr>
            <w:tcW w:w="1761" w:type="dxa"/>
            <w:gridSpan w:val="3"/>
            <w:vAlign w:val="center"/>
          </w:tcPr>
          <w:p>
            <w:pPr>
              <w:pStyle w:val="30"/>
              <w:rPr>
                <w:color w:val="auto"/>
                <w:highlight w:val="none"/>
              </w:rPr>
            </w:pPr>
          </w:p>
        </w:tc>
        <w:tc>
          <w:tcPr>
            <w:tcW w:w="1132" w:type="dxa"/>
            <w:vAlign w:val="center"/>
          </w:tcPr>
          <w:p>
            <w:pPr>
              <w:pStyle w:val="30"/>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1500" w:type="dxa"/>
            <w:vAlign w:val="center"/>
          </w:tcPr>
          <w:p>
            <w:pPr>
              <w:pStyle w:val="30"/>
              <w:rPr>
                <w:color w:val="auto"/>
                <w:highlight w:val="none"/>
              </w:rPr>
            </w:pPr>
          </w:p>
        </w:tc>
        <w:tc>
          <w:tcPr>
            <w:tcW w:w="3374" w:type="dxa"/>
            <w:gridSpan w:val="3"/>
            <w:vAlign w:val="center"/>
          </w:tcPr>
          <w:p>
            <w:pPr>
              <w:pStyle w:val="30"/>
              <w:rPr>
                <w:color w:val="auto"/>
                <w:highlight w:val="none"/>
              </w:rPr>
            </w:pPr>
          </w:p>
        </w:tc>
        <w:tc>
          <w:tcPr>
            <w:tcW w:w="1286" w:type="dxa"/>
            <w:vAlign w:val="center"/>
          </w:tcPr>
          <w:p>
            <w:pPr>
              <w:pStyle w:val="30"/>
              <w:rPr>
                <w:color w:val="auto"/>
                <w:highlight w:val="none"/>
              </w:rPr>
            </w:pPr>
          </w:p>
        </w:tc>
        <w:tc>
          <w:tcPr>
            <w:tcW w:w="1761" w:type="dxa"/>
            <w:gridSpan w:val="3"/>
            <w:vAlign w:val="center"/>
          </w:tcPr>
          <w:p>
            <w:pPr>
              <w:pStyle w:val="30"/>
              <w:rPr>
                <w:color w:val="auto"/>
                <w:highlight w:val="none"/>
              </w:rPr>
            </w:pPr>
          </w:p>
        </w:tc>
        <w:tc>
          <w:tcPr>
            <w:tcW w:w="1132" w:type="dxa"/>
            <w:vAlign w:val="center"/>
          </w:tcPr>
          <w:p>
            <w:pPr>
              <w:pStyle w:val="30"/>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1500" w:type="dxa"/>
            <w:vAlign w:val="center"/>
          </w:tcPr>
          <w:p>
            <w:pPr>
              <w:pStyle w:val="30"/>
              <w:rPr>
                <w:color w:val="auto"/>
                <w:highlight w:val="none"/>
              </w:rPr>
            </w:pPr>
          </w:p>
        </w:tc>
        <w:tc>
          <w:tcPr>
            <w:tcW w:w="3374" w:type="dxa"/>
            <w:gridSpan w:val="3"/>
            <w:vAlign w:val="center"/>
          </w:tcPr>
          <w:p>
            <w:pPr>
              <w:pStyle w:val="30"/>
              <w:rPr>
                <w:color w:val="auto"/>
                <w:highlight w:val="none"/>
              </w:rPr>
            </w:pPr>
          </w:p>
        </w:tc>
        <w:tc>
          <w:tcPr>
            <w:tcW w:w="1286" w:type="dxa"/>
            <w:vAlign w:val="center"/>
          </w:tcPr>
          <w:p>
            <w:pPr>
              <w:pStyle w:val="30"/>
              <w:rPr>
                <w:color w:val="auto"/>
                <w:highlight w:val="none"/>
              </w:rPr>
            </w:pPr>
          </w:p>
        </w:tc>
        <w:tc>
          <w:tcPr>
            <w:tcW w:w="1761" w:type="dxa"/>
            <w:gridSpan w:val="3"/>
            <w:vAlign w:val="center"/>
          </w:tcPr>
          <w:p>
            <w:pPr>
              <w:pStyle w:val="30"/>
              <w:rPr>
                <w:color w:val="auto"/>
                <w:highlight w:val="none"/>
              </w:rPr>
            </w:pPr>
          </w:p>
        </w:tc>
        <w:tc>
          <w:tcPr>
            <w:tcW w:w="1132" w:type="dxa"/>
            <w:vAlign w:val="center"/>
          </w:tcPr>
          <w:p>
            <w:pPr>
              <w:pStyle w:val="30"/>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1500" w:type="dxa"/>
            <w:vAlign w:val="center"/>
          </w:tcPr>
          <w:p>
            <w:pPr>
              <w:pStyle w:val="30"/>
              <w:rPr>
                <w:color w:val="auto"/>
                <w:highlight w:val="none"/>
              </w:rPr>
            </w:pPr>
          </w:p>
        </w:tc>
        <w:tc>
          <w:tcPr>
            <w:tcW w:w="3374" w:type="dxa"/>
            <w:gridSpan w:val="3"/>
            <w:vAlign w:val="center"/>
          </w:tcPr>
          <w:p>
            <w:pPr>
              <w:pStyle w:val="30"/>
              <w:rPr>
                <w:color w:val="auto"/>
                <w:highlight w:val="none"/>
              </w:rPr>
            </w:pPr>
          </w:p>
        </w:tc>
        <w:tc>
          <w:tcPr>
            <w:tcW w:w="1286" w:type="dxa"/>
            <w:vAlign w:val="center"/>
          </w:tcPr>
          <w:p>
            <w:pPr>
              <w:pStyle w:val="30"/>
              <w:rPr>
                <w:color w:val="auto"/>
                <w:highlight w:val="none"/>
              </w:rPr>
            </w:pPr>
          </w:p>
        </w:tc>
        <w:tc>
          <w:tcPr>
            <w:tcW w:w="1761" w:type="dxa"/>
            <w:gridSpan w:val="3"/>
            <w:vAlign w:val="center"/>
          </w:tcPr>
          <w:p>
            <w:pPr>
              <w:pStyle w:val="30"/>
              <w:rPr>
                <w:color w:val="auto"/>
                <w:highlight w:val="none"/>
              </w:rPr>
            </w:pPr>
          </w:p>
        </w:tc>
        <w:tc>
          <w:tcPr>
            <w:tcW w:w="1132" w:type="dxa"/>
            <w:vAlign w:val="center"/>
          </w:tcPr>
          <w:p>
            <w:pPr>
              <w:pStyle w:val="30"/>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1500" w:type="dxa"/>
            <w:vAlign w:val="center"/>
          </w:tcPr>
          <w:p>
            <w:pPr>
              <w:pStyle w:val="30"/>
              <w:rPr>
                <w:color w:val="auto"/>
                <w:highlight w:val="none"/>
              </w:rPr>
            </w:pPr>
          </w:p>
        </w:tc>
        <w:tc>
          <w:tcPr>
            <w:tcW w:w="3374" w:type="dxa"/>
            <w:gridSpan w:val="3"/>
            <w:vAlign w:val="center"/>
          </w:tcPr>
          <w:p>
            <w:pPr>
              <w:pStyle w:val="30"/>
              <w:rPr>
                <w:color w:val="auto"/>
                <w:highlight w:val="none"/>
              </w:rPr>
            </w:pPr>
          </w:p>
        </w:tc>
        <w:tc>
          <w:tcPr>
            <w:tcW w:w="1286" w:type="dxa"/>
            <w:vAlign w:val="center"/>
          </w:tcPr>
          <w:p>
            <w:pPr>
              <w:pStyle w:val="30"/>
              <w:rPr>
                <w:color w:val="auto"/>
                <w:highlight w:val="none"/>
              </w:rPr>
            </w:pPr>
          </w:p>
        </w:tc>
        <w:tc>
          <w:tcPr>
            <w:tcW w:w="1761" w:type="dxa"/>
            <w:gridSpan w:val="3"/>
            <w:vAlign w:val="center"/>
          </w:tcPr>
          <w:p>
            <w:pPr>
              <w:pStyle w:val="30"/>
              <w:rPr>
                <w:color w:val="auto"/>
                <w:highlight w:val="none"/>
              </w:rPr>
            </w:pPr>
          </w:p>
        </w:tc>
        <w:tc>
          <w:tcPr>
            <w:tcW w:w="1132" w:type="dxa"/>
            <w:vAlign w:val="center"/>
          </w:tcPr>
          <w:p>
            <w:pPr>
              <w:pStyle w:val="30"/>
              <w:rPr>
                <w:color w:val="auto"/>
                <w:highlight w:val="none"/>
              </w:rPr>
            </w:pPr>
          </w:p>
        </w:tc>
      </w:tr>
    </w:tbl>
    <w:p>
      <w:pPr>
        <w:pStyle w:val="5"/>
        <w:ind w:firstLine="480"/>
        <w:rPr>
          <w:color w:val="auto"/>
          <w:highlight w:val="none"/>
        </w:rPr>
      </w:pPr>
      <w:bookmarkStart w:id="270" w:name="_Toc363474032"/>
      <w:bookmarkStart w:id="271" w:name="_Toc9218"/>
      <w:bookmarkStart w:id="272" w:name="_Toc23455"/>
      <w:bookmarkStart w:id="273" w:name="_Toc21284"/>
      <w:bookmarkStart w:id="274" w:name="_Toc2621"/>
      <w:bookmarkStart w:id="275" w:name="_Toc426457713"/>
      <w:bookmarkStart w:id="276" w:name="_Toc403077655"/>
      <w:bookmarkStart w:id="277" w:name="_Toc1379"/>
      <w:bookmarkStart w:id="278" w:name="_Toc3362"/>
    </w:p>
    <w:p>
      <w:pPr>
        <w:pStyle w:val="5"/>
        <w:ind w:firstLine="0" w:firstLineChars="0"/>
        <w:rPr>
          <w:b/>
          <w:bCs/>
          <w:color w:val="auto"/>
          <w:highlight w:val="none"/>
        </w:rPr>
      </w:pPr>
      <w:r>
        <w:rPr>
          <w:rFonts w:hint="eastAsia"/>
          <w:b/>
          <w:bCs/>
          <w:color w:val="auto"/>
          <w:highlight w:val="none"/>
        </w:rPr>
        <w:t>注：</w:t>
      </w:r>
    </w:p>
    <w:p>
      <w:pPr>
        <w:pStyle w:val="5"/>
        <w:ind w:firstLine="480"/>
        <w:rPr>
          <w:color w:val="auto"/>
          <w:highlight w:val="none"/>
        </w:rPr>
      </w:pPr>
      <w:r>
        <w:rPr>
          <w:rFonts w:hint="eastAsia"/>
          <w:color w:val="auto"/>
          <w:highlight w:val="none"/>
        </w:rPr>
        <w:t>1.表后附身份证、毕业证、职称证、执业资格证、获奖证书（如果有）复印件。</w:t>
      </w:r>
    </w:p>
    <w:p>
      <w:pPr>
        <w:pStyle w:val="5"/>
        <w:ind w:firstLine="480"/>
        <w:rPr>
          <w:color w:val="auto"/>
          <w:highlight w:val="none"/>
        </w:rPr>
      </w:pPr>
      <w:r>
        <w:rPr>
          <w:rFonts w:hint="eastAsia"/>
          <w:color w:val="auto"/>
          <w:highlight w:val="none"/>
        </w:rPr>
        <w:t>2.获奖情况包括项目、集体或个人获奖情况，如有，应附复印件或者扫描件。</w:t>
      </w:r>
    </w:p>
    <w:p>
      <w:pPr>
        <w:pStyle w:val="2"/>
        <w:rPr>
          <w:color w:val="auto"/>
          <w:szCs w:val="24"/>
          <w:highlight w:val="none"/>
        </w:rPr>
      </w:pPr>
      <w:r>
        <w:rPr>
          <w:rFonts w:hint="eastAsia"/>
          <w:color w:val="auto"/>
          <w:sz w:val="32"/>
          <w:szCs w:val="32"/>
          <w:highlight w:val="none"/>
        </w:rPr>
        <w:br w:type="page"/>
      </w:r>
      <w:r>
        <w:rPr>
          <w:rFonts w:hint="eastAsia"/>
          <w:color w:val="auto"/>
          <w:szCs w:val="24"/>
          <w:highlight w:val="none"/>
        </w:rPr>
        <w:t>附表3 业绩一览表</w:t>
      </w:r>
    </w:p>
    <w:p>
      <w:pPr>
        <w:pStyle w:val="11"/>
        <w:rPr>
          <w:rFonts w:ascii="宋体" w:hAnsi="宋体" w:cs="宋体"/>
          <w:b/>
          <w:color w:val="auto"/>
          <w:szCs w:val="24"/>
          <w:highlight w:val="none"/>
        </w:rPr>
      </w:pPr>
    </w:p>
    <w:p>
      <w:pPr>
        <w:rPr>
          <w:color w:val="auto"/>
          <w:highlight w:val="none"/>
        </w:rPr>
      </w:pPr>
    </w:p>
    <w:tbl>
      <w:tblPr>
        <w:tblStyle w:val="20"/>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37"/>
        <w:gridCol w:w="3663"/>
        <w:gridCol w:w="2241"/>
        <w:gridCol w:w="215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7" w:hRule="exact"/>
          <w:jc w:val="center"/>
        </w:trPr>
        <w:tc>
          <w:tcPr>
            <w:tcW w:w="837" w:type="dxa"/>
            <w:tcBorders>
              <w:top w:val="single" w:color="auto" w:sz="4" w:space="0"/>
              <w:left w:val="single" w:color="auto" w:sz="4" w:space="0"/>
              <w:bottom w:val="single" w:color="auto" w:sz="4" w:space="0"/>
              <w:right w:val="single" w:color="auto" w:sz="4" w:space="0"/>
            </w:tcBorders>
            <w:vAlign w:val="center"/>
          </w:tcPr>
          <w:p>
            <w:pPr>
              <w:pStyle w:val="30"/>
              <w:rPr>
                <w:color w:val="auto"/>
                <w:highlight w:val="none"/>
              </w:rPr>
            </w:pPr>
            <w:r>
              <w:rPr>
                <w:rFonts w:hint="eastAsia"/>
                <w:color w:val="auto"/>
                <w:highlight w:val="none"/>
              </w:rPr>
              <w:t>序号</w:t>
            </w:r>
          </w:p>
        </w:tc>
        <w:tc>
          <w:tcPr>
            <w:tcW w:w="3663" w:type="dxa"/>
            <w:tcBorders>
              <w:top w:val="single" w:color="auto" w:sz="4" w:space="0"/>
              <w:left w:val="single" w:color="auto" w:sz="4" w:space="0"/>
              <w:bottom w:val="single" w:color="auto" w:sz="4" w:space="0"/>
              <w:right w:val="single" w:color="auto" w:sz="4" w:space="0"/>
            </w:tcBorders>
            <w:vAlign w:val="center"/>
          </w:tcPr>
          <w:p>
            <w:pPr>
              <w:pStyle w:val="30"/>
              <w:rPr>
                <w:color w:val="auto"/>
                <w:highlight w:val="none"/>
              </w:rPr>
            </w:pPr>
            <w:r>
              <w:rPr>
                <w:rFonts w:hint="eastAsia"/>
                <w:color w:val="auto"/>
                <w:highlight w:val="none"/>
              </w:rPr>
              <w:t>项目名称</w:t>
            </w:r>
          </w:p>
        </w:tc>
        <w:tc>
          <w:tcPr>
            <w:tcW w:w="2241" w:type="dxa"/>
            <w:tcBorders>
              <w:top w:val="single" w:color="auto" w:sz="4" w:space="0"/>
              <w:left w:val="single" w:color="auto" w:sz="4" w:space="0"/>
              <w:bottom w:val="single" w:color="auto" w:sz="4" w:space="0"/>
              <w:right w:val="single" w:color="auto" w:sz="4" w:space="0"/>
            </w:tcBorders>
            <w:vAlign w:val="center"/>
          </w:tcPr>
          <w:p>
            <w:pPr>
              <w:pStyle w:val="30"/>
              <w:rPr>
                <w:color w:val="auto"/>
                <w:highlight w:val="none"/>
              </w:rPr>
            </w:pPr>
            <w:r>
              <w:rPr>
                <w:rFonts w:hint="eastAsia"/>
                <w:color w:val="auto"/>
                <w:highlight w:val="none"/>
              </w:rPr>
              <w:t>合同金额</w:t>
            </w:r>
          </w:p>
        </w:tc>
        <w:tc>
          <w:tcPr>
            <w:tcW w:w="2153" w:type="dxa"/>
            <w:tcBorders>
              <w:top w:val="single" w:color="auto" w:sz="4" w:space="0"/>
              <w:left w:val="single" w:color="auto" w:sz="4" w:space="0"/>
              <w:bottom w:val="single" w:color="auto" w:sz="4" w:space="0"/>
              <w:right w:val="single" w:color="auto" w:sz="4" w:space="0"/>
            </w:tcBorders>
            <w:vAlign w:val="center"/>
          </w:tcPr>
          <w:p>
            <w:pPr>
              <w:pStyle w:val="30"/>
              <w:rPr>
                <w:color w:val="auto"/>
                <w:highlight w:val="none"/>
              </w:rPr>
            </w:pPr>
            <w:r>
              <w:rPr>
                <w:rFonts w:hint="eastAsia"/>
                <w:color w:val="auto"/>
                <w:highlight w:val="none"/>
              </w:rPr>
              <w:t>起止时间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5" w:hRule="exact"/>
          <w:jc w:val="center"/>
        </w:trPr>
        <w:tc>
          <w:tcPr>
            <w:tcW w:w="837" w:type="dxa"/>
            <w:tcBorders>
              <w:top w:val="single" w:color="auto" w:sz="4" w:space="0"/>
              <w:left w:val="single" w:color="auto" w:sz="4" w:space="0"/>
              <w:bottom w:val="single" w:color="auto" w:sz="4" w:space="0"/>
              <w:right w:val="single" w:color="auto" w:sz="4" w:space="0"/>
            </w:tcBorders>
            <w:vAlign w:val="center"/>
          </w:tcPr>
          <w:p>
            <w:pPr>
              <w:pStyle w:val="30"/>
              <w:rPr>
                <w:color w:val="auto"/>
                <w:highlight w:val="none"/>
              </w:rPr>
            </w:pPr>
          </w:p>
        </w:tc>
        <w:tc>
          <w:tcPr>
            <w:tcW w:w="3663" w:type="dxa"/>
            <w:tcBorders>
              <w:top w:val="single" w:color="auto" w:sz="4" w:space="0"/>
              <w:left w:val="single" w:color="auto" w:sz="4" w:space="0"/>
              <w:bottom w:val="single" w:color="auto" w:sz="4" w:space="0"/>
              <w:right w:val="single" w:color="auto" w:sz="4" w:space="0"/>
            </w:tcBorders>
            <w:vAlign w:val="center"/>
          </w:tcPr>
          <w:p>
            <w:pPr>
              <w:pStyle w:val="30"/>
              <w:rPr>
                <w:color w:val="auto"/>
                <w:highlight w:val="none"/>
              </w:rPr>
            </w:pPr>
          </w:p>
        </w:tc>
        <w:tc>
          <w:tcPr>
            <w:tcW w:w="2241" w:type="dxa"/>
            <w:tcBorders>
              <w:top w:val="single" w:color="auto" w:sz="4" w:space="0"/>
              <w:left w:val="single" w:color="auto" w:sz="4" w:space="0"/>
              <w:bottom w:val="single" w:color="auto" w:sz="4" w:space="0"/>
              <w:right w:val="single" w:color="auto" w:sz="4" w:space="0"/>
            </w:tcBorders>
            <w:vAlign w:val="center"/>
          </w:tcPr>
          <w:p>
            <w:pPr>
              <w:pStyle w:val="30"/>
              <w:rPr>
                <w:color w:val="auto"/>
                <w:highlight w:val="none"/>
              </w:rPr>
            </w:pPr>
          </w:p>
        </w:tc>
        <w:tc>
          <w:tcPr>
            <w:tcW w:w="2153" w:type="dxa"/>
            <w:tcBorders>
              <w:top w:val="single" w:color="auto" w:sz="4" w:space="0"/>
              <w:left w:val="single" w:color="auto" w:sz="4" w:space="0"/>
              <w:bottom w:val="single" w:color="auto" w:sz="4" w:space="0"/>
              <w:right w:val="single" w:color="auto" w:sz="4" w:space="0"/>
            </w:tcBorders>
            <w:vAlign w:val="center"/>
          </w:tcPr>
          <w:p>
            <w:pPr>
              <w:pStyle w:val="30"/>
              <w:rPr>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5" w:hRule="exact"/>
          <w:jc w:val="center"/>
        </w:trPr>
        <w:tc>
          <w:tcPr>
            <w:tcW w:w="837" w:type="dxa"/>
            <w:tcBorders>
              <w:top w:val="single" w:color="auto" w:sz="4" w:space="0"/>
              <w:left w:val="single" w:color="auto" w:sz="4" w:space="0"/>
              <w:bottom w:val="single" w:color="auto" w:sz="4" w:space="0"/>
              <w:right w:val="single" w:color="auto" w:sz="4" w:space="0"/>
            </w:tcBorders>
            <w:vAlign w:val="center"/>
          </w:tcPr>
          <w:p>
            <w:pPr>
              <w:pStyle w:val="30"/>
              <w:rPr>
                <w:color w:val="auto"/>
                <w:highlight w:val="none"/>
              </w:rPr>
            </w:pPr>
          </w:p>
        </w:tc>
        <w:tc>
          <w:tcPr>
            <w:tcW w:w="3663" w:type="dxa"/>
            <w:tcBorders>
              <w:top w:val="single" w:color="auto" w:sz="4" w:space="0"/>
              <w:left w:val="single" w:color="auto" w:sz="4" w:space="0"/>
              <w:bottom w:val="single" w:color="auto" w:sz="4" w:space="0"/>
              <w:right w:val="single" w:color="auto" w:sz="4" w:space="0"/>
            </w:tcBorders>
            <w:vAlign w:val="center"/>
          </w:tcPr>
          <w:p>
            <w:pPr>
              <w:pStyle w:val="30"/>
              <w:rPr>
                <w:color w:val="auto"/>
                <w:highlight w:val="none"/>
              </w:rPr>
            </w:pPr>
          </w:p>
        </w:tc>
        <w:tc>
          <w:tcPr>
            <w:tcW w:w="2241" w:type="dxa"/>
            <w:tcBorders>
              <w:top w:val="single" w:color="auto" w:sz="4" w:space="0"/>
              <w:left w:val="single" w:color="auto" w:sz="4" w:space="0"/>
              <w:bottom w:val="single" w:color="auto" w:sz="4" w:space="0"/>
              <w:right w:val="single" w:color="auto" w:sz="4" w:space="0"/>
            </w:tcBorders>
            <w:vAlign w:val="center"/>
          </w:tcPr>
          <w:p>
            <w:pPr>
              <w:pStyle w:val="30"/>
              <w:rPr>
                <w:color w:val="auto"/>
                <w:highlight w:val="none"/>
              </w:rPr>
            </w:pPr>
          </w:p>
        </w:tc>
        <w:tc>
          <w:tcPr>
            <w:tcW w:w="2153" w:type="dxa"/>
            <w:tcBorders>
              <w:top w:val="single" w:color="auto" w:sz="4" w:space="0"/>
              <w:left w:val="single" w:color="auto" w:sz="4" w:space="0"/>
              <w:bottom w:val="single" w:color="auto" w:sz="4" w:space="0"/>
              <w:right w:val="single" w:color="auto" w:sz="4" w:space="0"/>
            </w:tcBorders>
            <w:vAlign w:val="center"/>
          </w:tcPr>
          <w:p>
            <w:pPr>
              <w:pStyle w:val="30"/>
              <w:rPr>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5" w:hRule="exact"/>
          <w:jc w:val="center"/>
        </w:trPr>
        <w:tc>
          <w:tcPr>
            <w:tcW w:w="837" w:type="dxa"/>
            <w:tcBorders>
              <w:top w:val="single" w:color="auto" w:sz="4" w:space="0"/>
              <w:left w:val="single" w:color="auto" w:sz="4" w:space="0"/>
              <w:bottom w:val="single" w:color="auto" w:sz="4" w:space="0"/>
              <w:right w:val="single" w:color="auto" w:sz="4" w:space="0"/>
            </w:tcBorders>
            <w:vAlign w:val="center"/>
          </w:tcPr>
          <w:p>
            <w:pPr>
              <w:pStyle w:val="30"/>
              <w:rPr>
                <w:color w:val="auto"/>
                <w:highlight w:val="none"/>
              </w:rPr>
            </w:pPr>
          </w:p>
        </w:tc>
        <w:tc>
          <w:tcPr>
            <w:tcW w:w="3663" w:type="dxa"/>
            <w:tcBorders>
              <w:top w:val="single" w:color="auto" w:sz="4" w:space="0"/>
              <w:left w:val="single" w:color="auto" w:sz="4" w:space="0"/>
              <w:bottom w:val="single" w:color="auto" w:sz="4" w:space="0"/>
              <w:right w:val="single" w:color="auto" w:sz="4" w:space="0"/>
            </w:tcBorders>
            <w:vAlign w:val="center"/>
          </w:tcPr>
          <w:p>
            <w:pPr>
              <w:pStyle w:val="30"/>
              <w:rPr>
                <w:color w:val="auto"/>
                <w:highlight w:val="none"/>
              </w:rPr>
            </w:pPr>
          </w:p>
        </w:tc>
        <w:tc>
          <w:tcPr>
            <w:tcW w:w="2241" w:type="dxa"/>
            <w:tcBorders>
              <w:top w:val="single" w:color="auto" w:sz="4" w:space="0"/>
              <w:left w:val="single" w:color="auto" w:sz="4" w:space="0"/>
              <w:bottom w:val="single" w:color="auto" w:sz="4" w:space="0"/>
              <w:right w:val="single" w:color="auto" w:sz="4" w:space="0"/>
            </w:tcBorders>
            <w:vAlign w:val="center"/>
          </w:tcPr>
          <w:p>
            <w:pPr>
              <w:pStyle w:val="30"/>
              <w:rPr>
                <w:color w:val="auto"/>
                <w:highlight w:val="none"/>
              </w:rPr>
            </w:pPr>
          </w:p>
        </w:tc>
        <w:tc>
          <w:tcPr>
            <w:tcW w:w="2153" w:type="dxa"/>
            <w:tcBorders>
              <w:top w:val="single" w:color="auto" w:sz="4" w:space="0"/>
              <w:left w:val="single" w:color="auto" w:sz="4" w:space="0"/>
              <w:bottom w:val="single" w:color="auto" w:sz="4" w:space="0"/>
              <w:right w:val="single" w:color="auto" w:sz="4" w:space="0"/>
            </w:tcBorders>
            <w:vAlign w:val="center"/>
          </w:tcPr>
          <w:p>
            <w:pPr>
              <w:pStyle w:val="30"/>
              <w:rPr>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5" w:hRule="exact"/>
          <w:jc w:val="center"/>
        </w:trPr>
        <w:tc>
          <w:tcPr>
            <w:tcW w:w="837" w:type="dxa"/>
            <w:tcBorders>
              <w:top w:val="single" w:color="auto" w:sz="4" w:space="0"/>
              <w:left w:val="single" w:color="auto" w:sz="4" w:space="0"/>
              <w:bottom w:val="single" w:color="auto" w:sz="4" w:space="0"/>
              <w:right w:val="single" w:color="auto" w:sz="4" w:space="0"/>
            </w:tcBorders>
            <w:vAlign w:val="center"/>
          </w:tcPr>
          <w:p>
            <w:pPr>
              <w:pStyle w:val="30"/>
              <w:rPr>
                <w:color w:val="auto"/>
                <w:highlight w:val="none"/>
              </w:rPr>
            </w:pPr>
          </w:p>
        </w:tc>
        <w:tc>
          <w:tcPr>
            <w:tcW w:w="3663" w:type="dxa"/>
            <w:tcBorders>
              <w:top w:val="single" w:color="auto" w:sz="4" w:space="0"/>
              <w:left w:val="single" w:color="auto" w:sz="4" w:space="0"/>
              <w:bottom w:val="single" w:color="auto" w:sz="4" w:space="0"/>
              <w:right w:val="single" w:color="auto" w:sz="4" w:space="0"/>
            </w:tcBorders>
            <w:vAlign w:val="center"/>
          </w:tcPr>
          <w:p>
            <w:pPr>
              <w:pStyle w:val="30"/>
              <w:rPr>
                <w:color w:val="auto"/>
                <w:highlight w:val="none"/>
              </w:rPr>
            </w:pPr>
          </w:p>
        </w:tc>
        <w:tc>
          <w:tcPr>
            <w:tcW w:w="2241" w:type="dxa"/>
            <w:tcBorders>
              <w:top w:val="single" w:color="auto" w:sz="4" w:space="0"/>
              <w:left w:val="single" w:color="auto" w:sz="4" w:space="0"/>
              <w:bottom w:val="single" w:color="auto" w:sz="4" w:space="0"/>
              <w:right w:val="single" w:color="auto" w:sz="4" w:space="0"/>
            </w:tcBorders>
            <w:vAlign w:val="center"/>
          </w:tcPr>
          <w:p>
            <w:pPr>
              <w:pStyle w:val="30"/>
              <w:rPr>
                <w:color w:val="auto"/>
                <w:highlight w:val="none"/>
              </w:rPr>
            </w:pPr>
          </w:p>
        </w:tc>
        <w:tc>
          <w:tcPr>
            <w:tcW w:w="2153" w:type="dxa"/>
            <w:tcBorders>
              <w:top w:val="single" w:color="auto" w:sz="4" w:space="0"/>
              <w:left w:val="single" w:color="auto" w:sz="4" w:space="0"/>
              <w:bottom w:val="single" w:color="auto" w:sz="4" w:space="0"/>
              <w:right w:val="single" w:color="auto" w:sz="4" w:space="0"/>
            </w:tcBorders>
            <w:vAlign w:val="center"/>
          </w:tcPr>
          <w:p>
            <w:pPr>
              <w:pStyle w:val="30"/>
              <w:rPr>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5" w:hRule="exact"/>
          <w:jc w:val="center"/>
        </w:trPr>
        <w:tc>
          <w:tcPr>
            <w:tcW w:w="837" w:type="dxa"/>
            <w:tcBorders>
              <w:top w:val="single" w:color="auto" w:sz="4" w:space="0"/>
              <w:left w:val="single" w:color="auto" w:sz="4" w:space="0"/>
              <w:bottom w:val="single" w:color="auto" w:sz="4" w:space="0"/>
              <w:right w:val="single" w:color="auto" w:sz="4" w:space="0"/>
            </w:tcBorders>
            <w:vAlign w:val="center"/>
          </w:tcPr>
          <w:p>
            <w:pPr>
              <w:pStyle w:val="30"/>
              <w:rPr>
                <w:color w:val="auto"/>
                <w:highlight w:val="none"/>
              </w:rPr>
            </w:pPr>
          </w:p>
        </w:tc>
        <w:tc>
          <w:tcPr>
            <w:tcW w:w="3663" w:type="dxa"/>
            <w:tcBorders>
              <w:top w:val="single" w:color="auto" w:sz="4" w:space="0"/>
              <w:left w:val="single" w:color="auto" w:sz="4" w:space="0"/>
              <w:bottom w:val="single" w:color="auto" w:sz="4" w:space="0"/>
              <w:right w:val="single" w:color="auto" w:sz="4" w:space="0"/>
            </w:tcBorders>
            <w:vAlign w:val="center"/>
          </w:tcPr>
          <w:p>
            <w:pPr>
              <w:pStyle w:val="30"/>
              <w:rPr>
                <w:color w:val="auto"/>
                <w:highlight w:val="none"/>
              </w:rPr>
            </w:pPr>
          </w:p>
        </w:tc>
        <w:tc>
          <w:tcPr>
            <w:tcW w:w="2241" w:type="dxa"/>
            <w:tcBorders>
              <w:top w:val="single" w:color="auto" w:sz="4" w:space="0"/>
              <w:left w:val="single" w:color="auto" w:sz="4" w:space="0"/>
              <w:bottom w:val="single" w:color="auto" w:sz="4" w:space="0"/>
              <w:right w:val="single" w:color="auto" w:sz="4" w:space="0"/>
            </w:tcBorders>
            <w:vAlign w:val="center"/>
          </w:tcPr>
          <w:p>
            <w:pPr>
              <w:pStyle w:val="30"/>
              <w:rPr>
                <w:color w:val="auto"/>
                <w:highlight w:val="none"/>
              </w:rPr>
            </w:pPr>
          </w:p>
        </w:tc>
        <w:tc>
          <w:tcPr>
            <w:tcW w:w="2153" w:type="dxa"/>
            <w:tcBorders>
              <w:top w:val="single" w:color="auto" w:sz="4" w:space="0"/>
              <w:left w:val="single" w:color="auto" w:sz="4" w:space="0"/>
              <w:bottom w:val="single" w:color="auto" w:sz="4" w:space="0"/>
              <w:right w:val="single" w:color="auto" w:sz="4" w:space="0"/>
            </w:tcBorders>
            <w:vAlign w:val="center"/>
          </w:tcPr>
          <w:p>
            <w:pPr>
              <w:pStyle w:val="30"/>
              <w:rPr>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5" w:hRule="exact"/>
          <w:jc w:val="center"/>
        </w:trPr>
        <w:tc>
          <w:tcPr>
            <w:tcW w:w="837" w:type="dxa"/>
            <w:tcBorders>
              <w:top w:val="single" w:color="auto" w:sz="4" w:space="0"/>
              <w:left w:val="single" w:color="auto" w:sz="4" w:space="0"/>
              <w:bottom w:val="single" w:color="auto" w:sz="4" w:space="0"/>
              <w:right w:val="single" w:color="auto" w:sz="4" w:space="0"/>
            </w:tcBorders>
            <w:vAlign w:val="center"/>
          </w:tcPr>
          <w:p>
            <w:pPr>
              <w:pStyle w:val="30"/>
              <w:rPr>
                <w:color w:val="auto"/>
                <w:highlight w:val="none"/>
              </w:rPr>
            </w:pPr>
          </w:p>
        </w:tc>
        <w:tc>
          <w:tcPr>
            <w:tcW w:w="3663" w:type="dxa"/>
            <w:tcBorders>
              <w:top w:val="single" w:color="auto" w:sz="4" w:space="0"/>
              <w:left w:val="single" w:color="auto" w:sz="4" w:space="0"/>
              <w:bottom w:val="single" w:color="auto" w:sz="4" w:space="0"/>
              <w:right w:val="single" w:color="auto" w:sz="4" w:space="0"/>
            </w:tcBorders>
            <w:vAlign w:val="center"/>
          </w:tcPr>
          <w:p>
            <w:pPr>
              <w:pStyle w:val="30"/>
              <w:rPr>
                <w:color w:val="auto"/>
                <w:highlight w:val="none"/>
              </w:rPr>
            </w:pPr>
          </w:p>
        </w:tc>
        <w:tc>
          <w:tcPr>
            <w:tcW w:w="2241" w:type="dxa"/>
            <w:tcBorders>
              <w:top w:val="single" w:color="auto" w:sz="4" w:space="0"/>
              <w:left w:val="single" w:color="auto" w:sz="4" w:space="0"/>
              <w:bottom w:val="single" w:color="auto" w:sz="4" w:space="0"/>
              <w:right w:val="single" w:color="auto" w:sz="4" w:space="0"/>
            </w:tcBorders>
            <w:vAlign w:val="center"/>
          </w:tcPr>
          <w:p>
            <w:pPr>
              <w:pStyle w:val="30"/>
              <w:rPr>
                <w:color w:val="auto"/>
                <w:highlight w:val="none"/>
              </w:rPr>
            </w:pPr>
          </w:p>
        </w:tc>
        <w:tc>
          <w:tcPr>
            <w:tcW w:w="2153" w:type="dxa"/>
            <w:tcBorders>
              <w:top w:val="single" w:color="auto" w:sz="4" w:space="0"/>
              <w:left w:val="single" w:color="auto" w:sz="4" w:space="0"/>
              <w:bottom w:val="single" w:color="auto" w:sz="4" w:space="0"/>
              <w:right w:val="single" w:color="auto" w:sz="4" w:space="0"/>
            </w:tcBorders>
            <w:vAlign w:val="center"/>
          </w:tcPr>
          <w:p>
            <w:pPr>
              <w:pStyle w:val="30"/>
              <w:rPr>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5" w:hRule="exact"/>
          <w:jc w:val="center"/>
        </w:trPr>
        <w:tc>
          <w:tcPr>
            <w:tcW w:w="837" w:type="dxa"/>
            <w:tcBorders>
              <w:top w:val="single" w:color="auto" w:sz="4" w:space="0"/>
              <w:left w:val="single" w:color="auto" w:sz="4" w:space="0"/>
              <w:bottom w:val="single" w:color="auto" w:sz="4" w:space="0"/>
              <w:right w:val="single" w:color="auto" w:sz="4" w:space="0"/>
            </w:tcBorders>
            <w:vAlign w:val="center"/>
          </w:tcPr>
          <w:p>
            <w:pPr>
              <w:pStyle w:val="30"/>
              <w:rPr>
                <w:color w:val="auto"/>
                <w:highlight w:val="none"/>
              </w:rPr>
            </w:pPr>
          </w:p>
        </w:tc>
        <w:tc>
          <w:tcPr>
            <w:tcW w:w="3663" w:type="dxa"/>
            <w:tcBorders>
              <w:top w:val="single" w:color="auto" w:sz="4" w:space="0"/>
              <w:left w:val="single" w:color="auto" w:sz="4" w:space="0"/>
              <w:bottom w:val="single" w:color="auto" w:sz="4" w:space="0"/>
              <w:right w:val="single" w:color="auto" w:sz="4" w:space="0"/>
            </w:tcBorders>
            <w:vAlign w:val="center"/>
          </w:tcPr>
          <w:p>
            <w:pPr>
              <w:pStyle w:val="30"/>
              <w:rPr>
                <w:color w:val="auto"/>
                <w:highlight w:val="none"/>
              </w:rPr>
            </w:pPr>
          </w:p>
        </w:tc>
        <w:tc>
          <w:tcPr>
            <w:tcW w:w="2241" w:type="dxa"/>
            <w:tcBorders>
              <w:top w:val="single" w:color="auto" w:sz="4" w:space="0"/>
              <w:left w:val="single" w:color="auto" w:sz="4" w:space="0"/>
              <w:bottom w:val="single" w:color="auto" w:sz="4" w:space="0"/>
              <w:right w:val="single" w:color="auto" w:sz="4" w:space="0"/>
            </w:tcBorders>
            <w:vAlign w:val="center"/>
          </w:tcPr>
          <w:p>
            <w:pPr>
              <w:pStyle w:val="30"/>
              <w:rPr>
                <w:color w:val="auto"/>
                <w:highlight w:val="none"/>
              </w:rPr>
            </w:pPr>
          </w:p>
        </w:tc>
        <w:tc>
          <w:tcPr>
            <w:tcW w:w="2153" w:type="dxa"/>
            <w:tcBorders>
              <w:top w:val="single" w:color="auto" w:sz="4" w:space="0"/>
              <w:left w:val="single" w:color="auto" w:sz="4" w:space="0"/>
              <w:bottom w:val="single" w:color="auto" w:sz="4" w:space="0"/>
              <w:right w:val="single" w:color="auto" w:sz="4" w:space="0"/>
            </w:tcBorders>
            <w:vAlign w:val="center"/>
          </w:tcPr>
          <w:p>
            <w:pPr>
              <w:pStyle w:val="30"/>
              <w:rPr>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5" w:hRule="exact"/>
          <w:jc w:val="center"/>
        </w:trPr>
        <w:tc>
          <w:tcPr>
            <w:tcW w:w="837" w:type="dxa"/>
            <w:tcBorders>
              <w:top w:val="single" w:color="auto" w:sz="4" w:space="0"/>
              <w:left w:val="single" w:color="auto" w:sz="4" w:space="0"/>
              <w:bottom w:val="single" w:color="auto" w:sz="4" w:space="0"/>
              <w:right w:val="single" w:color="auto" w:sz="4" w:space="0"/>
            </w:tcBorders>
            <w:vAlign w:val="center"/>
          </w:tcPr>
          <w:p>
            <w:pPr>
              <w:pStyle w:val="30"/>
              <w:rPr>
                <w:color w:val="auto"/>
                <w:highlight w:val="none"/>
              </w:rPr>
            </w:pPr>
          </w:p>
        </w:tc>
        <w:tc>
          <w:tcPr>
            <w:tcW w:w="3663" w:type="dxa"/>
            <w:tcBorders>
              <w:top w:val="single" w:color="auto" w:sz="4" w:space="0"/>
              <w:left w:val="single" w:color="auto" w:sz="4" w:space="0"/>
              <w:bottom w:val="single" w:color="auto" w:sz="4" w:space="0"/>
              <w:right w:val="single" w:color="auto" w:sz="4" w:space="0"/>
            </w:tcBorders>
            <w:vAlign w:val="center"/>
          </w:tcPr>
          <w:p>
            <w:pPr>
              <w:pStyle w:val="30"/>
              <w:rPr>
                <w:color w:val="auto"/>
                <w:highlight w:val="none"/>
              </w:rPr>
            </w:pPr>
          </w:p>
        </w:tc>
        <w:tc>
          <w:tcPr>
            <w:tcW w:w="2241" w:type="dxa"/>
            <w:tcBorders>
              <w:top w:val="single" w:color="auto" w:sz="4" w:space="0"/>
              <w:left w:val="single" w:color="auto" w:sz="4" w:space="0"/>
              <w:bottom w:val="single" w:color="auto" w:sz="4" w:space="0"/>
              <w:right w:val="single" w:color="auto" w:sz="4" w:space="0"/>
            </w:tcBorders>
            <w:vAlign w:val="center"/>
          </w:tcPr>
          <w:p>
            <w:pPr>
              <w:pStyle w:val="30"/>
              <w:rPr>
                <w:color w:val="auto"/>
                <w:highlight w:val="none"/>
              </w:rPr>
            </w:pPr>
          </w:p>
        </w:tc>
        <w:tc>
          <w:tcPr>
            <w:tcW w:w="2153" w:type="dxa"/>
            <w:tcBorders>
              <w:top w:val="single" w:color="auto" w:sz="4" w:space="0"/>
              <w:left w:val="single" w:color="auto" w:sz="4" w:space="0"/>
              <w:bottom w:val="single" w:color="auto" w:sz="4" w:space="0"/>
              <w:right w:val="single" w:color="auto" w:sz="4" w:space="0"/>
            </w:tcBorders>
            <w:vAlign w:val="center"/>
          </w:tcPr>
          <w:p>
            <w:pPr>
              <w:pStyle w:val="30"/>
              <w:rPr>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5" w:hRule="exact"/>
          <w:jc w:val="center"/>
        </w:trPr>
        <w:tc>
          <w:tcPr>
            <w:tcW w:w="837" w:type="dxa"/>
            <w:tcBorders>
              <w:top w:val="single" w:color="auto" w:sz="4" w:space="0"/>
              <w:left w:val="single" w:color="auto" w:sz="4" w:space="0"/>
              <w:bottom w:val="single" w:color="auto" w:sz="4" w:space="0"/>
              <w:right w:val="single" w:color="auto" w:sz="4" w:space="0"/>
            </w:tcBorders>
            <w:vAlign w:val="center"/>
          </w:tcPr>
          <w:p>
            <w:pPr>
              <w:pStyle w:val="30"/>
              <w:rPr>
                <w:color w:val="auto"/>
                <w:highlight w:val="none"/>
              </w:rPr>
            </w:pPr>
          </w:p>
        </w:tc>
        <w:tc>
          <w:tcPr>
            <w:tcW w:w="3663" w:type="dxa"/>
            <w:tcBorders>
              <w:top w:val="single" w:color="auto" w:sz="4" w:space="0"/>
              <w:left w:val="single" w:color="auto" w:sz="4" w:space="0"/>
              <w:bottom w:val="single" w:color="auto" w:sz="4" w:space="0"/>
              <w:right w:val="single" w:color="auto" w:sz="4" w:space="0"/>
            </w:tcBorders>
            <w:vAlign w:val="center"/>
          </w:tcPr>
          <w:p>
            <w:pPr>
              <w:pStyle w:val="30"/>
              <w:rPr>
                <w:color w:val="auto"/>
                <w:highlight w:val="none"/>
              </w:rPr>
            </w:pPr>
          </w:p>
        </w:tc>
        <w:tc>
          <w:tcPr>
            <w:tcW w:w="2241" w:type="dxa"/>
            <w:tcBorders>
              <w:top w:val="single" w:color="auto" w:sz="4" w:space="0"/>
              <w:left w:val="single" w:color="auto" w:sz="4" w:space="0"/>
              <w:bottom w:val="single" w:color="auto" w:sz="4" w:space="0"/>
              <w:right w:val="single" w:color="auto" w:sz="4" w:space="0"/>
            </w:tcBorders>
            <w:vAlign w:val="center"/>
          </w:tcPr>
          <w:p>
            <w:pPr>
              <w:pStyle w:val="30"/>
              <w:rPr>
                <w:color w:val="auto"/>
                <w:highlight w:val="none"/>
              </w:rPr>
            </w:pPr>
          </w:p>
        </w:tc>
        <w:tc>
          <w:tcPr>
            <w:tcW w:w="2153" w:type="dxa"/>
            <w:tcBorders>
              <w:top w:val="single" w:color="auto" w:sz="4" w:space="0"/>
              <w:left w:val="single" w:color="auto" w:sz="4" w:space="0"/>
              <w:bottom w:val="single" w:color="auto" w:sz="4" w:space="0"/>
              <w:right w:val="single" w:color="auto" w:sz="4" w:space="0"/>
            </w:tcBorders>
            <w:vAlign w:val="center"/>
          </w:tcPr>
          <w:p>
            <w:pPr>
              <w:pStyle w:val="30"/>
              <w:rPr>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5" w:hRule="exact"/>
          <w:jc w:val="center"/>
        </w:trPr>
        <w:tc>
          <w:tcPr>
            <w:tcW w:w="837" w:type="dxa"/>
            <w:tcBorders>
              <w:top w:val="single" w:color="auto" w:sz="4" w:space="0"/>
              <w:left w:val="single" w:color="auto" w:sz="4" w:space="0"/>
              <w:bottom w:val="single" w:color="auto" w:sz="4" w:space="0"/>
              <w:right w:val="single" w:color="auto" w:sz="4" w:space="0"/>
            </w:tcBorders>
            <w:vAlign w:val="center"/>
          </w:tcPr>
          <w:p>
            <w:pPr>
              <w:pStyle w:val="30"/>
              <w:rPr>
                <w:color w:val="auto"/>
                <w:highlight w:val="none"/>
              </w:rPr>
            </w:pPr>
          </w:p>
        </w:tc>
        <w:tc>
          <w:tcPr>
            <w:tcW w:w="3663" w:type="dxa"/>
            <w:tcBorders>
              <w:top w:val="single" w:color="auto" w:sz="4" w:space="0"/>
              <w:left w:val="single" w:color="auto" w:sz="4" w:space="0"/>
              <w:bottom w:val="single" w:color="auto" w:sz="4" w:space="0"/>
              <w:right w:val="single" w:color="auto" w:sz="4" w:space="0"/>
            </w:tcBorders>
            <w:vAlign w:val="center"/>
          </w:tcPr>
          <w:p>
            <w:pPr>
              <w:pStyle w:val="30"/>
              <w:rPr>
                <w:color w:val="auto"/>
                <w:highlight w:val="none"/>
              </w:rPr>
            </w:pPr>
          </w:p>
        </w:tc>
        <w:tc>
          <w:tcPr>
            <w:tcW w:w="2241" w:type="dxa"/>
            <w:tcBorders>
              <w:top w:val="single" w:color="auto" w:sz="4" w:space="0"/>
              <w:left w:val="single" w:color="auto" w:sz="4" w:space="0"/>
              <w:bottom w:val="single" w:color="auto" w:sz="4" w:space="0"/>
              <w:right w:val="single" w:color="auto" w:sz="4" w:space="0"/>
            </w:tcBorders>
            <w:vAlign w:val="center"/>
          </w:tcPr>
          <w:p>
            <w:pPr>
              <w:pStyle w:val="30"/>
              <w:rPr>
                <w:color w:val="auto"/>
                <w:highlight w:val="none"/>
              </w:rPr>
            </w:pPr>
          </w:p>
        </w:tc>
        <w:tc>
          <w:tcPr>
            <w:tcW w:w="2153" w:type="dxa"/>
            <w:tcBorders>
              <w:top w:val="single" w:color="auto" w:sz="4" w:space="0"/>
              <w:left w:val="single" w:color="auto" w:sz="4" w:space="0"/>
              <w:bottom w:val="single" w:color="auto" w:sz="4" w:space="0"/>
              <w:right w:val="single" w:color="auto" w:sz="4" w:space="0"/>
            </w:tcBorders>
            <w:vAlign w:val="center"/>
          </w:tcPr>
          <w:p>
            <w:pPr>
              <w:pStyle w:val="30"/>
              <w:rPr>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5" w:hRule="exact"/>
          <w:jc w:val="center"/>
        </w:trPr>
        <w:tc>
          <w:tcPr>
            <w:tcW w:w="837" w:type="dxa"/>
            <w:tcBorders>
              <w:top w:val="single" w:color="auto" w:sz="4" w:space="0"/>
              <w:left w:val="single" w:color="auto" w:sz="4" w:space="0"/>
              <w:bottom w:val="single" w:color="auto" w:sz="4" w:space="0"/>
              <w:right w:val="single" w:color="auto" w:sz="4" w:space="0"/>
            </w:tcBorders>
            <w:vAlign w:val="center"/>
          </w:tcPr>
          <w:p>
            <w:pPr>
              <w:pStyle w:val="30"/>
              <w:rPr>
                <w:color w:val="auto"/>
                <w:highlight w:val="none"/>
              </w:rPr>
            </w:pPr>
          </w:p>
        </w:tc>
        <w:tc>
          <w:tcPr>
            <w:tcW w:w="3663" w:type="dxa"/>
            <w:tcBorders>
              <w:top w:val="single" w:color="auto" w:sz="4" w:space="0"/>
              <w:left w:val="single" w:color="auto" w:sz="4" w:space="0"/>
              <w:bottom w:val="single" w:color="auto" w:sz="4" w:space="0"/>
              <w:right w:val="single" w:color="auto" w:sz="4" w:space="0"/>
            </w:tcBorders>
            <w:vAlign w:val="center"/>
          </w:tcPr>
          <w:p>
            <w:pPr>
              <w:pStyle w:val="30"/>
              <w:rPr>
                <w:color w:val="auto"/>
                <w:highlight w:val="none"/>
              </w:rPr>
            </w:pPr>
          </w:p>
        </w:tc>
        <w:tc>
          <w:tcPr>
            <w:tcW w:w="2241" w:type="dxa"/>
            <w:tcBorders>
              <w:top w:val="single" w:color="auto" w:sz="4" w:space="0"/>
              <w:left w:val="single" w:color="auto" w:sz="4" w:space="0"/>
              <w:bottom w:val="single" w:color="auto" w:sz="4" w:space="0"/>
              <w:right w:val="single" w:color="auto" w:sz="4" w:space="0"/>
            </w:tcBorders>
            <w:vAlign w:val="center"/>
          </w:tcPr>
          <w:p>
            <w:pPr>
              <w:pStyle w:val="30"/>
              <w:rPr>
                <w:color w:val="auto"/>
                <w:highlight w:val="none"/>
              </w:rPr>
            </w:pPr>
          </w:p>
        </w:tc>
        <w:tc>
          <w:tcPr>
            <w:tcW w:w="2153" w:type="dxa"/>
            <w:tcBorders>
              <w:top w:val="single" w:color="auto" w:sz="4" w:space="0"/>
              <w:left w:val="single" w:color="auto" w:sz="4" w:space="0"/>
              <w:bottom w:val="single" w:color="auto" w:sz="4" w:space="0"/>
              <w:right w:val="single" w:color="auto" w:sz="4" w:space="0"/>
            </w:tcBorders>
            <w:vAlign w:val="center"/>
          </w:tcPr>
          <w:p>
            <w:pPr>
              <w:pStyle w:val="30"/>
              <w:rPr>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5" w:hRule="exact"/>
          <w:jc w:val="center"/>
        </w:trPr>
        <w:tc>
          <w:tcPr>
            <w:tcW w:w="837" w:type="dxa"/>
            <w:tcBorders>
              <w:top w:val="single" w:color="auto" w:sz="4" w:space="0"/>
              <w:left w:val="single" w:color="auto" w:sz="4" w:space="0"/>
              <w:bottom w:val="single" w:color="auto" w:sz="4" w:space="0"/>
              <w:right w:val="single" w:color="auto" w:sz="4" w:space="0"/>
            </w:tcBorders>
            <w:vAlign w:val="center"/>
          </w:tcPr>
          <w:p>
            <w:pPr>
              <w:pStyle w:val="30"/>
              <w:rPr>
                <w:color w:val="auto"/>
                <w:highlight w:val="none"/>
              </w:rPr>
            </w:pPr>
          </w:p>
        </w:tc>
        <w:tc>
          <w:tcPr>
            <w:tcW w:w="3663" w:type="dxa"/>
            <w:tcBorders>
              <w:top w:val="single" w:color="auto" w:sz="4" w:space="0"/>
              <w:left w:val="single" w:color="auto" w:sz="4" w:space="0"/>
              <w:bottom w:val="single" w:color="auto" w:sz="4" w:space="0"/>
              <w:right w:val="single" w:color="auto" w:sz="4" w:space="0"/>
            </w:tcBorders>
            <w:vAlign w:val="center"/>
          </w:tcPr>
          <w:p>
            <w:pPr>
              <w:pStyle w:val="30"/>
              <w:rPr>
                <w:color w:val="auto"/>
                <w:highlight w:val="none"/>
              </w:rPr>
            </w:pPr>
          </w:p>
        </w:tc>
        <w:tc>
          <w:tcPr>
            <w:tcW w:w="2241" w:type="dxa"/>
            <w:tcBorders>
              <w:top w:val="single" w:color="auto" w:sz="4" w:space="0"/>
              <w:left w:val="single" w:color="auto" w:sz="4" w:space="0"/>
              <w:bottom w:val="single" w:color="auto" w:sz="4" w:space="0"/>
              <w:right w:val="single" w:color="auto" w:sz="4" w:space="0"/>
            </w:tcBorders>
            <w:vAlign w:val="center"/>
          </w:tcPr>
          <w:p>
            <w:pPr>
              <w:pStyle w:val="30"/>
              <w:rPr>
                <w:color w:val="auto"/>
                <w:highlight w:val="none"/>
              </w:rPr>
            </w:pPr>
          </w:p>
        </w:tc>
        <w:tc>
          <w:tcPr>
            <w:tcW w:w="2153" w:type="dxa"/>
            <w:tcBorders>
              <w:top w:val="single" w:color="auto" w:sz="4" w:space="0"/>
              <w:left w:val="single" w:color="auto" w:sz="4" w:space="0"/>
              <w:bottom w:val="single" w:color="auto" w:sz="4" w:space="0"/>
              <w:right w:val="single" w:color="auto" w:sz="4" w:space="0"/>
            </w:tcBorders>
            <w:vAlign w:val="center"/>
          </w:tcPr>
          <w:p>
            <w:pPr>
              <w:pStyle w:val="30"/>
              <w:rPr>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5" w:hRule="exact"/>
          <w:jc w:val="center"/>
        </w:trPr>
        <w:tc>
          <w:tcPr>
            <w:tcW w:w="837" w:type="dxa"/>
            <w:tcBorders>
              <w:top w:val="single" w:color="auto" w:sz="4" w:space="0"/>
              <w:left w:val="single" w:color="auto" w:sz="4" w:space="0"/>
              <w:bottom w:val="single" w:color="auto" w:sz="4" w:space="0"/>
              <w:right w:val="single" w:color="auto" w:sz="4" w:space="0"/>
            </w:tcBorders>
            <w:vAlign w:val="center"/>
          </w:tcPr>
          <w:p>
            <w:pPr>
              <w:pStyle w:val="30"/>
              <w:rPr>
                <w:color w:val="auto"/>
                <w:highlight w:val="none"/>
              </w:rPr>
            </w:pPr>
          </w:p>
        </w:tc>
        <w:tc>
          <w:tcPr>
            <w:tcW w:w="3663" w:type="dxa"/>
            <w:tcBorders>
              <w:top w:val="single" w:color="auto" w:sz="4" w:space="0"/>
              <w:left w:val="single" w:color="auto" w:sz="4" w:space="0"/>
              <w:bottom w:val="single" w:color="auto" w:sz="4" w:space="0"/>
              <w:right w:val="single" w:color="auto" w:sz="4" w:space="0"/>
            </w:tcBorders>
            <w:vAlign w:val="center"/>
          </w:tcPr>
          <w:p>
            <w:pPr>
              <w:pStyle w:val="30"/>
              <w:rPr>
                <w:color w:val="auto"/>
                <w:highlight w:val="none"/>
              </w:rPr>
            </w:pPr>
          </w:p>
        </w:tc>
        <w:tc>
          <w:tcPr>
            <w:tcW w:w="2241" w:type="dxa"/>
            <w:tcBorders>
              <w:top w:val="single" w:color="auto" w:sz="4" w:space="0"/>
              <w:left w:val="single" w:color="auto" w:sz="4" w:space="0"/>
              <w:bottom w:val="single" w:color="auto" w:sz="4" w:space="0"/>
              <w:right w:val="single" w:color="auto" w:sz="4" w:space="0"/>
            </w:tcBorders>
            <w:vAlign w:val="center"/>
          </w:tcPr>
          <w:p>
            <w:pPr>
              <w:pStyle w:val="30"/>
              <w:rPr>
                <w:color w:val="auto"/>
                <w:highlight w:val="none"/>
              </w:rPr>
            </w:pPr>
          </w:p>
        </w:tc>
        <w:tc>
          <w:tcPr>
            <w:tcW w:w="2153" w:type="dxa"/>
            <w:tcBorders>
              <w:top w:val="single" w:color="auto" w:sz="4" w:space="0"/>
              <w:left w:val="single" w:color="auto" w:sz="4" w:space="0"/>
              <w:bottom w:val="single" w:color="auto" w:sz="4" w:space="0"/>
              <w:right w:val="single" w:color="auto" w:sz="4" w:space="0"/>
            </w:tcBorders>
            <w:vAlign w:val="center"/>
          </w:tcPr>
          <w:p>
            <w:pPr>
              <w:pStyle w:val="30"/>
              <w:rPr>
                <w:color w:val="auto"/>
                <w:highlight w:val="none"/>
              </w:rPr>
            </w:pPr>
          </w:p>
        </w:tc>
      </w:tr>
    </w:tbl>
    <w:p>
      <w:pPr>
        <w:rPr>
          <w:rFonts w:hAnsi="宋体" w:cs="宋体"/>
          <w:color w:val="auto"/>
          <w:kern w:val="2"/>
          <w:szCs w:val="24"/>
          <w:highlight w:val="none"/>
        </w:rPr>
      </w:pPr>
    </w:p>
    <w:p>
      <w:pPr>
        <w:pStyle w:val="5"/>
        <w:ind w:firstLine="480"/>
        <w:rPr>
          <w:color w:val="auto"/>
          <w:highlight w:val="none"/>
        </w:rPr>
      </w:pPr>
      <w:r>
        <w:rPr>
          <w:rFonts w:hint="eastAsia"/>
          <w:color w:val="auto"/>
          <w:highlight w:val="none"/>
        </w:rPr>
        <w:t>注：须根据《评标因素及权重分值表》等要求附相关证明资料复印件（加盖公章）。</w:t>
      </w:r>
    </w:p>
    <w:p>
      <w:pPr>
        <w:pStyle w:val="5"/>
        <w:ind w:firstLine="480"/>
        <w:rPr>
          <w:color w:val="auto"/>
          <w:highlight w:val="none"/>
        </w:rPr>
      </w:pPr>
    </w:p>
    <w:p>
      <w:pPr>
        <w:pStyle w:val="4"/>
        <w:rPr>
          <w:rStyle w:val="31"/>
          <w:b/>
          <w:bCs/>
          <w:color w:val="auto"/>
          <w:highlight w:val="none"/>
        </w:rPr>
      </w:pPr>
      <w:r>
        <w:rPr>
          <w:rFonts w:hint="eastAsia"/>
          <w:color w:val="auto"/>
          <w:sz w:val="32"/>
          <w:highlight w:val="none"/>
        </w:rPr>
        <w:br w:type="page"/>
      </w:r>
      <w:bookmarkStart w:id="279" w:name="_Toc3923"/>
      <w:bookmarkStart w:id="280" w:name="_Toc10895"/>
      <w:r>
        <w:rPr>
          <w:rStyle w:val="31"/>
          <w:rFonts w:hint="eastAsia"/>
          <w:b/>
          <w:bCs/>
          <w:color w:val="auto"/>
          <w:highlight w:val="none"/>
        </w:rPr>
        <w:t>四、</w:t>
      </w:r>
      <w:bookmarkEnd w:id="270"/>
      <w:bookmarkEnd w:id="271"/>
      <w:bookmarkEnd w:id="272"/>
      <w:bookmarkEnd w:id="273"/>
      <w:bookmarkEnd w:id="274"/>
      <w:bookmarkEnd w:id="275"/>
      <w:bookmarkEnd w:id="276"/>
      <w:bookmarkEnd w:id="277"/>
      <w:r>
        <w:rPr>
          <w:rStyle w:val="31"/>
          <w:rFonts w:hint="eastAsia"/>
          <w:b/>
          <w:bCs/>
          <w:color w:val="auto"/>
          <w:highlight w:val="none"/>
        </w:rPr>
        <w:t>商务条款偏离表</w:t>
      </w:r>
      <w:bookmarkEnd w:id="278"/>
      <w:bookmarkEnd w:id="279"/>
      <w:bookmarkEnd w:id="280"/>
    </w:p>
    <w:p>
      <w:pPr>
        <w:pStyle w:val="7"/>
        <w:spacing w:before="166"/>
        <w:rPr>
          <w:color w:val="auto"/>
          <w:highlight w:val="none"/>
        </w:rPr>
      </w:pPr>
      <w:bookmarkStart w:id="281" w:name="_Toc10058"/>
      <w:bookmarkStart w:id="282" w:name="_Toc14939"/>
      <w:bookmarkStart w:id="283" w:name="_Toc403077656"/>
      <w:bookmarkStart w:id="284" w:name="_Toc6862"/>
      <w:bookmarkStart w:id="285" w:name="_Toc24076"/>
      <w:bookmarkStart w:id="286" w:name="_Toc363474033"/>
      <w:bookmarkStart w:id="287" w:name="_Toc10179"/>
      <w:bookmarkStart w:id="288" w:name="_Toc8692"/>
      <w:bookmarkStart w:id="289" w:name="_Toc426457714"/>
      <w:bookmarkStart w:id="290" w:name="_Toc6432"/>
      <w:r>
        <w:rPr>
          <w:rFonts w:hint="eastAsia"/>
          <w:color w:val="auto"/>
          <w:highlight w:val="none"/>
        </w:rPr>
        <w:t>4.1商务条款偏离表（一）</w:t>
      </w:r>
    </w:p>
    <w:tbl>
      <w:tblPr>
        <w:tblStyle w:val="20"/>
        <w:tblW w:w="8796"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648"/>
        <w:gridCol w:w="1642"/>
        <w:gridCol w:w="1521"/>
        <w:gridCol w:w="1657"/>
        <w:gridCol w:w="1208"/>
        <w:gridCol w:w="1339"/>
        <w:gridCol w:w="781"/>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850" w:hRule="atLeast"/>
          <w:jc w:val="center"/>
        </w:trPr>
        <w:tc>
          <w:tcPr>
            <w:tcW w:w="648" w:type="dxa"/>
            <w:vAlign w:val="center"/>
          </w:tcPr>
          <w:p>
            <w:pPr>
              <w:pStyle w:val="30"/>
              <w:rPr>
                <w:color w:val="auto"/>
                <w:highlight w:val="none"/>
              </w:rPr>
            </w:pPr>
            <w:r>
              <w:rPr>
                <w:rFonts w:hint="eastAsia"/>
                <w:color w:val="auto"/>
                <w:highlight w:val="none"/>
              </w:rPr>
              <w:t>序号</w:t>
            </w:r>
          </w:p>
        </w:tc>
        <w:tc>
          <w:tcPr>
            <w:tcW w:w="1642" w:type="dxa"/>
            <w:vAlign w:val="center"/>
          </w:tcPr>
          <w:p>
            <w:pPr>
              <w:pStyle w:val="30"/>
              <w:rPr>
                <w:color w:val="auto"/>
                <w:highlight w:val="none"/>
              </w:rPr>
            </w:pPr>
            <w:r>
              <w:rPr>
                <w:rFonts w:hint="eastAsia"/>
                <w:color w:val="auto"/>
                <w:highlight w:val="none"/>
              </w:rPr>
              <w:t>名称</w:t>
            </w:r>
          </w:p>
        </w:tc>
        <w:tc>
          <w:tcPr>
            <w:tcW w:w="1521" w:type="dxa"/>
            <w:vAlign w:val="center"/>
          </w:tcPr>
          <w:p>
            <w:pPr>
              <w:pStyle w:val="30"/>
              <w:rPr>
                <w:color w:val="auto"/>
                <w:highlight w:val="none"/>
              </w:rPr>
            </w:pPr>
            <w:r>
              <w:rPr>
                <w:rFonts w:hint="eastAsia"/>
                <w:color w:val="auto"/>
                <w:highlight w:val="none"/>
              </w:rPr>
              <w:t>商务要求</w:t>
            </w:r>
          </w:p>
        </w:tc>
        <w:tc>
          <w:tcPr>
            <w:tcW w:w="1657" w:type="dxa"/>
            <w:vAlign w:val="center"/>
          </w:tcPr>
          <w:p>
            <w:pPr>
              <w:pStyle w:val="30"/>
              <w:rPr>
                <w:color w:val="auto"/>
                <w:highlight w:val="none"/>
              </w:rPr>
            </w:pPr>
            <w:r>
              <w:rPr>
                <w:rFonts w:hint="eastAsia"/>
                <w:color w:val="auto"/>
                <w:highlight w:val="none"/>
              </w:rPr>
              <w:t>投标内容</w:t>
            </w:r>
          </w:p>
        </w:tc>
        <w:tc>
          <w:tcPr>
            <w:tcW w:w="1208" w:type="dxa"/>
            <w:vAlign w:val="center"/>
          </w:tcPr>
          <w:p>
            <w:pPr>
              <w:pStyle w:val="30"/>
              <w:rPr>
                <w:color w:val="auto"/>
                <w:highlight w:val="none"/>
              </w:rPr>
            </w:pPr>
            <w:r>
              <w:rPr>
                <w:rFonts w:hint="eastAsia"/>
                <w:color w:val="auto"/>
                <w:highlight w:val="none"/>
              </w:rPr>
              <w:t>偏离说明</w:t>
            </w:r>
          </w:p>
        </w:tc>
        <w:tc>
          <w:tcPr>
            <w:tcW w:w="1339" w:type="dxa"/>
            <w:vAlign w:val="center"/>
          </w:tcPr>
          <w:p>
            <w:pPr>
              <w:pStyle w:val="30"/>
              <w:rPr>
                <w:color w:val="auto"/>
                <w:highlight w:val="none"/>
              </w:rPr>
            </w:pPr>
            <w:r>
              <w:rPr>
                <w:rFonts w:hint="eastAsia"/>
                <w:color w:val="auto"/>
                <w:szCs w:val="24"/>
                <w:highlight w:val="none"/>
              </w:rPr>
              <w:t>证明材料索引页（如有）</w:t>
            </w:r>
          </w:p>
        </w:tc>
        <w:tc>
          <w:tcPr>
            <w:tcW w:w="781" w:type="dxa"/>
            <w:vAlign w:val="center"/>
          </w:tcPr>
          <w:p>
            <w:pPr>
              <w:pStyle w:val="30"/>
              <w:rPr>
                <w:color w:val="auto"/>
                <w:highlight w:val="none"/>
              </w:rPr>
            </w:pPr>
            <w:r>
              <w:rPr>
                <w:rFonts w:hint="eastAsia"/>
                <w:color w:val="auto"/>
                <w:highlight w:val="none"/>
              </w:rPr>
              <w:t>备注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850" w:hRule="atLeast"/>
          <w:jc w:val="center"/>
        </w:trPr>
        <w:tc>
          <w:tcPr>
            <w:tcW w:w="648" w:type="dxa"/>
          </w:tcPr>
          <w:p>
            <w:pPr>
              <w:pStyle w:val="30"/>
              <w:rPr>
                <w:color w:val="auto"/>
                <w:highlight w:val="none"/>
              </w:rPr>
            </w:pPr>
          </w:p>
        </w:tc>
        <w:tc>
          <w:tcPr>
            <w:tcW w:w="1642" w:type="dxa"/>
          </w:tcPr>
          <w:p>
            <w:pPr>
              <w:pStyle w:val="30"/>
              <w:rPr>
                <w:color w:val="auto"/>
                <w:highlight w:val="none"/>
              </w:rPr>
            </w:pPr>
          </w:p>
        </w:tc>
        <w:tc>
          <w:tcPr>
            <w:tcW w:w="1521" w:type="dxa"/>
          </w:tcPr>
          <w:p>
            <w:pPr>
              <w:pStyle w:val="30"/>
              <w:rPr>
                <w:color w:val="auto"/>
                <w:highlight w:val="none"/>
              </w:rPr>
            </w:pPr>
          </w:p>
        </w:tc>
        <w:tc>
          <w:tcPr>
            <w:tcW w:w="1657" w:type="dxa"/>
          </w:tcPr>
          <w:p>
            <w:pPr>
              <w:pStyle w:val="30"/>
              <w:rPr>
                <w:color w:val="auto"/>
                <w:highlight w:val="none"/>
              </w:rPr>
            </w:pPr>
          </w:p>
        </w:tc>
        <w:tc>
          <w:tcPr>
            <w:tcW w:w="1208" w:type="dxa"/>
          </w:tcPr>
          <w:p>
            <w:pPr>
              <w:pStyle w:val="30"/>
              <w:rPr>
                <w:color w:val="auto"/>
                <w:highlight w:val="none"/>
              </w:rPr>
            </w:pPr>
          </w:p>
        </w:tc>
        <w:tc>
          <w:tcPr>
            <w:tcW w:w="1339" w:type="dxa"/>
          </w:tcPr>
          <w:p>
            <w:pPr>
              <w:pStyle w:val="30"/>
              <w:rPr>
                <w:color w:val="auto"/>
                <w:highlight w:val="none"/>
              </w:rPr>
            </w:pPr>
          </w:p>
        </w:tc>
        <w:tc>
          <w:tcPr>
            <w:tcW w:w="781" w:type="dxa"/>
          </w:tcPr>
          <w:p>
            <w:pPr>
              <w:pStyle w:val="30"/>
              <w:rPr>
                <w:color w:val="auto"/>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850" w:hRule="atLeast"/>
          <w:jc w:val="center"/>
        </w:trPr>
        <w:tc>
          <w:tcPr>
            <w:tcW w:w="648" w:type="dxa"/>
          </w:tcPr>
          <w:p>
            <w:pPr>
              <w:pStyle w:val="30"/>
              <w:rPr>
                <w:color w:val="auto"/>
                <w:highlight w:val="none"/>
              </w:rPr>
            </w:pPr>
          </w:p>
        </w:tc>
        <w:tc>
          <w:tcPr>
            <w:tcW w:w="1642" w:type="dxa"/>
          </w:tcPr>
          <w:p>
            <w:pPr>
              <w:pStyle w:val="30"/>
              <w:rPr>
                <w:color w:val="auto"/>
                <w:highlight w:val="none"/>
              </w:rPr>
            </w:pPr>
          </w:p>
        </w:tc>
        <w:tc>
          <w:tcPr>
            <w:tcW w:w="1521" w:type="dxa"/>
          </w:tcPr>
          <w:p>
            <w:pPr>
              <w:pStyle w:val="30"/>
              <w:rPr>
                <w:color w:val="auto"/>
                <w:highlight w:val="none"/>
              </w:rPr>
            </w:pPr>
          </w:p>
        </w:tc>
        <w:tc>
          <w:tcPr>
            <w:tcW w:w="1657" w:type="dxa"/>
          </w:tcPr>
          <w:p>
            <w:pPr>
              <w:pStyle w:val="30"/>
              <w:rPr>
                <w:color w:val="auto"/>
                <w:highlight w:val="none"/>
              </w:rPr>
            </w:pPr>
          </w:p>
        </w:tc>
        <w:tc>
          <w:tcPr>
            <w:tcW w:w="1208" w:type="dxa"/>
          </w:tcPr>
          <w:p>
            <w:pPr>
              <w:pStyle w:val="30"/>
              <w:rPr>
                <w:color w:val="auto"/>
                <w:highlight w:val="none"/>
              </w:rPr>
            </w:pPr>
          </w:p>
        </w:tc>
        <w:tc>
          <w:tcPr>
            <w:tcW w:w="1339" w:type="dxa"/>
          </w:tcPr>
          <w:p>
            <w:pPr>
              <w:pStyle w:val="30"/>
              <w:rPr>
                <w:color w:val="auto"/>
                <w:highlight w:val="none"/>
              </w:rPr>
            </w:pPr>
          </w:p>
        </w:tc>
        <w:tc>
          <w:tcPr>
            <w:tcW w:w="781" w:type="dxa"/>
          </w:tcPr>
          <w:p>
            <w:pPr>
              <w:pStyle w:val="30"/>
              <w:rPr>
                <w:color w:val="auto"/>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855" w:hRule="atLeast"/>
          <w:jc w:val="center"/>
        </w:trPr>
        <w:tc>
          <w:tcPr>
            <w:tcW w:w="648" w:type="dxa"/>
          </w:tcPr>
          <w:p>
            <w:pPr>
              <w:pStyle w:val="30"/>
              <w:rPr>
                <w:color w:val="auto"/>
                <w:highlight w:val="none"/>
              </w:rPr>
            </w:pPr>
          </w:p>
        </w:tc>
        <w:tc>
          <w:tcPr>
            <w:tcW w:w="1642" w:type="dxa"/>
          </w:tcPr>
          <w:p>
            <w:pPr>
              <w:pStyle w:val="30"/>
              <w:rPr>
                <w:color w:val="auto"/>
                <w:highlight w:val="none"/>
              </w:rPr>
            </w:pPr>
          </w:p>
        </w:tc>
        <w:tc>
          <w:tcPr>
            <w:tcW w:w="1521" w:type="dxa"/>
          </w:tcPr>
          <w:p>
            <w:pPr>
              <w:pStyle w:val="30"/>
              <w:rPr>
                <w:color w:val="auto"/>
                <w:highlight w:val="none"/>
              </w:rPr>
            </w:pPr>
          </w:p>
        </w:tc>
        <w:tc>
          <w:tcPr>
            <w:tcW w:w="1657" w:type="dxa"/>
          </w:tcPr>
          <w:p>
            <w:pPr>
              <w:pStyle w:val="30"/>
              <w:rPr>
                <w:color w:val="auto"/>
                <w:highlight w:val="none"/>
              </w:rPr>
            </w:pPr>
          </w:p>
        </w:tc>
        <w:tc>
          <w:tcPr>
            <w:tcW w:w="1208" w:type="dxa"/>
          </w:tcPr>
          <w:p>
            <w:pPr>
              <w:pStyle w:val="30"/>
              <w:rPr>
                <w:color w:val="auto"/>
                <w:highlight w:val="none"/>
              </w:rPr>
            </w:pPr>
          </w:p>
        </w:tc>
        <w:tc>
          <w:tcPr>
            <w:tcW w:w="1339" w:type="dxa"/>
          </w:tcPr>
          <w:p>
            <w:pPr>
              <w:pStyle w:val="30"/>
              <w:rPr>
                <w:color w:val="auto"/>
                <w:highlight w:val="none"/>
              </w:rPr>
            </w:pPr>
          </w:p>
        </w:tc>
        <w:tc>
          <w:tcPr>
            <w:tcW w:w="781" w:type="dxa"/>
          </w:tcPr>
          <w:p>
            <w:pPr>
              <w:pStyle w:val="30"/>
              <w:rPr>
                <w:color w:val="auto"/>
                <w:highlight w:val="none"/>
              </w:rPr>
            </w:pPr>
          </w:p>
        </w:tc>
      </w:tr>
    </w:tbl>
    <w:p>
      <w:pPr>
        <w:tabs>
          <w:tab w:val="left" w:pos="7200"/>
          <w:tab w:val="left" w:pos="8504"/>
        </w:tabs>
        <w:spacing w:line="360" w:lineRule="auto"/>
        <w:ind w:right="-1"/>
        <w:rPr>
          <w:rFonts w:hAnsi="宋体" w:cs="宋体"/>
          <w:color w:val="auto"/>
          <w:highlight w:val="none"/>
        </w:rPr>
      </w:pPr>
    </w:p>
    <w:p>
      <w:pPr>
        <w:spacing w:line="120" w:lineRule="exact"/>
        <w:rPr>
          <w:rFonts w:hAnsi="宋体" w:cs="宋体"/>
          <w:color w:val="auto"/>
          <w:highlight w:val="none"/>
        </w:rPr>
      </w:pPr>
    </w:p>
    <w:p>
      <w:pPr>
        <w:pStyle w:val="5"/>
        <w:ind w:firstLine="0" w:firstLineChars="0"/>
        <w:rPr>
          <w:color w:val="auto"/>
          <w:highlight w:val="none"/>
        </w:rPr>
      </w:pPr>
      <w:r>
        <w:rPr>
          <w:rFonts w:hint="eastAsia"/>
          <w:color w:val="auto"/>
          <w:highlight w:val="none"/>
        </w:rPr>
        <w:t>投标人名称：</w:t>
      </w:r>
      <w:r>
        <w:rPr>
          <w:rFonts w:hint="eastAsia"/>
          <w:color w:val="auto"/>
          <w:highlight w:val="none"/>
          <w:u w:val="single"/>
        </w:rPr>
        <w:t xml:space="preserve">                   </w:t>
      </w:r>
      <w:r>
        <w:rPr>
          <w:rFonts w:hint="eastAsia"/>
          <w:color w:val="auto"/>
          <w:highlight w:val="none"/>
        </w:rPr>
        <w:t>（盖单位公章）</w:t>
      </w:r>
    </w:p>
    <w:p>
      <w:pPr>
        <w:pStyle w:val="5"/>
        <w:ind w:firstLine="0" w:firstLineChars="0"/>
        <w:rPr>
          <w:color w:val="auto"/>
          <w:highlight w:val="none"/>
        </w:rPr>
      </w:pPr>
    </w:p>
    <w:p>
      <w:pPr>
        <w:pStyle w:val="5"/>
        <w:ind w:firstLine="0" w:firstLineChars="0"/>
        <w:rPr>
          <w:color w:val="auto"/>
          <w:highlight w:val="none"/>
        </w:rPr>
      </w:pPr>
      <w:r>
        <w:rPr>
          <w:rFonts w:hint="eastAsia"/>
          <w:color w:val="auto"/>
          <w:highlight w:val="none"/>
        </w:rPr>
        <w:t>法定代表人或被授权人：</w:t>
      </w:r>
      <w:r>
        <w:rPr>
          <w:rFonts w:hint="eastAsia"/>
          <w:color w:val="auto"/>
          <w:highlight w:val="none"/>
          <w:u w:val="single"/>
        </w:rPr>
        <w:t xml:space="preserve">         </w:t>
      </w:r>
      <w:r>
        <w:rPr>
          <w:rFonts w:hint="eastAsia"/>
          <w:color w:val="auto"/>
          <w:highlight w:val="none"/>
        </w:rPr>
        <w:t>（签字或盖章）</w:t>
      </w:r>
    </w:p>
    <w:p>
      <w:pPr>
        <w:pStyle w:val="5"/>
        <w:ind w:firstLine="0" w:firstLineChars="0"/>
        <w:rPr>
          <w:color w:val="auto"/>
          <w:highlight w:val="none"/>
        </w:rPr>
      </w:pPr>
    </w:p>
    <w:p>
      <w:pPr>
        <w:pStyle w:val="5"/>
        <w:ind w:firstLine="0" w:firstLineChars="0"/>
        <w:rPr>
          <w:b/>
          <w:bCs/>
          <w:color w:val="auto"/>
          <w:highlight w:val="none"/>
        </w:rPr>
      </w:pPr>
      <w:r>
        <w:rPr>
          <w:rFonts w:hint="eastAsia"/>
          <w:color w:val="auto"/>
          <w:highlight w:val="none"/>
        </w:rPr>
        <w:t>日    期：</w:t>
      </w:r>
      <w:r>
        <w:rPr>
          <w:rFonts w:hint="eastAsia"/>
          <w:color w:val="auto"/>
          <w:highlight w:val="none"/>
          <w:u w:val="single"/>
        </w:rPr>
        <w:t xml:space="preserve">   </w:t>
      </w:r>
      <w:r>
        <w:rPr>
          <w:rFonts w:hint="eastAsia"/>
          <w:color w:val="auto"/>
          <w:highlight w:val="none"/>
        </w:rPr>
        <w:t>年</w:t>
      </w:r>
      <w:r>
        <w:rPr>
          <w:rFonts w:hint="eastAsia"/>
          <w:color w:val="auto"/>
          <w:highlight w:val="none"/>
          <w:u w:val="single"/>
        </w:rPr>
        <w:t xml:space="preserve">   </w:t>
      </w:r>
      <w:r>
        <w:rPr>
          <w:rFonts w:hint="eastAsia"/>
          <w:color w:val="auto"/>
          <w:highlight w:val="none"/>
        </w:rPr>
        <w:t>月</w:t>
      </w:r>
      <w:r>
        <w:rPr>
          <w:rFonts w:hint="eastAsia"/>
          <w:color w:val="auto"/>
          <w:highlight w:val="none"/>
          <w:u w:val="single"/>
        </w:rPr>
        <w:t xml:space="preserve">   </w:t>
      </w:r>
      <w:r>
        <w:rPr>
          <w:rFonts w:hint="eastAsia"/>
          <w:color w:val="auto"/>
          <w:highlight w:val="none"/>
        </w:rPr>
        <w:t>日</w:t>
      </w:r>
    </w:p>
    <w:p>
      <w:pPr>
        <w:adjustRightInd w:val="0"/>
        <w:snapToGrid w:val="0"/>
        <w:spacing w:line="440" w:lineRule="exact"/>
        <w:ind w:left="137" w:leftChars="57" w:firstLine="1446" w:firstLineChars="600"/>
        <w:rPr>
          <w:rFonts w:hAnsi="宋体" w:cs="宋体"/>
          <w:b/>
          <w:bCs/>
          <w:color w:val="auto"/>
          <w:szCs w:val="24"/>
          <w:highlight w:val="none"/>
        </w:rPr>
      </w:pPr>
    </w:p>
    <w:p>
      <w:pPr>
        <w:rPr>
          <w:rFonts w:hAnsi="宋体" w:cs="宋体"/>
          <w:color w:val="auto"/>
          <w:szCs w:val="24"/>
          <w:highlight w:val="none"/>
        </w:rPr>
      </w:pPr>
    </w:p>
    <w:p>
      <w:pPr>
        <w:pStyle w:val="32"/>
        <w:rPr>
          <w:rFonts w:hAnsi="宋体" w:cs="宋体"/>
          <w:color w:val="auto"/>
          <w:szCs w:val="24"/>
          <w:highlight w:val="none"/>
        </w:rPr>
      </w:pPr>
      <w:r>
        <w:rPr>
          <w:rFonts w:hint="eastAsia" w:hAnsi="宋体" w:cs="宋体"/>
          <w:b/>
          <w:bCs/>
          <w:color w:val="auto"/>
          <w:szCs w:val="24"/>
          <w:highlight w:val="none"/>
        </w:rPr>
        <w:t>注：</w:t>
      </w:r>
      <w:r>
        <w:rPr>
          <w:rFonts w:hint="eastAsia" w:hAnsi="宋体" w:cs="宋体"/>
          <w:color w:val="auto"/>
          <w:szCs w:val="24"/>
          <w:highlight w:val="none"/>
        </w:rPr>
        <w:t xml:space="preserve"> </w:t>
      </w:r>
    </w:p>
    <w:p>
      <w:pPr>
        <w:pStyle w:val="5"/>
        <w:numPr>
          <w:ilvl w:val="0"/>
          <w:numId w:val="3"/>
        </w:numPr>
        <w:tabs>
          <w:tab w:val="clear" w:pos="312"/>
        </w:tabs>
        <w:ind w:firstLine="480"/>
        <w:rPr>
          <w:color w:val="auto"/>
          <w:highlight w:val="none"/>
        </w:rPr>
      </w:pPr>
      <w:r>
        <w:rPr>
          <w:rFonts w:hint="eastAsia"/>
          <w:color w:val="auto"/>
          <w:highlight w:val="none"/>
        </w:rPr>
        <w:t>商务要求指招标文件</w:t>
      </w:r>
      <w:r>
        <w:rPr>
          <w:rFonts w:hint="eastAsia"/>
          <w:b/>
          <w:bCs/>
          <w:color w:val="auto"/>
          <w:highlight w:val="none"/>
        </w:rPr>
        <w:t>第四章“采购内容及技术要求”二、商务要求</w:t>
      </w:r>
      <w:r>
        <w:rPr>
          <w:rFonts w:hint="eastAsia"/>
          <w:color w:val="auto"/>
          <w:highlight w:val="none"/>
        </w:rPr>
        <w:t>中所列内容,投标人应按照招标文件中的内容逐项响应。</w:t>
      </w:r>
    </w:p>
    <w:p>
      <w:pPr>
        <w:pStyle w:val="5"/>
        <w:numPr>
          <w:ilvl w:val="0"/>
          <w:numId w:val="3"/>
        </w:numPr>
        <w:tabs>
          <w:tab w:val="clear" w:pos="312"/>
        </w:tabs>
        <w:ind w:firstLine="480"/>
        <w:rPr>
          <w:color w:val="auto"/>
          <w:highlight w:val="none"/>
        </w:rPr>
      </w:pPr>
      <w:r>
        <w:rPr>
          <w:rFonts w:hint="eastAsia"/>
          <w:color w:val="auto"/>
          <w:highlight w:val="none"/>
        </w:rPr>
        <w:t xml:space="preserve">投标内容指投标人拟提供的相应响应内容,投标人应逐条如实填写并提供相应的支持文件（如有）。 </w:t>
      </w:r>
    </w:p>
    <w:p>
      <w:pPr>
        <w:pStyle w:val="5"/>
        <w:numPr>
          <w:ilvl w:val="0"/>
          <w:numId w:val="3"/>
        </w:numPr>
        <w:tabs>
          <w:tab w:val="clear" w:pos="312"/>
        </w:tabs>
        <w:ind w:firstLine="480"/>
        <w:rPr>
          <w:color w:val="auto"/>
          <w:highlight w:val="none"/>
        </w:rPr>
      </w:pPr>
      <w:r>
        <w:rPr>
          <w:rFonts w:hint="eastAsia"/>
          <w:color w:val="auto"/>
          <w:highlight w:val="none"/>
        </w:rPr>
        <w:t>偏离说明填写：优于、满足或低于。</w:t>
      </w:r>
    </w:p>
    <w:p>
      <w:pPr>
        <w:pStyle w:val="5"/>
        <w:numPr>
          <w:ilvl w:val="0"/>
          <w:numId w:val="3"/>
        </w:numPr>
        <w:tabs>
          <w:tab w:val="clear" w:pos="312"/>
        </w:tabs>
        <w:ind w:firstLine="480"/>
        <w:rPr>
          <w:color w:val="auto"/>
          <w:highlight w:val="none"/>
        </w:rPr>
      </w:pPr>
      <w:r>
        <w:rPr>
          <w:rFonts w:hint="eastAsia"/>
          <w:color w:val="auto"/>
          <w:highlight w:val="none"/>
        </w:rPr>
        <w:t>投标人必须据实填写，不得虚假响应，否则将取消其投标或中标资格。</w:t>
      </w:r>
    </w:p>
    <w:p>
      <w:pPr>
        <w:rPr>
          <w:color w:val="auto"/>
          <w:highlight w:val="none"/>
        </w:rPr>
      </w:pPr>
    </w:p>
    <w:p>
      <w:pPr>
        <w:rPr>
          <w:rFonts w:hint="eastAsia"/>
          <w:color w:val="auto"/>
          <w:highlight w:val="none"/>
        </w:rPr>
      </w:pPr>
      <w:r>
        <w:rPr>
          <w:rFonts w:hint="eastAsia"/>
          <w:color w:val="auto"/>
          <w:highlight w:val="none"/>
        </w:rPr>
        <w:br w:type="page"/>
      </w:r>
    </w:p>
    <w:p>
      <w:pPr>
        <w:pStyle w:val="7"/>
        <w:spacing w:before="166"/>
        <w:rPr>
          <w:color w:val="auto"/>
          <w:highlight w:val="none"/>
        </w:rPr>
      </w:pPr>
      <w:r>
        <w:rPr>
          <w:rFonts w:hint="eastAsia"/>
          <w:color w:val="auto"/>
          <w:highlight w:val="none"/>
        </w:rPr>
        <w:t>4.2商务条款偏离表（二）</w:t>
      </w:r>
    </w:p>
    <w:tbl>
      <w:tblPr>
        <w:tblStyle w:val="20"/>
        <w:tblW w:w="91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
        <w:gridCol w:w="1935"/>
        <w:gridCol w:w="1995"/>
        <w:gridCol w:w="2085"/>
        <w:gridCol w:w="1260"/>
        <w:gridCol w:w="9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82" w:type="dxa"/>
            <w:tcBorders>
              <w:top w:val="single" w:color="auto" w:sz="4" w:space="0"/>
              <w:left w:val="single" w:color="auto" w:sz="4" w:space="0"/>
              <w:bottom w:val="single" w:color="auto" w:sz="4" w:space="0"/>
              <w:right w:val="single" w:color="auto" w:sz="4" w:space="0"/>
            </w:tcBorders>
            <w:vAlign w:val="center"/>
          </w:tcPr>
          <w:p>
            <w:pPr>
              <w:pStyle w:val="30"/>
              <w:rPr>
                <w:color w:val="auto"/>
                <w:highlight w:val="none"/>
              </w:rPr>
            </w:pPr>
            <w:r>
              <w:rPr>
                <w:rFonts w:hint="eastAsia"/>
                <w:color w:val="auto"/>
                <w:highlight w:val="none"/>
              </w:rPr>
              <w:t>序号</w:t>
            </w:r>
          </w:p>
        </w:tc>
        <w:tc>
          <w:tcPr>
            <w:tcW w:w="1935" w:type="dxa"/>
            <w:tcBorders>
              <w:top w:val="single" w:color="auto" w:sz="4" w:space="0"/>
              <w:left w:val="single" w:color="auto" w:sz="4" w:space="0"/>
              <w:bottom w:val="single" w:color="auto" w:sz="4" w:space="0"/>
              <w:right w:val="single" w:color="auto" w:sz="4" w:space="0"/>
            </w:tcBorders>
            <w:vAlign w:val="center"/>
          </w:tcPr>
          <w:p>
            <w:pPr>
              <w:pStyle w:val="30"/>
              <w:rPr>
                <w:color w:val="auto"/>
                <w:highlight w:val="none"/>
              </w:rPr>
            </w:pPr>
            <w:r>
              <w:rPr>
                <w:rFonts w:hint="eastAsia"/>
                <w:color w:val="auto"/>
                <w:highlight w:val="none"/>
              </w:rPr>
              <w:t>招标文件条目号</w:t>
            </w:r>
          </w:p>
        </w:tc>
        <w:tc>
          <w:tcPr>
            <w:tcW w:w="1995" w:type="dxa"/>
            <w:tcBorders>
              <w:top w:val="single" w:color="auto" w:sz="4" w:space="0"/>
              <w:left w:val="single" w:color="auto" w:sz="4" w:space="0"/>
              <w:bottom w:val="single" w:color="auto" w:sz="4" w:space="0"/>
              <w:right w:val="single" w:color="auto" w:sz="4" w:space="0"/>
            </w:tcBorders>
            <w:vAlign w:val="center"/>
          </w:tcPr>
          <w:p>
            <w:pPr>
              <w:pStyle w:val="30"/>
              <w:rPr>
                <w:color w:val="auto"/>
                <w:highlight w:val="none"/>
              </w:rPr>
            </w:pPr>
            <w:r>
              <w:rPr>
                <w:rFonts w:hint="eastAsia"/>
                <w:color w:val="auto"/>
                <w:highlight w:val="none"/>
              </w:rPr>
              <w:t>招标文件的商务条款</w:t>
            </w:r>
          </w:p>
        </w:tc>
        <w:tc>
          <w:tcPr>
            <w:tcW w:w="2085" w:type="dxa"/>
            <w:tcBorders>
              <w:top w:val="single" w:color="auto" w:sz="4" w:space="0"/>
              <w:left w:val="single" w:color="auto" w:sz="4" w:space="0"/>
              <w:bottom w:val="single" w:color="auto" w:sz="4" w:space="0"/>
              <w:right w:val="single" w:color="auto" w:sz="4" w:space="0"/>
            </w:tcBorders>
            <w:vAlign w:val="center"/>
          </w:tcPr>
          <w:p>
            <w:pPr>
              <w:pStyle w:val="30"/>
              <w:rPr>
                <w:color w:val="auto"/>
                <w:highlight w:val="none"/>
              </w:rPr>
            </w:pPr>
            <w:r>
              <w:rPr>
                <w:rFonts w:hint="eastAsia"/>
                <w:color w:val="auto"/>
                <w:highlight w:val="none"/>
              </w:rPr>
              <w:t>投标文件的商务条款</w:t>
            </w:r>
          </w:p>
        </w:tc>
        <w:tc>
          <w:tcPr>
            <w:tcW w:w="1260" w:type="dxa"/>
            <w:tcBorders>
              <w:top w:val="single" w:color="auto" w:sz="4" w:space="0"/>
              <w:left w:val="single" w:color="auto" w:sz="4" w:space="0"/>
              <w:bottom w:val="single" w:color="auto" w:sz="4" w:space="0"/>
              <w:right w:val="single" w:color="auto" w:sz="4" w:space="0"/>
            </w:tcBorders>
            <w:vAlign w:val="center"/>
          </w:tcPr>
          <w:p>
            <w:pPr>
              <w:pStyle w:val="30"/>
              <w:rPr>
                <w:color w:val="auto"/>
                <w:highlight w:val="none"/>
              </w:rPr>
            </w:pPr>
            <w:r>
              <w:rPr>
                <w:rFonts w:hint="eastAsia"/>
                <w:color w:val="auto"/>
                <w:highlight w:val="none"/>
              </w:rPr>
              <w:t>偏离</w:t>
            </w:r>
          </w:p>
        </w:tc>
        <w:tc>
          <w:tcPr>
            <w:tcW w:w="944" w:type="dxa"/>
            <w:tcBorders>
              <w:top w:val="single" w:color="auto" w:sz="4" w:space="0"/>
              <w:left w:val="single" w:color="auto" w:sz="4" w:space="0"/>
              <w:bottom w:val="single" w:color="auto" w:sz="4" w:space="0"/>
              <w:right w:val="single" w:color="auto" w:sz="4" w:space="0"/>
            </w:tcBorders>
            <w:vAlign w:val="center"/>
          </w:tcPr>
          <w:p>
            <w:pPr>
              <w:pStyle w:val="30"/>
              <w:rPr>
                <w:color w:val="auto"/>
                <w:highlight w:val="none"/>
              </w:rPr>
            </w:pPr>
            <w:r>
              <w:rPr>
                <w:rFonts w:hint="eastAsia"/>
                <w:color w:val="auto"/>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82" w:type="dxa"/>
            <w:tcBorders>
              <w:top w:val="single" w:color="auto" w:sz="4" w:space="0"/>
              <w:left w:val="single" w:color="auto" w:sz="4" w:space="0"/>
              <w:bottom w:val="single" w:color="auto" w:sz="4" w:space="0"/>
              <w:right w:val="single" w:color="auto" w:sz="4" w:space="0"/>
            </w:tcBorders>
            <w:vAlign w:val="center"/>
          </w:tcPr>
          <w:p>
            <w:pPr>
              <w:pStyle w:val="30"/>
              <w:rPr>
                <w:color w:val="auto"/>
                <w:highlight w:val="none"/>
              </w:rPr>
            </w:pPr>
          </w:p>
        </w:tc>
        <w:tc>
          <w:tcPr>
            <w:tcW w:w="1935" w:type="dxa"/>
            <w:tcBorders>
              <w:top w:val="single" w:color="auto" w:sz="4" w:space="0"/>
              <w:left w:val="single" w:color="auto" w:sz="4" w:space="0"/>
              <w:bottom w:val="single" w:color="auto" w:sz="4" w:space="0"/>
              <w:right w:val="single" w:color="auto" w:sz="4" w:space="0"/>
            </w:tcBorders>
            <w:vAlign w:val="center"/>
          </w:tcPr>
          <w:p>
            <w:pPr>
              <w:pStyle w:val="30"/>
              <w:rPr>
                <w:color w:val="auto"/>
                <w:highlight w:val="none"/>
              </w:rPr>
            </w:pPr>
          </w:p>
        </w:tc>
        <w:tc>
          <w:tcPr>
            <w:tcW w:w="1995" w:type="dxa"/>
            <w:tcBorders>
              <w:top w:val="single" w:color="auto" w:sz="4" w:space="0"/>
              <w:left w:val="single" w:color="auto" w:sz="4" w:space="0"/>
              <w:bottom w:val="single" w:color="auto" w:sz="4" w:space="0"/>
              <w:right w:val="single" w:color="auto" w:sz="4" w:space="0"/>
            </w:tcBorders>
            <w:vAlign w:val="center"/>
          </w:tcPr>
          <w:p>
            <w:pPr>
              <w:pStyle w:val="30"/>
              <w:rPr>
                <w:color w:val="auto"/>
                <w:highlight w:val="none"/>
              </w:rPr>
            </w:pPr>
          </w:p>
        </w:tc>
        <w:tc>
          <w:tcPr>
            <w:tcW w:w="2085" w:type="dxa"/>
            <w:tcBorders>
              <w:top w:val="single" w:color="auto" w:sz="4" w:space="0"/>
              <w:left w:val="single" w:color="auto" w:sz="4" w:space="0"/>
              <w:bottom w:val="single" w:color="auto" w:sz="4" w:space="0"/>
              <w:right w:val="single" w:color="auto" w:sz="4" w:space="0"/>
            </w:tcBorders>
            <w:vAlign w:val="center"/>
          </w:tcPr>
          <w:p>
            <w:pPr>
              <w:pStyle w:val="30"/>
              <w:rPr>
                <w:color w:val="auto"/>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pStyle w:val="30"/>
              <w:rPr>
                <w:color w:val="auto"/>
                <w:highlight w:val="none"/>
              </w:rPr>
            </w:pPr>
          </w:p>
        </w:tc>
        <w:tc>
          <w:tcPr>
            <w:tcW w:w="944" w:type="dxa"/>
            <w:tcBorders>
              <w:top w:val="single" w:color="auto" w:sz="4" w:space="0"/>
              <w:left w:val="single" w:color="auto" w:sz="4" w:space="0"/>
              <w:bottom w:val="single" w:color="auto" w:sz="4" w:space="0"/>
              <w:right w:val="single" w:color="auto" w:sz="4" w:space="0"/>
            </w:tcBorders>
            <w:vAlign w:val="center"/>
          </w:tcPr>
          <w:p>
            <w:pPr>
              <w:pStyle w:val="30"/>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82" w:type="dxa"/>
            <w:tcBorders>
              <w:top w:val="single" w:color="auto" w:sz="4" w:space="0"/>
              <w:left w:val="single" w:color="auto" w:sz="4" w:space="0"/>
              <w:bottom w:val="single" w:color="auto" w:sz="4" w:space="0"/>
              <w:right w:val="single" w:color="auto" w:sz="4" w:space="0"/>
            </w:tcBorders>
            <w:vAlign w:val="center"/>
          </w:tcPr>
          <w:p>
            <w:pPr>
              <w:pStyle w:val="30"/>
              <w:rPr>
                <w:color w:val="auto"/>
                <w:highlight w:val="none"/>
              </w:rPr>
            </w:pPr>
          </w:p>
        </w:tc>
        <w:tc>
          <w:tcPr>
            <w:tcW w:w="1935" w:type="dxa"/>
            <w:tcBorders>
              <w:top w:val="single" w:color="auto" w:sz="4" w:space="0"/>
              <w:left w:val="single" w:color="auto" w:sz="4" w:space="0"/>
              <w:bottom w:val="single" w:color="auto" w:sz="4" w:space="0"/>
              <w:right w:val="single" w:color="auto" w:sz="4" w:space="0"/>
            </w:tcBorders>
            <w:vAlign w:val="center"/>
          </w:tcPr>
          <w:p>
            <w:pPr>
              <w:pStyle w:val="30"/>
              <w:rPr>
                <w:color w:val="auto"/>
                <w:highlight w:val="none"/>
              </w:rPr>
            </w:pPr>
          </w:p>
        </w:tc>
        <w:tc>
          <w:tcPr>
            <w:tcW w:w="1995" w:type="dxa"/>
            <w:tcBorders>
              <w:top w:val="single" w:color="auto" w:sz="4" w:space="0"/>
              <w:left w:val="single" w:color="auto" w:sz="4" w:space="0"/>
              <w:bottom w:val="single" w:color="auto" w:sz="4" w:space="0"/>
              <w:right w:val="single" w:color="auto" w:sz="4" w:space="0"/>
            </w:tcBorders>
            <w:vAlign w:val="center"/>
          </w:tcPr>
          <w:p>
            <w:pPr>
              <w:pStyle w:val="30"/>
              <w:rPr>
                <w:color w:val="auto"/>
                <w:highlight w:val="none"/>
              </w:rPr>
            </w:pPr>
          </w:p>
        </w:tc>
        <w:tc>
          <w:tcPr>
            <w:tcW w:w="2085" w:type="dxa"/>
            <w:tcBorders>
              <w:top w:val="single" w:color="auto" w:sz="4" w:space="0"/>
              <w:left w:val="single" w:color="auto" w:sz="4" w:space="0"/>
              <w:bottom w:val="single" w:color="auto" w:sz="4" w:space="0"/>
              <w:right w:val="single" w:color="auto" w:sz="4" w:space="0"/>
            </w:tcBorders>
            <w:vAlign w:val="center"/>
          </w:tcPr>
          <w:p>
            <w:pPr>
              <w:pStyle w:val="30"/>
              <w:rPr>
                <w:color w:val="auto"/>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pStyle w:val="30"/>
              <w:rPr>
                <w:color w:val="auto"/>
                <w:highlight w:val="none"/>
              </w:rPr>
            </w:pPr>
          </w:p>
        </w:tc>
        <w:tc>
          <w:tcPr>
            <w:tcW w:w="944" w:type="dxa"/>
            <w:tcBorders>
              <w:top w:val="single" w:color="auto" w:sz="4" w:space="0"/>
              <w:left w:val="single" w:color="auto" w:sz="4" w:space="0"/>
              <w:bottom w:val="single" w:color="auto" w:sz="4" w:space="0"/>
              <w:right w:val="single" w:color="auto" w:sz="4" w:space="0"/>
            </w:tcBorders>
            <w:vAlign w:val="center"/>
          </w:tcPr>
          <w:p>
            <w:pPr>
              <w:pStyle w:val="30"/>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82" w:type="dxa"/>
            <w:tcBorders>
              <w:top w:val="single" w:color="auto" w:sz="4" w:space="0"/>
              <w:left w:val="single" w:color="auto" w:sz="4" w:space="0"/>
              <w:bottom w:val="single" w:color="auto" w:sz="4" w:space="0"/>
              <w:right w:val="single" w:color="auto" w:sz="4" w:space="0"/>
            </w:tcBorders>
            <w:vAlign w:val="center"/>
          </w:tcPr>
          <w:p>
            <w:pPr>
              <w:pStyle w:val="30"/>
              <w:rPr>
                <w:color w:val="auto"/>
                <w:highlight w:val="none"/>
              </w:rPr>
            </w:pPr>
          </w:p>
        </w:tc>
        <w:tc>
          <w:tcPr>
            <w:tcW w:w="1935" w:type="dxa"/>
            <w:tcBorders>
              <w:top w:val="single" w:color="auto" w:sz="4" w:space="0"/>
              <w:left w:val="single" w:color="auto" w:sz="4" w:space="0"/>
              <w:bottom w:val="single" w:color="auto" w:sz="4" w:space="0"/>
              <w:right w:val="single" w:color="auto" w:sz="4" w:space="0"/>
            </w:tcBorders>
            <w:vAlign w:val="center"/>
          </w:tcPr>
          <w:p>
            <w:pPr>
              <w:pStyle w:val="30"/>
              <w:rPr>
                <w:color w:val="auto"/>
                <w:highlight w:val="none"/>
              </w:rPr>
            </w:pPr>
          </w:p>
        </w:tc>
        <w:tc>
          <w:tcPr>
            <w:tcW w:w="1995" w:type="dxa"/>
            <w:tcBorders>
              <w:top w:val="single" w:color="auto" w:sz="4" w:space="0"/>
              <w:left w:val="single" w:color="auto" w:sz="4" w:space="0"/>
              <w:bottom w:val="single" w:color="auto" w:sz="4" w:space="0"/>
              <w:right w:val="single" w:color="auto" w:sz="4" w:space="0"/>
            </w:tcBorders>
            <w:vAlign w:val="center"/>
          </w:tcPr>
          <w:p>
            <w:pPr>
              <w:pStyle w:val="30"/>
              <w:rPr>
                <w:color w:val="auto"/>
                <w:highlight w:val="none"/>
              </w:rPr>
            </w:pPr>
          </w:p>
        </w:tc>
        <w:tc>
          <w:tcPr>
            <w:tcW w:w="2085" w:type="dxa"/>
            <w:tcBorders>
              <w:top w:val="single" w:color="auto" w:sz="4" w:space="0"/>
              <w:left w:val="single" w:color="auto" w:sz="4" w:space="0"/>
              <w:bottom w:val="single" w:color="auto" w:sz="4" w:space="0"/>
              <w:right w:val="single" w:color="auto" w:sz="4" w:space="0"/>
            </w:tcBorders>
            <w:vAlign w:val="center"/>
          </w:tcPr>
          <w:p>
            <w:pPr>
              <w:pStyle w:val="30"/>
              <w:rPr>
                <w:color w:val="auto"/>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pStyle w:val="30"/>
              <w:rPr>
                <w:color w:val="auto"/>
                <w:highlight w:val="none"/>
              </w:rPr>
            </w:pPr>
          </w:p>
        </w:tc>
        <w:tc>
          <w:tcPr>
            <w:tcW w:w="944" w:type="dxa"/>
            <w:tcBorders>
              <w:top w:val="single" w:color="auto" w:sz="4" w:space="0"/>
              <w:left w:val="single" w:color="auto" w:sz="4" w:space="0"/>
              <w:bottom w:val="single" w:color="auto" w:sz="4" w:space="0"/>
              <w:right w:val="single" w:color="auto" w:sz="4" w:space="0"/>
            </w:tcBorders>
            <w:vAlign w:val="center"/>
          </w:tcPr>
          <w:p>
            <w:pPr>
              <w:pStyle w:val="30"/>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82" w:type="dxa"/>
            <w:tcBorders>
              <w:top w:val="single" w:color="auto" w:sz="4" w:space="0"/>
              <w:left w:val="single" w:color="auto" w:sz="4" w:space="0"/>
              <w:bottom w:val="single" w:color="auto" w:sz="4" w:space="0"/>
              <w:right w:val="single" w:color="auto" w:sz="4" w:space="0"/>
            </w:tcBorders>
            <w:vAlign w:val="center"/>
          </w:tcPr>
          <w:p>
            <w:pPr>
              <w:pStyle w:val="30"/>
              <w:rPr>
                <w:color w:val="auto"/>
                <w:highlight w:val="none"/>
              </w:rPr>
            </w:pPr>
          </w:p>
        </w:tc>
        <w:tc>
          <w:tcPr>
            <w:tcW w:w="1935" w:type="dxa"/>
            <w:tcBorders>
              <w:top w:val="single" w:color="auto" w:sz="4" w:space="0"/>
              <w:left w:val="single" w:color="auto" w:sz="4" w:space="0"/>
              <w:bottom w:val="single" w:color="auto" w:sz="4" w:space="0"/>
              <w:right w:val="single" w:color="auto" w:sz="4" w:space="0"/>
            </w:tcBorders>
            <w:vAlign w:val="center"/>
          </w:tcPr>
          <w:p>
            <w:pPr>
              <w:pStyle w:val="30"/>
              <w:rPr>
                <w:color w:val="auto"/>
                <w:highlight w:val="none"/>
              </w:rPr>
            </w:pPr>
          </w:p>
        </w:tc>
        <w:tc>
          <w:tcPr>
            <w:tcW w:w="1995" w:type="dxa"/>
            <w:tcBorders>
              <w:top w:val="single" w:color="auto" w:sz="4" w:space="0"/>
              <w:left w:val="single" w:color="auto" w:sz="4" w:space="0"/>
              <w:bottom w:val="single" w:color="auto" w:sz="4" w:space="0"/>
              <w:right w:val="single" w:color="auto" w:sz="4" w:space="0"/>
            </w:tcBorders>
            <w:vAlign w:val="center"/>
          </w:tcPr>
          <w:p>
            <w:pPr>
              <w:pStyle w:val="30"/>
              <w:rPr>
                <w:color w:val="auto"/>
                <w:highlight w:val="none"/>
              </w:rPr>
            </w:pPr>
          </w:p>
        </w:tc>
        <w:tc>
          <w:tcPr>
            <w:tcW w:w="2085" w:type="dxa"/>
            <w:tcBorders>
              <w:top w:val="single" w:color="auto" w:sz="4" w:space="0"/>
              <w:left w:val="single" w:color="auto" w:sz="4" w:space="0"/>
              <w:bottom w:val="single" w:color="auto" w:sz="4" w:space="0"/>
              <w:right w:val="single" w:color="auto" w:sz="4" w:space="0"/>
            </w:tcBorders>
            <w:vAlign w:val="center"/>
          </w:tcPr>
          <w:p>
            <w:pPr>
              <w:pStyle w:val="30"/>
              <w:rPr>
                <w:color w:val="auto"/>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pStyle w:val="30"/>
              <w:rPr>
                <w:color w:val="auto"/>
                <w:highlight w:val="none"/>
              </w:rPr>
            </w:pPr>
          </w:p>
        </w:tc>
        <w:tc>
          <w:tcPr>
            <w:tcW w:w="944" w:type="dxa"/>
            <w:tcBorders>
              <w:top w:val="single" w:color="auto" w:sz="4" w:space="0"/>
              <w:left w:val="single" w:color="auto" w:sz="4" w:space="0"/>
              <w:bottom w:val="single" w:color="auto" w:sz="4" w:space="0"/>
              <w:right w:val="single" w:color="auto" w:sz="4" w:space="0"/>
            </w:tcBorders>
            <w:vAlign w:val="center"/>
          </w:tcPr>
          <w:p>
            <w:pPr>
              <w:pStyle w:val="30"/>
              <w:rPr>
                <w:color w:val="auto"/>
                <w:highlight w:val="none"/>
              </w:rPr>
            </w:pPr>
          </w:p>
        </w:tc>
      </w:tr>
    </w:tbl>
    <w:p>
      <w:pPr>
        <w:tabs>
          <w:tab w:val="left" w:pos="7200"/>
          <w:tab w:val="left" w:pos="8504"/>
        </w:tabs>
        <w:spacing w:line="360" w:lineRule="auto"/>
        <w:ind w:right="-1"/>
        <w:rPr>
          <w:rFonts w:hAnsi="宋体" w:cs="宋体"/>
          <w:color w:val="auto"/>
          <w:highlight w:val="none"/>
        </w:rPr>
      </w:pPr>
    </w:p>
    <w:p>
      <w:pPr>
        <w:spacing w:line="120" w:lineRule="exact"/>
        <w:rPr>
          <w:rFonts w:hAnsi="宋体" w:cs="宋体"/>
          <w:color w:val="auto"/>
          <w:highlight w:val="none"/>
        </w:rPr>
      </w:pPr>
    </w:p>
    <w:p>
      <w:pPr>
        <w:pStyle w:val="5"/>
        <w:ind w:firstLine="0" w:firstLineChars="0"/>
        <w:rPr>
          <w:color w:val="auto"/>
          <w:highlight w:val="none"/>
        </w:rPr>
      </w:pPr>
      <w:r>
        <w:rPr>
          <w:rFonts w:hint="eastAsia"/>
          <w:color w:val="auto"/>
          <w:highlight w:val="none"/>
        </w:rPr>
        <w:t>投标人名称：</w:t>
      </w:r>
      <w:r>
        <w:rPr>
          <w:rFonts w:hint="eastAsia"/>
          <w:color w:val="auto"/>
          <w:highlight w:val="none"/>
          <w:u w:val="single"/>
        </w:rPr>
        <w:t xml:space="preserve">                   </w:t>
      </w:r>
      <w:r>
        <w:rPr>
          <w:rFonts w:hint="eastAsia"/>
          <w:color w:val="auto"/>
          <w:highlight w:val="none"/>
        </w:rPr>
        <w:t>（盖单位公章）</w:t>
      </w:r>
    </w:p>
    <w:p>
      <w:pPr>
        <w:pStyle w:val="5"/>
        <w:ind w:firstLine="0" w:firstLineChars="0"/>
        <w:rPr>
          <w:color w:val="auto"/>
          <w:highlight w:val="none"/>
        </w:rPr>
      </w:pPr>
    </w:p>
    <w:p>
      <w:pPr>
        <w:pStyle w:val="5"/>
        <w:ind w:firstLine="0" w:firstLineChars="0"/>
        <w:rPr>
          <w:color w:val="auto"/>
          <w:highlight w:val="none"/>
        </w:rPr>
      </w:pPr>
      <w:r>
        <w:rPr>
          <w:rFonts w:hint="eastAsia"/>
          <w:color w:val="auto"/>
          <w:highlight w:val="none"/>
        </w:rPr>
        <w:t>法定代表人或被授权人：</w:t>
      </w:r>
      <w:r>
        <w:rPr>
          <w:rFonts w:hint="eastAsia"/>
          <w:color w:val="auto"/>
          <w:highlight w:val="none"/>
          <w:u w:val="single"/>
        </w:rPr>
        <w:t xml:space="preserve">         </w:t>
      </w:r>
      <w:r>
        <w:rPr>
          <w:rFonts w:hint="eastAsia"/>
          <w:color w:val="auto"/>
          <w:highlight w:val="none"/>
        </w:rPr>
        <w:t>（签字或盖章）</w:t>
      </w:r>
    </w:p>
    <w:p>
      <w:pPr>
        <w:pStyle w:val="5"/>
        <w:ind w:firstLine="0" w:firstLineChars="0"/>
        <w:rPr>
          <w:color w:val="auto"/>
          <w:highlight w:val="none"/>
        </w:rPr>
      </w:pPr>
    </w:p>
    <w:p>
      <w:pPr>
        <w:pStyle w:val="5"/>
        <w:ind w:firstLine="0" w:firstLineChars="0"/>
        <w:rPr>
          <w:color w:val="auto"/>
          <w:highlight w:val="none"/>
        </w:rPr>
      </w:pPr>
      <w:r>
        <w:rPr>
          <w:rFonts w:hint="eastAsia"/>
          <w:color w:val="auto"/>
          <w:highlight w:val="none"/>
        </w:rPr>
        <w:t>日    期：</w:t>
      </w:r>
      <w:r>
        <w:rPr>
          <w:rFonts w:hint="eastAsia"/>
          <w:color w:val="auto"/>
          <w:highlight w:val="none"/>
          <w:u w:val="single"/>
        </w:rPr>
        <w:t xml:space="preserve">   </w:t>
      </w:r>
      <w:r>
        <w:rPr>
          <w:rFonts w:hint="eastAsia"/>
          <w:color w:val="auto"/>
          <w:highlight w:val="none"/>
        </w:rPr>
        <w:t>年</w:t>
      </w:r>
      <w:r>
        <w:rPr>
          <w:rFonts w:hint="eastAsia"/>
          <w:color w:val="auto"/>
          <w:highlight w:val="none"/>
          <w:u w:val="single"/>
        </w:rPr>
        <w:t xml:space="preserve">   </w:t>
      </w:r>
      <w:r>
        <w:rPr>
          <w:rFonts w:hint="eastAsia"/>
          <w:color w:val="auto"/>
          <w:highlight w:val="none"/>
        </w:rPr>
        <w:t>月</w:t>
      </w:r>
      <w:r>
        <w:rPr>
          <w:rFonts w:hint="eastAsia"/>
          <w:color w:val="auto"/>
          <w:highlight w:val="none"/>
          <w:u w:val="single"/>
        </w:rPr>
        <w:t xml:space="preserve">   </w:t>
      </w:r>
      <w:r>
        <w:rPr>
          <w:rFonts w:hint="eastAsia"/>
          <w:color w:val="auto"/>
          <w:highlight w:val="none"/>
        </w:rPr>
        <w:t>日</w:t>
      </w:r>
    </w:p>
    <w:p>
      <w:pPr>
        <w:pStyle w:val="11"/>
        <w:rPr>
          <w:rFonts w:ascii="宋体" w:hAnsi="宋体" w:cs="宋体"/>
          <w:color w:val="auto"/>
          <w:szCs w:val="24"/>
          <w:highlight w:val="none"/>
        </w:rPr>
      </w:pPr>
    </w:p>
    <w:p>
      <w:pPr>
        <w:pStyle w:val="5"/>
        <w:ind w:firstLine="0" w:firstLineChars="0"/>
        <w:rPr>
          <w:color w:val="auto"/>
          <w:highlight w:val="none"/>
        </w:rPr>
      </w:pPr>
      <w:r>
        <w:rPr>
          <w:rFonts w:hint="eastAsia"/>
          <w:b/>
          <w:bCs/>
          <w:color w:val="auto"/>
          <w:highlight w:val="none"/>
        </w:rPr>
        <w:t>注：</w:t>
      </w:r>
    </w:p>
    <w:p>
      <w:pPr>
        <w:pStyle w:val="5"/>
        <w:ind w:firstLine="480"/>
        <w:rPr>
          <w:color w:val="auto"/>
          <w:highlight w:val="none"/>
        </w:rPr>
      </w:pPr>
      <w:r>
        <w:rPr>
          <w:rFonts w:hint="eastAsia"/>
          <w:color w:val="auto"/>
          <w:highlight w:val="none"/>
        </w:rPr>
        <w:t>1.本表只填写投标文件中与招标文件</w:t>
      </w:r>
      <w:r>
        <w:rPr>
          <w:rFonts w:hint="eastAsia"/>
          <w:b/>
          <w:bCs/>
          <w:color w:val="auto"/>
          <w:highlight w:val="none"/>
        </w:rPr>
        <w:t>第三章“商务及合同主要条款”</w:t>
      </w:r>
      <w:r>
        <w:rPr>
          <w:rFonts w:hint="eastAsia"/>
          <w:color w:val="auto"/>
          <w:highlight w:val="none"/>
        </w:rPr>
        <w:t>有偏离（包括正偏离和负偏离）的内容，投标文件中商务响应与招标文件要求完全一致的，不用在此表中列出，但必须提交空白表。</w:t>
      </w:r>
    </w:p>
    <w:p>
      <w:pPr>
        <w:pStyle w:val="5"/>
        <w:ind w:firstLine="480"/>
        <w:rPr>
          <w:color w:val="auto"/>
          <w:highlight w:val="none"/>
        </w:rPr>
      </w:pPr>
      <w:r>
        <w:rPr>
          <w:rFonts w:hint="eastAsia"/>
          <w:color w:val="auto"/>
          <w:highlight w:val="none"/>
        </w:rPr>
        <w:t>2.凡是投标文件的商务响应与招标文件的要求之间存在负偏离（即不能满足招标文件要求）的或者正偏离（即优于招标文件要求），必须在投标文件的“商务条款偏离表”中予以明确响应（偏离填写：正偏离或负偏离）。</w:t>
      </w:r>
    </w:p>
    <w:p>
      <w:pPr>
        <w:pStyle w:val="5"/>
        <w:ind w:firstLine="480"/>
        <w:rPr>
          <w:color w:val="auto"/>
          <w:highlight w:val="none"/>
        </w:rPr>
      </w:pPr>
      <w:r>
        <w:rPr>
          <w:rFonts w:hint="eastAsia"/>
          <w:color w:val="auto"/>
          <w:highlight w:val="none"/>
        </w:rPr>
        <w:t>3.如果在投标文件的“商务条款偏离表”之外发现上述负偏离的，评标时评标委员会将作出对投标人不利的评估。</w:t>
      </w:r>
    </w:p>
    <w:p>
      <w:pPr>
        <w:rPr>
          <w:rStyle w:val="31"/>
          <w:color w:val="auto"/>
          <w:highlight w:val="none"/>
        </w:rPr>
      </w:pPr>
      <w:r>
        <w:rPr>
          <w:rFonts w:hint="eastAsia"/>
          <w:color w:val="auto"/>
          <w:highlight w:val="none"/>
        </w:rPr>
        <w:t>4.投标人必须据实填写，不得虚假响应，否则将取消其投标或中标资格，并按有关规定进处罚。</w:t>
      </w:r>
      <w:r>
        <w:rPr>
          <w:rStyle w:val="31"/>
          <w:rFonts w:hint="eastAsia"/>
          <w:color w:val="auto"/>
          <w:highlight w:val="none"/>
        </w:rPr>
        <w:br w:type="page"/>
      </w:r>
    </w:p>
    <w:bookmarkEnd w:id="281"/>
    <w:bookmarkEnd w:id="282"/>
    <w:bookmarkEnd w:id="283"/>
    <w:bookmarkEnd w:id="284"/>
    <w:bookmarkEnd w:id="285"/>
    <w:bookmarkEnd w:id="286"/>
    <w:bookmarkEnd w:id="287"/>
    <w:bookmarkEnd w:id="288"/>
    <w:bookmarkEnd w:id="289"/>
    <w:bookmarkEnd w:id="290"/>
    <w:p>
      <w:pPr>
        <w:pStyle w:val="4"/>
        <w:rPr>
          <w:color w:val="auto"/>
          <w:highlight w:val="none"/>
        </w:rPr>
      </w:pPr>
      <w:bookmarkStart w:id="291" w:name="_Toc31505"/>
      <w:bookmarkStart w:id="292" w:name="_Toc18269"/>
      <w:r>
        <w:rPr>
          <w:rFonts w:hint="eastAsia"/>
          <w:color w:val="auto"/>
          <w:highlight w:val="none"/>
          <w:lang w:val="en-US" w:eastAsia="zh-CN"/>
        </w:rPr>
        <w:t>五</w:t>
      </w:r>
      <w:r>
        <w:rPr>
          <w:rFonts w:hint="eastAsia"/>
          <w:color w:val="auto"/>
          <w:highlight w:val="none"/>
        </w:rPr>
        <w:t>、资格证明文件</w:t>
      </w:r>
      <w:bookmarkEnd w:id="291"/>
      <w:bookmarkEnd w:id="292"/>
    </w:p>
    <w:p>
      <w:pPr>
        <w:spacing w:line="312" w:lineRule="auto"/>
        <w:ind w:firstLine="480" w:firstLineChars="200"/>
        <w:rPr>
          <w:rFonts w:hAnsi="宋体" w:cs="宋体"/>
          <w:color w:val="auto"/>
          <w:szCs w:val="24"/>
          <w:highlight w:val="none"/>
        </w:rPr>
      </w:pPr>
      <w:r>
        <w:rPr>
          <w:rFonts w:hint="eastAsia" w:hAnsi="宋体" w:cs="宋体"/>
          <w:color w:val="auto"/>
          <w:szCs w:val="24"/>
          <w:highlight w:val="none"/>
        </w:rPr>
        <w:t>投标人按招标文件的要求，依据</w:t>
      </w:r>
      <w:r>
        <w:rPr>
          <w:rFonts w:hint="eastAsia" w:hAnsi="宋体" w:cs="宋体"/>
          <w:b/>
          <w:bCs/>
          <w:color w:val="auto"/>
          <w:szCs w:val="24"/>
          <w:highlight w:val="none"/>
        </w:rPr>
        <w:t>《第五章  评标办法》之《初步审查要素表》</w:t>
      </w:r>
      <w:r>
        <w:rPr>
          <w:rFonts w:hint="eastAsia" w:hAnsi="宋体" w:cs="宋体"/>
          <w:color w:val="auto"/>
          <w:szCs w:val="24"/>
          <w:highlight w:val="none"/>
        </w:rPr>
        <w:t>审查内容逐项提供加盖公章的复印件，缺少其中任何一项，其投标文件将被视为无效文件。</w:t>
      </w:r>
    </w:p>
    <w:p>
      <w:pPr>
        <w:pStyle w:val="7"/>
        <w:spacing w:before="666" w:after="666"/>
        <w:rPr>
          <w:color w:val="auto"/>
          <w:highlight w:val="none"/>
        </w:rPr>
      </w:pPr>
      <w:r>
        <w:rPr>
          <w:rFonts w:hint="eastAsia"/>
          <w:color w:val="auto"/>
          <w:highlight w:val="none"/>
        </w:rPr>
        <w:t>投标人基本情况表</w:t>
      </w:r>
    </w:p>
    <w:p>
      <w:pPr>
        <w:jc w:val="left"/>
        <w:rPr>
          <w:rFonts w:hint="default" w:hAnsi="宋体" w:eastAsia="宋体" w:cs="宋体"/>
          <w:color w:val="auto"/>
          <w:szCs w:val="24"/>
          <w:highlight w:val="none"/>
          <w:lang w:val="en-US" w:eastAsia="zh-CN"/>
        </w:rPr>
      </w:pPr>
      <w:r>
        <w:rPr>
          <w:rFonts w:hint="eastAsia" w:hAnsi="宋体" w:cs="宋体"/>
          <w:color w:val="auto"/>
          <w:szCs w:val="24"/>
          <w:highlight w:val="none"/>
        </w:rPr>
        <w:t>项目名称：                          项目编号：</w:t>
      </w:r>
      <w:r>
        <w:rPr>
          <w:rFonts w:hint="eastAsia" w:hAnsi="宋体" w:cs="宋体"/>
          <w:color w:val="auto"/>
          <w:szCs w:val="24"/>
          <w:highlight w:val="none"/>
          <w:lang w:val="en-US" w:eastAsia="zh-CN"/>
        </w:rPr>
        <w:t xml:space="preserve">          合同包：</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1"/>
        <w:gridCol w:w="1502"/>
        <w:gridCol w:w="644"/>
        <w:gridCol w:w="1530"/>
        <w:gridCol w:w="2174"/>
        <w:gridCol w:w="21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2173" w:type="dxa"/>
            <w:gridSpan w:val="2"/>
            <w:vAlign w:val="center"/>
          </w:tcPr>
          <w:p>
            <w:pPr>
              <w:pStyle w:val="30"/>
              <w:rPr>
                <w:color w:val="auto"/>
                <w:highlight w:val="none"/>
              </w:rPr>
            </w:pPr>
            <w:r>
              <w:rPr>
                <w:rFonts w:hint="eastAsia"/>
                <w:color w:val="auto"/>
                <w:highlight w:val="none"/>
              </w:rPr>
              <w:t>投标人名称</w:t>
            </w:r>
          </w:p>
        </w:tc>
        <w:tc>
          <w:tcPr>
            <w:tcW w:w="2174" w:type="dxa"/>
            <w:gridSpan w:val="2"/>
            <w:vAlign w:val="center"/>
          </w:tcPr>
          <w:p>
            <w:pPr>
              <w:pStyle w:val="30"/>
              <w:rPr>
                <w:color w:val="auto"/>
                <w:highlight w:val="none"/>
              </w:rPr>
            </w:pPr>
          </w:p>
        </w:tc>
        <w:tc>
          <w:tcPr>
            <w:tcW w:w="2174" w:type="dxa"/>
            <w:vAlign w:val="center"/>
          </w:tcPr>
          <w:p>
            <w:pPr>
              <w:pStyle w:val="30"/>
              <w:rPr>
                <w:color w:val="auto"/>
                <w:highlight w:val="none"/>
              </w:rPr>
            </w:pPr>
            <w:r>
              <w:rPr>
                <w:rFonts w:hint="eastAsia"/>
                <w:color w:val="auto"/>
                <w:highlight w:val="none"/>
              </w:rPr>
              <w:t>法定代表人</w:t>
            </w:r>
          </w:p>
        </w:tc>
        <w:tc>
          <w:tcPr>
            <w:tcW w:w="2178" w:type="dxa"/>
            <w:vAlign w:val="center"/>
          </w:tcPr>
          <w:p>
            <w:pPr>
              <w:pStyle w:val="30"/>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2173" w:type="dxa"/>
            <w:gridSpan w:val="2"/>
            <w:vAlign w:val="center"/>
          </w:tcPr>
          <w:p>
            <w:pPr>
              <w:pStyle w:val="30"/>
              <w:rPr>
                <w:color w:val="auto"/>
                <w:highlight w:val="none"/>
              </w:rPr>
            </w:pPr>
            <w:r>
              <w:rPr>
                <w:rFonts w:hint="eastAsia"/>
                <w:color w:val="auto"/>
                <w:highlight w:val="none"/>
              </w:rPr>
              <w:t>企业统一社会信</w:t>
            </w:r>
          </w:p>
          <w:p>
            <w:pPr>
              <w:pStyle w:val="30"/>
              <w:rPr>
                <w:color w:val="auto"/>
                <w:highlight w:val="none"/>
              </w:rPr>
            </w:pPr>
            <w:r>
              <w:rPr>
                <w:rFonts w:hint="eastAsia"/>
                <w:color w:val="auto"/>
                <w:highlight w:val="none"/>
              </w:rPr>
              <w:t>用代码</w:t>
            </w:r>
          </w:p>
        </w:tc>
        <w:tc>
          <w:tcPr>
            <w:tcW w:w="2174" w:type="dxa"/>
            <w:gridSpan w:val="2"/>
            <w:vAlign w:val="center"/>
          </w:tcPr>
          <w:p>
            <w:pPr>
              <w:pStyle w:val="30"/>
              <w:rPr>
                <w:color w:val="auto"/>
                <w:highlight w:val="none"/>
              </w:rPr>
            </w:pPr>
          </w:p>
        </w:tc>
        <w:tc>
          <w:tcPr>
            <w:tcW w:w="2174" w:type="dxa"/>
            <w:vAlign w:val="center"/>
          </w:tcPr>
          <w:p>
            <w:pPr>
              <w:pStyle w:val="30"/>
              <w:rPr>
                <w:color w:val="auto"/>
                <w:highlight w:val="none"/>
              </w:rPr>
            </w:pPr>
            <w:r>
              <w:rPr>
                <w:rFonts w:hint="eastAsia"/>
                <w:color w:val="auto"/>
                <w:highlight w:val="none"/>
              </w:rPr>
              <w:t>邮政编码</w:t>
            </w:r>
          </w:p>
        </w:tc>
        <w:tc>
          <w:tcPr>
            <w:tcW w:w="2178" w:type="dxa"/>
            <w:vAlign w:val="center"/>
          </w:tcPr>
          <w:p>
            <w:pPr>
              <w:pStyle w:val="30"/>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2173" w:type="dxa"/>
            <w:gridSpan w:val="2"/>
            <w:vAlign w:val="center"/>
          </w:tcPr>
          <w:p>
            <w:pPr>
              <w:pStyle w:val="30"/>
              <w:rPr>
                <w:color w:val="auto"/>
                <w:highlight w:val="none"/>
              </w:rPr>
            </w:pPr>
            <w:r>
              <w:rPr>
                <w:rFonts w:hint="eastAsia"/>
                <w:color w:val="auto"/>
                <w:highlight w:val="none"/>
              </w:rPr>
              <w:t>委托代理人</w:t>
            </w:r>
          </w:p>
        </w:tc>
        <w:tc>
          <w:tcPr>
            <w:tcW w:w="2174" w:type="dxa"/>
            <w:gridSpan w:val="2"/>
            <w:vAlign w:val="center"/>
          </w:tcPr>
          <w:p>
            <w:pPr>
              <w:pStyle w:val="30"/>
              <w:rPr>
                <w:color w:val="auto"/>
                <w:highlight w:val="none"/>
              </w:rPr>
            </w:pPr>
          </w:p>
        </w:tc>
        <w:tc>
          <w:tcPr>
            <w:tcW w:w="2174" w:type="dxa"/>
            <w:vAlign w:val="center"/>
          </w:tcPr>
          <w:p>
            <w:pPr>
              <w:pStyle w:val="30"/>
              <w:rPr>
                <w:color w:val="auto"/>
                <w:highlight w:val="none"/>
              </w:rPr>
            </w:pPr>
            <w:r>
              <w:rPr>
                <w:rFonts w:hint="eastAsia"/>
                <w:color w:val="auto"/>
                <w:highlight w:val="none"/>
              </w:rPr>
              <w:t>电子邮箱</w:t>
            </w:r>
          </w:p>
        </w:tc>
        <w:tc>
          <w:tcPr>
            <w:tcW w:w="2178" w:type="dxa"/>
            <w:vAlign w:val="center"/>
          </w:tcPr>
          <w:p>
            <w:pPr>
              <w:pStyle w:val="30"/>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2173" w:type="dxa"/>
            <w:gridSpan w:val="2"/>
            <w:vAlign w:val="center"/>
          </w:tcPr>
          <w:p>
            <w:pPr>
              <w:pStyle w:val="30"/>
              <w:rPr>
                <w:color w:val="auto"/>
                <w:highlight w:val="none"/>
              </w:rPr>
            </w:pPr>
            <w:r>
              <w:rPr>
                <w:rFonts w:hint="eastAsia"/>
                <w:color w:val="auto"/>
                <w:highlight w:val="none"/>
              </w:rPr>
              <w:t>上年营业收入</w:t>
            </w:r>
          </w:p>
        </w:tc>
        <w:tc>
          <w:tcPr>
            <w:tcW w:w="2174" w:type="dxa"/>
            <w:gridSpan w:val="2"/>
            <w:vAlign w:val="center"/>
          </w:tcPr>
          <w:p>
            <w:pPr>
              <w:pStyle w:val="30"/>
              <w:rPr>
                <w:color w:val="auto"/>
                <w:highlight w:val="none"/>
              </w:rPr>
            </w:pPr>
          </w:p>
        </w:tc>
        <w:tc>
          <w:tcPr>
            <w:tcW w:w="2174" w:type="dxa"/>
            <w:vAlign w:val="center"/>
          </w:tcPr>
          <w:p>
            <w:pPr>
              <w:pStyle w:val="30"/>
              <w:rPr>
                <w:color w:val="auto"/>
                <w:highlight w:val="none"/>
              </w:rPr>
            </w:pPr>
            <w:r>
              <w:rPr>
                <w:rFonts w:hint="eastAsia"/>
                <w:color w:val="auto"/>
                <w:highlight w:val="none"/>
              </w:rPr>
              <w:t>员工总人数</w:t>
            </w:r>
          </w:p>
        </w:tc>
        <w:tc>
          <w:tcPr>
            <w:tcW w:w="2178" w:type="dxa"/>
            <w:vAlign w:val="center"/>
          </w:tcPr>
          <w:p>
            <w:pPr>
              <w:pStyle w:val="30"/>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671" w:type="dxa"/>
            <w:vMerge w:val="restart"/>
            <w:vAlign w:val="center"/>
          </w:tcPr>
          <w:p>
            <w:pPr>
              <w:pStyle w:val="30"/>
              <w:rPr>
                <w:color w:val="auto"/>
                <w:highlight w:val="none"/>
              </w:rPr>
            </w:pPr>
            <w:r>
              <w:rPr>
                <w:rFonts w:hint="eastAsia"/>
                <w:color w:val="auto"/>
                <w:highlight w:val="none"/>
              </w:rPr>
              <w:t>营业</w:t>
            </w:r>
          </w:p>
          <w:p>
            <w:pPr>
              <w:pStyle w:val="30"/>
              <w:rPr>
                <w:color w:val="auto"/>
                <w:highlight w:val="none"/>
              </w:rPr>
            </w:pPr>
            <w:r>
              <w:rPr>
                <w:rFonts w:hint="eastAsia"/>
                <w:color w:val="auto"/>
                <w:highlight w:val="none"/>
              </w:rPr>
              <w:t>执照</w:t>
            </w:r>
          </w:p>
        </w:tc>
        <w:tc>
          <w:tcPr>
            <w:tcW w:w="2146" w:type="dxa"/>
            <w:gridSpan w:val="2"/>
            <w:tcBorders>
              <w:right w:val="single" w:color="000000" w:sz="4" w:space="0"/>
            </w:tcBorders>
            <w:vAlign w:val="center"/>
          </w:tcPr>
          <w:p>
            <w:pPr>
              <w:pStyle w:val="30"/>
              <w:rPr>
                <w:color w:val="auto"/>
                <w:highlight w:val="none"/>
              </w:rPr>
            </w:pPr>
            <w:r>
              <w:rPr>
                <w:rFonts w:hint="eastAsia"/>
                <w:color w:val="auto"/>
                <w:highlight w:val="none"/>
              </w:rPr>
              <w:t>注册日期</w:t>
            </w:r>
          </w:p>
        </w:tc>
        <w:tc>
          <w:tcPr>
            <w:tcW w:w="1530" w:type="dxa"/>
            <w:tcBorders>
              <w:left w:val="single" w:color="000000" w:sz="4" w:space="0"/>
            </w:tcBorders>
            <w:vAlign w:val="center"/>
          </w:tcPr>
          <w:p>
            <w:pPr>
              <w:pStyle w:val="30"/>
              <w:rPr>
                <w:color w:val="auto"/>
                <w:highlight w:val="none"/>
              </w:rPr>
            </w:pPr>
          </w:p>
        </w:tc>
        <w:tc>
          <w:tcPr>
            <w:tcW w:w="2174" w:type="dxa"/>
            <w:vAlign w:val="center"/>
          </w:tcPr>
          <w:p>
            <w:pPr>
              <w:pStyle w:val="30"/>
              <w:rPr>
                <w:color w:val="auto"/>
                <w:highlight w:val="none"/>
              </w:rPr>
            </w:pPr>
            <w:r>
              <w:rPr>
                <w:rFonts w:hint="eastAsia"/>
                <w:color w:val="auto"/>
                <w:highlight w:val="none"/>
              </w:rPr>
              <w:t>注册地址</w:t>
            </w:r>
          </w:p>
        </w:tc>
        <w:tc>
          <w:tcPr>
            <w:tcW w:w="2178" w:type="dxa"/>
            <w:vAlign w:val="center"/>
          </w:tcPr>
          <w:p>
            <w:pPr>
              <w:pStyle w:val="30"/>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671" w:type="dxa"/>
            <w:vMerge w:val="continue"/>
            <w:vAlign w:val="center"/>
          </w:tcPr>
          <w:p>
            <w:pPr>
              <w:pStyle w:val="30"/>
              <w:rPr>
                <w:color w:val="auto"/>
                <w:highlight w:val="none"/>
              </w:rPr>
            </w:pPr>
          </w:p>
        </w:tc>
        <w:tc>
          <w:tcPr>
            <w:tcW w:w="2146" w:type="dxa"/>
            <w:gridSpan w:val="2"/>
            <w:tcBorders>
              <w:right w:val="single" w:color="000000" w:sz="4" w:space="0"/>
            </w:tcBorders>
            <w:vAlign w:val="center"/>
          </w:tcPr>
          <w:p>
            <w:pPr>
              <w:pStyle w:val="30"/>
              <w:rPr>
                <w:color w:val="auto"/>
                <w:highlight w:val="none"/>
              </w:rPr>
            </w:pPr>
            <w:r>
              <w:rPr>
                <w:rFonts w:hint="eastAsia"/>
                <w:color w:val="auto"/>
                <w:highlight w:val="none"/>
              </w:rPr>
              <w:t>发证机关</w:t>
            </w:r>
          </w:p>
        </w:tc>
        <w:tc>
          <w:tcPr>
            <w:tcW w:w="1530" w:type="dxa"/>
            <w:tcBorders>
              <w:left w:val="single" w:color="000000" w:sz="4" w:space="0"/>
            </w:tcBorders>
            <w:vAlign w:val="center"/>
          </w:tcPr>
          <w:p>
            <w:pPr>
              <w:pStyle w:val="30"/>
              <w:rPr>
                <w:color w:val="auto"/>
                <w:highlight w:val="none"/>
              </w:rPr>
            </w:pPr>
          </w:p>
        </w:tc>
        <w:tc>
          <w:tcPr>
            <w:tcW w:w="2174" w:type="dxa"/>
            <w:vAlign w:val="center"/>
          </w:tcPr>
          <w:p>
            <w:pPr>
              <w:pStyle w:val="30"/>
              <w:rPr>
                <w:color w:val="auto"/>
                <w:highlight w:val="none"/>
              </w:rPr>
            </w:pPr>
            <w:r>
              <w:rPr>
                <w:rFonts w:hint="eastAsia"/>
                <w:color w:val="auto"/>
                <w:highlight w:val="none"/>
              </w:rPr>
              <w:t>发证日期</w:t>
            </w:r>
          </w:p>
        </w:tc>
        <w:tc>
          <w:tcPr>
            <w:tcW w:w="2178" w:type="dxa"/>
            <w:vAlign w:val="center"/>
          </w:tcPr>
          <w:p>
            <w:pPr>
              <w:pStyle w:val="30"/>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671" w:type="dxa"/>
            <w:vMerge w:val="continue"/>
            <w:vAlign w:val="center"/>
          </w:tcPr>
          <w:p>
            <w:pPr>
              <w:pStyle w:val="30"/>
              <w:rPr>
                <w:color w:val="auto"/>
                <w:highlight w:val="none"/>
              </w:rPr>
            </w:pPr>
          </w:p>
        </w:tc>
        <w:tc>
          <w:tcPr>
            <w:tcW w:w="2146" w:type="dxa"/>
            <w:gridSpan w:val="2"/>
            <w:tcBorders>
              <w:right w:val="single" w:color="000000" w:sz="4" w:space="0"/>
            </w:tcBorders>
            <w:vAlign w:val="center"/>
          </w:tcPr>
          <w:p>
            <w:pPr>
              <w:pStyle w:val="30"/>
              <w:rPr>
                <w:color w:val="auto"/>
                <w:highlight w:val="none"/>
              </w:rPr>
            </w:pPr>
            <w:r>
              <w:rPr>
                <w:rFonts w:hint="eastAsia"/>
                <w:color w:val="auto"/>
                <w:highlight w:val="none"/>
              </w:rPr>
              <w:t>营业范围（主营）</w:t>
            </w:r>
          </w:p>
        </w:tc>
        <w:tc>
          <w:tcPr>
            <w:tcW w:w="5882" w:type="dxa"/>
            <w:gridSpan w:val="3"/>
            <w:tcBorders>
              <w:left w:val="single" w:color="000000" w:sz="4" w:space="0"/>
            </w:tcBorders>
            <w:vAlign w:val="center"/>
          </w:tcPr>
          <w:p>
            <w:pPr>
              <w:pStyle w:val="30"/>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671" w:type="dxa"/>
            <w:vMerge w:val="continue"/>
            <w:vAlign w:val="center"/>
          </w:tcPr>
          <w:p>
            <w:pPr>
              <w:pStyle w:val="30"/>
              <w:rPr>
                <w:color w:val="auto"/>
                <w:highlight w:val="none"/>
              </w:rPr>
            </w:pPr>
          </w:p>
        </w:tc>
        <w:tc>
          <w:tcPr>
            <w:tcW w:w="2146" w:type="dxa"/>
            <w:gridSpan w:val="2"/>
            <w:tcBorders>
              <w:right w:val="single" w:color="000000" w:sz="4" w:space="0"/>
            </w:tcBorders>
            <w:vAlign w:val="center"/>
          </w:tcPr>
          <w:p>
            <w:pPr>
              <w:pStyle w:val="30"/>
              <w:rPr>
                <w:color w:val="auto"/>
                <w:highlight w:val="none"/>
              </w:rPr>
            </w:pPr>
            <w:r>
              <w:rPr>
                <w:rFonts w:hint="eastAsia"/>
                <w:color w:val="auto"/>
                <w:highlight w:val="none"/>
              </w:rPr>
              <w:t>营业范围（兼营）</w:t>
            </w:r>
          </w:p>
        </w:tc>
        <w:tc>
          <w:tcPr>
            <w:tcW w:w="5882" w:type="dxa"/>
            <w:gridSpan w:val="3"/>
            <w:tcBorders>
              <w:left w:val="single" w:color="000000" w:sz="4" w:space="0"/>
            </w:tcBorders>
            <w:vAlign w:val="center"/>
          </w:tcPr>
          <w:p>
            <w:pPr>
              <w:pStyle w:val="30"/>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2817" w:type="dxa"/>
            <w:gridSpan w:val="3"/>
            <w:tcBorders>
              <w:right w:val="single" w:color="000000" w:sz="4" w:space="0"/>
            </w:tcBorders>
            <w:vAlign w:val="center"/>
          </w:tcPr>
          <w:p>
            <w:pPr>
              <w:pStyle w:val="30"/>
              <w:rPr>
                <w:color w:val="auto"/>
                <w:highlight w:val="none"/>
              </w:rPr>
            </w:pPr>
            <w:r>
              <w:rPr>
                <w:rFonts w:hint="eastAsia"/>
                <w:color w:val="auto"/>
                <w:highlight w:val="none"/>
              </w:rPr>
              <w:t>基本账户开户行及账号</w:t>
            </w:r>
          </w:p>
        </w:tc>
        <w:tc>
          <w:tcPr>
            <w:tcW w:w="5882" w:type="dxa"/>
            <w:gridSpan w:val="3"/>
            <w:tcBorders>
              <w:left w:val="single" w:color="000000" w:sz="4" w:space="0"/>
            </w:tcBorders>
            <w:vAlign w:val="center"/>
          </w:tcPr>
          <w:p>
            <w:pPr>
              <w:pStyle w:val="30"/>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2817" w:type="dxa"/>
            <w:gridSpan w:val="3"/>
            <w:tcBorders>
              <w:right w:val="single" w:color="000000" w:sz="4" w:space="0"/>
            </w:tcBorders>
            <w:vAlign w:val="center"/>
          </w:tcPr>
          <w:p>
            <w:pPr>
              <w:pStyle w:val="30"/>
              <w:rPr>
                <w:color w:val="auto"/>
                <w:highlight w:val="none"/>
              </w:rPr>
            </w:pPr>
            <w:r>
              <w:rPr>
                <w:rFonts w:hint="eastAsia"/>
                <w:color w:val="auto"/>
                <w:highlight w:val="none"/>
              </w:rPr>
              <w:t>税务登记机关</w:t>
            </w:r>
          </w:p>
        </w:tc>
        <w:tc>
          <w:tcPr>
            <w:tcW w:w="5882" w:type="dxa"/>
            <w:gridSpan w:val="3"/>
            <w:tcBorders>
              <w:left w:val="single" w:color="000000" w:sz="4" w:space="0"/>
            </w:tcBorders>
            <w:vAlign w:val="center"/>
          </w:tcPr>
          <w:p>
            <w:pPr>
              <w:pStyle w:val="30"/>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8699" w:type="dxa"/>
            <w:gridSpan w:val="6"/>
            <w:vAlign w:val="center"/>
          </w:tcPr>
          <w:p>
            <w:pPr>
              <w:pStyle w:val="30"/>
              <w:rPr>
                <w:color w:val="auto"/>
                <w:highlight w:val="none"/>
              </w:rPr>
            </w:pPr>
            <w:r>
              <w:rPr>
                <w:rFonts w:hint="eastAsia"/>
                <w:color w:val="auto"/>
                <w:highlight w:val="none"/>
              </w:rPr>
              <w:t>公司简介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2173" w:type="dxa"/>
            <w:gridSpan w:val="2"/>
            <w:vAlign w:val="center"/>
          </w:tcPr>
          <w:p>
            <w:pPr>
              <w:pStyle w:val="30"/>
              <w:rPr>
                <w:color w:val="auto"/>
                <w:highlight w:val="none"/>
              </w:rPr>
            </w:pPr>
            <w:r>
              <w:rPr>
                <w:rFonts w:hint="eastAsia"/>
                <w:color w:val="auto"/>
                <w:highlight w:val="none"/>
              </w:rPr>
              <w:t>备注</w:t>
            </w:r>
          </w:p>
        </w:tc>
        <w:tc>
          <w:tcPr>
            <w:tcW w:w="6526" w:type="dxa"/>
            <w:gridSpan w:val="4"/>
            <w:vAlign w:val="center"/>
          </w:tcPr>
          <w:p>
            <w:pPr>
              <w:pStyle w:val="30"/>
              <w:rPr>
                <w:color w:val="auto"/>
                <w:highlight w:val="none"/>
              </w:rPr>
            </w:pPr>
          </w:p>
        </w:tc>
      </w:tr>
    </w:tbl>
    <w:p>
      <w:pPr>
        <w:rPr>
          <w:color w:val="auto"/>
          <w:highlight w:val="none"/>
        </w:rPr>
      </w:pPr>
    </w:p>
    <w:p>
      <w:pPr>
        <w:pStyle w:val="5"/>
        <w:ind w:firstLine="3600" w:firstLineChars="1500"/>
        <w:rPr>
          <w:color w:val="auto"/>
          <w:highlight w:val="none"/>
        </w:rPr>
      </w:pPr>
      <w:r>
        <w:rPr>
          <w:rFonts w:hint="eastAsia"/>
          <w:color w:val="auto"/>
          <w:highlight w:val="none"/>
        </w:rPr>
        <w:t>投标人名称：</w:t>
      </w:r>
      <w:r>
        <w:rPr>
          <w:rFonts w:hint="eastAsia"/>
          <w:color w:val="auto"/>
          <w:highlight w:val="none"/>
          <w:u w:val="single"/>
        </w:rPr>
        <w:t xml:space="preserve">                   </w:t>
      </w:r>
      <w:r>
        <w:rPr>
          <w:rFonts w:hint="eastAsia"/>
          <w:color w:val="auto"/>
          <w:highlight w:val="none"/>
        </w:rPr>
        <w:t>（盖单位公章）</w:t>
      </w:r>
    </w:p>
    <w:p>
      <w:pPr>
        <w:pStyle w:val="5"/>
        <w:ind w:firstLine="3600" w:firstLineChars="1500"/>
        <w:rPr>
          <w:color w:val="auto"/>
          <w:highlight w:val="none"/>
        </w:rPr>
      </w:pPr>
      <w:r>
        <w:rPr>
          <w:rFonts w:hint="eastAsia"/>
          <w:color w:val="auto"/>
          <w:highlight w:val="none"/>
        </w:rPr>
        <w:t>法定代表人或被授权人：</w:t>
      </w:r>
      <w:r>
        <w:rPr>
          <w:rFonts w:hint="eastAsia"/>
          <w:color w:val="auto"/>
          <w:highlight w:val="none"/>
          <w:u w:val="single"/>
        </w:rPr>
        <w:t xml:space="preserve">         </w:t>
      </w:r>
      <w:r>
        <w:rPr>
          <w:rFonts w:hint="eastAsia"/>
          <w:color w:val="auto"/>
          <w:highlight w:val="none"/>
        </w:rPr>
        <w:t>（签字或盖章）</w:t>
      </w:r>
    </w:p>
    <w:p>
      <w:pPr>
        <w:wordWrap w:val="0"/>
        <w:spacing w:line="336" w:lineRule="auto"/>
        <w:ind w:right="-159" w:firstLine="3600" w:firstLineChars="1500"/>
        <w:rPr>
          <w:color w:val="auto"/>
          <w:highlight w:val="none"/>
        </w:rPr>
      </w:pPr>
      <w:r>
        <w:rPr>
          <w:rFonts w:hint="eastAsia"/>
          <w:color w:val="auto"/>
          <w:highlight w:val="none"/>
        </w:rPr>
        <w:t>日    期：</w:t>
      </w:r>
      <w:r>
        <w:rPr>
          <w:rFonts w:hint="eastAsia"/>
          <w:color w:val="auto"/>
          <w:highlight w:val="none"/>
          <w:u w:val="single"/>
        </w:rPr>
        <w:t xml:space="preserve">   </w:t>
      </w:r>
      <w:r>
        <w:rPr>
          <w:rFonts w:hint="eastAsia"/>
          <w:color w:val="auto"/>
          <w:highlight w:val="none"/>
        </w:rPr>
        <w:t>年</w:t>
      </w:r>
      <w:r>
        <w:rPr>
          <w:rFonts w:hint="eastAsia"/>
          <w:color w:val="auto"/>
          <w:highlight w:val="none"/>
          <w:u w:val="single"/>
        </w:rPr>
        <w:t xml:space="preserve">   </w:t>
      </w:r>
      <w:r>
        <w:rPr>
          <w:rFonts w:hint="eastAsia"/>
          <w:color w:val="auto"/>
          <w:highlight w:val="none"/>
        </w:rPr>
        <w:t>月</w:t>
      </w:r>
      <w:r>
        <w:rPr>
          <w:rFonts w:hint="eastAsia"/>
          <w:color w:val="auto"/>
          <w:highlight w:val="none"/>
          <w:u w:val="single"/>
        </w:rPr>
        <w:t xml:space="preserve">   </w:t>
      </w:r>
      <w:r>
        <w:rPr>
          <w:rFonts w:hint="eastAsia"/>
          <w:color w:val="auto"/>
          <w:highlight w:val="none"/>
        </w:rPr>
        <w:t>日</w:t>
      </w:r>
    </w:p>
    <w:p>
      <w:pPr>
        <w:pStyle w:val="2"/>
        <w:rPr>
          <w:color w:val="auto"/>
          <w:highlight w:val="none"/>
        </w:rPr>
      </w:pPr>
      <w:r>
        <w:rPr>
          <w:rFonts w:hint="eastAsia"/>
          <w:color w:val="auto"/>
          <w:highlight w:val="none"/>
        </w:rPr>
        <w:t>后附证明资料（逐项提供加盖公章的复印件）：</w:t>
      </w:r>
    </w:p>
    <w:p>
      <w:pPr>
        <w:adjustRightInd w:val="0"/>
        <w:snapToGrid w:val="0"/>
        <w:spacing w:line="360" w:lineRule="auto"/>
        <w:ind w:firstLine="480" w:firstLineChars="200"/>
        <w:rPr>
          <w:rFonts w:hAnsi="宋体" w:cs="宋体"/>
          <w:color w:val="auto"/>
          <w:szCs w:val="24"/>
          <w:highlight w:val="none"/>
        </w:rPr>
      </w:pPr>
      <w:r>
        <w:rPr>
          <w:rFonts w:hint="eastAsia" w:hAnsi="宋体" w:cs="宋体"/>
          <w:color w:val="auto"/>
          <w:szCs w:val="24"/>
          <w:highlight w:val="none"/>
        </w:rPr>
        <w:t>（1）基本资格条件：符合《中华人民共和国政府采购法》第二十二条的规定：</w:t>
      </w:r>
    </w:p>
    <w:p>
      <w:pPr>
        <w:adjustRightInd w:val="0"/>
        <w:snapToGrid w:val="0"/>
        <w:spacing w:line="360" w:lineRule="auto"/>
        <w:ind w:firstLine="480" w:firstLineChars="200"/>
        <w:rPr>
          <w:rFonts w:hAnsi="宋体" w:cs="宋体"/>
          <w:color w:val="auto"/>
          <w:szCs w:val="24"/>
          <w:highlight w:val="none"/>
        </w:rPr>
      </w:pPr>
      <w:r>
        <w:rPr>
          <w:rFonts w:hint="eastAsia" w:hAnsi="宋体" w:cs="宋体"/>
          <w:color w:val="auto"/>
          <w:szCs w:val="24"/>
          <w:highlight w:val="none"/>
        </w:rPr>
        <w:t>1）具有独立承担民事责任能力的法人、其他组织或自然人，提供合法有效的统一社会信用代码营业执照（事业单位提供法人证书，自然人提供身份证）；</w:t>
      </w:r>
    </w:p>
    <w:p>
      <w:pPr>
        <w:adjustRightInd w:val="0"/>
        <w:snapToGrid w:val="0"/>
        <w:spacing w:line="360" w:lineRule="auto"/>
        <w:ind w:firstLine="480" w:firstLineChars="200"/>
        <w:rPr>
          <w:rFonts w:hAnsi="宋体" w:cs="宋体"/>
          <w:color w:val="auto"/>
          <w:szCs w:val="24"/>
          <w:highlight w:val="none"/>
        </w:rPr>
      </w:pPr>
      <w:r>
        <w:rPr>
          <w:rFonts w:hint="eastAsia" w:hAnsi="宋体" w:cs="宋体"/>
          <w:color w:val="auto"/>
          <w:szCs w:val="24"/>
          <w:highlight w:val="none"/>
        </w:rPr>
        <w:t>2）财务状况报告：法人提供经审计的2020或2021年度的财务报告（成立时间至递交</w:t>
      </w:r>
      <w:r>
        <w:rPr>
          <w:rFonts w:hint="eastAsia" w:hAnsi="宋体" w:cs="宋体"/>
          <w:color w:val="auto"/>
          <w:szCs w:val="24"/>
          <w:highlight w:val="none"/>
          <w:lang w:eastAsia="zh-CN"/>
        </w:rPr>
        <w:t>投标文件</w:t>
      </w:r>
      <w:r>
        <w:rPr>
          <w:rFonts w:hint="eastAsia" w:hAnsi="宋体" w:cs="宋体"/>
          <w:color w:val="auto"/>
          <w:szCs w:val="24"/>
          <w:highlight w:val="none"/>
        </w:rPr>
        <w:t>截止时间不足一年的可提供成立后任意时段的资产负债表）或递交</w:t>
      </w:r>
      <w:r>
        <w:rPr>
          <w:rFonts w:hint="eastAsia" w:hAnsi="宋体" w:cs="宋体"/>
          <w:color w:val="auto"/>
          <w:szCs w:val="24"/>
          <w:highlight w:val="none"/>
          <w:lang w:eastAsia="zh-CN"/>
        </w:rPr>
        <w:t>投标文件</w:t>
      </w:r>
      <w:r>
        <w:rPr>
          <w:rFonts w:hint="eastAsia" w:hAnsi="宋体" w:cs="宋体"/>
          <w:color w:val="auto"/>
          <w:szCs w:val="24"/>
          <w:highlight w:val="none"/>
        </w:rPr>
        <w:t>截止时间前六个月内银行出具的资信证明；其他组织和自然人提供银行出具的资信证明或财务报表；</w:t>
      </w:r>
    </w:p>
    <w:p>
      <w:pPr>
        <w:adjustRightInd w:val="0"/>
        <w:snapToGrid w:val="0"/>
        <w:spacing w:line="360" w:lineRule="auto"/>
        <w:ind w:firstLine="480" w:firstLineChars="200"/>
        <w:rPr>
          <w:rFonts w:hAnsi="宋体" w:cs="宋体"/>
          <w:color w:val="auto"/>
          <w:szCs w:val="24"/>
          <w:highlight w:val="none"/>
        </w:rPr>
      </w:pPr>
      <w:r>
        <w:rPr>
          <w:rFonts w:hint="eastAsia" w:hAnsi="宋体" w:cs="宋体"/>
          <w:color w:val="auto"/>
          <w:szCs w:val="24"/>
          <w:highlight w:val="none"/>
        </w:rPr>
        <w:t>3）税收缴纳证明：法人提供递交</w:t>
      </w:r>
      <w:r>
        <w:rPr>
          <w:rFonts w:hint="eastAsia" w:hAnsi="宋体" w:cs="宋体"/>
          <w:color w:val="auto"/>
          <w:szCs w:val="24"/>
          <w:highlight w:val="none"/>
          <w:lang w:eastAsia="zh-CN"/>
        </w:rPr>
        <w:t>投标文件</w:t>
      </w:r>
      <w:r>
        <w:rPr>
          <w:rFonts w:hint="eastAsia" w:hAnsi="宋体" w:cs="宋体"/>
          <w:color w:val="auto"/>
          <w:szCs w:val="24"/>
          <w:highlight w:val="none"/>
        </w:rPr>
        <w:t>截止时间前一年内至少一个月依法缴纳税收的相关凭据（时间以税款所属日期为准，税种须包含增值税或企业所得税或营业税，凭据应有税务机关或代收机关的公章或业务专用章）；其他组织和自然人提供缴纳税收的凭据；依法免税的投标人应提供相关文件证明；</w:t>
      </w:r>
    </w:p>
    <w:p>
      <w:pPr>
        <w:adjustRightInd w:val="0"/>
        <w:snapToGrid w:val="0"/>
        <w:spacing w:line="360" w:lineRule="auto"/>
        <w:ind w:firstLine="480" w:firstLineChars="200"/>
        <w:rPr>
          <w:rFonts w:hAnsi="宋体" w:cs="宋体"/>
          <w:color w:val="auto"/>
          <w:szCs w:val="24"/>
          <w:highlight w:val="none"/>
        </w:rPr>
      </w:pPr>
      <w:r>
        <w:rPr>
          <w:rFonts w:hint="eastAsia" w:hAnsi="宋体" w:cs="宋体"/>
          <w:color w:val="auto"/>
          <w:szCs w:val="24"/>
          <w:highlight w:val="none"/>
        </w:rPr>
        <w:t>4）社会保障资金缴纳证明：提供递交</w:t>
      </w:r>
      <w:r>
        <w:rPr>
          <w:rFonts w:hint="eastAsia" w:hAnsi="宋体" w:cs="宋体"/>
          <w:color w:val="auto"/>
          <w:szCs w:val="24"/>
          <w:highlight w:val="none"/>
          <w:lang w:eastAsia="zh-CN"/>
        </w:rPr>
        <w:t>投标文件</w:t>
      </w:r>
      <w:r>
        <w:rPr>
          <w:rFonts w:hint="eastAsia" w:hAnsi="宋体" w:cs="宋体"/>
          <w:color w:val="auto"/>
          <w:szCs w:val="24"/>
          <w:highlight w:val="none"/>
        </w:rPr>
        <w:t>截止时间前一年内至少一个月已缴纳的社会保障资金的凭据（社会保障资金缴存单据或社保机构开具的社会保险参保缴费情况证明）；依法不需要缴纳社会保障资金的投标人应提供相关文件证明；</w:t>
      </w:r>
    </w:p>
    <w:p>
      <w:pPr>
        <w:adjustRightInd w:val="0"/>
        <w:snapToGrid w:val="0"/>
        <w:spacing w:line="360" w:lineRule="auto"/>
        <w:ind w:firstLine="480" w:firstLineChars="200"/>
        <w:rPr>
          <w:rFonts w:hAnsi="宋体" w:cs="宋体"/>
          <w:color w:val="auto"/>
          <w:szCs w:val="24"/>
          <w:highlight w:val="none"/>
        </w:rPr>
      </w:pPr>
      <w:r>
        <w:rPr>
          <w:rFonts w:hint="eastAsia" w:hAnsi="宋体" w:cs="宋体"/>
          <w:color w:val="auto"/>
          <w:szCs w:val="24"/>
          <w:highlight w:val="none"/>
        </w:rPr>
        <w:t>5）具有履行本合同所必需的设备和专业技术能力（提供承诺）；</w:t>
      </w:r>
    </w:p>
    <w:p>
      <w:pPr>
        <w:adjustRightInd w:val="0"/>
        <w:snapToGrid w:val="0"/>
        <w:spacing w:line="360" w:lineRule="auto"/>
        <w:ind w:firstLine="480" w:firstLineChars="200"/>
        <w:rPr>
          <w:rFonts w:hAnsi="宋体" w:cs="宋体"/>
          <w:color w:val="auto"/>
          <w:szCs w:val="24"/>
          <w:highlight w:val="none"/>
        </w:rPr>
      </w:pPr>
      <w:r>
        <w:rPr>
          <w:rFonts w:hint="eastAsia" w:hAnsi="宋体" w:cs="宋体"/>
          <w:color w:val="auto"/>
          <w:szCs w:val="24"/>
          <w:highlight w:val="none"/>
        </w:rPr>
        <w:t>6）参加本次政府采购活动前三年内在经营活动中没有重大违法记录（提供书面声明）；</w:t>
      </w:r>
    </w:p>
    <w:p>
      <w:pPr>
        <w:adjustRightInd w:val="0"/>
        <w:snapToGrid w:val="0"/>
        <w:spacing w:line="360" w:lineRule="auto"/>
        <w:ind w:firstLine="480" w:firstLineChars="200"/>
        <w:rPr>
          <w:rFonts w:hAnsi="宋体" w:cs="宋体"/>
          <w:color w:val="auto"/>
          <w:szCs w:val="24"/>
          <w:highlight w:val="none"/>
        </w:rPr>
      </w:pPr>
      <w:r>
        <w:rPr>
          <w:rFonts w:hint="eastAsia" w:hAnsi="宋体" w:cs="宋体"/>
          <w:color w:val="auto"/>
          <w:szCs w:val="24"/>
          <w:highlight w:val="none"/>
        </w:rPr>
        <w:t>（2）</w:t>
      </w:r>
      <w:r>
        <w:rPr>
          <w:rFonts w:hint="eastAsia"/>
          <w:color w:val="auto"/>
          <w:highlight w:val="none"/>
        </w:rPr>
        <w:t>本项目的特定资格要求：</w:t>
      </w:r>
    </w:p>
    <w:p>
      <w:pPr>
        <w:adjustRightInd w:val="0"/>
        <w:snapToGrid w:val="0"/>
        <w:spacing w:line="360" w:lineRule="auto"/>
        <w:ind w:firstLine="480" w:firstLineChars="200"/>
        <w:rPr>
          <w:rFonts w:hint="eastAsia" w:hAnsi="宋体" w:cs="宋体"/>
          <w:color w:val="auto"/>
          <w:szCs w:val="24"/>
          <w:highlight w:val="none"/>
        </w:rPr>
      </w:pPr>
      <w:r>
        <w:rPr>
          <w:rFonts w:hint="eastAsia" w:hAnsi="宋体" w:cs="宋体"/>
          <w:color w:val="auto"/>
          <w:szCs w:val="24"/>
          <w:highlight w:val="none"/>
        </w:rPr>
        <w:t xml:space="preserve">1）法定代表人授权书（附法定代表人、被授权人身份证复印件）、被授权人身份证（法定代表人直接参加投标，须提供法定代表人身份证明及身份证原件）； </w:t>
      </w:r>
    </w:p>
    <w:p>
      <w:pPr>
        <w:adjustRightInd w:val="0"/>
        <w:snapToGrid w:val="0"/>
        <w:spacing w:line="360" w:lineRule="auto"/>
        <w:ind w:firstLine="480" w:firstLineChars="200"/>
        <w:rPr>
          <w:color w:val="auto"/>
          <w:highlight w:val="none"/>
        </w:rPr>
      </w:pPr>
      <w:r>
        <w:rPr>
          <w:rFonts w:hint="eastAsia" w:hAnsi="宋体" w:cs="宋体"/>
          <w:color w:val="auto"/>
          <w:szCs w:val="24"/>
          <w:highlight w:val="none"/>
        </w:rPr>
        <w:t>2）投标人不得为“信用中国”网站（www.creditchina.gov.cn）中列入失信被执行人和重大税收违法案件当事人名单的供应商，不得为中国政府采购网（www.ccgp.gov.cn）政府采购严重违法失信行为记录名单中被财政部门禁止参加政府采购活动的供应商；</w:t>
      </w:r>
      <w:r>
        <w:rPr>
          <w:rFonts w:hint="eastAsia"/>
          <w:color w:val="auto"/>
          <w:highlight w:val="none"/>
        </w:rPr>
        <w:br w:type="page"/>
      </w:r>
    </w:p>
    <w:p>
      <w:pPr>
        <w:pStyle w:val="2"/>
        <w:rPr>
          <w:color w:val="auto"/>
          <w:highlight w:val="none"/>
        </w:rPr>
      </w:pPr>
      <w:r>
        <w:rPr>
          <w:rFonts w:hint="eastAsia"/>
          <w:color w:val="auto"/>
          <w:highlight w:val="none"/>
        </w:rPr>
        <w:t>附件1  履行合同所必需的设备和专业技术能力的承诺（格式）</w:t>
      </w:r>
    </w:p>
    <w:p>
      <w:pPr>
        <w:pStyle w:val="7"/>
        <w:spacing w:before="666" w:after="666"/>
        <w:rPr>
          <w:color w:val="auto"/>
          <w:highlight w:val="none"/>
        </w:rPr>
      </w:pPr>
      <w:r>
        <w:rPr>
          <w:rFonts w:hint="eastAsia"/>
          <w:color w:val="auto"/>
          <w:highlight w:val="none"/>
        </w:rPr>
        <w:t>履行合同所必需的设备和专业技术能力的承诺</w:t>
      </w:r>
    </w:p>
    <w:p>
      <w:pPr>
        <w:pStyle w:val="5"/>
        <w:ind w:firstLine="0" w:firstLineChars="0"/>
        <w:rPr>
          <w:color w:val="auto"/>
          <w:highlight w:val="none"/>
          <w:u w:val="single"/>
        </w:rPr>
      </w:pPr>
      <w:r>
        <w:rPr>
          <w:rFonts w:hint="eastAsia"/>
          <w:color w:val="auto"/>
          <w:highlight w:val="none"/>
          <w:u w:val="single"/>
        </w:rPr>
        <w:t>（采购人名称）：</w:t>
      </w:r>
    </w:p>
    <w:p>
      <w:pPr>
        <w:pStyle w:val="5"/>
        <w:ind w:firstLine="480"/>
        <w:rPr>
          <w:color w:val="auto"/>
          <w:highlight w:val="none"/>
        </w:rPr>
      </w:pPr>
      <w:r>
        <w:rPr>
          <w:rFonts w:hint="eastAsia"/>
          <w:color w:val="auto"/>
          <w:highlight w:val="none"/>
          <w:u w:val="single"/>
        </w:rPr>
        <w:t xml:space="preserve">（投标人名称） </w:t>
      </w:r>
      <w:r>
        <w:rPr>
          <w:rFonts w:hint="eastAsia"/>
          <w:color w:val="auto"/>
          <w:highlight w:val="none"/>
        </w:rPr>
        <w:t>于</w:t>
      </w:r>
      <w:r>
        <w:rPr>
          <w:rFonts w:hint="eastAsia"/>
          <w:color w:val="auto"/>
          <w:highlight w:val="none"/>
          <w:u w:val="single"/>
        </w:rPr>
        <w:t xml:space="preserve">   </w:t>
      </w:r>
      <w:r>
        <w:rPr>
          <w:rFonts w:hint="eastAsia"/>
          <w:color w:val="auto"/>
          <w:highlight w:val="none"/>
        </w:rPr>
        <w:t>年</w:t>
      </w:r>
      <w:r>
        <w:rPr>
          <w:rFonts w:hint="eastAsia"/>
          <w:color w:val="auto"/>
          <w:highlight w:val="none"/>
          <w:u w:val="single"/>
        </w:rPr>
        <w:t xml:space="preserve">   </w:t>
      </w:r>
      <w:r>
        <w:rPr>
          <w:rFonts w:hint="eastAsia"/>
          <w:color w:val="auto"/>
          <w:highlight w:val="none"/>
        </w:rPr>
        <w:t>月</w:t>
      </w:r>
      <w:r>
        <w:rPr>
          <w:rFonts w:hint="eastAsia"/>
          <w:color w:val="auto"/>
          <w:highlight w:val="none"/>
          <w:u w:val="single"/>
        </w:rPr>
        <w:t xml:space="preserve">   </w:t>
      </w:r>
      <w:r>
        <w:rPr>
          <w:rFonts w:hint="eastAsia"/>
          <w:color w:val="auto"/>
          <w:highlight w:val="none"/>
        </w:rPr>
        <w:t>日在中华人民共和国境内</w:t>
      </w:r>
      <w:r>
        <w:rPr>
          <w:rFonts w:hint="eastAsia"/>
          <w:color w:val="auto"/>
          <w:highlight w:val="none"/>
          <w:u w:val="single"/>
        </w:rPr>
        <w:t xml:space="preserve"> （详细注册地址）</w:t>
      </w:r>
      <w:r>
        <w:rPr>
          <w:rFonts w:hint="eastAsia"/>
          <w:color w:val="auto"/>
          <w:highlight w:val="none"/>
        </w:rPr>
        <w:t>合法注册并经营，公司主营业务为</w:t>
      </w:r>
      <w:r>
        <w:rPr>
          <w:rFonts w:hint="eastAsia"/>
          <w:color w:val="auto"/>
          <w:highlight w:val="none"/>
          <w:u w:val="single"/>
        </w:rPr>
        <w:t xml:space="preserve">                          </w:t>
      </w:r>
      <w:r>
        <w:rPr>
          <w:rFonts w:hint="eastAsia"/>
          <w:color w:val="auto"/>
          <w:highlight w:val="none"/>
        </w:rPr>
        <w:t>，营业（生产经营）面积为</w:t>
      </w:r>
      <w:r>
        <w:rPr>
          <w:rFonts w:hint="eastAsia"/>
          <w:color w:val="auto"/>
          <w:highlight w:val="none"/>
          <w:u w:val="single"/>
        </w:rPr>
        <w:t xml:space="preserve">              </w:t>
      </w:r>
      <w:r>
        <w:rPr>
          <w:rFonts w:hint="eastAsia"/>
          <w:color w:val="auto"/>
          <w:highlight w:val="none"/>
        </w:rPr>
        <w:t>，现有员工数量为</w:t>
      </w:r>
      <w:r>
        <w:rPr>
          <w:rFonts w:hint="eastAsia"/>
          <w:color w:val="auto"/>
          <w:highlight w:val="none"/>
          <w:u w:val="single"/>
        </w:rPr>
        <w:t xml:space="preserve">         </w:t>
      </w:r>
      <w:r>
        <w:rPr>
          <w:rFonts w:hint="eastAsia"/>
          <w:color w:val="auto"/>
          <w:highlight w:val="none"/>
        </w:rPr>
        <w:t>，本公司郑重承诺，具有履行本合同所必需的设备和专业技术能力。</w:t>
      </w:r>
    </w:p>
    <w:p>
      <w:pPr>
        <w:pStyle w:val="13"/>
        <w:adjustRightInd w:val="0"/>
        <w:snapToGrid w:val="0"/>
        <w:spacing w:line="500" w:lineRule="exact"/>
        <w:rPr>
          <w:rFonts w:hAnsi="宋体" w:cs="宋体"/>
          <w:color w:val="auto"/>
          <w:spacing w:val="4"/>
          <w:sz w:val="24"/>
          <w:szCs w:val="24"/>
          <w:highlight w:val="none"/>
        </w:rPr>
      </w:pPr>
    </w:p>
    <w:p>
      <w:pPr>
        <w:pStyle w:val="13"/>
        <w:adjustRightInd w:val="0"/>
        <w:snapToGrid w:val="0"/>
        <w:spacing w:line="500" w:lineRule="exact"/>
        <w:rPr>
          <w:rFonts w:hAnsi="宋体" w:cs="宋体"/>
          <w:color w:val="auto"/>
          <w:spacing w:val="4"/>
          <w:sz w:val="24"/>
          <w:szCs w:val="24"/>
          <w:highlight w:val="none"/>
        </w:rPr>
      </w:pPr>
    </w:p>
    <w:p>
      <w:pPr>
        <w:pStyle w:val="5"/>
        <w:ind w:firstLine="3600" w:firstLineChars="1500"/>
        <w:rPr>
          <w:color w:val="auto"/>
          <w:highlight w:val="none"/>
        </w:rPr>
      </w:pPr>
      <w:r>
        <w:rPr>
          <w:rFonts w:hint="eastAsia"/>
          <w:color w:val="auto"/>
          <w:highlight w:val="none"/>
        </w:rPr>
        <w:t>投标人名称：</w:t>
      </w:r>
      <w:r>
        <w:rPr>
          <w:rFonts w:hint="eastAsia"/>
          <w:color w:val="auto"/>
          <w:highlight w:val="none"/>
          <w:u w:val="single"/>
        </w:rPr>
        <w:t xml:space="preserve">                   </w:t>
      </w:r>
      <w:r>
        <w:rPr>
          <w:rFonts w:hint="eastAsia"/>
          <w:color w:val="auto"/>
          <w:highlight w:val="none"/>
        </w:rPr>
        <w:t>（盖单位公章）</w:t>
      </w:r>
    </w:p>
    <w:p>
      <w:pPr>
        <w:pStyle w:val="5"/>
        <w:ind w:firstLine="0" w:firstLineChars="0"/>
        <w:rPr>
          <w:color w:val="auto"/>
          <w:highlight w:val="none"/>
        </w:rPr>
      </w:pPr>
    </w:p>
    <w:p>
      <w:pPr>
        <w:pStyle w:val="5"/>
        <w:ind w:firstLine="3600" w:firstLineChars="1500"/>
        <w:rPr>
          <w:color w:val="auto"/>
          <w:highlight w:val="none"/>
        </w:rPr>
      </w:pPr>
      <w:r>
        <w:rPr>
          <w:rFonts w:hint="eastAsia"/>
          <w:color w:val="auto"/>
          <w:highlight w:val="none"/>
        </w:rPr>
        <w:t>法定代表人或被授权人：</w:t>
      </w:r>
      <w:r>
        <w:rPr>
          <w:rFonts w:hint="eastAsia"/>
          <w:color w:val="auto"/>
          <w:highlight w:val="none"/>
          <w:u w:val="single"/>
        </w:rPr>
        <w:t xml:space="preserve">         </w:t>
      </w:r>
      <w:r>
        <w:rPr>
          <w:rFonts w:hint="eastAsia"/>
          <w:color w:val="auto"/>
          <w:highlight w:val="none"/>
        </w:rPr>
        <w:t>（签字或盖章）</w:t>
      </w:r>
    </w:p>
    <w:p>
      <w:pPr>
        <w:pStyle w:val="5"/>
        <w:ind w:firstLine="0" w:firstLineChars="0"/>
        <w:rPr>
          <w:color w:val="auto"/>
          <w:highlight w:val="none"/>
        </w:rPr>
      </w:pPr>
    </w:p>
    <w:p>
      <w:pPr>
        <w:adjustRightInd w:val="0"/>
        <w:snapToGrid w:val="0"/>
        <w:spacing w:line="500" w:lineRule="exact"/>
        <w:ind w:firstLine="3600" w:firstLineChars="1500"/>
        <w:rPr>
          <w:rFonts w:hAnsi="宋体" w:cs="宋体"/>
          <w:color w:val="auto"/>
          <w:szCs w:val="24"/>
          <w:highlight w:val="none"/>
        </w:rPr>
      </w:pPr>
      <w:r>
        <w:rPr>
          <w:rFonts w:hint="eastAsia"/>
          <w:color w:val="auto"/>
          <w:highlight w:val="none"/>
        </w:rPr>
        <w:t>日    期：</w:t>
      </w:r>
      <w:r>
        <w:rPr>
          <w:rFonts w:hint="eastAsia"/>
          <w:color w:val="auto"/>
          <w:highlight w:val="none"/>
          <w:u w:val="single"/>
        </w:rPr>
        <w:t xml:space="preserve">   </w:t>
      </w:r>
      <w:r>
        <w:rPr>
          <w:rFonts w:hint="eastAsia"/>
          <w:color w:val="auto"/>
          <w:highlight w:val="none"/>
        </w:rPr>
        <w:t>年</w:t>
      </w:r>
      <w:r>
        <w:rPr>
          <w:rFonts w:hint="eastAsia"/>
          <w:color w:val="auto"/>
          <w:highlight w:val="none"/>
          <w:u w:val="single"/>
        </w:rPr>
        <w:t xml:space="preserve">   </w:t>
      </w:r>
      <w:r>
        <w:rPr>
          <w:rFonts w:hint="eastAsia"/>
          <w:color w:val="auto"/>
          <w:highlight w:val="none"/>
        </w:rPr>
        <w:t>月</w:t>
      </w:r>
      <w:r>
        <w:rPr>
          <w:rFonts w:hint="eastAsia"/>
          <w:color w:val="auto"/>
          <w:highlight w:val="none"/>
          <w:u w:val="single"/>
        </w:rPr>
        <w:t xml:space="preserve">   </w:t>
      </w:r>
      <w:r>
        <w:rPr>
          <w:rFonts w:hint="eastAsia"/>
          <w:color w:val="auto"/>
          <w:highlight w:val="none"/>
        </w:rPr>
        <w:t>日</w:t>
      </w:r>
    </w:p>
    <w:p>
      <w:pPr>
        <w:pStyle w:val="11"/>
        <w:rPr>
          <w:color w:val="auto"/>
          <w:highlight w:val="none"/>
        </w:rPr>
      </w:pPr>
    </w:p>
    <w:p>
      <w:pPr>
        <w:rPr>
          <w:rStyle w:val="38"/>
          <w:bCs w:val="0"/>
          <w:color w:val="auto"/>
          <w:highlight w:val="none"/>
        </w:rPr>
      </w:pPr>
      <w:bookmarkStart w:id="293" w:name="_Toc31818"/>
      <w:r>
        <w:rPr>
          <w:rStyle w:val="38"/>
          <w:rFonts w:hint="eastAsia"/>
          <w:bCs w:val="0"/>
          <w:color w:val="auto"/>
          <w:highlight w:val="none"/>
        </w:rPr>
        <w:br w:type="page"/>
      </w:r>
    </w:p>
    <w:p>
      <w:pPr>
        <w:pStyle w:val="2"/>
        <w:rPr>
          <w:rStyle w:val="38"/>
          <w:b/>
          <w:bCs w:val="0"/>
          <w:color w:val="auto"/>
          <w:highlight w:val="none"/>
        </w:rPr>
      </w:pPr>
      <w:r>
        <w:rPr>
          <w:rStyle w:val="38"/>
          <w:rFonts w:hint="eastAsia"/>
          <w:b/>
          <w:bCs w:val="0"/>
          <w:color w:val="auto"/>
          <w:highlight w:val="none"/>
        </w:rPr>
        <w:t>附件2  参加政府采购活动前3年内在经营活动中没有重大违法记录的书面声明（格式）</w:t>
      </w:r>
      <w:bookmarkEnd w:id="293"/>
    </w:p>
    <w:p>
      <w:pPr>
        <w:pStyle w:val="7"/>
        <w:spacing w:before="666" w:after="666"/>
        <w:rPr>
          <w:color w:val="auto"/>
          <w:highlight w:val="none"/>
        </w:rPr>
      </w:pPr>
      <w:r>
        <w:rPr>
          <w:rFonts w:hint="eastAsia"/>
          <w:color w:val="auto"/>
          <w:highlight w:val="none"/>
        </w:rPr>
        <w:t>近三年无重大违法、违纪书面声明</w:t>
      </w:r>
    </w:p>
    <w:p>
      <w:pPr>
        <w:pStyle w:val="5"/>
        <w:ind w:firstLine="0" w:firstLineChars="0"/>
        <w:rPr>
          <w:color w:val="auto"/>
          <w:highlight w:val="none"/>
        </w:rPr>
      </w:pPr>
      <w:r>
        <w:rPr>
          <w:rFonts w:hint="eastAsia"/>
          <w:color w:val="auto"/>
          <w:highlight w:val="none"/>
        </w:rPr>
        <w:t>致：</w:t>
      </w:r>
      <w:r>
        <w:rPr>
          <w:rFonts w:hint="eastAsia"/>
          <w:color w:val="auto"/>
          <w:highlight w:val="none"/>
          <w:u w:val="single"/>
        </w:rPr>
        <w:t xml:space="preserve">     （采购人名称）  </w:t>
      </w:r>
      <w:r>
        <w:rPr>
          <w:rFonts w:hint="eastAsia"/>
          <w:color w:val="auto"/>
          <w:highlight w:val="none"/>
        </w:rPr>
        <w:t xml:space="preserve"> </w:t>
      </w:r>
    </w:p>
    <w:p>
      <w:pPr>
        <w:pStyle w:val="5"/>
        <w:ind w:firstLine="480"/>
        <w:rPr>
          <w:color w:val="auto"/>
          <w:highlight w:val="none"/>
        </w:rPr>
      </w:pPr>
      <w:r>
        <w:rPr>
          <w:rFonts w:hint="eastAsia"/>
          <w:color w:val="auto"/>
          <w:highlight w:val="none"/>
        </w:rPr>
        <w:t>我单位声明参加本次政府采购活动前三年内，在经营活动中没有重大违纪，以及未被列入失信被执行人、未在重大税收违法案件当事人名单及政府采购严重违法失信行为记录名单中。</w:t>
      </w:r>
    </w:p>
    <w:p>
      <w:pPr>
        <w:pStyle w:val="5"/>
        <w:ind w:firstLine="480"/>
        <w:rPr>
          <w:color w:val="auto"/>
          <w:highlight w:val="none"/>
        </w:rPr>
      </w:pPr>
      <w:r>
        <w:rPr>
          <w:rFonts w:hint="eastAsia"/>
          <w:color w:val="auto"/>
          <w:highlight w:val="none"/>
        </w:rPr>
        <w:t>以上如构成虚假，自愿承担相关法律责任。</w:t>
      </w:r>
    </w:p>
    <w:p>
      <w:pPr>
        <w:pStyle w:val="5"/>
        <w:ind w:firstLine="480"/>
        <w:rPr>
          <w:color w:val="auto"/>
          <w:highlight w:val="none"/>
        </w:rPr>
      </w:pPr>
    </w:p>
    <w:p>
      <w:pPr>
        <w:pStyle w:val="5"/>
        <w:ind w:firstLine="480"/>
        <w:rPr>
          <w:color w:val="auto"/>
          <w:highlight w:val="none"/>
        </w:rPr>
      </w:pPr>
      <w:r>
        <w:rPr>
          <w:rFonts w:hint="eastAsia"/>
          <w:color w:val="auto"/>
          <w:highlight w:val="none"/>
        </w:rPr>
        <w:t>特此声明！</w:t>
      </w:r>
    </w:p>
    <w:p>
      <w:pPr>
        <w:spacing w:line="360" w:lineRule="auto"/>
        <w:ind w:firstLine="480" w:firstLineChars="200"/>
        <w:jc w:val="left"/>
        <w:rPr>
          <w:rFonts w:hAnsi="宋体" w:cs="宋体"/>
          <w:color w:val="auto"/>
          <w:highlight w:val="none"/>
        </w:rPr>
      </w:pPr>
    </w:p>
    <w:p>
      <w:pPr>
        <w:spacing w:line="360" w:lineRule="auto"/>
        <w:ind w:firstLine="480" w:firstLineChars="200"/>
        <w:jc w:val="left"/>
        <w:rPr>
          <w:rFonts w:hAnsi="宋体" w:cs="宋体"/>
          <w:color w:val="auto"/>
          <w:highlight w:val="none"/>
        </w:rPr>
      </w:pPr>
    </w:p>
    <w:p>
      <w:pPr>
        <w:pStyle w:val="5"/>
        <w:ind w:firstLine="3600" w:firstLineChars="1500"/>
        <w:rPr>
          <w:color w:val="auto"/>
          <w:highlight w:val="none"/>
        </w:rPr>
      </w:pPr>
      <w:r>
        <w:rPr>
          <w:rFonts w:hint="eastAsia"/>
          <w:color w:val="auto"/>
          <w:highlight w:val="none"/>
        </w:rPr>
        <w:t>投标人名称：</w:t>
      </w:r>
      <w:r>
        <w:rPr>
          <w:rFonts w:hint="eastAsia"/>
          <w:color w:val="auto"/>
          <w:highlight w:val="none"/>
          <w:u w:val="single"/>
        </w:rPr>
        <w:t xml:space="preserve">                   </w:t>
      </w:r>
      <w:r>
        <w:rPr>
          <w:rFonts w:hint="eastAsia"/>
          <w:color w:val="auto"/>
          <w:highlight w:val="none"/>
        </w:rPr>
        <w:t>（盖单位公章）</w:t>
      </w:r>
    </w:p>
    <w:p>
      <w:pPr>
        <w:pStyle w:val="5"/>
        <w:ind w:firstLine="0" w:firstLineChars="0"/>
        <w:rPr>
          <w:color w:val="auto"/>
          <w:highlight w:val="none"/>
        </w:rPr>
      </w:pPr>
    </w:p>
    <w:p>
      <w:pPr>
        <w:pStyle w:val="5"/>
        <w:ind w:firstLine="3600" w:firstLineChars="1500"/>
        <w:rPr>
          <w:color w:val="auto"/>
          <w:highlight w:val="none"/>
        </w:rPr>
      </w:pPr>
      <w:r>
        <w:rPr>
          <w:rFonts w:hint="eastAsia"/>
          <w:color w:val="auto"/>
          <w:highlight w:val="none"/>
        </w:rPr>
        <w:t>法定代表人或被授权人：</w:t>
      </w:r>
      <w:r>
        <w:rPr>
          <w:rFonts w:hint="eastAsia"/>
          <w:color w:val="auto"/>
          <w:highlight w:val="none"/>
          <w:u w:val="single"/>
        </w:rPr>
        <w:t xml:space="preserve">         </w:t>
      </w:r>
      <w:r>
        <w:rPr>
          <w:rFonts w:hint="eastAsia"/>
          <w:color w:val="auto"/>
          <w:highlight w:val="none"/>
        </w:rPr>
        <w:t>（签字或盖章）</w:t>
      </w:r>
    </w:p>
    <w:p>
      <w:pPr>
        <w:pStyle w:val="5"/>
        <w:ind w:firstLine="0" w:firstLineChars="0"/>
        <w:rPr>
          <w:color w:val="auto"/>
          <w:highlight w:val="none"/>
        </w:rPr>
      </w:pPr>
    </w:p>
    <w:p>
      <w:pPr>
        <w:spacing w:line="360" w:lineRule="auto"/>
        <w:ind w:firstLine="3600" w:firstLineChars="1500"/>
        <w:rPr>
          <w:color w:val="auto"/>
          <w:highlight w:val="none"/>
        </w:rPr>
      </w:pPr>
      <w:r>
        <w:rPr>
          <w:rFonts w:hint="eastAsia"/>
          <w:color w:val="auto"/>
          <w:highlight w:val="none"/>
        </w:rPr>
        <w:t>日    期：</w:t>
      </w:r>
      <w:r>
        <w:rPr>
          <w:rFonts w:hint="eastAsia"/>
          <w:color w:val="auto"/>
          <w:highlight w:val="none"/>
          <w:u w:val="single"/>
        </w:rPr>
        <w:t xml:space="preserve">   </w:t>
      </w:r>
      <w:r>
        <w:rPr>
          <w:rFonts w:hint="eastAsia"/>
          <w:color w:val="auto"/>
          <w:highlight w:val="none"/>
        </w:rPr>
        <w:t>年</w:t>
      </w:r>
      <w:r>
        <w:rPr>
          <w:rFonts w:hint="eastAsia"/>
          <w:color w:val="auto"/>
          <w:highlight w:val="none"/>
          <w:u w:val="single"/>
        </w:rPr>
        <w:t xml:space="preserve">   </w:t>
      </w:r>
      <w:r>
        <w:rPr>
          <w:rFonts w:hint="eastAsia"/>
          <w:color w:val="auto"/>
          <w:highlight w:val="none"/>
        </w:rPr>
        <w:t>月</w:t>
      </w:r>
      <w:r>
        <w:rPr>
          <w:rFonts w:hint="eastAsia"/>
          <w:color w:val="auto"/>
          <w:highlight w:val="none"/>
          <w:u w:val="single"/>
        </w:rPr>
        <w:t xml:space="preserve">   </w:t>
      </w:r>
      <w:r>
        <w:rPr>
          <w:rFonts w:hint="eastAsia"/>
          <w:color w:val="auto"/>
          <w:highlight w:val="none"/>
        </w:rPr>
        <w:t>日</w:t>
      </w:r>
    </w:p>
    <w:p>
      <w:pPr>
        <w:pStyle w:val="11"/>
        <w:rPr>
          <w:color w:val="auto"/>
          <w:highlight w:val="none"/>
        </w:rPr>
      </w:pPr>
    </w:p>
    <w:p>
      <w:pPr>
        <w:rPr>
          <w:color w:val="auto"/>
          <w:highlight w:val="none"/>
        </w:rPr>
      </w:pPr>
      <w:r>
        <w:rPr>
          <w:rFonts w:hint="eastAsia"/>
          <w:color w:val="auto"/>
          <w:highlight w:val="none"/>
        </w:rPr>
        <w:br w:type="page"/>
      </w:r>
    </w:p>
    <w:p>
      <w:pPr>
        <w:pStyle w:val="2"/>
        <w:rPr>
          <w:color w:val="auto"/>
          <w:highlight w:val="none"/>
        </w:rPr>
      </w:pPr>
      <w:r>
        <w:rPr>
          <w:rFonts w:hint="eastAsia"/>
          <w:color w:val="auto"/>
          <w:highlight w:val="none"/>
        </w:rPr>
        <w:t>附件3  法定代表人身份证明/法定代表人授权委托书</w:t>
      </w:r>
    </w:p>
    <w:p>
      <w:pPr>
        <w:pStyle w:val="7"/>
        <w:spacing w:before="666" w:after="666"/>
        <w:rPr>
          <w:color w:val="auto"/>
          <w:sz w:val="24"/>
          <w:highlight w:val="none"/>
        </w:rPr>
      </w:pPr>
      <w:r>
        <w:rPr>
          <w:rFonts w:hint="eastAsia"/>
          <w:color w:val="auto"/>
          <w:sz w:val="24"/>
          <w:highlight w:val="none"/>
        </w:rPr>
        <w:t>法定代表人身份证明</w:t>
      </w:r>
      <w:r>
        <w:rPr>
          <w:rStyle w:val="37"/>
          <w:rFonts w:hint="eastAsia"/>
          <w:b/>
          <w:color w:val="auto"/>
          <w:sz w:val="24"/>
          <w:highlight w:val="none"/>
        </w:rPr>
        <w:t>（格式）</w:t>
      </w:r>
    </w:p>
    <w:p>
      <w:pPr>
        <w:pStyle w:val="5"/>
        <w:ind w:firstLine="480"/>
        <w:rPr>
          <w:color w:val="auto"/>
          <w:highlight w:val="none"/>
          <w:u w:val="single"/>
        </w:rPr>
      </w:pPr>
      <w:r>
        <w:rPr>
          <w:rFonts w:hint="eastAsia"/>
          <w:color w:val="auto"/>
          <w:highlight w:val="none"/>
        </w:rPr>
        <w:t>投标人名称：</w:t>
      </w:r>
      <w:r>
        <w:rPr>
          <w:rFonts w:hint="eastAsia"/>
          <w:color w:val="auto"/>
          <w:highlight w:val="none"/>
          <w:u w:val="single"/>
        </w:rPr>
        <w:t xml:space="preserve">                                </w:t>
      </w:r>
    </w:p>
    <w:p>
      <w:pPr>
        <w:pStyle w:val="5"/>
        <w:ind w:firstLine="480"/>
        <w:rPr>
          <w:color w:val="auto"/>
          <w:highlight w:val="none"/>
        </w:rPr>
      </w:pPr>
      <w:r>
        <w:rPr>
          <w:rFonts w:hint="eastAsia"/>
          <w:color w:val="auto"/>
          <w:highlight w:val="none"/>
        </w:rPr>
        <w:t>统一社会信用代码：</w:t>
      </w:r>
      <w:r>
        <w:rPr>
          <w:rFonts w:hint="eastAsia"/>
          <w:color w:val="auto"/>
          <w:highlight w:val="none"/>
          <w:u w:val="single"/>
        </w:rPr>
        <w:t xml:space="preserve">                          </w:t>
      </w:r>
      <w:r>
        <w:rPr>
          <w:rFonts w:hint="eastAsia"/>
          <w:color w:val="auto"/>
          <w:highlight w:val="none"/>
        </w:rPr>
        <w:t xml:space="preserve">                             </w:t>
      </w:r>
    </w:p>
    <w:p>
      <w:pPr>
        <w:pStyle w:val="5"/>
        <w:ind w:firstLine="480"/>
        <w:rPr>
          <w:color w:val="auto"/>
          <w:highlight w:val="none"/>
        </w:rPr>
      </w:pPr>
      <w:r>
        <w:rPr>
          <w:rFonts w:hint="eastAsia"/>
          <w:color w:val="auto"/>
          <w:highlight w:val="none"/>
        </w:rPr>
        <w:t>注册地址：</w:t>
      </w:r>
      <w:r>
        <w:rPr>
          <w:rFonts w:hint="eastAsia"/>
          <w:color w:val="auto"/>
          <w:highlight w:val="none"/>
          <w:u w:val="single"/>
        </w:rPr>
        <w:t xml:space="preserve">                                 </w:t>
      </w:r>
      <w:r>
        <w:rPr>
          <w:rFonts w:hint="eastAsia"/>
          <w:color w:val="auto"/>
          <w:highlight w:val="none"/>
        </w:rPr>
        <w:t xml:space="preserve">                                     </w:t>
      </w:r>
    </w:p>
    <w:p>
      <w:pPr>
        <w:pStyle w:val="5"/>
        <w:ind w:firstLine="480"/>
        <w:rPr>
          <w:color w:val="auto"/>
          <w:highlight w:val="none"/>
        </w:rPr>
      </w:pPr>
      <w:r>
        <w:rPr>
          <w:rFonts w:hint="eastAsia"/>
          <w:color w:val="auto"/>
          <w:highlight w:val="none"/>
        </w:rPr>
        <w:t>成立时间：</w:t>
      </w:r>
      <w:r>
        <w:rPr>
          <w:rFonts w:hint="eastAsia"/>
          <w:color w:val="auto"/>
          <w:highlight w:val="none"/>
          <w:u w:val="single"/>
        </w:rPr>
        <w:t xml:space="preserve">      </w:t>
      </w:r>
      <w:r>
        <w:rPr>
          <w:rFonts w:hint="eastAsia"/>
          <w:color w:val="auto"/>
          <w:highlight w:val="none"/>
        </w:rPr>
        <w:t>年</w:t>
      </w:r>
      <w:r>
        <w:rPr>
          <w:rFonts w:hint="eastAsia"/>
          <w:color w:val="auto"/>
          <w:highlight w:val="none"/>
          <w:u w:val="single"/>
        </w:rPr>
        <w:t xml:space="preserve">      </w:t>
      </w:r>
      <w:r>
        <w:rPr>
          <w:rFonts w:hint="eastAsia"/>
          <w:color w:val="auto"/>
          <w:highlight w:val="none"/>
        </w:rPr>
        <w:t>月</w:t>
      </w:r>
      <w:r>
        <w:rPr>
          <w:rFonts w:hint="eastAsia"/>
          <w:color w:val="auto"/>
          <w:highlight w:val="none"/>
          <w:u w:val="single"/>
        </w:rPr>
        <w:t xml:space="preserve">      </w:t>
      </w:r>
      <w:r>
        <w:rPr>
          <w:rFonts w:hint="eastAsia"/>
          <w:color w:val="auto"/>
          <w:highlight w:val="none"/>
        </w:rPr>
        <w:t>日</w:t>
      </w:r>
    </w:p>
    <w:p>
      <w:pPr>
        <w:pStyle w:val="5"/>
        <w:ind w:firstLine="480"/>
        <w:rPr>
          <w:color w:val="auto"/>
          <w:highlight w:val="none"/>
        </w:rPr>
      </w:pPr>
      <w:r>
        <w:rPr>
          <w:rFonts w:hint="eastAsia"/>
          <w:color w:val="auto"/>
          <w:highlight w:val="none"/>
        </w:rPr>
        <w:t>经营期限：</w:t>
      </w:r>
      <w:r>
        <w:rPr>
          <w:rFonts w:hint="eastAsia"/>
          <w:color w:val="auto"/>
          <w:highlight w:val="none"/>
          <w:u w:val="single"/>
        </w:rPr>
        <w:t xml:space="preserve">                                  </w:t>
      </w:r>
      <w:r>
        <w:rPr>
          <w:rFonts w:hint="eastAsia"/>
          <w:color w:val="auto"/>
          <w:highlight w:val="none"/>
        </w:rPr>
        <w:t xml:space="preserve">                               </w:t>
      </w:r>
    </w:p>
    <w:p>
      <w:pPr>
        <w:pStyle w:val="5"/>
        <w:ind w:firstLine="480"/>
        <w:rPr>
          <w:color w:val="auto"/>
          <w:highlight w:val="none"/>
        </w:rPr>
      </w:pPr>
      <w:r>
        <w:rPr>
          <w:rFonts w:hint="eastAsia"/>
          <w:color w:val="auto"/>
          <w:highlight w:val="none"/>
        </w:rPr>
        <w:t>姓名：</w:t>
      </w:r>
      <w:r>
        <w:rPr>
          <w:rFonts w:hint="eastAsia"/>
          <w:color w:val="auto"/>
          <w:highlight w:val="none"/>
          <w:u w:val="single"/>
        </w:rPr>
        <w:t xml:space="preserve">      </w:t>
      </w:r>
      <w:r>
        <w:rPr>
          <w:rFonts w:hint="eastAsia"/>
          <w:color w:val="auto"/>
          <w:highlight w:val="none"/>
        </w:rPr>
        <w:t>性别：</w:t>
      </w:r>
      <w:r>
        <w:rPr>
          <w:rFonts w:hint="eastAsia"/>
          <w:color w:val="auto"/>
          <w:highlight w:val="none"/>
          <w:u w:val="single"/>
        </w:rPr>
        <w:t xml:space="preserve">  </w:t>
      </w:r>
      <w:r>
        <w:rPr>
          <w:rFonts w:hint="eastAsia"/>
          <w:color w:val="auto"/>
          <w:highlight w:val="none"/>
        </w:rPr>
        <w:t>年龄：</w:t>
      </w:r>
      <w:r>
        <w:rPr>
          <w:rFonts w:hint="eastAsia"/>
          <w:color w:val="auto"/>
          <w:highlight w:val="none"/>
          <w:u w:val="single"/>
        </w:rPr>
        <w:t xml:space="preserve">  </w:t>
      </w:r>
      <w:r>
        <w:rPr>
          <w:rFonts w:hint="eastAsia"/>
          <w:color w:val="auto"/>
          <w:highlight w:val="none"/>
        </w:rPr>
        <w:t>联系电话：</w:t>
      </w:r>
      <w:r>
        <w:rPr>
          <w:rFonts w:hint="eastAsia"/>
          <w:color w:val="auto"/>
          <w:highlight w:val="none"/>
          <w:u w:val="single"/>
        </w:rPr>
        <w:t xml:space="preserve">           </w:t>
      </w:r>
      <w:r>
        <w:rPr>
          <w:rFonts w:hint="eastAsia"/>
          <w:color w:val="auto"/>
          <w:highlight w:val="none"/>
        </w:rPr>
        <w:t>系</w:t>
      </w:r>
      <w:r>
        <w:rPr>
          <w:rFonts w:hint="eastAsia"/>
          <w:color w:val="auto"/>
          <w:highlight w:val="none"/>
          <w:u w:val="single"/>
        </w:rPr>
        <w:t xml:space="preserve">           （投标人名称）</w:t>
      </w:r>
      <w:r>
        <w:rPr>
          <w:rFonts w:hint="eastAsia"/>
          <w:color w:val="auto"/>
          <w:highlight w:val="none"/>
        </w:rPr>
        <w:t>的法定代表人。</w:t>
      </w:r>
    </w:p>
    <w:p>
      <w:pPr>
        <w:pStyle w:val="5"/>
        <w:ind w:firstLine="480"/>
        <w:rPr>
          <w:color w:val="auto"/>
          <w:highlight w:val="none"/>
        </w:rPr>
      </w:pPr>
      <w:r>
        <w:rPr>
          <w:rFonts w:hint="eastAsia"/>
          <w:color w:val="auto"/>
          <w:highlight w:val="none"/>
        </w:rPr>
        <w:t>特此证明。</w:t>
      </w:r>
    </w:p>
    <w:p>
      <w:pPr>
        <w:pStyle w:val="5"/>
        <w:ind w:firstLine="480"/>
        <w:rPr>
          <w:color w:val="auto"/>
          <w:highlight w:val="none"/>
        </w:rPr>
      </w:pPr>
      <w:r>
        <w:rPr>
          <w:rFonts w:hint="eastAsia"/>
          <w:color w:val="auto"/>
          <w:highlight w:val="none"/>
        </w:rPr>
        <w:t>附：法定代表人身份证复印件</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3" w:hRule="atLeast"/>
        </w:trPr>
        <w:tc>
          <w:tcPr>
            <w:tcW w:w="8947" w:type="dxa"/>
            <w:vAlign w:val="center"/>
          </w:tcPr>
          <w:p>
            <w:pPr>
              <w:pStyle w:val="30"/>
              <w:rPr>
                <w:color w:val="auto"/>
                <w:highlight w:val="none"/>
              </w:rPr>
            </w:pPr>
            <w:r>
              <w:rPr>
                <w:rFonts w:hint="eastAsia"/>
                <w:color w:val="auto"/>
                <w:highlight w:val="none"/>
              </w:rPr>
              <w:t>法人身份证复印件</w:t>
            </w:r>
          </w:p>
          <w:p>
            <w:pPr>
              <w:pStyle w:val="30"/>
              <w:rPr>
                <w:color w:val="auto"/>
                <w:szCs w:val="24"/>
                <w:highlight w:val="none"/>
              </w:rPr>
            </w:pPr>
            <w:r>
              <w:rPr>
                <w:rFonts w:hint="eastAsia"/>
                <w:color w:val="auto"/>
                <w:highlight w:val="none"/>
              </w:rPr>
              <w:t>正、反面</w:t>
            </w:r>
          </w:p>
        </w:tc>
      </w:tr>
    </w:tbl>
    <w:p>
      <w:pPr>
        <w:tabs>
          <w:tab w:val="left" w:pos="8820"/>
        </w:tabs>
        <w:spacing w:line="336" w:lineRule="auto"/>
        <w:jc w:val="center"/>
        <w:rPr>
          <w:rFonts w:hAnsi="宋体" w:cs="宋体"/>
          <w:b/>
          <w:bCs/>
          <w:color w:val="auto"/>
          <w:szCs w:val="24"/>
          <w:highlight w:val="none"/>
        </w:rPr>
      </w:pPr>
    </w:p>
    <w:p>
      <w:pPr>
        <w:pStyle w:val="5"/>
        <w:ind w:firstLine="3600" w:firstLineChars="1500"/>
        <w:rPr>
          <w:color w:val="auto"/>
          <w:highlight w:val="none"/>
        </w:rPr>
      </w:pPr>
      <w:r>
        <w:rPr>
          <w:rFonts w:hint="eastAsia"/>
          <w:color w:val="auto"/>
          <w:highlight w:val="none"/>
        </w:rPr>
        <w:t>投标人名称：</w:t>
      </w:r>
      <w:r>
        <w:rPr>
          <w:rFonts w:hint="eastAsia"/>
          <w:color w:val="auto"/>
          <w:highlight w:val="none"/>
          <w:u w:val="single"/>
        </w:rPr>
        <w:t xml:space="preserve">                   </w:t>
      </w:r>
      <w:r>
        <w:rPr>
          <w:rFonts w:hint="eastAsia"/>
          <w:color w:val="auto"/>
          <w:highlight w:val="none"/>
        </w:rPr>
        <w:t>（盖单位公章）</w:t>
      </w:r>
    </w:p>
    <w:p>
      <w:pPr>
        <w:pStyle w:val="5"/>
        <w:ind w:firstLine="0" w:firstLineChars="0"/>
        <w:rPr>
          <w:color w:val="auto"/>
          <w:highlight w:val="none"/>
        </w:rPr>
      </w:pPr>
    </w:p>
    <w:p>
      <w:pPr>
        <w:pStyle w:val="5"/>
        <w:ind w:firstLine="3600" w:firstLineChars="1500"/>
        <w:rPr>
          <w:color w:val="auto"/>
          <w:highlight w:val="none"/>
        </w:rPr>
      </w:pPr>
      <w:r>
        <w:rPr>
          <w:rFonts w:hint="eastAsia"/>
          <w:color w:val="auto"/>
          <w:highlight w:val="none"/>
        </w:rPr>
        <w:t>法定代表人：</w:t>
      </w:r>
      <w:r>
        <w:rPr>
          <w:rFonts w:hint="eastAsia"/>
          <w:color w:val="auto"/>
          <w:highlight w:val="none"/>
          <w:u w:val="single"/>
        </w:rPr>
        <w:t xml:space="preserve">         </w:t>
      </w:r>
      <w:r>
        <w:rPr>
          <w:rFonts w:hint="eastAsia"/>
          <w:color w:val="auto"/>
          <w:highlight w:val="none"/>
        </w:rPr>
        <w:t>（签字或盖章）</w:t>
      </w:r>
    </w:p>
    <w:p>
      <w:pPr>
        <w:pStyle w:val="5"/>
        <w:ind w:firstLine="0" w:firstLineChars="0"/>
        <w:rPr>
          <w:color w:val="auto"/>
          <w:highlight w:val="none"/>
        </w:rPr>
      </w:pPr>
    </w:p>
    <w:p>
      <w:pPr>
        <w:wordWrap w:val="0"/>
        <w:spacing w:line="336" w:lineRule="auto"/>
        <w:ind w:right="-159" w:firstLine="3600" w:firstLineChars="1500"/>
        <w:rPr>
          <w:rFonts w:hAnsi="宋体" w:cs="宋体"/>
          <w:color w:val="auto"/>
          <w:szCs w:val="24"/>
          <w:highlight w:val="none"/>
          <w:u w:val="single"/>
        </w:rPr>
      </w:pPr>
      <w:r>
        <w:rPr>
          <w:rFonts w:hint="eastAsia"/>
          <w:color w:val="auto"/>
          <w:highlight w:val="none"/>
        </w:rPr>
        <w:t>日    期：</w:t>
      </w:r>
      <w:r>
        <w:rPr>
          <w:rFonts w:hint="eastAsia"/>
          <w:color w:val="auto"/>
          <w:highlight w:val="none"/>
          <w:u w:val="single"/>
        </w:rPr>
        <w:t xml:space="preserve">   </w:t>
      </w:r>
      <w:r>
        <w:rPr>
          <w:rFonts w:hint="eastAsia"/>
          <w:color w:val="auto"/>
          <w:highlight w:val="none"/>
        </w:rPr>
        <w:t>年</w:t>
      </w:r>
      <w:r>
        <w:rPr>
          <w:rFonts w:hint="eastAsia"/>
          <w:color w:val="auto"/>
          <w:highlight w:val="none"/>
          <w:u w:val="single"/>
        </w:rPr>
        <w:t xml:space="preserve">   </w:t>
      </w:r>
      <w:r>
        <w:rPr>
          <w:rFonts w:hint="eastAsia"/>
          <w:color w:val="auto"/>
          <w:highlight w:val="none"/>
        </w:rPr>
        <w:t>月</w:t>
      </w:r>
      <w:r>
        <w:rPr>
          <w:rFonts w:hint="eastAsia"/>
          <w:color w:val="auto"/>
          <w:highlight w:val="none"/>
          <w:u w:val="single"/>
        </w:rPr>
        <w:t xml:space="preserve">   </w:t>
      </w:r>
      <w:r>
        <w:rPr>
          <w:rFonts w:hint="eastAsia"/>
          <w:color w:val="auto"/>
          <w:highlight w:val="none"/>
        </w:rPr>
        <w:t>日</w:t>
      </w:r>
    </w:p>
    <w:p>
      <w:pPr>
        <w:rPr>
          <w:rStyle w:val="37"/>
          <w:color w:val="auto"/>
          <w:highlight w:val="none"/>
        </w:rPr>
      </w:pPr>
      <w:r>
        <w:rPr>
          <w:rStyle w:val="37"/>
          <w:rFonts w:hint="eastAsia"/>
          <w:color w:val="auto"/>
          <w:highlight w:val="none"/>
        </w:rPr>
        <w:br w:type="page"/>
      </w:r>
    </w:p>
    <w:p>
      <w:pPr>
        <w:pStyle w:val="7"/>
        <w:spacing w:before="666" w:after="666"/>
        <w:rPr>
          <w:color w:val="auto"/>
          <w:highlight w:val="none"/>
        </w:rPr>
      </w:pPr>
      <w:r>
        <w:rPr>
          <w:rFonts w:hint="eastAsia"/>
          <w:color w:val="auto"/>
          <w:highlight w:val="none"/>
        </w:rPr>
        <w:t>法定代表人授权委托书（格式）</w:t>
      </w:r>
    </w:p>
    <w:p>
      <w:pPr>
        <w:tabs>
          <w:tab w:val="left" w:pos="8820"/>
        </w:tabs>
        <w:spacing w:line="336" w:lineRule="auto"/>
        <w:ind w:firstLine="570"/>
        <w:rPr>
          <w:rFonts w:hAnsi="宋体" w:cs="宋体"/>
          <w:color w:val="auto"/>
          <w:szCs w:val="24"/>
          <w:highlight w:val="none"/>
        </w:rPr>
      </w:pPr>
    </w:p>
    <w:p>
      <w:pPr>
        <w:pStyle w:val="5"/>
        <w:ind w:firstLine="480"/>
        <w:rPr>
          <w:color w:val="auto"/>
          <w:highlight w:val="none"/>
        </w:rPr>
      </w:pPr>
      <w:r>
        <w:rPr>
          <w:rFonts w:hint="eastAsia"/>
          <w:color w:val="auto"/>
          <w:highlight w:val="none"/>
        </w:rPr>
        <w:t>本授权委托书声明：我</w:t>
      </w:r>
      <w:r>
        <w:rPr>
          <w:rFonts w:hint="eastAsia"/>
          <w:color w:val="auto"/>
          <w:highlight w:val="none"/>
          <w:u w:val="single"/>
        </w:rPr>
        <w:t>（法定代表人姓名）</w:t>
      </w:r>
      <w:r>
        <w:rPr>
          <w:rFonts w:hint="eastAsia"/>
          <w:color w:val="auto"/>
          <w:highlight w:val="none"/>
        </w:rPr>
        <w:t>系注册于</w:t>
      </w:r>
      <w:r>
        <w:rPr>
          <w:rFonts w:hint="eastAsia"/>
          <w:color w:val="auto"/>
          <w:highlight w:val="none"/>
          <w:u w:val="single"/>
        </w:rPr>
        <w:t xml:space="preserve">  （投标人地址）</w:t>
      </w:r>
      <w:r>
        <w:rPr>
          <w:rFonts w:hint="eastAsia"/>
          <w:color w:val="auto"/>
          <w:highlight w:val="none"/>
        </w:rPr>
        <w:t>的</w:t>
      </w:r>
      <w:r>
        <w:rPr>
          <w:rFonts w:hint="eastAsia"/>
          <w:color w:val="auto"/>
          <w:highlight w:val="none"/>
          <w:u w:val="single"/>
        </w:rPr>
        <w:t xml:space="preserve">（投标人名称）  </w:t>
      </w:r>
      <w:r>
        <w:rPr>
          <w:rFonts w:hint="eastAsia"/>
          <w:color w:val="auto"/>
          <w:highlight w:val="none"/>
        </w:rPr>
        <w:t>的法定代表人，现代表公司授权下面签字的</w:t>
      </w:r>
      <w:r>
        <w:rPr>
          <w:rFonts w:hint="eastAsia"/>
          <w:color w:val="auto"/>
          <w:highlight w:val="none"/>
          <w:u w:val="single"/>
        </w:rPr>
        <w:t>（被授权人的姓名、职务）</w:t>
      </w:r>
      <w:r>
        <w:rPr>
          <w:rFonts w:hint="eastAsia"/>
          <w:color w:val="auto"/>
          <w:highlight w:val="none"/>
        </w:rPr>
        <w:t>为我公司合法代理人，代表本公司参加</w:t>
      </w:r>
      <w:r>
        <w:rPr>
          <w:rFonts w:hint="eastAsia"/>
          <w:color w:val="auto"/>
          <w:highlight w:val="none"/>
          <w:u w:val="single"/>
        </w:rPr>
        <w:t xml:space="preserve">  （项目名称） </w:t>
      </w:r>
      <w:r>
        <w:rPr>
          <w:rFonts w:hint="eastAsia"/>
          <w:color w:val="auto"/>
          <w:highlight w:val="none"/>
        </w:rPr>
        <w:t>项目编号为</w:t>
      </w:r>
      <w:r>
        <w:rPr>
          <w:rFonts w:hint="eastAsia"/>
          <w:color w:val="auto"/>
          <w:highlight w:val="none"/>
          <w:u w:val="single"/>
        </w:rPr>
        <w:t xml:space="preserve"> </w:t>
      </w:r>
      <w:r>
        <w:rPr>
          <w:rFonts w:hint="eastAsia"/>
          <w:color w:val="auto"/>
          <w:highlight w:val="none"/>
          <w:u w:val="single"/>
          <w:lang w:val="en-US" w:eastAsia="zh-CN"/>
        </w:rPr>
        <w:t xml:space="preserve">    </w:t>
      </w:r>
      <w:r>
        <w:rPr>
          <w:rFonts w:hint="eastAsia"/>
          <w:color w:val="auto"/>
          <w:highlight w:val="none"/>
          <w:u w:val="single"/>
        </w:rPr>
        <w:t xml:space="preserve"> </w:t>
      </w:r>
      <w:r>
        <w:rPr>
          <w:rFonts w:hint="eastAsia"/>
          <w:color w:val="auto"/>
          <w:highlight w:val="none"/>
          <w:u w:val="none"/>
          <w:lang w:val="en-US" w:eastAsia="zh-CN"/>
        </w:rPr>
        <w:t>包</w:t>
      </w:r>
      <w:r>
        <w:rPr>
          <w:rFonts w:hint="eastAsia"/>
          <w:color w:val="auto"/>
          <w:highlight w:val="none"/>
        </w:rPr>
        <w:t>号为</w:t>
      </w:r>
      <w:r>
        <w:rPr>
          <w:rFonts w:hint="eastAsia"/>
          <w:color w:val="auto"/>
          <w:highlight w:val="none"/>
          <w:u w:val="single"/>
        </w:rPr>
        <w:t xml:space="preserve">     </w:t>
      </w:r>
      <w:r>
        <w:rPr>
          <w:rFonts w:hint="eastAsia"/>
          <w:color w:val="auto"/>
          <w:highlight w:val="none"/>
        </w:rPr>
        <w:t>的投标活动。代理人在本次投标中所签署的一切文件和处理的一切有关事物，我公司均予承认。</w:t>
      </w:r>
    </w:p>
    <w:tbl>
      <w:tblPr>
        <w:tblStyle w:val="20"/>
        <w:tblW w:w="9019" w:type="dxa"/>
        <w:tblInd w:w="0" w:type="dxa"/>
        <w:tblLayout w:type="fixed"/>
        <w:tblCellMar>
          <w:top w:w="0" w:type="dxa"/>
          <w:left w:w="108" w:type="dxa"/>
          <w:bottom w:w="0" w:type="dxa"/>
          <w:right w:w="108" w:type="dxa"/>
        </w:tblCellMar>
      </w:tblPr>
      <w:tblGrid>
        <w:gridCol w:w="4625"/>
        <w:gridCol w:w="4394"/>
      </w:tblGrid>
      <w:tr>
        <w:tblPrEx>
          <w:tblCellMar>
            <w:top w:w="0" w:type="dxa"/>
            <w:left w:w="108" w:type="dxa"/>
            <w:bottom w:w="0" w:type="dxa"/>
            <w:right w:w="108" w:type="dxa"/>
          </w:tblCellMar>
        </w:tblPrEx>
        <w:trPr>
          <w:trHeight w:val="585" w:hRule="atLeast"/>
        </w:trPr>
        <w:tc>
          <w:tcPr>
            <w:tcW w:w="4625" w:type="dxa"/>
            <w:vAlign w:val="center"/>
          </w:tcPr>
          <w:p>
            <w:pPr>
              <w:pStyle w:val="30"/>
              <w:jc w:val="both"/>
              <w:rPr>
                <w:color w:val="auto"/>
                <w:highlight w:val="none"/>
              </w:rPr>
            </w:pPr>
            <w:r>
              <w:rPr>
                <w:rFonts w:hint="eastAsia"/>
                <w:color w:val="auto"/>
                <w:highlight w:val="none"/>
              </w:rPr>
              <w:t>被授权人签字或盖章：</w:t>
            </w:r>
          </w:p>
        </w:tc>
        <w:tc>
          <w:tcPr>
            <w:tcW w:w="4394" w:type="dxa"/>
            <w:vAlign w:val="center"/>
          </w:tcPr>
          <w:p>
            <w:pPr>
              <w:pStyle w:val="30"/>
              <w:jc w:val="both"/>
              <w:rPr>
                <w:color w:val="auto"/>
                <w:highlight w:val="none"/>
              </w:rPr>
            </w:pPr>
            <w:r>
              <w:rPr>
                <w:rFonts w:hint="eastAsia"/>
                <w:color w:val="auto"/>
                <w:highlight w:val="none"/>
              </w:rPr>
              <w:t>法定代表人签字或盖章：</w:t>
            </w:r>
          </w:p>
        </w:tc>
      </w:tr>
      <w:tr>
        <w:tblPrEx>
          <w:tblCellMar>
            <w:top w:w="0" w:type="dxa"/>
            <w:left w:w="108" w:type="dxa"/>
            <w:bottom w:w="0" w:type="dxa"/>
            <w:right w:w="108" w:type="dxa"/>
          </w:tblCellMar>
        </w:tblPrEx>
        <w:trPr>
          <w:trHeight w:val="585" w:hRule="atLeast"/>
        </w:trPr>
        <w:tc>
          <w:tcPr>
            <w:tcW w:w="4625" w:type="dxa"/>
            <w:vAlign w:val="center"/>
          </w:tcPr>
          <w:p>
            <w:pPr>
              <w:pStyle w:val="30"/>
              <w:jc w:val="both"/>
              <w:rPr>
                <w:color w:val="auto"/>
                <w:highlight w:val="none"/>
              </w:rPr>
            </w:pPr>
            <w:r>
              <w:rPr>
                <w:rFonts w:hint="eastAsia"/>
                <w:color w:val="auto"/>
                <w:highlight w:val="none"/>
              </w:rPr>
              <w:t>职务：</w:t>
            </w:r>
          </w:p>
        </w:tc>
        <w:tc>
          <w:tcPr>
            <w:tcW w:w="4394" w:type="dxa"/>
            <w:vAlign w:val="center"/>
          </w:tcPr>
          <w:p>
            <w:pPr>
              <w:pStyle w:val="30"/>
              <w:jc w:val="both"/>
              <w:rPr>
                <w:color w:val="auto"/>
                <w:highlight w:val="none"/>
              </w:rPr>
            </w:pPr>
            <w:r>
              <w:rPr>
                <w:rFonts w:hint="eastAsia"/>
                <w:color w:val="auto"/>
                <w:highlight w:val="none"/>
              </w:rPr>
              <w:t>职务：</w:t>
            </w:r>
          </w:p>
        </w:tc>
      </w:tr>
      <w:tr>
        <w:tblPrEx>
          <w:tblCellMar>
            <w:top w:w="0" w:type="dxa"/>
            <w:left w:w="108" w:type="dxa"/>
            <w:bottom w:w="0" w:type="dxa"/>
            <w:right w:w="108" w:type="dxa"/>
          </w:tblCellMar>
        </w:tblPrEx>
        <w:trPr>
          <w:trHeight w:val="585" w:hRule="atLeast"/>
        </w:trPr>
        <w:tc>
          <w:tcPr>
            <w:tcW w:w="4625" w:type="dxa"/>
            <w:vAlign w:val="center"/>
          </w:tcPr>
          <w:p>
            <w:pPr>
              <w:pStyle w:val="30"/>
              <w:jc w:val="both"/>
              <w:rPr>
                <w:color w:val="auto"/>
                <w:highlight w:val="none"/>
              </w:rPr>
            </w:pPr>
            <w:r>
              <w:rPr>
                <w:rFonts w:hint="eastAsia"/>
                <w:color w:val="auto"/>
                <w:highlight w:val="none"/>
              </w:rPr>
              <w:t>身份证号：</w:t>
            </w:r>
          </w:p>
        </w:tc>
        <w:tc>
          <w:tcPr>
            <w:tcW w:w="4394" w:type="dxa"/>
            <w:vAlign w:val="center"/>
          </w:tcPr>
          <w:p>
            <w:pPr>
              <w:pStyle w:val="30"/>
              <w:jc w:val="both"/>
              <w:rPr>
                <w:color w:val="auto"/>
                <w:highlight w:val="none"/>
              </w:rPr>
            </w:pPr>
            <w:r>
              <w:rPr>
                <w:rFonts w:hint="eastAsia"/>
                <w:color w:val="auto"/>
                <w:highlight w:val="none"/>
              </w:rPr>
              <w:t>身份证号：</w:t>
            </w:r>
          </w:p>
        </w:tc>
      </w:tr>
      <w:tr>
        <w:tblPrEx>
          <w:tblCellMar>
            <w:top w:w="0" w:type="dxa"/>
            <w:left w:w="108" w:type="dxa"/>
            <w:bottom w:w="0" w:type="dxa"/>
            <w:right w:w="108" w:type="dxa"/>
          </w:tblCellMar>
        </w:tblPrEx>
        <w:trPr>
          <w:trHeight w:val="585" w:hRule="atLeast"/>
        </w:trPr>
        <w:tc>
          <w:tcPr>
            <w:tcW w:w="4625" w:type="dxa"/>
            <w:vAlign w:val="center"/>
          </w:tcPr>
          <w:p>
            <w:pPr>
              <w:pStyle w:val="30"/>
              <w:jc w:val="both"/>
              <w:rPr>
                <w:color w:val="auto"/>
                <w:highlight w:val="none"/>
              </w:rPr>
            </w:pPr>
            <w:r>
              <w:rPr>
                <w:rFonts w:hint="eastAsia"/>
                <w:color w:val="auto"/>
                <w:highlight w:val="none"/>
              </w:rPr>
              <w:t>所在部门：</w:t>
            </w:r>
          </w:p>
        </w:tc>
        <w:tc>
          <w:tcPr>
            <w:tcW w:w="4394" w:type="dxa"/>
            <w:vAlign w:val="center"/>
          </w:tcPr>
          <w:p>
            <w:pPr>
              <w:pStyle w:val="30"/>
              <w:rPr>
                <w:color w:val="auto"/>
                <w:highlight w:val="none"/>
              </w:rPr>
            </w:pPr>
          </w:p>
        </w:tc>
      </w:tr>
      <w:tr>
        <w:tblPrEx>
          <w:tblCellMar>
            <w:top w:w="0" w:type="dxa"/>
            <w:left w:w="108" w:type="dxa"/>
            <w:bottom w:w="0" w:type="dxa"/>
            <w:right w:w="108" w:type="dxa"/>
          </w:tblCellMar>
        </w:tblPrEx>
        <w:trPr>
          <w:trHeight w:val="585" w:hRule="atLeast"/>
        </w:trPr>
        <w:tc>
          <w:tcPr>
            <w:tcW w:w="4625" w:type="dxa"/>
            <w:vAlign w:val="center"/>
          </w:tcPr>
          <w:p>
            <w:pPr>
              <w:pStyle w:val="30"/>
              <w:jc w:val="both"/>
              <w:rPr>
                <w:color w:val="auto"/>
                <w:highlight w:val="none"/>
              </w:rPr>
            </w:pPr>
            <w:r>
              <w:rPr>
                <w:rFonts w:hint="eastAsia"/>
                <w:color w:val="auto"/>
                <w:highlight w:val="none"/>
              </w:rPr>
              <w:t>联系电话：</w:t>
            </w:r>
          </w:p>
        </w:tc>
        <w:tc>
          <w:tcPr>
            <w:tcW w:w="4394" w:type="dxa"/>
            <w:vAlign w:val="center"/>
          </w:tcPr>
          <w:p>
            <w:pPr>
              <w:pStyle w:val="30"/>
              <w:rPr>
                <w:color w:val="auto"/>
                <w:highlight w:val="none"/>
              </w:rPr>
            </w:pPr>
          </w:p>
        </w:tc>
      </w:tr>
    </w:tbl>
    <w:p>
      <w:pPr>
        <w:pStyle w:val="11"/>
        <w:rPr>
          <w:rFonts w:ascii="宋体" w:hAnsi="宋体" w:cs="宋体"/>
          <w:color w:val="auto"/>
          <w:sz w:val="24"/>
          <w:szCs w:val="24"/>
          <w:highlight w:val="none"/>
        </w:rPr>
      </w:pPr>
    </w:p>
    <w:p>
      <w:pPr>
        <w:spacing w:line="336" w:lineRule="auto"/>
        <w:ind w:firstLine="480" w:firstLineChars="200"/>
        <w:rPr>
          <w:rFonts w:hAnsi="宋体" w:cs="宋体"/>
          <w:color w:val="auto"/>
          <w:szCs w:val="24"/>
          <w:highlight w:val="none"/>
        </w:rPr>
      </w:pPr>
      <w:r>
        <w:rPr>
          <w:rStyle w:val="40"/>
          <w:rFonts w:hint="eastAsia"/>
          <w:color w:val="auto"/>
          <w:highlight w:val="none"/>
        </w:rPr>
        <w:t>本授权书有效期自</w:t>
      </w:r>
      <w:r>
        <w:rPr>
          <w:rStyle w:val="40"/>
          <w:rFonts w:hint="eastAsia"/>
          <w:color w:val="auto"/>
          <w:highlight w:val="none"/>
          <w:lang w:eastAsia="zh-CN"/>
        </w:rPr>
        <w:t>投标文件</w:t>
      </w:r>
      <w:r>
        <w:rPr>
          <w:rStyle w:val="40"/>
          <w:rFonts w:hint="eastAsia"/>
          <w:color w:val="auto"/>
          <w:highlight w:val="none"/>
        </w:rPr>
        <w:t>递交截止之日起</w:t>
      </w:r>
      <w:r>
        <w:rPr>
          <w:rStyle w:val="40"/>
          <w:rFonts w:hint="eastAsia"/>
          <w:color w:val="auto"/>
          <w:highlight w:val="none"/>
          <w:u w:val="single"/>
        </w:rPr>
        <w:t xml:space="preserve">   </w:t>
      </w:r>
      <w:r>
        <w:rPr>
          <w:rStyle w:val="40"/>
          <w:rFonts w:hint="eastAsia"/>
          <w:color w:val="auto"/>
          <w:highlight w:val="none"/>
        </w:rPr>
        <w:t xml:space="preserve">天，特此声明。 </w:t>
      </w:r>
      <w:r>
        <w:rPr>
          <w:rFonts w:hint="eastAsia" w:hAnsi="宋体" w:cs="宋体"/>
          <w:color w:val="auto"/>
          <w:szCs w:val="24"/>
          <w:highlight w:val="none"/>
        </w:rPr>
        <w:t xml:space="preserve">                         </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73"/>
        <w:gridCol w:w="4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2" w:hRule="atLeast"/>
        </w:trPr>
        <w:tc>
          <w:tcPr>
            <w:tcW w:w="4473" w:type="dxa"/>
            <w:vAlign w:val="center"/>
          </w:tcPr>
          <w:p>
            <w:pPr>
              <w:pStyle w:val="30"/>
              <w:rPr>
                <w:color w:val="auto"/>
                <w:highlight w:val="none"/>
              </w:rPr>
            </w:pPr>
            <w:r>
              <w:rPr>
                <w:rFonts w:hint="eastAsia"/>
                <w:color w:val="auto"/>
                <w:highlight w:val="none"/>
              </w:rPr>
              <w:t>法人身份证复印件</w:t>
            </w:r>
          </w:p>
          <w:p>
            <w:pPr>
              <w:pStyle w:val="30"/>
              <w:rPr>
                <w:color w:val="auto"/>
                <w:highlight w:val="none"/>
              </w:rPr>
            </w:pPr>
            <w:r>
              <w:rPr>
                <w:rFonts w:hint="eastAsia"/>
                <w:color w:val="auto"/>
                <w:highlight w:val="none"/>
              </w:rPr>
              <w:t>正、反面</w:t>
            </w:r>
          </w:p>
        </w:tc>
        <w:tc>
          <w:tcPr>
            <w:tcW w:w="4474" w:type="dxa"/>
            <w:vAlign w:val="center"/>
          </w:tcPr>
          <w:p>
            <w:pPr>
              <w:pStyle w:val="30"/>
              <w:rPr>
                <w:color w:val="auto"/>
                <w:highlight w:val="none"/>
              </w:rPr>
            </w:pPr>
            <w:r>
              <w:rPr>
                <w:rFonts w:hint="eastAsia"/>
                <w:color w:val="auto"/>
                <w:highlight w:val="none"/>
              </w:rPr>
              <w:t>被授权人身份证复印件</w:t>
            </w:r>
          </w:p>
          <w:p>
            <w:pPr>
              <w:pStyle w:val="30"/>
              <w:rPr>
                <w:color w:val="auto"/>
                <w:highlight w:val="none"/>
              </w:rPr>
            </w:pPr>
            <w:r>
              <w:rPr>
                <w:rFonts w:hint="eastAsia"/>
                <w:color w:val="auto"/>
                <w:highlight w:val="none"/>
              </w:rPr>
              <w:t>正、反面</w:t>
            </w:r>
          </w:p>
          <w:p>
            <w:pPr>
              <w:pStyle w:val="30"/>
              <w:rPr>
                <w:color w:val="auto"/>
                <w:highlight w:val="none"/>
              </w:rPr>
            </w:pPr>
          </w:p>
        </w:tc>
      </w:tr>
    </w:tbl>
    <w:p>
      <w:pPr>
        <w:pStyle w:val="11"/>
        <w:rPr>
          <w:rFonts w:ascii="宋体" w:hAnsi="宋体" w:cs="宋体"/>
          <w:color w:val="auto"/>
          <w:sz w:val="24"/>
          <w:szCs w:val="24"/>
          <w:highlight w:val="none"/>
        </w:rPr>
      </w:pPr>
    </w:p>
    <w:p>
      <w:pPr>
        <w:pStyle w:val="5"/>
        <w:ind w:firstLine="3600" w:firstLineChars="1500"/>
        <w:rPr>
          <w:color w:val="auto"/>
          <w:highlight w:val="none"/>
        </w:rPr>
      </w:pPr>
      <w:r>
        <w:rPr>
          <w:rFonts w:hint="eastAsia"/>
          <w:color w:val="auto"/>
          <w:highlight w:val="none"/>
        </w:rPr>
        <w:t>投标人名称：</w:t>
      </w:r>
      <w:r>
        <w:rPr>
          <w:rFonts w:hint="eastAsia"/>
          <w:color w:val="auto"/>
          <w:highlight w:val="none"/>
          <w:u w:val="single"/>
        </w:rPr>
        <w:t xml:space="preserve">                   </w:t>
      </w:r>
      <w:r>
        <w:rPr>
          <w:rFonts w:hint="eastAsia"/>
          <w:color w:val="auto"/>
          <w:highlight w:val="none"/>
        </w:rPr>
        <w:t>（盖单位公章）</w:t>
      </w:r>
    </w:p>
    <w:p>
      <w:pPr>
        <w:pStyle w:val="5"/>
        <w:ind w:firstLine="0" w:firstLineChars="0"/>
        <w:rPr>
          <w:color w:val="auto"/>
          <w:highlight w:val="none"/>
        </w:rPr>
      </w:pPr>
    </w:p>
    <w:p>
      <w:pPr>
        <w:pStyle w:val="5"/>
        <w:ind w:firstLine="3600" w:firstLineChars="1500"/>
        <w:rPr>
          <w:color w:val="auto"/>
          <w:highlight w:val="none"/>
        </w:rPr>
      </w:pPr>
      <w:r>
        <w:rPr>
          <w:rFonts w:hint="eastAsia"/>
          <w:color w:val="auto"/>
          <w:highlight w:val="none"/>
        </w:rPr>
        <w:t>法定代表人：</w:t>
      </w:r>
      <w:r>
        <w:rPr>
          <w:rFonts w:hint="eastAsia"/>
          <w:color w:val="auto"/>
          <w:highlight w:val="none"/>
          <w:u w:val="single"/>
        </w:rPr>
        <w:t xml:space="preserve">         </w:t>
      </w:r>
      <w:r>
        <w:rPr>
          <w:rFonts w:hint="eastAsia"/>
          <w:color w:val="auto"/>
          <w:highlight w:val="none"/>
        </w:rPr>
        <w:t>（签字或盖章）</w:t>
      </w:r>
    </w:p>
    <w:p>
      <w:pPr>
        <w:pStyle w:val="5"/>
        <w:ind w:firstLine="0" w:firstLineChars="0"/>
        <w:rPr>
          <w:color w:val="auto"/>
          <w:highlight w:val="none"/>
        </w:rPr>
      </w:pPr>
    </w:p>
    <w:p>
      <w:pPr>
        <w:wordWrap w:val="0"/>
        <w:spacing w:line="336" w:lineRule="auto"/>
        <w:ind w:firstLine="3600" w:firstLineChars="1500"/>
        <w:rPr>
          <w:rFonts w:hAnsi="宋体" w:cs="宋体"/>
          <w:color w:val="auto"/>
          <w:szCs w:val="24"/>
          <w:highlight w:val="none"/>
        </w:rPr>
      </w:pPr>
      <w:r>
        <w:rPr>
          <w:rFonts w:hint="eastAsia"/>
          <w:color w:val="auto"/>
          <w:highlight w:val="none"/>
        </w:rPr>
        <w:t>日    期：</w:t>
      </w:r>
      <w:r>
        <w:rPr>
          <w:rFonts w:hint="eastAsia"/>
          <w:color w:val="auto"/>
          <w:highlight w:val="none"/>
          <w:u w:val="single"/>
        </w:rPr>
        <w:t xml:space="preserve">   </w:t>
      </w:r>
      <w:r>
        <w:rPr>
          <w:rFonts w:hint="eastAsia"/>
          <w:color w:val="auto"/>
          <w:highlight w:val="none"/>
        </w:rPr>
        <w:t>年</w:t>
      </w:r>
      <w:r>
        <w:rPr>
          <w:rFonts w:hint="eastAsia"/>
          <w:color w:val="auto"/>
          <w:highlight w:val="none"/>
          <w:u w:val="single"/>
        </w:rPr>
        <w:t xml:space="preserve">   </w:t>
      </w:r>
      <w:r>
        <w:rPr>
          <w:rFonts w:hint="eastAsia"/>
          <w:color w:val="auto"/>
          <w:highlight w:val="none"/>
        </w:rPr>
        <w:t>月</w:t>
      </w:r>
      <w:r>
        <w:rPr>
          <w:rFonts w:hint="eastAsia"/>
          <w:color w:val="auto"/>
          <w:highlight w:val="none"/>
          <w:u w:val="single"/>
        </w:rPr>
        <w:t xml:space="preserve">   </w:t>
      </w:r>
      <w:r>
        <w:rPr>
          <w:rFonts w:hint="eastAsia"/>
          <w:color w:val="auto"/>
          <w:highlight w:val="none"/>
        </w:rPr>
        <w:t>日</w:t>
      </w:r>
    </w:p>
    <w:p>
      <w:pPr>
        <w:spacing w:line="336" w:lineRule="auto"/>
        <w:rPr>
          <w:rFonts w:hAnsi="宋体" w:cs="宋体"/>
          <w:b/>
          <w:bCs/>
          <w:color w:val="auto"/>
          <w:szCs w:val="24"/>
          <w:highlight w:val="none"/>
        </w:rPr>
      </w:pPr>
      <w:r>
        <w:rPr>
          <w:rFonts w:hint="eastAsia" w:hAnsi="宋体" w:cs="宋体"/>
          <w:b/>
          <w:bCs/>
          <w:color w:val="auto"/>
          <w:szCs w:val="24"/>
          <w:highlight w:val="none"/>
        </w:rPr>
        <w:t>注：</w:t>
      </w:r>
    </w:p>
    <w:p>
      <w:pPr>
        <w:spacing w:line="336" w:lineRule="auto"/>
        <w:ind w:firstLine="480" w:firstLineChars="200"/>
        <w:rPr>
          <w:rFonts w:hAnsi="宋体" w:cs="宋体"/>
          <w:color w:val="auto"/>
          <w:szCs w:val="24"/>
          <w:highlight w:val="none"/>
        </w:rPr>
      </w:pPr>
      <w:r>
        <w:rPr>
          <w:rFonts w:hint="eastAsia" w:hAnsi="宋体" w:cs="宋体"/>
          <w:color w:val="auto"/>
          <w:szCs w:val="24"/>
          <w:highlight w:val="none"/>
        </w:rPr>
        <w:t>1.此授权书的有效期应与</w:t>
      </w:r>
      <w:r>
        <w:rPr>
          <w:rFonts w:hint="eastAsia" w:hAnsi="宋体" w:cs="宋体"/>
          <w:color w:val="auto"/>
          <w:szCs w:val="24"/>
          <w:highlight w:val="none"/>
          <w:lang w:eastAsia="zh-CN"/>
        </w:rPr>
        <w:t>投标文件</w:t>
      </w:r>
      <w:r>
        <w:rPr>
          <w:rFonts w:hint="eastAsia" w:hAnsi="宋体" w:cs="宋体"/>
          <w:color w:val="auto"/>
          <w:szCs w:val="24"/>
          <w:highlight w:val="none"/>
        </w:rPr>
        <w:t>有效期一致；</w:t>
      </w:r>
    </w:p>
    <w:p>
      <w:pPr>
        <w:ind w:firstLine="480" w:firstLineChars="200"/>
        <w:rPr>
          <w:rFonts w:hAnsi="宋体" w:cs="宋体"/>
          <w:color w:val="auto"/>
          <w:szCs w:val="24"/>
          <w:highlight w:val="none"/>
          <w:lang w:val="zh-CN"/>
        </w:rPr>
      </w:pPr>
      <w:r>
        <w:rPr>
          <w:rFonts w:hint="eastAsia" w:hAnsi="宋体" w:cs="宋体"/>
          <w:color w:val="auto"/>
          <w:szCs w:val="24"/>
          <w:highlight w:val="none"/>
        </w:rPr>
        <w:t>2.</w:t>
      </w:r>
      <w:r>
        <w:rPr>
          <w:rFonts w:hint="eastAsia" w:hAnsi="宋体" w:cs="宋体"/>
          <w:color w:val="auto"/>
          <w:szCs w:val="24"/>
          <w:highlight w:val="none"/>
          <w:lang w:val="zh-CN"/>
        </w:rPr>
        <w:t>法定代表人直接</w:t>
      </w:r>
      <w:r>
        <w:rPr>
          <w:rFonts w:hint="eastAsia" w:hAnsi="宋体" w:cs="宋体"/>
          <w:color w:val="auto"/>
          <w:szCs w:val="24"/>
          <w:highlight w:val="none"/>
        </w:rPr>
        <w:t>投标</w:t>
      </w:r>
      <w:r>
        <w:rPr>
          <w:rFonts w:hint="eastAsia" w:hAnsi="宋体" w:cs="宋体"/>
          <w:color w:val="auto"/>
          <w:szCs w:val="24"/>
          <w:highlight w:val="none"/>
          <w:lang w:val="zh-CN"/>
        </w:rPr>
        <w:t>时无需提供。</w:t>
      </w:r>
    </w:p>
    <w:p>
      <w:pPr>
        <w:rPr>
          <w:rStyle w:val="31"/>
          <w:color w:val="auto"/>
          <w:highlight w:val="none"/>
        </w:rPr>
      </w:pPr>
      <w:bookmarkStart w:id="294" w:name="_Toc363474028"/>
      <w:bookmarkStart w:id="295" w:name="_Toc4867"/>
      <w:bookmarkStart w:id="296" w:name="_Toc19075"/>
      <w:bookmarkStart w:id="297" w:name="_Toc2470"/>
      <w:bookmarkStart w:id="298" w:name="_Toc403077649"/>
      <w:bookmarkStart w:id="299" w:name="_Toc426457701"/>
      <w:bookmarkStart w:id="300" w:name="_Toc25348"/>
      <w:bookmarkStart w:id="301" w:name="_Toc16210"/>
      <w:bookmarkStart w:id="302" w:name="_Toc30210"/>
      <w:bookmarkStart w:id="303" w:name="_Toc16097"/>
    </w:p>
    <w:bookmarkEnd w:id="294"/>
    <w:bookmarkEnd w:id="295"/>
    <w:bookmarkEnd w:id="296"/>
    <w:bookmarkEnd w:id="297"/>
    <w:bookmarkEnd w:id="298"/>
    <w:bookmarkEnd w:id="299"/>
    <w:bookmarkEnd w:id="300"/>
    <w:bookmarkEnd w:id="301"/>
    <w:bookmarkEnd w:id="302"/>
    <w:bookmarkEnd w:id="303"/>
    <w:p>
      <w:pPr>
        <w:pStyle w:val="4"/>
        <w:bidi w:val="0"/>
        <w:rPr>
          <w:rStyle w:val="31"/>
          <w:b/>
          <w:bCs/>
          <w:color w:val="auto"/>
          <w:highlight w:val="none"/>
          <w:lang w:val="zh-CN"/>
        </w:rPr>
      </w:pPr>
      <w:r>
        <w:rPr>
          <w:rStyle w:val="31"/>
          <w:rFonts w:hint="eastAsia"/>
          <w:b/>
          <w:bCs/>
          <w:color w:val="auto"/>
          <w:highlight w:val="none"/>
          <w:lang w:val="en-US" w:eastAsia="zh-CN"/>
        </w:rPr>
        <w:t>六</w:t>
      </w:r>
      <w:r>
        <w:rPr>
          <w:rStyle w:val="31"/>
          <w:rFonts w:hint="eastAsia"/>
          <w:b/>
          <w:bCs/>
          <w:color w:val="auto"/>
          <w:highlight w:val="none"/>
        </w:rPr>
        <w:t>、</w:t>
      </w:r>
      <w:r>
        <w:rPr>
          <w:rStyle w:val="31"/>
          <w:rFonts w:hint="eastAsia"/>
          <w:b/>
          <w:bCs/>
          <w:color w:val="auto"/>
          <w:highlight w:val="none"/>
          <w:lang w:val="zh-CN"/>
        </w:rPr>
        <w:t>投标人承诺书</w:t>
      </w:r>
    </w:p>
    <w:p>
      <w:pPr>
        <w:pStyle w:val="7"/>
        <w:spacing w:before="666" w:after="666"/>
        <w:rPr>
          <w:color w:val="auto"/>
          <w:highlight w:val="none"/>
        </w:rPr>
      </w:pPr>
      <w:r>
        <w:rPr>
          <w:rFonts w:hint="eastAsia"/>
          <w:color w:val="auto"/>
          <w:highlight w:val="none"/>
          <w:lang w:val="en-US" w:eastAsia="zh-CN"/>
        </w:rPr>
        <w:t>6</w:t>
      </w:r>
      <w:r>
        <w:rPr>
          <w:rFonts w:hint="eastAsia"/>
          <w:color w:val="auto"/>
          <w:highlight w:val="none"/>
        </w:rPr>
        <w:t>.1陕西省政府采购投标人拒绝政府采购领域商业贿赂承诺书</w:t>
      </w:r>
    </w:p>
    <w:p>
      <w:pPr>
        <w:pStyle w:val="5"/>
        <w:ind w:firstLine="480"/>
        <w:rPr>
          <w:color w:val="auto"/>
          <w:highlight w:val="none"/>
        </w:rPr>
      </w:pPr>
      <w:r>
        <w:rPr>
          <w:rFonts w:hint="eastAsia"/>
          <w:color w:val="auto"/>
          <w:highlight w:val="none"/>
        </w:rPr>
        <w:t>为响应党中央、国务院关于治理政府采购领域商业贿赂行为的号召，我公司在此庄严承诺：</w:t>
      </w:r>
    </w:p>
    <w:p>
      <w:pPr>
        <w:pStyle w:val="5"/>
        <w:ind w:firstLine="480"/>
        <w:rPr>
          <w:color w:val="auto"/>
          <w:highlight w:val="none"/>
        </w:rPr>
      </w:pPr>
      <w:r>
        <w:rPr>
          <w:rFonts w:hint="eastAsia"/>
          <w:color w:val="auto"/>
          <w:highlight w:val="none"/>
        </w:rPr>
        <w:t>1.在参与政府采购活动中遵纪守法、诚信经营、公平竞标。</w:t>
      </w:r>
    </w:p>
    <w:p>
      <w:pPr>
        <w:pStyle w:val="5"/>
        <w:ind w:firstLine="480"/>
        <w:rPr>
          <w:color w:val="auto"/>
          <w:highlight w:val="none"/>
        </w:rPr>
      </w:pPr>
      <w:r>
        <w:rPr>
          <w:rFonts w:hint="eastAsia"/>
          <w:color w:val="auto"/>
          <w:highlight w:val="none"/>
        </w:rPr>
        <w:t>2.不向政府采购人、采购代理机构和政府采购评审专家进行任何形式的商业贿赂以谋取交易机会。</w:t>
      </w:r>
    </w:p>
    <w:p>
      <w:pPr>
        <w:pStyle w:val="5"/>
        <w:ind w:firstLine="480"/>
        <w:rPr>
          <w:color w:val="auto"/>
          <w:highlight w:val="none"/>
        </w:rPr>
      </w:pPr>
      <w:r>
        <w:rPr>
          <w:rFonts w:hint="eastAsia"/>
          <w:color w:val="auto"/>
          <w:highlight w:val="none"/>
        </w:rPr>
        <w:t>3.不向政府采购代理机构和采购人提供虚假资质文件或采用虚假应标方式参与政府采购市场竞争并谋取中标、成交。</w:t>
      </w:r>
    </w:p>
    <w:p>
      <w:pPr>
        <w:pStyle w:val="5"/>
        <w:ind w:firstLine="480"/>
        <w:rPr>
          <w:color w:val="auto"/>
          <w:highlight w:val="none"/>
        </w:rPr>
      </w:pPr>
      <w:r>
        <w:rPr>
          <w:rFonts w:hint="eastAsia"/>
          <w:color w:val="auto"/>
          <w:highlight w:val="none"/>
        </w:rPr>
        <w:t>4.不采取“围标、陪标”等商业欺诈手段获得政府采购定单。</w:t>
      </w:r>
    </w:p>
    <w:p>
      <w:pPr>
        <w:pStyle w:val="5"/>
        <w:ind w:firstLine="480"/>
        <w:rPr>
          <w:color w:val="auto"/>
          <w:highlight w:val="none"/>
        </w:rPr>
      </w:pPr>
      <w:r>
        <w:rPr>
          <w:rFonts w:hint="eastAsia"/>
          <w:color w:val="auto"/>
          <w:highlight w:val="none"/>
        </w:rPr>
        <w:t>5.不采取不正当手段诋毁、排挤其他投标人。</w:t>
      </w:r>
    </w:p>
    <w:p>
      <w:pPr>
        <w:pStyle w:val="5"/>
        <w:ind w:firstLine="480"/>
        <w:rPr>
          <w:color w:val="auto"/>
          <w:highlight w:val="none"/>
        </w:rPr>
      </w:pPr>
      <w:r>
        <w:rPr>
          <w:rFonts w:hint="eastAsia"/>
          <w:color w:val="auto"/>
          <w:highlight w:val="none"/>
        </w:rPr>
        <w:t>6.不在提供商品和服务时“偷梁换柱、以次充好”损害采购人的合法权益。</w:t>
      </w:r>
    </w:p>
    <w:p>
      <w:pPr>
        <w:pStyle w:val="5"/>
        <w:ind w:firstLine="480"/>
        <w:rPr>
          <w:color w:val="auto"/>
          <w:highlight w:val="none"/>
        </w:rPr>
      </w:pPr>
      <w:r>
        <w:rPr>
          <w:rFonts w:hint="eastAsia"/>
          <w:color w:val="auto"/>
          <w:highlight w:val="none"/>
        </w:rPr>
        <w:t>7.不与采购人、采购代理机构政府采购评审专家或其它投标人恶意串通，进行质疑和投诉，维护政府采购市场秩序。</w:t>
      </w:r>
    </w:p>
    <w:p>
      <w:pPr>
        <w:pStyle w:val="5"/>
        <w:ind w:firstLine="480"/>
        <w:rPr>
          <w:color w:val="auto"/>
          <w:highlight w:val="none"/>
        </w:rPr>
      </w:pPr>
      <w:r>
        <w:rPr>
          <w:rFonts w:hint="eastAsia"/>
          <w:color w:val="auto"/>
          <w:highlight w:val="none"/>
        </w:rPr>
        <w:t>8.尊重和接受政府采购监督管理部门的监督和政府采购代理机构招标采购要求，承担因违约行为给采购人造成的损失。</w:t>
      </w:r>
    </w:p>
    <w:p>
      <w:pPr>
        <w:pStyle w:val="5"/>
        <w:ind w:firstLine="480"/>
        <w:rPr>
          <w:color w:val="auto"/>
          <w:highlight w:val="none"/>
        </w:rPr>
      </w:pPr>
      <w:r>
        <w:rPr>
          <w:rFonts w:hint="eastAsia"/>
          <w:color w:val="auto"/>
          <w:highlight w:val="none"/>
        </w:rPr>
        <w:t>9.不发生其他有悖于政府采购公开、公平、公正和诚信原则的行为。</w:t>
      </w:r>
    </w:p>
    <w:p>
      <w:pPr>
        <w:pStyle w:val="5"/>
        <w:ind w:firstLine="0" w:firstLineChars="0"/>
        <w:rPr>
          <w:color w:val="auto"/>
          <w:highlight w:val="none"/>
        </w:rPr>
      </w:pPr>
    </w:p>
    <w:p>
      <w:pPr>
        <w:pStyle w:val="5"/>
        <w:ind w:firstLine="0" w:firstLineChars="0"/>
        <w:rPr>
          <w:color w:val="auto"/>
          <w:highlight w:val="none"/>
        </w:rPr>
      </w:pPr>
      <w:r>
        <w:rPr>
          <w:rFonts w:hint="eastAsia"/>
          <w:color w:val="auto"/>
          <w:highlight w:val="none"/>
        </w:rPr>
        <w:t>承诺单位：</w:t>
      </w:r>
      <w:r>
        <w:rPr>
          <w:rFonts w:hint="eastAsia"/>
          <w:color w:val="auto"/>
          <w:highlight w:val="none"/>
          <w:u w:val="single"/>
        </w:rPr>
        <w:t xml:space="preserve">                       </w:t>
      </w:r>
      <w:r>
        <w:rPr>
          <w:rFonts w:hint="eastAsia"/>
          <w:color w:val="auto"/>
          <w:highlight w:val="none"/>
        </w:rPr>
        <w:t>（盖章）</w:t>
      </w:r>
      <w:r>
        <w:rPr>
          <w:rFonts w:hint="eastAsia"/>
          <w:color w:val="auto"/>
          <w:highlight w:val="none"/>
        </w:rPr>
        <w:br w:type="textWrapping"/>
      </w:r>
      <w:r>
        <w:rPr>
          <w:rFonts w:hint="eastAsia"/>
          <w:color w:val="auto"/>
          <w:highlight w:val="none"/>
        </w:rPr>
        <w:t>被授权人：</w:t>
      </w:r>
      <w:r>
        <w:rPr>
          <w:rFonts w:hint="eastAsia"/>
          <w:color w:val="auto"/>
          <w:highlight w:val="none"/>
          <w:u w:val="single"/>
        </w:rPr>
        <w:t xml:space="preserve">                       </w:t>
      </w:r>
      <w:r>
        <w:rPr>
          <w:rFonts w:hint="eastAsia"/>
          <w:color w:val="auto"/>
          <w:highlight w:val="none"/>
        </w:rPr>
        <w:t>（签字）</w:t>
      </w:r>
      <w:r>
        <w:rPr>
          <w:rFonts w:hint="eastAsia"/>
          <w:color w:val="auto"/>
          <w:highlight w:val="none"/>
        </w:rPr>
        <w:br w:type="textWrapping"/>
      </w:r>
      <w:r>
        <w:rPr>
          <w:rFonts w:hint="eastAsia"/>
          <w:color w:val="auto"/>
          <w:highlight w:val="none"/>
        </w:rPr>
        <w:t>地  址：</w:t>
      </w:r>
      <w:r>
        <w:rPr>
          <w:rFonts w:hint="eastAsia"/>
          <w:color w:val="auto"/>
          <w:highlight w:val="none"/>
          <w:u w:val="single"/>
        </w:rPr>
        <w:t xml:space="preserve">                       </w:t>
      </w:r>
      <w:r>
        <w:rPr>
          <w:rFonts w:hint="eastAsia"/>
          <w:color w:val="auto"/>
          <w:highlight w:val="none"/>
        </w:rPr>
        <w:t>               </w:t>
      </w:r>
    </w:p>
    <w:p>
      <w:pPr>
        <w:widowControl/>
        <w:spacing w:line="408" w:lineRule="auto"/>
        <w:jc w:val="left"/>
        <w:rPr>
          <w:color w:val="auto"/>
          <w:highlight w:val="none"/>
        </w:rPr>
      </w:pPr>
      <w:r>
        <w:rPr>
          <w:rFonts w:hint="eastAsia" w:hAnsi="宋体" w:cs="宋体"/>
          <w:color w:val="auto"/>
          <w:highlight w:val="none"/>
        </w:rPr>
        <w:t>邮  编：</w:t>
      </w:r>
      <w:r>
        <w:rPr>
          <w:rFonts w:hint="eastAsia"/>
          <w:color w:val="auto"/>
          <w:highlight w:val="none"/>
          <w:u w:val="single"/>
        </w:rPr>
        <w:t xml:space="preserve">                       </w:t>
      </w:r>
      <w:r>
        <w:rPr>
          <w:rFonts w:hint="eastAsia" w:hAnsi="宋体" w:cs="宋体"/>
          <w:color w:val="auto"/>
          <w:highlight w:val="none"/>
          <w:u w:val="single"/>
        </w:rPr>
        <w:br w:type="textWrapping"/>
      </w:r>
      <w:r>
        <w:rPr>
          <w:rFonts w:hint="eastAsia" w:hAnsi="宋体" w:cs="宋体"/>
          <w:color w:val="auto"/>
          <w:highlight w:val="none"/>
        </w:rPr>
        <w:t>电  话：</w:t>
      </w:r>
      <w:r>
        <w:rPr>
          <w:rFonts w:hint="eastAsia"/>
          <w:color w:val="auto"/>
          <w:highlight w:val="none"/>
          <w:u w:val="single"/>
        </w:rPr>
        <w:t xml:space="preserve">                       </w:t>
      </w:r>
      <w:r>
        <w:rPr>
          <w:rFonts w:hint="eastAsia" w:hAnsi="宋体" w:cs="宋体"/>
          <w:color w:val="auto"/>
          <w:highlight w:val="none"/>
        </w:rPr>
        <w:t xml:space="preserve">                                                      </w:t>
      </w:r>
      <w:r>
        <w:rPr>
          <w:rFonts w:hint="eastAsia"/>
          <w:color w:val="auto"/>
          <w:highlight w:val="none"/>
        </w:rPr>
        <w:t>日    期：</w:t>
      </w:r>
      <w:r>
        <w:rPr>
          <w:rFonts w:hint="eastAsia"/>
          <w:color w:val="auto"/>
          <w:highlight w:val="none"/>
          <w:u w:val="single"/>
        </w:rPr>
        <w:t xml:space="preserve">   </w:t>
      </w:r>
      <w:r>
        <w:rPr>
          <w:rFonts w:hint="eastAsia"/>
          <w:color w:val="auto"/>
          <w:highlight w:val="none"/>
        </w:rPr>
        <w:t>年</w:t>
      </w:r>
      <w:r>
        <w:rPr>
          <w:rFonts w:hint="eastAsia"/>
          <w:color w:val="auto"/>
          <w:highlight w:val="none"/>
          <w:u w:val="single"/>
        </w:rPr>
        <w:t xml:space="preserve">   </w:t>
      </w:r>
      <w:r>
        <w:rPr>
          <w:rFonts w:hint="eastAsia"/>
          <w:color w:val="auto"/>
          <w:highlight w:val="none"/>
        </w:rPr>
        <w:t>月</w:t>
      </w:r>
      <w:r>
        <w:rPr>
          <w:rFonts w:hint="eastAsia"/>
          <w:color w:val="auto"/>
          <w:highlight w:val="none"/>
          <w:u w:val="single"/>
        </w:rPr>
        <w:t xml:space="preserve">   </w:t>
      </w:r>
      <w:r>
        <w:rPr>
          <w:rFonts w:hint="eastAsia"/>
          <w:color w:val="auto"/>
          <w:highlight w:val="none"/>
        </w:rPr>
        <w:t>日</w:t>
      </w:r>
    </w:p>
    <w:p>
      <w:pPr>
        <w:pStyle w:val="11"/>
        <w:rPr>
          <w:color w:val="auto"/>
          <w:highlight w:val="none"/>
        </w:rPr>
      </w:pPr>
    </w:p>
    <w:p>
      <w:pPr>
        <w:pStyle w:val="7"/>
        <w:spacing w:before="666" w:after="666"/>
        <w:rPr>
          <w:color w:val="auto"/>
          <w:highlight w:val="none"/>
          <w:lang w:val="zh-CN"/>
        </w:rPr>
      </w:pPr>
      <w:bookmarkStart w:id="304" w:name="_Toc426457715"/>
      <w:bookmarkStart w:id="305" w:name="_Toc155"/>
      <w:bookmarkStart w:id="306" w:name="_Toc20139"/>
      <w:bookmarkStart w:id="307" w:name="_Toc7550"/>
      <w:bookmarkStart w:id="308" w:name="_Toc363474034"/>
      <w:bookmarkStart w:id="309" w:name="_Toc23245"/>
      <w:bookmarkStart w:id="310" w:name="_Toc403077657"/>
      <w:bookmarkStart w:id="311" w:name="_Toc28113"/>
      <w:bookmarkStart w:id="312" w:name="_Toc8066"/>
      <w:r>
        <w:rPr>
          <w:rFonts w:hint="eastAsia"/>
          <w:color w:val="auto"/>
          <w:sz w:val="32"/>
          <w:szCs w:val="32"/>
          <w:highlight w:val="none"/>
        </w:rPr>
        <w:br w:type="page"/>
      </w:r>
      <w:bookmarkEnd w:id="304"/>
      <w:bookmarkEnd w:id="305"/>
      <w:bookmarkEnd w:id="306"/>
      <w:bookmarkEnd w:id="307"/>
      <w:bookmarkEnd w:id="308"/>
      <w:bookmarkEnd w:id="309"/>
      <w:bookmarkEnd w:id="310"/>
      <w:bookmarkEnd w:id="311"/>
      <w:bookmarkEnd w:id="312"/>
      <w:r>
        <w:rPr>
          <w:rFonts w:hint="eastAsia"/>
          <w:color w:val="auto"/>
          <w:sz w:val="30"/>
          <w:szCs w:val="30"/>
          <w:highlight w:val="none"/>
          <w:lang w:val="en-US" w:eastAsia="zh-CN"/>
        </w:rPr>
        <w:t>6</w:t>
      </w:r>
      <w:r>
        <w:rPr>
          <w:rFonts w:hint="eastAsia"/>
          <w:color w:val="auto"/>
          <w:sz w:val="30"/>
          <w:szCs w:val="30"/>
          <w:highlight w:val="none"/>
        </w:rPr>
        <w:t>.2</w:t>
      </w:r>
      <w:r>
        <w:rPr>
          <w:rFonts w:hint="eastAsia"/>
          <w:color w:val="auto"/>
          <w:sz w:val="30"/>
          <w:szCs w:val="30"/>
          <w:highlight w:val="none"/>
          <w:lang w:val="zh-CN"/>
        </w:rPr>
        <w:t xml:space="preserve"> 投标人企业关系关联承诺书</w:t>
      </w:r>
    </w:p>
    <w:p>
      <w:pPr>
        <w:pStyle w:val="5"/>
        <w:ind w:firstLine="480"/>
        <w:rPr>
          <w:color w:val="auto"/>
          <w:highlight w:val="none"/>
        </w:rPr>
      </w:pPr>
      <w:r>
        <w:rPr>
          <w:rFonts w:hint="eastAsia"/>
          <w:color w:val="auto"/>
          <w:highlight w:val="none"/>
        </w:rPr>
        <w:t>1、投标人在本项目投标中，不存在与其它投标人负责人为同一人，有控股、管理等关联关系承诺：</w:t>
      </w:r>
    </w:p>
    <w:p>
      <w:pPr>
        <w:pStyle w:val="5"/>
        <w:ind w:firstLine="480"/>
        <w:rPr>
          <w:color w:val="auto"/>
          <w:highlight w:val="none"/>
        </w:rPr>
      </w:pPr>
      <w:r>
        <w:rPr>
          <w:rFonts w:hint="eastAsia"/>
          <w:color w:val="auto"/>
          <w:highlight w:val="none"/>
        </w:rPr>
        <w:t>1.1管理关系说明：</w:t>
      </w:r>
    </w:p>
    <w:p>
      <w:pPr>
        <w:pStyle w:val="5"/>
        <w:ind w:firstLine="480"/>
        <w:rPr>
          <w:color w:val="auto"/>
          <w:highlight w:val="none"/>
        </w:rPr>
      </w:pPr>
      <w:r>
        <w:rPr>
          <w:rFonts w:hint="eastAsia"/>
          <w:color w:val="auto"/>
          <w:highlight w:val="none"/>
        </w:rPr>
        <w:t>我单位管理的具有独立法人的下属单位有：</w:t>
      </w:r>
      <w:r>
        <w:rPr>
          <w:rFonts w:hint="eastAsia"/>
          <w:color w:val="auto"/>
          <w:highlight w:val="none"/>
          <w:u w:val="single"/>
        </w:rPr>
        <w:t xml:space="preserve">                 </w:t>
      </w:r>
      <w:r>
        <w:rPr>
          <w:rFonts w:hint="eastAsia"/>
          <w:color w:val="auto"/>
          <w:highlight w:val="none"/>
        </w:rPr>
        <w:t>。</w:t>
      </w:r>
    </w:p>
    <w:p>
      <w:pPr>
        <w:pStyle w:val="5"/>
        <w:ind w:firstLine="480"/>
        <w:rPr>
          <w:color w:val="auto"/>
          <w:highlight w:val="none"/>
        </w:rPr>
      </w:pPr>
      <w:r>
        <w:rPr>
          <w:rFonts w:hint="eastAsia"/>
          <w:color w:val="auto"/>
          <w:highlight w:val="none"/>
        </w:rPr>
        <w:t>我单位的上级管理单位有</w:t>
      </w:r>
      <w:r>
        <w:rPr>
          <w:rFonts w:hint="eastAsia"/>
          <w:color w:val="auto"/>
          <w:highlight w:val="none"/>
          <w:u w:val="single"/>
        </w:rPr>
        <w:t xml:space="preserve">                 </w:t>
      </w:r>
      <w:r>
        <w:rPr>
          <w:rFonts w:hint="eastAsia"/>
          <w:color w:val="auto"/>
          <w:highlight w:val="none"/>
        </w:rPr>
        <w:t>。</w:t>
      </w:r>
    </w:p>
    <w:p>
      <w:pPr>
        <w:pStyle w:val="5"/>
        <w:ind w:firstLine="480"/>
        <w:rPr>
          <w:color w:val="auto"/>
          <w:highlight w:val="none"/>
        </w:rPr>
      </w:pPr>
      <w:r>
        <w:rPr>
          <w:rFonts w:hint="eastAsia"/>
          <w:color w:val="auto"/>
          <w:highlight w:val="none"/>
        </w:rPr>
        <w:t>1.2股权关系说明：</w:t>
      </w:r>
    </w:p>
    <w:p>
      <w:pPr>
        <w:pStyle w:val="5"/>
        <w:ind w:firstLine="480"/>
        <w:rPr>
          <w:color w:val="auto"/>
          <w:highlight w:val="none"/>
        </w:rPr>
      </w:pPr>
      <w:r>
        <w:rPr>
          <w:rFonts w:hint="eastAsia"/>
          <w:color w:val="auto"/>
          <w:highlight w:val="none"/>
        </w:rPr>
        <w:t>我单位控股的单位有</w:t>
      </w:r>
      <w:r>
        <w:rPr>
          <w:rFonts w:hint="eastAsia"/>
          <w:color w:val="auto"/>
          <w:highlight w:val="none"/>
          <w:u w:val="single"/>
        </w:rPr>
        <w:t xml:space="preserve">                 </w:t>
      </w:r>
      <w:r>
        <w:rPr>
          <w:rFonts w:hint="eastAsia"/>
          <w:color w:val="auto"/>
          <w:highlight w:val="none"/>
        </w:rPr>
        <w:t>。</w:t>
      </w:r>
    </w:p>
    <w:p>
      <w:pPr>
        <w:pStyle w:val="5"/>
        <w:ind w:firstLine="480"/>
        <w:rPr>
          <w:color w:val="auto"/>
          <w:highlight w:val="none"/>
        </w:rPr>
      </w:pPr>
      <w:r>
        <w:rPr>
          <w:rFonts w:hint="eastAsia"/>
          <w:color w:val="auto"/>
          <w:highlight w:val="none"/>
        </w:rPr>
        <w:t>我单位被</w:t>
      </w:r>
      <w:r>
        <w:rPr>
          <w:rFonts w:hint="eastAsia"/>
          <w:color w:val="auto"/>
          <w:highlight w:val="none"/>
          <w:u w:val="single"/>
        </w:rPr>
        <w:t xml:space="preserve">                 </w:t>
      </w:r>
      <w:r>
        <w:rPr>
          <w:rFonts w:hint="eastAsia"/>
          <w:color w:val="auto"/>
          <w:highlight w:val="none"/>
        </w:rPr>
        <w:t>单位控股。</w:t>
      </w:r>
    </w:p>
    <w:p>
      <w:pPr>
        <w:pStyle w:val="5"/>
        <w:ind w:firstLine="480"/>
        <w:rPr>
          <w:color w:val="auto"/>
          <w:highlight w:val="none"/>
          <w:u w:val="single"/>
        </w:rPr>
      </w:pPr>
      <w:r>
        <w:rPr>
          <w:rFonts w:hint="eastAsia"/>
          <w:color w:val="auto"/>
          <w:highlight w:val="none"/>
        </w:rPr>
        <w:t>1.3、单位负责人：</w:t>
      </w:r>
      <w:r>
        <w:rPr>
          <w:rFonts w:hint="eastAsia"/>
          <w:color w:val="auto"/>
          <w:highlight w:val="none"/>
          <w:u w:val="single"/>
        </w:rPr>
        <w:t xml:space="preserve">                 </w:t>
      </w:r>
    </w:p>
    <w:p>
      <w:pPr>
        <w:pStyle w:val="5"/>
        <w:ind w:firstLine="480"/>
        <w:rPr>
          <w:color w:val="auto"/>
          <w:highlight w:val="none"/>
        </w:rPr>
      </w:pPr>
      <w:r>
        <w:rPr>
          <w:rFonts w:hint="eastAsia"/>
          <w:color w:val="auto"/>
          <w:highlight w:val="none"/>
        </w:rPr>
        <w:t>2、</w:t>
      </w:r>
      <w:r>
        <w:rPr>
          <w:rFonts w:hint="eastAsia"/>
          <w:color w:val="auto"/>
          <w:highlight w:val="none"/>
          <w:u w:val="single"/>
        </w:rPr>
        <w:t xml:space="preserve">                 </w:t>
      </w:r>
      <w:r>
        <w:rPr>
          <w:rFonts w:hint="eastAsia"/>
          <w:color w:val="auto"/>
          <w:highlight w:val="none"/>
        </w:rPr>
        <w:t>（是或否）为采购项目提供整体设计、规范编制或者项目管理、监理、检测等服务的投标人。</w:t>
      </w:r>
    </w:p>
    <w:p>
      <w:pPr>
        <w:pStyle w:val="5"/>
        <w:ind w:firstLine="480"/>
        <w:rPr>
          <w:color w:val="auto"/>
          <w:highlight w:val="none"/>
          <w:u w:val="single"/>
        </w:rPr>
      </w:pPr>
      <w:r>
        <w:rPr>
          <w:rFonts w:hint="eastAsia"/>
          <w:color w:val="auto"/>
          <w:highlight w:val="none"/>
        </w:rPr>
        <w:t>3、其他与本项目有关的利害关系说明：</w:t>
      </w:r>
      <w:r>
        <w:rPr>
          <w:rFonts w:hint="eastAsia"/>
          <w:color w:val="auto"/>
          <w:highlight w:val="none"/>
          <w:u w:val="single"/>
        </w:rPr>
        <w:t xml:space="preserve">                 </w:t>
      </w:r>
    </w:p>
    <w:p>
      <w:pPr>
        <w:pStyle w:val="5"/>
        <w:ind w:firstLine="480"/>
        <w:rPr>
          <w:color w:val="auto"/>
          <w:highlight w:val="none"/>
          <w:u w:val="single"/>
        </w:rPr>
      </w:pPr>
    </w:p>
    <w:p>
      <w:pPr>
        <w:pStyle w:val="5"/>
        <w:ind w:firstLine="480"/>
        <w:rPr>
          <w:color w:val="auto"/>
          <w:highlight w:val="none"/>
        </w:rPr>
      </w:pPr>
      <w:r>
        <w:rPr>
          <w:rFonts w:hint="eastAsia"/>
          <w:color w:val="auto"/>
          <w:highlight w:val="none"/>
        </w:rPr>
        <w:t>我单位承诺以上说明真实有效，无虚假内容或隐瞒。</w:t>
      </w:r>
    </w:p>
    <w:p>
      <w:pPr>
        <w:spacing w:line="500" w:lineRule="exact"/>
        <w:ind w:firstLine="240" w:firstLineChars="100"/>
        <w:rPr>
          <w:rFonts w:hAnsi="宋体" w:cs="宋体"/>
          <w:color w:val="auto"/>
          <w:szCs w:val="24"/>
          <w:highlight w:val="none"/>
        </w:rPr>
      </w:pPr>
    </w:p>
    <w:p>
      <w:pPr>
        <w:pStyle w:val="11"/>
        <w:rPr>
          <w:color w:val="auto"/>
          <w:highlight w:val="none"/>
        </w:rPr>
      </w:pPr>
    </w:p>
    <w:p>
      <w:pPr>
        <w:pStyle w:val="5"/>
        <w:ind w:firstLine="3600" w:firstLineChars="1500"/>
        <w:rPr>
          <w:color w:val="auto"/>
          <w:highlight w:val="none"/>
        </w:rPr>
      </w:pPr>
      <w:r>
        <w:rPr>
          <w:rFonts w:hint="eastAsia"/>
          <w:color w:val="auto"/>
          <w:highlight w:val="none"/>
        </w:rPr>
        <w:t>投标人名称：</w:t>
      </w:r>
      <w:r>
        <w:rPr>
          <w:rFonts w:hint="eastAsia"/>
          <w:color w:val="auto"/>
          <w:highlight w:val="none"/>
          <w:u w:val="single"/>
        </w:rPr>
        <w:t xml:space="preserve">                   </w:t>
      </w:r>
      <w:r>
        <w:rPr>
          <w:rFonts w:hint="eastAsia"/>
          <w:color w:val="auto"/>
          <w:highlight w:val="none"/>
        </w:rPr>
        <w:t>（盖单位公章）</w:t>
      </w:r>
    </w:p>
    <w:p>
      <w:pPr>
        <w:pStyle w:val="5"/>
        <w:ind w:firstLine="0" w:firstLineChars="0"/>
        <w:rPr>
          <w:color w:val="auto"/>
          <w:highlight w:val="none"/>
        </w:rPr>
      </w:pPr>
    </w:p>
    <w:p>
      <w:pPr>
        <w:pStyle w:val="5"/>
        <w:ind w:firstLine="3600" w:firstLineChars="1500"/>
        <w:rPr>
          <w:color w:val="auto"/>
          <w:highlight w:val="none"/>
        </w:rPr>
      </w:pPr>
      <w:r>
        <w:rPr>
          <w:rFonts w:hint="eastAsia"/>
          <w:color w:val="auto"/>
          <w:highlight w:val="none"/>
        </w:rPr>
        <w:t>法定代表人或被授权人：</w:t>
      </w:r>
      <w:r>
        <w:rPr>
          <w:rFonts w:hint="eastAsia"/>
          <w:color w:val="auto"/>
          <w:highlight w:val="none"/>
          <w:u w:val="single"/>
        </w:rPr>
        <w:t xml:space="preserve">         </w:t>
      </w:r>
      <w:r>
        <w:rPr>
          <w:rFonts w:hint="eastAsia"/>
          <w:color w:val="auto"/>
          <w:highlight w:val="none"/>
        </w:rPr>
        <w:t>（签字或盖章）</w:t>
      </w:r>
    </w:p>
    <w:p>
      <w:pPr>
        <w:pStyle w:val="5"/>
        <w:ind w:firstLine="0" w:firstLineChars="0"/>
        <w:rPr>
          <w:color w:val="auto"/>
          <w:highlight w:val="none"/>
        </w:rPr>
      </w:pPr>
    </w:p>
    <w:p>
      <w:pPr>
        <w:spacing w:line="500" w:lineRule="exact"/>
        <w:ind w:firstLine="3600" w:firstLineChars="1500"/>
        <w:rPr>
          <w:color w:val="auto"/>
          <w:highlight w:val="none"/>
        </w:rPr>
      </w:pPr>
      <w:r>
        <w:rPr>
          <w:rFonts w:hint="eastAsia"/>
          <w:color w:val="auto"/>
          <w:highlight w:val="none"/>
        </w:rPr>
        <w:t>日    期：</w:t>
      </w:r>
      <w:r>
        <w:rPr>
          <w:rFonts w:hint="eastAsia"/>
          <w:color w:val="auto"/>
          <w:highlight w:val="none"/>
          <w:u w:val="single"/>
        </w:rPr>
        <w:t xml:space="preserve">   </w:t>
      </w:r>
      <w:r>
        <w:rPr>
          <w:rFonts w:hint="eastAsia"/>
          <w:color w:val="auto"/>
          <w:highlight w:val="none"/>
        </w:rPr>
        <w:t>年</w:t>
      </w:r>
      <w:r>
        <w:rPr>
          <w:rFonts w:hint="eastAsia"/>
          <w:color w:val="auto"/>
          <w:highlight w:val="none"/>
          <w:u w:val="single"/>
        </w:rPr>
        <w:t xml:space="preserve">   </w:t>
      </w:r>
      <w:r>
        <w:rPr>
          <w:rFonts w:hint="eastAsia"/>
          <w:color w:val="auto"/>
          <w:highlight w:val="none"/>
        </w:rPr>
        <w:t>月</w:t>
      </w:r>
      <w:r>
        <w:rPr>
          <w:rFonts w:hint="eastAsia"/>
          <w:color w:val="auto"/>
          <w:highlight w:val="none"/>
          <w:u w:val="single"/>
        </w:rPr>
        <w:t xml:space="preserve">   </w:t>
      </w:r>
      <w:r>
        <w:rPr>
          <w:rFonts w:hint="eastAsia"/>
          <w:color w:val="auto"/>
          <w:highlight w:val="none"/>
        </w:rPr>
        <w:t>日</w:t>
      </w:r>
    </w:p>
    <w:p>
      <w:pPr>
        <w:rPr>
          <w:rFonts w:hint="eastAsia"/>
          <w:color w:val="auto"/>
          <w:highlight w:val="none"/>
        </w:rPr>
      </w:pPr>
      <w:r>
        <w:rPr>
          <w:rFonts w:hint="eastAsia"/>
          <w:color w:val="auto"/>
          <w:highlight w:val="none"/>
        </w:rPr>
        <w:br w:type="page"/>
      </w:r>
    </w:p>
    <w:p>
      <w:pPr>
        <w:pStyle w:val="2"/>
        <w:rPr>
          <w:color w:val="auto"/>
          <w:highlight w:val="none"/>
        </w:rPr>
      </w:pPr>
      <w:r>
        <w:rPr>
          <w:rFonts w:hint="eastAsia"/>
          <w:color w:val="auto"/>
          <w:highlight w:val="none"/>
        </w:rPr>
        <w:t>附件</w:t>
      </w:r>
      <w:r>
        <w:rPr>
          <w:rFonts w:hint="eastAsia"/>
          <w:color w:val="auto"/>
          <w:highlight w:val="none"/>
          <w:lang w:val="en-US" w:eastAsia="zh-CN"/>
        </w:rPr>
        <w:t>1</w:t>
      </w:r>
      <w:r>
        <w:rPr>
          <w:rFonts w:hint="eastAsia"/>
          <w:color w:val="auto"/>
          <w:highlight w:val="none"/>
        </w:rPr>
        <w:t>（如有）</w:t>
      </w:r>
    </w:p>
    <w:p>
      <w:pPr>
        <w:pStyle w:val="7"/>
        <w:spacing w:before="666" w:after="666"/>
        <w:rPr>
          <w:color w:val="auto"/>
          <w:highlight w:val="none"/>
        </w:rPr>
      </w:pPr>
      <w:r>
        <w:rPr>
          <w:rFonts w:hint="eastAsia"/>
          <w:color w:val="auto"/>
          <w:highlight w:val="none"/>
        </w:rPr>
        <w:t>中小企业声明函（货物）(非中小企业不填写)</w:t>
      </w:r>
    </w:p>
    <w:p>
      <w:pPr>
        <w:pStyle w:val="5"/>
        <w:ind w:firstLine="480"/>
        <w:rPr>
          <w:color w:val="auto"/>
          <w:highlight w:val="none"/>
        </w:rPr>
      </w:pPr>
      <w:r>
        <w:rPr>
          <w:rFonts w:hint="eastAsia"/>
          <w:color w:val="auto"/>
          <w:highlight w:val="none"/>
        </w:rPr>
        <w:t>本公司（联合体）郑重声明，根据《政府采购促进中小企业发展管理办法》（财库﹝2020﹞46 号）的规定，本公司（联合体）参加</w:t>
      </w:r>
      <w:r>
        <w:rPr>
          <w:rFonts w:hint="eastAsia"/>
          <w:color w:val="auto"/>
          <w:highlight w:val="none"/>
          <w:u w:val="single"/>
        </w:rPr>
        <w:t>（单位名称）</w:t>
      </w:r>
      <w:r>
        <w:rPr>
          <w:rFonts w:hint="eastAsia"/>
          <w:color w:val="auto"/>
          <w:highlight w:val="none"/>
        </w:rPr>
        <w:t>的</w:t>
      </w:r>
      <w:r>
        <w:rPr>
          <w:rFonts w:hint="eastAsia"/>
          <w:color w:val="auto"/>
          <w:highlight w:val="none"/>
          <w:u w:val="single"/>
        </w:rPr>
        <w:t>（项目名称）</w:t>
      </w:r>
      <w:r>
        <w:rPr>
          <w:rFonts w:hint="eastAsia"/>
          <w:color w:val="auto"/>
          <w:highlight w:val="none"/>
        </w:rPr>
        <w:t>采购活动，提供的货物全部由符合政策要求的中小企业制造。相关企业（含联合体中的中小企业、签订分包意向协议的中小企业） 的具体情况如下：</w:t>
      </w:r>
    </w:p>
    <w:p>
      <w:pPr>
        <w:pStyle w:val="5"/>
        <w:ind w:firstLine="480"/>
        <w:rPr>
          <w:color w:val="auto"/>
          <w:highlight w:val="none"/>
        </w:rPr>
      </w:pPr>
      <w:r>
        <w:rPr>
          <w:rFonts w:hint="eastAsia"/>
          <w:color w:val="auto"/>
          <w:highlight w:val="none"/>
        </w:rPr>
        <w:t>1.</w:t>
      </w:r>
      <w:r>
        <w:rPr>
          <w:rFonts w:hint="eastAsia"/>
          <w:color w:val="auto"/>
          <w:highlight w:val="none"/>
          <w:u w:val="single"/>
        </w:rPr>
        <w:t xml:space="preserve"> （标的名称） </w:t>
      </w:r>
      <w:r>
        <w:rPr>
          <w:rFonts w:hint="eastAsia"/>
          <w:color w:val="auto"/>
          <w:highlight w:val="none"/>
        </w:rPr>
        <w:t>，属于</w:t>
      </w:r>
      <w:r>
        <w:rPr>
          <w:rFonts w:hint="eastAsia"/>
          <w:color w:val="auto"/>
          <w:highlight w:val="none"/>
          <w:u w:val="single"/>
        </w:rPr>
        <w:t>（采购文件中明确的所属行业）</w:t>
      </w:r>
      <w:r>
        <w:rPr>
          <w:rFonts w:hint="eastAsia"/>
          <w:color w:val="auto"/>
          <w:highlight w:val="none"/>
        </w:rPr>
        <w:t>行业；制造商为</w:t>
      </w:r>
      <w:r>
        <w:rPr>
          <w:rFonts w:hint="eastAsia"/>
          <w:color w:val="auto"/>
          <w:highlight w:val="none"/>
          <w:u w:val="single"/>
        </w:rPr>
        <w:t>（企业名称）</w:t>
      </w:r>
      <w:r>
        <w:rPr>
          <w:rFonts w:hint="eastAsia"/>
          <w:color w:val="auto"/>
          <w:highlight w:val="none"/>
        </w:rPr>
        <w:t>，从业人员</w:t>
      </w:r>
      <w:r>
        <w:rPr>
          <w:rFonts w:hint="eastAsia"/>
          <w:color w:val="auto"/>
          <w:highlight w:val="none"/>
          <w:u w:val="single"/>
        </w:rPr>
        <w:t xml:space="preserve"> </w:t>
      </w:r>
      <w:r>
        <w:rPr>
          <w:rFonts w:hint="eastAsia"/>
          <w:color w:val="auto"/>
          <w:highlight w:val="none"/>
          <w:u w:val="single"/>
        </w:rPr>
        <w:tab/>
      </w:r>
      <w:r>
        <w:rPr>
          <w:rFonts w:hint="eastAsia"/>
          <w:color w:val="auto"/>
          <w:highlight w:val="none"/>
        </w:rPr>
        <w:t>人，营业收入为</w:t>
      </w:r>
      <w:r>
        <w:rPr>
          <w:rFonts w:hint="eastAsia"/>
          <w:color w:val="auto"/>
          <w:highlight w:val="none"/>
          <w:u w:val="single"/>
        </w:rPr>
        <w:t xml:space="preserve"> </w:t>
      </w:r>
      <w:r>
        <w:rPr>
          <w:rFonts w:hint="eastAsia"/>
          <w:color w:val="auto"/>
          <w:highlight w:val="none"/>
          <w:u w:val="single"/>
        </w:rPr>
        <w:tab/>
      </w:r>
      <w:r>
        <w:rPr>
          <w:rFonts w:hint="eastAsia"/>
          <w:color w:val="auto"/>
          <w:highlight w:val="none"/>
        </w:rPr>
        <w:t>万元，资产总额为</w:t>
      </w:r>
      <w:r>
        <w:rPr>
          <w:rFonts w:hint="eastAsia"/>
          <w:color w:val="auto"/>
          <w:highlight w:val="none"/>
          <w:u w:val="single"/>
        </w:rPr>
        <w:t xml:space="preserve"> </w:t>
      </w:r>
      <w:r>
        <w:rPr>
          <w:rFonts w:hint="eastAsia"/>
          <w:color w:val="auto"/>
          <w:highlight w:val="none"/>
          <w:u w:val="single"/>
        </w:rPr>
        <w:tab/>
      </w:r>
      <w:r>
        <w:rPr>
          <w:rFonts w:hint="eastAsia"/>
          <w:color w:val="auto"/>
          <w:highlight w:val="none"/>
          <w:u w:val="single"/>
        </w:rPr>
        <w:t xml:space="preserve">   </w:t>
      </w:r>
      <w:r>
        <w:rPr>
          <w:rFonts w:hint="eastAsia"/>
          <w:color w:val="auto"/>
          <w:highlight w:val="none"/>
        </w:rPr>
        <w:t>万元1，属于</w:t>
      </w:r>
      <w:r>
        <w:rPr>
          <w:rFonts w:hint="eastAsia"/>
          <w:color w:val="auto"/>
          <w:highlight w:val="none"/>
          <w:u w:val="single"/>
        </w:rPr>
        <w:t>（中型企业、小型企业、微型企业）</w:t>
      </w:r>
      <w:r>
        <w:rPr>
          <w:rFonts w:hint="eastAsia"/>
          <w:color w:val="auto"/>
          <w:highlight w:val="none"/>
        </w:rPr>
        <w:t>；</w:t>
      </w:r>
    </w:p>
    <w:p>
      <w:pPr>
        <w:pStyle w:val="5"/>
        <w:ind w:firstLine="480"/>
        <w:rPr>
          <w:color w:val="auto"/>
          <w:highlight w:val="none"/>
        </w:rPr>
      </w:pPr>
      <w:r>
        <w:rPr>
          <w:rFonts w:hint="eastAsia"/>
          <w:color w:val="auto"/>
          <w:highlight w:val="none"/>
        </w:rPr>
        <w:t>2.</w:t>
      </w:r>
      <w:r>
        <w:rPr>
          <w:rFonts w:hint="eastAsia"/>
          <w:color w:val="auto"/>
          <w:highlight w:val="none"/>
          <w:u w:val="single"/>
        </w:rPr>
        <w:t xml:space="preserve"> （ 标 的 名 称 ） </w:t>
      </w:r>
      <w:r>
        <w:rPr>
          <w:rFonts w:hint="eastAsia"/>
          <w:color w:val="auto"/>
          <w:highlight w:val="none"/>
        </w:rPr>
        <w:t>， 属 于</w:t>
      </w:r>
      <w:r>
        <w:rPr>
          <w:rFonts w:hint="eastAsia"/>
          <w:color w:val="auto"/>
          <w:highlight w:val="none"/>
          <w:u w:val="single"/>
        </w:rPr>
        <w:t xml:space="preserve">（ 采 购 文 件 中 明 确 的 所 属 行 业 ） </w:t>
      </w:r>
      <w:r>
        <w:rPr>
          <w:rFonts w:hint="eastAsia"/>
          <w:color w:val="auto"/>
          <w:highlight w:val="none"/>
        </w:rPr>
        <w:t>行业；制造商为</w:t>
      </w:r>
      <w:r>
        <w:rPr>
          <w:rFonts w:hint="eastAsia"/>
          <w:color w:val="auto"/>
          <w:highlight w:val="none"/>
          <w:u w:val="single"/>
        </w:rPr>
        <w:t>（企业名称）</w:t>
      </w:r>
      <w:r>
        <w:rPr>
          <w:rFonts w:hint="eastAsia"/>
          <w:color w:val="auto"/>
          <w:highlight w:val="none"/>
        </w:rPr>
        <w:t>，从业人员</w:t>
      </w:r>
      <w:r>
        <w:rPr>
          <w:rFonts w:hint="eastAsia"/>
          <w:color w:val="auto"/>
          <w:highlight w:val="none"/>
          <w:u w:val="single"/>
        </w:rPr>
        <w:t xml:space="preserve"> </w:t>
      </w:r>
      <w:r>
        <w:rPr>
          <w:rFonts w:hint="eastAsia"/>
          <w:color w:val="auto"/>
          <w:highlight w:val="none"/>
          <w:u w:val="single"/>
        </w:rPr>
        <w:tab/>
      </w:r>
      <w:r>
        <w:rPr>
          <w:rFonts w:hint="eastAsia"/>
          <w:color w:val="auto"/>
          <w:highlight w:val="none"/>
        </w:rPr>
        <w:t>人，营业收入为</w:t>
      </w:r>
      <w:r>
        <w:rPr>
          <w:rFonts w:hint="eastAsia"/>
          <w:color w:val="auto"/>
          <w:highlight w:val="none"/>
          <w:u w:val="single"/>
        </w:rPr>
        <w:t xml:space="preserve"> </w:t>
      </w:r>
      <w:r>
        <w:rPr>
          <w:rFonts w:hint="eastAsia"/>
          <w:color w:val="auto"/>
          <w:highlight w:val="none"/>
          <w:u w:val="single"/>
        </w:rPr>
        <w:tab/>
      </w:r>
      <w:r>
        <w:rPr>
          <w:rFonts w:hint="eastAsia"/>
          <w:color w:val="auto"/>
          <w:highlight w:val="none"/>
        </w:rPr>
        <w:t>万元，资产总额为</w:t>
      </w:r>
      <w:r>
        <w:rPr>
          <w:rFonts w:hint="eastAsia"/>
          <w:color w:val="auto"/>
          <w:highlight w:val="none"/>
          <w:u w:val="single"/>
        </w:rPr>
        <w:t xml:space="preserve"> </w:t>
      </w:r>
      <w:r>
        <w:rPr>
          <w:rFonts w:hint="eastAsia"/>
          <w:color w:val="auto"/>
          <w:highlight w:val="none"/>
          <w:u w:val="single"/>
        </w:rPr>
        <w:tab/>
      </w:r>
      <w:r>
        <w:rPr>
          <w:rFonts w:hint="eastAsia"/>
          <w:color w:val="auto"/>
          <w:highlight w:val="none"/>
          <w:u w:val="single"/>
        </w:rPr>
        <w:t xml:space="preserve">  </w:t>
      </w:r>
      <w:r>
        <w:rPr>
          <w:rFonts w:hint="eastAsia"/>
          <w:color w:val="auto"/>
          <w:highlight w:val="none"/>
        </w:rPr>
        <w:t>万元，属于</w:t>
      </w:r>
      <w:r>
        <w:rPr>
          <w:rFonts w:hint="eastAsia"/>
          <w:color w:val="auto"/>
          <w:highlight w:val="none"/>
          <w:u w:val="single"/>
        </w:rPr>
        <w:t>（中型企业、小型企业、微型企业）</w:t>
      </w:r>
      <w:r>
        <w:rPr>
          <w:rFonts w:hint="eastAsia"/>
          <w:color w:val="auto"/>
          <w:highlight w:val="none"/>
        </w:rPr>
        <w:t>；</w:t>
      </w:r>
    </w:p>
    <w:p>
      <w:pPr>
        <w:pStyle w:val="5"/>
        <w:ind w:firstLine="480"/>
        <w:rPr>
          <w:color w:val="auto"/>
          <w:highlight w:val="none"/>
        </w:rPr>
      </w:pPr>
      <w:r>
        <w:rPr>
          <w:rFonts w:hint="eastAsia"/>
          <w:color w:val="auto"/>
          <w:highlight w:val="none"/>
        </w:rPr>
        <w:t>……</w:t>
      </w:r>
    </w:p>
    <w:p>
      <w:pPr>
        <w:pStyle w:val="5"/>
        <w:ind w:firstLine="480"/>
        <w:rPr>
          <w:color w:val="auto"/>
          <w:highlight w:val="none"/>
        </w:rPr>
      </w:pPr>
      <w:r>
        <w:rPr>
          <w:rFonts w:hint="eastAsia"/>
          <w:color w:val="auto"/>
          <w:highlight w:val="none"/>
        </w:rPr>
        <w:t>以上企业，不属于大企业的分支机构，不存在控股股东为大企业的情形，也不存在与大企业的负责人为同一人的情形。</w:t>
      </w:r>
    </w:p>
    <w:p>
      <w:pPr>
        <w:pStyle w:val="5"/>
        <w:ind w:firstLine="480"/>
        <w:rPr>
          <w:color w:val="auto"/>
          <w:highlight w:val="none"/>
        </w:rPr>
      </w:pPr>
      <w:r>
        <w:rPr>
          <w:rFonts w:hint="eastAsia"/>
          <w:color w:val="auto"/>
          <w:highlight w:val="none"/>
        </w:rPr>
        <w:t>本企业对上述声明内容的真实性负责。如有虚假，将依法承担相应责任。</w:t>
      </w:r>
    </w:p>
    <w:p>
      <w:pPr>
        <w:pStyle w:val="5"/>
        <w:ind w:firstLine="5040" w:firstLineChars="2100"/>
        <w:rPr>
          <w:color w:val="auto"/>
          <w:highlight w:val="none"/>
          <w:u w:val="single"/>
        </w:rPr>
      </w:pPr>
      <w:r>
        <w:rPr>
          <w:rFonts w:hint="eastAsia"/>
          <w:color w:val="auto"/>
          <w:highlight w:val="none"/>
        </w:rPr>
        <w:t>企业名称（盖章）：</w:t>
      </w:r>
      <w:r>
        <w:rPr>
          <w:rFonts w:hint="eastAsia"/>
          <w:color w:val="auto"/>
          <w:highlight w:val="none"/>
          <w:u w:val="single"/>
        </w:rPr>
        <w:t xml:space="preserve">              </w:t>
      </w:r>
    </w:p>
    <w:p>
      <w:pPr>
        <w:pStyle w:val="5"/>
        <w:ind w:firstLine="5040" w:firstLineChars="2100"/>
        <w:rPr>
          <w:color w:val="auto"/>
          <w:highlight w:val="none"/>
          <w:u w:val="single"/>
        </w:rPr>
      </w:pPr>
      <w:r>
        <w:rPr>
          <w:rFonts w:hint="eastAsia"/>
          <w:color w:val="auto"/>
          <w:highlight w:val="none"/>
        </w:rPr>
        <w:t>日期：</w:t>
      </w:r>
      <w:r>
        <w:rPr>
          <w:rFonts w:hint="eastAsia"/>
          <w:color w:val="auto"/>
          <w:highlight w:val="none"/>
          <w:u w:val="single"/>
        </w:rPr>
        <w:t xml:space="preserve">                         </w:t>
      </w:r>
    </w:p>
    <w:p>
      <w:pPr>
        <w:pStyle w:val="5"/>
        <w:ind w:firstLine="480"/>
        <w:rPr>
          <w:color w:val="auto"/>
          <w:highlight w:val="none"/>
        </w:rPr>
      </w:pPr>
    </w:p>
    <w:p>
      <w:pPr>
        <w:pStyle w:val="5"/>
        <w:rPr>
          <w:color w:val="auto"/>
          <w:sz w:val="21"/>
          <w:szCs w:val="21"/>
          <w:highlight w:val="none"/>
        </w:rPr>
      </w:pPr>
      <w:r>
        <w:rPr>
          <w:rFonts w:hint="eastAsia"/>
          <w:color w:val="auto"/>
          <w:sz w:val="21"/>
          <w:szCs w:val="21"/>
          <w:highlight w:val="none"/>
        </w:rPr>
        <w:t>1从业人员、营业收入、资产总额填报上一年度数据，无上一年度数据的新成立企业可不填报。</w:t>
      </w:r>
    </w:p>
    <w:p>
      <w:pPr>
        <w:spacing w:line="360" w:lineRule="auto"/>
        <w:rPr>
          <w:rFonts w:hAnsi="宋体" w:cs="宋体"/>
          <w:b/>
          <w:bCs/>
          <w:color w:val="auto"/>
          <w:sz w:val="21"/>
          <w:szCs w:val="21"/>
          <w:highlight w:val="none"/>
        </w:rPr>
      </w:pPr>
      <w:r>
        <w:rPr>
          <w:rFonts w:hint="eastAsia" w:hAnsi="宋体" w:cs="宋体"/>
          <w:b/>
          <w:bCs/>
          <w:color w:val="auto"/>
          <w:sz w:val="21"/>
          <w:szCs w:val="21"/>
          <w:highlight w:val="none"/>
        </w:rPr>
        <w:t>特别提醒：</w:t>
      </w:r>
    </w:p>
    <w:p>
      <w:pPr>
        <w:pStyle w:val="5"/>
        <w:rPr>
          <w:rFonts w:hint="eastAsia"/>
          <w:color w:val="auto"/>
          <w:sz w:val="21"/>
          <w:szCs w:val="21"/>
          <w:highlight w:val="none"/>
        </w:rPr>
      </w:pPr>
      <w:r>
        <w:rPr>
          <w:rFonts w:hint="eastAsia"/>
          <w:color w:val="auto"/>
          <w:sz w:val="21"/>
          <w:szCs w:val="21"/>
          <w:highlight w:val="none"/>
        </w:rPr>
        <w:t>1.《中小企业声明函》随中标结果同时公开。</w:t>
      </w:r>
    </w:p>
    <w:p>
      <w:pPr>
        <w:pStyle w:val="5"/>
        <w:rPr>
          <w:color w:val="auto"/>
          <w:highlight w:val="none"/>
        </w:rPr>
      </w:pPr>
      <w:r>
        <w:rPr>
          <w:rFonts w:hint="eastAsia"/>
          <w:color w:val="auto"/>
          <w:sz w:val="21"/>
          <w:szCs w:val="21"/>
          <w:highlight w:val="none"/>
        </w:rPr>
        <w:t>2.填写前请认真阅读《工业和信息化部　国家统计局　国家发展和改革委员会　财政部关于印发中小企业划型标准规定的通知》(工信部联企业〔2011〕300号)和《财政部、工业和信息化部关于印发〈政府采购促进中小企业发展管理办法〉的通知》(财库〔2020〕46号)相关规定。</w:t>
      </w:r>
      <w:r>
        <w:rPr>
          <w:rFonts w:hint="eastAsia"/>
          <w:color w:val="auto"/>
          <w:highlight w:val="none"/>
        </w:rPr>
        <w:br w:type="page"/>
      </w:r>
    </w:p>
    <w:p>
      <w:pPr>
        <w:pStyle w:val="2"/>
        <w:rPr>
          <w:color w:val="auto"/>
          <w:highlight w:val="none"/>
        </w:rPr>
      </w:pPr>
      <w:r>
        <w:rPr>
          <w:rFonts w:hint="eastAsia"/>
          <w:color w:val="auto"/>
          <w:highlight w:val="none"/>
        </w:rPr>
        <w:t>附：《中小企业划型标准规定》各行业划型标准</w:t>
      </w:r>
    </w:p>
    <w:p>
      <w:pPr>
        <w:pStyle w:val="5"/>
        <w:rPr>
          <w:color w:val="auto"/>
          <w:sz w:val="21"/>
          <w:szCs w:val="21"/>
          <w:highlight w:val="none"/>
        </w:rPr>
      </w:pPr>
      <w:r>
        <w:rPr>
          <w:rFonts w:hint="eastAsia"/>
          <w:color w:val="auto"/>
          <w:sz w:val="21"/>
          <w:szCs w:val="21"/>
          <w:highlight w:val="none"/>
        </w:rPr>
        <w:t>（一）农、林、牧、渔业。营业收入20000万元以下的为中小微型企业。其中，营业收入500万元及以上的为中型企业，营业收入50万元及以上的为小型企业，营业收入50万元以下的为微型企业。</w:t>
      </w:r>
    </w:p>
    <w:p>
      <w:pPr>
        <w:pStyle w:val="5"/>
        <w:rPr>
          <w:color w:val="auto"/>
          <w:sz w:val="21"/>
          <w:szCs w:val="21"/>
          <w:highlight w:val="none"/>
        </w:rPr>
      </w:pPr>
      <w:r>
        <w:rPr>
          <w:rFonts w:hint="eastAsia"/>
          <w:color w:val="auto"/>
          <w:sz w:val="21"/>
          <w:szCs w:val="21"/>
          <w:highlight w:val="none"/>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pStyle w:val="5"/>
        <w:rPr>
          <w:color w:val="auto"/>
          <w:sz w:val="21"/>
          <w:szCs w:val="21"/>
          <w:highlight w:val="none"/>
        </w:rPr>
      </w:pPr>
      <w:r>
        <w:rPr>
          <w:rFonts w:hint="eastAsia"/>
          <w:color w:val="auto"/>
          <w:sz w:val="21"/>
          <w:szCs w:val="21"/>
          <w:highlight w:val="none"/>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pStyle w:val="5"/>
        <w:rPr>
          <w:color w:val="auto"/>
          <w:sz w:val="21"/>
          <w:szCs w:val="21"/>
          <w:highlight w:val="none"/>
        </w:rPr>
      </w:pPr>
      <w:r>
        <w:rPr>
          <w:rFonts w:hint="eastAsia"/>
          <w:color w:val="auto"/>
          <w:sz w:val="21"/>
          <w:szCs w:val="21"/>
          <w:highlight w:val="none"/>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pPr>
        <w:pStyle w:val="5"/>
        <w:rPr>
          <w:color w:val="auto"/>
          <w:sz w:val="21"/>
          <w:szCs w:val="21"/>
          <w:highlight w:val="none"/>
        </w:rPr>
      </w:pPr>
      <w:r>
        <w:rPr>
          <w:rFonts w:hint="eastAsia"/>
          <w:color w:val="auto"/>
          <w:sz w:val="21"/>
          <w:szCs w:val="21"/>
          <w:highlight w:val="none"/>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pPr>
        <w:pStyle w:val="5"/>
        <w:rPr>
          <w:color w:val="auto"/>
          <w:sz w:val="21"/>
          <w:szCs w:val="21"/>
          <w:highlight w:val="none"/>
        </w:rPr>
      </w:pPr>
      <w:r>
        <w:rPr>
          <w:rFonts w:hint="eastAsia"/>
          <w:color w:val="auto"/>
          <w:sz w:val="21"/>
          <w:szCs w:val="21"/>
          <w:highlight w:val="none"/>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pPr>
        <w:pStyle w:val="5"/>
        <w:rPr>
          <w:color w:val="auto"/>
          <w:sz w:val="21"/>
          <w:szCs w:val="21"/>
          <w:highlight w:val="none"/>
        </w:rPr>
      </w:pPr>
      <w:r>
        <w:rPr>
          <w:rFonts w:hint="eastAsia"/>
          <w:color w:val="auto"/>
          <w:sz w:val="21"/>
          <w:szCs w:val="21"/>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pStyle w:val="5"/>
        <w:rPr>
          <w:color w:val="auto"/>
          <w:sz w:val="21"/>
          <w:szCs w:val="21"/>
          <w:highlight w:val="none"/>
        </w:rPr>
      </w:pPr>
      <w:r>
        <w:rPr>
          <w:rFonts w:hint="eastAsia"/>
          <w:color w:val="auto"/>
          <w:sz w:val="21"/>
          <w:szCs w:val="21"/>
          <w:highlight w:val="none"/>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pPr>
        <w:pStyle w:val="5"/>
        <w:rPr>
          <w:color w:val="auto"/>
          <w:sz w:val="21"/>
          <w:szCs w:val="21"/>
          <w:highlight w:val="none"/>
        </w:rPr>
      </w:pPr>
      <w:r>
        <w:rPr>
          <w:rFonts w:hint="eastAsia"/>
          <w:color w:val="auto"/>
          <w:sz w:val="21"/>
          <w:szCs w:val="21"/>
          <w:highlight w:val="none"/>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pStyle w:val="5"/>
        <w:rPr>
          <w:color w:val="auto"/>
          <w:sz w:val="21"/>
          <w:szCs w:val="21"/>
          <w:highlight w:val="none"/>
        </w:rPr>
      </w:pPr>
      <w:r>
        <w:rPr>
          <w:rFonts w:hint="eastAsia"/>
          <w:color w:val="auto"/>
          <w:sz w:val="21"/>
          <w:szCs w:val="21"/>
          <w:highlight w:val="none"/>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pStyle w:val="5"/>
        <w:rPr>
          <w:color w:val="auto"/>
          <w:sz w:val="21"/>
          <w:szCs w:val="21"/>
          <w:highlight w:val="none"/>
        </w:rPr>
      </w:pPr>
      <w:r>
        <w:rPr>
          <w:rFonts w:hint="eastAsia"/>
          <w:color w:val="auto"/>
          <w:sz w:val="21"/>
          <w:szCs w:val="21"/>
          <w:highlight w:val="none"/>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pPr>
        <w:pStyle w:val="5"/>
        <w:rPr>
          <w:color w:val="auto"/>
          <w:sz w:val="21"/>
          <w:szCs w:val="21"/>
          <w:highlight w:val="none"/>
        </w:rPr>
      </w:pPr>
      <w:r>
        <w:rPr>
          <w:rFonts w:hint="eastAsia"/>
          <w:color w:val="auto"/>
          <w:sz w:val="21"/>
          <w:szCs w:val="21"/>
          <w:highlight w:val="none"/>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pStyle w:val="5"/>
        <w:rPr>
          <w:color w:val="auto"/>
          <w:sz w:val="21"/>
          <w:szCs w:val="21"/>
          <w:highlight w:val="none"/>
        </w:rPr>
      </w:pPr>
      <w:r>
        <w:rPr>
          <w:rFonts w:hint="eastAsia"/>
          <w:color w:val="auto"/>
          <w:sz w:val="21"/>
          <w:szCs w:val="21"/>
          <w:highlight w:val="none"/>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pPr>
        <w:pStyle w:val="5"/>
        <w:rPr>
          <w:color w:val="auto"/>
          <w:sz w:val="21"/>
          <w:szCs w:val="21"/>
          <w:highlight w:val="none"/>
        </w:rPr>
      </w:pPr>
      <w:r>
        <w:rPr>
          <w:rFonts w:hint="eastAsia"/>
          <w:color w:val="auto"/>
          <w:sz w:val="21"/>
          <w:szCs w:val="21"/>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pStyle w:val="5"/>
        <w:rPr>
          <w:color w:val="auto"/>
          <w:sz w:val="21"/>
          <w:szCs w:val="21"/>
          <w:highlight w:val="none"/>
        </w:rPr>
      </w:pPr>
      <w:r>
        <w:rPr>
          <w:rFonts w:hint="eastAsia"/>
          <w:color w:val="auto"/>
          <w:sz w:val="21"/>
          <w:szCs w:val="21"/>
          <w:highlight w:val="none"/>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pStyle w:val="5"/>
        <w:rPr>
          <w:bCs/>
          <w:color w:val="auto"/>
          <w:szCs w:val="21"/>
          <w:highlight w:val="none"/>
        </w:rPr>
      </w:pPr>
      <w:r>
        <w:rPr>
          <w:rFonts w:hint="eastAsia"/>
          <w:color w:val="auto"/>
          <w:sz w:val="21"/>
          <w:szCs w:val="21"/>
          <w:highlight w:val="none"/>
        </w:rPr>
        <w:t>（十六）其他未列明行业。从业人员300人以下的为中小微型企业。其中，从业人员100人及以上的为中型企业；从业人员10人及以上的为小型企业；从业人员10人以下的为微型企业。</w:t>
      </w:r>
    </w:p>
    <w:p>
      <w:pPr>
        <w:tabs>
          <w:tab w:val="left" w:pos="0"/>
          <w:tab w:val="left" w:pos="7920"/>
        </w:tabs>
        <w:spacing w:line="500" w:lineRule="exact"/>
        <w:ind w:firstLine="420" w:firstLineChars="200"/>
        <w:rPr>
          <w:rFonts w:hAnsi="宋体" w:cs="宋体"/>
          <w:color w:val="auto"/>
          <w:sz w:val="21"/>
          <w:szCs w:val="21"/>
          <w:highlight w:val="none"/>
        </w:rPr>
      </w:pPr>
    </w:p>
    <w:p>
      <w:pPr>
        <w:rPr>
          <w:rFonts w:hAnsi="宋体" w:cs="宋体"/>
          <w:color w:val="auto"/>
          <w:szCs w:val="24"/>
          <w:highlight w:val="none"/>
        </w:rPr>
      </w:pPr>
    </w:p>
    <w:p>
      <w:pPr>
        <w:rPr>
          <w:rStyle w:val="38"/>
          <w:bCs w:val="0"/>
          <w:color w:val="auto"/>
          <w:highlight w:val="none"/>
        </w:rPr>
      </w:pPr>
      <w:r>
        <w:rPr>
          <w:rFonts w:hint="eastAsia" w:hAnsi="宋体" w:cs="宋体"/>
          <w:b/>
          <w:color w:val="auto"/>
          <w:sz w:val="28"/>
          <w:szCs w:val="28"/>
          <w:highlight w:val="none"/>
        </w:rPr>
        <w:br w:type="page"/>
      </w:r>
      <w:r>
        <w:rPr>
          <w:rStyle w:val="38"/>
          <w:rFonts w:hint="eastAsia"/>
          <w:bCs w:val="0"/>
          <w:color w:val="auto"/>
          <w:highlight w:val="none"/>
        </w:rPr>
        <w:t>附件</w:t>
      </w:r>
      <w:r>
        <w:rPr>
          <w:rStyle w:val="38"/>
          <w:rFonts w:hint="eastAsia"/>
          <w:bCs w:val="0"/>
          <w:color w:val="auto"/>
          <w:highlight w:val="none"/>
          <w:lang w:val="en-US" w:eastAsia="zh-CN"/>
        </w:rPr>
        <w:t>2</w:t>
      </w:r>
      <w:r>
        <w:rPr>
          <w:rStyle w:val="38"/>
          <w:rFonts w:hint="eastAsia"/>
          <w:bCs w:val="0"/>
          <w:color w:val="auto"/>
          <w:highlight w:val="none"/>
        </w:rPr>
        <w:t>（如有）</w:t>
      </w:r>
    </w:p>
    <w:p>
      <w:pPr>
        <w:pStyle w:val="7"/>
        <w:spacing w:before="166"/>
        <w:rPr>
          <w:color w:val="auto"/>
          <w:highlight w:val="none"/>
        </w:rPr>
      </w:pPr>
      <w:bookmarkStart w:id="313" w:name="OLE_LINK13"/>
      <w:bookmarkStart w:id="314" w:name="OLE_LINK14"/>
      <w:r>
        <w:rPr>
          <w:rFonts w:hint="eastAsia"/>
          <w:color w:val="auto"/>
          <w:highlight w:val="none"/>
        </w:rPr>
        <w:t>残疾人福利性单位声明函</w:t>
      </w:r>
      <w:bookmarkEnd w:id="313"/>
      <w:bookmarkEnd w:id="314"/>
    </w:p>
    <w:p>
      <w:pPr>
        <w:pStyle w:val="5"/>
        <w:ind w:firstLine="480"/>
        <w:rPr>
          <w:color w:val="auto"/>
          <w:highlight w:val="none"/>
        </w:rPr>
      </w:pPr>
      <w:r>
        <w:rPr>
          <w:rFonts w:hint="eastAsia"/>
          <w:color w:val="auto"/>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5"/>
        <w:ind w:firstLine="480"/>
        <w:rPr>
          <w:color w:val="auto"/>
          <w:spacing w:val="6"/>
          <w:highlight w:val="none"/>
        </w:rPr>
      </w:pPr>
      <w:r>
        <w:rPr>
          <w:rFonts w:hint="eastAsia"/>
          <w:color w:val="auto"/>
          <w:highlight w:val="none"/>
        </w:rPr>
        <w:t>本单位对上述声明的真实性负责。如有虚假，将依法承担相应责任。</w:t>
      </w:r>
    </w:p>
    <w:p>
      <w:pPr>
        <w:spacing w:line="588" w:lineRule="exact"/>
        <w:ind w:firstLine="504" w:firstLineChars="200"/>
        <w:rPr>
          <w:rFonts w:hAnsi="宋体" w:cs="宋体"/>
          <w:color w:val="auto"/>
          <w:spacing w:val="6"/>
          <w:szCs w:val="24"/>
          <w:highlight w:val="none"/>
        </w:rPr>
      </w:pPr>
    </w:p>
    <w:p>
      <w:pPr>
        <w:pStyle w:val="5"/>
        <w:ind w:firstLine="4800" w:firstLineChars="2000"/>
        <w:rPr>
          <w:color w:val="auto"/>
          <w:highlight w:val="none"/>
        </w:rPr>
      </w:pPr>
      <w:r>
        <w:rPr>
          <w:rFonts w:hint="eastAsia"/>
          <w:color w:val="auto"/>
          <w:highlight w:val="none"/>
        </w:rPr>
        <w:t>单位名称：</w:t>
      </w:r>
      <w:r>
        <w:rPr>
          <w:rFonts w:hint="eastAsia"/>
          <w:color w:val="auto"/>
          <w:highlight w:val="none"/>
          <w:u w:val="single"/>
        </w:rPr>
        <w:t xml:space="preserve">                 </w:t>
      </w:r>
      <w:r>
        <w:rPr>
          <w:rFonts w:hint="eastAsia"/>
          <w:color w:val="auto"/>
          <w:highlight w:val="none"/>
        </w:rPr>
        <w:t>（盖章）</w:t>
      </w:r>
    </w:p>
    <w:p>
      <w:pPr>
        <w:pStyle w:val="5"/>
        <w:ind w:firstLine="4800" w:firstLineChars="2000"/>
        <w:rPr>
          <w:color w:val="auto"/>
          <w:highlight w:val="none"/>
        </w:rPr>
      </w:pPr>
    </w:p>
    <w:p>
      <w:pPr>
        <w:pStyle w:val="5"/>
        <w:ind w:firstLine="4800" w:firstLineChars="2000"/>
        <w:rPr>
          <w:color w:val="auto"/>
          <w:highlight w:val="none"/>
        </w:rPr>
      </w:pPr>
      <w:r>
        <w:rPr>
          <w:rFonts w:hint="eastAsia"/>
          <w:color w:val="auto"/>
          <w:highlight w:val="none"/>
        </w:rPr>
        <w:t>日     期：</w:t>
      </w:r>
      <w:r>
        <w:rPr>
          <w:rFonts w:hint="eastAsia"/>
          <w:color w:val="auto"/>
          <w:highlight w:val="none"/>
          <w:u w:val="single"/>
        </w:rPr>
        <w:t xml:space="preserve">   </w:t>
      </w:r>
      <w:r>
        <w:rPr>
          <w:rFonts w:hint="eastAsia"/>
          <w:color w:val="auto"/>
          <w:highlight w:val="none"/>
        </w:rPr>
        <w:t>年</w:t>
      </w:r>
      <w:r>
        <w:rPr>
          <w:rFonts w:hint="eastAsia"/>
          <w:color w:val="auto"/>
          <w:highlight w:val="none"/>
          <w:u w:val="single"/>
        </w:rPr>
        <w:t xml:space="preserve">   </w:t>
      </w:r>
      <w:r>
        <w:rPr>
          <w:rFonts w:hint="eastAsia"/>
          <w:color w:val="auto"/>
          <w:highlight w:val="none"/>
        </w:rPr>
        <w:t>月</w:t>
      </w:r>
      <w:r>
        <w:rPr>
          <w:rFonts w:hint="eastAsia"/>
          <w:color w:val="auto"/>
          <w:highlight w:val="none"/>
          <w:u w:val="single"/>
        </w:rPr>
        <w:t xml:space="preserve">   </w:t>
      </w:r>
      <w:r>
        <w:rPr>
          <w:rFonts w:hint="eastAsia"/>
          <w:color w:val="auto"/>
          <w:highlight w:val="none"/>
        </w:rPr>
        <w:t>日</w:t>
      </w:r>
    </w:p>
    <w:p>
      <w:pPr>
        <w:pStyle w:val="13"/>
        <w:spacing w:line="360" w:lineRule="auto"/>
        <w:rPr>
          <w:rFonts w:hAnsi="宋体" w:cs="宋体"/>
          <w:b/>
          <w:bCs/>
          <w:color w:val="auto"/>
          <w:sz w:val="24"/>
          <w:highlight w:val="none"/>
        </w:rPr>
      </w:pPr>
      <w:r>
        <w:rPr>
          <w:rFonts w:hint="eastAsia" w:hAnsi="宋体" w:cs="宋体"/>
          <w:b/>
          <w:bCs/>
          <w:color w:val="auto"/>
          <w:sz w:val="24"/>
          <w:highlight w:val="none"/>
        </w:rPr>
        <w:t>特别提醒：</w:t>
      </w:r>
    </w:p>
    <w:p>
      <w:pPr>
        <w:pStyle w:val="5"/>
        <w:rPr>
          <w:color w:val="auto"/>
          <w:sz w:val="21"/>
          <w:szCs w:val="21"/>
          <w:highlight w:val="none"/>
        </w:rPr>
      </w:pPr>
      <w:r>
        <w:rPr>
          <w:rFonts w:hint="eastAsia"/>
          <w:color w:val="auto"/>
          <w:sz w:val="21"/>
          <w:szCs w:val="21"/>
          <w:highlight w:val="none"/>
        </w:rPr>
        <w:t>1.填写前请认真阅读《财政部 民政部 中国残疾人联合会关于促进残疾人就业政府采购政采的通知》(财库〔2017〕141号)相关规定。</w:t>
      </w:r>
    </w:p>
    <w:p>
      <w:pPr>
        <w:tabs>
          <w:tab w:val="left" w:pos="1620"/>
          <w:tab w:val="left" w:pos="1800"/>
        </w:tabs>
        <w:spacing w:line="440" w:lineRule="exact"/>
        <w:ind w:right="617" w:rightChars="257"/>
        <w:rPr>
          <w:rFonts w:hAnsi="宋体" w:cs="宋体"/>
          <w:color w:val="auto"/>
          <w:highlight w:val="none"/>
        </w:rPr>
      </w:pPr>
    </w:p>
    <w:p>
      <w:pPr>
        <w:tabs>
          <w:tab w:val="left" w:pos="1620"/>
          <w:tab w:val="left" w:pos="1800"/>
        </w:tabs>
        <w:spacing w:line="440" w:lineRule="exact"/>
        <w:ind w:right="617" w:rightChars="257"/>
        <w:rPr>
          <w:rFonts w:hAnsi="宋体" w:cs="宋体"/>
          <w:color w:val="auto"/>
          <w:highlight w:val="none"/>
        </w:rPr>
      </w:pPr>
    </w:p>
    <w:p>
      <w:pPr>
        <w:pStyle w:val="11"/>
        <w:rPr>
          <w:rFonts w:ascii="宋体" w:hAnsi="宋体" w:cs="宋体"/>
          <w:color w:val="auto"/>
          <w:highlight w:val="none"/>
        </w:rPr>
      </w:pPr>
    </w:p>
    <w:p>
      <w:pPr>
        <w:pStyle w:val="11"/>
        <w:rPr>
          <w:rFonts w:ascii="宋体" w:hAnsi="宋体" w:cs="宋体"/>
          <w:color w:val="auto"/>
          <w:highlight w:val="none"/>
        </w:rPr>
      </w:pPr>
    </w:p>
    <w:p>
      <w:pPr>
        <w:pStyle w:val="11"/>
        <w:rPr>
          <w:rFonts w:ascii="宋体" w:hAnsi="宋体" w:cs="宋体"/>
          <w:color w:val="auto"/>
          <w:highlight w:val="none"/>
        </w:rPr>
      </w:pPr>
    </w:p>
    <w:p>
      <w:pPr>
        <w:pStyle w:val="11"/>
        <w:rPr>
          <w:rFonts w:ascii="宋体" w:hAnsi="宋体" w:cs="宋体"/>
          <w:color w:val="auto"/>
          <w:highlight w:val="none"/>
        </w:rPr>
      </w:pPr>
    </w:p>
    <w:p>
      <w:pPr>
        <w:pStyle w:val="11"/>
        <w:rPr>
          <w:rFonts w:ascii="宋体" w:hAnsi="宋体" w:cs="宋体"/>
          <w:color w:val="auto"/>
          <w:highlight w:val="none"/>
        </w:rPr>
      </w:pPr>
    </w:p>
    <w:p>
      <w:pPr>
        <w:pStyle w:val="11"/>
        <w:rPr>
          <w:rFonts w:ascii="宋体" w:hAnsi="宋体" w:cs="宋体"/>
          <w:color w:val="auto"/>
          <w:highlight w:val="none"/>
        </w:rPr>
      </w:pPr>
    </w:p>
    <w:p>
      <w:pPr>
        <w:pStyle w:val="11"/>
        <w:rPr>
          <w:rFonts w:ascii="宋体" w:hAnsi="宋体" w:cs="宋体"/>
          <w:color w:val="auto"/>
          <w:highlight w:val="none"/>
        </w:rPr>
      </w:pPr>
    </w:p>
    <w:p>
      <w:pPr>
        <w:rPr>
          <w:color w:val="auto"/>
          <w:highlight w:val="none"/>
        </w:rPr>
      </w:pPr>
      <w:r>
        <w:rPr>
          <w:rFonts w:hint="eastAsia"/>
          <w:color w:val="auto"/>
          <w:highlight w:val="none"/>
        </w:rPr>
        <w:br w:type="page"/>
      </w:r>
    </w:p>
    <w:p>
      <w:pPr>
        <w:pStyle w:val="2"/>
        <w:rPr>
          <w:color w:val="auto"/>
          <w:highlight w:val="none"/>
        </w:rPr>
      </w:pPr>
      <w:bookmarkStart w:id="315" w:name="_Toc21630"/>
      <w:bookmarkStart w:id="316" w:name="_Toc7843"/>
      <w:r>
        <w:rPr>
          <w:rFonts w:hint="eastAsia"/>
          <w:color w:val="auto"/>
          <w:highlight w:val="none"/>
        </w:rPr>
        <w:t>附件</w:t>
      </w:r>
      <w:r>
        <w:rPr>
          <w:rFonts w:hint="eastAsia"/>
          <w:color w:val="auto"/>
          <w:highlight w:val="none"/>
          <w:lang w:val="en-US" w:eastAsia="zh-CN"/>
        </w:rPr>
        <w:t>3</w:t>
      </w:r>
      <w:r>
        <w:rPr>
          <w:rFonts w:hint="eastAsia"/>
          <w:color w:val="auto"/>
          <w:highlight w:val="none"/>
        </w:rPr>
        <w:t>（如有）</w:t>
      </w:r>
      <w:bookmarkEnd w:id="315"/>
      <w:bookmarkEnd w:id="316"/>
    </w:p>
    <w:p>
      <w:pPr>
        <w:pStyle w:val="7"/>
        <w:spacing w:before="166"/>
        <w:rPr>
          <w:color w:val="auto"/>
          <w:highlight w:val="none"/>
        </w:rPr>
      </w:pPr>
      <w:r>
        <w:rPr>
          <w:rFonts w:hint="eastAsia"/>
          <w:color w:val="auto"/>
          <w:highlight w:val="none"/>
        </w:rPr>
        <w:t>监狱企业证明文件</w:t>
      </w:r>
    </w:p>
    <w:p>
      <w:pPr>
        <w:pStyle w:val="5"/>
        <w:ind w:firstLine="480"/>
        <w:rPr>
          <w:color w:val="auto"/>
          <w:highlight w:val="none"/>
        </w:rPr>
      </w:pPr>
      <w:r>
        <w:rPr>
          <w:rFonts w:hint="eastAsia"/>
          <w:color w:val="auto"/>
          <w:highlight w:val="none"/>
        </w:rPr>
        <w:t>根据财政部、司法部《关于政府采购支持监狱企业发展有关问题的通知》（财库〔2014〕68号）的规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pStyle w:val="5"/>
        <w:ind w:firstLine="480"/>
        <w:rPr>
          <w:color w:val="auto"/>
          <w:highlight w:val="none"/>
        </w:rPr>
      </w:pPr>
      <w:r>
        <w:rPr>
          <w:rFonts w:hint="eastAsia"/>
          <w:color w:val="auto"/>
          <w:highlight w:val="none"/>
        </w:rPr>
        <w:t>监狱企业参加政府采购活动时，应当提供由省级以上监狱管理局、戒毒管理局（含新疆生产建设兵团）出具的属于监狱企业的证明文件。</w:t>
      </w:r>
    </w:p>
    <w:p>
      <w:pPr>
        <w:rPr>
          <w:color w:val="auto"/>
          <w:highlight w:val="none"/>
        </w:rPr>
      </w:pPr>
    </w:p>
    <w:p>
      <w:pPr>
        <w:pStyle w:val="13"/>
        <w:spacing w:line="360" w:lineRule="auto"/>
        <w:ind w:firstLine="241" w:firstLineChars="100"/>
        <w:rPr>
          <w:rFonts w:hAnsi="宋体" w:cs="宋体"/>
          <w:b/>
          <w:bCs/>
          <w:color w:val="auto"/>
          <w:sz w:val="24"/>
          <w:highlight w:val="none"/>
        </w:rPr>
      </w:pPr>
      <w:r>
        <w:rPr>
          <w:rFonts w:hint="eastAsia" w:hAnsi="宋体" w:cs="宋体"/>
          <w:b/>
          <w:bCs/>
          <w:color w:val="auto"/>
          <w:sz w:val="24"/>
          <w:highlight w:val="none"/>
        </w:rPr>
        <w:t>特别提醒：</w:t>
      </w:r>
    </w:p>
    <w:p>
      <w:pPr>
        <w:pStyle w:val="5"/>
        <w:ind w:firstLine="480"/>
        <w:rPr>
          <w:color w:val="auto"/>
          <w:sz w:val="21"/>
          <w:szCs w:val="21"/>
          <w:highlight w:val="none"/>
        </w:rPr>
      </w:pPr>
      <w:r>
        <w:rPr>
          <w:rFonts w:hint="eastAsia"/>
          <w:color w:val="auto"/>
          <w:sz w:val="21"/>
          <w:szCs w:val="21"/>
          <w:highlight w:val="none"/>
        </w:rPr>
        <w:t>1.填写前请认真阅读财政部、司法部《关于政府采购支持监狱企业发展有关问题的通知》（财库〔2014〕68号）相关规定。</w:t>
      </w:r>
    </w:p>
    <w:p>
      <w:pPr>
        <w:pStyle w:val="6"/>
        <w:ind w:left="1440"/>
        <w:rPr>
          <w:color w:val="auto"/>
          <w:highlight w:val="none"/>
        </w:rPr>
      </w:pPr>
    </w:p>
    <w:p>
      <w:pPr>
        <w:tabs>
          <w:tab w:val="left" w:pos="1321"/>
          <w:tab w:val="center" w:pos="4216"/>
        </w:tabs>
        <w:spacing w:line="480" w:lineRule="auto"/>
        <w:rPr>
          <w:rStyle w:val="38"/>
          <w:bCs w:val="0"/>
          <w:color w:val="auto"/>
          <w:highlight w:val="none"/>
        </w:rPr>
      </w:pPr>
      <w:r>
        <w:rPr>
          <w:rFonts w:hint="eastAsia"/>
          <w:color w:val="auto"/>
          <w:highlight w:val="none"/>
        </w:rPr>
        <w:br w:type="page"/>
      </w:r>
      <w:r>
        <w:rPr>
          <w:rStyle w:val="38"/>
          <w:rFonts w:hint="eastAsia"/>
          <w:bCs w:val="0"/>
          <w:color w:val="auto"/>
          <w:highlight w:val="none"/>
        </w:rPr>
        <w:t>附件</w:t>
      </w:r>
      <w:r>
        <w:rPr>
          <w:rStyle w:val="38"/>
          <w:rFonts w:hint="eastAsia"/>
          <w:bCs w:val="0"/>
          <w:color w:val="auto"/>
          <w:highlight w:val="none"/>
          <w:lang w:val="en-US" w:eastAsia="zh-CN"/>
        </w:rPr>
        <w:t>4</w:t>
      </w:r>
      <w:r>
        <w:rPr>
          <w:rStyle w:val="38"/>
          <w:rFonts w:hint="eastAsia"/>
          <w:bCs w:val="0"/>
          <w:color w:val="auto"/>
          <w:highlight w:val="none"/>
        </w:rPr>
        <w:t>（如有）</w:t>
      </w:r>
    </w:p>
    <w:p>
      <w:pPr>
        <w:pStyle w:val="7"/>
        <w:bidi w:val="0"/>
        <w:rPr>
          <w:color w:val="auto"/>
          <w:highlight w:val="none"/>
        </w:rPr>
      </w:pPr>
      <w:r>
        <w:rPr>
          <w:rFonts w:hint="eastAsia"/>
          <w:color w:val="auto"/>
          <w:highlight w:val="none"/>
        </w:rPr>
        <w:t>“节能产品”、“环境标志产品”证明材料</w:t>
      </w:r>
    </w:p>
    <w:p>
      <w:pPr>
        <w:pStyle w:val="5"/>
        <w:ind w:firstLine="0" w:firstLineChars="0"/>
        <w:rPr>
          <w:color w:val="auto"/>
          <w:highlight w:val="none"/>
        </w:rPr>
      </w:pPr>
      <w:r>
        <w:rPr>
          <w:rFonts w:hint="eastAsia"/>
          <w:color w:val="auto"/>
          <w:highlight w:val="none"/>
        </w:rPr>
        <w:t>说明：</w:t>
      </w:r>
    </w:p>
    <w:p>
      <w:pPr>
        <w:pStyle w:val="5"/>
        <w:ind w:firstLine="480"/>
        <w:rPr>
          <w:color w:val="auto"/>
          <w:highlight w:val="none"/>
        </w:rPr>
      </w:pPr>
      <w:r>
        <w:rPr>
          <w:rFonts w:hint="eastAsia"/>
          <w:color w:val="auto"/>
          <w:highlight w:val="none"/>
        </w:rPr>
        <w:t>1.投标人提供的主要材料与设备属于节能产品或环境标志产品的，应当按照规定提供相关证明材料，并在《投标分项报价表》中填写相应的证书编号；</w:t>
      </w:r>
    </w:p>
    <w:p>
      <w:pPr>
        <w:pStyle w:val="5"/>
        <w:ind w:firstLine="480"/>
        <w:rPr>
          <w:color w:val="auto"/>
          <w:highlight w:val="none"/>
        </w:rPr>
      </w:pPr>
      <w:r>
        <w:rPr>
          <w:rFonts w:hint="eastAsia"/>
          <w:color w:val="auto"/>
          <w:highlight w:val="none"/>
        </w:rPr>
        <w:t>2.投标人未按上述要求提供、填写的，评审时不予加分。</w:t>
      </w:r>
    </w:p>
    <w:p>
      <w:pPr>
        <w:pStyle w:val="5"/>
        <w:ind w:firstLine="480"/>
        <w:rPr>
          <w:bCs/>
          <w:color w:val="auto"/>
          <w:highlight w:val="none"/>
        </w:rPr>
      </w:pPr>
    </w:p>
    <w:p>
      <w:pPr>
        <w:rPr>
          <w:rStyle w:val="37"/>
          <w:color w:val="auto"/>
          <w:highlight w:val="none"/>
        </w:rPr>
      </w:pPr>
      <w:r>
        <w:rPr>
          <w:rStyle w:val="37"/>
          <w:rFonts w:hint="eastAsia"/>
          <w:color w:val="auto"/>
          <w:highlight w:val="none"/>
        </w:rPr>
        <w:br w:type="page"/>
      </w:r>
    </w:p>
    <w:p>
      <w:pPr>
        <w:rPr>
          <w:color w:val="auto"/>
          <w:highlight w:val="none"/>
        </w:rPr>
      </w:pPr>
    </w:p>
    <w:p>
      <w:pPr>
        <w:pStyle w:val="11"/>
        <w:rPr>
          <w:rFonts w:ascii="宋体" w:hAnsi="宋体" w:cs="宋体"/>
          <w:color w:val="auto"/>
          <w:sz w:val="44"/>
          <w:szCs w:val="44"/>
          <w:highlight w:val="none"/>
        </w:rPr>
      </w:pPr>
    </w:p>
    <w:p>
      <w:pPr>
        <w:rPr>
          <w:rFonts w:hAnsi="宋体" w:cs="宋体"/>
          <w:b/>
          <w:color w:val="auto"/>
          <w:sz w:val="44"/>
          <w:szCs w:val="44"/>
          <w:highlight w:val="none"/>
        </w:rPr>
      </w:pPr>
    </w:p>
    <w:p>
      <w:pPr>
        <w:pStyle w:val="11"/>
        <w:rPr>
          <w:rFonts w:ascii="宋体" w:hAnsi="宋体" w:cs="宋体"/>
          <w:color w:val="auto"/>
          <w:sz w:val="44"/>
          <w:szCs w:val="44"/>
          <w:highlight w:val="none"/>
        </w:rPr>
      </w:pPr>
    </w:p>
    <w:p>
      <w:pPr>
        <w:rPr>
          <w:rFonts w:hAnsi="宋体" w:cs="宋体"/>
          <w:b/>
          <w:color w:val="auto"/>
          <w:sz w:val="44"/>
          <w:szCs w:val="44"/>
          <w:highlight w:val="none"/>
        </w:rPr>
      </w:pPr>
    </w:p>
    <w:p>
      <w:pPr>
        <w:pStyle w:val="11"/>
        <w:rPr>
          <w:rFonts w:ascii="宋体" w:hAnsi="宋体" w:cs="宋体"/>
          <w:color w:val="auto"/>
          <w:sz w:val="44"/>
          <w:szCs w:val="44"/>
          <w:highlight w:val="none"/>
        </w:rPr>
      </w:pPr>
    </w:p>
    <w:p>
      <w:pPr>
        <w:rPr>
          <w:color w:val="auto"/>
          <w:highlight w:val="none"/>
        </w:rPr>
      </w:pPr>
    </w:p>
    <w:p>
      <w:pPr>
        <w:spacing w:line="336" w:lineRule="auto"/>
        <w:ind w:firstLine="221" w:firstLineChars="50"/>
        <w:rPr>
          <w:rFonts w:hAnsi="宋体" w:cs="宋体"/>
          <w:b/>
          <w:color w:val="auto"/>
          <w:sz w:val="44"/>
          <w:szCs w:val="44"/>
          <w:highlight w:val="none"/>
        </w:rPr>
      </w:pPr>
    </w:p>
    <w:p>
      <w:pPr>
        <w:spacing w:line="336" w:lineRule="auto"/>
        <w:rPr>
          <w:rFonts w:hAnsi="宋体" w:cs="宋体"/>
          <w:b/>
          <w:color w:val="auto"/>
          <w:sz w:val="44"/>
          <w:szCs w:val="44"/>
          <w:highlight w:val="none"/>
        </w:rPr>
      </w:pPr>
    </w:p>
    <w:p>
      <w:pPr>
        <w:spacing w:line="336" w:lineRule="auto"/>
        <w:rPr>
          <w:rFonts w:hAnsi="宋体" w:cs="宋体"/>
          <w:b/>
          <w:color w:val="auto"/>
          <w:sz w:val="44"/>
          <w:szCs w:val="44"/>
          <w:highlight w:val="none"/>
        </w:rPr>
      </w:pPr>
    </w:p>
    <w:p>
      <w:pPr>
        <w:spacing w:line="336" w:lineRule="auto"/>
        <w:rPr>
          <w:rFonts w:hAnsi="宋体" w:cs="宋体"/>
          <w:b/>
          <w:color w:val="auto"/>
          <w:sz w:val="36"/>
          <w:szCs w:val="36"/>
          <w:highlight w:val="none"/>
        </w:rPr>
      </w:pPr>
    </w:p>
    <w:p>
      <w:pPr>
        <w:spacing w:line="336" w:lineRule="auto"/>
        <w:rPr>
          <w:rFonts w:hAnsi="宋体" w:cs="宋体"/>
          <w:b/>
          <w:color w:val="auto"/>
          <w:sz w:val="36"/>
          <w:szCs w:val="36"/>
          <w:highlight w:val="none"/>
        </w:rPr>
      </w:pPr>
    </w:p>
    <w:p>
      <w:pPr>
        <w:spacing w:line="336" w:lineRule="auto"/>
        <w:rPr>
          <w:rFonts w:hAnsi="宋体" w:cs="宋体"/>
          <w:b/>
          <w:color w:val="auto"/>
          <w:sz w:val="36"/>
          <w:szCs w:val="36"/>
          <w:highlight w:val="none"/>
        </w:rPr>
      </w:pPr>
    </w:p>
    <w:p>
      <w:pPr>
        <w:spacing w:line="336" w:lineRule="auto"/>
        <w:rPr>
          <w:rFonts w:hAnsi="宋体" w:cs="宋体"/>
          <w:b/>
          <w:color w:val="auto"/>
          <w:sz w:val="36"/>
          <w:szCs w:val="36"/>
          <w:highlight w:val="none"/>
        </w:rPr>
      </w:pPr>
    </w:p>
    <w:p>
      <w:pPr>
        <w:spacing w:line="336" w:lineRule="auto"/>
        <w:rPr>
          <w:rFonts w:hAnsi="宋体" w:cs="宋体"/>
          <w:b/>
          <w:color w:val="auto"/>
          <w:sz w:val="36"/>
          <w:szCs w:val="36"/>
          <w:highlight w:val="none"/>
        </w:rPr>
      </w:pPr>
    </w:p>
    <w:p>
      <w:pPr>
        <w:spacing w:line="336" w:lineRule="auto"/>
        <w:rPr>
          <w:rFonts w:hAnsi="宋体" w:cs="宋体"/>
          <w:b/>
          <w:color w:val="auto"/>
          <w:sz w:val="36"/>
          <w:szCs w:val="36"/>
          <w:highlight w:val="none"/>
        </w:rPr>
      </w:pPr>
      <w:r>
        <w:rPr>
          <w:rFonts w:hint="eastAsia" w:hAnsi="宋体" w:cs="宋体"/>
          <w:b/>
          <w:color w:val="auto"/>
          <w:sz w:val="36"/>
          <w:szCs w:val="36"/>
          <w:highlight w:val="none"/>
        </w:rPr>
        <w:t>陕西正鸿招标有限公司</w:t>
      </w:r>
    </w:p>
    <w:p>
      <w:pPr>
        <w:spacing w:line="336" w:lineRule="auto"/>
        <w:ind w:firstLine="160" w:firstLineChars="50"/>
        <w:rPr>
          <w:rFonts w:hAnsi="宋体" w:cs="宋体"/>
          <w:color w:val="auto"/>
          <w:sz w:val="32"/>
          <w:szCs w:val="32"/>
          <w:highlight w:val="none"/>
        </w:rPr>
      </w:pPr>
    </w:p>
    <w:p>
      <w:pPr>
        <w:autoSpaceDE w:val="0"/>
        <w:autoSpaceDN w:val="0"/>
        <w:spacing w:line="336" w:lineRule="auto"/>
        <w:ind w:firstLine="151" w:firstLineChars="50"/>
        <w:rPr>
          <w:rFonts w:hAnsi="宋体" w:cs="宋体"/>
          <w:b/>
          <w:color w:val="auto"/>
          <w:sz w:val="30"/>
          <w:szCs w:val="30"/>
          <w:highlight w:val="none"/>
        </w:rPr>
      </w:pPr>
      <w:r>
        <w:rPr>
          <w:rFonts w:hint="eastAsia" w:hAnsi="宋体" w:cs="宋体"/>
          <w:b/>
          <w:color w:val="auto"/>
          <w:sz w:val="30"/>
          <w:szCs w:val="30"/>
          <w:highlight w:val="none"/>
        </w:rPr>
        <w:t>地    址</w:t>
      </w:r>
      <w:r>
        <w:rPr>
          <w:rFonts w:hint="eastAsia" w:hAnsi="宋体" w:cs="宋体"/>
          <w:b/>
          <w:color w:val="auto"/>
          <w:spacing w:val="-6"/>
          <w:sz w:val="30"/>
          <w:szCs w:val="30"/>
          <w:highlight w:val="none"/>
        </w:rPr>
        <w:t>：西安市雁塔区南二环凯森盛世1号A座408室</w:t>
      </w:r>
    </w:p>
    <w:p>
      <w:pPr>
        <w:autoSpaceDE w:val="0"/>
        <w:autoSpaceDN w:val="0"/>
        <w:spacing w:line="336" w:lineRule="auto"/>
        <w:ind w:firstLine="151" w:firstLineChars="50"/>
        <w:rPr>
          <w:rFonts w:hint="eastAsia" w:hAnsi="宋体" w:eastAsia="宋体" w:cs="宋体"/>
          <w:b/>
          <w:color w:val="auto"/>
          <w:sz w:val="30"/>
          <w:szCs w:val="30"/>
          <w:highlight w:val="none"/>
          <w:lang w:eastAsia="zh-CN"/>
        </w:rPr>
      </w:pPr>
      <w:r>
        <w:rPr>
          <w:rFonts w:hint="eastAsia" w:hAnsi="宋体" w:cs="宋体"/>
          <w:b/>
          <w:color w:val="auto"/>
          <w:sz w:val="30"/>
          <w:szCs w:val="30"/>
          <w:highlight w:val="none"/>
        </w:rPr>
        <w:t>电    话：029-89338755/81511576</w:t>
      </w:r>
      <w:r>
        <w:rPr>
          <w:rFonts w:hint="eastAsia" w:hAnsi="宋体" w:cs="宋体"/>
          <w:b/>
          <w:color w:val="auto"/>
          <w:sz w:val="30"/>
          <w:szCs w:val="30"/>
          <w:highlight w:val="none"/>
          <w:lang w:eastAsia="zh-CN"/>
        </w:rPr>
        <w:t>转802</w:t>
      </w:r>
    </w:p>
    <w:p>
      <w:pPr>
        <w:autoSpaceDE w:val="0"/>
        <w:autoSpaceDN w:val="0"/>
        <w:spacing w:line="336" w:lineRule="auto"/>
        <w:ind w:firstLine="151" w:firstLineChars="50"/>
        <w:rPr>
          <w:rFonts w:hAnsi="宋体" w:cs="宋体"/>
          <w:b/>
          <w:color w:val="auto"/>
          <w:sz w:val="30"/>
          <w:szCs w:val="30"/>
          <w:highlight w:val="none"/>
        </w:rPr>
      </w:pPr>
      <w:r>
        <w:rPr>
          <w:rFonts w:hint="eastAsia" w:hAnsi="宋体" w:cs="宋体"/>
          <w:b/>
          <w:color w:val="auto"/>
          <w:sz w:val="30"/>
          <w:szCs w:val="30"/>
          <w:highlight w:val="none"/>
        </w:rPr>
        <w:t>传    真：029-89338755/81511576转806</w:t>
      </w:r>
    </w:p>
    <w:p>
      <w:pPr>
        <w:autoSpaceDE w:val="0"/>
        <w:autoSpaceDN w:val="0"/>
        <w:spacing w:line="336" w:lineRule="auto"/>
        <w:ind w:firstLine="151" w:firstLineChars="50"/>
        <w:rPr>
          <w:color w:val="auto"/>
          <w:highlight w:val="none"/>
        </w:rPr>
      </w:pPr>
      <w:r>
        <w:rPr>
          <w:rFonts w:hint="eastAsia" w:hAnsi="宋体" w:cs="宋体"/>
          <w:b/>
          <w:color w:val="auto"/>
          <w:sz w:val="30"/>
          <w:szCs w:val="30"/>
          <w:highlight w:val="none"/>
        </w:rPr>
        <w:t>邮    编：710054</w:t>
      </w:r>
    </w:p>
    <w:p>
      <w:pPr>
        <w:rPr>
          <w:color w:val="auto"/>
          <w:highlight w:val="none"/>
        </w:rPr>
      </w:pPr>
    </w:p>
    <w:sectPr>
      <w:footerReference r:id="rId12" w:type="first"/>
      <w:footerReference r:id="rId11" w:type="default"/>
      <w:pgSz w:w="11906" w:h="16838"/>
      <w:pgMar w:top="1417" w:right="1417" w:bottom="1417" w:left="1417" w:header="992" w:footer="992" w:gutter="170"/>
      <w:cols w:space="0" w:num="1"/>
      <w:docGrid w:type="lines" w:linePitch="33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sz w:val="18"/>
                            </w:rPr>
                          </w:pP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QHJYcIBAACN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OUByWHCAQAAjQMAAA4AAAAAAAAAAQAgAAAAHgEAAGRycy9lMm9Eb2MueG1sUEsF&#10;BgAAAAAGAAYAWQEAAFIFAAAAAA==&#10;">
              <v:fill on="f" focussize="0,0"/>
              <v:stroke on="f"/>
              <v:imagedata o:title=""/>
              <o:lock v:ext="edit" aspectratio="f"/>
              <v:textbox inset="0mm,0mm,0mm,0mm" style="mso-fit-shape-to-text:t;">
                <w:txbxContent>
                  <w:p>
                    <w:pPr>
                      <w:snapToGrid w:val="0"/>
                      <w:rPr>
                        <w:sz w:val="18"/>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top w:val="single" w:color="auto" w:sz="4" w:space="1"/>
        <w:left w:val="none" w:color="auto" w:sz="0" w:space="4"/>
        <w:bottom w:val="none" w:color="auto" w:sz="0" w:space="1"/>
        <w:right w:val="none" w:color="auto" w:sz="0" w:space="4"/>
      </w:pBdr>
      <w:jc w:val="both"/>
      <w:rPr>
        <w:rFonts w:ascii="宋体" w:hAnsi="宋体" w:cs="宋体"/>
      </w:rPr>
    </w:pPr>
    <w:r>
      <w:rPr>
        <w:rFonts w:hint="eastAsia" w:ascii="宋体" w:hAnsi="宋体" w:cs="宋体"/>
      </w:rPr>
      <w:t>陕西正鸿招标有限公司                                                    电话：029-89338755/81511576</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top w:val="single" w:color="auto" w:sz="4" w:space="1"/>
        <w:left w:val="none" w:color="auto" w:sz="0" w:space="4"/>
        <w:bottom w:val="none" w:color="auto" w:sz="0" w:space="1"/>
        <w:right w:val="none" w:color="auto" w:sz="0" w:space="4"/>
      </w:pBdr>
      <w:jc w:val="right"/>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5"/>
                          </w:pPr>
                          <w:r>
                            <w:fldChar w:fldCharType="begin"/>
                          </w:r>
                          <w:r>
                            <w:instrText xml:space="preserve"> PAGE  \* MERGEFORMAT </w:instrText>
                          </w:r>
                          <w:r>
                            <w:fldChar w:fldCharType="separate"/>
                          </w:r>
                          <w:r>
                            <w:t>2</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pPr>
                      <w:pStyle w:val="15"/>
                    </w:pPr>
                    <w:r>
                      <w:fldChar w:fldCharType="begin"/>
                    </w:r>
                    <w:r>
                      <w:instrText xml:space="preserve"> PAGE  \* MERGEFORMAT </w:instrText>
                    </w:r>
                    <w:r>
                      <w:fldChar w:fldCharType="separate"/>
                    </w:r>
                    <w:r>
                      <w:t>2</w:t>
                    </w:r>
                    <w:r>
                      <w:fldChar w:fldCharType="end"/>
                    </w:r>
                  </w:p>
                </w:txbxContent>
              </v:textbox>
            </v:shape>
          </w:pict>
        </mc:Fallback>
      </mc:AlternateContent>
    </w:r>
    <w:r>
      <w:rPr>
        <w:rFonts w:hint="eastAsia" w:ascii="宋体" w:hAnsi="宋体" w:cs="宋体"/>
      </w:rPr>
      <w:t>陕西正鸿招标有限公司</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top w:val="single" w:color="auto" w:sz="4" w:space="1"/>
        <w:left w:val="none" w:color="auto" w:sz="0" w:space="4"/>
        <w:bottom w:val="none" w:color="auto" w:sz="0" w:space="1"/>
        <w:right w:val="none" w:color="auto" w:sz="0" w:space="4"/>
      </w:pBdr>
      <w:jc w:val="both"/>
      <w:rPr>
        <w:rFonts w:ascii="宋体" w:hAnsi="宋体" w:cs="宋体"/>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36</w:t>
                    </w:r>
                    <w:r>
                      <w:fldChar w:fldCharType="end"/>
                    </w:r>
                  </w:p>
                </w:txbxContent>
              </v:textbox>
            </v:shape>
          </w:pict>
        </mc:Fallback>
      </mc:AlternateContent>
    </w:r>
    <w:r>
      <w:rPr>
        <w:rFonts w:hint="eastAsia" w:ascii="宋体" w:hAnsi="宋体" w:cs="宋体"/>
      </w:rPr>
      <w:t>陕西正鸿招标有限公司                                                    电话：029-89338755/81511576</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top w:val="single" w:color="auto" w:sz="4" w:space="1"/>
        <w:left w:val="none" w:color="auto" w:sz="0" w:space="4"/>
        <w:bottom w:val="none" w:color="auto" w:sz="0" w:space="1"/>
        <w:right w:val="none" w:color="auto" w:sz="0" w:space="4"/>
      </w:pBdr>
      <w:jc w:val="right"/>
    </w:pPr>
    <w:r>
      <w:rPr>
        <w:rFonts w:hint="eastAsia" w:ascii="宋体" w:hAnsi="宋体" w:cs="宋体"/>
      </w:rPr>
      <w:t>陕西正鸿招标有限公司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top w:val="none" w:color="auto" w:sz="0" w:space="1"/>
        <w:left w:val="none" w:color="auto" w:sz="0" w:space="4"/>
        <w:bottom w:val="none" w:color="auto" w:sz="0" w:space="1"/>
        <w:right w:val="none" w:color="auto" w:sz="0" w:space="4"/>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both"/>
    </w:pPr>
    <w:r>
      <w:rPr>
        <w:rFonts w:hint="eastAsia" w:ascii="宋体" w:hAnsi="宋体" w:cs="宋体"/>
      </w:rPr>
      <w:t xml:space="preserve">项目名称：西安美术学院2023年图书采购项目 </w:t>
    </w:r>
    <w:r>
      <w:rPr>
        <w:rFonts w:ascii="宋体" w:hAnsi="宋体" w:cs="宋体"/>
      </w:rPr>
      <w:t xml:space="preserve">     </w:t>
    </w:r>
    <w:r>
      <w:rPr>
        <w:rFonts w:hint="eastAsia" w:ascii="宋体" w:hAnsi="宋体" w:cs="宋体"/>
      </w:rPr>
      <w:t xml:space="preserve"> </w:t>
    </w:r>
    <w:r>
      <w:rPr>
        <w:rFonts w:ascii="宋体" w:hAnsi="宋体" w:cs="宋体"/>
      </w:rPr>
      <w:t xml:space="preserve">  </w:t>
    </w:r>
    <w:r>
      <w:rPr>
        <w:rFonts w:hint="eastAsia" w:ascii="宋体" w:hAnsi="宋体" w:cs="宋体"/>
      </w:rPr>
      <w:t xml:space="preserve">        </w:t>
    </w:r>
    <w:r>
      <w:rPr>
        <w:rFonts w:hint="eastAsia" w:ascii="宋体" w:hAnsi="宋体" w:cs="宋体"/>
        <w:lang w:val="en-US" w:eastAsia="zh-CN"/>
      </w:rPr>
      <w:t xml:space="preserve">   </w:t>
    </w:r>
    <w:r>
      <w:rPr>
        <w:rFonts w:hint="eastAsia" w:ascii="宋体" w:hAnsi="宋体" w:cs="宋体"/>
      </w:rPr>
      <w:t xml:space="preserve">         项目编号：</w:t>
    </w:r>
    <w:r>
      <w:rPr>
        <w:rFonts w:hint="eastAsia" w:ascii="宋体" w:hAnsi="宋体" w:cs="宋体"/>
        <w:lang w:eastAsia="zh-CN"/>
      </w:rPr>
      <w:t>ZHZB-2022-GK-12112</w:t>
    </w:r>
    <w:r>
      <w:rPr>
        <w:rFonts w:hint="eastAsia" w:ascii="宋体" w:hAnsi="宋体" w:cs="宋体"/>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rFonts w:hint="eastAsia" w:ascii="宋体" w:hAnsi="宋体" w:cs="宋体"/>
        <w:lang w:eastAsia="zh-CN"/>
      </w:rPr>
      <w:t>西安美术学院</w:t>
    </w:r>
    <w:r>
      <w:rPr>
        <w:rFonts w:hint="eastAsia" w:ascii="宋体" w:hAnsi="宋体" w:cs="宋体"/>
      </w:rPr>
      <w:t>原位红外光谱仪等仪器设备购置项目                                              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decimal"/>
      <w:lvlText w:val="%1."/>
      <w:lvlJc w:val="left"/>
      <w:pPr>
        <w:tabs>
          <w:tab w:val="left" w:pos="312"/>
        </w:tabs>
      </w:pPr>
    </w:lvl>
  </w:abstractNum>
  <w:abstractNum w:abstractNumId="1">
    <w:nsid w:val="14B66CD3"/>
    <w:multiLevelType w:val="singleLevel"/>
    <w:tmpl w:val="14B66CD3"/>
    <w:lvl w:ilvl="0" w:tentative="0">
      <w:start w:val="1"/>
      <w:numFmt w:val="chineseCounting"/>
      <w:suff w:val="nothing"/>
      <w:lvlText w:val="%1、"/>
      <w:lvlJc w:val="left"/>
      <w:rPr>
        <w:rFonts w:hint="eastAsia"/>
      </w:rPr>
    </w:lvl>
  </w:abstractNum>
  <w:abstractNum w:abstractNumId="2">
    <w:nsid w:val="2905323D"/>
    <w:multiLevelType w:val="singleLevel"/>
    <w:tmpl w:val="2905323D"/>
    <w:lvl w:ilvl="0" w:tentative="0">
      <w:start w:val="1"/>
      <w:numFmt w:val="decimal"/>
      <w:lvlText w:val="%1."/>
      <w:lvlJc w:val="left"/>
      <w:pPr>
        <w:tabs>
          <w:tab w:val="left" w:pos="312"/>
        </w:tabs>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5Y2E4NjRmNDZkN2IzZjMzOTE0ODI1OTQxOWFjMTIifQ=="/>
  </w:docVars>
  <w:rsids>
    <w:rsidRoot w:val="7AE25B78"/>
    <w:rsid w:val="0001258B"/>
    <w:rsid w:val="00015B32"/>
    <w:rsid w:val="000320A7"/>
    <w:rsid w:val="000438EB"/>
    <w:rsid w:val="000613DA"/>
    <w:rsid w:val="000C6BEC"/>
    <w:rsid w:val="000C6F52"/>
    <w:rsid w:val="000D34B5"/>
    <w:rsid w:val="00157B13"/>
    <w:rsid w:val="00170D2D"/>
    <w:rsid w:val="001874C6"/>
    <w:rsid w:val="001F6AA3"/>
    <w:rsid w:val="00214A45"/>
    <w:rsid w:val="00276E23"/>
    <w:rsid w:val="002A0820"/>
    <w:rsid w:val="002B4CAB"/>
    <w:rsid w:val="002B6181"/>
    <w:rsid w:val="002C23A3"/>
    <w:rsid w:val="002D68AE"/>
    <w:rsid w:val="00333EA6"/>
    <w:rsid w:val="0034342F"/>
    <w:rsid w:val="00404BBF"/>
    <w:rsid w:val="00414165"/>
    <w:rsid w:val="00443E74"/>
    <w:rsid w:val="00451FCB"/>
    <w:rsid w:val="004D488E"/>
    <w:rsid w:val="004F486D"/>
    <w:rsid w:val="005165B7"/>
    <w:rsid w:val="005873EF"/>
    <w:rsid w:val="005A6186"/>
    <w:rsid w:val="005B2D49"/>
    <w:rsid w:val="005C06E0"/>
    <w:rsid w:val="005C3E2C"/>
    <w:rsid w:val="005C6E28"/>
    <w:rsid w:val="005F3E16"/>
    <w:rsid w:val="005F5C49"/>
    <w:rsid w:val="005F7E1A"/>
    <w:rsid w:val="00603336"/>
    <w:rsid w:val="00630C10"/>
    <w:rsid w:val="00655523"/>
    <w:rsid w:val="00655BE2"/>
    <w:rsid w:val="00657901"/>
    <w:rsid w:val="006660EF"/>
    <w:rsid w:val="006673D6"/>
    <w:rsid w:val="006C1FBA"/>
    <w:rsid w:val="0070789E"/>
    <w:rsid w:val="00726D06"/>
    <w:rsid w:val="007276CD"/>
    <w:rsid w:val="00732094"/>
    <w:rsid w:val="0073710B"/>
    <w:rsid w:val="00744CF0"/>
    <w:rsid w:val="00765271"/>
    <w:rsid w:val="007C32FD"/>
    <w:rsid w:val="007F0242"/>
    <w:rsid w:val="00801407"/>
    <w:rsid w:val="00815D0D"/>
    <w:rsid w:val="00836B30"/>
    <w:rsid w:val="00851787"/>
    <w:rsid w:val="0088783B"/>
    <w:rsid w:val="008963C6"/>
    <w:rsid w:val="008B6316"/>
    <w:rsid w:val="008E6E7E"/>
    <w:rsid w:val="0092359A"/>
    <w:rsid w:val="0094408F"/>
    <w:rsid w:val="009622C1"/>
    <w:rsid w:val="009C73FB"/>
    <w:rsid w:val="009F218F"/>
    <w:rsid w:val="00A04447"/>
    <w:rsid w:val="00A0711A"/>
    <w:rsid w:val="00A1362D"/>
    <w:rsid w:val="00A520A0"/>
    <w:rsid w:val="00A74636"/>
    <w:rsid w:val="00A747CF"/>
    <w:rsid w:val="00AE1E98"/>
    <w:rsid w:val="00AE5ABB"/>
    <w:rsid w:val="00AF6FEF"/>
    <w:rsid w:val="00B01E72"/>
    <w:rsid w:val="00B44170"/>
    <w:rsid w:val="00B64CA9"/>
    <w:rsid w:val="00BA7EB6"/>
    <w:rsid w:val="00BB7BF2"/>
    <w:rsid w:val="00BF58E5"/>
    <w:rsid w:val="00C036C8"/>
    <w:rsid w:val="00C35480"/>
    <w:rsid w:val="00C8492F"/>
    <w:rsid w:val="00C920EC"/>
    <w:rsid w:val="00CB243E"/>
    <w:rsid w:val="00CB29B1"/>
    <w:rsid w:val="00CB3695"/>
    <w:rsid w:val="00CF513A"/>
    <w:rsid w:val="00CF5CB7"/>
    <w:rsid w:val="00D16BD7"/>
    <w:rsid w:val="00D22CB8"/>
    <w:rsid w:val="00D23C56"/>
    <w:rsid w:val="00D3199C"/>
    <w:rsid w:val="00D35AD4"/>
    <w:rsid w:val="00D64EA9"/>
    <w:rsid w:val="00D7387C"/>
    <w:rsid w:val="00D950FC"/>
    <w:rsid w:val="00DF4FD8"/>
    <w:rsid w:val="00E368F2"/>
    <w:rsid w:val="00E91ADD"/>
    <w:rsid w:val="00EA42CF"/>
    <w:rsid w:val="00EC102A"/>
    <w:rsid w:val="00F14BB0"/>
    <w:rsid w:val="00F5365F"/>
    <w:rsid w:val="00F61512"/>
    <w:rsid w:val="00F630A5"/>
    <w:rsid w:val="00F74F1A"/>
    <w:rsid w:val="01055F25"/>
    <w:rsid w:val="013F61D9"/>
    <w:rsid w:val="015730B8"/>
    <w:rsid w:val="01C93227"/>
    <w:rsid w:val="02195D76"/>
    <w:rsid w:val="022E6EBB"/>
    <w:rsid w:val="02DA4287"/>
    <w:rsid w:val="02E26B03"/>
    <w:rsid w:val="02E37B11"/>
    <w:rsid w:val="03512CDF"/>
    <w:rsid w:val="038A570F"/>
    <w:rsid w:val="03A270ED"/>
    <w:rsid w:val="03BD7687"/>
    <w:rsid w:val="04194790"/>
    <w:rsid w:val="04AF51D0"/>
    <w:rsid w:val="052A72CB"/>
    <w:rsid w:val="055B748B"/>
    <w:rsid w:val="05910AD7"/>
    <w:rsid w:val="05B815AE"/>
    <w:rsid w:val="06114E3A"/>
    <w:rsid w:val="069B1796"/>
    <w:rsid w:val="06D661F7"/>
    <w:rsid w:val="07046AFB"/>
    <w:rsid w:val="07586442"/>
    <w:rsid w:val="07C5391D"/>
    <w:rsid w:val="080F0A6A"/>
    <w:rsid w:val="08316AA1"/>
    <w:rsid w:val="083C4B54"/>
    <w:rsid w:val="08773E4A"/>
    <w:rsid w:val="089F3D42"/>
    <w:rsid w:val="08A2174C"/>
    <w:rsid w:val="08A26A71"/>
    <w:rsid w:val="08E90808"/>
    <w:rsid w:val="09122582"/>
    <w:rsid w:val="092E3F47"/>
    <w:rsid w:val="09594B91"/>
    <w:rsid w:val="09A11F9E"/>
    <w:rsid w:val="09D41182"/>
    <w:rsid w:val="0A0D0790"/>
    <w:rsid w:val="0A100B8A"/>
    <w:rsid w:val="0A117F61"/>
    <w:rsid w:val="0A192987"/>
    <w:rsid w:val="0A2A37A7"/>
    <w:rsid w:val="0A2A66DF"/>
    <w:rsid w:val="0A413699"/>
    <w:rsid w:val="0ACD3C45"/>
    <w:rsid w:val="0AD22E35"/>
    <w:rsid w:val="0AE84E46"/>
    <w:rsid w:val="0AF953DB"/>
    <w:rsid w:val="0B5E4F57"/>
    <w:rsid w:val="0B6836AB"/>
    <w:rsid w:val="0BD8604C"/>
    <w:rsid w:val="0C974BFF"/>
    <w:rsid w:val="0C976181"/>
    <w:rsid w:val="0C997D26"/>
    <w:rsid w:val="0CCC2E3C"/>
    <w:rsid w:val="0D45287A"/>
    <w:rsid w:val="0D496A50"/>
    <w:rsid w:val="0D890C97"/>
    <w:rsid w:val="0E604DEA"/>
    <w:rsid w:val="0E9A2D3E"/>
    <w:rsid w:val="0EAF52D8"/>
    <w:rsid w:val="0F41440A"/>
    <w:rsid w:val="0F566A47"/>
    <w:rsid w:val="0F760432"/>
    <w:rsid w:val="0FAB3C9F"/>
    <w:rsid w:val="0FB56209"/>
    <w:rsid w:val="0FB63842"/>
    <w:rsid w:val="0FFF2AA1"/>
    <w:rsid w:val="10340862"/>
    <w:rsid w:val="104B11D6"/>
    <w:rsid w:val="105F273B"/>
    <w:rsid w:val="11625005"/>
    <w:rsid w:val="11997035"/>
    <w:rsid w:val="11B06E02"/>
    <w:rsid w:val="11F42873"/>
    <w:rsid w:val="121750B6"/>
    <w:rsid w:val="12480071"/>
    <w:rsid w:val="1272150B"/>
    <w:rsid w:val="12BE7031"/>
    <w:rsid w:val="12DC289E"/>
    <w:rsid w:val="13341B54"/>
    <w:rsid w:val="139A657A"/>
    <w:rsid w:val="13B43BFC"/>
    <w:rsid w:val="13FA6A44"/>
    <w:rsid w:val="144F2247"/>
    <w:rsid w:val="14BA2B15"/>
    <w:rsid w:val="14EE37AD"/>
    <w:rsid w:val="156C3AD3"/>
    <w:rsid w:val="1686445B"/>
    <w:rsid w:val="16B76111"/>
    <w:rsid w:val="16CF0FA6"/>
    <w:rsid w:val="16FB0571"/>
    <w:rsid w:val="1715549E"/>
    <w:rsid w:val="17173305"/>
    <w:rsid w:val="171D6079"/>
    <w:rsid w:val="17831132"/>
    <w:rsid w:val="17851F86"/>
    <w:rsid w:val="17AF7EFF"/>
    <w:rsid w:val="17C57976"/>
    <w:rsid w:val="17E43ABA"/>
    <w:rsid w:val="189225DB"/>
    <w:rsid w:val="189B79CA"/>
    <w:rsid w:val="18A149CB"/>
    <w:rsid w:val="18A36FF2"/>
    <w:rsid w:val="18EB4791"/>
    <w:rsid w:val="194166AC"/>
    <w:rsid w:val="19584E08"/>
    <w:rsid w:val="195F2A21"/>
    <w:rsid w:val="197D7FEE"/>
    <w:rsid w:val="19AA6AC5"/>
    <w:rsid w:val="19C5409B"/>
    <w:rsid w:val="19D479CC"/>
    <w:rsid w:val="1A366B7F"/>
    <w:rsid w:val="1A584361"/>
    <w:rsid w:val="1A5E3E4B"/>
    <w:rsid w:val="1A754190"/>
    <w:rsid w:val="1A7D025E"/>
    <w:rsid w:val="1AAD1C9C"/>
    <w:rsid w:val="1B525F94"/>
    <w:rsid w:val="1B723200"/>
    <w:rsid w:val="1BE95745"/>
    <w:rsid w:val="1D602182"/>
    <w:rsid w:val="1D952664"/>
    <w:rsid w:val="1DC13BBE"/>
    <w:rsid w:val="1DC80E6F"/>
    <w:rsid w:val="1E6D2774"/>
    <w:rsid w:val="1ED36A84"/>
    <w:rsid w:val="1F1E0B22"/>
    <w:rsid w:val="1F947BE9"/>
    <w:rsid w:val="1FAB45A5"/>
    <w:rsid w:val="1FB83462"/>
    <w:rsid w:val="1FC71401"/>
    <w:rsid w:val="1FED7107"/>
    <w:rsid w:val="20084DC0"/>
    <w:rsid w:val="201A5A08"/>
    <w:rsid w:val="201B4D96"/>
    <w:rsid w:val="208D1DC3"/>
    <w:rsid w:val="20CF3444"/>
    <w:rsid w:val="212F5FE4"/>
    <w:rsid w:val="219F11ED"/>
    <w:rsid w:val="21BA145D"/>
    <w:rsid w:val="21D360B9"/>
    <w:rsid w:val="21F02F49"/>
    <w:rsid w:val="224F6D74"/>
    <w:rsid w:val="22967F78"/>
    <w:rsid w:val="22E77C53"/>
    <w:rsid w:val="22F81FF1"/>
    <w:rsid w:val="235F7309"/>
    <w:rsid w:val="23922691"/>
    <w:rsid w:val="23DE769B"/>
    <w:rsid w:val="23EA1ADF"/>
    <w:rsid w:val="23F02417"/>
    <w:rsid w:val="23F17B1E"/>
    <w:rsid w:val="24166FC9"/>
    <w:rsid w:val="2449415F"/>
    <w:rsid w:val="24837C82"/>
    <w:rsid w:val="249E5C32"/>
    <w:rsid w:val="24B21DA9"/>
    <w:rsid w:val="24E92817"/>
    <w:rsid w:val="24ED427D"/>
    <w:rsid w:val="25214F5D"/>
    <w:rsid w:val="252E3161"/>
    <w:rsid w:val="253B7C18"/>
    <w:rsid w:val="255234D3"/>
    <w:rsid w:val="25651FC9"/>
    <w:rsid w:val="259737E8"/>
    <w:rsid w:val="25A2704B"/>
    <w:rsid w:val="25B63D05"/>
    <w:rsid w:val="265716E8"/>
    <w:rsid w:val="26AC584D"/>
    <w:rsid w:val="26EC6832"/>
    <w:rsid w:val="26FD57FB"/>
    <w:rsid w:val="270B6E42"/>
    <w:rsid w:val="281B64C1"/>
    <w:rsid w:val="28525702"/>
    <w:rsid w:val="287D6259"/>
    <w:rsid w:val="288D7862"/>
    <w:rsid w:val="28C3764F"/>
    <w:rsid w:val="28EB1606"/>
    <w:rsid w:val="28FF0795"/>
    <w:rsid w:val="2907413E"/>
    <w:rsid w:val="291D4E2E"/>
    <w:rsid w:val="29EF19CF"/>
    <w:rsid w:val="2A495A29"/>
    <w:rsid w:val="2A4E52CA"/>
    <w:rsid w:val="2A5E5F22"/>
    <w:rsid w:val="2A67521A"/>
    <w:rsid w:val="2ACC2AC6"/>
    <w:rsid w:val="2AD46371"/>
    <w:rsid w:val="2B2067D5"/>
    <w:rsid w:val="2B3202B6"/>
    <w:rsid w:val="2B495DDC"/>
    <w:rsid w:val="2B6C69FE"/>
    <w:rsid w:val="2BE9356B"/>
    <w:rsid w:val="2C885A24"/>
    <w:rsid w:val="2C8F214A"/>
    <w:rsid w:val="2C9E7C2A"/>
    <w:rsid w:val="2CA43435"/>
    <w:rsid w:val="2CC87F2E"/>
    <w:rsid w:val="2CCD7F5E"/>
    <w:rsid w:val="2CF45540"/>
    <w:rsid w:val="2D265D29"/>
    <w:rsid w:val="2D695F02"/>
    <w:rsid w:val="2E0F2B40"/>
    <w:rsid w:val="2E100D83"/>
    <w:rsid w:val="2EC12F79"/>
    <w:rsid w:val="2F1E3A89"/>
    <w:rsid w:val="2F38679F"/>
    <w:rsid w:val="2F6B1289"/>
    <w:rsid w:val="2F6F5CC0"/>
    <w:rsid w:val="2F757A66"/>
    <w:rsid w:val="2F8042D7"/>
    <w:rsid w:val="30006BD5"/>
    <w:rsid w:val="3019253B"/>
    <w:rsid w:val="30B03386"/>
    <w:rsid w:val="30C20AC1"/>
    <w:rsid w:val="30D556A6"/>
    <w:rsid w:val="315C3788"/>
    <w:rsid w:val="31851F80"/>
    <w:rsid w:val="319A7B72"/>
    <w:rsid w:val="31C84B78"/>
    <w:rsid w:val="321F3583"/>
    <w:rsid w:val="322E5B21"/>
    <w:rsid w:val="326F3B9E"/>
    <w:rsid w:val="32886871"/>
    <w:rsid w:val="32924002"/>
    <w:rsid w:val="32C01964"/>
    <w:rsid w:val="32C76AE6"/>
    <w:rsid w:val="32C96CCC"/>
    <w:rsid w:val="32DB1789"/>
    <w:rsid w:val="32E77BD8"/>
    <w:rsid w:val="33194345"/>
    <w:rsid w:val="33211838"/>
    <w:rsid w:val="33433A5B"/>
    <w:rsid w:val="334E3387"/>
    <w:rsid w:val="33F6779A"/>
    <w:rsid w:val="34091BF6"/>
    <w:rsid w:val="341475A7"/>
    <w:rsid w:val="34296534"/>
    <w:rsid w:val="3444155D"/>
    <w:rsid w:val="345130B7"/>
    <w:rsid w:val="347744CB"/>
    <w:rsid w:val="34952511"/>
    <w:rsid w:val="34A43EE3"/>
    <w:rsid w:val="34B55780"/>
    <w:rsid w:val="34F23498"/>
    <w:rsid w:val="35464FF3"/>
    <w:rsid w:val="35810BEA"/>
    <w:rsid w:val="35BE6D4B"/>
    <w:rsid w:val="35FB37C2"/>
    <w:rsid w:val="364A6DFC"/>
    <w:rsid w:val="36621E8B"/>
    <w:rsid w:val="36760EF9"/>
    <w:rsid w:val="36C75462"/>
    <w:rsid w:val="373962FB"/>
    <w:rsid w:val="37536778"/>
    <w:rsid w:val="37B13D77"/>
    <w:rsid w:val="37B73C9A"/>
    <w:rsid w:val="37F83847"/>
    <w:rsid w:val="38152E75"/>
    <w:rsid w:val="39626D46"/>
    <w:rsid w:val="398B25B1"/>
    <w:rsid w:val="39A571FD"/>
    <w:rsid w:val="39C8790B"/>
    <w:rsid w:val="39DA57F0"/>
    <w:rsid w:val="39FD6825"/>
    <w:rsid w:val="3A3D2730"/>
    <w:rsid w:val="3A4B5CD3"/>
    <w:rsid w:val="3AAE1769"/>
    <w:rsid w:val="3B243926"/>
    <w:rsid w:val="3B383C19"/>
    <w:rsid w:val="3B4D48D7"/>
    <w:rsid w:val="3BBF16F2"/>
    <w:rsid w:val="3C0A73D1"/>
    <w:rsid w:val="3CA362FD"/>
    <w:rsid w:val="3CA77FE7"/>
    <w:rsid w:val="3CCC056A"/>
    <w:rsid w:val="3D236F1F"/>
    <w:rsid w:val="3D582F4C"/>
    <w:rsid w:val="3D6A11A9"/>
    <w:rsid w:val="3D9D50BD"/>
    <w:rsid w:val="3DD30BDA"/>
    <w:rsid w:val="3DDB7680"/>
    <w:rsid w:val="3DDF5951"/>
    <w:rsid w:val="3DED423B"/>
    <w:rsid w:val="3E0B76CB"/>
    <w:rsid w:val="3EC911B2"/>
    <w:rsid w:val="3F16510E"/>
    <w:rsid w:val="3F69229B"/>
    <w:rsid w:val="3F8E13DC"/>
    <w:rsid w:val="3FB11C9A"/>
    <w:rsid w:val="3FD870C5"/>
    <w:rsid w:val="3FDF5EEA"/>
    <w:rsid w:val="3FF34366"/>
    <w:rsid w:val="3FF52D82"/>
    <w:rsid w:val="4010631A"/>
    <w:rsid w:val="4021659D"/>
    <w:rsid w:val="40382F92"/>
    <w:rsid w:val="403C125E"/>
    <w:rsid w:val="40CB63F3"/>
    <w:rsid w:val="40D22ED6"/>
    <w:rsid w:val="41001F5C"/>
    <w:rsid w:val="41D55B63"/>
    <w:rsid w:val="41F42A7B"/>
    <w:rsid w:val="42706A4F"/>
    <w:rsid w:val="42EC074C"/>
    <w:rsid w:val="42F500EF"/>
    <w:rsid w:val="430E508D"/>
    <w:rsid w:val="432F16E4"/>
    <w:rsid w:val="43355326"/>
    <w:rsid w:val="439F1014"/>
    <w:rsid w:val="43A01517"/>
    <w:rsid w:val="43A56F37"/>
    <w:rsid w:val="43C20628"/>
    <w:rsid w:val="44581D6B"/>
    <w:rsid w:val="44603483"/>
    <w:rsid w:val="448B573D"/>
    <w:rsid w:val="44E62215"/>
    <w:rsid w:val="45186B13"/>
    <w:rsid w:val="451F4095"/>
    <w:rsid w:val="452B44E0"/>
    <w:rsid w:val="45A36C36"/>
    <w:rsid w:val="45B5157B"/>
    <w:rsid w:val="45EE126F"/>
    <w:rsid w:val="46227DE8"/>
    <w:rsid w:val="4645410E"/>
    <w:rsid w:val="464F3F4F"/>
    <w:rsid w:val="467005B4"/>
    <w:rsid w:val="46885F8C"/>
    <w:rsid w:val="469E48BD"/>
    <w:rsid w:val="46A367C3"/>
    <w:rsid w:val="46E10FA2"/>
    <w:rsid w:val="46F057FA"/>
    <w:rsid w:val="46FF4630"/>
    <w:rsid w:val="470E4F44"/>
    <w:rsid w:val="47631ACB"/>
    <w:rsid w:val="47892DA5"/>
    <w:rsid w:val="479F7517"/>
    <w:rsid w:val="47A6282A"/>
    <w:rsid w:val="47DB6A86"/>
    <w:rsid w:val="480A78FD"/>
    <w:rsid w:val="48362EDE"/>
    <w:rsid w:val="487E3FE2"/>
    <w:rsid w:val="48835CE6"/>
    <w:rsid w:val="4887491A"/>
    <w:rsid w:val="48D621CC"/>
    <w:rsid w:val="4986560D"/>
    <w:rsid w:val="49965CC3"/>
    <w:rsid w:val="49B151CA"/>
    <w:rsid w:val="49BE0E26"/>
    <w:rsid w:val="49EB3960"/>
    <w:rsid w:val="4A0049BE"/>
    <w:rsid w:val="4A281B71"/>
    <w:rsid w:val="4A512F05"/>
    <w:rsid w:val="4A7D1EC2"/>
    <w:rsid w:val="4A8C5241"/>
    <w:rsid w:val="4AD907B6"/>
    <w:rsid w:val="4AF059B8"/>
    <w:rsid w:val="4B6E17A2"/>
    <w:rsid w:val="4B707233"/>
    <w:rsid w:val="4B784575"/>
    <w:rsid w:val="4B997AE4"/>
    <w:rsid w:val="4BBE0C63"/>
    <w:rsid w:val="4BC22AA5"/>
    <w:rsid w:val="4BCF2A9D"/>
    <w:rsid w:val="4BE3399F"/>
    <w:rsid w:val="4BEB17A9"/>
    <w:rsid w:val="4C0E691D"/>
    <w:rsid w:val="4C1A7275"/>
    <w:rsid w:val="4C256175"/>
    <w:rsid w:val="4C373BB6"/>
    <w:rsid w:val="4C7D1EB7"/>
    <w:rsid w:val="4CA33CF9"/>
    <w:rsid w:val="4CD2672F"/>
    <w:rsid w:val="4D4A31C8"/>
    <w:rsid w:val="4D793706"/>
    <w:rsid w:val="4DD408C2"/>
    <w:rsid w:val="4DFF067C"/>
    <w:rsid w:val="4E2F09F8"/>
    <w:rsid w:val="4E60181F"/>
    <w:rsid w:val="4E640A54"/>
    <w:rsid w:val="4EDB5967"/>
    <w:rsid w:val="4F2002A2"/>
    <w:rsid w:val="4F214111"/>
    <w:rsid w:val="4F2C6C47"/>
    <w:rsid w:val="4F5148FF"/>
    <w:rsid w:val="4F8541D3"/>
    <w:rsid w:val="4F8545A9"/>
    <w:rsid w:val="4FB4318C"/>
    <w:rsid w:val="4FCA18AB"/>
    <w:rsid w:val="502E52A6"/>
    <w:rsid w:val="50742DDB"/>
    <w:rsid w:val="50B054D8"/>
    <w:rsid w:val="50E56E5F"/>
    <w:rsid w:val="51012AAC"/>
    <w:rsid w:val="5197662F"/>
    <w:rsid w:val="51E76DE3"/>
    <w:rsid w:val="51EE30CC"/>
    <w:rsid w:val="527A4E94"/>
    <w:rsid w:val="52AE4AB9"/>
    <w:rsid w:val="52B3313F"/>
    <w:rsid w:val="52D1298C"/>
    <w:rsid w:val="530104DB"/>
    <w:rsid w:val="53030FA6"/>
    <w:rsid w:val="53391670"/>
    <w:rsid w:val="53603107"/>
    <w:rsid w:val="5387430F"/>
    <w:rsid w:val="54191C53"/>
    <w:rsid w:val="544D6993"/>
    <w:rsid w:val="548C51EC"/>
    <w:rsid w:val="5490205A"/>
    <w:rsid w:val="55274553"/>
    <w:rsid w:val="55D32512"/>
    <w:rsid w:val="55F95997"/>
    <w:rsid w:val="576721AD"/>
    <w:rsid w:val="577F41C5"/>
    <w:rsid w:val="57AD4110"/>
    <w:rsid w:val="5807316E"/>
    <w:rsid w:val="586260D9"/>
    <w:rsid w:val="586E25A8"/>
    <w:rsid w:val="58732243"/>
    <w:rsid w:val="587C2F6C"/>
    <w:rsid w:val="58E45FA2"/>
    <w:rsid w:val="591C685C"/>
    <w:rsid w:val="593C6EB2"/>
    <w:rsid w:val="59B6263D"/>
    <w:rsid w:val="59F52DB1"/>
    <w:rsid w:val="5A4015FA"/>
    <w:rsid w:val="5A4C6942"/>
    <w:rsid w:val="5A76675B"/>
    <w:rsid w:val="5AB971CF"/>
    <w:rsid w:val="5AED5D48"/>
    <w:rsid w:val="5AF43851"/>
    <w:rsid w:val="5B182775"/>
    <w:rsid w:val="5B1E0E1E"/>
    <w:rsid w:val="5B5A1BF2"/>
    <w:rsid w:val="5BAB35F1"/>
    <w:rsid w:val="5BC957DF"/>
    <w:rsid w:val="5BE9434D"/>
    <w:rsid w:val="5BEC7FDE"/>
    <w:rsid w:val="5BF56D72"/>
    <w:rsid w:val="5C0C4088"/>
    <w:rsid w:val="5C0D1264"/>
    <w:rsid w:val="5C396457"/>
    <w:rsid w:val="5C707360"/>
    <w:rsid w:val="5CC523AD"/>
    <w:rsid w:val="5D2F0BB1"/>
    <w:rsid w:val="5DB011B4"/>
    <w:rsid w:val="5DB63FB0"/>
    <w:rsid w:val="5DE352BC"/>
    <w:rsid w:val="5EAD72D3"/>
    <w:rsid w:val="5EB3205F"/>
    <w:rsid w:val="5EBB31CF"/>
    <w:rsid w:val="5ECD522C"/>
    <w:rsid w:val="5EEB1C33"/>
    <w:rsid w:val="5F116C25"/>
    <w:rsid w:val="5F6C3042"/>
    <w:rsid w:val="5FB77A56"/>
    <w:rsid w:val="5FC419BA"/>
    <w:rsid w:val="60155157"/>
    <w:rsid w:val="609470E5"/>
    <w:rsid w:val="60BC67DD"/>
    <w:rsid w:val="60DC6F8B"/>
    <w:rsid w:val="60F05408"/>
    <w:rsid w:val="60F26425"/>
    <w:rsid w:val="61126B5E"/>
    <w:rsid w:val="61191962"/>
    <w:rsid w:val="61244348"/>
    <w:rsid w:val="614209A7"/>
    <w:rsid w:val="61744DC6"/>
    <w:rsid w:val="61BA4586"/>
    <w:rsid w:val="61E96899"/>
    <w:rsid w:val="61F46873"/>
    <w:rsid w:val="623B2DB1"/>
    <w:rsid w:val="62B66A85"/>
    <w:rsid w:val="63123C73"/>
    <w:rsid w:val="63402D3C"/>
    <w:rsid w:val="63485202"/>
    <w:rsid w:val="641043DB"/>
    <w:rsid w:val="643D740C"/>
    <w:rsid w:val="645B4B75"/>
    <w:rsid w:val="6485675B"/>
    <w:rsid w:val="64882D51"/>
    <w:rsid w:val="64951FC5"/>
    <w:rsid w:val="6511270F"/>
    <w:rsid w:val="651B40F1"/>
    <w:rsid w:val="652F4369"/>
    <w:rsid w:val="656004F1"/>
    <w:rsid w:val="66200990"/>
    <w:rsid w:val="66F50178"/>
    <w:rsid w:val="670D586B"/>
    <w:rsid w:val="6733081F"/>
    <w:rsid w:val="67647811"/>
    <w:rsid w:val="679A508E"/>
    <w:rsid w:val="67CA6CC4"/>
    <w:rsid w:val="67D13472"/>
    <w:rsid w:val="67E20393"/>
    <w:rsid w:val="67FC17B6"/>
    <w:rsid w:val="68352E03"/>
    <w:rsid w:val="684B3582"/>
    <w:rsid w:val="6883041D"/>
    <w:rsid w:val="68B3225D"/>
    <w:rsid w:val="68DE0675"/>
    <w:rsid w:val="68E767AA"/>
    <w:rsid w:val="690A1F2D"/>
    <w:rsid w:val="692F6B22"/>
    <w:rsid w:val="694429EE"/>
    <w:rsid w:val="69594F9D"/>
    <w:rsid w:val="698A2163"/>
    <w:rsid w:val="69B20C2D"/>
    <w:rsid w:val="69B54560"/>
    <w:rsid w:val="69CE0180"/>
    <w:rsid w:val="69E8651B"/>
    <w:rsid w:val="69E95A08"/>
    <w:rsid w:val="6A3C71FB"/>
    <w:rsid w:val="6AD67A1E"/>
    <w:rsid w:val="6B071EFF"/>
    <w:rsid w:val="6B1E28E8"/>
    <w:rsid w:val="6BDC2D7B"/>
    <w:rsid w:val="6C6352D8"/>
    <w:rsid w:val="6C915A28"/>
    <w:rsid w:val="6D22786E"/>
    <w:rsid w:val="6DAE1028"/>
    <w:rsid w:val="6DAE16E3"/>
    <w:rsid w:val="6DDE559D"/>
    <w:rsid w:val="6DF717EF"/>
    <w:rsid w:val="6E121916"/>
    <w:rsid w:val="6E353034"/>
    <w:rsid w:val="6E3F4872"/>
    <w:rsid w:val="6EA312C4"/>
    <w:rsid w:val="6EA67728"/>
    <w:rsid w:val="6EAD4736"/>
    <w:rsid w:val="6EF52489"/>
    <w:rsid w:val="6F8A0358"/>
    <w:rsid w:val="6FA77490"/>
    <w:rsid w:val="6FB80185"/>
    <w:rsid w:val="6FD62698"/>
    <w:rsid w:val="6FEF32DC"/>
    <w:rsid w:val="6FF73238"/>
    <w:rsid w:val="70286D24"/>
    <w:rsid w:val="70726BBD"/>
    <w:rsid w:val="707D03E7"/>
    <w:rsid w:val="70D27CAC"/>
    <w:rsid w:val="70D94B25"/>
    <w:rsid w:val="715D072E"/>
    <w:rsid w:val="719F09F0"/>
    <w:rsid w:val="71BF2AF1"/>
    <w:rsid w:val="71CC59FE"/>
    <w:rsid w:val="71D62FB3"/>
    <w:rsid w:val="71EB07D8"/>
    <w:rsid w:val="71F301F1"/>
    <w:rsid w:val="721B1170"/>
    <w:rsid w:val="723E1920"/>
    <w:rsid w:val="72551616"/>
    <w:rsid w:val="72684B9D"/>
    <w:rsid w:val="72865A2C"/>
    <w:rsid w:val="729D337C"/>
    <w:rsid w:val="72D019E8"/>
    <w:rsid w:val="72FB6396"/>
    <w:rsid w:val="731207F1"/>
    <w:rsid w:val="73343C02"/>
    <w:rsid w:val="736A4798"/>
    <w:rsid w:val="73B90AD3"/>
    <w:rsid w:val="73E3342B"/>
    <w:rsid w:val="7403150A"/>
    <w:rsid w:val="741F034C"/>
    <w:rsid w:val="744608D8"/>
    <w:rsid w:val="74A02FC2"/>
    <w:rsid w:val="74A1162B"/>
    <w:rsid w:val="74A75EC6"/>
    <w:rsid w:val="74DD7B58"/>
    <w:rsid w:val="7542011D"/>
    <w:rsid w:val="754F593F"/>
    <w:rsid w:val="758616DF"/>
    <w:rsid w:val="75A27357"/>
    <w:rsid w:val="75FD7F2D"/>
    <w:rsid w:val="760E7C76"/>
    <w:rsid w:val="7610715A"/>
    <w:rsid w:val="761A1D87"/>
    <w:rsid w:val="762C7ED0"/>
    <w:rsid w:val="76477075"/>
    <w:rsid w:val="765429FF"/>
    <w:rsid w:val="76554244"/>
    <w:rsid w:val="76873CF0"/>
    <w:rsid w:val="76A509A1"/>
    <w:rsid w:val="76B24A17"/>
    <w:rsid w:val="76CC21A9"/>
    <w:rsid w:val="76CD20C7"/>
    <w:rsid w:val="772C1420"/>
    <w:rsid w:val="773E4C74"/>
    <w:rsid w:val="77491189"/>
    <w:rsid w:val="77B06332"/>
    <w:rsid w:val="77D260DB"/>
    <w:rsid w:val="77D47CF8"/>
    <w:rsid w:val="77DB2909"/>
    <w:rsid w:val="78022526"/>
    <w:rsid w:val="78630DB6"/>
    <w:rsid w:val="78867E76"/>
    <w:rsid w:val="78AF224C"/>
    <w:rsid w:val="793F1E67"/>
    <w:rsid w:val="79742EB1"/>
    <w:rsid w:val="79AD265B"/>
    <w:rsid w:val="79BB65D5"/>
    <w:rsid w:val="7A2926D4"/>
    <w:rsid w:val="7A6C77D6"/>
    <w:rsid w:val="7A984E37"/>
    <w:rsid w:val="7AE25B78"/>
    <w:rsid w:val="7B1A1D7F"/>
    <w:rsid w:val="7B260D6B"/>
    <w:rsid w:val="7B382AB6"/>
    <w:rsid w:val="7B797DC7"/>
    <w:rsid w:val="7B92491A"/>
    <w:rsid w:val="7BC6204D"/>
    <w:rsid w:val="7BD02003"/>
    <w:rsid w:val="7BF57973"/>
    <w:rsid w:val="7C771F6B"/>
    <w:rsid w:val="7CA875BB"/>
    <w:rsid w:val="7D30335C"/>
    <w:rsid w:val="7D533204"/>
    <w:rsid w:val="7D805A1C"/>
    <w:rsid w:val="7D9036DC"/>
    <w:rsid w:val="7E3239CA"/>
    <w:rsid w:val="7E6A4CB7"/>
    <w:rsid w:val="7EF50D16"/>
    <w:rsid w:val="7F4C4335"/>
    <w:rsid w:val="7F5A2D7D"/>
    <w:rsid w:val="7FA071AF"/>
    <w:rsid w:val="7FD459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qFormat="1" w:uiPriority="3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24"/>
      <w:lang w:val="en-US" w:eastAsia="zh-CN" w:bidi="ar-SA"/>
    </w:rPr>
  </w:style>
  <w:style w:type="paragraph" w:styleId="3">
    <w:name w:val="heading 1"/>
    <w:basedOn w:val="1"/>
    <w:next w:val="1"/>
    <w:link w:val="26"/>
    <w:qFormat/>
    <w:uiPriority w:val="0"/>
    <w:pPr>
      <w:keepNext/>
      <w:adjustRightInd w:val="0"/>
      <w:snapToGrid w:val="0"/>
      <w:spacing w:before="100" w:beforeLines="100" w:line="480" w:lineRule="auto"/>
      <w:jc w:val="center"/>
      <w:outlineLvl w:val="0"/>
    </w:pPr>
    <w:rPr>
      <w:rFonts w:hAnsi="宋体" w:cs="宋体"/>
      <w:b/>
      <w:kern w:val="2"/>
      <w:sz w:val="32"/>
    </w:rPr>
  </w:style>
  <w:style w:type="paragraph" w:styleId="4">
    <w:name w:val="heading 2"/>
    <w:basedOn w:val="1"/>
    <w:next w:val="5"/>
    <w:link w:val="31"/>
    <w:qFormat/>
    <w:uiPriority w:val="9"/>
    <w:pPr>
      <w:keepNext/>
      <w:keepLines/>
      <w:widowControl/>
      <w:spacing w:before="260" w:after="260"/>
      <w:ind w:left="284"/>
      <w:jc w:val="center"/>
      <w:outlineLvl w:val="1"/>
    </w:pPr>
    <w:rPr>
      <w:rFonts w:hAnsi="宋体" w:cs="宋体"/>
      <w:b/>
      <w:bCs/>
      <w:sz w:val="30"/>
      <w:szCs w:val="32"/>
    </w:rPr>
  </w:style>
  <w:style w:type="paragraph" w:styleId="7">
    <w:name w:val="heading 3"/>
    <w:basedOn w:val="1"/>
    <w:next w:val="5"/>
    <w:link w:val="37"/>
    <w:qFormat/>
    <w:uiPriority w:val="0"/>
    <w:pPr>
      <w:keepNext/>
      <w:adjustRightInd w:val="0"/>
      <w:snapToGrid w:val="0"/>
      <w:spacing w:line="360" w:lineRule="auto"/>
      <w:jc w:val="center"/>
      <w:outlineLvl w:val="2"/>
    </w:pPr>
    <w:rPr>
      <w:rFonts w:ascii="宋体" w:hAnsi="宋体" w:eastAsia="宋体" w:cs="宋体"/>
      <w:b/>
      <w:bCs/>
      <w:kern w:val="2"/>
      <w:sz w:val="28"/>
      <w:szCs w:val="24"/>
    </w:rPr>
  </w:style>
  <w:style w:type="paragraph" w:styleId="2">
    <w:name w:val="heading 4"/>
    <w:basedOn w:val="1"/>
    <w:next w:val="1"/>
    <w:link w:val="38"/>
    <w:qFormat/>
    <w:uiPriority w:val="0"/>
    <w:pPr>
      <w:keepNext/>
      <w:keepLines/>
      <w:tabs>
        <w:tab w:val="left" w:pos="864"/>
      </w:tabs>
      <w:adjustRightInd w:val="0"/>
      <w:snapToGrid w:val="0"/>
      <w:spacing w:before="120" w:line="360" w:lineRule="auto"/>
      <w:outlineLvl w:val="3"/>
    </w:pPr>
    <w:rPr>
      <w:rFonts w:hAnsi="宋体" w:cs="宋体"/>
      <w:b/>
      <w:bCs/>
      <w:kern w:val="2"/>
      <w:szCs w:val="28"/>
    </w:rPr>
  </w:style>
  <w:style w:type="paragraph" w:styleId="8">
    <w:name w:val="heading 5"/>
    <w:basedOn w:val="1"/>
    <w:next w:val="1"/>
    <w:link w:val="39"/>
    <w:unhideWhenUsed/>
    <w:qFormat/>
    <w:uiPriority w:val="0"/>
    <w:pPr>
      <w:keepNext/>
      <w:keepLines/>
      <w:spacing w:before="280" w:after="290" w:line="372" w:lineRule="auto"/>
      <w:outlineLvl w:val="4"/>
    </w:pPr>
    <w:rPr>
      <w:b/>
      <w:sz w:val="28"/>
    </w:rPr>
  </w:style>
  <w:style w:type="paragraph" w:styleId="9">
    <w:name w:val="heading 6"/>
    <w:basedOn w:val="1"/>
    <w:next w:val="1"/>
    <w:qFormat/>
    <w:uiPriority w:val="0"/>
    <w:pPr>
      <w:keepNext/>
      <w:keepLines/>
      <w:adjustRightInd w:val="0"/>
      <w:spacing w:line="320" w:lineRule="atLeast"/>
      <w:outlineLvl w:val="5"/>
    </w:pPr>
    <w:rPr>
      <w:rFonts w:ascii="Arial" w:hAnsi="Arial" w:eastAsia="黑体"/>
      <w:b/>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6"/>
    <w:link w:val="40"/>
    <w:qFormat/>
    <w:uiPriority w:val="0"/>
    <w:pPr>
      <w:adjustRightInd w:val="0"/>
      <w:snapToGrid w:val="0"/>
      <w:spacing w:line="360" w:lineRule="auto"/>
      <w:ind w:firstLine="420" w:firstLineChars="200"/>
    </w:pPr>
    <w:rPr>
      <w:rFonts w:hAnsi="宋体" w:cs="宋体"/>
      <w:kern w:val="2"/>
      <w:szCs w:val="24"/>
    </w:rPr>
  </w:style>
  <w:style w:type="paragraph" w:styleId="6">
    <w:name w:val="toc 4"/>
    <w:basedOn w:val="1"/>
    <w:next w:val="1"/>
    <w:unhideWhenUsed/>
    <w:qFormat/>
    <w:uiPriority w:val="39"/>
    <w:pPr>
      <w:ind w:left="1260" w:leftChars="600"/>
    </w:pPr>
  </w:style>
  <w:style w:type="paragraph" w:styleId="10">
    <w:name w:val="annotation text"/>
    <w:basedOn w:val="1"/>
    <w:qFormat/>
    <w:uiPriority w:val="0"/>
    <w:pPr>
      <w:jc w:val="left"/>
    </w:pPr>
  </w:style>
  <w:style w:type="paragraph" w:styleId="11">
    <w:name w:val="Body Text"/>
    <w:basedOn w:val="1"/>
    <w:next w:val="1"/>
    <w:qFormat/>
    <w:uiPriority w:val="0"/>
    <w:pPr>
      <w:spacing w:after="120"/>
    </w:pPr>
    <w:rPr>
      <w:rFonts w:ascii="Times New Roman"/>
      <w:kern w:val="2"/>
      <w:sz w:val="21"/>
    </w:rPr>
  </w:style>
  <w:style w:type="paragraph" w:styleId="12">
    <w:name w:val="Body Text Indent"/>
    <w:basedOn w:val="1"/>
    <w:next w:val="1"/>
    <w:qFormat/>
    <w:uiPriority w:val="0"/>
    <w:pPr>
      <w:widowControl/>
      <w:ind w:firstLine="652" w:firstLineChars="233"/>
    </w:pPr>
    <w:rPr>
      <w:rFonts w:ascii="Times New Roman"/>
      <w:sz w:val="28"/>
    </w:rPr>
  </w:style>
  <w:style w:type="paragraph" w:styleId="13">
    <w:name w:val="Plain Text"/>
    <w:basedOn w:val="1"/>
    <w:qFormat/>
    <w:uiPriority w:val="0"/>
    <w:rPr>
      <w:rFonts w:hAnsi="Courier New"/>
      <w:kern w:val="2"/>
      <w:sz w:val="21"/>
    </w:rPr>
  </w:style>
  <w:style w:type="paragraph" w:styleId="14">
    <w:name w:val="Balloon Text"/>
    <w:basedOn w:val="1"/>
    <w:link w:val="41"/>
    <w:qFormat/>
    <w:uiPriority w:val="0"/>
    <w:rPr>
      <w:sz w:val="18"/>
      <w:szCs w:val="18"/>
    </w:rPr>
  </w:style>
  <w:style w:type="paragraph" w:styleId="15">
    <w:name w:val="footer"/>
    <w:basedOn w:val="1"/>
    <w:qFormat/>
    <w:uiPriority w:val="99"/>
    <w:pPr>
      <w:tabs>
        <w:tab w:val="center" w:pos="4153"/>
        <w:tab w:val="right" w:pos="8306"/>
      </w:tabs>
      <w:snapToGrid w:val="0"/>
      <w:jc w:val="left"/>
    </w:pPr>
    <w:rPr>
      <w:rFonts w:ascii="Times New Roman"/>
      <w:kern w:val="2"/>
      <w:sz w:val="18"/>
      <w:szCs w:val="18"/>
    </w:rPr>
  </w:style>
  <w:style w:type="paragraph" w:styleId="16">
    <w:name w:val="header"/>
    <w:basedOn w:val="1"/>
    <w:qFormat/>
    <w:uiPriority w:val="0"/>
    <w:pPr>
      <w:pBdr>
        <w:bottom w:val="single" w:color="auto" w:sz="6" w:space="1"/>
      </w:pBdr>
      <w:tabs>
        <w:tab w:val="center" w:pos="4153"/>
        <w:tab w:val="right" w:pos="8306"/>
      </w:tabs>
      <w:snapToGrid w:val="0"/>
      <w:jc w:val="center"/>
    </w:pPr>
    <w:rPr>
      <w:rFonts w:ascii="Times New Roman"/>
      <w:kern w:val="2"/>
      <w:sz w:val="18"/>
      <w:szCs w:val="18"/>
    </w:rPr>
  </w:style>
  <w:style w:type="paragraph" w:styleId="17">
    <w:name w:val="toc 1"/>
    <w:basedOn w:val="1"/>
    <w:next w:val="1"/>
    <w:unhideWhenUsed/>
    <w:qFormat/>
    <w:uiPriority w:val="39"/>
    <w:pPr>
      <w:tabs>
        <w:tab w:val="left" w:pos="1418"/>
        <w:tab w:val="right" w:leader="dot" w:pos="8302"/>
      </w:tabs>
      <w:spacing w:line="480" w:lineRule="auto"/>
    </w:pPr>
    <w:rPr>
      <w:rFonts w:hAnsi="宋体"/>
      <w:b/>
      <w:sz w:val="28"/>
    </w:rPr>
  </w:style>
  <w:style w:type="paragraph" w:styleId="18">
    <w:name w:val="Normal (Web)"/>
    <w:basedOn w:val="1"/>
    <w:qFormat/>
    <w:uiPriority w:val="99"/>
    <w:pPr>
      <w:widowControl/>
      <w:spacing w:before="100" w:beforeAutospacing="1" w:after="100" w:afterAutospacing="1"/>
      <w:jc w:val="left"/>
    </w:pPr>
    <w:rPr>
      <w:rFonts w:hAnsi="宋体"/>
      <w:szCs w:val="24"/>
    </w:rPr>
  </w:style>
  <w:style w:type="paragraph" w:styleId="19">
    <w:name w:val="Body Text First Indent 2"/>
    <w:basedOn w:val="12"/>
    <w:next w:val="1"/>
    <w:qFormat/>
    <w:uiPriority w:val="0"/>
    <w:pPr>
      <w:spacing w:after="120"/>
      <w:ind w:left="420" w:leftChars="200" w:firstLine="420" w:firstLineChars="200"/>
    </w:pPr>
    <w:rPr>
      <w:sz w:val="21"/>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qFormat/>
    <w:uiPriority w:val="22"/>
    <w:rPr>
      <w:b/>
      <w:bCs/>
    </w:rPr>
  </w:style>
  <w:style w:type="character" w:styleId="24">
    <w:name w:val="page number"/>
    <w:qFormat/>
    <w:uiPriority w:val="0"/>
  </w:style>
  <w:style w:type="character" w:styleId="25">
    <w:name w:val="annotation reference"/>
    <w:qFormat/>
    <w:uiPriority w:val="0"/>
    <w:rPr>
      <w:sz w:val="21"/>
      <w:szCs w:val="21"/>
    </w:rPr>
  </w:style>
  <w:style w:type="character" w:customStyle="1" w:styleId="26">
    <w:name w:val="标题 1 字符"/>
    <w:link w:val="3"/>
    <w:qFormat/>
    <w:uiPriority w:val="0"/>
    <w:rPr>
      <w:rFonts w:ascii="宋体" w:hAnsi="宋体" w:eastAsia="宋体" w:cs="宋体"/>
      <w:b/>
      <w:kern w:val="2"/>
      <w:sz w:val="32"/>
    </w:rPr>
  </w:style>
  <w:style w:type="paragraph" w:customStyle="1" w:styleId="27">
    <w:name w:val="表格文字"/>
    <w:basedOn w:val="1"/>
    <w:qFormat/>
    <w:uiPriority w:val="0"/>
    <w:pPr>
      <w:spacing w:before="120" w:after="120"/>
    </w:pPr>
    <w:rPr>
      <w:rFonts w:ascii="新宋体" w:hAnsi="宋体" w:eastAsia="新宋体"/>
      <w:bCs/>
      <w:color w:val="000000"/>
      <w:sz w:val="18"/>
      <w:szCs w:val="18"/>
    </w:rPr>
  </w:style>
  <w:style w:type="paragraph" w:customStyle="1" w:styleId="28">
    <w:name w:val="列出段落1"/>
    <w:basedOn w:val="1"/>
    <w:qFormat/>
    <w:uiPriority w:val="34"/>
    <w:pPr>
      <w:ind w:firstLine="420" w:firstLineChars="200"/>
    </w:pPr>
  </w:style>
  <w:style w:type="paragraph" w:customStyle="1" w:styleId="29">
    <w:name w:val="招标书 正文"/>
    <w:basedOn w:val="1"/>
    <w:qFormat/>
    <w:uiPriority w:val="0"/>
    <w:pPr>
      <w:widowControl/>
      <w:snapToGrid w:val="0"/>
      <w:spacing w:line="560" w:lineRule="exact"/>
      <w:ind w:firstLine="560" w:firstLineChars="200"/>
      <w:jc w:val="left"/>
    </w:pPr>
    <w:rPr>
      <w:rFonts w:hAnsi="宋体"/>
      <w:color w:val="000000"/>
      <w:szCs w:val="28"/>
    </w:rPr>
  </w:style>
  <w:style w:type="paragraph" w:customStyle="1" w:styleId="30">
    <w:name w:val="表格"/>
    <w:basedOn w:val="1"/>
    <w:qFormat/>
    <w:uiPriority w:val="0"/>
    <w:pPr>
      <w:jc w:val="center"/>
    </w:pPr>
    <w:rPr>
      <w:rFonts w:hAnsi="宋体" w:cs="宋体"/>
    </w:rPr>
  </w:style>
  <w:style w:type="character" w:customStyle="1" w:styleId="31">
    <w:name w:val="标题 2 字符"/>
    <w:link w:val="4"/>
    <w:qFormat/>
    <w:uiPriority w:val="9"/>
    <w:rPr>
      <w:rFonts w:ascii="宋体" w:hAnsi="宋体" w:eastAsia="宋体" w:cs="宋体"/>
      <w:b/>
      <w:bCs/>
      <w:sz w:val="30"/>
      <w:szCs w:val="32"/>
    </w:rPr>
  </w:style>
  <w:style w:type="paragraph" w:customStyle="1" w:styleId="32">
    <w:name w:val="纯文本1"/>
    <w:basedOn w:val="1"/>
    <w:qFormat/>
    <w:uiPriority w:val="0"/>
    <w:pPr>
      <w:spacing w:line="324" w:lineRule="auto"/>
    </w:pPr>
    <w:rPr>
      <w:rFonts w:hAnsi="Courier New" w:cs="Courier New"/>
      <w:szCs w:val="21"/>
    </w:rPr>
  </w:style>
  <w:style w:type="paragraph" w:customStyle="1" w:styleId="33">
    <w:name w:val="样式 WG标题3 + 行距: 固定值 18 磅"/>
    <w:basedOn w:val="1"/>
    <w:qFormat/>
    <w:uiPriority w:val="0"/>
    <w:pPr>
      <w:autoSpaceDE w:val="0"/>
      <w:autoSpaceDN w:val="0"/>
      <w:adjustRightInd w:val="0"/>
      <w:spacing w:line="360" w:lineRule="exact"/>
      <w:ind w:firstLine="200" w:firstLineChars="200"/>
      <w:textAlignment w:val="baseline"/>
      <w:outlineLvl w:val="2"/>
    </w:pPr>
    <w:rPr>
      <w:rFonts w:cs="宋体"/>
      <w:b/>
      <w:bCs/>
      <w:color w:val="000000"/>
      <w:kern w:val="20"/>
    </w:rPr>
  </w:style>
  <w:style w:type="paragraph" w:customStyle="1" w:styleId="34">
    <w:name w:val="表格文字中"/>
    <w:basedOn w:val="1"/>
    <w:qFormat/>
    <w:uiPriority w:val="0"/>
    <w:pPr>
      <w:adjustRightInd w:val="0"/>
      <w:snapToGrid w:val="0"/>
      <w:ind w:left="22" w:leftChars="8"/>
      <w:jc w:val="center"/>
    </w:pPr>
    <w:rPr>
      <w:szCs w:val="24"/>
    </w:rPr>
  </w:style>
  <w:style w:type="paragraph" w:customStyle="1" w:styleId="35">
    <w:name w:val="表注1"/>
    <w:basedOn w:val="1"/>
    <w:qFormat/>
    <w:uiPriority w:val="0"/>
    <w:pPr>
      <w:adjustRightInd w:val="0"/>
      <w:snapToGrid w:val="0"/>
      <w:spacing w:beforeLines="50" w:line="300" w:lineRule="auto"/>
      <w:ind w:left="350" w:hanging="350" w:hangingChars="350"/>
    </w:pPr>
    <w:rPr>
      <w:rFonts w:eastAsia="仿宋_GB2312"/>
      <w:bCs/>
      <w:color w:val="000000"/>
      <w:szCs w:val="24"/>
    </w:rPr>
  </w:style>
  <w:style w:type="character" w:customStyle="1" w:styleId="36">
    <w:name w:val="标题 3 字符"/>
    <w:qFormat/>
    <w:uiPriority w:val="0"/>
    <w:rPr>
      <w:rFonts w:ascii="Times New Roman" w:hAnsi="Times New Roman" w:eastAsia="宋体"/>
      <w:b/>
      <w:bCs/>
      <w:kern w:val="2"/>
      <w:sz w:val="28"/>
      <w:szCs w:val="24"/>
    </w:rPr>
  </w:style>
  <w:style w:type="character" w:customStyle="1" w:styleId="37">
    <w:name w:val="标题 3 字符1"/>
    <w:link w:val="7"/>
    <w:qFormat/>
    <w:uiPriority w:val="0"/>
    <w:rPr>
      <w:rFonts w:ascii="宋体" w:hAnsi="宋体" w:eastAsia="宋体" w:cs="宋体"/>
      <w:b/>
      <w:sz w:val="28"/>
    </w:rPr>
  </w:style>
  <w:style w:type="character" w:customStyle="1" w:styleId="38">
    <w:name w:val="标题 4 字符"/>
    <w:link w:val="2"/>
    <w:qFormat/>
    <w:uiPriority w:val="0"/>
    <w:rPr>
      <w:rFonts w:ascii="宋体" w:hAnsi="宋体" w:eastAsia="宋体" w:cs="宋体"/>
      <w:b/>
      <w:bCs/>
      <w:kern w:val="2"/>
      <w:szCs w:val="28"/>
    </w:rPr>
  </w:style>
  <w:style w:type="character" w:customStyle="1" w:styleId="39">
    <w:name w:val="标题 5 字符"/>
    <w:link w:val="8"/>
    <w:qFormat/>
    <w:uiPriority w:val="0"/>
    <w:rPr>
      <w:b/>
      <w:sz w:val="28"/>
    </w:rPr>
  </w:style>
  <w:style w:type="character" w:customStyle="1" w:styleId="40">
    <w:name w:val="正文缩进 字符"/>
    <w:link w:val="5"/>
    <w:qFormat/>
    <w:uiPriority w:val="0"/>
    <w:rPr>
      <w:rFonts w:ascii="宋体" w:hAnsi="宋体" w:eastAsia="宋体" w:cs="宋体"/>
      <w:kern w:val="2"/>
      <w:sz w:val="24"/>
      <w:szCs w:val="24"/>
    </w:rPr>
  </w:style>
  <w:style w:type="character" w:customStyle="1" w:styleId="41">
    <w:name w:val="批注框文本 字符"/>
    <w:basedOn w:val="22"/>
    <w:link w:val="14"/>
    <w:qFormat/>
    <w:uiPriority w:val="0"/>
    <w:rPr>
      <w:rFonts w:ascii="宋体" w:hAnsi="Times New Roman"/>
      <w:sz w:val="18"/>
      <w:szCs w:val="18"/>
    </w:rPr>
  </w:style>
  <w:style w:type="paragraph" w:styleId="42">
    <w:name w:val="List Paragraph"/>
    <w:basedOn w:val="1"/>
    <w:unhideWhenUsed/>
    <w:qFormat/>
    <w:uiPriority w:val="99"/>
    <w:pPr>
      <w:ind w:firstLine="420" w:firstLineChars="200"/>
    </w:pPr>
  </w:style>
  <w:style w:type="character" w:customStyle="1" w:styleId="43">
    <w:name w:val="标题 4 Char"/>
    <w:basedOn w:val="22"/>
    <w:qFormat/>
    <w:uiPriority w:val="0"/>
    <w:rPr>
      <w:rFonts w:ascii="宋体" w:hAnsi="宋体" w:eastAsia="宋体" w:cs="宋体"/>
      <w:b/>
      <w:bCs/>
      <w:kern w:val="2"/>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71</Pages>
  <Words>34836</Words>
  <Characters>37076</Characters>
  <Lines>312</Lines>
  <Paragraphs>87</Paragraphs>
  <TotalTime>3</TotalTime>
  <ScaleCrop>false</ScaleCrop>
  <LinksUpToDate>false</LinksUpToDate>
  <CharactersWithSpaces>38991</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2021-09-23T08:20:00Z</dcterms:created>
  <dc:creator>Administrator</dc:creator>
  <cp:lastModifiedBy>好好的</cp:lastModifiedBy>
  <cp:lastPrinted>2022-02-14T06:45:00Z</cp:lastPrinted>
  <dcterms:modified xsi:type="dcterms:W3CDTF">2022-12-28T09:14:11Z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AC1E314E31244C43B413ECD6A9C68FAD</vt:lpwstr>
  </property>
</Properties>
</file>