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b/>
          <w:szCs w:val="21"/>
          <w:highlight w:val="none"/>
        </w:rPr>
      </w:pPr>
      <w:r>
        <w:rPr>
          <w:rFonts w:ascii="宋体" w:hAnsi="宋体"/>
          <w:bCs/>
          <w:sz w:val="28"/>
          <w:szCs w:val="28"/>
          <w:highlight w:val="none"/>
        </w:rPr>
        <w:drawing>
          <wp:inline distT="0" distB="0" distL="0" distR="0">
            <wp:extent cx="882650" cy="854710"/>
            <wp:effectExtent l="0" t="0" r="12700" b="2540"/>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7" cstate="print"/>
                    <a:srcRect/>
                    <a:stretch>
                      <a:fillRect/>
                    </a:stretch>
                  </pic:blipFill>
                  <pic:spPr>
                    <a:xfrm>
                      <a:off x="0" y="0"/>
                      <a:ext cx="882650" cy="854710"/>
                    </a:xfrm>
                    <a:prstGeom prst="rect">
                      <a:avLst/>
                    </a:prstGeom>
                    <a:ln>
                      <a:noFill/>
                    </a:ln>
                  </pic:spPr>
                </pic:pic>
              </a:graphicData>
            </a:graphic>
          </wp:inline>
        </w:drawing>
      </w:r>
    </w:p>
    <w:p>
      <w:pPr>
        <w:spacing w:line="360" w:lineRule="auto"/>
        <w:rPr>
          <w:rFonts w:ascii="宋体" w:hAnsi="宋体"/>
          <w:b/>
          <w:szCs w:val="21"/>
          <w:highlight w:val="none"/>
        </w:rPr>
      </w:pPr>
    </w:p>
    <w:p>
      <w:pPr>
        <w:spacing w:line="360" w:lineRule="auto"/>
        <w:rPr>
          <w:rFonts w:ascii="宋体" w:hAnsi="宋体"/>
          <w:b/>
          <w:szCs w:val="21"/>
          <w:highlight w:val="none"/>
        </w:rPr>
      </w:pPr>
    </w:p>
    <w:p>
      <w:pPr>
        <w:spacing w:line="360" w:lineRule="auto"/>
        <w:rPr>
          <w:rFonts w:ascii="宋体" w:hAnsi="宋体"/>
          <w:b/>
          <w:szCs w:val="21"/>
          <w:highlight w:val="none"/>
        </w:rPr>
      </w:pPr>
    </w:p>
    <w:p>
      <w:pPr>
        <w:tabs>
          <w:tab w:val="left" w:pos="420"/>
          <w:tab w:val="center" w:pos="4933"/>
          <w:tab w:val="left" w:pos="6660"/>
          <w:tab w:val="left" w:pos="7829"/>
        </w:tabs>
        <w:spacing w:line="360" w:lineRule="auto"/>
        <w:jc w:val="left"/>
        <w:rPr>
          <w:rFonts w:ascii="宋体" w:hAnsi="宋体"/>
          <w:b/>
          <w:sz w:val="52"/>
          <w:szCs w:val="52"/>
          <w:highlight w:val="none"/>
        </w:rPr>
      </w:pPr>
      <w:r>
        <w:rPr>
          <w:rFonts w:hint="eastAsia" w:ascii="宋体" w:hAnsi="宋体"/>
          <w:b/>
          <w:sz w:val="52"/>
          <w:szCs w:val="52"/>
          <w:highlight w:val="none"/>
        </w:rPr>
        <w:tab/>
      </w:r>
      <w:r>
        <w:rPr>
          <w:rFonts w:hint="eastAsia" w:ascii="宋体" w:hAnsi="宋体"/>
          <w:b/>
          <w:sz w:val="52"/>
          <w:szCs w:val="52"/>
          <w:highlight w:val="none"/>
        </w:rPr>
        <w:tab/>
      </w:r>
      <w:r>
        <w:rPr>
          <w:rFonts w:hint="eastAsia" w:ascii="宋体" w:hAnsi="宋体"/>
          <w:b/>
          <w:sz w:val="52"/>
          <w:szCs w:val="52"/>
          <w:highlight w:val="none"/>
        </w:rPr>
        <w:t>竞争性磋商文件</w:t>
      </w:r>
      <w:r>
        <w:rPr>
          <w:rFonts w:hint="eastAsia" w:ascii="宋体" w:hAnsi="宋体"/>
          <w:b/>
          <w:sz w:val="52"/>
          <w:szCs w:val="52"/>
          <w:highlight w:val="none"/>
        </w:rPr>
        <w:tab/>
      </w:r>
    </w:p>
    <w:p>
      <w:pPr>
        <w:spacing w:line="360" w:lineRule="auto"/>
        <w:rPr>
          <w:rFonts w:ascii="宋体" w:hAnsi="宋体"/>
          <w:bCs/>
          <w:szCs w:val="21"/>
          <w:highlight w:val="none"/>
        </w:rPr>
      </w:pPr>
    </w:p>
    <w:p>
      <w:pPr>
        <w:spacing w:line="360" w:lineRule="auto"/>
        <w:jc w:val="center"/>
        <w:rPr>
          <w:rFonts w:ascii="宋体" w:hAnsi="宋体"/>
          <w:bCs/>
          <w:szCs w:val="21"/>
          <w:highlight w:val="none"/>
        </w:rPr>
      </w:pPr>
    </w:p>
    <w:p>
      <w:pPr>
        <w:spacing w:line="360" w:lineRule="auto"/>
        <w:jc w:val="center"/>
        <w:rPr>
          <w:rFonts w:ascii="宋体" w:hAnsi="宋体"/>
          <w:bCs/>
          <w:szCs w:val="21"/>
          <w:highlight w:val="none"/>
        </w:rPr>
      </w:pPr>
    </w:p>
    <w:p>
      <w:pPr>
        <w:spacing w:line="360" w:lineRule="auto"/>
        <w:jc w:val="center"/>
        <w:rPr>
          <w:rFonts w:ascii="宋体" w:hAnsi="宋体"/>
          <w:bCs/>
          <w:szCs w:val="21"/>
          <w:highlight w:val="none"/>
        </w:rPr>
      </w:pPr>
    </w:p>
    <w:p>
      <w:pPr>
        <w:spacing w:line="360" w:lineRule="auto"/>
        <w:jc w:val="center"/>
        <w:rPr>
          <w:rFonts w:ascii="宋体" w:hAnsi="宋体"/>
          <w:b/>
          <w:bCs/>
          <w:sz w:val="28"/>
          <w:szCs w:val="28"/>
          <w:highlight w:val="none"/>
        </w:rPr>
      </w:pPr>
      <w:r>
        <w:rPr>
          <w:rFonts w:hint="eastAsia" w:ascii="宋体" w:hAnsi="宋体"/>
          <w:b/>
          <w:bCs/>
          <w:sz w:val="28"/>
          <w:szCs w:val="28"/>
          <w:highlight w:val="none"/>
        </w:rPr>
        <w:t>采购项目编号：</w:t>
      </w:r>
      <w:r>
        <w:rPr>
          <w:rFonts w:hint="eastAsia" w:ascii="宋体" w:hAnsi="宋体"/>
          <w:b/>
          <w:bCs/>
          <w:sz w:val="28"/>
          <w:szCs w:val="28"/>
          <w:highlight w:val="none"/>
          <w:u w:val="single"/>
        </w:rPr>
        <w:t>DQ-2022195-CS</w:t>
      </w:r>
      <w:r>
        <w:rPr>
          <w:rFonts w:hint="eastAsia" w:ascii="宋体" w:hAnsi="宋体"/>
          <w:b/>
          <w:bCs/>
          <w:sz w:val="28"/>
          <w:szCs w:val="28"/>
          <w:highlight w:val="none"/>
        </w:rPr>
        <w:fldChar w:fldCharType="begin"/>
      </w:r>
      <w:r>
        <w:rPr>
          <w:rFonts w:hint="eastAsia" w:ascii="宋体" w:hAnsi="宋体"/>
          <w:b/>
          <w:bCs/>
          <w:sz w:val="28"/>
          <w:szCs w:val="28"/>
          <w:highlight w:val="none"/>
        </w:rPr>
        <w:instrText xml:space="preserve"> DOCVARIABLE  采购编号  \* MERGEFORMAT </w:instrText>
      </w:r>
      <w:r>
        <w:rPr>
          <w:rFonts w:hint="eastAsia" w:ascii="宋体" w:hAnsi="宋体"/>
          <w:b/>
          <w:bCs/>
          <w:sz w:val="28"/>
          <w:szCs w:val="28"/>
          <w:highlight w:val="none"/>
        </w:rPr>
        <w:fldChar w:fldCharType="end"/>
      </w:r>
    </w:p>
    <w:p>
      <w:pPr>
        <w:spacing w:line="360" w:lineRule="auto"/>
        <w:jc w:val="center"/>
        <w:rPr>
          <w:rFonts w:ascii="宋体" w:hAnsi="宋体"/>
          <w:b/>
          <w:sz w:val="30"/>
          <w:szCs w:val="30"/>
          <w:highlight w:val="none"/>
          <w:u w:val="single"/>
        </w:rPr>
      </w:pPr>
      <w:r>
        <w:rPr>
          <w:rFonts w:hint="eastAsia" w:ascii="宋体" w:hAnsi="宋体"/>
          <w:b/>
          <w:bCs/>
          <w:sz w:val="28"/>
          <w:szCs w:val="28"/>
          <w:highlight w:val="none"/>
        </w:rPr>
        <w:t>采购项目名称：</w:t>
      </w:r>
      <w:r>
        <w:rPr>
          <w:rFonts w:hint="eastAsia" w:ascii="宋体" w:hAnsi="宋体"/>
          <w:b/>
          <w:bCs/>
          <w:sz w:val="28"/>
          <w:szCs w:val="28"/>
          <w:highlight w:val="none"/>
          <w:u w:val="single"/>
        </w:rPr>
        <w:t>陕西省生态环境视频遥感信息能力建设项目</w:t>
      </w:r>
      <w:r>
        <w:rPr>
          <w:rFonts w:hint="eastAsia" w:ascii="宋体" w:hAnsi="宋体"/>
          <w:b/>
          <w:bCs/>
          <w:sz w:val="30"/>
          <w:szCs w:val="30"/>
          <w:highlight w:val="none"/>
        </w:rPr>
        <w:fldChar w:fldCharType="begin"/>
      </w:r>
      <w:r>
        <w:rPr>
          <w:rFonts w:hint="eastAsia" w:ascii="宋体" w:hAnsi="宋体"/>
          <w:b/>
          <w:bCs/>
          <w:sz w:val="30"/>
          <w:szCs w:val="30"/>
          <w:highlight w:val="none"/>
        </w:rPr>
        <w:instrText xml:space="preserve"> DOCVARIABLE  项目名称  \* MERGEFORMAT </w:instrText>
      </w:r>
      <w:r>
        <w:rPr>
          <w:rFonts w:hint="eastAsia" w:ascii="宋体" w:hAnsi="宋体"/>
          <w:b/>
          <w:bCs/>
          <w:sz w:val="30"/>
          <w:szCs w:val="30"/>
          <w:highlight w:val="none"/>
        </w:rPr>
        <w:fldChar w:fldCharType="end"/>
      </w: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 w:val="30"/>
          <w:szCs w:val="30"/>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 w:val="24"/>
          <w:highlight w:val="none"/>
        </w:rPr>
      </w:pPr>
      <w:r>
        <w:rPr>
          <w:rFonts w:hint="eastAsia" w:ascii="宋体" w:hAnsi="宋体"/>
          <w:b/>
          <w:bCs/>
          <w:sz w:val="24"/>
          <w:highlight w:val="none"/>
        </w:rPr>
        <w:t>陕西德勤招标有限公司编制</w:t>
      </w:r>
    </w:p>
    <w:p>
      <w:pPr>
        <w:spacing w:line="360" w:lineRule="auto"/>
        <w:jc w:val="center"/>
        <w:rPr>
          <w:rFonts w:hint="default" w:ascii="宋体" w:hAnsi="宋体" w:eastAsia="宋体"/>
          <w:b/>
          <w:bCs/>
          <w:sz w:val="24"/>
          <w:highlight w:val="none"/>
          <w:lang w:val="en-US" w:eastAsia="zh-CN"/>
        </w:rPr>
      </w:pPr>
      <w:r>
        <w:rPr>
          <w:rFonts w:hint="eastAsia" w:ascii="宋体" w:hAnsi="宋体"/>
          <w:b/>
          <w:bCs/>
          <w:sz w:val="24"/>
          <w:highlight w:val="none"/>
        </w:rPr>
        <w:t>发布日期：</w:t>
      </w:r>
      <w:r>
        <w:rPr>
          <w:rFonts w:hint="eastAsia" w:ascii="宋体" w:hAnsi="宋体"/>
          <w:b/>
          <w:bCs/>
          <w:sz w:val="24"/>
          <w:highlight w:val="none"/>
          <w:lang w:val="en-US" w:eastAsia="zh-CN"/>
        </w:rPr>
        <w:t>2023年1月5日</w:t>
      </w:r>
    </w:p>
    <w:p>
      <w:pPr>
        <w:spacing w:line="360" w:lineRule="auto"/>
        <w:jc w:val="center"/>
        <w:rPr>
          <w:rFonts w:ascii="宋体" w:hAnsi="宋体"/>
          <w:b/>
          <w:bCs/>
          <w:sz w:val="24"/>
          <w:highlight w:val="none"/>
        </w:rPr>
      </w:pPr>
      <w:r>
        <w:rPr>
          <w:rFonts w:hint="eastAsia" w:ascii="宋体" w:hAnsi="宋体"/>
          <w:b/>
          <w:bCs/>
          <w:sz w:val="24"/>
          <w:highlight w:val="none"/>
        </w:rPr>
        <w:br w:type="page"/>
      </w:r>
    </w:p>
    <w:p>
      <w:pPr>
        <w:spacing w:line="360" w:lineRule="auto"/>
        <w:jc w:val="center"/>
        <w:rPr>
          <w:rFonts w:ascii="黑体" w:hAnsi="黑体" w:eastAsia="黑体" w:cs="黑体"/>
          <w:b/>
          <w:bCs/>
          <w:sz w:val="32"/>
          <w:szCs w:val="32"/>
          <w:highlight w:val="none"/>
        </w:rPr>
      </w:pPr>
      <w:bookmarkStart w:id="0" w:name="_Toc14384"/>
      <w:bookmarkStart w:id="1" w:name="_Toc28776"/>
      <w:r>
        <w:rPr>
          <w:rFonts w:hint="eastAsia" w:ascii="黑体" w:hAnsi="黑体" w:eastAsia="黑体" w:cs="黑体"/>
          <w:b/>
          <w:bCs/>
          <w:sz w:val="32"/>
          <w:szCs w:val="32"/>
          <w:highlight w:val="none"/>
        </w:rPr>
        <w:t>温馨提示</w:t>
      </w:r>
    </w:p>
    <w:p>
      <w:pPr>
        <w:spacing w:line="360" w:lineRule="auto"/>
        <w:jc w:val="center"/>
        <w:rPr>
          <w:rFonts w:ascii="宋体" w:hAnsi="宋体"/>
          <w:kern w:val="0"/>
          <w:sz w:val="24"/>
          <w:highlight w:val="none"/>
        </w:rPr>
      </w:pPr>
      <w:r>
        <w:rPr>
          <w:rFonts w:hint="eastAsia" w:ascii="宋体" w:hAnsi="宋体"/>
          <w:kern w:val="0"/>
          <w:sz w:val="24"/>
          <w:highlight w:val="none"/>
        </w:rPr>
        <w:t>（本提示内容非采购文件的组成部分，仅为善意提醒。如有不一致，以采购文件为准）。</w:t>
      </w:r>
    </w:p>
    <w:p>
      <w:pPr>
        <w:widowControl/>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一、如无另行说明，投标/响应文件递交时间为投标/响应文件递交截止时间之前60分钟内。</w:t>
      </w:r>
    </w:p>
    <w:p>
      <w:pPr>
        <w:widowControl/>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二、每个供应商每个项目的保证金缴纳账户是唯一的，本公司将根据唯一保证金缴纳账户的缴纳情况，确认供应商是否已按规定缴纳项目保证金。所以请各供应商缴纳保证金前务必核对正确的缴纳账户，错缴误缴导致未按项目缴纳保证金的情况将由供应商自行负责。</w:t>
      </w:r>
    </w:p>
    <w:p>
      <w:pPr>
        <w:widowControl/>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三、为了提高政府采购效率，节约社会交易成本与时间，本公司希望购买了采购文件而决定不参加本次投标/响应的供应商，在投标/响应文件递交截止时间的3日前，按《投标/磋商邀请函》中的联系方式，以电话或电子邮件形式告知本公司。对您的支持与配合，谨此致谢。</w:t>
      </w:r>
    </w:p>
    <w:p>
      <w:pPr>
        <w:widowControl/>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四</w:t>
      </w:r>
      <w:r>
        <w:rPr>
          <w:rFonts w:ascii="宋体" w:hAnsi="宋体"/>
          <w:kern w:val="0"/>
          <w:sz w:val="24"/>
          <w:highlight w:val="none"/>
        </w:rPr>
        <w:t>、</w:t>
      </w:r>
      <w:r>
        <w:rPr>
          <w:rFonts w:hint="eastAsia" w:ascii="宋体" w:hAnsi="宋体"/>
          <w:kern w:val="0"/>
          <w:sz w:val="24"/>
          <w:highlight w:val="none"/>
        </w:rPr>
        <w:t>供应商如需对项目提出询问或质疑，应按采购文件中要求的询问函和质疑函的格式提交。</w:t>
      </w:r>
    </w:p>
    <w:p>
      <w:pPr>
        <w:widowControl/>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五、</w:t>
      </w:r>
      <w:r>
        <w:rPr>
          <w:rStyle w:val="26"/>
          <w:rFonts w:hint="eastAsia" w:ascii="宋体" w:hAnsi="宋体"/>
          <w:color w:val="auto"/>
          <w:kern w:val="0"/>
          <w:sz w:val="24"/>
          <w:highlight w:val="none"/>
        </w:rPr>
        <w:t>若遇高峰期停车困难，可至公司周边停车场停车，如绿地SOHO同盟、旺都、绿地领海、绿地蓝海及其他对外营业的停车场等。</w:t>
      </w:r>
    </w:p>
    <w:p>
      <w:pPr>
        <w:widowControl/>
        <w:spacing w:line="360" w:lineRule="auto"/>
        <w:ind w:firstLine="480" w:firstLineChars="200"/>
        <w:jc w:val="left"/>
        <w:rPr>
          <w:rStyle w:val="26"/>
          <w:rFonts w:ascii="宋体" w:hAnsi="宋体"/>
          <w:color w:val="auto"/>
          <w:kern w:val="0"/>
          <w:sz w:val="24"/>
          <w:highlight w:val="none"/>
        </w:rPr>
      </w:pPr>
      <w:r>
        <w:rPr>
          <w:rStyle w:val="26"/>
          <w:rFonts w:hint="eastAsia" w:ascii="宋体" w:hAnsi="宋体"/>
          <w:color w:val="auto"/>
          <w:kern w:val="0"/>
          <w:sz w:val="24"/>
          <w:highlight w:val="none"/>
        </w:rPr>
        <w:t>六、请供应商务必按照《陕西省财政厅关于政府采购供应商注册登记有关事项的通知》要求，通过陕西省政府采购网（http://www.ccgp-shaanxi.gov.cn/）进行陕西政府采购统一身份认证注册登记加入陕西省政府采购供应商库。</w:t>
      </w:r>
    </w:p>
    <w:p>
      <w:pPr>
        <w:pStyle w:val="18"/>
        <w:tabs>
          <w:tab w:val="right" w:leader="dot" w:pos="9747"/>
        </w:tabs>
        <w:spacing w:before="120" w:after="120" w:line="360" w:lineRule="auto"/>
        <w:jc w:val="center"/>
        <w:rPr>
          <w:rFonts w:ascii="宋体" w:hAnsi="宋体"/>
          <w:b/>
          <w:bCs/>
          <w:szCs w:val="30"/>
          <w:highlight w:val="none"/>
        </w:rPr>
      </w:pPr>
      <w:r>
        <w:rPr>
          <w:rStyle w:val="38"/>
          <w:rFonts w:hint="eastAsia" w:ascii="黑体" w:hAnsi="黑体" w:eastAsia="黑体" w:cs="黑体"/>
          <w:sz w:val="32"/>
          <w:szCs w:val="32"/>
          <w:highlight w:val="none"/>
        </w:rPr>
        <w:br w:type="page"/>
      </w:r>
      <w:r>
        <w:rPr>
          <w:rFonts w:hint="eastAsia" w:ascii="黑体" w:hAnsi="黑体" w:eastAsia="黑体" w:cs="黑体"/>
          <w:b/>
          <w:bCs/>
          <w:sz w:val="32"/>
          <w:szCs w:val="32"/>
          <w:highlight w:val="none"/>
        </w:rPr>
        <w:t>目  录</w:t>
      </w:r>
      <w:bookmarkEnd w:id="0"/>
      <w:bookmarkEnd w:id="1"/>
      <w:r>
        <w:rPr>
          <w:rFonts w:hint="eastAsia" w:ascii="宋体" w:hAnsi="宋体"/>
          <w:b/>
          <w:bCs/>
          <w:szCs w:val="30"/>
          <w:highlight w:val="none"/>
        </w:rPr>
        <w:fldChar w:fldCharType="begin"/>
      </w:r>
      <w:r>
        <w:rPr>
          <w:rFonts w:hint="eastAsia" w:ascii="宋体" w:hAnsi="宋体"/>
          <w:b/>
          <w:bCs/>
          <w:szCs w:val="30"/>
          <w:highlight w:val="none"/>
        </w:rPr>
        <w:instrText xml:space="preserve">TOC \o "1-3" \h \u </w:instrText>
      </w:r>
      <w:r>
        <w:rPr>
          <w:rFonts w:hint="eastAsia" w:ascii="宋体" w:hAnsi="宋体"/>
          <w:b/>
          <w:bCs/>
          <w:szCs w:val="30"/>
          <w:highlight w:val="none"/>
        </w:rPr>
        <w:fldChar w:fldCharType="separate"/>
      </w:r>
    </w:p>
    <w:p>
      <w:pPr>
        <w:pStyle w:val="18"/>
        <w:tabs>
          <w:tab w:val="right" w:leader="dot" w:pos="9747"/>
        </w:tabs>
        <w:rPr>
          <w:b/>
          <w:highlight w:val="none"/>
        </w:rPr>
      </w:pPr>
      <w:r>
        <w:rPr>
          <w:highlight w:val="none"/>
        </w:rPr>
        <w:fldChar w:fldCharType="begin"/>
      </w:r>
      <w:r>
        <w:rPr>
          <w:highlight w:val="none"/>
        </w:rPr>
        <w:instrText xml:space="preserve"> HYPERLINK \l "_Toc17948" </w:instrText>
      </w:r>
      <w:r>
        <w:rPr>
          <w:highlight w:val="none"/>
        </w:rPr>
        <w:fldChar w:fldCharType="separate"/>
      </w:r>
      <w:r>
        <w:rPr>
          <w:rFonts w:hint="eastAsia" w:ascii="黑体" w:hAnsi="黑体" w:eastAsia="黑体" w:cs="黑体"/>
          <w:b/>
          <w:szCs w:val="32"/>
          <w:highlight w:val="none"/>
        </w:rPr>
        <w:t>第一部分 磋商邀请函</w:t>
      </w:r>
      <w:r>
        <w:rPr>
          <w:b/>
          <w:highlight w:val="none"/>
        </w:rPr>
        <w:tab/>
      </w:r>
      <w:r>
        <w:rPr>
          <w:b/>
          <w:highlight w:val="none"/>
        </w:rPr>
        <w:fldChar w:fldCharType="begin"/>
      </w:r>
      <w:r>
        <w:rPr>
          <w:b/>
          <w:highlight w:val="none"/>
        </w:rPr>
        <w:instrText xml:space="preserve"> PAGEREF _Toc17948 \h </w:instrText>
      </w:r>
      <w:r>
        <w:rPr>
          <w:b/>
          <w:highlight w:val="none"/>
        </w:rPr>
        <w:fldChar w:fldCharType="separate"/>
      </w:r>
      <w:r>
        <w:rPr>
          <w:b/>
          <w:highlight w:val="none"/>
        </w:rPr>
        <w:t>4</w:t>
      </w:r>
      <w:r>
        <w:rPr>
          <w:b/>
          <w:highlight w:val="none"/>
        </w:rPr>
        <w:fldChar w:fldCharType="end"/>
      </w:r>
      <w:r>
        <w:rPr>
          <w:b/>
          <w:highlight w:val="none"/>
        </w:rPr>
        <w:fldChar w:fldCharType="end"/>
      </w:r>
    </w:p>
    <w:p>
      <w:pPr>
        <w:pStyle w:val="18"/>
        <w:tabs>
          <w:tab w:val="right" w:leader="dot" w:pos="9747"/>
        </w:tabs>
        <w:rPr>
          <w:b/>
          <w:highlight w:val="none"/>
        </w:rPr>
      </w:pPr>
      <w:r>
        <w:rPr>
          <w:highlight w:val="none"/>
        </w:rPr>
        <w:fldChar w:fldCharType="begin"/>
      </w:r>
      <w:r>
        <w:rPr>
          <w:highlight w:val="none"/>
        </w:rPr>
        <w:instrText xml:space="preserve"> HYPERLINK \l "_Toc6236" </w:instrText>
      </w:r>
      <w:r>
        <w:rPr>
          <w:highlight w:val="none"/>
        </w:rPr>
        <w:fldChar w:fldCharType="separate"/>
      </w:r>
      <w:r>
        <w:rPr>
          <w:rFonts w:hint="eastAsia" w:ascii="黑体" w:hAnsi="黑体" w:eastAsia="黑体" w:cs="黑体"/>
          <w:b/>
          <w:szCs w:val="32"/>
          <w:highlight w:val="none"/>
        </w:rPr>
        <w:t>第二部分 用户需求书</w:t>
      </w:r>
      <w:r>
        <w:rPr>
          <w:b/>
          <w:highlight w:val="none"/>
        </w:rPr>
        <w:tab/>
      </w:r>
      <w:r>
        <w:rPr>
          <w:b/>
          <w:highlight w:val="none"/>
        </w:rPr>
        <w:fldChar w:fldCharType="begin"/>
      </w:r>
      <w:r>
        <w:rPr>
          <w:b/>
          <w:highlight w:val="none"/>
        </w:rPr>
        <w:instrText xml:space="preserve"> PAGEREF _Toc6236 \h </w:instrText>
      </w:r>
      <w:r>
        <w:rPr>
          <w:b/>
          <w:highlight w:val="none"/>
        </w:rPr>
        <w:fldChar w:fldCharType="separate"/>
      </w:r>
      <w:r>
        <w:rPr>
          <w:b/>
          <w:highlight w:val="none"/>
        </w:rPr>
        <w:t>8</w:t>
      </w:r>
      <w:r>
        <w:rPr>
          <w:b/>
          <w:highlight w:val="none"/>
        </w:rPr>
        <w:fldChar w:fldCharType="end"/>
      </w:r>
      <w:r>
        <w:rPr>
          <w:b/>
          <w:highlight w:val="none"/>
        </w:rPr>
        <w:fldChar w:fldCharType="end"/>
      </w:r>
    </w:p>
    <w:p>
      <w:pPr>
        <w:pStyle w:val="18"/>
        <w:tabs>
          <w:tab w:val="right" w:leader="dot" w:pos="9747"/>
        </w:tabs>
        <w:rPr>
          <w:b/>
          <w:highlight w:val="none"/>
        </w:rPr>
      </w:pPr>
      <w:r>
        <w:rPr>
          <w:highlight w:val="none"/>
        </w:rPr>
        <w:fldChar w:fldCharType="begin"/>
      </w:r>
      <w:r>
        <w:rPr>
          <w:highlight w:val="none"/>
        </w:rPr>
        <w:instrText xml:space="preserve"> HYPERLINK \l "_Toc25235" </w:instrText>
      </w:r>
      <w:r>
        <w:rPr>
          <w:highlight w:val="none"/>
        </w:rPr>
        <w:fldChar w:fldCharType="separate"/>
      </w:r>
      <w:r>
        <w:rPr>
          <w:rFonts w:hint="eastAsia" w:ascii="黑体" w:hAnsi="黑体" w:eastAsia="黑体" w:cs="黑体"/>
          <w:b/>
          <w:szCs w:val="32"/>
          <w:highlight w:val="none"/>
        </w:rPr>
        <w:t>第三部分 供应商须知</w:t>
      </w:r>
      <w:r>
        <w:rPr>
          <w:b/>
          <w:highlight w:val="none"/>
        </w:rPr>
        <w:tab/>
      </w:r>
      <w:r>
        <w:rPr>
          <w:b/>
          <w:highlight w:val="none"/>
        </w:rPr>
        <w:fldChar w:fldCharType="begin"/>
      </w:r>
      <w:r>
        <w:rPr>
          <w:b/>
          <w:highlight w:val="none"/>
        </w:rPr>
        <w:instrText xml:space="preserve"> PAGEREF _Toc25235 \h </w:instrText>
      </w:r>
      <w:r>
        <w:rPr>
          <w:b/>
          <w:highlight w:val="none"/>
        </w:rPr>
        <w:fldChar w:fldCharType="separate"/>
      </w:r>
      <w:r>
        <w:rPr>
          <w:b/>
          <w:highlight w:val="none"/>
        </w:rPr>
        <w:t>14</w:t>
      </w:r>
      <w:r>
        <w:rPr>
          <w:b/>
          <w:highlight w:val="none"/>
        </w:rPr>
        <w:fldChar w:fldCharType="end"/>
      </w:r>
      <w:r>
        <w:rPr>
          <w:b/>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"_Toc14458" </w:instrText>
      </w:r>
      <w:r>
        <w:rPr>
          <w:highlight w:val="none"/>
        </w:rPr>
        <w:fldChar w:fldCharType="separate"/>
      </w:r>
      <w:r>
        <w:rPr>
          <w:rFonts w:hint="eastAsia" w:ascii="黑体" w:hAnsi="黑体" w:eastAsia="黑体" w:cs="黑体"/>
          <w:highlight w:val="none"/>
        </w:rPr>
        <w:t>一、总则</w:t>
      </w:r>
      <w:r>
        <w:rPr>
          <w:highlight w:val="none"/>
        </w:rPr>
        <w:tab/>
      </w:r>
      <w:r>
        <w:rPr>
          <w:highlight w:val="none"/>
        </w:rPr>
        <w:fldChar w:fldCharType="begin"/>
      </w:r>
      <w:r>
        <w:rPr>
          <w:highlight w:val="none"/>
        </w:rPr>
        <w:instrText xml:space="preserve"> PAGEREF _Toc14458 \h </w:instrText>
      </w:r>
      <w:r>
        <w:rPr>
          <w:highlight w:val="none"/>
        </w:rPr>
        <w:fldChar w:fldCharType="separate"/>
      </w:r>
      <w:r>
        <w:rPr>
          <w:highlight w:val="none"/>
        </w:rPr>
        <w:t>17</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"_Toc29396" </w:instrText>
      </w:r>
      <w:r>
        <w:rPr>
          <w:highlight w:val="none"/>
        </w:rPr>
        <w:fldChar w:fldCharType="separate"/>
      </w:r>
      <w:r>
        <w:rPr>
          <w:rFonts w:hint="eastAsia" w:ascii="黑体" w:hAnsi="黑体" w:eastAsia="黑体" w:cs="黑体"/>
          <w:highlight w:val="none"/>
        </w:rPr>
        <w:t>二、磋商文件</w:t>
      </w:r>
      <w:r>
        <w:rPr>
          <w:highlight w:val="none"/>
        </w:rPr>
        <w:tab/>
      </w:r>
      <w:r>
        <w:rPr>
          <w:highlight w:val="none"/>
        </w:rPr>
        <w:fldChar w:fldCharType="begin"/>
      </w:r>
      <w:r>
        <w:rPr>
          <w:highlight w:val="none"/>
        </w:rPr>
        <w:instrText xml:space="preserve"> PAGEREF _Toc29396 \h </w:instrText>
      </w:r>
      <w:r>
        <w:rPr>
          <w:highlight w:val="none"/>
        </w:rPr>
        <w:fldChar w:fldCharType="separate"/>
      </w:r>
      <w:r>
        <w:rPr>
          <w:highlight w:val="none"/>
        </w:rPr>
        <w:t>21</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"_Toc17031" </w:instrText>
      </w:r>
      <w:r>
        <w:rPr>
          <w:highlight w:val="none"/>
        </w:rPr>
        <w:fldChar w:fldCharType="separate"/>
      </w:r>
      <w:r>
        <w:rPr>
          <w:rFonts w:hint="eastAsia" w:ascii="黑体" w:hAnsi="黑体" w:eastAsia="黑体" w:cs="黑体"/>
          <w:highlight w:val="none"/>
        </w:rPr>
        <w:t>三、响应文件的编制</w:t>
      </w:r>
      <w:r>
        <w:rPr>
          <w:highlight w:val="none"/>
        </w:rPr>
        <w:tab/>
      </w:r>
      <w:r>
        <w:rPr>
          <w:highlight w:val="none"/>
        </w:rPr>
        <w:fldChar w:fldCharType="begin"/>
      </w:r>
      <w:r>
        <w:rPr>
          <w:highlight w:val="none"/>
        </w:rPr>
        <w:instrText xml:space="preserve"> PAGEREF _Toc17031 \h </w:instrText>
      </w:r>
      <w:r>
        <w:rPr>
          <w:highlight w:val="none"/>
        </w:rPr>
        <w:fldChar w:fldCharType="separate"/>
      </w:r>
      <w:r>
        <w:rPr>
          <w:highlight w:val="none"/>
        </w:rPr>
        <w:t>22</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"_Toc32350" </w:instrText>
      </w:r>
      <w:r>
        <w:rPr>
          <w:highlight w:val="none"/>
        </w:rPr>
        <w:fldChar w:fldCharType="separate"/>
      </w:r>
      <w:r>
        <w:rPr>
          <w:rFonts w:hint="eastAsia" w:ascii="黑体" w:hAnsi="黑体" w:eastAsia="黑体" w:cs="黑体"/>
          <w:highlight w:val="none"/>
        </w:rPr>
        <w:t>四、响应文件密封、递交</w:t>
      </w:r>
      <w:r>
        <w:rPr>
          <w:highlight w:val="none"/>
        </w:rPr>
        <w:tab/>
      </w:r>
      <w:r>
        <w:rPr>
          <w:highlight w:val="none"/>
        </w:rPr>
        <w:fldChar w:fldCharType="begin"/>
      </w:r>
      <w:r>
        <w:rPr>
          <w:highlight w:val="none"/>
        </w:rPr>
        <w:instrText xml:space="preserve"> PAGEREF _Toc32350 \h </w:instrText>
      </w:r>
      <w:r>
        <w:rPr>
          <w:highlight w:val="none"/>
        </w:rPr>
        <w:fldChar w:fldCharType="separate"/>
      </w:r>
      <w:r>
        <w:rPr>
          <w:highlight w:val="none"/>
        </w:rPr>
        <w:t>25</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"_Toc5241" </w:instrText>
      </w:r>
      <w:r>
        <w:rPr>
          <w:highlight w:val="none"/>
        </w:rPr>
        <w:fldChar w:fldCharType="separate"/>
      </w:r>
      <w:r>
        <w:rPr>
          <w:rFonts w:hint="eastAsia" w:ascii="黑体" w:hAnsi="黑体" w:eastAsia="黑体" w:cs="黑体"/>
          <w:highlight w:val="none"/>
        </w:rPr>
        <w:t>五、磋商、评审、成交</w:t>
      </w:r>
      <w:r>
        <w:rPr>
          <w:highlight w:val="none"/>
        </w:rPr>
        <w:tab/>
      </w:r>
      <w:r>
        <w:rPr>
          <w:highlight w:val="none"/>
        </w:rPr>
        <w:fldChar w:fldCharType="begin"/>
      </w:r>
      <w:r>
        <w:rPr>
          <w:highlight w:val="none"/>
        </w:rPr>
        <w:instrText xml:space="preserve"> PAGEREF _Toc5241 \h </w:instrText>
      </w:r>
      <w:r>
        <w:rPr>
          <w:highlight w:val="none"/>
        </w:rPr>
        <w:fldChar w:fldCharType="separate"/>
      </w:r>
      <w:r>
        <w:rPr>
          <w:highlight w:val="none"/>
        </w:rPr>
        <w:t>27</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"_Toc22007" </w:instrText>
      </w:r>
      <w:r>
        <w:rPr>
          <w:highlight w:val="none"/>
        </w:rPr>
        <w:fldChar w:fldCharType="separate"/>
      </w:r>
      <w:r>
        <w:rPr>
          <w:rFonts w:hint="eastAsia" w:ascii="黑体" w:hAnsi="黑体" w:eastAsia="黑体" w:cs="黑体"/>
          <w:highlight w:val="none"/>
        </w:rPr>
        <w:t>六、响应纪律要求</w:t>
      </w:r>
      <w:r>
        <w:rPr>
          <w:highlight w:val="none"/>
        </w:rPr>
        <w:tab/>
      </w:r>
      <w:r>
        <w:rPr>
          <w:highlight w:val="none"/>
        </w:rPr>
        <w:fldChar w:fldCharType="begin"/>
      </w:r>
      <w:r>
        <w:rPr>
          <w:highlight w:val="none"/>
        </w:rPr>
        <w:instrText xml:space="preserve"> PAGEREF _Toc22007 \h </w:instrText>
      </w:r>
      <w:r>
        <w:rPr>
          <w:highlight w:val="none"/>
        </w:rPr>
        <w:fldChar w:fldCharType="separate"/>
      </w:r>
      <w:r>
        <w:rPr>
          <w:highlight w:val="none"/>
        </w:rPr>
        <w:t>27</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"_Toc9216" </w:instrText>
      </w:r>
      <w:r>
        <w:rPr>
          <w:highlight w:val="none"/>
        </w:rPr>
        <w:fldChar w:fldCharType="separate"/>
      </w:r>
      <w:r>
        <w:rPr>
          <w:rFonts w:hint="eastAsia" w:ascii="黑体" w:hAnsi="黑体" w:eastAsia="黑体" w:cs="黑体"/>
          <w:highlight w:val="none"/>
        </w:rPr>
        <w:t>七、询问、质疑、投诉</w:t>
      </w:r>
      <w:r>
        <w:rPr>
          <w:highlight w:val="none"/>
        </w:rPr>
        <w:tab/>
      </w:r>
      <w:r>
        <w:rPr>
          <w:highlight w:val="none"/>
        </w:rPr>
        <w:fldChar w:fldCharType="begin"/>
      </w:r>
      <w:r>
        <w:rPr>
          <w:highlight w:val="none"/>
        </w:rPr>
        <w:instrText xml:space="preserve"> PAGEREF _Toc9216 \h </w:instrText>
      </w:r>
      <w:r>
        <w:rPr>
          <w:highlight w:val="none"/>
        </w:rPr>
        <w:fldChar w:fldCharType="separate"/>
      </w:r>
      <w:r>
        <w:rPr>
          <w:highlight w:val="none"/>
        </w:rPr>
        <w:t>27</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"_Toc26762" </w:instrText>
      </w:r>
      <w:r>
        <w:rPr>
          <w:highlight w:val="none"/>
        </w:rPr>
        <w:fldChar w:fldCharType="separate"/>
      </w:r>
      <w:r>
        <w:rPr>
          <w:rFonts w:hint="eastAsia" w:ascii="黑体" w:hAnsi="黑体" w:eastAsia="黑体" w:cs="黑体"/>
          <w:highlight w:val="none"/>
        </w:rPr>
        <w:t>八、合同的签订及履行</w:t>
      </w:r>
      <w:r>
        <w:rPr>
          <w:highlight w:val="none"/>
        </w:rPr>
        <w:tab/>
      </w:r>
      <w:r>
        <w:rPr>
          <w:highlight w:val="none"/>
        </w:rPr>
        <w:fldChar w:fldCharType="begin"/>
      </w:r>
      <w:r>
        <w:rPr>
          <w:highlight w:val="none"/>
        </w:rPr>
        <w:instrText xml:space="preserve"> PAGEREF _Toc26762 \h </w:instrText>
      </w:r>
      <w:r>
        <w:rPr>
          <w:highlight w:val="none"/>
        </w:rPr>
        <w:fldChar w:fldCharType="separate"/>
      </w:r>
      <w:r>
        <w:rPr>
          <w:highlight w:val="none"/>
        </w:rPr>
        <w:t>29</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"_Toc7277" </w:instrText>
      </w:r>
      <w:r>
        <w:rPr>
          <w:highlight w:val="none"/>
        </w:rPr>
        <w:fldChar w:fldCharType="separate"/>
      </w:r>
      <w:r>
        <w:rPr>
          <w:rFonts w:hint="eastAsia" w:ascii="黑体" w:hAnsi="黑体" w:eastAsia="黑体" w:cs="黑体"/>
          <w:highlight w:val="none"/>
        </w:rPr>
        <w:t>九、采购代理服务费</w:t>
      </w:r>
      <w:r>
        <w:rPr>
          <w:highlight w:val="none"/>
        </w:rPr>
        <w:tab/>
      </w:r>
      <w:r>
        <w:rPr>
          <w:highlight w:val="none"/>
        </w:rPr>
        <w:fldChar w:fldCharType="begin"/>
      </w:r>
      <w:r>
        <w:rPr>
          <w:highlight w:val="none"/>
        </w:rPr>
        <w:instrText xml:space="preserve"> PAGEREF _Toc7277 \h </w:instrText>
      </w:r>
      <w:r>
        <w:rPr>
          <w:highlight w:val="none"/>
        </w:rPr>
        <w:fldChar w:fldCharType="separate"/>
      </w:r>
      <w:r>
        <w:rPr>
          <w:highlight w:val="none"/>
        </w:rPr>
        <w:t>30</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"_Toc5101" </w:instrText>
      </w:r>
      <w:r>
        <w:rPr>
          <w:highlight w:val="none"/>
        </w:rPr>
        <w:fldChar w:fldCharType="separate"/>
      </w:r>
      <w:r>
        <w:rPr>
          <w:rFonts w:hint="eastAsia" w:ascii="黑体" w:hAnsi="黑体" w:eastAsia="黑体" w:cs="黑体"/>
          <w:highlight w:val="none"/>
        </w:rPr>
        <w:t>十、其它事项</w:t>
      </w:r>
      <w:r>
        <w:rPr>
          <w:highlight w:val="none"/>
        </w:rPr>
        <w:tab/>
      </w:r>
      <w:r>
        <w:rPr>
          <w:highlight w:val="none"/>
        </w:rPr>
        <w:fldChar w:fldCharType="begin"/>
      </w:r>
      <w:r>
        <w:rPr>
          <w:highlight w:val="none"/>
        </w:rPr>
        <w:instrText xml:space="preserve"> PAGEREF _Toc5101 \h </w:instrText>
      </w:r>
      <w:r>
        <w:rPr>
          <w:highlight w:val="none"/>
        </w:rPr>
        <w:fldChar w:fldCharType="separate"/>
      </w:r>
      <w:r>
        <w:rPr>
          <w:highlight w:val="none"/>
        </w:rPr>
        <w:t>30</w:t>
      </w:r>
      <w:r>
        <w:rPr>
          <w:highlight w:val="none"/>
        </w:rPr>
        <w:fldChar w:fldCharType="end"/>
      </w:r>
      <w:r>
        <w:rPr>
          <w:highlight w:val="none"/>
        </w:rPr>
        <w:fldChar w:fldCharType="end"/>
      </w:r>
    </w:p>
    <w:p>
      <w:pPr>
        <w:pStyle w:val="18"/>
        <w:tabs>
          <w:tab w:val="right" w:leader="dot" w:pos="9747"/>
        </w:tabs>
        <w:rPr>
          <w:b/>
          <w:highlight w:val="none"/>
        </w:rPr>
      </w:pPr>
      <w:r>
        <w:rPr>
          <w:highlight w:val="none"/>
        </w:rPr>
        <w:fldChar w:fldCharType="begin"/>
      </w:r>
      <w:r>
        <w:rPr>
          <w:highlight w:val="none"/>
        </w:rPr>
        <w:instrText xml:space="preserve"> HYPERLINK \l "_Toc27874" </w:instrText>
      </w:r>
      <w:r>
        <w:rPr>
          <w:highlight w:val="none"/>
        </w:rPr>
        <w:fldChar w:fldCharType="separate"/>
      </w:r>
      <w:r>
        <w:rPr>
          <w:rFonts w:hint="eastAsia" w:ascii="黑体" w:hAnsi="黑体" w:eastAsia="黑体" w:cs="黑体"/>
          <w:b/>
          <w:szCs w:val="32"/>
          <w:highlight w:val="none"/>
        </w:rPr>
        <w:t>第四部分 磋商、评审、成交</w:t>
      </w:r>
      <w:r>
        <w:rPr>
          <w:b/>
          <w:highlight w:val="none"/>
        </w:rPr>
        <w:tab/>
      </w:r>
      <w:r>
        <w:rPr>
          <w:b/>
          <w:highlight w:val="none"/>
        </w:rPr>
        <w:fldChar w:fldCharType="begin"/>
      </w:r>
      <w:r>
        <w:rPr>
          <w:b/>
          <w:highlight w:val="none"/>
        </w:rPr>
        <w:instrText xml:space="preserve"> PAGEREF _Toc27874 \h </w:instrText>
      </w:r>
      <w:r>
        <w:rPr>
          <w:b/>
          <w:highlight w:val="none"/>
        </w:rPr>
        <w:fldChar w:fldCharType="separate"/>
      </w:r>
      <w:r>
        <w:rPr>
          <w:b/>
          <w:highlight w:val="none"/>
        </w:rPr>
        <w:t>32</w:t>
      </w:r>
      <w:r>
        <w:rPr>
          <w:b/>
          <w:highlight w:val="none"/>
        </w:rPr>
        <w:fldChar w:fldCharType="end"/>
      </w:r>
      <w:r>
        <w:rPr>
          <w:b/>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"_Toc30935" </w:instrText>
      </w:r>
      <w:r>
        <w:rPr>
          <w:highlight w:val="none"/>
        </w:rPr>
        <w:fldChar w:fldCharType="separate"/>
      </w:r>
      <w:r>
        <w:rPr>
          <w:rFonts w:hint="eastAsia" w:ascii="黑体" w:hAnsi="黑体" w:eastAsia="黑体" w:cs="黑体"/>
          <w:highlight w:val="none"/>
        </w:rPr>
        <w:t>一、开启响应文件</w:t>
      </w:r>
      <w:r>
        <w:rPr>
          <w:highlight w:val="none"/>
        </w:rPr>
        <w:tab/>
      </w:r>
      <w:r>
        <w:rPr>
          <w:highlight w:val="none"/>
        </w:rPr>
        <w:fldChar w:fldCharType="begin"/>
      </w:r>
      <w:r>
        <w:rPr>
          <w:highlight w:val="none"/>
        </w:rPr>
        <w:instrText xml:space="preserve"> PAGEREF _Toc30935 \h </w:instrText>
      </w:r>
      <w:r>
        <w:rPr>
          <w:highlight w:val="none"/>
        </w:rPr>
        <w:fldChar w:fldCharType="separate"/>
      </w:r>
      <w:r>
        <w:rPr>
          <w:highlight w:val="none"/>
        </w:rPr>
        <w:t>32</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"_Toc20713" </w:instrText>
      </w:r>
      <w:r>
        <w:rPr>
          <w:highlight w:val="none"/>
        </w:rPr>
        <w:fldChar w:fldCharType="separate"/>
      </w:r>
      <w:r>
        <w:rPr>
          <w:rFonts w:hint="eastAsia" w:ascii="黑体" w:hAnsi="黑体" w:eastAsia="黑体" w:cs="黑体"/>
          <w:highlight w:val="none"/>
        </w:rPr>
        <w:t>二、组织评审</w:t>
      </w:r>
      <w:r>
        <w:rPr>
          <w:highlight w:val="none"/>
        </w:rPr>
        <w:tab/>
      </w:r>
      <w:r>
        <w:rPr>
          <w:highlight w:val="none"/>
        </w:rPr>
        <w:fldChar w:fldCharType="begin"/>
      </w:r>
      <w:r>
        <w:rPr>
          <w:highlight w:val="none"/>
        </w:rPr>
        <w:instrText xml:space="preserve"> PAGEREF _Toc20713 \h </w:instrText>
      </w:r>
      <w:r>
        <w:rPr>
          <w:highlight w:val="none"/>
        </w:rPr>
        <w:fldChar w:fldCharType="separate"/>
      </w:r>
      <w:r>
        <w:rPr>
          <w:highlight w:val="none"/>
        </w:rPr>
        <w:t>32</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"_Toc21394" </w:instrText>
      </w:r>
      <w:r>
        <w:rPr>
          <w:highlight w:val="none"/>
        </w:rPr>
        <w:fldChar w:fldCharType="separate"/>
      </w:r>
      <w:r>
        <w:rPr>
          <w:rFonts w:hint="eastAsia" w:ascii="黑体" w:hAnsi="黑体" w:eastAsia="黑体" w:cs="黑体"/>
          <w:highlight w:val="none"/>
        </w:rPr>
        <w:t>三、成交</w:t>
      </w:r>
      <w:r>
        <w:rPr>
          <w:highlight w:val="none"/>
        </w:rPr>
        <w:tab/>
      </w:r>
      <w:r>
        <w:rPr>
          <w:highlight w:val="none"/>
        </w:rPr>
        <w:fldChar w:fldCharType="begin"/>
      </w:r>
      <w:r>
        <w:rPr>
          <w:highlight w:val="none"/>
        </w:rPr>
        <w:instrText xml:space="preserve"> PAGEREF _Toc21394 \h </w:instrText>
      </w:r>
      <w:r>
        <w:rPr>
          <w:highlight w:val="none"/>
        </w:rPr>
        <w:fldChar w:fldCharType="separate"/>
      </w:r>
      <w:r>
        <w:rPr>
          <w:highlight w:val="none"/>
        </w:rPr>
        <w:t>39</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"_Toc28390" </w:instrText>
      </w:r>
      <w:r>
        <w:rPr>
          <w:highlight w:val="none"/>
        </w:rPr>
        <w:fldChar w:fldCharType="separate"/>
      </w:r>
      <w:r>
        <w:rPr>
          <w:rFonts w:hint="eastAsia" w:ascii="黑体" w:hAnsi="黑体" w:eastAsia="黑体" w:cs="黑体"/>
          <w:highlight w:val="none"/>
        </w:rPr>
        <w:t>四、其他</w:t>
      </w:r>
      <w:r>
        <w:rPr>
          <w:highlight w:val="none"/>
        </w:rPr>
        <w:tab/>
      </w:r>
      <w:r>
        <w:rPr>
          <w:highlight w:val="none"/>
        </w:rPr>
        <w:fldChar w:fldCharType="begin"/>
      </w:r>
      <w:r>
        <w:rPr>
          <w:highlight w:val="none"/>
        </w:rPr>
        <w:instrText xml:space="preserve"> PAGEREF _Toc28390 \h </w:instrText>
      </w:r>
      <w:r>
        <w:rPr>
          <w:highlight w:val="none"/>
        </w:rPr>
        <w:fldChar w:fldCharType="separate"/>
      </w:r>
      <w:r>
        <w:rPr>
          <w:highlight w:val="none"/>
        </w:rPr>
        <w:t>40</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"_Toc10028" </w:instrText>
      </w:r>
      <w:r>
        <w:rPr>
          <w:highlight w:val="none"/>
        </w:rPr>
        <w:fldChar w:fldCharType="separate"/>
      </w:r>
      <w:r>
        <w:rPr>
          <w:rFonts w:hint="eastAsia" w:ascii="黑体" w:eastAsia="黑体" w:cs="黑体"/>
          <w:szCs w:val="24"/>
          <w:highlight w:val="none"/>
        </w:rPr>
        <w:t>附表1：《资格审查表》</w:t>
      </w:r>
      <w:r>
        <w:rPr>
          <w:highlight w:val="none"/>
        </w:rPr>
        <w:tab/>
      </w:r>
      <w:r>
        <w:rPr>
          <w:highlight w:val="none"/>
        </w:rPr>
        <w:fldChar w:fldCharType="begin"/>
      </w:r>
      <w:r>
        <w:rPr>
          <w:highlight w:val="none"/>
        </w:rPr>
        <w:instrText xml:space="preserve"> PAGEREF _Toc10028 \h </w:instrText>
      </w:r>
      <w:r>
        <w:rPr>
          <w:highlight w:val="none"/>
        </w:rPr>
        <w:fldChar w:fldCharType="separate"/>
      </w:r>
      <w:r>
        <w:rPr>
          <w:highlight w:val="none"/>
        </w:rPr>
        <w:t>41</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"_Toc17156" </w:instrText>
      </w:r>
      <w:r>
        <w:rPr>
          <w:highlight w:val="none"/>
        </w:rPr>
        <w:fldChar w:fldCharType="separate"/>
      </w:r>
      <w:r>
        <w:rPr>
          <w:rFonts w:hint="eastAsia" w:ascii="黑体" w:eastAsia="黑体" w:cs="黑体"/>
          <w:szCs w:val="24"/>
          <w:highlight w:val="none"/>
        </w:rPr>
        <w:t>附表2：《符合性审查表》</w:t>
      </w:r>
      <w:r>
        <w:rPr>
          <w:highlight w:val="none"/>
        </w:rPr>
        <w:tab/>
      </w:r>
      <w:r>
        <w:rPr>
          <w:highlight w:val="none"/>
        </w:rPr>
        <w:fldChar w:fldCharType="begin"/>
      </w:r>
      <w:r>
        <w:rPr>
          <w:highlight w:val="none"/>
        </w:rPr>
        <w:instrText xml:space="preserve"> PAGEREF _Toc17156 \h </w:instrText>
      </w:r>
      <w:r>
        <w:rPr>
          <w:highlight w:val="none"/>
        </w:rPr>
        <w:fldChar w:fldCharType="separate"/>
      </w:r>
      <w:r>
        <w:rPr>
          <w:highlight w:val="none"/>
        </w:rPr>
        <w:t>43</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"_Toc14127" </w:instrText>
      </w:r>
      <w:r>
        <w:rPr>
          <w:highlight w:val="none"/>
        </w:rPr>
        <w:fldChar w:fldCharType="separate"/>
      </w:r>
      <w:r>
        <w:rPr>
          <w:rFonts w:hint="eastAsia" w:ascii="黑体" w:eastAsia="黑体" w:cs="黑体"/>
          <w:szCs w:val="24"/>
          <w:highlight w:val="none"/>
        </w:rPr>
        <w:t>附表3：《价格评审表》</w:t>
      </w:r>
      <w:r>
        <w:rPr>
          <w:highlight w:val="none"/>
        </w:rPr>
        <w:tab/>
      </w:r>
      <w:r>
        <w:rPr>
          <w:highlight w:val="none"/>
        </w:rPr>
        <w:fldChar w:fldCharType="begin"/>
      </w:r>
      <w:r>
        <w:rPr>
          <w:highlight w:val="none"/>
        </w:rPr>
        <w:instrText xml:space="preserve"> PAGEREF _Toc14127 \h </w:instrText>
      </w:r>
      <w:r>
        <w:rPr>
          <w:highlight w:val="none"/>
        </w:rPr>
        <w:fldChar w:fldCharType="separate"/>
      </w:r>
      <w:r>
        <w:rPr>
          <w:highlight w:val="none"/>
        </w:rPr>
        <w:t>44</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"_Toc645" </w:instrText>
      </w:r>
      <w:r>
        <w:rPr>
          <w:highlight w:val="none"/>
        </w:rPr>
        <w:fldChar w:fldCharType="separate"/>
      </w:r>
      <w:r>
        <w:rPr>
          <w:rFonts w:hint="eastAsia" w:ascii="黑体" w:eastAsia="黑体" w:cs="黑体"/>
          <w:szCs w:val="24"/>
          <w:highlight w:val="none"/>
        </w:rPr>
        <w:t>附表4：《技术评审表》</w:t>
      </w:r>
      <w:r>
        <w:rPr>
          <w:highlight w:val="none"/>
        </w:rPr>
        <w:tab/>
      </w:r>
      <w:r>
        <w:rPr>
          <w:highlight w:val="none"/>
        </w:rPr>
        <w:fldChar w:fldCharType="begin"/>
      </w:r>
      <w:r>
        <w:rPr>
          <w:highlight w:val="none"/>
        </w:rPr>
        <w:instrText xml:space="preserve"> PAGEREF _Toc645 \h </w:instrText>
      </w:r>
      <w:r>
        <w:rPr>
          <w:highlight w:val="none"/>
        </w:rPr>
        <w:fldChar w:fldCharType="separate"/>
      </w:r>
      <w:r>
        <w:rPr>
          <w:highlight w:val="none"/>
        </w:rPr>
        <w:t>45</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"_Toc27695" </w:instrText>
      </w:r>
      <w:r>
        <w:rPr>
          <w:highlight w:val="none"/>
        </w:rPr>
        <w:fldChar w:fldCharType="separate"/>
      </w:r>
      <w:r>
        <w:rPr>
          <w:rFonts w:hint="eastAsia" w:ascii="黑体" w:eastAsia="黑体" w:cs="黑体"/>
          <w:szCs w:val="24"/>
          <w:highlight w:val="none"/>
        </w:rPr>
        <w:t>附表5：《商务评审表》</w:t>
      </w:r>
      <w:r>
        <w:rPr>
          <w:highlight w:val="none"/>
        </w:rPr>
        <w:tab/>
      </w:r>
      <w:r>
        <w:rPr>
          <w:highlight w:val="none"/>
        </w:rPr>
        <w:fldChar w:fldCharType="begin"/>
      </w:r>
      <w:r>
        <w:rPr>
          <w:highlight w:val="none"/>
        </w:rPr>
        <w:instrText xml:space="preserve"> PAGEREF _Toc27695 \h </w:instrText>
      </w:r>
      <w:r>
        <w:rPr>
          <w:highlight w:val="none"/>
        </w:rPr>
        <w:fldChar w:fldCharType="separate"/>
      </w:r>
      <w:r>
        <w:rPr>
          <w:highlight w:val="none"/>
        </w:rPr>
        <w:t>46</w:t>
      </w:r>
      <w:r>
        <w:rPr>
          <w:highlight w:val="none"/>
        </w:rPr>
        <w:fldChar w:fldCharType="end"/>
      </w:r>
      <w:r>
        <w:rPr>
          <w:highlight w:val="none"/>
        </w:rPr>
        <w:fldChar w:fldCharType="end"/>
      </w:r>
    </w:p>
    <w:p>
      <w:pPr>
        <w:pStyle w:val="18"/>
        <w:tabs>
          <w:tab w:val="right" w:leader="dot" w:pos="9747"/>
        </w:tabs>
        <w:rPr>
          <w:b/>
          <w:highlight w:val="none"/>
        </w:rPr>
      </w:pPr>
      <w:r>
        <w:rPr>
          <w:highlight w:val="none"/>
        </w:rPr>
        <w:fldChar w:fldCharType="begin"/>
      </w:r>
      <w:r>
        <w:rPr>
          <w:highlight w:val="none"/>
        </w:rPr>
        <w:instrText xml:space="preserve"> HYPERLINK \l "_Toc17058" </w:instrText>
      </w:r>
      <w:r>
        <w:rPr>
          <w:highlight w:val="none"/>
        </w:rPr>
        <w:fldChar w:fldCharType="separate"/>
      </w:r>
      <w:r>
        <w:rPr>
          <w:rFonts w:hint="eastAsia" w:ascii="黑体" w:hAnsi="黑体" w:eastAsia="黑体" w:cs="黑体"/>
          <w:b/>
          <w:szCs w:val="32"/>
          <w:highlight w:val="none"/>
        </w:rPr>
        <w:t>第五部分 政府采购合同格式</w:t>
      </w:r>
      <w:r>
        <w:rPr>
          <w:b/>
          <w:highlight w:val="none"/>
        </w:rPr>
        <w:tab/>
      </w:r>
      <w:r>
        <w:rPr>
          <w:b/>
          <w:highlight w:val="none"/>
        </w:rPr>
        <w:fldChar w:fldCharType="begin"/>
      </w:r>
      <w:r>
        <w:rPr>
          <w:b/>
          <w:highlight w:val="none"/>
        </w:rPr>
        <w:instrText xml:space="preserve"> PAGEREF _Toc17058 \h </w:instrText>
      </w:r>
      <w:r>
        <w:rPr>
          <w:b/>
          <w:highlight w:val="none"/>
        </w:rPr>
        <w:fldChar w:fldCharType="separate"/>
      </w:r>
      <w:r>
        <w:rPr>
          <w:b/>
          <w:highlight w:val="none"/>
        </w:rPr>
        <w:t>47</w:t>
      </w:r>
      <w:r>
        <w:rPr>
          <w:b/>
          <w:highlight w:val="none"/>
        </w:rPr>
        <w:fldChar w:fldCharType="end"/>
      </w:r>
      <w:r>
        <w:rPr>
          <w:b/>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"_Toc25002" </w:instrText>
      </w:r>
      <w:r>
        <w:rPr>
          <w:highlight w:val="none"/>
        </w:rPr>
        <w:fldChar w:fldCharType="separate"/>
      </w:r>
      <w:r>
        <w:rPr>
          <w:rFonts w:hint="eastAsia" w:ascii="黑体" w:eastAsia="黑体" w:cs="黑体"/>
          <w:szCs w:val="32"/>
          <w:highlight w:val="none"/>
        </w:rPr>
        <w:t>一、</w:t>
      </w:r>
      <w:r>
        <w:rPr>
          <w:rFonts w:hint="eastAsia" w:ascii="黑体" w:hAnsi="黑体" w:eastAsia="黑体" w:cs="黑体"/>
          <w:szCs w:val="32"/>
          <w:highlight w:val="none"/>
        </w:rPr>
        <w:t>政府采购合同</w:t>
      </w:r>
      <w:r>
        <w:rPr>
          <w:highlight w:val="none"/>
        </w:rPr>
        <w:tab/>
      </w:r>
      <w:r>
        <w:rPr>
          <w:highlight w:val="none"/>
        </w:rPr>
        <w:fldChar w:fldCharType="begin"/>
      </w:r>
      <w:r>
        <w:rPr>
          <w:highlight w:val="none"/>
        </w:rPr>
        <w:instrText xml:space="preserve"> PAGEREF _Toc25002 \h </w:instrText>
      </w:r>
      <w:r>
        <w:rPr>
          <w:highlight w:val="none"/>
        </w:rPr>
        <w:fldChar w:fldCharType="separate"/>
      </w:r>
      <w:r>
        <w:rPr>
          <w:highlight w:val="none"/>
        </w:rPr>
        <w:t>47</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"_Toc18269" </w:instrText>
      </w:r>
      <w:r>
        <w:rPr>
          <w:highlight w:val="none"/>
        </w:rPr>
        <w:fldChar w:fldCharType="separate"/>
      </w:r>
      <w:r>
        <w:rPr>
          <w:rFonts w:hint="eastAsia" w:ascii="黑体" w:hAnsi="黑体" w:eastAsia="黑体" w:cs="黑体"/>
          <w:szCs w:val="32"/>
          <w:highlight w:val="none"/>
        </w:rPr>
        <w:t>二、合同一般条款</w:t>
      </w:r>
      <w:r>
        <w:rPr>
          <w:highlight w:val="none"/>
        </w:rPr>
        <w:tab/>
      </w:r>
      <w:r>
        <w:rPr>
          <w:highlight w:val="none"/>
        </w:rPr>
        <w:fldChar w:fldCharType="begin"/>
      </w:r>
      <w:r>
        <w:rPr>
          <w:highlight w:val="none"/>
        </w:rPr>
        <w:instrText xml:space="preserve"> PAGEREF _Toc18269 \h </w:instrText>
      </w:r>
      <w:r>
        <w:rPr>
          <w:highlight w:val="none"/>
        </w:rPr>
        <w:fldChar w:fldCharType="separate"/>
      </w:r>
      <w:r>
        <w:rPr>
          <w:highlight w:val="none"/>
        </w:rPr>
        <w:t>51</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"_Toc4114" </w:instrText>
      </w:r>
      <w:r>
        <w:rPr>
          <w:highlight w:val="none"/>
        </w:rPr>
        <w:fldChar w:fldCharType="separate"/>
      </w:r>
      <w:r>
        <w:rPr>
          <w:rFonts w:hint="eastAsia" w:ascii="黑体" w:hAnsi="黑体" w:eastAsia="黑体" w:cs="黑体"/>
          <w:kern w:val="2"/>
          <w:szCs w:val="32"/>
          <w:highlight w:val="none"/>
        </w:rPr>
        <w:t>三、合同专用条款</w:t>
      </w:r>
      <w:r>
        <w:rPr>
          <w:highlight w:val="none"/>
        </w:rPr>
        <w:tab/>
      </w:r>
      <w:r>
        <w:rPr>
          <w:highlight w:val="none"/>
        </w:rPr>
        <w:fldChar w:fldCharType="begin"/>
      </w:r>
      <w:r>
        <w:rPr>
          <w:highlight w:val="none"/>
        </w:rPr>
        <w:instrText xml:space="preserve"> PAGEREF _Toc4114 \h </w:instrText>
      </w:r>
      <w:r>
        <w:rPr>
          <w:highlight w:val="none"/>
        </w:rPr>
        <w:fldChar w:fldCharType="separate"/>
      </w:r>
      <w:r>
        <w:rPr>
          <w:highlight w:val="none"/>
        </w:rPr>
        <w:t>55</w:t>
      </w:r>
      <w:r>
        <w:rPr>
          <w:highlight w:val="none"/>
        </w:rPr>
        <w:fldChar w:fldCharType="end"/>
      </w:r>
      <w:r>
        <w:rPr>
          <w:highlight w:val="none"/>
        </w:rPr>
        <w:fldChar w:fldCharType="end"/>
      </w:r>
      <w:bookmarkStart w:id="589" w:name="_GoBack"/>
      <w:bookmarkEnd w:id="589"/>
    </w:p>
    <w:p>
      <w:pPr>
        <w:pStyle w:val="18"/>
        <w:tabs>
          <w:tab w:val="right" w:leader="dot" w:pos="9747"/>
        </w:tabs>
        <w:rPr>
          <w:b/>
          <w:highlight w:val="none"/>
        </w:rPr>
      </w:pPr>
      <w:r>
        <w:rPr>
          <w:highlight w:val="none"/>
        </w:rPr>
        <w:fldChar w:fldCharType="begin"/>
      </w:r>
      <w:r>
        <w:rPr>
          <w:highlight w:val="none"/>
        </w:rPr>
        <w:instrText xml:space="preserve"> HYPERLINK \l "_Toc16885" </w:instrText>
      </w:r>
      <w:r>
        <w:rPr>
          <w:highlight w:val="none"/>
        </w:rPr>
        <w:fldChar w:fldCharType="separate"/>
      </w:r>
      <w:r>
        <w:rPr>
          <w:rFonts w:hint="eastAsia" w:ascii="黑体" w:hAnsi="黑体" w:eastAsia="黑体" w:cs="黑体"/>
          <w:b/>
          <w:szCs w:val="32"/>
          <w:highlight w:val="none"/>
        </w:rPr>
        <w:t xml:space="preserve">第六部分 </w:t>
      </w:r>
      <w:r>
        <w:rPr>
          <w:rFonts w:hint="eastAsia" w:ascii="黑体" w:hAnsi="黑体" w:eastAsia="黑体" w:cs="黑体"/>
          <w:b/>
          <w:szCs w:val="32"/>
          <w:highlight w:val="none"/>
          <w:lang w:val="zh-CN"/>
        </w:rPr>
        <w:t>响应文件格式</w:t>
      </w:r>
      <w:r>
        <w:rPr>
          <w:b/>
          <w:highlight w:val="none"/>
        </w:rPr>
        <w:tab/>
      </w:r>
      <w:r>
        <w:rPr>
          <w:b/>
          <w:highlight w:val="none"/>
        </w:rPr>
        <w:fldChar w:fldCharType="begin"/>
      </w:r>
      <w:r>
        <w:rPr>
          <w:b/>
          <w:highlight w:val="none"/>
        </w:rPr>
        <w:instrText xml:space="preserve"> PAGEREF _Toc16885 \h </w:instrText>
      </w:r>
      <w:r>
        <w:rPr>
          <w:b/>
          <w:highlight w:val="none"/>
        </w:rPr>
        <w:fldChar w:fldCharType="separate"/>
      </w:r>
      <w:r>
        <w:rPr>
          <w:b/>
          <w:highlight w:val="none"/>
        </w:rPr>
        <w:t>56</w:t>
      </w:r>
      <w:r>
        <w:rPr>
          <w:b/>
          <w:highlight w:val="none"/>
        </w:rPr>
        <w:fldChar w:fldCharType="end"/>
      </w:r>
      <w:r>
        <w:rPr>
          <w:b/>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"_Toc23545" </w:instrText>
      </w:r>
      <w:r>
        <w:rPr>
          <w:highlight w:val="none"/>
        </w:rPr>
        <w:fldChar w:fldCharType="separate"/>
      </w:r>
      <w:r>
        <w:rPr>
          <w:rFonts w:hint="eastAsia" w:ascii="黑体" w:eastAsia="黑体" w:cs="仿宋"/>
          <w:szCs w:val="32"/>
          <w:highlight w:val="none"/>
        </w:rPr>
        <w:t>一、资格证明文件</w:t>
      </w:r>
      <w:r>
        <w:rPr>
          <w:highlight w:val="none"/>
        </w:rPr>
        <w:tab/>
      </w:r>
      <w:r>
        <w:rPr>
          <w:highlight w:val="none"/>
        </w:rPr>
        <w:fldChar w:fldCharType="begin"/>
      </w:r>
      <w:r>
        <w:rPr>
          <w:highlight w:val="none"/>
        </w:rPr>
        <w:instrText xml:space="preserve"> PAGEREF _Toc23545 \h </w:instrText>
      </w:r>
      <w:r>
        <w:rPr>
          <w:highlight w:val="none"/>
        </w:rPr>
        <w:fldChar w:fldCharType="separate"/>
      </w:r>
      <w:r>
        <w:rPr>
          <w:highlight w:val="none"/>
        </w:rPr>
        <w:t>59</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"_Toc17366" </w:instrText>
      </w:r>
      <w:r>
        <w:rPr>
          <w:highlight w:val="none"/>
        </w:rPr>
        <w:fldChar w:fldCharType="separate"/>
      </w:r>
      <w:r>
        <w:rPr>
          <w:rFonts w:hint="eastAsia" w:ascii="黑体" w:eastAsia="黑体" w:cs="仿宋"/>
          <w:szCs w:val="32"/>
          <w:highlight w:val="none"/>
        </w:rPr>
        <w:t>二、自查表</w:t>
      </w:r>
      <w:r>
        <w:rPr>
          <w:highlight w:val="none"/>
        </w:rPr>
        <w:tab/>
      </w:r>
      <w:r>
        <w:rPr>
          <w:highlight w:val="none"/>
        </w:rPr>
        <w:fldChar w:fldCharType="begin"/>
      </w:r>
      <w:r>
        <w:rPr>
          <w:highlight w:val="none"/>
        </w:rPr>
        <w:instrText xml:space="preserve"> PAGEREF _Toc17366 \h </w:instrText>
      </w:r>
      <w:r>
        <w:rPr>
          <w:highlight w:val="none"/>
        </w:rPr>
        <w:fldChar w:fldCharType="separate"/>
      </w:r>
      <w:r>
        <w:rPr>
          <w:highlight w:val="none"/>
        </w:rPr>
        <w:t>71</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"_Toc23471" </w:instrText>
      </w:r>
      <w:r>
        <w:rPr>
          <w:highlight w:val="none"/>
        </w:rPr>
        <w:fldChar w:fldCharType="separate"/>
      </w:r>
      <w:r>
        <w:rPr>
          <w:rFonts w:hint="eastAsia" w:ascii="黑体" w:eastAsia="黑体" w:cs="仿宋"/>
          <w:szCs w:val="32"/>
          <w:highlight w:val="none"/>
        </w:rPr>
        <w:t>三、响应函（格式）</w:t>
      </w:r>
      <w:r>
        <w:rPr>
          <w:highlight w:val="none"/>
        </w:rPr>
        <w:tab/>
      </w:r>
      <w:r>
        <w:rPr>
          <w:highlight w:val="none"/>
        </w:rPr>
        <w:fldChar w:fldCharType="begin"/>
      </w:r>
      <w:r>
        <w:rPr>
          <w:highlight w:val="none"/>
        </w:rPr>
        <w:instrText xml:space="preserve"> PAGEREF _Toc23471 \h </w:instrText>
      </w:r>
      <w:r>
        <w:rPr>
          <w:highlight w:val="none"/>
        </w:rPr>
        <w:fldChar w:fldCharType="separate"/>
      </w:r>
      <w:r>
        <w:rPr>
          <w:highlight w:val="none"/>
        </w:rPr>
        <w:t>76</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"_Toc4675" </w:instrText>
      </w:r>
      <w:r>
        <w:rPr>
          <w:highlight w:val="none"/>
        </w:rPr>
        <w:fldChar w:fldCharType="separate"/>
      </w:r>
      <w:r>
        <w:rPr>
          <w:rFonts w:hint="eastAsia" w:ascii="黑体" w:eastAsia="黑体" w:cs="仿宋"/>
          <w:szCs w:val="32"/>
          <w:highlight w:val="none"/>
        </w:rPr>
        <w:t>四、报价表</w:t>
      </w:r>
      <w:r>
        <w:rPr>
          <w:highlight w:val="none"/>
        </w:rPr>
        <w:tab/>
      </w:r>
      <w:r>
        <w:rPr>
          <w:highlight w:val="none"/>
        </w:rPr>
        <w:fldChar w:fldCharType="begin"/>
      </w:r>
      <w:r>
        <w:rPr>
          <w:highlight w:val="none"/>
        </w:rPr>
        <w:instrText xml:space="preserve"> PAGEREF _Toc4675 \h </w:instrText>
      </w:r>
      <w:r>
        <w:rPr>
          <w:highlight w:val="none"/>
        </w:rPr>
        <w:fldChar w:fldCharType="separate"/>
      </w:r>
      <w:r>
        <w:rPr>
          <w:highlight w:val="none"/>
        </w:rPr>
        <w:t>77</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"_Toc28380" </w:instrText>
      </w:r>
      <w:r>
        <w:rPr>
          <w:highlight w:val="none"/>
        </w:rPr>
        <w:fldChar w:fldCharType="separate"/>
      </w:r>
      <w:r>
        <w:rPr>
          <w:rFonts w:hint="eastAsia" w:ascii="黑体" w:eastAsia="黑体" w:cs="黑体"/>
          <w:szCs w:val="32"/>
          <w:highlight w:val="none"/>
        </w:rPr>
        <w:t>五、技术部分</w:t>
      </w:r>
      <w:r>
        <w:rPr>
          <w:highlight w:val="none"/>
        </w:rPr>
        <w:tab/>
      </w:r>
      <w:r>
        <w:rPr>
          <w:highlight w:val="none"/>
        </w:rPr>
        <w:fldChar w:fldCharType="begin"/>
      </w:r>
      <w:r>
        <w:rPr>
          <w:highlight w:val="none"/>
        </w:rPr>
        <w:instrText xml:space="preserve"> PAGEREF _Toc28380 \h </w:instrText>
      </w:r>
      <w:r>
        <w:rPr>
          <w:highlight w:val="none"/>
        </w:rPr>
        <w:fldChar w:fldCharType="separate"/>
      </w:r>
      <w:r>
        <w:rPr>
          <w:highlight w:val="none"/>
        </w:rPr>
        <w:t>82</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"_Toc10245" </w:instrText>
      </w:r>
      <w:r>
        <w:rPr>
          <w:highlight w:val="none"/>
        </w:rPr>
        <w:fldChar w:fldCharType="separate"/>
      </w:r>
      <w:r>
        <w:rPr>
          <w:rFonts w:hint="eastAsia" w:ascii="黑体" w:eastAsia="黑体" w:cs="黑体"/>
          <w:szCs w:val="32"/>
          <w:highlight w:val="none"/>
        </w:rPr>
        <w:t>六、商务部分</w:t>
      </w:r>
      <w:r>
        <w:rPr>
          <w:highlight w:val="none"/>
        </w:rPr>
        <w:tab/>
      </w:r>
      <w:r>
        <w:rPr>
          <w:highlight w:val="none"/>
        </w:rPr>
        <w:fldChar w:fldCharType="begin"/>
      </w:r>
      <w:r>
        <w:rPr>
          <w:highlight w:val="none"/>
        </w:rPr>
        <w:instrText xml:space="preserve"> PAGEREF _Toc10245 \h </w:instrText>
      </w:r>
      <w:r>
        <w:rPr>
          <w:highlight w:val="none"/>
        </w:rPr>
        <w:fldChar w:fldCharType="separate"/>
      </w:r>
      <w:r>
        <w:rPr>
          <w:highlight w:val="none"/>
        </w:rPr>
        <w:t>83</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"_Toc24536" </w:instrText>
      </w:r>
      <w:r>
        <w:rPr>
          <w:highlight w:val="none"/>
        </w:rPr>
        <w:fldChar w:fldCharType="separate"/>
      </w:r>
      <w:r>
        <w:rPr>
          <w:rFonts w:hint="eastAsia" w:ascii="黑体" w:hAnsi="黑体" w:eastAsia="黑体" w:cs="黑体"/>
          <w:szCs w:val="32"/>
          <w:highlight w:val="none"/>
        </w:rPr>
        <w:t>七、供应商认为必要说明的其它内容</w:t>
      </w:r>
      <w:r>
        <w:rPr>
          <w:highlight w:val="none"/>
        </w:rPr>
        <w:tab/>
      </w:r>
      <w:r>
        <w:rPr>
          <w:highlight w:val="none"/>
        </w:rPr>
        <w:fldChar w:fldCharType="begin"/>
      </w:r>
      <w:r>
        <w:rPr>
          <w:highlight w:val="none"/>
        </w:rPr>
        <w:instrText xml:space="preserve"> PAGEREF _Toc24536 \h </w:instrText>
      </w:r>
      <w:r>
        <w:rPr>
          <w:highlight w:val="none"/>
        </w:rPr>
        <w:fldChar w:fldCharType="separate"/>
      </w:r>
      <w:r>
        <w:rPr>
          <w:highlight w:val="none"/>
        </w:rPr>
        <w:t>87</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"_Toc24041" </w:instrText>
      </w:r>
      <w:r>
        <w:rPr>
          <w:highlight w:val="none"/>
        </w:rPr>
        <w:fldChar w:fldCharType="separate"/>
      </w:r>
      <w:r>
        <w:rPr>
          <w:rFonts w:hint="eastAsia" w:ascii="黑体" w:hAnsi="黑体" w:eastAsia="黑体" w:cs="黑体"/>
          <w:szCs w:val="32"/>
          <w:highlight w:val="none"/>
        </w:rPr>
        <w:t>八、承诺书</w:t>
      </w:r>
      <w:r>
        <w:rPr>
          <w:highlight w:val="none"/>
        </w:rPr>
        <w:tab/>
      </w:r>
      <w:r>
        <w:rPr>
          <w:highlight w:val="none"/>
        </w:rPr>
        <w:fldChar w:fldCharType="begin"/>
      </w:r>
      <w:r>
        <w:rPr>
          <w:highlight w:val="none"/>
        </w:rPr>
        <w:instrText xml:space="preserve"> PAGEREF _Toc24041 \h </w:instrText>
      </w:r>
      <w:r>
        <w:rPr>
          <w:highlight w:val="none"/>
        </w:rPr>
        <w:fldChar w:fldCharType="separate"/>
      </w:r>
      <w:r>
        <w:rPr>
          <w:highlight w:val="none"/>
        </w:rPr>
        <w:t>88</w:t>
      </w:r>
      <w:r>
        <w:rPr>
          <w:highlight w:val="none"/>
        </w:rPr>
        <w:fldChar w:fldCharType="end"/>
      </w:r>
      <w:r>
        <w:rPr>
          <w:highlight w:val="none"/>
        </w:rPr>
        <w:fldChar w:fldCharType="end"/>
      </w:r>
    </w:p>
    <w:p>
      <w:pPr>
        <w:pStyle w:val="18"/>
        <w:tabs>
          <w:tab w:val="right" w:leader="dot" w:pos="9747"/>
        </w:tabs>
        <w:rPr>
          <w:b/>
          <w:highlight w:val="none"/>
        </w:rPr>
      </w:pPr>
      <w:r>
        <w:rPr>
          <w:highlight w:val="none"/>
        </w:rPr>
        <w:fldChar w:fldCharType="begin"/>
      </w:r>
      <w:r>
        <w:rPr>
          <w:highlight w:val="none"/>
        </w:rPr>
        <w:instrText xml:space="preserve"> HYPERLINK \l "_Toc17612" </w:instrText>
      </w:r>
      <w:r>
        <w:rPr>
          <w:highlight w:val="none"/>
        </w:rPr>
        <w:fldChar w:fldCharType="separate"/>
      </w:r>
      <w:r>
        <w:rPr>
          <w:rFonts w:hint="eastAsia" w:ascii="黑体" w:hAnsi="仿宋" w:eastAsia="黑体" w:cs="仿宋"/>
          <w:b/>
          <w:szCs w:val="32"/>
          <w:highlight w:val="none"/>
          <w:lang w:val="en-GB"/>
        </w:rPr>
        <w:t>询问函、质疑函格式</w:t>
      </w:r>
      <w:r>
        <w:rPr>
          <w:b/>
          <w:highlight w:val="none"/>
        </w:rPr>
        <w:tab/>
      </w:r>
      <w:r>
        <w:rPr>
          <w:b/>
          <w:highlight w:val="none"/>
        </w:rPr>
        <w:fldChar w:fldCharType="begin"/>
      </w:r>
      <w:r>
        <w:rPr>
          <w:b/>
          <w:highlight w:val="none"/>
        </w:rPr>
        <w:instrText xml:space="preserve"> PAGEREF _Toc17612 \h </w:instrText>
      </w:r>
      <w:r>
        <w:rPr>
          <w:b/>
          <w:highlight w:val="none"/>
        </w:rPr>
        <w:fldChar w:fldCharType="separate"/>
      </w:r>
      <w:r>
        <w:rPr>
          <w:b/>
          <w:highlight w:val="none"/>
        </w:rPr>
        <w:t>91</w:t>
      </w:r>
      <w:r>
        <w:rPr>
          <w:b/>
          <w:highlight w:val="none"/>
        </w:rPr>
        <w:fldChar w:fldCharType="end"/>
      </w:r>
      <w:r>
        <w:rPr>
          <w:b/>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"_Toc14289" </w:instrText>
      </w:r>
      <w:r>
        <w:rPr>
          <w:highlight w:val="none"/>
        </w:rPr>
        <w:fldChar w:fldCharType="separate"/>
      </w:r>
      <w:r>
        <w:rPr>
          <w:rFonts w:hint="eastAsia" w:ascii="黑体" w:hAnsi="黑体" w:eastAsia="黑体" w:cs="黑体"/>
          <w:szCs w:val="32"/>
          <w:highlight w:val="none"/>
          <w:lang w:val="en-GB"/>
        </w:rPr>
        <w:t>询问函</w:t>
      </w:r>
      <w:r>
        <w:rPr>
          <w:highlight w:val="none"/>
        </w:rPr>
        <w:tab/>
      </w:r>
      <w:r>
        <w:rPr>
          <w:highlight w:val="none"/>
        </w:rPr>
        <w:fldChar w:fldCharType="begin"/>
      </w:r>
      <w:r>
        <w:rPr>
          <w:highlight w:val="none"/>
        </w:rPr>
        <w:instrText xml:space="preserve"> PAGEREF _Toc14289 \h </w:instrText>
      </w:r>
      <w:r>
        <w:rPr>
          <w:highlight w:val="none"/>
        </w:rPr>
        <w:fldChar w:fldCharType="separate"/>
      </w:r>
      <w:r>
        <w:rPr>
          <w:highlight w:val="none"/>
        </w:rPr>
        <w:t>91</w:t>
      </w:r>
      <w:r>
        <w:rPr>
          <w:highlight w:val="none"/>
        </w:rPr>
        <w:fldChar w:fldCharType="end"/>
      </w:r>
      <w:r>
        <w:rPr>
          <w:highlight w:val="none"/>
        </w:rPr>
        <w:fldChar w:fldCharType="end"/>
      </w:r>
    </w:p>
    <w:p>
      <w:pPr>
        <w:pStyle w:val="21"/>
        <w:tabs>
          <w:tab w:val="right" w:leader="dot" w:pos="9747"/>
          <w:tab w:val="clear" w:pos="8302"/>
        </w:tabs>
        <w:rPr>
          <w:highlight w:val="none"/>
        </w:rPr>
      </w:pPr>
      <w:r>
        <w:rPr>
          <w:highlight w:val="none"/>
        </w:rPr>
        <w:fldChar w:fldCharType="begin"/>
      </w:r>
      <w:r>
        <w:rPr>
          <w:highlight w:val="none"/>
        </w:rPr>
        <w:instrText xml:space="preserve"> HYPERLINK \l "_Toc18152" </w:instrText>
      </w:r>
      <w:r>
        <w:rPr>
          <w:highlight w:val="none"/>
        </w:rPr>
        <w:fldChar w:fldCharType="separate"/>
      </w:r>
      <w:r>
        <w:rPr>
          <w:rFonts w:hint="eastAsia" w:ascii="黑体" w:hAnsi="黑体" w:eastAsia="黑体" w:cs="黑体"/>
          <w:szCs w:val="32"/>
          <w:highlight w:val="none"/>
          <w:lang w:val="en-GB"/>
        </w:rPr>
        <w:t>质疑</w:t>
      </w:r>
      <w:r>
        <w:rPr>
          <w:rFonts w:hint="eastAsia" w:ascii="黑体" w:hAnsi="黑体" w:eastAsia="黑体" w:cs="黑体"/>
          <w:szCs w:val="32"/>
          <w:highlight w:val="none"/>
        </w:rPr>
        <w:t>书</w:t>
      </w:r>
      <w:r>
        <w:rPr>
          <w:highlight w:val="none"/>
        </w:rPr>
        <w:tab/>
      </w:r>
      <w:r>
        <w:rPr>
          <w:highlight w:val="none"/>
        </w:rPr>
        <w:fldChar w:fldCharType="begin"/>
      </w:r>
      <w:r>
        <w:rPr>
          <w:highlight w:val="none"/>
        </w:rPr>
        <w:instrText xml:space="preserve"> PAGEREF _Toc18152 \h </w:instrText>
      </w:r>
      <w:r>
        <w:rPr>
          <w:highlight w:val="none"/>
        </w:rPr>
        <w:fldChar w:fldCharType="separate"/>
      </w:r>
      <w:r>
        <w:rPr>
          <w:highlight w:val="none"/>
        </w:rPr>
        <w:t>92</w:t>
      </w:r>
      <w:r>
        <w:rPr>
          <w:highlight w:val="none"/>
        </w:rPr>
        <w:fldChar w:fldCharType="end"/>
      </w:r>
      <w:r>
        <w:rPr>
          <w:highlight w:val="none"/>
        </w:rPr>
        <w:fldChar w:fldCharType="end"/>
      </w:r>
    </w:p>
    <w:p>
      <w:pPr>
        <w:pStyle w:val="18"/>
        <w:tabs>
          <w:tab w:val="right" w:leader="dot" w:pos="9747"/>
        </w:tabs>
        <w:rPr>
          <w:b/>
          <w:highlight w:val="none"/>
        </w:rPr>
      </w:pPr>
      <w:r>
        <w:rPr>
          <w:highlight w:val="none"/>
        </w:rPr>
        <w:fldChar w:fldCharType="begin"/>
      </w:r>
      <w:r>
        <w:rPr>
          <w:highlight w:val="none"/>
        </w:rPr>
        <w:instrText xml:space="preserve"> HYPERLINK \l "_Toc928" </w:instrText>
      </w:r>
      <w:r>
        <w:rPr>
          <w:highlight w:val="none"/>
        </w:rPr>
        <w:fldChar w:fldCharType="separate"/>
      </w:r>
      <w:r>
        <w:rPr>
          <w:rFonts w:hint="eastAsia" w:ascii="黑体" w:hAnsi="仿宋" w:eastAsia="黑体" w:cs="仿宋"/>
          <w:b/>
          <w:szCs w:val="32"/>
          <w:highlight w:val="none"/>
          <w:lang w:val="en-GB"/>
        </w:rPr>
        <w:t>封袋正面标识式样</w:t>
      </w:r>
      <w:r>
        <w:rPr>
          <w:b/>
          <w:highlight w:val="none"/>
        </w:rPr>
        <w:tab/>
      </w:r>
      <w:r>
        <w:rPr>
          <w:b/>
          <w:highlight w:val="none"/>
        </w:rPr>
        <w:fldChar w:fldCharType="begin"/>
      </w:r>
      <w:r>
        <w:rPr>
          <w:b/>
          <w:highlight w:val="none"/>
        </w:rPr>
        <w:instrText xml:space="preserve"> PAGEREF _Toc928 \h </w:instrText>
      </w:r>
      <w:r>
        <w:rPr>
          <w:b/>
          <w:highlight w:val="none"/>
        </w:rPr>
        <w:fldChar w:fldCharType="separate"/>
      </w:r>
      <w:r>
        <w:rPr>
          <w:b/>
          <w:highlight w:val="none"/>
        </w:rPr>
        <w:t>94</w:t>
      </w:r>
      <w:r>
        <w:rPr>
          <w:b/>
          <w:highlight w:val="none"/>
        </w:rPr>
        <w:fldChar w:fldCharType="end"/>
      </w:r>
      <w:r>
        <w:rPr>
          <w:b/>
          <w:highlight w:val="none"/>
        </w:rPr>
        <w:fldChar w:fldCharType="end"/>
      </w:r>
    </w:p>
    <w:p>
      <w:pPr>
        <w:tabs>
          <w:tab w:val="right" w:leader="dot" w:pos="9747"/>
        </w:tabs>
        <w:spacing w:before="120" w:after="120" w:line="360" w:lineRule="auto"/>
        <w:jc w:val="center"/>
        <w:rPr>
          <w:rFonts w:ascii="黑体" w:hAnsi="黑体" w:eastAsia="黑体" w:cs="黑体"/>
          <w:b/>
          <w:bCs/>
          <w:caps/>
          <w:sz w:val="24"/>
          <w:highlight w:val="none"/>
        </w:rPr>
      </w:pPr>
      <w:r>
        <w:rPr>
          <w:rFonts w:hint="eastAsia" w:ascii="宋体" w:hAnsi="宋体"/>
          <w:b/>
          <w:bCs/>
          <w:szCs w:val="30"/>
          <w:highlight w:val="none"/>
        </w:rPr>
        <w:fldChar w:fldCharType="end"/>
      </w:r>
    </w:p>
    <w:p>
      <w:pPr>
        <w:rPr>
          <w:rFonts w:ascii="宋体" w:hAnsi="宋体"/>
          <w:szCs w:val="30"/>
          <w:highlight w:val="none"/>
        </w:rPr>
      </w:pPr>
    </w:p>
    <w:p>
      <w:pPr>
        <w:spacing w:line="360" w:lineRule="auto"/>
        <w:jc w:val="center"/>
        <w:rPr>
          <w:rFonts w:ascii="宋体" w:hAnsi="宋体"/>
          <w:szCs w:val="30"/>
          <w:highlight w:val="none"/>
        </w:rPr>
      </w:pPr>
      <w:r>
        <w:rPr>
          <w:rFonts w:hint="eastAsia" w:ascii="宋体" w:hAnsi="宋体"/>
          <w:szCs w:val="30"/>
          <w:highlight w:val="none"/>
        </w:rPr>
        <w:br w:type="page"/>
      </w:r>
    </w:p>
    <w:p>
      <w:pPr>
        <w:pStyle w:val="3"/>
        <w:keepNext w:val="0"/>
        <w:keepLines w:val="0"/>
        <w:spacing w:before="0" w:after="0"/>
        <w:rPr>
          <w:rFonts w:eastAsia="黑体"/>
          <w:highlight w:val="none"/>
        </w:rPr>
      </w:pPr>
      <w:bookmarkStart w:id="2" w:name="_Toc30721"/>
      <w:bookmarkStart w:id="3" w:name="_Toc8243"/>
      <w:bookmarkStart w:id="4" w:name="_Toc17948"/>
      <w:r>
        <w:rPr>
          <w:rFonts w:hint="eastAsia" w:ascii="黑体" w:hAnsi="黑体" w:eastAsia="黑体" w:cs="黑体"/>
          <w:b/>
          <w:bCs/>
          <w:sz w:val="32"/>
          <w:szCs w:val="32"/>
          <w:highlight w:val="none"/>
        </w:rPr>
        <w:t>第一部分</w:t>
      </w:r>
      <w:bookmarkEnd w:id="2"/>
      <w:bookmarkEnd w:id="3"/>
      <w:r>
        <w:rPr>
          <w:rFonts w:hint="eastAsia" w:ascii="黑体" w:hAnsi="黑体" w:eastAsia="黑体" w:cs="黑体"/>
          <w:b/>
          <w:bCs/>
          <w:sz w:val="32"/>
          <w:szCs w:val="32"/>
          <w:highlight w:val="none"/>
        </w:rPr>
        <w:t xml:space="preserve"> </w:t>
      </w:r>
      <w:bookmarkEnd w:id="4"/>
      <w:r>
        <w:rPr>
          <w:rFonts w:hint="eastAsia" w:ascii="黑体" w:hAnsi="黑体" w:eastAsia="黑体" w:cs="黑体"/>
          <w:b/>
          <w:bCs/>
          <w:sz w:val="32"/>
          <w:szCs w:val="32"/>
          <w:highlight w:val="none"/>
        </w:rPr>
        <w:t>磋商邀请函</w:t>
      </w:r>
    </w:p>
    <w:p>
      <w:pPr>
        <w:spacing w:line="360" w:lineRule="auto"/>
        <w:ind w:firstLine="480" w:firstLineChars="200"/>
        <w:rPr>
          <w:rFonts w:ascii="黑体" w:hAnsi="仿宋" w:eastAsia="黑体" w:cs="黑体"/>
          <w:b/>
          <w:bCs/>
          <w:sz w:val="24"/>
          <w:highlight w:val="none"/>
        </w:rPr>
      </w:pPr>
      <w:bookmarkStart w:id="5" w:name="_Toc8480"/>
      <w:r>
        <w:rPr>
          <w:rFonts w:hint="eastAsia" w:ascii="宋体" w:hAnsi="宋体"/>
          <w:sz w:val="24"/>
          <w:highlight w:val="none"/>
        </w:rPr>
        <w:t>陕西德勤招标有限公司受陕西省环境信息中心的委托，经政府采购管理部门批准，按照政府采购程序，对“陕西省生态环境视频遥感信息能力建设项目”组织竞争性磋商，欢迎符合资格条件的、有能力提供本项目所需货物或（和）服务的供应商响应。</w:t>
      </w:r>
    </w:p>
    <w:p>
      <w:pPr>
        <w:spacing w:line="360" w:lineRule="auto"/>
        <w:ind w:firstLine="482" w:firstLineChars="200"/>
        <w:rPr>
          <w:rFonts w:ascii="黑体" w:hAnsi="仿宋" w:eastAsia="黑体" w:cs="黑体"/>
          <w:b/>
          <w:bCs/>
          <w:sz w:val="24"/>
          <w:highlight w:val="none"/>
        </w:rPr>
      </w:pPr>
      <w:r>
        <w:rPr>
          <w:rFonts w:hint="eastAsia" w:ascii="黑体" w:hAnsi="仿宋" w:eastAsia="黑体" w:cs="黑体"/>
          <w:b/>
          <w:bCs/>
          <w:sz w:val="24"/>
          <w:highlight w:val="none"/>
        </w:rPr>
        <w:t>一、项目基本情况：</w:t>
      </w:r>
    </w:p>
    <w:p>
      <w:pPr>
        <w:spacing w:line="360" w:lineRule="auto"/>
        <w:ind w:firstLine="480" w:firstLineChars="200"/>
        <w:rPr>
          <w:rFonts w:ascii="宋体" w:hAnsi="宋体"/>
          <w:sz w:val="24"/>
          <w:highlight w:val="none"/>
        </w:rPr>
      </w:pPr>
      <w:r>
        <w:rPr>
          <w:rFonts w:hint="eastAsia" w:ascii="宋体" w:hAnsi="宋体"/>
          <w:sz w:val="24"/>
          <w:highlight w:val="none"/>
        </w:rPr>
        <w:t>1.项目编号：DQ-2022195-CS</w:t>
      </w:r>
    </w:p>
    <w:p>
      <w:pPr>
        <w:spacing w:line="360" w:lineRule="auto"/>
        <w:ind w:firstLine="480" w:firstLineChars="200"/>
        <w:rPr>
          <w:rFonts w:ascii="宋体" w:hAnsi="宋体"/>
          <w:sz w:val="24"/>
          <w:highlight w:val="none"/>
        </w:rPr>
      </w:pPr>
      <w:r>
        <w:rPr>
          <w:rFonts w:hint="eastAsia" w:ascii="宋体" w:hAnsi="宋体"/>
          <w:sz w:val="24"/>
          <w:highlight w:val="none"/>
        </w:rPr>
        <w:t>2.项目名称：陕西省生态环境视频遥感信息能力建设项目</w:t>
      </w:r>
    </w:p>
    <w:p>
      <w:pPr>
        <w:spacing w:line="360" w:lineRule="auto"/>
        <w:ind w:firstLine="480" w:firstLineChars="200"/>
        <w:rPr>
          <w:rFonts w:ascii="宋体" w:hAnsi="宋体"/>
          <w:sz w:val="24"/>
          <w:highlight w:val="none"/>
        </w:rPr>
      </w:pPr>
      <w:r>
        <w:rPr>
          <w:rFonts w:hint="eastAsia" w:ascii="宋体" w:hAnsi="宋体"/>
          <w:sz w:val="24"/>
          <w:highlight w:val="none"/>
        </w:rPr>
        <w:t>3.预算金额：972,000.00元</w:t>
      </w:r>
    </w:p>
    <w:p>
      <w:pPr>
        <w:spacing w:line="360" w:lineRule="auto"/>
        <w:ind w:firstLine="480" w:firstLineChars="200"/>
        <w:rPr>
          <w:rFonts w:ascii="宋体" w:hAnsi="宋体"/>
          <w:sz w:val="24"/>
          <w:highlight w:val="none"/>
        </w:rPr>
      </w:pPr>
      <w:r>
        <w:rPr>
          <w:rFonts w:hint="eastAsia" w:ascii="宋体" w:hAnsi="宋体"/>
          <w:sz w:val="24"/>
          <w:highlight w:val="none"/>
        </w:rPr>
        <w:t>4.最高限价：972,000.00元</w:t>
      </w:r>
    </w:p>
    <w:p>
      <w:pPr>
        <w:spacing w:line="360" w:lineRule="auto"/>
        <w:ind w:firstLine="480" w:firstLineChars="200"/>
        <w:rPr>
          <w:rFonts w:ascii="宋体" w:hAnsi="宋体"/>
          <w:sz w:val="24"/>
          <w:highlight w:val="none"/>
        </w:rPr>
      </w:pPr>
      <w:r>
        <w:rPr>
          <w:rFonts w:hint="eastAsia" w:ascii="宋体" w:hAnsi="宋体"/>
          <w:sz w:val="24"/>
          <w:highlight w:val="none"/>
        </w:rPr>
        <w:t>5.采购需求：</w:t>
      </w:r>
    </w:p>
    <w:p>
      <w:pPr>
        <w:spacing w:line="360" w:lineRule="auto"/>
        <w:ind w:firstLine="480" w:firstLineChars="200"/>
        <w:rPr>
          <w:rFonts w:hint="eastAsia" w:ascii="宋体" w:hAnsi="宋体" w:eastAsia="宋体" w:cs="宋体"/>
          <w:sz w:val="24"/>
          <w:highlight w:val="none"/>
          <w:lang w:val="zh-CN"/>
        </w:rPr>
      </w:pPr>
      <w:r>
        <w:rPr>
          <w:rFonts w:hint="eastAsia" w:ascii="宋体" w:hAnsi="宋体"/>
          <w:sz w:val="24"/>
          <w:highlight w:val="none"/>
          <w:lang w:val="zh-CN"/>
        </w:rPr>
        <w:t>基于陕西生态环境信息化建设成果，大数据中心和云存储及其安全体系，按照顶层设计原则，集成城市</w:t>
      </w:r>
      <w:r>
        <w:rPr>
          <w:rFonts w:hint="eastAsia" w:ascii="宋体" w:hAnsi="宋体" w:eastAsia="宋体" w:cs="宋体"/>
          <w:sz w:val="24"/>
          <w:highlight w:val="none"/>
          <w:lang w:val="zh-CN"/>
        </w:rPr>
        <w:t>污水排放、环境保护重点监控企业、核与辐射场所三类视频图像资源，按照国家标准和大数据要求，推送视频图像信息。</w:t>
      </w:r>
    </w:p>
    <w:p>
      <w:pPr>
        <w:spacing w:line="360" w:lineRule="auto"/>
        <w:ind w:firstLine="480" w:firstLineChars="200"/>
        <w:rPr>
          <w:rFonts w:ascii="宋体" w:hAnsi="宋体"/>
          <w:sz w:val="24"/>
          <w:highlight w:val="none"/>
        </w:rPr>
      </w:pPr>
      <w:r>
        <w:rPr>
          <w:rFonts w:hint="eastAsia" w:ascii="宋体" w:hAnsi="宋体" w:eastAsia="宋体" w:cs="宋体"/>
          <w:sz w:val="24"/>
          <w:highlight w:val="none"/>
          <w:lang w:val="zh-CN"/>
        </w:rPr>
        <w:t>6.合同履行期限：项目工期2个月</w:t>
      </w:r>
      <w:r>
        <w:rPr>
          <w:rFonts w:hint="eastAsia" w:ascii="宋体" w:hAnsi="宋体" w:eastAsia="宋体" w:cs="宋体"/>
          <w:sz w:val="24"/>
          <w:highlight w:val="none"/>
          <w:lang w:val="en-US" w:eastAsia="zh-CN"/>
        </w:rPr>
        <w:t>内</w:t>
      </w:r>
      <w:r>
        <w:rPr>
          <w:rFonts w:hint="eastAsia" w:ascii="宋体" w:hAnsi="宋体" w:eastAsia="宋体" w:cs="宋体"/>
          <w:sz w:val="24"/>
          <w:highlight w:val="none"/>
          <w:lang w:val="zh-CN"/>
        </w:rPr>
        <w:t>（具体服务起止</w:t>
      </w:r>
      <w:r>
        <w:rPr>
          <w:rFonts w:hint="eastAsia" w:ascii="宋体" w:hAnsi="宋体"/>
          <w:sz w:val="24"/>
          <w:highlight w:val="none"/>
        </w:rPr>
        <w:t>日期可随合同签订时间相应顺延）</w:t>
      </w:r>
    </w:p>
    <w:p>
      <w:pPr>
        <w:spacing w:line="360" w:lineRule="auto"/>
        <w:ind w:firstLine="480" w:firstLineChars="200"/>
        <w:rPr>
          <w:rFonts w:ascii="宋体" w:hAnsi="宋体"/>
          <w:sz w:val="24"/>
          <w:highlight w:val="none"/>
        </w:rPr>
      </w:pPr>
      <w:r>
        <w:rPr>
          <w:rFonts w:hint="eastAsia" w:ascii="宋体" w:hAnsi="宋体"/>
          <w:sz w:val="24"/>
          <w:highlight w:val="none"/>
        </w:rPr>
        <w:t>7.本项目是否接受联合体响应：否</w:t>
      </w:r>
    </w:p>
    <w:p>
      <w:pPr>
        <w:spacing w:line="360" w:lineRule="auto"/>
        <w:ind w:firstLine="482" w:firstLineChars="200"/>
        <w:rPr>
          <w:rFonts w:ascii="黑体" w:hAnsi="仿宋" w:eastAsia="黑体" w:cs="黑体"/>
          <w:b/>
          <w:bCs/>
          <w:sz w:val="24"/>
          <w:highlight w:val="none"/>
        </w:rPr>
      </w:pPr>
      <w:r>
        <w:rPr>
          <w:rFonts w:hint="eastAsia" w:ascii="黑体" w:hAnsi="仿宋" w:eastAsia="黑体" w:cs="黑体"/>
          <w:b/>
          <w:bCs/>
          <w:sz w:val="24"/>
          <w:highlight w:val="none"/>
        </w:rPr>
        <w:t>二、所属行业：</w:t>
      </w:r>
      <w:r>
        <w:rPr>
          <w:rFonts w:hint="eastAsia" w:ascii="宋体" w:hAnsi="宋体"/>
          <w:sz w:val="24"/>
          <w:highlight w:val="none"/>
        </w:rPr>
        <w:t>软件和信息技术服务业</w:t>
      </w:r>
    </w:p>
    <w:p>
      <w:pPr>
        <w:spacing w:line="360" w:lineRule="auto"/>
        <w:ind w:firstLine="482" w:firstLineChars="200"/>
        <w:rPr>
          <w:rFonts w:ascii="黑体" w:hAnsi="仿宋" w:eastAsia="黑体" w:cs="黑体"/>
          <w:b/>
          <w:bCs/>
          <w:sz w:val="24"/>
          <w:highlight w:val="none"/>
        </w:rPr>
      </w:pPr>
      <w:r>
        <w:rPr>
          <w:rFonts w:hint="eastAsia" w:ascii="黑体" w:hAnsi="仿宋" w:eastAsia="黑体" w:cs="黑体"/>
          <w:b/>
          <w:bCs/>
          <w:sz w:val="24"/>
          <w:highlight w:val="none"/>
        </w:rPr>
        <w:t>三、项目属性：</w:t>
      </w:r>
      <w:r>
        <w:rPr>
          <w:rFonts w:hint="eastAsia" w:ascii="宋体" w:hAnsi="宋体"/>
          <w:sz w:val="24"/>
          <w:highlight w:val="none"/>
        </w:rPr>
        <w:t>服务类</w:t>
      </w:r>
    </w:p>
    <w:p>
      <w:pPr>
        <w:spacing w:line="360" w:lineRule="auto"/>
        <w:ind w:firstLine="482" w:firstLineChars="200"/>
        <w:rPr>
          <w:rFonts w:ascii="黑体" w:hAnsi="仿宋" w:eastAsia="黑体" w:cs="黑体"/>
          <w:b/>
          <w:bCs/>
          <w:sz w:val="24"/>
          <w:highlight w:val="none"/>
        </w:rPr>
      </w:pPr>
      <w:r>
        <w:rPr>
          <w:rFonts w:hint="eastAsia" w:ascii="黑体" w:hAnsi="仿宋" w:eastAsia="黑体" w:cs="黑体"/>
          <w:b/>
          <w:bCs/>
          <w:sz w:val="24"/>
          <w:highlight w:val="none"/>
        </w:rPr>
        <w:t>四、响应供应商的资格要求：</w:t>
      </w:r>
    </w:p>
    <w:p>
      <w:pPr>
        <w:spacing w:line="360" w:lineRule="auto"/>
        <w:ind w:firstLine="480" w:firstLineChars="200"/>
        <w:rPr>
          <w:rFonts w:ascii="宋体" w:hAnsi="宋体"/>
          <w:sz w:val="24"/>
          <w:highlight w:val="none"/>
        </w:rPr>
      </w:pPr>
      <w:r>
        <w:rPr>
          <w:rFonts w:hint="eastAsia" w:ascii="宋体" w:hAnsi="宋体"/>
          <w:sz w:val="24"/>
          <w:highlight w:val="none"/>
        </w:rPr>
        <w:t>1.满足《中华人民共和国政府采购法》第二十二条规定</w:t>
      </w:r>
    </w:p>
    <w:p>
      <w:pPr>
        <w:spacing w:line="360" w:lineRule="auto"/>
        <w:ind w:firstLine="480" w:firstLineChars="200"/>
        <w:rPr>
          <w:rFonts w:ascii="宋体" w:hAnsi="宋体"/>
          <w:sz w:val="24"/>
          <w:highlight w:val="none"/>
        </w:rPr>
      </w:pPr>
      <w:r>
        <w:rPr>
          <w:rFonts w:hint="eastAsia" w:ascii="宋体" w:hAnsi="宋体"/>
          <w:sz w:val="24"/>
          <w:highlight w:val="none"/>
        </w:rPr>
        <w:t>2.落实政府采购政策需满足的资格要求：</w:t>
      </w:r>
    </w:p>
    <w:p>
      <w:pPr>
        <w:spacing w:line="360" w:lineRule="auto"/>
        <w:ind w:firstLine="480" w:firstLineChars="200"/>
        <w:rPr>
          <w:rFonts w:ascii="宋体" w:hAnsi="宋体"/>
          <w:sz w:val="24"/>
          <w:highlight w:val="none"/>
        </w:rPr>
      </w:pPr>
      <w:r>
        <w:rPr>
          <w:rFonts w:hint="eastAsia" w:ascii="宋体" w:hAnsi="宋体"/>
          <w:sz w:val="24"/>
          <w:highlight w:val="none"/>
        </w:rPr>
        <w:t>2.1《关于在政府采购活动中查询及使用信用记录有关问题的通知》（财库〔2016〕125号）。</w:t>
      </w:r>
    </w:p>
    <w:p>
      <w:pPr>
        <w:spacing w:line="360" w:lineRule="auto"/>
        <w:ind w:firstLine="480" w:firstLineChars="200"/>
        <w:rPr>
          <w:rFonts w:ascii="宋体" w:hAnsi="宋体"/>
          <w:sz w:val="24"/>
          <w:highlight w:val="none"/>
        </w:rPr>
      </w:pPr>
      <w:r>
        <w:rPr>
          <w:rFonts w:hint="eastAsia" w:ascii="宋体" w:hAnsi="宋体"/>
          <w:sz w:val="24"/>
          <w:highlight w:val="none"/>
        </w:rPr>
        <w:t>2.2《政府采购促进中小企业发展管理办法》（财库〔2020〕46号）、《关于政府采购支持监狱企业发展有关问题的通知》（财库〔2014〕68号）、《关于促进残疾人就业政府采购政策的通知》（财库〔2017〕141号）、《财政部关于进一步加大政府采购支持中小企业力度的通知》（财库〔2022〕19号）、《陕西省财政厅关于进一步加大政府采购支持中小企业力度的通知》（陕财办采〔2022〕5号）。</w:t>
      </w:r>
    </w:p>
    <w:p>
      <w:pPr>
        <w:spacing w:line="360" w:lineRule="auto"/>
        <w:ind w:firstLine="480" w:firstLineChars="200"/>
        <w:rPr>
          <w:rFonts w:ascii="宋体" w:hAnsi="宋体"/>
          <w:sz w:val="24"/>
          <w:highlight w:val="none"/>
        </w:rPr>
      </w:pPr>
      <w:r>
        <w:rPr>
          <w:rFonts w:hint="eastAsia" w:ascii="宋体" w:hAnsi="宋体"/>
          <w:sz w:val="24"/>
          <w:highlight w:val="none"/>
        </w:rPr>
        <w:t>2.3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市场监督总局关于发布参与实施政府采购节能产品、环境标志产品认证机构名录的公告》（2019年第16号）、陕西省财政厅《关于进一步加强政府绿色采购有关问题的通知》陕财办采〔2021〕29号。</w:t>
      </w:r>
    </w:p>
    <w:p>
      <w:pPr>
        <w:spacing w:line="360" w:lineRule="auto"/>
        <w:ind w:firstLine="480" w:firstLineChars="200"/>
        <w:rPr>
          <w:rFonts w:ascii="宋体" w:hAnsi="宋体"/>
          <w:sz w:val="24"/>
          <w:highlight w:val="none"/>
        </w:rPr>
      </w:pPr>
      <w:r>
        <w:rPr>
          <w:rFonts w:hint="eastAsia" w:ascii="宋体" w:hAnsi="宋体"/>
          <w:sz w:val="24"/>
          <w:highlight w:val="none"/>
        </w:rPr>
        <w:t>2.4《财政部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pPr>
        <w:spacing w:line="360" w:lineRule="auto"/>
        <w:ind w:firstLine="480" w:firstLineChars="200"/>
        <w:rPr>
          <w:rFonts w:ascii="宋体" w:hAnsi="宋体"/>
          <w:sz w:val="24"/>
          <w:highlight w:val="none"/>
        </w:rPr>
      </w:pPr>
      <w:r>
        <w:rPr>
          <w:rFonts w:hint="eastAsia" w:ascii="宋体" w:hAnsi="宋体"/>
          <w:sz w:val="24"/>
          <w:highlight w:val="none"/>
        </w:rPr>
        <w:t>2.5《陕西省财政厅关于加快推进我省中小企业政府采购信用融资工作的通知》(陕财办采〔2020〕15号)、《陕西省中小企业政府采购信用融资办法》(陕财办采〔2018〕23号)(办理平台(http://www.ccgp-shaanxi.gov.cn/zcdservice/zcd/shanxi/)。</w:t>
      </w:r>
    </w:p>
    <w:p>
      <w:pPr>
        <w:spacing w:line="360" w:lineRule="auto"/>
        <w:ind w:firstLine="480" w:firstLineChars="200"/>
        <w:rPr>
          <w:rFonts w:ascii="宋体" w:hAnsi="宋体"/>
          <w:sz w:val="24"/>
          <w:highlight w:val="none"/>
        </w:rPr>
      </w:pPr>
      <w:r>
        <w:rPr>
          <w:rFonts w:hint="eastAsia" w:ascii="宋体" w:hAnsi="宋体"/>
          <w:sz w:val="24"/>
          <w:highlight w:val="none"/>
        </w:rPr>
        <w:t>2.6其他需要落实的政府采购政策。</w:t>
      </w:r>
    </w:p>
    <w:p>
      <w:pPr>
        <w:spacing w:line="360" w:lineRule="auto"/>
        <w:ind w:firstLine="480" w:firstLineChars="200"/>
        <w:rPr>
          <w:rFonts w:ascii="宋体" w:hAnsi="宋体"/>
          <w:sz w:val="24"/>
          <w:highlight w:val="none"/>
        </w:rPr>
      </w:pPr>
      <w:r>
        <w:rPr>
          <w:rFonts w:hint="eastAsia" w:ascii="宋体" w:hAnsi="宋体"/>
          <w:sz w:val="24"/>
          <w:highlight w:val="none"/>
        </w:rPr>
        <w:t>3.本项目的特定资格要求：</w:t>
      </w:r>
    </w:p>
    <w:p>
      <w:pPr>
        <w:spacing w:line="360" w:lineRule="auto"/>
        <w:ind w:firstLine="480" w:firstLineChars="200"/>
        <w:rPr>
          <w:rFonts w:ascii="宋体" w:hAnsi="宋体"/>
          <w:sz w:val="24"/>
          <w:highlight w:val="none"/>
        </w:rPr>
      </w:pPr>
      <w:r>
        <w:rPr>
          <w:rFonts w:hint="eastAsia" w:ascii="宋体" w:hAnsi="宋体"/>
          <w:sz w:val="24"/>
          <w:highlight w:val="none"/>
        </w:rPr>
        <w:t>3.1符合《政府采购法》第二十二条规定：</w:t>
      </w:r>
    </w:p>
    <w:p>
      <w:pPr>
        <w:spacing w:line="360" w:lineRule="auto"/>
        <w:ind w:firstLine="480" w:firstLineChars="200"/>
        <w:rPr>
          <w:rFonts w:ascii="宋体" w:hAnsi="宋体"/>
          <w:sz w:val="24"/>
          <w:highlight w:val="none"/>
        </w:rPr>
      </w:pPr>
      <w:r>
        <w:rPr>
          <w:rFonts w:hint="eastAsia" w:ascii="宋体" w:hAnsi="宋体"/>
          <w:sz w:val="24"/>
          <w:highlight w:val="none"/>
        </w:rPr>
        <w:t>1）具有独立承担民事责任的能力，且应是中华人民共和国境内注册的法人、其他组织或自然人；</w:t>
      </w:r>
    </w:p>
    <w:p>
      <w:pPr>
        <w:spacing w:line="360" w:lineRule="auto"/>
        <w:ind w:firstLine="480" w:firstLineChars="200"/>
        <w:rPr>
          <w:rFonts w:ascii="宋体" w:hAnsi="宋体"/>
          <w:sz w:val="24"/>
          <w:highlight w:val="none"/>
        </w:rPr>
      </w:pPr>
      <w:r>
        <w:rPr>
          <w:rFonts w:hint="eastAsia" w:ascii="宋体" w:hAnsi="宋体"/>
          <w:sz w:val="24"/>
          <w:highlight w:val="none"/>
        </w:rPr>
        <w:t>2）具有良好的商业信誉和健全的财务会计制度；</w:t>
      </w:r>
    </w:p>
    <w:p>
      <w:pPr>
        <w:spacing w:line="360" w:lineRule="auto"/>
        <w:ind w:firstLine="480" w:firstLineChars="200"/>
        <w:rPr>
          <w:rFonts w:ascii="宋体" w:hAnsi="宋体"/>
          <w:sz w:val="24"/>
          <w:highlight w:val="none"/>
        </w:rPr>
      </w:pPr>
      <w:r>
        <w:rPr>
          <w:rFonts w:hint="eastAsia" w:ascii="宋体" w:hAnsi="宋体"/>
          <w:sz w:val="24"/>
          <w:highlight w:val="none"/>
        </w:rPr>
        <w:t>3）具有履行合同所必须的设备和专业技术能力；</w:t>
      </w:r>
    </w:p>
    <w:p>
      <w:pPr>
        <w:spacing w:line="360" w:lineRule="auto"/>
        <w:ind w:firstLine="480" w:firstLineChars="200"/>
        <w:rPr>
          <w:rFonts w:ascii="宋体" w:hAnsi="宋体"/>
          <w:sz w:val="24"/>
          <w:highlight w:val="none"/>
        </w:rPr>
      </w:pPr>
      <w:r>
        <w:rPr>
          <w:rFonts w:hint="eastAsia" w:ascii="宋体" w:hAnsi="宋体"/>
          <w:sz w:val="24"/>
          <w:highlight w:val="none"/>
        </w:rPr>
        <w:t>4）具有依法缴纳税收和社会保障资金的良好记录；</w:t>
      </w:r>
    </w:p>
    <w:p>
      <w:pPr>
        <w:spacing w:line="360" w:lineRule="auto"/>
        <w:ind w:firstLine="480" w:firstLineChars="200"/>
        <w:rPr>
          <w:rFonts w:ascii="宋体" w:hAnsi="宋体"/>
          <w:sz w:val="24"/>
          <w:highlight w:val="none"/>
        </w:rPr>
      </w:pPr>
      <w:r>
        <w:rPr>
          <w:rFonts w:hint="eastAsia" w:ascii="宋体" w:hAnsi="宋体"/>
          <w:sz w:val="24"/>
          <w:highlight w:val="none"/>
        </w:rPr>
        <w:t>5）参加本次政府采购活动前三年内，在经营活动中没有重大违法记录；</w:t>
      </w:r>
    </w:p>
    <w:p>
      <w:pPr>
        <w:spacing w:line="360" w:lineRule="auto"/>
        <w:ind w:firstLine="480" w:firstLineChars="200"/>
        <w:rPr>
          <w:rFonts w:ascii="宋体" w:hAnsi="宋体"/>
          <w:sz w:val="24"/>
          <w:highlight w:val="none"/>
        </w:rPr>
      </w:pPr>
      <w:r>
        <w:rPr>
          <w:rFonts w:hint="eastAsia" w:ascii="宋体" w:hAnsi="宋体"/>
          <w:sz w:val="24"/>
          <w:highlight w:val="none"/>
        </w:rPr>
        <w:t>6）供应商必须符合法律、行政法规规定的其他条件。</w:t>
      </w:r>
    </w:p>
    <w:p>
      <w:pPr>
        <w:spacing w:line="360" w:lineRule="auto"/>
        <w:ind w:firstLine="480" w:firstLineChars="200"/>
        <w:rPr>
          <w:rFonts w:ascii="宋体" w:hAnsi="宋体"/>
          <w:sz w:val="24"/>
          <w:highlight w:val="none"/>
        </w:rPr>
      </w:pPr>
      <w:r>
        <w:rPr>
          <w:rFonts w:hint="eastAsia" w:ascii="宋体" w:hAnsi="宋体"/>
          <w:sz w:val="24"/>
          <w:highlight w:val="none"/>
        </w:rPr>
        <w:t>3.2供应商未被列入“信用中国”网站(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sz w:val="24"/>
          <w:highlight w:val="none"/>
        </w:rPr>
        <w:t>www.creditchina.gov.cn</w:t>
      </w:r>
      <w:r>
        <w:rPr>
          <w:rFonts w:hint="eastAsia" w:ascii="宋体" w:hAnsi="宋体"/>
          <w:sz w:val="24"/>
          <w:highlight w:val="none"/>
        </w:rPr>
        <w:fldChar w:fldCharType="end"/>
      </w:r>
      <w:r>
        <w:rPr>
          <w:rFonts w:hint="eastAsia" w:ascii="宋体" w:hAnsi="宋体"/>
          <w:sz w:val="24"/>
          <w:highlight w:val="none"/>
        </w:rPr>
        <w:t>)“失信被执行人或重大税收违法失信主体或政府采购严重违法失信行为”记录名单；不处于中国政府采购网(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sz w:val="24"/>
          <w:highlight w:val="none"/>
        </w:rPr>
        <w:t>www.ccgp.gov.cn</w:t>
      </w:r>
      <w:r>
        <w:rPr>
          <w:rFonts w:hint="eastAsia" w:ascii="宋体" w:hAnsi="宋体"/>
          <w:sz w:val="24"/>
          <w:highlight w:val="none"/>
        </w:rPr>
        <w:fldChar w:fldCharType="end"/>
      </w:r>
      <w:r>
        <w:rPr>
          <w:rFonts w:hint="eastAsia" w:ascii="宋体" w:hAnsi="宋体"/>
          <w:sz w:val="24"/>
          <w:highlight w:val="none"/>
        </w:rPr>
        <w:t>)“政府采购严重违法失信行为记录名单”中的禁止参加政府采购活动期间；</w:t>
      </w:r>
    </w:p>
    <w:p>
      <w:pPr>
        <w:spacing w:line="360" w:lineRule="auto"/>
        <w:ind w:firstLine="480" w:firstLineChars="200"/>
        <w:rPr>
          <w:rFonts w:ascii="宋体" w:hAnsi="宋体"/>
          <w:sz w:val="24"/>
          <w:highlight w:val="none"/>
        </w:rPr>
      </w:pPr>
      <w:r>
        <w:rPr>
          <w:rFonts w:hint="eastAsia" w:ascii="宋体" w:hAnsi="宋体"/>
          <w:sz w:val="24"/>
          <w:highlight w:val="none"/>
        </w:rPr>
        <w:t>3.3单位负责人为同一人或者存在直接控股、管理关系的不同供应商，不得同时参加本采购项目磋商；</w:t>
      </w:r>
    </w:p>
    <w:p>
      <w:pPr>
        <w:spacing w:line="360" w:lineRule="auto"/>
        <w:ind w:firstLine="480" w:firstLineChars="200"/>
        <w:rPr>
          <w:rFonts w:ascii="宋体" w:hAnsi="宋体"/>
          <w:sz w:val="24"/>
          <w:highlight w:val="none"/>
        </w:rPr>
      </w:pPr>
      <w:r>
        <w:rPr>
          <w:rFonts w:hint="eastAsia" w:ascii="宋体" w:hAnsi="宋体"/>
          <w:sz w:val="24"/>
          <w:highlight w:val="none"/>
        </w:rPr>
        <w:t>3.4为本项目提供整体设计、规范编制或者项目管理、监理、检测等服务的供应商，不得再参与本项目磋商；</w:t>
      </w:r>
    </w:p>
    <w:p>
      <w:pPr>
        <w:spacing w:line="360" w:lineRule="auto"/>
        <w:ind w:firstLine="480" w:firstLineChars="200"/>
        <w:rPr>
          <w:rFonts w:ascii="宋体" w:hAnsi="宋体"/>
          <w:sz w:val="24"/>
          <w:highlight w:val="none"/>
        </w:rPr>
      </w:pPr>
      <w:r>
        <w:rPr>
          <w:rFonts w:hint="eastAsia" w:ascii="宋体" w:hAnsi="宋体"/>
          <w:sz w:val="24"/>
          <w:highlight w:val="none"/>
        </w:rPr>
        <w:t>3.5本项目为专门面向中小企业项目，供应商应为中型企业、小型企业、微型企业或监狱企业或残疾人福利性单位。</w:t>
      </w:r>
    </w:p>
    <w:p>
      <w:pPr>
        <w:spacing w:line="360" w:lineRule="auto"/>
        <w:ind w:firstLine="480" w:firstLineChars="200"/>
        <w:rPr>
          <w:rFonts w:ascii="宋体" w:hAnsi="宋体"/>
          <w:sz w:val="24"/>
          <w:highlight w:val="none"/>
        </w:rPr>
      </w:pPr>
      <w:r>
        <w:rPr>
          <w:rFonts w:hint="eastAsia" w:ascii="宋体" w:hAnsi="宋体"/>
          <w:sz w:val="24"/>
          <w:highlight w:val="none"/>
        </w:rPr>
        <w:t>3.6已登记报名并获取本项目采购文件。</w:t>
      </w:r>
    </w:p>
    <w:p>
      <w:pPr>
        <w:spacing w:line="360" w:lineRule="auto"/>
        <w:ind w:firstLine="482" w:firstLineChars="200"/>
        <w:rPr>
          <w:rFonts w:ascii="黑体" w:hAnsi="仿宋" w:eastAsia="黑体" w:cs="黑体"/>
          <w:b/>
          <w:bCs/>
          <w:sz w:val="24"/>
          <w:highlight w:val="none"/>
        </w:rPr>
      </w:pPr>
      <w:r>
        <w:rPr>
          <w:rFonts w:hint="eastAsia" w:ascii="黑体" w:hAnsi="仿宋" w:eastAsia="黑体" w:cs="黑体"/>
          <w:b/>
          <w:bCs/>
          <w:sz w:val="24"/>
          <w:highlight w:val="none"/>
        </w:rPr>
        <w:t>五、采购文件获取方式</w:t>
      </w:r>
    </w:p>
    <w:p>
      <w:pPr>
        <w:spacing w:line="360" w:lineRule="auto"/>
        <w:ind w:firstLine="480" w:firstLineChars="200"/>
        <w:rPr>
          <w:rFonts w:ascii="宋体" w:hAnsi="宋体"/>
          <w:sz w:val="24"/>
          <w:highlight w:val="none"/>
        </w:rPr>
      </w:pPr>
      <w:r>
        <w:rPr>
          <w:rFonts w:hint="eastAsia" w:ascii="宋体" w:hAnsi="宋体"/>
          <w:sz w:val="24"/>
          <w:highlight w:val="none"/>
        </w:rPr>
        <w:t>时间：即日起至202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1</w:t>
      </w:r>
      <w:r>
        <w:rPr>
          <w:rFonts w:hint="eastAsia" w:ascii="宋体" w:hAnsi="宋体"/>
          <w:sz w:val="24"/>
          <w:highlight w:val="none"/>
        </w:rPr>
        <w:t>月</w:t>
      </w:r>
      <w:r>
        <w:rPr>
          <w:rFonts w:hint="eastAsia" w:ascii="宋体" w:hAnsi="宋体"/>
          <w:sz w:val="24"/>
          <w:highlight w:val="none"/>
          <w:lang w:val="en-US" w:eastAsia="zh-CN"/>
        </w:rPr>
        <w:t>12</w:t>
      </w:r>
      <w:r>
        <w:rPr>
          <w:rFonts w:hint="eastAsia" w:ascii="宋体" w:hAnsi="宋体"/>
          <w:sz w:val="24"/>
          <w:highlight w:val="none"/>
        </w:rPr>
        <w:t>日17时止</w:t>
      </w:r>
    </w:p>
    <w:p>
      <w:pPr>
        <w:spacing w:line="360" w:lineRule="auto"/>
        <w:ind w:firstLine="480" w:firstLineChars="200"/>
        <w:rPr>
          <w:rFonts w:ascii="宋体" w:hAnsi="宋体"/>
          <w:sz w:val="24"/>
          <w:highlight w:val="none"/>
        </w:rPr>
      </w:pPr>
      <w:r>
        <w:rPr>
          <w:rFonts w:hint="eastAsia" w:ascii="宋体" w:hAnsi="宋体"/>
          <w:sz w:val="24"/>
          <w:highlight w:val="none"/>
        </w:rPr>
        <w:t>地点：陕西省西安市高新区丈八一路1号汇鑫中心D座2206室</w:t>
      </w:r>
    </w:p>
    <w:p>
      <w:pPr>
        <w:spacing w:line="360" w:lineRule="auto"/>
        <w:ind w:firstLine="480" w:firstLineChars="200"/>
        <w:rPr>
          <w:rFonts w:ascii="宋体" w:hAnsi="宋体"/>
          <w:sz w:val="24"/>
          <w:highlight w:val="none"/>
        </w:rPr>
      </w:pPr>
      <w:r>
        <w:rPr>
          <w:rFonts w:hint="eastAsia" w:ascii="宋体" w:hAnsi="宋体"/>
          <w:sz w:val="24"/>
          <w:highlight w:val="none"/>
        </w:rPr>
        <w:t>方式：线下发售</w:t>
      </w:r>
    </w:p>
    <w:p>
      <w:pPr>
        <w:spacing w:line="360" w:lineRule="auto"/>
        <w:ind w:firstLine="480" w:firstLineChars="200"/>
        <w:rPr>
          <w:rFonts w:ascii="宋体" w:hAnsi="宋体"/>
          <w:sz w:val="24"/>
          <w:highlight w:val="none"/>
        </w:rPr>
      </w:pPr>
      <w:r>
        <w:rPr>
          <w:rFonts w:hint="eastAsia" w:ascii="宋体" w:hAnsi="宋体"/>
          <w:sz w:val="24"/>
          <w:highlight w:val="none"/>
        </w:rPr>
        <w:t>售价：人民币500元，售后不退。</w:t>
      </w:r>
    </w:p>
    <w:p>
      <w:pPr>
        <w:spacing w:line="360" w:lineRule="auto"/>
        <w:ind w:firstLine="480" w:firstLineChars="200"/>
        <w:rPr>
          <w:rFonts w:ascii="宋体" w:hAnsi="宋体"/>
          <w:sz w:val="24"/>
          <w:highlight w:val="none"/>
        </w:rPr>
      </w:pPr>
      <w:r>
        <w:rPr>
          <w:rFonts w:hint="eastAsia" w:ascii="宋体" w:hAnsi="宋体"/>
          <w:sz w:val="24"/>
          <w:highlight w:val="none"/>
        </w:rPr>
        <w:t>注：购买磋商文件时须携带单位介绍信、身份证原件及复印件。（谢绝邮寄）</w:t>
      </w:r>
    </w:p>
    <w:p>
      <w:pPr>
        <w:spacing w:line="360" w:lineRule="auto"/>
        <w:ind w:firstLine="482" w:firstLineChars="200"/>
        <w:rPr>
          <w:rFonts w:ascii="黑体" w:hAnsi="仿宋" w:eastAsia="黑体" w:cs="黑体"/>
          <w:b/>
          <w:bCs/>
          <w:sz w:val="24"/>
          <w:highlight w:val="none"/>
        </w:rPr>
      </w:pPr>
      <w:r>
        <w:rPr>
          <w:rFonts w:hint="eastAsia" w:ascii="黑体" w:hAnsi="仿宋" w:eastAsia="黑体" w:cs="黑体"/>
          <w:b/>
          <w:bCs/>
          <w:sz w:val="24"/>
          <w:highlight w:val="none"/>
        </w:rPr>
        <w:t>六、响应文件递交</w:t>
      </w:r>
    </w:p>
    <w:p>
      <w:pPr>
        <w:spacing w:line="360" w:lineRule="auto"/>
        <w:ind w:firstLine="480" w:firstLineChars="200"/>
        <w:rPr>
          <w:rFonts w:ascii="宋体" w:hAnsi="宋体"/>
          <w:sz w:val="24"/>
          <w:highlight w:val="none"/>
        </w:rPr>
      </w:pPr>
      <w:r>
        <w:rPr>
          <w:rFonts w:hint="eastAsia" w:ascii="宋体" w:hAnsi="宋体"/>
          <w:sz w:val="24"/>
          <w:highlight w:val="none"/>
        </w:rPr>
        <w:t>截止时间：202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1</w:t>
      </w:r>
      <w:r>
        <w:rPr>
          <w:rFonts w:hint="eastAsia" w:ascii="宋体" w:hAnsi="宋体"/>
          <w:sz w:val="24"/>
          <w:highlight w:val="none"/>
        </w:rPr>
        <w:t>月</w:t>
      </w:r>
      <w:r>
        <w:rPr>
          <w:rFonts w:hint="eastAsia" w:ascii="宋体" w:hAnsi="宋体"/>
          <w:sz w:val="24"/>
          <w:highlight w:val="none"/>
          <w:lang w:val="en-US" w:eastAsia="zh-CN"/>
        </w:rPr>
        <w:t>16</w:t>
      </w:r>
      <w:r>
        <w:rPr>
          <w:rFonts w:hint="eastAsia" w:ascii="宋体" w:hAnsi="宋体"/>
          <w:sz w:val="24"/>
          <w:highlight w:val="none"/>
        </w:rPr>
        <w:t>日</w:t>
      </w:r>
      <w:r>
        <w:rPr>
          <w:rFonts w:hint="eastAsia" w:ascii="宋体" w:hAnsi="宋体"/>
          <w:sz w:val="24"/>
          <w:highlight w:val="none"/>
          <w:lang w:val="en-US" w:eastAsia="zh-CN"/>
        </w:rPr>
        <w:t>14</w:t>
      </w:r>
      <w:r>
        <w:rPr>
          <w:rFonts w:hint="eastAsia" w:ascii="宋体" w:hAnsi="宋体"/>
          <w:sz w:val="24"/>
          <w:highlight w:val="none"/>
        </w:rPr>
        <w:t>时</w:t>
      </w:r>
      <w:r>
        <w:rPr>
          <w:rFonts w:hint="eastAsia" w:ascii="宋体" w:hAnsi="宋体"/>
          <w:sz w:val="24"/>
          <w:highlight w:val="none"/>
          <w:lang w:val="en-US" w:eastAsia="zh-CN"/>
        </w:rPr>
        <w:t>30</w:t>
      </w:r>
      <w:r>
        <w:rPr>
          <w:rFonts w:hint="eastAsia" w:ascii="宋体" w:hAnsi="宋体"/>
          <w:sz w:val="24"/>
          <w:highlight w:val="none"/>
        </w:rPr>
        <w:t>分止</w:t>
      </w:r>
    </w:p>
    <w:p>
      <w:pPr>
        <w:spacing w:line="360" w:lineRule="auto"/>
        <w:ind w:firstLine="480" w:firstLineChars="200"/>
        <w:rPr>
          <w:rFonts w:ascii="宋体" w:hAnsi="宋体"/>
          <w:sz w:val="24"/>
          <w:highlight w:val="none"/>
        </w:rPr>
      </w:pPr>
      <w:r>
        <w:rPr>
          <w:rFonts w:hint="eastAsia" w:ascii="宋体" w:hAnsi="宋体"/>
          <w:sz w:val="24"/>
          <w:highlight w:val="none"/>
        </w:rPr>
        <w:t>地点：陕西省西安市高新区丈八一路1号汇鑫中心D座2206室陕西德勤招标有限公司第一会议室</w:t>
      </w:r>
    </w:p>
    <w:p>
      <w:pPr>
        <w:spacing w:line="360" w:lineRule="auto"/>
        <w:ind w:firstLine="482" w:firstLineChars="200"/>
        <w:rPr>
          <w:rFonts w:ascii="黑体" w:hAnsi="仿宋" w:eastAsia="黑体" w:cs="黑体"/>
          <w:b/>
          <w:bCs/>
          <w:sz w:val="24"/>
          <w:highlight w:val="none"/>
        </w:rPr>
      </w:pPr>
      <w:r>
        <w:rPr>
          <w:rFonts w:hint="eastAsia" w:ascii="黑体" w:hAnsi="仿宋" w:eastAsia="黑体" w:cs="黑体"/>
          <w:b/>
          <w:bCs/>
          <w:sz w:val="24"/>
          <w:highlight w:val="none"/>
        </w:rPr>
        <w:t>七、公告期限</w:t>
      </w:r>
    </w:p>
    <w:p>
      <w:pPr>
        <w:spacing w:line="360" w:lineRule="auto"/>
        <w:ind w:firstLine="480" w:firstLineChars="200"/>
        <w:rPr>
          <w:rFonts w:ascii="宋体" w:hAnsi="宋体"/>
          <w:sz w:val="24"/>
          <w:highlight w:val="none"/>
        </w:rPr>
      </w:pPr>
      <w:r>
        <w:rPr>
          <w:rFonts w:hint="eastAsia" w:ascii="宋体" w:hAnsi="宋体"/>
          <w:sz w:val="24"/>
          <w:highlight w:val="none"/>
        </w:rPr>
        <w:t>本公告期限为自发布之日起3个工作日。</w:t>
      </w:r>
    </w:p>
    <w:p>
      <w:pPr>
        <w:spacing w:line="360" w:lineRule="auto"/>
        <w:ind w:firstLine="482" w:firstLineChars="200"/>
        <w:rPr>
          <w:rFonts w:ascii="黑体" w:hAnsi="仿宋" w:eastAsia="黑体" w:cs="黑体"/>
          <w:b/>
          <w:bCs/>
          <w:sz w:val="24"/>
          <w:highlight w:val="none"/>
        </w:rPr>
      </w:pPr>
      <w:r>
        <w:rPr>
          <w:rFonts w:hint="eastAsia" w:ascii="黑体" w:hAnsi="仿宋" w:eastAsia="黑体" w:cs="黑体"/>
          <w:b/>
          <w:bCs/>
          <w:sz w:val="24"/>
          <w:highlight w:val="none"/>
        </w:rPr>
        <w:t>八、其它补充事宜</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spacing w:line="360" w:lineRule="auto"/>
        <w:ind w:firstLine="482" w:firstLineChars="200"/>
        <w:rPr>
          <w:rFonts w:ascii="黑体" w:hAnsi="仿宋" w:eastAsia="黑体" w:cs="黑体"/>
          <w:b/>
          <w:bCs/>
          <w:sz w:val="24"/>
          <w:highlight w:val="none"/>
        </w:rPr>
      </w:pPr>
      <w:bookmarkStart w:id="6" w:name="_Toc17151"/>
      <w:bookmarkStart w:id="7" w:name="_Toc21944"/>
      <w:bookmarkStart w:id="8" w:name="_Toc28218"/>
      <w:bookmarkStart w:id="9" w:name="_Toc14544"/>
      <w:r>
        <w:rPr>
          <w:rFonts w:hint="eastAsia" w:ascii="黑体" w:hAnsi="仿宋" w:eastAsia="黑体" w:cs="黑体"/>
          <w:b/>
          <w:bCs/>
          <w:sz w:val="24"/>
          <w:highlight w:val="none"/>
        </w:rPr>
        <w:t>九、对本次采购提出询问，请按以下方式联系。</w:t>
      </w:r>
    </w:p>
    <w:p>
      <w:pPr>
        <w:spacing w:line="360" w:lineRule="auto"/>
        <w:ind w:firstLine="480" w:firstLineChars="200"/>
        <w:rPr>
          <w:rFonts w:ascii="宋体" w:hAnsi="宋体"/>
          <w:sz w:val="24"/>
          <w:highlight w:val="none"/>
        </w:rPr>
      </w:pPr>
      <w:r>
        <w:rPr>
          <w:rFonts w:hint="eastAsia" w:ascii="宋体" w:hAnsi="宋体"/>
          <w:sz w:val="24"/>
          <w:highlight w:val="none"/>
        </w:rPr>
        <w:t>1.采购人信息：陕西省环境信息中心</w:t>
      </w:r>
    </w:p>
    <w:p>
      <w:pPr>
        <w:spacing w:line="360" w:lineRule="auto"/>
        <w:ind w:firstLine="480" w:firstLineChars="200"/>
        <w:rPr>
          <w:rFonts w:ascii="宋体" w:hAnsi="宋体"/>
          <w:sz w:val="24"/>
          <w:highlight w:val="none"/>
        </w:rPr>
      </w:pPr>
      <w:r>
        <w:rPr>
          <w:rFonts w:hint="eastAsia" w:ascii="宋体" w:hAnsi="宋体"/>
          <w:sz w:val="24"/>
          <w:highlight w:val="none"/>
        </w:rPr>
        <w:t>地址：西影路112号</w:t>
      </w:r>
    </w:p>
    <w:p>
      <w:pPr>
        <w:spacing w:line="360" w:lineRule="auto"/>
        <w:ind w:firstLine="480" w:firstLineChars="200"/>
        <w:rPr>
          <w:rFonts w:ascii="宋体" w:hAnsi="宋体"/>
          <w:sz w:val="24"/>
          <w:highlight w:val="none"/>
        </w:rPr>
      </w:pPr>
      <w:r>
        <w:rPr>
          <w:rFonts w:hint="eastAsia" w:ascii="宋体" w:hAnsi="宋体"/>
          <w:sz w:val="24"/>
          <w:highlight w:val="none"/>
        </w:rPr>
        <w:t>联系人：陕西省环境信息中心经办</w:t>
      </w:r>
    </w:p>
    <w:p>
      <w:pPr>
        <w:spacing w:line="360" w:lineRule="auto"/>
        <w:ind w:firstLine="480" w:firstLineChars="200"/>
        <w:rPr>
          <w:rFonts w:ascii="宋体" w:hAnsi="宋体"/>
          <w:sz w:val="24"/>
          <w:highlight w:val="none"/>
        </w:rPr>
      </w:pPr>
      <w:r>
        <w:rPr>
          <w:rFonts w:hint="eastAsia" w:ascii="宋体" w:hAnsi="宋体"/>
          <w:sz w:val="24"/>
          <w:highlight w:val="none"/>
        </w:rPr>
        <w:t>电话：029-85429312</w:t>
      </w:r>
    </w:p>
    <w:p>
      <w:pPr>
        <w:spacing w:line="360" w:lineRule="auto"/>
        <w:ind w:firstLine="480" w:firstLineChars="200"/>
        <w:rPr>
          <w:rFonts w:ascii="宋体" w:hAnsi="宋体"/>
          <w:sz w:val="24"/>
          <w:highlight w:val="none"/>
        </w:rPr>
      </w:pPr>
      <w:r>
        <w:rPr>
          <w:rFonts w:hint="eastAsia" w:ascii="宋体" w:hAnsi="宋体"/>
          <w:sz w:val="24"/>
          <w:highlight w:val="none"/>
        </w:rPr>
        <w:t>2.项目联系方式</w:t>
      </w:r>
    </w:p>
    <w:p>
      <w:pPr>
        <w:spacing w:line="360" w:lineRule="auto"/>
        <w:ind w:firstLine="480" w:firstLineChars="200"/>
        <w:rPr>
          <w:rFonts w:ascii="宋体" w:hAnsi="宋体"/>
          <w:sz w:val="24"/>
          <w:highlight w:val="none"/>
        </w:rPr>
      </w:pPr>
      <w:r>
        <w:rPr>
          <w:rFonts w:hint="eastAsia" w:ascii="宋体" w:hAnsi="宋体"/>
          <w:sz w:val="24"/>
          <w:highlight w:val="none"/>
        </w:rPr>
        <w:t>项目联系人：李浩、贾旭鸣</w:t>
      </w:r>
    </w:p>
    <w:p>
      <w:pPr>
        <w:spacing w:line="360" w:lineRule="auto"/>
        <w:ind w:firstLine="480" w:firstLineChars="200"/>
        <w:rPr>
          <w:rFonts w:ascii="宋体" w:hAnsi="宋体"/>
          <w:sz w:val="24"/>
          <w:highlight w:val="none"/>
        </w:rPr>
      </w:pPr>
      <w:r>
        <w:rPr>
          <w:rFonts w:hint="eastAsia" w:ascii="宋体" w:hAnsi="宋体"/>
          <w:sz w:val="24"/>
          <w:highlight w:val="none"/>
        </w:rPr>
        <w:t>电 话：029-81106093</w:t>
      </w:r>
    </w:p>
    <w:p>
      <w:pPr>
        <w:spacing w:line="360" w:lineRule="auto"/>
        <w:ind w:firstLine="480" w:firstLineChars="200"/>
        <w:rPr>
          <w:rFonts w:ascii="宋体" w:hAnsi="宋体"/>
          <w:sz w:val="24"/>
          <w:highlight w:val="none"/>
        </w:rPr>
      </w:pPr>
      <w:r>
        <w:rPr>
          <w:rFonts w:hint="eastAsia" w:ascii="宋体" w:hAnsi="宋体"/>
          <w:sz w:val="24"/>
          <w:highlight w:val="none"/>
        </w:rPr>
        <w:t>传 真：029-81106093</w:t>
      </w:r>
    </w:p>
    <w:p>
      <w:pPr>
        <w:spacing w:line="360" w:lineRule="auto"/>
        <w:ind w:firstLine="480" w:firstLineChars="200"/>
        <w:rPr>
          <w:rFonts w:ascii="宋体" w:hAnsi="宋体"/>
          <w:sz w:val="24"/>
          <w:highlight w:val="none"/>
        </w:rPr>
      </w:pPr>
      <w:r>
        <w:rPr>
          <w:rFonts w:hint="eastAsia" w:ascii="宋体" w:hAnsi="宋体"/>
          <w:sz w:val="24"/>
          <w:highlight w:val="none"/>
        </w:rPr>
        <w:t>3.采购代理机构信息</w:t>
      </w:r>
    </w:p>
    <w:p>
      <w:pPr>
        <w:spacing w:line="360" w:lineRule="auto"/>
        <w:ind w:firstLine="480" w:firstLineChars="200"/>
        <w:rPr>
          <w:rFonts w:ascii="宋体" w:hAnsi="宋体"/>
          <w:sz w:val="24"/>
          <w:highlight w:val="none"/>
        </w:rPr>
      </w:pPr>
      <w:r>
        <w:rPr>
          <w:rFonts w:hint="eastAsia" w:ascii="宋体" w:hAnsi="宋体"/>
          <w:sz w:val="24"/>
          <w:highlight w:val="none"/>
        </w:rPr>
        <w:t>名称：陕西德勤招标有限公司</w:t>
      </w:r>
    </w:p>
    <w:p>
      <w:pPr>
        <w:spacing w:line="360" w:lineRule="auto"/>
        <w:ind w:firstLine="480" w:firstLineChars="200"/>
        <w:rPr>
          <w:rFonts w:ascii="宋体" w:hAnsi="宋体"/>
          <w:sz w:val="24"/>
          <w:highlight w:val="none"/>
        </w:rPr>
      </w:pPr>
      <w:r>
        <w:rPr>
          <w:rFonts w:hint="eastAsia" w:ascii="宋体" w:hAnsi="宋体"/>
          <w:sz w:val="24"/>
          <w:highlight w:val="none"/>
        </w:rPr>
        <w:t>联系地址：陕西省西安市高新区丈八一路1号汇鑫中心D座2206室</w:t>
      </w:r>
    </w:p>
    <w:p>
      <w:pPr>
        <w:spacing w:line="360" w:lineRule="auto"/>
        <w:ind w:firstLine="480" w:firstLineChars="200"/>
        <w:rPr>
          <w:rFonts w:ascii="宋体" w:hAnsi="宋体"/>
          <w:sz w:val="24"/>
          <w:highlight w:val="none"/>
        </w:rPr>
      </w:pPr>
      <w:r>
        <w:rPr>
          <w:rFonts w:hint="eastAsia" w:ascii="宋体" w:hAnsi="宋体"/>
          <w:sz w:val="24"/>
          <w:highlight w:val="none"/>
        </w:rPr>
        <w:t>联系方式：</w:t>
      </w:r>
      <w:bookmarkEnd w:id="6"/>
      <w:bookmarkEnd w:id="7"/>
      <w:bookmarkEnd w:id="8"/>
      <w:bookmarkEnd w:id="9"/>
      <w:r>
        <w:rPr>
          <w:rFonts w:hint="eastAsia" w:ascii="宋体" w:hAnsi="宋体"/>
          <w:sz w:val="24"/>
          <w:highlight w:val="none"/>
        </w:rPr>
        <w:t>029-81106093</w:t>
      </w:r>
    </w:p>
    <w:p>
      <w:pPr>
        <w:spacing w:line="360" w:lineRule="auto"/>
        <w:ind w:firstLine="480" w:firstLineChars="200"/>
        <w:jc w:val="left"/>
        <w:rPr>
          <w:rFonts w:ascii="宋体" w:hAnsi="宋体"/>
          <w:sz w:val="24"/>
          <w:highlight w:val="none"/>
        </w:rPr>
      </w:pPr>
    </w:p>
    <w:p>
      <w:pPr>
        <w:spacing w:line="360" w:lineRule="auto"/>
        <w:ind w:firstLine="480" w:firstLineChars="200"/>
        <w:jc w:val="right"/>
        <w:rPr>
          <w:rFonts w:ascii="宋体" w:hAnsi="宋体"/>
          <w:sz w:val="24"/>
          <w:highlight w:val="none"/>
        </w:rPr>
      </w:pPr>
      <w:r>
        <w:rPr>
          <w:rFonts w:hint="eastAsia" w:ascii="宋体" w:hAnsi="宋体"/>
          <w:sz w:val="24"/>
          <w:highlight w:val="none"/>
        </w:rPr>
        <w:t>陕西德勤招标有限公司</w:t>
      </w:r>
      <w:bookmarkEnd w:id="5"/>
    </w:p>
    <w:p>
      <w:pPr>
        <w:jc w:val="right"/>
        <w:rPr>
          <w:rFonts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1</w:t>
      </w:r>
      <w:r>
        <w:rPr>
          <w:rFonts w:hint="eastAsia" w:ascii="宋体" w:hAnsi="宋体"/>
          <w:sz w:val="24"/>
          <w:highlight w:val="none"/>
        </w:rPr>
        <w:t>月</w:t>
      </w:r>
      <w:r>
        <w:rPr>
          <w:rFonts w:hint="eastAsia" w:ascii="宋体" w:hAnsi="宋体"/>
          <w:sz w:val="24"/>
          <w:highlight w:val="none"/>
          <w:lang w:val="en-US" w:eastAsia="zh-CN"/>
        </w:rPr>
        <w:t>5</w:t>
      </w:r>
      <w:r>
        <w:rPr>
          <w:rFonts w:hint="eastAsia" w:ascii="宋体" w:hAnsi="宋体"/>
          <w:sz w:val="24"/>
          <w:highlight w:val="none"/>
        </w:rPr>
        <w:t>日</w:t>
      </w:r>
    </w:p>
    <w:p>
      <w:pPr>
        <w:rPr>
          <w:highlight w:val="none"/>
        </w:rPr>
      </w:pPr>
    </w:p>
    <w:p>
      <w:pPr>
        <w:spacing w:line="360" w:lineRule="auto"/>
        <w:jc w:val="center"/>
        <w:rPr>
          <w:rFonts w:ascii="宋体" w:hAnsi="宋体"/>
          <w:szCs w:val="30"/>
          <w:highlight w:val="none"/>
        </w:rPr>
      </w:pPr>
      <w:r>
        <w:rPr>
          <w:rFonts w:hint="eastAsia" w:ascii="宋体" w:hAnsi="宋体"/>
          <w:szCs w:val="30"/>
          <w:highlight w:val="none"/>
        </w:rPr>
        <w:br w:type="page"/>
      </w:r>
    </w:p>
    <w:p>
      <w:pPr>
        <w:spacing w:line="360" w:lineRule="auto"/>
        <w:jc w:val="center"/>
        <w:outlineLvl w:val="0"/>
        <w:rPr>
          <w:rFonts w:ascii="黑体" w:hAnsi="黑体" w:eastAsia="黑体" w:cs="黑体"/>
          <w:b/>
          <w:bCs/>
          <w:szCs w:val="32"/>
          <w:highlight w:val="none"/>
        </w:rPr>
      </w:pPr>
      <w:bookmarkStart w:id="10" w:name="_Toc6236"/>
      <w:r>
        <w:rPr>
          <w:rFonts w:hint="eastAsia" w:ascii="黑体" w:hAnsi="黑体" w:eastAsia="黑体" w:cs="黑体"/>
          <w:b/>
          <w:bCs/>
          <w:sz w:val="32"/>
          <w:szCs w:val="32"/>
          <w:highlight w:val="none"/>
        </w:rPr>
        <w:t>第二部分 用户需求书</w:t>
      </w:r>
      <w:bookmarkEnd w:id="10"/>
    </w:p>
    <w:p>
      <w:pPr>
        <w:spacing w:line="360" w:lineRule="auto"/>
        <w:ind w:firstLine="482" w:firstLineChars="200"/>
        <w:rPr>
          <w:rFonts w:ascii="黑体" w:hAnsi="仿宋" w:eastAsia="黑体" w:cs="黑体"/>
          <w:b/>
          <w:bCs/>
          <w:sz w:val="24"/>
          <w:highlight w:val="none"/>
        </w:rPr>
      </w:pPr>
      <w:bookmarkStart w:id="11" w:name="_Toc107503670"/>
      <w:bookmarkStart w:id="12" w:name="_Toc18676162"/>
      <w:bookmarkStart w:id="13" w:name="_Toc18680541"/>
      <w:bookmarkStart w:id="14" w:name="_Toc457309282"/>
      <w:r>
        <w:rPr>
          <w:rFonts w:hint="eastAsia" w:ascii="黑体" w:hAnsi="仿宋" w:eastAsia="黑体" w:cs="黑体"/>
          <w:b/>
          <w:bCs/>
          <w:sz w:val="24"/>
          <w:highlight w:val="none"/>
        </w:rPr>
        <w:t>一、项目概述</w:t>
      </w:r>
      <w:bookmarkEnd w:id="11"/>
    </w:p>
    <w:p>
      <w:pPr>
        <w:spacing w:line="360" w:lineRule="auto"/>
        <w:ind w:firstLine="482" w:firstLineChars="200"/>
        <w:rPr>
          <w:rFonts w:ascii="宋体" w:hAnsi="宋体"/>
          <w:b/>
          <w:bCs/>
          <w:sz w:val="24"/>
          <w:highlight w:val="none"/>
        </w:rPr>
      </w:pPr>
      <w:bookmarkStart w:id="15" w:name="_Toc107503671"/>
      <w:r>
        <w:rPr>
          <w:rFonts w:hint="eastAsia" w:ascii="宋体" w:hAnsi="宋体"/>
          <w:b/>
          <w:bCs/>
          <w:sz w:val="24"/>
          <w:highlight w:val="none"/>
        </w:rPr>
        <w:t>1.建设背景</w:t>
      </w:r>
      <w:bookmarkEnd w:id="15"/>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根据国家发改委、工信部等九部委联合下发的《关于加强公共安全视频监控建设联网应用工作的若干意见》（发改高技〔2015〕996号）及省委办公厅、省政府办公厅《关于加快“雪亮工程”建设的实施意见》（陕办字〔2018〕46号）等文件精神，按照省委平安陕西建设领导小组办公室《关于做好向公共安全视频监控省级共享交换总平台推送二类视频图像资源有关工作的通知》（陕平安办函〔2022〕11号），我厅需向省政府大数据服务中心持续稳定的传输城市污水排放、环境保护重点监控企业、核与辐射场所三类视频图像资源。</w:t>
      </w:r>
    </w:p>
    <w:p>
      <w:pPr>
        <w:spacing w:line="360" w:lineRule="auto"/>
        <w:ind w:firstLine="482" w:firstLineChars="200"/>
        <w:rPr>
          <w:rFonts w:ascii="宋体" w:hAnsi="宋体"/>
          <w:b/>
          <w:bCs/>
          <w:sz w:val="24"/>
          <w:highlight w:val="none"/>
        </w:rPr>
      </w:pPr>
      <w:bookmarkStart w:id="16" w:name="_Toc107503672"/>
      <w:r>
        <w:rPr>
          <w:rFonts w:hint="eastAsia" w:ascii="宋体" w:hAnsi="宋体"/>
          <w:b/>
          <w:bCs/>
          <w:sz w:val="24"/>
          <w:highlight w:val="none"/>
        </w:rPr>
        <w:t>2.建设目标</w:t>
      </w:r>
      <w:bookmarkEnd w:id="16"/>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基于陕西生态环境信息化建设成果，大数据中心和云存储及其安全体系，按照顶层设计原则，集成城市污水排放、环境保护重点监控企业、核与辐射场所三类视频图像资源，按照国家标准和大数据要求，推送视频图像信息。</w:t>
      </w:r>
      <w:bookmarkEnd w:id="12"/>
      <w:bookmarkEnd w:id="13"/>
      <w:bookmarkEnd w:id="14"/>
    </w:p>
    <w:p>
      <w:pPr>
        <w:spacing w:line="360" w:lineRule="auto"/>
        <w:ind w:firstLine="482" w:firstLineChars="200"/>
        <w:rPr>
          <w:rFonts w:ascii="黑体" w:hAnsi="仿宋" w:eastAsia="黑体" w:cs="黑体"/>
          <w:b/>
          <w:bCs/>
          <w:sz w:val="24"/>
          <w:highlight w:val="none"/>
          <w:lang w:val="zh-CN"/>
        </w:rPr>
      </w:pPr>
      <w:bookmarkStart w:id="17" w:name="_Toc91596105"/>
      <w:bookmarkStart w:id="18" w:name="_Toc107503675"/>
      <w:r>
        <w:rPr>
          <w:rFonts w:hint="eastAsia" w:ascii="黑体" w:hAnsi="仿宋" w:eastAsia="黑体" w:cs="黑体"/>
          <w:b/>
          <w:bCs/>
          <w:sz w:val="24"/>
          <w:highlight w:val="none"/>
        </w:rPr>
        <w:t>二、</w:t>
      </w:r>
      <w:r>
        <w:rPr>
          <w:rFonts w:hint="eastAsia" w:ascii="黑体" w:hAnsi="仿宋" w:eastAsia="黑体" w:cs="黑体"/>
          <w:b/>
          <w:bCs/>
          <w:sz w:val="24"/>
          <w:highlight w:val="none"/>
          <w:lang w:val="zh-CN"/>
        </w:rPr>
        <w:t>现状及需求分析</w:t>
      </w:r>
      <w:bookmarkEnd w:id="17"/>
      <w:bookmarkEnd w:id="18"/>
    </w:p>
    <w:p>
      <w:pPr>
        <w:spacing w:line="360" w:lineRule="auto"/>
        <w:ind w:firstLine="482" w:firstLineChars="200"/>
        <w:rPr>
          <w:rFonts w:ascii="宋体" w:hAnsi="宋体"/>
          <w:b/>
          <w:bCs/>
          <w:sz w:val="24"/>
          <w:highlight w:val="none"/>
          <w:lang w:val="zh-CN"/>
        </w:rPr>
      </w:pPr>
      <w:bookmarkStart w:id="19" w:name="_Toc91596106"/>
      <w:bookmarkStart w:id="20" w:name="_Toc107503676"/>
      <w:r>
        <w:rPr>
          <w:rFonts w:hint="eastAsia" w:ascii="宋体" w:hAnsi="宋体"/>
          <w:b/>
          <w:bCs/>
          <w:sz w:val="24"/>
          <w:highlight w:val="none"/>
        </w:rPr>
        <w:t>1.</w:t>
      </w:r>
      <w:r>
        <w:rPr>
          <w:rFonts w:hint="eastAsia" w:ascii="宋体" w:hAnsi="宋体"/>
          <w:b/>
          <w:bCs/>
          <w:sz w:val="24"/>
          <w:highlight w:val="none"/>
          <w:lang w:val="zh-CN"/>
        </w:rPr>
        <w:t>现状分析</w:t>
      </w:r>
      <w:bookmarkEnd w:id="19"/>
      <w:bookmarkEnd w:id="20"/>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（1）监控平台建设现状</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陕西省生态环境厅目前暂无视频监控平台，无法具备视频预览、回放、录像、云台等基本功能，不能满足视频图像共享交换平台的建设要求。</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各地市区县视频监控平台建设情况需要进一步调研，明确各单位建设的视频监控平台情况，为后续对接提供支撑。</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（2）计算存储建设现状</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目前陕西省环境信息中心机房已安装一台72盘位视频监控存储设备，现有配置存储容量仅80TB（10块8T硬盘），无法满足视频图像共享交换平台的建设要求，建议另外增加一台72盘位视频监控存储设备，将两台设备硬盘满配（14</w:t>
      </w:r>
      <w:r>
        <w:rPr>
          <w:rFonts w:ascii="宋体" w:hAnsi="宋体"/>
          <w:sz w:val="24"/>
          <w:highlight w:val="none"/>
          <w:lang w:val="zh-CN"/>
        </w:rPr>
        <w:t>0</w:t>
      </w:r>
      <w:r>
        <w:rPr>
          <w:rFonts w:hint="eastAsia" w:ascii="宋体" w:hAnsi="宋体"/>
          <w:sz w:val="24"/>
          <w:highlight w:val="none"/>
          <w:lang w:val="zh-CN"/>
        </w:rPr>
        <w:t>块8T硬盘）至11</w:t>
      </w:r>
      <w:r>
        <w:rPr>
          <w:rFonts w:ascii="宋体" w:hAnsi="宋体"/>
          <w:sz w:val="24"/>
          <w:highlight w:val="none"/>
          <w:lang w:val="zh-CN"/>
        </w:rPr>
        <w:t>2</w:t>
      </w:r>
      <w:r>
        <w:rPr>
          <w:rFonts w:hint="eastAsia" w:ascii="宋体" w:hAnsi="宋体"/>
          <w:sz w:val="24"/>
          <w:highlight w:val="none"/>
          <w:lang w:val="zh-CN"/>
        </w:rPr>
        <w:t>0TB，用于存放重要视频监控录像。</w:t>
      </w:r>
    </w:p>
    <w:p>
      <w:pPr>
        <w:spacing w:line="360" w:lineRule="auto"/>
        <w:ind w:firstLine="482" w:firstLineChars="200"/>
        <w:rPr>
          <w:rFonts w:ascii="宋体" w:hAnsi="宋体"/>
          <w:b/>
          <w:bCs/>
          <w:sz w:val="24"/>
          <w:highlight w:val="none"/>
          <w:lang w:val="zh-CN"/>
        </w:rPr>
      </w:pPr>
      <w:bookmarkStart w:id="21" w:name="_Toc107503677"/>
      <w:bookmarkStart w:id="22" w:name="_Toc91596107"/>
      <w:r>
        <w:rPr>
          <w:rFonts w:hint="eastAsia" w:ascii="宋体" w:hAnsi="宋体"/>
          <w:b/>
          <w:bCs/>
          <w:sz w:val="24"/>
          <w:highlight w:val="none"/>
        </w:rPr>
        <w:t>2.</w:t>
      </w:r>
      <w:r>
        <w:rPr>
          <w:rFonts w:hint="eastAsia" w:ascii="宋体" w:hAnsi="宋体"/>
          <w:b/>
          <w:bCs/>
          <w:sz w:val="24"/>
          <w:highlight w:val="none"/>
          <w:lang w:val="zh-CN"/>
        </w:rPr>
        <w:t>需求分析</w:t>
      </w:r>
      <w:bookmarkEnd w:id="21"/>
      <w:bookmarkEnd w:id="22"/>
    </w:p>
    <w:p>
      <w:pPr>
        <w:spacing w:line="360" w:lineRule="auto"/>
        <w:ind w:firstLine="480" w:firstLineChars="200"/>
        <w:rPr>
          <w:rFonts w:ascii="宋体" w:hAnsi="宋体"/>
          <w:sz w:val="24"/>
          <w:highlight w:val="none"/>
          <w:lang w:val="zh-CN"/>
        </w:rPr>
      </w:pPr>
      <w:r>
        <w:rPr>
          <w:rFonts w:hint="eastAsia" w:ascii="宋体" w:hAnsi="宋体"/>
          <w:sz w:val="24"/>
          <w:highlight w:val="none"/>
        </w:rPr>
        <w:t>2.1</w:t>
      </w:r>
      <w:r>
        <w:rPr>
          <w:rFonts w:hint="eastAsia" w:ascii="宋体" w:hAnsi="宋体"/>
          <w:sz w:val="24"/>
          <w:highlight w:val="none"/>
          <w:lang w:val="zh-CN"/>
        </w:rPr>
        <w:t>强化视频联网整合，实现资源互通共享</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各地早期投入建设的视频监控系统存在种类繁多、标准不一等历史问题，把范围扩大到其他政府部门和社会企业单位，视频系统设备技术参数不一、型号标准各异的问题更加突出，这在一定程度上阻碍了公共安全视频监控联网工作的推进。视频联网工作的延缓又在一定程度上影响了基于视频的智能应用落地，对综合治理工作的深化带来影响。因此，亟待形成视频图像资源跨层级、跨部门、跨区域联网整合的工作机制，搭建生态环境业务视频图像共享交换平台，实现视频图像资源的互联互通和全面整合，实现“全域覆盖、全网共享、全时可用、全程可控”。</w:t>
      </w:r>
    </w:p>
    <w:p>
      <w:pPr>
        <w:spacing w:line="360" w:lineRule="auto"/>
        <w:ind w:firstLine="480" w:firstLineChars="200"/>
        <w:rPr>
          <w:rFonts w:ascii="宋体" w:hAnsi="宋体"/>
          <w:sz w:val="24"/>
          <w:highlight w:val="none"/>
          <w:lang w:val="zh-CN"/>
        </w:rPr>
      </w:pPr>
      <w:r>
        <w:rPr>
          <w:rFonts w:hint="eastAsia" w:ascii="宋体" w:hAnsi="宋体"/>
          <w:sz w:val="24"/>
          <w:highlight w:val="none"/>
        </w:rPr>
        <w:t>2.2</w:t>
      </w:r>
      <w:r>
        <w:rPr>
          <w:rFonts w:hint="eastAsia" w:ascii="宋体" w:hAnsi="宋体"/>
          <w:sz w:val="24"/>
          <w:highlight w:val="none"/>
          <w:lang w:val="zh-CN"/>
        </w:rPr>
        <w:t>搭建基础智能底座，支撑通用业务应用</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随着生态环境业务的发展，环境治理工作的开展难度也大幅提升，单纯的视频监控手段已无法满足环境治理工作精准、高效开展的需求。人工智能技术的兴起推动了视频、图片向视频图像数据的转变，有效从海量视频、图片中提取出价值数据后，智能搜图、布控预警以及人员档案等智能业务的开展才变为可能。因此，需加强视频图像智能算法及智能计算基础设施的建设。后期可对基础设施进行升级改造，充分运用人工智能技术，实现视频图像的智能感知和解析，提高视频图像资源的智能转化率。构建智能计算资源和智能算法模型的统一管理机制，建立统一的算法和资源管理调度平台，按需分配智能计算资源、按需调度智能算法，将智能计算资源与智能算法充分利用起来，提高环境治理实战响应能力。</w:t>
      </w:r>
    </w:p>
    <w:p>
      <w:pPr>
        <w:spacing w:line="360" w:lineRule="auto"/>
        <w:ind w:firstLine="480" w:firstLineChars="200"/>
        <w:rPr>
          <w:rFonts w:ascii="宋体" w:hAnsi="宋体"/>
          <w:sz w:val="24"/>
          <w:highlight w:val="none"/>
          <w:lang w:val="zh-CN"/>
        </w:rPr>
      </w:pPr>
      <w:r>
        <w:rPr>
          <w:rFonts w:hint="eastAsia" w:ascii="宋体" w:hAnsi="宋体"/>
          <w:sz w:val="24"/>
          <w:highlight w:val="none"/>
        </w:rPr>
        <w:t>2.3</w:t>
      </w:r>
      <w:r>
        <w:rPr>
          <w:rFonts w:hint="eastAsia" w:ascii="宋体" w:hAnsi="宋体"/>
          <w:sz w:val="24"/>
          <w:highlight w:val="none"/>
          <w:lang w:val="zh-CN"/>
        </w:rPr>
        <w:t>推动AI开放共享，满足个性化业务需求</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在政府信息化建设中，不同的部门有不同的智能化应用需求，导致这些部门各自建设了或大或小的智能底座，存在重复建设的情况，且这些资源无法灵活地调度，往往存在闲置浪费的情况。为了更好地解决碎片化与个性化的需求，更好的结合本地特点、场景进行服务，充分发挥出视频和智能底座的价值和作用，需要构建本地自主灵活的开放共享体系，能让更多部门和行业能够享受到高清视频带来的服务效率提升。</w:t>
      </w:r>
    </w:p>
    <w:p>
      <w:pPr>
        <w:spacing w:line="360" w:lineRule="auto"/>
        <w:ind w:firstLine="480" w:firstLineChars="200"/>
        <w:rPr>
          <w:rFonts w:ascii="宋体" w:hAnsi="宋体"/>
          <w:sz w:val="24"/>
          <w:highlight w:val="none"/>
          <w:lang w:val="zh-CN"/>
        </w:rPr>
      </w:pPr>
      <w:r>
        <w:rPr>
          <w:rFonts w:hint="eastAsia" w:ascii="宋体" w:hAnsi="宋体"/>
          <w:sz w:val="24"/>
          <w:highlight w:val="none"/>
        </w:rPr>
        <w:t>2.4</w:t>
      </w:r>
      <w:r>
        <w:rPr>
          <w:rFonts w:hint="eastAsia" w:ascii="宋体" w:hAnsi="宋体"/>
          <w:sz w:val="24"/>
          <w:highlight w:val="none"/>
          <w:lang w:val="zh-CN"/>
        </w:rPr>
        <w:t>建立安全防护体系，保障系统安全可靠</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在视频图像共享交换平台建设中，无论是基础设施、数据资源、平台服务和应用软件，都面临非法入侵、恶意代码、流量攻击等多种安全威胁，信息安全整体面临严峻挑战，一旦出现黑客攻击、数据窃取等事件，将有可能造成敏感信息泄漏等后果，严重危害社会稳定。通过目前陕西省环境信息中心机房现有安全防护体系，实现网络、平台、应用等方面的全面安全防护，对平台的运行情况进行监控保障。安全性方面需遵守GB 35114-2017《公共安全视频监控联网信息安全技术要求》的相关要求。</w:t>
      </w:r>
    </w:p>
    <w:p>
      <w:pPr>
        <w:spacing w:line="360" w:lineRule="auto"/>
        <w:ind w:firstLine="480" w:firstLineChars="200"/>
        <w:rPr>
          <w:rFonts w:ascii="宋体" w:hAnsi="宋体"/>
          <w:sz w:val="24"/>
          <w:highlight w:val="none"/>
          <w:lang w:val="zh-CN"/>
        </w:rPr>
      </w:pPr>
      <w:r>
        <w:rPr>
          <w:rFonts w:hint="eastAsia" w:ascii="宋体" w:hAnsi="宋体"/>
          <w:sz w:val="24"/>
          <w:highlight w:val="none"/>
        </w:rPr>
        <w:t>2.5</w:t>
      </w:r>
      <w:r>
        <w:rPr>
          <w:rFonts w:hint="eastAsia" w:ascii="宋体" w:hAnsi="宋体"/>
          <w:sz w:val="24"/>
          <w:highlight w:val="none"/>
          <w:lang w:val="zh-CN"/>
        </w:rPr>
        <w:t>推动系统开放解耦，确保系统持续发展</w:t>
      </w:r>
    </w:p>
    <w:p>
      <w:pPr>
        <w:spacing w:line="360" w:lineRule="auto"/>
        <w:ind w:firstLine="480" w:firstLineChars="200"/>
        <w:rPr>
          <w:rFonts w:ascii="黑体" w:hAnsi="仿宋" w:eastAsia="黑体" w:cs="黑体"/>
          <w:b/>
          <w:bCs/>
          <w:sz w:val="24"/>
          <w:highlight w:val="none"/>
          <w:lang w:val="zh-CN"/>
        </w:rPr>
      </w:pPr>
      <w:r>
        <w:rPr>
          <w:rFonts w:hint="eastAsia" w:ascii="宋体" w:hAnsi="宋体"/>
          <w:sz w:val="24"/>
          <w:highlight w:val="none"/>
          <w:lang w:val="zh-CN"/>
        </w:rPr>
        <w:t>随着“雪亮工程”“天网工程”等建设的推进，各地政法委、公安陆续建设了各类视频监控应用系统，过程中逐步暴露出系统间不兼容、接口不互通、耦合性高等问题。因此，针对于生态环境业务视频监控共享平台建设需遵循开放的技术架构，统一技术标准，实现基础设施、算法模型、数据平台和应用服务等层面的全面开放，同时实现软硬件解耦、数据与应用解耦、算法与服务解耦，确保系统建设过程中，不同厂家的设备或平台能够实现兼容和互通，确保系统长期的可持续发展。</w:t>
      </w:r>
    </w:p>
    <w:p>
      <w:pPr>
        <w:spacing w:line="360" w:lineRule="auto"/>
        <w:ind w:firstLine="482" w:firstLineChars="200"/>
        <w:rPr>
          <w:rFonts w:ascii="黑体" w:hAnsi="仿宋" w:eastAsia="黑体" w:cs="黑体"/>
          <w:b/>
          <w:bCs/>
          <w:sz w:val="24"/>
          <w:highlight w:val="none"/>
        </w:rPr>
      </w:pPr>
      <w:bookmarkStart w:id="23" w:name="_Toc107503678"/>
      <w:r>
        <w:rPr>
          <w:rFonts w:hint="eastAsia" w:ascii="黑体" w:hAnsi="仿宋" w:eastAsia="黑体" w:cs="黑体"/>
          <w:b/>
          <w:bCs/>
          <w:sz w:val="24"/>
          <w:highlight w:val="none"/>
        </w:rPr>
        <w:t>三、</w:t>
      </w:r>
      <w:bookmarkEnd w:id="23"/>
      <w:r>
        <w:rPr>
          <w:rFonts w:hint="eastAsia" w:ascii="黑体" w:hAnsi="仿宋" w:eastAsia="黑体" w:cs="黑体"/>
          <w:b/>
          <w:bCs/>
          <w:sz w:val="24"/>
          <w:highlight w:val="none"/>
          <w:lang w:val="zh-CN"/>
        </w:rPr>
        <w:t>技术架构与开发环境</w:t>
      </w:r>
    </w:p>
    <w:p>
      <w:pPr>
        <w:spacing w:line="360" w:lineRule="auto"/>
        <w:ind w:firstLine="482" w:firstLineChars="200"/>
        <w:rPr>
          <w:rFonts w:ascii="宋体" w:hAnsi="宋体"/>
          <w:b/>
          <w:bCs/>
          <w:sz w:val="24"/>
          <w:highlight w:val="none"/>
          <w:lang w:val="zh-CN"/>
        </w:rPr>
      </w:pPr>
      <w:bookmarkStart w:id="24" w:name="_Toc91596109"/>
      <w:bookmarkStart w:id="25" w:name="_Toc107503679"/>
      <w:r>
        <w:rPr>
          <w:rFonts w:hint="eastAsia" w:ascii="宋体" w:hAnsi="宋体"/>
          <w:b/>
          <w:bCs/>
          <w:sz w:val="24"/>
          <w:highlight w:val="none"/>
        </w:rPr>
        <w:t>1.</w:t>
      </w:r>
      <w:bookmarkEnd w:id="24"/>
      <w:bookmarkEnd w:id="25"/>
      <w:r>
        <w:rPr>
          <w:rFonts w:hint="eastAsia" w:ascii="宋体" w:hAnsi="宋体"/>
          <w:b/>
          <w:bCs/>
          <w:sz w:val="24"/>
          <w:highlight w:val="none"/>
        </w:rPr>
        <w:t>技术架构</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公共安全视频图像共享交换平台通过逐级整合、汇聚公共安全领域的监控视频，为各类政务部门信息系统提供视频图像资源，实现公共安全视频监控图像一站查询、一网揽尽。</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相关建设规范要求省级-市级-县级三级公共安全视频图像共享交换平台的规划设计，市、县级可根据各县的实际条件按需进行建设部署，也可使用省级平台。</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陕西省视频图像共享交换总平台部署在电子政务外网，陕西省生态环境厅视频交换平台应通过电子政务外网与总平台进行交换。而生态环境厅省、市、县视频传输为了避免影响目前环保专网应用，应该建设1000M视频专网，用于生态环境视频监控业务应。</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视频图像共享交换平台与部门/行业视频监控平台和社会资源汇聚平台的横向互联符合GB/T 28181的规定。</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各级视频图像共享交换平台的纵向互联符合GB/T 28181和《GB1.6 公共安全视频图像共享交换平台技术要求（征求意见稿）》的规定。</w:t>
      </w:r>
    </w:p>
    <w:p>
      <w:pPr>
        <w:spacing w:line="360" w:lineRule="auto"/>
        <w:ind w:firstLine="482" w:firstLineChars="200"/>
        <w:rPr>
          <w:rFonts w:ascii="宋体" w:hAnsi="宋体"/>
          <w:b/>
          <w:bCs/>
          <w:sz w:val="24"/>
          <w:highlight w:val="none"/>
          <w:lang w:val="zh-CN"/>
        </w:rPr>
      </w:pPr>
      <w:r>
        <w:rPr>
          <w:rFonts w:ascii="宋体" w:hAnsi="宋体"/>
          <w:b/>
          <w:bCs/>
          <w:sz w:val="24"/>
          <w:highlight w:val="none"/>
        </w:rPr>
        <w:t>2</w:t>
      </w:r>
      <w:r>
        <w:rPr>
          <w:rFonts w:hint="eastAsia" w:ascii="宋体" w:hAnsi="宋体"/>
          <w:b/>
          <w:bCs/>
          <w:sz w:val="24"/>
          <w:highlight w:val="none"/>
        </w:rPr>
        <w:t>.</w:t>
      </w:r>
      <w:r>
        <w:rPr>
          <w:rFonts w:hint="eastAsia" w:ascii="宋体" w:hAnsi="宋体"/>
          <w:b/>
          <w:bCs/>
          <w:sz w:val="24"/>
          <w:highlight w:val="none"/>
          <w:lang w:val="zh-CN"/>
        </w:rPr>
        <w:t>软件开发环境</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1)</w:t>
      </w:r>
      <w:r>
        <w:rPr>
          <w:rFonts w:hint="eastAsia" w:ascii="宋体" w:hAnsi="宋体"/>
          <w:sz w:val="24"/>
          <w:highlight w:val="none"/>
          <w:lang w:val="zh-CN"/>
        </w:rPr>
        <w:tab/>
      </w:r>
      <w:r>
        <w:rPr>
          <w:rFonts w:hint="eastAsia" w:ascii="宋体" w:hAnsi="宋体"/>
          <w:sz w:val="24"/>
          <w:highlight w:val="none"/>
          <w:lang w:val="zh-CN"/>
        </w:rPr>
        <w:t>采用B/S（ Brower/Server）架构。</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2)</w:t>
      </w:r>
      <w:r>
        <w:rPr>
          <w:rFonts w:hint="eastAsia" w:ascii="宋体" w:hAnsi="宋体"/>
          <w:sz w:val="24"/>
          <w:highlight w:val="none"/>
          <w:lang w:val="zh-CN"/>
        </w:rPr>
        <w:tab/>
      </w:r>
      <w:r>
        <w:rPr>
          <w:rFonts w:hint="eastAsia" w:ascii="宋体" w:hAnsi="宋体"/>
          <w:sz w:val="24"/>
          <w:highlight w:val="none"/>
          <w:lang w:val="zh-CN"/>
        </w:rPr>
        <w:t>发布架构采用Java2企业版（Java 2 Platform Enterprise Edition）J2EE。</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3)</w:t>
      </w:r>
      <w:r>
        <w:rPr>
          <w:rFonts w:hint="eastAsia" w:ascii="宋体" w:hAnsi="宋体"/>
          <w:sz w:val="24"/>
          <w:highlight w:val="none"/>
          <w:lang w:val="zh-CN"/>
        </w:rPr>
        <w:tab/>
      </w:r>
      <w:r>
        <w:rPr>
          <w:rFonts w:hint="eastAsia" w:ascii="宋体" w:hAnsi="宋体"/>
          <w:sz w:val="24"/>
          <w:highlight w:val="none"/>
          <w:lang w:val="zh-CN"/>
        </w:rPr>
        <w:t>核心数据库：ORACLE11g 数据库操作系统Linux.应用服务器操作系统Windows Server 2008。</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4)</w:t>
      </w:r>
      <w:r>
        <w:rPr>
          <w:rFonts w:hint="eastAsia" w:ascii="宋体" w:hAnsi="宋体"/>
          <w:sz w:val="24"/>
          <w:highlight w:val="none"/>
          <w:lang w:val="zh-CN"/>
        </w:rPr>
        <w:tab/>
      </w:r>
      <w:r>
        <w:rPr>
          <w:rFonts w:hint="eastAsia" w:ascii="宋体" w:hAnsi="宋体"/>
          <w:sz w:val="24"/>
          <w:highlight w:val="none"/>
          <w:lang w:val="zh-CN"/>
        </w:rPr>
        <w:t>安全系统共享综合管理系统资源。</w:t>
      </w:r>
    </w:p>
    <w:p>
      <w:pPr>
        <w:spacing w:line="360" w:lineRule="auto"/>
        <w:ind w:firstLine="482" w:firstLineChars="200"/>
        <w:rPr>
          <w:rFonts w:ascii="宋体" w:hAnsi="宋体"/>
          <w:b/>
          <w:bCs/>
          <w:sz w:val="24"/>
          <w:highlight w:val="none"/>
          <w:lang w:val="zh-CN"/>
        </w:rPr>
      </w:pPr>
      <w:r>
        <w:rPr>
          <w:rFonts w:hint="eastAsia" w:ascii="宋体" w:hAnsi="宋体"/>
          <w:b/>
          <w:bCs/>
          <w:sz w:val="24"/>
          <w:highlight w:val="none"/>
          <w:lang w:val="zh-CN"/>
        </w:rPr>
        <w:t>3</w:t>
      </w:r>
      <w:r>
        <w:rPr>
          <w:rFonts w:ascii="宋体" w:hAnsi="宋体"/>
          <w:b/>
          <w:bCs/>
          <w:sz w:val="24"/>
          <w:highlight w:val="none"/>
          <w:lang w:val="zh-CN"/>
        </w:rPr>
        <w:t>.</w:t>
      </w:r>
      <w:r>
        <w:rPr>
          <w:rFonts w:hint="eastAsia" w:ascii="宋体" w:hAnsi="宋体"/>
          <w:b/>
          <w:bCs/>
          <w:sz w:val="24"/>
          <w:highlight w:val="none"/>
          <w:lang w:val="zh-CN"/>
        </w:rPr>
        <w:t>硬件环境</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系统依托陕西省生态环境厅大数据中心信息化环境，搭建满足系统的硬件基础环境，存储环境、服务环境，满足对《陕西省生态环境视频遥感信息平台》的时效性要求。</w:t>
      </w:r>
    </w:p>
    <w:p>
      <w:pPr>
        <w:spacing w:line="360" w:lineRule="auto"/>
        <w:ind w:firstLine="482" w:firstLineChars="200"/>
        <w:rPr>
          <w:rFonts w:ascii="宋体" w:hAnsi="宋体"/>
          <w:b/>
          <w:bCs/>
          <w:sz w:val="24"/>
          <w:highlight w:val="none"/>
          <w:lang w:val="zh-CN"/>
        </w:rPr>
      </w:pPr>
      <w:r>
        <w:rPr>
          <w:rFonts w:ascii="宋体" w:hAnsi="宋体"/>
          <w:b/>
          <w:bCs/>
          <w:sz w:val="24"/>
          <w:highlight w:val="none"/>
        </w:rPr>
        <w:t>4.</w:t>
      </w:r>
      <w:r>
        <w:rPr>
          <w:rFonts w:hint="eastAsia" w:ascii="宋体" w:hAnsi="宋体"/>
          <w:b/>
          <w:bCs/>
          <w:sz w:val="24"/>
          <w:highlight w:val="none"/>
          <w:lang w:val="zh-CN"/>
        </w:rPr>
        <w:t>安全系统设计</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安全系统依托于陕西省环境信息中心现有安全系统。严格执行信息安全等级保护和涉密信息系统分级保护制度，构建健全高效的生态环境视频遥感信息安全体系，提升视频图像信息安全防护能力，保障终端设备、网络传输、数据和信息系统安全。</w:t>
      </w:r>
    </w:p>
    <w:p>
      <w:pPr>
        <w:spacing w:line="360" w:lineRule="auto"/>
        <w:ind w:firstLine="480" w:firstLineChars="200"/>
        <w:jc w:val="center"/>
        <w:rPr>
          <w:rFonts w:ascii="宋体" w:hAnsi="宋体"/>
          <w:sz w:val="24"/>
          <w:highlight w:val="none"/>
          <w:lang w:val="zh-CN"/>
        </w:rPr>
      </w:pPr>
    </w:p>
    <w:p>
      <w:pPr>
        <w:spacing w:line="360" w:lineRule="auto"/>
        <w:ind w:firstLine="482" w:firstLineChars="200"/>
        <w:rPr>
          <w:rFonts w:ascii="黑体" w:hAnsi="仿宋" w:eastAsia="黑体" w:cs="黑体"/>
          <w:b/>
          <w:bCs/>
          <w:sz w:val="24"/>
          <w:highlight w:val="none"/>
        </w:rPr>
      </w:pPr>
      <w:r>
        <w:rPr>
          <w:rFonts w:hint="eastAsia" w:ascii="黑体" w:hAnsi="仿宋" w:eastAsia="黑体" w:cs="黑体"/>
          <w:b/>
          <w:bCs/>
          <w:sz w:val="24"/>
          <w:highlight w:val="none"/>
        </w:rPr>
        <w:t>四、建设内容</w:t>
      </w:r>
    </w:p>
    <w:p>
      <w:pPr>
        <w:spacing w:line="360" w:lineRule="auto"/>
        <w:ind w:firstLine="482" w:firstLineChars="200"/>
        <w:rPr>
          <w:rFonts w:ascii="宋体" w:hAnsi="宋体"/>
          <w:b/>
          <w:bCs/>
          <w:sz w:val="24"/>
          <w:highlight w:val="none"/>
          <w:lang w:val="zh-CN"/>
        </w:rPr>
      </w:pPr>
      <w:r>
        <w:rPr>
          <w:rFonts w:ascii="宋体" w:hAnsi="宋体"/>
          <w:b/>
          <w:bCs/>
          <w:sz w:val="24"/>
          <w:highlight w:val="none"/>
          <w:lang w:val="zh-CN"/>
        </w:rPr>
        <w:t>1.</w:t>
      </w:r>
      <w:r>
        <w:rPr>
          <w:rFonts w:hint="eastAsia" w:ascii="宋体" w:hAnsi="宋体"/>
          <w:b/>
          <w:bCs/>
          <w:sz w:val="24"/>
          <w:highlight w:val="none"/>
          <w:lang w:val="zh-CN"/>
        </w:rPr>
        <w:t>软件开发</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1.1共享交换名录管理</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根据《陕西省公共安全视频监控建设联网应用工作任务分工》附件要求，陕西省生态环境厅需接入的社会面资源整合分类，对各类社会面资源进行统一管理。</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1.2共享交换服务</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视频联网平台与上级视频联网平台通过网络传输，采用GB/T 28181-2016国标协议对接。上级视频联网平台可以调取下级视频联网平台上授权视频资源，包括实时视频与历史视频。</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1.3平台信息管理</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平台信息管理模块对多级视频图像共享交换平台之间、本级视频图像共享交换平台与部门行业视频监控平台之间的拓扑关系数据进行采集，并为视频监控平台模块提供拓扑展示服务。</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1.4视频调阅系统</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视频监控平台模块为公共安全视频图像共享交换平台用户提供视频监控资源的汇聚、调取、控制、查看等服务。</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1.5后台管理系统</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后台管理系统主要面向视频图像共享交换平台的建设管理部门使用，负责对本级视频图像共享交换平台的运行和安全情况进行监测，包括平台运行管理和平台安全管理两个功能模块。</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1.6视频转换系统MP4</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平台视频转换系统模块，实现将下级各监控资源视频流通过服务进行MP4格式转换，同时支持长视频分段下载、视频压缩等功能，方便不同用户对历史监控画面的应用需求。</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1.7通用支撑服务</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支持设定校时时钟源，可设置为中心、外部时钟源；支持服务器自动校时；支持服务器手动校时，可全部立即校时，或指定服务器校时。</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1.8地理信息服务</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支持与GIS系统的交互，支持平台各部分功能模块基于地图的可视化展示，支持摄像头的分布、标绘、空间定位、查询及统计分析等功能。</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1.9统计展示共享</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图像展示、推送监控、统计分析等功能。</w:t>
      </w:r>
    </w:p>
    <w:p>
      <w:pPr>
        <w:spacing w:line="360" w:lineRule="auto"/>
        <w:ind w:firstLine="482" w:firstLineChars="200"/>
        <w:rPr>
          <w:rFonts w:ascii="宋体" w:hAnsi="宋体"/>
          <w:b/>
          <w:bCs/>
          <w:sz w:val="24"/>
          <w:highlight w:val="none"/>
          <w:lang w:val="zh-CN"/>
        </w:rPr>
      </w:pPr>
      <w:r>
        <w:rPr>
          <w:rFonts w:ascii="宋体" w:hAnsi="宋体"/>
          <w:b/>
          <w:bCs/>
          <w:sz w:val="24"/>
          <w:highlight w:val="none"/>
          <w:lang w:val="zh-CN"/>
        </w:rPr>
        <w:t>2.</w:t>
      </w:r>
      <w:r>
        <w:rPr>
          <w:rFonts w:hint="eastAsia" w:ascii="宋体" w:hAnsi="宋体"/>
          <w:b/>
          <w:bCs/>
          <w:sz w:val="24"/>
          <w:highlight w:val="none"/>
          <w:lang w:val="zh-CN"/>
        </w:rPr>
        <w:t>硬件及成品软件采购部分（</w:t>
      </w:r>
      <w:r>
        <w:rPr>
          <w:rFonts w:hint="eastAsia" w:ascii="宋体" w:hAnsi="宋体"/>
          <w:b/>
          <w:bCs/>
          <w:sz w:val="24"/>
          <w:highlight w:val="none"/>
          <w:lang w:val="en-US" w:eastAsia="zh-CN"/>
        </w:rPr>
        <w:t>此要求为最低参数要求</w:t>
      </w:r>
      <w:r>
        <w:rPr>
          <w:rFonts w:hint="eastAsia" w:ascii="宋体" w:hAnsi="宋体"/>
          <w:b/>
          <w:bCs/>
          <w:sz w:val="24"/>
          <w:highlight w:val="none"/>
          <w:lang w:val="zh-CN"/>
        </w:rPr>
        <w:t>）</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2.1视频设备</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2.1.1网络视频存储设备</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网络视频存储设备一套，支持8U 72盘位/1536Mbps接入带宽/72块8T企业级。</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2.1.2视频存储硬盘</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视频存储硬盘140片，8TB,7200RPM,S 8T,7200RPM,3.5寸，SATA。</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2.2视频监控联网</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前端监控设备对接，根据所需联网共享的摄像头路数为准，目前仅以1000路计算。</w:t>
      </w:r>
    </w:p>
    <w:p>
      <w:pPr>
        <w:spacing w:line="360" w:lineRule="auto"/>
        <w:ind w:firstLine="482" w:firstLineChars="200"/>
        <w:rPr>
          <w:rFonts w:ascii="黑体" w:hAnsi="仿宋" w:eastAsia="黑体" w:cs="黑体"/>
          <w:b/>
          <w:bCs/>
          <w:color w:val="auto"/>
          <w:sz w:val="24"/>
          <w:highlight w:val="none"/>
        </w:rPr>
      </w:pPr>
      <w:r>
        <w:rPr>
          <w:rFonts w:hint="eastAsia" w:ascii="黑体" w:hAnsi="仿宋" w:eastAsia="黑体" w:cs="黑体"/>
          <w:b/>
          <w:bCs/>
          <w:color w:val="auto"/>
          <w:sz w:val="24"/>
          <w:highlight w:val="none"/>
          <w:lang w:val="en-US" w:eastAsia="zh-CN"/>
        </w:rPr>
        <w:t>五</w:t>
      </w:r>
      <w:r>
        <w:rPr>
          <w:rFonts w:hint="eastAsia" w:ascii="黑体" w:hAnsi="仿宋" w:eastAsia="黑体" w:cs="黑体"/>
          <w:b/>
          <w:bCs/>
          <w:color w:val="auto"/>
          <w:sz w:val="24"/>
          <w:highlight w:val="none"/>
        </w:rPr>
        <w:t>、项目实施、培训及服务要求</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1.项目期限要求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项目工期：合同签订后2个月内；免费运维时间：项目验收合格后5年。</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 xml:space="preserve">2.测试及验收要求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成交供应商须在软件系统开发完成后进行深入的单元测试、集成测试和系统测试，确保开发的应用软件符合预定要求，系统运行正常，不再发现新的错误后，提出验收申请。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成交供应商、采购人共同实施测试与验收工作，结果和验收报告经确认后生效。</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3.等级保护要求</w:t>
      </w:r>
    </w:p>
    <w:p>
      <w:pPr>
        <w:spacing w:line="360" w:lineRule="auto"/>
        <w:ind w:firstLine="480" w:firstLineChars="200"/>
        <w:rPr>
          <w:rFonts w:ascii="宋体" w:hAnsi="宋体" w:eastAsia="宋体" w:cs="宋体"/>
          <w:color w:val="auto"/>
          <w:sz w:val="24"/>
          <w:highlight w:val="none"/>
        </w:rPr>
      </w:pPr>
      <w:r>
        <w:rPr>
          <w:rFonts w:ascii="宋体" w:hAnsi="宋体"/>
          <w:color w:val="auto"/>
          <w:sz w:val="24"/>
          <w:highlight w:val="none"/>
        </w:rPr>
        <w:t>进行网络安全</w:t>
      </w:r>
      <w:r>
        <w:rPr>
          <w:rFonts w:ascii="宋体" w:hAnsi="宋体" w:eastAsia="宋体" w:cs="宋体"/>
          <w:color w:val="auto"/>
          <w:sz w:val="24"/>
          <w:highlight w:val="none"/>
        </w:rPr>
        <w:t>等级保护定级</w:t>
      </w:r>
      <w:r>
        <w:rPr>
          <w:rFonts w:hint="eastAsia" w:ascii="宋体" w:hAnsi="宋体" w:eastAsia="宋体" w:cs="宋体"/>
          <w:color w:val="auto"/>
          <w:sz w:val="24"/>
          <w:highlight w:val="none"/>
        </w:rPr>
        <w:t>，验收时出具第三方</w:t>
      </w:r>
      <w:r>
        <w:rPr>
          <w:rFonts w:ascii="宋体" w:hAnsi="宋体" w:eastAsia="宋体" w:cs="宋体"/>
          <w:color w:val="auto"/>
          <w:sz w:val="24"/>
          <w:highlight w:val="none"/>
        </w:rPr>
        <w:t>安全测评报告</w:t>
      </w:r>
      <w:r>
        <w:rPr>
          <w:rFonts w:hint="eastAsia" w:ascii="宋体" w:hAnsi="宋体" w:eastAsia="宋体" w:cs="宋体"/>
          <w:color w:val="auto"/>
          <w:sz w:val="24"/>
          <w:highlight w:val="none"/>
        </w:rPr>
        <w:t>。</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4.技术培训要求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供应商必须提供满足</w:t>
      </w:r>
      <w:r>
        <w:rPr>
          <w:rFonts w:hint="eastAsia" w:ascii="宋体" w:hAnsi="宋体"/>
          <w:color w:val="auto"/>
          <w:sz w:val="24"/>
          <w:highlight w:val="none"/>
          <w:lang w:val="en-US" w:eastAsia="zh-CN"/>
        </w:rPr>
        <w:t>项目</w:t>
      </w:r>
      <w:r>
        <w:rPr>
          <w:rFonts w:hint="eastAsia" w:ascii="宋体" w:hAnsi="宋体"/>
          <w:color w:val="auto"/>
          <w:sz w:val="24"/>
          <w:highlight w:val="none"/>
        </w:rPr>
        <w:t>建设、管理、维护等要求的技术培训服务，并达到预定的培训目标。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培训地点由业主单位指定地点，培训时间不少于2个工作日，每次培训组织人员不少于2人。</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5.技术支持与售后服务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成交供应商应提供经用户认可的需求规格说明书、概要设计、详细设计等应用软件相关文档。后期维护中，成交供应商对文档的修改也应有相应的文件提交。项目竣工验收后，需提供5年的免费维护和升级服务，维护时间从终验时间起算。</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在响应文件中必须明确承诺达到用户的服务响应要求：7×24小时400电话或电子邮件服务，l小时内做出明确响应和安排。非灾难性问题在3小时内解决并做出故障诊断报告。如需现场服务的，具有解决故障能力的工程师应在1小时内到达现场。</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供应商向采购人说明并承诺维护期满后，有义务继续进行平台功能扩充和维护升级，收费维护内容及服务方式、范围按类似产品、技术、模块在国内服务的相关收费标准实行优惠并再行磋商确定，费用不计入本次采购总价。</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6.知识产权</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采购人和成交供应商共同拥有本项目所开发软件的知识产权（使用权与所有权）。非经对方同意，另一方不得以任何方式向第三方披露、转让或许可有关的技术成果、秘密信息、技术资料、标准和规范文件。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黑体" w:hAnsi="仿宋" w:eastAsia="黑体" w:cs="黑体"/>
          <w:b/>
          <w:bCs/>
          <w:color w:val="auto"/>
          <w:sz w:val="24"/>
          <w:highlight w:val="none"/>
        </w:rPr>
      </w:pPr>
      <w:r>
        <w:rPr>
          <w:rFonts w:hint="eastAsia" w:ascii="黑体" w:hAnsi="仿宋" w:eastAsia="黑体" w:cs="黑体"/>
          <w:b/>
          <w:bCs/>
          <w:color w:val="auto"/>
          <w:sz w:val="24"/>
          <w:highlight w:val="none"/>
        </w:rPr>
        <w:t>五、付款方式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highlight w:val="none"/>
          <w:lang w:val="hr-HR" w:eastAsia="zh-CN"/>
        </w:rPr>
      </w:pPr>
      <w:r>
        <w:rPr>
          <w:rFonts w:hint="eastAsia" w:ascii="宋体" w:hAnsi="宋体" w:cs="宋体"/>
          <w:sz w:val="24"/>
          <w:highlight w:val="none"/>
          <w:lang w:val="en-US" w:eastAsia="zh-CN"/>
        </w:rPr>
        <w:t>1.</w:t>
      </w:r>
      <w:r>
        <w:rPr>
          <w:rFonts w:hint="eastAsia" w:ascii="宋体" w:hAnsi="宋体" w:cs="宋体"/>
          <w:sz w:val="24"/>
          <w:highlight w:val="none"/>
          <w:lang w:val="hr-HR" w:eastAsia="zh-CN"/>
        </w:rPr>
        <w:t>合同签订后</w:t>
      </w:r>
      <w:r>
        <w:rPr>
          <w:rFonts w:hint="eastAsia" w:ascii="宋体" w:hAnsi="宋体" w:cs="宋体"/>
          <w:sz w:val="24"/>
          <w:highlight w:val="none"/>
          <w:lang w:val="en-US" w:eastAsia="zh-CN"/>
        </w:rPr>
        <w:t>向成交供应商</w:t>
      </w:r>
      <w:r>
        <w:rPr>
          <w:rFonts w:hint="eastAsia" w:ascii="宋体" w:hAnsi="宋体" w:cs="宋体"/>
          <w:sz w:val="24"/>
          <w:highlight w:val="none"/>
          <w:lang w:val="hr-HR" w:eastAsia="zh-CN"/>
        </w:rPr>
        <w:t>支付合同总价款的</w:t>
      </w:r>
      <w:r>
        <w:rPr>
          <w:rFonts w:hint="eastAsia" w:ascii="宋体" w:hAnsi="宋体" w:cs="宋体"/>
          <w:sz w:val="24"/>
          <w:highlight w:val="none"/>
          <w:lang w:val="en-US" w:eastAsia="zh-CN"/>
        </w:rPr>
        <w:t>7</w:t>
      </w:r>
      <w:r>
        <w:rPr>
          <w:rFonts w:hint="eastAsia" w:ascii="宋体" w:hAnsi="宋体" w:cs="宋体"/>
          <w:sz w:val="24"/>
          <w:highlight w:val="none"/>
          <w:lang w:val="hr-HR" w:eastAsia="zh-CN"/>
        </w:rPr>
        <w:t>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highlight w:val="none"/>
          <w:lang w:val="hr-HR" w:eastAsia="zh-CN"/>
        </w:rPr>
      </w:pPr>
      <w:r>
        <w:rPr>
          <w:rFonts w:hint="eastAsia" w:ascii="宋体" w:hAnsi="宋体" w:cs="宋体"/>
          <w:sz w:val="24"/>
          <w:highlight w:val="none"/>
          <w:lang w:val="en-US" w:eastAsia="zh-CN"/>
        </w:rPr>
        <w:t>2.成交供应商完成合同约定的所有服务且履约验收合格后，采购人向成交供应商支付合同款总额的30%</w:t>
      </w:r>
      <w:r>
        <w:rPr>
          <w:rFonts w:hint="eastAsia" w:ascii="宋体" w:hAnsi="宋体" w:cs="宋体"/>
          <w:sz w:val="24"/>
          <w:highlight w:val="none"/>
          <w:lang w:val="hr-HR"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3.成交供应商承诺在采购人办理以上各期付款的支付手续前，为采购人出具等额的符合国家规定的发票；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4.上述时间不包括采购人正常办理支付报批手续的时间。</w:t>
      </w:r>
    </w:p>
    <w:p>
      <w:pPr>
        <w:spacing w:line="360" w:lineRule="auto"/>
        <w:ind w:firstLine="480" w:firstLineChars="200"/>
        <w:rPr>
          <w:rFonts w:ascii="宋体" w:hAnsi="宋体"/>
          <w:sz w:val="24"/>
          <w:highlight w:val="none"/>
          <w:lang w:val="zh-CN"/>
        </w:rPr>
      </w:pPr>
    </w:p>
    <w:p>
      <w:pPr>
        <w:spacing w:line="360" w:lineRule="auto"/>
        <w:ind w:firstLine="480" w:firstLineChars="200"/>
        <w:outlineLvl w:val="1"/>
        <w:rPr>
          <w:rFonts w:asciiTheme="minorEastAsia" w:hAnsiTheme="minorEastAsia" w:cstheme="minorEastAsia"/>
          <w:sz w:val="24"/>
          <w:highlight w:val="none"/>
        </w:rPr>
      </w:pPr>
      <w:r>
        <w:rPr>
          <w:rFonts w:hint="eastAsia" w:asciiTheme="minorEastAsia" w:hAnsiTheme="minorEastAsia" w:cstheme="minorEastAsia"/>
          <w:sz w:val="24"/>
          <w:highlight w:val="none"/>
        </w:rPr>
        <w:br w:type="page"/>
      </w:r>
    </w:p>
    <w:p>
      <w:pPr>
        <w:spacing w:line="360" w:lineRule="auto"/>
        <w:jc w:val="center"/>
        <w:outlineLvl w:val="0"/>
        <w:rPr>
          <w:rFonts w:ascii="黑体" w:hAnsi="黑体" w:eastAsia="黑体" w:cs="黑体"/>
          <w:b/>
          <w:bCs/>
          <w:szCs w:val="32"/>
          <w:highlight w:val="none"/>
        </w:rPr>
      </w:pPr>
      <w:bookmarkStart w:id="26" w:name="_Toc25235"/>
      <w:r>
        <w:rPr>
          <w:rFonts w:hint="eastAsia" w:ascii="黑体" w:hAnsi="黑体" w:eastAsia="黑体" w:cs="黑体"/>
          <w:b/>
          <w:bCs/>
          <w:sz w:val="32"/>
          <w:szCs w:val="32"/>
          <w:highlight w:val="none"/>
        </w:rPr>
        <w:t>第三部分 供应商须知</w:t>
      </w:r>
      <w:bookmarkEnd w:id="26"/>
    </w:p>
    <w:p>
      <w:pPr>
        <w:spacing w:line="360" w:lineRule="auto"/>
        <w:jc w:val="center"/>
        <w:rPr>
          <w:b/>
          <w:sz w:val="32"/>
          <w:szCs w:val="32"/>
          <w:highlight w:val="none"/>
        </w:rPr>
      </w:pPr>
      <w:bookmarkStart w:id="27" w:name="_Toc32436"/>
      <w:bookmarkStart w:id="28" w:name="_Toc22306"/>
      <w:bookmarkStart w:id="29" w:name="_Toc31084"/>
      <w:r>
        <w:rPr>
          <w:rFonts w:hint="eastAsia"/>
          <w:b/>
          <w:sz w:val="32"/>
          <w:szCs w:val="32"/>
          <w:highlight w:val="none"/>
        </w:rPr>
        <w:t>响应须知前附表</w:t>
      </w:r>
      <w:r>
        <w:rPr>
          <w:rFonts w:hint="eastAsia"/>
          <w:b/>
          <w:highlight w:val="none"/>
        </w:rPr>
        <w:t>（如有不一致，以本表为准）</w:t>
      </w:r>
    </w:p>
    <w:tbl>
      <w:tblPr>
        <w:tblStyle w:val="23"/>
        <w:tblW w:w="10022"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9"/>
        <w:gridCol w:w="829"/>
        <w:gridCol w:w="836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29" w:type="dxa"/>
            <w:vAlign w:val="center"/>
          </w:tcPr>
          <w:p>
            <w:pPr>
              <w:jc w:val="center"/>
              <w:rPr>
                <w:rFonts w:ascii="黑体" w:hAnsi="黑体" w:eastAsia="黑体" w:cs="黑体"/>
                <w:b/>
                <w:sz w:val="24"/>
                <w:highlight w:val="none"/>
              </w:rPr>
            </w:pPr>
            <w:r>
              <w:rPr>
                <w:rFonts w:hint="eastAsia" w:ascii="黑体" w:hAnsi="黑体" w:eastAsia="黑体" w:cs="黑体"/>
                <w:b/>
                <w:sz w:val="24"/>
                <w:highlight w:val="none"/>
              </w:rPr>
              <w:t>序号</w:t>
            </w:r>
          </w:p>
        </w:tc>
        <w:tc>
          <w:tcPr>
            <w:tcW w:w="829" w:type="dxa"/>
            <w:vAlign w:val="center"/>
          </w:tcPr>
          <w:p>
            <w:pPr>
              <w:jc w:val="center"/>
              <w:rPr>
                <w:rFonts w:ascii="黑体" w:hAnsi="黑体" w:eastAsia="黑体" w:cs="黑体"/>
                <w:b/>
                <w:sz w:val="24"/>
                <w:highlight w:val="none"/>
              </w:rPr>
            </w:pPr>
            <w:r>
              <w:rPr>
                <w:rFonts w:hint="eastAsia" w:ascii="黑体" w:hAnsi="黑体" w:eastAsia="黑体" w:cs="黑体"/>
                <w:b/>
                <w:sz w:val="24"/>
                <w:highlight w:val="none"/>
              </w:rPr>
              <w:t>条款</w:t>
            </w:r>
          </w:p>
          <w:p>
            <w:pPr>
              <w:jc w:val="center"/>
              <w:rPr>
                <w:rFonts w:ascii="黑体" w:hAnsi="黑体" w:eastAsia="黑体" w:cs="黑体"/>
                <w:b/>
                <w:sz w:val="24"/>
                <w:highlight w:val="none"/>
              </w:rPr>
            </w:pPr>
            <w:r>
              <w:rPr>
                <w:rFonts w:hint="eastAsia" w:ascii="黑体" w:hAnsi="黑体" w:eastAsia="黑体" w:cs="黑体"/>
                <w:b/>
                <w:sz w:val="24"/>
                <w:highlight w:val="none"/>
              </w:rPr>
              <w:t>序号</w:t>
            </w:r>
          </w:p>
        </w:tc>
        <w:tc>
          <w:tcPr>
            <w:tcW w:w="8364" w:type="dxa"/>
            <w:vAlign w:val="center"/>
          </w:tcPr>
          <w:p>
            <w:pPr>
              <w:jc w:val="center"/>
              <w:rPr>
                <w:rFonts w:ascii="黑体" w:hAnsi="黑体" w:eastAsia="黑体" w:cs="黑体"/>
                <w:b/>
                <w:sz w:val="24"/>
                <w:highlight w:val="none"/>
              </w:rPr>
            </w:pPr>
            <w:r>
              <w:rPr>
                <w:rFonts w:hint="eastAsia" w:ascii="黑体" w:hAnsi="黑体" w:eastAsia="黑体" w:cs="黑体"/>
                <w:b/>
                <w:sz w:val="24"/>
                <w:highlight w:val="none"/>
              </w:rPr>
              <w:t>内  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jc w:val="center"/>
              <w:rPr>
                <w:b/>
                <w:highlight w:val="none"/>
              </w:rPr>
            </w:pPr>
          </w:p>
        </w:tc>
        <w:tc>
          <w:tcPr>
            <w:tcW w:w="829" w:type="dxa"/>
            <w:vAlign w:val="center"/>
          </w:tcPr>
          <w:p>
            <w:pPr>
              <w:jc w:val="center"/>
              <w:rPr>
                <w:b/>
                <w:highlight w:val="none"/>
              </w:rPr>
            </w:pPr>
          </w:p>
        </w:tc>
        <w:tc>
          <w:tcPr>
            <w:tcW w:w="8364" w:type="dxa"/>
            <w:vAlign w:val="center"/>
          </w:tcPr>
          <w:p>
            <w:pPr>
              <w:jc w:val="center"/>
              <w:rPr>
                <w:b/>
                <w:highlight w:val="none"/>
              </w:rPr>
            </w:pPr>
            <w:r>
              <w:rPr>
                <w:rFonts w:hint="eastAsia"/>
                <w:b/>
                <w:highlight w:val="none"/>
              </w:rPr>
              <w:t>一、 总则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1</w:t>
            </w:r>
          </w:p>
        </w:tc>
        <w:tc>
          <w:tcPr>
            <w:tcW w:w="829" w:type="dxa"/>
            <w:vAlign w:val="center"/>
          </w:tcPr>
          <w:p>
            <w:pPr>
              <w:spacing w:line="360" w:lineRule="auto"/>
              <w:jc w:val="center"/>
              <w:rPr>
                <w:b/>
                <w:highlight w:val="none"/>
              </w:rPr>
            </w:pPr>
            <w:r>
              <w:rPr>
                <w:rFonts w:hint="eastAsia"/>
                <w:b/>
                <w:highlight w:val="none"/>
              </w:rPr>
              <w:t>1</w:t>
            </w:r>
            <w:r>
              <w:rPr>
                <w:b/>
                <w:highlight w:val="none"/>
              </w:rPr>
              <w:t>.</w:t>
            </w:r>
            <w:r>
              <w:rPr>
                <w:rFonts w:hint="eastAsia"/>
                <w:b/>
                <w:highlight w:val="none"/>
              </w:rPr>
              <w:t>1</w:t>
            </w:r>
          </w:p>
        </w:tc>
        <w:tc>
          <w:tcPr>
            <w:tcW w:w="8364" w:type="dxa"/>
            <w:vAlign w:val="center"/>
          </w:tcPr>
          <w:p>
            <w:pPr>
              <w:spacing w:line="360" w:lineRule="auto"/>
              <w:rPr>
                <w:rFonts w:hAnsi="宋体"/>
                <w:highlight w:val="none"/>
              </w:rPr>
            </w:pPr>
            <w:r>
              <w:rPr>
                <w:rFonts w:hAnsi="宋体"/>
                <w:highlight w:val="none"/>
                <w:u w:val="single"/>
              </w:rPr>
              <w:t>项目</w:t>
            </w:r>
            <w:r>
              <w:rPr>
                <w:rFonts w:hint="eastAsia" w:hAnsi="宋体"/>
                <w:highlight w:val="none"/>
                <w:u w:val="single"/>
              </w:rPr>
              <w:t>名称</w:t>
            </w:r>
            <w:r>
              <w:rPr>
                <w:rFonts w:hint="eastAsia"/>
                <w:highlight w:val="none"/>
              </w:rPr>
              <w:t>：</w:t>
            </w:r>
            <w:r>
              <w:rPr>
                <w:rFonts w:hint="eastAsia" w:hAnsi="宋体"/>
                <w:highlight w:val="none"/>
              </w:rPr>
              <w:t>陕西省生态环境视频遥感信息能力建设项目</w:t>
            </w:r>
          </w:p>
          <w:p>
            <w:pPr>
              <w:spacing w:line="360" w:lineRule="auto"/>
              <w:rPr>
                <w:rFonts w:ascii="宋体" w:hAnsi="宋体"/>
                <w:highlight w:val="none"/>
              </w:rPr>
            </w:pPr>
            <w:r>
              <w:rPr>
                <w:rFonts w:hint="eastAsia"/>
                <w:kern w:val="28"/>
                <w:highlight w:val="none"/>
                <w:u w:val="single"/>
              </w:rPr>
              <w:t>采购</w:t>
            </w:r>
            <w:r>
              <w:rPr>
                <w:rFonts w:hint="eastAsia" w:hAnsi="宋体"/>
                <w:kern w:val="28"/>
                <w:highlight w:val="none"/>
                <w:u w:val="single"/>
              </w:rPr>
              <w:t>预算</w:t>
            </w:r>
            <w:r>
              <w:rPr>
                <w:rFonts w:hint="eastAsia" w:hAnsi="宋体"/>
                <w:kern w:val="28"/>
                <w:highlight w:val="none"/>
              </w:rPr>
              <w:t>：</w:t>
            </w:r>
            <w:r>
              <w:rPr>
                <w:rFonts w:hint="eastAsia" w:ascii="宋体" w:hAnsi="宋体"/>
                <w:highlight w:val="none"/>
              </w:rPr>
              <w:t>972,000.00元</w:t>
            </w:r>
          </w:p>
          <w:p>
            <w:pPr>
              <w:spacing w:line="360" w:lineRule="auto"/>
              <w:rPr>
                <w:highlight w:val="none"/>
              </w:rPr>
            </w:pPr>
            <w:r>
              <w:rPr>
                <w:rFonts w:hint="eastAsia" w:hAnsi="宋体"/>
                <w:kern w:val="28"/>
                <w:highlight w:val="none"/>
                <w:u w:val="single"/>
              </w:rPr>
              <w:t>资金来源</w:t>
            </w:r>
            <w:r>
              <w:rPr>
                <w:rFonts w:hint="eastAsia" w:hAnsi="宋体"/>
                <w:kern w:val="28"/>
                <w:highlight w:val="none"/>
              </w:rPr>
              <w:t>：财政拨款</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2</w:t>
            </w:r>
          </w:p>
        </w:tc>
        <w:tc>
          <w:tcPr>
            <w:tcW w:w="829" w:type="dxa"/>
            <w:vAlign w:val="center"/>
          </w:tcPr>
          <w:p>
            <w:pPr>
              <w:spacing w:line="360" w:lineRule="auto"/>
              <w:jc w:val="center"/>
              <w:rPr>
                <w:b/>
                <w:highlight w:val="none"/>
              </w:rPr>
            </w:pPr>
            <w:r>
              <w:rPr>
                <w:rFonts w:hint="eastAsia"/>
                <w:b/>
                <w:highlight w:val="none"/>
              </w:rPr>
              <w:t>1.2</w:t>
            </w:r>
          </w:p>
        </w:tc>
        <w:tc>
          <w:tcPr>
            <w:tcW w:w="8364" w:type="dxa"/>
            <w:vAlign w:val="center"/>
          </w:tcPr>
          <w:p>
            <w:pPr>
              <w:spacing w:line="360" w:lineRule="auto"/>
              <w:rPr>
                <w:highlight w:val="none"/>
                <w:u w:val="single"/>
              </w:rPr>
            </w:pPr>
            <w:r>
              <w:rPr>
                <w:rFonts w:hint="eastAsia"/>
                <w:highlight w:val="none"/>
                <w:u w:val="single"/>
              </w:rPr>
              <w:t>采购人名称</w:t>
            </w:r>
            <w:r>
              <w:rPr>
                <w:rFonts w:hint="eastAsia"/>
                <w:highlight w:val="none"/>
              </w:rPr>
              <w:t>：陕西省环境信息中心</w:t>
            </w:r>
          </w:p>
          <w:p>
            <w:pPr>
              <w:spacing w:line="360" w:lineRule="auto"/>
              <w:rPr>
                <w:highlight w:val="none"/>
                <w:u w:val="single"/>
              </w:rPr>
            </w:pPr>
            <w:r>
              <w:rPr>
                <w:rFonts w:hint="eastAsia"/>
                <w:highlight w:val="none"/>
                <w:u w:val="single"/>
              </w:rPr>
              <w:t>地址</w:t>
            </w:r>
            <w:r>
              <w:rPr>
                <w:rFonts w:hint="eastAsia"/>
                <w:highlight w:val="none"/>
              </w:rPr>
              <w:t>：西影路112号</w:t>
            </w:r>
          </w:p>
          <w:p>
            <w:pPr>
              <w:spacing w:line="360" w:lineRule="auto"/>
              <w:rPr>
                <w:highlight w:val="none"/>
              </w:rPr>
            </w:pPr>
            <w:r>
              <w:rPr>
                <w:rFonts w:hint="eastAsia"/>
                <w:highlight w:val="none"/>
                <w:u w:val="single"/>
              </w:rPr>
              <w:t>联系人</w:t>
            </w:r>
            <w:r>
              <w:rPr>
                <w:rFonts w:hint="eastAsia"/>
                <w:highlight w:val="none"/>
              </w:rPr>
              <w:t>：陕西省环境信息中心经办</w:t>
            </w:r>
          </w:p>
          <w:p>
            <w:pPr>
              <w:spacing w:line="360" w:lineRule="auto"/>
              <w:rPr>
                <w:rFonts w:hAnsi="宋体"/>
                <w:highlight w:val="none"/>
              </w:rPr>
            </w:pPr>
            <w:r>
              <w:rPr>
                <w:rFonts w:hint="eastAsia"/>
                <w:highlight w:val="none"/>
                <w:u w:val="single"/>
              </w:rPr>
              <w:t>联系方式</w:t>
            </w:r>
            <w:r>
              <w:rPr>
                <w:rFonts w:hint="eastAsia"/>
                <w:highlight w:val="none"/>
              </w:rPr>
              <w:t>：029-85429312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3</w:t>
            </w:r>
          </w:p>
        </w:tc>
        <w:tc>
          <w:tcPr>
            <w:tcW w:w="829" w:type="dxa"/>
            <w:vAlign w:val="center"/>
          </w:tcPr>
          <w:p>
            <w:pPr>
              <w:spacing w:line="360" w:lineRule="auto"/>
              <w:jc w:val="center"/>
              <w:rPr>
                <w:b/>
                <w:highlight w:val="none"/>
              </w:rPr>
            </w:pPr>
            <w:r>
              <w:rPr>
                <w:rFonts w:hint="eastAsia"/>
                <w:b/>
                <w:highlight w:val="none"/>
              </w:rPr>
              <w:t>1.4</w:t>
            </w:r>
          </w:p>
        </w:tc>
        <w:tc>
          <w:tcPr>
            <w:tcW w:w="8364" w:type="dxa"/>
            <w:vAlign w:val="center"/>
          </w:tcPr>
          <w:p>
            <w:pPr>
              <w:spacing w:line="360" w:lineRule="auto"/>
              <w:rPr>
                <w:kern w:val="28"/>
                <w:highlight w:val="none"/>
              </w:rPr>
            </w:pPr>
            <w:r>
              <w:rPr>
                <w:rFonts w:hint="eastAsia"/>
                <w:kern w:val="28"/>
                <w:highlight w:val="none"/>
                <w:u w:val="single"/>
              </w:rPr>
              <w:t>采购代理机构名称</w:t>
            </w:r>
            <w:r>
              <w:rPr>
                <w:rFonts w:hint="eastAsia"/>
                <w:kern w:val="28"/>
                <w:highlight w:val="none"/>
              </w:rPr>
              <w:t>：陕西德勤招标有限公司</w:t>
            </w:r>
          </w:p>
          <w:p>
            <w:pPr>
              <w:spacing w:line="360" w:lineRule="auto"/>
              <w:rPr>
                <w:kern w:val="28"/>
                <w:highlight w:val="none"/>
                <w:u w:val="single"/>
              </w:rPr>
            </w:pPr>
            <w:r>
              <w:rPr>
                <w:rFonts w:hint="eastAsia"/>
                <w:kern w:val="28"/>
                <w:highlight w:val="none"/>
                <w:u w:val="single"/>
              </w:rPr>
              <w:t>地址</w:t>
            </w:r>
            <w:r>
              <w:rPr>
                <w:rFonts w:hint="eastAsia"/>
                <w:kern w:val="28"/>
                <w:highlight w:val="none"/>
              </w:rPr>
              <w:t>：西安市高新区丈八一路1号汇鑫中心D座2206室</w:t>
            </w:r>
          </w:p>
          <w:p>
            <w:pPr>
              <w:spacing w:line="360" w:lineRule="auto"/>
              <w:rPr>
                <w:kern w:val="28"/>
                <w:highlight w:val="none"/>
                <w:u w:val="single"/>
              </w:rPr>
            </w:pPr>
            <w:r>
              <w:rPr>
                <w:rFonts w:hint="eastAsia"/>
                <w:kern w:val="28"/>
                <w:highlight w:val="none"/>
                <w:u w:val="single"/>
              </w:rPr>
              <w:t>联系人</w:t>
            </w:r>
            <w:r>
              <w:rPr>
                <w:rFonts w:hint="eastAsia"/>
                <w:kern w:val="28"/>
                <w:highlight w:val="none"/>
              </w:rPr>
              <w:t>：李浩、贾旭鸣</w:t>
            </w:r>
          </w:p>
          <w:p>
            <w:pPr>
              <w:spacing w:line="360" w:lineRule="auto"/>
              <w:rPr>
                <w:kern w:val="28"/>
                <w:highlight w:val="none"/>
                <w:u w:val="single"/>
              </w:rPr>
            </w:pPr>
            <w:r>
              <w:rPr>
                <w:rFonts w:hint="eastAsia"/>
                <w:kern w:val="28"/>
                <w:highlight w:val="none"/>
                <w:u w:val="single"/>
              </w:rPr>
              <w:t>联系电话</w:t>
            </w:r>
            <w:r>
              <w:rPr>
                <w:rFonts w:hint="eastAsia"/>
                <w:kern w:val="28"/>
                <w:highlight w:val="none"/>
              </w:rPr>
              <w:t>：029-81106093</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4</w:t>
            </w:r>
          </w:p>
        </w:tc>
        <w:tc>
          <w:tcPr>
            <w:tcW w:w="829" w:type="dxa"/>
            <w:vAlign w:val="center"/>
          </w:tcPr>
          <w:p>
            <w:pPr>
              <w:spacing w:line="360" w:lineRule="auto"/>
              <w:jc w:val="center"/>
              <w:rPr>
                <w:b/>
                <w:highlight w:val="none"/>
              </w:rPr>
            </w:pPr>
            <w:r>
              <w:rPr>
                <w:rFonts w:hint="eastAsia"/>
                <w:b/>
                <w:highlight w:val="none"/>
              </w:rPr>
              <w:t>2.1</w:t>
            </w:r>
          </w:p>
        </w:tc>
        <w:tc>
          <w:tcPr>
            <w:tcW w:w="8364" w:type="dxa"/>
            <w:vAlign w:val="center"/>
          </w:tcPr>
          <w:p>
            <w:pPr>
              <w:spacing w:line="360" w:lineRule="auto"/>
              <w:rPr>
                <w:kern w:val="28"/>
                <w:highlight w:val="none"/>
              </w:rPr>
            </w:pPr>
            <w:r>
              <w:rPr>
                <w:rFonts w:hint="eastAsia"/>
                <w:kern w:val="28"/>
                <w:highlight w:val="none"/>
                <w:u w:val="single"/>
              </w:rPr>
              <w:t>本项目是否专门面向中小企业采购</w:t>
            </w:r>
            <w:r>
              <w:rPr>
                <w:rFonts w:hint="eastAsia"/>
                <w:kern w:val="28"/>
                <w:highlight w:val="none"/>
              </w:rPr>
              <w:t>：是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5</w:t>
            </w:r>
          </w:p>
        </w:tc>
        <w:tc>
          <w:tcPr>
            <w:tcW w:w="829" w:type="dxa"/>
            <w:vAlign w:val="center"/>
          </w:tcPr>
          <w:p>
            <w:pPr>
              <w:spacing w:line="360" w:lineRule="auto"/>
              <w:jc w:val="center"/>
              <w:rPr>
                <w:b/>
                <w:highlight w:val="none"/>
              </w:rPr>
            </w:pPr>
            <w:r>
              <w:rPr>
                <w:rFonts w:hint="eastAsia"/>
                <w:b/>
                <w:highlight w:val="none"/>
              </w:rPr>
              <w:t>2.1</w:t>
            </w:r>
          </w:p>
        </w:tc>
        <w:tc>
          <w:tcPr>
            <w:tcW w:w="8364" w:type="dxa"/>
            <w:vAlign w:val="center"/>
          </w:tcPr>
          <w:p>
            <w:pPr>
              <w:spacing w:line="360" w:lineRule="auto"/>
              <w:rPr>
                <w:kern w:val="28"/>
                <w:highlight w:val="none"/>
              </w:rPr>
            </w:pPr>
            <w:r>
              <w:rPr>
                <w:rFonts w:hint="eastAsia"/>
                <w:kern w:val="28"/>
                <w:highlight w:val="none"/>
                <w:u w:val="single"/>
              </w:rPr>
              <w:t>是否允许联合体响应</w:t>
            </w:r>
            <w:r>
              <w:rPr>
                <w:rFonts w:hint="eastAsia"/>
                <w:kern w:val="28"/>
                <w:highlight w:val="none"/>
              </w:rPr>
              <w:t>：否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6</w:t>
            </w:r>
          </w:p>
        </w:tc>
        <w:tc>
          <w:tcPr>
            <w:tcW w:w="829" w:type="dxa"/>
            <w:vAlign w:val="center"/>
          </w:tcPr>
          <w:p>
            <w:pPr>
              <w:spacing w:line="360" w:lineRule="auto"/>
              <w:jc w:val="center"/>
              <w:rPr>
                <w:b/>
                <w:highlight w:val="none"/>
              </w:rPr>
            </w:pPr>
            <w:r>
              <w:rPr>
                <w:rFonts w:hint="eastAsia"/>
                <w:b/>
                <w:highlight w:val="none"/>
              </w:rPr>
              <w:t>2</w:t>
            </w:r>
            <w:r>
              <w:rPr>
                <w:b/>
                <w:highlight w:val="none"/>
              </w:rPr>
              <w:t>.</w:t>
            </w:r>
            <w:r>
              <w:rPr>
                <w:rFonts w:hint="eastAsia"/>
                <w:b/>
                <w:highlight w:val="none"/>
              </w:rPr>
              <w:t>2</w:t>
            </w:r>
          </w:p>
        </w:tc>
        <w:tc>
          <w:tcPr>
            <w:tcW w:w="8364" w:type="dxa"/>
            <w:vAlign w:val="center"/>
          </w:tcPr>
          <w:p>
            <w:pPr>
              <w:spacing w:line="360" w:lineRule="auto"/>
              <w:rPr>
                <w:highlight w:val="none"/>
              </w:rPr>
            </w:pPr>
            <w:r>
              <w:rPr>
                <w:rFonts w:hint="eastAsia"/>
                <w:highlight w:val="none"/>
              </w:rPr>
              <w:t>2.2响应供应商应在响应文件中提交以下文件以证明其资格：</w:t>
            </w:r>
          </w:p>
          <w:p>
            <w:pPr>
              <w:spacing w:line="360" w:lineRule="auto"/>
              <w:rPr>
                <w:highlight w:val="none"/>
              </w:rPr>
            </w:pPr>
            <w:r>
              <w:rPr>
                <w:rFonts w:hint="eastAsia"/>
                <w:highlight w:val="none"/>
              </w:rPr>
              <w:t>2.2.1供应商资格声明（格式）；</w:t>
            </w:r>
          </w:p>
          <w:p>
            <w:pPr>
              <w:spacing w:line="360" w:lineRule="auto"/>
              <w:rPr>
                <w:highlight w:val="none"/>
              </w:rPr>
            </w:pPr>
            <w:r>
              <w:rPr>
                <w:rFonts w:hint="eastAsia"/>
                <w:highlight w:val="none"/>
              </w:rPr>
              <w:t>1）企业法人、其他组织营业执照副本或事业单位法人证书，自然人提供身份证明（复印件加盖响应供应商公章）；</w:t>
            </w:r>
          </w:p>
          <w:p>
            <w:pPr>
              <w:spacing w:line="360" w:lineRule="auto"/>
              <w:rPr>
                <w:highlight w:val="none"/>
              </w:rPr>
            </w:pPr>
            <w:r>
              <w:rPr>
                <w:rFonts w:hint="eastAsia"/>
                <w:highlight w:val="none"/>
              </w:rPr>
              <w:t>2）2021年度经审计的财务报告（成立时间至磋商会议日期不足一年的响应供应商可提供成立后任意时段的资产负债表）（复印件加盖响应供应商公章）；</w:t>
            </w:r>
          </w:p>
          <w:p>
            <w:pPr>
              <w:spacing w:line="360" w:lineRule="auto"/>
              <w:rPr>
                <w:highlight w:val="none"/>
              </w:rPr>
            </w:pPr>
            <w:r>
              <w:rPr>
                <w:rFonts w:hint="eastAsia"/>
                <w:highlight w:val="none"/>
              </w:rPr>
              <w:t>或在磋商会议日期前六个月内其基本存款账户开户银行出具的资信证明（原件）；</w:t>
            </w:r>
          </w:p>
          <w:p>
            <w:pPr>
              <w:spacing w:line="360" w:lineRule="auto"/>
              <w:rPr>
                <w:highlight w:val="none"/>
              </w:rPr>
            </w:pPr>
            <w:r>
              <w:rPr>
                <w:rFonts w:hint="eastAsia"/>
                <w:highlight w:val="none"/>
              </w:rPr>
              <w:t>或在磋商会议日期前六个月内信用担保机构出具的投标担保函（原件）；</w:t>
            </w:r>
          </w:p>
          <w:p>
            <w:pPr>
              <w:spacing w:line="360" w:lineRule="auto"/>
              <w:rPr>
                <w:highlight w:val="none"/>
              </w:rPr>
            </w:pPr>
            <w:r>
              <w:rPr>
                <w:rFonts w:hint="eastAsia"/>
                <w:highlight w:val="none"/>
              </w:rPr>
              <w:t>（以上三种形式的资料提供任何一种即可）</w:t>
            </w:r>
          </w:p>
          <w:p>
            <w:pPr>
              <w:spacing w:line="360" w:lineRule="auto"/>
              <w:rPr>
                <w:highlight w:val="none"/>
              </w:rPr>
            </w:pPr>
            <w:r>
              <w:rPr>
                <w:rFonts w:hint="eastAsia"/>
                <w:highlight w:val="none"/>
              </w:rPr>
              <w:t>3）磋商会议日期前十二个月任意一个月缴税凭据（复印件加盖响应供应商公章）（依法免税的响应供应商应提供相应文件证明）；</w:t>
            </w:r>
          </w:p>
          <w:p>
            <w:pPr>
              <w:spacing w:line="360" w:lineRule="auto"/>
              <w:rPr>
                <w:highlight w:val="none"/>
              </w:rPr>
            </w:pPr>
            <w:r>
              <w:rPr>
                <w:rFonts w:hint="eastAsia"/>
                <w:highlight w:val="none"/>
              </w:rPr>
              <w:t>4）磋商会议日期前十二个月任意一个月缴纳社会保险的凭据（专用收据或社会保险缴纳清单或其他证明材料）（复印件加盖响应供应商公章）（依法不需要缴纳社会保障资金的响应供应商应提供相应文件证明）；</w:t>
            </w:r>
          </w:p>
          <w:p>
            <w:pPr>
              <w:spacing w:line="360" w:lineRule="auto"/>
              <w:rPr>
                <w:highlight w:val="none"/>
                <w:lang w:val="en-GB"/>
              </w:rPr>
            </w:pPr>
            <w:r>
              <w:rPr>
                <w:rFonts w:hint="eastAsia"/>
                <w:highlight w:val="none"/>
                <w:lang w:val="en-GB"/>
              </w:rPr>
              <w:t>2.2.</w:t>
            </w:r>
            <w:r>
              <w:rPr>
                <w:rFonts w:hint="eastAsia"/>
                <w:highlight w:val="none"/>
              </w:rPr>
              <w:t>2</w:t>
            </w:r>
            <w:r>
              <w:rPr>
                <w:rFonts w:hint="eastAsia"/>
                <w:highlight w:val="none"/>
                <w:lang w:val="en-GB"/>
              </w:rPr>
              <w:t>保证金汇款声明函</w:t>
            </w:r>
            <w:r>
              <w:rPr>
                <w:rFonts w:hint="eastAsia"/>
                <w:highlight w:val="none"/>
              </w:rPr>
              <w:t>/保函</w:t>
            </w:r>
            <w:r>
              <w:rPr>
                <w:rFonts w:hint="eastAsia"/>
                <w:highlight w:val="none"/>
                <w:lang w:val="en-GB"/>
              </w:rPr>
              <w:t>（</w:t>
            </w:r>
            <w:r>
              <w:rPr>
                <w:rFonts w:hint="eastAsia"/>
                <w:highlight w:val="none"/>
              </w:rPr>
              <w:t>格式</w:t>
            </w:r>
            <w:r>
              <w:rPr>
                <w:rFonts w:hint="eastAsia"/>
                <w:highlight w:val="none"/>
                <w:lang w:val="en-GB"/>
              </w:rPr>
              <w:t>）（</w:t>
            </w:r>
            <w:r>
              <w:rPr>
                <w:rFonts w:hint="eastAsia"/>
                <w:highlight w:val="none"/>
              </w:rPr>
              <w:t>若提交保函，应于响应文件递交截止时间前将保函扫描件发送至采购代理机构指定邮箱</w:t>
            </w:r>
            <w:r>
              <w:rPr>
                <w:rFonts w:hint="eastAsia"/>
                <w:highlight w:val="none"/>
                <w:lang w:val="en-GB"/>
              </w:rPr>
              <w:t>）；</w:t>
            </w:r>
          </w:p>
          <w:p>
            <w:pPr>
              <w:spacing w:line="360" w:lineRule="auto"/>
              <w:rPr>
                <w:highlight w:val="none"/>
              </w:rPr>
            </w:pPr>
            <w:r>
              <w:rPr>
                <w:rFonts w:hint="eastAsia"/>
                <w:highlight w:val="none"/>
                <w:lang w:val="en-GB"/>
              </w:rPr>
              <w:t>2.2.</w:t>
            </w:r>
            <w:r>
              <w:rPr>
                <w:rFonts w:hint="eastAsia"/>
                <w:highlight w:val="none"/>
              </w:rPr>
              <w:t>3法定代表人授权书（法定代表人直接参加磋商会议须提交法定代表人证明书）（格式）；</w:t>
            </w:r>
          </w:p>
          <w:p>
            <w:pPr>
              <w:spacing w:line="360" w:lineRule="auto"/>
              <w:rPr>
                <w:highlight w:val="none"/>
              </w:rPr>
            </w:pPr>
            <w:r>
              <w:rPr>
                <w:rFonts w:hint="eastAsia"/>
                <w:highlight w:val="none"/>
              </w:rPr>
              <w:t>2.2.4</w:t>
            </w:r>
            <w:r>
              <w:rPr>
                <w:rFonts w:hint="eastAsia" w:ascii="宋体" w:hAnsi="宋体"/>
                <w:kern w:val="28"/>
                <w:highlight w:val="none"/>
              </w:rPr>
              <w:t>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7</w:t>
            </w:r>
          </w:p>
        </w:tc>
        <w:tc>
          <w:tcPr>
            <w:tcW w:w="829" w:type="dxa"/>
            <w:vAlign w:val="center"/>
          </w:tcPr>
          <w:p>
            <w:pPr>
              <w:spacing w:line="360" w:lineRule="auto"/>
              <w:jc w:val="center"/>
              <w:rPr>
                <w:b/>
                <w:highlight w:val="none"/>
              </w:rPr>
            </w:pPr>
            <w:r>
              <w:rPr>
                <w:rFonts w:hint="eastAsia"/>
                <w:b/>
                <w:highlight w:val="none"/>
              </w:rPr>
              <w:t>2.3</w:t>
            </w:r>
          </w:p>
        </w:tc>
        <w:tc>
          <w:tcPr>
            <w:tcW w:w="8364" w:type="dxa"/>
            <w:vAlign w:val="center"/>
          </w:tcPr>
          <w:p>
            <w:pPr>
              <w:spacing w:line="360" w:lineRule="auto"/>
              <w:rPr>
                <w:kern w:val="28"/>
                <w:highlight w:val="none"/>
                <w:u w:val="single"/>
              </w:rPr>
            </w:pPr>
            <w:r>
              <w:rPr>
                <w:rFonts w:hint="eastAsia"/>
                <w:kern w:val="28"/>
                <w:highlight w:val="none"/>
                <w:u w:val="single"/>
              </w:rPr>
              <w:t>2.3响应供应商递交响应文件时，必须同时提交以下资格证明文件证明材料原件，以证明其资格：</w:t>
            </w:r>
          </w:p>
          <w:p>
            <w:pPr>
              <w:spacing w:line="360" w:lineRule="auto"/>
              <w:rPr>
                <w:kern w:val="28"/>
                <w:highlight w:val="none"/>
              </w:rPr>
            </w:pPr>
            <w:r>
              <w:rPr>
                <w:rFonts w:hint="eastAsia"/>
                <w:kern w:val="28"/>
                <w:highlight w:val="none"/>
              </w:rPr>
              <w:t>2.3.1企业法人、其他组织营业执照副本或事业单位法人证书，自然人提供身份证明；</w:t>
            </w:r>
          </w:p>
          <w:p>
            <w:pPr>
              <w:spacing w:line="360" w:lineRule="auto"/>
              <w:rPr>
                <w:highlight w:val="none"/>
              </w:rPr>
            </w:pPr>
            <w:r>
              <w:rPr>
                <w:rFonts w:hint="eastAsia"/>
                <w:kern w:val="28"/>
                <w:highlight w:val="none"/>
              </w:rPr>
              <w:t>2.3.2授权代表身份证（法定代表人直接参加磋商会议提交法定代表人身份证）。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p>
        </w:tc>
        <w:tc>
          <w:tcPr>
            <w:tcW w:w="829" w:type="dxa"/>
            <w:vAlign w:val="center"/>
          </w:tcPr>
          <w:p>
            <w:pPr>
              <w:spacing w:line="360" w:lineRule="auto"/>
              <w:jc w:val="center"/>
              <w:rPr>
                <w:b/>
                <w:highlight w:val="none"/>
              </w:rPr>
            </w:pPr>
          </w:p>
        </w:tc>
        <w:tc>
          <w:tcPr>
            <w:tcW w:w="8364" w:type="dxa"/>
            <w:vAlign w:val="center"/>
          </w:tcPr>
          <w:p>
            <w:pPr>
              <w:spacing w:line="560" w:lineRule="exact"/>
              <w:jc w:val="center"/>
              <w:rPr>
                <w:rFonts w:hAnsi="宋体"/>
                <w:highlight w:val="none"/>
              </w:rPr>
            </w:pPr>
            <w:r>
              <w:rPr>
                <w:rFonts w:hint="eastAsia"/>
                <w:b/>
                <w:highlight w:val="none"/>
              </w:rPr>
              <w:t>二、竞争性磋商文件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8</w:t>
            </w:r>
          </w:p>
        </w:tc>
        <w:tc>
          <w:tcPr>
            <w:tcW w:w="829" w:type="dxa"/>
            <w:vAlign w:val="center"/>
          </w:tcPr>
          <w:p>
            <w:pPr>
              <w:spacing w:line="360" w:lineRule="auto"/>
              <w:jc w:val="center"/>
              <w:rPr>
                <w:b/>
                <w:highlight w:val="none"/>
              </w:rPr>
            </w:pPr>
            <w:r>
              <w:rPr>
                <w:rFonts w:hint="eastAsia"/>
                <w:b/>
                <w:highlight w:val="none"/>
              </w:rPr>
              <w:t>7</w:t>
            </w:r>
          </w:p>
        </w:tc>
        <w:tc>
          <w:tcPr>
            <w:tcW w:w="8364" w:type="dxa"/>
            <w:vAlign w:val="center"/>
          </w:tcPr>
          <w:p>
            <w:pPr>
              <w:tabs>
                <w:tab w:val="left" w:pos="315"/>
                <w:tab w:val="left" w:pos="1785"/>
                <w:tab w:val="left" w:pos="2310"/>
                <w:tab w:val="left" w:pos="8640"/>
              </w:tabs>
              <w:rPr>
                <w:bCs/>
                <w:highlight w:val="none"/>
              </w:rPr>
            </w:pPr>
            <w:r>
              <w:rPr>
                <w:rFonts w:hint="eastAsia"/>
                <w:bCs/>
                <w:highlight w:val="none"/>
              </w:rPr>
              <w:t>响应答疑会时间：无</w:t>
            </w:r>
          </w:p>
          <w:p>
            <w:pPr>
              <w:rPr>
                <w:rFonts w:hAnsi="宋体"/>
                <w:highlight w:val="none"/>
              </w:rPr>
            </w:pPr>
            <w:r>
              <w:rPr>
                <w:rFonts w:hint="eastAsia"/>
                <w:bCs/>
                <w:highlight w:val="none"/>
              </w:rPr>
              <w:t>响应答疑会地点：无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p>
        </w:tc>
        <w:tc>
          <w:tcPr>
            <w:tcW w:w="829" w:type="dxa"/>
            <w:vAlign w:val="center"/>
          </w:tcPr>
          <w:p>
            <w:pPr>
              <w:tabs>
                <w:tab w:val="left" w:pos="315"/>
                <w:tab w:val="left" w:pos="1785"/>
                <w:tab w:val="left" w:pos="2310"/>
                <w:tab w:val="left" w:pos="8640"/>
              </w:tabs>
              <w:spacing w:line="360" w:lineRule="auto"/>
              <w:jc w:val="center"/>
              <w:rPr>
                <w:b/>
                <w:highlight w:val="none"/>
              </w:rPr>
            </w:pPr>
          </w:p>
        </w:tc>
        <w:tc>
          <w:tcPr>
            <w:tcW w:w="8364"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三、响应文件的编制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9</w:t>
            </w:r>
          </w:p>
        </w:tc>
        <w:tc>
          <w:tcPr>
            <w:tcW w:w="829"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13.1</w:t>
            </w:r>
          </w:p>
        </w:tc>
        <w:tc>
          <w:tcPr>
            <w:tcW w:w="8364" w:type="dxa"/>
            <w:vAlign w:val="center"/>
          </w:tcPr>
          <w:p>
            <w:pPr>
              <w:spacing w:line="360" w:lineRule="auto"/>
              <w:rPr>
                <w:b/>
                <w:highlight w:val="none"/>
              </w:rPr>
            </w:pPr>
            <w:r>
              <w:rPr>
                <w:rFonts w:hint="eastAsia"/>
                <w:kern w:val="28"/>
                <w:highlight w:val="none"/>
                <w:u w:val="single"/>
              </w:rPr>
              <w:t>本次磋商活动需交纳保证金为</w:t>
            </w:r>
            <w:r>
              <w:rPr>
                <w:rFonts w:hint="eastAsia"/>
                <w:kern w:val="28"/>
                <w:highlight w:val="none"/>
              </w:rPr>
              <w:t>：</w:t>
            </w:r>
            <w:r>
              <w:rPr>
                <w:rFonts w:hint="eastAsia" w:ascii="宋体" w:hAnsi="宋体"/>
                <w:b/>
                <w:bCs/>
                <w:kern w:val="28"/>
                <w:highlight w:val="none"/>
              </w:rPr>
              <w:t>壹万玖仟元整（19,000.00元）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10</w:t>
            </w:r>
          </w:p>
        </w:tc>
        <w:tc>
          <w:tcPr>
            <w:tcW w:w="829"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13.2</w:t>
            </w:r>
          </w:p>
        </w:tc>
        <w:tc>
          <w:tcPr>
            <w:tcW w:w="8364" w:type="dxa"/>
            <w:vAlign w:val="center"/>
          </w:tcPr>
          <w:p>
            <w:pPr>
              <w:spacing w:line="360" w:lineRule="auto"/>
              <w:rPr>
                <w:kern w:val="28"/>
                <w:highlight w:val="none"/>
              </w:rPr>
            </w:pPr>
            <w:r>
              <w:rPr>
                <w:rFonts w:hint="eastAsia"/>
                <w:kern w:val="28"/>
                <w:highlight w:val="none"/>
                <w:u w:val="single"/>
              </w:rPr>
              <w:t>磋商保证金应为人民币，可采用下列任何一种形式支付</w:t>
            </w:r>
            <w:r>
              <w:rPr>
                <w:rFonts w:hint="eastAsia"/>
                <w:kern w:val="28"/>
                <w:highlight w:val="none"/>
              </w:rPr>
              <w:t>：</w:t>
            </w:r>
          </w:p>
          <w:p>
            <w:pPr>
              <w:spacing w:line="360" w:lineRule="auto"/>
              <w:rPr>
                <w:kern w:val="28"/>
                <w:highlight w:val="none"/>
              </w:rPr>
            </w:pPr>
            <w:r>
              <w:rPr>
                <w:rFonts w:hint="eastAsia"/>
                <w:kern w:val="28"/>
                <w:highlight w:val="none"/>
              </w:rPr>
              <w:t xml:space="preserve">  1.银行转账</w:t>
            </w:r>
          </w:p>
          <w:p>
            <w:pPr>
              <w:spacing w:line="360" w:lineRule="auto"/>
              <w:rPr>
                <w:kern w:val="28"/>
                <w:highlight w:val="none"/>
              </w:rPr>
            </w:pPr>
            <w:r>
              <w:rPr>
                <w:rFonts w:hint="eastAsia"/>
                <w:kern w:val="28"/>
                <w:highlight w:val="none"/>
              </w:rPr>
              <w:t xml:space="preserve">  2.电汇</w:t>
            </w:r>
          </w:p>
          <w:p>
            <w:pPr>
              <w:spacing w:line="360" w:lineRule="auto"/>
              <w:rPr>
                <w:kern w:val="28"/>
                <w:highlight w:val="none"/>
              </w:rPr>
            </w:pPr>
            <w:r>
              <w:rPr>
                <w:rFonts w:hint="eastAsia"/>
                <w:kern w:val="28"/>
                <w:highlight w:val="none"/>
              </w:rPr>
              <w:t xml:space="preserve">  3.保函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11</w:t>
            </w:r>
          </w:p>
        </w:tc>
        <w:tc>
          <w:tcPr>
            <w:tcW w:w="829"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13.3</w:t>
            </w:r>
          </w:p>
        </w:tc>
        <w:tc>
          <w:tcPr>
            <w:tcW w:w="8364" w:type="dxa"/>
            <w:vAlign w:val="center"/>
          </w:tcPr>
          <w:p>
            <w:pPr>
              <w:spacing w:line="360" w:lineRule="auto"/>
              <w:rPr>
                <w:kern w:val="28"/>
                <w:highlight w:val="none"/>
              </w:rPr>
            </w:pPr>
            <w:r>
              <w:rPr>
                <w:rFonts w:hint="eastAsia"/>
                <w:kern w:val="28"/>
                <w:highlight w:val="none"/>
                <w:u w:val="single"/>
              </w:rPr>
              <w:t>磋商保证金必须在</w:t>
            </w:r>
            <w:r>
              <w:rPr>
                <w:rFonts w:hint="eastAsia" w:ascii="宋体" w:hAnsi="宋体"/>
                <w:kern w:val="28"/>
                <w:highlight w:val="none"/>
                <w:u w:val="single"/>
              </w:rPr>
              <w:t>响应文件递交截止时间前</w:t>
            </w:r>
            <w:r>
              <w:rPr>
                <w:rFonts w:hint="eastAsia"/>
                <w:kern w:val="28"/>
                <w:highlight w:val="none"/>
                <w:u w:val="single"/>
              </w:rPr>
              <w:t>到达采购代理机构指定的账户</w:t>
            </w:r>
            <w:r>
              <w:rPr>
                <w:rFonts w:hint="eastAsia"/>
                <w:kern w:val="28"/>
                <w:highlight w:val="none"/>
              </w:rPr>
              <w:t>。</w:t>
            </w:r>
          </w:p>
          <w:p>
            <w:pPr>
              <w:spacing w:line="360" w:lineRule="auto"/>
              <w:rPr>
                <w:kern w:val="28"/>
                <w:highlight w:val="none"/>
              </w:rPr>
            </w:pPr>
            <w:r>
              <w:rPr>
                <w:rFonts w:hint="eastAsia"/>
                <w:kern w:val="28"/>
                <w:highlight w:val="none"/>
              </w:rPr>
              <w:t xml:space="preserve">  开户名称：陕西德勤招标有限公司</w:t>
            </w:r>
          </w:p>
          <w:p>
            <w:pPr>
              <w:spacing w:line="360" w:lineRule="auto"/>
              <w:rPr>
                <w:kern w:val="28"/>
                <w:highlight w:val="none"/>
              </w:rPr>
            </w:pPr>
            <w:r>
              <w:rPr>
                <w:rFonts w:hint="eastAsia"/>
                <w:kern w:val="28"/>
                <w:highlight w:val="none"/>
              </w:rPr>
              <w:t xml:space="preserve">  账  号：52880188000025295</w:t>
            </w:r>
          </w:p>
          <w:p>
            <w:pPr>
              <w:spacing w:line="360" w:lineRule="auto"/>
              <w:rPr>
                <w:kern w:val="28"/>
                <w:highlight w:val="none"/>
              </w:rPr>
            </w:pPr>
            <w:r>
              <w:rPr>
                <w:rFonts w:hint="eastAsia"/>
                <w:kern w:val="28"/>
                <w:highlight w:val="none"/>
              </w:rPr>
              <w:t xml:space="preserve">  开户行：光大银行西安丈八东路支行</w:t>
            </w:r>
          </w:p>
          <w:p>
            <w:pPr>
              <w:spacing w:line="360" w:lineRule="auto"/>
              <w:rPr>
                <w:b/>
                <w:highlight w:val="none"/>
              </w:rPr>
            </w:pPr>
            <w:r>
              <w:rPr>
                <w:rFonts w:hint="eastAsia"/>
                <w:kern w:val="28"/>
                <w:highlight w:val="none"/>
              </w:rPr>
              <w:t xml:space="preserve">  转账事由：DQ-2022195-CS项目磋商保证金</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12</w:t>
            </w:r>
          </w:p>
        </w:tc>
        <w:tc>
          <w:tcPr>
            <w:tcW w:w="829"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14.1</w:t>
            </w:r>
          </w:p>
        </w:tc>
        <w:tc>
          <w:tcPr>
            <w:tcW w:w="8364" w:type="dxa"/>
            <w:vAlign w:val="center"/>
          </w:tcPr>
          <w:p>
            <w:pPr>
              <w:spacing w:line="360" w:lineRule="auto"/>
              <w:rPr>
                <w:b/>
                <w:highlight w:val="none"/>
              </w:rPr>
            </w:pPr>
            <w:r>
              <w:rPr>
                <w:rFonts w:hint="eastAsia"/>
                <w:kern w:val="28"/>
                <w:highlight w:val="none"/>
                <w:u w:val="single"/>
              </w:rPr>
              <w:t>响应文件有效期</w:t>
            </w:r>
            <w:r>
              <w:rPr>
                <w:rFonts w:hint="eastAsia"/>
                <w:kern w:val="28"/>
                <w:highlight w:val="none"/>
              </w:rPr>
              <w:t>为自磋商之日起算九十（90）个日历日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p>
        </w:tc>
        <w:tc>
          <w:tcPr>
            <w:tcW w:w="829" w:type="dxa"/>
            <w:vAlign w:val="center"/>
          </w:tcPr>
          <w:p>
            <w:pPr>
              <w:tabs>
                <w:tab w:val="left" w:pos="315"/>
                <w:tab w:val="left" w:pos="1785"/>
                <w:tab w:val="left" w:pos="2310"/>
                <w:tab w:val="left" w:pos="8640"/>
              </w:tabs>
              <w:spacing w:line="360" w:lineRule="auto"/>
              <w:jc w:val="center"/>
              <w:rPr>
                <w:b/>
                <w:highlight w:val="none"/>
              </w:rPr>
            </w:pPr>
          </w:p>
        </w:tc>
        <w:tc>
          <w:tcPr>
            <w:tcW w:w="8364"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四、响应文件密封、递交</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13</w:t>
            </w:r>
          </w:p>
        </w:tc>
        <w:tc>
          <w:tcPr>
            <w:tcW w:w="829"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15.1</w:t>
            </w:r>
          </w:p>
        </w:tc>
        <w:tc>
          <w:tcPr>
            <w:tcW w:w="8364" w:type="dxa"/>
            <w:vAlign w:val="center"/>
          </w:tcPr>
          <w:p>
            <w:pPr>
              <w:spacing w:line="360" w:lineRule="auto"/>
              <w:rPr>
                <w:b/>
                <w:highlight w:val="none"/>
              </w:rPr>
            </w:pPr>
            <w:r>
              <w:rPr>
                <w:rFonts w:hint="eastAsia"/>
                <w:kern w:val="28"/>
                <w:highlight w:val="none"/>
                <w:u w:val="single"/>
              </w:rPr>
              <w:t>响应文件</w:t>
            </w:r>
            <w:r>
              <w:rPr>
                <w:rFonts w:hint="eastAsia"/>
                <w:kern w:val="28"/>
                <w:highlight w:val="none"/>
              </w:rPr>
              <w:t>正本壹份、副本叁份，电子版本壹份（以U盘形式提供，文件格式包含.doc/.docx格式及正本盖章后扫描的.pdf格式），共伍份。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14</w:t>
            </w:r>
          </w:p>
        </w:tc>
        <w:tc>
          <w:tcPr>
            <w:tcW w:w="829"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15.2</w:t>
            </w:r>
          </w:p>
        </w:tc>
        <w:tc>
          <w:tcPr>
            <w:tcW w:w="8364" w:type="dxa"/>
            <w:vAlign w:val="center"/>
          </w:tcPr>
          <w:p>
            <w:pPr>
              <w:spacing w:line="360" w:lineRule="auto"/>
              <w:rPr>
                <w:b/>
                <w:highlight w:val="none"/>
              </w:rPr>
            </w:pPr>
            <w:r>
              <w:rPr>
                <w:rFonts w:hint="eastAsia"/>
                <w:kern w:val="28"/>
                <w:highlight w:val="none"/>
                <w:u w:val="single"/>
              </w:rPr>
              <w:t>“首次报价一览表”</w:t>
            </w:r>
            <w:r>
              <w:rPr>
                <w:rFonts w:hint="eastAsia"/>
                <w:kern w:val="28"/>
                <w:highlight w:val="none"/>
              </w:rPr>
              <w:t>除在响应文件内装订外，另制作一份单独放在一个信封中。</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15</w:t>
            </w:r>
          </w:p>
        </w:tc>
        <w:tc>
          <w:tcPr>
            <w:tcW w:w="829"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15.3</w:t>
            </w:r>
          </w:p>
        </w:tc>
        <w:tc>
          <w:tcPr>
            <w:tcW w:w="8364" w:type="dxa"/>
            <w:vAlign w:val="center"/>
          </w:tcPr>
          <w:p>
            <w:pPr>
              <w:spacing w:line="360" w:lineRule="auto"/>
              <w:rPr>
                <w:b/>
                <w:highlight w:val="none"/>
              </w:rPr>
            </w:pPr>
            <w:r>
              <w:rPr>
                <w:rFonts w:hint="eastAsia"/>
                <w:kern w:val="28"/>
                <w:highlight w:val="none"/>
                <w:u w:val="single"/>
              </w:rPr>
              <w:t>“资格证明文件证明材料原件”</w:t>
            </w:r>
            <w:r>
              <w:rPr>
                <w:rFonts w:hint="eastAsia"/>
                <w:kern w:val="28"/>
                <w:highlight w:val="none"/>
              </w:rPr>
              <w:t>按照本须知2.3条要求内容组成。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16</w:t>
            </w:r>
          </w:p>
        </w:tc>
        <w:tc>
          <w:tcPr>
            <w:tcW w:w="829"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15.4</w:t>
            </w:r>
          </w:p>
        </w:tc>
        <w:tc>
          <w:tcPr>
            <w:tcW w:w="8364" w:type="dxa"/>
            <w:vAlign w:val="center"/>
          </w:tcPr>
          <w:p>
            <w:pPr>
              <w:spacing w:line="360" w:lineRule="auto"/>
              <w:rPr>
                <w:b/>
                <w:highlight w:val="none"/>
              </w:rPr>
            </w:pPr>
            <w:r>
              <w:rPr>
                <w:rFonts w:hint="eastAsia"/>
                <w:kern w:val="28"/>
                <w:highlight w:val="none"/>
                <w:u w:val="single"/>
              </w:rPr>
              <w:t>“评审证明材料”</w:t>
            </w:r>
            <w:r>
              <w:rPr>
                <w:rFonts w:hint="eastAsia"/>
                <w:kern w:val="28"/>
                <w:highlight w:val="none"/>
              </w:rPr>
              <w:t>（如果有）按照评审表要求内容组成。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17</w:t>
            </w:r>
          </w:p>
        </w:tc>
        <w:tc>
          <w:tcPr>
            <w:tcW w:w="829"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17</w:t>
            </w:r>
          </w:p>
        </w:tc>
        <w:tc>
          <w:tcPr>
            <w:tcW w:w="8364" w:type="dxa"/>
            <w:vAlign w:val="center"/>
          </w:tcPr>
          <w:p>
            <w:pPr>
              <w:spacing w:line="360" w:lineRule="auto"/>
              <w:rPr>
                <w:rFonts w:hint="eastAsia"/>
                <w:kern w:val="28"/>
                <w:highlight w:val="none"/>
              </w:rPr>
            </w:pPr>
            <w:r>
              <w:rPr>
                <w:rFonts w:hint="eastAsia"/>
                <w:kern w:val="28"/>
                <w:highlight w:val="none"/>
                <w:u w:val="single"/>
              </w:rPr>
              <w:t>响应截止时间</w:t>
            </w:r>
            <w:r>
              <w:rPr>
                <w:rFonts w:hint="eastAsia"/>
                <w:kern w:val="28"/>
                <w:highlight w:val="none"/>
              </w:rPr>
              <w:t>：截止时间：202</w:t>
            </w:r>
            <w:r>
              <w:rPr>
                <w:rFonts w:hint="eastAsia"/>
                <w:kern w:val="28"/>
                <w:highlight w:val="none"/>
                <w:lang w:val="en-US" w:eastAsia="zh-CN"/>
              </w:rPr>
              <w:t>3</w:t>
            </w:r>
            <w:r>
              <w:rPr>
                <w:rFonts w:hint="eastAsia"/>
                <w:kern w:val="28"/>
                <w:highlight w:val="none"/>
              </w:rPr>
              <w:t>年</w:t>
            </w:r>
            <w:r>
              <w:rPr>
                <w:rFonts w:hint="eastAsia"/>
                <w:kern w:val="28"/>
                <w:highlight w:val="none"/>
                <w:lang w:val="en-US" w:eastAsia="zh-CN"/>
              </w:rPr>
              <w:t>1</w:t>
            </w:r>
            <w:r>
              <w:rPr>
                <w:rFonts w:hint="eastAsia"/>
                <w:kern w:val="28"/>
                <w:highlight w:val="none"/>
              </w:rPr>
              <w:t>月</w:t>
            </w:r>
            <w:r>
              <w:rPr>
                <w:rFonts w:hint="eastAsia"/>
                <w:kern w:val="28"/>
                <w:highlight w:val="none"/>
                <w:lang w:val="en-US" w:eastAsia="zh-CN"/>
              </w:rPr>
              <w:t>16</w:t>
            </w:r>
            <w:r>
              <w:rPr>
                <w:rFonts w:hint="eastAsia"/>
                <w:kern w:val="28"/>
                <w:highlight w:val="none"/>
              </w:rPr>
              <w:t>日</w:t>
            </w:r>
            <w:r>
              <w:rPr>
                <w:rFonts w:hint="eastAsia"/>
                <w:kern w:val="28"/>
                <w:highlight w:val="none"/>
                <w:lang w:val="en-US" w:eastAsia="zh-CN"/>
              </w:rPr>
              <w:t>14</w:t>
            </w:r>
            <w:r>
              <w:rPr>
                <w:rFonts w:hint="eastAsia"/>
                <w:kern w:val="28"/>
                <w:highlight w:val="none"/>
              </w:rPr>
              <w:t>时</w:t>
            </w:r>
            <w:r>
              <w:rPr>
                <w:rFonts w:hint="eastAsia"/>
                <w:kern w:val="28"/>
                <w:highlight w:val="none"/>
                <w:lang w:val="en-US" w:eastAsia="zh-CN"/>
              </w:rPr>
              <w:t>30</w:t>
            </w:r>
            <w:r>
              <w:rPr>
                <w:rFonts w:hint="eastAsia"/>
                <w:kern w:val="28"/>
                <w:highlight w:val="none"/>
              </w:rPr>
              <w:t>分止</w:t>
            </w:r>
          </w:p>
          <w:p>
            <w:pPr>
              <w:spacing w:line="360" w:lineRule="auto"/>
              <w:rPr>
                <w:kern w:val="28"/>
                <w:highlight w:val="none"/>
              </w:rPr>
            </w:pPr>
            <w:r>
              <w:rPr>
                <w:rFonts w:hint="eastAsia"/>
                <w:kern w:val="28"/>
                <w:highlight w:val="none"/>
                <w:u w:val="single"/>
              </w:rPr>
              <w:t>响应文件送达地点为</w:t>
            </w:r>
            <w:r>
              <w:rPr>
                <w:rFonts w:hint="eastAsia"/>
                <w:kern w:val="28"/>
                <w:highlight w:val="none"/>
              </w:rPr>
              <w:t>：陕西省西安市高新区丈八一路1号汇鑫中心D座2205室陕西德勤招标有限公司第一会议室</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p>
        </w:tc>
        <w:tc>
          <w:tcPr>
            <w:tcW w:w="829" w:type="dxa"/>
            <w:vAlign w:val="center"/>
          </w:tcPr>
          <w:p>
            <w:pPr>
              <w:tabs>
                <w:tab w:val="left" w:pos="315"/>
                <w:tab w:val="left" w:pos="1785"/>
                <w:tab w:val="left" w:pos="2310"/>
                <w:tab w:val="left" w:pos="8640"/>
              </w:tabs>
              <w:spacing w:line="360" w:lineRule="auto"/>
              <w:jc w:val="center"/>
              <w:rPr>
                <w:b/>
                <w:highlight w:val="none"/>
              </w:rPr>
            </w:pPr>
          </w:p>
        </w:tc>
        <w:tc>
          <w:tcPr>
            <w:tcW w:w="8364" w:type="dxa"/>
            <w:vAlign w:val="center"/>
          </w:tcPr>
          <w:p>
            <w:pPr>
              <w:spacing w:line="360" w:lineRule="auto"/>
              <w:jc w:val="center"/>
              <w:rPr>
                <w:kern w:val="28"/>
                <w:highlight w:val="none"/>
              </w:rPr>
            </w:pPr>
            <w:bookmarkStart w:id="30" w:name="_Toc32497"/>
            <w:bookmarkStart w:id="31" w:name="_Toc24731"/>
            <w:bookmarkStart w:id="32" w:name="_Toc12646"/>
            <w:bookmarkStart w:id="33" w:name="_Toc26930"/>
            <w:r>
              <w:rPr>
                <w:rFonts w:hint="eastAsia"/>
                <w:b/>
                <w:highlight w:val="none"/>
              </w:rPr>
              <w:t>五、磋商、评审和</w:t>
            </w:r>
            <w:bookmarkEnd w:id="30"/>
            <w:r>
              <w:rPr>
                <w:rFonts w:hint="eastAsia"/>
                <w:b/>
                <w:highlight w:val="none"/>
              </w:rPr>
              <w:t>成交</w:t>
            </w:r>
            <w:bookmarkEnd w:id="31"/>
            <w:bookmarkEnd w:id="32"/>
            <w:bookmarkEnd w:id="33"/>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18</w:t>
            </w:r>
          </w:p>
        </w:tc>
        <w:tc>
          <w:tcPr>
            <w:tcW w:w="829"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19</w:t>
            </w:r>
          </w:p>
        </w:tc>
        <w:tc>
          <w:tcPr>
            <w:tcW w:w="8364" w:type="dxa"/>
            <w:vAlign w:val="center"/>
          </w:tcPr>
          <w:p>
            <w:pPr>
              <w:spacing w:line="360" w:lineRule="auto"/>
              <w:jc w:val="left"/>
              <w:rPr>
                <w:kern w:val="28"/>
                <w:highlight w:val="none"/>
                <w:u w:val="single"/>
              </w:rPr>
            </w:pPr>
            <w:bookmarkStart w:id="34" w:name="_Toc2283"/>
            <w:bookmarkStart w:id="35" w:name="_Toc7080"/>
            <w:bookmarkStart w:id="36" w:name="_Toc24424"/>
            <w:bookmarkStart w:id="37" w:name="_Toc16496"/>
            <w:r>
              <w:rPr>
                <w:rFonts w:hint="eastAsia"/>
                <w:kern w:val="28"/>
                <w:highlight w:val="none"/>
                <w:u w:val="single"/>
              </w:rPr>
              <w:t>磋商、评审、成交</w:t>
            </w:r>
            <w:r>
              <w:rPr>
                <w:rFonts w:hint="eastAsia"/>
                <w:kern w:val="28"/>
                <w:highlight w:val="none"/>
              </w:rPr>
              <w:t>：见磋商文件第四部分。</w:t>
            </w:r>
            <w:bookmarkEnd w:id="34"/>
            <w:bookmarkEnd w:id="35"/>
            <w:bookmarkEnd w:id="36"/>
            <w:bookmarkEnd w:id="37"/>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p>
        </w:tc>
        <w:tc>
          <w:tcPr>
            <w:tcW w:w="829" w:type="dxa"/>
            <w:vAlign w:val="center"/>
          </w:tcPr>
          <w:p>
            <w:pPr>
              <w:tabs>
                <w:tab w:val="left" w:pos="315"/>
                <w:tab w:val="left" w:pos="1785"/>
                <w:tab w:val="left" w:pos="2310"/>
                <w:tab w:val="left" w:pos="8640"/>
              </w:tabs>
              <w:spacing w:line="360" w:lineRule="auto"/>
              <w:jc w:val="center"/>
              <w:rPr>
                <w:b/>
                <w:highlight w:val="none"/>
              </w:rPr>
            </w:pPr>
          </w:p>
        </w:tc>
        <w:tc>
          <w:tcPr>
            <w:tcW w:w="8364" w:type="dxa"/>
            <w:vAlign w:val="center"/>
          </w:tcPr>
          <w:p>
            <w:pPr>
              <w:spacing w:line="360" w:lineRule="auto"/>
              <w:jc w:val="center"/>
              <w:rPr>
                <w:kern w:val="28"/>
                <w:highlight w:val="none"/>
                <w:u w:val="single"/>
              </w:rPr>
            </w:pPr>
            <w:bookmarkStart w:id="38" w:name="_Toc7244"/>
            <w:bookmarkStart w:id="39" w:name="_Toc19704"/>
            <w:bookmarkStart w:id="40" w:name="_Toc164"/>
            <w:r>
              <w:rPr>
                <w:rFonts w:hint="eastAsia"/>
                <w:b/>
                <w:highlight w:val="none"/>
              </w:rPr>
              <w:t>七、询问、质疑、投诉</w:t>
            </w:r>
            <w:bookmarkEnd w:id="38"/>
            <w:bookmarkEnd w:id="39"/>
            <w:bookmarkEnd w:id="40"/>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19</w:t>
            </w:r>
          </w:p>
        </w:tc>
        <w:tc>
          <w:tcPr>
            <w:tcW w:w="829"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21.2</w:t>
            </w:r>
          </w:p>
        </w:tc>
        <w:tc>
          <w:tcPr>
            <w:tcW w:w="8364" w:type="dxa"/>
            <w:vAlign w:val="center"/>
          </w:tcPr>
          <w:p>
            <w:pPr>
              <w:spacing w:line="360" w:lineRule="auto"/>
              <w:jc w:val="left"/>
              <w:rPr>
                <w:kern w:val="28"/>
                <w:highlight w:val="none"/>
                <w:u w:val="single"/>
              </w:rPr>
            </w:pPr>
            <w:bookmarkStart w:id="41" w:name="_Toc3466"/>
            <w:bookmarkStart w:id="42" w:name="_Toc19703"/>
            <w:bookmarkStart w:id="43" w:name="_Toc4970"/>
            <w:r>
              <w:rPr>
                <w:rFonts w:hint="eastAsia"/>
                <w:kern w:val="28"/>
                <w:highlight w:val="none"/>
                <w:u w:val="single"/>
              </w:rPr>
              <w:t>询问（陕西德勤招标有限公司）联系方式：</w:t>
            </w:r>
            <w:bookmarkEnd w:id="41"/>
            <w:bookmarkEnd w:id="42"/>
            <w:bookmarkEnd w:id="43"/>
          </w:p>
          <w:p>
            <w:pPr>
              <w:spacing w:line="360" w:lineRule="auto"/>
              <w:jc w:val="left"/>
              <w:rPr>
                <w:kern w:val="28"/>
                <w:highlight w:val="none"/>
                <w:u w:val="single"/>
              </w:rPr>
            </w:pPr>
            <w:bookmarkStart w:id="44" w:name="_Toc650"/>
            <w:bookmarkStart w:id="45" w:name="_Toc29335"/>
            <w:bookmarkStart w:id="46" w:name="_Toc2749"/>
            <w:r>
              <w:rPr>
                <w:rFonts w:hint="eastAsia"/>
                <w:kern w:val="28"/>
                <w:highlight w:val="none"/>
                <w:u w:val="single"/>
              </w:rPr>
              <w:t>联系人</w:t>
            </w:r>
            <w:r>
              <w:rPr>
                <w:rFonts w:hint="eastAsia"/>
                <w:kern w:val="28"/>
                <w:highlight w:val="none"/>
              </w:rPr>
              <w:t>：</w:t>
            </w:r>
            <w:bookmarkEnd w:id="44"/>
            <w:bookmarkEnd w:id="45"/>
            <w:bookmarkEnd w:id="46"/>
            <w:r>
              <w:rPr>
                <w:rFonts w:hint="eastAsia"/>
                <w:kern w:val="28"/>
                <w:highlight w:val="none"/>
              </w:rPr>
              <w:t>李浩、贾旭鸣</w:t>
            </w:r>
          </w:p>
          <w:p>
            <w:pPr>
              <w:spacing w:line="360" w:lineRule="auto"/>
              <w:jc w:val="left"/>
              <w:rPr>
                <w:kern w:val="28"/>
                <w:highlight w:val="none"/>
              </w:rPr>
            </w:pPr>
            <w:bookmarkStart w:id="47" w:name="_Toc4537"/>
            <w:bookmarkStart w:id="48" w:name="_Toc32111"/>
            <w:bookmarkStart w:id="49" w:name="_Toc12192"/>
            <w:r>
              <w:rPr>
                <w:rFonts w:hint="eastAsia"/>
                <w:kern w:val="28"/>
                <w:highlight w:val="none"/>
                <w:u w:val="single"/>
              </w:rPr>
              <w:t>联系电话（传真）</w:t>
            </w:r>
            <w:r>
              <w:rPr>
                <w:rFonts w:hint="eastAsia"/>
                <w:kern w:val="28"/>
                <w:highlight w:val="none"/>
              </w:rPr>
              <w:t>：</w:t>
            </w:r>
            <w:bookmarkEnd w:id="47"/>
            <w:bookmarkEnd w:id="48"/>
            <w:bookmarkEnd w:id="49"/>
            <w:r>
              <w:rPr>
                <w:rFonts w:hint="eastAsia"/>
                <w:kern w:val="28"/>
                <w:highlight w:val="none"/>
              </w:rPr>
              <w:t>029-81106093</w:t>
            </w:r>
          </w:p>
          <w:p>
            <w:pPr>
              <w:spacing w:line="360" w:lineRule="auto"/>
              <w:jc w:val="left"/>
              <w:rPr>
                <w:kern w:val="28"/>
                <w:highlight w:val="none"/>
                <w:u w:val="single"/>
              </w:rPr>
            </w:pPr>
            <w:bookmarkStart w:id="50" w:name="_Toc3908"/>
            <w:bookmarkStart w:id="51" w:name="_Toc17850"/>
            <w:bookmarkStart w:id="52" w:name="_Toc23207"/>
            <w:r>
              <w:rPr>
                <w:rFonts w:hint="eastAsia"/>
                <w:kern w:val="28"/>
                <w:highlight w:val="none"/>
                <w:u w:val="single"/>
              </w:rPr>
              <w:t>电子邮箱</w:t>
            </w:r>
            <w:r>
              <w:rPr>
                <w:rFonts w:hint="eastAsia"/>
                <w:kern w:val="28"/>
                <w:highlight w:val="none"/>
              </w:rPr>
              <w:t>：deqinjxm@126.com</w:t>
            </w:r>
            <w:bookmarkEnd w:id="50"/>
            <w:bookmarkEnd w:id="51"/>
            <w:bookmarkEnd w:id="52"/>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20</w:t>
            </w:r>
          </w:p>
        </w:tc>
        <w:tc>
          <w:tcPr>
            <w:tcW w:w="829"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22.1</w:t>
            </w:r>
          </w:p>
        </w:tc>
        <w:tc>
          <w:tcPr>
            <w:tcW w:w="8364" w:type="dxa"/>
            <w:vAlign w:val="center"/>
          </w:tcPr>
          <w:p>
            <w:pPr>
              <w:spacing w:line="360" w:lineRule="auto"/>
              <w:jc w:val="left"/>
              <w:rPr>
                <w:kern w:val="28"/>
                <w:highlight w:val="none"/>
                <w:u w:val="single"/>
              </w:rPr>
            </w:pPr>
            <w:bookmarkStart w:id="53" w:name="_Toc28752"/>
            <w:bookmarkStart w:id="54" w:name="_Toc51"/>
            <w:bookmarkStart w:id="55" w:name="_Toc14070"/>
            <w:r>
              <w:rPr>
                <w:rFonts w:hint="eastAsia"/>
                <w:kern w:val="28"/>
                <w:highlight w:val="none"/>
                <w:u w:val="single"/>
              </w:rPr>
              <w:t>质疑（陕西德勤招标有限公司）联系方式：</w:t>
            </w:r>
            <w:bookmarkEnd w:id="53"/>
            <w:bookmarkEnd w:id="54"/>
            <w:bookmarkEnd w:id="55"/>
          </w:p>
          <w:p>
            <w:pPr>
              <w:spacing w:line="360" w:lineRule="auto"/>
              <w:jc w:val="left"/>
              <w:rPr>
                <w:kern w:val="28"/>
                <w:highlight w:val="none"/>
                <w:u w:val="single"/>
              </w:rPr>
            </w:pPr>
            <w:bookmarkStart w:id="56" w:name="_Toc28799"/>
            <w:bookmarkStart w:id="57" w:name="_Toc17771"/>
            <w:bookmarkStart w:id="58" w:name="_Toc19853"/>
            <w:r>
              <w:rPr>
                <w:rFonts w:hint="eastAsia"/>
                <w:kern w:val="28"/>
                <w:highlight w:val="none"/>
                <w:u w:val="single"/>
              </w:rPr>
              <w:t>联系人</w:t>
            </w:r>
            <w:r>
              <w:rPr>
                <w:rFonts w:hint="eastAsia"/>
                <w:kern w:val="28"/>
                <w:highlight w:val="none"/>
              </w:rPr>
              <w:t>：</w:t>
            </w:r>
            <w:bookmarkEnd w:id="56"/>
            <w:bookmarkEnd w:id="57"/>
            <w:bookmarkEnd w:id="58"/>
            <w:r>
              <w:rPr>
                <w:rFonts w:hint="eastAsia"/>
                <w:kern w:val="28"/>
                <w:highlight w:val="none"/>
              </w:rPr>
              <w:t>李浩、贾旭鸣</w:t>
            </w:r>
          </w:p>
          <w:p>
            <w:pPr>
              <w:spacing w:line="360" w:lineRule="auto"/>
              <w:jc w:val="left"/>
              <w:rPr>
                <w:kern w:val="28"/>
                <w:highlight w:val="none"/>
              </w:rPr>
            </w:pPr>
            <w:bookmarkStart w:id="59" w:name="_Toc14700"/>
            <w:bookmarkStart w:id="60" w:name="_Toc2750"/>
            <w:bookmarkStart w:id="61" w:name="_Toc3463"/>
            <w:r>
              <w:rPr>
                <w:rFonts w:hint="eastAsia"/>
                <w:kern w:val="28"/>
                <w:highlight w:val="none"/>
                <w:u w:val="single"/>
              </w:rPr>
              <w:t>联系电话（传真）</w:t>
            </w:r>
            <w:r>
              <w:rPr>
                <w:rFonts w:hint="eastAsia"/>
                <w:kern w:val="28"/>
                <w:highlight w:val="none"/>
              </w:rPr>
              <w:t>：</w:t>
            </w:r>
            <w:bookmarkEnd w:id="59"/>
            <w:bookmarkEnd w:id="60"/>
            <w:bookmarkEnd w:id="61"/>
            <w:r>
              <w:rPr>
                <w:rFonts w:hint="eastAsia"/>
                <w:kern w:val="28"/>
                <w:highlight w:val="none"/>
              </w:rPr>
              <w:t>029-81106093</w:t>
            </w:r>
          </w:p>
          <w:p>
            <w:pPr>
              <w:spacing w:line="360" w:lineRule="auto"/>
              <w:jc w:val="left"/>
              <w:rPr>
                <w:kern w:val="28"/>
                <w:highlight w:val="none"/>
                <w:u w:val="single"/>
              </w:rPr>
            </w:pPr>
            <w:bookmarkStart w:id="62" w:name="_Toc4702"/>
            <w:bookmarkStart w:id="63" w:name="_Toc14395"/>
            <w:bookmarkStart w:id="64" w:name="_Toc478"/>
            <w:r>
              <w:rPr>
                <w:rFonts w:hint="eastAsia"/>
                <w:kern w:val="28"/>
                <w:highlight w:val="none"/>
                <w:u w:val="single"/>
              </w:rPr>
              <w:t>电子邮箱</w:t>
            </w:r>
            <w:r>
              <w:rPr>
                <w:rFonts w:hint="eastAsia"/>
                <w:kern w:val="28"/>
                <w:highlight w:val="none"/>
              </w:rPr>
              <w:t>：deqinjxm@126.com</w:t>
            </w:r>
            <w:bookmarkEnd w:id="62"/>
            <w:bookmarkEnd w:id="63"/>
            <w:bookmarkEnd w:id="64"/>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p>
        </w:tc>
        <w:tc>
          <w:tcPr>
            <w:tcW w:w="829" w:type="dxa"/>
            <w:vAlign w:val="center"/>
          </w:tcPr>
          <w:p>
            <w:pPr>
              <w:tabs>
                <w:tab w:val="left" w:pos="315"/>
                <w:tab w:val="left" w:pos="1785"/>
                <w:tab w:val="left" w:pos="2310"/>
                <w:tab w:val="left" w:pos="8640"/>
              </w:tabs>
              <w:spacing w:line="360" w:lineRule="auto"/>
              <w:jc w:val="center"/>
              <w:rPr>
                <w:b/>
                <w:highlight w:val="none"/>
              </w:rPr>
            </w:pPr>
          </w:p>
        </w:tc>
        <w:tc>
          <w:tcPr>
            <w:tcW w:w="8364" w:type="dxa"/>
            <w:vAlign w:val="center"/>
          </w:tcPr>
          <w:p>
            <w:pPr>
              <w:spacing w:line="360" w:lineRule="auto"/>
              <w:jc w:val="center"/>
              <w:rPr>
                <w:kern w:val="28"/>
                <w:highlight w:val="none"/>
                <w:u w:val="single"/>
              </w:rPr>
            </w:pPr>
            <w:bookmarkStart w:id="65" w:name="_Toc28950"/>
            <w:bookmarkStart w:id="66" w:name="_Toc5636"/>
            <w:bookmarkStart w:id="67" w:name="_Toc16509"/>
            <w:r>
              <w:rPr>
                <w:rFonts w:hint="eastAsia"/>
                <w:b/>
                <w:highlight w:val="none"/>
              </w:rPr>
              <w:t>八、合同的签订及履行</w:t>
            </w:r>
            <w:bookmarkEnd w:id="65"/>
            <w:bookmarkEnd w:id="66"/>
            <w:bookmarkEnd w:id="67"/>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21</w:t>
            </w:r>
          </w:p>
        </w:tc>
        <w:tc>
          <w:tcPr>
            <w:tcW w:w="829"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24.1</w:t>
            </w:r>
          </w:p>
        </w:tc>
        <w:tc>
          <w:tcPr>
            <w:tcW w:w="8364" w:type="dxa"/>
            <w:vAlign w:val="center"/>
          </w:tcPr>
          <w:p>
            <w:pPr>
              <w:spacing w:line="360" w:lineRule="auto"/>
              <w:rPr>
                <w:kern w:val="28"/>
                <w:highlight w:val="none"/>
                <w:u w:val="single"/>
              </w:rPr>
            </w:pPr>
            <w:r>
              <w:rPr>
                <w:rFonts w:hint="eastAsia"/>
                <w:kern w:val="28"/>
                <w:highlight w:val="none"/>
              </w:rPr>
              <w:t>在合同签订前，成交供应商须提供营业执照、税务登记证和在响应文件中提供的资质证明文件、业绩合同等主要证明文件的原件给采购人进行核对。如响应文件中复印件与原件不符，采购人有权取消其成交资格。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p>
        </w:tc>
        <w:tc>
          <w:tcPr>
            <w:tcW w:w="829" w:type="dxa"/>
            <w:vAlign w:val="center"/>
          </w:tcPr>
          <w:p>
            <w:pPr>
              <w:tabs>
                <w:tab w:val="left" w:pos="315"/>
                <w:tab w:val="left" w:pos="1785"/>
                <w:tab w:val="left" w:pos="2310"/>
                <w:tab w:val="left" w:pos="8640"/>
              </w:tabs>
              <w:spacing w:line="360" w:lineRule="auto"/>
              <w:jc w:val="center"/>
              <w:rPr>
                <w:b/>
                <w:highlight w:val="none"/>
              </w:rPr>
            </w:pPr>
          </w:p>
        </w:tc>
        <w:tc>
          <w:tcPr>
            <w:tcW w:w="8364" w:type="dxa"/>
            <w:vAlign w:val="center"/>
          </w:tcPr>
          <w:p>
            <w:pPr>
              <w:spacing w:line="360" w:lineRule="auto"/>
              <w:jc w:val="center"/>
              <w:rPr>
                <w:kern w:val="28"/>
                <w:highlight w:val="none"/>
                <w:u w:val="single"/>
              </w:rPr>
            </w:pPr>
            <w:bookmarkStart w:id="68" w:name="_Toc16510"/>
            <w:bookmarkStart w:id="69" w:name="_Toc6808"/>
            <w:bookmarkStart w:id="70" w:name="_Toc9562"/>
            <w:r>
              <w:rPr>
                <w:rFonts w:hint="eastAsia"/>
                <w:b/>
                <w:highlight w:val="none"/>
              </w:rPr>
              <w:t>九、采购代理服务费</w:t>
            </w:r>
            <w:bookmarkEnd w:id="68"/>
            <w:bookmarkEnd w:id="69"/>
            <w:bookmarkEnd w:id="70"/>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22</w:t>
            </w:r>
          </w:p>
        </w:tc>
        <w:tc>
          <w:tcPr>
            <w:tcW w:w="829"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26.1</w:t>
            </w:r>
          </w:p>
        </w:tc>
        <w:tc>
          <w:tcPr>
            <w:tcW w:w="8364" w:type="dxa"/>
            <w:vAlign w:val="center"/>
          </w:tcPr>
          <w:p>
            <w:pPr>
              <w:spacing w:line="360" w:lineRule="auto"/>
              <w:jc w:val="left"/>
              <w:rPr>
                <w:kern w:val="28"/>
                <w:highlight w:val="none"/>
                <w:u w:val="single"/>
              </w:rPr>
            </w:pPr>
            <w:bookmarkStart w:id="71" w:name="_Toc7419"/>
            <w:r>
              <w:rPr>
                <w:rFonts w:hint="eastAsia"/>
                <w:kern w:val="28"/>
                <w:highlight w:val="none"/>
              </w:rPr>
              <w:t>采购代理服务费按约定由成交供应商支付，采购代理服务费不在响应报价中单列。</w:t>
            </w:r>
            <w:bookmarkEnd w:id="71"/>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rPr>
                <w:b/>
                <w:highlight w:val="none"/>
              </w:rPr>
            </w:pPr>
            <w:r>
              <w:rPr>
                <w:rFonts w:hint="eastAsia"/>
                <w:b/>
                <w:highlight w:val="none"/>
              </w:rPr>
              <w:t>23</w:t>
            </w:r>
          </w:p>
        </w:tc>
        <w:tc>
          <w:tcPr>
            <w:tcW w:w="829"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26.2</w:t>
            </w:r>
          </w:p>
        </w:tc>
        <w:tc>
          <w:tcPr>
            <w:tcW w:w="8364" w:type="dxa"/>
            <w:vAlign w:val="center"/>
          </w:tcPr>
          <w:p>
            <w:pPr>
              <w:spacing w:line="360" w:lineRule="auto"/>
              <w:jc w:val="left"/>
              <w:rPr>
                <w:kern w:val="28"/>
                <w:highlight w:val="none"/>
              </w:rPr>
            </w:pPr>
            <w:bookmarkStart w:id="72" w:name="_Toc438"/>
            <w:r>
              <w:rPr>
                <w:rFonts w:hint="eastAsia"/>
                <w:kern w:val="28"/>
                <w:highlight w:val="none"/>
              </w:rPr>
              <w:t>采购代理服务费按以下标准计取：</w:t>
            </w:r>
            <w:bookmarkEnd w:id="72"/>
          </w:p>
          <w:tbl>
            <w:tblPr>
              <w:tblStyle w:val="23"/>
              <w:tblW w:w="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vAlign w:val="center"/>
                </w:tcPr>
                <w:p>
                  <w:pPr>
                    <w:tabs>
                      <w:tab w:val="left" w:pos="547"/>
                    </w:tabs>
                    <w:spacing w:line="360" w:lineRule="auto"/>
                    <w:jc w:val="center"/>
                    <w:rPr>
                      <w:rFonts w:ascii="宋体" w:cs="Times New Roman"/>
                      <w:highlight w:val="none"/>
                    </w:rPr>
                  </w:pPr>
                  <w:r>
                    <w:rPr>
                      <w:rFonts w:hint="eastAsia" w:ascii="宋体" w:hAnsi="宋体"/>
                      <w:highlight w:val="none"/>
                    </w:rPr>
                    <w:t>成交金额（万元）</w:t>
                  </w:r>
                </w:p>
              </w:tc>
              <w:tc>
                <w:tcPr>
                  <w:tcW w:w="1883" w:type="dxa"/>
                  <w:vAlign w:val="center"/>
                </w:tcPr>
                <w:p>
                  <w:pPr>
                    <w:tabs>
                      <w:tab w:val="left" w:pos="547"/>
                    </w:tabs>
                    <w:spacing w:line="360" w:lineRule="auto"/>
                    <w:jc w:val="center"/>
                    <w:rPr>
                      <w:rFonts w:ascii="宋体" w:cs="Times New Roman"/>
                      <w:highlight w:val="none"/>
                    </w:rPr>
                  </w:pPr>
                  <w:r>
                    <w:rPr>
                      <w:rFonts w:hint="eastAsia" w:ascii="宋体" w:hAnsi="宋体"/>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vAlign w:val="center"/>
                </w:tcPr>
                <w:p>
                  <w:pPr>
                    <w:tabs>
                      <w:tab w:val="left" w:pos="547"/>
                    </w:tabs>
                    <w:spacing w:line="360" w:lineRule="auto"/>
                    <w:jc w:val="center"/>
                    <w:rPr>
                      <w:rFonts w:ascii="宋体" w:cs="Times New Roman"/>
                      <w:highlight w:val="none"/>
                    </w:rPr>
                  </w:pPr>
                  <w:r>
                    <w:rPr>
                      <w:rFonts w:ascii="宋体" w:hAnsi="宋体"/>
                      <w:highlight w:val="none"/>
                    </w:rPr>
                    <w:t>100</w:t>
                  </w:r>
                  <w:r>
                    <w:rPr>
                      <w:rFonts w:hint="eastAsia" w:ascii="宋体" w:hAnsi="宋体"/>
                      <w:highlight w:val="none"/>
                    </w:rPr>
                    <w:t>以下</w:t>
                  </w:r>
                </w:p>
              </w:tc>
              <w:tc>
                <w:tcPr>
                  <w:tcW w:w="1883" w:type="dxa"/>
                  <w:vAlign w:val="center"/>
                </w:tcPr>
                <w:p>
                  <w:pPr>
                    <w:tabs>
                      <w:tab w:val="left" w:pos="547"/>
                    </w:tabs>
                    <w:spacing w:line="360" w:lineRule="auto"/>
                    <w:jc w:val="center"/>
                    <w:rPr>
                      <w:rFonts w:ascii="宋体" w:hAnsi="宋体"/>
                      <w:highlight w:val="none"/>
                    </w:rPr>
                  </w:pPr>
                  <w:r>
                    <w:rPr>
                      <w:rFonts w:ascii="宋体" w:hAnsi="宋体"/>
                      <w:highlight w:val="none"/>
                    </w:rPr>
                    <w:t>1.5%</w:t>
                  </w:r>
                </w:p>
              </w:tc>
            </w:tr>
          </w:tbl>
          <w:p>
            <w:pPr>
              <w:spacing w:line="360" w:lineRule="auto"/>
              <w:jc w:val="left"/>
              <w:rPr>
                <w:kern w:val="28"/>
                <w:highlight w:val="none"/>
                <w:u w:val="single"/>
              </w:rPr>
            </w:pPr>
            <w:bookmarkStart w:id="73" w:name="_Toc31526"/>
            <w:r>
              <w:rPr>
                <w:rFonts w:hint="eastAsia"/>
                <w:kern w:val="28"/>
                <w:highlight w:val="none"/>
              </w:rPr>
              <w:t>注：采购代理服务费收费按差额定率累进法计算。</w:t>
            </w:r>
            <w:bookmarkEnd w:id="73"/>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tabs>
                <w:tab w:val="left" w:pos="315"/>
                <w:tab w:val="left" w:pos="1785"/>
                <w:tab w:val="left" w:pos="2310"/>
                <w:tab w:val="left" w:pos="8640"/>
              </w:tabs>
              <w:spacing w:line="360" w:lineRule="auto"/>
              <w:jc w:val="center"/>
              <w:rPr>
                <w:b/>
                <w:highlight w:val="none"/>
              </w:rPr>
            </w:pPr>
            <w:r>
              <w:rPr>
                <w:rFonts w:hint="eastAsia"/>
                <w:b/>
                <w:highlight w:val="none"/>
              </w:rPr>
              <w:t>24</w:t>
            </w:r>
          </w:p>
        </w:tc>
        <w:tc>
          <w:tcPr>
            <w:tcW w:w="829" w:type="dxa"/>
            <w:vAlign w:val="center"/>
          </w:tcPr>
          <w:p>
            <w:pPr>
              <w:tabs>
                <w:tab w:val="left" w:pos="315"/>
                <w:tab w:val="left" w:pos="1785"/>
                <w:tab w:val="left" w:pos="2310"/>
                <w:tab w:val="left" w:pos="8640"/>
              </w:tabs>
              <w:spacing w:line="360" w:lineRule="auto"/>
              <w:jc w:val="center"/>
              <w:rPr>
                <w:b/>
                <w:highlight w:val="none"/>
              </w:rPr>
            </w:pPr>
          </w:p>
        </w:tc>
        <w:tc>
          <w:tcPr>
            <w:tcW w:w="8364" w:type="dxa"/>
            <w:vAlign w:val="center"/>
          </w:tcPr>
          <w:p>
            <w:pPr>
              <w:tabs>
                <w:tab w:val="left" w:pos="315"/>
                <w:tab w:val="left" w:pos="1785"/>
                <w:tab w:val="left" w:pos="2310"/>
                <w:tab w:val="left" w:pos="8640"/>
              </w:tabs>
              <w:spacing w:line="360" w:lineRule="auto"/>
              <w:rPr>
                <w:b/>
                <w:highlight w:val="none"/>
              </w:rPr>
            </w:pPr>
            <w:r>
              <w:rPr>
                <w:rFonts w:hint="eastAsia"/>
                <w:highlight w:val="none"/>
              </w:rPr>
              <w:t>成交结果公告媒体：</w:t>
            </w:r>
            <w:r>
              <w:rPr>
                <w:rFonts w:hint="eastAsia" w:ascii="BatangChe" w:hAnsi="BatangChe"/>
                <w:highlight w:val="none"/>
              </w:rPr>
              <w:t>陕西省政府采购网(http://www.ccgp-shaanxi.gov.cn/）。</w:t>
            </w:r>
          </w:p>
        </w:tc>
      </w:tr>
    </w:tbl>
    <w:p>
      <w:pPr>
        <w:spacing w:line="360" w:lineRule="auto"/>
        <w:ind w:firstLine="481"/>
        <w:jc w:val="left"/>
        <w:rPr>
          <w:rFonts w:ascii="宋体" w:hAnsi="宋体"/>
          <w:sz w:val="24"/>
          <w:highlight w:val="none"/>
        </w:rPr>
      </w:pPr>
      <w:r>
        <w:rPr>
          <w:rFonts w:hint="eastAsia" w:ascii="宋体" w:hAnsi="宋体"/>
          <w:sz w:val="24"/>
          <w:highlight w:val="none"/>
        </w:rPr>
        <w:br w:type="page"/>
      </w:r>
    </w:p>
    <w:p>
      <w:pPr>
        <w:spacing w:line="360" w:lineRule="auto"/>
        <w:ind w:firstLine="481"/>
        <w:jc w:val="left"/>
        <w:rPr>
          <w:rFonts w:ascii="宋体" w:hAnsi="宋体"/>
          <w:sz w:val="24"/>
          <w:highlight w:val="none"/>
        </w:rPr>
      </w:pPr>
      <w:bookmarkStart w:id="74" w:name="_Toc5476"/>
      <w:r>
        <w:rPr>
          <w:rFonts w:hint="eastAsia" w:ascii="宋体" w:hAnsi="宋体"/>
          <w:sz w:val="24"/>
          <w:highlight w:val="none"/>
        </w:rPr>
        <w:t>本次采购活动依据《中华人民共和国政府采购法》及其配套的法规、规章及政策执行。</w:t>
      </w:r>
      <w:bookmarkEnd w:id="27"/>
      <w:bookmarkEnd w:id="28"/>
      <w:bookmarkEnd w:id="29"/>
      <w:bookmarkEnd w:id="74"/>
    </w:p>
    <w:p>
      <w:pPr>
        <w:spacing w:line="360" w:lineRule="auto"/>
        <w:ind w:firstLine="481"/>
        <w:jc w:val="left"/>
        <w:outlineLvl w:val="1"/>
        <w:rPr>
          <w:rFonts w:ascii="黑体" w:hAnsi="黑体" w:eastAsia="黑体" w:cs="黑体"/>
          <w:b/>
          <w:sz w:val="24"/>
          <w:highlight w:val="none"/>
        </w:rPr>
      </w:pPr>
      <w:bookmarkStart w:id="75" w:name="_Toc21459"/>
      <w:bookmarkStart w:id="76" w:name="_Toc14458"/>
      <w:bookmarkStart w:id="77" w:name="_Toc11778"/>
      <w:r>
        <w:rPr>
          <w:rFonts w:hint="eastAsia" w:ascii="黑体" w:hAnsi="黑体" w:eastAsia="黑体" w:cs="黑体"/>
          <w:b/>
          <w:sz w:val="24"/>
          <w:highlight w:val="none"/>
        </w:rPr>
        <w:t>一、总则</w:t>
      </w:r>
      <w:bookmarkEnd w:id="75"/>
      <w:bookmarkEnd w:id="76"/>
      <w:bookmarkEnd w:id="77"/>
    </w:p>
    <w:p>
      <w:pPr>
        <w:spacing w:line="360" w:lineRule="auto"/>
        <w:ind w:firstLine="482" w:firstLineChars="200"/>
        <w:rPr>
          <w:rFonts w:ascii="宋体" w:hAnsi="宋体"/>
          <w:b/>
          <w:bCs/>
          <w:sz w:val="24"/>
          <w:highlight w:val="none"/>
        </w:rPr>
      </w:pPr>
      <w:r>
        <w:rPr>
          <w:rFonts w:hint="eastAsia" w:ascii="宋体" w:hAnsi="宋体"/>
          <w:b/>
          <w:bCs/>
          <w:sz w:val="24"/>
          <w:highlight w:val="none"/>
        </w:rPr>
        <w:t>1.定义</w:t>
      </w:r>
    </w:p>
    <w:p>
      <w:pPr>
        <w:spacing w:line="360" w:lineRule="auto"/>
        <w:ind w:firstLine="480" w:firstLineChars="200"/>
        <w:rPr>
          <w:rFonts w:ascii="宋体" w:hAnsi="宋体"/>
          <w:sz w:val="24"/>
          <w:highlight w:val="none"/>
        </w:rPr>
      </w:pPr>
      <w:r>
        <w:rPr>
          <w:rFonts w:ascii="宋体" w:hAnsi="宋体"/>
          <w:sz w:val="24"/>
          <w:highlight w:val="none"/>
        </w:rPr>
        <w:t>1.1</w:t>
      </w:r>
      <w:r>
        <w:rPr>
          <w:rFonts w:hint="eastAsia" w:ascii="宋体" w:hAnsi="宋体"/>
          <w:sz w:val="24"/>
          <w:highlight w:val="none"/>
        </w:rPr>
        <w:t>“本项目”系指磋商邀请函中所描述项目。</w:t>
      </w:r>
    </w:p>
    <w:p>
      <w:pPr>
        <w:spacing w:line="360" w:lineRule="auto"/>
        <w:ind w:firstLine="480" w:firstLineChars="200"/>
        <w:rPr>
          <w:rFonts w:ascii="宋体" w:cs="Times New Roman"/>
          <w:sz w:val="24"/>
          <w:highlight w:val="none"/>
        </w:rPr>
      </w:pPr>
      <w:r>
        <w:rPr>
          <w:rFonts w:ascii="宋体" w:hAnsi="宋体"/>
          <w:sz w:val="24"/>
          <w:highlight w:val="none"/>
        </w:rPr>
        <w:t>1.2</w:t>
      </w:r>
      <w:r>
        <w:rPr>
          <w:rFonts w:hint="eastAsia" w:ascii="宋体" w:hAnsi="宋体"/>
          <w:sz w:val="24"/>
          <w:highlight w:val="none"/>
        </w:rPr>
        <w:t>“采购人”系指磋商邀请函中所指采购人，亦指甲方、业主；</w:t>
      </w:r>
    </w:p>
    <w:p>
      <w:pPr>
        <w:spacing w:line="360" w:lineRule="auto"/>
        <w:ind w:firstLine="480" w:firstLineChars="200"/>
        <w:rPr>
          <w:rFonts w:ascii="宋体" w:cs="Times New Roman"/>
          <w:sz w:val="24"/>
          <w:highlight w:val="none"/>
        </w:rPr>
      </w:pPr>
      <w:r>
        <w:rPr>
          <w:rFonts w:ascii="宋体" w:hAnsi="宋体"/>
          <w:sz w:val="24"/>
          <w:highlight w:val="none"/>
        </w:rPr>
        <w:t>1.3</w:t>
      </w:r>
      <w:r>
        <w:rPr>
          <w:rFonts w:hint="eastAsia" w:ascii="宋体" w:hAnsi="宋体"/>
          <w:sz w:val="24"/>
          <w:highlight w:val="none"/>
        </w:rPr>
        <w:t>“监督机构”系财政主管部门及采购人纪检监察部门；</w:t>
      </w:r>
    </w:p>
    <w:p>
      <w:pPr>
        <w:spacing w:line="360" w:lineRule="auto"/>
        <w:ind w:firstLine="480" w:firstLineChars="200"/>
        <w:rPr>
          <w:rFonts w:ascii="宋体" w:cs="Times New Roman"/>
          <w:sz w:val="24"/>
          <w:highlight w:val="none"/>
        </w:rPr>
      </w:pPr>
      <w:r>
        <w:rPr>
          <w:rFonts w:ascii="宋体" w:hAnsi="宋体"/>
          <w:sz w:val="24"/>
          <w:highlight w:val="none"/>
        </w:rPr>
        <w:t>1.4</w:t>
      </w:r>
      <w:r>
        <w:rPr>
          <w:rFonts w:hint="eastAsia" w:ascii="宋体" w:hAnsi="宋体"/>
          <w:sz w:val="24"/>
          <w:highlight w:val="none"/>
        </w:rPr>
        <w:t>“采购代理机构”系陕西德勤招标有限公司；</w:t>
      </w:r>
    </w:p>
    <w:p>
      <w:pPr>
        <w:spacing w:line="360" w:lineRule="auto"/>
        <w:ind w:firstLine="480" w:firstLineChars="200"/>
        <w:rPr>
          <w:rFonts w:ascii="宋体" w:cs="Times New Roman"/>
          <w:sz w:val="24"/>
          <w:highlight w:val="none"/>
        </w:rPr>
      </w:pPr>
      <w:r>
        <w:rPr>
          <w:rFonts w:ascii="宋体" w:hAnsi="宋体"/>
          <w:sz w:val="24"/>
          <w:highlight w:val="none"/>
        </w:rPr>
        <w:t>1.5</w:t>
      </w:r>
      <w:r>
        <w:rPr>
          <w:rFonts w:hint="eastAsia" w:ascii="宋体" w:hAnsi="宋体"/>
          <w:sz w:val="24"/>
          <w:highlight w:val="none"/>
        </w:rPr>
        <w:t>“采购单位”系采购人及采购代理机构的统称；</w:t>
      </w:r>
    </w:p>
    <w:p>
      <w:pPr>
        <w:spacing w:line="360" w:lineRule="auto"/>
        <w:ind w:firstLine="480" w:firstLineChars="200"/>
        <w:rPr>
          <w:rFonts w:ascii="宋体" w:cs="Times New Roman"/>
          <w:sz w:val="24"/>
          <w:highlight w:val="none"/>
        </w:rPr>
      </w:pPr>
      <w:r>
        <w:rPr>
          <w:rFonts w:ascii="宋体" w:hAnsi="宋体"/>
          <w:sz w:val="24"/>
          <w:highlight w:val="none"/>
        </w:rPr>
        <w:t>1.</w:t>
      </w:r>
      <w:r>
        <w:rPr>
          <w:rFonts w:hint="eastAsia" w:ascii="宋体" w:hAnsi="宋体"/>
          <w:sz w:val="24"/>
          <w:highlight w:val="none"/>
        </w:rPr>
        <w:t>6“响应供应商”系指购买了磋商文件拟向采购人提供服务，并拟参加磋商会议的供应商；</w:t>
      </w:r>
    </w:p>
    <w:p>
      <w:pPr>
        <w:spacing w:line="360" w:lineRule="auto"/>
        <w:ind w:firstLine="480" w:firstLineChars="200"/>
        <w:rPr>
          <w:rFonts w:ascii="宋体" w:hAnsi="宋体"/>
          <w:sz w:val="24"/>
          <w:highlight w:val="none"/>
        </w:rPr>
      </w:pPr>
      <w:r>
        <w:rPr>
          <w:rFonts w:hint="eastAsia" w:ascii="宋体" w:hAnsi="宋体"/>
          <w:sz w:val="24"/>
          <w:highlight w:val="none"/>
        </w:rPr>
        <w:t>1.7“日期”指公历日</w:t>
      </w:r>
      <w:r>
        <w:rPr>
          <w:rFonts w:ascii="宋体"/>
          <w:sz w:val="24"/>
          <w:highlight w:val="none"/>
        </w:rPr>
        <w:t>,</w:t>
      </w:r>
      <w:r>
        <w:rPr>
          <w:rFonts w:hint="eastAsia" w:ascii="宋体" w:hAnsi="宋体"/>
          <w:sz w:val="24"/>
          <w:highlight w:val="none"/>
        </w:rPr>
        <w:t>“时间”指北京时间。</w:t>
      </w:r>
    </w:p>
    <w:p>
      <w:pPr>
        <w:spacing w:line="360" w:lineRule="auto"/>
        <w:ind w:firstLine="482" w:firstLineChars="200"/>
        <w:rPr>
          <w:rFonts w:ascii="宋体" w:hAnsi="宋体"/>
          <w:b/>
          <w:bCs/>
          <w:sz w:val="24"/>
          <w:highlight w:val="none"/>
        </w:rPr>
      </w:pPr>
      <w:r>
        <w:rPr>
          <w:rFonts w:hint="eastAsia" w:ascii="宋体" w:hAnsi="宋体"/>
          <w:b/>
          <w:bCs/>
          <w:sz w:val="24"/>
          <w:highlight w:val="none"/>
        </w:rPr>
        <w:t>2.合格供应商</w:t>
      </w:r>
    </w:p>
    <w:p>
      <w:pPr>
        <w:spacing w:line="360" w:lineRule="auto"/>
        <w:ind w:firstLine="480" w:firstLineChars="200"/>
        <w:rPr>
          <w:rFonts w:ascii="宋体" w:hAnsi="宋体"/>
          <w:sz w:val="24"/>
          <w:highlight w:val="none"/>
        </w:rPr>
      </w:pPr>
      <w:bookmarkStart w:id="78" w:name="_Toc6060"/>
      <w:bookmarkStart w:id="79" w:name="_Toc12615"/>
      <w:bookmarkStart w:id="80" w:name="_Toc29049"/>
      <w:bookmarkStart w:id="81" w:name="_Toc30806"/>
      <w:r>
        <w:rPr>
          <w:rFonts w:hint="eastAsia" w:ascii="宋体" w:hAnsi="宋体"/>
          <w:sz w:val="24"/>
          <w:highlight w:val="none"/>
        </w:rPr>
        <w:t>2.1符合《第一部分 磋商邀请函》中“供应商资格要求”、有能力提供本项目所需服务的供应商。</w:t>
      </w:r>
      <w:bookmarkEnd w:id="78"/>
      <w:bookmarkEnd w:id="79"/>
      <w:bookmarkEnd w:id="80"/>
      <w:bookmarkEnd w:id="81"/>
    </w:p>
    <w:p>
      <w:pPr>
        <w:spacing w:line="360" w:lineRule="auto"/>
        <w:ind w:firstLine="480" w:firstLineChars="200"/>
        <w:rPr>
          <w:rFonts w:ascii="宋体" w:hAnsi="宋体"/>
          <w:sz w:val="24"/>
          <w:highlight w:val="none"/>
        </w:rPr>
      </w:pPr>
      <w:bookmarkStart w:id="82" w:name="_Toc29147"/>
      <w:bookmarkStart w:id="83" w:name="_Toc27950"/>
      <w:bookmarkStart w:id="84" w:name="_Toc24392"/>
      <w:bookmarkStart w:id="85" w:name="_Toc1112"/>
      <w:r>
        <w:rPr>
          <w:rFonts w:hint="eastAsia" w:ascii="宋体" w:hAnsi="宋体"/>
          <w:sz w:val="24"/>
          <w:highlight w:val="none"/>
        </w:rPr>
        <w:t>2.2供应商应在响应文件中提交以下文件以证明其资格：</w:t>
      </w:r>
      <w:bookmarkEnd w:id="82"/>
      <w:bookmarkEnd w:id="83"/>
      <w:bookmarkEnd w:id="84"/>
      <w:bookmarkEnd w:id="85"/>
    </w:p>
    <w:p>
      <w:pPr>
        <w:spacing w:line="360" w:lineRule="auto"/>
        <w:ind w:firstLine="480" w:firstLineChars="200"/>
        <w:rPr>
          <w:rFonts w:ascii="宋体" w:hAnsi="宋体"/>
          <w:sz w:val="24"/>
          <w:highlight w:val="none"/>
        </w:rPr>
      </w:pPr>
      <w:r>
        <w:rPr>
          <w:rFonts w:hint="eastAsia" w:ascii="宋体" w:hAnsi="宋体"/>
          <w:sz w:val="24"/>
          <w:highlight w:val="none"/>
        </w:rPr>
        <w:t>2.2.1供应商资格声明（格式）；</w:t>
      </w:r>
    </w:p>
    <w:p>
      <w:pPr>
        <w:spacing w:line="360" w:lineRule="auto"/>
        <w:ind w:firstLine="480" w:firstLineChars="200"/>
        <w:rPr>
          <w:rFonts w:ascii="宋体" w:hAnsi="宋体"/>
          <w:sz w:val="24"/>
          <w:highlight w:val="none"/>
        </w:rPr>
      </w:pPr>
      <w:r>
        <w:rPr>
          <w:rFonts w:hint="eastAsia" w:ascii="宋体" w:hAnsi="宋体"/>
          <w:sz w:val="24"/>
          <w:highlight w:val="none"/>
        </w:rPr>
        <w:t>1）企业法人、其他组织营业执照副本或事业单位法人证书，自然人提供身份证明（复印件加盖响应供应商公章）；</w:t>
      </w:r>
    </w:p>
    <w:p>
      <w:pPr>
        <w:spacing w:line="360" w:lineRule="auto"/>
        <w:ind w:firstLine="480" w:firstLineChars="200"/>
        <w:rPr>
          <w:rFonts w:ascii="宋体" w:hAnsi="宋体"/>
          <w:sz w:val="24"/>
          <w:highlight w:val="none"/>
        </w:rPr>
      </w:pPr>
      <w:r>
        <w:rPr>
          <w:rFonts w:hint="eastAsia" w:ascii="宋体" w:hAnsi="宋体"/>
          <w:sz w:val="24"/>
          <w:highlight w:val="none"/>
        </w:rPr>
        <w:t>2）2021年度经审计的财务报告（成立时间至磋商会议日期不足一年的响应供应商可提供成立后任意时段的资产负债表）（复印件加盖响应供应商公章）；</w:t>
      </w:r>
    </w:p>
    <w:p>
      <w:pPr>
        <w:spacing w:line="360" w:lineRule="auto"/>
        <w:ind w:firstLine="480" w:firstLineChars="200"/>
        <w:rPr>
          <w:rFonts w:ascii="宋体" w:hAnsi="宋体"/>
          <w:sz w:val="24"/>
          <w:highlight w:val="none"/>
        </w:rPr>
      </w:pPr>
      <w:r>
        <w:rPr>
          <w:rFonts w:hint="eastAsia" w:ascii="宋体" w:hAnsi="宋体"/>
          <w:sz w:val="24"/>
          <w:highlight w:val="none"/>
        </w:rPr>
        <w:t>或在磋商会议日期前六个月内其基本存款账户开户银行出具的资信证明（原件）；</w:t>
      </w:r>
    </w:p>
    <w:p>
      <w:pPr>
        <w:spacing w:line="360" w:lineRule="auto"/>
        <w:ind w:firstLine="480" w:firstLineChars="200"/>
        <w:rPr>
          <w:rFonts w:ascii="宋体" w:hAnsi="宋体"/>
          <w:sz w:val="24"/>
          <w:highlight w:val="none"/>
        </w:rPr>
      </w:pPr>
      <w:r>
        <w:rPr>
          <w:rFonts w:hint="eastAsia" w:ascii="宋体" w:hAnsi="宋体"/>
          <w:sz w:val="24"/>
          <w:highlight w:val="none"/>
        </w:rPr>
        <w:t>或在磋商会议日期前六个月内信用担保机构出具的投标担保函（原件）；</w:t>
      </w:r>
    </w:p>
    <w:p>
      <w:pPr>
        <w:spacing w:line="360" w:lineRule="auto"/>
        <w:ind w:firstLine="480" w:firstLineChars="200"/>
        <w:rPr>
          <w:rFonts w:ascii="宋体" w:hAnsi="宋体"/>
          <w:sz w:val="24"/>
          <w:highlight w:val="none"/>
        </w:rPr>
      </w:pPr>
      <w:r>
        <w:rPr>
          <w:rFonts w:hint="eastAsia" w:ascii="宋体" w:hAnsi="宋体"/>
          <w:sz w:val="24"/>
          <w:highlight w:val="none"/>
        </w:rPr>
        <w:t>（以上三种形式的资料提供任何一种即可）</w:t>
      </w:r>
    </w:p>
    <w:p>
      <w:pPr>
        <w:spacing w:line="360" w:lineRule="auto"/>
        <w:ind w:firstLine="480" w:firstLineChars="200"/>
        <w:rPr>
          <w:rFonts w:ascii="宋体" w:hAnsi="宋体"/>
          <w:sz w:val="24"/>
          <w:highlight w:val="none"/>
        </w:rPr>
      </w:pPr>
      <w:r>
        <w:rPr>
          <w:rFonts w:hint="eastAsia" w:ascii="宋体" w:hAnsi="宋体"/>
          <w:sz w:val="24"/>
          <w:highlight w:val="none"/>
        </w:rPr>
        <w:t>3）磋商会议日期前十二个月内任意一个月缴税凭据（复印件加盖供应商公章）（依法免税的供应商应提供相应文件证明）；</w:t>
      </w:r>
    </w:p>
    <w:p>
      <w:pPr>
        <w:spacing w:line="360" w:lineRule="auto"/>
        <w:ind w:firstLine="480" w:firstLineChars="200"/>
        <w:rPr>
          <w:rFonts w:ascii="宋体" w:hAnsi="宋体"/>
          <w:sz w:val="24"/>
          <w:highlight w:val="none"/>
        </w:rPr>
      </w:pPr>
      <w:r>
        <w:rPr>
          <w:rFonts w:hint="eastAsia" w:ascii="宋体" w:hAnsi="宋体"/>
          <w:sz w:val="24"/>
          <w:highlight w:val="none"/>
        </w:rPr>
        <w:t>4）磋商会议日期前十二个月内任意一个月缴纳社会保险的凭据（专用收据或社会保险缴纳清单）（复印件加盖供应商公章）（依法不需要缴纳社会保障资金的供应商应提供相应文件证明）；</w:t>
      </w:r>
    </w:p>
    <w:p>
      <w:pPr>
        <w:spacing w:line="360" w:lineRule="auto"/>
        <w:ind w:firstLine="480" w:firstLineChars="200"/>
        <w:rPr>
          <w:rFonts w:ascii="宋体" w:hAnsi="宋体"/>
          <w:sz w:val="24"/>
          <w:highlight w:val="none"/>
        </w:rPr>
      </w:pPr>
      <w:r>
        <w:rPr>
          <w:rFonts w:hint="eastAsia" w:ascii="宋体" w:hAnsi="宋体"/>
          <w:sz w:val="24"/>
          <w:highlight w:val="none"/>
        </w:rPr>
        <w:t>2.2.2保证金汇款声明函/保函（格式）</w:t>
      </w:r>
      <w:r>
        <w:rPr>
          <w:rFonts w:hint="eastAsia" w:ascii="宋体" w:hAnsi="宋体"/>
          <w:sz w:val="24"/>
          <w:highlight w:val="none"/>
          <w:lang w:val="en-GB"/>
        </w:rPr>
        <w:t>（若提交保函，应于</w:t>
      </w:r>
      <w:r>
        <w:rPr>
          <w:rFonts w:hint="eastAsia" w:ascii="宋体" w:hAnsi="宋体"/>
          <w:sz w:val="24"/>
          <w:highlight w:val="none"/>
        </w:rPr>
        <w:t>响应</w:t>
      </w:r>
      <w:r>
        <w:rPr>
          <w:rFonts w:hint="eastAsia" w:ascii="宋体" w:hAnsi="宋体"/>
          <w:sz w:val="24"/>
          <w:highlight w:val="none"/>
          <w:lang w:val="en-GB"/>
        </w:rPr>
        <w:t>文件递交截止时间前将保函扫描件发送至采购代理机构指定邮箱）</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2.2.3法定代表人授权书（法定代表人直接参加磋商会议须提交法定代表人证明书）（格式）；</w:t>
      </w:r>
    </w:p>
    <w:p>
      <w:pPr>
        <w:spacing w:line="360" w:lineRule="auto"/>
        <w:ind w:firstLine="480" w:firstLineChars="200"/>
        <w:rPr>
          <w:rFonts w:ascii="宋体" w:hAnsi="宋体"/>
          <w:sz w:val="24"/>
          <w:highlight w:val="none"/>
        </w:rPr>
      </w:pPr>
      <w:r>
        <w:rPr>
          <w:rFonts w:hint="eastAsia" w:ascii="宋体" w:hAnsi="宋体"/>
          <w:sz w:val="24"/>
          <w:highlight w:val="none"/>
        </w:rPr>
        <w:t>2.2.4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p>
      <w:pPr>
        <w:spacing w:line="360" w:lineRule="auto"/>
        <w:ind w:firstLine="482" w:firstLineChars="200"/>
        <w:rPr>
          <w:rFonts w:ascii="宋体" w:cs="Times New Roman"/>
          <w:b/>
          <w:bCs/>
          <w:sz w:val="24"/>
          <w:highlight w:val="none"/>
          <w:u w:val="single"/>
        </w:rPr>
      </w:pPr>
      <w:r>
        <w:rPr>
          <w:rFonts w:hint="eastAsia" w:ascii="宋体" w:cs="Times New Roman"/>
          <w:b/>
          <w:bCs/>
          <w:sz w:val="24"/>
          <w:highlight w:val="none"/>
          <w:u w:val="single"/>
        </w:rPr>
        <w:t>备注：（1）</w:t>
      </w:r>
      <w:r>
        <w:rPr>
          <w:rFonts w:hint="eastAsia" w:ascii="宋体" w:hAnsi="宋体"/>
          <w:b/>
          <w:bCs/>
          <w:sz w:val="24"/>
          <w:highlight w:val="none"/>
          <w:u w:val="single"/>
        </w:rPr>
        <w:t>以上文件为必备资格证明</w:t>
      </w:r>
      <w:r>
        <w:rPr>
          <w:rFonts w:hint="eastAsia" w:ascii="宋体" w:cs="Times New Roman"/>
          <w:b/>
          <w:bCs/>
          <w:sz w:val="24"/>
          <w:highlight w:val="none"/>
          <w:u w:val="single"/>
        </w:rPr>
        <w:t>，需提供相关证明文件并加盖响应供应商公章（如相关证明材料由第三方出具，应有第三方公章），缺少其中任何一项，其响应文件视为无效文件。</w:t>
      </w:r>
    </w:p>
    <w:p>
      <w:pPr>
        <w:spacing w:line="360" w:lineRule="auto"/>
        <w:ind w:firstLine="482" w:firstLineChars="200"/>
        <w:rPr>
          <w:rFonts w:ascii="宋体" w:cs="Times New Roman"/>
          <w:b/>
          <w:bCs/>
          <w:sz w:val="24"/>
          <w:highlight w:val="none"/>
          <w:u w:val="single"/>
        </w:rPr>
      </w:pPr>
      <w:r>
        <w:rPr>
          <w:rFonts w:hint="eastAsia" w:ascii="宋体" w:cs="Times New Roman"/>
          <w:b/>
          <w:bCs/>
          <w:sz w:val="24"/>
          <w:highlight w:val="none"/>
          <w:u w:val="single"/>
        </w:rPr>
        <w:t>（2）《供应商资格声明》、《</w:t>
      </w:r>
      <w:r>
        <w:rPr>
          <w:rFonts w:hint="eastAsia" w:ascii="宋体" w:cs="Times New Roman"/>
          <w:b/>
          <w:bCs/>
          <w:sz w:val="24"/>
          <w:highlight w:val="none"/>
          <w:u w:val="single"/>
          <w:lang w:val="en-GB"/>
        </w:rPr>
        <w:t>保证金汇款声明函</w:t>
      </w:r>
      <w:r>
        <w:rPr>
          <w:rFonts w:hint="eastAsia" w:ascii="宋体" w:cs="Times New Roman"/>
          <w:b/>
          <w:bCs/>
          <w:sz w:val="24"/>
          <w:highlight w:val="none"/>
          <w:u w:val="single"/>
        </w:rPr>
        <w:t>》、《法定代表人授权书/法定代表人证明书》应按磋商文件第六部分给定的格式填写。</w:t>
      </w:r>
    </w:p>
    <w:p>
      <w:pPr>
        <w:spacing w:line="360" w:lineRule="auto"/>
        <w:ind w:firstLine="482" w:firstLineChars="200"/>
        <w:rPr>
          <w:rFonts w:ascii="宋体" w:cs="Times New Roman"/>
          <w:b/>
          <w:bCs/>
          <w:sz w:val="24"/>
          <w:highlight w:val="none"/>
          <w:u w:val="single"/>
        </w:rPr>
      </w:pPr>
      <w:r>
        <w:rPr>
          <w:rFonts w:hint="eastAsia" w:ascii="宋体" w:cs="Times New Roman"/>
          <w:b/>
          <w:bCs/>
          <w:sz w:val="24"/>
          <w:highlight w:val="none"/>
          <w:u w:val="single"/>
        </w:rPr>
        <w:t>（3）分支机构参与磋商时，响应文件中应附法人出具的授权书。法人只能授权一家分支机构参与磋商，且不能与分支机构同时参与磋商。分支机构须提供自己的资格要求证明文件。</w:t>
      </w:r>
    </w:p>
    <w:p>
      <w:pPr>
        <w:spacing w:line="360" w:lineRule="auto"/>
        <w:ind w:firstLine="482" w:firstLineChars="200"/>
        <w:rPr>
          <w:rFonts w:ascii="宋体" w:hAnsi="宋体"/>
          <w:b/>
          <w:bCs/>
          <w:sz w:val="24"/>
          <w:highlight w:val="none"/>
          <w:u w:val="single"/>
        </w:rPr>
      </w:pPr>
      <w:r>
        <w:rPr>
          <w:rFonts w:hint="eastAsia" w:ascii="宋体" w:cs="Times New Roman"/>
          <w:b/>
          <w:bCs/>
          <w:sz w:val="24"/>
          <w:highlight w:val="none"/>
          <w:u w:val="single"/>
        </w:rPr>
        <w:t>（4）事业单位法人参与磋商可不提供财务状况报告和社会保障资金缴纳证明及税收缴纳证明。</w:t>
      </w:r>
    </w:p>
    <w:p>
      <w:pPr>
        <w:spacing w:line="360" w:lineRule="auto"/>
        <w:ind w:firstLine="480" w:firstLineChars="200"/>
        <w:rPr>
          <w:rFonts w:ascii="宋体" w:hAnsi="宋体"/>
          <w:sz w:val="24"/>
          <w:highlight w:val="none"/>
        </w:rPr>
      </w:pPr>
      <w:r>
        <w:rPr>
          <w:rFonts w:hint="eastAsia" w:ascii="宋体" w:hAnsi="宋体"/>
          <w:sz w:val="24"/>
          <w:highlight w:val="none"/>
        </w:rPr>
        <w:t>2.3供应商递交响应文件时，必须同时提交以下资格证明文件证明材料原件，以证明其资格：</w:t>
      </w:r>
    </w:p>
    <w:p>
      <w:pPr>
        <w:spacing w:line="360" w:lineRule="auto"/>
        <w:ind w:firstLine="480" w:firstLineChars="200"/>
        <w:rPr>
          <w:rFonts w:ascii="宋体" w:hAnsi="宋体"/>
          <w:sz w:val="24"/>
          <w:highlight w:val="none"/>
        </w:rPr>
      </w:pPr>
      <w:r>
        <w:rPr>
          <w:rFonts w:hint="eastAsia" w:ascii="宋体" w:hAnsi="宋体"/>
          <w:sz w:val="24"/>
          <w:highlight w:val="none"/>
        </w:rPr>
        <w:t>2.3.1企业法人、其他组织营业执照副本或事业单位法人证书，自然人提供身份证明；</w:t>
      </w:r>
    </w:p>
    <w:p>
      <w:pPr>
        <w:spacing w:line="360" w:lineRule="auto"/>
        <w:ind w:firstLine="480" w:firstLineChars="200"/>
        <w:rPr>
          <w:rFonts w:ascii="宋体" w:hAnsi="宋体"/>
          <w:sz w:val="24"/>
          <w:highlight w:val="none"/>
        </w:rPr>
      </w:pPr>
      <w:r>
        <w:rPr>
          <w:rFonts w:hint="eastAsia" w:ascii="宋体" w:hAnsi="宋体"/>
          <w:sz w:val="24"/>
          <w:highlight w:val="none"/>
        </w:rPr>
        <w:t>2.3.2授权代表身份证（法定代表人直接参加谈判提交法定代表人身份证）；</w:t>
      </w:r>
    </w:p>
    <w:p>
      <w:pPr>
        <w:spacing w:line="360" w:lineRule="auto"/>
        <w:ind w:firstLine="482" w:firstLineChars="200"/>
        <w:rPr>
          <w:rFonts w:ascii="宋体" w:hAnsi="宋体"/>
          <w:color w:val="0000FF"/>
          <w:sz w:val="24"/>
          <w:highlight w:val="none"/>
        </w:rPr>
      </w:pPr>
      <w:r>
        <w:rPr>
          <w:rFonts w:hint="eastAsia" w:ascii="宋体" w:hAnsi="宋体"/>
          <w:b/>
          <w:bCs/>
          <w:sz w:val="24"/>
          <w:highlight w:val="none"/>
          <w:u w:val="single"/>
        </w:rPr>
        <w:t>以上材料提供原件，附于“资格证明文件证明材料原件”（无需密封），资格审查结束后退还，供应商若不能全部提供，其响应将被拒绝。</w:t>
      </w:r>
    </w:p>
    <w:p>
      <w:pPr>
        <w:spacing w:line="360" w:lineRule="auto"/>
        <w:ind w:firstLine="480" w:firstLineChars="200"/>
        <w:rPr>
          <w:rFonts w:ascii="宋体" w:hAnsi="宋体"/>
          <w:sz w:val="24"/>
          <w:highlight w:val="none"/>
        </w:rPr>
      </w:pPr>
      <w:bookmarkStart w:id="86" w:name="OLE_LINK43"/>
      <w:r>
        <w:rPr>
          <w:rFonts w:hint="eastAsia" w:ascii="宋体" w:hAnsi="宋体"/>
          <w:sz w:val="24"/>
          <w:highlight w:val="none"/>
        </w:rPr>
        <w:t>2.4关于信用记录的查询和使用</w:t>
      </w:r>
    </w:p>
    <w:p>
      <w:pPr>
        <w:spacing w:line="360" w:lineRule="auto"/>
        <w:ind w:firstLine="480" w:firstLineChars="200"/>
        <w:rPr>
          <w:rFonts w:ascii="宋体" w:hAnsi="宋体"/>
          <w:sz w:val="24"/>
          <w:highlight w:val="none"/>
        </w:rPr>
      </w:pPr>
      <w:r>
        <w:rPr>
          <w:rFonts w:hint="eastAsia" w:ascii="宋体" w:hAnsi="宋体"/>
          <w:sz w:val="24"/>
          <w:highlight w:val="none"/>
        </w:rPr>
        <w:t>2.4.1采购代理机构将在资格审查阶段通过【信用中国（www.creditchina.gov.cn）】、【中国政府采购网（www.ccgp.gov.cn）】网站对供应商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 号）的第二条第（三）款规定，其磋商或成交资格将被取消。</w:t>
      </w:r>
    </w:p>
    <w:p>
      <w:pPr>
        <w:spacing w:line="360" w:lineRule="auto"/>
        <w:ind w:firstLine="480" w:firstLineChars="200"/>
        <w:rPr>
          <w:rFonts w:ascii="宋体" w:hAnsi="宋体"/>
          <w:sz w:val="24"/>
          <w:highlight w:val="none"/>
        </w:rPr>
      </w:pPr>
      <w:r>
        <w:rPr>
          <w:rFonts w:hint="eastAsia" w:ascii="宋体" w:hAnsi="宋体"/>
          <w:sz w:val="24"/>
          <w:highlight w:val="none"/>
        </w:rPr>
        <w:t>2.4.2供应商在参加政府采购活动前3年内因违法经营被禁止在一定期限内参加政府采购活动，期限届满的，可以参加政府采购活动的，但供应商应提供相关证明材料。</w:t>
      </w:r>
    </w:p>
    <w:p>
      <w:pPr>
        <w:spacing w:line="360" w:lineRule="auto"/>
        <w:ind w:firstLine="480" w:firstLineChars="200"/>
        <w:rPr>
          <w:rFonts w:ascii="宋体" w:hAnsi="宋体"/>
          <w:sz w:val="24"/>
          <w:highlight w:val="none"/>
        </w:rPr>
      </w:pPr>
      <w:r>
        <w:rPr>
          <w:rFonts w:hint="eastAsia" w:ascii="宋体" w:hAnsi="宋体"/>
          <w:sz w:val="24"/>
          <w:highlight w:val="none"/>
        </w:rPr>
        <w:t>2.4.3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80" w:firstLineChars="200"/>
        <w:rPr>
          <w:rFonts w:ascii="宋体" w:hAnsi="宋体"/>
          <w:sz w:val="24"/>
          <w:highlight w:val="none"/>
        </w:rPr>
      </w:pPr>
      <w:r>
        <w:rPr>
          <w:rFonts w:hint="eastAsia" w:ascii="宋体" w:hAnsi="宋体"/>
          <w:sz w:val="24"/>
          <w:highlight w:val="none"/>
        </w:rPr>
        <w:t>2.5落实的政府采购政策</w:t>
      </w:r>
    </w:p>
    <w:p>
      <w:pPr>
        <w:spacing w:line="360" w:lineRule="auto"/>
        <w:ind w:firstLine="480" w:firstLineChars="200"/>
        <w:rPr>
          <w:rFonts w:ascii="宋体" w:hAnsi="宋体"/>
          <w:sz w:val="24"/>
          <w:highlight w:val="none"/>
        </w:rPr>
      </w:pPr>
      <w:r>
        <w:rPr>
          <w:rFonts w:hint="eastAsia" w:ascii="宋体" w:hAnsi="宋体"/>
          <w:sz w:val="24"/>
          <w:highlight w:val="none"/>
        </w:rPr>
        <w:t>2.5.1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rPr>
          <w:rFonts w:ascii="宋体" w:hAnsi="宋体"/>
          <w:sz w:val="24"/>
          <w:highlight w:val="none"/>
        </w:rPr>
      </w:pPr>
      <w:r>
        <w:rPr>
          <w:rFonts w:hint="eastAsia" w:ascii="宋体" w:hAnsi="宋体"/>
          <w:sz w:val="24"/>
          <w:highlight w:val="none"/>
        </w:rPr>
        <w:t>在货物采购项目中，供应商提供的货物既有中小企业制造货物，也有大型企业制造货物的，不享受本办法规定的中小企业扶持政策。</w:t>
      </w:r>
    </w:p>
    <w:p>
      <w:pPr>
        <w:spacing w:line="360" w:lineRule="auto"/>
        <w:ind w:firstLine="480" w:firstLineChars="200"/>
        <w:rPr>
          <w:rFonts w:ascii="宋体" w:hAnsi="宋体"/>
          <w:sz w:val="24"/>
          <w:highlight w:val="none"/>
        </w:rPr>
      </w:pPr>
      <w:r>
        <w:rPr>
          <w:rFonts w:hint="eastAsia" w:ascii="宋体" w:hAnsi="宋体"/>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sz w:val="24"/>
          <w:highlight w:val="none"/>
        </w:rPr>
      </w:pPr>
      <w:r>
        <w:rPr>
          <w:rFonts w:hint="eastAsia" w:ascii="宋体" w:hAnsi="宋体"/>
          <w:sz w:val="24"/>
          <w:highlight w:val="none"/>
        </w:rPr>
        <w:t>参加政府采购活动的中小企业应提供《中小企业声明函》（格式）。</w:t>
      </w:r>
    </w:p>
    <w:p>
      <w:pPr>
        <w:spacing w:line="360" w:lineRule="auto"/>
        <w:ind w:firstLine="480" w:firstLineChars="200"/>
        <w:rPr>
          <w:rFonts w:ascii="宋体" w:hAnsi="宋体"/>
          <w:sz w:val="24"/>
          <w:highlight w:val="none"/>
        </w:rPr>
      </w:pPr>
      <w:r>
        <w:rPr>
          <w:rFonts w:hint="eastAsia" w:ascii="宋体" w:hAnsi="宋体"/>
          <w:sz w:val="24"/>
          <w:highlight w:val="none"/>
        </w:rPr>
        <w:t>2.5.2监狱企业应符合《财政部 司法部关于政府采购支持监狱企业发展有关问题的通知》（财库〔2014〕68 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rPr>
          <w:rFonts w:ascii="宋体" w:hAnsi="宋体"/>
          <w:sz w:val="24"/>
          <w:highlight w:val="none"/>
        </w:rPr>
      </w:pPr>
      <w:r>
        <w:rPr>
          <w:rFonts w:hint="eastAsia" w:ascii="宋体" w:hAnsi="宋体"/>
          <w:sz w:val="24"/>
          <w:highlight w:val="none"/>
        </w:rPr>
        <w:t>2.5.3根据财政部、民政部、中国残疾人联合会下发的《关于促进残疾人就业政府采购政策的通知》（财库〔2017〕141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80" w:firstLineChars="200"/>
        <w:rPr>
          <w:rFonts w:ascii="宋体" w:hAnsi="宋体"/>
          <w:sz w:val="24"/>
          <w:highlight w:val="none"/>
        </w:rPr>
      </w:pPr>
      <w:r>
        <w:rPr>
          <w:rFonts w:hint="eastAsia" w:ascii="宋体" w:hAnsi="宋体"/>
          <w:sz w:val="24"/>
          <w:highlight w:val="none"/>
        </w:rPr>
        <w:t>参加政府采购活动的残疾人单位应提供《残疾人福利性单位声明函》（格式）。</w:t>
      </w:r>
    </w:p>
    <w:p>
      <w:pPr>
        <w:spacing w:line="360" w:lineRule="auto"/>
        <w:ind w:firstLine="480" w:firstLineChars="200"/>
        <w:rPr>
          <w:rFonts w:ascii="宋体" w:hAnsi="宋体"/>
          <w:sz w:val="24"/>
          <w:highlight w:val="none"/>
        </w:rPr>
      </w:pPr>
      <w:r>
        <w:rPr>
          <w:rFonts w:hint="eastAsia" w:ascii="宋体" w:hAnsi="宋体"/>
          <w:sz w:val="24"/>
          <w:highlight w:val="none"/>
        </w:rPr>
        <w:t>2.5.4根据财政部、国家发展改革委《关于印发〈节能产品政府采购实施意见〉的通知》（财库〔2004〕185号）规定“政府采购属于节能产品品目清单的，在技术、服务等指标同等条件下，应当优先采购节能品目清单的节能产品。”</w:t>
      </w:r>
    </w:p>
    <w:p>
      <w:pPr>
        <w:spacing w:line="360" w:lineRule="auto"/>
        <w:ind w:firstLine="480" w:firstLineChars="200"/>
        <w:rPr>
          <w:rFonts w:ascii="宋体" w:hAnsi="宋体"/>
          <w:sz w:val="24"/>
          <w:highlight w:val="none"/>
        </w:rPr>
      </w:pPr>
      <w:r>
        <w:rPr>
          <w:rFonts w:hint="eastAsia" w:ascii="宋体" w:hAnsi="宋体"/>
          <w:sz w:val="24"/>
          <w:highlight w:val="none"/>
        </w:rPr>
        <w:t>2.5.5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spacing w:line="360" w:lineRule="auto"/>
        <w:ind w:firstLine="480" w:firstLineChars="200"/>
        <w:rPr>
          <w:rFonts w:ascii="宋体" w:hAnsi="宋体"/>
          <w:sz w:val="24"/>
          <w:highlight w:val="none"/>
        </w:rPr>
      </w:pPr>
      <w:r>
        <w:rPr>
          <w:rFonts w:hint="eastAsia" w:ascii="宋体" w:hAnsi="宋体"/>
          <w:sz w:val="24"/>
          <w:highlight w:val="none"/>
        </w:rPr>
        <w:t>2.5.6根据财政部、国家发改委、生态环境部、市场监管总局联合印发《关于调整优化节能产品、环境标志产品政府采购执行机制的通知》（财库〔2019〕9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rPr>
          <w:rFonts w:ascii="宋体" w:hAnsi="宋体"/>
          <w:sz w:val="24"/>
          <w:highlight w:val="none"/>
        </w:rPr>
      </w:pPr>
      <w:r>
        <w:rPr>
          <w:rFonts w:hint="eastAsia" w:ascii="宋体" w:hAnsi="宋体"/>
          <w:sz w:val="24"/>
          <w:highlight w:val="none"/>
        </w:rPr>
        <w:t>2.5.7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pPr>
        <w:spacing w:line="360" w:lineRule="auto"/>
        <w:ind w:firstLine="480" w:firstLineChars="200"/>
        <w:rPr>
          <w:rFonts w:ascii="宋体" w:hAnsi="宋体"/>
          <w:sz w:val="24"/>
          <w:highlight w:val="none"/>
        </w:rPr>
      </w:pPr>
      <w:r>
        <w:rPr>
          <w:rFonts w:hint="eastAsia" w:ascii="宋体" w:hAnsi="宋体"/>
          <w:sz w:val="24"/>
          <w:highlight w:val="none"/>
        </w:rPr>
        <w:t>2.5.8节能产品政府采购品目清单详见财政部、发展改革委《关于印发节能产品政府采购品目清单的通知》（财库〔2019〕19号）。</w:t>
      </w:r>
    </w:p>
    <w:p>
      <w:pPr>
        <w:spacing w:line="360" w:lineRule="auto"/>
        <w:ind w:firstLine="480" w:firstLineChars="200"/>
        <w:rPr>
          <w:rFonts w:ascii="宋体" w:hAnsi="宋体"/>
          <w:sz w:val="24"/>
          <w:highlight w:val="none"/>
        </w:rPr>
      </w:pPr>
      <w:r>
        <w:rPr>
          <w:rFonts w:hint="eastAsia" w:ascii="宋体" w:hAnsi="宋体"/>
          <w:sz w:val="24"/>
          <w:highlight w:val="none"/>
        </w:rPr>
        <w:t>2.5.9环境标志产品政府采购品目清单详见财政部、生态环境部《关于印发环境标志产品政府采购品目清单的通知》（财库〔2019〕18号）。</w:t>
      </w:r>
    </w:p>
    <w:p>
      <w:pPr>
        <w:spacing w:line="360" w:lineRule="auto"/>
        <w:ind w:firstLine="480" w:firstLineChars="200"/>
        <w:rPr>
          <w:rFonts w:ascii="宋体" w:hAnsi="宋体"/>
          <w:sz w:val="24"/>
          <w:highlight w:val="none"/>
        </w:rPr>
      </w:pPr>
      <w:r>
        <w:rPr>
          <w:rFonts w:hint="eastAsia" w:ascii="宋体" w:hAnsi="宋体"/>
          <w:sz w:val="24"/>
          <w:highlight w:val="none"/>
        </w:rPr>
        <w:t>2.5.10国家确定的节能产品、环境标志产品认证机构详见市场监管总局《关于发布参与实施政府采购节能产品、环境标志产品认证机构名录的公告》（2019年第16号）。</w:t>
      </w:r>
    </w:p>
    <w:p>
      <w:pPr>
        <w:spacing w:line="360" w:lineRule="auto"/>
        <w:ind w:firstLine="480" w:firstLineChars="200"/>
        <w:rPr>
          <w:rFonts w:ascii="宋体" w:hAnsi="宋体"/>
          <w:sz w:val="24"/>
          <w:highlight w:val="none"/>
        </w:rPr>
      </w:pPr>
      <w:r>
        <w:rPr>
          <w:rFonts w:hint="eastAsia" w:ascii="宋体" w:hAnsi="宋体"/>
          <w:sz w:val="24"/>
          <w:highlight w:val="none"/>
        </w:rPr>
        <w:t>2.6供应商提交的资格合格证明文件应使采购人满意。</w:t>
      </w:r>
    </w:p>
    <w:p>
      <w:pPr>
        <w:spacing w:line="360" w:lineRule="auto"/>
        <w:ind w:firstLine="480" w:firstLineChars="200"/>
        <w:rPr>
          <w:rFonts w:ascii="宋体" w:hAnsi="宋体"/>
          <w:sz w:val="24"/>
          <w:highlight w:val="none"/>
        </w:rPr>
      </w:pPr>
      <w:r>
        <w:rPr>
          <w:rFonts w:hint="eastAsia" w:ascii="宋体" w:hAnsi="宋体"/>
          <w:sz w:val="24"/>
          <w:highlight w:val="none"/>
        </w:rPr>
        <w:t>2.7供应商必须向采购代理机构购买磋商文件并登记备案，任何未从采购代理机构购买磋商文件并登记备案的潜在供应商均无资格参加磋商会议。</w:t>
      </w:r>
    </w:p>
    <w:p>
      <w:pPr>
        <w:spacing w:line="360" w:lineRule="auto"/>
        <w:ind w:firstLine="480" w:firstLineChars="200"/>
        <w:rPr>
          <w:rFonts w:ascii="宋体" w:hAnsi="宋体"/>
          <w:sz w:val="24"/>
          <w:highlight w:val="none"/>
        </w:rPr>
      </w:pPr>
      <w:r>
        <w:rPr>
          <w:rFonts w:hint="eastAsia" w:ascii="宋体" w:hAnsi="宋体"/>
          <w:sz w:val="24"/>
          <w:highlight w:val="none"/>
        </w:rPr>
        <w:t>2.8单位负责人为同一人或存在直接控股、管理关系的不同单位，不得同时参加同一合同项下的政府采购活动；</w:t>
      </w:r>
    </w:p>
    <w:p>
      <w:pPr>
        <w:spacing w:line="360" w:lineRule="auto"/>
        <w:ind w:firstLine="480" w:firstLineChars="200"/>
        <w:rPr>
          <w:rFonts w:ascii="宋体" w:hAnsi="宋体"/>
          <w:sz w:val="24"/>
          <w:highlight w:val="none"/>
        </w:rPr>
      </w:pPr>
      <w:r>
        <w:rPr>
          <w:rFonts w:hint="eastAsia" w:ascii="宋体" w:hAnsi="宋体"/>
          <w:sz w:val="24"/>
          <w:highlight w:val="none"/>
        </w:rPr>
        <w:t>“参加同一合同项下的政府采购活动”包括但不限于提交质疑书、提交投诉书、提交响应文件；</w:t>
      </w:r>
    </w:p>
    <w:p>
      <w:pPr>
        <w:spacing w:line="360" w:lineRule="auto"/>
        <w:ind w:firstLine="480" w:firstLineChars="200"/>
        <w:rPr>
          <w:rFonts w:ascii="宋体" w:hAnsi="宋体"/>
          <w:sz w:val="24"/>
          <w:highlight w:val="none"/>
        </w:rPr>
      </w:pPr>
      <w:r>
        <w:rPr>
          <w:rFonts w:hint="eastAsia" w:ascii="宋体" w:hAnsi="宋体"/>
          <w:sz w:val="24"/>
          <w:highlight w:val="none"/>
        </w:rPr>
        <w:t>如有发现，相关质疑、投诉、响应均无效。</w:t>
      </w:r>
    </w:p>
    <w:p>
      <w:pPr>
        <w:spacing w:line="360" w:lineRule="auto"/>
        <w:ind w:firstLine="480" w:firstLineChars="200"/>
        <w:rPr>
          <w:rFonts w:ascii="宋体" w:hAnsi="宋体"/>
          <w:sz w:val="24"/>
          <w:highlight w:val="none"/>
        </w:rPr>
      </w:pPr>
      <w:r>
        <w:rPr>
          <w:rFonts w:hint="eastAsia" w:ascii="宋体" w:hAnsi="宋体"/>
          <w:sz w:val="24"/>
          <w:highlight w:val="none"/>
        </w:rPr>
        <w:t>2.9为本项目提供整体设计、规范编制或者项目管理、监理、检测等服务的供应商，不得再参与本项目磋商。供应商为采购人、采购代理机构在确定采购需求、编制磋商文件过程中提供咨询论证，其提供的咨询论证意见成为磋商文件中规定的供应商资格条件、技术服务商务要求、评审因素和标准、政府采购合同等实质性内容条款的，视同为采购项目提供规范编制。</w:t>
      </w:r>
    </w:p>
    <w:p>
      <w:pPr>
        <w:spacing w:line="360" w:lineRule="auto"/>
        <w:ind w:firstLine="480" w:firstLineChars="200"/>
        <w:rPr>
          <w:rFonts w:ascii="宋体" w:hAnsi="宋体"/>
          <w:sz w:val="24"/>
          <w:highlight w:val="none"/>
        </w:rPr>
      </w:pPr>
      <w:r>
        <w:rPr>
          <w:rFonts w:hint="eastAsia" w:ascii="宋体" w:hAnsi="宋体"/>
          <w:sz w:val="24"/>
          <w:highlight w:val="none"/>
        </w:rPr>
        <w:t>2.10供应商提供的所有货物及服务，其来源均应符合《中华人民共和国政府采购法》等相关法律法规的规定。</w:t>
      </w:r>
    </w:p>
    <w:p>
      <w:pPr>
        <w:spacing w:line="360" w:lineRule="auto"/>
        <w:ind w:firstLine="480" w:firstLineChars="200"/>
        <w:rPr>
          <w:rFonts w:ascii="宋体" w:hAnsi="宋体"/>
          <w:sz w:val="24"/>
          <w:highlight w:val="none"/>
        </w:rPr>
      </w:pPr>
      <w:r>
        <w:rPr>
          <w:rFonts w:hint="eastAsia" w:ascii="宋体" w:hAnsi="宋体"/>
          <w:sz w:val="24"/>
          <w:highlight w:val="none"/>
        </w:rPr>
        <w:t>2.11供应商</w:t>
      </w:r>
      <w:r>
        <w:rPr>
          <w:rFonts w:hint="eastAsia" w:ascii="宋体" w:hAnsi="宋体"/>
          <w:sz w:val="24"/>
          <w:highlight w:val="none"/>
          <w:lang w:val="en-GB"/>
        </w:rPr>
        <w:t>必须保证，采购人在中华人民共和国境内使用报价货物、资料、技术、服务或其任何一部分时，享有不受限制的无偿使用权，不会产生因第三方提出侵犯其专利权、商标权或其它知识产权而引起的法律或经济纠纷。如</w:t>
      </w:r>
      <w:r>
        <w:rPr>
          <w:rFonts w:hint="eastAsia" w:ascii="宋体" w:hAnsi="宋体"/>
          <w:sz w:val="24"/>
          <w:highlight w:val="none"/>
        </w:rPr>
        <w:t>供应商</w:t>
      </w:r>
      <w:r>
        <w:rPr>
          <w:rFonts w:hint="eastAsia" w:ascii="宋体" w:hAnsi="宋体"/>
          <w:sz w:val="24"/>
          <w:highlight w:val="none"/>
          <w:lang w:val="en-GB"/>
        </w:rPr>
        <w:t>不拥有相应的知识产权，则应由</w:t>
      </w:r>
      <w:r>
        <w:rPr>
          <w:rFonts w:hint="eastAsia" w:ascii="宋体" w:hAnsi="宋体"/>
          <w:sz w:val="24"/>
          <w:highlight w:val="none"/>
        </w:rPr>
        <w:t>供应商</w:t>
      </w:r>
      <w:r>
        <w:rPr>
          <w:rFonts w:hint="eastAsia" w:ascii="宋体" w:hAnsi="宋体"/>
          <w:sz w:val="24"/>
          <w:highlight w:val="none"/>
          <w:lang w:val="en-GB"/>
        </w:rPr>
        <w:t>负责获得并提供给采购人使用，其报价中必须包括合法获取该知识产权的一切相关费用，如</w:t>
      </w:r>
      <w:r>
        <w:rPr>
          <w:rFonts w:hint="eastAsia" w:ascii="宋体" w:hAnsi="宋体"/>
          <w:sz w:val="24"/>
          <w:highlight w:val="none"/>
        </w:rPr>
        <w:t>供应商</w:t>
      </w:r>
      <w:r>
        <w:rPr>
          <w:rFonts w:hint="eastAsia" w:ascii="宋体" w:hAnsi="宋体"/>
          <w:sz w:val="24"/>
          <w:highlight w:val="none"/>
          <w:lang w:val="en-GB"/>
        </w:rPr>
        <w:t>没有单独列出的，视为已包含在相应报价中</w:t>
      </w:r>
      <w:r>
        <w:rPr>
          <w:rFonts w:hint="eastAsia" w:ascii="宋体" w:hAnsi="宋体"/>
          <w:sz w:val="24"/>
          <w:highlight w:val="none"/>
        </w:rPr>
        <w:t>。一旦使用供应商提供的产品或服务，采购人不再</w:t>
      </w:r>
      <w:r>
        <w:rPr>
          <w:rFonts w:hint="eastAsia" w:ascii="宋体" w:hAnsi="宋体"/>
          <w:sz w:val="24"/>
          <w:highlight w:val="none"/>
          <w:lang w:val="en-GB"/>
        </w:rPr>
        <w:t>承担第三方提出侵犯其专利权、商标权或其它知识产权而引起的法律或经济纠纷，</w:t>
      </w:r>
      <w:r>
        <w:rPr>
          <w:rFonts w:hint="eastAsia" w:ascii="宋体" w:hAnsi="宋体"/>
          <w:sz w:val="24"/>
          <w:highlight w:val="none"/>
        </w:rPr>
        <w:t>以上法律或经济纠纷由供应商承担。</w:t>
      </w:r>
    </w:p>
    <w:p>
      <w:pPr>
        <w:spacing w:line="360" w:lineRule="auto"/>
        <w:ind w:firstLine="482" w:firstLineChars="200"/>
        <w:rPr>
          <w:rFonts w:ascii="宋体" w:hAnsi="宋体"/>
          <w:b/>
          <w:bCs/>
          <w:sz w:val="24"/>
          <w:highlight w:val="none"/>
        </w:rPr>
      </w:pPr>
      <w:r>
        <w:rPr>
          <w:rFonts w:hint="eastAsia" w:ascii="宋体" w:hAnsi="宋体"/>
          <w:b/>
          <w:bCs/>
          <w:sz w:val="24"/>
          <w:highlight w:val="none"/>
        </w:rPr>
        <w:t>3.磋商费用</w:t>
      </w:r>
    </w:p>
    <w:p>
      <w:pPr>
        <w:spacing w:line="360" w:lineRule="auto"/>
        <w:ind w:firstLine="480" w:firstLineChars="200"/>
        <w:rPr>
          <w:rFonts w:ascii="宋体" w:hAnsi="宋体"/>
          <w:sz w:val="24"/>
          <w:highlight w:val="none"/>
        </w:rPr>
      </w:pPr>
      <w:r>
        <w:rPr>
          <w:rFonts w:hint="eastAsia" w:ascii="宋体" w:hAnsi="宋体"/>
          <w:sz w:val="24"/>
          <w:highlight w:val="none"/>
        </w:rPr>
        <w:t>3.1供应商应承担所有与准备和参加磋商有关的费用。不论磋商的结果如何，采购人和采购代理机构均无义务和责任承担这些费用。</w:t>
      </w:r>
      <w:bookmarkEnd w:id="86"/>
    </w:p>
    <w:p>
      <w:pPr>
        <w:spacing w:line="360" w:lineRule="auto"/>
        <w:jc w:val="center"/>
        <w:rPr>
          <w:rFonts w:ascii="黑体" w:hAnsi="黑体" w:eastAsia="黑体" w:cs="黑体"/>
          <w:b/>
          <w:sz w:val="24"/>
          <w:highlight w:val="none"/>
        </w:rPr>
      </w:pPr>
    </w:p>
    <w:p>
      <w:pPr>
        <w:spacing w:line="360" w:lineRule="auto"/>
        <w:ind w:firstLine="481"/>
        <w:jc w:val="left"/>
        <w:outlineLvl w:val="1"/>
        <w:rPr>
          <w:rFonts w:ascii="黑体" w:hAnsi="黑体" w:eastAsia="黑体" w:cs="黑体"/>
          <w:b/>
          <w:sz w:val="24"/>
          <w:highlight w:val="none"/>
        </w:rPr>
      </w:pPr>
      <w:bookmarkStart w:id="87" w:name="_Toc29396"/>
      <w:bookmarkStart w:id="88" w:name="_Toc5008"/>
      <w:r>
        <w:rPr>
          <w:rFonts w:hint="eastAsia" w:ascii="黑体" w:hAnsi="黑体" w:eastAsia="黑体" w:cs="黑体"/>
          <w:b/>
          <w:sz w:val="24"/>
          <w:highlight w:val="none"/>
        </w:rPr>
        <w:t>二、磋商文件</w:t>
      </w:r>
      <w:bookmarkEnd w:id="87"/>
      <w:bookmarkEnd w:id="88"/>
    </w:p>
    <w:p>
      <w:pPr>
        <w:spacing w:line="360" w:lineRule="auto"/>
        <w:ind w:firstLine="482" w:firstLineChars="200"/>
        <w:rPr>
          <w:rFonts w:ascii="宋体" w:hAnsi="宋体"/>
          <w:b/>
          <w:bCs/>
          <w:sz w:val="24"/>
          <w:highlight w:val="none"/>
        </w:rPr>
      </w:pPr>
      <w:r>
        <w:rPr>
          <w:rFonts w:hint="eastAsia" w:ascii="宋体" w:hAnsi="宋体"/>
          <w:b/>
          <w:bCs/>
          <w:sz w:val="24"/>
          <w:highlight w:val="none"/>
        </w:rPr>
        <w:t>4.</w:t>
      </w:r>
      <w:bookmarkStart w:id="89" w:name="OLE_LINK45"/>
      <w:r>
        <w:rPr>
          <w:rFonts w:hint="eastAsia" w:ascii="宋体" w:hAnsi="宋体"/>
          <w:b/>
          <w:bCs/>
          <w:sz w:val="24"/>
          <w:highlight w:val="none"/>
        </w:rPr>
        <w:t>磋商文件的</w:t>
      </w:r>
      <w:bookmarkEnd w:id="89"/>
      <w:r>
        <w:rPr>
          <w:rFonts w:hint="eastAsia" w:ascii="宋体" w:hAnsi="宋体"/>
          <w:b/>
          <w:bCs/>
          <w:sz w:val="24"/>
          <w:highlight w:val="none"/>
        </w:rPr>
        <w:t>构成</w:t>
      </w:r>
    </w:p>
    <w:p>
      <w:pPr>
        <w:spacing w:line="360" w:lineRule="auto"/>
        <w:ind w:firstLine="480" w:firstLineChars="200"/>
        <w:rPr>
          <w:rFonts w:ascii="宋体" w:hAnsi="宋体"/>
          <w:sz w:val="24"/>
          <w:highlight w:val="none"/>
        </w:rPr>
      </w:pPr>
      <w:r>
        <w:rPr>
          <w:rFonts w:hint="eastAsia" w:ascii="宋体" w:hAnsi="宋体"/>
          <w:sz w:val="24"/>
          <w:highlight w:val="none"/>
        </w:rPr>
        <w:t>4.1磋商文件由下列文件以及在采购过程中发出的澄清及变更文件组成：</w:t>
      </w:r>
    </w:p>
    <w:p>
      <w:pPr>
        <w:spacing w:line="360" w:lineRule="auto"/>
        <w:ind w:firstLine="480" w:firstLineChars="200"/>
        <w:rPr>
          <w:rFonts w:ascii="宋体" w:hAnsi="宋体"/>
          <w:sz w:val="24"/>
          <w:highlight w:val="none"/>
        </w:rPr>
      </w:pPr>
      <w:r>
        <w:rPr>
          <w:rFonts w:hint="eastAsia" w:ascii="宋体" w:hAnsi="宋体"/>
          <w:sz w:val="24"/>
          <w:highlight w:val="none"/>
        </w:rPr>
        <w:t>4.1.1磋商邀请函</w:t>
      </w:r>
    </w:p>
    <w:p>
      <w:pPr>
        <w:spacing w:line="360" w:lineRule="auto"/>
        <w:ind w:firstLine="480" w:firstLineChars="200"/>
        <w:rPr>
          <w:rFonts w:ascii="宋体" w:hAnsi="宋体"/>
          <w:sz w:val="24"/>
          <w:highlight w:val="none"/>
        </w:rPr>
      </w:pPr>
      <w:r>
        <w:rPr>
          <w:rFonts w:hint="eastAsia" w:ascii="宋体" w:hAnsi="宋体"/>
          <w:sz w:val="24"/>
          <w:highlight w:val="none"/>
        </w:rPr>
        <w:t>4.1.2用户需求书</w:t>
      </w:r>
    </w:p>
    <w:p>
      <w:pPr>
        <w:spacing w:line="360" w:lineRule="auto"/>
        <w:ind w:firstLine="480" w:firstLineChars="200"/>
        <w:rPr>
          <w:rFonts w:ascii="宋体" w:hAnsi="宋体"/>
          <w:sz w:val="24"/>
          <w:highlight w:val="none"/>
        </w:rPr>
      </w:pPr>
      <w:r>
        <w:rPr>
          <w:rFonts w:hint="eastAsia" w:ascii="宋体" w:hAnsi="宋体"/>
          <w:sz w:val="24"/>
          <w:highlight w:val="none"/>
        </w:rPr>
        <w:t>4.1.3供应商须知</w:t>
      </w:r>
    </w:p>
    <w:p>
      <w:pPr>
        <w:spacing w:line="360" w:lineRule="auto"/>
        <w:ind w:firstLine="480" w:firstLineChars="200"/>
        <w:rPr>
          <w:rFonts w:ascii="宋体" w:hAnsi="宋体"/>
          <w:sz w:val="24"/>
          <w:highlight w:val="none"/>
        </w:rPr>
      </w:pPr>
      <w:r>
        <w:rPr>
          <w:rFonts w:hint="eastAsia" w:ascii="宋体" w:hAnsi="宋体"/>
          <w:sz w:val="24"/>
          <w:highlight w:val="none"/>
        </w:rPr>
        <w:t>4.1.4磋商、评审、成交</w:t>
      </w:r>
    </w:p>
    <w:p>
      <w:pPr>
        <w:spacing w:line="360" w:lineRule="auto"/>
        <w:ind w:firstLine="480" w:firstLineChars="200"/>
        <w:rPr>
          <w:rFonts w:ascii="宋体" w:hAnsi="宋体"/>
          <w:sz w:val="24"/>
          <w:highlight w:val="none"/>
        </w:rPr>
      </w:pPr>
      <w:r>
        <w:rPr>
          <w:rFonts w:hint="eastAsia" w:ascii="宋体" w:hAnsi="宋体"/>
          <w:sz w:val="24"/>
          <w:highlight w:val="none"/>
        </w:rPr>
        <w:t>4.1.5政府采购合同格式</w:t>
      </w:r>
    </w:p>
    <w:p>
      <w:pPr>
        <w:spacing w:line="360" w:lineRule="auto"/>
        <w:ind w:firstLine="480" w:firstLineChars="200"/>
        <w:rPr>
          <w:rFonts w:ascii="宋体" w:hAnsi="宋体"/>
          <w:sz w:val="24"/>
          <w:highlight w:val="none"/>
        </w:rPr>
      </w:pPr>
      <w:r>
        <w:rPr>
          <w:rFonts w:hint="eastAsia" w:ascii="宋体" w:hAnsi="宋体"/>
          <w:sz w:val="24"/>
          <w:highlight w:val="none"/>
        </w:rPr>
        <w:t xml:space="preserve">4.1.6响应文件格式 </w:t>
      </w:r>
    </w:p>
    <w:p>
      <w:pPr>
        <w:spacing w:line="360" w:lineRule="auto"/>
        <w:ind w:firstLine="480" w:firstLineChars="200"/>
        <w:rPr>
          <w:rFonts w:ascii="宋体" w:hAnsi="宋体"/>
          <w:sz w:val="24"/>
          <w:highlight w:val="none"/>
        </w:rPr>
      </w:pPr>
      <w:r>
        <w:rPr>
          <w:rFonts w:hint="eastAsia" w:ascii="宋体" w:hAnsi="宋体"/>
          <w:sz w:val="24"/>
          <w:highlight w:val="none"/>
        </w:rPr>
        <w:t>4.1.7在磋商过程中由采购代理机构发出的澄清及变更文件等。</w:t>
      </w:r>
    </w:p>
    <w:p>
      <w:pPr>
        <w:spacing w:line="360" w:lineRule="auto"/>
        <w:ind w:firstLine="482" w:firstLineChars="200"/>
        <w:rPr>
          <w:rFonts w:ascii="宋体" w:hAnsi="宋体"/>
          <w:b/>
          <w:bCs/>
          <w:sz w:val="24"/>
          <w:highlight w:val="none"/>
        </w:rPr>
      </w:pPr>
      <w:r>
        <w:rPr>
          <w:rFonts w:hint="eastAsia" w:ascii="宋体" w:hAnsi="宋体"/>
          <w:b/>
          <w:bCs/>
          <w:sz w:val="24"/>
          <w:highlight w:val="none"/>
        </w:rPr>
        <w:t>5.磋商文件的澄清</w:t>
      </w:r>
    </w:p>
    <w:p>
      <w:pPr>
        <w:spacing w:line="360" w:lineRule="auto"/>
        <w:ind w:firstLine="480" w:firstLineChars="200"/>
        <w:rPr>
          <w:rFonts w:ascii="宋体" w:hAnsi="宋体"/>
          <w:sz w:val="24"/>
          <w:highlight w:val="none"/>
        </w:rPr>
      </w:pPr>
      <w:r>
        <w:rPr>
          <w:rFonts w:hint="eastAsia" w:ascii="宋体" w:hAnsi="宋体"/>
          <w:sz w:val="24"/>
          <w:highlight w:val="none"/>
        </w:rPr>
        <w:t>5.1在响应截止期前，采购单位有权根据需求对磋商文件进行必要的澄清，澄清文件将以书面形式通知每一个购买磋商文件的供应商。</w:t>
      </w:r>
    </w:p>
    <w:p>
      <w:pPr>
        <w:spacing w:line="360" w:lineRule="auto"/>
        <w:ind w:firstLine="480" w:firstLineChars="200"/>
        <w:rPr>
          <w:rFonts w:ascii="宋体" w:hAnsi="宋体"/>
          <w:sz w:val="24"/>
          <w:highlight w:val="none"/>
        </w:rPr>
      </w:pPr>
      <w:r>
        <w:rPr>
          <w:rFonts w:hint="eastAsia" w:ascii="宋体" w:hAnsi="宋体"/>
          <w:sz w:val="24"/>
          <w:highlight w:val="none"/>
        </w:rPr>
        <w:t>该澄清的内容为磋商文件组成部分。</w:t>
      </w:r>
    </w:p>
    <w:p>
      <w:pPr>
        <w:spacing w:line="360" w:lineRule="auto"/>
        <w:ind w:firstLine="482" w:firstLineChars="200"/>
        <w:rPr>
          <w:rFonts w:ascii="宋体" w:hAnsi="宋体"/>
          <w:b/>
          <w:bCs/>
          <w:sz w:val="24"/>
          <w:highlight w:val="none"/>
        </w:rPr>
      </w:pPr>
      <w:r>
        <w:rPr>
          <w:rFonts w:hint="eastAsia" w:ascii="宋体" w:hAnsi="宋体"/>
          <w:b/>
          <w:bCs/>
          <w:sz w:val="24"/>
          <w:highlight w:val="none"/>
        </w:rPr>
        <w:t>6.磋商文件的修改</w:t>
      </w:r>
    </w:p>
    <w:p>
      <w:pPr>
        <w:spacing w:line="360" w:lineRule="auto"/>
        <w:ind w:firstLine="480" w:firstLineChars="200"/>
        <w:rPr>
          <w:rFonts w:ascii="宋体" w:hAnsi="宋体"/>
          <w:sz w:val="24"/>
          <w:highlight w:val="none"/>
        </w:rPr>
      </w:pPr>
      <w:r>
        <w:rPr>
          <w:rFonts w:hint="eastAsia" w:ascii="宋体" w:hAnsi="宋体"/>
          <w:sz w:val="24"/>
          <w:highlight w:val="none"/>
        </w:rPr>
        <w:t>6.1在响应截止期前，采购单位有权根据需求对磋商文件进行必要的修改，对磋商文件的修改将以变更公告形式在陕西省政府采购网上发布，并将以书面形式通知每一个购买磋商文件的供应商。</w:t>
      </w:r>
    </w:p>
    <w:p>
      <w:pPr>
        <w:spacing w:line="360" w:lineRule="auto"/>
        <w:ind w:firstLine="480" w:firstLineChars="200"/>
        <w:rPr>
          <w:rFonts w:ascii="宋体" w:hAnsi="宋体"/>
          <w:sz w:val="24"/>
          <w:highlight w:val="none"/>
        </w:rPr>
      </w:pPr>
      <w:r>
        <w:rPr>
          <w:rFonts w:hint="eastAsia" w:ascii="宋体" w:hAnsi="宋体"/>
          <w:sz w:val="24"/>
          <w:highlight w:val="none"/>
        </w:rPr>
        <w:t>该修改的内容为磋商文件组成部分。</w:t>
      </w:r>
    </w:p>
    <w:p>
      <w:pPr>
        <w:spacing w:line="360" w:lineRule="auto"/>
        <w:ind w:firstLine="480" w:firstLineChars="200"/>
        <w:rPr>
          <w:rFonts w:ascii="宋体" w:hAnsi="宋体"/>
          <w:sz w:val="24"/>
          <w:highlight w:val="none"/>
        </w:rPr>
      </w:pPr>
      <w:r>
        <w:rPr>
          <w:rFonts w:hint="eastAsia" w:ascii="宋体" w:hAnsi="宋体"/>
          <w:sz w:val="24"/>
          <w:highlight w:val="none"/>
        </w:rPr>
        <w:t>6.2为使供应商准备响应时有充分时间对磋商文件的修改部分进行研究，采购单位有权适当延长响应截止期。</w:t>
      </w:r>
    </w:p>
    <w:p>
      <w:pPr>
        <w:spacing w:line="360" w:lineRule="auto"/>
        <w:ind w:firstLine="480" w:firstLineChars="200"/>
        <w:rPr>
          <w:rFonts w:ascii="宋体" w:hAnsi="宋体"/>
          <w:sz w:val="24"/>
          <w:highlight w:val="none"/>
        </w:rPr>
      </w:pPr>
      <w:r>
        <w:rPr>
          <w:rFonts w:hint="eastAsia" w:ascii="宋体" w:hAnsi="宋体"/>
          <w:sz w:val="24"/>
          <w:highlight w:val="none"/>
        </w:rPr>
        <w:t>延期公告将以6.1所述方式通知每一个购买磋商文件的供应商。</w:t>
      </w:r>
    </w:p>
    <w:p>
      <w:pPr>
        <w:spacing w:line="360" w:lineRule="auto"/>
        <w:ind w:firstLine="480" w:firstLineChars="200"/>
        <w:rPr>
          <w:rFonts w:ascii="宋体" w:hAnsi="宋体"/>
          <w:sz w:val="24"/>
          <w:highlight w:val="none"/>
        </w:rPr>
      </w:pPr>
      <w:r>
        <w:rPr>
          <w:rFonts w:hint="eastAsia" w:ascii="宋体" w:hAnsi="宋体"/>
          <w:sz w:val="24"/>
          <w:highlight w:val="none"/>
        </w:rPr>
        <w:t>6.3供应商在收到上述通知后，应在通知规定的时间内向采购代理机构回函确认。</w:t>
      </w:r>
    </w:p>
    <w:p>
      <w:pPr>
        <w:spacing w:line="360" w:lineRule="auto"/>
        <w:ind w:firstLine="482" w:firstLineChars="200"/>
        <w:rPr>
          <w:rFonts w:ascii="宋体" w:hAnsi="宋体"/>
          <w:b/>
          <w:bCs/>
          <w:sz w:val="24"/>
          <w:highlight w:val="none"/>
        </w:rPr>
      </w:pPr>
      <w:bookmarkStart w:id="90" w:name="_Toc217446041"/>
      <w:bookmarkStart w:id="91" w:name="_Toc208848971"/>
      <w:r>
        <w:rPr>
          <w:rFonts w:hint="eastAsia" w:ascii="宋体" w:hAnsi="宋体"/>
          <w:b/>
          <w:bCs/>
          <w:sz w:val="24"/>
          <w:highlight w:val="none"/>
        </w:rPr>
        <w:t>7.答疑会和现场考察</w:t>
      </w:r>
      <w:bookmarkEnd w:id="90"/>
      <w:bookmarkEnd w:id="91"/>
    </w:p>
    <w:p>
      <w:pPr>
        <w:spacing w:line="360" w:lineRule="auto"/>
        <w:ind w:firstLine="480" w:firstLineChars="200"/>
        <w:rPr>
          <w:rFonts w:ascii="宋体" w:hAnsi="宋体"/>
          <w:sz w:val="24"/>
          <w:highlight w:val="none"/>
        </w:rPr>
      </w:pPr>
      <w:r>
        <w:rPr>
          <w:rFonts w:hint="eastAsia" w:ascii="宋体" w:hAnsi="宋体"/>
          <w:sz w:val="24"/>
          <w:highlight w:val="none"/>
        </w:rPr>
        <w:t>7.1根据采购项目特点或具体情况，采购单位认为有必要，可以在磋商文件提供期限截止后，组织已获取磋商文件的潜在供应商现场考察或者召开开标前答疑会。</w:t>
      </w:r>
    </w:p>
    <w:p>
      <w:pPr>
        <w:spacing w:line="360" w:lineRule="auto"/>
        <w:ind w:firstLine="480" w:firstLineChars="200"/>
        <w:rPr>
          <w:rFonts w:ascii="宋体" w:hAnsi="宋体"/>
          <w:sz w:val="24"/>
          <w:highlight w:val="none"/>
        </w:rPr>
      </w:pPr>
      <w:r>
        <w:rPr>
          <w:rFonts w:hint="eastAsia" w:ascii="宋体" w:hAnsi="宋体"/>
          <w:sz w:val="24"/>
          <w:highlight w:val="none"/>
        </w:rPr>
        <w:t>如需组织现场考察或者召开答疑会的，采购单位将以书面形式通知所有获取磋商文件的潜在供应商参加。</w:t>
      </w:r>
    </w:p>
    <w:p>
      <w:pPr>
        <w:spacing w:line="360" w:lineRule="auto"/>
        <w:ind w:firstLine="480" w:firstLineChars="200"/>
        <w:rPr>
          <w:rFonts w:ascii="宋体" w:hAnsi="宋体"/>
          <w:sz w:val="24"/>
          <w:highlight w:val="none"/>
        </w:rPr>
      </w:pPr>
      <w:r>
        <w:rPr>
          <w:rFonts w:hint="eastAsia" w:ascii="宋体" w:hAnsi="宋体"/>
          <w:sz w:val="24"/>
          <w:highlight w:val="none"/>
        </w:rPr>
        <w:t>7.2供应商考察现场所发生的一切费用由供应商自己承担。</w:t>
      </w:r>
    </w:p>
    <w:p>
      <w:pPr>
        <w:spacing w:line="360" w:lineRule="auto"/>
        <w:ind w:firstLine="482" w:firstLineChars="200"/>
        <w:rPr>
          <w:rFonts w:ascii="宋体" w:hAnsi="宋体"/>
          <w:b/>
          <w:bCs/>
          <w:sz w:val="24"/>
          <w:highlight w:val="none"/>
        </w:rPr>
      </w:pPr>
      <w:r>
        <w:rPr>
          <w:rFonts w:hint="eastAsia" w:ascii="宋体" w:hAnsi="宋体"/>
          <w:b/>
          <w:bCs/>
          <w:sz w:val="24"/>
          <w:highlight w:val="none"/>
        </w:rPr>
        <w:t>8.磋商文件的解释权归属</w:t>
      </w:r>
    </w:p>
    <w:p>
      <w:pPr>
        <w:spacing w:line="360" w:lineRule="auto"/>
        <w:ind w:firstLine="480" w:firstLineChars="200"/>
        <w:rPr>
          <w:rFonts w:ascii="宋体" w:hAnsi="宋体"/>
          <w:sz w:val="24"/>
          <w:highlight w:val="none"/>
        </w:rPr>
      </w:pPr>
      <w:r>
        <w:rPr>
          <w:rFonts w:hint="eastAsia" w:ascii="宋体" w:hAnsi="宋体"/>
          <w:sz w:val="24"/>
          <w:highlight w:val="none"/>
        </w:rPr>
        <w:t>本磋商文件的解释权归采购代理机构。</w:t>
      </w:r>
    </w:p>
    <w:p>
      <w:pPr>
        <w:spacing w:line="360" w:lineRule="auto"/>
        <w:ind w:firstLine="480" w:firstLineChars="200"/>
        <w:rPr>
          <w:rFonts w:ascii="宋体" w:hAnsi="宋体"/>
          <w:sz w:val="24"/>
          <w:highlight w:val="none"/>
        </w:rPr>
      </w:pPr>
    </w:p>
    <w:p>
      <w:pPr>
        <w:spacing w:line="360" w:lineRule="auto"/>
        <w:ind w:firstLine="481"/>
        <w:jc w:val="left"/>
        <w:outlineLvl w:val="1"/>
        <w:rPr>
          <w:rFonts w:ascii="黑体" w:hAnsi="黑体" w:eastAsia="黑体" w:cs="黑体"/>
          <w:b/>
          <w:sz w:val="24"/>
          <w:highlight w:val="none"/>
        </w:rPr>
      </w:pPr>
      <w:bookmarkStart w:id="92" w:name="_Toc31824"/>
      <w:bookmarkStart w:id="93" w:name="_Toc17031"/>
      <w:bookmarkStart w:id="94" w:name="_Toc18767"/>
      <w:r>
        <w:rPr>
          <w:rFonts w:hint="eastAsia" w:ascii="黑体" w:hAnsi="黑体" w:eastAsia="黑体" w:cs="黑体"/>
          <w:b/>
          <w:sz w:val="24"/>
          <w:highlight w:val="none"/>
        </w:rPr>
        <w:t>三、响应文件的编制</w:t>
      </w:r>
      <w:bookmarkEnd w:id="92"/>
      <w:bookmarkEnd w:id="93"/>
      <w:bookmarkEnd w:id="94"/>
    </w:p>
    <w:p>
      <w:pPr>
        <w:spacing w:line="360" w:lineRule="auto"/>
        <w:ind w:firstLine="482" w:firstLineChars="200"/>
        <w:rPr>
          <w:rFonts w:ascii="宋体" w:hAnsi="宋体"/>
          <w:b/>
          <w:sz w:val="24"/>
          <w:highlight w:val="none"/>
        </w:rPr>
      </w:pPr>
      <w:r>
        <w:rPr>
          <w:rFonts w:hint="eastAsia" w:ascii="宋体" w:hAnsi="宋体"/>
          <w:b/>
          <w:sz w:val="24"/>
          <w:highlight w:val="none"/>
        </w:rPr>
        <w:t>9.响应文件的编制要求</w:t>
      </w:r>
    </w:p>
    <w:p>
      <w:pPr>
        <w:spacing w:line="360" w:lineRule="auto"/>
        <w:ind w:firstLine="480" w:firstLineChars="200"/>
        <w:rPr>
          <w:rFonts w:ascii="宋体" w:hAnsi="宋体"/>
          <w:sz w:val="24"/>
          <w:highlight w:val="none"/>
        </w:rPr>
      </w:pPr>
      <w:r>
        <w:rPr>
          <w:rFonts w:hint="eastAsia" w:ascii="宋体" w:hAnsi="宋体"/>
          <w:sz w:val="24"/>
          <w:highlight w:val="none"/>
        </w:rPr>
        <w:t>9.1响应文件的构成应符合法律法规及磋商文件的要求。</w:t>
      </w:r>
    </w:p>
    <w:p>
      <w:pPr>
        <w:spacing w:line="360" w:lineRule="auto"/>
        <w:ind w:firstLine="480" w:firstLineChars="200"/>
        <w:rPr>
          <w:rFonts w:ascii="宋体" w:hAnsi="宋体"/>
          <w:sz w:val="24"/>
          <w:highlight w:val="none"/>
        </w:rPr>
      </w:pPr>
      <w:bookmarkStart w:id="95" w:name="OLE_LINK46"/>
      <w:r>
        <w:rPr>
          <w:rFonts w:hint="eastAsia" w:ascii="宋体" w:hAnsi="宋体"/>
          <w:sz w:val="24"/>
          <w:highlight w:val="none"/>
        </w:rPr>
        <w:t>9.2供应商应认真阅读、并充分理解磋商文件的全部内容（包括所有的补充、修改内容、重要事项、格式、条款和技术规范、参数及要求等），并应完整、真实、准确的填写磋商文件中规定的所有内容。供应商没有按照磋商文件要求提交全部资料，或者响应没有对磋商文件在各方面都作出实质性响应是供应商的风险，有可能导致其响应被拒绝，或被认定为无效响应或被确定为响应无效。</w:t>
      </w:r>
    </w:p>
    <w:p>
      <w:pPr>
        <w:spacing w:line="360" w:lineRule="auto"/>
        <w:ind w:firstLine="480" w:firstLineChars="200"/>
        <w:rPr>
          <w:rFonts w:ascii="宋体" w:hAnsi="宋体"/>
          <w:sz w:val="24"/>
          <w:highlight w:val="none"/>
        </w:rPr>
      </w:pPr>
      <w:r>
        <w:rPr>
          <w:rFonts w:hint="eastAsia" w:ascii="宋体" w:hAnsi="宋体"/>
          <w:sz w:val="24"/>
          <w:highlight w:val="none"/>
        </w:rPr>
        <w:t>9.3供应商必须对响应文件所提供的全部资料的真实性承担法律责任，并无条件接受采购人或采购代理机构及政府采购监督管理部门等对其中任何资料进行核实的要求。</w:t>
      </w:r>
    </w:p>
    <w:p>
      <w:pPr>
        <w:spacing w:line="360" w:lineRule="auto"/>
        <w:ind w:firstLine="480" w:firstLineChars="200"/>
        <w:rPr>
          <w:rFonts w:ascii="宋体" w:hAnsi="宋体"/>
          <w:sz w:val="24"/>
          <w:highlight w:val="none"/>
        </w:rPr>
      </w:pPr>
      <w:r>
        <w:rPr>
          <w:rFonts w:hint="eastAsia" w:ascii="宋体" w:hAnsi="宋体"/>
          <w:sz w:val="24"/>
          <w:highlight w:val="none"/>
        </w:rPr>
        <w:t>9.4如果因为供应商响应文件填报的内容不详，或没有提供磋商文件中所要求的全部资料及数据，由此造成的后果，其责任由供应商承担。</w:t>
      </w:r>
    </w:p>
    <w:p>
      <w:pPr>
        <w:spacing w:line="360" w:lineRule="auto"/>
        <w:ind w:firstLine="482" w:firstLineChars="200"/>
        <w:rPr>
          <w:rFonts w:ascii="宋体" w:hAnsi="宋体"/>
          <w:b/>
          <w:sz w:val="24"/>
          <w:highlight w:val="none"/>
        </w:rPr>
      </w:pPr>
      <w:r>
        <w:rPr>
          <w:rFonts w:hint="eastAsia" w:ascii="宋体" w:hAnsi="宋体"/>
          <w:b/>
          <w:sz w:val="24"/>
          <w:highlight w:val="none"/>
        </w:rPr>
        <w:t>10.响应的语言及计量单位</w:t>
      </w:r>
    </w:p>
    <w:p>
      <w:pPr>
        <w:spacing w:line="360" w:lineRule="auto"/>
        <w:ind w:firstLine="480" w:firstLineChars="200"/>
        <w:rPr>
          <w:rFonts w:ascii="宋体" w:hAnsi="宋体"/>
          <w:sz w:val="24"/>
          <w:highlight w:val="none"/>
        </w:rPr>
      </w:pPr>
      <w:r>
        <w:rPr>
          <w:rFonts w:hint="eastAsia" w:ascii="宋体" w:hAnsi="宋体"/>
          <w:sz w:val="24"/>
          <w:highlight w:val="none"/>
        </w:rPr>
        <w:t>10.1供应商提交的响应文件以及供应商与采购代理机构就有关响应的所有来往函电均应使用中文。供应商提交的支持文件或印刷的资料可以用另一种语言，但相应内容应附有中文翻译本，两种语言不一致时以中文翻译本为准。</w:t>
      </w:r>
    </w:p>
    <w:p>
      <w:pPr>
        <w:spacing w:line="360" w:lineRule="auto"/>
        <w:ind w:firstLine="480" w:firstLineChars="200"/>
        <w:rPr>
          <w:rFonts w:ascii="宋体" w:hAnsi="宋体"/>
          <w:sz w:val="24"/>
          <w:highlight w:val="none"/>
        </w:rPr>
      </w:pPr>
      <w:r>
        <w:rPr>
          <w:rFonts w:hint="eastAsia" w:ascii="宋体" w:hAnsi="宋体"/>
          <w:sz w:val="24"/>
          <w:highlight w:val="none"/>
        </w:rPr>
        <w:t>10.2除非磋商文件的技术规格中另有规定，供应商在响应文件中及其与采购人和采购代理机构的所有往来文件中的计量单位均应采用中华人民共和国法定计量单位。</w:t>
      </w:r>
    </w:p>
    <w:p>
      <w:pPr>
        <w:spacing w:line="360" w:lineRule="auto"/>
        <w:ind w:firstLine="482" w:firstLineChars="200"/>
        <w:rPr>
          <w:rFonts w:ascii="宋体" w:hAnsi="宋体"/>
          <w:b/>
          <w:sz w:val="24"/>
          <w:highlight w:val="none"/>
        </w:rPr>
      </w:pPr>
      <w:r>
        <w:rPr>
          <w:rFonts w:hint="eastAsia" w:ascii="宋体" w:hAnsi="宋体"/>
          <w:b/>
          <w:sz w:val="24"/>
          <w:highlight w:val="none"/>
        </w:rPr>
        <w:t>11.响应的报价</w:t>
      </w:r>
    </w:p>
    <w:p>
      <w:pPr>
        <w:spacing w:line="360" w:lineRule="auto"/>
        <w:ind w:firstLine="480" w:firstLineChars="200"/>
        <w:rPr>
          <w:rFonts w:ascii="宋体" w:hAnsi="宋体"/>
          <w:sz w:val="24"/>
          <w:highlight w:val="none"/>
        </w:rPr>
      </w:pPr>
      <w:r>
        <w:rPr>
          <w:rFonts w:hint="eastAsia" w:ascii="宋体" w:hAnsi="宋体"/>
          <w:sz w:val="24"/>
          <w:highlight w:val="none"/>
        </w:rPr>
        <w:t>11.1磋商报价是供应商响应磋商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pPr>
        <w:spacing w:line="360" w:lineRule="auto"/>
        <w:ind w:firstLine="480" w:firstLineChars="200"/>
        <w:rPr>
          <w:rFonts w:ascii="宋体" w:hAnsi="宋体"/>
          <w:sz w:val="24"/>
          <w:highlight w:val="none"/>
        </w:rPr>
      </w:pPr>
      <w:r>
        <w:rPr>
          <w:rFonts w:hint="eastAsia" w:ascii="宋体" w:hAnsi="宋体"/>
          <w:sz w:val="24"/>
          <w:highlight w:val="none"/>
        </w:rPr>
        <w:t>11.2供应商应按照《响应文件格式》中《首次报价一览表》中的相关要求填写需要响应的内容，首次报价超过采购预算或磋商文件规定的最高限价的，按无效响应处理。</w:t>
      </w:r>
    </w:p>
    <w:p>
      <w:pPr>
        <w:spacing w:line="360" w:lineRule="auto"/>
        <w:ind w:firstLine="480" w:firstLineChars="200"/>
        <w:rPr>
          <w:rFonts w:ascii="宋体" w:hAnsi="宋体"/>
          <w:sz w:val="24"/>
          <w:highlight w:val="none"/>
        </w:rPr>
      </w:pPr>
      <w:r>
        <w:rPr>
          <w:rFonts w:hint="eastAsia" w:ascii="宋体" w:hAnsi="宋体"/>
          <w:sz w:val="24"/>
          <w:highlight w:val="none"/>
        </w:rPr>
        <w:t>11.3磋商报价采取二轮报价的办法，最终报价作为计算价格分值的依据。供应商应在磋商当天，磋商小组规定的报价时间内，填写最终报价表，签名并递交采购代理机构。</w:t>
      </w:r>
    </w:p>
    <w:p>
      <w:pPr>
        <w:spacing w:line="360" w:lineRule="auto"/>
        <w:ind w:firstLine="480" w:firstLineChars="200"/>
        <w:rPr>
          <w:rFonts w:ascii="宋体" w:hAnsi="宋体"/>
          <w:sz w:val="24"/>
          <w:highlight w:val="none"/>
        </w:rPr>
      </w:pPr>
      <w:r>
        <w:rPr>
          <w:rFonts w:hint="eastAsia" w:ascii="宋体" w:hAnsi="宋体"/>
          <w:sz w:val="24"/>
          <w:highlight w:val="none"/>
        </w:rPr>
        <w:t>11.4如采购内容无实质性变更，各供应商的报价应逐次降低，本次报价超过采购预算或磋商文件规定的最高限价的，按无效响应处理；本次报价超过上次报价但未超过采购预算或磋商文件规定的最高限价的，或在规定时间内最终报价未提交、提交不成功的均为无效报价，按无效响应处理。</w:t>
      </w:r>
    </w:p>
    <w:p>
      <w:pPr>
        <w:spacing w:line="360" w:lineRule="auto"/>
        <w:ind w:firstLine="480" w:firstLineChars="200"/>
        <w:rPr>
          <w:rFonts w:ascii="宋体" w:hAnsi="宋体"/>
          <w:sz w:val="24"/>
          <w:highlight w:val="none"/>
        </w:rPr>
      </w:pPr>
      <w:r>
        <w:rPr>
          <w:rFonts w:hint="eastAsia" w:ascii="宋体" w:hAnsi="宋体"/>
          <w:sz w:val="24"/>
          <w:highlight w:val="none"/>
        </w:rPr>
        <w:t>“规定时间”由现场工作人员集体确定。供应商最终报价较首次报价降价的，成交后，签订合同时应按照成交价较首次报价的下浮比率修改分项报价表中的相应报价。</w:t>
      </w:r>
    </w:p>
    <w:p>
      <w:pPr>
        <w:spacing w:line="360" w:lineRule="auto"/>
        <w:ind w:firstLine="480" w:firstLineChars="200"/>
        <w:rPr>
          <w:rFonts w:ascii="宋体" w:hAnsi="宋体"/>
          <w:sz w:val="24"/>
          <w:highlight w:val="none"/>
        </w:rPr>
      </w:pPr>
      <w:r>
        <w:rPr>
          <w:rFonts w:hint="eastAsia" w:ascii="宋体" w:hAnsi="宋体"/>
          <w:sz w:val="24"/>
          <w:highlight w:val="none"/>
        </w:rPr>
        <w:t>11.6磋商报价货币：人民币；单位：元，保留小数点后两位。</w:t>
      </w:r>
    </w:p>
    <w:p>
      <w:pPr>
        <w:spacing w:line="360" w:lineRule="auto"/>
        <w:ind w:firstLine="480" w:firstLineChars="200"/>
        <w:rPr>
          <w:rFonts w:ascii="宋体" w:hAnsi="宋体"/>
          <w:sz w:val="24"/>
          <w:highlight w:val="none"/>
        </w:rPr>
      </w:pPr>
      <w:r>
        <w:rPr>
          <w:rFonts w:hint="eastAsia" w:ascii="宋体" w:hAnsi="宋体"/>
          <w:sz w:val="24"/>
          <w:highlight w:val="none"/>
        </w:rPr>
        <w:t>11.7磋商报价大小写不一致的以大写为准。</w:t>
      </w:r>
    </w:p>
    <w:p>
      <w:pPr>
        <w:spacing w:line="360" w:lineRule="auto"/>
        <w:ind w:firstLine="480" w:firstLineChars="200"/>
        <w:rPr>
          <w:rFonts w:ascii="宋体" w:hAnsi="宋体"/>
          <w:sz w:val="24"/>
          <w:highlight w:val="none"/>
        </w:rPr>
      </w:pPr>
      <w:r>
        <w:rPr>
          <w:rFonts w:hint="eastAsia" w:ascii="宋体" w:hAnsi="宋体"/>
          <w:sz w:val="24"/>
          <w:highlight w:val="none"/>
        </w:rPr>
        <w:t>11.8因供应商对磋商文件理解不透、误解、疏漏或对市场行情了解不清造成的后果和风险，均由供应商自己负责。</w:t>
      </w:r>
    </w:p>
    <w:p>
      <w:pPr>
        <w:spacing w:line="360" w:lineRule="auto"/>
        <w:ind w:firstLine="482" w:firstLineChars="200"/>
        <w:rPr>
          <w:rFonts w:ascii="宋体" w:hAnsi="宋体"/>
          <w:b/>
          <w:sz w:val="24"/>
          <w:highlight w:val="none"/>
        </w:rPr>
      </w:pPr>
      <w:r>
        <w:rPr>
          <w:rFonts w:hint="eastAsia" w:ascii="宋体" w:hAnsi="宋体"/>
          <w:b/>
          <w:sz w:val="24"/>
          <w:highlight w:val="none"/>
        </w:rPr>
        <w:t>12.响应文件的制作和签署</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12.1为倡导节约用纸，规范响应文件编制，文件建议采用双面打印或复印，为避免个别供应商过于追求文件厚度而采用二号等超大号字体、超大字间距及行距等：</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1）建议响应文件（除特殊规格的图纸外）统一按照A4规格纸张制作；</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2）建议正文字体大小采用小四或不超过四号字体编制、小标题字体大小合理设置；</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3）合理设置段落间距，建议正文行距不超过2倍、段前段后不超过1行。</w:t>
      </w:r>
    </w:p>
    <w:p>
      <w:pPr>
        <w:spacing w:line="360" w:lineRule="auto"/>
        <w:ind w:firstLine="480" w:firstLineChars="200"/>
        <w:rPr>
          <w:rFonts w:ascii="宋体" w:hAnsi="宋体"/>
          <w:sz w:val="24"/>
          <w:highlight w:val="none"/>
        </w:rPr>
      </w:pPr>
      <w:r>
        <w:rPr>
          <w:rFonts w:hint="eastAsia" w:ascii="宋体" w:hAnsi="宋体"/>
          <w:sz w:val="24"/>
          <w:highlight w:val="none"/>
        </w:rPr>
        <w:t>12.2供应商编写响应文件时，请按照磋商文件提供的相应格式及顺序编排；并应编制目录，逐页标注连续页码，装订成册；不得缺少或留空任何磋商文件要求填写的表格或提交的资料。</w:t>
      </w:r>
    </w:p>
    <w:p>
      <w:pPr>
        <w:spacing w:line="360" w:lineRule="auto"/>
        <w:ind w:firstLine="480" w:firstLineChars="200"/>
        <w:rPr>
          <w:rFonts w:ascii="宋体" w:hAnsi="宋体"/>
          <w:sz w:val="24"/>
          <w:highlight w:val="none"/>
        </w:rPr>
      </w:pPr>
      <w:r>
        <w:rPr>
          <w:rFonts w:hint="eastAsia" w:ascii="宋体" w:hAnsi="宋体"/>
          <w:sz w:val="24"/>
          <w:highlight w:val="none"/>
        </w:rPr>
        <w:t>12.3响应文件的正本需打印，并由供应商的法定代表人或其授权代表签字，并加盖供应商公章。响应文件的副本可以采用正本的复印件。</w:t>
      </w:r>
    </w:p>
    <w:p>
      <w:pPr>
        <w:spacing w:line="360" w:lineRule="auto"/>
        <w:ind w:firstLine="480" w:firstLineChars="200"/>
        <w:rPr>
          <w:rFonts w:ascii="宋体" w:hAnsi="宋体"/>
          <w:sz w:val="24"/>
          <w:highlight w:val="none"/>
        </w:rPr>
      </w:pPr>
      <w:r>
        <w:rPr>
          <w:rFonts w:hint="eastAsia" w:ascii="宋体" w:hAnsi="宋体"/>
          <w:sz w:val="24"/>
          <w:highlight w:val="none"/>
        </w:rPr>
        <w:t>12.4除供应商对响应文件错处作必要修改外，响应文件不得行间插字、涂改和增删，如有修改，必须由供应商的法定代表人或其授权代表在修改处签字并加盖供应商公章后才有效。</w:t>
      </w:r>
    </w:p>
    <w:p>
      <w:pPr>
        <w:spacing w:line="360" w:lineRule="auto"/>
        <w:ind w:firstLine="480" w:firstLineChars="200"/>
        <w:rPr>
          <w:rFonts w:ascii="宋体" w:hAnsi="宋体"/>
          <w:sz w:val="24"/>
          <w:highlight w:val="none"/>
        </w:rPr>
      </w:pPr>
      <w:r>
        <w:rPr>
          <w:rFonts w:hint="eastAsia" w:ascii="宋体" w:hAnsi="宋体"/>
          <w:sz w:val="24"/>
          <w:highlight w:val="none"/>
        </w:rPr>
        <w:t>12.5响应文件因表述不清所引起的后果由供应商负责。</w:t>
      </w:r>
    </w:p>
    <w:p>
      <w:pPr>
        <w:spacing w:line="360" w:lineRule="auto"/>
        <w:ind w:firstLine="482" w:firstLineChars="200"/>
        <w:rPr>
          <w:rFonts w:ascii="宋体" w:hAnsi="宋体"/>
          <w:b/>
          <w:bCs/>
          <w:sz w:val="24"/>
          <w:highlight w:val="none"/>
        </w:rPr>
      </w:pPr>
      <w:r>
        <w:rPr>
          <w:rFonts w:hint="eastAsia" w:ascii="宋体" w:hAnsi="宋体"/>
          <w:b/>
          <w:bCs/>
          <w:sz w:val="24"/>
          <w:highlight w:val="none"/>
        </w:rPr>
        <w:t>13.</w:t>
      </w:r>
      <w:bookmarkEnd w:id="95"/>
      <w:r>
        <w:rPr>
          <w:rFonts w:hint="eastAsia" w:ascii="宋体" w:hAnsi="宋体"/>
          <w:b/>
          <w:bCs/>
          <w:sz w:val="24"/>
          <w:highlight w:val="none"/>
        </w:rPr>
        <w:t>磋商保证金</w:t>
      </w:r>
    </w:p>
    <w:p>
      <w:pPr>
        <w:spacing w:line="360" w:lineRule="auto"/>
        <w:ind w:firstLine="480" w:firstLineChars="200"/>
        <w:rPr>
          <w:rFonts w:ascii="宋体" w:hAnsi="宋体"/>
          <w:sz w:val="24"/>
          <w:highlight w:val="none"/>
        </w:rPr>
      </w:pPr>
      <w:r>
        <w:rPr>
          <w:rFonts w:hint="eastAsia" w:ascii="宋体" w:hAnsi="宋体"/>
          <w:sz w:val="24"/>
          <w:highlight w:val="none"/>
        </w:rPr>
        <w:t>13.1本次磋商活动需交纳保证金为：</w:t>
      </w:r>
      <w:r>
        <w:rPr>
          <w:rFonts w:hint="eastAsia" w:ascii="宋体" w:hAnsi="宋体"/>
          <w:b/>
          <w:bCs/>
          <w:sz w:val="24"/>
          <w:highlight w:val="none"/>
          <w:u w:val="single"/>
        </w:rPr>
        <w:t>壹万玖仟元整（19,000.00元）</w:t>
      </w:r>
    </w:p>
    <w:p>
      <w:pPr>
        <w:spacing w:line="360" w:lineRule="auto"/>
        <w:ind w:firstLine="480" w:firstLineChars="200"/>
        <w:rPr>
          <w:rFonts w:ascii="宋体" w:hAnsi="宋体"/>
          <w:sz w:val="24"/>
          <w:highlight w:val="none"/>
        </w:rPr>
      </w:pPr>
      <w:r>
        <w:rPr>
          <w:rFonts w:hint="eastAsia" w:ascii="宋体" w:hAnsi="宋体"/>
          <w:sz w:val="24"/>
          <w:highlight w:val="none"/>
        </w:rPr>
        <w:t>13.2保证金应为人民币，可采用下列任何一种形式支付：</w:t>
      </w:r>
    </w:p>
    <w:p>
      <w:pPr>
        <w:spacing w:line="360" w:lineRule="auto"/>
        <w:ind w:firstLine="480" w:firstLineChars="200"/>
        <w:rPr>
          <w:rFonts w:ascii="宋体" w:hAnsi="宋体"/>
          <w:sz w:val="24"/>
          <w:highlight w:val="none"/>
        </w:rPr>
      </w:pPr>
      <w:r>
        <w:rPr>
          <w:rFonts w:hint="eastAsia" w:ascii="宋体" w:hAnsi="宋体"/>
          <w:sz w:val="24"/>
          <w:highlight w:val="none"/>
        </w:rPr>
        <w:t xml:space="preserve">  13.2.1银行转账</w:t>
      </w:r>
    </w:p>
    <w:p>
      <w:pPr>
        <w:spacing w:line="360" w:lineRule="auto"/>
        <w:ind w:firstLine="480" w:firstLineChars="200"/>
        <w:rPr>
          <w:rFonts w:ascii="宋体" w:hAnsi="宋体"/>
          <w:sz w:val="24"/>
          <w:highlight w:val="none"/>
        </w:rPr>
      </w:pPr>
      <w:r>
        <w:rPr>
          <w:rFonts w:hint="eastAsia" w:ascii="宋体" w:hAnsi="宋体"/>
          <w:sz w:val="24"/>
          <w:highlight w:val="none"/>
        </w:rPr>
        <w:t xml:space="preserve">  13.2.2电汇</w:t>
      </w:r>
    </w:p>
    <w:p>
      <w:pPr>
        <w:spacing w:line="360" w:lineRule="auto"/>
        <w:ind w:firstLine="720" w:firstLineChars="300"/>
        <w:rPr>
          <w:rFonts w:ascii="宋体" w:hAnsi="宋体"/>
          <w:sz w:val="24"/>
          <w:highlight w:val="none"/>
        </w:rPr>
      </w:pPr>
      <w:r>
        <w:rPr>
          <w:rFonts w:hint="eastAsia" w:ascii="宋体" w:hAnsi="宋体"/>
          <w:sz w:val="24"/>
          <w:highlight w:val="none"/>
        </w:rPr>
        <w:t>13.2.3保函</w:t>
      </w:r>
    </w:p>
    <w:p>
      <w:pPr>
        <w:spacing w:line="360" w:lineRule="auto"/>
        <w:ind w:firstLine="480" w:firstLineChars="200"/>
        <w:rPr>
          <w:rFonts w:ascii="宋体" w:hAnsi="宋体"/>
          <w:sz w:val="24"/>
          <w:highlight w:val="none"/>
        </w:rPr>
      </w:pPr>
      <w:r>
        <w:rPr>
          <w:rFonts w:hint="eastAsia" w:ascii="宋体" w:hAnsi="宋体"/>
          <w:sz w:val="24"/>
          <w:highlight w:val="none"/>
        </w:rPr>
        <w:t>13.3磋商保证金必须在响应文件递交截止时间前到达采购代理机构指定的账户。</w:t>
      </w:r>
    </w:p>
    <w:p>
      <w:pPr>
        <w:spacing w:line="360" w:lineRule="auto"/>
        <w:ind w:firstLine="482" w:firstLineChars="200"/>
        <w:rPr>
          <w:rFonts w:ascii="宋体" w:hAnsi="宋体"/>
          <w:b/>
          <w:sz w:val="24"/>
          <w:highlight w:val="none"/>
        </w:rPr>
      </w:pPr>
      <w:r>
        <w:rPr>
          <w:rFonts w:hint="eastAsia" w:ascii="宋体" w:hAnsi="宋体"/>
          <w:b/>
          <w:sz w:val="24"/>
          <w:highlight w:val="none"/>
        </w:rPr>
        <w:t xml:space="preserve">  开户名称：陕西德勤招标有限公司</w:t>
      </w:r>
    </w:p>
    <w:p>
      <w:pPr>
        <w:spacing w:line="360" w:lineRule="auto"/>
        <w:ind w:firstLine="482" w:firstLineChars="200"/>
        <w:rPr>
          <w:rFonts w:ascii="宋体" w:hAnsi="宋体"/>
          <w:b/>
          <w:sz w:val="24"/>
          <w:highlight w:val="none"/>
        </w:rPr>
      </w:pPr>
      <w:r>
        <w:rPr>
          <w:rFonts w:hint="eastAsia" w:ascii="宋体" w:hAnsi="宋体"/>
          <w:b/>
          <w:sz w:val="24"/>
          <w:highlight w:val="none"/>
        </w:rPr>
        <w:t xml:space="preserve">  账  号：52880188000025295</w:t>
      </w:r>
    </w:p>
    <w:p>
      <w:pPr>
        <w:spacing w:line="360" w:lineRule="auto"/>
        <w:ind w:firstLine="482" w:firstLineChars="200"/>
        <w:rPr>
          <w:rFonts w:ascii="宋体" w:hAnsi="宋体"/>
          <w:b/>
          <w:sz w:val="24"/>
          <w:highlight w:val="none"/>
        </w:rPr>
      </w:pPr>
      <w:r>
        <w:rPr>
          <w:rFonts w:hint="eastAsia" w:ascii="宋体" w:hAnsi="宋体"/>
          <w:b/>
          <w:sz w:val="24"/>
          <w:highlight w:val="none"/>
        </w:rPr>
        <w:t xml:space="preserve">  开户行：光大银行西安丈八东路支行</w:t>
      </w:r>
    </w:p>
    <w:p>
      <w:pPr>
        <w:spacing w:line="360" w:lineRule="auto"/>
        <w:rPr>
          <w:rFonts w:ascii="宋体" w:hAnsi="宋体"/>
          <w:b/>
          <w:sz w:val="24"/>
          <w:highlight w:val="none"/>
          <w:u w:val="single"/>
        </w:rPr>
      </w:pPr>
      <w:r>
        <w:rPr>
          <w:rFonts w:hint="eastAsia" w:ascii="宋体" w:hAnsi="宋体"/>
          <w:b/>
          <w:sz w:val="24"/>
          <w:highlight w:val="none"/>
        </w:rPr>
        <w:t xml:space="preserve">      </w:t>
      </w:r>
      <w:r>
        <w:rPr>
          <w:rFonts w:hint="eastAsia" w:ascii="宋体" w:hAnsi="宋体"/>
          <w:b/>
          <w:sz w:val="24"/>
          <w:highlight w:val="none"/>
          <w:u w:val="single"/>
        </w:rPr>
        <w:t>转账事由：DQ-2022195-CS项目磋商保证金</w:t>
      </w:r>
    </w:p>
    <w:p>
      <w:pPr>
        <w:spacing w:line="360" w:lineRule="auto"/>
        <w:ind w:firstLine="482" w:firstLineChars="200"/>
        <w:rPr>
          <w:rFonts w:ascii="宋体" w:hAnsi="宋体"/>
          <w:b/>
          <w:sz w:val="24"/>
          <w:highlight w:val="none"/>
        </w:rPr>
      </w:pPr>
      <w:r>
        <w:rPr>
          <w:rFonts w:hint="eastAsia" w:ascii="宋体" w:hAnsi="宋体"/>
          <w:b/>
          <w:sz w:val="24"/>
          <w:highlight w:val="none"/>
        </w:rPr>
        <w:t>备注：磋商保证金以供应商名称汇款,汇款凭证标明项目编号，如以个人汇款，视为无效。</w:t>
      </w:r>
    </w:p>
    <w:p>
      <w:pPr>
        <w:spacing w:line="360" w:lineRule="auto"/>
        <w:ind w:firstLine="480" w:firstLineChars="200"/>
        <w:rPr>
          <w:rFonts w:ascii="宋体" w:hAnsi="宋体"/>
          <w:sz w:val="24"/>
          <w:highlight w:val="none"/>
        </w:rPr>
      </w:pPr>
      <w:r>
        <w:rPr>
          <w:rFonts w:hint="eastAsia" w:ascii="宋体" w:hAnsi="宋体"/>
          <w:sz w:val="24"/>
          <w:highlight w:val="none"/>
        </w:rPr>
        <w:t>13.4供应商未交纳、未足额交纳或未按规定时间交纳磋商保证金的，将被视为自动放弃磋商权利。</w:t>
      </w:r>
    </w:p>
    <w:p>
      <w:pPr>
        <w:spacing w:line="360" w:lineRule="auto"/>
        <w:ind w:firstLine="480" w:firstLineChars="200"/>
        <w:rPr>
          <w:rFonts w:ascii="宋体" w:hAnsi="宋体"/>
          <w:sz w:val="24"/>
          <w:highlight w:val="none"/>
        </w:rPr>
      </w:pPr>
      <w:r>
        <w:rPr>
          <w:rFonts w:hint="eastAsia" w:ascii="宋体" w:hAnsi="宋体"/>
          <w:sz w:val="24"/>
          <w:highlight w:val="none"/>
        </w:rPr>
        <w:t>13.5磋商保证金的交付单位和供应商的名称必须一致，否则将视为响应无效。</w:t>
      </w:r>
    </w:p>
    <w:p>
      <w:pPr>
        <w:spacing w:line="360" w:lineRule="auto"/>
        <w:ind w:firstLine="480" w:firstLineChars="200"/>
        <w:rPr>
          <w:rFonts w:ascii="宋体" w:hAnsi="宋体"/>
          <w:sz w:val="24"/>
          <w:highlight w:val="none"/>
        </w:rPr>
      </w:pPr>
      <w:r>
        <w:rPr>
          <w:rFonts w:hint="eastAsia" w:ascii="宋体" w:hAnsi="宋体"/>
          <w:sz w:val="24"/>
          <w:highlight w:val="none"/>
        </w:rPr>
        <w:t>13.6项目废标后重新组织磋商的，保证金会退回原项目响应供应商账户，供应商需按照新的磋商文件要求</w:t>
      </w:r>
      <w:r>
        <w:rPr>
          <w:rFonts w:hint="eastAsia" w:ascii="宋体" w:hAnsi="宋体"/>
          <w:b/>
          <w:bCs/>
          <w:sz w:val="24"/>
          <w:highlight w:val="none"/>
        </w:rPr>
        <w:t>重新交纳保证金</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13.7磋商保证金退还</w:t>
      </w:r>
    </w:p>
    <w:p>
      <w:pPr>
        <w:spacing w:line="360" w:lineRule="auto"/>
        <w:ind w:firstLine="480" w:firstLineChars="200"/>
        <w:rPr>
          <w:rFonts w:ascii="宋体" w:hAnsi="宋体"/>
          <w:sz w:val="24"/>
          <w:highlight w:val="none"/>
        </w:rPr>
      </w:pPr>
      <w:r>
        <w:rPr>
          <w:rFonts w:hint="eastAsia" w:ascii="宋体" w:hAnsi="宋体"/>
          <w:sz w:val="24"/>
          <w:highlight w:val="none"/>
        </w:rPr>
        <w:t>13.7.1如无质疑或投诉，未成交供应商的磋商保证金，在成交通知书发出后5个工作日内原额、原账户无息退还；</w:t>
      </w:r>
    </w:p>
    <w:p>
      <w:pPr>
        <w:spacing w:line="360" w:lineRule="auto"/>
        <w:ind w:firstLine="480" w:firstLineChars="200"/>
        <w:rPr>
          <w:rFonts w:ascii="宋体" w:hAnsi="宋体"/>
          <w:sz w:val="24"/>
          <w:highlight w:val="none"/>
        </w:rPr>
      </w:pPr>
      <w:r>
        <w:rPr>
          <w:rFonts w:hint="eastAsia" w:ascii="宋体" w:hAnsi="宋体"/>
          <w:sz w:val="24"/>
          <w:highlight w:val="none"/>
        </w:rPr>
        <w:t>如有质疑或投诉，将在质疑和投诉处理完毕后5个工作日内原额、原账户无息退还。</w:t>
      </w:r>
    </w:p>
    <w:p>
      <w:pPr>
        <w:spacing w:line="360" w:lineRule="auto"/>
        <w:ind w:firstLine="482" w:firstLineChars="200"/>
        <w:rPr>
          <w:rFonts w:ascii="宋体" w:hAnsi="宋体"/>
          <w:b/>
          <w:bCs/>
          <w:sz w:val="24"/>
          <w:highlight w:val="none"/>
          <w:u w:val="single"/>
        </w:rPr>
      </w:pPr>
      <w:r>
        <w:rPr>
          <w:rFonts w:hint="eastAsia" w:ascii="宋体" w:hAnsi="宋体"/>
          <w:b/>
          <w:bCs/>
          <w:sz w:val="24"/>
          <w:highlight w:val="none"/>
          <w:u w:val="single"/>
        </w:rPr>
        <w:t>13.7.2成交供应商的磋商保证金,在成交供应商与采购人签订采购合同并将采购合同（一份）送达采购代理机构后5个工作日内原额、原账户无息退还。</w:t>
      </w:r>
    </w:p>
    <w:p>
      <w:pPr>
        <w:spacing w:line="360" w:lineRule="auto"/>
        <w:ind w:firstLine="480" w:firstLineChars="200"/>
        <w:rPr>
          <w:rFonts w:ascii="宋体" w:hAnsi="宋体"/>
          <w:sz w:val="24"/>
          <w:highlight w:val="none"/>
        </w:rPr>
      </w:pPr>
      <w:r>
        <w:rPr>
          <w:rFonts w:hint="eastAsia" w:ascii="宋体" w:hAnsi="宋体"/>
          <w:sz w:val="24"/>
          <w:highlight w:val="none"/>
        </w:rPr>
        <w:t>13.8供应商有下列情形之一的，采购代理机构不予退还其交纳的保证金；情节严重的，由财政部门将其列入不良行为记录名单，在一至三年内禁止参加政府采购活动，并予以通报：</w:t>
      </w:r>
    </w:p>
    <w:p>
      <w:pPr>
        <w:spacing w:line="360" w:lineRule="auto"/>
        <w:ind w:firstLine="480" w:firstLineChars="200"/>
        <w:rPr>
          <w:rFonts w:ascii="宋体" w:hAnsi="宋体"/>
          <w:sz w:val="24"/>
          <w:highlight w:val="none"/>
        </w:rPr>
      </w:pPr>
      <w:r>
        <w:rPr>
          <w:rFonts w:hint="eastAsia" w:ascii="宋体" w:hAnsi="宋体"/>
          <w:sz w:val="24"/>
          <w:highlight w:val="none"/>
        </w:rPr>
        <w:t>13.8.1开标后在磋商文件规定的响应有效期间，供应商撤回其所投响应文件；</w:t>
      </w:r>
    </w:p>
    <w:p>
      <w:pPr>
        <w:spacing w:line="360" w:lineRule="auto"/>
        <w:ind w:firstLine="480" w:firstLineChars="200"/>
        <w:rPr>
          <w:rFonts w:ascii="宋体" w:hAnsi="宋体"/>
          <w:sz w:val="24"/>
          <w:highlight w:val="none"/>
        </w:rPr>
      </w:pPr>
      <w:r>
        <w:rPr>
          <w:rFonts w:hint="eastAsia" w:ascii="宋体" w:hAnsi="宋体"/>
          <w:sz w:val="24"/>
          <w:highlight w:val="none"/>
        </w:rPr>
        <w:t>13.8.2成交供应商在收到成交通知书后，在磋商文件规定的时间内无正当理由不与采购人或者采购代理机构签订合同的；</w:t>
      </w:r>
    </w:p>
    <w:p>
      <w:pPr>
        <w:spacing w:line="360" w:lineRule="auto"/>
        <w:ind w:firstLine="480" w:firstLineChars="200"/>
        <w:rPr>
          <w:rFonts w:ascii="宋体" w:hAnsi="宋体"/>
          <w:sz w:val="24"/>
          <w:highlight w:val="none"/>
        </w:rPr>
      </w:pPr>
      <w:r>
        <w:rPr>
          <w:rFonts w:hint="eastAsia" w:ascii="宋体" w:hAnsi="宋体"/>
          <w:sz w:val="24"/>
          <w:highlight w:val="none"/>
        </w:rPr>
        <w:t>13.8.3成交供应商未按时缴付采购代理服务费；</w:t>
      </w:r>
    </w:p>
    <w:p>
      <w:pPr>
        <w:spacing w:line="360" w:lineRule="auto"/>
        <w:ind w:firstLine="480" w:firstLineChars="200"/>
        <w:rPr>
          <w:rFonts w:ascii="宋体" w:hAnsi="宋体"/>
          <w:sz w:val="24"/>
          <w:highlight w:val="none"/>
        </w:rPr>
      </w:pPr>
      <w:r>
        <w:rPr>
          <w:rFonts w:hint="eastAsia" w:ascii="宋体" w:hAnsi="宋体"/>
          <w:sz w:val="24"/>
          <w:highlight w:val="none"/>
        </w:rPr>
        <w:t>13.8.4成交供应商将成交项目转让给他人，或者在响应文件中未说明，且未经采购人同意，将成交项目分包给他人的；</w:t>
      </w:r>
    </w:p>
    <w:p>
      <w:pPr>
        <w:spacing w:line="360" w:lineRule="auto"/>
        <w:ind w:firstLine="480" w:firstLineChars="200"/>
        <w:rPr>
          <w:rFonts w:ascii="宋体" w:hAnsi="宋体"/>
          <w:sz w:val="24"/>
          <w:highlight w:val="none"/>
        </w:rPr>
      </w:pPr>
      <w:r>
        <w:rPr>
          <w:rFonts w:hint="eastAsia" w:ascii="宋体" w:hAnsi="宋体"/>
          <w:sz w:val="24"/>
          <w:highlight w:val="none"/>
        </w:rPr>
        <w:t>13.8.5成交供应商拒绝履行合同义务的；</w:t>
      </w:r>
    </w:p>
    <w:p>
      <w:pPr>
        <w:spacing w:line="360" w:lineRule="auto"/>
        <w:ind w:firstLine="480" w:firstLineChars="200"/>
        <w:rPr>
          <w:rFonts w:ascii="宋体" w:hAnsi="宋体"/>
          <w:sz w:val="24"/>
          <w:highlight w:val="none"/>
        </w:rPr>
      </w:pPr>
      <w:r>
        <w:rPr>
          <w:rFonts w:hint="eastAsia" w:ascii="宋体" w:hAnsi="宋体"/>
          <w:sz w:val="24"/>
          <w:highlight w:val="none"/>
        </w:rPr>
        <w:t>13.8.6其他违法、违规行为的。</w:t>
      </w:r>
    </w:p>
    <w:p>
      <w:pPr>
        <w:spacing w:line="360" w:lineRule="auto"/>
        <w:ind w:firstLine="482" w:firstLineChars="200"/>
        <w:rPr>
          <w:rFonts w:ascii="宋体" w:hAnsi="宋体"/>
          <w:b/>
          <w:bCs/>
          <w:sz w:val="24"/>
          <w:highlight w:val="none"/>
        </w:rPr>
      </w:pPr>
      <w:r>
        <w:rPr>
          <w:rFonts w:hint="eastAsia" w:ascii="宋体" w:hAnsi="宋体"/>
          <w:b/>
          <w:bCs/>
          <w:sz w:val="24"/>
          <w:highlight w:val="none"/>
        </w:rPr>
        <w:t>14.响应文件的有效期</w:t>
      </w:r>
    </w:p>
    <w:p>
      <w:pPr>
        <w:spacing w:line="360" w:lineRule="auto"/>
        <w:ind w:firstLine="480" w:firstLineChars="200"/>
        <w:rPr>
          <w:rFonts w:ascii="宋体" w:hAnsi="宋体"/>
          <w:sz w:val="24"/>
          <w:highlight w:val="none"/>
        </w:rPr>
      </w:pPr>
      <w:r>
        <w:rPr>
          <w:rFonts w:hint="eastAsia" w:ascii="宋体" w:hAnsi="宋体"/>
          <w:sz w:val="24"/>
          <w:highlight w:val="none"/>
        </w:rPr>
        <w:t>14.1响应文件有效期为自开标之日起算九十（90）个日历日；响应文件有效期短于磋商文件规定的响应有效期，按无效响应文件处理；成交供应商的响应文件有效期延长至合同执行完毕。</w:t>
      </w:r>
    </w:p>
    <w:p>
      <w:pPr>
        <w:spacing w:line="360" w:lineRule="auto"/>
        <w:ind w:firstLine="480" w:firstLineChars="200"/>
        <w:rPr>
          <w:rFonts w:ascii="宋体" w:hAnsi="宋体"/>
          <w:sz w:val="24"/>
          <w:highlight w:val="none"/>
        </w:rPr>
      </w:pPr>
      <w:r>
        <w:rPr>
          <w:rFonts w:hint="eastAsia" w:ascii="宋体" w:hAnsi="宋体"/>
          <w:sz w:val="24"/>
          <w:highlight w:val="none"/>
        </w:rPr>
        <w:t>14.2在特殊情况下，采购人可与供应商协商延长响应文件的有效期,这种要求和答复均应以书面形式进行。</w:t>
      </w:r>
    </w:p>
    <w:p>
      <w:pPr>
        <w:spacing w:line="360" w:lineRule="auto"/>
        <w:ind w:firstLine="480" w:firstLineChars="200"/>
        <w:rPr>
          <w:rFonts w:ascii="宋体" w:hAnsi="宋体"/>
          <w:sz w:val="24"/>
          <w:highlight w:val="none"/>
        </w:rPr>
      </w:pPr>
      <w:r>
        <w:rPr>
          <w:rFonts w:hint="eastAsia" w:ascii="宋体" w:hAnsi="宋体"/>
          <w:sz w:val="24"/>
          <w:highlight w:val="none"/>
        </w:rPr>
        <w:t>14.3供应商可拒绝接受延期要求而不会导致磋商保证金被没收，同意延长有效期的供应商不能修改响应文件。</w:t>
      </w:r>
      <w:bookmarkStart w:id="96" w:name="_Toc6401"/>
      <w:bookmarkStart w:id="97" w:name="_Toc32350"/>
      <w:bookmarkStart w:id="98" w:name="_Toc29987"/>
      <w:bookmarkStart w:id="99" w:name="_Toc18934"/>
    </w:p>
    <w:p>
      <w:pPr>
        <w:spacing w:line="360" w:lineRule="auto"/>
        <w:ind w:firstLine="481"/>
        <w:jc w:val="left"/>
        <w:outlineLvl w:val="1"/>
        <w:rPr>
          <w:rFonts w:ascii="黑体" w:hAnsi="黑体" w:eastAsia="黑体" w:cs="黑体"/>
          <w:b/>
          <w:sz w:val="24"/>
          <w:highlight w:val="none"/>
        </w:rPr>
      </w:pPr>
      <w:r>
        <w:rPr>
          <w:rFonts w:hint="eastAsia" w:ascii="黑体" w:hAnsi="黑体" w:eastAsia="黑体" w:cs="黑体"/>
          <w:b/>
          <w:sz w:val="24"/>
          <w:highlight w:val="none"/>
        </w:rPr>
        <w:t>四、响应文件密封、递交</w:t>
      </w:r>
      <w:bookmarkEnd w:id="96"/>
      <w:bookmarkEnd w:id="97"/>
      <w:bookmarkEnd w:id="98"/>
      <w:bookmarkEnd w:id="99"/>
    </w:p>
    <w:p>
      <w:pPr>
        <w:spacing w:line="360" w:lineRule="auto"/>
        <w:ind w:firstLine="482" w:firstLineChars="200"/>
        <w:rPr>
          <w:rFonts w:ascii="宋体" w:hAnsi="宋体"/>
          <w:b/>
          <w:bCs/>
          <w:sz w:val="24"/>
          <w:highlight w:val="none"/>
        </w:rPr>
      </w:pPr>
      <w:r>
        <w:rPr>
          <w:rFonts w:hint="eastAsia" w:ascii="宋体" w:hAnsi="宋体"/>
          <w:b/>
          <w:bCs/>
          <w:sz w:val="24"/>
          <w:highlight w:val="none"/>
        </w:rPr>
        <w:t>15.响应文件的密封及标记</w:t>
      </w:r>
    </w:p>
    <w:p>
      <w:pPr>
        <w:spacing w:line="360" w:lineRule="auto"/>
        <w:ind w:firstLine="480" w:firstLineChars="200"/>
        <w:rPr>
          <w:rFonts w:ascii="宋体" w:hAnsi="宋体"/>
          <w:sz w:val="24"/>
          <w:highlight w:val="none"/>
        </w:rPr>
      </w:pPr>
      <w:r>
        <w:rPr>
          <w:rFonts w:hint="eastAsia" w:ascii="宋体" w:hAnsi="宋体"/>
          <w:sz w:val="24"/>
          <w:highlight w:val="none"/>
        </w:rPr>
        <w:t>15.1响应文件正本</w:t>
      </w:r>
      <w:r>
        <w:rPr>
          <w:rFonts w:hint="eastAsia" w:ascii="宋体" w:hAnsi="宋体"/>
          <w:b/>
          <w:bCs/>
          <w:sz w:val="24"/>
          <w:highlight w:val="none"/>
          <w:u w:val="single"/>
        </w:rPr>
        <w:t>壹</w:t>
      </w:r>
      <w:r>
        <w:rPr>
          <w:rFonts w:hint="eastAsia" w:ascii="宋体" w:hAnsi="宋体"/>
          <w:sz w:val="24"/>
          <w:highlight w:val="none"/>
        </w:rPr>
        <w:t>份、副本</w:t>
      </w:r>
      <w:r>
        <w:rPr>
          <w:rFonts w:hint="eastAsia" w:ascii="宋体" w:hAnsi="宋体"/>
          <w:b/>
          <w:bCs/>
          <w:sz w:val="24"/>
          <w:highlight w:val="none"/>
          <w:u w:val="single"/>
        </w:rPr>
        <w:t>叁</w:t>
      </w:r>
      <w:r>
        <w:rPr>
          <w:rFonts w:hint="eastAsia" w:ascii="宋体" w:hAnsi="宋体"/>
          <w:sz w:val="24"/>
          <w:highlight w:val="none"/>
        </w:rPr>
        <w:t>份。正、副本须分别胶装成册，正、副本分开密封。不允许活页夹装订，由于装订原因造成响应文件得散落、丢失等，责任自负。</w:t>
      </w:r>
      <w:r>
        <w:rPr>
          <w:rFonts w:hint="eastAsia" w:ascii="宋体" w:hAnsi="宋体"/>
          <w:b/>
          <w:sz w:val="24"/>
          <w:highlight w:val="none"/>
        </w:rPr>
        <w:t>在封口处需由法定代表人或授权人代表签字，并加盖供应商公章。</w:t>
      </w:r>
      <w:r>
        <w:rPr>
          <w:rFonts w:hint="eastAsia" w:ascii="宋体" w:hAnsi="宋体"/>
          <w:sz w:val="24"/>
          <w:highlight w:val="none"/>
        </w:rPr>
        <w:t>封皮上写明采购项目名称、采购项目编号、供应商名称、标段（如果有）、包号（如果有），并注明</w:t>
      </w:r>
      <w:r>
        <w:rPr>
          <w:rFonts w:hint="eastAsia" w:ascii="宋体" w:hAnsi="宋体"/>
          <w:b/>
          <w:bCs/>
          <w:sz w:val="24"/>
          <w:highlight w:val="none"/>
          <w:u w:val="single"/>
        </w:rPr>
        <w:t>“响应文件正（副）本”、“非磋商会议不得启封”</w:t>
      </w:r>
      <w:r>
        <w:rPr>
          <w:rFonts w:hint="eastAsia" w:ascii="宋体" w:hAnsi="宋体"/>
          <w:sz w:val="24"/>
          <w:highlight w:val="none"/>
        </w:rPr>
        <w:t>字样。</w:t>
      </w:r>
    </w:p>
    <w:p>
      <w:pPr>
        <w:spacing w:line="360" w:lineRule="auto"/>
        <w:ind w:firstLine="480" w:firstLineChars="200"/>
        <w:rPr>
          <w:rFonts w:ascii="宋体" w:hAnsi="宋体"/>
          <w:sz w:val="24"/>
          <w:highlight w:val="none"/>
        </w:rPr>
      </w:pPr>
      <w:r>
        <w:rPr>
          <w:rFonts w:hint="eastAsia" w:ascii="宋体" w:hAnsi="宋体"/>
          <w:sz w:val="24"/>
          <w:highlight w:val="none"/>
        </w:rPr>
        <w:t>15.2响应文件电子版本</w:t>
      </w:r>
      <w:r>
        <w:rPr>
          <w:rFonts w:hint="eastAsia" w:ascii="宋体" w:hAnsi="宋体"/>
          <w:b/>
          <w:bCs/>
          <w:sz w:val="24"/>
          <w:highlight w:val="none"/>
          <w:u w:val="single"/>
        </w:rPr>
        <w:t>壹</w:t>
      </w:r>
      <w:r>
        <w:rPr>
          <w:rFonts w:hint="eastAsia" w:ascii="宋体" w:hAnsi="宋体"/>
          <w:sz w:val="24"/>
          <w:highlight w:val="none"/>
        </w:rPr>
        <w:t>份，所提交的电子版本应与响应文件正本内容相同（以U盘形式提供，文件格式包含.doc/.docx格式及正本盖章后扫描的.pdf格式）。</w:t>
      </w:r>
      <w:r>
        <w:rPr>
          <w:rFonts w:hint="eastAsia" w:ascii="宋体" w:hAnsi="宋体"/>
          <w:b/>
          <w:bCs/>
          <w:sz w:val="24"/>
          <w:highlight w:val="none"/>
        </w:rPr>
        <w:t>在封口处需由法定代表人或授权人代表签字，并加盖供应商公章。</w:t>
      </w:r>
      <w:r>
        <w:rPr>
          <w:rFonts w:hint="eastAsia" w:ascii="宋体" w:hAnsi="宋体"/>
          <w:sz w:val="24"/>
          <w:highlight w:val="none"/>
        </w:rPr>
        <w:t>封皮上写明采购项目名称、采购项目编号、供应商名称、标段（如果有）、包号（如果有），并注明</w:t>
      </w:r>
      <w:r>
        <w:rPr>
          <w:rFonts w:hint="eastAsia" w:ascii="宋体" w:hAnsi="宋体"/>
          <w:b/>
          <w:bCs/>
          <w:sz w:val="24"/>
          <w:highlight w:val="none"/>
          <w:u w:val="single"/>
        </w:rPr>
        <w:t>“响应文件（电子版本）”“非磋商会议不得启封”</w:t>
      </w:r>
      <w:r>
        <w:rPr>
          <w:rFonts w:hint="eastAsia" w:ascii="宋体" w:hAnsi="宋体"/>
          <w:sz w:val="24"/>
          <w:highlight w:val="none"/>
        </w:rPr>
        <w:t>字样。</w:t>
      </w:r>
    </w:p>
    <w:p>
      <w:pPr>
        <w:spacing w:line="360" w:lineRule="auto"/>
        <w:ind w:firstLine="480"/>
        <w:rPr>
          <w:rFonts w:ascii="宋体" w:hAnsi="宋体"/>
          <w:b/>
          <w:sz w:val="24"/>
          <w:highlight w:val="none"/>
        </w:rPr>
      </w:pPr>
      <w:r>
        <w:rPr>
          <w:rFonts w:hint="eastAsia" w:ascii="宋体" w:hAnsi="宋体"/>
          <w:sz w:val="24"/>
          <w:highlight w:val="none"/>
        </w:rPr>
        <w:t>15.3首次</w:t>
      </w:r>
      <w:r>
        <w:rPr>
          <w:rFonts w:hint="eastAsia" w:ascii="宋体" w:hAnsi="宋体"/>
          <w:bCs/>
          <w:sz w:val="24"/>
          <w:highlight w:val="none"/>
        </w:rPr>
        <w:t>报价一览表除在响应文件内装订外，另制作一份</w:t>
      </w:r>
      <w:r>
        <w:rPr>
          <w:rFonts w:hint="eastAsia" w:ascii="宋体" w:hAnsi="宋体"/>
          <w:b/>
          <w:sz w:val="24"/>
          <w:highlight w:val="none"/>
        </w:rPr>
        <w:t>单独</w:t>
      </w:r>
      <w:r>
        <w:rPr>
          <w:rFonts w:hint="eastAsia" w:ascii="宋体" w:hAnsi="宋体"/>
          <w:bCs/>
          <w:sz w:val="24"/>
          <w:highlight w:val="none"/>
        </w:rPr>
        <w:t>放在一个信封中。</w:t>
      </w:r>
      <w:r>
        <w:rPr>
          <w:rFonts w:hint="eastAsia" w:ascii="宋体" w:hAnsi="宋体"/>
          <w:b/>
          <w:sz w:val="24"/>
          <w:highlight w:val="none"/>
        </w:rPr>
        <w:t>封口处应有供应商法定代表人或授权人代表签字，并加盖供应商公章。</w:t>
      </w:r>
      <w:r>
        <w:rPr>
          <w:rFonts w:hint="eastAsia" w:ascii="宋体" w:hAnsi="宋体"/>
          <w:bCs/>
          <w:sz w:val="24"/>
          <w:highlight w:val="none"/>
        </w:rPr>
        <w:t>封皮上写明</w:t>
      </w:r>
      <w:r>
        <w:rPr>
          <w:rFonts w:hint="eastAsia" w:ascii="宋体" w:hAnsi="宋体"/>
          <w:sz w:val="24"/>
          <w:highlight w:val="none"/>
        </w:rPr>
        <w:t>采购项目名称、采购项目编号、供应商名称、标段（如果有）、包号（如果有）</w:t>
      </w:r>
      <w:r>
        <w:rPr>
          <w:rFonts w:hint="eastAsia" w:ascii="宋体" w:hAnsi="宋体"/>
          <w:b/>
          <w:sz w:val="24"/>
          <w:highlight w:val="none"/>
        </w:rPr>
        <w:t>，</w:t>
      </w:r>
      <w:r>
        <w:rPr>
          <w:rFonts w:hint="eastAsia" w:ascii="宋体" w:hAnsi="宋体"/>
          <w:bCs/>
          <w:sz w:val="24"/>
          <w:highlight w:val="none"/>
        </w:rPr>
        <w:t>并注明</w:t>
      </w:r>
      <w:r>
        <w:rPr>
          <w:rFonts w:hint="eastAsia" w:ascii="宋体" w:hAnsi="宋体"/>
          <w:b/>
          <w:bCs/>
          <w:sz w:val="24"/>
          <w:highlight w:val="none"/>
          <w:u w:val="single"/>
        </w:rPr>
        <w:t>“首次报价一览表”、“非磋商会议不得启封”</w:t>
      </w:r>
      <w:r>
        <w:rPr>
          <w:rFonts w:hint="eastAsia" w:ascii="宋体" w:hAnsi="宋体"/>
          <w:bCs/>
          <w:sz w:val="24"/>
          <w:highlight w:val="none"/>
        </w:rPr>
        <w:t>字样，响应时递交。</w:t>
      </w:r>
    </w:p>
    <w:p>
      <w:pPr>
        <w:spacing w:line="360" w:lineRule="auto"/>
        <w:ind w:firstLine="480"/>
        <w:rPr>
          <w:rFonts w:ascii="宋体" w:hAnsi="宋体"/>
          <w:sz w:val="24"/>
          <w:highlight w:val="none"/>
        </w:rPr>
      </w:pPr>
      <w:r>
        <w:rPr>
          <w:rFonts w:hint="eastAsia" w:ascii="宋体" w:hAnsi="宋体"/>
          <w:sz w:val="24"/>
          <w:highlight w:val="none"/>
        </w:rPr>
        <w:t>15.</w:t>
      </w:r>
      <w:bookmarkStart w:id="100" w:name="OLE_LINK3"/>
      <w:bookmarkStart w:id="101" w:name="OLE_LINK4"/>
      <w:r>
        <w:rPr>
          <w:rFonts w:hint="eastAsia" w:ascii="宋体" w:hAnsi="宋体"/>
          <w:sz w:val="24"/>
          <w:highlight w:val="none"/>
        </w:rPr>
        <w:t>4</w:t>
      </w:r>
      <w:r>
        <w:rPr>
          <w:rFonts w:hint="eastAsia" w:ascii="宋体" w:hAnsi="宋体"/>
          <w:b/>
          <w:bCs/>
          <w:sz w:val="24"/>
          <w:highlight w:val="none"/>
          <w:u w:val="single"/>
        </w:rPr>
        <w:t>“资格证明文件证明材料原件”</w:t>
      </w:r>
      <w:r>
        <w:rPr>
          <w:rFonts w:hint="eastAsia" w:ascii="宋体" w:hAnsi="宋体"/>
          <w:sz w:val="24"/>
          <w:highlight w:val="none"/>
        </w:rPr>
        <w:t>按照本须知2.3条要求内容组成。</w:t>
      </w:r>
      <w:r>
        <w:rPr>
          <w:rFonts w:hint="eastAsia" w:ascii="宋体" w:hAnsi="宋体"/>
          <w:b/>
          <w:bCs/>
          <w:sz w:val="24"/>
          <w:highlight w:val="none"/>
        </w:rPr>
        <w:t>“资格证明文件证明材料原件”</w:t>
      </w:r>
      <w:r>
        <w:rPr>
          <w:rFonts w:hint="eastAsia" w:ascii="宋体" w:hAnsi="宋体"/>
          <w:sz w:val="24"/>
          <w:highlight w:val="none"/>
        </w:rPr>
        <w:t>文件应汇总放置于在一个文件袋中</w:t>
      </w:r>
      <w:r>
        <w:rPr>
          <w:rFonts w:hint="eastAsia" w:ascii="宋体" w:hAnsi="宋体"/>
          <w:b/>
          <w:bCs/>
          <w:sz w:val="24"/>
          <w:highlight w:val="none"/>
        </w:rPr>
        <w:t>（无须密封）</w:t>
      </w:r>
      <w:r>
        <w:rPr>
          <w:rFonts w:hint="eastAsia" w:ascii="宋体" w:hAnsi="宋体"/>
          <w:sz w:val="24"/>
          <w:highlight w:val="none"/>
        </w:rPr>
        <w:t>，封皮上写明采购项目名称、采购项目编号、供应商名称、标段（如果有）、包号（如果有），并注明</w:t>
      </w:r>
      <w:r>
        <w:rPr>
          <w:rFonts w:hint="eastAsia" w:ascii="宋体" w:hAnsi="宋体"/>
          <w:b/>
          <w:sz w:val="24"/>
          <w:highlight w:val="none"/>
          <w:u w:val="single"/>
        </w:rPr>
        <w:t>“资格证明文件</w:t>
      </w:r>
      <w:r>
        <w:rPr>
          <w:rFonts w:hint="eastAsia" w:ascii="宋体" w:hAnsi="宋体"/>
          <w:b/>
          <w:bCs/>
          <w:sz w:val="24"/>
          <w:highlight w:val="none"/>
          <w:u w:val="single"/>
        </w:rPr>
        <w:t>证明材料原件</w:t>
      </w:r>
      <w:r>
        <w:rPr>
          <w:rFonts w:hint="eastAsia" w:ascii="宋体" w:hAnsi="宋体"/>
          <w:b/>
          <w:sz w:val="24"/>
          <w:highlight w:val="none"/>
          <w:u w:val="single"/>
        </w:rPr>
        <w:t>”</w:t>
      </w:r>
      <w:r>
        <w:rPr>
          <w:rFonts w:hint="eastAsia" w:ascii="宋体" w:hAnsi="宋体"/>
          <w:sz w:val="24"/>
          <w:highlight w:val="none"/>
        </w:rPr>
        <w:t>字样及</w:t>
      </w:r>
      <w:r>
        <w:rPr>
          <w:rFonts w:hint="eastAsia" w:ascii="宋体" w:hAnsi="宋体"/>
          <w:b/>
          <w:bCs/>
          <w:sz w:val="24"/>
          <w:highlight w:val="none"/>
          <w:u w:val="single"/>
        </w:rPr>
        <w:t>“清单目录”</w:t>
      </w:r>
      <w:r>
        <w:rPr>
          <w:rFonts w:hint="eastAsia" w:ascii="宋体" w:hAnsi="宋体"/>
          <w:sz w:val="24"/>
          <w:highlight w:val="none"/>
        </w:rPr>
        <w:t>，响应时递交，资格审查结束后退还。</w:t>
      </w:r>
    </w:p>
    <w:p>
      <w:pPr>
        <w:spacing w:line="360" w:lineRule="auto"/>
        <w:ind w:firstLine="480"/>
        <w:rPr>
          <w:rFonts w:ascii="宋体" w:hAnsi="宋体"/>
          <w:sz w:val="24"/>
          <w:highlight w:val="none"/>
        </w:rPr>
      </w:pPr>
      <w:r>
        <w:rPr>
          <w:rFonts w:hint="eastAsia" w:ascii="宋体" w:hAnsi="宋体"/>
          <w:b/>
          <w:bCs/>
          <w:sz w:val="24"/>
          <w:highlight w:val="none"/>
          <w:u w:val="single"/>
        </w:rPr>
        <w:t>供应商若不能按照本须知2.3条要求提供全部证明材料原件，其响应将被拒绝。</w:t>
      </w:r>
      <w:bookmarkEnd w:id="100"/>
    </w:p>
    <w:bookmarkEnd w:id="101"/>
    <w:p>
      <w:pPr>
        <w:spacing w:line="360" w:lineRule="auto"/>
        <w:ind w:firstLine="480"/>
        <w:rPr>
          <w:rFonts w:ascii="宋体" w:hAnsi="宋体"/>
          <w:b/>
          <w:bCs/>
          <w:sz w:val="24"/>
          <w:highlight w:val="none"/>
          <w:u w:val="single"/>
        </w:rPr>
      </w:pPr>
      <w:r>
        <w:rPr>
          <w:rFonts w:hint="eastAsia" w:ascii="宋体" w:hAnsi="宋体"/>
          <w:sz w:val="24"/>
          <w:highlight w:val="none"/>
        </w:rPr>
        <w:t>15.5</w:t>
      </w:r>
      <w:r>
        <w:rPr>
          <w:rFonts w:hint="eastAsia" w:ascii="宋体" w:hAnsi="宋体"/>
          <w:b/>
          <w:bCs/>
          <w:sz w:val="24"/>
          <w:highlight w:val="none"/>
          <w:u w:val="single"/>
        </w:rPr>
        <w:t>“评审证明材料”（如果有）</w:t>
      </w:r>
      <w:r>
        <w:rPr>
          <w:rFonts w:hint="eastAsia" w:ascii="宋体" w:hAnsi="宋体"/>
          <w:sz w:val="24"/>
          <w:highlight w:val="none"/>
        </w:rPr>
        <w:t>按照评审表要求内容组成，封口处应有供应商法定代表人或授权人代表签字及供应商公章。封皮上写明采购项目名称、采购项目编号、供应商名称、标段（如果有）、包号（如果有），并注明</w:t>
      </w:r>
      <w:r>
        <w:rPr>
          <w:rFonts w:hint="eastAsia" w:ascii="宋体" w:hAnsi="宋体"/>
          <w:b/>
          <w:bCs/>
          <w:sz w:val="24"/>
          <w:highlight w:val="none"/>
          <w:u w:val="single"/>
        </w:rPr>
        <w:t>“评审证明材料”</w:t>
      </w:r>
      <w:r>
        <w:rPr>
          <w:rFonts w:hint="eastAsia" w:ascii="宋体" w:hAnsi="宋体"/>
          <w:sz w:val="24"/>
          <w:highlight w:val="none"/>
        </w:rPr>
        <w:t>字样及</w:t>
      </w:r>
      <w:r>
        <w:rPr>
          <w:rFonts w:hint="eastAsia" w:ascii="宋体" w:hAnsi="宋体"/>
          <w:b/>
          <w:bCs/>
          <w:sz w:val="24"/>
          <w:highlight w:val="none"/>
          <w:u w:val="single"/>
        </w:rPr>
        <w:t>“清单目录”</w:t>
      </w:r>
      <w:r>
        <w:rPr>
          <w:rFonts w:hint="eastAsia" w:ascii="宋体" w:hAnsi="宋体"/>
          <w:sz w:val="24"/>
          <w:highlight w:val="none"/>
        </w:rPr>
        <w:t>，响应时递交，评审结束后退还。</w:t>
      </w:r>
    </w:p>
    <w:p>
      <w:pPr>
        <w:spacing w:line="360" w:lineRule="auto"/>
        <w:ind w:firstLine="480"/>
        <w:rPr>
          <w:rFonts w:ascii="宋体" w:hAnsi="宋体"/>
          <w:sz w:val="24"/>
          <w:highlight w:val="none"/>
        </w:rPr>
      </w:pPr>
      <w:r>
        <w:rPr>
          <w:rFonts w:hint="eastAsia" w:ascii="宋体" w:hAnsi="宋体"/>
          <w:sz w:val="24"/>
          <w:highlight w:val="none"/>
        </w:rPr>
        <w:t>15.6如果供应商未按上述要求密封及加写标记，将有可能导致响应无效。</w:t>
      </w:r>
    </w:p>
    <w:p>
      <w:pPr>
        <w:spacing w:line="360" w:lineRule="auto"/>
        <w:ind w:firstLine="482" w:firstLineChars="200"/>
        <w:rPr>
          <w:rFonts w:ascii="宋体" w:hAnsi="宋体"/>
          <w:b/>
          <w:bCs/>
          <w:sz w:val="24"/>
          <w:highlight w:val="none"/>
        </w:rPr>
      </w:pPr>
      <w:r>
        <w:rPr>
          <w:rFonts w:hint="eastAsia" w:ascii="宋体" w:hAnsi="宋体"/>
          <w:b/>
          <w:bCs/>
          <w:sz w:val="24"/>
          <w:highlight w:val="none"/>
        </w:rPr>
        <w:t>16.响应文件递交</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16.1供应商必须在磋商文件规定的时间和地点，将全部响应文件递交至磋商现场；</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16.2采购代理机构工作人员在磋商文件规定的响应文件递交截止时间前，只负责响应文件的接收、清点、造册登记工作，并请法定代表人或被授权人签字确认，对其有效性不负任何责任；</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16.3采购代理机构在宣布递交响应文件截止时间之后，拒绝接收任何人送达、递交的响应文件；</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16.4无论供应商成交与否或者响应无效，其响应文件恕不退还。</w:t>
      </w:r>
    </w:p>
    <w:p>
      <w:pPr>
        <w:spacing w:line="360" w:lineRule="auto"/>
        <w:ind w:firstLine="482" w:firstLineChars="200"/>
        <w:rPr>
          <w:rFonts w:ascii="宋体" w:hAnsi="宋体"/>
          <w:b/>
          <w:bCs/>
          <w:sz w:val="24"/>
          <w:highlight w:val="none"/>
        </w:rPr>
      </w:pPr>
      <w:r>
        <w:rPr>
          <w:rFonts w:hint="eastAsia" w:ascii="宋体" w:hAnsi="宋体"/>
          <w:b/>
          <w:bCs/>
          <w:sz w:val="24"/>
          <w:highlight w:val="none"/>
        </w:rPr>
        <w:t>17.响应截止时间</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17.1供应商必须在磋商文件规定的递交截止时间之前递交响应文件，采购代理机构在截止时间后拒绝接收任何响应文件。</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17.2因采购单位推迟响应截止时间时，采购代理机构应以书面（或传真）的形式,通知所有供应商；在这种情况下，采购代理机构和供应商的权利和义务将受到新的截止期的约束。</w:t>
      </w:r>
    </w:p>
    <w:p>
      <w:pPr>
        <w:spacing w:line="360" w:lineRule="auto"/>
        <w:ind w:firstLine="482" w:firstLineChars="200"/>
        <w:rPr>
          <w:rFonts w:ascii="宋体" w:hAnsi="宋体"/>
          <w:b/>
          <w:bCs/>
          <w:sz w:val="24"/>
          <w:highlight w:val="none"/>
        </w:rPr>
      </w:pPr>
      <w:r>
        <w:rPr>
          <w:rFonts w:hint="eastAsia" w:ascii="宋体" w:hAnsi="宋体"/>
          <w:b/>
          <w:bCs/>
          <w:sz w:val="24"/>
          <w:highlight w:val="none"/>
        </w:rPr>
        <w:t>18.响应文件的修改和撤回</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18.1响应文件递交后，如果供应商提出书面修改、补充和撤回响应文件要求，在响应截止时间前以书面形式送达采购代理机构；</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18.2供应商修改响应文件的书面材料，须密封送达采购代理机构，修改或补充的内容应按磋商文件要求签署、盖章、密封、标记，并作为响应文件的组成部分；</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18.3撤回响应文件应以书面形式通知采购代理机构；</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18.4在响应截止时间后到磋商文件规定的响应有效期满之间的这段时间内，供应商不得撤回其响应文件；</w:t>
      </w:r>
    </w:p>
    <w:p>
      <w:pPr>
        <w:spacing w:line="360" w:lineRule="auto"/>
        <w:ind w:firstLine="480" w:firstLineChars="200"/>
        <w:rPr>
          <w:rFonts w:ascii="宋体" w:hAnsi="宋体"/>
          <w:sz w:val="24"/>
          <w:highlight w:val="none"/>
        </w:rPr>
      </w:pPr>
      <w:r>
        <w:rPr>
          <w:rFonts w:hint="eastAsia" w:ascii="宋体" w:hAnsi="宋体"/>
          <w:sz w:val="24"/>
          <w:highlight w:val="none"/>
        </w:rPr>
        <w:t>18.5供应商在响应文件递交截止时间后，不得对其响应文件做任何修改。</w:t>
      </w:r>
      <w:bookmarkStart w:id="102" w:name="_Toc11068"/>
    </w:p>
    <w:p>
      <w:pPr>
        <w:spacing w:line="360" w:lineRule="auto"/>
        <w:ind w:firstLine="480" w:firstLineChars="200"/>
        <w:rPr>
          <w:rFonts w:ascii="仿宋_GB2312" w:hAnsi="仿宋" w:eastAsia="仿宋_GB2312" w:cs="仿宋"/>
          <w:sz w:val="24"/>
          <w:highlight w:val="none"/>
        </w:rPr>
      </w:pPr>
    </w:p>
    <w:p>
      <w:pPr>
        <w:spacing w:line="360" w:lineRule="auto"/>
        <w:ind w:firstLine="481"/>
        <w:jc w:val="left"/>
        <w:outlineLvl w:val="1"/>
        <w:rPr>
          <w:rFonts w:ascii="黑体" w:hAnsi="黑体" w:eastAsia="黑体" w:cs="黑体"/>
          <w:b/>
          <w:sz w:val="24"/>
          <w:highlight w:val="none"/>
        </w:rPr>
      </w:pPr>
      <w:bookmarkStart w:id="103" w:name="_Toc23398"/>
      <w:bookmarkStart w:id="104" w:name="_Toc5241"/>
      <w:r>
        <w:rPr>
          <w:rFonts w:hint="eastAsia" w:ascii="黑体" w:hAnsi="黑体" w:eastAsia="黑体" w:cs="黑体"/>
          <w:b/>
          <w:sz w:val="24"/>
          <w:highlight w:val="none"/>
        </w:rPr>
        <w:t>五、</w:t>
      </w:r>
      <w:bookmarkEnd w:id="102"/>
      <w:r>
        <w:rPr>
          <w:rFonts w:hint="eastAsia" w:ascii="黑体" w:hAnsi="黑体" w:eastAsia="黑体" w:cs="黑体"/>
          <w:b/>
          <w:sz w:val="24"/>
          <w:highlight w:val="none"/>
        </w:rPr>
        <w:t>磋商、评审、成交</w:t>
      </w:r>
      <w:bookmarkEnd w:id="103"/>
      <w:bookmarkEnd w:id="104"/>
    </w:p>
    <w:p>
      <w:pPr>
        <w:spacing w:line="360" w:lineRule="auto"/>
        <w:ind w:firstLine="481"/>
        <w:jc w:val="left"/>
        <w:rPr>
          <w:rFonts w:ascii="宋体" w:hAnsi="宋体"/>
          <w:b/>
          <w:bCs/>
          <w:sz w:val="24"/>
          <w:highlight w:val="none"/>
          <w:u w:val="single"/>
        </w:rPr>
      </w:pPr>
      <w:bookmarkStart w:id="105" w:name="_Toc14491"/>
      <w:bookmarkStart w:id="106" w:name="_Toc13499"/>
      <w:bookmarkStart w:id="107" w:name="_Toc10941"/>
      <w:r>
        <w:rPr>
          <w:rFonts w:hint="eastAsia" w:ascii="宋体" w:hAnsi="宋体"/>
          <w:b/>
          <w:bCs/>
          <w:sz w:val="24"/>
          <w:highlight w:val="none"/>
          <w:u w:val="single"/>
        </w:rPr>
        <w:t>19.见磋商文件第四部分。</w:t>
      </w:r>
      <w:bookmarkEnd w:id="105"/>
      <w:bookmarkEnd w:id="106"/>
      <w:bookmarkEnd w:id="107"/>
    </w:p>
    <w:p>
      <w:pPr>
        <w:spacing w:line="360" w:lineRule="auto"/>
        <w:ind w:firstLine="481"/>
        <w:jc w:val="left"/>
        <w:rPr>
          <w:rFonts w:ascii="仿宋_GB2312" w:hAnsi="仿宋" w:eastAsia="仿宋_GB2312" w:cs="仿宋"/>
          <w:b/>
          <w:bCs/>
          <w:sz w:val="24"/>
          <w:highlight w:val="none"/>
          <w:u w:val="single"/>
        </w:rPr>
      </w:pPr>
    </w:p>
    <w:p>
      <w:pPr>
        <w:spacing w:line="360" w:lineRule="auto"/>
        <w:ind w:firstLine="481"/>
        <w:jc w:val="left"/>
        <w:outlineLvl w:val="1"/>
        <w:rPr>
          <w:rFonts w:ascii="黑体" w:hAnsi="黑体" w:eastAsia="黑体" w:cs="黑体"/>
          <w:b/>
          <w:sz w:val="24"/>
          <w:highlight w:val="none"/>
        </w:rPr>
      </w:pPr>
      <w:bookmarkStart w:id="108" w:name="_Toc10860"/>
      <w:bookmarkStart w:id="109" w:name="_Toc22007"/>
      <w:r>
        <w:rPr>
          <w:rFonts w:hint="eastAsia" w:ascii="黑体" w:hAnsi="黑体" w:eastAsia="黑体" w:cs="黑体"/>
          <w:b/>
          <w:sz w:val="24"/>
          <w:highlight w:val="none"/>
        </w:rPr>
        <w:t>六、响应纪律要求</w:t>
      </w:r>
      <w:bookmarkEnd w:id="108"/>
      <w:bookmarkEnd w:id="109"/>
    </w:p>
    <w:p>
      <w:pPr>
        <w:spacing w:line="360" w:lineRule="auto"/>
        <w:ind w:firstLine="482" w:firstLineChars="200"/>
        <w:rPr>
          <w:rFonts w:ascii="宋体" w:hAnsi="宋体"/>
          <w:b/>
          <w:bCs/>
          <w:sz w:val="24"/>
          <w:highlight w:val="none"/>
        </w:rPr>
      </w:pPr>
      <w:bookmarkStart w:id="110" w:name="_Toc308164816"/>
      <w:bookmarkStart w:id="111" w:name="_Toc217446075"/>
      <w:r>
        <w:rPr>
          <w:rFonts w:hint="eastAsia" w:ascii="宋体" w:hAnsi="宋体"/>
          <w:b/>
          <w:bCs/>
          <w:sz w:val="24"/>
          <w:highlight w:val="none"/>
        </w:rPr>
        <w:t>20.供应商不得具有的情形</w:t>
      </w:r>
      <w:bookmarkEnd w:id="110"/>
      <w:bookmarkEnd w:id="111"/>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供应商参加本项目响应不得有下列情形：</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20.1提供虚假材料谋取成交；</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20.2采取不正当手段诋毁、排挤其他供应商；</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20.3与采购单位、其他供应商恶意串通；</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20.4成交或者成交后无正当理由拒不与采购人签订政府采购合同；</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20.5未按照磋商文件确定的事项签订政府采购合同；</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20.6将政府采购合同转包或者违规分包；</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20.7提供假冒伪劣产品；</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20.8擅自变更、中止或者终止政府采购合同；</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20.9拒绝有关部门的监督检查或者向监督检查部门提供虚假情况；</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20.10法律法规规定的其他情形。</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供应商有上述情形的，按照规定追究法律责任，具备20.1-20.10条情形之一的，同时将取消成交资格或者认定成交无效。</w:t>
      </w:r>
    </w:p>
    <w:p>
      <w:pPr>
        <w:tabs>
          <w:tab w:val="left" w:pos="525"/>
        </w:tabs>
        <w:spacing w:line="360" w:lineRule="auto"/>
        <w:ind w:firstLine="480" w:firstLineChars="200"/>
        <w:rPr>
          <w:rFonts w:ascii="宋体" w:hAnsi="宋体"/>
          <w:sz w:val="24"/>
          <w:highlight w:val="none"/>
        </w:rPr>
      </w:pPr>
    </w:p>
    <w:p>
      <w:pPr>
        <w:spacing w:line="360" w:lineRule="auto"/>
        <w:ind w:firstLine="481"/>
        <w:jc w:val="left"/>
        <w:outlineLvl w:val="1"/>
        <w:rPr>
          <w:rFonts w:ascii="黑体" w:hAnsi="黑体" w:eastAsia="黑体" w:cs="黑体"/>
          <w:b/>
          <w:sz w:val="24"/>
          <w:highlight w:val="none"/>
        </w:rPr>
      </w:pPr>
      <w:bookmarkStart w:id="112" w:name="_Toc9216"/>
      <w:bookmarkStart w:id="113" w:name="_Toc19542"/>
      <w:r>
        <w:rPr>
          <w:rFonts w:hint="eastAsia" w:ascii="黑体" w:hAnsi="黑体" w:eastAsia="黑体" w:cs="黑体"/>
          <w:b/>
          <w:sz w:val="24"/>
          <w:highlight w:val="none"/>
        </w:rPr>
        <w:t>七、询问、质疑、投诉</w:t>
      </w:r>
      <w:bookmarkEnd w:id="112"/>
      <w:bookmarkEnd w:id="113"/>
    </w:p>
    <w:p>
      <w:pPr>
        <w:spacing w:line="360" w:lineRule="auto"/>
        <w:ind w:firstLine="481"/>
        <w:rPr>
          <w:rFonts w:ascii="宋体" w:hAnsi="宋体"/>
          <w:b/>
          <w:bCs/>
          <w:sz w:val="24"/>
          <w:highlight w:val="none"/>
        </w:rPr>
      </w:pPr>
      <w:bookmarkStart w:id="114" w:name="_Toc7574"/>
      <w:bookmarkStart w:id="115" w:name="_Toc5895"/>
      <w:bookmarkStart w:id="116" w:name="_Toc1395"/>
      <w:bookmarkStart w:id="117" w:name="_Toc21371"/>
      <w:r>
        <w:rPr>
          <w:rFonts w:hint="eastAsia" w:ascii="宋体" w:hAnsi="宋体"/>
          <w:b/>
          <w:bCs/>
          <w:sz w:val="24"/>
          <w:highlight w:val="none"/>
        </w:rPr>
        <w:t>21.询问</w:t>
      </w:r>
      <w:bookmarkEnd w:id="114"/>
      <w:bookmarkEnd w:id="115"/>
      <w:bookmarkEnd w:id="116"/>
      <w:bookmarkEnd w:id="117"/>
    </w:p>
    <w:p>
      <w:pPr>
        <w:spacing w:line="360" w:lineRule="auto"/>
        <w:ind w:firstLine="480" w:firstLineChars="200"/>
        <w:rPr>
          <w:rFonts w:ascii="宋体" w:hAnsi="宋体"/>
          <w:sz w:val="24"/>
          <w:highlight w:val="none"/>
        </w:rPr>
      </w:pPr>
      <w:r>
        <w:rPr>
          <w:rFonts w:hint="eastAsia" w:ascii="宋体" w:hAnsi="宋体"/>
          <w:sz w:val="24"/>
          <w:highlight w:val="none"/>
        </w:rPr>
        <w:t>21.1供应商对政府采购活动事项（磋商文件、采购过程和成交结果）有疑问的，可以向采购人或采购代理机构提出询问；</w:t>
      </w:r>
    </w:p>
    <w:p>
      <w:pPr>
        <w:spacing w:line="360" w:lineRule="auto"/>
        <w:ind w:firstLine="480" w:firstLineChars="200"/>
        <w:rPr>
          <w:rFonts w:ascii="宋体" w:hAnsi="宋体"/>
          <w:sz w:val="24"/>
          <w:highlight w:val="none"/>
        </w:rPr>
      </w:pPr>
      <w:r>
        <w:rPr>
          <w:rFonts w:hint="eastAsia" w:ascii="宋体" w:hAnsi="宋体"/>
          <w:sz w:val="24"/>
          <w:highlight w:val="none"/>
        </w:rPr>
        <w:t>如果供应商向采购代理机构提出的询问超出采购人对采购代理机构委托授权范围的，采购代理机构将告知供应商向采购人提出。</w:t>
      </w:r>
    </w:p>
    <w:p>
      <w:pPr>
        <w:spacing w:line="360" w:lineRule="auto"/>
        <w:ind w:firstLine="480" w:firstLineChars="200"/>
        <w:rPr>
          <w:rFonts w:ascii="宋体" w:hAnsi="宋体"/>
          <w:sz w:val="24"/>
          <w:highlight w:val="none"/>
        </w:rPr>
      </w:pPr>
      <w:r>
        <w:rPr>
          <w:rFonts w:hint="eastAsia" w:ascii="宋体" w:hAnsi="宋体"/>
          <w:sz w:val="24"/>
          <w:highlight w:val="none"/>
        </w:rPr>
        <w:t>21.2询问可以口头方式提出，也可以书面方式提出，书面方式包括但不限于传真、信函、电子邮件；</w:t>
      </w:r>
    </w:p>
    <w:p>
      <w:pPr>
        <w:spacing w:line="360" w:lineRule="auto"/>
        <w:ind w:firstLine="480" w:firstLineChars="200"/>
        <w:rPr>
          <w:rFonts w:ascii="宋体" w:hAnsi="宋体"/>
          <w:sz w:val="24"/>
          <w:highlight w:val="none"/>
        </w:rPr>
      </w:pPr>
      <w:r>
        <w:rPr>
          <w:rFonts w:hint="eastAsia" w:ascii="宋体" w:hAnsi="宋体"/>
          <w:sz w:val="24"/>
          <w:highlight w:val="none"/>
        </w:rPr>
        <w:t>联系方式见《磋商邀请函》中“采购人、采购代理机构的名称、地址和联系方式”。</w:t>
      </w:r>
    </w:p>
    <w:p>
      <w:pPr>
        <w:spacing w:line="360" w:lineRule="auto"/>
        <w:ind w:firstLine="480" w:firstLineChars="200"/>
        <w:rPr>
          <w:rFonts w:ascii="宋体" w:hAnsi="宋体"/>
          <w:sz w:val="24"/>
          <w:highlight w:val="none"/>
        </w:rPr>
      </w:pPr>
      <w:r>
        <w:rPr>
          <w:rFonts w:hint="eastAsia" w:ascii="宋体" w:hAnsi="宋体"/>
          <w:sz w:val="24"/>
          <w:highlight w:val="none"/>
        </w:rPr>
        <w:t>21.3采购代理机构或采购人将在三个工作日内对供应商依法提出的询问作出答复，但答复的内容不涉及商业秘密。</w:t>
      </w:r>
    </w:p>
    <w:p>
      <w:pPr>
        <w:spacing w:line="360" w:lineRule="auto"/>
        <w:ind w:firstLine="482" w:firstLineChars="200"/>
        <w:rPr>
          <w:rFonts w:ascii="宋体" w:hAnsi="宋体"/>
          <w:b/>
          <w:bCs/>
          <w:sz w:val="24"/>
          <w:highlight w:val="none"/>
        </w:rPr>
      </w:pPr>
      <w:r>
        <w:rPr>
          <w:rFonts w:hint="eastAsia" w:ascii="宋体" w:hAnsi="宋体"/>
          <w:b/>
          <w:bCs/>
          <w:sz w:val="24"/>
          <w:highlight w:val="none"/>
        </w:rPr>
        <w:t>22.质疑</w:t>
      </w:r>
    </w:p>
    <w:p>
      <w:pPr>
        <w:spacing w:line="360" w:lineRule="auto"/>
        <w:ind w:firstLine="480" w:firstLineChars="200"/>
        <w:rPr>
          <w:rFonts w:ascii="宋体" w:hAnsi="宋体"/>
          <w:sz w:val="24"/>
          <w:highlight w:val="none"/>
        </w:rPr>
      </w:pPr>
      <w:r>
        <w:rPr>
          <w:rFonts w:hint="eastAsia" w:ascii="宋体" w:hAnsi="宋体"/>
          <w:sz w:val="24"/>
          <w:highlight w:val="none"/>
        </w:rPr>
        <w:t>22.1供应商认为政府采购活动事项（磋商文件、采购过程和成交结果）使自身的合法权益受到损害，可以在法定期限内，以书面形式向采购代理机构或采购人提出质疑；</w:t>
      </w:r>
    </w:p>
    <w:p>
      <w:pPr>
        <w:spacing w:line="360" w:lineRule="auto"/>
        <w:ind w:firstLine="480" w:firstLineChars="200"/>
        <w:rPr>
          <w:rFonts w:ascii="宋体" w:hAnsi="宋体"/>
          <w:sz w:val="24"/>
          <w:highlight w:val="none"/>
        </w:rPr>
      </w:pPr>
      <w:r>
        <w:rPr>
          <w:rFonts w:hint="eastAsia" w:ascii="宋体" w:hAnsi="宋体"/>
          <w:sz w:val="24"/>
          <w:highlight w:val="none"/>
        </w:rPr>
        <w:t>如果供应商向采购代理机构提出的质疑超出采购人对采购代理机构委托授权范围的，采购代理机构将告知供应商向采购人提出。</w:t>
      </w:r>
    </w:p>
    <w:p>
      <w:pPr>
        <w:spacing w:line="360" w:lineRule="auto"/>
        <w:ind w:firstLine="480" w:firstLineChars="200"/>
        <w:rPr>
          <w:rFonts w:ascii="宋体" w:hAnsi="宋体"/>
          <w:sz w:val="24"/>
          <w:highlight w:val="none"/>
        </w:rPr>
      </w:pPr>
      <w:r>
        <w:rPr>
          <w:rFonts w:hint="eastAsia" w:ascii="宋体" w:hAnsi="宋体"/>
          <w:sz w:val="24"/>
          <w:highlight w:val="none"/>
        </w:rPr>
        <w:t xml:space="preserve">22.2质疑书应当有明确的请求和必要的证明材料，捏造事实、提供虚假材料或者以非法手段取得证明材料不能作为质疑、投诉的证明材料(依据《中华人民共和国政府采购法实施条例》第五十七条）； </w:t>
      </w:r>
    </w:p>
    <w:p>
      <w:pPr>
        <w:spacing w:line="360" w:lineRule="auto"/>
        <w:ind w:firstLine="480" w:firstLineChars="200"/>
        <w:rPr>
          <w:rFonts w:ascii="宋体" w:hAnsi="宋体"/>
          <w:sz w:val="24"/>
          <w:highlight w:val="none"/>
        </w:rPr>
      </w:pPr>
      <w:r>
        <w:rPr>
          <w:rFonts w:hint="eastAsia" w:ascii="宋体" w:hAnsi="宋体"/>
          <w:sz w:val="24"/>
          <w:highlight w:val="none"/>
        </w:rPr>
        <w:t>质疑书应当包括但不限于以下主要内容：被质疑项目名称、项目编号、标段（如果有）、采购公告发布时间、质疑事项、权益受损害的情况说明及受损害的原因、证据材料、法律依据（具体条款）、质疑供应商有效联系方式等。</w:t>
      </w:r>
    </w:p>
    <w:p>
      <w:pPr>
        <w:spacing w:line="360" w:lineRule="auto"/>
        <w:ind w:firstLine="480" w:firstLineChars="200"/>
        <w:rPr>
          <w:rFonts w:ascii="宋体" w:hAnsi="宋体"/>
          <w:sz w:val="24"/>
          <w:highlight w:val="none"/>
        </w:rPr>
      </w:pPr>
      <w:r>
        <w:rPr>
          <w:rFonts w:hint="eastAsia" w:ascii="宋体" w:hAnsi="宋体"/>
          <w:sz w:val="24"/>
          <w:highlight w:val="none"/>
        </w:rPr>
        <w:t>22.3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pPr>
        <w:spacing w:line="360" w:lineRule="auto"/>
        <w:ind w:firstLine="480" w:firstLineChars="200"/>
        <w:rPr>
          <w:rFonts w:ascii="宋体" w:hAnsi="宋体"/>
          <w:sz w:val="24"/>
          <w:highlight w:val="none"/>
        </w:rPr>
      </w:pPr>
      <w:r>
        <w:rPr>
          <w:rFonts w:hint="eastAsia" w:ascii="宋体" w:hAnsi="宋体"/>
          <w:sz w:val="24"/>
          <w:highlight w:val="none"/>
        </w:rPr>
        <w:t>22.4有下列情形之一的，属于无效质疑，采购代理机构和采购人可不予受理：</w:t>
      </w:r>
    </w:p>
    <w:p>
      <w:pPr>
        <w:spacing w:line="360" w:lineRule="auto"/>
        <w:ind w:firstLine="480" w:firstLineChars="200"/>
        <w:rPr>
          <w:rFonts w:ascii="宋体" w:hAnsi="宋体"/>
          <w:sz w:val="24"/>
          <w:highlight w:val="none"/>
        </w:rPr>
      </w:pPr>
      <w:r>
        <w:rPr>
          <w:rFonts w:hint="eastAsia" w:ascii="宋体" w:hAnsi="宋体"/>
          <w:sz w:val="24"/>
          <w:highlight w:val="none"/>
        </w:rPr>
        <w:t>22.4.1质疑供应商不是参与本次政府采购项目的供应商或潜在供应商；</w:t>
      </w:r>
    </w:p>
    <w:p>
      <w:pPr>
        <w:spacing w:line="360" w:lineRule="auto"/>
        <w:ind w:firstLine="480" w:firstLineChars="200"/>
        <w:rPr>
          <w:rFonts w:ascii="宋体" w:hAnsi="宋体"/>
          <w:sz w:val="24"/>
          <w:highlight w:val="none"/>
        </w:rPr>
      </w:pPr>
      <w:r>
        <w:rPr>
          <w:rFonts w:hint="eastAsia" w:ascii="宋体" w:hAnsi="宋体"/>
          <w:sz w:val="24"/>
          <w:highlight w:val="none"/>
        </w:rPr>
        <w:t>22.4.2质疑供应商与质疑事项不存在利害关系的；</w:t>
      </w:r>
    </w:p>
    <w:p>
      <w:pPr>
        <w:spacing w:line="360" w:lineRule="auto"/>
        <w:ind w:firstLine="480" w:firstLineChars="200"/>
        <w:rPr>
          <w:rFonts w:ascii="宋体" w:hAnsi="宋体"/>
          <w:sz w:val="24"/>
          <w:highlight w:val="none"/>
        </w:rPr>
      </w:pPr>
      <w:r>
        <w:rPr>
          <w:rFonts w:hint="eastAsia" w:ascii="宋体" w:hAnsi="宋体"/>
          <w:sz w:val="24"/>
          <w:highlight w:val="none"/>
        </w:rPr>
        <w:t>22.4.3未在法定期限内提出质疑的；</w:t>
      </w:r>
    </w:p>
    <w:p>
      <w:pPr>
        <w:spacing w:line="360" w:lineRule="auto"/>
        <w:ind w:firstLine="480" w:firstLineChars="200"/>
        <w:rPr>
          <w:rFonts w:ascii="宋体" w:hAnsi="宋体"/>
          <w:sz w:val="24"/>
          <w:highlight w:val="none"/>
        </w:rPr>
      </w:pPr>
      <w:r>
        <w:rPr>
          <w:rFonts w:hint="eastAsia" w:ascii="宋体" w:hAnsi="宋体"/>
          <w:sz w:val="24"/>
          <w:highlight w:val="none"/>
        </w:rPr>
        <w:t>22.4.4质疑未以书面形式提出，或质疑书主要内容构成不完整的；</w:t>
      </w:r>
    </w:p>
    <w:p>
      <w:pPr>
        <w:spacing w:line="360" w:lineRule="auto"/>
        <w:ind w:firstLine="480" w:firstLineChars="200"/>
        <w:rPr>
          <w:rFonts w:ascii="宋体" w:hAnsi="宋体"/>
          <w:sz w:val="24"/>
          <w:highlight w:val="none"/>
        </w:rPr>
      </w:pPr>
      <w:r>
        <w:rPr>
          <w:rFonts w:hint="eastAsia" w:ascii="宋体" w:hAnsi="宋体"/>
          <w:sz w:val="24"/>
          <w:highlight w:val="none"/>
        </w:rPr>
        <w:t>22.4.5质疑书没有合法有效的签字、盖章或授权的；</w:t>
      </w:r>
    </w:p>
    <w:p>
      <w:pPr>
        <w:spacing w:line="360" w:lineRule="auto"/>
        <w:ind w:firstLine="480" w:firstLineChars="200"/>
        <w:rPr>
          <w:rFonts w:ascii="宋体" w:hAnsi="宋体"/>
          <w:sz w:val="24"/>
          <w:highlight w:val="none"/>
        </w:rPr>
      </w:pPr>
      <w:r>
        <w:rPr>
          <w:rFonts w:hint="eastAsia" w:ascii="宋体" w:hAnsi="宋体"/>
          <w:sz w:val="24"/>
          <w:highlight w:val="none"/>
        </w:rPr>
        <w:t>22.4.6以非法手段取得证据、材料的；</w:t>
      </w:r>
    </w:p>
    <w:p>
      <w:pPr>
        <w:spacing w:line="360" w:lineRule="auto"/>
        <w:ind w:firstLine="480" w:firstLineChars="200"/>
        <w:rPr>
          <w:rFonts w:ascii="宋体" w:hAnsi="宋体"/>
          <w:sz w:val="24"/>
          <w:highlight w:val="none"/>
        </w:rPr>
      </w:pPr>
      <w:r>
        <w:rPr>
          <w:rFonts w:hint="eastAsia" w:ascii="宋体" w:hAnsi="宋体"/>
          <w:sz w:val="24"/>
          <w:highlight w:val="none"/>
        </w:rPr>
        <w:t>22.4.7质疑答复后，同一质疑供应商就同一事项再次提出质疑的；</w:t>
      </w:r>
    </w:p>
    <w:p>
      <w:pPr>
        <w:spacing w:line="360" w:lineRule="auto"/>
        <w:ind w:firstLine="480" w:firstLineChars="200"/>
        <w:rPr>
          <w:rFonts w:ascii="宋体" w:hAnsi="宋体"/>
          <w:sz w:val="24"/>
          <w:highlight w:val="none"/>
        </w:rPr>
      </w:pPr>
      <w:r>
        <w:rPr>
          <w:rFonts w:hint="eastAsia" w:ascii="宋体" w:hAnsi="宋体"/>
          <w:sz w:val="24"/>
          <w:highlight w:val="none"/>
        </w:rPr>
        <w:t>22.4.8不符合法律、法规、规章和政府采购监管机构规定的其他条件的。</w:t>
      </w:r>
    </w:p>
    <w:p>
      <w:pPr>
        <w:spacing w:line="360" w:lineRule="auto"/>
        <w:ind w:firstLine="480" w:firstLineChars="200"/>
        <w:rPr>
          <w:rFonts w:ascii="宋体" w:hAnsi="宋体"/>
          <w:sz w:val="24"/>
          <w:highlight w:val="none"/>
        </w:rPr>
      </w:pPr>
      <w:r>
        <w:rPr>
          <w:rFonts w:hint="eastAsia" w:ascii="宋体" w:hAnsi="宋体"/>
          <w:sz w:val="24"/>
          <w:highlight w:val="none"/>
        </w:rPr>
        <w:t>22.5采购人或采购代理机构将在收到质疑供应商提交的质疑书二个工作日内就质疑书是否有效做出答复。</w:t>
      </w:r>
    </w:p>
    <w:p>
      <w:pPr>
        <w:spacing w:line="360" w:lineRule="auto"/>
        <w:ind w:firstLine="480" w:firstLineChars="200"/>
        <w:rPr>
          <w:rFonts w:ascii="宋体" w:hAnsi="宋体"/>
          <w:sz w:val="24"/>
          <w:highlight w:val="none"/>
        </w:rPr>
      </w:pPr>
      <w:r>
        <w:rPr>
          <w:rFonts w:hint="eastAsia" w:ascii="宋体" w:hAnsi="宋体"/>
          <w:sz w:val="24"/>
          <w:highlight w:val="none"/>
        </w:rPr>
        <w:t>22.6在法定质疑期内，针对同一采购程序环节的质疑应当一次性提出。采购代理机构或采购人将在收到有效书面质疑后7个工作日内做出答复，并以书面形式通知质疑人和其他有关供应商。</w:t>
      </w:r>
    </w:p>
    <w:p>
      <w:pPr>
        <w:spacing w:line="360" w:lineRule="auto"/>
        <w:ind w:firstLine="480" w:firstLineChars="200"/>
        <w:rPr>
          <w:rFonts w:ascii="宋体" w:hAnsi="宋体"/>
          <w:sz w:val="24"/>
          <w:highlight w:val="none"/>
        </w:rPr>
      </w:pPr>
      <w:r>
        <w:rPr>
          <w:rFonts w:ascii="宋体" w:hAnsi="宋体"/>
          <w:sz w:val="24"/>
          <w:highlight w:val="none"/>
        </w:rPr>
        <w:t>22.7</w:t>
      </w:r>
      <w:r>
        <w:rPr>
          <w:rFonts w:hint="eastAsia" w:ascii="宋体" w:hAnsi="宋体"/>
          <w:sz w:val="24"/>
          <w:highlight w:val="none"/>
        </w:rPr>
        <w:t>采购人、采购代理机构不接受信函、电报、电话、传真、电子邮件方式的质疑书，质疑书以送达采购人或采购代理机构处时间为准。</w:t>
      </w:r>
    </w:p>
    <w:p>
      <w:pPr>
        <w:spacing w:line="360" w:lineRule="auto"/>
        <w:ind w:firstLine="482" w:firstLineChars="200"/>
        <w:rPr>
          <w:rFonts w:ascii="宋体" w:hAnsi="宋体"/>
          <w:b/>
          <w:bCs/>
          <w:sz w:val="24"/>
          <w:highlight w:val="none"/>
        </w:rPr>
      </w:pPr>
      <w:r>
        <w:rPr>
          <w:rFonts w:hint="eastAsia" w:ascii="宋体" w:hAnsi="宋体"/>
          <w:b/>
          <w:bCs/>
          <w:sz w:val="24"/>
          <w:highlight w:val="none"/>
        </w:rPr>
        <w:t>23.投诉</w:t>
      </w:r>
    </w:p>
    <w:p>
      <w:pPr>
        <w:spacing w:line="360" w:lineRule="auto"/>
        <w:ind w:firstLine="480" w:firstLineChars="200"/>
        <w:rPr>
          <w:rFonts w:ascii="宋体" w:hAnsi="宋体"/>
          <w:sz w:val="24"/>
          <w:highlight w:val="none"/>
        </w:rPr>
      </w:pPr>
      <w:r>
        <w:rPr>
          <w:rFonts w:hint="eastAsia" w:ascii="宋体" w:hAnsi="宋体"/>
          <w:sz w:val="24"/>
          <w:highlight w:val="none"/>
        </w:rPr>
        <w:t>23.1质疑供应商对采购人、采购代理机构的答复不满意或者采购人、采购代理机构未在规定的时间内作出答复的，可以在答复期满后十五个工作日内向同级政府采购监督管理部门投诉。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80" w:firstLineChars="200"/>
        <w:rPr>
          <w:rFonts w:ascii="宋体" w:cs="Times New Roman"/>
          <w:sz w:val="24"/>
          <w:highlight w:val="none"/>
        </w:rPr>
      </w:pPr>
      <w:r>
        <w:rPr>
          <w:rFonts w:hint="eastAsia" w:ascii="宋体" w:hAnsi="宋体"/>
          <w:sz w:val="24"/>
          <w:highlight w:val="none"/>
        </w:rPr>
        <w:t>23.2供应商投诉的事项不得超出已质疑事项的范围，但基于质疑答复内容提出的投诉事项除外。</w:t>
      </w:r>
    </w:p>
    <w:p>
      <w:pPr>
        <w:spacing w:line="360" w:lineRule="auto"/>
        <w:ind w:firstLine="480" w:firstLineChars="200"/>
        <w:rPr>
          <w:rFonts w:ascii="宋体" w:hAnsi="宋体"/>
          <w:sz w:val="24"/>
          <w:highlight w:val="none"/>
        </w:rPr>
      </w:pPr>
      <w:r>
        <w:rPr>
          <w:rFonts w:hint="eastAsia" w:ascii="宋体" w:hAnsi="宋体"/>
          <w:sz w:val="24"/>
          <w:highlight w:val="none"/>
        </w:rPr>
        <w:t>23.3</w:t>
      </w:r>
      <w:r>
        <w:rPr>
          <w:rFonts w:hint="eastAsia" w:ascii="宋体" w:hAnsi="宋体"/>
          <w:b/>
          <w:bCs/>
          <w:sz w:val="24"/>
          <w:highlight w:val="none"/>
        </w:rPr>
        <w:t>对捏造事实、提供虚假材料进行质疑、投诉的行为予以严肃处理：</w:t>
      </w:r>
      <w:r>
        <w:rPr>
          <w:rFonts w:hint="eastAsia" w:ascii="宋体" w:hAnsi="宋体"/>
          <w:sz w:val="24"/>
          <w:highlight w:val="none"/>
        </w:rPr>
        <w:t>依据《中华人民共和国政府采购法》及其实施条例、《政府采购竞争性磋商采购方式管理暂行办法》及有关问题的补充通知、《政府采购质疑和投诉办法》等法律法规文件的规定，供应商质疑、投诉应当有明确的请求和必要的证明材料。</w:t>
      </w:r>
      <w:r>
        <w:rPr>
          <w:rFonts w:hint="eastAsia" w:ascii="宋体" w:hAnsi="宋体"/>
          <w:b/>
          <w:bCs/>
          <w:sz w:val="24"/>
          <w:highlight w:val="none"/>
        </w:rPr>
        <w:t>投诉人在全国范围内十二个月内三次以上投诉查无实据的，由财政部门列入不良行为记录名单。</w:t>
      </w:r>
      <w:r>
        <w:rPr>
          <w:rFonts w:hint="eastAsia" w:ascii="宋体" w:hAnsi="宋体"/>
          <w:sz w:val="24"/>
          <w:highlight w:val="none"/>
        </w:rPr>
        <w:t>对于捏造事实、提供虚假材料或者以非法手段取得证明材料进行投诉的，财政部门应当予以驳回，并将其列入不良行为记录名单，禁止其一至三年内参加政府采购活动。</w:t>
      </w:r>
    </w:p>
    <w:p>
      <w:pPr>
        <w:spacing w:line="360" w:lineRule="auto"/>
        <w:ind w:firstLine="480" w:firstLineChars="200"/>
        <w:rPr>
          <w:rFonts w:ascii="宋体" w:cs="Times New Roman"/>
          <w:sz w:val="24"/>
          <w:highlight w:val="none"/>
        </w:rPr>
      </w:pPr>
      <w:r>
        <w:rPr>
          <w:rFonts w:hint="eastAsia" w:ascii="宋体" w:hAnsi="宋体"/>
          <w:sz w:val="24"/>
          <w:highlight w:val="none"/>
        </w:rPr>
        <w:t>23.4</w:t>
      </w:r>
      <w:r>
        <w:rPr>
          <w:rFonts w:hint="eastAsia" w:ascii="宋体" w:hAnsi="宋体"/>
          <w:b/>
          <w:bCs/>
          <w:sz w:val="24"/>
          <w:highlight w:val="none"/>
        </w:rPr>
        <w:t>对捏造事实诬告陷害他人、诽谤他人的法律适用：</w:t>
      </w:r>
      <w:r>
        <w:rPr>
          <w:rFonts w:hint="eastAsia" w:ascii="宋体" w:hAnsi="宋体"/>
          <w:sz w:val="24"/>
          <w:highlight w:val="none"/>
        </w:rPr>
        <w:t>《中华人民共和国刑法》第243条【诬告陷害罪】捏造事实诬告陷害他人，意图使他人受刑事追究，情节严重的，处三年以下有期徒刑、拘役或者管制；造成严重后果的，处三年以上十年以下有期徒刑。《中华人民共和国刑法》第246条【侮辱罪、诽谤罪】以暴力或者其他方法公然侮辱他人或者捏造事实诽谤他人，情节严重的，处三年以下有期徒刑、拘役、管制或者剥夺政治权利。</w:t>
      </w:r>
    </w:p>
    <w:p>
      <w:pPr>
        <w:spacing w:line="360" w:lineRule="auto"/>
        <w:jc w:val="left"/>
        <w:rPr>
          <w:rFonts w:ascii="宋体" w:hAnsi="宋体"/>
          <w:b/>
          <w:sz w:val="24"/>
          <w:highlight w:val="none"/>
        </w:rPr>
      </w:pPr>
      <w:bookmarkStart w:id="118" w:name="_Toc3525"/>
    </w:p>
    <w:p>
      <w:pPr>
        <w:spacing w:line="360" w:lineRule="auto"/>
        <w:ind w:firstLine="481"/>
        <w:jc w:val="left"/>
        <w:outlineLvl w:val="1"/>
        <w:rPr>
          <w:rFonts w:ascii="黑体" w:hAnsi="黑体" w:eastAsia="黑体" w:cs="黑体"/>
          <w:b/>
          <w:sz w:val="24"/>
          <w:highlight w:val="none"/>
        </w:rPr>
      </w:pPr>
      <w:bookmarkStart w:id="119" w:name="_Toc11965"/>
      <w:bookmarkStart w:id="120" w:name="_Toc26762"/>
      <w:r>
        <w:rPr>
          <w:rFonts w:hint="eastAsia" w:ascii="黑体" w:hAnsi="黑体" w:eastAsia="黑体" w:cs="黑体"/>
          <w:b/>
          <w:sz w:val="24"/>
          <w:highlight w:val="none"/>
        </w:rPr>
        <w:t>八、合同</w:t>
      </w:r>
      <w:bookmarkEnd w:id="118"/>
      <w:r>
        <w:rPr>
          <w:rFonts w:hint="eastAsia" w:ascii="黑体" w:hAnsi="黑体" w:eastAsia="黑体" w:cs="黑体"/>
          <w:b/>
          <w:sz w:val="24"/>
          <w:highlight w:val="none"/>
        </w:rPr>
        <w:t>的签订及履行</w:t>
      </w:r>
      <w:bookmarkEnd w:id="119"/>
      <w:bookmarkEnd w:id="120"/>
    </w:p>
    <w:p>
      <w:pPr>
        <w:spacing w:line="360" w:lineRule="auto"/>
        <w:ind w:firstLine="482" w:firstLineChars="200"/>
        <w:rPr>
          <w:rFonts w:ascii="宋体" w:hAnsi="宋体"/>
          <w:b/>
          <w:bCs/>
          <w:sz w:val="24"/>
          <w:highlight w:val="none"/>
        </w:rPr>
      </w:pPr>
      <w:r>
        <w:rPr>
          <w:rFonts w:hint="eastAsia" w:ascii="宋体" w:hAnsi="宋体"/>
          <w:b/>
          <w:bCs/>
          <w:sz w:val="24"/>
          <w:highlight w:val="none"/>
        </w:rPr>
        <w:t>24.签订合同</w:t>
      </w:r>
    </w:p>
    <w:p>
      <w:pPr>
        <w:spacing w:line="360" w:lineRule="auto"/>
        <w:ind w:firstLine="480" w:firstLineChars="200"/>
        <w:rPr>
          <w:rFonts w:ascii="宋体" w:hAnsi="宋体"/>
          <w:b/>
          <w:bCs/>
          <w:sz w:val="24"/>
          <w:highlight w:val="none"/>
          <w:u w:val="single"/>
        </w:rPr>
      </w:pPr>
      <w:r>
        <w:rPr>
          <w:rFonts w:hint="eastAsia" w:ascii="宋体" w:hAnsi="宋体"/>
          <w:sz w:val="24"/>
          <w:highlight w:val="none"/>
        </w:rPr>
        <w:t>24.1</w:t>
      </w:r>
      <w:r>
        <w:rPr>
          <w:rFonts w:hint="eastAsia" w:ascii="宋体" w:hAnsi="宋体"/>
          <w:b/>
          <w:bCs/>
          <w:sz w:val="24"/>
          <w:highlight w:val="none"/>
          <w:u w:val="single"/>
        </w:rPr>
        <w:t>在合同签订前，成交供应商须提供营业执照、税务登记证和在响应文件中提供的资质证明文件、业绩合同等主要证明文件的原件给采购人进行核对。如响应文件中复印件与原件不符，采购人有权取消其成交资格。</w:t>
      </w:r>
    </w:p>
    <w:p>
      <w:pPr>
        <w:spacing w:line="360" w:lineRule="auto"/>
        <w:ind w:firstLine="480" w:firstLineChars="200"/>
        <w:rPr>
          <w:rFonts w:ascii="宋体" w:hAnsi="宋体"/>
          <w:sz w:val="24"/>
          <w:highlight w:val="none"/>
        </w:rPr>
      </w:pPr>
      <w:r>
        <w:rPr>
          <w:rFonts w:hint="eastAsia" w:ascii="宋体" w:hAnsi="宋体"/>
          <w:sz w:val="24"/>
          <w:highlight w:val="none"/>
        </w:rPr>
        <w:t>24.2采购人与成交供应商自成交通知书发出之日起三十日内，按磋商文件要求和成交供应商响应文件承诺签订政府采购合同，政府采购合同不得超出磋商文件和成交供应商响应文件的范围，也不得再行订立背离合同实质性内容的其他协议。</w:t>
      </w:r>
    </w:p>
    <w:p>
      <w:pPr>
        <w:spacing w:line="360" w:lineRule="auto"/>
        <w:ind w:firstLine="482" w:firstLineChars="200"/>
        <w:rPr>
          <w:rFonts w:ascii="宋体" w:hAnsi="宋体"/>
          <w:b/>
          <w:bCs/>
          <w:sz w:val="24"/>
          <w:highlight w:val="none"/>
        </w:rPr>
      </w:pPr>
      <w:r>
        <w:rPr>
          <w:rFonts w:hint="eastAsia" w:ascii="宋体" w:hAnsi="宋体"/>
          <w:b/>
          <w:bCs/>
          <w:sz w:val="24"/>
          <w:highlight w:val="none"/>
        </w:rPr>
        <w:t>25.合同的履行</w:t>
      </w:r>
    </w:p>
    <w:p>
      <w:pPr>
        <w:spacing w:line="360" w:lineRule="auto"/>
        <w:ind w:firstLine="480" w:firstLineChars="200"/>
        <w:rPr>
          <w:rFonts w:ascii="宋体" w:hAnsi="宋体"/>
          <w:sz w:val="24"/>
          <w:highlight w:val="none"/>
        </w:rPr>
      </w:pPr>
      <w:r>
        <w:rPr>
          <w:rFonts w:hint="eastAsia" w:ascii="宋体" w:hAnsi="宋体"/>
          <w:sz w:val="24"/>
          <w:highlight w:val="none"/>
        </w:rPr>
        <w:t>25.1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firstLineChars="200"/>
        <w:rPr>
          <w:rFonts w:ascii="宋体" w:hAnsi="宋体"/>
          <w:sz w:val="24"/>
          <w:highlight w:val="none"/>
        </w:rPr>
      </w:pPr>
      <w:r>
        <w:rPr>
          <w:rFonts w:hint="eastAsia" w:ascii="宋体" w:hAnsi="宋体"/>
          <w:sz w:val="24"/>
          <w:highlight w:val="none"/>
        </w:rPr>
        <w:t>25.2政府采购合同履行中，采购人需追加与合同标的相同的货物、工程或者服务的，在不改变合同其他条款的前提下，可以与成交供应商签订补充合同，但所有补充合同的采购金额不得超过原采购金额的10%，签订补充合同的必须按规定备案。</w:t>
      </w:r>
    </w:p>
    <w:p>
      <w:pPr>
        <w:spacing w:line="360" w:lineRule="auto"/>
        <w:ind w:firstLine="480" w:firstLineChars="200"/>
        <w:rPr>
          <w:rFonts w:ascii="宋体" w:hAnsi="宋体"/>
          <w:sz w:val="24"/>
          <w:highlight w:val="none"/>
        </w:rPr>
      </w:pPr>
      <w:r>
        <w:rPr>
          <w:rFonts w:hint="eastAsia" w:ascii="宋体" w:hAnsi="宋体"/>
          <w:sz w:val="24"/>
          <w:highlight w:val="none"/>
        </w:rPr>
        <w:t>25.3根据需要，采购代理机构可会同采购人负责监督、协调和处理履约过程中出现的问题。</w:t>
      </w:r>
    </w:p>
    <w:p>
      <w:pPr>
        <w:spacing w:line="360" w:lineRule="auto"/>
        <w:ind w:firstLine="480" w:firstLineChars="200"/>
        <w:rPr>
          <w:rFonts w:ascii="宋体" w:hAnsi="宋体"/>
          <w:sz w:val="24"/>
          <w:highlight w:val="none"/>
        </w:rPr>
      </w:pPr>
      <w:r>
        <w:rPr>
          <w:rFonts w:hint="eastAsia" w:ascii="宋体" w:hAnsi="宋体"/>
          <w:sz w:val="24"/>
          <w:highlight w:val="none"/>
        </w:rPr>
        <w:t>25.4陕西省财政厅政府采购管理处在合同履行期间以及履行期后，可以随时检查项目的执行情况，对采购标准、采购内容进行调查核实，并对发现的问题进行处理。</w:t>
      </w:r>
    </w:p>
    <w:p>
      <w:pPr>
        <w:spacing w:line="360" w:lineRule="auto"/>
        <w:jc w:val="center"/>
        <w:rPr>
          <w:rFonts w:ascii="宋体" w:hAnsi="宋体"/>
          <w:b/>
          <w:sz w:val="24"/>
          <w:highlight w:val="none"/>
        </w:rPr>
      </w:pPr>
      <w:bookmarkStart w:id="121" w:name="_Toc30703"/>
    </w:p>
    <w:p>
      <w:pPr>
        <w:spacing w:line="360" w:lineRule="auto"/>
        <w:ind w:firstLine="481"/>
        <w:jc w:val="left"/>
        <w:outlineLvl w:val="1"/>
        <w:rPr>
          <w:rFonts w:ascii="黑体" w:hAnsi="黑体" w:eastAsia="黑体" w:cs="黑体"/>
          <w:b/>
          <w:sz w:val="24"/>
          <w:highlight w:val="none"/>
        </w:rPr>
      </w:pPr>
      <w:bookmarkStart w:id="122" w:name="_Toc7277"/>
      <w:bookmarkStart w:id="123" w:name="_Toc24941"/>
      <w:r>
        <w:rPr>
          <w:rFonts w:hint="eastAsia" w:ascii="黑体" w:hAnsi="黑体" w:eastAsia="黑体" w:cs="黑体"/>
          <w:b/>
          <w:sz w:val="24"/>
          <w:highlight w:val="none"/>
        </w:rPr>
        <w:t>九、采购代理服务费</w:t>
      </w:r>
      <w:bookmarkEnd w:id="121"/>
      <w:bookmarkEnd w:id="122"/>
      <w:bookmarkEnd w:id="123"/>
    </w:p>
    <w:p>
      <w:pPr>
        <w:spacing w:line="360" w:lineRule="auto"/>
        <w:ind w:firstLine="482" w:firstLineChars="200"/>
        <w:rPr>
          <w:rFonts w:ascii="宋体" w:cs="Times New Roman"/>
          <w:b/>
          <w:bCs/>
          <w:sz w:val="24"/>
          <w:highlight w:val="none"/>
        </w:rPr>
      </w:pPr>
      <w:bookmarkStart w:id="124" w:name="_Toc11215"/>
      <w:r>
        <w:rPr>
          <w:rFonts w:ascii="宋体" w:hAnsi="宋体"/>
          <w:b/>
          <w:bCs/>
          <w:sz w:val="24"/>
          <w:highlight w:val="none"/>
        </w:rPr>
        <w:t>26.</w:t>
      </w:r>
      <w:r>
        <w:rPr>
          <w:rFonts w:hint="eastAsia" w:ascii="宋体" w:hAnsi="宋体"/>
          <w:b/>
          <w:bCs/>
          <w:sz w:val="24"/>
          <w:highlight w:val="none"/>
        </w:rPr>
        <w:t>采购代理服务费</w:t>
      </w:r>
    </w:p>
    <w:p>
      <w:pPr>
        <w:spacing w:line="360" w:lineRule="auto"/>
        <w:ind w:firstLine="480" w:firstLineChars="200"/>
        <w:rPr>
          <w:rFonts w:ascii="宋体" w:cs="Times New Roman"/>
          <w:sz w:val="24"/>
          <w:highlight w:val="none"/>
        </w:rPr>
      </w:pPr>
      <w:r>
        <w:rPr>
          <w:rFonts w:ascii="宋体" w:hAnsi="宋体"/>
          <w:sz w:val="24"/>
          <w:highlight w:val="none"/>
        </w:rPr>
        <w:t>26.1</w:t>
      </w:r>
      <w:r>
        <w:rPr>
          <w:rFonts w:hint="eastAsia" w:ascii="宋体" w:hAnsi="宋体"/>
          <w:sz w:val="24"/>
          <w:highlight w:val="none"/>
        </w:rPr>
        <w:t>采购代理服务费按约定由成交供应商支付，采购代理服务费不在响应报价中单列。</w:t>
      </w:r>
    </w:p>
    <w:p>
      <w:pPr>
        <w:spacing w:line="360" w:lineRule="auto"/>
        <w:ind w:firstLine="480" w:firstLineChars="200"/>
        <w:rPr>
          <w:rFonts w:ascii="宋体" w:cs="Times New Roman"/>
          <w:sz w:val="24"/>
          <w:highlight w:val="none"/>
        </w:rPr>
      </w:pPr>
      <w:r>
        <w:rPr>
          <w:rFonts w:ascii="宋体" w:hAnsi="宋体"/>
          <w:sz w:val="24"/>
          <w:highlight w:val="none"/>
        </w:rPr>
        <w:t>26.2</w:t>
      </w:r>
      <w:r>
        <w:rPr>
          <w:rFonts w:hint="eastAsia" w:ascii="宋体" w:hAnsi="宋体"/>
          <w:sz w:val="24"/>
          <w:highlight w:val="none"/>
        </w:rPr>
        <w:t>采购代理服务费按以下标准计取：</w:t>
      </w:r>
    </w:p>
    <w:tbl>
      <w:tblPr>
        <w:tblStyle w:val="23"/>
        <w:tblW w:w="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vAlign w:val="center"/>
          </w:tcPr>
          <w:p>
            <w:pPr>
              <w:tabs>
                <w:tab w:val="left" w:pos="547"/>
              </w:tabs>
              <w:spacing w:line="360" w:lineRule="auto"/>
              <w:jc w:val="center"/>
              <w:rPr>
                <w:rFonts w:ascii="宋体" w:cs="Times New Roman"/>
                <w:highlight w:val="none"/>
              </w:rPr>
            </w:pPr>
            <w:r>
              <w:rPr>
                <w:rFonts w:hint="eastAsia" w:ascii="宋体" w:hAnsi="宋体"/>
                <w:highlight w:val="none"/>
              </w:rPr>
              <w:t>成交金额（万元）</w:t>
            </w:r>
          </w:p>
        </w:tc>
        <w:tc>
          <w:tcPr>
            <w:tcW w:w="1883" w:type="dxa"/>
            <w:vAlign w:val="center"/>
          </w:tcPr>
          <w:p>
            <w:pPr>
              <w:tabs>
                <w:tab w:val="left" w:pos="547"/>
              </w:tabs>
              <w:spacing w:line="360" w:lineRule="auto"/>
              <w:jc w:val="center"/>
              <w:rPr>
                <w:rFonts w:ascii="宋体" w:cs="Times New Roman"/>
                <w:highlight w:val="none"/>
              </w:rPr>
            </w:pPr>
            <w:r>
              <w:rPr>
                <w:rFonts w:hint="eastAsia" w:ascii="宋体" w:hAnsi="宋体"/>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vAlign w:val="center"/>
          </w:tcPr>
          <w:p>
            <w:pPr>
              <w:tabs>
                <w:tab w:val="left" w:pos="547"/>
              </w:tabs>
              <w:spacing w:line="360" w:lineRule="auto"/>
              <w:jc w:val="center"/>
              <w:rPr>
                <w:rFonts w:ascii="宋体" w:cs="Times New Roman"/>
                <w:highlight w:val="none"/>
              </w:rPr>
            </w:pPr>
            <w:r>
              <w:rPr>
                <w:rFonts w:ascii="宋体" w:hAnsi="宋体"/>
                <w:highlight w:val="none"/>
              </w:rPr>
              <w:t>100</w:t>
            </w:r>
            <w:r>
              <w:rPr>
                <w:rFonts w:hint="eastAsia" w:ascii="宋体" w:hAnsi="宋体"/>
                <w:highlight w:val="none"/>
              </w:rPr>
              <w:t>以下</w:t>
            </w:r>
          </w:p>
        </w:tc>
        <w:tc>
          <w:tcPr>
            <w:tcW w:w="1883" w:type="dxa"/>
            <w:vAlign w:val="center"/>
          </w:tcPr>
          <w:p>
            <w:pPr>
              <w:tabs>
                <w:tab w:val="left" w:pos="547"/>
              </w:tabs>
              <w:spacing w:line="360" w:lineRule="auto"/>
              <w:jc w:val="center"/>
              <w:rPr>
                <w:rFonts w:ascii="宋体" w:hAnsi="宋体"/>
                <w:highlight w:val="none"/>
              </w:rPr>
            </w:pPr>
            <w:r>
              <w:rPr>
                <w:rFonts w:ascii="宋体" w:hAnsi="宋体"/>
                <w:highlight w:val="none"/>
              </w:rPr>
              <w:t>1.5%</w:t>
            </w:r>
          </w:p>
        </w:tc>
      </w:tr>
    </w:tbl>
    <w:p>
      <w:pPr>
        <w:spacing w:line="360" w:lineRule="auto"/>
        <w:ind w:firstLine="480" w:firstLineChars="200"/>
        <w:rPr>
          <w:rFonts w:ascii="宋体" w:cs="Times New Roman"/>
          <w:sz w:val="24"/>
          <w:highlight w:val="none"/>
        </w:rPr>
      </w:pPr>
      <w:r>
        <w:rPr>
          <w:rFonts w:hint="eastAsia" w:ascii="宋体" w:hAnsi="宋体"/>
          <w:sz w:val="24"/>
          <w:highlight w:val="none"/>
        </w:rPr>
        <w:t>注：采购代理服务费收费按差额定率累进法计算。</w:t>
      </w:r>
    </w:p>
    <w:p>
      <w:pPr>
        <w:spacing w:line="360" w:lineRule="auto"/>
        <w:ind w:firstLine="480" w:firstLineChars="200"/>
        <w:rPr>
          <w:rFonts w:ascii="宋体" w:cs="Times New Roman"/>
          <w:sz w:val="24"/>
          <w:highlight w:val="none"/>
        </w:rPr>
      </w:pPr>
      <w:r>
        <w:rPr>
          <w:rFonts w:ascii="宋体" w:hAnsi="宋体"/>
          <w:sz w:val="24"/>
          <w:highlight w:val="none"/>
        </w:rPr>
        <w:t>26.3</w:t>
      </w:r>
      <w:r>
        <w:rPr>
          <w:rFonts w:hint="eastAsia" w:ascii="宋体" w:hAnsi="宋体"/>
          <w:sz w:val="24"/>
          <w:highlight w:val="none"/>
        </w:rPr>
        <w:t>成交供应商在取得成交通知书前应向采购代理机构缴付采购代理服务费（以到达采购代理机构开户银行帐户为准），采购代理服务费以电汇或现金形式缴纳。</w:t>
      </w:r>
    </w:p>
    <w:p>
      <w:pPr>
        <w:spacing w:line="360" w:lineRule="auto"/>
        <w:ind w:firstLine="480" w:firstLineChars="200"/>
        <w:rPr>
          <w:rFonts w:ascii="宋体" w:cs="Times New Roman"/>
          <w:sz w:val="24"/>
          <w:highlight w:val="none"/>
        </w:rPr>
      </w:pPr>
      <w:r>
        <w:rPr>
          <w:rFonts w:ascii="宋体" w:hAnsi="宋体"/>
          <w:sz w:val="24"/>
          <w:highlight w:val="none"/>
        </w:rPr>
        <w:t>26.4</w:t>
      </w:r>
      <w:r>
        <w:rPr>
          <w:rFonts w:hint="eastAsia" w:ascii="宋体" w:hAnsi="宋体"/>
          <w:sz w:val="24"/>
          <w:highlight w:val="none"/>
        </w:rPr>
        <w:t>成交供应商如未按规定办理，采购代理机构将没收其保证金，以弥补采购代理机构的损失。</w:t>
      </w:r>
    </w:p>
    <w:p>
      <w:pPr>
        <w:spacing w:line="360" w:lineRule="auto"/>
        <w:ind w:firstLine="480" w:firstLineChars="200"/>
        <w:rPr>
          <w:rFonts w:ascii="宋体" w:hAnsi="宋体"/>
          <w:sz w:val="24"/>
          <w:highlight w:val="none"/>
        </w:rPr>
      </w:pPr>
    </w:p>
    <w:p>
      <w:pPr>
        <w:spacing w:line="360" w:lineRule="auto"/>
        <w:ind w:firstLine="481"/>
        <w:jc w:val="left"/>
        <w:outlineLvl w:val="1"/>
        <w:rPr>
          <w:rFonts w:ascii="黑体" w:hAnsi="黑体" w:eastAsia="黑体" w:cs="黑体"/>
          <w:b/>
          <w:sz w:val="24"/>
          <w:highlight w:val="none"/>
        </w:rPr>
      </w:pPr>
      <w:bookmarkStart w:id="125" w:name="_Toc30819"/>
      <w:bookmarkStart w:id="126" w:name="_Toc5101"/>
      <w:r>
        <w:rPr>
          <w:rFonts w:hint="eastAsia" w:ascii="黑体" w:hAnsi="黑体" w:eastAsia="黑体" w:cs="黑体"/>
          <w:b/>
          <w:sz w:val="24"/>
          <w:highlight w:val="none"/>
        </w:rPr>
        <w:t>十、其它事项</w:t>
      </w:r>
      <w:bookmarkEnd w:id="124"/>
      <w:bookmarkEnd w:id="125"/>
      <w:bookmarkEnd w:id="126"/>
    </w:p>
    <w:p>
      <w:pPr>
        <w:spacing w:line="360" w:lineRule="auto"/>
        <w:ind w:firstLine="482" w:firstLineChars="200"/>
        <w:rPr>
          <w:rFonts w:asciiTheme="minorEastAsia" w:hAnsiTheme="minorEastAsia" w:cstheme="minorEastAsia"/>
          <w:b/>
          <w:bCs/>
          <w:sz w:val="24"/>
          <w:highlight w:val="none"/>
        </w:rPr>
      </w:pPr>
      <w:r>
        <w:rPr>
          <w:rFonts w:hint="eastAsia" w:asciiTheme="minorEastAsia" w:hAnsiTheme="minorEastAsia" w:cstheme="minorEastAsia"/>
          <w:b/>
          <w:bCs/>
          <w:sz w:val="24"/>
          <w:highlight w:val="none"/>
        </w:rPr>
        <w:t>27.特殊情形的处理</w:t>
      </w:r>
    </w:p>
    <w:p>
      <w:pPr>
        <w:spacing w:line="360" w:lineRule="auto"/>
        <w:ind w:firstLine="480" w:firstLineChars="200"/>
        <w:rPr>
          <w:rFonts w:ascii="宋体" w:hAnsi="宋体"/>
          <w:color w:val="333333"/>
          <w:sz w:val="24"/>
          <w:highlight w:val="none"/>
        </w:rPr>
      </w:pPr>
      <w:r>
        <w:rPr>
          <w:rFonts w:hint="eastAsia" w:ascii="宋体" w:hAnsi="宋体"/>
          <w:color w:val="333333"/>
          <w:sz w:val="24"/>
          <w:highlight w:val="none"/>
        </w:rPr>
        <w:t>采用竞争性谈判、竞争性磋商或询价采购方式的货物、服务项目，参加采购活动或符合采购需求的供应商只有一家，经评审专家审核认为采购文件没有倾向性、歧视性条款，采购人不改变采购需求，拟采用单一来源方式采购的，可以现场自行决定采用，不再进行公示。</w:t>
      </w:r>
    </w:p>
    <w:p>
      <w:pPr>
        <w:spacing w:line="360" w:lineRule="auto"/>
        <w:ind w:firstLine="482" w:firstLineChars="200"/>
        <w:rPr>
          <w:rFonts w:ascii="宋体" w:hAnsi="宋体"/>
          <w:b/>
          <w:bCs/>
          <w:sz w:val="24"/>
          <w:highlight w:val="none"/>
        </w:rPr>
      </w:pPr>
      <w:r>
        <w:rPr>
          <w:rFonts w:hint="eastAsia" w:ascii="宋体" w:hAnsi="宋体"/>
          <w:b/>
          <w:bCs/>
          <w:sz w:val="24"/>
          <w:highlight w:val="none"/>
        </w:rPr>
        <w:t>28.成交供应商确定后，成交供应商无正当理由拖延或拒签合同的，采购单位将有权取消该成交决定，没收其磋商保证金，同时报请监督机构予以通报，将其列入不良行为记录名单。在此情况下采购单位可将合同授予排名在成交供应商之后第一位的成交候选人，或重新组织采购。</w:t>
      </w:r>
    </w:p>
    <w:p>
      <w:pPr>
        <w:spacing w:line="360" w:lineRule="auto"/>
        <w:ind w:firstLine="482" w:firstLineChars="200"/>
        <w:rPr>
          <w:rFonts w:ascii="宋体" w:hAnsi="宋体"/>
          <w:b/>
          <w:bCs/>
          <w:sz w:val="24"/>
          <w:highlight w:val="none"/>
        </w:rPr>
      </w:pPr>
      <w:r>
        <w:rPr>
          <w:rFonts w:hint="eastAsia" w:ascii="宋体" w:hAnsi="宋体"/>
          <w:b/>
          <w:bCs/>
          <w:sz w:val="24"/>
          <w:highlight w:val="none"/>
        </w:rPr>
        <w:t>29.拒绝商业贿赂</w:t>
      </w:r>
    </w:p>
    <w:p>
      <w:pPr>
        <w:spacing w:line="360" w:lineRule="auto"/>
        <w:ind w:firstLine="480" w:firstLineChars="200"/>
        <w:rPr>
          <w:rFonts w:ascii="宋体" w:hAnsi="宋体"/>
          <w:sz w:val="24"/>
          <w:highlight w:val="none"/>
        </w:rPr>
      </w:pPr>
      <w:r>
        <w:rPr>
          <w:rFonts w:hint="eastAsia" w:ascii="宋体" w:hAnsi="宋体"/>
          <w:sz w:val="24"/>
          <w:highlight w:val="none"/>
        </w:rPr>
        <w:t>采购人、采购代理机构、供应商和评审专家在政府采购活动中，都要签订相应的《拒绝商业贿赂承诺书》，并对违反承诺的行为承担全部责任。</w:t>
      </w:r>
    </w:p>
    <w:p>
      <w:pPr>
        <w:spacing w:line="360" w:lineRule="auto"/>
        <w:ind w:firstLine="482" w:firstLineChars="200"/>
        <w:rPr>
          <w:rFonts w:ascii="宋体" w:hAnsi="宋体"/>
          <w:b/>
          <w:bCs/>
          <w:sz w:val="24"/>
          <w:highlight w:val="none"/>
        </w:rPr>
      </w:pPr>
      <w:r>
        <w:rPr>
          <w:rFonts w:hint="eastAsia" w:ascii="宋体" w:hAnsi="宋体"/>
          <w:b/>
          <w:bCs/>
          <w:sz w:val="24"/>
          <w:highlight w:val="none"/>
        </w:rPr>
        <w:t>30.信用担保</w:t>
      </w:r>
    </w:p>
    <w:p>
      <w:pPr>
        <w:spacing w:line="360" w:lineRule="auto"/>
        <w:ind w:firstLine="480" w:firstLineChars="200"/>
        <w:rPr>
          <w:rFonts w:ascii="宋体" w:hAnsi="宋体"/>
          <w:sz w:val="24"/>
          <w:highlight w:val="none"/>
        </w:rPr>
      </w:pPr>
      <w:r>
        <w:rPr>
          <w:rFonts w:hint="eastAsia" w:ascii="宋体" w:hAnsi="宋体"/>
          <w:sz w:val="24"/>
          <w:highlight w:val="none"/>
        </w:rPr>
        <w:t>30.1</w:t>
      </w:r>
      <w:r>
        <w:rPr>
          <w:rFonts w:ascii="宋体" w:hAnsi="宋体"/>
          <w:sz w:val="24"/>
          <w:highlight w:val="none"/>
        </w:rPr>
        <w:t>供应商在投标、履约、融资等环节可自愿选择采取信用担保的形式。</w:t>
      </w:r>
    </w:p>
    <w:p>
      <w:pPr>
        <w:spacing w:line="360" w:lineRule="auto"/>
        <w:ind w:firstLine="480" w:firstLineChars="200"/>
        <w:rPr>
          <w:rFonts w:ascii="宋体" w:hAnsi="宋体"/>
          <w:sz w:val="24"/>
          <w:highlight w:val="none"/>
        </w:rPr>
      </w:pPr>
      <w:r>
        <w:rPr>
          <w:rFonts w:hint="eastAsia" w:ascii="宋体" w:hAnsi="宋体"/>
          <w:sz w:val="24"/>
          <w:highlight w:val="none"/>
        </w:rPr>
        <w:br w:type="page"/>
      </w:r>
    </w:p>
    <w:p>
      <w:pPr>
        <w:spacing w:line="360" w:lineRule="auto"/>
        <w:ind w:firstLine="643" w:firstLineChars="200"/>
        <w:jc w:val="center"/>
        <w:outlineLvl w:val="0"/>
        <w:rPr>
          <w:rFonts w:ascii="宋体" w:hAnsi="宋体"/>
          <w:sz w:val="24"/>
          <w:highlight w:val="none"/>
        </w:rPr>
      </w:pPr>
      <w:bookmarkStart w:id="127" w:name="_Toc27874"/>
      <w:r>
        <w:rPr>
          <w:rFonts w:hint="eastAsia" w:ascii="黑体" w:hAnsi="黑体" w:eastAsia="黑体" w:cs="黑体"/>
          <w:b/>
          <w:bCs/>
          <w:sz w:val="32"/>
          <w:szCs w:val="32"/>
          <w:highlight w:val="none"/>
        </w:rPr>
        <w:t>第四部分 磋商、评审、成交</w:t>
      </w:r>
      <w:bookmarkEnd w:id="127"/>
    </w:p>
    <w:p>
      <w:pPr>
        <w:spacing w:line="360" w:lineRule="auto"/>
        <w:ind w:firstLine="481"/>
        <w:jc w:val="left"/>
        <w:outlineLvl w:val="1"/>
        <w:rPr>
          <w:rFonts w:ascii="黑体" w:hAnsi="黑体" w:eastAsia="黑体" w:cs="黑体"/>
          <w:b/>
          <w:sz w:val="24"/>
          <w:highlight w:val="none"/>
        </w:rPr>
      </w:pPr>
      <w:bookmarkStart w:id="128" w:name="_Toc983"/>
      <w:bookmarkStart w:id="129" w:name="_Toc7863"/>
      <w:bookmarkStart w:id="130" w:name="_Toc30935"/>
      <w:bookmarkStart w:id="131" w:name="_Toc9954"/>
      <w:r>
        <w:rPr>
          <w:rFonts w:hint="eastAsia" w:ascii="黑体" w:hAnsi="黑体" w:eastAsia="黑体" w:cs="黑体"/>
          <w:b/>
          <w:sz w:val="24"/>
          <w:highlight w:val="none"/>
        </w:rPr>
        <w:t>一、</w:t>
      </w:r>
      <w:bookmarkEnd w:id="128"/>
      <w:bookmarkEnd w:id="129"/>
      <w:r>
        <w:rPr>
          <w:rFonts w:hint="eastAsia" w:ascii="黑体" w:hAnsi="黑体" w:eastAsia="黑体" w:cs="黑体"/>
          <w:b/>
          <w:sz w:val="24"/>
          <w:highlight w:val="none"/>
        </w:rPr>
        <w:t>开启响应文件</w:t>
      </w:r>
      <w:bookmarkEnd w:id="130"/>
      <w:bookmarkEnd w:id="131"/>
    </w:p>
    <w:p>
      <w:pPr>
        <w:tabs>
          <w:tab w:val="left" w:pos="525"/>
        </w:tabs>
        <w:spacing w:line="360" w:lineRule="auto"/>
        <w:ind w:firstLine="480" w:firstLineChars="200"/>
        <w:rPr>
          <w:rFonts w:ascii="宋体" w:hAnsi="宋体"/>
          <w:sz w:val="24"/>
          <w:highlight w:val="none"/>
        </w:rPr>
      </w:pPr>
      <w:bookmarkStart w:id="132" w:name="_Toc5246"/>
      <w:bookmarkStart w:id="133" w:name="_Toc23278"/>
      <w:r>
        <w:rPr>
          <w:rFonts w:hint="eastAsia" w:ascii="宋体" w:hAnsi="宋体"/>
          <w:sz w:val="24"/>
          <w:highlight w:val="none"/>
        </w:rPr>
        <w:t>1.采购代理机构组织开标、评审工作，整个过程受政府采购监管机构的监督、管理。</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2.采购代理机构在磋商文件规定的时间和地点组织开标。供应商须派法定代表人或被授权代表参加，并签到。法定代表人参加的，须出示本人身份证原件；被授权代表参加的，须出示被授权代表的身份证原件。</w:t>
      </w:r>
    </w:p>
    <w:p>
      <w:pPr>
        <w:tabs>
          <w:tab w:val="left" w:pos="525"/>
        </w:tabs>
        <w:spacing w:line="360" w:lineRule="auto"/>
        <w:ind w:firstLine="482" w:firstLineChars="200"/>
        <w:rPr>
          <w:rFonts w:ascii="宋体" w:hAnsi="宋体"/>
          <w:b/>
          <w:bCs/>
          <w:sz w:val="24"/>
          <w:highlight w:val="none"/>
        </w:rPr>
      </w:pPr>
      <w:r>
        <w:rPr>
          <w:rFonts w:hint="eastAsia" w:ascii="宋体" w:hAnsi="宋体"/>
          <w:b/>
          <w:bCs/>
          <w:sz w:val="24"/>
          <w:highlight w:val="none"/>
        </w:rPr>
        <w:t>参加磋商的供应商不足3家的，不得开启。</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3.磋商供应商对开启过程和开启记录有疑义，以及认为采购人、采购代理机构相关工作人员有需要回避情形的，应在开标现场提出询问或回避申请，采购人、采购代理机构应当及时处理。</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4.响应供应商未参加开标的，视同认可开标结果。</w:t>
      </w:r>
    </w:p>
    <w:bookmarkEnd w:id="132"/>
    <w:bookmarkEnd w:id="133"/>
    <w:p>
      <w:pPr>
        <w:spacing w:line="360" w:lineRule="auto"/>
        <w:ind w:firstLine="480" w:firstLineChars="200"/>
        <w:rPr>
          <w:rFonts w:ascii="宋体" w:hAnsi="宋体"/>
          <w:sz w:val="24"/>
          <w:highlight w:val="none"/>
        </w:rPr>
      </w:pPr>
      <w:bookmarkStart w:id="134" w:name="_Toc24432"/>
      <w:bookmarkStart w:id="135" w:name="_Toc20713"/>
      <w:r>
        <w:rPr>
          <w:rFonts w:hint="eastAsia" w:ascii="宋体" w:hAnsi="宋体"/>
          <w:sz w:val="24"/>
          <w:highlight w:val="none"/>
        </w:rPr>
        <w:t>5.资格性审查</w:t>
      </w:r>
    </w:p>
    <w:p>
      <w:pPr>
        <w:spacing w:line="360" w:lineRule="auto"/>
        <w:ind w:firstLine="480" w:firstLineChars="200"/>
        <w:rPr>
          <w:rFonts w:ascii="宋体" w:hAnsi="宋体"/>
          <w:sz w:val="24"/>
          <w:highlight w:val="none"/>
        </w:rPr>
      </w:pPr>
      <w:r>
        <w:rPr>
          <w:rFonts w:hint="eastAsia" w:ascii="宋体" w:hAnsi="宋体"/>
          <w:sz w:val="24"/>
          <w:highlight w:val="none"/>
        </w:rPr>
        <w:t>采购人依据法律法规和磋商文件的规定，对响应文件中的供应商资格证明文件进行审查，以确定供应商是否具备磋商资格。</w:t>
      </w:r>
    </w:p>
    <w:p>
      <w:pPr>
        <w:spacing w:line="360" w:lineRule="auto"/>
        <w:ind w:firstLine="480" w:firstLineChars="200"/>
        <w:rPr>
          <w:rFonts w:ascii="宋体" w:hAnsi="宋体"/>
          <w:sz w:val="24"/>
          <w:highlight w:val="none"/>
        </w:rPr>
      </w:pPr>
      <w:r>
        <w:rPr>
          <w:rFonts w:hint="eastAsia" w:ascii="宋体" w:hAnsi="宋体"/>
          <w:sz w:val="24"/>
          <w:highlight w:val="none"/>
        </w:rPr>
        <w:t>出现下列情形的，响应文件将被视为无效：</w:t>
      </w:r>
    </w:p>
    <w:p>
      <w:pPr>
        <w:spacing w:line="360" w:lineRule="auto"/>
        <w:ind w:firstLine="480" w:firstLineChars="200"/>
        <w:rPr>
          <w:rFonts w:ascii="宋体" w:hAnsi="宋体"/>
          <w:sz w:val="24"/>
          <w:highlight w:val="none"/>
        </w:rPr>
      </w:pPr>
      <w:r>
        <w:rPr>
          <w:rFonts w:hint="eastAsia" w:ascii="宋体" w:hAnsi="宋体"/>
          <w:sz w:val="24"/>
          <w:highlight w:val="none"/>
        </w:rPr>
        <w:t>5.1不具备磋商文件中规定的资格要求的；</w:t>
      </w:r>
    </w:p>
    <w:p>
      <w:pPr>
        <w:spacing w:line="360" w:lineRule="auto"/>
        <w:ind w:firstLine="480" w:firstLineChars="200"/>
        <w:rPr>
          <w:rFonts w:ascii="宋体" w:hAnsi="宋体"/>
          <w:sz w:val="24"/>
          <w:highlight w:val="none"/>
        </w:rPr>
      </w:pPr>
      <w:r>
        <w:rPr>
          <w:rFonts w:hint="eastAsia" w:ascii="宋体" w:hAnsi="宋体"/>
          <w:sz w:val="24"/>
          <w:highlight w:val="none"/>
        </w:rPr>
        <w:t>5.2未按磋商文件要求提供资格证明文件，或未按磋商文件要求加盖公章的；</w:t>
      </w:r>
    </w:p>
    <w:p>
      <w:pPr>
        <w:spacing w:line="360" w:lineRule="auto"/>
        <w:ind w:firstLine="480" w:firstLineChars="200"/>
        <w:rPr>
          <w:rFonts w:ascii="宋体" w:hAnsi="宋体"/>
          <w:sz w:val="24"/>
          <w:highlight w:val="none"/>
        </w:rPr>
      </w:pPr>
      <w:r>
        <w:rPr>
          <w:rFonts w:hint="eastAsia" w:ascii="宋体" w:hAnsi="宋体"/>
          <w:sz w:val="24"/>
          <w:highlight w:val="none"/>
        </w:rPr>
        <w:t>5.3采购人审查人员认为供应商的资格证明文件存在疑点，要求供应商现场或通过电子邮件等形式提供更清晰有效的证明文件，供应商不能在规定时限内提供符合磋商文件要求的证明文件的。</w:t>
      </w:r>
    </w:p>
    <w:p>
      <w:pPr>
        <w:spacing w:line="360" w:lineRule="auto"/>
        <w:ind w:firstLine="480" w:firstLineChars="200"/>
        <w:rPr>
          <w:rFonts w:ascii="宋体" w:hAnsi="宋体"/>
          <w:sz w:val="24"/>
          <w:highlight w:val="none"/>
        </w:rPr>
      </w:pPr>
      <w:r>
        <w:rPr>
          <w:rFonts w:hint="eastAsia" w:ascii="宋体" w:hAnsi="宋体"/>
          <w:sz w:val="24"/>
          <w:highlight w:val="none"/>
        </w:rPr>
        <w:t>资格审查结束后，采购人审查人员应当对审查结果进行签字确认，并告知有关供应商未通过审查的原因。</w:t>
      </w:r>
    </w:p>
    <w:p>
      <w:pPr>
        <w:spacing w:line="360" w:lineRule="auto"/>
        <w:ind w:firstLine="480" w:firstLineChars="200"/>
        <w:rPr>
          <w:rFonts w:ascii="宋体" w:hAnsi="宋体"/>
          <w:sz w:val="24"/>
          <w:highlight w:val="none"/>
        </w:rPr>
      </w:pPr>
      <w:r>
        <w:rPr>
          <w:rFonts w:hint="eastAsia" w:ascii="宋体" w:hAnsi="宋体"/>
          <w:sz w:val="24"/>
          <w:highlight w:val="none"/>
        </w:rPr>
        <w:t>通过资格审查的供应商不足3家的，不得进行符合性审查，应予以废标。</w:t>
      </w:r>
    </w:p>
    <w:p>
      <w:pPr>
        <w:spacing w:line="360" w:lineRule="auto"/>
        <w:ind w:firstLine="481"/>
        <w:jc w:val="left"/>
        <w:outlineLvl w:val="1"/>
        <w:rPr>
          <w:rFonts w:ascii="黑体" w:hAnsi="黑体" w:eastAsia="黑体" w:cs="黑体"/>
          <w:b/>
          <w:sz w:val="24"/>
          <w:highlight w:val="none"/>
        </w:rPr>
      </w:pPr>
      <w:r>
        <w:rPr>
          <w:rFonts w:hint="eastAsia" w:ascii="黑体" w:hAnsi="黑体" w:eastAsia="黑体" w:cs="黑体"/>
          <w:b/>
          <w:sz w:val="24"/>
          <w:highlight w:val="none"/>
        </w:rPr>
        <w:t>二、组织评审</w:t>
      </w:r>
      <w:bookmarkEnd w:id="134"/>
      <w:bookmarkEnd w:id="135"/>
    </w:p>
    <w:p>
      <w:pPr>
        <w:spacing w:line="360" w:lineRule="auto"/>
        <w:ind w:firstLine="480" w:firstLineChars="200"/>
        <w:rPr>
          <w:rFonts w:ascii="宋体" w:hAnsi="宋体"/>
          <w:sz w:val="24"/>
          <w:highlight w:val="none"/>
        </w:rPr>
      </w:pPr>
      <w:r>
        <w:rPr>
          <w:rFonts w:hint="eastAsia" w:ascii="宋体" w:hAnsi="宋体"/>
          <w:sz w:val="24"/>
          <w:highlight w:val="none"/>
        </w:rPr>
        <w:t>1.采购代理机构负责组织评审工作，并履行下列职责：</w:t>
      </w:r>
    </w:p>
    <w:p>
      <w:pPr>
        <w:spacing w:line="360" w:lineRule="auto"/>
        <w:ind w:firstLine="480" w:firstLineChars="200"/>
        <w:rPr>
          <w:rFonts w:ascii="宋体" w:hAnsi="宋体"/>
          <w:sz w:val="24"/>
          <w:highlight w:val="none"/>
        </w:rPr>
      </w:pPr>
      <w:r>
        <w:rPr>
          <w:rFonts w:hint="eastAsia" w:ascii="宋体" w:hAnsi="宋体"/>
          <w:sz w:val="24"/>
          <w:highlight w:val="none"/>
        </w:rPr>
        <w:t>1.1核对评审专家身份和采购人代表授权函，对评审专家在政府采购活动中的职责履行情况予以记录，并及时将有关违法违规行为向财政部门报告;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ascii="宋体" w:hAnsi="宋体"/>
          <w:sz w:val="24"/>
          <w:highlight w:val="none"/>
        </w:rPr>
      </w:pPr>
      <w:r>
        <w:rPr>
          <w:rFonts w:hint="eastAsia" w:ascii="宋体" w:hAnsi="宋体"/>
          <w:sz w:val="24"/>
          <w:highlight w:val="none"/>
        </w:rPr>
        <w:t>1.2宣布评审纪律;</w:t>
      </w:r>
    </w:p>
    <w:p>
      <w:pPr>
        <w:spacing w:line="360" w:lineRule="auto"/>
        <w:ind w:firstLine="480" w:firstLineChars="200"/>
        <w:rPr>
          <w:rFonts w:ascii="宋体" w:hAnsi="宋体"/>
          <w:sz w:val="24"/>
          <w:highlight w:val="none"/>
        </w:rPr>
      </w:pPr>
      <w:r>
        <w:rPr>
          <w:rFonts w:hint="eastAsia" w:ascii="宋体" w:hAnsi="宋体"/>
          <w:sz w:val="24"/>
          <w:highlight w:val="none"/>
        </w:rPr>
        <w:t>1.3公布供应商名单，告知评审专家应当回避的情形;</w:t>
      </w:r>
    </w:p>
    <w:p>
      <w:pPr>
        <w:spacing w:line="360" w:lineRule="auto"/>
        <w:ind w:firstLine="480" w:firstLineChars="200"/>
        <w:rPr>
          <w:rFonts w:ascii="宋体" w:hAnsi="宋体"/>
          <w:sz w:val="24"/>
          <w:highlight w:val="none"/>
        </w:rPr>
      </w:pPr>
      <w:r>
        <w:rPr>
          <w:rFonts w:hint="eastAsia" w:ascii="宋体" w:hAnsi="宋体"/>
          <w:sz w:val="24"/>
          <w:highlight w:val="none"/>
        </w:rPr>
        <w:t>1.4组织磋商小组推选评审组长，采购人代表不得担任组长;</w:t>
      </w:r>
    </w:p>
    <w:p>
      <w:pPr>
        <w:spacing w:line="360" w:lineRule="auto"/>
        <w:ind w:firstLine="480" w:firstLineChars="200"/>
        <w:rPr>
          <w:rFonts w:ascii="宋体" w:hAnsi="宋体"/>
          <w:sz w:val="24"/>
          <w:highlight w:val="none"/>
        </w:rPr>
      </w:pPr>
      <w:r>
        <w:rPr>
          <w:rFonts w:hint="eastAsia" w:ascii="宋体" w:hAnsi="宋体"/>
          <w:sz w:val="24"/>
          <w:highlight w:val="none"/>
        </w:rPr>
        <w:t>1.5在评审期间采取必要的通讯管理措施，保证评审活动不受外界干扰;</w:t>
      </w:r>
    </w:p>
    <w:p>
      <w:pPr>
        <w:spacing w:line="360" w:lineRule="auto"/>
        <w:ind w:firstLine="480" w:firstLineChars="200"/>
        <w:rPr>
          <w:rFonts w:ascii="宋体" w:hAnsi="宋体"/>
          <w:sz w:val="24"/>
          <w:highlight w:val="none"/>
        </w:rPr>
      </w:pPr>
      <w:r>
        <w:rPr>
          <w:rFonts w:hint="eastAsia" w:ascii="宋体" w:hAnsi="宋体"/>
          <w:sz w:val="24"/>
          <w:highlight w:val="none"/>
        </w:rPr>
        <w:t>1.6根据磋商小组的要求介绍政府采购相关政策法规、磋商文件;</w:t>
      </w:r>
    </w:p>
    <w:p>
      <w:pPr>
        <w:spacing w:line="360" w:lineRule="auto"/>
        <w:ind w:firstLine="480" w:firstLineChars="200"/>
        <w:rPr>
          <w:rFonts w:ascii="宋体" w:hAnsi="宋体"/>
          <w:sz w:val="24"/>
          <w:highlight w:val="none"/>
        </w:rPr>
      </w:pPr>
      <w:r>
        <w:rPr>
          <w:rFonts w:hint="eastAsia" w:ascii="宋体" w:hAnsi="宋体"/>
          <w:sz w:val="24"/>
          <w:highlight w:val="none"/>
        </w:rPr>
        <w:t>1.7维护评审秩序，监督磋商小组依照磋商文件规定的评审程序、方法和标准进行独立评审，及时制止和纠正采购人代表、评审专家的倾向性言论或者违法违规行为;</w:t>
      </w:r>
    </w:p>
    <w:p>
      <w:pPr>
        <w:spacing w:line="360" w:lineRule="auto"/>
        <w:ind w:firstLine="480" w:firstLineChars="200"/>
        <w:rPr>
          <w:rFonts w:ascii="宋体" w:hAnsi="宋体"/>
          <w:sz w:val="24"/>
          <w:highlight w:val="none"/>
        </w:rPr>
      </w:pPr>
      <w:r>
        <w:rPr>
          <w:rFonts w:hint="eastAsia" w:ascii="宋体" w:hAnsi="宋体"/>
          <w:sz w:val="24"/>
          <w:highlight w:val="none"/>
        </w:rPr>
        <w:t>1.8核对评审结果;</w:t>
      </w:r>
    </w:p>
    <w:p>
      <w:pPr>
        <w:spacing w:line="360" w:lineRule="auto"/>
        <w:ind w:firstLine="480" w:firstLineChars="200"/>
        <w:rPr>
          <w:rFonts w:ascii="宋体" w:hAnsi="宋体"/>
          <w:sz w:val="24"/>
          <w:highlight w:val="none"/>
        </w:rPr>
      </w:pPr>
      <w:r>
        <w:rPr>
          <w:rFonts w:hint="eastAsia" w:ascii="宋体" w:hAnsi="宋体"/>
          <w:sz w:val="24"/>
          <w:highlight w:val="none"/>
        </w:rPr>
        <w:t>1.9评审工作完成后，按照规定向评审专家支付劳务报酬和异地评审差旅费，不得向评审专家以外的其他人员支付评审劳务报酬;</w:t>
      </w:r>
    </w:p>
    <w:p>
      <w:pPr>
        <w:spacing w:line="360" w:lineRule="auto"/>
        <w:ind w:firstLine="480" w:firstLineChars="200"/>
        <w:rPr>
          <w:rFonts w:ascii="宋体" w:hAnsi="宋体"/>
          <w:sz w:val="24"/>
          <w:highlight w:val="none"/>
        </w:rPr>
      </w:pPr>
      <w:r>
        <w:rPr>
          <w:rFonts w:hint="eastAsia" w:ascii="宋体" w:hAnsi="宋体"/>
          <w:sz w:val="24"/>
          <w:highlight w:val="none"/>
        </w:rPr>
        <w:t>1.10处理与评审有关的其他事项。</w:t>
      </w:r>
    </w:p>
    <w:p>
      <w:pPr>
        <w:spacing w:line="360" w:lineRule="auto"/>
        <w:ind w:firstLine="480" w:firstLineChars="200"/>
        <w:rPr>
          <w:rFonts w:ascii="宋体" w:hAnsi="宋体"/>
          <w:sz w:val="24"/>
          <w:highlight w:val="none"/>
        </w:rPr>
      </w:pPr>
      <w:r>
        <w:rPr>
          <w:rFonts w:hint="eastAsia" w:ascii="宋体" w:hAnsi="宋体"/>
          <w:sz w:val="24"/>
          <w:highlight w:val="none"/>
        </w:rPr>
        <w:t>采购人可以在评审前说明项目背景和采购需求，说明内容不得含有歧视性、倾向性意见，不得超出磋商文件所述范围。说明应当提交书面材料，并随磋商文件一并存档</w:t>
      </w:r>
    </w:p>
    <w:p>
      <w:pPr>
        <w:spacing w:line="360" w:lineRule="auto"/>
        <w:ind w:firstLine="480" w:firstLineChars="200"/>
        <w:rPr>
          <w:rFonts w:ascii="宋体" w:hAnsi="宋体"/>
          <w:sz w:val="24"/>
          <w:highlight w:val="none"/>
        </w:rPr>
      </w:pPr>
      <w:r>
        <w:rPr>
          <w:rFonts w:hint="eastAsia" w:ascii="宋体" w:hAnsi="宋体"/>
          <w:sz w:val="24"/>
          <w:highlight w:val="none"/>
        </w:rPr>
        <w:t>2.磋商小组负责具体评审事务，并独立履行下列职责：</w:t>
      </w:r>
    </w:p>
    <w:p>
      <w:pPr>
        <w:spacing w:line="360" w:lineRule="auto"/>
        <w:ind w:firstLine="480" w:firstLineChars="200"/>
        <w:rPr>
          <w:rFonts w:ascii="宋体" w:hAnsi="宋体"/>
          <w:sz w:val="24"/>
          <w:highlight w:val="none"/>
        </w:rPr>
      </w:pPr>
      <w:r>
        <w:rPr>
          <w:rFonts w:hint="eastAsia" w:ascii="宋体" w:hAnsi="宋体"/>
          <w:sz w:val="24"/>
          <w:highlight w:val="none"/>
        </w:rPr>
        <w:t>2.1遵守评审工作纪律，不得泄露评审情况和评审中获悉的商业秘密；</w:t>
      </w:r>
    </w:p>
    <w:p>
      <w:pPr>
        <w:spacing w:line="360" w:lineRule="auto"/>
        <w:ind w:firstLine="480" w:firstLineChars="200"/>
        <w:rPr>
          <w:rFonts w:ascii="宋体" w:hAnsi="宋体"/>
          <w:sz w:val="24"/>
          <w:highlight w:val="none"/>
        </w:rPr>
      </w:pPr>
      <w:r>
        <w:rPr>
          <w:rFonts w:hint="eastAsia" w:ascii="宋体" w:hAnsi="宋体"/>
          <w:sz w:val="24"/>
          <w:highlight w:val="none"/>
        </w:rPr>
        <w:t>2.2按照客观、公正、审慎的原则，根据磋商文件规定的评审程序、评审方法和评审标准进行独立评审；</w:t>
      </w:r>
    </w:p>
    <w:p>
      <w:pPr>
        <w:spacing w:line="360" w:lineRule="auto"/>
        <w:ind w:firstLine="480" w:firstLineChars="200"/>
        <w:rPr>
          <w:rFonts w:ascii="宋体" w:hAnsi="宋体"/>
          <w:sz w:val="24"/>
          <w:highlight w:val="none"/>
        </w:rPr>
      </w:pPr>
      <w:r>
        <w:rPr>
          <w:rFonts w:hint="eastAsia" w:ascii="宋体" w:hAnsi="宋体"/>
          <w:sz w:val="24"/>
          <w:highlight w:val="none"/>
        </w:rPr>
        <w:t>2.3要求供应商对响应文件有关事项做出澄清或者说明；</w:t>
      </w:r>
    </w:p>
    <w:p>
      <w:pPr>
        <w:spacing w:line="360" w:lineRule="auto"/>
        <w:ind w:firstLine="480" w:firstLineChars="200"/>
        <w:rPr>
          <w:rFonts w:ascii="宋体" w:hAnsi="宋体"/>
          <w:sz w:val="24"/>
          <w:highlight w:val="none"/>
        </w:rPr>
      </w:pPr>
      <w:r>
        <w:rPr>
          <w:rFonts w:hint="eastAsia" w:ascii="宋体" w:hAnsi="宋体"/>
          <w:sz w:val="24"/>
          <w:highlight w:val="none"/>
        </w:rPr>
        <w:t>2.4与供应商分别进行磋商；</w:t>
      </w:r>
    </w:p>
    <w:p>
      <w:pPr>
        <w:spacing w:line="360" w:lineRule="auto"/>
        <w:ind w:firstLine="480" w:firstLineChars="200"/>
        <w:rPr>
          <w:rFonts w:ascii="宋体" w:hAnsi="宋体"/>
          <w:sz w:val="24"/>
          <w:highlight w:val="none"/>
        </w:rPr>
      </w:pPr>
      <w:r>
        <w:rPr>
          <w:rFonts w:hint="eastAsia" w:ascii="宋体" w:hAnsi="宋体"/>
          <w:sz w:val="24"/>
          <w:highlight w:val="none"/>
        </w:rPr>
        <w:t>2.5对响应文件进行比较和评价；</w:t>
      </w:r>
    </w:p>
    <w:p>
      <w:pPr>
        <w:spacing w:line="360" w:lineRule="auto"/>
        <w:ind w:firstLine="480" w:firstLineChars="200"/>
        <w:rPr>
          <w:rFonts w:ascii="宋体" w:hAnsi="宋体"/>
          <w:sz w:val="24"/>
          <w:highlight w:val="none"/>
        </w:rPr>
      </w:pPr>
      <w:r>
        <w:rPr>
          <w:rFonts w:hint="eastAsia" w:ascii="宋体" w:hAnsi="宋体"/>
          <w:sz w:val="24"/>
          <w:highlight w:val="none"/>
        </w:rPr>
        <w:t>2.6确定成交候选人名单，以及根据采购人委托直接确定成交供应商；</w:t>
      </w:r>
    </w:p>
    <w:p>
      <w:pPr>
        <w:spacing w:line="360" w:lineRule="auto"/>
        <w:ind w:firstLine="480" w:firstLineChars="200"/>
        <w:rPr>
          <w:rFonts w:ascii="宋体" w:hAnsi="宋体"/>
          <w:sz w:val="24"/>
          <w:highlight w:val="none"/>
        </w:rPr>
      </w:pPr>
      <w:r>
        <w:rPr>
          <w:rFonts w:hint="eastAsia" w:ascii="宋体" w:hAnsi="宋体"/>
          <w:sz w:val="24"/>
          <w:highlight w:val="none"/>
        </w:rPr>
        <w:t>2.7配合答复供应商的询问、质疑和投诉等事项，不得泄露评审文件、评审情况和在评审过程中获悉的商业秘密；</w:t>
      </w:r>
    </w:p>
    <w:p>
      <w:pPr>
        <w:spacing w:line="360" w:lineRule="auto"/>
        <w:ind w:firstLine="480" w:firstLineChars="200"/>
        <w:rPr>
          <w:rFonts w:ascii="宋体" w:hAnsi="宋体"/>
          <w:sz w:val="24"/>
          <w:highlight w:val="none"/>
        </w:rPr>
      </w:pPr>
      <w:r>
        <w:rPr>
          <w:rFonts w:hint="eastAsia" w:ascii="宋体" w:hAnsi="宋体"/>
          <w:sz w:val="24"/>
          <w:highlight w:val="none"/>
        </w:rPr>
        <w:t>2.8向采购人、采购代理机构或者有关部门报告评审中发现的违法行为。</w:t>
      </w:r>
    </w:p>
    <w:p>
      <w:pPr>
        <w:spacing w:line="360" w:lineRule="auto"/>
        <w:ind w:firstLine="480" w:firstLineChars="200"/>
        <w:rPr>
          <w:rFonts w:ascii="宋体" w:hAnsi="宋体"/>
          <w:sz w:val="24"/>
          <w:highlight w:val="none"/>
        </w:rPr>
      </w:pPr>
      <w:r>
        <w:rPr>
          <w:rFonts w:hint="eastAsia" w:ascii="宋体" w:hAnsi="宋体"/>
          <w:sz w:val="24"/>
          <w:highlight w:val="none"/>
        </w:rPr>
        <w:t>3.成立磋商小组</w:t>
      </w:r>
    </w:p>
    <w:p>
      <w:pPr>
        <w:spacing w:line="360" w:lineRule="auto"/>
        <w:ind w:firstLine="480" w:firstLineChars="200"/>
        <w:rPr>
          <w:rFonts w:ascii="宋体" w:hAnsi="宋体"/>
          <w:sz w:val="24"/>
          <w:highlight w:val="none"/>
        </w:rPr>
      </w:pPr>
      <w:r>
        <w:rPr>
          <w:rFonts w:hint="eastAsia" w:ascii="宋体" w:hAnsi="宋体"/>
          <w:sz w:val="24"/>
          <w:highlight w:val="none"/>
        </w:rPr>
        <w:t>3.1为了确保磋商工作的公平、公正，依据政府采购法和政府采购相关法规、规章，成立磋商小组，磋商小组由采购人代表和评审专家共3人以上单数组成，其中评审专家人数不少于磋商小组成员总数的三分之二。</w:t>
      </w:r>
    </w:p>
    <w:p>
      <w:pPr>
        <w:spacing w:line="360" w:lineRule="auto"/>
        <w:ind w:firstLine="480" w:firstLineChars="200"/>
        <w:rPr>
          <w:rFonts w:ascii="宋体" w:hAnsi="宋体"/>
          <w:sz w:val="24"/>
          <w:highlight w:val="none"/>
        </w:rPr>
      </w:pPr>
      <w:r>
        <w:rPr>
          <w:rFonts w:hint="eastAsia" w:ascii="宋体" w:hAnsi="宋体"/>
          <w:sz w:val="24"/>
          <w:highlight w:val="none"/>
        </w:rPr>
        <w:t>评审专家对本单位的采购项目只能作为采购人代表参与评审。采购代理机构工作人员不得参加由本机构代理的政府采购项目的评审。</w:t>
      </w:r>
    </w:p>
    <w:p>
      <w:pPr>
        <w:spacing w:line="360" w:lineRule="auto"/>
        <w:ind w:firstLine="480" w:firstLineChars="200"/>
        <w:rPr>
          <w:rFonts w:ascii="宋体" w:hAnsi="宋体"/>
          <w:sz w:val="24"/>
          <w:highlight w:val="none"/>
        </w:rPr>
      </w:pPr>
      <w:r>
        <w:rPr>
          <w:rFonts w:hint="eastAsia" w:ascii="宋体" w:hAnsi="宋体"/>
          <w:sz w:val="24"/>
          <w:highlight w:val="none"/>
        </w:rPr>
        <w:t>磋商小组成员名单在评审结果公告前应当保密。</w:t>
      </w:r>
    </w:p>
    <w:p>
      <w:pPr>
        <w:spacing w:line="360" w:lineRule="auto"/>
        <w:ind w:firstLine="480" w:firstLineChars="200"/>
        <w:rPr>
          <w:rFonts w:ascii="宋体" w:hAnsi="宋体"/>
          <w:sz w:val="24"/>
          <w:highlight w:val="none"/>
        </w:rPr>
      </w:pPr>
      <w:r>
        <w:rPr>
          <w:rFonts w:hint="eastAsia" w:ascii="宋体" w:hAnsi="宋体"/>
          <w:sz w:val="24"/>
          <w:highlight w:val="none"/>
        </w:rPr>
        <w:t>3.2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80" w:firstLineChars="200"/>
        <w:rPr>
          <w:rFonts w:ascii="宋体" w:hAnsi="宋体"/>
          <w:sz w:val="24"/>
          <w:highlight w:val="none"/>
        </w:rPr>
      </w:pPr>
      <w:r>
        <w:rPr>
          <w:rFonts w:hint="eastAsia" w:ascii="宋体" w:hAnsi="宋体"/>
          <w:sz w:val="24"/>
          <w:highlight w:val="none"/>
        </w:rPr>
        <w:t>3.3评审中因磋商小组成员缺席、回避或者健康等特殊原因导致磋商小组组成不符合规定的，采购代理机构应当依法补足后继续评审。被更换的磋商小组成员所做出的评审意见无效。无法及时补足磋商小组成员的，采购代理机构应当停止评审活动，封存所有响应文件和开标、评审资料，依法重新组建磋商小组进行评审。原磋商小组所做出的评审意见无效。</w:t>
      </w:r>
    </w:p>
    <w:p>
      <w:pPr>
        <w:spacing w:line="360" w:lineRule="auto"/>
        <w:ind w:firstLine="480" w:firstLineChars="200"/>
        <w:rPr>
          <w:rFonts w:ascii="宋体" w:hAnsi="宋体"/>
          <w:sz w:val="24"/>
          <w:highlight w:val="none"/>
        </w:rPr>
      </w:pPr>
      <w:r>
        <w:rPr>
          <w:rFonts w:hint="eastAsia" w:ascii="宋体" w:hAnsi="宋体"/>
          <w:sz w:val="24"/>
          <w:highlight w:val="none"/>
        </w:rPr>
        <w:t>采购代理机构应当将变更、重新组建磋商小组的情况予以记录，并随磋商文件一并存档。</w:t>
      </w:r>
    </w:p>
    <w:p>
      <w:pPr>
        <w:spacing w:line="360" w:lineRule="auto"/>
        <w:ind w:firstLine="480" w:firstLineChars="200"/>
        <w:rPr>
          <w:rFonts w:ascii="宋体" w:hAnsi="宋体"/>
          <w:sz w:val="24"/>
          <w:highlight w:val="none"/>
        </w:rPr>
      </w:pPr>
      <w:r>
        <w:rPr>
          <w:rFonts w:hint="eastAsia" w:ascii="宋体" w:hAnsi="宋体"/>
          <w:sz w:val="24"/>
          <w:highlight w:val="none"/>
        </w:rPr>
        <w:t>4.评审方法：综合评分法</w:t>
      </w:r>
    </w:p>
    <w:p>
      <w:pPr>
        <w:spacing w:line="360" w:lineRule="auto"/>
        <w:ind w:firstLine="480" w:firstLineChars="200"/>
        <w:rPr>
          <w:rFonts w:ascii="宋体" w:hAnsi="宋体"/>
          <w:sz w:val="24"/>
          <w:highlight w:val="none"/>
        </w:rPr>
      </w:pPr>
      <w:r>
        <w:rPr>
          <w:rFonts w:hint="eastAsia" w:ascii="宋体" w:hAnsi="宋体"/>
          <w:sz w:val="24"/>
          <w:highlight w:val="none"/>
        </w:rPr>
        <w:t>综合评分法，是指响应文件满足磋商文件全部实质性要求且按评审因素的量化指标评审得分最高的供应商为成交候选供应商的评审方法。</w:t>
      </w:r>
    </w:p>
    <w:p>
      <w:pPr>
        <w:spacing w:line="360" w:lineRule="auto"/>
        <w:ind w:firstLine="480" w:firstLineChars="200"/>
        <w:rPr>
          <w:rFonts w:ascii="宋体" w:hAnsi="宋体"/>
          <w:sz w:val="24"/>
          <w:highlight w:val="none"/>
        </w:rPr>
      </w:pPr>
      <w:r>
        <w:rPr>
          <w:rFonts w:hint="eastAsia" w:ascii="宋体" w:hAnsi="宋体"/>
          <w:sz w:val="24"/>
          <w:highlight w:val="none"/>
        </w:rPr>
        <w:t>5.评审程序</w:t>
      </w:r>
    </w:p>
    <w:p>
      <w:pPr>
        <w:spacing w:line="360" w:lineRule="auto"/>
        <w:ind w:firstLine="480" w:firstLineChars="200"/>
        <w:rPr>
          <w:rFonts w:ascii="宋体" w:hAnsi="宋体"/>
          <w:sz w:val="24"/>
          <w:highlight w:val="none"/>
        </w:rPr>
      </w:pPr>
      <w:r>
        <w:rPr>
          <w:rFonts w:hint="eastAsia" w:ascii="宋体" w:hAnsi="宋体"/>
          <w:sz w:val="24"/>
          <w:highlight w:val="none"/>
        </w:rPr>
        <w:t>分步评审，每一步评审不符合磋商文件要求者，不得进入下一步评审，全部评审合格的供应商，进入最后的打分，最后按得分由高到低排序，推荐成交候选供应商。</w:t>
      </w:r>
    </w:p>
    <w:p>
      <w:pPr>
        <w:spacing w:line="360" w:lineRule="auto"/>
        <w:ind w:firstLine="480" w:firstLineChars="200"/>
        <w:rPr>
          <w:rFonts w:ascii="宋体" w:hAnsi="宋体"/>
          <w:sz w:val="24"/>
          <w:highlight w:val="none"/>
        </w:rPr>
      </w:pPr>
      <w:r>
        <w:rPr>
          <w:rFonts w:hint="eastAsia" w:ascii="宋体" w:hAnsi="宋体"/>
          <w:sz w:val="24"/>
          <w:highlight w:val="none"/>
        </w:rPr>
        <w:t>5.1响应文件的符合性审查</w:t>
      </w:r>
    </w:p>
    <w:p>
      <w:pPr>
        <w:spacing w:line="360" w:lineRule="auto"/>
        <w:ind w:firstLine="480" w:firstLineChars="200"/>
        <w:rPr>
          <w:rFonts w:ascii="宋体" w:hAnsi="宋体"/>
          <w:sz w:val="24"/>
          <w:highlight w:val="none"/>
        </w:rPr>
      </w:pPr>
      <w:r>
        <w:rPr>
          <w:rFonts w:hint="eastAsia" w:ascii="宋体" w:hAnsi="宋体"/>
          <w:sz w:val="24"/>
          <w:highlight w:val="none"/>
        </w:rPr>
        <w:t>磋商小组依据磋商文件的规定，对响应文件的有效性、完整性和对磋商文件的响应程度进行审查，以确定是否对磋商文件的全部实质性要求做出响应。</w:t>
      </w:r>
    </w:p>
    <w:p>
      <w:pPr>
        <w:spacing w:line="360" w:lineRule="auto"/>
        <w:ind w:firstLine="480" w:firstLineChars="200"/>
        <w:rPr>
          <w:rFonts w:ascii="宋体" w:hAnsi="宋体"/>
          <w:sz w:val="24"/>
          <w:highlight w:val="none"/>
        </w:rPr>
      </w:pPr>
      <w:r>
        <w:rPr>
          <w:rFonts w:hint="eastAsia" w:ascii="宋体" w:hAnsi="宋体"/>
          <w:sz w:val="24"/>
          <w:highlight w:val="none"/>
        </w:rPr>
        <w:t>磋商小组要审查每份响应文件是否实质上响应了磋商文件的要求。实质上没有响应磋商文件要求的响应文件作无效响应处理，磋商小组应告知有关供应商未通过审查的原因。供应商不得通过修正或撤销不符之处而使其成为实质上响应。</w:t>
      </w:r>
    </w:p>
    <w:p>
      <w:pPr>
        <w:spacing w:line="360" w:lineRule="auto"/>
        <w:ind w:firstLine="480" w:firstLineChars="200"/>
        <w:rPr>
          <w:rFonts w:ascii="宋体" w:hAnsi="宋体"/>
          <w:sz w:val="24"/>
          <w:highlight w:val="none"/>
        </w:rPr>
      </w:pPr>
      <w:r>
        <w:rPr>
          <w:rFonts w:hint="eastAsia" w:ascii="宋体" w:hAnsi="宋体"/>
          <w:sz w:val="24"/>
          <w:highlight w:val="none"/>
        </w:rPr>
        <w:t>5.2响应文件的澄清</w:t>
      </w:r>
    </w:p>
    <w:p>
      <w:pPr>
        <w:spacing w:line="360" w:lineRule="auto"/>
        <w:ind w:firstLine="480" w:firstLineChars="200"/>
        <w:rPr>
          <w:rFonts w:ascii="宋体" w:hAnsi="宋体"/>
          <w:sz w:val="24"/>
          <w:highlight w:val="none"/>
        </w:rPr>
      </w:pPr>
      <w:r>
        <w:rPr>
          <w:rFonts w:hint="eastAsia" w:ascii="宋体" w:hAnsi="宋体"/>
          <w:sz w:val="24"/>
          <w:highlight w:val="none"/>
        </w:rPr>
        <w:t>5.2.1磋商小组在对响应文件的有效性、完整性和响应程度进行审查时，可以要求供应商对响应文件中含义不明确、同类问题表述不一致或者有明显文字和计算错误的内容等做出必要的澄清、说明或者更正。</w:t>
      </w:r>
    </w:p>
    <w:p>
      <w:pPr>
        <w:spacing w:line="360" w:lineRule="auto"/>
        <w:ind w:firstLine="480" w:firstLineChars="200"/>
        <w:rPr>
          <w:rFonts w:ascii="宋体" w:hAnsi="宋体"/>
          <w:sz w:val="24"/>
          <w:highlight w:val="none"/>
        </w:rPr>
      </w:pPr>
      <w:r>
        <w:rPr>
          <w:rFonts w:hint="eastAsia" w:ascii="宋体" w:hAnsi="宋体"/>
          <w:sz w:val="24"/>
          <w:highlight w:val="none"/>
        </w:rPr>
        <w:t>5.2.2依照《中华人民共和国民法典》中的过失责任原则，澄清、说明或更正前磋商小组将按最不利于参与本次磋商供应商的原则对响应文件做出评判。</w:t>
      </w:r>
    </w:p>
    <w:p>
      <w:pPr>
        <w:spacing w:line="360" w:lineRule="auto"/>
        <w:ind w:firstLine="480" w:firstLineChars="200"/>
        <w:rPr>
          <w:rFonts w:ascii="宋体" w:hAnsi="宋体"/>
          <w:sz w:val="24"/>
          <w:highlight w:val="none"/>
        </w:rPr>
      </w:pPr>
      <w:r>
        <w:rPr>
          <w:rFonts w:hint="eastAsia" w:ascii="宋体" w:hAnsi="宋体"/>
          <w:sz w:val="24"/>
          <w:highlight w:val="none"/>
        </w:rPr>
        <w:t>5.2.3磋商小组要求供应商澄清、说明或者更正响应文件应当以书面形式做出。供应商应当在规定的澄清时限内以书面形式提交，供应商的澄清、说明或者更正应当由法定代表人或其授权代表签字或者加盖公章。</w:t>
      </w:r>
    </w:p>
    <w:p>
      <w:pPr>
        <w:spacing w:line="360" w:lineRule="auto"/>
        <w:ind w:firstLine="480" w:firstLineChars="200"/>
        <w:rPr>
          <w:rFonts w:ascii="宋体" w:hAnsi="宋体"/>
          <w:sz w:val="24"/>
          <w:highlight w:val="none"/>
        </w:rPr>
      </w:pPr>
      <w:r>
        <w:rPr>
          <w:rFonts w:hint="eastAsia" w:ascii="宋体" w:hAnsi="宋体"/>
          <w:sz w:val="24"/>
          <w:highlight w:val="none"/>
        </w:rPr>
        <w:t>5.2.4供应商的澄清、说明或者更正不得超出响应文件的范围或者改变响应文件的实质性内容。澄清、说明或者更正的内容将作为合同履行的重要依据。</w:t>
      </w:r>
    </w:p>
    <w:p>
      <w:pPr>
        <w:spacing w:line="360" w:lineRule="auto"/>
        <w:ind w:firstLine="482" w:firstLineChars="200"/>
        <w:rPr>
          <w:rFonts w:ascii="宋体" w:hAnsi="宋体"/>
          <w:b/>
          <w:bCs/>
          <w:sz w:val="24"/>
          <w:highlight w:val="none"/>
        </w:rPr>
      </w:pPr>
      <w:r>
        <w:rPr>
          <w:rFonts w:hint="eastAsia" w:ascii="宋体" w:hAnsi="宋体"/>
          <w:b/>
          <w:bCs/>
          <w:sz w:val="24"/>
          <w:highlight w:val="none"/>
        </w:rPr>
        <w:t>除采用竞争性磋商方式采购的政府购买服务项目、市场竞争不充分的科研项目以及需要扶持的科技成果转化项目外，通过符合性审查的供应商不足3家的，不得进行后续磋商活动，应予以废标。</w:t>
      </w:r>
    </w:p>
    <w:p>
      <w:pPr>
        <w:spacing w:line="360" w:lineRule="auto"/>
        <w:ind w:firstLine="480" w:firstLineChars="200"/>
        <w:rPr>
          <w:rFonts w:ascii="宋体" w:hAnsi="宋体"/>
          <w:sz w:val="24"/>
          <w:highlight w:val="none"/>
        </w:rPr>
      </w:pPr>
      <w:r>
        <w:rPr>
          <w:rFonts w:hint="eastAsia" w:ascii="宋体" w:hAnsi="宋体"/>
          <w:sz w:val="24"/>
          <w:highlight w:val="none"/>
        </w:rPr>
        <w:t>5.3进行磋商</w:t>
      </w:r>
    </w:p>
    <w:p>
      <w:pPr>
        <w:spacing w:line="360" w:lineRule="auto"/>
        <w:ind w:firstLine="480" w:firstLineChars="200"/>
        <w:rPr>
          <w:rFonts w:ascii="宋体" w:hAnsi="宋体"/>
          <w:sz w:val="24"/>
          <w:highlight w:val="none"/>
        </w:rPr>
      </w:pPr>
      <w:r>
        <w:rPr>
          <w:rFonts w:hint="eastAsia" w:ascii="宋体" w:hAnsi="宋体"/>
          <w:sz w:val="24"/>
          <w:highlight w:val="none"/>
        </w:rPr>
        <w:t>磋商小组所有成员应当集中与单一供应商分别进行磋商，并给予所有参加磋商的供应商平等的磋商机会。需要供应商书面答复磋商内容的，供应商应当按照磋商小组的要求，在磋商小组规定的时限内以书面形式答复磋商的内容，并由法定代表人或其授权代表签字或者加盖公章。</w:t>
      </w:r>
    </w:p>
    <w:p>
      <w:pPr>
        <w:spacing w:line="360" w:lineRule="auto"/>
        <w:ind w:firstLine="480" w:firstLineChars="200"/>
        <w:rPr>
          <w:rFonts w:ascii="宋体" w:hAnsi="宋体"/>
          <w:sz w:val="24"/>
          <w:highlight w:val="none"/>
        </w:rPr>
      </w:pPr>
      <w:r>
        <w:rPr>
          <w:rFonts w:hint="eastAsia" w:ascii="宋体" w:hAnsi="宋体"/>
          <w:sz w:val="24"/>
          <w:highlight w:val="none"/>
        </w:rPr>
        <w:t>5.4磋商文件的实质性变更</w:t>
      </w:r>
    </w:p>
    <w:p>
      <w:pPr>
        <w:spacing w:line="360" w:lineRule="auto"/>
        <w:ind w:firstLine="480" w:firstLineChars="200"/>
        <w:rPr>
          <w:rFonts w:ascii="宋体" w:hAnsi="宋体"/>
          <w:sz w:val="24"/>
          <w:highlight w:val="none"/>
        </w:rPr>
      </w:pPr>
      <w:r>
        <w:rPr>
          <w:rFonts w:hint="eastAsia" w:ascii="宋体" w:hAnsi="宋体"/>
          <w:sz w:val="24"/>
          <w:highlight w:val="none"/>
        </w:rPr>
        <w:t>5.4.1在磋商过程中，磋商小组可以根据磋商文件和磋商情况实质性变动采购需求中的技术、服务要求以及合同基本条款，但不得变动磋商文件中的其他内容。实质性变动的内容，须经采购人代表确认。</w:t>
      </w:r>
    </w:p>
    <w:p>
      <w:pPr>
        <w:spacing w:line="360" w:lineRule="auto"/>
        <w:ind w:firstLine="480" w:firstLineChars="200"/>
        <w:rPr>
          <w:rFonts w:ascii="宋体" w:hAnsi="宋体"/>
          <w:sz w:val="24"/>
          <w:highlight w:val="none"/>
        </w:rPr>
      </w:pPr>
      <w:r>
        <w:rPr>
          <w:rFonts w:hint="eastAsia" w:ascii="宋体" w:hAnsi="宋体"/>
          <w:sz w:val="24"/>
          <w:highlight w:val="none"/>
        </w:rPr>
        <w:t>5.4.2对磋商文件作出的实质性变动是磋商文件的有效组成部分，磋商小组将以书面形式通知所有参加磋商的供应商。</w:t>
      </w:r>
    </w:p>
    <w:p>
      <w:pPr>
        <w:spacing w:line="360" w:lineRule="auto"/>
        <w:ind w:firstLine="480" w:firstLineChars="200"/>
        <w:rPr>
          <w:rFonts w:ascii="宋体" w:hAnsi="宋体"/>
          <w:sz w:val="24"/>
          <w:highlight w:val="none"/>
        </w:rPr>
      </w:pPr>
      <w:r>
        <w:rPr>
          <w:rFonts w:hint="eastAsia" w:ascii="宋体" w:hAnsi="宋体"/>
          <w:sz w:val="24"/>
          <w:highlight w:val="none"/>
        </w:rPr>
        <w:t>5.4.3供应商应当按照磋商文件的变动情况和磋商小组的要求，在磋商小组规定的时限内重新提交响应文件，并由法定代表人或其授权代表签字或者加盖公章。</w:t>
      </w:r>
    </w:p>
    <w:p>
      <w:pPr>
        <w:spacing w:line="360" w:lineRule="auto"/>
        <w:ind w:firstLine="480" w:firstLineChars="200"/>
        <w:rPr>
          <w:rFonts w:ascii="宋体" w:hAnsi="宋体"/>
          <w:sz w:val="24"/>
          <w:highlight w:val="none"/>
        </w:rPr>
      </w:pPr>
      <w:r>
        <w:rPr>
          <w:rFonts w:hint="eastAsia" w:ascii="宋体" w:hAnsi="宋体"/>
          <w:sz w:val="24"/>
          <w:highlight w:val="none"/>
        </w:rPr>
        <w:t>5.4.4供应商未能在规定的时间内按照磋商小组的要求以书面形式提交实质性变更响应文件的，视作未实质性响应。</w:t>
      </w:r>
    </w:p>
    <w:p>
      <w:pPr>
        <w:spacing w:line="360" w:lineRule="auto"/>
        <w:ind w:firstLine="480" w:firstLineChars="200"/>
        <w:rPr>
          <w:rFonts w:ascii="宋体" w:hAnsi="宋体"/>
          <w:sz w:val="24"/>
          <w:highlight w:val="none"/>
        </w:rPr>
      </w:pPr>
      <w:r>
        <w:rPr>
          <w:rFonts w:hint="eastAsia" w:ascii="宋体" w:hAnsi="宋体"/>
          <w:sz w:val="24"/>
          <w:highlight w:val="none"/>
        </w:rPr>
        <w:t>5.5最终报价</w:t>
      </w:r>
    </w:p>
    <w:p>
      <w:pPr>
        <w:spacing w:line="360" w:lineRule="auto"/>
        <w:ind w:firstLine="480" w:firstLineChars="200"/>
        <w:rPr>
          <w:rFonts w:ascii="宋体" w:hAnsi="宋体"/>
          <w:sz w:val="24"/>
          <w:highlight w:val="none"/>
        </w:rPr>
      </w:pPr>
      <w:r>
        <w:rPr>
          <w:rFonts w:hint="eastAsia" w:ascii="宋体" w:hAnsi="宋体"/>
          <w:sz w:val="24"/>
          <w:highlight w:val="none"/>
        </w:rPr>
        <w:t>5.5.1磋商文件能够详细列明采购标的的技术、服务要求的，磋商结束后，磋商小组应当要求所有实质性响应的供应商在规定时间内提交最终报价，提交最终报价的供应商不得少于3家。</w:t>
      </w:r>
    </w:p>
    <w:p>
      <w:pPr>
        <w:spacing w:line="360" w:lineRule="auto"/>
        <w:ind w:firstLine="480" w:firstLineChars="200"/>
        <w:rPr>
          <w:rFonts w:ascii="宋体" w:hAnsi="宋体"/>
          <w:sz w:val="24"/>
          <w:highlight w:val="none"/>
        </w:rPr>
      </w:pPr>
      <w:r>
        <w:rPr>
          <w:rFonts w:hint="eastAsia" w:ascii="宋体" w:hAnsi="宋体"/>
          <w:sz w:val="24"/>
          <w:highlight w:val="none"/>
        </w:rPr>
        <w:t>5.5.2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pPr>
        <w:spacing w:line="360" w:lineRule="auto"/>
        <w:ind w:firstLine="480" w:firstLineChars="200"/>
        <w:rPr>
          <w:rFonts w:ascii="宋体" w:hAnsi="宋体"/>
          <w:sz w:val="24"/>
          <w:highlight w:val="none"/>
        </w:rPr>
      </w:pPr>
      <w:r>
        <w:rPr>
          <w:rFonts w:hint="eastAsia" w:ascii="宋体" w:hAnsi="宋体"/>
          <w:sz w:val="24"/>
          <w:highlight w:val="none"/>
        </w:rPr>
        <w:t>5.5.3最终报价是供应商响应文件的有效组成部分。符合《政府采购竞争性磋商采购方式管理暂行办法》第三条第四项情形的，即市场竞争不充分的科研项目，以及需要扶持的科技成果转化项目，提交最终报价的供应商可以为2家。根据《财政部关于政府采购竞争性磋商采购方式管理暂行办法有关问题的补充通知》（财库〔2015〕124 号），采购的政府购买服务项目（含政府和社会资本合作项目），在采购过程中符合要求的供应商（社会资本）只有2家的，竞争性磋商采购活动可以继续进行。</w:t>
      </w:r>
    </w:p>
    <w:p>
      <w:pPr>
        <w:spacing w:line="360" w:lineRule="auto"/>
        <w:ind w:firstLine="480" w:firstLineChars="200"/>
        <w:rPr>
          <w:rFonts w:ascii="宋体" w:hAnsi="宋体"/>
          <w:sz w:val="24"/>
          <w:highlight w:val="none"/>
        </w:rPr>
      </w:pPr>
      <w:r>
        <w:rPr>
          <w:rFonts w:hint="eastAsia" w:ascii="宋体" w:hAnsi="宋体"/>
          <w:sz w:val="24"/>
          <w:highlight w:val="none"/>
        </w:rPr>
        <w:t>5.5.4供应商要以书面形式提交最终报价。</w:t>
      </w:r>
    </w:p>
    <w:p>
      <w:pPr>
        <w:spacing w:line="360" w:lineRule="auto"/>
        <w:ind w:firstLine="480" w:firstLineChars="200"/>
        <w:rPr>
          <w:rFonts w:ascii="宋体" w:hAnsi="宋体"/>
          <w:sz w:val="24"/>
          <w:highlight w:val="none"/>
        </w:rPr>
      </w:pPr>
      <w:r>
        <w:rPr>
          <w:rFonts w:hint="eastAsia" w:ascii="宋体" w:hAnsi="宋体"/>
          <w:sz w:val="24"/>
          <w:highlight w:val="none"/>
        </w:rPr>
        <w:t>最终报价表应由其法定代表人或授权代表签字。最终报价将作为综合评分法中价格分的计算依据。</w:t>
      </w:r>
    </w:p>
    <w:p>
      <w:pPr>
        <w:spacing w:line="360" w:lineRule="auto"/>
        <w:ind w:firstLine="480" w:firstLineChars="200"/>
        <w:rPr>
          <w:rFonts w:ascii="宋体" w:hAnsi="宋体"/>
          <w:sz w:val="24"/>
          <w:highlight w:val="none"/>
        </w:rPr>
      </w:pPr>
      <w:r>
        <w:rPr>
          <w:rFonts w:hint="eastAsia" w:ascii="宋体" w:hAnsi="宋体"/>
          <w:sz w:val="24"/>
          <w:highlight w:val="none"/>
        </w:rPr>
        <w:t>5.5.5已提交响应文件的供应商，在提交最终报价之前，可以根据磋商情况书面申请退出磋商，书面申请应由其法定代表人或授权代表签字。采购代理机构将退还其所交纳的磋商保证金。</w:t>
      </w:r>
    </w:p>
    <w:p>
      <w:pPr>
        <w:spacing w:line="360" w:lineRule="auto"/>
        <w:ind w:firstLine="480" w:firstLineChars="200"/>
        <w:rPr>
          <w:rFonts w:ascii="宋体" w:hAnsi="宋体"/>
          <w:sz w:val="24"/>
          <w:highlight w:val="none"/>
        </w:rPr>
      </w:pPr>
      <w:r>
        <w:rPr>
          <w:rFonts w:hint="eastAsia" w:ascii="宋体" w:hAnsi="宋体"/>
          <w:sz w:val="24"/>
          <w:highlight w:val="none"/>
        </w:rPr>
        <w:t>5.5.6磋商小组认为供应商的报价明显低于其他通过符合性和响应性审查供应商的报价，有可能影响工程、货物、服务质量或者不能诚信履约的，要求供应商在规定时间内以书面形式提供说明（必要时提交相关证明材料），供应商不能证明其报价合理性的，按无效响应对待。</w:t>
      </w:r>
    </w:p>
    <w:p>
      <w:pPr>
        <w:spacing w:line="360" w:lineRule="auto"/>
        <w:ind w:firstLine="480" w:firstLineChars="200"/>
        <w:rPr>
          <w:rFonts w:ascii="宋体" w:hAnsi="宋体"/>
          <w:sz w:val="24"/>
          <w:highlight w:val="none"/>
        </w:rPr>
      </w:pPr>
      <w:r>
        <w:rPr>
          <w:rFonts w:hint="eastAsia" w:ascii="宋体" w:hAnsi="宋体"/>
          <w:sz w:val="24"/>
          <w:highlight w:val="none"/>
        </w:rPr>
        <w:t>5.6综合比较与评价</w:t>
      </w:r>
    </w:p>
    <w:p>
      <w:pPr>
        <w:spacing w:line="360" w:lineRule="auto"/>
        <w:ind w:firstLine="480" w:firstLineChars="200"/>
        <w:rPr>
          <w:rFonts w:ascii="宋体" w:hAnsi="宋体"/>
          <w:sz w:val="24"/>
          <w:highlight w:val="none"/>
        </w:rPr>
      </w:pPr>
      <w:r>
        <w:rPr>
          <w:rFonts w:hint="eastAsia" w:ascii="宋体" w:hAnsi="宋体"/>
          <w:sz w:val="24"/>
          <w:highlight w:val="none"/>
        </w:rPr>
        <w:t>5.6.1评分总值最高为100分，评分分值分配如下：</w:t>
      </w:r>
    </w:p>
    <w:tbl>
      <w:tblPr>
        <w:tblStyle w:val="23"/>
        <w:tblW w:w="7936"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984"/>
        <w:gridCol w:w="1984"/>
        <w:gridCol w:w="1984"/>
        <w:gridCol w:w="198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98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黑体" w:hAnsi="黑体" w:eastAsia="黑体" w:cs="黑体"/>
                <w:b/>
                <w:bCs/>
                <w:sz w:val="24"/>
                <w:highlight w:val="none"/>
              </w:rPr>
            </w:pPr>
            <w:r>
              <w:rPr>
                <w:rFonts w:hint="eastAsia" w:ascii="黑体" w:hAnsi="黑体" w:eastAsia="黑体" w:cs="黑体"/>
                <w:b/>
                <w:bCs/>
                <w:sz w:val="24"/>
                <w:highlight w:val="none"/>
              </w:rPr>
              <w:t>评分项目</w:t>
            </w:r>
          </w:p>
        </w:tc>
        <w:tc>
          <w:tcPr>
            <w:tcW w:w="198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黑体" w:hAnsi="黑体" w:eastAsia="黑体" w:cs="黑体"/>
                <w:b/>
                <w:bCs/>
                <w:sz w:val="24"/>
                <w:highlight w:val="none"/>
              </w:rPr>
            </w:pPr>
            <w:r>
              <w:rPr>
                <w:rFonts w:hint="eastAsia" w:ascii="黑体" w:hAnsi="黑体" w:eastAsia="黑体" w:cs="黑体"/>
                <w:b/>
                <w:bCs/>
                <w:sz w:val="24"/>
                <w:highlight w:val="none"/>
              </w:rPr>
              <w:t>技术评分</w:t>
            </w:r>
          </w:p>
        </w:tc>
        <w:tc>
          <w:tcPr>
            <w:tcW w:w="198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黑体" w:hAnsi="黑体" w:eastAsia="黑体" w:cs="黑体"/>
                <w:b/>
                <w:bCs/>
                <w:sz w:val="24"/>
                <w:highlight w:val="none"/>
              </w:rPr>
            </w:pPr>
            <w:r>
              <w:rPr>
                <w:rFonts w:hint="eastAsia" w:ascii="黑体" w:hAnsi="黑体" w:eastAsia="黑体" w:cs="黑体"/>
                <w:b/>
                <w:bCs/>
                <w:sz w:val="24"/>
                <w:highlight w:val="none"/>
              </w:rPr>
              <w:t>商务评分</w:t>
            </w:r>
          </w:p>
        </w:tc>
        <w:tc>
          <w:tcPr>
            <w:tcW w:w="198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黑体" w:hAnsi="黑体" w:eastAsia="黑体" w:cs="黑体"/>
                <w:b/>
                <w:bCs/>
                <w:sz w:val="24"/>
                <w:highlight w:val="none"/>
              </w:rPr>
            </w:pPr>
            <w:r>
              <w:rPr>
                <w:rFonts w:hint="eastAsia" w:ascii="黑体" w:hAnsi="黑体" w:eastAsia="黑体" w:cs="黑体"/>
                <w:b/>
                <w:bCs/>
                <w:sz w:val="24"/>
                <w:highlight w:val="none"/>
              </w:rPr>
              <w:t>价格评分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98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仿宋_GB2312" w:hAnsi="仿宋" w:eastAsia="仿宋_GB2312" w:cs="仿宋"/>
                <w:sz w:val="24"/>
                <w:highlight w:val="none"/>
              </w:rPr>
            </w:pPr>
            <w:r>
              <w:rPr>
                <w:rFonts w:hint="eastAsia" w:ascii="黑体" w:hAnsi="黑体" w:eastAsia="黑体" w:cs="黑体"/>
                <w:sz w:val="24"/>
                <w:highlight w:val="none"/>
              </w:rPr>
              <w:t>分值</w:t>
            </w:r>
          </w:p>
        </w:tc>
        <w:tc>
          <w:tcPr>
            <w:tcW w:w="198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sz w:val="24"/>
                <w:highlight w:val="none"/>
              </w:rPr>
            </w:pPr>
            <w:r>
              <w:rPr>
                <w:rFonts w:hint="eastAsia" w:ascii="宋体" w:hAnsi="宋体"/>
                <w:sz w:val="24"/>
                <w:highlight w:val="none"/>
              </w:rPr>
              <w:t>65</w:t>
            </w:r>
          </w:p>
        </w:tc>
        <w:tc>
          <w:tcPr>
            <w:tcW w:w="198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sz w:val="24"/>
                <w:highlight w:val="none"/>
              </w:rPr>
            </w:pPr>
            <w:r>
              <w:rPr>
                <w:rFonts w:hint="eastAsia" w:ascii="宋体" w:hAnsi="宋体"/>
                <w:sz w:val="24"/>
                <w:highlight w:val="none"/>
              </w:rPr>
              <w:t>25</w:t>
            </w:r>
          </w:p>
        </w:tc>
        <w:tc>
          <w:tcPr>
            <w:tcW w:w="198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sz w:val="24"/>
                <w:highlight w:val="none"/>
              </w:rPr>
            </w:pPr>
            <w:r>
              <w:rPr>
                <w:rFonts w:hint="eastAsia" w:ascii="宋体" w:hAnsi="宋体"/>
                <w:sz w:val="24"/>
                <w:highlight w:val="none"/>
              </w:rPr>
              <w:t>10</w:t>
            </w:r>
          </w:p>
        </w:tc>
      </w:tr>
    </w:tbl>
    <w:p>
      <w:pPr>
        <w:spacing w:line="360" w:lineRule="auto"/>
        <w:ind w:firstLine="480" w:firstLineChars="200"/>
        <w:rPr>
          <w:rFonts w:ascii="宋体" w:hAnsi="宋体"/>
          <w:sz w:val="24"/>
          <w:highlight w:val="none"/>
        </w:rPr>
      </w:pPr>
      <w:r>
        <w:rPr>
          <w:rFonts w:hint="eastAsia" w:ascii="宋体" w:hAnsi="宋体"/>
          <w:sz w:val="24"/>
          <w:highlight w:val="none"/>
        </w:rPr>
        <w:t>5.6.2技术评审</w:t>
      </w:r>
    </w:p>
    <w:p>
      <w:pPr>
        <w:spacing w:line="360" w:lineRule="auto"/>
        <w:ind w:firstLine="480" w:firstLineChars="200"/>
        <w:rPr>
          <w:rFonts w:ascii="宋体" w:hAnsi="宋体"/>
          <w:sz w:val="24"/>
          <w:highlight w:val="none"/>
        </w:rPr>
      </w:pPr>
      <w:r>
        <w:rPr>
          <w:rFonts w:hint="eastAsia" w:ascii="宋体" w:hAnsi="宋体"/>
          <w:sz w:val="24"/>
          <w:highlight w:val="none"/>
        </w:rPr>
        <w:t>技术评分项明细及各单项所占分值详见附表《技术评审表》。</w:t>
      </w:r>
    </w:p>
    <w:p>
      <w:pPr>
        <w:spacing w:line="360" w:lineRule="auto"/>
        <w:ind w:firstLine="480" w:firstLineChars="200"/>
        <w:rPr>
          <w:rFonts w:ascii="宋体" w:hAnsi="宋体"/>
          <w:sz w:val="24"/>
          <w:highlight w:val="none"/>
        </w:rPr>
      </w:pPr>
      <w:r>
        <w:rPr>
          <w:rFonts w:hint="eastAsia" w:ascii="宋体" w:hAnsi="宋体"/>
          <w:sz w:val="24"/>
          <w:highlight w:val="none"/>
        </w:rPr>
        <w:t>5.6.3商务评审</w:t>
      </w:r>
    </w:p>
    <w:p>
      <w:pPr>
        <w:spacing w:line="360" w:lineRule="auto"/>
        <w:ind w:firstLine="480" w:firstLineChars="200"/>
        <w:rPr>
          <w:rFonts w:ascii="宋体" w:hAnsi="宋体"/>
          <w:sz w:val="24"/>
          <w:highlight w:val="none"/>
        </w:rPr>
      </w:pPr>
      <w:r>
        <w:rPr>
          <w:rFonts w:hint="eastAsia" w:ascii="宋体" w:hAnsi="宋体"/>
          <w:sz w:val="24"/>
          <w:highlight w:val="none"/>
        </w:rPr>
        <w:t>商务评分项明细及各单项所占分值详见附表《商务评审表》。</w:t>
      </w:r>
    </w:p>
    <w:p>
      <w:pPr>
        <w:spacing w:line="360" w:lineRule="auto"/>
        <w:ind w:firstLine="480" w:firstLineChars="200"/>
        <w:rPr>
          <w:rFonts w:ascii="宋体" w:hAnsi="宋体"/>
          <w:sz w:val="24"/>
          <w:highlight w:val="none"/>
        </w:rPr>
      </w:pPr>
      <w:r>
        <w:rPr>
          <w:rFonts w:hint="eastAsia" w:ascii="宋体" w:hAnsi="宋体"/>
          <w:sz w:val="24"/>
          <w:highlight w:val="none"/>
        </w:rPr>
        <w:t>5.6.4价格评审</w:t>
      </w:r>
    </w:p>
    <w:p>
      <w:pPr>
        <w:spacing w:line="360" w:lineRule="auto"/>
        <w:ind w:firstLine="480" w:firstLineChars="200"/>
        <w:rPr>
          <w:rFonts w:ascii="宋体" w:hAnsi="宋体"/>
          <w:sz w:val="24"/>
          <w:highlight w:val="none"/>
        </w:rPr>
      </w:pPr>
      <w:r>
        <w:rPr>
          <w:rFonts w:hint="eastAsia" w:ascii="宋体" w:hAnsi="宋体"/>
          <w:sz w:val="24"/>
          <w:highlight w:val="none"/>
        </w:rPr>
        <w:t>5.6.4.1报价错误的处理原则：</w:t>
      </w:r>
    </w:p>
    <w:p>
      <w:pPr>
        <w:numPr>
          <w:ilvl w:val="0"/>
          <w:numId w:val="2"/>
        </w:numPr>
        <w:spacing w:line="360" w:lineRule="auto"/>
        <w:ind w:firstLine="480" w:firstLineChars="200"/>
        <w:rPr>
          <w:rFonts w:ascii="宋体" w:hAnsi="宋体"/>
          <w:sz w:val="24"/>
          <w:highlight w:val="none"/>
        </w:rPr>
      </w:pPr>
      <w:r>
        <w:rPr>
          <w:rFonts w:hint="eastAsia" w:ascii="宋体" w:hAnsi="宋体"/>
          <w:sz w:val="24"/>
          <w:highlight w:val="none"/>
        </w:rPr>
        <w:t>响应文件的首次报价一览表内容与响应文件不一致的，以首次报价一览表为准；大写金额和小写金额不一致的，以大写金额为准；单价金额小数点或者百分比有明显错位的，以首次报价一览表的总价为准，并修改单价；总价金额与按单价计算汇总金额不一致的，以单价计算汇总金额为准；</w:t>
      </w:r>
    </w:p>
    <w:p>
      <w:pPr>
        <w:spacing w:line="360" w:lineRule="auto"/>
        <w:ind w:firstLine="480" w:firstLineChars="200"/>
        <w:rPr>
          <w:rFonts w:ascii="宋体" w:hAnsi="宋体"/>
          <w:sz w:val="24"/>
          <w:highlight w:val="none"/>
        </w:rPr>
      </w:pPr>
      <w:r>
        <w:rPr>
          <w:rFonts w:hint="eastAsia" w:ascii="宋体" w:hAnsi="宋体"/>
          <w:sz w:val="24"/>
          <w:highlight w:val="none"/>
        </w:rPr>
        <w:t>2）对响应货物、服务、工程的关键、主要内容，供应商报价漏项的，按非实质性响应处理；</w:t>
      </w:r>
    </w:p>
    <w:p>
      <w:pPr>
        <w:spacing w:line="360" w:lineRule="auto"/>
        <w:ind w:firstLine="480" w:firstLineChars="200"/>
        <w:rPr>
          <w:rFonts w:ascii="宋体" w:hAnsi="宋体"/>
          <w:sz w:val="24"/>
          <w:highlight w:val="none"/>
        </w:rPr>
      </w:pPr>
      <w:r>
        <w:rPr>
          <w:rFonts w:hint="eastAsia" w:ascii="宋体" w:hAnsi="宋体"/>
          <w:sz w:val="24"/>
          <w:highlight w:val="none"/>
        </w:rPr>
        <w:t>3）对响应货物、服务、工程的非关键、非主要内容，供应商报价漏项的，评审时将要求漏项的供应商予以澄清，但该澄清不作为评审的依据；磋商小组将以其它供应商对应项的最高报价补充计入其评审价；</w:t>
      </w:r>
    </w:p>
    <w:p>
      <w:pPr>
        <w:spacing w:line="360" w:lineRule="auto"/>
        <w:ind w:firstLine="480" w:firstLineChars="200"/>
        <w:rPr>
          <w:rFonts w:ascii="宋体" w:hAnsi="宋体"/>
          <w:sz w:val="24"/>
          <w:highlight w:val="none"/>
        </w:rPr>
      </w:pPr>
      <w:r>
        <w:rPr>
          <w:rFonts w:hint="eastAsia" w:ascii="宋体" w:hAnsi="宋体"/>
          <w:sz w:val="24"/>
          <w:highlight w:val="none"/>
        </w:rPr>
        <w:t>4）对非关键、非主要内容的费用，如果供应商是另行单独报价的，评审时也相应另行计入其评审价；</w:t>
      </w:r>
    </w:p>
    <w:p>
      <w:pPr>
        <w:spacing w:line="360" w:lineRule="auto"/>
        <w:ind w:firstLine="480" w:firstLineChars="200"/>
        <w:rPr>
          <w:rFonts w:ascii="宋体" w:hAnsi="宋体"/>
          <w:sz w:val="24"/>
          <w:highlight w:val="none"/>
        </w:rPr>
      </w:pPr>
      <w:r>
        <w:rPr>
          <w:rFonts w:hint="eastAsia" w:ascii="宋体" w:hAnsi="宋体"/>
          <w:sz w:val="24"/>
          <w:highlight w:val="none"/>
        </w:rPr>
        <w:t>5）对数量的评审，以《用户需求书》所明示数量为准；《用户需求书》未明示的，由磋商小组以其专业知识判断，必要时参考供应商的澄清文件决定；</w:t>
      </w:r>
    </w:p>
    <w:p>
      <w:pPr>
        <w:spacing w:line="360" w:lineRule="auto"/>
        <w:ind w:firstLine="480" w:firstLineChars="200"/>
        <w:rPr>
          <w:rFonts w:ascii="宋体" w:hAnsi="宋体"/>
          <w:sz w:val="24"/>
          <w:highlight w:val="none"/>
        </w:rPr>
      </w:pPr>
      <w:r>
        <w:rPr>
          <w:rFonts w:hint="eastAsia" w:ascii="宋体" w:hAnsi="宋体"/>
          <w:sz w:val="24"/>
          <w:highlight w:val="none"/>
        </w:rPr>
        <w:t>6）本条款中多种处理原则所产生的结果不一致的，以最高的修正价作为核实价。</w:t>
      </w:r>
    </w:p>
    <w:p>
      <w:pPr>
        <w:spacing w:line="360" w:lineRule="auto"/>
        <w:ind w:firstLine="480" w:firstLineChars="200"/>
        <w:rPr>
          <w:rFonts w:ascii="宋体" w:cs="Times New Roman"/>
          <w:sz w:val="24"/>
          <w:highlight w:val="none"/>
        </w:rPr>
      </w:pPr>
      <w:r>
        <w:rPr>
          <w:rFonts w:hint="eastAsia" w:ascii="宋体" w:hAnsi="宋体"/>
          <w:sz w:val="24"/>
          <w:highlight w:val="none"/>
        </w:rPr>
        <w:t>5.6.4.2对中小微企业响应的扶持：</w:t>
      </w:r>
    </w:p>
    <w:p>
      <w:pPr>
        <w:spacing w:line="360" w:lineRule="auto"/>
        <w:ind w:firstLine="480" w:firstLineChars="200"/>
        <w:rPr>
          <w:rFonts w:ascii="宋体" w:cs="Times New Roman"/>
          <w:sz w:val="24"/>
          <w:highlight w:val="none"/>
        </w:rPr>
      </w:pPr>
      <w:r>
        <w:rPr>
          <w:rFonts w:ascii="宋体" w:hAnsi="宋体"/>
          <w:sz w:val="24"/>
          <w:highlight w:val="none"/>
        </w:rPr>
        <w:t>1</w:t>
      </w:r>
      <w:r>
        <w:rPr>
          <w:rFonts w:hint="eastAsia" w:ascii="宋体" w:hAnsi="宋体"/>
          <w:sz w:val="24"/>
          <w:highlight w:val="none"/>
        </w:rPr>
        <w:t>）本项目专门面向中小微企业采购。</w:t>
      </w:r>
    </w:p>
    <w:p>
      <w:pPr>
        <w:spacing w:line="360" w:lineRule="auto"/>
        <w:ind w:firstLine="480" w:firstLineChars="200"/>
        <w:rPr>
          <w:rFonts w:ascii="宋体" w:cs="Times New Roman"/>
          <w:sz w:val="24"/>
          <w:highlight w:val="none"/>
        </w:rPr>
      </w:pPr>
      <w:r>
        <w:rPr>
          <w:rFonts w:ascii="宋体" w:hAnsi="宋体"/>
          <w:sz w:val="24"/>
          <w:highlight w:val="none"/>
        </w:rPr>
        <w:t>2</w:t>
      </w:r>
      <w:r>
        <w:rPr>
          <w:rFonts w:hint="eastAsia" w:ascii="宋体" w:hAnsi="宋体"/>
          <w:sz w:val="24"/>
          <w:highlight w:val="none"/>
        </w:rPr>
        <w:t>）根据《政府采购促进中小企业发展管理办法》（财库〔2020〕46号）的规定，响应供应商响应时需注意：</w:t>
      </w:r>
    </w:p>
    <w:p>
      <w:pPr>
        <w:spacing w:line="360" w:lineRule="auto"/>
        <w:ind w:firstLine="480" w:firstLineChars="200"/>
        <w:rPr>
          <w:rFonts w:ascii="宋体" w:cs="Times New Roman"/>
          <w:sz w:val="24"/>
          <w:highlight w:val="none"/>
        </w:rPr>
      </w:pPr>
      <w:r>
        <w:rPr>
          <w:rFonts w:hint="eastAsia" w:ascii="宋体" w:hAnsi="宋体"/>
          <w:sz w:val="24"/>
          <w:highlight w:val="none"/>
        </w:rPr>
        <w:t>本办法所称中型、小型、微型企业应当同时符合以下条件：</w:t>
      </w:r>
    </w:p>
    <w:p>
      <w:pPr>
        <w:spacing w:line="360" w:lineRule="auto"/>
        <w:ind w:firstLine="480" w:firstLineChars="200"/>
        <w:rPr>
          <w:rFonts w:ascii="宋体" w:cs="Times New Roman"/>
          <w:sz w:val="24"/>
          <w:highlight w:val="none"/>
        </w:rPr>
      </w:pPr>
      <w:r>
        <w:rPr>
          <w:rFonts w:hint="eastAsia" w:ascii="宋体" w:hAnsi="宋体"/>
          <w:sz w:val="24"/>
          <w:highlight w:val="none"/>
        </w:rPr>
        <w:t>（一）符合中型、小型、微型企业划分标准；</w:t>
      </w:r>
    </w:p>
    <w:p>
      <w:pPr>
        <w:spacing w:line="360" w:lineRule="auto"/>
        <w:ind w:firstLine="480" w:firstLineChars="200"/>
        <w:rPr>
          <w:rFonts w:ascii="宋体" w:cs="Times New Roman"/>
          <w:sz w:val="24"/>
          <w:highlight w:val="none"/>
        </w:rPr>
      </w:pPr>
      <w:r>
        <w:rPr>
          <w:rFonts w:hint="eastAsia" w:ascii="宋体" w:hAnsi="宋体"/>
          <w:sz w:val="24"/>
          <w:highlight w:val="none"/>
        </w:rPr>
        <w:t>中小企业划分标准参照《关于印发中小企业划型标准规定的通知》（工信部联企业</w:t>
      </w:r>
      <w:r>
        <w:rPr>
          <w:rFonts w:ascii="宋体" w:hAnsi="宋体"/>
          <w:sz w:val="24"/>
          <w:highlight w:val="none"/>
        </w:rPr>
        <w:t>[2011]300</w:t>
      </w:r>
      <w:r>
        <w:rPr>
          <w:rFonts w:hint="eastAsia" w:ascii="宋体" w:hAnsi="宋体"/>
          <w:sz w:val="24"/>
          <w:highlight w:val="none"/>
        </w:rPr>
        <w:t>号）执行。</w:t>
      </w:r>
    </w:p>
    <w:p>
      <w:pPr>
        <w:spacing w:line="360" w:lineRule="auto"/>
        <w:ind w:firstLine="480" w:firstLineChars="200"/>
        <w:rPr>
          <w:rFonts w:ascii="宋体" w:hAnsi="宋体"/>
          <w:sz w:val="24"/>
          <w:highlight w:val="none"/>
        </w:rPr>
      </w:pPr>
      <w:r>
        <w:rPr>
          <w:rFonts w:hint="eastAsia" w:ascii="宋体" w:hAnsi="宋体"/>
          <w:sz w:val="24"/>
          <w:highlight w:val="none"/>
        </w:rPr>
        <w:t>（二）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rPr>
          <w:rFonts w:ascii="宋体" w:hAnsi="宋体"/>
          <w:sz w:val="24"/>
          <w:highlight w:val="none"/>
        </w:rPr>
      </w:pPr>
      <w:r>
        <w:rPr>
          <w:rFonts w:hint="eastAsia" w:ascii="宋体" w:hAnsi="宋体"/>
          <w:sz w:val="24"/>
          <w:highlight w:val="none"/>
        </w:rPr>
        <w:t>在货物采购项目中，供应商提供的货物既有中小企业制造货物，也有大型企业制造货物的，不享受本办法规定的中小企业扶持政策。</w:t>
      </w:r>
    </w:p>
    <w:p>
      <w:pPr>
        <w:spacing w:line="360" w:lineRule="auto"/>
        <w:ind w:firstLine="480" w:firstLineChars="200"/>
        <w:rPr>
          <w:rFonts w:ascii="宋体" w:hAnsi="宋体"/>
          <w:sz w:val="24"/>
          <w:highlight w:val="none"/>
        </w:rPr>
      </w:pPr>
      <w:r>
        <w:rPr>
          <w:rFonts w:hint="eastAsia" w:ascii="宋体" w:hAnsi="宋体"/>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）参加政府采购活动的</w:t>
      </w:r>
      <w:r>
        <w:rPr>
          <w:rFonts w:hint="eastAsia" w:ascii="宋体" w:hAnsi="宋体"/>
          <w:b/>
          <w:bCs/>
          <w:sz w:val="24"/>
          <w:highlight w:val="none"/>
          <w:u w:val="single"/>
        </w:rPr>
        <w:t>中型、小型、微型企业</w:t>
      </w:r>
      <w:r>
        <w:rPr>
          <w:rFonts w:hint="eastAsia" w:ascii="宋体" w:hAnsi="宋体"/>
          <w:sz w:val="24"/>
          <w:highlight w:val="none"/>
        </w:rPr>
        <w:t>响应时须提供《中小企业声明函》（格式）。</w:t>
      </w:r>
    </w:p>
    <w:p>
      <w:pPr>
        <w:spacing w:line="360" w:lineRule="auto"/>
        <w:ind w:firstLine="480" w:firstLineChars="200"/>
        <w:rPr>
          <w:rFonts w:ascii="宋体" w:hAnsi="宋体"/>
          <w:sz w:val="24"/>
          <w:highlight w:val="none"/>
        </w:rPr>
      </w:pPr>
      <w:r>
        <w:rPr>
          <w:rFonts w:hint="eastAsia" w:ascii="宋体" w:hAnsi="宋体"/>
          <w:sz w:val="24"/>
          <w:highlight w:val="none"/>
        </w:rPr>
        <w:t>5.6.4.3对监狱企业的扶持</w:t>
      </w:r>
    </w:p>
    <w:p>
      <w:pPr>
        <w:spacing w:line="360" w:lineRule="auto"/>
        <w:ind w:firstLine="480" w:firstLineChars="200"/>
        <w:rPr>
          <w:rFonts w:ascii="宋体" w:hAnsi="宋体"/>
          <w:sz w:val="24"/>
          <w:highlight w:val="none"/>
        </w:rPr>
      </w:pPr>
      <w:r>
        <w:rPr>
          <w:rFonts w:hint="eastAsia" w:ascii="宋体" w:hAnsi="宋体"/>
          <w:sz w:val="24"/>
          <w:highlight w:val="none"/>
        </w:rPr>
        <w:t>1）监狱企业应符合《财政部 司法部关于政府采购支持监狱企业发展有关问题的通知》（财库〔2014〕68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rPr>
          <w:rFonts w:ascii="宋体" w:hAnsi="宋体"/>
          <w:sz w:val="24"/>
          <w:highlight w:val="none"/>
        </w:rPr>
      </w:pPr>
      <w:r>
        <w:rPr>
          <w:rFonts w:hint="eastAsia" w:ascii="宋体" w:hAnsi="宋体"/>
          <w:sz w:val="24"/>
          <w:highlight w:val="none"/>
        </w:rPr>
        <w:t>5.6.4.4对残疾人福利性单位的扶持</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w:t>
      </w:r>
    </w:p>
    <w:p>
      <w:pPr>
        <w:spacing w:line="360" w:lineRule="auto"/>
        <w:ind w:firstLine="480" w:firstLineChars="200"/>
        <w:rPr>
          <w:rFonts w:ascii="宋体" w:hAnsi="宋体"/>
          <w:sz w:val="24"/>
          <w:highlight w:val="none"/>
        </w:rPr>
      </w:pPr>
      <w:r>
        <w:rPr>
          <w:rFonts w:hint="eastAsia" w:ascii="宋体" w:hAnsi="宋体"/>
          <w:sz w:val="24"/>
          <w:highlight w:val="none"/>
        </w:rPr>
        <w:t>2）参加政府采购活动的</w:t>
      </w:r>
      <w:r>
        <w:rPr>
          <w:rFonts w:hint="eastAsia" w:ascii="宋体" w:hAnsi="宋体"/>
          <w:b/>
          <w:bCs/>
          <w:sz w:val="24"/>
          <w:highlight w:val="none"/>
          <w:u w:val="single"/>
        </w:rPr>
        <w:t>残疾人福利性单位</w:t>
      </w:r>
      <w:r>
        <w:rPr>
          <w:rFonts w:hint="eastAsia" w:ascii="宋体" w:hAnsi="宋体"/>
          <w:sz w:val="24"/>
          <w:highlight w:val="none"/>
        </w:rPr>
        <w:t>应提供《残疾人福利性单位声明函》（格式）。</w:t>
      </w:r>
    </w:p>
    <w:p>
      <w:pPr>
        <w:spacing w:line="360" w:lineRule="auto"/>
        <w:ind w:firstLine="480" w:firstLineChars="200"/>
        <w:rPr>
          <w:rFonts w:ascii="宋体" w:hAnsi="宋体"/>
          <w:sz w:val="24"/>
          <w:highlight w:val="none"/>
        </w:rPr>
      </w:pPr>
      <w:r>
        <w:rPr>
          <w:rFonts w:hint="eastAsia" w:ascii="宋体" w:hAnsi="宋体"/>
          <w:sz w:val="24"/>
          <w:highlight w:val="none"/>
        </w:rPr>
        <w:t>5.6.4.5评审价的确定</w:t>
      </w:r>
    </w:p>
    <w:p>
      <w:pPr>
        <w:spacing w:line="360" w:lineRule="auto"/>
        <w:ind w:firstLine="480" w:firstLineChars="200"/>
        <w:rPr>
          <w:rFonts w:ascii="宋体" w:hAnsi="宋体"/>
          <w:sz w:val="24"/>
          <w:highlight w:val="none"/>
        </w:rPr>
      </w:pPr>
      <w:r>
        <w:rPr>
          <w:rFonts w:hint="eastAsia" w:ascii="宋体" w:hAnsi="宋体"/>
          <w:sz w:val="24"/>
          <w:highlight w:val="none"/>
        </w:rPr>
        <w:t>按上述条款的原则校核修正后的价格为评审价。</w:t>
      </w:r>
    </w:p>
    <w:p>
      <w:pPr>
        <w:spacing w:line="360" w:lineRule="auto"/>
        <w:ind w:firstLine="480" w:firstLineChars="200"/>
        <w:rPr>
          <w:rFonts w:ascii="宋体" w:hAnsi="宋体"/>
          <w:sz w:val="24"/>
          <w:highlight w:val="none"/>
        </w:rPr>
      </w:pPr>
      <w:r>
        <w:rPr>
          <w:rFonts w:hint="eastAsia" w:ascii="宋体" w:hAnsi="宋体"/>
          <w:sz w:val="24"/>
          <w:highlight w:val="none"/>
        </w:rPr>
        <w:t>5.6.4.6计算价格评分</w:t>
      </w:r>
    </w:p>
    <w:p>
      <w:pPr>
        <w:spacing w:line="360" w:lineRule="auto"/>
        <w:ind w:firstLine="480" w:firstLineChars="200"/>
        <w:rPr>
          <w:rFonts w:ascii="宋体" w:hAnsi="宋体"/>
          <w:sz w:val="24"/>
          <w:highlight w:val="none"/>
        </w:rPr>
      </w:pPr>
      <w:r>
        <w:rPr>
          <w:rFonts w:hint="eastAsia" w:ascii="宋体" w:hAnsi="宋体"/>
          <w:sz w:val="24"/>
          <w:highlight w:val="none"/>
        </w:rPr>
        <w:t>各有效供应商的评审价中，取最低者作为基准价，各有效供应商的价格评分统一按照下列公式计算：</w:t>
      </w:r>
    </w:p>
    <w:p>
      <w:pPr>
        <w:spacing w:line="360" w:lineRule="auto"/>
        <w:ind w:firstLine="480" w:firstLineChars="200"/>
        <w:rPr>
          <w:rFonts w:ascii="宋体" w:hAnsi="宋体"/>
          <w:sz w:val="24"/>
          <w:highlight w:val="none"/>
        </w:rPr>
      </w:pPr>
      <w:r>
        <w:rPr>
          <w:rFonts w:hint="eastAsia" w:ascii="宋体" w:hAnsi="宋体"/>
          <w:sz w:val="24"/>
          <w:highlight w:val="none"/>
        </w:rPr>
        <w:t>价格评分＝（基准价÷评审价）×价格分分值。</w:t>
      </w:r>
    </w:p>
    <w:p>
      <w:pPr>
        <w:spacing w:line="360" w:lineRule="auto"/>
        <w:ind w:firstLine="480" w:firstLineChars="200"/>
        <w:rPr>
          <w:rFonts w:ascii="宋体" w:hAnsi="宋体"/>
          <w:sz w:val="24"/>
          <w:highlight w:val="none"/>
        </w:rPr>
      </w:pPr>
      <w:r>
        <w:rPr>
          <w:rFonts w:hint="eastAsia" w:ascii="宋体" w:hAnsi="宋体"/>
          <w:sz w:val="24"/>
          <w:highlight w:val="none"/>
        </w:rPr>
        <w:t>5.6.5评审总得分及统计：各评委的评分的算术平均值即为该供应商的技术评分或商务评分。然后，根据比价原则评出价格评分。将技术评分、商务评分和价格评分分别相加得出评审总得分（评审总得分分值按四舍五入原则精确到小数点后两位）。</w:t>
      </w:r>
    </w:p>
    <w:p>
      <w:pPr>
        <w:spacing w:line="360" w:lineRule="auto"/>
        <w:ind w:firstLine="480" w:firstLineChars="200"/>
        <w:rPr>
          <w:rFonts w:ascii="宋体" w:hAnsi="宋体"/>
          <w:sz w:val="24"/>
          <w:highlight w:val="none"/>
        </w:rPr>
      </w:pPr>
      <w:r>
        <w:rPr>
          <w:rFonts w:hint="eastAsia" w:ascii="宋体" w:hAnsi="宋体"/>
          <w:sz w:val="24"/>
          <w:highlight w:val="none"/>
        </w:rPr>
        <w:t>5.7推荐成交候选供应商</w:t>
      </w:r>
    </w:p>
    <w:p>
      <w:pPr>
        <w:spacing w:line="360" w:lineRule="auto"/>
        <w:ind w:firstLine="480" w:firstLineChars="200"/>
        <w:rPr>
          <w:rFonts w:ascii="宋体" w:hAnsi="宋体"/>
          <w:sz w:val="24"/>
          <w:highlight w:val="none"/>
        </w:rPr>
      </w:pPr>
      <w:r>
        <w:rPr>
          <w:rFonts w:hint="eastAsia" w:ascii="宋体" w:hAnsi="宋体"/>
          <w:sz w:val="24"/>
          <w:highlight w:val="none"/>
        </w:rPr>
        <w:t>磋商小组应当根据综合评分情况，按照评审得分由高到低顺序推荐3名以上成交候选供应商（有效供应商不足三家时以实际数量推荐）。</w:t>
      </w:r>
    </w:p>
    <w:p>
      <w:pPr>
        <w:spacing w:line="360" w:lineRule="auto"/>
        <w:ind w:firstLine="480" w:firstLineChars="200"/>
        <w:rPr>
          <w:rFonts w:ascii="宋体" w:hAnsi="宋体"/>
          <w:sz w:val="24"/>
          <w:highlight w:val="none"/>
        </w:rPr>
      </w:pPr>
      <w:r>
        <w:rPr>
          <w:rFonts w:hint="eastAsia" w:ascii="宋体" w:hAnsi="宋体"/>
          <w:sz w:val="24"/>
          <w:highlight w:val="none"/>
        </w:rPr>
        <w:t>评标总得分相同的，按下列顺序比较确定：（1）投标报价（由低到高）；（2）技术评分（由高到低），如以上都相同的，名次由评标委员会抽签确定。</w:t>
      </w:r>
    </w:p>
    <w:p>
      <w:pPr>
        <w:spacing w:line="360" w:lineRule="auto"/>
        <w:ind w:firstLine="480" w:firstLineChars="200"/>
        <w:rPr>
          <w:rFonts w:ascii="宋体" w:hAnsi="宋体"/>
          <w:sz w:val="24"/>
          <w:highlight w:val="none"/>
        </w:rPr>
      </w:pPr>
      <w:r>
        <w:rPr>
          <w:rFonts w:hint="eastAsia" w:ascii="宋体" w:hAnsi="宋体"/>
          <w:sz w:val="24"/>
          <w:highlight w:val="none"/>
        </w:rPr>
        <w:t>5.8编写评审报告</w:t>
      </w:r>
    </w:p>
    <w:p>
      <w:pPr>
        <w:spacing w:line="360" w:lineRule="auto"/>
        <w:ind w:firstLine="480" w:firstLineChars="200"/>
        <w:rPr>
          <w:rFonts w:ascii="宋体" w:hAnsi="宋体"/>
          <w:sz w:val="24"/>
          <w:highlight w:val="none"/>
        </w:rPr>
      </w:pPr>
      <w:r>
        <w:rPr>
          <w:rFonts w:hint="eastAsia" w:ascii="宋体" w:hAnsi="宋体"/>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pPr>
        <w:spacing w:line="360" w:lineRule="auto"/>
        <w:ind w:firstLine="480" w:firstLineChars="200"/>
        <w:rPr>
          <w:rFonts w:ascii="宋体" w:hAnsi="宋体"/>
          <w:sz w:val="24"/>
          <w:highlight w:val="none"/>
        </w:rPr>
      </w:pPr>
      <w:r>
        <w:rPr>
          <w:rFonts w:hint="eastAsia" w:ascii="宋体" w:hAnsi="宋体"/>
          <w:sz w:val="24"/>
          <w:highlight w:val="none"/>
        </w:rPr>
        <w:t>采购人书面授权磋商小组直接确定成交供应商的，磋商小组应在评审报告中明确成交供应商及成交金额。</w:t>
      </w:r>
    </w:p>
    <w:p>
      <w:pPr>
        <w:spacing w:line="360" w:lineRule="auto"/>
        <w:ind w:firstLine="480" w:firstLineChars="200"/>
        <w:rPr>
          <w:rFonts w:ascii="宋体" w:hAnsi="宋体"/>
          <w:sz w:val="24"/>
          <w:highlight w:val="none"/>
        </w:rPr>
      </w:pPr>
      <w:r>
        <w:rPr>
          <w:rFonts w:hint="eastAsia" w:ascii="宋体" w:hAnsi="宋体"/>
          <w:sz w:val="24"/>
          <w:highlight w:val="none"/>
        </w:rPr>
        <w:t>除下列情形外，任何人不得以任何理由组织重新评审：</w:t>
      </w:r>
    </w:p>
    <w:p>
      <w:pPr>
        <w:spacing w:line="360" w:lineRule="auto"/>
        <w:ind w:firstLine="480" w:firstLineChars="200"/>
        <w:rPr>
          <w:rFonts w:ascii="宋体" w:hAnsi="宋体"/>
          <w:sz w:val="24"/>
          <w:highlight w:val="none"/>
        </w:rPr>
      </w:pPr>
      <w:r>
        <w:rPr>
          <w:rFonts w:hint="eastAsia" w:ascii="宋体" w:hAnsi="宋体"/>
          <w:sz w:val="24"/>
          <w:highlight w:val="none"/>
        </w:rPr>
        <w:t>（1）资格性检查认定错误的；</w:t>
      </w:r>
    </w:p>
    <w:p>
      <w:pPr>
        <w:spacing w:line="360" w:lineRule="auto"/>
        <w:ind w:firstLine="480" w:firstLineChars="200"/>
        <w:rPr>
          <w:rFonts w:ascii="宋体" w:hAnsi="宋体"/>
          <w:sz w:val="24"/>
          <w:highlight w:val="none"/>
        </w:rPr>
      </w:pPr>
      <w:r>
        <w:rPr>
          <w:rFonts w:hint="eastAsia" w:ascii="宋体" w:hAnsi="宋体"/>
          <w:sz w:val="24"/>
          <w:highlight w:val="none"/>
        </w:rPr>
        <w:t>（2）分值汇总计算错误的；</w:t>
      </w:r>
    </w:p>
    <w:p>
      <w:pPr>
        <w:spacing w:line="360" w:lineRule="auto"/>
        <w:ind w:firstLine="480" w:firstLineChars="200"/>
        <w:rPr>
          <w:rFonts w:ascii="宋体" w:hAnsi="宋体"/>
          <w:sz w:val="24"/>
          <w:highlight w:val="none"/>
        </w:rPr>
      </w:pPr>
      <w:r>
        <w:rPr>
          <w:rFonts w:hint="eastAsia" w:ascii="宋体" w:hAnsi="宋体"/>
          <w:sz w:val="24"/>
          <w:highlight w:val="none"/>
        </w:rPr>
        <w:t>（3）分项评分超出评分标准范围的；</w:t>
      </w:r>
    </w:p>
    <w:p>
      <w:pPr>
        <w:spacing w:line="360" w:lineRule="auto"/>
        <w:ind w:firstLine="480" w:firstLineChars="200"/>
        <w:rPr>
          <w:rFonts w:ascii="宋体" w:hAnsi="宋体"/>
          <w:sz w:val="24"/>
          <w:highlight w:val="none"/>
        </w:rPr>
      </w:pPr>
      <w:r>
        <w:rPr>
          <w:rFonts w:hint="eastAsia" w:ascii="宋体" w:hAnsi="宋体"/>
          <w:sz w:val="24"/>
          <w:highlight w:val="none"/>
        </w:rPr>
        <w:t>（4）客观分因素评分不一致的；</w:t>
      </w:r>
    </w:p>
    <w:p>
      <w:pPr>
        <w:spacing w:line="360" w:lineRule="auto"/>
        <w:ind w:firstLine="480" w:firstLineChars="200"/>
        <w:rPr>
          <w:rFonts w:ascii="宋体" w:hAnsi="宋体"/>
          <w:sz w:val="24"/>
          <w:highlight w:val="none"/>
        </w:rPr>
      </w:pPr>
      <w:r>
        <w:rPr>
          <w:rFonts w:hint="eastAsia" w:ascii="宋体" w:hAnsi="宋体"/>
          <w:sz w:val="24"/>
          <w:highlight w:val="none"/>
        </w:rPr>
        <w:t>（5）经磋商小组一致认定评分畸高、畸低的情形。</w:t>
      </w:r>
    </w:p>
    <w:p>
      <w:pPr>
        <w:spacing w:line="360" w:lineRule="auto"/>
        <w:ind w:firstLine="480" w:firstLineChars="200"/>
        <w:rPr>
          <w:rFonts w:ascii="宋体" w:hAnsi="宋体"/>
          <w:sz w:val="24"/>
          <w:highlight w:val="none"/>
        </w:rPr>
      </w:pPr>
      <w:r>
        <w:rPr>
          <w:rFonts w:hint="eastAsia" w:ascii="宋体" w:hAnsi="宋体"/>
          <w:sz w:val="24"/>
          <w:highlight w:val="none"/>
        </w:rPr>
        <w:t>6.有下列情况之一的，视为供应商串通投标，其响应无效：</w:t>
      </w:r>
    </w:p>
    <w:p>
      <w:pPr>
        <w:spacing w:line="360" w:lineRule="auto"/>
        <w:ind w:firstLine="480" w:firstLineChars="200"/>
        <w:rPr>
          <w:rFonts w:ascii="宋体" w:hAnsi="宋体"/>
          <w:sz w:val="24"/>
          <w:highlight w:val="none"/>
        </w:rPr>
      </w:pPr>
      <w:r>
        <w:rPr>
          <w:rFonts w:hint="eastAsia" w:ascii="宋体" w:hAnsi="宋体"/>
          <w:sz w:val="24"/>
          <w:highlight w:val="none"/>
        </w:rPr>
        <w:t>6.1不同供应商的响应文件由同一单位或者个人编制；</w:t>
      </w:r>
    </w:p>
    <w:p>
      <w:pPr>
        <w:spacing w:line="360" w:lineRule="auto"/>
        <w:ind w:firstLine="480" w:firstLineChars="200"/>
        <w:rPr>
          <w:rFonts w:ascii="宋体" w:hAnsi="宋体"/>
          <w:sz w:val="24"/>
          <w:highlight w:val="none"/>
        </w:rPr>
      </w:pPr>
      <w:r>
        <w:rPr>
          <w:rFonts w:hint="eastAsia" w:ascii="宋体" w:hAnsi="宋体"/>
          <w:sz w:val="24"/>
          <w:highlight w:val="none"/>
        </w:rPr>
        <w:t>6.2不同供应商的响应文件由同一台电脑编制；</w:t>
      </w:r>
    </w:p>
    <w:p>
      <w:pPr>
        <w:spacing w:line="360" w:lineRule="auto"/>
        <w:ind w:firstLine="480" w:firstLineChars="200"/>
        <w:rPr>
          <w:rFonts w:ascii="宋体" w:hAnsi="宋体"/>
          <w:sz w:val="24"/>
          <w:highlight w:val="none"/>
        </w:rPr>
      </w:pPr>
      <w:r>
        <w:rPr>
          <w:rFonts w:hint="eastAsia" w:ascii="宋体" w:hAnsi="宋体"/>
          <w:sz w:val="24"/>
          <w:highlight w:val="none"/>
        </w:rPr>
        <w:t>6.3不同供应商委托同一单位或者个人办理投标事宜；</w:t>
      </w:r>
    </w:p>
    <w:p>
      <w:pPr>
        <w:spacing w:line="360" w:lineRule="auto"/>
        <w:ind w:firstLine="480" w:firstLineChars="200"/>
        <w:rPr>
          <w:rFonts w:ascii="宋体" w:hAnsi="宋体"/>
          <w:sz w:val="24"/>
          <w:highlight w:val="none"/>
        </w:rPr>
      </w:pPr>
      <w:r>
        <w:rPr>
          <w:rFonts w:hint="eastAsia" w:ascii="宋体" w:hAnsi="宋体"/>
          <w:sz w:val="24"/>
          <w:highlight w:val="none"/>
        </w:rPr>
        <w:t>6.4不同供应商的响应文件载明的项目管理成员或者联系人员为同一人；</w:t>
      </w:r>
    </w:p>
    <w:p>
      <w:pPr>
        <w:spacing w:line="360" w:lineRule="auto"/>
        <w:ind w:firstLine="480" w:firstLineChars="200"/>
        <w:rPr>
          <w:rFonts w:ascii="宋体" w:hAnsi="宋体"/>
          <w:sz w:val="24"/>
          <w:highlight w:val="none"/>
        </w:rPr>
      </w:pPr>
      <w:r>
        <w:rPr>
          <w:rFonts w:hint="eastAsia" w:ascii="宋体" w:hAnsi="宋体"/>
          <w:sz w:val="24"/>
          <w:highlight w:val="none"/>
        </w:rPr>
        <w:t>6.5不同供应商的响应文件异常一致或者磋商报价呈规律性差异；</w:t>
      </w:r>
    </w:p>
    <w:p>
      <w:pPr>
        <w:spacing w:line="360" w:lineRule="auto"/>
        <w:ind w:firstLine="480" w:firstLineChars="200"/>
        <w:rPr>
          <w:rFonts w:ascii="宋体" w:hAnsi="宋体"/>
          <w:sz w:val="24"/>
          <w:highlight w:val="none"/>
        </w:rPr>
      </w:pPr>
      <w:r>
        <w:rPr>
          <w:rFonts w:hint="eastAsia" w:ascii="宋体" w:hAnsi="宋体"/>
          <w:sz w:val="24"/>
          <w:highlight w:val="none"/>
        </w:rPr>
        <w:t>6.6不同供应商的响应文件相互混装；</w:t>
      </w:r>
    </w:p>
    <w:p>
      <w:pPr>
        <w:spacing w:line="360" w:lineRule="auto"/>
        <w:ind w:firstLine="480" w:firstLineChars="200"/>
        <w:rPr>
          <w:rFonts w:ascii="宋体" w:hAnsi="宋体"/>
          <w:sz w:val="24"/>
          <w:highlight w:val="none"/>
        </w:rPr>
      </w:pPr>
      <w:r>
        <w:rPr>
          <w:rFonts w:hint="eastAsia" w:ascii="宋体" w:hAnsi="宋体"/>
          <w:sz w:val="24"/>
          <w:highlight w:val="none"/>
        </w:rPr>
        <w:t>6.7不同供应商的磋商保证金从同一单位或者个人的账户转出。</w:t>
      </w:r>
    </w:p>
    <w:p>
      <w:pPr>
        <w:spacing w:line="360" w:lineRule="auto"/>
        <w:ind w:firstLine="480" w:firstLineChars="200"/>
        <w:rPr>
          <w:rFonts w:ascii="宋体" w:hAnsi="宋体"/>
          <w:sz w:val="24"/>
          <w:highlight w:val="none"/>
        </w:rPr>
      </w:pPr>
      <w:r>
        <w:rPr>
          <w:rFonts w:hint="eastAsia" w:ascii="宋体" w:hAnsi="宋体"/>
          <w:sz w:val="24"/>
          <w:highlight w:val="none"/>
        </w:rPr>
        <w:t>6.8政府采购法律法规及磋商文件规定的其他情形。</w:t>
      </w:r>
    </w:p>
    <w:p>
      <w:pPr>
        <w:spacing w:line="360" w:lineRule="auto"/>
        <w:ind w:firstLine="481"/>
        <w:jc w:val="left"/>
        <w:outlineLvl w:val="1"/>
        <w:rPr>
          <w:rFonts w:ascii="黑体" w:hAnsi="黑体" w:eastAsia="黑体" w:cs="黑体"/>
          <w:b/>
          <w:sz w:val="24"/>
          <w:highlight w:val="none"/>
        </w:rPr>
      </w:pPr>
      <w:bookmarkStart w:id="136" w:name="_Toc8840"/>
      <w:bookmarkStart w:id="137" w:name="_Toc21394"/>
      <w:r>
        <w:rPr>
          <w:rFonts w:hint="eastAsia" w:ascii="黑体" w:hAnsi="黑体" w:eastAsia="黑体" w:cs="黑体"/>
          <w:b/>
          <w:sz w:val="24"/>
          <w:highlight w:val="none"/>
        </w:rPr>
        <w:t>三、成交</w:t>
      </w:r>
      <w:bookmarkEnd w:id="136"/>
      <w:bookmarkEnd w:id="137"/>
    </w:p>
    <w:p>
      <w:pPr>
        <w:spacing w:line="360" w:lineRule="auto"/>
        <w:ind w:firstLine="480" w:firstLineChars="200"/>
        <w:rPr>
          <w:rFonts w:ascii="宋体" w:hAnsi="宋体"/>
          <w:sz w:val="24"/>
          <w:highlight w:val="none"/>
        </w:rPr>
      </w:pPr>
      <w:r>
        <w:rPr>
          <w:rFonts w:hint="eastAsia" w:ascii="宋体" w:hAnsi="宋体"/>
          <w:sz w:val="24"/>
          <w:highlight w:val="none"/>
        </w:rPr>
        <w:t>1.本项目采用第</w:t>
      </w:r>
      <w:r>
        <w:rPr>
          <w:rFonts w:hint="eastAsia" w:ascii="宋体" w:hAnsi="宋体"/>
          <w:sz w:val="24"/>
          <w:highlight w:val="none"/>
          <w:u w:val="single"/>
        </w:rPr>
        <w:t>（1）</w:t>
      </w:r>
      <w:r>
        <w:rPr>
          <w:rFonts w:hint="eastAsia" w:ascii="宋体" w:hAnsi="宋体"/>
          <w:sz w:val="24"/>
          <w:highlight w:val="none"/>
        </w:rPr>
        <w:t>种方式确定成交供应商：</w:t>
      </w:r>
    </w:p>
    <w:p>
      <w:pPr>
        <w:spacing w:line="360" w:lineRule="auto"/>
        <w:ind w:firstLine="480" w:firstLineChars="200"/>
        <w:rPr>
          <w:rFonts w:ascii="宋体" w:hAnsi="宋体"/>
          <w:sz w:val="24"/>
          <w:highlight w:val="none"/>
        </w:rPr>
      </w:pPr>
      <w:r>
        <w:rPr>
          <w:rFonts w:hint="eastAsia" w:ascii="宋体" w:hAnsi="宋体"/>
          <w:sz w:val="24"/>
          <w:highlight w:val="none"/>
        </w:rPr>
        <w:t>（1）采购人根据磋商小组评审结果确认。采购代理机构在评审结束后2个工作日内将评审报告送采购人确认。采购人在收到评审报告之日起5个工作日内，从评审报告提出的成交候选供应商中，按照排序由高到低的原则确定成交供应商</w:t>
      </w:r>
      <w:r>
        <w:rPr>
          <w:rFonts w:hint="eastAsia" w:asciiTheme="minorEastAsia" w:hAnsiTheme="minorEastAsia" w:cstheme="minorEastAsia"/>
          <w:color w:val="000000" w:themeColor="text1"/>
          <w:sz w:val="24"/>
          <w:highlight w:val="none"/>
          <w14:textFill>
            <w14:solidFill>
              <w14:schemeClr w14:val="tx1"/>
            </w14:solidFill>
          </w14:textFill>
        </w:rPr>
        <w:t>，并书面复函采购代理机构</w:t>
      </w:r>
      <w:r>
        <w:rPr>
          <w:rFonts w:hint="eastAsia" w:ascii="宋体" w:hAnsi="宋体"/>
          <w:sz w:val="24"/>
          <w:highlight w:val="none"/>
        </w:rPr>
        <w:t>。采购人逾期未确定成交供应商且不提出异议的，视同按评审报告提出的排序第一的供应商为成交供应商。</w:t>
      </w:r>
    </w:p>
    <w:p>
      <w:pPr>
        <w:spacing w:line="360" w:lineRule="auto"/>
        <w:ind w:firstLine="482" w:firstLineChars="200"/>
        <w:rPr>
          <w:rFonts w:ascii="宋体" w:hAnsi="宋体"/>
          <w:b/>
          <w:bCs/>
          <w:sz w:val="24"/>
          <w:highlight w:val="none"/>
        </w:rPr>
      </w:pPr>
      <w:r>
        <w:rPr>
          <w:rFonts w:hint="eastAsia" w:ascii="宋体" w:hAnsi="宋体"/>
          <w:b/>
          <w:bCs/>
          <w:sz w:val="24"/>
          <w:highlight w:val="none"/>
        </w:rPr>
        <w:t>（2）采购人书面授权磋商小组直接确定成交供应商。</w:t>
      </w:r>
    </w:p>
    <w:p>
      <w:pPr>
        <w:spacing w:line="360" w:lineRule="auto"/>
        <w:ind w:firstLine="482" w:firstLineChars="200"/>
        <w:rPr>
          <w:rFonts w:ascii="宋体" w:hAnsi="宋体"/>
          <w:b/>
          <w:bCs/>
          <w:sz w:val="24"/>
          <w:highlight w:val="none"/>
        </w:rPr>
      </w:pPr>
      <w:r>
        <w:rPr>
          <w:rFonts w:hint="eastAsia" w:ascii="宋体" w:hAnsi="宋体"/>
          <w:b/>
          <w:bCs/>
          <w:sz w:val="24"/>
          <w:highlight w:val="none"/>
        </w:rPr>
        <w:t>采购人在评审前提供《委托评审小组定标授权书》，磋商小组将根据采购人授权直接确定成交供应商。</w:t>
      </w:r>
    </w:p>
    <w:p>
      <w:pPr>
        <w:spacing w:line="360" w:lineRule="auto"/>
        <w:ind w:firstLine="480" w:firstLineChars="200"/>
        <w:rPr>
          <w:rFonts w:ascii="宋体" w:hAnsi="宋体"/>
          <w:sz w:val="24"/>
          <w:highlight w:val="none"/>
        </w:rPr>
      </w:pPr>
      <w:r>
        <w:rPr>
          <w:rFonts w:hint="eastAsia" w:ascii="宋体" w:hAnsi="宋体"/>
          <w:sz w:val="24"/>
          <w:highlight w:val="none"/>
        </w:rPr>
        <w:t>2.采购代理机构将在成交供应商确定之日起2个工作日内，在财政部门指定的政府采购信息媒体上发布成交公告，成交公告期限为1个工作日。同时，采购代理机构向成交供应商发出“成交通知书”，并将磋商文件随成交结果同时公告。</w:t>
      </w:r>
    </w:p>
    <w:p>
      <w:pPr>
        <w:spacing w:line="360" w:lineRule="auto"/>
        <w:ind w:firstLine="480" w:firstLineChars="200"/>
        <w:rPr>
          <w:rFonts w:ascii="宋体" w:hAnsi="宋体"/>
          <w:sz w:val="24"/>
          <w:highlight w:val="none"/>
        </w:rPr>
      </w:pPr>
      <w:r>
        <w:rPr>
          <w:rFonts w:hint="eastAsia" w:ascii="宋体" w:hAnsi="宋体"/>
          <w:sz w:val="24"/>
          <w:highlight w:val="none"/>
        </w:rPr>
        <w:t>成交结果公告应当包括以下内容：</w:t>
      </w:r>
    </w:p>
    <w:p>
      <w:pPr>
        <w:spacing w:line="360" w:lineRule="auto"/>
        <w:ind w:firstLine="480" w:firstLineChars="200"/>
        <w:rPr>
          <w:rFonts w:ascii="宋体" w:hAnsi="宋体"/>
          <w:sz w:val="24"/>
          <w:highlight w:val="none"/>
        </w:rPr>
      </w:pPr>
      <w:r>
        <w:rPr>
          <w:rFonts w:hint="eastAsia" w:ascii="宋体" w:hAnsi="宋体"/>
          <w:sz w:val="24"/>
          <w:highlight w:val="none"/>
        </w:rPr>
        <w:t>（1）采购人和采购代理机构的名称、地址和联系方式；</w:t>
      </w:r>
    </w:p>
    <w:p>
      <w:pPr>
        <w:spacing w:line="360" w:lineRule="auto"/>
        <w:ind w:firstLine="480" w:firstLineChars="200"/>
        <w:rPr>
          <w:rFonts w:ascii="宋体" w:hAnsi="宋体"/>
          <w:sz w:val="24"/>
          <w:highlight w:val="none"/>
        </w:rPr>
      </w:pPr>
      <w:r>
        <w:rPr>
          <w:rFonts w:hint="eastAsia" w:ascii="宋体" w:hAnsi="宋体"/>
          <w:sz w:val="24"/>
          <w:highlight w:val="none"/>
        </w:rPr>
        <w:t>（2）项目名称和项目编号；</w:t>
      </w:r>
    </w:p>
    <w:p>
      <w:pPr>
        <w:spacing w:line="360" w:lineRule="auto"/>
        <w:ind w:firstLine="480" w:firstLineChars="200"/>
        <w:rPr>
          <w:rFonts w:ascii="宋体" w:hAnsi="宋体"/>
          <w:sz w:val="24"/>
          <w:highlight w:val="none"/>
        </w:rPr>
      </w:pPr>
      <w:r>
        <w:rPr>
          <w:rFonts w:hint="eastAsia" w:ascii="宋体" w:hAnsi="宋体"/>
          <w:sz w:val="24"/>
          <w:highlight w:val="none"/>
        </w:rPr>
        <w:t>（3）成交供应商名称、地址和成交金额；</w:t>
      </w:r>
    </w:p>
    <w:p>
      <w:pPr>
        <w:spacing w:line="360" w:lineRule="auto"/>
        <w:ind w:firstLine="480" w:firstLineChars="200"/>
        <w:rPr>
          <w:rFonts w:ascii="宋体" w:hAnsi="宋体"/>
          <w:sz w:val="24"/>
          <w:highlight w:val="none"/>
        </w:rPr>
      </w:pPr>
      <w:r>
        <w:rPr>
          <w:rFonts w:hint="eastAsia" w:ascii="宋体" w:hAnsi="宋体"/>
          <w:sz w:val="24"/>
          <w:highlight w:val="none"/>
        </w:rPr>
        <w:t>（4）主要成交标的的名称、规格型号、数量、单价、服务要求；</w:t>
      </w:r>
    </w:p>
    <w:p>
      <w:pPr>
        <w:spacing w:line="360" w:lineRule="auto"/>
        <w:ind w:firstLine="480" w:firstLineChars="200"/>
        <w:rPr>
          <w:rFonts w:ascii="宋体" w:hAnsi="宋体"/>
          <w:sz w:val="24"/>
          <w:highlight w:val="none"/>
        </w:rPr>
      </w:pPr>
      <w:r>
        <w:rPr>
          <w:rFonts w:hint="eastAsia" w:ascii="宋体" w:hAnsi="宋体"/>
          <w:sz w:val="24"/>
          <w:highlight w:val="none"/>
        </w:rPr>
        <w:t>（5）磋商小组成员名单。</w:t>
      </w:r>
    </w:p>
    <w:p>
      <w:pPr>
        <w:spacing w:line="360" w:lineRule="auto"/>
        <w:ind w:firstLine="480" w:firstLineChars="200"/>
        <w:rPr>
          <w:rFonts w:ascii="宋体" w:hAnsi="宋体"/>
          <w:sz w:val="24"/>
          <w:highlight w:val="none"/>
        </w:rPr>
      </w:pPr>
      <w:r>
        <w:rPr>
          <w:rFonts w:hint="eastAsia" w:ascii="宋体" w:hAnsi="宋体"/>
          <w:sz w:val="24"/>
          <w:highlight w:val="none"/>
        </w:rPr>
        <w:t>采用书面推荐供应商参加采购活动的，还应当公告采购人和评审专家的推荐意见。</w:t>
      </w:r>
    </w:p>
    <w:p>
      <w:pPr>
        <w:spacing w:line="360" w:lineRule="auto"/>
        <w:ind w:firstLine="481"/>
        <w:jc w:val="left"/>
        <w:outlineLvl w:val="1"/>
        <w:rPr>
          <w:rFonts w:ascii="黑体" w:hAnsi="黑体" w:eastAsia="黑体" w:cs="黑体"/>
          <w:b/>
          <w:sz w:val="24"/>
          <w:highlight w:val="none"/>
        </w:rPr>
      </w:pPr>
      <w:bookmarkStart w:id="138" w:name="_Toc17637"/>
      <w:bookmarkStart w:id="139" w:name="_Toc28390"/>
      <w:bookmarkStart w:id="140" w:name="_Toc11305"/>
      <w:bookmarkStart w:id="141" w:name="_Toc16588"/>
      <w:r>
        <w:rPr>
          <w:rFonts w:hint="eastAsia" w:ascii="黑体" w:hAnsi="黑体" w:eastAsia="黑体" w:cs="黑体"/>
          <w:b/>
          <w:sz w:val="24"/>
          <w:highlight w:val="none"/>
        </w:rPr>
        <w:t>四、其他</w:t>
      </w:r>
      <w:bookmarkEnd w:id="138"/>
      <w:bookmarkEnd w:id="139"/>
    </w:p>
    <w:p>
      <w:pPr>
        <w:spacing w:line="360" w:lineRule="auto"/>
        <w:ind w:firstLine="480" w:firstLineChars="200"/>
        <w:rPr>
          <w:rFonts w:ascii="宋体" w:hAnsi="宋体"/>
          <w:sz w:val="24"/>
          <w:highlight w:val="none"/>
        </w:rPr>
      </w:pPr>
      <w:r>
        <w:rPr>
          <w:rFonts w:hint="eastAsia" w:ascii="宋体" w:hAnsi="宋体"/>
          <w:sz w:val="24"/>
          <w:highlight w:val="none"/>
        </w:rPr>
        <w:t>1.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pPr>
        <w:spacing w:line="360" w:lineRule="auto"/>
        <w:ind w:firstLine="480" w:firstLineChars="200"/>
        <w:rPr>
          <w:rFonts w:ascii="宋体" w:hAnsi="宋体"/>
          <w:sz w:val="24"/>
          <w:highlight w:val="none"/>
        </w:rPr>
      </w:pPr>
      <w:r>
        <w:rPr>
          <w:rFonts w:hint="eastAsia" w:ascii="宋体" w:hAnsi="宋体"/>
          <w:sz w:val="24"/>
          <w:highlight w:val="none"/>
        </w:rPr>
        <w:t>2.根据《政府采购法》第三十六条规定，在磋商采购中，出现下列情形之一的，本项目按废标处理：</w:t>
      </w:r>
    </w:p>
    <w:p>
      <w:pPr>
        <w:spacing w:line="360" w:lineRule="auto"/>
        <w:ind w:firstLine="480" w:firstLineChars="200"/>
        <w:rPr>
          <w:rFonts w:ascii="宋体" w:hAnsi="宋体"/>
          <w:sz w:val="24"/>
          <w:highlight w:val="none"/>
        </w:rPr>
      </w:pPr>
      <w:r>
        <w:rPr>
          <w:rFonts w:hint="eastAsia" w:ascii="宋体" w:hAnsi="宋体"/>
          <w:sz w:val="24"/>
          <w:highlight w:val="none"/>
        </w:rPr>
        <w:t>2.1出现影响采购公正的违法、违规行为的；</w:t>
      </w:r>
    </w:p>
    <w:p>
      <w:pPr>
        <w:spacing w:line="360" w:lineRule="auto"/>
        <w:ind w:firstLine="480" w:firstLineChars="200"/>
        <w:rPr>
          <w:rFonts w:ascii="宋体" w:hAnsi="宋体"/>
          <w:sz w:val="24"/>
          <w:highlight w:val="none"/>
        </w:rPr>
      </w:pPr>
      <w:r>
        <w:rPr>
          <w:rFonts w:hint="eastAsia" w:ascii="宋体" w:hAnsi="宋体"/>
          <w:sz w:val="24"/>
          <w:highlight w:val="none"/>
        </w:rPr>
        <w:t>2.2供应商的报价均超过了采购预算，采购人不能支付的；</w:t>
      </w:r>
    </w:p>
    <w:p>
      <w:pPr>
        <w:spacing w:line="360" w:lineRule="auto"/>
        <w:ind w:firstLine="480" w:firstLineChars="200"/>
        <w:rPr>
          <w:rFonts w:ascii="宋体" w:hAnsi="宋体"/>
          <w:sz w:val="24"/>
          <w:highlight w:val="none"/>
        </w:rPr>
      </w:pPr>
      <w:r>
        <w:rPr>
          <w:rFonts w:hint="eastAsia" w:ascii="宋体" w:hAnsi="宋体"/>
          <w:sz w:val="24"/>
          <w:highlight w:val="none"/>
        </w:rPr>
        <w:t>2.3因重大变故，采购任务取消的。</w:t>
      </w:r>
    </w:p>
    <w:p>
      <w:pPr>
        <w:spacing w:line="360" w:lineRule="auto"/>
        <w:ind w:firstLine="480" w:firstLineChars="200"/>
        <w:rPr>
          <w:rFonts w:ascii="宋体" w:hAnsi="宋体"/>
          <w:sz w:val="24"/>
          <w:highlight w:val="none"/>
        </w:rPr>
      </w:pPr>
      <w:r>
        <w:rPr>
          <w:rFonts w:hint="eastAsia" w:ascii="宋体" w:hAnsi="宋体"/>
          <w:sz w:val="24"/>
          <w:highlight w:val="none"/>
        </w:rPr>
        <w:t>废标后，由采购代理机构发布废标公告。除采购任务取消外，本项目将重新组织采购活动。</w:t>
      </w:r>
    </w:p>
    <w:p>
      <w:pPr>
        <w:spacing w:line="360" w:lineRule="auto"/>
        <w:ind w:firstLine="480" w:firstLineChars="200"/>
        <w:rPr>
          <w:rFonts w:ascii="宋体" w:hAnsi="宋体"/>
          <w:sz w:val="24"/>
          <w:highlight w:val="none"/>
        </w:rPr>
      </w:pPr>
      <w:r>
        <w:rPr>
          <w:rFonts w:hint="eastAsia" w:ascii="宋体" w:hAnsi="宋体"/>
          <w:sz w:val="24"/>
          <w:highlight w:val="none"/>
        </w:rPr>
        <w:t>3.在递交响应文件阶段、资格审查阶段以及符合性审查阶段，当出现有效投标供应商不足3家时，除采购任务取消外，按照以下方式处理：</w:t>
      </w:r>
    </w:p>
    <w:p>
      <w:pPr>
        <w:spacing w:line="360" w:lineRule="auto"/>
        <w:ind w:firstLine="480" w:firstLineChars="200"/>
        <w:rPr>
          <w:rFonts w:ascii="宋体" w:hAnsi="宋体"/>
          <w:sz w:val="24"/>
          <w:highlight w:val="none"/>
        </w:rPr>
      </w:pPr>
      <w:r>
        <w:rPr>
          <w:rFonts w:hint="eastAsia" w:ascii="宋体" w:hAnsi="宋体"/>
          <w:sz w:val="24"/>
          <w:highlight w:val="none"/>
        </w:rPr>
        <w:t>3.1磋商文件存在不合理条款或者磋商程序不符合规定的，采购人、采购代理机构改正后依法重新开展采购活动；</w:t>
      </w:r>
    </w:p>
    <w:p>
      <w:pPr>
        <w:spacing w:line="360" w:lineRule="auto"/>
        <w:ind w:firstLine="480" w:firstLineChars="200"/>
        <w:rPr>
          <w:rFonts w:ascii="宋体" w:hAnsi="宋体"/>
          <w:sz w:val="24"/>
          <w:highlight w:val="none"/>
        </w:rPr>
      </w:pPr>
      <w:r>
        <w:rPr>
          <w:rFonts w:hint="eastAsia" w:ascii="宋体" w:hAnsi="宋体"/>
          <w:sz w:val="24"/>
          <w:highlight w:val="none"/>
        </w:rPr>
        <w:t>3.2磋商文件没有不合理条款、磋商程序符合规定，需要采用其他采购方式采购的，采购人应当依法报财政部门批准。</w:t>
      </w:r>
    </w:p>
    <w:p>
      <w:pPr>
        <w:spacing w:line="360" w:lineRule="auto"/>
        <w:ind w:firstLine="480" w:firstLineChars="200"/>
        <w:rPr>
          <w:rFonts w:ascii="宋体" w:hAnsi="宋体"/>
          <w:sz w:val="24"/>
          <w:highlight w:val="none"/>
        </w:rPr>
      </w:pPr>
      <w:r>
        <w:rPr>
          <w:rFonts w:hint="eastAsia" w:ascii="宋体" w:hAnsi="宋体"/>
          <w:sz w:val="24"/>
          <w:highlight w:val="none"/>
        </w:rPr>
        <w:t>4.采购代理机构应当采取必要措施，保证评审在严格保密的情况下进行。除采购人代表、评审现场组织人员外，采购人的其他工作人员以及与评审工作无关的人员不得进入评审现场。</w:t>
      </w:r>
    </w:p>
    <w:p>
      <w:pPr>
        <w:spacing w:line="360" w:lineRule="auto"/>
        <w:ind w:firstLine="480" w:firstLineChars="200"/>
        <w:rPr>
          <w:rFonts w:ascii="宋体" w:hAnsi="宋体"/>
          <w:sz w:val="24"/>
          <w:highlight w:val="none"/>
        </w:rPr>
      </w:pPr>
      <w:r>
        <w:rPr>
          <w:rFonts w:hint="eastAsia" w:ascii="宋体" w:hAnsi="宋体"/>
          <w:sz w:val="24"/>
          <w:highlight w:val="none"/>
        </w:rPr>
        <w:t>有关人员对评审情况以及在评审过程中获悉的国家秘密、商业秘密负有保密责任。</w:t>
      </w:r>
    </w:p>
    <w:bookmarkEnd w:id="140"/>
    <w:bookmarkEnd w:id="141"/>
    <w:p>
      <w:pPr>
        <w:spacing w:line="360" w:lineRule="auto"/>
        <w:ind w:firstLine="480" w:firstLineChars="200"/>
        <w:rPr>
          <w:rFonts w:ascii="宋体" w:hAnsi="宋体"/>
          <w:sz w:val="24"/>
          <w:highlight w:val="none"/>
        </w:rPr>
      </w:pPr>
      <w:r>
        <w:rPr>
          <w:rFonts w:hint="eastAsia" w:ascii="宋体" w:hAnsi="宋体"/>
          <w:sz w:val="24"/>
          <w:highlight w:val="none"/>
        </w:rPr>
        <w:t>5.《成交通知书》是合同的一个组成部分，对采购人和成交供应商具有同等法律效力；</w:t>
      </w:r>
    </w:p>
    <w:p>
      <w:pPr>
        <w:spacing w:line="360" w:lineRule="auto"/>
        <w:ind w:firstLine="480" w:firstLineChars="200"/>
        <w:rPr>
          <w:rFonts w:ascii="宋体" w:hAnsi="宋体"/>
          <w:sz w:val="24"/>
          <w:highlight w:val="none"/>
        </w:rPr>
      </w:pPr>
      <w:r>
        <w:rPr>
          <w:rFonts w:hint="eastAsia" w:ascii="宋体" w:hAnsi="宋体"/>
          <w:sz w:val="24"/>
          <w:highlight w:val="none"/>
        </w:rPr>
        <w:t>《成交通知书》发出后，采购人改变成交结果，或者成交供应商放弃成交的，均应承担相应的法律责任。</w:t>
      </w:r>
    </w:p>
    <w:p>
      <w:pPr>
        <w:spacing w:line="360" w:lineRule="auto"/>
        <w:ind w:firstLine="480" w:firstLineChars="200"/>
        <w:rPr>
          <w:rFonts w:ascii="宋体" w:hAnsi="宋体"/>
          <w:sz w:val="24"/>
          <w:highlight w:val="none"/>
        </w:rPr>
      </w:pPr>
      <w:r>
        <w:rPr>
          <w:rFonts w:hint="eastAsia" w:ascii="宋体" w:hAnsi="宋体"/>
          <w:sz w:val="24"/>
          <w:highlight w:val="none"/>
        </w:rPr>
        <w:t>6.磋商文件未明确的其他事项，按《政府采购法》及其相关法律法规执行。</w:t>
      </w:r>
    </w:p>
    <w:p>
      <w:pPr>
        <w:spacing w:line="360" w:lineRule="auto"/>
        <w:ind w:firstLine="480" w:firstLineChars="200"/>
        <w:rPr>
          <w:rFonts w:ascii="??_GB2312" w:hAnsi="仿宋" w:eastAsia="Times New Roman" w:cs="Times New Roman"/>
          <w:sz w:val="24"/>
          <w:highlight w:val="none"/>
        </w:rPr>
      </w:pPr>
    </w:p>
    <w:p>
      <w:pPr>
        <w:spacing w:line="360" w:lineRule="auto"/>
        <w:outlineLvl w:val="1"/>
        <w:rPr>
          <w:rFonts w:eastAsia="黑体"/>
          <w:b/>
          <w:sz w:val="18"/>
          <w:szCs w:val="18"/>
          <w:highlight w:val="none"/>
        </w:rPr>
      </w:pPr>
      <w:r>
        <w:rPr>
          <w:rFonts w:hint="eastAsia" w:ascii="仿宋_GB2312" w:hAnsi="仿宋" w:eastAsia="仿宋_GB2312" w:cs="仿宋"/>
          <w:sz w:val="24"/>
          <w:highlight w:val="none"/>
        </w:rPr>
        <w:br w:type="page"/>
      </w:r>
      <w:bookmarkStart w:id="142" w:name="_Toc27614"/>
      <w:bookmarkStart w:id="143" w:name="_Toc12860"/>
      <w:bookmarkStart w:id="144" w:name="_Toc10028"/>
      <w:r>
        <w:rPr>
          <w:rFonts w:hint="eastAsia" w:ascii="黑体" w:hAnsi="仿宋" w:eastAsia="黑体" w:cs="黑体"/>
          <w:b/>
          <w:bCs/>
          <w:sz w:val="24"/>
          <w:highlight w:val="none"/>
        </w:rPr>
        <w:t>附表1：《资格审查表》</w:t>
      </w:r>
      <w:bookmarkEnd w:id="142"/>
      <w:bookmarkEnd w:id="143"/>
      <w:bookmarkEnd w:id="144"/>
    </w:p>
    <w:p>
      <w:pPr>
        <w:spacing w:line="360" w:lineRule="auto"/>
        <w:jc w:val="center"/>
        <w:rPr>
          <w:highlight w:val="none"/>
        </w:rPr>
      </w:pPr>
      <w:r>
        <w:rPr>
          <w:rFonts w:hint="eastAsia" w:ascii="黑体" w:hAnsi="仿宋" w:eastAsia="黑体" w:cs="黑体"/>
          <w:sz w:val="32"/>
          <w:szCs w:val="32"/>
          <w:highlight w:val="none"/>
        </w:rPr>
        <w:t>资格审查表</w:t>
      </w:r>
    </w:p>
    <w:tbl>
      <w:tblPr>
        <w:tblStyle w:val="2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42"/>
        <w:gridCol w:w="4706"/>
        <w:gridCol w:w="937"/>
        <w:gridCol w:w="975"/>
        <w:gridCol w:w="938"/>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blHeader/>
          <w:jc w:val="center"/>
        </w:trPr>
        <w:tc>
          <w:tcPr>
            <w:tcW w:w="707" w:type="dxa"/>
            <w:vAlign w:val="center"/>
          </w:tcPr>
          <w:p>
            <w:pPr>
              <w:jc w:val="center"/>
              <w:rPr>
                <w:rFonts w:ascii="黑体" w:hAnsi="黑体" w:eastAsia="黑体" w:cs="黑体"/>
                <w:b/>
                <w:highlight w:val="none"/>
              </w:rPr>
            </w:pPr>
            <w:r>
              <w:rPr>
                <w:rFonts w:hint="eastAsia" w:ascii="黑体" w:hAnsi="黑体" w:eastAsia="黑体" w:cs="黑体"/>
                <w:b/>
                <w:highlight w:val="none"/>
              </w:rPr>
              <w:t>序号</w:t>
            </w:r>
          </w:p>
        </w:tc>
        <w:tc>
          <w:tcPr>
            <w:tcW w:w="5248" w:type="dxa"/>
            <w:gridSpan w:val="2"/>
            <w:tcBorders>
              <w:tl2br w:val="single" w:color="auto" w:sz="4" w:space="0"/>
            </w:tcBorders>
            <w:vAlign w:val="center"/>
          </w:tcPr>
          <w:p>
            <w:pPr>
              <w:jc w:val="right"/>
              <w:rPr>
                <w:rFonts w:ascii="黑体" w:hAnsi="黑体" w:eastAsia="黑体" w:cs="黑体"/>
                <w:b/>
                <w:highlight w:val="none"/>
              </w:rPr>
            </w:pPr>
            <w:r>
              <w:rPr>
                <w:rFonts w:hint="eastAsia" w:ascii="黑体" w:hAnsi="黑体" w:eastAsia="黑体" w:cs="黑体"/>
                <w:b/>
                <w:highlight w:val="none"/>
              </w:rPr>
              <w:t>响应供应商</w:t>
            </w:r>
          </w:p>
          <w:p>
            <w:pPr>
              <w:rPr>
                <w:rFonts w:ascii="黑体" w:hAnsi="黑体" w:eastAsia="黑体" w:cs="黑体"/>
                <w:highlight w:val="none"/>
              </w:rPr>
            </w:pPr>
            <w:r>
              <w:rPr>
                <w:rFonts w:hint="eastAsia" w:ascii="黑体" w:hAnsi="黑体" w:eastAsia="黑体" w:cs="黑体"/>
                <w:b/>
                <w:highlight w:val="none"/>
              </w:rPr>
              <w:t>响应资格审查项</w:t>
            </w:r>
            <w:r>
              <w:rPr>
                <w:rFonts w:hint="eastAsia" w:ascii="黑体" w:hAnsi="黑体" w:eastAsia="黑体" w:cs="黑体"/>
                <w:b/>
                <w:i/>
                <w:highlight w:val="none"/>
              </w:rPr>
              <w:t>（即供应商资格条件）</w:t>
            </w:r>
          </w:p>
        </w:tc>
        <w:tc>
          <w:tcPr>
            <w:tcW w:w="937" w:type="dxa"/>
            <w:vAlign w:val="center"/>
          </w:tcPr>
          <w:p>
            <w:pPr>
              <w:jc w:val="center"/>
              <w:rPr>
                <w:rFonts w:ascii="黑体" w:hAnsi="黑体" w:eastAsia="黑体" w:cs="黑体"/>
                <w:highlight w:val="none"/>
              </w:rPr>
            </w:pPr>
            <w:r>
              <w:rPr>
                <w:rFonts w:hint="eastAsia" w:ascii="黑体" w:hAnsi="黑体" w:eastAsia="黑体" w:cs="黑体"/>
                <w:highlight w:val="none"/>
              </w:rPr>
              <w:t>A响应供应商</w:t>
            </w:r>
          </w:p>
        </w:tc>
        <w:tc>
          <w:tcPr>
            <w:tcW w:w="975" w:type="dxa"/>
            <w:vAlign w:val="center"/>
          </w:tcPr>
          <w:p>
            <w:pPr>
              <w:jc w:val="center"/>
              <w:rPr>
                <w:rFonts w:ascii="黑体" w:hAnsi="黑体" w:eastAsia="黑体" w:cs="黑体"/>
                <w:highlight w:val="none"/>
              </w:rPr>
            </w:pPr>
            <w:r>
              <w:rPr>
                <w:rFonts w:hint="eastAsia" w:ascii="黑体" w:hAnsi="黑体" w:eastAsia="黑体" w:cs="黑体"/>
                <w:highlight w:val="none"/>
              </w:rPr>
              <w:t>B响应供应商</w:t>
            </w:r>
          </w:p>
        </w:tc>
        <w:tc>
          <w:tcPr>
            <w:tcW w:w="938" w:type="dxa"/>
            <w:vAlign w:val="center"/>
          </w:tcPr>
          <w:p>
            <w:pPr>
              <w:tabs>
                <w:tab w:val="left" w:pos="8640"/>
              </w:tabs>
              <w:jc w:val="center"/>
              <w:rPr>
                <w:rFonts w:ascii="黑体" w:hAnsi="黑体" w:eastAsia="黑体" w:cs="黑体"/>
                <w:highlight w:val="none"/>
              </w:rPr>
            </w:pPr>
            <w:r>
              <w:rPr>
                <w:rFonts w:hint="eastAsia" w:ascii="黑体" w:hAnsi="黑体" w:eastAsia="黑体" w:cs="黑体"/>
                <w:highlight w:val="none"/>
              </w:rPr>
              <w:t>C响应供应商</w:t>
            </w:r>
          </w:p>
        </w:tc>
        <w:tc>
          <w:tcPr>
            <w:tcW w:w="847" w:type="dxa"/>
            <w:vAlign w:val="center"/>
          </w:tcPr>
          <w:p>
            <w:pPr>
              <w:jc w:val="center"/>
              <w:rPr>
                <w:rFonts w:ascii="黑体" w:hAnsi="黑体" w:eastAsia="黑体" w:cs="黑体"/>
                <w:highlight w:val="none"/>
              </w:rPr>
            </w:pPr>
            <w:r>
              <w:rPr>
                <w:rFonts w:hint="eastAsia" w:ascii="黑体" w:hAnsi="黑体" w:eastAsia="黑体" w:cs="黑体"/>
                <w:highlight w:val="none"/>
              </w:rPr>
              <w:t>D响应供应商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highlight w:val="none"/>
              </w:rPr>
            </w:pPr>
            <w:r>
              <w:rPr>
                <w:rFonts w:hint="eastAsia" w:ascii="宋体" w:hAnsi="宋体"/>
                <w:bCs/>
                <w:highlight w:val="none"/>
              </w:rPr>
              <w:t>1</w:t>
            </w:r>
          </w:p>
        </w:tc>
        <w:tc>
          <w:tcPr>
            <w:tcW w:w="5248" w:type="dxa"/>
            <w:gridSpan w:val="2"/>
            <w:vAlign w:val="center"/>
          </w:tcPr>
          <w:p>
            <w:pPr>
              <w:ind w:left="40" w:leftChars="19"/>
              <w:rPr>
                <w:rFonts w:ascii="宋体" w:hAnsi="宋体"/>
                <w:kern w:val="28"/>
                <w:highlight w:val="none"/>
              </w:rPr>
            </w:pPr>
            <w:r>
              <w:rPr>
                <w:rFonts w:hint="eastAsia" w:ascii="宋体" w:hAnsi="宋体"/>
                <w:kern w:val="28"/>
                <w:highlight w:val="none"/>
              </w:rPr>
              <w:t>供应商资格声明（格式）；</w:t>
            </w:r>
          </w:p>
        </w:tc>
        <w:tc>
          <w:tcPr>
            <w:tcW w:w="937" w:type="dxa"/>
          </w:tcPr>
          <w:p>
            <w:pPr>
              <w:tabs>
                <w:tab w:val="left" w:pos="686"/>
                <w:tab w:val="left" w:pos="1030"/>
              </w:tabs>
              <w:spacing w:before="40" w:after="40"/>
              <w:rPr>
                <w:rFonts w:ascii="宋体" w:hAnsi="宋体"/>
                <w:highlight w:val="none"/>
              </w:rPr>
            </w:pPr>
          </w:p>
        </w:tc>
        <w:tc>
          <w:tcPr>
            <w:tcW w:w="975" w:type="dxa"/>
            <w:vAlign w:val="center"/>
          </w:tcPr>
          <w:p>
            <w:pPr>
              <w:spacing w:before="40" w:after="40"/>
              <w:rPr>
                <w:rFonts w:ascii="宋体" w:hAnsi="宋体"/>
                <w:b/>
                <w:highlight w:val="none"/>
              </w:rPr>
            </w:pPr>
          </w:p>
        </w:tc>
        <w:tc>
          <w:tcPr>
            <w:tcW w:w="938" w:type="dxa"/>
            <w:vAlign w:val="center"/>
          </w:tcPr>
          <w:p>
            <w:pPr>
              <w:spacing w:before="40" w:after="40"/>
              <w:rPr>
                <w:rFonts w:ascii="宋体" w:hAnsi="宋体"/>
                <w:b/>
                <w:highlight w:val="none"/>
              </w:rPr>
            </w:pPr>
          </w:p>
        </w:tc>
        <w:tc>
          <w:tcPr>
            <w:tcW w:w="847" w:type="dxa"/>
            <w:vAlign w:val="center"/>
          </w:tcPr>
          <w:p>
            <w:pPr>
              <w:spacing w:before="40" w:after="40"/>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highlight w:val="none"/>
              </w:rPr>
            </w:pPr>
            <w:r>
              <w:rPr>
                <w:rFonts w:hint="eastAsia" w:ascii="宋体" w:hAnsi="宋体"/>
                <w:bCs/>
                <w:highlight w:val="none"/>
              </w:rPr>
              <w:t>1.1</w:t>
            </w:r>
          </w:p>
        </w:tc>
        <w:tc>
          <w:tcPr>
            <w:tcW w:w="5248" w:type="dxa"/>
            <w:gridSpan w:val="2"/>
            <w:vAlign w:val="center"/>
          </w:tcPr>
          <w:p>
            <w:pPr>
              <w:ind w:left="40" w:leftChars="19"/>
              <w:rPr>
                <w:rFonts w:ascii="宋体" w:hAnsi="宋体"/>
                <w:kern w:val="28"/>
                <w:highlight w:val="none"/>
              </w:rPr>
            </w:pPr>
            <w:r>
              <w:rPr>
                <w:rFonts w:hint="eastAsia" w:ascii="宋体" w:hAnsi="宋体"/>
                <w:kern w:val="28"/>
                <w:highlight w:val="none"/>
              </w:rPr>
              <w:t>企业法人、其他组织营业执照副本或事业单位法人证书，自然人提供身份证明（复印件加盖响应供应商公章）；</w:t>
            </w:r>
          </w:p>
        </w:tc>
        <w:tc>
          <w:tcPr>
            <w:tcW w:w="937" w:type="dxa"/>
          </w:tcPr>
          <w:p>
            <w:pPr>
              <w:tabs>
                <w:tab w:val="left" w:pos="686"/>
                <w:tab w:val="left" w:pos="1030"/>
              </w:tabs>
              <w:spacing w:before="40" w:after="40"/>
              <w:rPr>
                <w:rFonts w:ascii="宋体" w:hAnsi="宋体"/>
                <w:highlight w:val="none"/>
              </w:rPr>
            </w:pPr>
          </w:p>
        </w:tc>
        <w:tc>
          <w:tcPr>
            <w:tcW w:w="975" w:type="dxa"/>
            <w:vAlign w:val="center"/>
          </w:tcPr>
          <w:p>
            <w:pPr>
              <w:spacing w:before="40" w:after="40"/>
              <w:rPr>
                <w:rFonts w:ascii="宋体" w:hAnsi="宋体"/>
                <w:b/>
                <w:highlight w:val="none"/>
              </w:rPr>
            </w:pPr>
          </w:p>
        </w:tc>
        <w:tc>
          <w:tcPr>
            <w:tcW w:w="938" w:type="dxa"/>
            <w:vAlign w:val="center"/>
          </w:tcPr>
          <w:p>
            <w:pPr>
              <w:spacing w:before="40" w:after="40"/>
              <w:rPr>
                <w:rFonts w:ascii="宋体" w:hAnsi="宋体"/>
                <w:b/>
                <w:highlight w:val="none"/>
              </w:rPr>
            </w:pPr>
          </w:p>
        </w:tc>
        <w:tc>
          <w:tcPr>
            <w:tcW w:w="847" w:type="dxa"/>
            <w:vAlign w:val="center"/>
          </w:tcPr>
          <w:p>
            <w:pPr>
              <w:spacing w:before="40" w:after="40"/>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highlight w:val="none"/>
              </w:rPr>
            </w:pPr>
            <w:r>
              <w:rPr>
                <w:rFonts w:hint="eastAsia" w:ascii="宋体" w:hAnsi="宋体"/>
                <w:bCs/>
                <w:highlight w:val="none"/>
              </w:rPr>
              <w:t>1.2</w:t>
            </w:r>
          </w:p>
        </w:tc>
        <w:tc>
          <w:tcPr>
            <w:tcW w:w="5248" w:type="dxa"/>
            <w:gridSpan w:val="2"/>
            <w:vAlign w:val="center"/>
          </w:tcPr>
          <w:p>
            <w:pPr>
              <w:rPr>
                <w:rFonts w:ascii="宋体" w:hAnsi="宋体"/>
                <w:kern w:val="28"/>
                <w:highlight w:val="none"/>
              </w:rPr>
            </w:pPr>
            <w:r>
              <w:rPr>
                <w:rFonts w:hint="eastAsia" w:ascii="宋体" w:hAnsi="宋体"/>
                <w:kern w:val="28"/>
                <w:highlight w:val="none"/>
              </w:rPr>
              <w:t>2021年度经审计的财务报告（成立时间至磋商会议日期不足一年的响应供应商可提供成立后任意时段的资产负债表）（复印件加盖响应供应商公章）；</w:t>
            </w:r>
          </w:p>
          <w:p>
            <w:pPr>
              <w:rPr>
                <w:rFonts w:ascii="宋体" w:hAnsi="宋体"/>
                <w:kern w:val="28"/>
                <w:highlight w:val="none"/>
              </w:rPr>
            </w:pPr>
            <w:r>
              <w:rPr>
                <w:rFonts w:hint="eastAsia" w:ascii="宋体" w:hAnsi="宋体"/>
                <w:kern w:val="28"/>
                <w:highlight w:val="none"/>
              </w:rPr>
              <w:t>或在磋商会议日期前六个月内其基本存款账户开户银行出具的资信证明（原件）；</w:t>
            </w:r>
          </w:p>
          <w:p>
            <w:pPr>
              <w:rPr>
                <w:rFonts w:ascii="宋体" w:hAnsi="宋体"/>
                <w:kern w:val="28"/>
                <w:highlight w:val="none"/>
              </w:rPr>
            </w:pPr>
            <w:r>
              <w:rPr>
                <w:rFonts w:hint="eastAsia" w:ascii="宋体" w:hAnsi="宋体"/>
                <w:kern w:val="28"/>
                <w:highlight w:val="none"/>
              </w:rPr>
              <w:t>或在磋商会议日期前六个月内信用担保机构出具的投标担保函（原件）；</w:t>
            </w:r>
          </w:p>
          <w:p>
            <w:pPr>
              <w:ind w:left="40" w:leftChars="19"/>
              <w:rPr>
                <w:rFonts w:ascii="宋体" w:hAnsi="宋体"/>
                <w:kern w:val="28"/>
                <w:highlight w:val="none"/>
              </w:rPr>
            </w:pPr>
            <w:r>
              <w:rPr>
                <w:rFonts w:hint="eastAsia" w:ascii="宋体" w:hAnsi="宋体"/>
                <w:kern w:val="28"/>
                <w:highlight w:val="none"/>
              </w:rPr>
              <w:t>（以上三种形式的资料提供任何一种即可）</w:t>
            </w:r>
          </w:p>
        </w:tc>
        <w:tc>
          <w:tcPr>
            <w:tcW w:w="937" w:type="dxa"/>
          </w:tcPr>
          <w:p>
            <w:pPr>
              <w:tabs>
                <w:tab w:val="left" w:pos="686"/>
                <w:tab w:val="left" w:pos="1030"/>
              </w:tabs>
              <w:spacing w:before="40" w:after="40"/>
              <w:rPr>
                <w:rFonts w:ascii="宋体" w:hAnsi="宋体"/>
                <w:highlight w:val="none"/>
              </w:rPr>
            </w:pPr>
          </w:p>
        </w:tc>
        <w:tc>
          <w:tcPr>
            <w:tcW w:w="975" w:type="dxa"/>
            <w:vAlign w:val="center"/>
          </w:tcPr>
          <w:p>
            <w:pPr>
              <w:spacing w:before="40" w:after="40"/>
              <w:rPr>
                <w:rFonts w:ascii="宋体" w:hAnsi="宋体"/>
                <w:b/>
                <w:highlight w:val="none"/>
              </w:rPr>
            </w:pPr>
          </w:p>
        </w:tc>
        <w:tc>
          <w:tcPr>
            <w:tcW w:w="938" w:type="dxa"/>
            <w:vAlign w:val="center"/>
          </w:tcPr>
          <w:p>
            <w:pPr>
              <w:spacing w:before="40" w:after="40"/>
              <w:rPr>
                <w:rFonts w:ascii="宋体" w:hAnsi="宋体"/>
                <w:b/>
                <w:highlight w:val="none"/>
              </w:rPr>
            </w:pPr>
          </w:p>
        </w:tc>
        <w:tc>
          <w:tcPr>
            <w:tcW w:w="847" w:type="dxa"/>
            <w:vAlign w:val="center"/>
          </w:tcPr>
          <w:p>
            <w:pPr>
              <w:spacing w:before="40" w:after="40"/>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highlight w:val="none"/>
              </w:rPr>
            </w:pPr>
            <w:r>
              <w:rPr>
                <w:rFonts w:hint="eastAsia" w:ascii="宋体" w:hAnsi="宋体"/>
                <w:bCs/>
                <w:highlight w:val="none"/>
              </w:rPr>
              <w:t>1.3</w:t>
            </w:r>
          </w:p>
        </w:tc>
        <w:tc>
          <w:tcPr>
            <w:tcW w:w="5248" w:type="dxa"/>
            <w:gridSpan w:val="2"/>
            <w:vAlign w:val="center"/>
          </w:tcPr>
          <w:p>
            <w:pPr>
              <w:ind w:left="40" w:leftChars="19"/>
              <w:rPr>
                <w:rFonts w:ascii="宋体" w:hAnsi="宋体"/>
                <w:kern w:val="28"/>
                <w:highlight w:val="none"/>
              </w:rPr>
            </w:pPr>
            <w:r>
              <w:rPr>
                <w:rFonts w:hint="eastAsia" w:ascii="宋体" w:hAnsi="宋体"/>
                <w:kern w:val="28"/>
                <w:highlight w:val="none"/>
              </w:rPr>
              <w:t>磋商会议日期前十二个月任意一个月缴税凭据（复印件加盖响应供应商公章）（依法免税的响应供应商应提供相应文件证明）；</w:t>
            </w:r>
          </w:p>
        </w:tc>
        <w:tc>
          <w:tcPr>
            <w:tcW w:w="937" w:type="dxa"/>
          </w:tcPr>
          <w:p>
            <w:pPr>
              <w:tabs>
                <w:tab w:val="left" w:pos="686"/>
                <w:tab w:val="left" w:pos="1030"/>
              </w:tabs>
              <w:spacing w:before="40" w:after="40"/>
              <w:rPr>
                <w:rFonts w:ascii="宋体" w:hAnsi="宋体"/>
                <w:highlight w:val="none"/>
              </w:rPr>
            </w:pPr>
          </w:p>
        </w:tc>
        <w:tc>
          <w:tcPr>
            <w:tcW w:w="975" w:type="dxa"/>
            <w:vAlign w:val="center"/>
          </w:tcPr>
          <w:p>
            <w:pPr>
              <w:spacing w:before="40" w:after="40"/>
              <w:rPr>
                <w:rFonts w:ascii="宋体" w:hAnsi="宋体"/>
                <w:b/>
                <w:highlight w:val="none"/>
              </w:rPr>
            </w:pPr>
          </w:p>
        </w:tc>
        <w:tc>
          <w:tcPr>
            <w:tcW w:w="938" w:type="dxa"/>
            <w:vAlign w:val="center"/>
          </w:tcPr>
          <w:p>
            <w:pPr>
              <w:spacing w:before="40" w:after="40"/>
              <w:rPr>
                <w:rFonts w:ascii="宋体" w:hAnsi="宋体"/>
                <w:b/>
                <w:highlight w:val="none"/>
              </w:rPr>
            </w:pPr>
          </w:p>
        </w:tc>
        <w:tc>
          <w:tcPr>
            <w:tcW w:w="847" w:type="dxa"/>
            <w:vAlign w:val="center"/>
          </w:tcPr>
          <w:p>
            <w:pPr>
              <w:spacing w:before="40" w:after="40"/>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highlight w:val="none"/>
              </w:rPr>
            </w:pPr>
            <w:r>
              <w:rPr>
                <w:rFonts w:hint="eastAsia" w:ascii="宋体" w:hAnsi="宋体"/>
                <w:bCs/>
                <w:highlight w:val="none"/>
              </w:rPr>
              <w:t>1.4</w:t>
            </w:r>
          </w:p>
        </w:tc>
        <w:tc>
          <w:tcPr>
            <w:tcW w:w="5248" w:type="dxa"/>
            <w:gridSpan w:val="2"/>
            <w:vAlign w:val="center"/>
          </w:tcPr>
          <w:p>
            <w:pPr>
              <w:ind w:left="40" w:leftChars="19"/>
              <w:rPr>
                <w:rFonts w:ascii="宋体" w:hAnsi="宋体"/>
                <w:kern w:val="28"/>
                <w:highlight w:val="none"/>
              </w:rPr>
            </w:pPr>
            <w:r>
              <w:rPr>
                <w:rFonts w:hint="eastAsia" w:ascii="宋体" w:hAnsi="宋体"/>
                <w:kern w:val="28"/>
                <w:highlight w:val="none"/>
              </w:rPr>
              <w:t>磋商会议日期前十二个月任意一个月缴纳社会保险的凭据（专用收据或社会保险缴纳清单或其他证明材料）（复印件加盖响应供应商公章）（依法不需要缴纳社会保障资金的响应供应商应提供相应文件证明）；</w:t>
            </w:r>
          </w:p>
        </w:tc>
        <w:tc>
          <w:tcPr>
            <w:tcW w:w="937" w:type="dxa"/>
          </w:tcPr>
          <w:p>
            <w:pPr>
              <w:tabs>
                <w:tab w:val="left" w:pos="686"/>
                <w:tab w:val="left" w:pos="1030"/>
              </w:tabs>
              <w:spacing w:before="40" w:after="40"/>
              <w:rPr>
                <w:rFonts w:ascii="宋体" w:hAnsi="宋体"/>
                <w:highlight w:val="none"/>
              </w:rPr>
            </w:pPr>
          </w:p>
        </w:tc>
        <w:tc>
          <w:tcPr>
            <w:tcW w:w="975" w:type="dxa"/>
            <w:vAlign w:val="center"/>
          </w:tcPr>
          <w:p>
            <w:pPr>
              <w:spacing w:before="40" w:after="40"/>
              <w:rPr>
                <w:rFonts w:ascii="宋体" w:hAnsi="宋体"/>
                <w:b/>
                <w:highlight w:val="none"/>
              </w:rPr>
            </w:pPr>
          </w:p>
        </w:tc>
        <w:tc>
          <w:tcPr>
            <w:tcW w:w="938" w:type="dxa"/>
            <w:vAlign w:val="center"/>
          </w:tcPr>
          <w:p>
            <w:pPr>
              <w:spacing w:before="40" w:after="40"/>
              <w:rPr>
                <w:rFonts w:ascii="宋体" w:hAnsi="宋体"/>
                <w:b/>
                <w:highlight w:val="none"/>
              </w:rPr>
            </w:pPr>
          </w:p>
        </w:tc>
        <w:tc>
          <w:tcPr>
            <w:tcW w:w="847" w:type="dxa"/>
            <w:vAlign w:val="center"/>
          </w:tcPr>
          <w:p>
            <w:pPr>
              <w:spacing w:before="40" w:after="40"/>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highlight w:val="none"/>
              </w:rPr>
            </w:pPr>
            <w:r>
              <w:rPr>
                <w:rFonts w:hint="eastAsia" w:ascii="宋体" w:hAnsi="宋体"/>
                <w:bCs/>
                <w:highlight w:val="none"/>
              </w:rPr>
              <w:t>1.5</w:t>
            </w:r>
          </w:p>
        </w:tc>
        <w:tc>
          <w:tcPr>
            <w:tcW w:w="5248" w:type="dxa"/>
            <w:gridSpan w:val="2"/>
            <w:vAlign w:val="center"/>
          </w:tcPr>
          <w:p>
            <w:pPr>
              <w:rPr>
                <w:rFonts w:ascii="宋体" w:hAnsi="宋体"/>
                <w:kern w:val="28"/>
                <w:highlight w:val="none"/>
              </w:rPr>
            </w:pPr>
            <w:r>
              <w:rPr>
                <w:rFonts w:hint="eastAsia" w:ascii="宋体" w:hAnsi="宋体"/>
                <w:kern w:val="28"/>
                <w:highlight w:val="none"/>
              </w:rPr>
              <w:t>供应商未被列入“信用中国”网站(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kern w:val="28"/>
                <w:highlight w:val="none"/>
              </w:rPr>
              <w:t>www.creditchina.gov.cn</w:t>
            </w:r>
            <w:r>
              <w:rPr>
                <w:rFonts w:hint="eastAsia" w:ascii="宋体" w:hAnsi="宋体"/>
                <w:kern w:val="28"/>
                <w:highlight w:val="none"/>
              </w:rPr>
              <w:fldChar w:fldCharType="end"/>
            </w:r>
            <w:r>
              <w:rPr>
                <w:rFonts w:hint="eastAsia" w:ascii="宋体" w:hAnsi="宋体"/>
                <w:kern w:val="28"/>
                <w:highlight w:val="none"/>
              </w:rPr>
              <w:t>)“失信被执行人或重大税收违法失信主体或政府采购严重违法失信行为”记录名单；不处于中国政府采购网(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kern w:val="28"/>
                <w:highlight w:val="none"/>
              </w:rPr>
              <w:t>www.ccgp.gov.cn</w:t>
            </w:r>
            <w:r>
              <w:rPr>
                <w:rFonts w:hint="eastAsia" w:ascii="宋体" w:hAnsi="宋体"/>
                <w:kern w:val="28"/>
                <w:highlight w:val="none"/>
              </w:rPr>
              <w:fldChar w:fldCharType="end"/>
            </w:r>
            <w:r>
              <w:rPr>
                <w:rFonts w:hint="eastAsia" w:ascii="宋体" w:hAnsi="宋体"/>
                <w:kern w:val="28"/>
                <w:highlight w:val="none"/>
              </w:rPr>
              <w:t>)“政府采购严重违法失信行为记录名单”中的禁止参加政府采购活动期间。（以采购代理机构响应截止日当天在“信用中国”网站（www.creditchina.gov.cn）及中国政府采购网(www.ccgp.gov.cn)查询结果为准。）。</w:t>
            </w:r>
          </w:p>
        </w:tc>
        <w:tc>
          <w:tcPr>
            <w:tcW w:w="937" w:type="dxa"/>
          </w:tcPr>
          <w:p>
            <w:pPr>
              <w:tabs>
                <w:tab w:val="left" w:pos="686"/>
                <w:tab w:val="left" w:pos="1030"/>
              </w:tabs>
              <w:spacing w:before="40" w:after="40"/>
              <w:rPr>
                <w:rFonts w:ascii="宋体" w:hAnsi="宋体"/>
                <w:highlight w:val="none"/>
              </w:rPr>
            </w:pPr>
          </w:p>
        </w:tc>
        <w:tc>
          <w:tcPr>
            <w:tcW w:w="975" w:type="dxa"/>
            <w:vAlign w:val="center"/>
          </w:tcPr>
          <w:p>
            <w:pPr>
              <w:spacing w:before="40" w:after="40"/>
              <w:rPr>
                <w:rFonts w:ascii="宋体" w:hAnsi="宋体"/>
                <w:b/>
                <w:highlight w:val="none"/>
              </w:rPr>
            </w:pPr>
          </w:p>
        </w:tc>
        <w:tc>
          <w:tcPr>
            <w:tcW w:w="938" w:type="dxa"/>
            <w:vAlign w:val="center"/>
          </w:tcPr>
          <w:p>
            <w:pPr>
              <w:spacing w:before="40" w:after="40"/>
              <w:rPr>
                <w:rFonts w:ascii="宋体" w:hAnsi="宋体"/>
                <w:b/>
                <w:highlight w:val="none"/>
              </w:rPr>
            </w:pPr>
          </w:p>
        </w:tc>
        <w:tc>
          <w:tcPr>
            <w:tcW w:w="847" w:type="dxa"/>
            <w:vAlign w:val="center"/>
          </w:tcPr>
          <w:p>
            <w:pPr>
              <w:spacing w:before="40" w:after="40"/>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07" w:type="dxa"/>
            <w:vAlign w:val="center"/>
          </w:tcPr>
          <w:p>
            <w:pPr>
              <w:jc w:val="center"/>
              <w:rPr>
                <w:rFonts w:ascii="宋体" w:hAnsi="宋体"/>
                <w:bCs/>
                <w:highlight w:val="none"/>
              </w:rPr>
            </w:pPr>
            <w:r>
              <w:rPr>
                <w:rFonts w:hint="eastAsia" w:ascii="宋体" w:hAnsi="宋体"/>
                <w:bCs/>
                <w:highlight w:val="none"/>
              </w:rPr>
              <w:t>2</w:t>
            </w:r>
          </w:p>
        </w:tc>
        <w:tc>
          <w:tcPr>
            <w:tcW w:w="5248" w:type="dxa"/>
            <w:gridSpan w:val="2"/>
            <w:vAlign w:val="center"/>
          </w:tcPr>
          <w:p>
            <w:pPr>
              <w:ind w:left="40" w:leftChars="19"/>
              <w:rPr>
                <w:rFonts w:hint="eastAsia" w:eastAsia="宋体" w:cs="宋体"/>
                <w:highlight w:val="none"/>
                <w:lang w:val="en-GB"/>
              </w:rPr>
            </w:pPr>
            <w:r>
              <w:rPr>
                <w:rFonts w:hint="eastAsia" w:eastAsia="宋体" w:cs="宋体"/>
                <w:highlight w:val="none"/>
                <w:lang w:val="en-GB"/>
              </w:rPr>
              <w:t>保证金汇款声明函/保函（格式）（若提交保函，应于响应文件递交截止时间前将保函扫描件发送至采购代理机构指定邮箱）。</w:t>
            </w:r>
          </w:p>
        </w:tc>
        <w:tc>
          <w:tcPr>
            <w:tcW w:w="937" w:type="dxa"/>
          </w:tcPr>
          <w:p>
            <w:pPr>
              <w:tabs>
                <w:tab w:val="left" w:pos="686"/>
                <w:tab w:val="left" w:pos="1030"/>
              </w:tabs>
              <w:spacing w:before="40" w:after="40"/>
              <w:rPr>
                <w:rFonts w:ascii="宋体" w:hAnsi="宋体"/>
                <w:highlight w:val="none"/>
              </w:rPr>
            </w:pPr>
          </w:p>
        </w:tc>
        <w:tc>
          <w:tcPr>
            <w:tcW w:w="975" w:type="dxa"/>
            <w:vAlign w:val="center"/>
          </w:tcPr>
          <w:p>
            <w:pPr>
              <w:spacing w:before="40" w:after="40"/>
              <w:rPr>
                <w:rFonts w:ascii="宋体" w:hAnsi="宋体"/>
                <w:b/>
                <w:highlight w:val="none"/>
              </w:rPr>
            </w:pPr>
          </w:p>
        </w:tc>
        <w:tc>
          <w:tcPr>
            <w:tcW w:w="938" w:type="dxa"/>
            <w:vAlign w:val="center"/>
          </w:tcPr>
          <w:p>
            <w:pPr>
              <w:spacing w:before="40" w:after="40"/>
              <w:rPr>
                <w:rFonts w:ascii="宋体" w:hAnsi="宋体"/>
                <w:b/>
                <w:highlight w:val="none"/>
              </w:rPr>
            </w:pPr>
          </w:p>
        </w:tc>
        <w:tc>
          <w:tcPr>
            <w:tcW w:w="847" w:type="dxa"/>
            <w:vAlign w:val="center"/>
          </w:tcPr>
          <w:p>
            <w:pPr>
              <w:spacing w:before="40" w:after="40"/>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highlight w:val="none"/>
              </w:rPr>
            </w:pPr>
            <w:r>
              <w:rPr>
                <w:rFonts w:hint="eastAsia" w:ascii="宋体" w:hAnsi="宋体"/>
                <w:bCs/>
                <w:highlight w:val="none"/>
              </w:rPr>
              <w:t>3</w:t>
            </w:r>
          </w:p>
        </w:tc>
        <w:tc>
          <w:tcPr>
            <w:tcW w:w="5248" w:type="dxa"/>
            <w:gridSpan w:val="2"/>
            <w:vAlign w:val="center"/>
          </w:tcPr>
          <w:p>
            <w:pPr>
              <w:ind w:left="40" w:leftChars="19"/>
              <w:rPr>
                <w:rFonts w:hint="eastAsia" w:eastAsia="宋体" w:cs="宋体"/>
                <w:highlight w:val="none"/>
                <w:lang w:val="en-GB"/>
              </w:rPr>
            </w:pPr>
            <w:r>
              <w:rPr>
                <w:rFonts w:hint="eastAsia" w:eastAsia="宋体" w:cs="宋体"/>
                <w:highlight w:val="none"/>
                <w:lang w:val="en-GB"/>
              </w:rPr>
              <w:t>法定代表人授权书（法定代表人直接参加磋商会议须提交法定代表人证明书）（格式）。</w:t>
            </w:r>
          </w:p>
        </w:tc>
        <w:tc>
          <w:tcPr>
            <w:tcW w:w="937" w:type="dxa"/>
          </w:tcPr>
          <w:p>
            <w:pPr>
              <w:tabs>
                <w:tab w:val="left" w:pos="686"/>
                <w:tab w:val="left" w:pos="1030"/>
              </w:tabs>
              <w:spacing w:before="40" w:after="40"/>
              <w:rPr>
                <w:rFonts w:ascii="宋体" w:hAnsi="宋体"/>
                <w:highlight w:val="none"/>
              </w:rPr>
            </w:pPr>
          </w:p>
        </w:tc>
        <w:tc>
          <w:tcPr>
            <w:tcW w:w="975" w:type="dxa"/>
            <w:vAlign w:val="center"/>
          </w:tcPr>
          <w:p>
            <w:pPr>
              <w:spacing w:before="40" w:after="40"/>
              <w:rPr>
                <w:rFonts w:ascii="宋体" w:hAnsi="宋体"/>
                <w:b/>
                <w:highlight w:val="none"/>
              </w:rPr>
            </w:pPr>
          </w:p>
        </w:tc>
        <w:tc>
          <w:tcPr>
            <w:tcW w:w="938" w:type="dxa"/>
            <w:vAlign w:val="center"/>
          </w:tcPr>
          <w:p>
            <w:pPr>
              <w:spacing w:before="40" w:after="40"/>
              <w:rPr>
                <w:rFonts w:ascii="宋体" w:hAnsi="宋体"/>
                <w:b/>
                <w:highlight w:val="none"/>
              </w:rPr>
            </w:pPr>
          </w:p>
        </w:tc>
        <w:tc>
          <w:tcPr>
            <w:tcW w:w="847" w:type="dxa"/>
            <w:vAlign w:val="center"/>
          </w:tcPr>
          <w:p>
            <w:pPr>
              <w:spacing w:before="40" w:after="40"/>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pPr>
              <w:jc w:val="center"/>
              <w:rPr>
                <w:rFonts w:ascii="宋体" w:hAnsi="宋体"/>
                <w:bCs/>
                <w:highlight w:val="none"/>
              </w:rPr>
            </w:pPr>
            <w:r>
              <w:rPr>
                <w:rFonts w:hint="eastAsia" w:ascii="宋体" w:hAnsi="宋体"/>
                <w:bCs/>
                <w:highlight w:val="none"/>
              </w:rPr>
              <w:t>4</w:t>
            </w:r>
          </w:p>
        </w:tc>
        <w:tc>
          <w:tcPr>
            <w:tcW w:w="5248" w:type="dxa"/>
            <w:gridSpan w:val="2"/>
            <w:vAlign w:val="center"/>
          </w:tcPr>
          <w:p>
            <w:pPr>
              <w:ind w:left="40" w:leftChars="19"/>
              <w:rPr>
                <w:rFonts w:hint="eastAsia" w:eastAsia="宋体" w:cs="宋体"/>
                <w:highlight w:val="none"/>
                <w:lang w:val="en-GB"/>
              </w:rPr>
            </w:pPr>
            <w:r>
              <w:rPr>
                <w:rFonts w:hint="eastAsia" w:eastAsia="宋体" w:cs="宋体"/>
                <w:highlight w:val="none"/>
                <w:lang w:val="en-GB"/>
              </w:rPr>
              <w:t>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tc>
        <w:tc>
          <w:tcPr>
            <w:tcW w:w="937" w:type="dxa"/>
          </w:tcPr>
          <w:p>
            <w:pPr>
              <w:tabs>
                <w:tab w:val="left" w:pos="686"/>
                <w:tab w:val="left" w:pos="1030"/>
              </w:tabs>
              <w:spacing w:before="40" w:after="40"/>
              <w:rPr>
                <w:rFonts w:ascii="宋体" w:hAnsi="宋体"/>
                <w:highlight w:val="none"/>
              </w:rPr>
            </w:pPr>
          </w:p>
        </w:tc>
        <w:tc>
          <w:tcPr>
            <w:tcW w:w="975" w:type="dxa"/>
            <w:vAlign w:val="center"/>
          </w:tcPr>
          <w:p>
            <w:pPr>
              <w:spacing w:before="40" w:after="40"/>
              <w:rPr>
                <w:rFonts w:ascii="宋体" w:hAnsi="宋体"/>
                <w:b/>
                <w:highlight w:val="none"/>
              </w:rPr>
            </w:pPr>
          </w:p>
        </w:tc>
        <w:tc>
          <w:tcPr>
            <w:tcW w:w="938" w:type="dxa"/>
            <w:vAlign w:val="center"/>
          </w:tcPr>
          <w:p>
            <w:pPr>
              <w:spacing w:before="40" w:after="40"/>
              <w:rPr>
                <w:rFonts w:ascii="宋体" w:hAnsi="宋体"/>
                <w:b/>
                <w:highlight w:val="none"/>
              </w:rPr>
            </w:pPr>
          </w:p>
        </w:tc>
        <w:tc>
          <w:tcPr>
            <w:tcW w:w="847" w:type="dxa"/>
            <w:vAlign w:val="center"/>
          </w:tcPr>
          <w:p>
            <w:pPr>
              <w:spacing w:before="40" w:after="40"/>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55" w:type="dxa"/>
            <w:gridSpan w:val="3"/>
            <w:vAlign w:val="center"/>
          </w:tcPr>
          <w:p>
            <w:pPr>
              <w:spacing w:before="40" w:after="40" w:line="360" w:lineRule="auto"/>
              <w:jc w:val="center"/>
              <w:rPr>
                <w:rFonts w:ascii="宋体" w:hAnsi="宋体"/>
                <w:b/>
                <w:highlight w:val="none"/>
              </w:rPr>
            </w:pPr>
            <w:r>
              <w:rPr>
                <w:rFonts w:hint="eastAsia" w:ascii="宋体" w:hAnsi="宋体"/>
                <w:bCs/>
                <w:highlight w:val="none"/>
              </w:rPr>
              <w:t>结  论</w:t>
            </w:r>
          </w:p>
        </w:tc>
        <w:tc>
          <w:tcPr>
            <w:tcW w:w="937" w:type="dxa"/>
            <w:vAlign w:val="center"/>
          </w:tcPr>
          <w:p>
            <w:pPr>
              <w:spacing w:before="40" w:after="40" w:line="360" w:lineRule="auto"/>
              <w:rPr>
                <w:rFonts w:ascii="宋体" w:hAnsi="宋体"/>
                <w:b/>
                <w:highlight w:val="none"/>
              </w:rPr>
            </w:pPr>
          </w:p>
        </w:tc>
        <w:tc>
          <w:tcPr>
            <w:tcW w:w="975" w:type="dxa"/>
            <w:vAlign w:val="center"/>
          </w:tcPr>
          <w:p>
            <w:pPr>
              <w:spacing w:before="40" w:after="40" w:line="360" w:lineRule="auto"/>
              <w:rPr>
                <w:rFonts w:ascii="宋体" w:hAnsi="宋体"/>
                <w:b/>
                <w:highlight w:val="none"/>
              </w:rPr>
            </w:pPr>
          </w:p>
        </w:tc>
        <w:tc>
          <w:tcPr>
            <w:tcW w:w="938" w:type="dxa"/>
            <w:vAlign w:val="center"/>
          </w:tcPr>
          <w:p>
            <w:pPr>
              <w:spacing w:before="40" w:after="40" w:line="360" w:lineRule="auto"/>
              <w:rPr>
                <w:rFonts w:ascii="宋体" w:hAnsi="宋体"/>
                <w:b/>
                <w:highlight w:val="none"/>
              </w:rPr>
            </w:pPr>
          </w:p>
        </w:tc>
        <w:tc>
          <w:tcPr>
            <w:tcW w:w="847" w:type="dxa"/>
            <w:vAlign w:val="center"/>
          </w:tcPr>
          <w:p>
            <w:pPr>
              <w:spacing w:before="40" w:after="40" w:line="360" w:lineRule="auto"/>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9" w:type="dxa"/>
            <w:gridSpan w:val="2"/>
            <w:vAlign w:val="center"/>
          </w:tcPr>
          <w:p>
            <w:pPr>
              <w:jc w:val="center"/>
              <w:rPr>
                <w:rFonts w:ascii="宋体" w:hAnsi="宋体"/>
                <w:highlight w:val="none"/>
              </w:rPr>
            </w:pPr>
            <w:r>
              <w:rPr>
                <w:rFonts w:hint="eastAsia" w:ascii="宋体" w:hAnsi="宋体"/>
                <w:highlight w:val="none"/>
              </w:rPr>
              <w:t>不通过原因说明</w:t>
            </w:r>
          </w:p>
        </w:tc>
        <w:tc>
          <w:tcPr>
            <w:tcW w:w="8403" w:type="dxa"/>
            <w:gridSpan w:val="5"/>
            <w:vAlign w:val="center"/>
          </w:tcPr>
          <w:p>
            <w:pPr>
              <w:spacing w:before="40" w:after="40" w:line="360" w:lineRule="auto"/>
              <w:rPr>
                <w:rFonts w:ascii="宋体" w:hAnsi="宋体"/>
                <w:b/>
                <w:highlight w:val="none"/>
              </w:rPr>
            </w:pPr>
          </w:p>
        </w:tc>
      </w:tr>
    </w:tbl>
    <w:p>
      <w:pPr>
        <w:spacing w:before="120" w:line="360" w:lineRule="auto"/>
        <w:ind w:firstLine="420" w:firstLineChars="200"/>
        <w:rPr>
          <w:rFonts w:ascii="宋体" w:hAnsi="宋体"/>
          <w:highlight w:val="none"/>
        </w:rPr>
      </w:pPr>
      <w:r>
        <w:rPr>
          <w:rFonts w:hint="eastAsia" w:ascii="宋体" w:hAnsi="宋体"/>
          <w:highlight w:val="none"/>
        </w:rPr>
        <w:t>1.审查人员对响应供应商是否满足要求逐条标注评审意见，“是”标记为“</w:t>
      </w:r>
      <w:r>
        <w:rPr>
          <w:rFonts w:ascii="Arial" w:hAnsi="Arial" w:cs="Arial"/>
          <w:highlight w:val="none"/>
        </w:rPr>
        <w:t>√</w:t>
      </w:r>
      <w:r>
        <w:rPr>
          <w:rFonts w:hint="eastAsia" w:ascii="宋体" w:hAnsi="宋体"/>
          <w:highlight w:val="none"/>
        </w:rPr>
        <w:t>”，“否”标记为“×”；</w:t>
      </w:r>
    </w:p>
    <w:p>
      <w:pPr>
        <w:spacing w:before="120" w:line="360" w:lineRule="auto"/>
        <w:ind w:firstLine="420" w:firstLineChars="200"/>
        <w:rPr>
          <w:rFonts w:ascii="宋体" w:hAnsi="宋体"/>
          <w:highlight w:val="none"/>
        </w:rPr>
      </w:pPr>
      <w:r>
        <w:rPr>
          <w:rFonts w:hint="eastAsia" w:ascii="宋体" w:hAnsi="宋体"/>
          <w:highlight w:val="none"/>
        </w:rPr>
        <w:t>2.评审结论栏统一填写为“通过”或“不通过”，出现一个“×”为“不通过”；</w:t>
      </w:r>
    </w:p>
    <w:p>
      <w:pPr>
        <w:spacing w:before="120" w:line="360" w:lineRule="auto"/>
        <w:ind w:firstLine="420" w:firstLineChars="200"/>
        <w:rPr>
          <w:highlight w:val="none"/>
        </w:rPr>
      </w:pPr>
      <w:r>
        <w:rPr>
          <w:rFonts w:hint="eastAsia" w:ascii="宋体" w:hAnsi="宋体"/>
          <w:highlight w:val="none"/>
        </w:rPr>
        <w:t>3.对结论为“不通过”的响应，要说明原因。</w:t>
      </w:r>
    </w:p>
    <w:p>
      <w:pPr>
        <w:outlineLvl w:val="1"/>
        <w:rPr>
          <w:rFonts w:eastAsia="黑体"/>
          <w:b/>
          <w:sz w:val="18"/>
          <w:szCs w:val="18"/>
          <w:highlight w:val="none"/>
        </w:rPr>
      </w:pPr>
      <w:r>
        <w:rPr>
          <w:rFonts w:hint="eastAsia" w:ascii="黑体" w:hAnsi="仿宋" w:eastAsia="黑体" w:cs="黑体"/>
          <w:b/>
          <w:bCs/>
          <w:sz w:val="24"/>
          <w:highlight w:val="none"/>
        </w:rPr>
        <w:br w:type="page"/>
      </w:r>
      <w:bookmarkStart w:id="145" w:name="_Toc1955"/>
      <w:bookmarkStart w:id="146" w:name="_Toc11597"/>
      <w:bookmarkStart w:id="147" w:name="_Toc17156"/>
      <w:r>
        <w:rPr>
          <w:rFonts w:hint="eastAsia" w:ascii="黑体" w:hAnsi="仿宋" w:eastAsia="黑体" w:cs="黑体"/>
          <w:b/>
          <w:bCs/>
          <w:sz w:val="24"/>
          <w:highlight w:val="none"/>
        </w:rPr>
        <w:t>附表2：《符合性审查表》</w:t>
      </w:r>
      <w:bookmarkEnd w:id="145"/>
      <w:bookmarkEnd w:id="146"/>
      <w:bookmarkEnd w:id="147"/>
    </w:p>
    <w:p>
      <w:pPr>
        <w:rPr>
          <w:b/>
          <w:sz w:val="18"/>
          <w:szCs w:val="18"/>
          <w:highlight w:val="none"/>
        </w:rPr>
      </w:pPr>
    </w:p>
    <w:p>
      <w:pPr>
        <w:spacing w:line="360" w:lineRule="auto"/>
        <w:jc w:val="center"/>
        <w:rPr>
          <w:highlight w:val="none"/>
        </w:rPr>
      </w:pPr>
      <w:r>
        <w:rPr>
          <w:rFonts w:hint="eastAsia" w:ascii="黑体" w:hAnsi="仿宋" w:eastAsia="黑体" w:cs="黑体"/>
          <w:sz w:val="32"/>
          <w:szCs w:val="32"/>
          <w:highlight w:val="none"/>
        </w:rPr>
        <w:t>符合性审查表</w:t>
      </w:r>
    </w:p>
    <w:tbl>
      <w:tblPr>
        <w:tblStyle w:val="23"/>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jc w:val="center"/>
        </w:trPr>
        <w:tc>
          <w:tcPr>
            <w:tcW w:w="730" w:type="dxa"/>
            <w:vAlign w:val="center"/>
          </w:tcPr>
          <w:p>
            <w:pPr>
              <w:jc w:val="center"/>
              <w:rPr>
                <w:rFonts w:ascii="黑体" w:hAnsi="黑体" w:eastAsia="黑体" w:cs="黑体"/>
                <w:b/>
                <w:highlight w:val="none"/>
              </w:rPr>
            </w:pPr>
            <w:r>
              <w:rPr>
                <w:rFonts w:hint="eastAsia" w:ascii="黑体" w:hAnsi="黑体" w:eastAsia="黑体" w:cs="黑体"/>
                <w:b/>
                <w:highlight w:val="none"/>
              </w:rPr>
              <w:t>序号</w:t>
            </w:r>
          </w:p>
        </w:tc>
        <w:tc>
          <w:tcPr>
            <w:tcW w:w="4968" w:type="dxa"/>
            <w:gridSpan w:val="2"/>
            <w:tcBorders>
              <w:tl2br w:val="single" w:color="auto" w:sz="4" w:space="0"/>
            </w:tcBorders>
            <w:vAlign w:val="center"/>
          </w:tcPr>
          <w:p>
            <w:pPr>
              <w:jc w:val="right"/>
              <w:rPr>
                <w:rFonts w:ascii="黑体" w:hAnsi="黑体" w:eastAsia="黑体" w:cs="黑体"/>
                <w:b/>
                <w:highlight w:val="none"/>
              </w:rPr>
            </w:pPr>
            <w:r>
              <w:rPr>
                <w:rFonts w:hint="eastAsia" w:ascii="黑体" w:hAnsi="黑体" w:eastAsia="黑体" w:cs="黑体"/>
                <w:b/>
                <w:highlight w:val="none"/>
              </w:rPr>
              <w:t>响应供应商</w:t>
            </w:r>
          </w:p>
          <w:p>
            <w:pPr>
              <w:rPr>
                <w:rFonts w:ascii="黑体" w:hAnsi="黑体" w:eastAsia="黑体" w:cs="黑体"/>
                <w:highlight w:val="none"/>
              </w:rPr>
            </w:pPr>
            <w:r>
              <w:rPr>
                <w:rFonts w:hint="eastAsia" w:ascii="黑体" w:hAnsi="黑体" w:eastAsia="黑体" w:cs="黑体"/>
                <w:b/>
                <w:highlight w:val="none"/>
              </w:rPr>
              <w:t>响应有效性审查项</w:t>
            </w:r>
          </w:p>
        </w:tc>
        <w:tc>
          <w:tcPr>
            <w:tcW w:w="995" w:type="dxa"/>
            <w:vAlign w:val="center"/>
          </w:tcPr>
          <w:p>
            <w:pPr>
              <w:jc w:val="center"/>
              <w:rPr>
                <w:rFonts w:ascii="黑体" w:hAnsi="黑体" w:eastAsia="黑体" w:cs="黑体"/>
                <w:highlight w:val="none"/>
              </w:rPr>
            </w:pPr>
            <w:r>
              <w:rPr>
                <w:rFonts w:hint="eastAsia" w:ascii="黑体" w:hAnsi="黑体" w:eastAsia="黑体" w:cs="黑体"/>
                <w:highlight w:val="none"/>
              </w:rPr>
              <w:t>A响应供应商</w:t>
            </w:r>
          </w:p>
        </w:tc>
        <w:tc>
          <w:tcPr>
            <w:tcW w:w="995" w:type="dxa"/>
            <w:vAlign w:val="center"/>
          </w:tcPr>
          <w:p>
            <w:pPr>
              <w:jc w:val="center"/>
              <w:rPr>
                <w:rFonts w:ascii="黑体" w:hAnsi="黑体" w:eastAsia="黑体" w:cs="黑体"/>
                <w:highlight w:val="none"/>
              </w:rPr>
            </w:pPr>
            <w:r>
              <w:rPr>
                <w:rFonts w:hint="eastAsia" w:ascii="黑体" w:hAnsi="黑体" w:eastAsia="黑体" w:cs="黑体"/>
                <w:highlight w:val="none"/>
              </w:rPr>
              <w:t>B响应供应商</w:t>
            </w:r>
          </w:p>
        </w:tc>
        <w:tc>
          <w:tcPr>
            <w:tcW w:w="995" w:type="dxa"/>
            <w:vAlign w:val="center"/>
          </w:tcPr>
          <w:p>
            <w:pPr>
              <w:tabs>
                <w:tab w:val="left" w:pos="8640"/>
              </w:tabs>
              <w:jc w:val="center"/>
              <w:rPr>
                <w:rFonts w:ascii="黑体" w:hAnsi="黑体" w:eastAsia="黑体" w:cs="黑体"/>
                <w:highlight w:val="none"/>
              </w:rPr>
            </w:pPr>
            <w:r>
              <w:rPr>
                <w:rFonts w:hint="eastAsia" w:ascii="黑体" w:hAnsi="黑体" w:eastAsia="黑体" w:cs="黑体"/>
                <w:highlight w:val="none"/>
              </w:rPr>
              <w:t>C响应供应商</w:t>
            </w:r>
          </w:p>
        </w:tc>
        <w:tc>
          <w:tcPr>
            <w:tcW w:w="992" w:type="dxa"/>
            <w:vAlign w:val="center"/>
          </w:tcPr>
          <w:p>
            <w:pPr>
              <w:jc w:val="center"/>
              <w:rPr>
                <w:rFonts w:ascii="黑体" w:hAnsi="黑体" w:eastAsia="黑体" w:cs="黑体"/>
                <w:highlight w:val="none"/>
              </w:rPr>
            </w:pPr>
            <w:r>
              <w:rPr>
                <w:rFonts w:hint="eastAsia" w:ascii="黑体" w:hAnsi="黑体" w:eastAsia="黑体" w:cs="黑体"/>
                <w:highlight w:val="none"/>
              </w:rPr>
              <w:t>D响应供应商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Align w:val="center"/>
          </w:tcPr>
          <w:p>
            <w:pPr>
              <w:jc w:val="center"/>
              <w:rPr>
                <w:rFonts w:ascii="宋体" w:hAnsi="宋体"/>
                <w:bCs/>
                <w:highlight w:val="none"/>
              </w:rPr>
            </w:pPr>
            <w:r>
              <w:rPr>
                <w:rFonts w:hint="eastAsia" w:ascii="宋体" w:hAnsi="宋体"/>
                <w:bCs/>
                <w:highlight w:val="none"/>
              </w:rPr>
              <w:t>1</w:t>
            </w:r>
          </w:p>
        </w:tc>
        <w:tc>
          <w:tcPr>
            <w:tcW w:w="4968" w:type="dxa"/>
            <w:gridSpan w:val="2"/>
            <w:vAlign w:val="center"/>
          </w:tcPr>
          <w:p>
            <w:pPr>
              <w:rPr>
                <w:highlight w:val="none"/>
              </w:rPr>
            </w:pPr>
            <w:r>
              <w:rPr>
                <w:rFonts w:hint="eastAsia"/>
                <w:highlight w:val="none"/>
              </w:rPr>
              <w:t>响应文件语言及有效期符合磋商文件要求。</w:t>
            </w:r>
          </w:p>
        </w:tc>
        <w:tc>
          <w:tcPr>
            <w:tcW w:w="995" w:type="dxa"/>
          </w:tcPr>
          <w:p>
            <w:pPr>
              <w:tabs>
                <w:tab w:val="left" w:pos="686"/>
                <w:tab w:val="left" w:pos="1030"/>
              </w:tabs>
              <w:spacing w:before="40" w:after="40"/>
              <w:rPr>
                <w:rFonts w:ascii="宋体" w:hAnsi="宋体"/>
                <w:highlight w:val="none"/>
              </w:rPr>
            </w:pPr>
          </w:p>
        </w:tc>
        <w:tc>
          <w:tcPr>
            <w:tcW w:w="995" w:type="dxa"/>
            <w:vAlign w:val="center"/>
          </w:tcPr>
          <w:p>
            <w:pPr>
              <w:spacing w:before="40" w:after="40"/>
              <w:rPr>
                <w:rFonts w:ascii="宋体" w:hAnsi="宋体"/>
                <w:b/>
                <w:highlight w:val="none"/>
              </w:rPr>
            </w:pPr>
          </w:p>
        </w:tc>
        <w:tc>
          <w:tcPr>
            <w:tcW w:w="995" w:type="dxa"/>
            <w:vAlign w:val="center"/>
          </w:tcPr>
          <w:p>
            <w:pPr>
              <w:spacing w:before="40" w:after="40"/>
              <w:rPr>
                <w:rFonts w:ascii="宋体" w:hAnsi="宋体"/>
                <w:b/>
                <w:highlight w:val="none"/>
              </w:rPr>
            </w:pPr>
          </w:p>
        </w:tc>
        <w:tc>
          <w:tcPr>
            <w:tcW w:w="992" w:type="dxa"/>
            <w:vAlign w:val="center"/>
          </w:tcPr>
          <w:p>
            <w:pPr>
              <w:spacing w:before="40" w:after="40"/>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30" w:type="dxa"/>
            <w:vAlign w:val="center"/>
          </w:tcPr>
          <w:p>
            <w:pPr>
              <w:jc w:val="center"/>
              <w:rPr>
                <w:rFonts w:ascii="宋体" w:hAnsi="宋体"/>
                <w:bCs/>
                <w:highlight w:val="none"/>
              </w:rPr>
            </w:pPr>
            <w:r>
              <w:rPr>
                <w:rFonts w:hint="eastAsia" w:ascii="宋体" w:hAnsi="宋体"/>
                <w:bCs/>
                <w:highlight w:val="none"/>
              </w:rPr>
              <w:t>2</w:t>
            </w:r>
          </w:p>
        </w:tc>
        <w:tc>
          <w:tcPr>
            <w:tcW w:w="4968" w:type="dxa"/>
            <w:gridSpan w:val="2"/>
            <w:vAlign w:val="center"/>
          </w:tcPr>
          <w:p>
            <w:pPr>
              <w:rPr>
                <w:highlight w:val="none"/>
              </w:rPr>
            </w:pPr>
            <w:r>
              <w:rPr>
                <w:rFonts w:hint="eastAsia"/>
                <w:highlight w:val="none"/>
              </w:rPr>
              <w:t>响应文件封面、响应函、法定代表人授权委托书三处的项目名称、项目编号均无遗漏，且与所投项目名称、项目编号一致。</w:t>
            </w:r>
          </w:p>
        </w:tc>
        <w:tc>
          <w:tcPr>
            <w:tcW w:w="995" w:type="dxa"/>
          </w:tcPr>
          <w:p>
            <w:pPr>
              <w:pStyle w:val="14"/>
              <w:tabs>
                <w:tab w:val="left" w:pos="686"/>
                <w:tab w:val="left" w:pos="1030"/>
              </w:tabs>
              <w:spacing w:before="40" w:after="40"/>
              <w:rPr>
                <w:rFonts w:hAnsi="宋体"/>
                <w:sz w:val="21"/>
                <w:highlight w:val="none"/>
              </w:rPr>
            </w:pPr>
          </w:p>
        </w:tc>
        <w:tc>
          <w:tcPr>
            <w:tcW w:w="995" w:type="dxa"/>
            <w:vAlign w:val="center"/>
          </w:tcPr>
          <w:p>
            <w:pPr>
              <w:spacing w:before="40" w:after="40"/>
              <w:rPr>
                <w:rFonts w:ascii="宋体" w:hAnsi="宋体"/>
                <w:highlight w:val="none"/>
              </w:rPr>
            </w:pPr>
          </w:p>
        </w:tc>
        <w:tc>
          <w:tcPr>
            <w:tcW w:w="995" w:type="dxa"/>
            <w:vAlign w:val="center"/>
          </w:tcPr>
          <w:p>
            <w:pPr>
              <w:spacing w:before="40" w:after="40"/>
              <w:rPr>
                <w:rFonts w:ascii="宋体" w:hAnsi="宋体"/>
                <w:highlight w:val="none"/>
              </w:rPr>
            </w:pPr>
          </w:p>
        </w:tc>
        <w:tc>
          <w:tcPr>
            <w:tcW w:w="992" w:type="dxa"/>
            <w:vAlign w:val="center"/>
          </w:tcPr>
          <w:p>
            <w:pPr>
              <w:spacing w:before="40" w:after="40"/>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Align w:val="center"/>
          </w:tcPr>
          <w:p>
            <w:pPr>
              <w:jc w:val="center"/>
              <w:rPr>
                <w:rFonts w:ascii="宋体" w:hAnsi="宋体"/>
                <w:bCs/>
                <w:highlight w:val="none"/>
              </w:rPr>
            </w:pPr>
            <w:r>
              <w:rPr>
                <w:rFonts w:hint="eastAsia" w:ascii="宋体" w:hAnsi="宋体"/>
                <w:bCs/>
                <w:highlight w:val="none"/>
              </w:rPr>
              <w:t>3</w:t>
            </w:r>
          </w:p>
        </w:tc>
        <w:tc>
          <w:tcPr>
            <w:tcW w:w="4968" w:type="dxa"/>
            <w:gridSpan w:val="2"/>
            <w:vAlign w:val="center"/>
          </w:tcPr>
          <w:p>
            <w:pPr>
              <w:rPr>
                <w:highlight w:val="none"/>
              </w:rPr>
            </w:pPr>
            <w:r>
              <w:rPr>
                <w:rFonts w:hint="eastAsia"/>
                <w:highlight w:val="none"/>
              </w:rPr>
              <w:t>响应文件签署、盖章均按磋商文件要求签字、盖章（评分标准中要求提供的证明材料除外）。</w:t>
            </w:r>
          </w:p>
        </w:tc>
        <w:tc>
          <w:tcPr>
            <w:tcW w:w="995" w:type="dxa"/>
          </w:tcPr>
          <w:p>
            <w:pPr>
              <w:tabs>
                <w:tab w:val="left" w:pos="686"/>
                <w:tab w:val="left" w:pos="1030"/>
              </w:tabs>
              <w:spacing w:before="40" w:after="40"/>
              <w:rPr>
                <w:rFonts w:ascii="宋体" w:hAnsi="宋体"/>
                <w:highlight w:val="none"/>
              </w:rPr>
            </w:pPr>
          </w:p>
        </w:tc>
        <w:tc>
          <w:tcPr>
            <w:tcW w:w="995" w:type="dxa"/>
            <w:vAlign w:val="center"/>
          </w:tcPr>
          <w:p>
            <w:pPr>
              <w:spacing w:before="40" w:after="40"/>
              <w:rPr>
                <w:rFonts w:ascii="宋体" w:hAnsi="宋体"/>
                <w:b/>
                <w:highlight w:val="none"/>
              </w:rPr>
            </w:pPr>
          </w:p>
        </w:tc>
        <w:tc>
          <w:tcPr>
            <w:tcW w:w="995" w:type="dxa"/>
            <w:vAlign w:val="center"/>
          </w:tcPr>
          <w:p>
            <w:pPr>
              <w:spacing w:before="40" w:after="40"/>
              <w:rPr>
                <w:rFonts w:ascii="宋体" w:hAnsi="宋体"/>
                <w:b/>
                <w:highlight w:val="none"/>
              </w:rPr>
            </w:pPr>
          </w:p>
        </w:tc>
        <w:tc>
          <w:tcPr>
            <w:tcW w:w="992" w:type="dxa"/>
            <w:vAlign w:val="center"/>
          </w:tcPr>
          <w:p>
            <w:pPr>
              <w:spacing w:before="40" w:after="40"/>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Align w:val="center"/>
          </w:tcPr>
          <w:p>
            <w:pPr>
              <w:jc w:val="center"/>
              <w:rPr>
                <w:rFonts w:ascii="宋体" w:hAnsi="宋体"/>
                <w:bCs/>
                <w:highlight w:val="none"/>
              </w:rPr>
            </w:pPr>
            <w:r>
              <w:rPr>
                <w:rFonts w:hint="eastAsia" w:ascii="宋体" w:hAnsi="宋体"/>
                <w:bCs/>
                <w:highlight w:val="none"/>
              </w:rPr>
              <w:t>4</w:t>
            </w:r>
          </w:p>
        </w:tc>
        <w:tc>
          <w:tcPr>
            <w:tcW w:w="4968" w:type="dxa"/>
            <w:gridSpan w:val="2"/>
            <w:vAlign w:val="center"/>
          </w:tcPr>
          <w:p>
            <w:pPr>
              <w:rPr>
                <w:highlight w:val="none"/>
              </w:rPr>
            </w:pPr>
            <w:r>
              <w:rPr>
                <w:rFonts w:hint="eastAsia"/>
                <w:highlight w:val="none"/>
              </w:rPr>
              <w:t>首次报价一览表填写符合要求且未超出采购预算或磋商文件规定的最高限价。</w:t>
            </w:r>
          </w:p>
        </w:tc>
        <w:tc>
          <w:tcPr>
            <w:tcW w:w="995" w:type="dxa"/>
          </w:tcPr>
          <w:p>
            <w:pPr>
              <w:tabs>
                <w:tab w:val="left" w:pos="686"/>
                <w:tab w:val="left" w:pos="1030"/>
              </w:tabs>
              <w:spacing w:before="40" w:after="40"/>
              <w:rPr>
                <w:rFonts w:ascii="宋体" w:hAnsi="宋体"/>
                <w:highlight w:val="none"/>
              </w:rPr>
            </w:pPr>
          </w:p>
        </w:tc>
        <w:tc>
          <w:tcPr>
            <w:tcW w:w="995" w:type="dxa"/>
            <w:vAlign w:val="center"/>
          </w:tcPr>
          <w:p>
            <w:pPr>
              <w:spacing w:before="40" w:after="40"/>
              <w:rPr>
                <w:rFonts w:ascii="宋体" w:hAnsi="宋体"/>
                <w:b/>
                <w:highlight w:val="none"/>
              </w:rPr>
            </w:pPr>
          </w:p>
        </w:tc>
        <w:tc>
          <w:tcPr>
            <w:tcW w:w="995" w:type="dxa"/>
            <w:vAlign w:val="center"/>
          </w:tcPr>
          <w:p>
            <w:pPr>
              <w:spacing w:before="40" w:after="40"/>
              <w:rPr>
                <w:rFonts w:ascii="宋体" w:hAnsi="宋体"/>
                <w:b/>
                <w:highlight w:val="none"/>
              </w:rPr>
            </w:pPr>
          </w:p>
        </w:tc>
        <w:tc>
          <w:tcPr>
            <w:tcW w:w="992" w:type="dxa"/>
            <w:vAlign w:val="center"/>
          </w:tcPr>
          <w:p>
            <w:pPr>
              <w:spacing w:before="40" w:after="40"/>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Align w:val="center"/>
          </w:tcPr>
          <w:p>
            <w:pPr>
              <w:jc w:val="center"/>
              <w:rPr>
                <w:rFonts w:ascii="宋体" w:hAnsi="宋体"/>
                <w:bCs/>
                <w:highlight w:val="none"/>
              </w:rPr>
            </w:pPr>
            <w:r>
              <w:rPr>
                <w:rFonts w:hint="eastAsia" w:ascii="宋体" w:hAnsi="宋体"/>
                <w:bCs/>
                <w:highlight w:val="none"/>
              </w:rPr>
              <w:t>5</w:t>
            </w:r>
          </w:p>
        </w:tc>
        <w:tc>
          <w:tcPr>
            <w:tcW w:w="4968" w:type="dxa"/>
            <w:gridSpan w:val="2"/>
            <w:vAlign w:val="center"/>
          </w:tcPr>
          <w:p>
            <w:pPr>
              <w:rPr>
                <w:highlight w:val="none"/>
              </w:rPr>
            </w:pPr>
            <w:r>
              <w:rPr>
                <w:rFonts w:hint="eastAsia"/>
                <w:highlight w:val="none"/>
              </w:rPr>
              <w:t>响应磋商文件商务条款，无重大保留或偏差。</w:t>
            </w:r>
          </w:p>
        </w:tc>
        <w:tc>
          <w:tcPr>
            <w:tcW w:w="995" w:type="dxa"/>
          </w:tcPr>
          <w:p>
            <w:pPr>
              <w:tabs>
                <w:tab w:val="left" w:pos="686"/>
                <w:tab w:val="left" w:pos="1030"/>
              </w:tabs>
              <w:spacing w:before="40" w:after="40"/>
              <w:rPr>
                <w:rFonts w:ascii="宋体" w:hAnsi="宋体"/>
                <w:highlight w:val="none"/>
              </w:rPr>
            </w:pPr>
          </w:p>
        </w:tc>
        <w:tc>
          <w:tcPr>
            <w:tcW w:w="995" w:type="dxa"/>
            <w:vAlign w:val="center"/>
          </w:tcPr>
          <w:p>
            <w:pPr>
              <w:spacing w:before="40" w:after="40"/>
              <w:rPr>
                <w:rFonts w:ascii="宋体" w:hAnsi="宋体"/>
                <w:b/>
                <w:highlight w:val="none"/>
              </w:rPr>
            </w:pPr>
          </w:p>
        </w:tc>
        <w:tc>
          <w:tcPr>
            <w:tcW w:w="995" w:type="dxa"/>
            <w:vAlign w:val="center"/>
          </w:tcPr>
          <w:p>
            <w:pPr>
              <w:spacing w:before="40" w:after="40"/>
              <w:rPr>
                <w:rFonts w:ascii="宋体" w:hAnsi="宋体"/>
                <w:b/>
                <w:highlight w:val="none"/>
              </w:rPr>
            </w:pPr>
          </w:p>
        </w:tc>
        <w:tc>
          <w:tcPr>
            <w:tcW w:w="992" w:type="dxa"/>
            <w:vAlign w:val="center"/>
          </w:tcPr>
          <w:p>
            <w:pPr>
              <w:spacing w:before="40" w:after="40"/>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Align w:val="center"/>
          </w:tcPr>
          <w:p>
            <w:pPr>
              <w:jc w:val="center"/>
              <w:rPr>
                <w:rFonts w:ascii="宋体" w:hAnsi="宋体"/>
                <w:bCs/>
                <w:highlight w:val="none"/>
              </w:rPr>
            </w:pPr>
            <w:r>
              <w:rPr>
                <w:rFonts w:hint="eastAsia" w:ascii="宋体" w:hAnsi="宋体"/>
                <w:bCs/>
                <w:highlight w:val="none"/>
              </w:rPr>
              <w:t>6</w:t>
            </w:r>
          </w:p>
        </w:tc>
        <w:tc>
          <w:tcPr>
            <w:tcW w:w="4968" w:type="dxa"/>
            <w:gridSpan w:val="2"/>
            <w:vAlign w:val="center"/>
          </w:tcPr>
          <w:p>
            <w:pPr>
              <w:rPr>
                <w:highlight w:val="none"/>
              </w:rPr>
            </w:pPr>
            <w:r>
              <w:rPr>
                <w:rFonts w:hint="eastAsia"/>
                <w:highlight w:val="none"/>
              </w:rPr>
              <w:t>没有不符合磋商文件规定的被视为无效响应的其他条款。</w:t>
            </w:r>
          </w:p>
        </w:tc>
        <w:tc>
          <w:tcPr>
            <w:tcW w:w="995" w:type="dxa"/>
          </w:tcPr>
          <w:p>
            <w:pPr>
              <w:tabs>
                <w:tab w:val="left" w:pos="686"/>
                <w:tab w:val="left" w:pos="1030"/>
              </w:tabs>
              <w:spacing w:before="40" w:after="40"/>
              <w:rPr>
                <w:rFonts w:ascii="宋体" w:hAnsi="宋体"/>
                <w:highlight w:val="none"/>
              </w:rPr>
            </w:pPr>
          </w:p>
        </w:tc>
        <w:tc>
          <w:tcPr>
            <w:tcW w:w="995" w:type="dxa"/>
            <w:vAlign w:val="center"/>
          </w:tcPr>
          <w:p>
            <w:pPr>
              <w:spacing w:before="40" w:after="40"/>
              <w:rPr>
                <w:rFonts w:ascii="宋体" w:hAnsi="宋体"/>
                <w:b/>
                <w:highlight w:val="none"/>
              </w:rPr>
            </w:pPr>
          </w:p>
        </w:tc>
        <w:tc>
          <w:tcPr>
            <w:tcW w:w="995" w:type="dxa"/>
            <w:vAlign w:val="center"/>
          </w:tcPr>
          <w:p>
            <w:pPr>
              <w:spacing w:before="40" w:after="40"/>
              <w:rPr>
                <w:rFonts w:ascii="宋体" w:hAnsi="宋体"/>
                <w:b/>
                <w:highlight w:val="none"/>
              </w:rPr>
            </w:pPr>
          </w:p>
        </w:tc>
        <w:tc>
          <w:tcPr>
            <w:tcW w:w="992" w:type="dxa"/>
            <w:vAlign w:val="center"/>
          </w:tcPr>
          <w:p>
            <w:pPr>
              <w:spacing w:before="40" w:after="40"/>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98" w:type="dxa"/>
            <w:gridSpan w:val="3"/>
            <w:vAlign w:val="center"/>
          </w:tcPr>
          <w:p>
            <w:pPr>
              <w:spacing w:before="40" w:after="40" w:line="360" w:lineRule="auto"/>
              <w:jc w:val="center"/>
              <w:rPr>
                <w:rFonts w:ascii="宋体" w:hAnsi="宋体"/>
                <w:b/>
                <w:highlight w:val="none"/>
              </w:rPr>
            </w:pPr>
            <w:r>
              <w:rPr>
                <w:rFonts w:hint="eastAsia" w:ascii="宋体" w:hAnsi="宋体"/>
                <w:b/>
                <w:highlight w:val="none"/>
              </w:rPr>
              <w:t>结  论</w:t>
            </w:r>
          </w:p>
        </w:tc>
        <w:tc>
          <w:tcPr>
            <w:tcW w:w="995" w:type="dxa"/>
            <w:vAlign w:val="center"/>
          </w:tcPr>
          <w:p>
            <w:pPr>
              <w:spacing w:before="40" w:after="40" w:line="360" w:lineRule="auto"/>
              <w:rPr>
                <w:rFonts w:ascii="宋体" w:hAnsi="宋体"/>
                <w:b/>
                <w:highlight w:val="none"/>
              </w:rPr>
            </w:pPr>
          </w:p>
        </w:tc>
        <w:tc>
          <w:tcPr>
            <w:tcW w:w="995" w:type="dxa"/>
            <w:vAlign w:val="center"/>
          </w:tcPr>
          <w:p>
            <w:pPr>
              <w:spacing w:before="40" w:after="40" w:line="360" w:lineRule="auto"/>
              <w:rPr>
                <w:rFonts w:ascii="宋体" w:hAnsi="宋体"/>
                <w:b/>
                <w:highlight w:val="none"/>
              </w:rPr>
            </w:pPr>
          </w:p>
        </w:tc>
        <w:tc>
          <w:tcPr>
            <w:tcW w:w="995" w:type="dxa"/>
            <w:vAlign w:val="center"/>
          </w:tcPr>
          <w:p>
            <w:pPr>
              <w:spacing w:before="40" w:after="40" w:line="360" w:lineRule="auto"/>
              <w:rPr>
                <w:rFonts w:ascii="宋体" w:hAnsi="宋体"/>
                <w:b/>
                <w:highlight w:val="none"/>
              </w:rPr>
            </w:pPr>
          </w:p>
        </w:tc>
        <w:tc>
          <w:tcPr>
            <w:tcW w:w="992" w:type="dxa"/>
            <w:vAlign w:val="center"/>
          </w:tcPr>
          <w:p>
            <w:pPr>
              <w:spacing w:before="40" w:after="40" w:line="360" w:lineRule="auto"/>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gridSpan w:val="2"/>
            <w:vAlign w:val="center"/>
          </w:tcPr>
          <w:p>
            <w:pPr>
              <w:jc w:val="center"/>
              <w:rPr>
                <w:rFonts w:ascii="宋体" w:hAnsi="宋体"/>
                <w:highlight w:val="none"/>
              </w:rPr>
            </w:pPr>
            <w:r>
              <w:rPr>
                <w:rFonts w:hint="eastAsia" w:ascii="宋体" w:hAnsi="宋体"/>
                <w:highlight w:val="none"/>
              </w:rPr>
              <w:t>不通过原因说明</w:t>
            </w:r>
          </w:p>
        </w:tc>
        <w:tc>
          <w:tcPr>
            <w:tcW w:w="8403" w:type="dxa"/>
            <w:gridSpan w:val="5"/>
            <w:vAlign w:val="center"/>
          </w:tcPr>
          <w:p>
            <w:pPr>
              <w:spacing w:before="40" w:after="40" w:line="360" w:lineRule="auto"/>
              <w:rPr>
                <w:rFonts w:ascii="宋体" w:hAnsi="宋体"/>
                <w:b/>
                <w:highlight w:val="none"/>
              </w:rPr>
            </w:pPr>
          </w:p>
        </w:tc>
      </w:tr>
    </w:tbl>
    <w:p>
      <w:pPr>
        <w:spacing w:before="120" w:line="360" w:lineRule="auto"/>
        <w:ind w:firstLine="420" w:firstLineChars="200"/>
        <w:rPr>
          <w:rFonts w:ascii="宋体" w:hAnsi="宋体"/>
          <w:highlight w:val="none"/>
        </w:rPr>
      </w:pPr>
      <w:r>
        <w:rPr>
          <w:rFonts w:hint="eastAsia" w:ascii="宋体" w:hAnsi="宋体"/>
          <w:highlight w:val="none"/>
        </w:rPr>
        <w:t>1.评审时评委对响应供应商是否满足要求逐条标注评审意见，“是”标记为“</w:t>
      </w:r>
      <w:r>
        <w:rPr>
          <w:rFonts w:ascii="宋体" w:hAnsi="宋体"/>
          <w:highlight w:val="none"/>
        </w:rPr>
        <w:t>√</w:t>
      </w:r>
      <w:r>
        <w:rPr>
          <w:rFonts w:hint="eastAsia" w:ascii="宋体" w:hAnsi="宋体"/>
          <w:highlight w:val="none"/>
        </w:rPr>
        <w:t>”，“否”标记为“×”；</w:t>
      </w:r>
    </w:p>
    <w:p>
      <w:pPr>
        <w:spacing w:before="120" w:line="360" w:lineRule="auto"/>
        <w:ind w:firstLine="420" w:firstLineChars="200"/>
        <w:rPr>
          <w:rFonts w:ascii="宋体" w:hAnsi="宋体"/>
          <w:highlight w:val="none"/>
        </w:rPr>
      </w:pPr>
      <w:r>
        <w:rPr>
          <w:rFonts w:hint="eastAsia" w:ascii="宋体" w:hAnsi="宋体"/>
          <w:highlight w:val="none"/>
        </w:rPr>
        <w:t>2.评审结论栏统一填写为“通过”或“不通过”，出现一个“×”为“不通过”；</w:t>
      </w:r>
    </w:p>
    <w:p>
      <w:pPr>
        <w:spacing w:before="120" w:line="360" w:lineRule="auto"/>
        <w:ind w:firstLine="420" w:firstLineChars="200"/>
        <w:rPr>
          <w:rFonts w:ascii="宋体" w:hAnsi="宋体"/>
          <w:highlight w:val="none"/>
        </w:rPr>
      </w:pPr>
      <w:r>
        <w:rPr>
          <w:rFonts w:hint="eastAsia" w:ascii="宋体" w:hAnsi="宋体"/>
          <w:highlight w:val="none"/>
        </w:rPr>
        <w:t>3.对结论为“不通过”的响应，要说明原因。</w:t>
      </w:r>
    </w:p>
    <w:p>
      <w:pPr>
        <w:pStyle w:val="11"/>
        <w:rPr>
          <w:highlight w:val="none"/>
        </w:rPr>
        <w:sectPr>
          <w:headerReference r:id="rId3" w:type="default"/>
          <w:footerReference r:id="rId4" w:type="default"/>
          <w:pgSz w:w="11907" w:h="16840"/>
          <w:pgMar w:top="1440" w:right="1080" w:bottom="1440" w:left="1080" w:header="794" w:footer="794" w:gutter="0"/>
          <w:cols w:space="720" w:num="1"/>
          <w:docGrid w:linePitch="285" w:charSpace="0"/>
        </w:sectPr>
      </w:pPr>
    </w:p>
    <w:p>
      <w:pPr>
        <w:wordWrap w:val="0"/>
        <w:topLinePunct/>
        <w:spacing w:line="360" w:lineRule="auto"/>
        <w:ind w:firstLine="482" w:firstLineChars="200"/>
        <w:outlineLvl w:val="1"/>
        <w:rPr>
          <w:rFonts w:ascii="黑体" w:hAnsi="仿宋" w:eastAsia="黑体" w:cs="黑体"/>
          <w:b/>
          <w:bCs/>
          <w:sz w:val="24"/>
          <w:highlight w:val="none"/>
        </w:rPr>
      </w:pPr>
      <w:bookmarkStart w:id="148" w:name="_Toc14011"/>
      <w:bookmarkStart w:id="149" w:name="_Toc2064"/>
      <w:bookmarkStart w:id="150" w:name="_Toc14127"/>
      <w:bookmarkStart w:id="151" w:name="_Toc21145"/>
      <w:bookmarkStart w:id="152" w:name="_Toc24188"/>
      <w:r>
        <w:rPr>
          <w:rFonts w:hint="eastAsia" w:ascii="黑体" w:hAnsi="仿宋" w:eastAsia="黑体" w:cs="黑体"/>
          <w:b/>
          <w:bCs/>
          <w:sz w:val="24"/>
          <w:highlight w:val="none"/>
        </w:rPr>
        <w:t>附表3：《价格评审表》</w:t>
      </w:r>
      <w:bookmarkEnd w:id="148"/>
      <w:bookmarkEnd w:id="149"/>
      <w:bookmarkEnd w:id="150"/>
      <w:bookmarkEnd w:id="151"/>
      <w:bookmarkEnd w:id="152"/>
    </w:p>
    <w:p>
      <w:pPr>
        <w:spacing w:line="360" w:lineRule="auto"/>
        <w:jc w:val="center"/>
        <w:rPr>
          <w:rFonts w:ascii="黑体" w:hAnsi="仿宋" w:eastAsia="黑体" w:cs="黑体"/>
          <w:sz w:val="32"/>
          <w:szCs w:val="32"/>
          <w:highlight w:val="none"/>
        </w:rPr>
      </w:pPr>
      <w:r>
        <w:rPr>
          <w:rFonts w:hint="eastAsia" w:ascii="黑体" w:hAnsi="仿宋" w:eastAsia="黑体" w:cs="黑体"/>
          <w:sz w:val="32"/>
          <w:szCs w:val="32"/>
          <w:highlight w:val="none"/>
        </w:rPr>
        <w:t>价格评审表</w:t>
      </w:r>
    </w:p>
    <w:tbl>
      <w:tblPr>
        <w:tblStyle w:val="23"/>
        <w:tblW w:w="13354" w:type="dxa"/>
        <w:jc w:val="center"/>
        <w:tblLayout w:type="fixed"/>
        <w:tblCellMar>
          <w:top w:w="0" w:type="dxa"/>
          <w:left w:w="108" w:type="dxa"/>
          <w:bottom w:w="0" w:type="dxa"/>
          <w:right w:w="108" w:type="dxa"/>
        </w:tblCellMar>
      </w:tblPr>
      <w:tblGrid>
        <w:gridCol w:w="3040"/>
        <w:gridCol w:w="8778"/>
        <w:gridCol w:w="791"/>
        <w:gridCol w:w="745"/>
      </w:tblGrid>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类别</w:t>
            </w:r>
          </w:p>
        </w:tc>
        <w:tc>
          <w:tcPr>
            <w:tcW w:w="87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评审内容</w:t>
            </w:r>
          </w:p>
        </w:tc>
        <w:tc>
          <w:tcPr>
            <w:tcW w:w="791" w:type="dxa"/>
            <w:tcBorders>
              <w:top w:val="single" w:color="auto" w:sz="4" w:space="0"/>
              <w:left w:val="nil"/>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分值</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序号</w:t>
            </w:r>
          </w:p>
        </w:tc>
      </w:tr>
      <w:tr>
        <w:tblPrEx>
          <w:tblCellMar>
            <w:top w:w="0" w:type="dxa"/>
            <w:left w:w="108" w:type="dxa"/>
            <w:bottom w:w="0" w:type="dxa"/>
            <w:right w:w="108" w:type="dxa"/>
          </w:tblCellMar>
        </w:tblPrEx>
        <w:trPr>
          <w:trHeight w:val="774" w:hRule="atLeast"/>
          <w:jc w:val="center"/>
        </w:trPr>
        <w:tc>
          <w:tcPr>
            <w:tcW w:w="30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highlight w:val="none"/>
              </w:rPr>
            </w:pPr>
            <w:r>
              <w:rPr>
                <w:rFonts w:hint="eastAsia" w:ascii="黑体" w:hAnsi="黑体" w:eastAsia="黑体" w:cs="黑体"/>
                <w:b/>
                <w:highlight w:val="none"/>
              </w:rPr>
              <w:t>价格评分</w:t>
            </w:r>
          </w:p>
        </w:tc>
        <w:tc>
          <w:tcPr>
            <w:tcW w:w="877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szCs w:val="21"/>
                <w:highlight w:val="none"/>
              </w:rPr>
            </w:pPr>
            <w:r>
              <w:rPr>
                <w:rFonts w:hint="eastAsia" w:ascii="宋体" w:hAnsi="宋体" w:cs="Calibri"/>
                <w:szCs w:val="21"/>
                <w:highlight w:val="none"/>
              </w:rPr>
              <w:t>各有效供应商的评审价中，取最低者作为基准价，各有效供应商的价格评分统一按照下列公式计算：</w:t>
            </w:r>
          </w:p>
          <w:p>
            <w:pPr>
              <w:spacing w:line="300" w:lineRule="exact"/>
              <w:ind w:firstLine="420" w:firstLineChars="200"/>
              <w:rPr>
                <w:rFonts w:ascii="宋体" w:hAnsi="宋体" w:cs="Calibri"/>
                <w:sz w:val="22"/>
                <w:szCs w:val="22"/>
                <w:highlight w:val="none"/>
              </w:rPr>
            </w:pPr>
            <w:r>
              <w:rPr>
                <w:rFonts w:hint="eastAsia" w:ascii="宋体" w:hAnsi="宋体" w:cs="Calibri"/>
                <w:szCs w:val="21"/>
                <w:highlight w:val="none"/>
              </w:rPr>
              <w:t>价格评分＝（基准价÷评审价）×价格分分值。</w:t>
            </w:r>
          </w:p>
        </w:tc>
        <w:tc>
          <w:tcPr>
            <w:tcW w:w="7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Cs/>
                <w:highlight w:val="none"/>
              </w:rPr>
            </w:pPr>
            <w:r>
              <w:rPr>
                <w:rFonts w:hint="eastAsia" w:ascii="宋体" w:hAnsi="宋体"/>
                <w:bCs/>
                <w:highlight w:val="none"/>
              </w:rPr>
              <w:t>10分</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highlight w:val="none"/>
              </w:rPr>
            </w:pPr>
            <w:r>
              <w:rPr>
                <w:rFonts w:hint="eastAsia" w:ascii="宋体" w:hAnsi="宋体"/>
                <w:bCs/>
                <w:highlight w:val="none"/>
              </w:rPr>
              <w:t>1</w:t>
            </w:r>
          </w:p>
        </w:tc>
      </w:tr>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highlight w:val="none"/>
              </w:rPr>
            </w:pPr>
            <w:r>
              <w:rPr>
                <w:rFonts w:hint="eastAsia" w:ascii="宋体" w:hAnsi="宋体"/>
                <w:b/>
                <w:highlight w:val="none"/>
              </w:rPr>
              <w:t>小计</w:t>
            </w:r>
          </w:p>
        </w:tc>
        <w:tc>
          <w:tcPr>
            <w:tcW w:w="103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highlight w:val="none"/>
              </w:rPr>
            </w:pPr>
            <w:r>
              <w:rPr>
                <w:rFonts w:hint="eastAsia" w:ascii="黑体" w:hAnsi="黑体" w:eastAsia="黑体" w:cs="黑体"/>
                <w:b/>
                <w:highlight w:val="none"/>
              </w:rPr>
              <w:t>10分</w:t>
            </w:r>
          </w:p>
        </w:tc>
      </w:tr>
    </w:tbl>
    <w:p>
      <w:pPr>
        <w:spacing w:line="360" w:lineRule="auto"/>
        <w:ind w:firstLine="422" w:firstLineChars="200"/>
        <w:rPr>
          <w:rFonts w:ascii="宋体" w:hAnsi="宋体"/>
          <w:b/>
          <w:bCs/>
          <w:highlight w:val="none"/>
          <w:u w:val="single"/>
          <w:lang w:val="en-GB"/>
        </w:rPr>
      </w:pPr>
      <w:r>
        <w:rPr>
          <w:rFonts w:hint="eastAsia" w:ascii="宋体" w:hAnsi="宋体"/>
          <w:b/>
          <w:bCs/>
          <w:highlight w:val="none"/>
          <w:u w:val="single"/>
          <w:lang w:val="en-GB"/>
        </w:rPr>
        <w:t>注：</w:t>
      </w:r>
      <w:r>
        <w:rPr>
          <w:rFonts w:hint="eastAsia" w:ascii="宋体" w:hAnsi="宋体"/>
          <w:b/>
          <w:bCs/>
          <w:highlight w:val="none"/>
          <w:u w:val="single"/>
        </w:rPr>
        <w:t>磋商</w:t>
      </w:r>
      <w:r>
        <w:rPr>
          <w:rFonts w:hint="eastAsia" w:ascii="宋体" w:hAnsi="宋体"/>
          <w:b/>
          <w:bCs/>
          <w:highlight w:val="none"/>
          <w:u w:val="single"/>
          <w:lang w:val="en-GB"/>
        </w:rPr>
        <w:t>文件要求提交的与评价指标体系相关的各类有效资料，</w:t>
      </w:r>
      <w:r>
        <w:rPr>
          <w:rFonts w:hint="eastAsia" w:ascii="宋体" w:hAnsi="宋体"/>
          <w:b/>
          <w:bCs/>
          <w:highlight w:val="none"/>
          <w:u w:val="single"/>
        </w:rPr>
        <w:t>响应</w:t>
      </w:r>
      <w:r>
        <w:rPr>
          <w:rFonts w:hint="eastAsia" w:ascii="宋体" w:hAnsi="宋体"/>
          <w:b/>
          <w:bCs/>
          <w:highlight w:val="none"/>
          <w:u w:val="single"/>
          <w:lang w:val="en-GB"/>
        </w:rPr>
        <w:t>供应商如未按要求提交的，该项评分为零分；</w:t>
      </w:r>
    </w:p>
    <w:p>
      <w:pPr>
        <w:rPr>
          <w:rFonts w:ascii="黑体" w:hAnsi="仿宋" w:eastAsia="黑体" w:cs="黑体"/>
          <w:b/>
          <w:bCs/>
          <w:sz w:val="24"/>
          <w:highlight w:val="none"/>
        </w:rPr>
      </w:pPr>
      <w:r>
        <w:rPr>
          <w:rFonts w:hint="eastAsia" w:ascii="黑体" w:hAnsi="仿宋" w:eastAsia="黑体" w:cs="黑体"/>
          <w:b/>
          <w:bCs/>
          <w:sz w:val="24"/>
          <w:highlight w:val="none"/>
        </w:rPr>
        <w:br w:type="page"/>
      </w:r>
    </w:p>
    <w:p>
      <w:pPr>
        <w:spacing w:line="360" w:lineRule="auto"/>
        <w:ind w:firstLine="482" w:firstLineChars="200"/>
        <w:outlineLvl w:val="1"/>
        <w:rPr>
          <w:rFonts w:ascii="黑体" w:hAnsi="仿宋" w:eastAsia="黑体" w:cs="Times New Roman"/>
          <w:b/>
          <w:bCs/>
          <w:sz w:val="24"/>
          <w:highlight w:val="none"/>
        </w:rPr>
      </w:pPr>
      <w:bookmarkStart w:id="153" w:name="_Toc645"/>
      <w:r>
        <w:rPr>
          <w:rFonts w:hint="eastAsia" w:ascii="黑体" w:hAnsi="仿宋" w:eastAsia="黑体" w:cs="黑体"/>
          <w:b/>
          <w:bCs/>
          <w:sz w:val="24"/>
          <w:highlight w:val="none"/>
        </w:rPr>
        <w:t>附表4：《技术评审表》</w:t>
      </w:r>
      <w:bookmarkEnd w:id="153"/>
    </w:p>
    <w:p>
      <w:pPr>
        <w:spacing w:line="360" w:lineRule="auto"/>
        <w:jc w:val="center"/>
        <w:rPr>
          <w:rFonts w:ascii="黑体" w:hAnsi="仿宋" w:eastAsia="黑体" w:cs="Times New Roman"/>
          <w:sz w:val="32"/>
          <w:szCs w:val="32"/>
          <w:highlight w:val="none"/>
        </w:rPr>
      </w:pPr>
      <w:bookmarkStart w:id="154" w:name="_Toc483349422"/>
      <w:bookmarkStart w:id="155" w:name="_Toc31567"/>
      <w:r>
        <w:rPr>
          <w:rFonts w:hint="eastAsia" w:ascii="黑体" w:hAnsi="仿宋" w:eastAsia="黑体" w:cs="黑体"/>
          <w:sz w:val="32"/>
          <w:szCs w:val="32"/>
          <w:highlight w:val="none"/>
        </w:rPr>
        <w:t>技术评审表</w:t>
      </w:r>
      <w:bookmarkEnd w:id="154"/>
      <w:bookmarkEnd w:id="155"/>
    </w:p>
    <w:tbl>
      <w:tblPr>
        <w:tblStyle w:val="23"/>
        <w:tblW w:w="13354" w:type="dxa"/>
        <w:jc w:val="center"/>
        <w:tblLayout w:type="fixed"/>
        <w:tblCellMar>
          <w:top w:w="0" w:type="dxa"/>
          <w:left w:w="108" w:type="dxa"/>
          <w:bottom w:w="0" w:type="dxa"/>
          <w:right w:w="108" w:type="dxa"/>
        </w:tblCellMar>
      </w:tblPr>
      <w:tblGrid>
        <w:gridCol w:w="3040"/>
        <w:gridCol w:w="8778"/>
        <w:gridCol w:w="791"/>
        <w:gridCol w:w="745"/>
      </w:tblGrid>
      <w:tr>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类别</w:t>
            </w:r>
          </w:p>
        </w:tc>
        <w:tc>
          <w:tcPr>
            <w:tcW w:w="87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评审内容</w:t>
            </w:r>
          </w:p>
        </w:tc>
        <w:tc>
          <w:tcPr>
            <w:tcW w:w="791" w:type="dxa"/>
            <w:tcBorders>
              <w:top w:val="single" w:color="auto" w:sz="4" w:space="0"/>
              <w:left w:val="nil"/>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分值</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序号</w:t>
            </w:r>
          </w:p>
        </w:tc>
      </w:tr>
      <w:tr>
        <w:tblPrEx>
          <w:tblCellMar>
            <w:top w:w="0" w:type="dxa"/>
            <w:left w:w="108" w:type="dxa"/>
            <w:bottom w:w="0" w:type="dxa"/>
            <w:right w:w="108" w:type="dxa"/>
          </w:tblCellMar>
        </w:tblPrEx>
        <w:trPr>
          <w:trHeight w:val="722" w:hRule="atLeast"/>
          <w:jc w:val="center"/>
        </w:trPr>
        <w:tc>
          <w:tcPr>
            <w:tcW w:w="30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b/>
                <w:highlight w:val="none"/>
              </w:rPr>
            </w:pPr>
            <w:r>
              <w:rPr>
                <w:rFonts w:hint="eastAsia" w:ascii="黑体" w:hAnsi="黑体" w:eastAsia="黑体" w:cs="黑体"/>
                <w:b/>
                <w:highlight w:val="none"/>
              </w:rPr>
              <w:t>项目理解</w:t>
            </w:r>
          </w:p>
        </w:tc>
        <w:tc>
          <w:tcPr>
            <w:tcW w:w="877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szCs w:val="21"/>
                <w:highlight w:val="none"/>
              </w:rPr>
            </w:pPr>
            <w:r>
              <w:rPr>
                <w:rFonts w:hint="eastAsia" w:ascii="宋体" w:hAnsi="宋体" w:cs="Calibri"/>
                <w:szCs w:val="21"/>
                <w:highlight w:val="none"/>
              </w:rPr>
              <w:t>对项目背景需求的理解和分析程度，能够结合本项目特点提出重难点分析及合理化 建议，根据方案的响应程度横向比较，理解全面、分析完整计(10-15]分，基本全面、较完整计(5-10]分，理解不够完善、缺乏完整性计[0-5]分。</w:t>
            </w:r>
          </w:p>
        </w:tc>
        <w:tc>
          <w:tcPr>
            <w:tcW w:w="79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bCs/>
                <w:highlight w:val="none"/>
              </w:rPr>
            </w:pPr>
            <w:r>
              <w:rPr>
                <w:rFonts w:hint="eastAsia" w:ascii="宋体" w:hAnsi="宋体"/>
                <w:bCs/>
                <w:highlight w:val="none"/>
              </w:rPr>
              <w:t>15分</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highlight w:val="none"/>
              </w:rPr>
            </w:pPr>
            <w:r>
              <w:rPr>
                <w:rFonts w:hint="eastAsia" w:ascii="宋体" w:hAnsi="宋体"/>
                <w:bCs/>
                <w:highlight w:val="none"/>
              </w:rPr>
              <w:t>1</w:t>
            </w:r>
          </w:p>
        </w:tc>
      </w:tr>
      <w:tr>
        <w:tblPrEx>
          <w:tblCellMar>
            <w:top w:w="0" w:type="dxa"/>
            <w:left w:w="108" w:type="dxa"/>
            <w:bottom w:w="0" w:type="dxa"/>
            <w:right w:w="108" w:type="dxa"/>
          </w:tblCellMar>
        </w:tblPrEx>
        <w:trPr>
          <w:trHeight w:val="1197" w:hRule="atLeast"/>
          <w:jc w:val="center"/>
        </w:trPr>
        <w:tc>
          <w:tcPr>
            <w:tcW w:w="30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b/>
                <w:highlight w:val="none"/>
              </w:rPr>
            </w:pPr>
            <w:r>
              <w:rPr>
                <w:rFonts w:hint="eastAsia" w:ascii="黑体" w:hAnsi="黑体" w:eastAsia="黑体" w:cs="黑体"/>
                <w:b/>
                <w:highlight w:val="none"/>
              </w:rPr>
              <w:t>服务方案</w:t>
            </w:r>
          </w:p>
        </w:tc>
        <w:tc>
          <w:tcPr>
            <w:tcW w:w="877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szCs w:val="21"/>
                <w:highlight w:val="none"/>
              </w:rPr>
            </w:pPr>
            <w:r>
              <w:rPr>
                <w:rFonts w:hint="eastAsia" w:ascii="宋体" w:hAnsi="宋体" w:cs="Calibri"/>
                <w:szCs w:val="21"/>
                <w:highlight w:val="none"/>
              </w:rPr>
              <w:t>提供完整的服务方案，包括服务流程、服务内容、服务计划等，根据方案的响应程 度横向比较，理解全面、分析完整计(20-30]分，基本全面、较完整计(10-20]分，理解 不够完善、缺乏完整性计[0-10]分。</w:t>
            </w:r>
          </w:p>
        </w:tc>
        <w:tc>
          <w:tcPr>
            <w:tcW w:w="79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bCs/>
                <w:highlight w:val="none"/>
              </w:rPr>
            </w:pPr>
            <w:r>
              <w:rPr>
                <w:rFonts w:hint="eastAsia" w:ascii="宋体" w:hAnsi="宋体"/>
                <w:bCs/>
                <w:highlight w:val="none"/>
              </w:rPr>
              <w:t>30分</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highlight w:val="none"/>
              </w:rPr>
            </w:pPr>
            <w:r>
              <w:rPr>
                <w:rFonts w:hint="eastAsia" w:ascii="宋体" w:hAnsi="宋体"/>
                <w:bCs/>
                <w:highlight w:val="none"/>
              </w:rPr>
              <w:t>2</w:t>
            </w:r>
          </w:p>
        </w:tc>
      </w:tr>
      <w:tr>
        <w:tblPrEx>
          <w:tblCellMar>
            <w:top w:w="0" w:type="dxa"/>
            <w:left w:w="108" w:type="dxa"/>
            <w:bottom w:w="0" w:type="dxa"/>
            <w:right w:w="108" w:type="dxa"/>
          </w:tblCellMar>
        </w:tblPrEx>
        <w:trPr>
          <w:trHeight w:val="90" w:hRule="atLeast"/>
          <w:jc w:val="center"/>
        </w:trPr>
        <w:tc>
          <w:tcPr>
            <w:tcW w:w="30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b/>
                <w:highlight w:val="none"/>
              </w:rPr>
            </w:pPr>
            <w:r>
              <w:rPr>
                <w:rFonts w:hint="eastAsia" w:ascii="黑体" w:hAnsi="黑体" w:eastAsia="黑体" w:cs="黑体"/>
                <w:b/>
                <w:highlight w:val="none"/>
              </w:rPr>
              <w:t>实施方案</w:t>
            </w:r>
          </w:p>
        </w:tc>
        <w:tc>
          <w:tcPr>
            <w:tcW w:w="877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szCs w:val="21"/>
                <w:highlight w:val="none"/>
              </w:rPr>
            </w:pPr>
            <w:r>
              <w:rPr>
                <w:rFonts w:hint="eastAsia" w:ascii="宋体" w:hAnsi="宋体" w:cs="Calibri"/>
                <w:szCs w:val="21"/>
                <w:highlight w:val="none"/>
              </w:rPr>
              <w:t>针对本项目的特点及要求，针对时间进度控制和服务安排有具体的实施方案，能够在规定时间内，高效、详细、准确的完成公告发布，根据响应方案横向对比计分：</w:t>
            </w:r>
          </w:p>
          <w:p>
            <w:pPr>
              <w:spacing w:line="300" w:lineRule="exact"/>
              <w:ind w:firstLine="420" w:firstLineChars="200"/>
              <w:rPr>
                <w:rFonts w:ascii="宋体" w:hAnsi="宋体" w:cs="Calibri"/>
                <w:szCs w:val="21"/>
                <w:highlight w:val="none"/>
              </w:rPr>
            </w:pPr>
            <w:r>
              <w:rPr>
                <w:rFonts w:hint="eastAsia" w:ascii="宋体" w:hAnsi="宋体" w:cs="Calibri"/>
                <w:szCs w:val="21"/>
                <w:highlight w:val="none"/>
              </w:rPr>
              <w:t>1.方案科学合理完善，人员、财力物力调配得当，完全满足采购需求计(10-15]分；</w:t>
            </w:r>
          </w:p>
          <w:p>
            <w:pPr>
              <w:spacing w:line="300" w:lineRule="exact"/>
              <w:ind w:firstLine="420" w:firstLineChars="200"/>
              <w:rPr>
                <w:rFonts w:ascii="宋体" w:hAnsi="宋体" w:cs="Calibri"/>
                <w:szCs w:val="21"/>
                <w:highlight w:val="none"/>
              </w:rPr>
            </w:pPr>
            <w:r>
              <w:rPr>
                <w:rFonts w:hint="eastAsia" w:ascii="宋体" w:hAnsi="宋体" w:cs="Calibri"/>
                <w:szCs w:val="21"/>
                <w:highlight w:val="none"/>
              </w:rPr>
              <w:t>2.方案比较完善，人员、财力物力调配较得当，比较满足采购要求计(5-10]分；</w:t>
            </w:r>
          </w:p>
          <w:p>
            <w:pPr>
              <w:spacing w:line="300" w:lineRule="exact"/>
              <w:ind w:firstLine="420" w:firstLineChars="200"/>
              <w:rPr>
                <w:rFonts w:ascii="宋体" w:hAnsi="宋体" w:cs="Calibri"/>
                <w:szCs w:val="21"/>
                <w:highlight w:val="none"/>
              </w:rPr>
            </w:pPr>
            <w:r>
              <w:rPr>
                <w:rFonts w:hint="eastAsia" w:ascii="宋体" w:hAnsi="宋体" w:cs="Calibri"/>
                <w:szCs w:val="21"/>
                <w:highlight w:val="none"/>
              </w:rPr>
              <w:t>3.方案有缺陷或人员、财力物力调配不得当或者对项目服务有危害的，计[0-5]分。</w:t>
            </w:r>
          </w:p>
        </w:tc>
        <w:tc>
          <w:tcPr>
            <w:tcW w:w="79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bCs/>
                <w:highlight w:val="none"/>
              </w:rPr>
            </w:pPr>
            <w:r>
              <w:rPr>
                <w:rFonts w:hint="eastAsia" w:ascii="宋体" w:hAnsi="宋体"/>
                <w:bCs/>
                <w:highlight w:val="none"/>
              </w:rPr>
              <w:t>15分</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highlight w:val="none"/>
              </w:rPr>
            </w:pPr>
            <w:r>
              <w:rPr>
                <w:rFonts w:hint="eastAsia" w:ascii="宋体" w:hAnsi="宋体"/>
                <w:bCs/>
                <w:highlight w:val="none"/>
              </w:rPr>
              <w:t>3</w:t>
            </w:r>
          </w:p>
        </w:tc>
      </w:tr>
      <w:tr>
        <w:tblPrEx>
          <w:tblCellMar>
            <w:top w:w="0" w:type="dxa"/>
            <w:left w:w="108" w:type="dxa"/>
            <w:bottom w:w="0" w:type="dxa"/>
            <w:right w:w="108" w:type="dxa"/>
          </w:tblCellMar>
        </w:tblPrEx>
        <w:trPr>
          <w:trHeight w:val="90" w:hRule="atLeast"/>
          <w:jc w:val="center"/>
        </w:trPr>
        <w:tc>
          <w:tcPr>
            <w:tcW w:w="30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b/>
                <w:highlight w:val="none"/>
              </w:rPr>
            </w:pPr>
            <w:r>
              <w:rPr>
                <w:rFonts w:hint="eastAsia" w:ascii="黑体" w:hAnsi="黑体" w:eastAsia="黑体" w:cs="黑体"/>
                <w:b/>
                <w:highlight w:val="none"/>
              </w:rPr>
              <w:t>应急预案</w:t>
            </w:r>
          </w:p>
        </w:tc>
        <w:tc>
          <w:tcPr>
            <w:tcW w:w="877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szCs w:val="21"/>
                <w:highlight w:val="none"/>
              </w:rPr>
            </w:pPr>
            <w:r>
              <w:rPr>
                <w:rFonts w:hint="eastAsia" w:ascii="宋体" w:hAnsi="宋体" w:cs="Calibri"/>
                <w:szCs w:val="21"/>
                <w:highlight w:val="none"/>
              </w:rPr>
              <w:t>对突发事件有应急预案，有效的解决问题措施及承诺，根据方案的响应程度 横向对比计分：</w:t>
            </w:r>
          </w:p>
          <w:p>
            <w:pPr>
              <w:spacing w:line="300" w:lineRule="exact"/>
              <w:ind w:firstLine="420" w:firstLineChars="200"/>
              <w:rPr>
                <w:rFonts w:ascii="宋体" w:hAnsi="宋体" w:cs="Calibri"/>
                <w:szCs w:val="21"/>
                <w:highlight w:val="none"/>
              </w:rPr>
            </w:pPr>
            <w:r>
              <w:rPr>
                <w:rFonts w:hint="eastAsia" w:ascii="宋体" w:hAnsi="宋体" w:cs="Calibri"/>
                <w:szCs w:val="21"/>
                <w:highlight w:val="none"/>
              </w:rPr>
              <w:t>1.有明确的应急方案与措施计划及承诺，方案具体可行，计(3-5]分；</w:t>
            </w:r>
          </w:p>
          <w:p>
            <w:pPr>
              <w:spacing w:line="300" w:lineRule="exact"/>
              <w:ind w:firstLine="420" w:firstLineChars="200"/>
              <w:rPr>
                <w:rFonts w:ascii="宋体" w:hAnsi="宋体" w:cs="Calibri"/>
                <w:szCs w:val="21"/>
                <w:highlight w:val="none"/>
              </w:rPr>
            </w:pPr>
            <w:r>
              <w:rPr>
                <w:rFonts w:hint="eastAsia" w:ascii="宋体" w:hAnsi="宋体" w:cs="Calibri"/>
                <w:szCs w:val="21"/>
                <w:highlight w:val="none"/>
              </w:rPr>
              <w:t>2.无明确的应急预案或措施计划不完善或不利于项目进行计[0-3]分。</w:t>
            </w:r>
          </w:p>
        </w:tc>
        <w:tc>
          <w:tcPr>
            <w:tcW w:w="79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bCs/>
                <w:highlight w:val="none"/>
              </w:rPr>
            </w:pPr>
            <w:r>
              <w:rPr>
                <w:rFonts w:hint="eastAsia" w:ascii="宋体" w:hAnsi="宋体"/>
                <w:bCs/>
                <w:highlight w:val="none"/>
              </w:rPr>
              <w:t>5分</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highlight w:val="none"/>
              </w:rPr>
            </w:pPr>
            <w:r>
              <w:rPr>
                <w:rFonts w:hint="eastAsia" w:ascii="宋体" w:hAnsi="宋体"/>
                <w:bCs/>
                <w:highlight w:val="none"/>
              </w:rPr>
              <w:t>4</w:t>
            </w:r>
          </w:p>
        </w:tc>
      </w:tr>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highlight w:val="none"/>
              </w:rPr>
            </w:pPr>
            <w:r>
              <w:rPr>
                <w:rFonts w:hint="eastAsia" w:ascii="宋体" w:hAnsi="宋体"/>
                <w:b/>
                <w:highlight w:val="none"/>
              </w:rPr>
              <w:t>小计</w:t>
            </w:r>
          </w:p>
        </w:tc>
        <w:tc>
          <w:tcPr>
            <w:tcW w:w="103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highlight w:val="none"/>
              </w:rPr>
            </w:pPr>
            <w:r>
              <w:rPr>
                <w:rFonts w:hint="eastAsia" w:ascii="黑体" w:hAnsi="黑体" w:eastAsia="黑体" w:cs="黑体"/>
                <w:b/>
                <w:highlight w:val="none"/>
              </w:rPr>
              <w:t>65分</w:t>
            </w:r>
          </w:p>
        </w:tc>
      </w:tr>
    </w:tbl>
    <w:p>
      <w:pPr>
        <w:wordWrap w:val="0"/>
        <w:topLinePunct/>
        <w:spacing w:line="500" w:lineRule="exact"/>
        <w:ind w:firstLine="422" w:firstLineChars="200"/>
        <w:rPr>
          <w:rFonts w:ascii="宋体" w:hAnsi="宋体"/>
          <w:b/>
          <w:bCs/>
          <w:highlight w:val="none"/>
          <w:u w:val="single"/>
          <w:lang w:val="en-GB"/>
        </w:rPr>
      </w:pPr>
      <w:r>
        <w:rPr>
          <w:rFonts w:hint="eastAsia" w:ascii="宋体" w:hAnsi="宋体"/>
          <w:b/>
          <w:bCs/>
          <w:highlight w:val="none"/>
          <w:u w:val="single"/>
          <w:lang w:val="en-GB"/>
        </w:rPr>
        <w:t>注：磋商文件要求提交的与评价指标体系相关的各类有效资料，响应供应商如未按要求提交的，该项评分为零分；</w:t>
      </w:r>
    </w:p>
    <w:p>
      <w:pPr>
        <w:wordWrap w:val="0"/>
        <w:topLinePunct/>
        <w:spacing w:line="500" w:lineRule="exact"/>
        <w:ind w:firstLine="422" w:firstLineChars="200"/>
        <w:outlineLvl w:val="1"/>
        <w:rPr>
          <w:rFonts w:ascii="黑体" w:hAnsi="仿宋" w:eastAsia="黑体" w:cs="Times New Roman"/>
          <w:b/>
          <w:bCs/>
          <w:sz w:val="24"/>
          <w:highlight w:val="none"/>
        </w:rPr>
      </w:pPr>
      <w:r>
        <w:rPr>
          <w:rFonts w:hint="eastAsia" w:ascii="宋体" w:hAnsi="宋体"/>
          <w:b/>
          <w:bCs/>
          <w:highlight w:val="none"/>
          <w:u w:val="single"/>
          <w:lang w:val="en-GB"/>
        </w:rPr>
        <w:br w:type="page"/>
      </w:r>
      <w:bookmarkStart w:id="156" w:name="_Toc27695"/>
      <w:bookmarkStart w:id="157" w:name="_Toc278274488"/>
      <w:bookmarkStart w:id="158" w:name="_Toc223856296"/>
      <w:bookmarkStart w:id="159" w:name="_Toc278794809"/>
      <w:r>
        <w:rPr>
          <w:rFonts w:hint="eastAsia" w:ascii="黑体" w:hAnsi="仿宋" w:eastAsia="黑体" w:cs="黑体"/>
          <w:b/>
          <w:bCs/>
          <w:sz w:val="24"/>
          <w:highlight w:val="none"/>
        </w:rPr>
        <w:t>附表5：《商务评审表》</w:t>
      </w:r>
      <w:bookmarkEnd w:id="156"/>
    </w:p>
    <w:bookmarkEnd w:id="157"/>
    <w:bookmarkEnd w:id="158"/>
    <w:bookmarkEnd w:id="159"/>
    <w:p>
      <w:pPr>
        <w:spacing w:line="360" w:lineRule="auto"/>
        <w:jc w:val="center"/>
        <w:rPr>
          <w:rFonts w:ascii="黑体" w:hAnsi="仿宋" w:eastAsia="黑体" w:cs="黑体"/>
          <w:sz w:val="32"/>
          <w:szCs w:val="32"/>
          <w:highlight w:val="none"/>
        </w:rPr>
      </w:pPr>
      <w:bookmarkStart w:id="160" w:name="_Toc483349423"/>
      <w:r>
        <w:rPr>
          <w:rFonts w:hint="eastAsia" w:ascii="黑体" w:hAnsi="仿宋" w:eastAsia="黑体" w:cs="黑体"/>
          <w:sz w:val="32"/>
          <w:szCs w:val="32"/>
          <w:highlight w:val="none"/>
        </w:rPr>
        <w:t>商务评审表</w:t>
      </w:r>
      <w:bookmarkEnd w:id="160"/>
    </w:p>
    <w:tbl>
      <w:tblPr>
        <w:tblStyle w:val="23"/>
        <w:tblW w:w="13354" w:type="dxa"/>
        <w:jc w:val="center"/>
        <w:tblLayout w:type="fixed"/>
        <w:tblCellMar>
          <w:top w:w="0" w:type="dxa"/>
          <w:left w:w="108" w:type="dxa"/>
          <w:bottom w:w="0" w:type="dxa"/>
          <w:right w:w="108" w:type="dxa"/>
        </w:tblCellMar>
      </w:tblPr>
      <w:tblGrid>
        <w:gridCol w:w="2402"/>
        <w:gridCol w:w="9416"/>
        <w:gridCol w:w="791"/>
        <w:gridCol w:w="745"/>
      </w:tblGrid>
      <w:tr>
        <w:tblPrEx>
          <w:tblCellMar>
            <w:top w:w="0" w:type="dxa"/>
            <w:left w:w="108" w:type="dxa"/>
            <w:bottom w:w="0" w:type="dxa"/>
            <w:right w:w="108" w:type="dxa"/>
          </w:tblCellMar>
        </w:tblPrEx>
        <w:trPr>
          <w:trHeight w:val="417"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类别</w:t>
            </w:r>
          </w:p>
        </w:tc>
        <w:tc>
          <w:tcPr>
            <w:tcW w:w="94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评审内容</w:t>
            </w:r>
          </w:p>
        </w:tc>
        <w:tc>
          <w:tcPr>
            <w:tcW w:w="791" w:type="dxa"/>
            <w:tcBorders>
              <w:top w:val="single" w:color="auto" w:sz="4" w:space="0"/>
              <w:left w:val="nil"/>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分值</w:t>
            </w:r>
          </w:p>
        </w:tc>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序号</w:t>
            </w:r>
          </w:p>
        </w:tc>
      </w:tr>
      <w:tr>
        <w:tblPrEx>
          <w:tblCellMar>
            <w:top w:w="0" w:type="dxa"/>
            <w:left w:w="108" w:type="dxa"/>
            <w:bottom w:w="0" w:type="dxa"/>
            <w:right w:w="108" w:type="dxa"/>
          </w:tblCellMar>
        </w:tblPrEx>
        <w:trPr>
          <w:trHeight w:val="417"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highlight w:val="none"/>
              </w:rPr>
            </w:pPr>
            <w:r>
              <w:rPr>
                <w:rFonts w:hint="eastAsia" w:ascii="宋体" w:hAnsi="宋体"/>
                <w:b/>
                <w:highlight w:val="none"/>
              </w:rPr>
              <w:t>项目团队</w:t>
            </w:r>
          </w:p>
        </w:tc>
        <w:tc>
          <w:tcPr>
            <w:tcW w:w="941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szCs w:val="21"/>
                <w:highlight w:val="none"/>
                <w:lang w:val="zh-CN"/>
              </w:rPr>
            </w:pPr>
            <w:r>
              <w:rPr>
                <w:rFonts w:hint="eastAsia" w:ascii="宋体" w:hAnsi="宋体" w:cs="Calibri"/>
                <w:szCs w:val="21"/>
                <w:highlight w:val="none"/>
              </w:rPr>
              <w:t>提供项目团队学历、工作履历及承担过相关项目的证明。项目团队安排合理，成员经验丰富、专业，能保障项目较好地履约实施得（5-10]分；安排项目团队能保障项目基本实施得（0-5]分；未提供不得分。</w:t>
            </w:r>
          </w:p>
        </w:tc>
        <w:tc>
          <w:tcPr>
            <w:tcW w:w="7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highlight w:val="none"/>
              </w:rPr>
            </w:pPr>
            <w:r>
              <w:rPr>
                <w:rFonts w:hint="eastAsia" w:ascii="宋体" w:hAnsi="宋体"/>
                <w:highlight w:val="none"/>
              </w:rPr>
              <w:t>10分</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1</w:t>
            </w:r>
          </w:p>
        </w:tc>
      </w:tr>
      <w:tr>
        <w:tblPrEx>
          <w:tblCellMar>
            <w:top w:w="0" w:type="dxa"/>
            <w:left w:w="108" w:type="dxa"/>
            <w:bottom w:w="0" w:type="dxa"/>
            <w:right w:w="108" w:type="dxa"/>
          </w:tblCellMar>
        </w:tblPrEx>
        <w:trPr>
          <w:trHeight w:val="417"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highlight w:val="none"/>
              </w:rPr>
            </w:pPr>
            <w:r>
              <w:rPr>
                <w:rFonts w:hint="eastAsia" w:ascii="宋体" w:hAnsi="宋体"/>
                <w:b/>
                <w:highlight w:val="none"/>
              </w:rPr>
              <w:t>业绩</w:t>
            </w:r>
          </w:p>
        </w:tc>
        <w:tc>
          <w:tcPr>
            <w:tcW w:w="941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szCs w:val="21"/>
                <w:highlight w:val="none"/>
                <w:lang w:val="zh-CN"/>
              </w:rPr>
            </w:pPr>
            <w:r>
              <w:rPr>
                <w:rFonts w:hint="eastAsia" w:ascii="宋体" w:hAnsi="宋体" w:cs="Calibri"/>
                <w:szCs w:val="21"/>
                <w:highlight w:val="none"/>
              </w:rPr>
              <w:t>供应商2020年1月1日至今（以签订合同日期为准）同类项目业绩的，每提供1个得2分，最高得10分，不提供不得分，提供相应证明材料复印件加盖公章。</w:t>
            </w:r>
          </w:p>
        </w:tc>
        <w:tc>
          <w:tcPr>
            <w:tcW w:w="7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highlight w:val="none"/>
              </w:rPr>
            </w:pPr>
            <w:r>
              <w:rPr>
                <w:rFonts w:hint="eastAsia" w:ascii="宋体" w:hAnsi="宋体"/>
                <w:highlight w:val="none"/>
              </w:rPr>
              <w:t>10分</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2</w:t>
            </w:r>
          </w:p>
        </w:tc>
      </w:tr>
      <w:tr>
        <w:tblPrEx>
          <w:tblCellMar>
            <w:top w:w="0" w:type="dxa"/>
            <w:left w:w="108" w:type="dxa"/>
            <w:bottom w:w="0" w:type="dxa"/>
            <w:right w:w="108" w:type="dxa"/>
          </w:tblCellMar>
        </w:tblPrEx>
        <w:trPr>
          <w:trHeight w:val="605"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highlight w:val="none"/>
              </w:rPr>
            </w:pPr>
            <w:r>
              <w:rPr>
                <w:rFonts w:hint="eastAsia" w:ascii="宋体" w:hAnsi="宋体"/>
                <w:b/>
                <w:highlight w:val="none"/>
              </w:rPr>
              <w:t>售后方案</w:t>
            </w:r>
          </w:p>
        </w:tc>
        <w:tc>
          <w:tcPr>
            <w:tcW w:w="941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cs="Calibri"/>
                <w:szCs w:val="21"/>
                <w:highlight w:val="none"/>
              </w:rPr>
            </w:pPr>
            <w:r>
              <w:rPr>
                <w:rFonts w:hint="eastAsia" w:ascii="宋体" w:hAnsi="宋体" w:cs="Calibri"/>
                <w:szCs w:val="21"/>
                <w:highlight w:val="none"/>
              </w:rPr>
              <w:t>1、供应商售后服务机构健全，能够提供本地化服务或负责系统维护服务的技术支持机构，具有良好的本地化服务体系及保障能力。根据响应程度计0-3分。</w:t>
            </w:r>
          </w:p>
          <w:p>
            <w:pPr>
              <w:spacing w:line="300" w:lineRule="exact"/>
              <w:ind w:firstLine="420" w:firstLineChars="200"/>
              <w:rPr>
                <w:rFonts w:ascii="宋体" w:hAnsi="宋体" w:cs="Calibri"/>
                <w:szCs w:val="21"/>
                <w:highlight w:val="none"/>
                <w:lang w:val="zh-CN"/>
              </w:rPr>
            </w:pPr>
            <w:r>
              <w:rPr>
                <w:rFonts w:hint="eastAsia" w:ascii="宋体" w:hAnsi="宋体" w:cs="Calibri"/>
                <w:szCs w:val="21"/>
                <w:highlight w:val="none"/>
              </w:rPr>
              <w:t>2、提供完善的售后服务方案，对技术服务的措施，售后服务内容、售后服务承诺（完工期、地点、售后质保期）等进行综合评定，根据响应程度计0-2分。</w:t>
            </w:r>
          </w:p>
        </w:tc>
        <w:tc>
          <w:tcPr>
            <w:tcW w:w="7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highlight w:val="none"/>
              </w:rPr>
            </w:pPr>
            <w:r>
              <w:rPr>
                <w:rFonts w:hint="eastAsia" w:ascii="宋体" w:hAnsi="宋体"/>
                <w:highlight w:val="none"/>
              </w:rPr>
              <w:t>5分</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3</w:t>
            </w:r>
          </w:p>
        </w:tc>
      </w:tr>
      <w:tr>
        <w:tblPrEx>
          <w:tblCellMar>
            <w:top w:w="0" w:type="dxa"/>
            <w:left w:w="108" w:type="dxa"/>
            <w:bottom w:w="0" w:type="dxa"/>
            <w:right w:w="108" w:type="dxa"/>
          </w:tblCellMar>
        </w:tblPrEx>
        <w:trPr>
          <w:trHeight w:val="34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highlight w:val="none"/>
              </w:rPr>
            </w:pPr>
            <w:r>
              <w:rPr>
                <w:rFonts w:hint="eastAsia" w:ascii="宋体" w:hAnsi="宋体"/>
                <w:b/>
                <w:highlight w:val="none"/>
              </w:rPr>
              <w:t>小计</w:t>
            </w:r>
          </w:p>
        </w:tc>
        <w:tc>
          <w:tcPr>
            <w:tcW w:w="10952" w:type="dxa"/>
            <w:gridSpan w:val="3"/>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宋体" w:hAnsi="宋体"/>
                <w:bCs/>
                <w:highlight w:val="none"/>
              </w:rPr>
            </w:pPr>
            <w:r>
              <w:rPr>
                <w:rFonts w:hint="eastAsia" w:ascii="黑体" w:hAnsi="黑体" w:eastAsia="黑体" w:cs="黑体"/>
                <w:b/>
                <w:highlight w:val="none"/>
              </w:rPr>
              <w:t>25分</w:t>
            </w:r>
          </w:p>
        </w:tc>
      </w:tr>
    </w:tbl>
    <w:p>
      <w:pPr>
        <w:wordWrap w:val="0"/>
        <w:topLinePunct/>
        <w:spacing w:line="500" w:lineRule="exact"/>
        <w:ind w:firstLine="422" w:firstLineChars="200"/>
        <w:rPr>
          <w:rFonts w:ascii="宋体" w:hAnsi="宋体"/>
          <w:b/>
          <w:bCs/>
          <w:highlight w:val="none"/>
          <w:u w:val="single"/>
          <w:lang w:val="en-GB"/>
        </w:rPr>
      </w:pPr>
      <w:r>
        <w:rPr>
          <w:rFonts w:hint="eastAsia" w:ascii="宋体" w:hAnsi="宋体"/>
          <w:b/>
          <w:bCs/>
          <w:highlight w:val="none"/>
          <w:u w:val="single"/>
          <w:lang w:val="en-GB"/>
        </w:rPr>
        <w:t>注：磋商文件要求提交的与评价指标体系相关的各类有效资料，响应供应商如未按要求提交的，该项评分为零分；</w:t>
      </w:r>
    </w:p>
    <w:p>
      <w:pPr>
        <w:wordWrap w:val="0"/>
        <w:topLinePunct/>
        <w:spacing w:line="500" w:lineRule="exact"/>
        <w:ind w:firstLine="480" w:firstLineChars="200"/>
        <w:rPr>
          <w:rFonts w:ascii="??_GB2312" w:hAnsi="仿宋" w:eastAsia="Times New Roman" w:cs="Times New Roman"/>
          <w:sz w:val="24"/>
          <w:highlight w:val="none"/>
        </w:rPr>
      </w:pPr>
    </w:p>
    <w:p>
      <w:pPr>
        <w:spacing w:line="360" w:lineRule="auto"/>
        <w:ind w:firstLine="480" w:firstLineChars="200"/>
        <w:rPr>
          <w:rFonts w:ascii="??_GB2312" w:hAnsi="仿宋" w:eastAsia="Times New Roman" w:cs="Times New Roman"/>
          <w:sz w:val="24"/>
          <w:highlight w:val="none"/>
        </w:rPr>
        <w:sectPr>
          <w:pgSz w:w="16838" w:h="11906" w:orient="landscape"/>
          <w:pgMar w:top="1080" w:right="1440" w:bottom="1080" w:left="1440" w:header="851" w:footer="992" w:gutter="0"/>
          <w:cols w:space="720" w:num="1"/>
          <w:docGrid w:type="lines" w:linePitch="312" w:charSpace="0"/>
        </w:sectPr>
      </w:pPr>
    </w:p>
    <w:p>
      <w:pPr>
        <w:spacing w:line="360" w:lineRule="auto"/>
        <w:jc w:val="center"/>
        <w:outlineLvl w:val="0"/>
        <w:rPr>
          <w:rFonts w:ascii="黑体" w:hAnsi="黑体" w:eastAsia="黑体" w:cs="黑体"/>
          <w:b/>
          <w:bCs/>
          <w:sz w:val="32"/>
          <w:szCs w:val="32"/>
          <w:highlight w:val="none"/>
        </w:rPr>
      </w:pPr>
      <w:bookmarkStart w:id="161" w:name="_Toc17058"/>
      <w:r>
        <w:rPr>
          <w:rFonts w:hint="eastAsia" w:ascii="黑体" w:hAnsi="黑体" w:eastAsia="黑体" w:cs="黑体"/>
          <w:b/>
          <w:bCs/>
          <w:sz w:val="32"/>
          <w:szCs w:val="32"/>
          <w:highlight w:val="none"/>
        </w:rPr>
        <w:t>第五部分 政府采购合同格式</w:t>
      </w:r>
      <w:bookmarkEnd w:id="161"/>
    </w:p>
    <w:p>
      <w:pPr>
        <w:spacing w:line="360" w:lineRule="auto"/>
        <w:ind w:firstLine="481"/>
        <w:jc w:val="left"/>
        <w:rPr>
          <w:rFonts w:ascii="黑体" w:hAnsi="仿宋" w:eastAsia="黑体" w:cs="仿宋"/>
          <w:b/>
          <w:sz w:val="24"/>
          <w:highlight w:val="none"/>
          <w:u w:val="single"/>
        </w:rPr>
      </w:pPr>
      <w:bookmarkStart w:id="162" w:name="_Toc26893"/>
      <w:bookmarkStart w:id="163" w:name="_Toc32018"/>
      <w:bookmarkStart w:id="164" w:name="_Toc24356"/>
      <w:bookmarkStart w:id="165" w:name="_Toc11252"/>
      <w:r>
        <w:rPr>
          <w:rFonts w:hint="eastAsia" w:ascii="黑体" w:hAnsi="仿宋" w:eastAsia="黑体" w:cs="仿宋"/>
          <w:b/>
          <w:sz w:val="24"/>
          <w:highlight w:val="none"/>
          <w:u w:val="single"/>
        </w:rPr>
        <w:t>注：本合同仅为合同的参考文本，合同签订双方可根据项目的具体要求进行修订。</w:t>
      </w:r>
      <w:bookmarkEnd w:id="162"/>
      <w:bookmarkEnd w:id="163"/>
      <w:bookmarkEnd w:id="164"/>
      <w:bookmarkEnd w:id="165"/>
    </w:p>
    <w:p>
      <w:pPr>
        <w:spacing w:line="360" w:lineRule="auto"/>
        <w:ind w:firstLine="481"/>
        <w:jc w:val="left"/>
        <w:rPr>
          <w:rFonts w:ascii="黑体" w:hAnsi="仿宋" w:eastAsia="黑体" w:cs="仿宋"/>
          <w:b/>
          <w:sz w:val="24"/>
          <w:highlight w:val="none"/>
        </w:rPr>
      </w:pPr>
    </w:p>
    <w:p>
      <w:pPr>
        <w:spacing w:line="360" w:lineRule="auto"/>
        <w:jc w:val="center"/>
        <w:outlineLvl w:val="1"/>
        <w:rPr>
          <w:rFonts w:ascii="黑体" w:hAnsi="仿宋" w:eastAsia="黑体" w:cs="Times New Roman"/>
          <w:sz w:val="32"/>
          <w:szCs w:val="32"/>
          <w:highlight w:val="none"/>
        </w:rPr>
      </w:pPr>
      <w:bookmarkStart w:id="166" w:name="_Toc19396"/>
      <w:bookmarkStart w:id="167" w:name="_Toc17018"/>
      <w:bookmarkStart w:id="168" w:name="_Toc25002"/>
      <w:bookmarkStart w:id="169" w:name="_Toc484353362"/>
      <w:bookmarkStart w:id="170" w:name="_Toc23240"/>
      <w:bookmarkStart w:id="171" w:name="_Toc25256"/>
      <w:bookmarkStart w:id="172" w:name="_Toc24645"/>
      <w:bookmarkStart w:id="173" w:name="_Toc483349426"/>
      <w:bookmarkStart w:id="174" w:name="_Toc24759"/>
      <w:r>
        <w:rPr>
          <w:rFonts w:hint="eastAsia" w:ascii="黑体" w:hAnsi="仿宋" w:eastAsia="黑体" w:cs="黑体"/>
          <w:b/>
          <w:bCs/>
          <w:sz w:val="32"/>
          <w:szCs w:val="32"/>
          <w:highlight w:val="none"/>
        </w:rPr>
        <w:t>一、</w:t>
      </w:r>
      <w:bookmarkEnd w:id="166"/>
      <w:r>
        <w:rPr>
          <w:rFonts w:hint="eastAsia" w:ascii="黑体" w:hAnsi="黑体" w:eastAsia="黑体" w:cs="黑体"/>
          <w:b/>
          <w:bCs/>
          <w:sz w:val="32"/>
          <w:szCs w:val="32"/>
          <w:highlight w:val="none"/>
        </w:rPr>
        <w:t>政府采购合同</w:t>
      </w:r>
      <w:bookmarkEnd w:id="167"/>
      <w:bookmarkEnd w:id="168"/>
      <w:bookmarkEnd w:id="169"/>
      <w:bookmarkEnd w:id="170"/>
      <w:bookmarkEnd w:id="171"/>
      <w:bookmarkEnd w:id="172"/>
      <w:bookmarkEnd w:id="173"/>
      <w:bookmarkEnd w:id="174"/>
    </w:p>
    <w:p>
      <w:pPr>
        <w:spacing w:line="360" w:lineRule="auto"/>
        <w:ind w:firstLine="480" w:firstLineChars="200"/>
        <w:rPr>
          <w:rFonts w:ascii="宋体" w:hAnsi="宋体"/>
          <w:sz w:val="24"/>
          <w:highlight w:val="none"/>
        </w:rPr>
      </w:pPr>
      <w:r>
        <w:rPr>
          <w:rFonts w:hint="eastAsia" w:ascii="宋体" w:hAnsi="宋体"/>
          <w:sz w:val="24"/>
          <w:highlight w:val="none"/>
          <w:u w:val="single"/>
          <w:lang w:val="zh-CN"/>
        </w:rPr>
        <w:t xml:space="preserve">        </w:t>
      </w:r>
      <w:r>
        <w:rPr>
          <w:rFonts w:hint="eastAsia" w:ascii="宋体" w:hAnsi="宋体"/>
          <w:sz w:val="24"/>
          <w:highlight w:val="none"/>
          <w:lang w:val="zh-CN"/>
        </w:rPr>
        <w:t>年</w:t>
      </w:r>
      <w:r>
        <w:rPr>
          <w:rFonts w:hint="eastAsia" w:ascii="宋体" w:hAnsi="宋体"/>
          <w:sz w:val="24"/>
          <w:highlight w:val="none"/>
          <w:u w:val="single"/>
          <w:lang w:val="zh-CN"/>
        </w:rPr>
        <w:t xml:space="preserve">    </w:t>
      </w:r>
      <w:r>
        <w:rPr>
          <w:rFonts w:hint="eastAsia" w:ascii="宋体" w:hAnsi="宋体"/>
          <w:sz w:val="24"/>
          <w:highlight w:val="none"/>
          <w:lang w:val="zh-CN"/>
        </w:rPr>
        <w:t>月</w:t>
      </w:r>
      <w:r>
        <w:rPr>
          <w:rFonts w:hint="eastAsia" w:ascii="宋体" w:hAnsi="宋体"/>
          <w:sz w:val="24"/>
          <w:highlight w:val="none"/>
          <w:u w:val="single"/>
          <w:lang w:val="zh-CN"/>
        </w:rPr>
        <w:t xml:space="preserve">    </w:t>
      </w:r>
      <w:r>
        <w:rPr>
          <w:rFonts w:hint="eastAsia" w:ascii="宋体" w:hAnsi="宋体"/>
          <w:sz w:val="24"/>
          <w:highlight w:val="none"/>
          <w:lang w:val="zh-CN"/>
        </w:rPr>
        <w:t>日</w:t>
      </w:r>
      <w:r>
        <w:rPr>
          <w:rFonts w:hint="eastAsia" w:ascii="宋体" w:hAnsi="宋体"/>
          <w:sz w:val="24"/>
          <w:highlight w:val="none"/>
        </w:rPr>
        <w:t>，</w:t>
      </w:r>
      <w:r>
        <w:rPr>
          <w:rFonts w:hint="eastAsia" w:ascii="宋体" w:hAnsi="宋体"/>
          <w:sz w:val="24"/>
          <w:highlight w:val="none"/>
          <w:u w:val="single"/>
        </w:rPr>
        <w:t>（采购人）</w:t>
      </w:r>
      <w:r>
        <w:rPr>
          <w:rFonts w:hint="eastAsia" w:ascii="宋体" w:hAnsi="宋体"/>
          <w:sz w:val="24"/>
          <w:highlight w:val="none"/>
        </w:rPr>
        <w:t>（以下简称“甲方”）以</w:t>
      </w:r>
      <w:r>
        <w:rPr>
          <w:rFonts w:hint="eastAsia" w:ascii="宋体" w:hAnsi="宋体"/>
          <w:sz w:val="24"/>
          <w:highlight w:val="none"/>
          <w:u w:val="single"/>
        </w:rPr>
        <w:t>竞争性磋商</w:t>
      </w:r>
      <w:r>
        <w:rPr>
          <w:rFonts w:hint="eastAsia" w:ascii="宋体" w:hAnsi="宋体"/>
          <w:sz w:val="24"/>
          <w:highlight w:val="none"/>
        </w:rPr>
        <w:t>的方式对</w:t>
      </w:r>
      <w:r>
        <w:rPr>
          <w:rFonts w:hint="eastAsia" w:ascii="宋体" w:hAnsi="宋体"/>
          <w:sz w:val="24"/>
          <w:highlight w:val="none"/>
          <w:u w:val="single"/>
        </w:rPr>
        <w:t>“（</w:t>
      </w:r>
      <w:r>
        <w:rPr>
          <w:rFonts w:hint="eastAsia" w:hAnsi="宋体"/>
          <w:sz w:val="24"/>
          <w:highlight w:val="none"/>
          <w:u w:val="single"/>
        </w:rPr>
        <w:t>项目名称）</w:t>
      </w:r>
      <w:r>
        <w:rPr>
          <w:rFonts w:hint="eastAsia" w:ascii="宋体" w:hAnsi="宋体"/>
          <w:sz w:val="24"/>
          <w:highlight w:val="none"/>
          <w:u w:val="single"/>
        </w:rPr>
        <w:t>”</w:t>
      </w:r>
      <w:r>
        <w:rPr>
          <w:rFonts w:hint="eastAsia" w:ascii="宋体" w:hAnsi="宋体"/>
          <w:sz w:val="24"/>
          <w:highlight w:val="none"/>
        </w:rPr>
        <w:t>（项目编号：（项目编号））进行了采购。经</w:t>
      </w:r>
      <w:r>
        <w:rPr>
          <w:rFonts w:hint="eastAsia" w:ascii="宋体" w:hAnsi="宋体"/>
          <w:sz w:val="24"/>
          <w:highlight w:val="none"/>
          <w:u w:val="single"/>
        </w:rPr>
        <w:t>磋商小组</w:t>
      </w:r>
      <w:r>
        <w:rPr>
          <w:rFonts w:hint="eastAsia" w:ascii="宋体" w:hAnsi="宋体"/>
          <w:sz w:val="24"/>
          <w:highlight w:val="none"/>
        </w:rPr>
        <w:t>评定，</w:t>
      </w:r>
      <w:r>
        <w:rPr>
          <w:rFonts w:hint="eastAsia" w:ascii="宋体" w:hAnsi="宋体"/>
          <w:sz w:val="24"/>
          <w:highlight w:val="none"/>
          <w:u w:val="single"/>
        </w:rPr>
        <w:t xml:space="preserve">  （成交供应商名称） </w:t>
      </w:r>
      <w:r>
        <w:rPr>
          <w:rFonts w:hint="eastAsia" w:ascii="宋体" w:hAnsi="宋体"/>
          <w:sz w:val="24"/>
          <w:highlight w:val="none"/>
        </w:rPr>
        <w:t>（以下简称“乙方”）为该项目成交供应商。现于成交通知书发出之日起三十日内，按照采购文件确定的事项签订本合同。</w:t>
      </w:r>
    </w:p>
    <w:p>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w:t>
      </w:r>
      <w:r>
        <w:rPr>
          <w:rFonts w:hint="eastAsia" w:ascii="宋体" w:hAnsi="宋体"/>
          <w:sz w:val="24"/>
          <w:highlight w:val="none"/>
        </w:rPr>
        <w:t>民法典</w:t>
      </w:r>
      <w:r>
        <w:rPr>
          <w:rFonts w:hint="eastAsia" w:ascii="宋体" w:hAnsi="宋体"/>
          <w:sz w:val="24"/>
          <w:highlight w:val="none"/>
          <w:lang w:val="zh-CN"/>
        </w:rPr>
        <w:t>》、《中华人民共和国政府采购法》等相关法律法规之规定，按照平等、自愿、公平和诚实信用的原则，经甲方和乙方协商一致，约定以下合同</w:t>
      </w:r>
      <w:r>
        <w:rPr>
          <w:rFonts w:hint="eastAsia" w:ascii="宋体" w:hAnsi="宋体"/>
          <w:sz w:val="24"/>
          <w:highlight w:val="none"/>
        </w:rPr>
        <w:t>条款，以兹共同遵守、全面履行。</w:t>
      </w:r>
    </w:p>
    <w:p>
      <w:pPr>
        <w:spacing w:line="360" w:lineRule="auto"/>
        <w:ind w:firstLine="482" w:firstLineChars="200"/>
        <w:rPr>
          <w:rFonts w:ascii="宋体" w:hAnsi="宋体"/>
          <w:sz w:val="24"/>
          <w:highlight w:val="none"/>
        </w:rPr>
      </w:pPr>
      <w:bookmarkStart w:id="175" w:name="_Toc6601"/>
      <w:bookmarkStart w:id="176" w:name="_Toc26482"/>
      <w:bookmarkStart w:id="177" w:name="_Toc28855"/>
      <w:bookmarkStart w:id="178" w:name="_Toc19273"/>
      <w:bookmarkStart w:id="179" w:name="_Toc9470"/>
      <w:bookmarkStart w:id="180" w:name="_Toc15367"/>
      <w:bookmarkStart w:id="181" w:name="_Toc20421"/>
      <w:bookmarkStart w:id="182" w:name="_Toc22967"/>
      <w:r>
        <w:rPr>
          <w:rFonts w:hint="eastAsia" w:ascii="宋体" w:hAnsi="宋体"/>
          <w:b/>
          <w:sz w:val="24"/>
          <w:highlight w:val="none"/>
        </w:rPr>
        <w:t>1.1合同组成部分</w:t>
      </w:r>
      <w:bookmarkEnd w:id="175"/>
      <w:bookmarkEnd w:id="176"/>
      <w:bookmarkEnd w:id="177"/>
      <w:bookmarkEnd w:id="178"/>
      <w:bookmarkEnd w:id="179"/>
      <w:bookmarkEnd w:id="180"/>
      <w:bookmarkEnd w:id="181"/>
      <w:bookmarkEnd w:id="182"/>
    </w:p>
    <w:p>
      <w:pPr>
        <w:spacing w:line="360" w:lineRule="auto"/>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sz w:val="24"/>
          <w:highlight w:val="none"/>
        </w:rPr>
      </w:pPr>
      <w:r>
        <w:rPr>
          <w:rFonts w:hint="eastAsia" w:ascii="宋体" w:hAnsi="宋体"/>
          <w:sz w:val="24"/>
          <w:highlight w:val="none"/>
        </w:rPr>
        <w:t>1.1.1本合同及其补充合同、变更协议；</w:t>
      </w:r>
    </w:p>
    <w:p>
      <w:pPr>
        <w:spacing w:line="360" w:lineRule="auto"/>
        <w:ind w:firstLine="480" w:firstLineChars="200"/>
        <w:rPr>
          <w:rFonts w:ascii="宋体" w:hAnsi="宋体"/>
          <w:sz w:val="24"/>
          <w:highlight w:val="none"/>
        </w:rPr>
      </w:pPr>
      <w:r>
        <w:rPr>
          <w:rFonts w:hint="eastAsia" w:ascii="宋体" w:hAnsi="宋体"/>
          <w:sz w:val="24"/>
          <w:highlight w:val="none"/>
        </w:rPr>
        <w:t>1.1.2成交通知书；</w:t>
      </w:r>
    </w:p>
    <w:p>
      <w:pPr>
        <w:spacing w:line="360" w:lineRule="auto"/>
        <w:ind w:firstLine="480" w:firstLineChars="200"/>
        <w:rPr>
          <w:rFonts w:ascii="宋体" w:hAnsi="宋体"/>
          <w:sz w:val="24"/>
          <w:highlight w:val="none"/>
        </w:rPr>
      </w:pPr>
      <w:r>
        <w:rPr>
          <w:rFonts w:hint="eastAsia" w:ascii="宋体" w:hAnsi="宋体"/>
          <w:sz w:val="24"/>
          <w:highlight w:val="none"/>
        </w:rPr>
        <w:t>1.1.3响应文件（含澄清或者说明文件）；</w:t>
      </w:r>
    </w:p>
    <w:p>
      <w:pPr>
        <w:spacing w:line="360" w:lineRule="auto"/>
        <w:ind w:firstLine="480" w:firstLineChars="200"/>
        <w:rPr>
          <w:rFonts w:ascii="宋体" w:hAnsi="宋体"/>
          <w:sz w:val="24"/>
          <w:highlight w:val="none"/>
        </w:rPr>
      </w:pPr>
      <w:r>
        <w:rPr>
          <w:rFonts w:hint="eastAsia" w:ascii="宋体" w:hAnsi="宋体"/>
          <w:sz w:val="24"/>
          <w:highlight w:val="none"/>
        </w:rPr>
        <w:t>1.1.4竞争性磋商文件（含澄清或者修改文件）；</w:t>
      </w:r>
    </w:p>
    <w:p>
      <w:pPr>
        <w:spacing w:line="360" w:lineRule="auto"/>
        <w:ind w:firstLine="480" w:firstLineChars="200"/>
        <w:rPr>
          <w:rFonts w:ascii="宋体" w:hAnsi="宋体"/>
          <w:sz w:val="24"/>
          <w:highlight w:val="none"/>
        </w:rPr>
      </w:pPr>
      <w:r>
        <w:rPr>
          <w:rFonts w:hint="eastAsia" w:ascii="宋体" w:hAnsi="宋体"/>
          <w:sz w:val="24"/>
          <w:highlight w:val="none"/>
        </w:rPr>
        <w:t>1.1.5其他相关采购文件。</w:t>
      </w:r>
    </w:p>
    <w:p>
      <w:pPr>
        <w:spacing w:line="360" w:lineRule="auto"/>
        <w:ind w:firstLine="482" w:firstLineChars="200"/>
        <w:rPr>
          <w:rFonts w:ascii="宋体" w:hAnsi="宋体"/>
          <w:b/>
          <w:sz w:val="24"/>
          <w:highlight w:val="none"/>
        </w:rPr>
      </w:pPr>
      <w:bookmarkStart w:id="183" w:name="_Toc18585"/>
      <w:bookmarkStart w:id="184" w:name="_Toc16407"/>
      <w:bookmarkStart w:id="185" w:name="_Toc6311"/>
      <w:bookmarkStart w:id="186" w:name="_Toc2918"/>
      <w:bookmarkStart w:id="187" w:name="_Toc22185"/>
      <w:bookmarkStart w:id="188" w:name="_Toc6773"/>
      <w:bookmarkStart w:id="189" w:name="_Toc18557"/>
      <w:bookmarkStart w:id="190" w:name="_Toc30141"/>
      <w:r>
        <w:rPr>
          <w:rFonts w:hint="eastAsia" w:ascii="宋体" w:hAnsi="宋体"/>
          <w:b/>
          <w:sz w:val="24"/>
          <w:highlight w:val="none"/>
        </w:rPr>
        <w:t>1.2标的</w:t>
      </w:r>
      <w:bookmarkEnd w:id="183"/>
      <w:bookmarkEnd w:id="184"/>
      <w:bookmarkEnd w:id="185"/>
      <w:bookmarkEnd w:id="186"/>
      <w:bookmarkEnd w:id="187"/>
      <w:bookmarkEnd w:id="188"/>
      <w:bookmarkEnd w:id="189"/>
      <w:bookmarkEnd w:id="190"/>
    </w:p>
    <w:p>
      <w:pPr>
        <w:spacing w:line="360" w:lineRule="auto"/>
        <w:ind w:firstLine="480" w:firstLineChars="200"/>
        <w:rPr>
          <w:rFonts w:ascii="宋体" w:hAnsi="宋体"/>
          <w:sz w:val="24"/>
          <w:highlight w:val="none"/>
          <w:u w:val="single"/>
        </w:rPr>
      </w:pPr>
      <w:bookmarkStart w:id="191" w:name="_Toc5635"/>
      <w:bookmarkStart w:id="192" w:name="_Toc13918"/>
      <w:bookmarkStart w:id="193" w:name="_Toc1386"/>
      <w:bookmarkStart w:id="194" w:name="_Toc20141"/>
      <w:bookmarkStart w:id="195" w:name="_Toc6409"/>
      <w:bookmarkStart w:id="196" w:name="_Toc21782"/>
      <w:bookmarkStart w:id="197" w:name="_Toc21124"/>
      <w:bookmarkStart w:id="198" w:name="_Toc4929"/>
      <w:r>
        <w:rPr>
          <w:rFonts w:hint="eastAsia" w:ascii="宋体" w:hAnsi="宋体"/>
          <w:sz w:val="24"/>
          <w:highlight w:val="none"/>
        </w:rPr>
        <w:t>1.2.1标的名称：</w:t>
      </w:r>
      <w:r>
        <w:rPr>
          <w:rFonts w:hint="eastAsia" w:ascii="宋体" w:hAnsi="宋体"/>
          <w:sz w:val="24"/>
          <w:highlight w:val="none"/>
          <w:u w:val="single"/>
        </w:rPr>
        <w:t>陕西省生态环境视频遥感信息能力建设</w:t>
      </w:r>
      <w:r>
        <w:rPr>
          <w:rFonts w:hint="eastAsia" w:ascii="宋体" w:hAnsi="宋体"/>
          <w:sz w:val="24"/>
          <w:highlight w:val="none"/>
        </w:rPr>
        <w:t>；</w:t>
      </w:r>
    </w:p>
    <w:p>
      <w:pPr>
        <w:spacing w:line="360" w:lineRule="auto"/>
        <w:ind w:firstLine="480" w:firstLineChars="200"/>
        <w:rPr>
          <w:rFonts w:ascii="宋体" w:hAnsi="宋体"/>
          <w:sz w:val="24"/>
          <w:highlight w:val="none"/>
          <w:u w:val="single"/>
        </w:rPr>
      </w:pPr>
      <w:r>
        <w:rPr>
          <w:rFonts w:hint="eastAsia" w:ascii="宋体" w:hAnsi="宋体"/>
          <w:sz w:val="24"/>
          <w:highlight w:val="none"/>
        </w:rPr>
        <w:t>1.2.2标的数量：</w:t>
      </w:r>
      <w:r>
        <w:rPr>
          <w:rFonts w:hint="eastAsia" w:ascii="宋体" w:hAnsi="宋体"/>
          <w:sz w:val="24"/>
          <w:highlight w:val="none"/>
          <w:u w:val="single"/>
        </w:rPr>
        <w:t>1项</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1.2.3标的质量：</w:t>
      </w:r>
      <w:r>
        <w:rPr>
          <w:rFonts w:hint="eastAsia" w:ascii="宋体" w:hAnsi="宋体"/>
          <w:sz w:val="24"/>
          <w:highlight w:val="none"/>
          <w:u w:val="single"/>
        </w:rPr>
        <w:t>符合国家、行业相关标准，以及采购文件要求</w:t>
      </w:r>
      <w:r>
        <w:rPr>
          <w:rFonts w:hint="eastAsia" w:ascii="宋体" w:hAnsi="宋体"/>
          <w:sz w:val="24"/>
          <w:highlight w:val="none"/>
        </w:rPr>
        <w:t>。</w:t>
      </w:r>
    </w:p>
    <w:p>
      <w:pPr>
        <w:spacing w:line="360" w:lineRule="auto"/>
        <w:ind w:firstLine="482" w:firstLineChars="200"/>
        <w:rPr>
          <w:rFonts w:ascii="宋体" w:hAnsi="宋体"/>
          <w:b/>
          <w:sz w:val="24"/>
          <w:highlight w:val="none"/>
        </w:rPr>
      </w:pPr>
      <w:r>
        <w:rPr>
          <w:rFonts w:hint="eastAsia" w:ascii="宋体" w:hAnsi="宋体"/>
          <w:b/>
          <w:sz w:val="24"/>
          <w:highlight w:val="none"/>
        </w:rPr>
        <w:t>1.3价款</w:t>
      </w:r>
      <w:bookmarkEnd w:id="191"/>
      <w:bookmarkEnd w:id="192"/>
      <w:bookmarkEnd w:id="193"/>
      <w:bookmarkEnd w:id="194"/>
      <w:bookmarkEnd w:id="195"/>
      <w:bookmarkEnd w:id="196"/>
      <w:bookmarkEnd w:id="197"/>
      <w:bookmarkEnd w:id="198"/>
    </w:p>
    <w:p>
      <w:pPr>
        <w:spacing w:line="360" w:lineRule="auto"/>
        <w:ind w:firstLine="480" w:firstLineChars="200"/>
        <w:rPr>
          <w:rFonts w:ascii="宋体" w:hAnsi="宋体"/>
          <w:sz w:val="24"/>
          <w:highlight w:val="none"/>
        </w:rPr>
      </w:pPr>
      <w:r>
        <w:rPr>
          <w:rFonts w:hint="eastAsia" w:ascii="宋体" w:hAnsi="宋体"/>
          <w:sz w:val="24"/>
          <w:highlight w:val="none"/>
        </w:rPr>
        <w:t>本合同总价为：￥</w:t>
      </w:r>
      <w:r>
        <w:rPr>
          <w:rFonts w:hint="eastAsia" w:ascii="宋体" w:hAnsi="宋体"/>
          <w:sz w:val="24"/>
          <w:highlight w:val="none"/>
          <w:u w:val="single"/>
        </w:rPr>
        <w:t xml:space="preserve">           </w:t>
      </w:r>
      <w:r>
        <w:rPr>
          <w:rFonts w:hint="eastAsia" w:ascii="宋体" w:hAnsi="宋体"/>
          <w:sz w:val="24"/>
          <w:highlight w:val="none"/>
        </w:rPr>
        <w:t>元（大写：</w:t>
      </w:r>
      <w:r>
        <w:rPr>
          <w:rFonts w:hint="eastAsia" w:ascii="宋体" w:hAnsi="宋体"/>
          <w:sz w:val="24"/>
          <w:highlight w:val="none"/>
          <w:u w:val="single"/>
        </w:rPr>
        <w:t xml:space="preserve">                 </w:t>
      </w:r>
      <w:r>
        <w:rPr>
          <w:rFonts w:hint="eastAsia" w:ascii="宋体" w:hAnsi="宋体"/>
          <w:sz w:val="24"/>
          <w:highlight w:val="none"/>
        </w:rPr>
        <w:t>元人民币）。</w:t>
      </w:r>
    </w:p>
    <w:p>
      <w:pPr>
        <w:spacing w:line="360" w:lineRule="auto"/>
        <w:ind w:firstLine="480" w:firstLineChars="200"/>
        <w:rPr>
          <w:rFonts w:ascii="宋体" w:hAnsi="宋体"/>
          <w:sz w:val="24"/>
          <w:highlight w:val="none"/>
          <w:u w:val="single"/>
        </w:rPr>
      </w:pPr>
      <w:r>
        <w:rPr>
          <w:rFonts w:hint="eastAsia" w:ascii="宋体" w:hAnsi="宋体"/>
          <w:sz w:val="24"/>
          <w:highlight w:val="none"/>
        </w:rPr>
        <w:t>分项价格：</w:t>
      </w:r>
    </w:p>
    <w:tbl>
      <w:tblPr>
        <w:tblStyle w:val="2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3"/>
              <w:spacing w:line="360" w:lineRule="auto"/>
              <w:jc w:val="center"/>
              <w:rPr>
                <w:rFonts w:hAnsi="宋体" w:cs="宋体"/>
                <w:sz w:val="24"/>
                <w:szCs w:val="24"/>
                <w:highlight w:val="none"/>
              </w:rPr>
            </w:pPr>
            <w:r>
              <w:rPr>
                <w:rFonts w:hint="eastAsia" w:hAnsi="宋体" w:cs="宋体"/>
                <w:sz w:val="24"/>
                <w:szCs w:val="24"/>
                <w:highlight w:val="none"/>
              </w:rPr>
              <w:t>序号</w:t>
            </w:r>
          </w:p>
        </w:tc>
        <w:tc>
          <w:tcPr>
            <w:tcW w:w="3402" w:type="dxa"/>
            <w:vAlign w:val="center"/>
          </w:tcPr>
          <w:p>
            <w:pPr>
              <w:pStyle w:val="33"/>
              <w:spacing w:line="360" w:lineRule="auto"/>
              <w:ind w:firstLine="200"/>
              <w:jc w:val="center"/>
              <w:rPr>
                <w:rFonts w:hAnsi="宋体" w:cs="宋体"/>
                <w:sz w:val="24"/>
                <w:szCs w:val="24"/>
                <w:highlight w:val="none"/>
              </w:rPr>
            </w:pPr>
            <w:r>
              <w:rPr>
                <w:rFonts w:hint="eastAsia" w:hAnsi="宋体" w:cs="宋体"/>
                <w:sz w:val="24"/>
                <w:szCs w:val="24"/>
                <w:highlight w:val="none"/>
              </w:rPr>
              <w:t>分项名称</w:t>
            </w:r>
          </w:p>
        </w:tc>
        <w:tc>
          <w:tcPr>
            <w:tcW w:w="2552" w:type="dxa"/>
            <w:vAlign w:val="center"/>
          </w:tcPr>
          <w:p>
            <w:pPr>
              <w:pStyle w:val="33"/>
              <w:spacing w:line="360" w:lineRule="auto"/>
              <w:jc w:val="center"/>
              <w:rPr>
                <w:rFonts w:hAnsi="宋体" w:cs="宋体"/>
                <w:sz w:val="24"/>
                <w:szCs w:val="24"/>
                <w:highlight w:val="none"/>
              </w:rPr>
            </w:pPr>
            <w:r>
              <w:rPr>
                <w:rFonts w:hint="eastAsia" w:hAnsi="宋体" w:cs="宋体"/>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3"/>
              <w:spacing w:line="360" w:lineRule="auto"/>
              <w:ind w:firstLine="200"/>
              <w:jc w:val="center"/>
              <w:rPr>
                <w:rFonts w:hAnsi="宋体" w:cs="宋体"/>
                <w:sz w:val="24"/>
                <w:szCs w:val="24"/>
                <w:highlight w:val="none"/>
              </w:rPr>
            </w:pPr>
          </w:p>
        </w:tc>
        <w:tc>
          <w:tcPr>
            <w:tcW w:w="3402" w:type="dxa"/>
            <w:vAlign w:val="center"/>
          </w:tcPr>
          <w:p>
            <w:pPr>
              <w:pStyle w:val="33"/>
              <w:spacing w:line="360" w:lineRule="auto"/>
              <w:ind w:firstLine="200"/>
              <w:jc w:val="center"/>
              <w:rPr>
                <w:rFonts w:hAnsi="宋体" w:cs="宋体"/>
                <w:sz w:val="24"/>
                <w:szCs w:val="24"/>
                <w:highlight w:val="none"/>
              </w:rPr>
            </w:pPr>
          </w:p>
        </w:tc>
        <w:tc>
          <w:tcPr>
            <w:tcW w:w="2552" w:type="dxa"/>
            <w:vAlign w:val="center"/>
          </w:tcPr>
          <w:p>
            <w:pPr>
              <w:pStyle w:val="33"/>
              <w:spacing w:line="360" w:lineRule="auto"/>
              <w:ind w:firstLine="200"/>
              <w:jc w:val="center"/>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3"/>
              <w:spacing w:line="360" w:lineRule="auto"/>
              <w:ind w:firstLine="200"/>
              <w:jc w:val="center"/>
              <w:rPr>
                <w:rFonts w:hAnsi="宋体" w:cs="宋体"/>
                <w:sz w:val="24"/>
                <w:szCs w:val="24"/>
                <w:highlight w:val="none"/>
              </w:rPr>
            </w:pPr>
          </w:p>
        </w:tc>
        <w:tc>
          <w:tcPr>
            <w:tcW w:w="3402" w:type="dxa"/>
            <w:vAlign w:val="center"/>
          </w:tcPr>
          <w:p>
            <w:pPr>
              <w:pStyle w:val="33"/>
              <w:spacing w:line="360" w:lineRule="auto"/>
              <w:ind w:firstLine="200"/>
              <w:jc w:val="center"/>
              <w:rPr>
                <w:rFonts w:hAnsi="宋体" w:cs="宋体"/>
                <w:sz w:val="24"/>
                <w:szCs w:val="24"/>
                <w:highlight w:val="none"/>
              </w:rPr>
            </w:pPr>
          </w:p>
        </w:tc>
        <w:tc>
          <w:tcPr>
            <w:tcW w:w="2552" w:type="dxa"/>
            <w:vAlign w:val="center"/>
          </w:tcPr>
          <w:p>
            <w:pPr>
              <w:pStyle w:val="33"/>
              <w:spacing w:line="360" w:lineRule="auto"/>
              <w:ind w:firstLine="200"/>
              <w:jc w:val="center"/>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3"/>
              <w:spacing w:line="360" w:lineRule="auto"/>
              <w:ind w:firstLine="200"/>
              <w:jc w:val="center"/>
              <w:rPr>
                <w:rFonts w:hAnsi="宋体" w:cs="宋体"/>
                <w:sz w:val="24"/>
                <w:szCs w:val="24"/>
                <w:highlight w:val="none"/>
              </w:rPr>
            </w:pPr>
          </w:p>
        </w:tc>
        <w:tc>
          <w:tcPr>
            <w:tcW w:w="3402" w:type="dxa"/>
            <w:vAlign w:val="center"/>
          </w:tcPr>
          <w:p>
            <w:pPr>
              <w:pStyle w:val="33"/>
              <w:spacing w:line="360" w:lineRule="auto"/>
              <w:ind w:firstLine="200"/>
              <w:jc w:val="center"/>
              <w:rPr>
                <w:rFonts w:hAnsi="宋体" w:cs="宋体"/>
                <w:sz w:val="24"/>
                <w:szCs w:val="24"/>
                <w:highlight w:val="none"/>
              </w:rPr>
            </w:pPr>
          </w:p>
        </w:tc>
        <w:tc>
          <w:tcPr>
            <w:tcW w:w="2552" w:type="dxa"/>
            <w:vAlign w:val="center"/>
          </w:tcPr>
          <w:p>
            <w:pPr>
              <w:pStyle w:val="33"/>
              <w:spacing w:line="360" w:lineRule="auto"/>
              <w:ind w:firstLine="200"/>
              <w:jc w:val="center"/>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3"/>
              <w:spacing w:line="360" w:lineRule="auto"/>
              <w:ind w:firstLine="200"/>
              <w:jc w:val="center"/>
              <w:rPr>
                <w:rFonts w:hAnsi="宋体" w:cs="宋体"/>
                <w:sz w:val="24"/>
                <w:szCs w:val="24"/>
                <w:highlight w:val="none"/>
              </w:rPr>
            </w:pPr>
          </w:p>
        </w:tc>
        <w:tc>
          <w:tcPr>
            <w:tcW w:w="3402" w:type="dxa"/>
            <w:vAlign w:val="center"/>
          </w:tcPr>
          <w:p>
            <w:pPr>
              <w:pStyle w:val="33"/>
              <w:spacing w:line="360" w:lineRule="auto"/>
              <w:ind w:firstLine="200"/>
              <w:jc w:val="center"/>
              <w:rPr>
                <w:rFonts w:hAnsi="宋体" w:cs="宋体"/>
                <w:sz w:val="24"/>
                <w:szCs w:val="24"/>
                <w:highlight w:val="none"/>
              </w:rPr>
            </w:pPr>
          </w:p>
        </w:tc>
        <w:tc>
          <w:tcPr>
            <w:tcW w:w="2552" w:type="dxa"/>
            <w:vAlign w:val="center"/>
          </w:tcPr>
          <w:p>
            <w:pPr>
              <w:pStyle w:val="33"/>
              <w:spacing w:line="360" w:lineRule="auto"/>
              <w:ind w:firstLine="200"/>
              <w:jc w:val="center"/>
              <w:rPr>
                <w:rFonts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3"/>
              <w:spacing w:line="360" w:lineRule="auto"/>
              <w:ind w:firstLine="200"/>
              <w:jc w:val="center"/>
              <w:rPr>
                <w:rFonts w:hAnsi="宋体" w:cs="宋体"/>
                <w:sz w:val="24"/>
                <w:szCs w:val="24"/>
                <w:highlight w:val="none"/>
              </w:rPr>
            </w:pPr>
            <w:r>
              <w:rPr>
                <w:rFonts w:hint="eastAsia" w:hAnsi="宋体" w:cs="宋体"/>
                <w:sz w:val="24"/>
                <w:szCs w:val="24"/>
                <w:highlight w:val="none"/>
              </w:rPr>
              <w:t>总价</w:t>
            </w:r>
          </w:p>
        </w:tc>
        <w:tc>
          <w:tcPr>
            <w:tcW w:w="2552" w:type="dxa"/>
            <w:vAlign w:val="center"/>
          </w:tcPr>
          <w:p>
            <w:pPr>
              <w:pStyle w:val="33"/>
              <w:spacing w:line="360" w:lineRule="auto"/>
              <w:ind w:firstLine="200"/>
              <w:jc w:val="center"/>
              <w:rPr>
                <w:rFonts w:hAnsi="宋体" w:cs="宋体"/>
                <w:sz w:val="24"/>
                <w:szCs w:val="24"/>
                <w:highlight w:val="none"/>
              </w:rPr>
            </w:pPr>
          </w:p>
        </w:tc>
      </w:tr>
    </w:tbl>
    <w:p>
      <w:pPr>
        <w:spacing w:line="360" w:lineRule="auto"/>
        <w:ind w:firstLine="482" w:firstLineChars="200"/>
        <w:rPr>
          <w:rFonts w:ascii="宋体" w:hAnsi="宋体"/>
          <w:b/>
          <w:sz w:val="24"/>
          <w:highlight w:val="none"/>
        </w:rPr>
      </w:pPr>
      <w:bookmarkStart w:id="199" w:name="_Toc14993"/>
      <w:bookmarkStart w:id="200" w:name="_Toc13113"/>
      <w:bookmarkStart w:id="201" w:name="_Toc17639"/>
      <w:bookmarkStart w:id="202" w:name="_Toc30506"/>
      <w:bookmarkStart w:id="203" w:name="_Toc3654"/>
      <w:bookmarkStart w:id="204" w:name="_Toc30158"/>
      <w:bookmarkStart w:id="205" w:name="_Toc26916"/>
      <w:bookmarkStart w:id="206" w:name="_Toc15617"/>
      <w:r>
        <w:rPr>
          <w:rFonts w:hint="eastAsia" w:ascii="宋体" w:hAnsi="宋体"/>
          <w:b/>
          <w:sz w:val="24"/>
          <w:highlight w:val="none"/>
        </w:rPr>
        <w:t>1.4付款方式和发票开具方式</w:t>
      </w:r>
      <w:bookmarkEnd w:id="199"/>
      <w:bookmarkEnd w:id="200"/>
      <w:bookmarkEnd w:id="201"/>
      <w:bookmarkEnd w:id="202"/>
      <w:bookmarkEnd w:id="203"/>
      <w:bookmarkEnd w:id="204"/>
      <w:bookmarkEnd w:id="205"/>
      <w:bookmarkEnd w:id="20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highlight w:val="none"/>
          <w:lang w:val="hr-HR" w:eastAsia="zh-CN"/>
        </w:rPr>
      </w:pPr>
      <w:bookmarkStart w:id="207" w:name="_Toc4760"/>
      <w:bookmarkStart w:id="208" w:name="_Toc11108"/>
      <w:bookmarkStart w:id="209" w:name="_Toc8772"/>
      <w:bookmarkStart w:id="210" w:name="_Toc3625"/>
      <w:bookmarkStart w:id="211" w:name="_Toc19039"/>
      <w:bookmarkStart w:id="212" w:name="_Toc31421"/>
      <w:bookmarkStart w:id="213" w:name="_Toc17784"/>
      <w:bookmarkStart w:id="214" w:name="_Toc18630"/>
      <w:r>
        <w:rPr>
          <w:rFonts w:hint="eastAsia" w:ascii="宋体" w:hAnsi="宋体" w:cs="宋体"/>
          <w:sz w:val="24"/>
          <w:highlight w:val="none"/>
          <w:lang w:val="en-US" w:eastAsia="zh-CN"/>
        </w:rPr>
        <w:t>1.4.1</w:t>
      </w:r>
      <w:r>
        <w:rPr>
          <w:rFonts w:hint="eastAsia" w:ascii="宋体" w:hAnsi="宋体" w:cs="宋体"/>
          <w:sz w:val="24"/>
          <w:highlight w:val="none"/>
          <w:lang w:val="hr-HR" w:eastAsia="zh-CN"/>
        </w:rPr>
        <w:t>合同签订后</w:t>
      </w:r>
      <w:r>
        <w:rPr>
          <w:rFonts w:hint="eastAsia" w:ascii="宋体" w:hAnsi="宋体" w:cs="宋体"/>
          <w:sz w:val="24"/>
          <w:highlight w:val="none"/>
          <w:lang w:val="en-US" w:eastAsia="zh-CN"/>
        </w:rPr>
        <w:t>向成交供应商</w:t>
      </w:r>
      <w:r>
        <w:rPr>
          <w:rFonts w:hint="eastAsia" w:ascii="宋体" w:hAnsi="宋体" w:cs="宋体"/>
          <w:sz w:val="24"/>
          <w:highlight w:val="none"/>
          <w:lang w:val="hr-HR" w:eastAsia="zh-CN"/>
        </w:rPr>
        <w:t>支付合同总价款的</w:t>
      </w:r>
      <w:r>
        <w:rPr>
          <w:rFonts w:hint="eastAsia" w:ascii="宋体" w:hAnsi="宋体" w:cs="宋体"/>
          <w:sz w:val="24"/>
          <w:highlight w:val="none"/>
          <w:lang w:val="en-US" w:eastAsia="zh-CN"/>
        </w:rPr>
        <w:t>7</w:t>
      </w:r>
      <w:r>
        <w:rPr>
          <w:rFonts w:hint="eastAsia" w:ascii="宋体" w:hAnsi="宋体" w:cs="宋体"/>
          <w:sz w:val="24"/>
          <w:highlight w:val="none"/>
          <w:lang w:val="hr-HR" w:eastAsia="zh-CN"/>
        </w:rPr>
        <w:t>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highlight w:val="none"/>
          <w:lang w:val="hr-HR" w:eastAsia="zh-CN"/>
        </w:rPr>
      </w:pPr>
      <w:r>
        <w:rPr>
          <w:rFonts w:hint="eastAsia" w:ascii="宋体" w:hAnsi="宋体" w:cs="宋体"/>
          <w:sz w:val="24"/>
          <w:highlight w:val="none"/>
          <w:lang w:val="en-US" w:eastAsia="zh-CN"/>
        </w:rPr>
        <w:t>1.4.2成交供应商完成合同约定的所有服务且履约验收合格后，采购人向成交供应商支付合同款总额的30%</w:t>
      </w:r>
      <w:r>
        <w:rPr>
          <w:rFonts w:hint="eastAsia" w:ascii="宋体" w:hAnsi="宋体" w:cs="宋体"/>
          <w:sz w:val="24"/>
          <w:highlight w:val="none"/>
          <w:lang w:val="hr-HR"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1.4.3成交供应商承诺在采购人办理以上各期付款的支付手续前，为采购人出具等额的符合国家规定的发票；</w:t>
      </w:r>
    </w:p>
    <w:p>
      <w:pPr>
        <w:spacing w:line="360" w:lineRule="auto"/>
        <w:ind w:firstLine="480" w:firstLineChars="200"/>
        <w:rPr>
          <w:rFonts w:ascii="宋体" w:hAnsi="宋体"/>
          <w:sz w:val="24"/>
          <w:highlight w:val="none"/>
        </w:rPr>
      </w:pPr>
      <w:r>
        <w:rPr>
          <w:rFonts w:hint="eastAsia" w:ascii="宋体" w:hAnsi="宋体" w:cs="宋体"/>
          <w:sz w:val="24"/>
          <w:highlight w:val="none"/>
          <w:lang w:val="en-US" w:eastAsia="zh-CN"/>
        </w:rPr>
        <w:t>1.4.4上述时间不包括采购人正常办理支付报批手续的时间。</w:t>
      </w:r>
    </w:p>
    <w:p>
      <w:pPr>
        <w:spacing w:line="360" w:lineRule="auto"/>
        <w:ind w:firstLine="482" w:firstLineChars="200"/>
        <w:rPr>
          <w:rFonts w:ascii="宋体" w:hAnsi="宋体"/>
          <w:b/>
          <w:sz w:val="24"/>
          <w:highlight w:val="none"/>
        </w:rPr>
      </w:pPr>
      <w:r>
        <w:rPr>
          <w:rFonts w:hint="eastAsia" w:ascii="宋体" w:hAnsi="宋体"/>
          <w:b/>
          <w:sz w:val="24"/>
          <w:highlight w:val="none"/>
        </w:rPr>
        <w:t>1.5服务期限、地点和方式</w:t>
      </w:r>
      <w:bookmarkEnd w:id="207"/>
      <w:bookmarkEnd w:id="208"/>
      <w:bookmarkEnd w:id="209"/>
      <w:bookmarkEnd w:id="210"/>
      <w:bookmarkEnd w:id="211"/>
      <w:bookmarkEnd w:id="212"/>
      <w:bookmarkEnd w:id="213"/>
      <w:bookmarkEnd w:id="214"/>
    </w:p>
    <w:p>
      <w:pPr>
        <w:spacing w:line="360" w:lineRule="auto"/>
        <w:ind w:firstLine="480" w:firstLineChars="200"/>
        <w:rPr>
          <w:rFonts w:ascii="宋体" w:hAnsi="宋体"/>
          <w:sz w:val="24"/>
          <w:highlight w:val="none"/>
          <w:u w:val="single"/>
        </w:rPr>
      </w:pPr>
      <w:r>
        <w:rPr>
          <w:rFonts w:hint="eastAsia" w:ascii="宋体" w:hAnsi="宋体"/>
          <w:sz w:val="24"/>
          <w:highlight w:val="none"/>
        </w:rPr>
        <w:t>1.5.1服务期：合同签订后2个月内完工；</w:t>
      </w:r>
    </w:p>
    <w:p>
      <w:pPr>
        <w:spacing w:line="360" w:lineRule="auto"/>
        <w:ind w:firstLine="480" w:firstLineChars="200"/>
        <w:rPr>
          <w:rFonts w:ascii="宋体" w:hAnsi="宋体"/>
          <w:sz w:val="24"/>
          <w:highlight w:val="none"/>
          <w:u w:val="single"/>
        </w:rPr>
      </w:pPr>
      <w:r>
        <w:rPr>
          <w:rFonts w:hint="eastAsia" w:ascii="宋体" w:hAnsi="宋体"/>
          <w:sz w:val="24"/>
          <w:highlight w:val="none"/>
        </w:rPr>
        <w:t>1.5.2服务地点：</w:t>
      </w:r>
      <w:r>
        <w:rPr>
          <w:rFonts w:hint="eastAsia" w:ascii="宋体" w:hAnsi="宋体"/>
          <w:sz w:val="24"/>
          <w:highlight w:val="none"/>
          <w:u w:val="single"/>
        </w:rPr>
        <w:t>采购人指定地点</w:t>
      </w:r>
      <w:r>
        <w:rPr>
          <w:rFonts w:hint="eastAsia" w:ascii="宋体" w:hAnsi="宋体"/>
          <w:sz w:val="24"/>
          <w:highlight w:val="none"/>
        </w:rPr>
        <w:t>。</w:t>
      </w:r>
    </w:p>
    <w:p>
      <w:pPr>
        <w:spacing w:line="360" w:lineRule="auto"/>
        <w:ind w:firstLine="482" w:firstLineChars="200"/>
        <w:rPr>
          <w:rFonts w:ascii="宋体" w:hAnsi="宋体"/>
          <w:sz w:val="24"/>
          <w:highlight w:val="none"/>
          <w:u w:val="single"/>
        </w:rPr>
      </w:pPr>
      <w:bookmarkStart w:id="215" w:name="_Toc24662"/>
      <w:bookmarkStart w:id="216" w:name="_Toc15869"/>
      <w:bookmarkStart w:id="217" w:name="_Toc2375"/>
      <w:bookmarkStart w:id="218" w:name="_Toc8586"/>
      <w:bookmarkStart w:id="219" w:name="_Toc3079"/>
      <w:bookmarkStart w:id="220" w:name="_Toc3232"/>
      <w:bookmarkStart w:id="221" w:name="_Toc5698"/>
      <w:bookmarkStart w:id="222" w:name="_Toc18097"/>
      <w:r>
        <w:rPr>
          <w:rFonts w:hint="eastAsia" w:ascii="宋体" w:hAnsi="宋体"/>
          <w:b/>
          <w:sz w:val="24"/>
          <w:highlight w:val="none"/>
        </w:rPr>
        <w:t>1.6违约责任</w:t>
      </w:r>
      <w:bookmarkEnd w:id="215"/>
      <w:bookmarkEnd w:id="216"/>
      <w:bookmarkEnd w:id="217"/>
      <w:bookmarkEnd w:id="218"/>
      <w:bookmarkEnd w:id="219"/>
      <w:bookmarkEnd w:id="220"/>
      <w:bookmarkEnd w:id="221"/>
      <w:bookmarkEnd w:id="222"/>
    </w:p>
    <w:p>
      <w:pPr>
        <w:spacing w:line="360" w:lineRule="auto"/>
        <w:ind w:firstLine="480" w:firstLineChars="200"/>
        <w:rPr>
          <w:rFonts w:ascii="宋体" w:hAnsi="宋体"/>
          <w:sz w:val="24"/>
          <w:highlight w:val="none"/>
        </w:rPr>
      </w:pPr>
      <w:r>
        <w:rPr>
          <w:rFonts w:hint="eastAsia" w:ascii="宋体" w:hAnsi="宋体"/>
          <w:sz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sz w:val="24"/>
          <w:highlight w:val="none"/>
          <w:u w:val="single"/>
        </w:rPr>
        <w:t>0.5</w:t>
      </w:r>
      <w:r>
        <w:rPr>
          <w:rFonts w:hint="eastAsia" w:ascii="宋体" w:hAnsi="宋体"/>
          <w:sz w:val="24"/>
          <w:highlight w:val="none"/>
        </w:rPr>
        <w:t>%计算，最高限额为本合同总价的</w:t>
      </w:r>
      <w:r>
        <w:rPr>
          <w:rFonts w:hint="eastAsia" w:ascii="宋体" w:hAnsi="宋体"/>
          <w:sz w:val="24"/>
          <w:highlight w:val="none"/>
          <w:u w:val="single"/>
        </w:rPr>
        <w:t>5</w:t>
      </w:r>
      <w:r>
        <w:rPr>
          <w:rFonts w:hint="eastAsia" w:ascii="宋体" w:hAnsi="宋体"/>
          <w:sz w:val="24"/>
          <w:highlight w:val="none"/>
        </w:rPr>
        <w:t>%；迟延履行的违约金计算数额达到前述最高限额之日起，甲方有权在要求乙方支付违约金的同时，书面通知乙方解除本合同；</w:t>
      </w:r>
    </w:p>
    <w:p>
      <w:pPr>
        <w:spacing w:line="360" w:lineRule="auto"/>
        <w:ind w:firstLine="480" w:firstLineChars="200"/>
        <w:rPr>
          <w:rFonts w:ascii="宋体" w:hAnsi="宋体"/>
          <w:sz w:val="24"/>
          <w:highlight w:val="none"/>
        </w:rPr>
      </w:pPr>
      <w:r>
        <w:rPr>
          <w:rFonts w:hint="eastAsia" w:ascii="宋体" w:hAnsi="宋体"/>
          <w:sz w:val="24"/>
          <w:highlight w:val="none"/>
        </w:rPr>
        <w:t>1.6.2除不可抗力外，如果甲方没有按照本合同约定的付款方式付款，那么乙方可要求甲方支付违约金，违约金按每迟延付款一日的应付而未付款的</w:t>
      </w:r>
      <w:r>
        <w:rPr>
          <w:rFonts w:hint="eastAsia" w:ascii="宋体" w:hAnsi="宋体"/>
          <w:sz w:val="24"/>
          <w:highlight w:val="none"/>
          <w:u w:val="single"/>
        </w:rPr>
        <w:t>0.5</w:t>
      </w:r>
      <w:r>
        <w:rPr>
          <w:rFonts w:hint="eastAsia" w:ascii="宋体" w:hAnsi="宋体"/>
          <w:sz w:val="24"/>
          <w:highlight w:val="none"/>
        </w:rPr>
        <w:t>%计算，最高限额为本合同总价的</w:t>
      </w:r>
      <w:r>
        <w:rPr>
          <w:rFonts w:hint="eastAsia" w:ascii="宋体" w:hAnsi="宋体"/>
          <w:sz w:val="24"/>
          <w:highlight w:val="none"/>
          <w:u w:val="single"/>
        </w:rPr>
        <w:t>5</w:t>
      </w:r>
      <w:r>
        <w:rPr>
          <w:rFonts w:hint="eastAsia" w:ascii="宋体" w:hAnsi="宋体"/>
          <w:sz w:val="24"/>
          <w:highlight w:val="none"/>
        </w:rPr>
        <w:t>%；迟延付款的违约金计算数额达到前述最高限额之日起，乙方有权在要求甲方支付违约金的同时，书面通知甲方解除本合同；</w:t>
      </w:r>
    </w:p>
    <w:p>
      <w:pPr>
        <w:spacing w:line="360" w:lineRule="auto"/>
        <w:ind w:firstLine="480" w:firstLineChars="200"/>
        <w:rPr>
          <w:rFonts w:ascii="宋体" w:hAnsi="宋体"/>
          <w:sz w:val="24"/>
          <w:highlight w:val="none"/>
        </w:rPr>
      </w:pPr>
      <w:r>
        <w:rPr>
          <w:rFonts w:hint="eastAsia" w:ascii="宋体" w:hAnsi="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480" w:firstLineChars="200"/>
        <w:rPr>
          <w:rFonts w:ascii="宋体" w:hAnsi="宋体"/>
          <w:sz w:val="24"/>
          <w:highlight w:val="none"/>
        </w:rPr>
      </w:pPr>
      <w:r>
        <w:rPr>
          <w:rFonts w:hint="eastAsia" w:ascii="宋体" w:hAnsi="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ascii="宋体" w:hAnsi="宋体"/>
          <w:sz w:val="24"/>
          <w:highlight w:val="none"/>
        </w:rPr>
      </w:pPr>
      <w:r>
        <w:rPr>
          <w:rFonts w:hint="eastAsia" w:ascii="宋体" w:hAnsi="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sz w:val="24"/>
          <w:highlight w:val="none"/>
        </w:rPr>
      </w:pPr>
      <w:r>
        <w:rPr>
          <w:rFonts w:hint="eastAsia" w:ascii="宋体" w:hAnsi="宋体"/>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pPr>
        <w:spacing w:line="360" w:lineRule="auto"/>
        <w:ind w:firstLine="482" w:firstLineChars="200"/>
        <w:rPr>
          <w:rFonts w:ascii="宋体" w:hAnsi="宋体"/>
          <w:b/>
          <w:sz w:val="24"/>
          <w:highlight w:val="none"/>
        </w:rPr>
      </w:pPr>
      <w:bookmarkStart w:id="223" w:name="_Toc30329"/>
      <w:bookmarkStart w:id="224" w:name="_Toc32454"/>
      <w:bookmarkStart w:id="225" w:name="_Toc14686"/>
      <w:bookmarkStart w:id="226" w:name="_Toc18683"/>
      <w:bookmarkStart w:id="227" w:name="_Toc9497"/>
      <w:bookmarkStart w:id="228" w:name="_Toc29170"/>
      <w:bookmarkStart w:id="229" w:name="_Toc26807"/>
      <w:bookmarkStart w:id="230" w:name="_Toc14537"/>
      <w:r>
        <w:rPr>
          <w:rFonts w:hint="eastAsia" w:ascii="宋体" w:hAnsi="宋体"/>
          <w:b/>
          <w:sz w:val="24"/>
          <w:highlight w:val="none"/>
        </w:rPr>
        <w:t>1.7合同争议的解决</w:t>
      </w:r>
      <w:bookmarkEnd w:id="223"/>
      <w:bookmarkEnd w:id="224"/>
      <w:bookmarkEnd w:id="225"/>
      <w:bookmarkEnd w:id="226"/>
      <w:bookmarkEnd w:id="227"/>
      <w:bookmarkEnd w:id="228"/>
      <w:bookmarkEnd w:id="229"/>
      <w:bookmarkEnd w:id="230"/>
    </w:p>
    <w:p>
      <w:pPr>
        <w:spacing w:line="360" w:lineRule="auto"/>
        <w:ind w:firstLine="480" w:firstLineChars="200"/>
        <w:rPr>
          <w:rFonts w:ascii="宋体" w:hAnsi="宋体"/>
          <w:sz w:val="24"/>
          <w:highlight w:val="none"/>
        </w:rPr>
      </w:pPr>
      <w:r>
        <w:rPr>
          <w:rFonts w:hint="eastAsia" w:ascii="宋体" w:hAnsi="宋体"/>
          <w:sz w:val="24"/>
          <w:highlight w:val="none"/>
        </w:rPr>
        <w:t>本合同履行过程中发生的任何争议，双方当事人均可通过和解或者调解解决；不愿和解、调解或者和解、调解不成的，可以选择下列第</w:t>
      </w:r>
      <w:r>
        <w:rPr>
          <w:rFonts w:hint="eastAsia" w:ascii="宋体" w:hAnsi="宋体"/>
          <w:sz w:val="24"/>
          <w:highlight w:val="none"/>
          <w:u w:val="single"/>
        </w:rPr>
        <w:t>1.7.2款</w:t>
      </w:r>
      <w:r>
        <w:rPr>
          <w:rFonts w:hint="eastAsia" w:ascii="宋体" w:hAnsi="宋体"/>
          <w:sz w:val="24"/>
          <w:highlight w:val="none"/>
        </w:rPr>
        <w:t>方式解决：</w:t>
      </w:r>
    </w:p>
    <w:p>
      <w:pPr>
        <w:spacing w:line="360" w:lineRule="auto"/>
        <w:ind w:firstLine="480" w:firstLineChars="200"/>
        <w:rPr>
          <w:rFonts w:ascii="宋体" w:hAnsi="宋体"/>
          <w:sz w:val="24"/>
          <w:highlight w:val="none"/>
        </w:rPr>
      </w:pPr>
      <w:r>
        <w:rPr>
          <w:rFonts w:hint="eastAsia" w:ascii="宋体" w:hAnsi="宋体"/>
          <w:sz w:val="24"/>
          <w:highlight w:val="none"/>
        </w:rPr>
        <w:t>1.7.1将争议提交</w:t>
      </w:r>
      <w:r>
        <w:rPr>
          <w:rFonts w:hint="eastAsia" w:ascii="宋体" w:hAnsi="宋体"/>
          <w:sz w:val="24"/>
          <w:highlight w:val="none"/>
          <w:u w:val="single"/>
        </w:rPr>
        <w:t xml:space="preserve">   合同签订地   </w:t>
      </w:r>
      <w:r>
        <w:rPr>
          <w:rFonts w:hint="eastAsia" w:ascii="宋体" w:hAnsi="宋体"/>
          <w:sz w:val="24"/>
          <w:highlight w:val="none"/>
        </w:rPr>
        <w:t>仲裁委员会依申请仲裁时其现行有效的仲裁规则裁决；</w:t>
      </w:r>
    </w:p>
    <w:p>
      <w:pPr>
        <w:spacing w:line="360" w:lineRule="auto"/>
        <w:ind w:firstLine="480" w:firstLineChars="200"/>
        <w:rPr>
          <w:rFonts w:ascii="宋体" w:hAnsi="宋体"/>
          <w:sz w:val="24"/>
          <w:highlight w:val="none"/>
        </w:rPr>
      </w:pPr>
      <w:r>
        <w:rPr>
          <w:rFonts w:hint="eastAsia" w:ascii="宋体" w:hAnsi="宋体"/>
          <w:sz w:val="24"/>
          <w:highlight w:val="none"/>
        </w:rPr>
        <w:t>1.7.2向</w:t>
      </w:r>
      <w:r>
        <w:rPr>
          <w:rFonts w:hint="eastAsia" w:ascii="宋体" w:hAnsi="宋体"/>
          <w:sz w:val="24"/>
          <w:highlight w:val="none"/>
          <w:u w:val="single"/>
        </w:rPr>
        <w:t xml:space="preserve">   合同签订地   </w:t>
      </w:r>
      <w:r>
        <w:rPr>
          <w:rFonts w:hint="eastAsia" w:ascii="宋体" w:hAnsi="宋体"/>
          <w:sz w:val="24"/>
          <w:highlight w:val="none"/>
        </w:rPr>
        <w:t>人民法院起诉。</w:t>
      </w:r>
    </w:p>
    <w:p>
      <w:pPr>
        <w:spacing w:line="360" w:lineRule="auto"/>
        <w:ind w:firstLine="482" w:firstLineChars="200"/>
        <w:rPr>
          <w:rFonts w:ascii="宋体" w:hAnsi="宋体"/>
          <w:b/>
          <w:sz w:val="24"/>
          <w:highlight w:val="none"/>
        </w:rPr>
      </w:pPr>
      <w:bookmarkStart w:id="231" w:name="_Toc12273"/>
      <w:bookmarkStart w:id="232" w:name="_Toc15436"/>
      <w:bookmarkStart w:id="233" w:name="_Toc23784"/>
      <w:bookmarkStart w:id="234" w:name="_Toc26227"/>
      <w:bookmarkStart w:id="235" w:name="_Toc58"/>
      <w:bookmarkStart w:id="236" w:name="_Toc17829"/>
      <w:bookmarkStart w:id="237" w:name="_Toc15827"/>
      <w:bookmarkStart w:id="238" w:name="_Toc16417"/>
      <w:r>
        <w:rPr>
          <w:rFonts w:hint="eastAsia" w:ascii="宋体" w:hAnsi="宋体"/>
          <w:b/>
          <w:sz w:val="24"/>
          <w:highlight w:val="none"/>
        </w:rPr>
        <w:t>1.8合同生效</w:t>
      </w:r>
      <w:bookmarkEnd w:id="231"/>
      <w:bookmarkEnd w:id="232"/>
      <w:bookmarkEnd w:id="233"/>
      <w:bookmarkEnd w:id="234"/>
      <w:bookmarkEnd w:id="235"/>
      <w:bookmarkEnd w:id="236"/>
      <w:bookmarkEnd w:id="237"/>
      <w:bookmarkEnd w:id="238"/>
    </w:p>
    <w:p>
      <w:pPr>
        <w:spacing w:line="360" w:lineRule="auto"/>
        <w:ind w:firstLine="480" w:firstLineChars="200"/>
        <w:rPr>
          <w:rFonts w:ascii="宋体" w:hAnsi="宋体"/>
          <w:b/>
          <w:sz w:val="24"/>
          <w:highlight w:val="none"/>
        </w:rPr>
      </w:pPr>
      <w:r>
        <w:rPr>
          <w:rFonts w:hint="eastAsia" w:ascii="宋体" w:hAnsi="宋体"/>
          <w:sz w:val="24"/>
          <w:highlight w:val="none"/>
        </w:rPr>
        <w:t>本合同自双方当事人盖章或者签字时生效。</w:t>
      </w:r>
    </w:p>
    <w:p>
      <w:pPr>
        <w:spacing w:line="360" w:lineRule="auto"/>
        <w:ind w:firstLine="480" w:firstLineChars="200"/>
        <w:rPr>
          <w:rFonts w:ascii="宋体" w:hAnsi="宋体"/>
          <w:sz w:val="24"/>
          <w:highlight w:val="none"/>
          <w:lang w:val="zh-CN"/>
        </w:rPr>
      </w:pPr>
    </w:p>
    <w:p>
      <w:pPr>
        <w:spacing w:line="360" w:lineRule="auto"/>
        <w:ind w:firstLine="482" w:firstLineChars="200"/>
        <w:rPr>
          <w:rFonts w:ascii="宋体" w:hAnsi="宋体"/>
          <w:b/>
          <w:bCs/>
          <w:sz w:val="24"/>
          <w:highlight w:val="none"/>
          <w:lang w:val="zh-CN"/>
        </w:rPr>
      </w:pPr>
      <w:r>
        <w:rPr>
          <w:rFonts w:hint="eastAsia" w:ascii="宋体" w:hAnsi="宋体"/>
          <w:b/>
          <w:bCs/>
          <w:sz w:val="24"/>
          <w:highlight w:val="none"/>
          <w:lang w:val="zh-CN"/>
        </w:rPr>
        <w:t>甲方：                                   乙方：</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统一社会信用代码：                       统一社会信用代码或身份证号码：</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住所：                                   住所：</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法定代表人或                             法定代表人</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授权代表（签字）：                       或授权代表（签字）:</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联系人：                                 联系人：</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约定送达地址：                           约定送达地址：</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邮政编码：                               邮政编码：</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电话:                                    电话:</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传真:                                    传真:</w:t>
      </w:r>
    </w:p>
    <w:p>
      <w:pPr>
        <w:spacing w:line="360" w:lineRule="auto"/>
        <w:ind w:firstLine="480" w:firstLineChars="200"/>
        <w:rPr>
          <w:rFonts w:ascii="宋体" w:hAnsi="宋体"/>
          <w:sz w:val="24"/>
          <w:highlight w:val="none"/>
        </w:rPr>
      </w:pPr>
      <w:r>
        <w:rPr>
          <w:rFonts w:hint="eastAsia" w:ascii="宋体" w:hAnsi="宋体"/>
          <w:sz w:val="24"/>
          <w:highlight w:val="none"/>
          <w:lang w:val="zh-CN"/>
        </w:rPr>
        <w:t>电子邮箱：                               电子邮箱：</w:t>
      </w:r>
    </w:p>
    <w:p>
      <w:pPr>
        <w:spacing w:line="360" w:lineRule="auto"/>
        <w:ind w:firstLine="480" w:firstLineChars="200"/>
        <w:rPr>
          <w:rFonts w:ascii="宋体" w:hAnsi="宋体"/>
          <w:sz w:val="24"/>
          <w:highlight w:val="none"/>
        </w:rPr>
      </w:pPr>
      <w:r>
        <w:rPr>
          <w:rFonts w:hint="eastAsia" w:ascii="宋体" w:hAnsi="宋体"/>
          <w:sz w:val="24"/>
          <w:highlight w:val="none"/>
        </w:rPr>
        <w:t>开户银行：                               开户银行：</w:t>
      </w:r>
    </w:p>
    <w:p>
      <w:pPr>
        <w:spacing w:line="360" w:lineRule="auto"/>
        <w:ind w:firstLine="480" w:firstLineChars="200"/>
        <w:rPr>
          <w:rFonts w:ascii="宋体" w:hAnsi="宋体"/>
          <w:sz w:val="24"/>
          <w:highlight w:val="none"/>
        </w:rPr>
      </w:pPr>
      <w:r>
        <w:rPr>
          <w:rFonts w:hint="eastAsia" w:ascii="宋体" w:hAnsi="宋体"/>
          <w:sz w:val="24"/>
          <w:highlight w:val="none"/>
        </w:rPr>
        <w:t>开户名称：                               开户名称：</w:t>
      </w:r>
    </w:p>
    <w:p>
      <w:pPr>
        <w:spacing w:line="360" w:lineRule="auto"/>
        <w:ind w:firstLine="480" w:firstLineChars="200"/>
        <w:rPr>
          <w:rFonts w:ascii="宋体" w:hAnsi="宋体"/>
          <w:sz w:val="24"/>
          <w:highlight w:val="none"/>
        </w:rPr>
      </w:pPr>
      <w:r>
        <w:rPr>
          <w:rFonts w:hint="eastAsia" w:ascii="宋体" w:hAnsi="宋体"/>
          <w:sz w:val="24"/>
          <w:highlight w:val="none"/>
        </w:rPr>
        <w:t>开户账号：</w:t>
      </w:r>
      <w:r>
        <w:rPr>
          <w:rFonts w:hint="eastAsia" w:ascii="宋体" w:hAnsi="宋体"/>
          <w:sz w:val="24"/>
          <w:highlight w:val="none"/>
          <w:lang w:val="zh-CN"/>
        </w:rPr>
        <w:t xml:space="preserve">                               </w:t>
      </w:r>
      <w:r>
        <w:rPr>
          <w:rFonts w:hint="eastAsia" w:ascii="宋体" w:hAnsi="宋体"/>
          <w:sz w:val="24"/>
          <w:highlight w:val="none"/>
        </w:rPr>
        <w:t>开户账号：</w:t>
      </w:r>
    </w:p>
    <w:p>
      <w:pPr>
        <w:spacing w:line="360" w:lineRule="auto"/>
        <w:jc w:val="center"/>
        <w:outlineLvl w:val="1"/>
        <w:rPr>
          <w:rFonts w:ascii="黑体" w:hAnsi="黑体" w:eastAsia="黑体" w:cs="黑体"/>
          <w:sz w:val="32"/>
          <w:szCs w:val="32"/>
          <w:highlight w:val="none"/>
        </w:rPr>
      </w:pPr>
      <w:bookmarkStart w:id="239" w:name="_Toc3483"/>
      <w:bookmarkStart w:id="240" w:name="_Toc331685783"/>
      <w:r>
        <w:rPr>
          <w:rFonts w:hint="eastAsia" w:ascii="黑体" w:hAnsi="黑体" w:eastAsia="黑体" w:cs="黑体"/>
          <w:sz w:val="32"/>
          <w:szCs w:val="32"/>
          <w:highlight w:val="none"/>
        </w:rPr>
        <w:br w:type="page"/>
      </w:r>
      <w:bookmarkStart w:id="241" w:name="_Toc18269"/>
      <w:bookmarkStart w:id="242" w:name="_Toc16795"/>
      <w:bookmarkStart w:id="243" w:name="_Toc11838"/>
      <w:r>
        <w:rPr>
          <w:rFonts w:hint="eastAsia" w:ascii="黑体" w:hAnsi="黑体" w:eastAsia="黑体" w:cs="黑体"/>
          <w:b/>
          <w:bCs/>
          <w:sz w:val="32"/>
          <w:szCs w:val="32"/>
          <w:highlight w:val="none"/>
        </w:rPr>
        <w:t>二、合同一般条款</w:t>
      </w:r>
      <w:bookmarkEnd w:id="239"/>
      <w:bookmarkEnd w:id="240"/>
      <w:bookmarkEnd w:id="241"/>
      <w:bookmarkEnd w:id="242"/>
      <w:bookmarkEnd w:id="243"/>
    </w:p>
    <w:p>
      <w:pPr>
        <w:spacing w:line="360" w:lineRule="auto"/>
        <w:ind w:firstLine="482" w:firstLineChars="200"/>
        <w:rPr>
          <w:rFonts w:ascii="宋体" w:hAnsi="宋体"/>
          <w:b/>
          <w:sz w:val="24"/>
          <w:highlight w:val="none"/>
        </w:rPr>
      </w:pPr>
      <w:bookmarkStart w:id="244" w:name="_Ref467379195"/>
      <w:bookmarkStart w:id="245" w:name="_Ref467379214"/>
      <w:bookmarkStart w:id="246" w:name="_Toc14021"/>
      <w:bookmarkStart w:id="247" w:name="_Ref467379225"/>
      <w:bookmarkStart w:id="248" w:name="_Ref467379101"/>
      <w:bookmarkStart w:id="249" w:name="_Toc259093669"/>
      <w:bookmarkStart w:id="250" w:name="_Ref467378404"/>
      <w:bookmarkStart w:id="251" w:name="_Toc487900349"/>
      <w:bookmarkStart w:id="252" w:name="_Ref467379109"/>
      <w:bookmarkStart w:id="253" w:name="_Toc22731"/>
      <w:bookmarkStart w:id="254" w:name="_Toc19680"/>
      <w:bookmarkStart w:id="255" w:name="_Toc31297"/>
      <w:bookmarkStart w:id="256" w:name="_Ref467379205"/>
      <w:bookmarkStart w:id="257" w:name="_Toc25079"/>
      <w:bookmarkStart w:id="258" w:name="_Ref467378499"/>
      <w:bookmarkStart w:id="259" w:name="_Toc16972"/>
      <w:bookmarkStart w:id="260" w:name="_Ref467378463"/>
      <w:bookmarkStart w:id="261" w:name="_Toc26002"/>
      <w:bookmarkStart w:id="262" w:name="_Toc5228"/>
      <w:bookmarkStart w:id="263" w:name="_Ref467379094"/>
      <w:bookmarkStart w:id="264" w:name="_Toc279701240"/>
      <w:r>
        <w:rPr>
          <w:rFonts w:hint="eastAsia" w:ascii="宋体" w:hAnsi="宋体"/>
          <w:b/>
          <w:sz w:val="24"/>
          <w:highlight w:val="none"/>
        </w:rPr>
        <w:t>2.1定义</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pPr>
        <w:spacing w:line="360" w:lineRule="auto"/>
        <w:ind w:firstLine="480" w:firstLineChars="200"/>
        <w:rPr>
          <w:rFonts w:ascii="宋体" w:hAnsi="宋体"/>
          <w:sz w:val="24"/>
          <w:highlight w:val="none"/>
        </w:rPr>
      </w:pPr>
      <w:r>
        <w:rPr>
          <w:rFonts w:hint="eastAsia" w:ascii="宋体" w:hAnsi="宋体"/>
          <w:sz w:val="24"/>
          <w:highlight w:val="none"/>
        </w:rPr>
        <w:t>本合同中的下列词语应按以下内容进行解释：</w:t>
      </w:r>
    </w:p>
    <w:p>
      <w:pPr>
        <w:spacing w:line="360" w:lineRule="auto"/>
        <w:ind w:firstLine="480" w:firstLineChars="200"/>
        <w:rPr>
          <w:rFonts w:ascii="宋体" w:hAnsi="宋体"/>
          <w:sz w:val="24"/>
          <w:highlight w:val="none"/>
        </w:rPr>
      </w:pPr>
      <w:r>
        <w:rPr>
          <w:rFonts w:hint="eastAsia" w:ascii="宋体" w:hAnsi="宋体"/>
          <w:sz w:val="24"/>
          <w:highlight w:val="none"/>
        </w:rPr>
        <w:t>2.1.1“合同”系指采购人和成交供应商签订的载明双方当事人所达成的协议，并包括所有的附件、附录和构成合同的其他文件。</w:t>
      </w:r>
    </w:p>
    <w:p>
      <w:pPr>
        <w:spacing w:line="360" w:lineRule="auto"/>
        <w:ind w:firstLine="480" w:firstLineChars="200"/>
        <w:rPr>
          <w:rFonts w:ascii="宋体" w:hAnsi="宋体"/>
          <w:sz w:val="24"/>
          <w:highlight w:val="none"/>
        </w:rPr>
      </w:pPr>
      <w:r>
        <w:rPr>
          <w:rFonts w:hint="eastAsia" w:ascii="宋体" w:hAnsi="宋体"/>
          <w:sz w:val="24"/>
          <w:highlight w:val="none"/>
        </w:rPr>
        <w:t>2.1.2“合同价”系指根据合同约定，成交供应商在完全履行合同义务后，采购人应支付给成交供应商的价格。</w:t>
      </w:r>
    </w:p>
    <w:p>
      <w:pPr>
        <w:spacing w:line="360" w:lineRule="auto"/>
        <w:ind w:firstLine="480" w:firstLineChars="200"/>
        <w:rPr>
          <w:rFonts w:ascii="宋体" w:hAnsi="宋体"/>
          <w:sz w:val="24"/>
          <w:highlight w:val="none"/>
        </w:rPr>
      </w:pPr>
      <w:r>
        <w:rPr>
          <w:rFonts w:hint="eastAsia" w:ascii="宋体" w:hAnsi="宋体"/>
          <w:sz w:val="24"/>
          <w:highlight w:val="none"/>
        </w:rPr>
        <w:t>2.1.3“服务”系指成交供应商根据合同约定应向采购人履行的除货物和工程以外的其他政府采购对象，包括采购人自身需要的服务和向社会公众提供的公共服务。</w:t>
      </w:r>
    </w:p>
    <w:p>
      <w:pPr>
        <w:spacing w:line="360" w:lineRule="auto"/>
        <w:ind w:firstLine="480" w:firstLineChars="200"/>
        <w:rPr>
          <w:rFonts w:ascii="宋体" w:hAnsi="宋体"/>
          <w:sz w:val="24"/>
          <w:highlight w:val="none"/>
        </w:rPr>
      </w:pPr>
      <w:bookmarkStart w:id="265" w:name="_Ref467378840"/>
      <w:r>
        <w:rPr>
          <w:rFonts w:hint="eastAsia" w:ascii="宋体" w:hAnsi="宋体"/>
          <w:sz w:val="24"/>
          <w:highlight w:val="none"/>
        </w:rPr>
        <w:t>2.1.4“甲方”系指与成交供应商签署合同的采购人</w:t>
      </w:r>
      <w:bookmarkEnd w:id="265"/>
      <w:r>
        <w:rPr>
          <w:rFonts w:hint="eastAsia" w:ascii="宋体" w:hAnsi="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sz w:val="24"/>
          <w:highlight w:val="none"/>
        </w:rPr>
      </w:pPr>
      <w:bookmarkStart w:id="266" w:name="_Ref467379400"/>
      <w:r>
        <w:rPr>
          <w:rFonts w:hint="eastAsia" w:ascii="宋体" w:hAnsi="宋体"/>
          <w:sz w:val="24"/>
          <w:highlight w:val="none"/>
        </w:rPr>
        <w:t>2.1.5“乙方”系指根据合同约定提供服务的成交供应商</w:t>
      </w:r>
      <w:bookmarkEnd w:id="266"/>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highlight w:val="none"/>
        </w:rPr>
      </w:pPr>
      <w:bookmarkStart w:id="267" w:name="_Ref467379436"/>
      <w:r>
        <w:rPr>
          <w:rFonts w:hint="eastAsia" w:ascii="宋体" w:hAnsi="宋体"/>
          <w:sz w:val="24"/>
          <w:highlight w:val="none"/>
        </w:rPr>
        <w:t>2.1.6“现场”系指合同约定提供服务的地点。</w:t>
      </w:r>
      <w:bookmarkEnd w:id="267"/>
    </w:p>
    <w:p>
      <w:pPr>
        <w:spacing w:line="360" w:lineRule="auto"/>
        <w:ind w:firstLine="482" w:firstLineChars="200"/>
        <w:rPr>
          <w:rFonts w:ascii="宋体" w:hAnsi="宋体"/>
          <w:b/>
          <w:sz w:val="24"/>
          <w:highlight w:val="none"/>
        </w:rPr>
      </w:pPr>
      <w:bookmarkStart w:id="268" w:name="_Toc16752"/>
      <w:bookmarkStart w:id="269" w:name="_Toc22410"/>
      <w:bookmarkStart w:id="270" w:name="_Toc3769"/>
      <w:bookmarkStart w:id="271" w:name="_Toc279701241"/>
      <w:bookmarkStart w:id="272" w:name="_Toc259093670"/>
      <w:bookmarkStart w:id="273" w:name="_Toc23289"/>
      <w:bookmarkStart w:id="274" w:name="_Toc487900350"/>
      <w:bookmarkStart w:id="275" w:name="_Toc3565"/>
      <w:bookmarkStart w:id="276" w:name="_Toc31402"/>
      <w:bookmarkStart w:id="277" w:name="_Toc19539"/>
      <w:bookmarkStart w:id="278" w:name="_Toc4531"/>
      <w:r>
        <w:rPr>
          <w:rFonts w:hint="eastAsia" w:ascii="宋体" w:hAnsi="宋体"/>
          <w:b/>
          <w:sz w:val="24"/>
          <w:highlight w:val="none"/>
        </w:rPr>
        <w:t>2.2技术规范</w:t>
      </w:r>
      <w:bookmarkEnd w:id="268"/>
      <w:bookmarkEnd w:id="269"/>
      <w:bookmarkEnd w:id="270"/>
      <w:bookmarkEnd w:id="271"/>
      <w:bookmarkEnd w:id="272"/>
      <w:bookmarkEnd w:id="273"/>
      <w:bookmarkEnd w:id="274"/>
      <w:bookmarkEnd w:id="275"/>
      <w:bookmarkEnd w:id="276"/>
      <w:bookmarkEnd w:id="277"/>
      <w:bookmarkEnd w:id="278"/>
    </w:p>
    <w:p>
      <w:pPr>
        <w:spacing w:line="360" w:lineRule="auto"/>
        <w:ind w:firstLine="480" w:firstLineChars="200"/>
        <w:rPr>
          <w:rFonts w:ascii="宋体" w:hAnsi="宋体"/>
          <w:sz w:val="24"/>
          <w:highlight w:val="none"/>
        </w:rPr>
      </w:pPr>
      <w:r>
        <w:rPr>
          <w:rFonts w:hint="eastAsia" w:ascii="宋体" w:hAnsi="宋体"/>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rPr>
          <w:rFonts w:ascii="宋体" w:hAnsi="宋体"/>
          <w:b/>
          <w:sz w:val="24"/>
          <w:highlight w:val="none"/>
        </w:rPr>
      </w:pPr>
      <w:bookmarkStart w:id="279" w:name="_Toc15220"/>
      <w:bookmarkStart w:id="280" w:name="_Toc487900351"/>
      <w:bookmarkStart w:id="281" w:name="_Toc259093671"/>
      <w:bookmarkStart w:id="282" w:name="_Toc13673"/>
      <w:bookmarkStart w:id="283" w:name="_Toc9161"/>
      <w:bookmarkStart w:id="284" w:name="_Toc279701242"/>
      <w:bookmarkStart w:id="285" w:name="_Toc31298"/>
      <w:bookmarkStart w:id="286" w:name="_Toc12412"/>
      <w:bookmarkStart w:id="287" w:name="_Toc4133"/>
      <w:bookmarkStart w:id="288" w:name="_Toc32669"/>
      <w:bookmarkStart w:id="289" w:name="_Toc27945"/>
      <w:r>
        <w:rPr>
          <w:rFonts w:hint="eastAsia" w:ascii="宋体" w:hAnsi="宋体"/>
          <w:b/>
          <w:sz w:val="24"/>
          <w:highlight w:val="none"/>
        </w:rPr>
        <w:t>2.3知识产权</w:t>
      </w:r>
      <w:bookmarkEnd w:id="279"/>
      <w:bookmarkEnd w:id="280"/>
      <w:bookmarkEnd w:id="281"/>
      <w:bookmarkEnd w:id="282"/>
      <w:bookmarkEnd w:id="283"/>
      <w:bookmarkEnd w:id="284"/>
      <w:bookmarkEnd w:id="285"/>
      <w:bookmarkEnd w:id="286"/>
      <w:bookmarkEnd w:id="287"/>
      <w:bookmarkEnd w:id="288"/>
      <w:bookmarkEnd w:id="289"/>
    </w:p>
    <w:p>
      <w:pPr>
        <w:spacing w:line="360" w:lineRule="auto"/>
        <w:ind w:firstLine="480" w:firstLineChars="200"/>
        <w:rPr>
          <w:rFonts w:ascii="宋体" w:hAnsi="宋体"/>
          <w:sz w:val="24"/>
          <w:highlight w:val="none"/>
        </w:rPr>
      </w:pPr>
      <w:r>
        <w:rPr>
          <w:rFonts w:hint="eastAsia" w:ascii="宋体" w:hAnsi="宋体"/>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82" w:firstLineChars="200"/>
        <w:rPr>
          <w:rFonts w:ascii="宋体" w:hAnsi="宋体"/>
          <w:b/>
          <w:sz w:val="24"/>
          <w:highlight w:val="none"/>
        </w:rPr>
      </w:pPr>
      <w:r>
        <w:rPr>
          <w:rFonts w:hint="eastAsia" w:ascii="宋体" w:hAnsi="宋体"/>
          <w:b/>
          <w:sz w:val="24"/>
          <w:highlight w:val="none"/>
        </w:rPr>
        <w:t>2.4履约检查和问题反馈</w:t>
      </w:r>
    </w:p>
    <w:p>
      <w:pPr>
        <w:spacing w:line="360" w:lineRule="auto"/>
        <w:ind w:firstLine="480" w:firstLineChars="200"/>
        <w:rPr>
          <w:rFonts w:ascii="宋体" w:hAnsi="宋体"/>
          <w:sz w:val="24"/>
          <w:highlight w:val="none"/>
        </w:rPr>
      </w:pPr>
      <w:bookmarkStart w:id="290" w:name="_Ref467379657"/>
      <w:r>
        <w:rPr>
          <w:rFonts w:hint="eastAsia" w:ascii="宋体" w:hAnsi="宋体"/>
          <w:sz w:val="24"/>
          <w:highlight w:val="none"/>
        </w:rPr>
        <w:t>2.4.1</w:t>
      </w:r>
      <w:bookmarkEnd w:id="290"/>
      <w:bookmarkStart w:id="291" w:name="_Toc186431854"/>
      <w:bookmarkStart w:id="292" w:name="_Toc259093676"/>
      <w:bookmarkStart w:id="293" w:name="_Ref467379793"/>
      <w:bookmarkStart w:id="294" w:name="_Toc279701247"/>
      <w:bookmarkStart w:id="295" w:name="_Toc487900357"/>
      <w:bookmarkStart w:id="296" w:name="_Ref467379807"/>
      <w:r>
        <w:rPr>
          <w:rFonts w:hint="eastAsia" w:ascii="宋体" w:hAnsi="宋体"/>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hint="eastAsia" w:ascii="宋体" w:hAnsi="宋体" w:eastAsia="宋体" w:cs="宋体"/>
          <w:sz w:val="24"/>
          <w:highlight w:val="none"/>
        </w:rPr>
      </w:pPr>
      <w:r>
        <w:rPr>
          <w:rFonts w:hint="eastAsia" w:ascii="宋体" w:hAnsi="宋体"/>
          <w:sz w:val="24"/>
          <w:highlight w:val="none"/>
        </w:rPr>
        <w:t>2.4.2合同</w:t>
      </w:r>
      <w:r>
        <w:rPr>
          <w:rFonts w:hint="eastAsia" w:ascii="宋体" w:hAnsi="宋体" w:eastAsia="宋体" w:cs="宋体"/>
          <w:sz w:val="24"/>
          <w:highlight w:val="none"/>
        </w:rPr>
        <w:t>履行期间，甲方有权将履行过程中出现的问题反馈给乙方，双方当事人应以书面形式约定需要完善和改进的内容</w:t>
      </w:r>
      <w:bookmarkEnd w:id="291"/>
      <w:bookmarkStart w:id="297" w:name="_Toc186431855"/>
      <w:r>
        <w:rPr>
          <w:rFonts w:hint="eastAsia" w:ascii="宋体" w:hAnsi="宋体" w:eastAsia="宋体" w:cs="宋体"/>
          <w:sz w:val="24"/>
          <w:highlight w:val="none"/>
        </w:rPr>
        <w:t>。</w:t>
      </w:r>
    </w:p>
    <w:bookmarkEnd w:id="297"/>
    <w:p>
      <w:pPr>
        <w:spacing w:line="360" w:lineRule="auto"/>
        <w:ind w:firstLine="482" w:firstLineChars="200"/>
        <w:rPr>
          <w:rFonts w:hint="eastAsia" w:ascii="宋体" w:hAnsi="宋体" w:eastAsia="宋体" w:cs="宋体"/>
          <w:b/>
          <w:sz w:val="24"/>
          <w:highlight w:val="none"/>
        </w:rPr>
      </w:pPr>
      <w:bookmarkStart w:id="298" w:name="_Toc15447"/>
      <w:bookmarkStart w:id="299" w:name="_Toc22011"/>
      <w:bookmarkStart w:id="300" w:name="_Toc13247"/>
      <w:bookmarkStart w:id="301" w:name="_Toc32670"/>
      <w:bookmarkStart w:id="302" w:name="_Toc26555"/>
      <w:bookmarkStart w:id="303" w:name="_Toc7472"/>
      <w:bookmarkStart w:id="304" w:name="_Toc7860"/>
      <w:bookmarkStart w:id="305" w:name="_Toc31233"/>
      <w:r>
        <w:rPr>
          <w:rFonts w:hint="eastAsia" w:ascii="宋体" w:hAnsi="宋体" w:eastAsia="宋体" w:cs="宋体"/>
          <w:b/>
          <w:sz w:val="24"/>
          <w:highlight w:val="none"/>
        </w:rPr>
        <w:t>2.5结算方式和付款条件</w:t>
      </w:r>
      <w:bookmarkEnd w:id="292"/>
      <w:bookmarkEnd w:id="293"/>
      <w:bookmarkEnd w:id="294"/>
      <w:bookmarkEnd w:id="295"/>
      <w:bookmarkEnd w:id="296"/>
      <w:bookmarkEnd w:id="298"/>
      <w:bookmarkEnd w:id="299"/>
      <w:bookmarkEnd w:id="300"/>
      <w:bookmarkEnd w:id="301"/>
      <w:bookmarkEnd w:id="302"/>
      <w:bookmarkEnd w:id="303"/>
      <w:bookmarkEnd w:id="304"/>
      <w:bookmarkEnd w:id="30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highlight w:val="none"/>
          <w:lang w:val="hr-HR" w:eastAsia="zh-CN"/>
        </w:rPr>
      </w:pPr>
      <w:bookmarkStart w:id="306" w:name="_Ref467379852"/>
      <w:bookmarkStart w:id="307" w:name="_Toc259093677"/>
      <w:bookmarkStart w:id="308" w:name="_Ref467379863"/>
      <w:bookmarkStart w:id="309" w:name="_Toc279701248"/>
      <w:bookmarkStart w:id="310" w:name="_Ref467379923"/>
      <w:bookmarkStart w:id="311" w:name="_Toc487900358"/>
      <w:bookmarkStart w:id="312" w:name="_Toc13154"/>
      <w:bookmarkStart w:id="313" w:name="_Toc13467"/>
      <w:bookmarkStart w:id="314" w:name="_Toc30507"/>
      <w:bookmarkStart w:id="315" w:name="_Toc24255"/>
      <w:bookmarkStart w:id="316" w:name="_Toc18990"/>
      <w:bookmarkStart w:id="317" w:name="_Toc9974"/>
      <w:bookmarkStart w:id="318" w:name="_Toc16163"/>
      <w:bookmarkStart w:id="319" w:name="_Toc3886"/>
      <w:r>
        <w:rPr>
          <w:rFonts w:hint="eastAsia" w:ascii="宋体" w:hAnsi="宋体" w:cs="宋体"/>
          <w:sz w:val="24"/>
          <w:highlight w:val="none"/>
          <w:lang w:val="en-US" w:eastAsia="zh-CN"/>
        </w:rPr>
        <w:t>2.5.1</w:t>
      </w:r>
      <w:r>
        <w:rPr>
          <w:rFonts w:hint="eastAsia" w:ascii="宋体" w:hAnsi="宋体" w:cs="宋体"/>
          <w:sz w:val="24"/>
          <w:highlight w:val="none"/>
          <w:lang w:val="hr-HR" w:eastAsia="zh-CN"/>
        </w:rPr>
        <w:t>合同签订后</w:t>
      </w:r>
      <w:r>
        <w:rPr>
          <w:rFonts w:hint="eastAsia" w:ascii="宋体" w:hAnsi="宋体" w:cs="宋体"/>
          <w:sz w:val="24"/>
          <w:highlight w:val="none"/>
          <w:lang w:val="en-US" w:eastAsia="zh-CN"/>
        </w:rPr>
        <w:t>向成交供应商</w:t>
      </w:r>
      <w:r>
        <w:rPr>
          <w:rFonts w:hint="eastAsia" w:ascii="宋体" w:hAnsi="宋体" w:cs="宋体"/>
          <w:sz w:val="24"/>
          <w:highlight w:val="none"/>
          <w:lang w:val="hr-HR" w:eastAsia="zh-CN"/>
        </w:rPr>
        <w:t>支付合同总价款的</w:t>
      </w:r>
      <w:r>
        <w:rPr>
          <w:rFonts w:hint="eastAsia" w:ascii="宋体" w:hAnsi="宋体" w:cs="宋体"/>
          <w:sz w:val="24"/>
          <w:highlight w:val="none"/>
          <w:lang w:val="en-US" w:eastAsia="zh-CN"/>
        </w:rPr>
        <w:t>7</w:t>
      </w:r>
      <w:r>
        <w:rPr>
          <w:rFonts w:hint="eastAsia" w:ascii="宋体" w:hAnsi="宋体" w:cs="宋体"/>
          <w:sz w:val="24"/>
          <w:highlight w:val="none"/>
          <w:lang w:val="hr-HR" w:eastAsia="zh-CN"/>
        </w:rPr>
        <w:t>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highlight w:val="none"/>
          <w:lang w:val="hr-HR" w:eastAsia="zh-CN"/>
        </w:rPr>
      </w:pPr>
      <w:r>
        <w:rPr>
          <w:rFonts w:hint="eastAsia" w:ascii="宋体" w:hAnsi="宋体" w:cs="宋体"/>
          <w:sz w:val="24"/>
          <w:highlight w:val="none"/>
          <w:lang w:val="en-US" w:eastAsia="zh-CN"/>
        </w:rPr>
        <w:t>2.5.2成交供应商完成合同约定的所有服务且履约验收合格后，采购人向成交供应商支付合同款总额的30%</w:t>
      </w:r>
      <w:r>
        <w:rPr>
          <w:rFonts w:hint="eastAsia" w:ascii="宋体" w:hAnsi="宋体" w:cs="宋体"/>
          <w:sz w:val="24"/>
          <w:highlight w:val="none"/>
          <w:lang w:val="hr-HR"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2.5.3成交供应商承诺在采购人办理以上各期付款的支付手续前，为采购人出具等额的符合国家规定的发票；</w:t>
      </w:r>
    </w:p>
    <w:p>
      <w:pPr>
        <w:spacing w:line="360" w:lineRule="auto"/>
        <w:ind w:firstLine="480" w:firstLineChars="200"/>
        <w:rPr>
          <w:rFonts w:hint="eastAsia" w:ascii="宋体" w:hAnsi="宋体" w:eastAsia="宋体" w:cs="宋体"/>
          <w:b/>
          <w:sz w:val="24"/>
          <w:highlight w:val="none"/>
        </w:rPr>
      </w:pPr>
      <w:r>
        <w:rPr>
          <w:rFonts w:hint="eastAsia" w:ascii="宋体" w:hAnsi="宋体" w:cs="宋体"/>
          <w:sz w:val="24"/>
          <w:highlight w:val="none"/>
          <w:lang w:val="en-US" w:eastAsia="zh-CN"/>
        </w:rPr>
        <w:t>2.5.4上述时间不包括采购人正常办理支付报批手续的时间。</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2.6技术资料</w:t>
      </w:r>
      <w:bookmarkEnd w:id="306"/>
      <w:bookmarkEnd w:id="307"/>
      <w:bookmarkEnd w:id="308"/>
      <w:bookmarkEnd w:id="309"/>
      <w:bookmarkEnd w:id="310"/>
      <w:bookmarkEnd w:id="311"/>
      <w:r>
        <w:rPr>
          <w:rFonts w:hint="eastAsia" w:ascii="宋体" w:hAnsi="宋体" w:eastAsia="宋体" w:cs="宋体"/>
          <w:b/>
          <w:sz w:val="24"/>
          <w:highlight w:val="none"/>
        </w:rPr>
        <w:t>和保密义务</w:t>
      </w:r>
      <w:bookmarkEnd w:id="312"/>
      <w:bookmarkEnd w:id="313"/>
      <w:bookmarkEnd w:id="314"/>
      <w:bookmarkEnd w:id="315"/>
      <w:bookmarkEnd w:id="316"/>
      <w:bookmarkEnd w:id="317"/>
      <w:bookmarkEnd w:id="318"/>
      <w:bookmarkEnd w:id="319"/>
    </w:p>
    <w:p>
      <w:pPr>
        <w:spacing w:line="360" w:lineRule="auto"/>
        <w:ind w:firstLine="480" w:firstLineChars="200"/>
        <w:rPr>
          <w:rFonts w:ascii="宋体" w:hAnsi="宋体"/>
          <w:sz w:val="24"/>
          <w:highlight w:val="none"/>
        </w:rPr>
      </w:pPr>
      <w:r>
        <w:rPr>
          <w:rFonts w:hint="eastAsia" w:ascii="宋体" w:hAnsi="宋体" w:eastAsia="宋体" w:cs="宋体"/>
          <w:sz w:val="24"/>
          <w:highlight w:val="none"/>
        </w:rPr>
        <w:t>2.6.1乙方有权依据合同约定和项目需要，向甲方了解有关情况，调阅有</w:t>
      </w:r>
      <w:r>
        <w:rPr>
          <w:rFonts w:hint="eastAsia" w:ascii="宋体" w:hAnsi="宋体"/>
          <w:sz w:val="24"/>
          <w:highlight w:val="none"/>
        </w:rPr>
        <w:t>关资料等，甲方应予积极配合；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2.6.2乙方有义务妥善保管和保护由甲方提供的前款信息和资料等；</w:t>
      </w:r>
    </w:p>
    <w:p>
      <w:pPr>
        <w:spacing w:line="360" w:lineRule="auto"/>
        <w:ind w:firstLine="480" w:firstLineChars="200"/>
        <w:rPr>
          <w:rFonts w:ascii="宋体" w:hAnsi="宋体"/>
          <w:sz w:val="24"/>
          <w:highlight w:val="none"/>
        </w:rPr>
      </w:pPr>
      <w:r>
        <w:rPr>
          <w:rFonts w:hint="eastAsia" w:ascii="宋体" w:hAnsi="宋体"/>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sz w:val="24"/>
          <w:highlight w:val="none"/>
        </w:rPr>
      </w:pPr>
      <w:bookmarkStart w:id="320" w:name="_Toc19069"/>
      <w:bookmarkStart w:id="321" w:name="_Toc23788"/>
      <w:bookmarkStart w:id="322" w:name="_Toc30781"/>
      <w:bookmarkStart w:id="323" w:name="_Toc31682"/>
      <w:bookmarkStart w:id="324" w:name="_Toc487900362"/>
      <w:bookmarkStart w:id="325" w:name="_Toc259093681"/>
      <w:bookmarkStart w:id="326" w:name="_Toc279701252"/>
      <w:r>
        <w:rPr>
          <w:rFonts w:hint="eastAsia" w:ascii="宋体" w:hAnsi="宋体"/>
          <w:b/>
          <w:sz w:val="24"/>
          <w:highlight w:val="none"/>
        </w:rPr>
        <w:t>2.7质量保证</w:t>
      </w:r>
      <w:bookmarkEnd w:id="320"/>
      <w:bookmarkEnd w:id="321"/>
      <w:bookmarkEnd w:id="322"/>
      <w:bookmarkEnd w:id="323"/>
    </w:p>
    <w:p>
      <w:pPr>
        <w:spacing w:line="360" w:lineRule="auto"/>
        <w:ind w:firstLine="480" w:firstLineChars="200"/>
        <w:rPr>
          <w:rFonts w:ascii="宋体" w:hAnsi="宋体"/>
          <w:sz w:val="24"/>
          <w:highlight w:val="none"/>
        </w:rPr>
      </w:pPr>
      <w:r>
        <w:rPr>
          <w:rFonts w:hint="eastAsia" w:ascii="宋体" w:hAnsi="宋体"/>
          <w:sz w:val="24"/>
          <w:highlight w:val="none"/>
        </w:rPr>
        <w:t>2.7.1乙方应建立和完善履行合同的内部质量保证体系，并提供相关内部规章制度给甲方，以便甲方进行监督检查；</w:t>
      </w:r>
    </w:p>
    <w:p>
      <w:pPr>
        <w:spacing w:line="360" w:lineRule="auto"/>
        <w:ind w:firstLine="480" w:firstLineChars="200"/>
        <w:rPr>
          <w:rFonts w:ascii="宋体" w:hAnsi="宋体"/>
          <w:sz w:val="24"/>
          <w:highlight w:val="none"/>
        </w:rPr>
      </w:pPr>
      <w:r>
        <w:rPr>
          <w:rFonts w:hint="eastAsia" w:ascii="宋体" w:hAnsi="宋体"/>
          <w:sz w:val="24"/>
          <w:highlight w:val="none"/>
        </w:rPr>
        <w:t>2.7.2乙方应保证履行合同的人员数量和素质、软件和硬件设备的配置、场地、环境和设施等满足全面履行合同的要求，并应接受甲方的监督检查。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sz w:val="24"/>
          <w:highlight w:val="none"/>
        </w:rPr>
      </w:pPr>
      <w:bookmarkStart w:id="327" w:name="_Toc4333"/>
      <w:bookmarkStart w:id="328" w:name="_Toc22267"/>
      <w:bookmarkStart w:id="329" w:name="_Toc13743"/>
      <w:bookmarkStart w:id="330" w:name="_Toc6644"/>
      <w:r>
        <w:rPr>
          <w:rFonts w:hint="eastAsia" w:ascii="宋体" w:hAnsi="宋体"/>
          <w:b/>
          <w:sz w:val="24"/>
          <w:highlight w:val="none"/>
        </w:rPr>
        <w:t>2.8延迟</w:t>
      </w:r>
      <w:bookmarkEnd w:id="324"/>
      <w:bookmarkEnd w:id="325"/>
      <w:bookmarkEnd w:id="326"/>
      <w:r>
        <w:rPr>
          <w:rFonts w:hint="eastAsia" w:ascii="宋体" w:hAnsi="宋体"/>
          <w:b/>
          <w:sz w:val="24"/>
          <w:highlight w:val="none"/>
        </w:rPr>
        <w:t>履行</w:t>
      </w:r>
      <w:bookmarkEnd w:id="327"/>
      <w:bookmarkEnd w:id="328"/>
      <w:bookmarkEnd w:id="329"/>
      <w:bookmarkEnd w:id="330"/>
    </w:p>
    <w:p>
      <w:pPr>
        <w:spacing w:line="360" w:lineRule="auto"/>
        <w:ind w:firstLine="480" w:firstLineChars="200"/>
        <w:rPr>
          <w:rFonts w:ascii="宋体" w:hAnsi="宋体"/>
          <w:sz w:val="24"/>
          <w:highlight w:val="none"/>
        </w:rPr>
      </w:pPr>
      <w:r>
        <w:rPr>
          <w:rFonts w:hint="eastAsia" w:ascii="宋体" w:hAnsi="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82" w:firstLineChars="200"/>
        <w:rPr>
          <w:rFonts w:ascii="宋体" w:hAnsi="宋体"/>
          <w:b/>
          <w:sz w:val="24"/>
          <w:highlight w:val="none"/>
        </w:rPr>
      </w:pPr>
      <w:bookmarkStart w:id="331" w:name="_Toc7134"/>
      <w:bookmarkStart w:id="332" w:name="_Toc4141"/>
      <w:bookmarkStart w:id="333" w:name="_Toc9519"/>
      <w:bookmarkStart w:id="334" w:name="_Toc10611"/>
      <w:bookmarkStart w:id="335" w:name="_Toc487900364"/>
      <w:bookmarkStart w:id="336" w:name="_Ref467378121"/>
      <w:bookmarkStart w:id="337" w:name="_Toc279701254"/>
      <w:bookmarkStart w:id="338" w:name="_Toc259093683"/>
      <w:r>
        <w:rPr>
          <w:rFonts w:hint="eastAsia" w:ascii="宋体" w:hAnsi="宋体"/>
          <w:b/>
          <w:sz w:val="24"/>
          <w:highlight w:val="none"/>
        </w:rPr>
        <w:t>2.9合同变更</w:t>
      </w:r>
      <w:bookmarkEnd w:id="331"/>
      <w:bookmarkEnd w:id="332"/>
      <w:bookmarkEnd w:id="333"/>
      <w:bookmarkEnd w:id="334"/>
    </w:p>
    <w:p>
      <w:pPr>
        <w:spacing w:line="360" w:lineRule="auto"/>
        <w:ind w:firstLine="480" w:firstLineChars="200"/>
        <w:rPr>
          <w:rFonts w:ascii="宋体" w:hAnsi="宋体"/>
          <w:sz w:val="24"/>
          <w:highlight w:val="none"/>
        </w:rPr>
      </w:pPr>
      <w:r>
        <w:rPr>
          <w:rFonts w:hint="eastAsia" w:ascii="宋体" w:hAnsi="宋体"/>
          <w:sz w:val="24"/>
          <w:highlight w:val="none"/>
        </w:rPr>
        <w:t>2.9.1双方当事人协商一致，可以签订书面补充合同的形式变更合同，但不得违背采购文件确定的事项，且如果系追加与合同标的相同的服务的，那么所有补充合同的采购金额不得超过原合同价的10%；</w:t>
      </w:r>
    </w:p>
    <w:p>
      <w:pPr>
        <w:spacing w:line="360" w:lineRule="auto"/>
        <w:ind w:firstLine="480" w:firstLineChars="200"/>
        <w:rPr>
          <w:rFonts w:ascii="宋体" w:hAnsi="宋体"/>
          <w:sz w:val="24"/>
          <w:highlight w:val="none"/>
        </w:rPr>
      </w:pPr>
      <w:r>
        <w:rPr>
          <w:rFonts w:hint="eastAsia" w:ascii="宋体" w:hAnsi="宋体"/>
          <w:sz w:val="24"/>
          <w:highlight w:val="none"/>
        </w:rPr>
        <w:t>2.9.2合同继续履行将损害国家利益和社会公共利益的，双方当事人应当以书面形式变更合同。有过错的一方应当承担赔偿责任，双方当事人都有过错的，各自承担相应的责任。</w:t>
      </w:r>
      <w:bookmarkStart w:id="339" w:name="_Toc279701259"/>
      <w:bookmarkStart w:id="340" w:name="_Toc259093688"/>
      <w:bookmarkStart w:id="341" w:name="_Toc487900369"/>
    </w:p>
    <w:p>
      <w:pPr>
        <w:spacing w:line="360" w:lineRule="auto"/>
        <w:ind w:firstLine="482" w:firstLineChars="200"/>
        <w:rPr>
          <w:rFonts w:ascii="宋体" w:hAnsi="宋体"/>
          <w:b/>
          <w:sz w:val="24"/>
          <w:highlight w:val="none"/>
        </w:rPr>
      </w:pPr>
      <w:bookmarkStart w:id="342" w:name="_Toc27031"/>
      <w:bookmarkStart w:id="343" w:name="_Toc13465"/>
      <w:bookmarkStart w:id="344" w:name="_Toc458"/>
      <w:bookmarkStart w:id="345" w:name="_Toc42"/>
      <w:bookmarkStart w:id="346" w:name="_Toc23368"/>
      <w:bookmarkStart w:id="347" w:name="_Toc10663"/>
      <w:bookmarkStart w:id="348" w:name="_Toc26689"/>
      <w:bookmarkStart w:id="349" w:name="_Toc21830"/>
      <w:r>
        <w:rPr>
          <w:rFonts w:hint="eastAsia" w:ascii="宋体" w:hAnsi="宋体"/>
          <w:b/>
          <w:sz w:val="24"/>
          <w:highlight w:val="none"/>
        </w:rPr>
        <w:t>2.10合同转让</w:t>
      </w:r>
      <w:bookmarkEnd w:id="339"/>
      <w:bookmarkEnd w:id="340"/>
      <w:bookmarkEnd w:id="341"/>
      <w:r>
        <w:rPr>
          <w:rFonts w:hint="eastAsia" w:ascii="宋体" w:hAnsi="宋体"/>
          <w:b/>
          <w:sz w:val="24"/>
          <w:highlight w:val="none"/>
        </w:rPr>
        <w:t>和分包</w:t>
      </w:r>
      <w:bookmarkEnd w:id="342"/>
      <w:bookmarkEnd w:id="343"/>
      <w:bookmarkEnd w:id="344"/>
      <w:bookmarkEnd w:id="345"/>
      <w:bookmarkEnd w:id="346"/>
      <w:bookmarkEnd w:id="347"/>
      <w:bookmarkEnd w:id="348"/>
      <w:bookmarkEnd w:id="349"/>
    </w:p>
    <w:p>
      <w:pPr>
        <w:spacing w:line="360" w:lineRule="auto"/>
        <w:ind w:firstLine="480" w:firstLineChars="200"/>
        <w:rPr>
          <w:rFonts w:ascii="宋体" w:hAnsi="宋体"/>
          <w:sz w:val="24"/>
          <w:highlight w:val="none"/>
        </w:rPr>
      </w:pPr>
      <w:r>
        <w:rPr>
          <w:rFonts w:hint="eastAsia" w:ascii="宋体" w:hAnsi="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2" w:firstLineChars="200"/>
        <w:rPr>
          <w:rFonts w:ascii="宋体" w:hAnsi="宋体"/>
          <w:b/>
          <w:sz w:val="24"/>
          <w:highlight w:val="none"/>
        </w:rPr>
      </w:pPr>
      <w:bookmarkStart w:id="350" w:name="_Toc26633"/>
      <w:bookmarkStart w:id="351" w:name="_Toc14371"/>
      <w:bookmarkStart w:id="352" w:name="_Toc4720"/>
      <w:bookmarkStart w:id="353" w:name="_Toc32494"/>
      <w:bookmarkStart w:id="354" w:name="_Toc25571"/>
      <w:bookmarkStart w:id="355" w:name="_Toc13058"/>
      <w:bookmarkStart w:id="356" w:name="_Toc24901"/>
      <w:bookmarkStart w:id="357" w:name="_Toc32389"/>
      <w:r>
        <w:rPr>
          <w:rFonts w:hint="eastAsia" w:ascii="宋体" w:hAnsi="宋体"/>
          <w:b/>
          <w:sz w:val="24"/>
          <w:highlight w:val="none"/>
        </w:rPr>
        <w:t>2.11不可抗力</w:t>
      </w:r>
      <w:bookmarkEnd w:id="350"/>
      <w:bookmarkEnd w:id="351"/>
      <w:bookmarkEnd w:id="352"/>
      <w:bookmarkEnd w:id="353"/>
      <w:bookmarkEnd w:id="354"/>
      <w:bookmarkEnd w:id="355"/>
      <w:bookmarkEnd w:id="356"/>
      <w:bookmarkEnd w:id="357"/>
    </w:p>
    <w:p>
      <w:pPr>
        <w:spacing w:line="360" w:lineRule="auto"/>
        <w:ind w:firstLine="480" w:firstLineChars="200"/>
        <w:rPr>
          <w:rFonts w:ascii="宋体" w:hAnsi="宋体"/>
          <w:sz w:val="24"/>
          <w:highlight w:val="none"/>
        </w:rPr>
      </w:pPr>
      <w:r>
        <w:rPr>
          <w:rFonts w:hint="eastAsia" w:ascii="宋体" w:hAnsi="宋体"/>
          <w:sz w:val="24"/>
          <w:highlight w:val="none"/>
        </w:rPr>
        <w:t>2.11.1如果任何一方遭遇法律规定的不可抗力，致使合同履行受阻时，履行合同的期限应予延长，延长的期限应相当于不可抗力所影响的时间；</w:t>
      </w:r>
    </w:p>
    <w:p>
      <w:pPr>
        <w:spacing w:line="360" w:lineRule="auto"/>
        <w:ind w:firstLine="480" w:firstLineChars="200"/>
        <w:rPr>
          <w:rFonts w:ascii="宋体" w:hAnsi="宋体"/>
          <w:sz w:val="24"/>
          <w:highlight w:val="none"/>
        </w:rPr>
      </w:pPr>
      <w:r>
        <w:rPr>
          <w:rFonts w:hint="eastAsia" w:ascii="宋体" w:hAnsi="宋体"/>
          <w:sz w:val="24"/>
          <w:highlight w:val="none"/>
        </w:rPr>
        <w:t>2.11.2因不可抗力致使不能实现合同目的的，当事人可以解除合同；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2.11.3因不可抗力致使合同有变更必要的，双方当事人应在</w:t>
      </w:r>
      <w:r>
        <w:rPr>
          <w:rFonts w:hint="eastAsia" w:ascii="宋体" w:hAnsi="宋体"/>
          <w:b/>
          <w:sz w:val="24"/>
          <w:highlight w:val="none"/>
          <w:u w:val="single"/>
        </w:rPr>
        <w:t>10个工作日</w:t>
      </w:r>
      <w:r>
        <w:rPr>
          <w:rFonts w:hint="eastAsia" w:ascii="宋体" w:hAnsi="宋体"/>
          <w:sz w:val="24"/>
          <w:highlight w:val="none"/>
        </w:rPr>
        <w:t>内以书面形式变更合同；</w:t>
      </w:r>
    </w:p>
    <w:p>
      <w:pPr>
        <w:spacing w:line="360" w:lineRule="auto"/>
        <w:ind w:firstLine="480" w:firstLineChars="200"/>
        <w:rPr>
          <w:rFonts w:ascii="宋体" w:hAnsi="宋体"/>
          <w:sz w:val="24"/>
          <w:highlight w:val="none"/>
        </w:rPr>
      </w:pPr>
      <w:r>
        <w:rPr>
          <w:rFonts w:hint="eastAsia" w:ascii="宋体" w:hAnsi="宋体"/>
          <w:sz w:val="24"/>
          <w:highlight w:val="none"/>
        </w:rPr>
        <w:t>2.11.4受不可抗力影响的一方在不可抗力发生后，应在</w:t>
      </w:r>
      <w:r>
        <w:rPr>
          <w:rFonts w:hint="eastAsia" w:ascii="宋体" w:hAnsi="宋体"/>
          <w:b/>
          <w:sz w:val="24"/>
          <w:highlight w:val="none"/>
          <w:u w:val="single"/>
        </w:rPr>
        <w:t>10个工作日</w:t>
      </w:r>
      <w:r>
        <w:rPr>
          <w:rFonts w:hint="eastAsia" w:ascii="宋体" w:hAnsi="宋体"/>
          <w:sz w:val="24"/>
          <w:highlight w:val="none"/>
        </w:rPr>
        <w:t>内以书面形式通知对方当事人，并在</w:t>
      </w:r>
      <w:r>
        <w:rPr>
          <w:rFonts w:hint="eastAsia" w:ascii="宋体" w:hAnsi="宋体"/>
          <w:b/>
          <w:sz w:val="24"/>
          <w:highlight w:val="none"/>
          <w:u w:val="single"/>
        </w:rPr>
        <w:t>10个工作日</w:t>
      </w:r>
      <w:r>
        <w:rPr>
          <w:rFonts w:hint="eastAsia" w:ascii="宋体" w:hAnsi="宋体"/>
          <w:sz w:val="24"/>
          <w:highlight w:val="none"/>
        </w:rPr>
        <w:t>内，将有关部门出具的证明文件送达对方当事人。</w:t>
      </w:r>
    </w:p>
    <w:p>
      <w:pPr>
        <w:spacing w:line="360" w:lineRule="auto"/>
        <w:ind w:firstLine="482" w:firstLineChars="200"/>
        <w:rPr>
          <w:rFonts w:ascii="宋体" w:hAnsi="宋体"/>
          <w:b/>
          <w:sz w:val="24"/>
          <w:highlight w:val="none"/>
        </w:rPr>
      </w:pPr>
      <w:bookmarkStart w:id="358" w:name="_Toc7854"/>
      <w:bookmarkStart w:id="359" w:name="_Toc24465"/>
      <w:bookmarkStart w:id="360" w:name="_Toc25783"/>
      <w:bookmarkStart w:id="361" w:name="_Toc3638"/>
      <w:bookmarkStart w:id="362" w:name="_Toc23854"/>
      <w:bookmarkStart w:id="363" w:name="_Toc24226"/>
      <w:bookmarkStart w:id="364" w:name="_Toc14115"/>
      <w:bookmarkStart w:id="365" w:name="_Toc7143"/>
      <w:bookmarkStart w:id="366" w:name="_Toc487900365"/>
      <w:bookmarkStart w:id="367" w:name="_Toc259093684"/>
      <w:bookmarkStart w:id="368" w:name="_Toc279701255"/>
      <w:r>
        <w:rPr>
          <w:rFonts w:hint="eastAsia" w:ascii="宋体" w:hAnsi="宋体"/>
          <w:b/>
          <w:sz w:val="24"/>
          <w:highlight w:val="none"/>
        </w:rPr>
        <w:t>2.12税费</w:t>
      </w:r>
      <w:bookmarkEnd w:id="358"/>
      <w:bookmarkEnd w:id="359"/>
      <w:bookmarkEnd w:id="360"/>
      <w:bookmarkEnd w:id="361"/>
      <w:bookmarkEnd w:id="362"/>
      <w:bookmarkEnd w:id="363"/>
      <w:bookmarkEnd w:id="364"/>
      <w:bookmarkEnd w:id="365"/>
      <w:bookmarkEnd w:id="366"/>
      <w:bookmarkEnd w:id="367"/>
      <w:bookmarkEnd w:id="368"/>
    </w:p>
    <w:p>
      <w:pPr>
        <w:spacing w:line="360" w:lineRule="auto"/>
        <w:ind w:firstLine="480" w:firstLineChars="200"/>
        <w:rPr>
          <w:rFonts w:ascii="宋体" w:hAnsi="宋体"/>
          <w:sz w:val="24"/>
          <w:highlight w:val="none"/>
        </w:rPr>
      </w:pPr>
      <w:r>
        <w:rPr>
          <w:rFonts w:hint="eastAsia" w:ascii="宋体" w:hAnsi="宋体"/>
          <w:sz w:val="24"/>
          <w:highlight w:val="none"/>
        </w:rPr>
        <w:t>与合同有关的一切税费，均按照中华人民共和国法律的相关规定缴纳。</w:t>
      </w:r>
    </w:p>
    <w:p>
      <w:pPr>
        <w:spacing w:line="360" w:lineRule="auto"/>
        <w:ind w:firstLine="482" w:firstLineChars="200"/>
        <w:rPr>
          <w:rFonts w:ascii="宋体" w:hAnsi="宋体"/>
          <w:b/>
          <w:sz w:val="24"/>
          <w:highlight w:val="none"/>
        </w:rPr>
      </w:pPr>
      <w:bookmarkStart w:id="369" w:name="_Toc14814"/>
      <w:bookmarkStart w:id="370" w:name="_Toc279701258"/>
      <w:bookmarkStart w:id="371" w:name="_Toc26883"/>
      <w:bookmarkStart w:id="372" w:name="_Toc12334"/>
      <w:bookmarkStart w:id="373" w:name="_Toc9444"/>
      <w:bookmarkStart w:id="374" w:name="_Toc7315"/>
      <w:bookmarkStart w:id="375" w:name="_Toc259093687"/>
      <w:bookmarkStart w:id="376" w:name="_Toc30105"/>
      <w:bookmarkStart w:id="377" w:name="_Toc487900368"/>
      <w:bookmarkStart w:id="378" w:name="_Toc25525"/>
      <w:bookmarkStart w:id="379" w:name="_Toc24592"/>
      <w:r>
        <w:rPr>
          <w:rFonts w:hint="eastAsia" w:ascii="宋体" w:hAnsi="宋体"/>
          <w:b/>
          <w:sz w:val="24"/>
          <w:highlight w:val="none"/>
        </w:rPr>
        <w:t>2.13乙方破产</w:t>
      </w:r>
      <w:bookmarkEnd w:id="369"/>
      <w:bookmarkEnd w:id="370"/>
      <w:bookmarkEnd w:id="371"/>
      <w:bookmarkEnd w:id="372"/>
      <w:bookmarkEnd w:id="373"/>
      <w:bookmarkEnd w:id="374"/>
      <w:bookmarkEnd w:id="375"/>
      <w:bookmarkEnd w:id="376"/>
      <w:bookmarkEnd w:id="377"/>
      <w:bookmarkEnd w:id="378"/>
      <w:bookmarkEnd w:id="379"/>
    </w:p>
    <w:p>
      <w:pPr>
        <w:spacing w:line="360" w:lineRule="auto"/>
        <w:ind w:firstLine="480" w:firstLineChars="200"/>
        <w:rPr>
          <w:rFonts w:ascii="宋体" w:hAnsi="宋体"/>
          <w:sz w:val="24"/>
          <w:highlight w:val="none"/>
        </w:rPr>
      </w:pPr>
      <w:r>
        <w:rPr>
          <w:rFonts w:hint="eastAsia" w:ascii="宋体" w:hAnsi="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b/>
          <w:sz w:val="24"/>
          <w:highlight w:val="none"/>
        </w:rPr>
      </w:pPr>
      <w:bookmarkStart w:id="380" w:name="_Toc31935"/>
      <w:bookmarkStart w:id="381" w:name="_Toc27457"/>
      <w:bookmarkStart w:id="382" w:name="_Toc23323"/>
      <w:bookmarkStart w:id="383" w:name="_Toc2016"/>
      <w:bookmarkStart w:id="384" w:name="_Toc18535"/>
      <w:bookmarkStart w:id="385" w:name="_Toc1123"/>
      <w:r>
        <w:rPr>
          <w:rFonts w:hint="eastAsia" w:ascii="宋体" w:hAnsi="宋体"/>
          <w:b/>
          <w:sz w:val="24"/>
          <w:highlight w:val="none"/>
        </w:rPr>
        <w:t>2.14合同中止、终止</w:t>
      </w:r>
      <w:bookmarkEnd w:id="380"/>
      <w:bookmarkEnd w:id="381"/>
      <w:bookmarkEnd w:id="382"/>
      <w:bookmarkEnd w:id="383"/>
      <w:bookmarkEnd w:id="384"/>
      <w:bookmarkEnd w:id="385"/>
    </w:p>
    <w:p>
      <w:pPr>
        <w:spacing w:line="360" w:lineRule="auto"/>
        <w:ind w:firstLine="480" w:firstLineChars="200"/>
        <w:rPr>
          <w:rFonts w:ascii="宋体" w:hAnsi="宋体"/>
          <w:sz w:val="24"/>
          <w:highlight w:val="none"/>
        </w:rPr>
      </w:pPr>
      <w:r>
        <w:rPr>
          <w:rFonts w:hint="eastAsia" w:ascii="宋体" w:hAnsi="宋体"/>
          <w:sz w:val="24"/>
          <w:highlight w:val="none"/>
        </w:rPr>
        <w:t>2.14.1双方当事人不得擅自中止或者终止合同；</w:t>
      </w:r>
    </w:p>
    <w:p>
      <w:pPr>
        <w:spacing w:line="360" w:lineRule="auto"/>
        <w:ind w:firstLine="480" w:firstLineChars="200"/>
        <w:rPr>
          <w:rFonts w:ascii="宋体" w:hAnsi="宋体"/>
          <w:sz w:val="24"/>
          <w:highlight w:val="none"/>
        </w:rPr>
      </w:pPr>
      <w:r>
        <w:rPr>
          <w:rFonts w:hint="eastAsia" w:ascii="宋体" w:hAnsi="宋体"/>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sz w:val="24"/>
          <w:highlight w:val="none"/>
        </w:rPr>
      </w:pPr>
      <w:bookmarkStart w:id="386" w:name="_Toc14525"/>
      <w:bookmarkStart w:id="387" w:name="_Toc1969"/>
      <w:bookmarkStart w:id="388" w:name="_Toc32237"/>
      <w:bookmarkStart w:id="389" w:name="_Toc17363"/>
      <w:bookmarkStart w:id="390" w:name="_Toc23234"/>
      <w:bookmarkStart w:id="391" w:name="_Toc9000"/>
      <w:r>
        <w:rPr>
          <w:rFonts w:hint="eastAsia" w:ascii="宋体" w:hAnsi="宋体"/>
          <w:b/>
          <w:sz w:val="24"/>
          <w:highlight w:val="none"/>
        </w:rPr>
        <w:t>2.15检验和验收</w:t>
      </w:r>
      <w:bookmarkEnd w:id="386"/>
      <w:bookmarkEnd w:id="387"/>
      <w:bookmarkEnd w:id="388"/>
      <w:bookmarkEnd w:id="389"/>
      <w:bookmarkEnd w:id="390"/>
      <w:bookmarkEnd w:id="391"/>
    </w:p>
    <w:p>
      <w:pPr>
        <w:tabs>
          <w:tab w:val="left" w:pos="360"/>
          <w:tab w:val="left" w:pos="540"/>
          <w:tab w:val="left" w:pos="1080"/>
        </w:tabs>
        <w:spacing w:line="360" w:lineRule="auto"/>
        <w:ind w:firstLine="480" w:firstLineChars="200"/>
        <w:rPr>
          <w:rFonts w:ascii="宋体" w:hAnsi="宋体"/>
          <w:sz w:val="24"/>
          <w:highlight w:val="none"/>
        </w:rPr>
      </w:pPr>
      <w:r>
        <w:rPr>
          <w:rFonts w:hint="eastAsia" w:ascii="宋体" w:hAnsi="宋体"/>
          <w:sz w:val="24"/>
          <w:highlight w:val="none"/>
        </w:rPr>
        <w:t>2.15.1乙方按照磋商文件</w:t>
      </w:r>
      <w:r>
        <w:rPr>
          <w:rFonts w:hint="eastAsia" w:ascii="宋体" w:hAnsi="宋体"/>
          <w:b/>
          <w:i/>
          <w:sz w:val="24"/>
          <w:highlight w:val="none"/>
          <w:u w:val="single"/>
        </w:rPr>
        <w:t>用户需求书</w:t>
      </w:r>
      <w:r>
        <w:rPr>
          <w:rFonts w:hint="eastAsia" w:ascii="宋体" w:hAnsi="宋体"/>
          <w:sz w:val="24"/>
          <w:highlight w:val="none"/>
        </w:rPr>
        <w:t>的约定，定期提交服务报告，甲方按照磋商文件</w:t>
      </w:r>
      <w:r>
        <w:rPr>
          <w:rFonts w:hint="eastAsia" w:ascii="宋体" w:hAnsi="宋体"/>
          <w:b/>
          <w:i/>
          <w:sz w:val="24"/>
          <w:highlight w:val="none"/>
          <w:u w:val="single"/>
        </w:rPr>
        <w:t>用户需求书</w:t>
      </w:r>
      <w:r>
        <w:rPr>
          <w:rFonts w:hint="eastAsia" w:ascii="宋体" w:hAnsi="宋体"/>
          <w:sz w:val="24"/>
          <w:highlight w:val="none"/>
        </w:rPr>
        <w:t>的约定进行定期验收；</w:t>
      </w:r>
    </w:p>
    <w:p>
      <w:pPr>
        <w:tabs>
          <w:tab w:val="left" w:pos="360"/>
          <w:tab w:val="left" w:pos="540"/>
          <w:tab w:val="left" w:pos="1080"/>
        </w:tabs>
        <w:spacing w:line="360" w:lineRule="auto"/>
        <w:ind w:firstLine="480" w:firstLineChars="200"/>
        <w:rPr>
          <w:rFonts w:ascii="宋体" w:hAnsi="宋体"/>
          <w:sz w:val="24"/>
          <w:highlight w:val="none"/>
        </w:rPr>
      </w:pPr>
      <w:r>
        <w:rPr>
          <w:rFonts w:hint="eastAsia" w:ascii="宋体" w:hAnsi="宋体"/>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sz w:val="24"/>
          <w:highlight w:val="none"/>
        </w:rPr>
      </w:pPr>
      <w:r>
        <w:rPr>
          <w:rFonts w:hint="eastAsia" w:ascii="宋体" w:hAnsi="宋体"/>
          <w:sz w:val="24"/>
          <w:highlight w:val="none"/>
        </w:rPr>
        <w:t>2.15.3检验和验收标准、程序等具体内容以及前述验收书的效力详见</w:t>
      </w:r>
      <w:r>
        <w:rPr>
          <w:rFonts w:hint="eastAsia" w:ascii="宋体" w:hAnsi="宋体"/>
          <w:b/>
          <w:i/>
          <w:sz w:val="24"/>
          <w:highlight w:val="none"/>
          <w:u w:val="single"/>
        </w:rPr>
        <w:t>磋商文件用户需求书</w:t>
      </w:r>
      <w:r>
        <w:rPr>
          <w:rFonts w:hint="eastAsia" w:ascii="宋体" w:hAnsi="宋体"/>
          <w:i/>
          <w:sz w:val="24"/>
          <w:highlight w:val="none"/>
        </w:rPr>
        <w:t>。</w:t>
      </w:r>
    </w:p>
    <w:bookmarkEnd w:id="335"/>
    <w:bookmarkEnd w:id="336"/>
    <w:bookmarkEnd w:id="337"/>
    <w:bookmarkEnd w:id="338"/>
    <w:p>
      <w:pPr>
        <w:spacing w:line="360" w:lineRule="auto"/>
        <w:ind w:firstLine="482" w:firstLineChars="200"/>
        <w:rPr>
          <w:rFonts w:ascii="宋体" w:hAnsi="宋体"/>
          <w:b/>
          <w:sz w:val="24"/>
          <w:highlight w:val="none"/>
        </w:rPr>
      </w:pPr>
      <w:bookmarkStart w:id="392" w:name="_Toc487900371"/>
      <w:bookmarkStart w:id="393" w:name="_Toc279701261"/>
      <w:bookmarkStart w:id="394" w:name="_Toc259093690"/>
      <w:bookmarkStart w:id="395" w:name="_Toc20675"/>
      <w:bookmarkStart w:id="396" w:name="_Toc12666"/>
      <w:bookmarkStart w:id="397" w:name="_Toc25198"/>
      <w:bookmarkStart w:id="398" w:name="_Toc13424"/>
      <w:bookmarkStart w:id="399" w:name="_Toc7598"/>
      <w:bookmarkStart w:id="400" w:name="_Toc9808"/>
      <w:bookmarkStart w:id="401" w:name="_Toc31892"/>
      <w:bookmarkStart w:id="402" w:name="_Toc2308"/>
      <w:r>
        <w:rPr>
          <w:rFonts w:hint="eastAsia" w:ascii="宋体" w:hAnsi="宋体"/>
          <w:b/>
          <w:sz w:val="24"/>
          <w:highlight w:val="none"/>
        </w:rPr>
        <w:t>2.16通知</w:t>
      </w:r>
      <w:bookmarkEnd w:id="392"/>
      <w:bookmarkEnd w:id="393"/>
      <w:bookmarkEnd w:id="394"/>
      <w:r>
        <w:rPr>
          <w:rFonts w:hint="eastAsia" w:ascii="宋体" w:hAnsi="宋体"/>
          <w:b/>
          <w:sz w:val="24"/>
          <w:highlight w:val="none"/>
        </w:rPr>
        <w:t>和送达</w:t>
      </w:r>
      <w:bookmarkEnd w:id="395"/>
      <w:bookmarkEnd w:id="396"/>
      <w:bookmarkEnd w:id="397"/>
      <w:bookmarkEnd w:id="398"/>
      <w:bookmarkEnd w:id="399"/>
      <w:bookmarkEnd w:id="400"/>
      <w:bookmarkEnd w:id="401"/>
      <w:bookmarkEnd w:id="402"/>
    </w:p>
    <w:p>
      <w:pPr>
        <w:spacing w:line="360" w:lineRule="auto"/>
        <w:ind w:firstLine="480" w:firstLineChars="200"/>
        <w:rPr>
          <w:rFonts w:ascii="宋体" w:hAnsi="宋体"/>
          <w:sz w:val="24"/>
          <w:highlight w:val="none"/>
        </w:rPr>
      </w:pPr>
      <w:bookmarkStart w:id="403" w:name="_Toc7073"/>
      <w:bookmarkStart w:id="404" w:name="_Toc29220"/>
      <w:bookmarkStart w:id="405" w:name="_Toc279701262"/>
      <w:bookmarkStart w:id="406" w:name="_Toc487900372"/>
      <w:bookmarkStart w:id="407" w:name="_Toc259093691"/>
      <w:r>
        <w:rPr>
          <w:rFonts w:hint="eastAsia" w:ascii="宋体" w:hAnsi="宋体"/>
          <w:sz w:val="24"/>
          <w:highlight w:val="none"/>
        </w:rPr>
        <w:t>2.16.1任何一方因履行合同而以合同第一部分尾部所列明的约定送达地址发出的所有通知、文件、材料，均视为已向对方当事人送达；任何一方变更上述送达方式或者地址的，应于</w:t>
      </w:r>
      <w:r>
        <w:rPr>
          <w:rFonts w:hint="eastAsia" w:ascii="宋体" w:hAnsi="宋体"/>
          <w:sz w:val="24"/>
          <w:highlight w:val="none"/>
          <w:u w:val="single"/>
        </w:rPr>
        <w:t xml:space="preserve">   </w:t>
      </w:r>
      <w:r>
        <w:rPr>
          <w:rFonts w:hint="eastAsia" w:ascii="宋体" w:hAnsi="宋体"/>
          <w:sz w:val="24"/>
          <w:highlight w:val="none"/>
        </w:rPr>
        <w:t>个工作日内书面通知对方当事人，在对方当事人收到有关变更通知之前，变更前的约定送达方式或者地址仍视为有效。</w:t>
      </w:r>
      <w:bookmarkEnd w:id="403"/>
      <w:bookmarkEnd w:id="404"/>
    </w:p>
    <w:p>
      <w:pPr>
        <w:spacing w:line="360" w:lineRule="auto"/>
        <w:ind w:firstLine="480" w:firstLineChars="200"/>
        <w:rPr>
          <w:rFonts w:ascii="宋体" w:hAnsi="宋体"/>
          <w:sz w:val="24"/>
          <w:highlight w:val="none"/>
        </w:rPr>
      </w:pPr>
      <w:bookmarkStart w:id="408" w:name="_Toc18401"/>
      <w:bookmarkStart w:id="409" w:name="_Toc27674"/>
      <w:r>
        <w:rPr>
          <w:rFonts w:hint="eastAsia" w:ascii="宋体" w:hAnsi="宋体"/>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08"/>
      <w:bookmarkEnd w:id="409"/>
    </w:p>
    <w:bookmarkEnd w:id="405"/>
    <w:bookmarkEnd w:id="406"/>
    <w:bookmarkEnd w:id="407"/>
    <w:p>
      <w:pPr>
        <w:spacing w:line="360" w:lineRule="auto"/>
        <w:ind w:firstLine="482" w:firstLineChars="200"/>
        <w:rPr>
          <w:rFonts w:ascii="宋体" w:hAnsi="宋体"/>
          <w:b/>
          <w:sz w:val="24"/>
          <w:highlight w:val="none"/>
        </w:rPr>
      </w:pPr>
      <w:bookmarkStart w:id="410" w:name="_Toc25494"/>
      <w:bookmarkStart w:id="411" w:name="_Toc259093692"/>
      <w:bookmarkStart w:id="412" w:name="_Toc27644"/>
      <w:bookmarkStart w:id="413" w:name="_Toc30955"/>
      <w:bookmarkStart w:id="414" w:name="_Toc20808"/>
      <w:bookmarkStart w:id="415" w:name="_Toc12254"/>
      <w:bookmarkStart w:id="416" w:name="_Toc279701263"/>
      <w:bookmarkStart w:id="417" w:name="_Toc5063"/>
      <w:bookmarkStart w:id="418" w:name="_Toc487900373"/>
      <w:bookmarkStart w:id="419" w:name="_Toc15816"/>
      <w:bookmarkStart w:id="420" w:name="_Toc28906"/>
      <w:r>
        <w:rPr>
          <w:rFonts w:hint="eastAsia" w:ascii="宋体" w:hAnsi="宋体"/>
          <w:b/>
          <w:sz w:val="24"/>
          <w:highlight w:val="none"/>
        </w:rPr>
        <w:t>2.17合同使用的文字和适用的法律</w:t>
      </w:r>
      <w:bookmarkEnd w:id="410"/>
      <w:bookmarkEnd w:id="411"/>
      <w:bookmarkEnd w:id="412"/>
      <w:bookmarkEnd w:id="413"/>
      <w:bookmarkEnd w:id="414"/>
      <w:bookmarkEnd w:id="415"/>
      <w:bookmarkEnd w:id="416"/>
      <w:bookmarkEnd w:id="417"/>
      <w:bookmarkEnd w:id="418"/>
      <w:bookmarkEnd w:id="419"/>
      <w:bookmarkEnd w:id="420"/>
    </w:p>
    <w:p>
      <w:pPr>
        <w:spacing w:line="360" w:lineRule="auto"/>
        <w:ind w:firstLine="480" w:firstLineChars="200"/>
        <w:rPr>
          <w:rFonts w:ascii="宋体" w:hAnsi="宋体"/>
          <w:sz w:val="24"/>
          <w:highlight w:val="none"/>
        </w:rPr>
      </w:pPr>
      <w:r>
        <w:rPr>
          <w:rFonts w:hint="eastAsia" w:ascii="宋体" w:hAnsi="宋体"/>
          <w:sz w:val="24"/>
          <w:highlight w:val="none"/>
        </w:rPr>
        <w:t>2.17.1合同使用汉语书就、变更和解释；</w:t>
      </w:r>
    </w:p>
    <w:p>
      <w:pPr>
        <w:spacing w:line="360" w:lineRule="auto"/>
        <w:ind w:firstLine="480" w:firstLineChars="200"/>
        <w:rPr>
          <w:rFonts w:ascii="宋体" w:hAnsi="宋体"/>
          <w:sz w:val="24"/>
          <w:highlight w:val="none"/>
        </w:rPr>
      </w:pPr>
      <w:r>
        <w:rPr>
          <w:rFonts w:hint="eastAsia" w:ascii="宋体" w:hAnsi="宋体"/>
          <w:sz w:val="24"/>
          <w:highlight w:val="none"/>
        </w:rPr>
        <w:t>2.17.2合同适用中华人民共和国法律。</w:t>
      </w:r>
    </w:p>
    <w:p>
      <w:pPr>
        <w:spacing w:line="360" w:lineRule="auto"/>
        <w:ind w:firstLine="482" w:firstLineChars="200"/>
        <w:rPr>
          <w:rFonts w:ascii="宋体" w:hAnsi="宋体"/>
          <w:b/>
          <w:sz w:val="24"/>
          <w:highlight w:val="none"/>
        </w:rPr>
      </w:pPr>
      <w:bookmarkStart w:id="421" w:name="_Toc24121"/>
      <w:bookmarkStart w:id="422" w:name="_Toc22266"/>
      <w:bookmarkStart w:id="423" w:name="_Toc27403"/>
      <w:bookmarkStart w:id="424" w:name="_Toc259093693"/>
      <w:bookmarkStart w:id="425" w:name="_Toc25512"/>
      <w:bookmarkStart w:id="426" w:name="_Toc30096"/>
      <w:bookmarkStart w:id="427" w:name="_Toc5699"/>
      <w:bookmarkStart w:id="428" w:name="_Toc1492"/>
      <w:bookmarkStart w:id="429" w:name="_Toc279701264"/>
      <w:bookmarkStart w:id="430" w:name="_Toc27127"/>
      <w:bookmarkStart w:id="431" w:name="_Toc487900374"/>
      <w:r>
        <w:rPr>
          <w:rFonts w:hint="eastAsia" w:ascii="宋体" w:hAnsi="宋体"/>
          <w:b/>
          <w:sz w:val="24"/>
          <w:highlight w:val="none"/>
        </w:rPr>
        <w:t>2.18履约保证金</w:t>
      </w:r>
      <w:bookmarkEnd w:id="421"/>
      <w:bookmarkEnd w:id="422"/>
      <w:bookmarkEnd w:id="423"/>
      <w:bookmarkEnd w:id="424"/>
      <w:bookmarkEnd w:id="425"/>
      <w:bookmarkEnd w:id="426"/>
      <w:bookmarkEnd w:id="427"/>
      <w:bookmarkEnd w:id="428"/>
      <w:bookmarkEnd w:id="429"/>
      <w:bookmarkEnd w:id="430"/>
    </w:p>
    <w:p>
      <w:pPr>
        <w:spacing w:line="360" w:lineRule="auto"/>
        <w:ind w:firstLine="480" w:firstLineChars="200"/>
        <w:rPr>
          <w:rFonts w:ascii="宋体" w:hAnsi="宋体"/>
          <w:sz w:val="24"/>
          <w:highlight w:val="none"/>
        </w:rPr>
      </w:pPr>
      <w:r>
        <w:rPr>
          <w:rFonts w:hint="eastAsia" w:ascii="宋体" w:hAnsi="宋体"/>
          <w:sz w:val="24"/>
          <w:highlight w:val="none"/>
        </w:rPr>
        <w:t>2.18.1本项目不提交履约保证金。</w:t>
      </w:r>
    </w:p>
    <w:bookmarkEnd w:id="431"/>
    <w:p>
      <w:pPr>
        <w:spacing w:line="360" w:lineRule="auto"/>
        <w:ind w:firstLine="482" w:firstLineChars="200"/>
        <w:rPr>
          <w:rFonts w:ascii="宋体" w:hAnsi="宋体"/>
          <w:b/>
          <w:sz w:val="24"/>
          <w:highlight w:val="none"/>
        </w:rPr>
      </w:pPr>
      <w:r>
        <w:rPr>
          <w:rFonts w:hint="eastAsia" w:ascii="宋体" w:hAnsi="宋体"/>
          <w:b/>
          <w:sz w:val="24"/>
          <w:highlight w:val="none"/>
        </w:rPr>
        <w:t>2.19合同份数</w:t>
      </w:r>
    </w:p>
    <w:p>
      <w:pPr>
        <w:spacing w:line="360" w:lineRule="auto"/>
        <w:ind w:firstLine="480"/>
        <w:rPr>
          <w:rFonts w:ascii="宋体" w:hAnsi="宋体"/>
          <w:sz w:val="24"/>
          <w:highlight w:val="none"/>
        </w:rPr>
      </w:pPr>
      <w:r>
        <w:rPr>
          <w:rFonts w:hint="eastAsia" w:ascii="宋体" w:hAnsi="宋体"/>
          <w:sz w:val="24"/>
          <w:highlight w:val="none"/>
        </w:rPr>
        <w:t>合同份数按</w:t>
      </w:r>
      <w:r>
        <w:rPr>
          <w:rFonts w:hint="eastAsia" w:ascii="宋体" w:hAnsi="宋体"/>
          <w:b/>
          <w:bCs/>
          <w:sz w:val="24"/>
          <w:highlight w:val="none"/>
        </w:rPr>
        <w:t>合同专用条款</w:t>
      </w:r>
      <w:r>
        <w:rPr>
          <w:rFonts w:hint="eastAsia" w:ascii="宋体" w:hAnsi="宋体"/>
          <w:sz w:val="24"/>
          <w:highlight w:val="none"/>
        </w:rPr>
        <w:t>规定，每份均具有同等法律效力。</w:t>
      </w:r>
    </w:p>
    <w:p>
      <w:pPr>
        <w:pStyle w:val="34"/>
        <w:spacing w:line="360" w:lineRule="auto"/>
        <w:ind w:firstLine="0"/>
        <w:jc w:val="center"/>
        <w:outlineLvl w:val="1"/>
        <w:rPr>
          <w:rFonts w:hAnsi="宋体"/>
          <w:b/>
          <w:highlight w:val="none"/>
        </w:rPr>
      </w:pPr>
      <w:r>
        <w:rPr>
          <w:rFonts w:hint="eastAsia" w:hAnsi="宋体"/>
          <w:highlight w:val="none"/>
        </w:rPr>
        <w:br w:type="page"/>
      </w:r>
      <w:bookmarkStart w:id="432" w:name="_Toc331685784"/>
      <w:bookmarkStart w:id="433" w:name="_Toc4114"/>
      <w:r>
        <w:rPr>
          <w:rFonts w:hint="eastAsia" w:ascii="黑体" w:hAnsi="黑体" w:eastAsia="黑体" w:cs="黑体"/>
          <w:b/>
          <w:bCs/>
          <w:kern w:val="2"/>
          <w:sz w:val="32"/>
          <w:szCs w:val="32"/>
          <w:highlight w:val="none"/>
        </w:rPr>
        <w:t>三、合同专用条款</w:t>
      </w:r>
      <w:bookmarkEnd w:id="432"/>
      <w:bookmarkEnd w:id="433"/>
    </w:p>
    <w:p>
      <w:pPr>
        <w:spacing w:line="360" w:lineRule="auto"/>
        <w:ind w:firstLine="480" w:firstLineChars="200"/>
        <w:rPr>
          <w:rFonts w:ascii="宋体" w:hAnsi="宋体"/>
          <w:sz w:val="24"/>
          <w:highlight w:val="none"/>
        </w:rPr>
      </w:pPr>
      <w:r>
        <w:rPr>
          <w:rFonts w:hint="eastAsia" w:ascii="宋体" w:hAnsi="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spacing w:line="360" w:lineRule="auto"/>
              <w:jc w:val="center"/>
              <w:rPr>
                <w:rFonts w:ascii="宋体" w:hAnsi="宋体"/>
                <w:b/>
                <w:sz w:val="24"/>
                <w:highlight w:val="none"/>
              </w:rPr>
            </w:pPr>
            <w:r>
              <w:rPr>
                <w:rFonts w:hint="eastAsia" w:ascii="宋体" w:hAnsi="宋体"/>
                <w:b/>
                <w:sz w:val="24"/>
                <w:highlight w:val="none"/>
              </w:rPr>
              <w:t>条款号</w:t>
            </w:r>
          </w:p>
        </w:tc>
        <w:tc>
          <w:tcPr>
            <w:tcW w:w="7633" w:type="dxa"/>
            <w:vAlign w:val="center"/>
          </w:tcPr>
          <w:p>
            <w:pPr>
              <w:spacing w:line="360" w:lineRule="auto"/>
              <w:jc w:val="center"/>
              <w:rPr>
                <w:rFonts w:ascii="宋体" w:hAnsi="宋体"/>
                <w:b/>
                <w:sz w:val="24"/>
                <w:highlight w:val="none"/>
              </w:rPr>
            </w:pPr>
            <w:r>
              <w:rPr>
                <w:rFonts w:hint="eastAsia" w:ascii="宋体" w:hAnsi="宋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spacing w:line="360" w:lineRule="auto"/>
              <w:rPr>
                <w:rFonts w:ascii="宋体" w:hAnsi="宋体"/>
                <w:sz w:val="24"/>
                <w:highlight w:val="none"/>
              </w:rPr>
            </w:pPr>
          </w:p>
        </w:tc>
        <w:tc>
          <w:tcPr>
            <w:tcW w:w="7633" w:type="dxa"/>
            <w:vAlign w:val="center"/>
          </w:tcPr>
          <w:p>
            <w:pPr>
              <w:spacing w:line="360" w:lineRule="auto"/>
              <w:rPr>
                <w:rFonts w:ascii="宋体" w:hAnsi="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ascii="宋体" w:hAnsi="宋体"/>
                <w:sz w:val="24"/>
                <w:highlight w:val="none"/>
              </w:rPr>
            </w:pPr>
          </w:p>
        </w:tc>
        <w:tc>
          <w:tcPr>
            <w:tcW w:w="7633" w:type="dxa"/>
            <w:vAlign w:val="center"/>
          </w:tcPr>
          <w:p>
            <w:pPr>
              <w:spacing w:line="360" w:lineRule="auto"/>
              <w:rPr>
                <w:rFonts w:ascii="宋体" w:hAnsi="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ascii="宋体" w:hAnsi="宋体"/>
                <w:sz w:val="24"/>
                <w:highlight w:val="none"/>
              </w:rPr>
            </w:pPr>
          </w:p>
        </w:tc>
        <w:tc>
          <w:tcPr>
            <w:tcW w:w="7633" w:type="dxa"/>
            <w:vAlign w:val="center"/>
          </w:tcPr>
          <w:p>
            <w:pPr>
              <w:spacing w:line="360" w:lineRule="auto"/>
              <w:rPr>
                <w:rFonts w:ascii="宋体" w:hAnsi="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ascii="宋体" w:hAnsi="宋体"/>
                <w:sz w:val="24"/>
                <w:highlight w:val="none"/>
              </w:rPr>
            </w:pPr>
          </w:p>
        </w:tc>
        <w:tc>
          <w:tcPr>
            <w:tcW w:w="7633" w:type="dxa"/>
            <w:vAlign w:val="center"/>
          </w:tcPr>
          <w:p>
            <w:pPr>
              <w:spacing w:line="360" w:lineRule="auto"/>
              <w:rPr>
                <w:rFonts w:ascii="宋体" w:hAnsi="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ascii="宋体" w:hAnsi="宋体"/>
                <w:sz w:val="24"/>
                <w:highlight w:val="none"/>
              </w:rPr>
            </w:pPr>
          </w:p>
        </w:tc>
        <w:tc>
          <w:tcPr>
            <w:tcW w:w="7633" w:type="dxa"/>
            <w:vAlign w:val="center"/>
          </w:tcPr>
          <w:p>
            <w:pPr>
              <w:spacing w:line="360" w:lineRule="auto"/>
              <w:rPr>
                <w:rFonts w:ascii="宋体" w:hAnsi="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ascii="宋体" w:hAnsi="宋体"/>
                <w:sz w:val="24"/>
                <w:highlight w:val="none"/>
              </w:rPr>
            </w:pPr>
          </w:p>
        </w:tc>
        <w:tc>
          <w:tcPr>
            <w:tcW w:w="7633" w:type="dxa"/>
            <w:vAlign w:val="center"/>
          </w:tcPr>
          <w:p>
            <w:pPr>
              <w:spacing w:line="360" w:lineRule="auto"/>
              <w:rPr>
                <w:rFonts w:ascii="宋体" w:hAnsi="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ascii="宋体" w:hAnsi="宋体"/>
                <w:sz w:val="24"/>
                <w:highlight w:val="none"/>
              </w:rPr>
            </w:pPr>
          </w:p>
        </w:tc>
        <w:tc>
          <w:tcPr>
            <w:tcW w:w="7633" w:type="dxa"/>
            <w:vAlign w:val="center"/>
          </w:tcPr>
          <w:p>
            <w:pPr>
              <w:spacing w:line="360" w:lineRule="auto"/>
              <w:rPr>
                <w:rFonts w:ascii="宋体" w:hAnsi="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ascii="宋体" w:hAnsi="宋体"/>
                <w:sz w:val="24"/>
                <w:highlight w:val="none"/>
              </w:rPr>
            </w:pPr>
          </w:p>
        </w:tc>
        <w:tc>
          <w:tcPr>
            <w:tcW w:w="7633" w:type="dxa"/>
            <w:vAlign w:val="center"/>
          </w:tcPr>
          <w:p>
            <w:pPr>
              <w:spacing w:line="360" w:lineRule="auto"/>
              <w:rPr>
                <w:rFonts w:ascii="宋体" w:hAnsi="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ascii="宋体" w:hAnsi="宋体"/>
                <w:sz w:val="24"/>
                <w:highlight w:val="none"/>
              </w:rPr>
            </w:pPr>
          </w:p>
        </w:tc>
        <w:tc>
          <w:tcPr>
            <w:tcW w:w="7633" w:type="dxa"/>
            <w:vAlign w:val="center"/>
          </w:tcPr>
          <w:p>
            <w:pPr>
              <w:spacing w:line="360" w:lineRule="auto"/>
              <w:rPr>
                <w:rFonts w:ascii="宋体" w:hAnsi="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ascii="宋体" w:hAnsi="宋体"/>
                <w:sz w:val="24"/>
                <w:highlight w:val="none"/>
              </w:rPr>
            </w:pPr>
          </w:p>
        </w:tc>
        <w:tc>
          <w:tcPr>
            <w:tcW w:w="7633" w:type="dxa"/>
            <w:vAlign w:val="center"/>
          </w:tcPr>
          <w:p>
            <w:pPr>
              <w:spacing w:line="360" w:lineRule="auto"/>
              <w:rPr>
                <w:rFonts w:ascii="宋体" w:hAnsi="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360" w:lineRule="auto"/>
              <w:rPr>
                <w:rFonts w:ascii="宋体" w:hAnsi="宋体"/>
                <w:sz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360" w:lineRule="auto"/>
              <w:rPr>
                <w:rFonts w:ascii="宋体" w:hAnsi="宋体"/>
                <w:sz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highlight w:val="none"/>
              </w:rPr>
            </w:pPr>
          </w:p>
        </w:tc>
      </w:tr>
    </w:tbl>
    <w:p>
      <w:pPr>
        <w:spacing w:after="156" w:line="560" w:lineRule="exact"/>
        <w:ind w:firstLine="480"/>
        <w:rPr>
          <w:highlight w:val="none"/>
        </w:rPr>
      </w:pPr>
      <w:r>
        <w:rPr>
          <w:rFonts w:hint="eastAsia"/>
          <w:highlight w:val="none"/>
        </w:rPr>
        <w:t>注：最终以成交供应商响应文件响应条款为准修订。</w:t>
      </w:r>
    </w:p>
    <w:p>
      <w:pPr>
        <w:spacing w:after="156" w:line="560" w:lineRule="exact"/>
        <w:ind w:firstLine="480"/>
        <w:rPr>
          <w:highlight w:val="none"/>
        </w:rPr>
      </w:pPr>
      <w:r>
        <w:rPr>
          <w:rFonts w:hint="eastAsia"/>
          <w:highlight w:val="none"/>
        </w:rPr>
        <w:br w:type="page"/>
      </w:r>
    </w:p>
    <w:p>
      <w:pPr>
        <w:spacing w:line="360" w:lineRule="auto"/>
        <w:jc w:val="center"/>
        <w:outlineLvl w:val="0"/>
        <w:rPr>
          <w:rFonts w:ascii="黑体" w:hAnsi="黑体" w:eastAsia="黑体" w:cs="黑体"/>
          <w:b/>
          <w:bCs/>
          <w:szCs w:val="32"/>
          <w:highlight w:val="none"/>
        </w:rPr>
      </w:pPr>
      <w:bookmarkStart w:id="434" w:name="_Toc16885"/>
      <w:r>
        <w:rPr>
          <w:rFonts w:hint="eastAsia" w:ascii="黑体" w:hAnsi="黑体" w:eastAsia="黑体" w:cs="黑体"/>
          <w:b/>
          <w:bCs/>
          <w:sz w:val="32"/>
          <w:szCs w:val="32"/>
          <w:highlight w:val="none"/>
        </w:rPr>
        <w:t xml:space="preserve">第六部分 </w:t>
      </w:r>
      <w:r>
        <w:rPr>
          <w:rFonts w:hint="eastAsia" w:ascii="黑体" w:hAnsi="黑体" w:eastAsia="黑体" w:cs="黑体"/>
          <w:b/>
          <w:bCs/>
          <w:sz w:val="32"/>
          <w:szCs w:val="32"/>
          <w:highlight w:val="none"/>
          <w:lang w:val="zh-CN"/>
        </w:rPr>
        <w:t>响应文件格式</w:t>
      </w:r>
      <w:bookmarkEnd w:id="434"/>
    </w:p>
    <w:p>
      <w:pPr>
        <w:wordWrap w:val="0"/>
        <w:topLinePunct/>
        <w:spacing w:line="360" w:lineRule="auto"/>
        <w:ind w:firstLine="422" w:firstLineChars="200"/>
        <w:rPr>
          <w:rFonts w:ascii="宋体" w:hAnsi="宋体"/>
          <w:b/>
          <w:bCs/>
          <w:szCs w:val="21"/>
          <w:highlight w:val="none"/>
          <w:u w:val="single"/>
          <w:lang w:val="en-GB"/>
        </w:rPr>
      </w:pPr>
      <w:r>
        <w:rPr>
          <w:rFonts w:hint="eastAsia" w:ascii="宋体" w:hAnsi="宋体"/>
          <w:b/>
          <w:bCs/>
          <w:szCs w:val="21"/>
          <w:highlight w:val="none"/>
          <w:u w:val="single"/>
          <w:lang w:val="en-GB"/>
        </w:rPr>
        <w:t>注：请供应商按照以下要求的格式、内容、顺序制作响应文件，并请编制目录及页码，否则可能将影响对响应文件的评价</w:t>
      </w:r>
      <w:r>
        <w:rPr>
          <w:rFonts w:hint="eastAsia" w:ascii="宋体" w:hAnsi="宋体"/>
          <w:b/>
          <w:bCs/>
          <w:szCs w:val="21"/>
          <w:highlight w:val="none"/>
          <w:u w:val="single"/>
        </w:rPr>
        <w:t>或导致响应无效</w:t>
      </w:r>
      <w:r>
        <w:rPr>
          <w:rFonts w:hint="eastAsia" w:ascii="宋体" w:hAnsi="宋体"/>
          <w:b/>
          <w:bCs/>
          <w:szCs w:val="21"/>
          <w:highlight w:val="none"/>
          <w:u w:val="single"/>
          <w:lang w:val="en-GB"/>
        </w:rPr>
        <w:t>。</w:t>
      </w: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tLeast"/>
        <w:rPr>
          <w:rFonts w:ascii="宋体" w:hAnsi="宋体"/>
          <w:sz w:val="32"/>
          <w:szCs w:val="32"/>
          <w:highlight w:val="none"/>
        </w:rPr>
      </w:pPr>
      <w:r>
        <w:rPr>
          <w:rFonts w:hint="eastAsia" w:ascii="黑体" w:hAnsi="黑体" w:eastAsia="黑体" w:cs="黑体"/>
          <w:b/>
          <w:sz w:val="28"/>
          <w:szCs w:val="28"/>
          <w:highlight w:val="none"/>
        </w:rPr>
        <w:t xml:space="preserve">项目编号： </w:t>
      </w:r>
      <w:r>
        <w:rPr>
          <w:rFonts w:hint="eastAsia" w:ascii="宋体" w:hAnsi="宋体"/>
          <w:sz w:val="32"/>
          <w:szCs w:val="32"/>
          <w:highlight w:val="none"/>
        </w:rPr>
        <w:t xml:space="preserve">             </w:t>
      </w:r>
      <w:r>
        <w:rPr>
          <w:rFonts w:hint="eastAsia" w:ascii="宋体" w:hAnsi="宋体" w:cs="Arial"/>
          <w:kern w:val="0"/>
          <w:sz w:val="30"/>
          <w:szCs w:val="30"/>
          <w:highlight w:val="none"/>
        </w:rPr>
        <w:t xml:space="preserve">                        </w:t>
      </w:r>
    </w:p>
    <w:p>
      <w:pPr>
        <w:spacing w:line="360" w:lineRule="atLeast"/>
        <w:rPr>
          <w:rFonts w:ascii="宋体" w:hAnsi="宋体"/>
          <w:b/>
          <w:sz w:val="28"/>
          <w:szCs w:val="28"/>
          <w:highlight w:val="none"/>
        </w:rPr>
      </w:pPr>
      <w:r>
        <w:rPr>
          <w:rFonts w:hint="eastAsia" w:ascii="宋体" w:hAnsi="宋体"/>
          <w:szCs w:val="21"/>
          <w:highlight w:val="none"/>
        </w:rPr>
        <w:t xml:space="preserve">                                                             </w:t>
      </w:r>
      <w:r>
        <w:rPr>
          <w:rFonts w:hint="eastAsia" w:ascii="宋体" w:hAnsi="宋体"/>
          <w:b/>
          <w:sz w:val="28"/>
          <w:szCs w:val="28"/>
          <w:highlight w:val="none"/>
        </w:rPr>
        <w:t>（正本或副本）</w:t>
      </w:r>
    </w:p>
    <w:p>
      <w:pPr>
        <w:spacing w:line="360" w:lineRule="atLeast"/>
        <w:rPr>
          <w:rFonts w:ascii="宋体" w:hAnsi="宋体"/>
          <w:szCs w:val="21"/>
          <w:highlight w:val="none"/>
        </w:rPr>
      </w:pPr>
    </w:p>
    <w:p>
      <w:pPr>
        <w:spacing w:line="360" w:lineRule="atLeast"/>
        <w:rPr>
          <w:rFonts w:ascii="宋体" w:hAnsi="宋体"/>
          <w:szCs w:val="21"/>
          <w:highlight w:val="none"/>
        </w:rPr>
      </w:pPr>
    </w:p>
    <w:p>
      <w:pPr>
        <w:jc w:val="center"/>
        <w:rPr>
          <w:rFonts w:ascii="宋体" w:hAnsi="宋体"/>
          <w:sz w:val="44"/>
          <w:highlight w:val="none"/>
        </w:rPr>
      </w:pPr>
    </w:p>
    <w:p>
      <w:pPr>
        <w:jc w:val="center"/>
        <w:rPr>
          <w:rFonts w:ascii="宋体" w:hAnsi="宋体"/>
          <w:sz w:val="44"/>
          <w:highlight w:val="none"/>
        </w:rPr>
      </w:pPr>
    </w:p>
    <w:p>
      <w:pPr>
        <w:ind w:firstLine="1791" w:firstLineChars="343"/>
        <w:rPr>
          <w:rFonts w:ascii="黑体" w:hAnsi="黑体" w:eastAsia="黑体" w:cs="黑体"/>
          <w:b/>
          <w:sz w:val="52"/>
          <w:szCs w:val="52"/>
          <w:highlight w:val="none"/>
        </w:rPr>
      </w:pPr>
      <w:r>
        <w:rPr>
          <w:rFonts w:hint="eastAsia" w:ascii="黑体" w:hAnsi="黑体" w:eastAsia="黑体" w:cs="黑体"/>
          <w:b/>
          <w:sz w:val="52"/>
          <w:szCs w:val="52"/>
          <w:highlight w:val="none"/>
          <w:u w:val="single"/>
        </w:rPr>
        <w:t xml:space="preserve">             </w:t>
      </w:r>
      <w:r>
        <w:rPr>
          <w:rFonts w:hint="eastAsia" w:ascii="黑体" w:hAnsi="黑体" w:eastAsia="黑体" w:cs="黑体"/>
          <w:b/>
          <w:sz w:val="52"/>
          <w:szCs w:val="52"/>
          <w:highlight w:val="none"/>
        </w:rPr>
        <w:t>项目</w:t>
      </w:r>
    </w:p>
    <w:p>
      <w:pPr>
        <w:ind w:firstLine="3331" w:firstLineChars="638"/>
        <w:rPr>
          <w:rFonts w:ascii="宋体" w:hAnsi="宋体"/>
          <w:b/>
          <w:sz w:val="52"/>
          <w:szCs w:val="52"/>
          <w:highlight w:val="none"/>
          <w:u w:val="single"/>
        </w:rPr>
      </w:pPr>
    </w:p>
    <w:p>
      <w:pPr>
        <w:ind w:firstLine="2073" w:firstLineChars="288"/>
        <w:rPr>
          <w:rFonts w:ascii="宋体" w:hAnsi="宋体"/>
          <w:sz w:val="72"/>
          <w:szCs w:val="72"/>
          <w:highlight w:val="none"/>
        </w:rPr>
      </w:pPr>
    </w:p>
    <w:p>
      <w:pPr>
        <w:spacing w:line="360" w:lineRule="atLeast"/>
        <w:jc w:val="center"/>
        <w:rPr>
          <w:rFonts w:ascii="黑体" w:hAnsi="黑体" w:eastAsia="黑体" w:cs="黑体"/>
          <w:b/>
          <w:sz w:val="72"/>
          <w:szCs w:val="72"/>
          <w:highlight w:val="none"/>
        </w:rPr>
      </w:pPr>
      <w:r>
        <w:rPr>
          <w:rFonts w:hint="eastAsia" w:ascii="黑体" w:hAnsi="黑体" w:eastAsia="黑体" w:cs="黑体"/>
          <w:b/>
          <w:sz w:val="72"/>
          <w:szCs w:val="72"/>
          <w:highlight w:val="none"/>
        </w:rPr>
        <w:t>响应文件</w:t>
      </w:r>
    </w:p>
    <w:p>
      <w:pPr>
        <w:spacing w:line="360" w:lineRule="atLeast"/>
        <w:jc w:val="center"/>
        <w:rPr>
          <w:rFonts w:ascii="宋体" w:hAnsi="宋体"/>
          <w:sz w:val="52"/>
          <w:szCs w:val="52"/>
          <w:highlight w:val="none"/>
        </w:rPr>
      </w:pPr>
    </w:p>
    <w:p>
      <w:pPr>
        <w:spacing w:line="360" w:lineRule="atLeast"/>
        <w:jc w:val="center"/>
        <w:rPr>
          <w:rFonts w:ascii="宋体" w:hAnsi="宋体"/>
          <w:sz w:val="52"/>
          <w:szCs w:val="52"/>
          <w:highlight w:val="none"/>
        </w:rPr>
      </w:pPr>
    </w:p>
    <w:p>
      <w:pPr>
        <w:spacing w:line="360" w:lineRule="atLeast"/>
        <w:jc w:val="center"/>
        <w:rPr>
          <w:rFonts w:ascii="宋体" w:hAnsi="宋体"/>
          <w:sz w:val="52"/>
          <w:szCs w:val="52"/>
          <w:highlight w:val="none"/>
        </w:rPr>
      </w:pPr>
    </w:p>
    <w:p>
      <w:pPr>
        <w:spacing w:line="360" w:lineRule="atLeast"/>
        <w:jc w:val="center"/>
        <w:rPr>
          <w:rFonts w:ascii="宋体" w:hAnsi="宋体"/>
          <w:sz w:val="52"/>
          <w:szCs w:val="52"/>
          <w:highlight w:val="none"/>
        </w:rPr>
      </w:pPr>
    </w:p>
    <w:p>
      <w:pPr>
        <w:spacing w:line="360" w:lineRule="atLeast"/>
        <w:rPr>
          <w:rFonts w:ascii="宋体" w:hAnsi="宋体"/>
          <w:sz w:val="24"/>
          <w:highlight w:val="none"/>
        </w:rPr>
      </w:pPr>
    </w:p>
    <w:p>
      <w:pPr>
        <w:spacing w:line="360" w:lineRule="atLeast"/>
        <w:rPr>
          <w:rFonts w:ascii="宋体" w:hAnsi="宋体"/>
          <w:sz w:val="24"/>
          <w:highlight w:val="none"/>
        </w:rPr>
      </w:pPr>
    </w:p>
    <w:p>
      <w:pPr>
        <w:spacing w:line="360" w:lineRule="atLeast"/>
        <w:rPr>
          <w:rFonts w:ascii="宋体" w:hAnsi="宋体"/>
          <w:sz w:val="24"/>
          <w:highlight w:val="none"/>
        </w:rPr>
      </w:pPr>
    </w:p>
    <w:p>
      <w:pPr>
        <w:spacing w:line="360" w:lineRule="atLeast"/>
        <w:ind w:firstLine="1120" w:firstLineChars="400"/>
        <w:rPr>
          <w:rFonts w:ascii="黑体" w:hAnsi="黑体" w:eastAsia="黑体" w:cs="黑体"/>
          <w:sz w:val="28"/>
          <w:szCs w:val="28"/>
          <w:highlight w:val="none"/>
        </w:rPr>
      </w:pPr>
      <w:r>
        <w:rPr>
          <w:rFonts w:hint="eastAsia" w:ascii="黑体" w:hAnsi="黑体" w:eastAsia="黑体" w:cs="黑体"/>
          <w:sz w:val="28"/>
          <w:szCs w:val="28"/>
          <w:highlight w:val="none"/>
        </w:rPr>
        <w:t>供应商：</w:t>
      </w:r>
      <w:r>
        <w:rPr>
          <w:rFonts w:hint="eastAsia" w:ascii="黑体" w:hAnsi="黑体" w:eastAsia="黑体" w:cs="黑体"/>
          <w:sz w:val="28"/>
          <w:szCs w:val="28"/>
          <w:highlight w:val="none"/>
          <w:u w:val="single"/>
        </w:rPr>
        <w:t xml:space="preserve">                      </w:t>
      </w:r>
    </w:p>
    <w:p>
      <w:pPr>
        <w:spacing w:line="360" w:lineRule="atLeast"/>
        <w:ind w:firstLine="1120" w:firstLineChars="400"/>
        <w:rPr>
          <w:rFonts w:ascii="黑体" w:hAnsi="黑体" w:eastAsia="黑体" w:cs="黑体"/>
          <w:sz w:val="28"/>
          <w:szCs w:val="28"/>
          <w:highlight w:val="none"/>
          <w:u w:val="single"/>
        </w:rPr>
      </w:pPr>
      <w:r>
        <w:rPr>
          <w:rFonts w:hint="eastAsia" w:ascii="黑体" w:hAnsi="黑体" w:eastAsia="黑体" w:cs="黑体"/>
          <w:sz w:val="28"/>
          <w:szCs w:val="28"/>
          <w:highlight w:val="none"/>
        </w:rPr>
        <w:t>时间：</w:t>
      </w:r>
      <w:r>
        <w:rPr>
          <w:rFonts w:hint="eastAsia" w:ascii="黑体" w:hAnsi="黑体" w:eastAsia="黑体" w:cs="黑体"/>
          <w:sz w:val="28"/>
          <w:szCs w:val="28"/>
          <w:highlight w:val="none"/>
          <w:u w:val="single"/>
        </w:rPr>
        <w:t xml:space="preserve">                           </w:t>
      </w:r>
    </w:p>
    <w:p>
      <w:pPr>
        <w:jc w:val="center"/>
        <w:rPr>
          <w:rFonts w:ascii="黑体" w:hAnsi="黑体" w:eastAsia="黑体" w:cs="黑体"/>
          <w:sz w:val="32"/>
          <w:szCs w:val="32"/>
          <w:highlight w:val="none"/>
        </w:rPr>
      </w:pPr>
      <w:bookmarkStart w:id="435" w:name="_Toc2288"/>
      <w:bookmarkStart w:id="436" w:name="_Toc3239"/>
      <w:bookmarkStart w:id="437" w:name="_Toc24497"/>
      <w:r>
        <w:rPr>
          <w:rFonts w:hint="eastAsia" w:ascii="黑体" w:hAnsi="黑体" w:eastAsia="黑体" w:cs="黑体"/>
          <w:sz w:val="32"/>
          <w:szCs w:val="32"/>
          <w:highlight w:val="none"/>
        </w:rPr>
        <w:t>目  录</w:t>
      </w:r>
      <w:bookmarkEnd w:id="435"/>
      <w:bookmarkEnd w:id="436"/>
      <w:bookmarkEnd w:id="437"/>
    </w:p>
    <w:p>
      <w:pPr>
        <w:rPr>
          <w:highlight w:val="none"/>
        </w:rPr>
      </w:pPr>
    </w:p>
    <w:p>
      <w:pPr>
        <w:spacing w:line="360" w:lineRule="auto"/>
        <w:rPr>
          <w:rFonts w:eastAsia="黑体"/>
          <w:highlight w:val="none"/>
        </w:rPr>
      </w:pPr>
      <w:bookmarkStart w:id="438" w:name="_Toc483349431"/>
      <w:bookmarkStart w:id="439" w:name="_Toc26733"/>
      <w:r>
        <w:rPr>
          <w:rFonts w:hint="eastAsia" w:ascii="黑体" w:hAnsi="黑体" w:eastAsia="黑体" w:cs="黑体"/>
          <w:b/>
          <w:bCs/>
          <w:sz w:val="24"/>
          <w:highlight w:val="none"/>
        </w:rPr>
        <w:t>一、资格证明文件</w:t>
      </w:r>
      <w:bookmarkEnd w:id="438"/>
      <w:bookmarkEnd w:id="439"/>
      <w:r>
        <w:rPr>
          <w:rFonts w:hint="eastAsia" w:ascii="黑体" w:hAnsi="黑体" w:eastAsia="黑体" w:cs="黑体"/>
          <w:b/>
          <w:bCs/>
          <w:sz w:val="24"/>
          <w:highlight w:val="none"/>
        </w:rPr>
        <w:t>..........................................................</w:t>
      </w:r>
      <w:r>
        <w:rPr>
          <w:rFonts w:hint="eastAsia" w:eastAsia="黑体"/>
          <w:highlight w:val="none"/>
        </w:rPr>
        <w:t>x</w:t>
      </w:r>
    </w:p>
    <w:p>
      <w:pPr>
        <w:spacing w:line="360" w:lineRule="auto"/>
        <w:rPr>
          <w:rFonts w:ascii="黑体" w:hAnsi="黑体" w:eastAsia="黑体" w:cs="Times New Roman"/>
          <w:b/>
          <w:bCs/>
          <w:sz w:val="24"/>
          <w:highlight w:val="none"/>
        </w:rPr>
      </w:pPr>
      <w:bookmarkStart w:id="440" w:name="_Toc483349432"/>
      <w:bookmarkStart w:id="441" w:name="_Toc18346"/>
      <w:r>
        <w:rPr>
          <w:rFonts w:hint="eastAsia" w:ascii="黑体" w:hAnsi="黑体" w:eastAsia="黑体" w:cs="黑体"/>
          <w:b/>
          <w:bCs/>
          <w:sz w:val="24"/>
          <w:highlight w:val="none"/>
        </w:rPr>
        <w:t>二、自查表</w:t>
      </w:r>
      <w:bookmarkEnd w:id="440"/>
      <w:bookmarkEnd w:id="441"/>
      <w:r>
        <w:rPr>
          <w:rFonts w:hint="eastAsia" w:ascii="黑体" w:hAnsi="黑体" w:eastAsia="黑体" w:cs="黑体"/>
          <w:b/>
          <w:bCs/>
          <w:sz w:val="24"/>
          <w:highlight w:val="none"/>
        </w:rPr>
        <w:t>................................................................</w:t>
      </w:r>
      <w:r>
        <w:rPr>
          <w:rFonts w:hint="eastAsia" w:eastAsia="黑体"/>
          <w:highlight w:val="none"/>
        </w:rPr>
        <w:t>x</w:t>
      </w:r>
    </w:p>
    <w:p>
      <w:pPr>
        <w:spacing w:line="360" w:lineRule="auto"/>
        <w:rPr>
          <w:rFonts w:ascii="黑体" w:hAnsi="黑体" w:eastAsia="黑体" w:cs="Times New Roman"/>
          <w:b/>
          <w:bCs/>
          <w:sz w:val="24"/>
          <w:highlight w:val="none"/>
        </w:rPr>
      </w:pPr>
      <w:bookmarkStart w:id="442" w:name="_Toc4584"/>
      <w:bookmarkStart w:id="443" w:name="_Toc483349433"/>
      <w:r>
        <w:rPr>
          <w:rFonts w:hint="eastAsia" w:ascii="黑体" w:hAnsi="黑体" w:eastAsia="黑体" w:cs="黑体"/>
          <w:b/>
          <w:bCs/>
          <w:sz w:val="24"/>
          <w:highlight w:val="none"/>
        </w:rPr>
        <w:t>三、响应函（格式）</w:t>
      </w:r>
      <w:bookmarkEnd w:id="442"/>
      <w:bookmarkEnd w:id="443"/>
      <w:r>
        <w:rPr>
          <w:rFonts w:hint="eastAsia" w:ascii="黑体" w:hAnsi="黑体" w:eastAsia="黑体" w:cs="黑体"/>
          <w:b/>
          <w:bCs/>
          <w:sz w:val="24"/>
          <w:highlight w:val="none"/>
        </w:rPr>
        <w:t>........................................................</w:t>
      </w:r>
      <w:r>
        <w:rPr>
          <w:rFonts w:hint="eastAsia" w:eastAsia="黑体"/>
          <w:highlight w:val="none"/>
        </w:rPr>
        <w:t>x</w:t>
      </w:r>
    </w:p>
    <w:p>
      <w:pPr>
        <w:spacing w:line="360" w:lineRule="auto"/>
        <w:rPr>
          <w:rFonts w:ascii="黑体" w:hAnsi="黑体" w:eastAsia="黑体" w:cs="Times New Roman"/>
          <w:b/>
          <w:bCs/>
          <w:sz w:val="24"/>
          <w:highlight w:val="none"/>
        </w:rPr>
      </w:pPr>
      <w:bookmarkStart w:id="444" w:name="_Toc29371"/>
      <w:bookmarkStart w:id="445" w:name="_Toc483349434"/>
      <w:r>
        <w:rPr>
          <w:rFonts w:hint="eastAsia" w:ascii="黑体" w:hAnsi="黑体" w:eastAsia="黑体" w:cs="黑体"/>
          <w:b/>
          <w:bCs/>
          <w:sz w:val="24"/>
          <w:highlight w:val="none"/>
        </w:rPr>
        <w:t>四、报价表</w:t>
      </w:r>
      <w:bookmarkEnd w:id="444"/>
      <w:bookmarkEnd w:id="445"/>
      <w:r>
        <w:rPr>
          <w:rFonts w:hint="eastAsia" w:ascii="黑体" w:hAnsi="黑体" w:eastAsia="黑体" w:cs="黑体"/>
          <w:b/>
          <w:bCs/>
          <w:sz w:val="24"/>
          <w:highlight w:val="none"/>
        </w:rPr>
        <w:t>................................................................</w:t>
      </w:r>
      <w:r>
        <w:rPr>
          <w:rFonts w:hint="eastAsia" w:eastAsia="黑体"/>
          <w:highlight w:val="none"/>
        </w:rPr>
        <w:t>x</w:t>
      </w:r>
    </w:p>
    <w:p>
      <w:pPr>
        <w:spacing w:line="360" w:lineRule="auto"/>
        <w:rPr>
          <w:rFonts w:ascii="黑体" w:hAnsi="黑体" w:eastAsia="黑体" w:cs="Times New Roman"/>
          <w:b/>
          <w:bCs/>
          <w:sz w:val="24"/>
          <w:highlight w:val="none"/>
        </w:rPr>
      </w:pPr>
      <w:bookmarkStart w:id="446" w:name="_Toc483349435"/>
      <w:bookmarkStart w:id="447" w:name="_Toc27473"/>
      <w:r>
        <w:rPr>
          <w:rFonts w:hint="eastAsia" w:ascii="黑体" w:hAnsi="黑体" w:eastAsia="黑体" w:cs="黑体"/>
          <w:b/>
          <w:bCs/>
          <w:sz w:val="24"/>
          <w:highlight w:val="none"/>
        </w:rPr>
        <w:t>五、技术部分</w:t>
      </w:r>
      <w:bookmarkEnd w:id="446"/>
      <w:bookmarkEnd w:id="447"/>
      <w:r>
        <w:rPr>
          <w:rFonts w:hint="eastAsia" w:ascii="黑体" w:hAnsi="黑体" w:eastAsia="黑体" w:cs="黑体"/>
          <w:b/>
          <w:bCs/>
          <w:sz w:val="24"/>
          <w:highlight w:val="none"/>
        </w:rPr>
        <w:t>..............................................................</w:t>
      </w:r>
      <w:r>
        <w:rPr>
          <w:rFonts w:hint="eastAsia" w:eastAsia="黑体"/>
          <w:highlight w:val="none"/>
        </w:rPr>
        <w:t>x</w:t>
      </w:r>
    </w:p>
    <w:p>
      <w:pPr>
        <w:spacing w:line="360" w:lineRule="auto"/>
        <w:rPr>
          <w:rFonts w:ascii="黑体" w:hAnsi="黑体" w:eastAsia="黑体" w:cs="Times New Roman"/>
          <w:b/>
          <w:bCs/>
          <w:sz w:val="24"/>
          <w:highlight w:val="none"/>
        </w:rPr>
      </w:pPr>
      <w:bookmarkStart w:id="448" w:name="_Toc25422"/>
      <w:bookmarkStart w:id="449" w:name="_Toc483349436"/>
      <w:r>
        <w:rPr>
          <w:rFonts w:hint="eastAsia" w:ascii="黑体" w:hAnsi="黑体" w:eastAsia="黑体" w:cs="黑体"/>
          <w:b/>
          <w:bCs/>
          <w:sz w:val="24"/>
          <w:highlight w:val="none"/>
        </w:rPr>
        <w:t>六、商务部分</w:t>
      </w:r>
      <w:bookmarkEnd w:id="448"/>
      <w:bookmarkEnd w:id="449"/>
      <w:r>
        <w:rPr>
          <w:rFonts w:hint="eastAsia" w:ascii="黑体" w:hAnsi="黑体" w:eastAsia="黑体" w:cs="黑体"/>
          <w:b/>
          <w:bCs/>
          <w:sz w:val="24"/>
          <w:highlight w:val="none"/>
        </w:rPr>
        <w:t>..............................................................</w:t>
      </w:r>
      <w:r>
        <w:rPr>
          <w:rFonts w:hint="eastAsia" w:eastAsia="黑体"/>
          <w:highlight w:val="none"/>
        </w:rPr>
        <w:t>x</w:t>
      </w:r>
    </w:p>
    <w:p>
      <w:pPr>
        <w:spacing w:line="360" w:lineRule="auto"/>
        <w:rPr>
          <w:rFonts w:ascii="黑体" w:hAnsi="黑体" w:eastAsia="黑体" w:cs="Times New Roman"/>
          <w:b/>
          <w:bCs/>
          <w:sz w:val="24"/>
          <w:highlight w:val="none"/>
        </w:rPr>
      </w:pPr>
      <w:bookmarkStart w:id="450" w:name="_Toc483349437"/>
      <w:bookmarkStart w:id="451" w:name="_Toc32072"/>
      <w:r>
        <w:rPr>
          <w:rFonts w:hint="eastAsia" w:ascii="黑体" w:hAnsi="黑体" w:eastAsia="黑体" w:cs="黑体"/>
          <w:b/>
          <w:bCs/>
          <w:sz w:val="24"/>
          <w:highlight w:val="none"/>
        </w:rPr>
        <w:t>七、供应商认为必要说明的其它内容</w:t>
      </w:r>
      <w:bookmarkEnd w:id="450"/>
      <w:bookmarkEnd w:id="451"/>
      <w:r>
        <w:rPr>
          <w:rFonts w:hint="eastAsia" w:ascii="黑体" w:hAnsi="黑体" w:eastAsia="黑体" w:cs="黑体"/>
          <w:b/>
          <w:bCs/>
          <w:sz w:val="24"/>
          <w:highlight w:val="none"/>
        </w:rPr>
        <w:t>..........................................</w:t>
      </w:r>
      <w:r>
        <w:rPr>
          <w:rFonts w:hint="eastAsia" w:eastAsia="黑体"/>
          <w:highlight w:val="none"/>
        </w:rPr>
        <w:t>x</w:t>
      </w:r>
    </w:p>
    <w:p>
      <w:pPr>
        <w:spacing w:line="360" w:lineRule="auto"/>
        <w:rPr>
          <w:rFonts w:ascii="黑体" w:hAnsi="黑体" w:eastAsia="黑体" w:cs="Times New Roman"/>
          <w:b/>
          <w:bCs/>
          <w:sz w:val="24"/>
          <w:highlight w:val="none"/>
        </w:rPr>
      </w:pPr>
      <w:bookmarkStart w:id="452" w:name="_Toc483349438"/>
      <w:bookmarkStart w:id="453" w:name="_Toc29690"/>
      <w:r>
        <w:rPr>
          <w:rFonts w:hint="eastAsia" w:ascii="黑体" w:hAnsi="黑体" w:eastAsia="黑体" w:cs="黑体"/>
          <w:b/>
          <w:bCs/>
          <w:sz w:val="24"/>
          <w:highlight w:val="none"/>
        </w:rPr>
        <w:t>八、承诺书</w:t>
      </w:r>
      <w:bookmarkEnd w:id="452"/>
      <w:bookmarkEnd w:id="453"/>
      <w:r>
        <w:rPr>
          <w:rFonts w:hint="eastAsia" w:ascii="黑体" w:hAnsi="黑体" w:eastAsia="黑体" w:cs="黑体"/>
          <w:b/>
          <w:bCs/>
          <w:sz w:val="24"/>
          <w:highlight w:val="none"/>
        </w:rPr>
        <w:t>................................................................</w:t>
      </w:r>
      <w:r>
        <w:rPr>
          <w:rFonts w:hint="eastAsia" w:eastAsia="黑体"/>
          <w:highlight w:val="none"/>
        </w:rPr>
        <w:t>x</w:t>
      </w:r>
    </w:p>
    <w:p>
      <w:pPr>
        <w:spacing w:line="360" w:lineRule="auto"/>
        <w:jc w:val="center"/>
        <w:rPr>
          <w:rFonts w:ascii="黑体" w:hAnsi="仿宋" w:eastAsia="黑体" w:cs="仿宋"/>
          <w:b/>
          <w:sz w:val="24"/>
          <w:highlight w:val="none"/>
        </w:rPr>
      </w:pPr>
    </w:p>
    <w:p>
      <w:pPr>
        <w:spacing w:line="360" w:lineRule="auto"/>
        <w:jc w:val="center"/>
        <w:rPr>
          <w:rFonts w:ascii="黑体" w:hAnsi="仿宋" w:eastAsia="黑体" w:cs="仿宋"/>
          <w:b/>
          <w:sz w:val="24"/>
          <w:highlight w:val="none"/>
        </w:rPr>
      </w:pPr>
    </w:p>
    <w:p>
      <w:pPr>
        <w:spacing w:line="360" w:lineRule="auto"/>
        <w:jc w:val="center"/>
        <w:rPr>
          <w:rFonts w:ascii="黑体" w:hAnsi="仿宋" w:eastAsia="黑体" w:cs="仿宋"/>
          <w:b/>
          <w:sz w:val="24"/>
          <w:highlight w:val="none"/>
        </w:rPr>
      </w:pPr>
    </w:p>
    <w:p>
      <w:pPr>
        <w:spacing w:line="360" w:lineRule="auto"/>
        <w:jc w:val="center"/>
        <w:rPr>
          <w:rFonts w:ascii="黑体" w:hAnsi="仿宋" w:eastAsia="黑体" w:cs="仿宋"/>
          <w:b/>
          <w:sz w:val="24"/>
          <w:highlight w:val="none"/>
        </w:rPr>
      </w:pPr>
    </w:p>
    <w:p>
      <w:pPr>
        <w:spacing w:line="360" w:lineRule="auto"/>
        <w:jc w:val="center"/>
        <w:rPr>
          <w:rFonts w:ascii="黑体" w:hAnsi="仿宋" w:eastAsia="黑体" w:cs="仿宋"/>
          <w:b/>
          <w:sz w:val="24"/>
          <w:highlight w:val="none"/>
        </w:rPr>
      </w:pPr>
    </w:p>
    <w:p>
      <w:pPr>
        <w:spacing w:line="360" w:lineRule="auto"/>
        <w:jc w:val="center"/>
        <w:rPr>
          <w:rFonts w:ascii="黑体" w:hAnsi="仿宋" w:eastAsia="黑体" w:cs="仿宋"/>
          <w:b/>
          <w:sz w:val="24"/>
          <w:highlight w:val="none"/>
        </w:rPr>
      </w:pPr>
    </w:p>
    <w:p>
      <w:pPr>
        <w:spacing w:line="360" w:lineRule="auto"/>
        <w:jc w:val="center"/>
        <w:rPr>
          <w:rFonts w:ascii="黑体" w:hAnsi="仿宋" w:eastAsia="黑体" w:cs="仿宋"/>
          <w:b/>
          <w:sz w:val="24"/>
          <w:highlight w:val="none"/>
        </w:rPr>
      </w:pPr>
    </w:p>
    <w:p>
      <w:pPr>
        <w:spacing w:line="360" w:lineRule="auto"/>
        <w:jc w:val="center"/>
        <w:rPr>
          <w:rFonts w:ascii="黑体" w:hAnsi="仿宋" w:eastAsia="黑体" w:cs="仿宋"/>
          <w:b/>
          <w:sz w:val="24"/>
          <w:highlight w:val="none"/>
        </w:rPr>
      </w:pPr>
    </w:p>
    <w:p>
      <w:pPr>
        <w:spacing w:line="360" w:lineRule="auto"/>
        <w:jc w:val="center"/>
        <w:rPr>
          <w:rFonts w:ascii="黑体" w:hAnsi="仿宋" w:eastAsia="黑体" w:cs="仿宋"/>
          <w:b/>
          <w:sz w:val="24"/>
          <w:highlight w:val="none"/>
        </w:rPr>
      </w:pPr>
    </w:p>
    <w:p>
      <w:pPr>
        <w:spacing w:line="360" w:lineRule="auto"/>
        <w:jc w:val="center"/>
        <w:rPr>
          <w:rFonts w:ascii="黑体" w:hAnsi="仿宋" w:eastAsia="黑体" w:cs="仿宋"/>
          <w:b/>
          <w:sz w:val="24"/>
          <w:highlight w:val="none"/>
        </w:rPr>
      </w:pPr>
    </w:p>
    <w:p>
      <w:pPr>
        <w:rPr>
          <w:rFonts w:ascii="黑体" w:hAnsi="仿宋" w:eastAsia="黑体" w:cs="仿宋"/>
          <w:b/>
          <w:sz w:val="24"/>
          <w:highlight w:val="none"/>
        </w:rPr>
      </w:pPr>
      <w:r>
        <w:rPr>
          <w:rFonts w:ascii="黑体" w:hAnsi="仿宋" w:eastAsia="黑体" w:cs="仿宋"/>
          <w:b/>
          <w:sz w:val="24"/>
          <w:highlight w:val="none"/>
        </w:rPr>
        <w:br w:type="page"/>
      </w:r>
    </w:p>
    <w:p>
      <w:pPr>
        <w:spacing w:line="360" w:lineRule="auto"/>
        <w:jc w:val="center"/>
        <w:outlineLvl w:val="1"/>
        <w:rPr>
          <w:rFonts w:ascii="黑体" w:hAnsi="仿宋" w:eastAsia="黑体" w:cs="仿宋"/>
          <w:b/>
          <w:sz w:val="32"/>
          <w:szCs w:val="32"/>
          <w:highlight w:val="none"/>
        </w:rPr>
      </w:pPr>
      <w:bookmarkStart w:id="454" w:name="_Toc23545"/>
      <w:bookmarkStart w:id="455" w:name="_Toc16970"/>
      <w:bookmarkStart w:id="456" w:name="_Toc30302"/>
      <w:bookmarkStart w:id="457" w:name="_Toc9082"/>
      <w:bookmarkStart w:id="458" w:name="_Toc278794812"/>
      <w:r>
        <w:rPr>
          <w:rFonts w:hint="eastAsia" w:ascii="黑体" w:hAnsi="仿宋" w:eastAsia="黑体" w:cs="仿宋"/>
          <w:b/>
          <w:sz w:val="32"/>
          <w:szCs w:val="32"/>
          <w:highlight w:val="none"/>
        </w:rPr>
        <w:t>一、资格证明文件</w:t>
      </w:r>
      <w:bookmarkEnd w:id="454"/>
      <w:bookmarkEnd w:id="455"/>
      <w:bookmarkEnd w:id="456"/>
      <w:bookmarkEnd w:id="457"/>
    </w:p>
    <w:p>
      <w:pPr>
        <w:pStyle w:val="13"/>
        <w:spacing w:line="500" w:lineRule="exact"/>
        <w:ind w:left="-120" w:leftChars="-57" w:firstLine="527" w:firstLineChars="250"/>
        <w:rPr>
          <w:rFonts w:hAnsi="宋体"/>
          <w:b/>
          <w:bCs/>
          <w:highlight w:val="none"/>
          <w:u w:val="single"/>
        </w:rPr>
      </w:pPr>
      <w:r>
        <w:rPr>
          <w:rFonts w:hint="eastAsia" w:hAnsi="宋体"/>
          <w:b/>
          <w:bCs/>
          <w:highlight w:val="none"/>
          <w:u w:val="single"/>
        </w:rPr>
        <w:t>注：</w:t>
      </w:r>
      <w:r>
        <w:rPr>
          <w:rFonts w:hint="eastAsia" w:hAnsi="宋体"/>
          <w:b/>
          <w:bCs/>
          <w:highlight w:val="none"/>
          <w:u w:val="single"/>
          <w:lang w:val="en-GB"/>
        </w:rPr>
        <w:t>资格证明文件按照《</w:t>
      </w:r>
      <w:r>
        <w:rPr>
          <w:rFonts w:hint="eastAsia" w:hAnsi="宋体"/>
          <w:b/>
          <w:bCs/>
          <w:highlight w:val="none"/>
          <w:u w:val="single"/>
        </w:rPr>
        <w:t>第三部分 供应商须知</w:t>
      </w:r>
      <w:r>
        <w:rPr>
          <w:rFonts w:hint="eastAsia" w:hAnsi="宋体"/>
          <w:b/>
          <w:bCs/>
          <w:highlight w:val="none"/>
          <w:u w:val="single"/>
          <w:lang w:val="en-GB"/>
        </w:rPr>
        <w:t>》2.2条要求内容组成，</w:t>
      </w:r>
      <w:r>
        <w:rPr>
          <w:rFonts w:hint="eastAsia" w:hAnsi="宋体"/>
          <w:b/>
          <w:bCs/>
          <w:highlight w:val="none"/>
          <w:u w:val="single"/>
        </w:rPr>
        <w:t>未按照要求提供将有可能导致响应无效。</w:t>
      </w:r>
    </w:p>
    <w:p>
      <w:pPr>
        <w:spacing w:line="360" w:lineRule="auto"/>
        <w:ind w:firstLine="480" w:firstLineChars="200"/>
        <w:rPr>
          <w:rFonts w:ascii="宋体" w:hAnsi="宋体"/>
          <w:color w:val="0000FF"/>
          <w:sz w:val="24"/>
          <w:highlight w:val="none"/>
        </w:rPr>
      </w:pPr>
    </w:p>
    <w:p>
      <w:pPr>
        <w:spacing w:line="360" w:lineRule="auto"/>
        <w:ind w:firstLine="480" w:firstLineChars="200"/>
        <w:rPr>
          <w:rFonts w:ascii="宋体" w:hAnsi="宋体"/>
          <w:color w:val="0000FF"/>
          <w:sz w:val="24"/>
          <w:highlight w:val="none"/>
        </w:rPr>
      </w:pPr>
    </w:p>
    <w:p>
      <w:pPr>
        <w:spacing w:line="360" w:lineRule="auto"/>
        <w:ind w:firstLine="480" w:firstLineChars="200"/>
        <w:rPr>
          <w:rFonts w:ascii="宋体" w:hAnsi="宋体"/>
          <w:color w:val="0000FF"/>
          <w:sz w:val="24"/>
          <w:highlight w:val="none"/>
        </w:rPr>
      </w:pPr>
    </w:p>
    <w:p>
      <w:pPr>
        <w:spacing w:line="360" w:lineRule="auto"/>
        <w:jc w:val="center"/>
        <w:rPr>
          <w:rFonts w:ascii="黑体" w:hAnsi="仿宋" w:eastAsia="黑体" w:cs="仿宋"/>
          <w:bCs/>
          <w:sz w:val="32"/>
          <w:szCs w:val="32"/>
          <w:highlight w:val="none"/>
        </w:rPr>
      </w:pPr>
    </w:p>
    <w:p>
      <w:pPr>
        <w:spacing w:line="360" w:lineRule="auto"/>
        <w:jc w:val="center"/>
        <w:rPr>
          <w:rFonts w:ascii="黑体" w:hAnsi="仿宋" w:eastAsia="黑体" w:cs="仿宋"/>
          <w:bCs/>
          <w:sz w:val="32"/>
          <w:szCs w:val="32"/>
          <w:highlight w:val="none"/>
        </w:rPr>
      </w:pPr>
    </w:p>
    <w:p>
      <w:pPr>
        <w:spacing w:line="360" w:lineRule="auto"/>
        <w:ind w:firstLine="482" w:firstLineChars="200"/>
        <w:rPr>
          <w:rFonts w:ascii="宋体" w:hAnsi="宋体"/>
          <w:b/>
          <w:bCs/>
          <w:sz w:val="24"/>
          <w:highlight w:val="none"/>
        </w:rPr>
      </w:pPr>
      <w:r>
        <w:rPr>
          <w:rFonts w:hint="eastAsia" w:ascii="宋体" w:hAnsi="宋体"/>
          <w:b/>
          <w:bCs/>
          <w:sz w:val="24"/>
          <w:highlight w:val="none"/>
        </w:rPr>
        <w:br w:type="page"/>
      </w:r>
    </w:p>
    <w:p>
      <w:pPr>
        <w:spacing w:line="360" w:lineRule="auto"/>
        <w:ind w:firstLine="482" w:firstLineChars="200"/>
        <w:rPr>
          <w:rFonts w:ascii="宋体" w:hAnsi="宋体"/>
          <w:b/>
          <w:bCs/>
          <w:sz w:val="24"/>
          <w:highlight w:val="none"/>
        </w:rPr>
      </w:pPr>
      <w:r>
        <w:rPr>
          <w:rFonts w:hint="eastAsia" w:ascii="宋体" w:hAnsi="宋体"/>
          <w:b/>
          <w:bCs/>
          <w:sz w:val="24"/>
          <w:highlight w:val="none"/>
        </w:rPr>
        <w:t>1.1供应商资格声明</w:t>
      </w:r>
    </w:p>
    <w:p>
      <w:pPr>
        <w:spacing w:line="360" w:lineRule="auto"/>
        <w:ind w:firstLine="480" w:firstLineChars="200"/>
        <w:rPr>
          <w:rFonts w:ascii="宋体" w:hAnsi="宋体"/>
          <w:color w:val="0000FF"/>
          <w:sz w:val="24"/>
          <w:highlight w:val="none"/>
        </w:rPr>
      </w:pPr>
    </w:p>
    <w:p>
      <w:pPr>
        <w:spacing w:line="360" w:lineRule="auto"/>
        <w:jc w:val="center"/>
        <w:rPr>
          <w:rFonts w:ascii="黑体" w:hAnsi="仿宋" w:eastAsia="黑体" w:cs="仿宋"/>
          <w:bCs/>
          <w:sz w:val="32"/>
          <w:szCs w:val="32"/>
          <w:highlight w:val="none"/>
        </w:rPr>
      </w:pPr>
      <w:bookmarkStart w:id="459" w:name="_Toc31886"/>
      <w:bookmarkStart w:id="460" w:name="_Toc9644"/>
      <w:bookmarkStart w:id="461" w:name="_Toc32276"/>
      <w:r>
        <w:rPr>
          <w:rFonts w:hint="eastAsia" w:ascii="黑体" w:hAnsi="仿宋" w:eastAsia="黑体" w:cs="仿宋"/>
          <w:bCs/>
          <w:sz w:val="32"/>
          <w:szCs w:val="32"/>
          <w:highlight w:val="none"/>
        </w:rPr>
        <w:t>供应商资格声明（格式）</w:t>
      </w:r>
      <w:bookmarkEnd w:id="459"/>
      <w:bookmarkEnd w:id="460"/>
      <w:bookmarkEnd w:id="461"/>
    </w:p>
    <w:p>
      <w:pPr>
        <w:spacing w:line="360" w:lineRule="auto"/>
        <w:ind w:firstLine="359" w:firstLineChars="171"/>
        <w:rPr>
          <w:rFonts w:ascii="宋体" w:hAnsi="宋体"/>
          <w:color w:val="000000"/>
          <w:szCs w:val="21"/>
          <w:highlight w:val="none"/>
        </w:rPr>
      </w:pPr>
    </w:p>
    <w:p>
      <w:pPr>
        <w:spacing w:line="360" w:lineRule="auto"/>
        <w:rPr>
          <w:rFonts w:ascii="宋体" w:hAnsi="宋体"/>
          <w:b/>
          <w:bCs/>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p>
      <w:pPr>
        <w:spacing w:line="360" w:lineRule="auto"/>
        <w:ind w:firstLine="480" w:firstLineChars="200"/>
        <w:rPr>
          <w:rFonts w:ascii="宋体" w:hAnsi="宋体"/>
          <w:sz w:val="24"/>
          <w:highlight w:val="none"/>
        </w:rPr>
      </w:pPr>
      <w:bookmarkStart w:id="462" w:name="_Toc29197"/>
      <w:bookmarkStart w:id="463" w:name="_Toc21728"/>
      <w:bookmarkStart w:id="464" w:name="_Toc18251"/>
      <w:r>
        <w:rPr>
          <w:rFonts w:hint="eastAsia" w:ascii="宋体" w:hAnsi="宋体"/>
          <w:sz w:val="24"/>
          <w:highlight w:val="none"/>
        </w:rPr>
        <w:t>作为参加贵公司组织的竞争性磋商项目的供应商，本公司郑重声明</w:t>
      </w:r>
      <w:r>
        <w:rPr>
          <w:rFonts w:hint="eastAsia" w:ascii="宋体" w:hAnsi="宋体"/>
          <w:b/>
          <w:bCs/>
          <w:sz w:val="24"/>
          <w:highlight w:val="none"/>
          <w:u w:val="single"/>
        </w:rPr>
        <w:t>我方符合磋商文件中“供应商资格要求”规定的条件</w:t>
      </w:r>
      <w:r>
        <w:rPr>
          <w:rFonts w:hint="eastAsia" w:ascii="宋体" w:hAnsi="宋体"/>
          <w:sz w:val="24"/>
          <w:highlight w:val="none"/>
        </w:rPr>
        <w:t>，申告并承诺如下：</w:t>
      </w:r>
      <w:bookmarkEnd w:id="462"/>
      <w:bookmarkEnd w:id="463"/>
      <w:bookmarkEnd w:id="464"/>
    </w:p>
    <w:p>
      <w:pPr>
        <w:spacing w:line="360" w:lineRule="auto"/>
        <w:ind w:firstLine="480" w:firstLineChars="200"/>
        <w:rPr>
          <w:rFonts w:ascii="宋体" w:hAnsi="宋体"/>
          <w:sz w:val="24"/>
          <w:highlight w:val="none"/>
        </w:rPr>
      </w:pPr>
      <w:bookmarkStart w:id="465" w:name="_Toc5504"/>
      <w:bookmarkStart w:id="466" w:name="_Toc986"/>
      <w:bookmarkStart w:id="467" w:name="_Toc10633"/>
      <w:bookmarkStart w:id="468" w:name="_Toc10094"/>
      <w:r>
        <w:rPr>
          <w:rFonts w:hint="eastAsia" w:ascii="宋体" w:hAnsi="宋体"/>
          <w:sz w:val="24"/>
          <w:highlight w:val="none"/>
        </w:rPr>
        <w:t>1.我方具有独立承担民事责任的能力，且是中华人民共和国境内注册的法人</w:t>
      </w:r>
      <w:bookmarkEnd w:id="465"/>
      <w:r>
        <w:rPr>
          <w:rFonts w:hint="eastAsia" w:ascii="宋体" w:hAnsi="宋体"/>
          <w:sz w:val="24"/>
          <w:highlight w:val="none"/>
        </w:rPr>
        <w:t>、其他组织或自然人；</w:t>
      </w:r>
      <w:bookmarkEnd w:id="466"/>
    </w:p>
    <w:p>
      <w:pPr>
        <w:spacing w:line="360" w:lineRule="auto"/>
        <w:ind w:firstLine="480" w:firstLineChars="200"/>
        <w:rPr>
          <w:rFonts w:ascii="宋体" w:hAnsi="宋体"/>
          <w:sz w:val="24"/>
          <w:highlight w:val="none"/>
        </w:rPr>
      </w:pPr>
      <w:bookmarkStart w:id="469" w:name="_Toc23492"/>
      <w:r>
        <w:rPr>
          <w:rFonts w:hint="eastAsia" w:ascii="宋体" w:hAnsi="宋体"/>
          <w:sz w:val="24"/>
          <w:highlight w:val="none"/>
        </w:rPr>
        <w:t>2.我方具有良好的商业信誉和健全的财务会计制度；</w:t>
      </w:r>
      <w:bookmarkEnd w:id="467"/>
      <w:bookmarkEnd w:id="468"/>
      <w:bookmarkEnd w:id="469"/>
    </w:p>
    <w:p>
      <w:pPr>
        <w:spacing w:line="360" w:lineRule="auto"/>
        <w:ind w:firstLine="480" w:firstLineChars="200"/>
        <w:rPr>
          <w:rFonts w:ascii="宋体" w:hAnsi="宋体"/>
          <w:sz w:val="24"/>
          <w:highlight w:val="none"/>
        </w:rPr>
      </w:pPr>
      <w:bookmarkStart w:id="470" w:name="_Toc16240"/>
      <w:bookmarkStart w:id="471" w:name="_Toc21747"/>
      <w:bookmarkStart w:id="472" w:name="_Toc21112"/>
      <w:r>
        <w:rPr>
          <w:rFonts w:hint="eastAsia" w:ascii="宋体" w:hAnsi="宋体"/>
          <w:sz w:val="24"/>
          <w:highlight w:val="none"/>
        </w:rPr>
        <w:t>3.我方具有履行合同所必须的设备和专业技术能力；</w:t>
      </w:r>
      <w:bookmarkEnd w:id="470"/>
      <w:bookmarkEnd w:id="471"/>
      <w:bookmarkEnd w:id="472"/>
    </w:p>
    <w:p>
      <w:pPr>
        <w:spacing w:line="360" w:lineRule="auto"/>
        <w:ind w:firstLine="480" w:firstLineChars="200"/>
        <w:rPr>
          <w:rFonts w:ascii="宋体" w:hAnsi="宋体"/>
          <w:sz w:val="24"/>
          <w:highlight w:val="none"/>
        </w:rPr>
      </w:pPr>
      <w:bookmarkStart w:id="473" w:name="_Toc13349"/>
      <w:bookmarkStart w:id="474" w:name="_Toc21919"/>
      <w:bookmarkStart w:id="475" w:name="_Toc23084"/>
      <w:r>
        <w:rPr>
          <w:rFonts w:hint="eastAsia" w:ascii="宋体" w:hAnsi="宋体"/>
          <w:sz w:val="24"/>
          <w:highlight w:val="none"/>
        </w:rPr>
        <w:t>4.我方具有依法缴纳税收和社会保障资金的良好记录；</w:t>
      </w:r>
      <w:bookmarkEnd w:id="473"/>
      <w:bookmarkEnd w:id="474"/>
      <w:bookmarkEnd w:id="475"/>
    </w:p>
    <w:p>
      <w:pPr>
        <w:spacing w:line="360" w:lineRule="auto"/>
        <w:ind w:firstLine="480" w:firstLineChars="200"/>
        <w:rPr>
          <w:rFonts w:ascii="宋体" w:hAnsi="宋体"/>
          <w:sz w:val="24"/>
          <w:highlight w:val="none"/>
        </w:rPr>
      </w:pPr>
      <w:bookmarkStart w:id="476" w:name="_Toc1324"/>
      <w:bookmarkStart w:id="477" w:name="_Toc14836"/>
      <w:bookmarkStart w:id="478" w:name="_Toc8077"/>
      <w:r>
        <w:rPr>
          <w:rFonts w:hint="eastAsia" w:ascii="宋体" w:hAnsi="宋体"/>
          <w:sz w:val="24"/>
          <w:highlight w:val="none"/>
        </w:rPr>
        <w:t>5.我方参加本次政府采购活动前三年内，在经营活动中没有重大违法记录；</w:t>
      </w:r>
      <w:bookmarkEnd w:id="476"/>
      <w:bookmarkEnd w:id="477"/>
      <w:bookmarkEnd w:id="478"/>
    </w:p>
    <w:p>
      <w:pPr>
        <w:spacing w:line="360" w:lineRule="auto"/>
        <w:ind w:firstLine="480" w:firstLineChars="200"/>
        <w:rPr>
          <w:rFonts w:ascii="宋体" w:hAnsi="宋体"/>
          <w:sz w:val="24"/>
          <w:highlight w:val="none"/>
        </w:rPr>
      </w:pPr>
      <w:bookmarkStart w:id="479" w:name="_Toc10055"/>
      <w:bookmarkStart w:id="480" w:name="_Toc5411"/>
      <w:bookmarkStart w:id="481" w:name="_Toc16165"/>
      <w:r>
        <w:rPr>
          <w:rFonts w:hint="eastAsia" w:ascii="宋体" w:hAnsi="宋体"/>
          <w:sz w:val="24"/>
          <w:highlight w:val="none"/>
        </w:rPr>
        <w:t>6.我方具有法律、行政法规规定的其他条件；</w:t>
      </w:r>
      <w:bookmarkEnd w:id="479"/>
      <w:bookmarkEnd w:id="480"/>
      <w:bookmarkEnd w:id="481"/>
    </w:p>
    <w:p>
      <w:pPr>
        <w:spacing w:line="360" w:lineRule="auto"/>
        <w:ind w:firstLine="480" w:firstLineChars="200"/>
        <w:rPr>
          <w:rFonts w:ascii="宋体" w:hAnsi="宋体"/>
          <w:sz w:val="24"/>
          <w:highlight w:val="none"/>
        </w:rPr>
      </w:pPr>
      <w:bookmarkStart w:id="482" w:name="_Toc4518"/>
      <w:bookmarkStart w:id="483" w:name="_Toc6797"/>
      <w:bookmarkStart w:id="484" w:name="_Toc26686"/>
      <w:r>
        <w:rPr>
          <w:rFonts w:hint="eastAsia" w:ascii="宋体" w:hAnsi="宋体"/>
          <w:sz w:val="24"/>
          <w:highlight w:val="none"/>
        </w:rPr>
        <w:t>7.我方具备采购人根据采购项目提出的特殊条件（如果有）。</w:t>
      </w:r>
      <w:bookmarkEnd w:id="482"/>
      <w:bookmarkEnd w:id="483"/>
      <w:bookmarkEnd w:id="484"/>
    </w:p>
    <w:p>
      <w:pPr>
        <w:spacing w:line="360" w:lineRule="auto"/>
        <w:ind w:firstLine="480" w:firstLineChars="200"/>
        <w:rPr>
          <w:rFonts w:ascii="宋体" w:hAnsi="宋体"/>
          <w:sz w:val="24"/>
          <w:highlight w:val="none"/>
        </w:rPr>
      </w:pPr>
      <w:bookmarkStart w:id="485" w:name="_Toc14587"/>
      <w:bookmarkStart w:id="486" w:name="_Toc718"/>
      <w:bookmarkStart w:id="487" w:name="_Toc15093"/>
      <w:r>
        <w:rPr>
          <w:rFonts w:hint="eastAsia" w:ascii="宋体" w:hAnsi="宋体"/>
          <w:sz w:val="24"/>
          <w:highlight w:val="none"/>
        </w:rPr>
        <w:t>相关证明材料附后，如有需要，我方可根据采购人的要求提供更多证明材料，以便核查。</w:t>
      </w:r>
      <w:bookmarkEnd w:id="485"/>
      <w:bookmarkEnd w:id="486"/>
      <w:bookmarkEnd w:id="487"/>
    </w:p>
    <w:p>
      <w:pPr>
        <w:spacing w:line="360" w:lineRule="auto"/>
        <w:ind w:firstLine="482" w:firstLineChars="200"/>
        <w:rPr>
          <w:rFonts w:ascii="宋体" w:hAnsi="宋体"/>
          <w:b/>
          <w:bCs/>
          <w:sz w:val="24"/>
          <w:highlight w:val="none"/>
          <w:u w:val="single"/>
        </w:rPr>
      </w:pPr>
      <w:bookmarkStart w:id="488" w:name="_Toc12460"/>
      <w:bookmarkStart w:id="489" w:name="_Toc22356"/>
      <w:bookmarkStart w:id="490" w:name="_Toc3663"/>
      <w:r>
        <w:rPr>
          <w:rFonts w:hint="eastAsia" w:ascii="宋体" w:hAnsi="宋体"/>
          <w:b/>
          <w:bCs/>
          <w:sz w:val="24"/>
          <w:highlight w:val="none"/>
          <w:u w:val="single"/>
        </w:rPr>
        <w:t>以上内容如有虚假或与事实不符的，磋商小组可将我方做无效响应处理，相关法律责任和处罚也由我方承担。</w:t>
      </w:r>
      <w:bookmarkEnd w:id="488"/>
      <w:bookmarkEnd w:id="489"/>
      <w:bookmarkEnd w:id="490"/>
    </w:p>
    <w:p>
      <w:pPr>
        <w:spacing w:line="360" w:lineRule="auto"/>
        <w:ind w:firstLine="480" w:firstLineChars="200"/>
        <w:rPr>
          <w:rFonts w:ascii="宋体" w:hAnsi="宋体"/>
          <w:sz w:val="24"/>
          <w:highlight w:val="none"/>
        </w:rPr>
      </w:pPr>
    </w:p>
    <w:p>
      <w:pPr>
        <w:spacing w:line="360" w:lineRule="auto"/>
        <w:ind w:firstLine="410" w:firstLineChars="171"/>
        <w:rPr>
          <w:rFonts w:ascii="宋体" w:hAnsi="宋体"/>
          <w:color w:val="000000"/>
          <w:sz w:val="24"/>
          <w:highlight w:val="none"/>
        </w:rPr>
      </w:pPr>
    </w:p>
    <w:p>
      <w:pPr>
        <w:spacing w:line="360" w:lineRule="auto"/>
        <w:ind w:firstLine="410" w:firstLineChars="171"/>
        <w:rPr>
          <w:rFonts w:ascii="宋体" w:hAnsi="宋体"/>
          <w:color w:val="000000"/>
          <w:sz w:val="24"/>
          <w:highlight w:val="none"/>
        </w:rPr>
      </w:pPr>
    </w:p>
    <w:p>
      <w:pPr>
        <w:spacing w:line="360" w:lineRule="auto"/>
        <w:ind w:firstLine="410" w:firstLineChars="171"/>
        <w:rPr>
          <w:rFonts w:ascii="宋体" w:hAnsi="宋体"/>
          <w:color w:val="000000"/>
          <w:sz w:val="24"/>
          <w:highlight w:val="none"/>
        </w:rPr>
      </w:pPr>
    </w:p>
    <w:p>
      <w:pPr>
        <w:spacing w:line="360" w:lineRule="auto"/>
        <w:ind w:firstLine="410" w:firstLineChars="171"/>
        <w:rPr>
          <w:rFonts w:ascii="宋体" w:hAnsi="宋体"/>
          <w:color w:val="000000"/>
          <w:sz w:val="24"/>
          <w:highlight w:val="none"/>
        </w:rPr>
      </w:pPr>
    </w:p>
    <w:p>
      <w:pPr>
        <w:spacing w:line="360" w:lineRule="auto"/>
        <w:ind w:firstLine="410" w:firstLineChars="171"/>
        <w:rPr>
          <w:rFonts w:ascii="宋体" w:hAnsi="宋体"/>
          <w:color w:val="000000"/>
          <w:sz w:val="24"/>
          <w:highlight w:val="none"/>
        </w:rPr>
      </w:pPr>
    </w:p>
    <w:p>
      <w:pPr>
        <w:spacing w:line="360" w:lineRule="auto"/>
        <w:ind w:firstLine="410" w:firstLineChars="171"/>
        <w:rPr>
          <w:rFonts w:ascii="宋体" w:hAnsi="宋体"/>
          <w:color w:val="000000"/>
          <w:sz w:val="24"/>
          <w:highlight w:val="none"/>
        </w:rPr>
      </w:pP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供应商法定代表人（或法定代表人授权代表）签字：</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供应商名称（盖章）：</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ind w:firstLine="480" w:firstLineChars="200"/>
        <w:rPr>
          <w:rFonts w:ascii="宋体" w:hAnsi="宋体"/>
          <w:sz w:val="24"/>
          <w:highlight w:val="none"/>
        </w:rPr>
      </w:pPr>
      <w:r>
        <w:rPr>
          <w:rFonts w:hint="eastAsia" w:ascii="宋体" w:hAnsi="宋体"/>
          <w:sz w:val="24"/>
          <w:highlight w:val="none"/>
        </w:rPr>
        <w:br w:type="page"/>
      </w:r>
    </w:p>
    <w:p>
      <w:pPr>
        <w:spacing w:line="360" w:lineRule="auto"/>
        <w:ind w:firstLine="480" w:firstLineChars="200"/>
        <w:rPr>
          <w:rFonts w:ascii="宋体" w:hAnsi="宋体"/>
          <w:sz w:val="24"/>
          <w:highlight w:val="none"/>
        </w:rPr>
      </w:pPr>
      <w:bookmarkStart w:id="491" w:name="_Toc31698"/>
      <w:r>
        <w:rPr>
          <w:rFonts w:hint="eastAsia" w:ascii="宋体" w:hAnsi="宋体"/>
          <w:sz w:val="24"/>
          <w:highlight w:val="none"/>
        </w:rPr>
        <w:t>1）企业法人、其他组织营业执照副本或事业单位法人证书，自然人提供身份证明（复印件加盖响应供应商公章）；</w:t>
      </w:r>
      <w:bookmarkEnd w:id="491"/>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bookmarkStart w:id="492" w:name="_Toc864"/>
      <w:bookmarkStart w:id="493" w:name="_Toc2640"/>
      <w:bookmarkStart w:id="494" w:name="_Toc26245"/>
      <w:r>
        <w:rPr>
          <w:rFonts w:hint="eastAsia" w:ascii="宋体" w:hAnsi="宋体"/>
          <w:sz w:val="24"/>
          <w:highlight w:val="none"/>
        </w:rPr>
        <w:t>2）</w:t>
      </w:r>
      <w:bookmarkEnd w:id="492"/>
      <w:bookmarkEnd w:id="493"/>
      <w:bookmarkEnd w:id="494"/>
      <w:r>
        <w:rPr>
          <w:rFonts w:hint="eastAsia" w:ascii="宋体" w:hAnsi="宋体"/>
          <w:sz w:val="24"/>
          <w:highlight w:val="none"/>
        </w:rPr>
        <w:t>2021年度经审计的财务报告（成立时间至磋商会议日期不足一年的响应供应商可提供成立后任意时段的资产负债表）（复印件加盖响应供应商公章）；</w:t>
      </w:r>
    </w:p>
    <w:p>
      <w:pPr>
        <w:spacing w:line="360" w:lineRule="auto"/>
        <w:ind w:firstLine="480" w:firstLineChars="200"/>
        <w:rPr>
          <w:rFonts w:ascii="宋体" w:hAnsi="宋体"/>
          <w:sz w:val="24"/>
          <w:highlight w:val="none"/>
        </w:rPr>
      </w:pPr>
      <w:r>
        <w:rPr>
          <w:rFonts w:hint="eastAsia" w:ascii="宋体" w:hAnsi="宋体"/>
          <w:sz w:val="24"/>
          <w:highlight w:val="none"/>
        </w:rPr>
        <w:t>或在磋商会议日期前六个月内其基本存款账户开户银行出具的资信证明（原件）；</w:t>
      </w:r>
    </w:p>
    <w:p>
      <w:pPr>
        <w:spacing w:line="360" w:lineRule="auto"/>
        <w:ind w:firstLine="480" w:firstLineChars="200"/>
        <w:rPr>
          <w:rFonts w:ascii="宋体" w:hAnsi="宋体"/>
          <w:sz w:val="24"/>
          <w:highlight w:val="none"/>
        </w:rPr>
      </w:pPr>
      <w:r>
        <w:rPr>
          <w:rFonts w:hint="eastAsia" w:ascii="宋体" w:hAnsi="宋体"/>
          <w:sz w:val="24"/>
          <w:highlight w:val="none"/>
        </w:rPr>
        <w:t>或在磋商会议日期前六个月内信用担保机构出具的投标担保函（原件）；</w:t>
      </w:r>
    </w:p>
    <w:p>
      <w:pPr>
        <w:spacing w:line="360" w:lineRule="auto"/>
        <w:ind w:firstLine="480" w:firstLineChars="200"/>
        <w:rPr>
          <w:rFonts w:ascii="宋体" w:hAnsi="宋体"/>
          <w:sz w:val="24"/>
          <w:highlight w:val="none"/>
          <w:lang w:val="zh-CN"/>
        </w:rPr>
      </w:pPr>
      <w:r>
        <w:rPr>
          <w:rFonts w:hint="eastAsia" w:ascii="宋体" w:hAnsi="宋体"/>
          <w:sz w:val="24"/>
          <w:highlight w:val="none"/>
        </w:rPr>
        <w:t>（以上三种形式的资料提供任何一种即可）</w:t>
      </w:r>
    </w:p>
    <w:p>
      <w:pPr>
        <w:spacing w:line="360" w:lineRule="auto"/>
        <w:ind w:firstLine="480" w:firstLineChars="200"/>
        <w:rPr>
          <w:rFonts w:ascii="宋体" w:hAnsi="宋体"/>
          <w:sz w:val="24"/>
          <w:highlight w:val="none"/>
          <w:lang w:val="zh-CN"/>
        </w:rPr>
      </w:pPr>
    </w:p>
    <w:p>
      <w:pPr>
        <w:spacing w:line="360" w:lineRule="auto"/>
        <w:ind w:firstLine="480" w:firstLineChars="200"/>
        <w:rPr>
          <w:rFonts w:ascii="宋体" w:hAnsi="宋体"/>
          <w:sz w:val="24"/>
          <w:highlight w:val="none"/>
          <w:lang w:val="zh-CN"/>
        </w:rPr>
      </w:pPr>
    </w:p>
    <w:p>
      <w:pPr>
        <w:spacing w:line="360" w:lineRule="auto"/>
        <w:ind w:firstLine="480" w:firstLineChars="200"/>
        <w:rPr>
          <w:rFonts w:ascii="宋体" w:hAnsi="宋体"/>
          <w:sz w:val="24"/>
          <w:highlight w:val="none"/>
          <w:lang w:val="zh-CN"/>
        </w:rPr>
      </w:pPr>
      <w:bookmarkStart w:id="495" w:name="_Toc13900"/>
      <w:bookmarkStart w:id="496" w:name="_Toc10326"/>
      <w:bookmarkStart w:id="497" w:name="_Toc25031"/>
      <w:r>
        <w:rPr>
          <w:rFonts w:hint="eastAsia" w:ascii="宋体" w:hAnsi="宋体"/>
          <w:sz w:val="24"/>
          <w:highlight w:val="none"/>
        </w:rPr>
        <w:t>3）</w:t>
      </w:r>
      <w:r>
        <w:rPr>
          <w:rFonts w:hint="eastAsia" w:ascii="宋体" w:hAnsi="宋体"/>
          <w:sz w:val="24"/>
          <w:highlight w:val="none"/>
          <w:lang w:val="zh-CN"/>
        </w:rPr>
        <w:t>磋商会议日期前十二个月内任意一个月缴税凭据（复印件加盖供应商公章）（依法免税的供应商应提供相应文件证明）；</w:t>
      </w:r>
      <w:bookmarkEnd w:id="495"/>
      <w:bookmarkEnd w:id="496"/>
      <w:bookmarkEnd w:id="497"/>
    </w:p>
    <w:p>
      <w:pPr>
        <w:spacing w:line="360" w:lineRule="auto"/>
        <w:ind w:firstLine="480" w:firstLineChars="200"/>
        <w:rPr>
          <w:rFonts w:ascii="宋体" w:hAnsi="宋体"/>
          <w:sz w:val="24"/>
          <w:highlight w:val="none"/>
          <w:lang w:val="zh-CN"/>
        </w:rPr>
      </w:pPr>
    </w:p>
    <w:p>
      <w:pPr>
        <w:spacing w:line="360" w:lineRule="auto"/>
        <w:ind w:firstLine="480" w:firstLineChars="200"/>
        <w:rPr>
          <w:rFonts w:ascii="宋体" w:hAnsi="宋体"/>
          <w:sz w:val="24"/>
          <w:highlight w:val="none"/>
        </w:rPr>
      </w:pPr>
      <w:bookmarkStart w:id="498" w:name="_Toc23883"/>
      <w:bookmarkStart w:id="499" w:name="_Toc25458"/>
      <w:bookmarkStart w:id="500" w:name="_Toc12971"/>
      <w:r>
        <w:rPr>
          <w:rFonts w:hint="eastAsia" w:ascii="宋体" w:hAnsi="宋体"/>
          <w:sz w:val="24"/>
          <w:highlight w:val="none"/>
        </w:rPr>
        <w:t>4）</w:t>
      </w:r>
      <w:r>
        <w:rPr>
          <w:rFonts w:hint="eastAsia" w:ascii="宋体" w:hAnsi="宋体"/>
          <w:sz w:val="24"/>
          <w:highlight w:val="none"/>
          <w:lang w:val="zh-CN"/>
        </w:rPr>
        <w:t>磋商会议日期前十二个月内任意一个月缴纳社会保险的凭据（专用收据或社会保险缴纳清单）（复印件加盖供应商公章）（依法不需要缴纳社</w:t>
      </w:r>
      <w:r>
        <w:rPr>
          <w:rFonts w:hint="eastAsia" w:ascii="宋体" w:hAnsi="宋体"/>
          <w:sz w:val="24"/>
          <w:highlight w:val="none"/>
        </w:rPr>
        <w:t>会保障资金的供应商应提供相应文件证明）；</w:t>
      </w:r>
      <w:bookmarkEnd w:id="498"/>
      <w:bookmarkEnd w:id="499"/>
      <w:bookmarkEnd w:id="500"/>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color w:val="0000FF"/>
          <w:sz w:val="24"/>
          <w:highlight w:val="none"/>
        </w:rPr>
      </w:pPr>
    </w:p>
    <w:p>
      <w:pPr>
        <w:spacing w:line="360" w:lineRule="auto"/>
        <w:jc w:val="center"/>
        <w:rPr>
          <w:rFonts w:ascii="黑体" w:hAnsi="仿宋" w:eastAsia="黑体" w:cs="仿宋"/>
          <w:bCs/>
          <w:sz w:val="32"/>
          <w:szCs w:val="32"/>
          <w:highlight w:val="none"/>
        </w:rPr>
      </w:pPr>
      <w:r>
        <w:rPr>
          <w:rFonts w:hint="eastAsia" w:ascii="黑体" w:hAnsi="仿宋" w:eastAsia="黑体" w:cs="仿宋"/>
          <w:bCs/>
          <w:sz w:val="32"/>
          <w:szCs w:val="32"/>
          <w:highlight w:val="none"/>
        </w:rPr>
        <w:br w:type="page"/>
      </w:r>
    </w:p>
    <w:p>
      <w:pPr>
        <w:spacing w:line="360" w:lineRule="auto"/>
        <w:ind w:firstLine="482" w:firstLineChars="200"/>
        <w:rPr>
          <w:rFonts w:ascii="宋体" w:hAnsi="宋体"/>
          <w:b/>
          <w:bCs/>
          <w:sz w:val="24"/>
          <w:highlight w:val="none"/>
        </w:rPr>
      </w:pPr>
      <w:r>
        <w:rPr>
          <w:rFonts w:hint="eastAsia" w:ascii="宋体" w:hAnsi="宋体"/>
          <w:b/>
          <w:bCs/>
          <w:sz w:val="24"/>
          <w:highlight w:val="none"/>
        </w:rPr>
        <w:t>1.2</w:t>
      </w:r>
      <w:r>
        <w:rPr>
          <w:rFonts w:hint="eastAsia" w:ascii="宋体" w:hAnsi="宋体"/>
          <w:b/>
          <w:bCs/>
          <w:sz w:val="24"/>
          <w:highlight w:val="none"/>
          <w:lang w:val="en-GB"/>
        </w:rPr>
        <w:t>保证金汇款声明函</w:t>
      </w:r>
      <w:r>
        <w:rPr>
          <w:rFonts w:hint="eastAsia" w:ascii="宋体" w:hAnsi="宋体"/>
          <w:b/>
          <w:bCs/>
          <w:sz w:val="24"/>
          <w:highlight w:val="none"/>
        </w:rPr>
        <w:t>/保函</w:t>
      </w:r>
    </w:p>
    <w:p>
      <w:pPr>
        <w:spacing w:line="360" w:lineRule="auto"/>
        <w:ind w:firstLine="482" w:firstLineChars="200"/>
        <w:rPr>
          <w:rFonts w:ascii="宋体" w:hAnsi="宋体"/>
          <w:b/>
          <w:bCs/>
          <w:sz w:val="24"/>
          <w:highlight w:val="none"/>
        </w:rPr>
      </w:pPr>
    </w:p>
    <w:p>
      <w:pPr>
        <w:spacing w:line="360" w:lineRule="atLeast"/>
        <w:jc w:val="center"/>
        <w:rPr>
          <w:rFonts w:ascii="黑体" w:hAnsi="仿宋" w:eastAsia="黑体" w:cs="仿宋"/>
          <w:b/>
          <w:sz w:val="24"/>
          <w:highlight w:val="none"/>
          <w:lang w:val="en-GB"/>
        </w:rPr>
      </w:pPr>
      <w:r>
        <w:rPr>
          <w:rFonts w:hint="eastAsia" w:ascii="黑体" w:hAnsi="仿宋" w:eastAsia="黑体" w:cs="仿宋"/>
          <w:bCs/>
          <w:sz w:val="32"/>
          <w:szCs w:val="32"/>
          <w:highlight w:val="none"/>
          <w:lang w:val="en-GB"/>
        </w:rPr>
        <w:t>保证金汇款声明函（</w:t>
      </w:r>
      <w:r>
        <w:rPr>
          <w:rFonts w:hint="eastAsia" w:ascii="黑体" w:hAnsi="仿宋" w:eastAsia="黑体" w:cs="仿宋"/>
          <w:bCs/>
          <w:sz w:val="32"/>
          <w:szCs w:val="32"/>
          <w:highlight w:val="none"/>
        </w:rPr>
        <w:t>格式</w:t>
      </w:r>
      <w:r>
        <w:rPr>
          <w:rFonts w:hint="eastAsia" w:ascii="黑体" w:hAnsi="仿宋" w:eastAsia="黑体" w:cs="仿宋"/>
          <w:bCs/>
          <w:sz w:val="32"/>
          <w:szCs w:val="32"/>
          <w:highlight w:val="none"/>
          <w:lang w:val="en-GB"/>
        </w:rPr>
        <w:t>）</w:t>
      </w:r>
    </w:p>
    <w:p>
      <w:pPr>
        <w:pStyle w:val="13"/>
        <w:spacing w:line="500" w:lineRule="exact"/>
        <w:rPr>
          <w:rFonts w:hAnsi="宋体"/>
          <w:sz w:val="24"/>
          <w:szCs w:val="24"/>
          <w:highlight w:val="none"/>
        </w:rPr>
      </w:pPr>
      <w:r>
        <w:rPr>
          <w:rFonts w:hint="eastAsia" w:hAnsi="宋体"/>
          <w:sz w:val="24"/>
          <w:szCs w:val="24"/>
          <w:highlight w:val="none"/>
        </w:rPr>
        <w:t>致：</w:t>
      </w:r>
      <w:r>
        <w:rPr>
          <w:rFonts w:hint="eastAsia" w:hAnsi="宋体"/>
          <w:b/>
          <w:bCs/>
          <w:sz w:val="24"/>
          <w:szCs w:val="24"/>
          <w:highlight w:val="none"/>
        </w:rPr>
        <w:t>陕西德勤招标有限公司</w:t>
      </w:r>
    </w:p>
    <w:p>
      <w:pPr>
        <w:pStyle w:val="13"/>
        <w:spacing w:line="500" w:lineRule="exact"/>
        <w:ind w:left="-120" w:leftChars="-57" w:firstLine="600" w:firstLineChars="250"/>
        <w:rPr>
          <w:rFonts w:hAnsi="宋体"/>
          <w:sz w:val="24"/>
          <w:szCs w:val="24"/>
          <w:highlight w:val="none"/>
        </w:rPr>
      </w:pPr>
      <w:r>
        <w:rPr>
          <w:rFonts w:hint="eastAsia" w:hAnsi="宋体"/>
          <w:sz w:val="24"/>
          <w:szCs w:val="24"/>
          <w:highlight w:val="none"/>
        </w:rPr>
        <w:t>我方为</w:t>
      </w:r>
      <w:r>
        <w:rPr>
          <w:rFonts w:hint="eastAsia" w:hAnsi="宋体"/>
          <w:sz w:val="24"/>
          <w:szCs w:val="24"/>
          <w:highlight w:val="none"/>
          <w:u w:val="single"/>
        </w:rPr>
        <w:t xml:space="preserve">              项目</w:t>
      </w:r>
      <w:r>
        <w:rPr>
          <w:rFonts w:hint="eastAsia" w:hAnsi="宋体"/>
          <w:sz w:val="24"/>
          <w:szCs w:val="24"/>
          <w:highlight w:val="none"/>
        </w:rPr>
        <w:t>（</w:t>
      </w:r>
      <w:r>
        <w:rPr>
          <w:rFonts w:hint="eastAsia" w:hAnsi="宋体"/>
          <w:sz w:val="24"/>
          <w:szCs w:val="24"/>
          <w:highlight w:val="none"/>
          <w:u w:val="single"/>
        </w:rPr>
        <w:t xml:space="preserve">项目编号：          </w:t>
      </w:r>
      <w:r>
        <w:rPr>
          <w:rFonts w:hint="eastAsia" w:hAnsi="宋体"/>
          <w:sz w:val="24"/>
          <w:szCs w:val="24"/>
          <w:highlight w:val="none"/>
        </w:rPr>
        <w:t>）递交磋商保证金人民币</w:t>
      </w:r>
      <w:r>
        <w:rPr>
          <w:rFonts w:hint="eastAsia" w:hAnsi="宋体"/>
          <w:sz w:val="24"/>
          <w:szCs w:val="24"/>
          <w:highlight w:val="none"/>
          <w:u w:val="single"/>
        </w:rPr>
        <w:t xml:space="preserve">   </w:t>
      </w:r>
      <w:r>
        <w:rPr>
          <w:rFonts w:hint="eastAsia" w:hAnsi="宋体"/>
          <w:sz w:val="24"/>
          <w:szCs w:val="24"/>
          <w:highlight w:val="none"/>
        </w:rPr>
        <w:t>元（大写：人民币</w:t>
      </w:r>
      <w:r>
        <w:rPr>
          <w:rFonts w:hint="eastAsia" w:hAnsi="宋体"/>
          <w:sz w:val="24"/>
          <w:szCs w:val="24"/>
          <w:highlight w:val="none"/>
          <w:u w:val="single"/>
        </w:rPr>
        <w:t xml:space="preserve">                </w:t>
      </w:r>
      <w:r>
        <w:rPr>
          <w:rFonts w:hint="eastAsia" w:hAnsi="宋体"/>
          <w:sz w:val="24"/>
          <w:szCs w:val="24"/>
          <w:highlight w:val="none"/>
        </w:rPr>
        <w:t>元）已于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日以银行主动划账方式划入你方账户。</w:t>
      </w:r>
    </w:p>
    <w:p>
      <w:pPr>
        <w:pStyle w:val="13"/>
        <w:spacing w:line="500" w:lineRule="exact"/>
        <w:ind w:left="-120" w:leftChars="-57" w:firstLine="602" w:firstLineChars="250"/>
        <w:rPr>
          <w:rFonts w:hAnsi="宋体"/>
          <w:b/>
          <w:bCs/>
          <w:sz w:val="24"/>
          <w:szCs w:val="24"/>
          <w:highlight w:val="none"/>
          <w:u w:val="single"/>
        </w:rPr>
      </w:pPr>
      <w:r>
        <w:rPr>
          <w:rFonts w:hint="eastAsia" w:hAnsi="宋体"/>
          <w:b/>
          <w:bCs/>
          <w:sz w:val="24"/>
          <w:szCs w:val="24"/>
          <w:highlight w:val="none"/>
          <w:u w:val="single"/>
        </w:rPr>
        <w:t>详见附件：银行出具的汇款单或转账凭证复印件。</w:t>
      </w:r>
    </w:p>
    <w:p>
      <w:pPr>
        <w:pStyle w:val="13"/>
        <w:spacing w:line="500" w:lineRule="exact"/>
        <w:ind w:left="-120" w:leftChars="-57" w:firstLine="600" w:firstLineChars="250"/>
        <w:rPr>
          <w:rFonts w:hAnsi="宋体"/>
          <w:b/>
          <w:bCs/>
          <w:sz w:val="24"/>
          <w:szCs w:val="24"/>
          <w:highlight w:val="none"/>
          <w:u w:val="single"/>
        </w:rPr>
      </w:pPr>
      <w:r>
        <w:rPr>
          <w:rFonts w:hint="eastAsia" w:hAnsi="宋体"/>
          <w:sz w:val="24"/>
          <w:szCs w:val="24"/>
          <w:highlight w:val="none"/>
        </w:rPr>
        <w:t>我方理解并保证：</w:t>
      </w:r>
      <w:r>
        <w:rPr>
          <w:rFonts w:hint="eastAsia" w:hAnsi="宋体"/>
          <w:b/>
          <w:bCs/>
          <w:sz w:val="24"/>
          <w:szCs w:val="24"/>
          <w:highlight w:val="none"/>
          <w:u w:val="single"/>
        </w:rPr>
        <w:t>磋商保证金应在磋商文件规定的时间到达贵方指定的账户，对于磋商保证金未在磋商文件规定的时间到达贵方指定的账户而有可能导致的响应无效，责任由我方承担。</w:t>
      </w:r>
    </w:p>
    <w:p>
      <w:pPr>
        <w:pStyle w:val="13"/>
        <w:spacing w:line="500" w:lineRule="exact"/>
        <w:ind w:left="-120" w:leftChars="-57" w:firstLine="602" w:firstLineChars="250"/>
        <w:rPr>
          <w:rFonts w:hAnsi="宋体"/>
          <w:b/>
          <w:bCs/>
          <w:sz w:val="24"/>
          <w:szCs w:val="24"/>
          <w:highlight w:val="none"/>
          <w:u w:val="single"/>
        </w:rPr>
      </w:pPr>
      <w:r>
        <w:rPr>
          <w:rFonts w:hint="eastAsia" w:hAnsi="宋体"/>
          <w:b/>
          <w:bCs/>
          <w:sz w:val="24"/>
          <w:szCs w:val="24"/>
          <w:highlight w:val="none"/>
          <w:u w:val="single"/>
        </w:rPr>
        <w:t>退还保证金时请按转出原账户划入我方账户。</w:t>
      </w:r>
    </w:p>
    <w:p>
      <w:pPr>
        <w:pStyle w:val="13"/>
        <w:spacing w:line="500" w:lineRule="exact"/>
        <w:ind w:left="-120" w:leftChars="-57" w:firstLine="600" w:firstLineChars="250"/>
        <w:rPr>
          <w:rFonts w:hAnsi="宋体"/>
          <w:sz w:val="24"/>
          <w:szCs w:val="24"/>
          <w:highlight w:val="none"/>
        </w:rPr>
      </w:pPr>
    </w:p>
    <w:p>
      <w:pPr>
        <w:pStyle w:val="13"/>
        <w:spacing w:line="500" w:lineRule="exact"/>
        <w:ind w:left="-120" w:leftChars="-57" w:firstLine="600" w:firstLineChars="250"/>
        <w:rPr>
          <w:rFonts w:hAnsi="宋体"/>
          <w:sz w:val="24"/>
          <w:szCs w:val="24"/>
          <w:highlight w:val="none"/>
        </w:rPr>
      </w:pPr>
    </w:p>
    <w:tbl>
      <w:tblPr>
        <w:tblStyle w:val="23"/>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1" w:hRule="atLeast"/>
          <w:jc w:val="center"/>
        </w:trPr>
        <w:tc>
          <w:tcPr>
            <w:tcW w:w="8860" w:type="dxa"/>
            <w:vAlign w:val="center"/>
          </w:tcPr>
          <w:p>
            <w:pPr>
              <w:pStyle w:val="13"/>
              <w:spacing w:line="500" w:lineRule="exact"/>
              <w:jc w:val="center"/>
              <w:rPr>
                <w:rFonts w:hAnsi="宋体"/>
                <w:sz w:val="24"/>
                <w:szCs w:val="24"/>
                <w:highlight w:val="none"/>
              </w:rPr>
            </w:pPr>
            <w:r>
              <w:rPr>
                <w:rFonts w:hint="eastAsia" w:hAnsi="宋体"/>
                <w:sz w:val="24"/>
                <w:szCs w:val="24"/>
                <w:highlight w:val="none"/>
              </w:rPr>
              <w:t>凭证复印件（加盖公章）。</w:t>
            </w:r>
          </w:p>
        </w:tc>
      </w:tr>
    </w:tbl>
    <w:p>
      <w:pPr>
        <w:pStyle w:val="13"/>
        <w:spacing w:line="500" w:lineRule="exact"/>
        <w:ind w:left="-120" w:leftChars="-57" w:firstLine="600" w:firstLineChars="250"/>
        <w:rPr>
          <w:rFonts w:hAnsi="宋体"/>
          <w:sz w:val="24"/>
          <w:szCs w:val="24"/>
          <w:highlight w:val="none"/>
        </w:rPr>
      </w:pPr>
    </w:p>
    <w:p>
      <w:pPr>
        <w:pStyle w:val="13"/>
        <w:spacing w:line="500" w:lineRule="exact"/>
        <w:ind w:left="-120" w:leftChars="-57" w:firstLine="600" w:firstLineChars="250"/>
        <w:rPr>
          <w:rFonts w:hAnsi="宋体"/>
          <w:sz w:val="24"/>
          <w:szCs w:val="24"/>
          <w:highlight w:val="none"/>
        </w:rPr>
      </w:pPr>
    </w:p>
    <w:p>
      <w:pPr>
        <w:pStyle w:val="13"/>
        <w:spacing w:line="500" w:lineRule="exact"/>
        <w:ind w:left="-120" w:leftChars="-57" w:firstLine="600" w:firstLineChars="250"/>
        <w:rPr>
          <w:rFonts w:hAnsi="宋体"/>
          <w:sz w:val="24"/>
          <w:szCs w:val="24"/>
          <w:highlight w:val="none"/>
        </w:rPr>
      </w:pP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供应商法定代表人（或法定代表人授权代表）签字：</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供应商名称（盖章）：</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 xml:space="preserve">日 </w:t>
      </w:r>
    </w:p>
    <w:p>
      <w:pPr>
        <w:spacing w:line="360" w:lineRule="auto"/>
        <w:ind w:firstLine="480" w:firstLineChars="200"/>
        <w:rPr>
          <w:rFonts w:ascii="宋体" w:hAnsi="宋体"/>
          <w:sz w:val="24"/>
          <w:highlight w:val="none"/>
        </w:rPr>
      </w:pPr>
      <w:r>
        <w:rPr>
          <w:rFonts w:hint="eastAsia" w:ascii="宋体" w:hAnsi="宋体"/>
          <w:sz w:val="24"/>
          <w:highlight w:val="none"/>
        </w:rPr>
        <w:br w:type="page"/>
      </w:r>
    </w:p>
    <w:p>
      <w:pPr>
        <w:spacing w:line="360" w:lineRule="atLeast"/>
        <w:jc w:val="center"/>
        <w:rPr>
          <w:rFonts w:ascii="黑体" w:hAnsi="仿宋" w:eastAsia="黑体" w:cs="黑体"/>
          <w:sz w:val="32"/>
          <w:szCs w:val="32"/>
          <w:highlight w:val="none"/>
          <w:lang w:val="en-GB"/>
        </w:rPr>
      </w:pPr>
      <w:r>
        <w:rPr>
          <w:rFonts w:hint="eastAsia" w:ascii="黑体" w:hAnsi="仿宋" w:eastAsia="黑体" w:cs="黑体"/>
          <w:sz w:val="32"/>
          <w:szCs w:val="32"/>
          <w:highlight w:val="none"/>
          <w:lang w:val="en-GB"/>
        </w:rPr>
        <w:t>保</w:t>
      </w:r>
      <w:r>
        <w:rPr>
          <w:rFonts w:hint="eastAsia" w:ascii="黑体" w:hAnsi="仿宋" w:eastAsia="黑体" w:cs="黑体"/>
          <w:sz w:val="32"/>
          <w:szCs w:val="32"/>
          <w:highlight w:val="none"/>
        </w:rPr>
        <w:t>函</w:t>
      </w:r>
      <w:r>
        <w:rPr>
          <w:rFonts w:hint="eastAsia" w:ascii="黑体" w:hAnsi="仿宋" w:eastAsia="黑体" w:cs="黑体"/>
          <w:sz w:val="32"/>
          <w:szCs w:val="32"/>
          <w:highlight w:val="none"/>
          <w:lang w:val="en-GB"/>
        </w:rPr>
        <w:t>（</w:t>
      </w:r>
      <w:r>
        <w:rPr>
          <w:rFonts w:hint="eastAsia" w:ascii="黑体" w:hAnsi="仿宋" w:eastAsia="黑体" w:cs="黑体"/>
          <w:sz w:val="32"/>
          <w:szCs w:val="32"/>
          <w:highlight w:val="none"/>
        </w:rPr>
        <w:t>原件</w:t>
      </w:r>
      <w:r>
        <w:rPr>
          <w:rFonts w:hint="eastAsia" w:ascii="黑体" w:hAnsi="仿宋" w:eastAsia="黑体" w:cs="黑体"/>
          <w:sz w:val="32"/>
          <w:szCs w:val="32"/>
          <w:highlight w:val="none"/>
          <w:lang w:val="en-GB"/>
        </w:rPr>
        <w:t>）</w:t>
      </w:r>
    </w:p>
    <w:p>
      <w:pPr>
        <w:spacing w:line="360" w:lineRule="auto"/>
        <w:jc w:val="center"/>
        <w:rPr>
          <w:rFonts w:ascii="黑体" w:hAnsi="仿宋" w:eastAsia="黑体" w:cs="黑体"/>
          <w:sz w:val="24"/>
          <w:highlight w:val="none"/>
          <w:u w:val="single"/>
          <w:lang w:val="en-GB"/>
        </w:rPr>
      </w:pPr>
      <w:r>
        <w:rPr>
          <w:rFonts w:hint="eastAsia" w:ascii="黑体" w:hAnsi="仿宋" w:eastAsia="黑体" w:cs="黑体"/>
          <w:sz w:val="24"/>
          <w:highlight w:val="none"/>
          <w:u w:val="single"/>
          <w:lang w:val="en-GB"/>
        </w:rPr>
        <w:t>（</w:t>
      </w:r>
      <w:r>
        <w:rPr>
          <w:rFonts w:hint="eastAsia" w:ascii="黑体" w:hAnsi="仿宋" w:eastAsia="黑体" w:cs="黑体"/>
          <w:sz w:val="24"/>
          <w:highlight w:val="none"/>
          <w:u w:val="single"/>
        </w:rPr>
        <w:t>以保函形式提交磋商保证金时提供</w:t>
      </w:r>
      <w:r>
        <w:rPr>
          <w:rFonts w:hint="eastAsia" w:ascii="黑体" w:hAnsi="仿宋" w:eastAsia="黑体" w:cs="黑体"/>
          <w:sz w:val="24"/>
          <w:highlight w:val="none"/>
          <w:u w:val="single"/>
          <w:lang w:val="en-GB"/>
        </w:rPr>
        <w:t>）</w:t>
      </w:r>
    </w:p>
    <w:p>
      <w:pPr>
        <w:spacing w:line="360" w:lineRule="auto"/>
        <w:ind w:firstLine="482" w:firstLineChars="200"/>
        <w:rPr>
          <w:rFonts w:ascii="宋体" w:hAnsi="宋体"/>
          <w:b/>
          <w:bCs/>
          <w:sz w:val="24"/>
          <w:highlight w:val="none"/>
        </w:rPr>
      </w:pPr>
      <w:r>
        <w:rPr>
          <w:rFonts w:hint="eastAsia" w:ascii="宋体" w:hAnsi="宋体"/>
          <w:b/>
          <w:bCs/>
          <w:sz w:val="24"/>
          <w:highlight w:val="none"/>
        </w:rPr>
        <w:br w:type="page"/>
      </w:r>
    </w:p>
    <w:p>
      <w:pPr>
        <w:spacing w:line="360" w:lineRule="auto"/>
        <w:ind w:firstLine="482" w:firstLineChars="200"/>
        <w:rPr>
          <w:rFonts w:ascii="宋体" w:hAnsi="宋体"/>
          <w:b/>
          <w:bCs/>
          <w:sz w:val="24"/>
          <w:highlight w:val="none"/>
        </w:rPr>
      </w:pPr>
      <w:r>
        <w:rPr>
          <w:rFonts w:hint="eastAsia" w:ascii="宋体" w:hAnsi="宋体"/>
          <w:b/>
          <w:bCs/>
          <w:sz w:val="24"/>
          <w:highlight w:val="none"/>
        </w:rPr>
        <w:t>1.3法定代表人授权书/法定代表人证明书</w:t>
      </w:r>
    </w:p>
    <w:p>
      <w:pPr>
        <w:spacing w:line="360" w:lineRule="auto"/>
        <w:jc w:val="center"/>
        <w:rPr>
          <w:rFonts w:ascii="黑体" w:hAnsi="仿宋" w:eastAsia="黑体" w:cs="仿宋"/>
          <w:bCs/>
          <w:sz w:val="32"/>
          <w:szCs w:val="32"/>
          <w:highlight w:val="none"/>
        </w:rPr>
      </w:pPr>
      <w:bookmarkStart w:id="501" w:name="_Toc14010"/>
      <w:bookmarkStart w:id="502" w:name="_Toc31350"/>
      <w:bookmarkStart w:id="503" w:name="_Toc5877"/>
      <w:r>
        <w:rPr>
          <w:rFonts w:hint="eastAsia" w:ascii="黑体" w:hAnsi="仿宋" w:eastAsia="黑体" w:cs="仿宋"/>
          <w:bCs/>
          <w:sz w:val="32"/>
          <w:szCs w:val="32"/>
          <w:highlight w:val="none"/>
        </w:rPr>
        <w:t>法定代表人授权书（格式）</w:t>
      </w:r>
      <w:bookmarkEnd w:id="501"/>
      <w:bookmarkEnd w:id="502"/>
      <w:bookmarkEnd w:id="503"/>
    </w:p>
    <w:p>
      <w:pPr>
        <w:spacing w:line="360" w:lineRule="auto"/>
        <w:jc w:val="center"/>
        <w:rPr>
          <w:rFonts w:ascii="黑体" w:hAnsi="仿宋" w:eastAsia="黑体" w:cs="仿宋"/>
          <w:bCs/>
          <w:sz w:val="32"/>
          <w:szCs w:val="32"/>
          <w:highlight w:val="none"/>
        </w:rPr>
      </w:pPr>
      <w:bookmarkStart w:id="504" w:name="_Toc15295"/>
      <w:bookmarkStart w:id="505" w:name="_Toc1840"/>
      <w:bookmarkStart w:id="506" w:name="_Toc27240"/>
      <w:r>
        <w:rPr>
          <w:rFonts w:hint="eastAsia" w:ascii="黑体" w:hAnsi="仿宋" w:eastAsia="黑体" w:cs="仿宋"/>
          <w:bCs/>
          <w:sz w:val="24"/>
          <w:highlight w:val="none"/>
          <w:u w:val="single"/>
        </w:rPr>
        <w:t>（非法定代表人直接参加磋商会议时提供</w:t>
      </w:r>
      <w:r>
        <w:rPr>
          <w:rFonts w:hint="eastAsia" w:ascii="黑体" w:hAnsi="仿宋" w:eastAsia="黑体" w:cs="仿宋"/>
          <w:bCs/>
          <w:sz w:val="32"/>
          <w:szCs w:val="32"/>
          <w:highlight w:val="none"/>
        </w:rPr>
        <w:t>）</w:t>
      </w:r>
      <w:bookmarkEnd w:id="504"/>
      <w:bookmarkEnd w:id="505"/>
      <w:bookmarkEnd w:id="506"/>
    </w:p>
    <w:p>
      <w:pPr>
        <w:spacing w:line="360" w:lineRule="auto"/>
        <w:rPr>
          <w:rFonts w:ascii="宋体" w:hAnsi="宋体"/>
          <w:b/>
          <w:bCs/>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p>
      <w:pPr>
        <w:pStyle w:val="13"/>
        <w:spacing w:line="500" w:lineRule="exact"/>
        <w:ind w:left="-120" w:leftChars="-57" w:firstLine="600" w:firstLineChars="250"/>
        <w:rPr>
          <w:rFonts w:hAnsi="宋体"/>
          <w:sz w:val="24"/>
          <w:szCs w:val="24"/>
          <w:highlight w:val="none"/>
        </w:rPr>
      </w:pPr>
      <w:r>
        <w:rPr>
          <w:rFonts w:hint="eastAsia" w:hAnsi="宋体"/>
          <w:sz w:val="24"/>
          <w:szCs w:val="24"/>
          <w:highlight w:val="none"/>
        </w:rPr>
        <w:t>本授权书声明：注册于（</w:t>
      </w:r>
      <w:r>
        <w:rPr>
          <w:rFonts w:hint="eastAsia" w:hAnsi="宋体"/>
          <w:sz w:val="24"/>
          <w:szCs w:val="24"/>
          <w:highlight w:val="none"/>
          <w:u w:val="single"/>
        </w:rPr>
        <w:t xml:space="preserve"> 工商行政管理局名称）之（委托单位全称） </w:t>
      </w:r>
      <w:r>
        <w:rPr>
          <w:rFonts w:hint="eastAsia" w:hAnsi="宋体"/>
          <w:sz w:val="24"/>
          <w:szCs w:val="24"/>
          <w:highlight w:val="none"/>
        </w:rPr>
        <w:t>的法定代表人</w:t>
      </w:r>
      <w:r>
        <w:rPr>
          <w:rFonts w:hint="eastAsia" w:hAnsi="宋体"/>
          <w:sz w:val="24"/>
          <w:szCs w:val="24"/>
          <w:highlight w:val="none"/>
          <w:u w:val="single"/>
        </w:rPr>
        <w:t>（姓名、性别）</w:t>
      </w:r>
      <w:r>
        <w:rPr>
          <w:rFonts w:hint="eastAsia" w:hAnsi="宋体"/>
          <w:sz w:val="24"/>
          <w:szCs w:val="24"/>
          <w:highlight w:val="none"/>
        </w:rPr>
        <w:t>授权本公司的</w:t>
      </w:r>
      <w:r>
        <w:rPr>
          <w:rFonts w:hint="eastAsia" w:hAnsi="宋体"/>
          <w:sz w:val="24"/>
          <w:szCs w:val="24"/>
          <w:highlight w:val="none"/>
          <w:u w:val="single"/>
        </w:rPr>
        <w:t>（被授权人姓名、性别、职务）</w:t>
      </w:r>
      <w:r>
        <w:rPr>
          <w:rFonts w:hint="eastAsia" w:hAnsi="宋体"/>
          <w:sz w:val="24"/>
          <w:szCs w:val="24"/>
          <w:highlight w:val="none"/>
        </w:rPr>
        <w:t>为合法代理人，就贵方组织的有关</w:t>
      </w:r>
      <w:r>
        <w:rPr>
          <w:rFonts w:hint="eastAsia" w:hAnsi="宋体"/>
          <w:sz w:val="24"/>
          <w:szCs w:val="24"/>
          <w:highlight w:val="none"/>
          <w:u w:val="single"/>
        </w:rPr>
        <w:t>（采购项目名称）</w:t>
      </w:r>
      <w:r>
        <w:rPr>
          <w:rFonts w:hint="eastAsia" w:hAnsi="宋体"/>
          <w:sz w:val="24"/>
          <w:szCs w:val="24"/>
          <w:highlight w:val="none"/>
        </w:rPr>
        <w:t>（项目编号：</w:t>
      </w:r>
      <w:r>
        <w:rPr>
          <w:rFonts w:hint="eastAsia" w:hAnsi="宋体"/>
          <w:sz w:val="24"/>
          <w:szCs w:val="24"/>
          <w:highlight w:val="none"/>
          <w:u w:val="single"/>
        </w:rPr>
        <w:t xml:space="preserve">                 </w:t>
      </w:r>
      <w:r>
        <w:rPr>
          <w:rFonts w:hint="eastAsia" w:hAnsi="宋体"/>
          <w:sz w:val="24"/>
          <w:szCs w:val="24"/>
          <w:highlight w:val="none"/>
        </w:rPr>
        <w:t>）的响应、洽谈、执行等具体事务，签署全部有关响应文件、文书、协议、合同，本公司对被授权人在本项目中的签名承担全部法律责任。本授权书自磋商会议之日起计算有效期为</w:t>
      </w:r>
      <w:r>
        <w:rPr>
          <w:rFonts w:hint="eastAsia" w:hAnsi="宋体"/>
          <w:sz w:val="24"/>
          <w:szCs w:val="24"/>
          <w:highlight w:val="none"/>
          <w:u w:val="single"/>
        </w:rPr>
        <w:t>90</w:t>
      </w:r>
      <w:r>
        <w:rPr>
          <w:rFonts w:hint="eastAsia" w:hAnsi="宋体"/>
          <w:sz w:val="24"/>
          <w:szCs w:val="24"/>
          <w:highlight w:val="none"/>
        </w:rPr>
        <w:t>天。</w:t>
      </w:r>
    </w:p>
    <w:p>
      <w:pPr>
        <w:pStyle w:val="13"/>
        <w:spacing w:line="500" w:lineRule="exact"/>
        <w:ind w:firstLine="480" w:firstLineChars="200"/>
        <w:rPr>
          <w:rFonts w:hAnsi="宋体"/>
          <w:sz w:val="24"/>
          <w:szCs w:val="24"/>
          <w:highlight w:val="none"/>
        </w:rPr>
      </w:pPr>
      <w:r>
        <w:rPr>
          <w:rFonts w:hint="eastAsia" w:hAnsi="宋体"/>
          <w:sz w:val="24"/>
          <w:szCs w:val="24"/>
          <w:highlight w:val="none"/>
        </w:rPr>
        <w:t>委托单位：</w:t>
      </w:r>
      <w:r>
        <w:rPr>
          <w:rFonts w:hint="eastAsia" w:hAnsi="宋体"/>
          <w:sz w:val="24"/>
          <w:szCs w:val="24"/>
          <w:highlight w:val="none"/>
          <w:u w:val="single"/>
        </w:rPr>
        <w:t xml:space="preserve">    </w:t>
      </w:r>
      <w:r>
        <w:rPr>
          <w:rFonts w:hint="eastAsia" w:hAnsi="宋体"/>
          <w:sz w:val="24"/>
          <w:szCs w:val="24"/>
          <w:highlight w:val="none"/>
        </w:rPr>
        <w:t>（公章）                  法定代表人（签字）：</w:t>
      </w:r>
    </w:p>
    <w:p>
      <w:pPr>
        <w:pStyle w:val="13"/>
        <w:spacing w:line="500" w:lineRule="exact"/>
        <w:ind w:firstLine="480" w:firstLineChars="200"/>
        <w:rPr>
          <w:rFonts w:hAnsi="宋体"/>
          <w:sz w:val="24"/>
          <w:szCs w:val="24"/>
          <w:highlight w:val="none"/>
        </w:rPr>
      </w:pPr>
      <w:r>
        <w:rPr>
          <w:rFonts w:hint="eastAsia" w:hAnsi="宋体"/>
          <w:sz w:val="24"/>
          <w:szCs w:val="24"/>
          <w:highlight w:val="none"/>
        </w:rPr>
        <w:t>签发日期：</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w:t>
      </w:r>
    </w:p>
    <w:p>
      <w:pPr>
        <w:pStyle w:val="13"/>
        <w:spacing w:line="500" w:lineRule="exact"/>
        <w:ind w:firstLine="480" w:firstLineChars="200"/>
        <w:rPr>
          <w:rFonts w:hAnsi="宋体"/>
          <w:sz w:val="24"/>
          <w:szCs w:val="24"/>
          <w:highlight w:val="none"/>
        </w:rPr>
      </w:pPr>
      <w:r>
        <w:rPr>
          <w:rFonts w:hint="eastAsia" w:hAnsi="宋体"/>
          <w:sz w:val="24"/>
          <w:szCs w:val="24"/>
          <w:highlight w:val="none"/>
        </w:rPr>
        <w:t>附：被授权人姓名（签字）：</w:t>
      </w:r>
      <w:r>
        <w:rPr>
          <w:rFonts w:hint="eastAsia" w:hAnsi="宋体"/>
          <w:sz w:val="24"/>
          <w:szCs w:val="24"/>
          <w:highlight w:val="none"/>
          <w:u w:val="single"/>
        </w:rPr>
        <w:t xml:space="preserve">              </w:t>
      </w:r>
      <w:r>
        <w:rPr>
          <w:rFonts w:hint="eastAsia" w:hAnsi="宋体"/>
          <w:sz w:val="24"/>
          <w:szCs w:val="24"/>
          <w:highlight w:val="none"/>
        </w:rPr>
        <w:t>性别：</w:t>
      </w:r>
      <w:r>
        <w:rPr>
          <w:rFonts w:hint="eastAsia" w:hAnsi="宋体"/>
          <w:sz w:val="24"/>
          <w:szCs w:val="24"/>
          <w:highlight w:val="none"/>
          <w:u w:val="single"/>
        </w:rPr>
        <w:t xml:space="preserve">       </w:t>
      </w:r>
      <w:r>
        <w:rPr>
          <w:rFonts w:hint="eastAsia" w:hAnsi="宋体"/>
          <w:sz w:val="24"/>
          <w:szCs w:val="24"/>
          <w:highlight w:val="none"/>
        </w:rPr>
        <w:t>职务：</w:t>
      </w:r>
      <w:r>
        <w:rPr>
          <w:rFonts w:hint="eastAsia" w:hAnsi="宋体"/>
          <w:sz w:val="24"/>
          <w:szCs w:val="24"/>
          <w:highlight w:val="none"/>
          <w:u w:val="single"/>
        </w:rPr>
        <w:t xml:space="preserve">             </w:t>
      </w:r>
    </w:p>
    <w:p>
      <w:pPr>
        <w:pStyle w:val="13"/>
        <w:spacing w:line="500" w:lineRule="exact"/>
        <w:ind w:firstLine="960" w:firstLineChars="400"/>
        <w:rPr>
          <w:rFonts w:hAnsi="宋体"/>
          <w:sz w:val="24"/>
          <w:szCs w:val="24"/>
          <w:highlight w:val="none"/>
          <w:u w:val="single"/>
        </w:rPr>
      </w:pPr>
      <w:r>
        <w:rPr>
          <w:rFonts w:hint="eastAsia" w:hAnsi="宋体"/>
          <w:sz w:val="24"/>
          <w:szCs w:val="24"/>
          <w:highlight w:val="none"/>
        </w:rPr>
        <w:t xml:space="preserve">联系地址：  </w:t>
      </w:r>
      <w:r>
        <w:rPr>
          <w:rFonts w:hint="eastAsia" w:hAnsi="宋体"/>
          <w:sz w:val="24"/>
          <w:szCs w:val="24"/>
          <w:highlight w:val="none"/>
          <w:u w:val="single"/>
        </w:rPr>
        <w:t xml:space="preserve">                                                </w:t>
      </w:r>
    </w:p>
    <w:p>
      <w:pPr>
        <w:pStyle w:val="13"/>
        <w:spacing w:line="500" w:lineRule="exact"/>
        <w:ind w:firstLine="960" w:firstLineChars="400"/>
        <w:rPr>
          <w:rFonts w:hAnsi="宋体"/>
          <w:sz w:val="24"/>
          <w:szCs w:val="24"/>
          <w:highlight w:val="none"/>
          <w:u w:val="single"/>
        </w:rPr>
      </w:pPr>
      <w:r>
        <w:rPr>
          <w:rFonts w:hint="eastAsia" w:hAnsi="宋体"/>
          <w:sz w:val="24"/>
          <w:szCs w:val="24"/>
          <w:highlight w:val="none"/>
        </w:rPr>
        <w:t>联系电话：</w:t>
      </w:r>
      <w:r>
        <w:rPr>
          <w:rFonts w:hint="eastAsia" w:hAnsi="宋体"/>
          <w:sz w:val="24"/>
          <w:szCs w:val="24"/>
          <w:highlight w:val="none"/>
          <w:u w:val="single"/>
        </w:rPr>
        <w:t xml:space="preserve">                  </w:t>
      </w:r>
      <w:r>
        <w:rPr>
          <w:rFonts w:hint="eastAsia" w:hAnsi="宋体"/>
          <w:sz w:val="24"/>
          <w:szCs w:val="24"/>
          <w:highlight w:val="none"/>
        </w:rPr>
        <w:t>传真：</w:t>
      </w:r>
      <w:r>
        <w:rPr>
          <w:rFonts w:hint="eastAsia" w:hAnsi="宋体"/>
          <w:sz w:val="24"/>
          <w:szCs w:val="24"/>
          <w:highlight w:val="none"/>
          <w:u w:val="single"/>
        </w:rPr>
        <w:t xml:space="preserve">                          </w:t>
      </w:r>
    </w:p>
    <w:p>
      <w:pPr>
        <w:pStyle w:val="13"/>
        <w:spacing w:line="500" w:lineRule="exact"/>
        <w:ind w:firstLine="2760" w:firstLineChars="1150"/>
        <w:rPr>
          <w:rFonts w:hAnsi="宋体"/>
          <w:sz w:val="24"/>
          <w:szCs w:val="24"/>
          <w:highlight w:val="none"/>
        </w:rPr>
      </w:pPr>
    </w:p>
    <w:p>
      <w:pPr>
        <w:pStyle w:val="13"/>
        <w:spacing w:line="500" w:lineRule="exact"/>
        <w:ind w:firstLine="2760" w:firstLineChars="1150"/>
        <w:rPr>
          <w:rFonts w:hAnsi="宋体"/>
          <w:sz w:val="24"/>
          <w:szCs w:val="24"/>
          <w:highlight w:val="none"/>
        </w:rPr>
      </w:pPr>
      <w:r>
        <w:rPr>
          <w:rFonts w:hint="eastAsia" w:hAnsi="宋体"/>
          <w:sz w:val="24"/>
          <w:szCs w:val="24"/>
          <w:highlight w:val="none"/>
        </w:rPr>
        <w:t>法定代表人/被授权人身份证复印件</w:t>
      </w:r>
    </w:p>
    <w:tbl>
      <w:tblPr>
        <w:tblStyle w:val="23"/>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03" w:hRule="atLeast"/>
          <w:jc w:val="center"/>
        </w:trPr>
        <w:tc>
          <w:tcPr>
            <w:tcW w:w="4213" w:type="dxa"/>
            <w:shd w:val="clear" w:color="auto" w:fill="E0E0E0"/>
            <w:vAlign w:val="center"/>
          </w:tcPr>
          <w:p>
            <w:pPr>
              <w:pStyle w:val="13"/>
              <w:snapToGrid w:val="0"/>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法定代表人身份证复印件（国徽面）</w:t>
            </w:r>
          </w:p>
        </w:tc>
        <w:tc>
          <w:tcPr>
            <w:tcW w:w="4213" w:type="dxa"/>
            <w:shd w:val="clear" w:color="auto" w:fill="E0E0E0"/>
            <w:vAlign w:val="center"/>
          </w:tcPr>
          <w:p>
            <w:pPr>
              <w:pStyle w:val="13"/>
              <w:snapToGrid w:val="0"/>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被授权人身份证复印件（国徽面）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5" w:hRule="atLeast"/>
          <w:jc w:val="center"/>
        </w:trPr>
        <w:tc>
          <w:tcPr>
            <w:tcW w:w="4213" w:type="dxa"/>
            <w:shd w:val="clear" w:color="auto" w:fill="E0E0E0"/>
            <w:vAlign w:val="center"/>
          </w:tcPr>
          <w:p>
            <w:pPr>
              <w:pStyle w:val="13"/>
              <w:snapToGrid w:val="0"/>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法定代表人身份证复印件（人像面）</w:t>
            </w:r>
          </w:p>
        </w:tc>
        <w:tc>
          <w:tcPr>
            <w:tcW w:w="4213" w:type="dxa"/>
            <w:shd w:val="clear" w:color="auto" w:fill="E0E0E0"/>
            <w:vAlign w:val="center"/>
          </w:tcPr>
          <w:p>
            <w:pPr>
              <w:pStyle w:val="13"/>
              <w:snapToGrid w:val="0"/>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被授权人身份证复印件（人像面）</w:t>
            </w:r>
          </w:p>
        </w:tc>
      </w:tr>
    </w:tbl>
    <w:p>
      <w:pPr>
        <w:spacing w:line="360" w:lineRule="auto"/>
        <w:ind w:firstLine="640" w:firstLineChars="200"/>
        <w:rPr>
          <w:rFonts w:ascii="黑体" w:hAnsi="仿宋" w:eastAsia="黑体" w:cs="仿宋"/>
          <w:bCs/>
          <w:sz w:val="32"/>
          <w:szCs w:val="32"/>
          <w:highlight w:val="none"/>
        </w:rPr>
      </w:pPr>
      <w:bookmarkStart w:id="507" w:name="_Toc18951"/>
      <w:bookmarkStart w:id="508" w:name="_Toc9280"/>
      <w:bookmarkStart w:id="509" w:name="_Toc3011"/>
      <w:r>
        <w:rPr>
          <w:rFonts w:hint="eastAsia" w:ascii="黑体" w:hAnsi="仿宋" w:eastAsia="黑体" w:cs="黑体"/>
          <w:sz w:val="32"/>
          <w:szCs w:val="32"/>
          <w:highlight w:val="none"/>
        </w:rPr>
        <w:t>注：签字不能以签字章代替！</w:t>
      </w:r>
    </w:p>
    <w:p>
      <w:pPr>
        <w:spacing w:line="360" w:lineRule="auto"/>
        <w:jc w:val="center"/>
        <w:rPr>
          <w:rFonts w:ascii="黑体" w:hAnsi="仿宋" w:eastAsia="黑体" w:cs="仿宋"/>
          <w:bCs/>
          <w:sz w:val="32"/>
          <w:szCs w:val="32"/>
          <w:highlight w:val="none"/>
        </w:rPr>
      </w:pPr>
      <w:r>
        <w:rPr>
          <w:rFonts w:hint="eastAsia" w:ascii="黑体" w:hAnsi="仿宋" w:eastAsia="黑体" w:cs="仿宋"/>
          <w:bCs/>
          <w:sz w:val="32"/>
          <w:szCs w:val="32"/>
          <w:highlight w:val="none"/>
        </w:rPr>
        <w:t>法定代表人证明书（格式）</w:t>
      </w:r>
      <w:bookmarkEnd w:id="507"/>
      <w:bookmarkEnd w:id="508"/>
      <w:bookmarkEnd w:id="509"/>
    </w:p>
    <w:p>
      <w:pPr>
        <w:spacing w:line="360" w:lineRule="auto"/>
        <w:jc w:val="center"/>
        <w:rPr>
          <w:rFonts w:ascii="黑体" w:hAnsi="仿宋" w:eastAsia="黑体" w:cs="仿宋"/>
          <w:bCs/>
          <w:sz w:val="24"/>
          <w:highlight w:val="none"/>
          <w:u w:val="single"/>
        </w:rPr>
      </w:pPr>
      <w:bookmarkStart w:id="510" w:name="_Toc29574"/>
      <w:bookmarkStart w:id="511" w:name="_Toc14682"/>
      <w:bookmarkStart w:id="512" w:name="_Toc6023"/>
      <w:r>
        <w:rPr>
          <w:rFonts w:hint="eastAsia" w:ascii="黑体" w:hAnsi="仿宋" w:eastAsia="黑体" w:cs="仿宋"/>
          <w:bCs/>
          <w:sz w:val="24"/>
          <w:highlight w:val="none"/>
          <w:u w:val="single"/>
        </w:rPr>
        <w:t>（法定代表人直接参加磋商会议时提供）</w:t>
      </w:r>
      <w:bookmarkEnd w:id="510"/>
      <w:bookmarkEnd w:id="511"/>
      <w:bookmarkEnd w:id="512"/>
    </w:p>
    <w:p>
      <w:pPr>
        <w:spacing w:line="360" w:lineRule="atLeast"/>
        <w:jc w:val="center"/>
        <w:rPr>
          <w:rFonts w:ascii="黑体" w:hAnsi="仿宋" w:eastAsia="黑体" w:cs="仿宋"/>
          <w:b/>
          <w:sz w:val="24"/>
          <w:highlight w:val="none"/>
        </w:rPr>
      </w:pPr>
    </w:p>
    <w:tbl>
      <w:tblPr>
        <w:tblStyle w:val="2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pPr>
              <w:tabs>
                <w:tab w:val="left" w:pos="210"/>
              </w:tabs>
              <w:spacing w:line="320" w:lineRule="exact"/>
              <w:rPr>
                <w:rFonts w:ascii="宋体" w:hAnsi="宋体"/>
                <w:kern w:val="0"/>
                <w:sz w:val="24"/>
                <w:highlight w:val="none"/>
              </w:rPr>
            </w:pPr>
            <w:r>
              <w:rPr>
                <w:rFonts w:hint="eastAsia" w:ascii="宋体" w:hAnsi="宋体"/>
                <w:kern w:val="0"/>
                <w:sz w:val="24"/>
                <w:highlight w:val="none"/>
              </w:rPr>
              <w:t>致：陕西德勤招标有限公司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企</w:t>
            </w:r>
          </w:p>
          <w:p>
            <w:pPr>
              <w:tabs>
                <w:tab w:val="left" w:pos="210"/>
              </w:tabs>
              <w:spacing w:line="320" w:lineRule="exact"/>
              <w:jc w:val="center"/>
              <w:rPr>
                <w:rFonts w:ascii="宋体" w:hAnsi="宋体"/>
                <w:kern w:val="0"/>
                <w:sz w:val="24"/>
                <w:highlight w:val="none"/>
              </w:rPr>
            </w:pPr>
          </w:p>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业</w:t>
            </w:r>
          </w:p>
          <w:p>
            <w:pPr>
              <w:tabs>
                <w:tab w:val="left" w:pos="210"/>
              </w:tabs>
              <w:spacing w:line="320" w:lineRule="exact"/>
              <w:jc w:val="center"/>
              <w:rPr>
                <w:rFonts w:ascii="宋体" w:hAnsi="宋体"/>
                <w:kern w:val="0"/>
                <w:sz w:val="24"/>
                <w:highlight w:val="none"/>
              </w:rPr>
            </w:pPr>
          </w:p>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法</w:t>
            </w:r>
          </w:p>
          <w:p>
            <w:pPr>
              <w:tabs>
                <w:tab w:val="left" w:pos="210"/>
              </w:tabs>
              <w:spacing w:line="320" w:lineRule="exact"/>
              <w:jc w:val="center"/>
              <w:rPr>
                <w:rFonts w:ascii="宋体" w:hAnsi="宋体"/>
                <w:kern w:val="0"/>
                <w:sz w:val="24"/>
                <w:highlight w:val="none"/>
              </w:rPr>
            </w:pPr>
          </w:p>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人</w:t>
            </w:r>
          </w:p>
        </w:tc>
        <w:tc>
          <w:tcPr>
            <w:tcW w:w="2065" w:type="dxa"/>
            <w:vAlign w:val="center"/>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企业名称</w:t>
            </w:r>
          </w:p>
        </w:tc>
        <w:tc>
          <w:tcPr>
            <w:tcW w:w="6360" w:type="dxa"/>
            <w:gridSpan w:val="4"/>
            <w:vAlign w:val="center"/>
          </w:tcPr>
          <w:p>
            <w:pPr>
              <w:tabs>
                <w:tab w:val="left" w:pos="210"/>
              </w:tabs>
              <w:spacing w:line="320" w:lineRule="exact"/>
              <w:jc w:val="center"/>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rPr>
                <w:rFonts w:ascii="宋体" w:hAnsi="宋体"/>
                <w:kern w:val="0"/>
                <w:sz w:val="24"/>
                <w:highlight w:val="none"/>
              </w:rPr>
            </w:pPr>
          </w:p>
        </w:tc>
        <w:tc>
          <w:tcPr>
            <w:tcW w:w="2065" w:type="dxa"/>
            <w:vAlign w:val="center"/>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法定地址</w:t>
            </w:r>
          </w:p>
        </w:tc>
        <w:tc>
          <w:tcPr>
            <w:tcW w:w="6360" w:type="dxa"/>
            <w:gridSpan w:val="4"/>
            <w:vAlign w:val="center"/>
          </w:tcPr>
          <w:p>
            <w:pPr>
              <w:tabs>
                <w:tab w:val="left" w:pos="210"/>
              </w:tabs>
              <w:spacing w:line="320" w:lineRule="exact"/>
              <w:jc w:val="center"/>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rPr>
                <w:rFonts w:ascii="宋体" w:hAnsi="宋体"/>
                <w:kern w:val="0"/>
                <w:sz w:val="24"/>
                <w:highlight w:val="none"/>
              </w:rPr>
            </w:pPr>
          </w:p>
        </w:tc>
        <w:tc>
          <w:tcPr>
            <w:tcW w:w="2065" w:type="dxa"/>
            <w:vAlign w:val="center"/>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邮政编码</w:t>
            </w:r>
          </w:p>
        </w:tc>
        <w:tc>
          <w:tcPr>
            <w:tcW w:w="6360" w:type="dxa"/>
            <w:gridSpan w:val="4"/>
            <w:vAlign w:val="center"/>
          </w:tcPr>
          <w:p>
            <w:pPr>
              <w:tabs>
                <w:tab w:val="left" w:pos="210"/>
              </w:tabs>
              <w:spacing w:line="320" w:lineRule="exact"/>
              <w:jc w:val="center"/>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rPr>
                <w:rFonts w:ascii="宋体" w:hAnsi="宋体"/>
                <w:kern w:val="0"/>
                <w:sz w:val="24"/>
                <w:highlight w:val="none"/>
              </w:rPr>
            </w:pPr>
          </w:p>
        </w:tc>
        <w:tc>
          <w:tcPr>
            <w:tcW w:w="2065" w:type="dxa"/>
            <w:vAlign w:val="center"/>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工商登记机关</w:t>
            </w:r>
          </w:p>
        </w:tc>
        <w:tc>
          <w:tcPr>
            <w:tcW w:w="6360" w:type="dxa"/>
            <w:gridSpan w:val="4"/>
            <w:vAlign w:val="center"/>
          </w:tcPr>
          <w:p>
            <w:pPr>
              <w:tabs>
                <w:tab w:val="left" w:pos="210"/>
              </w:tabs>
              <w:spacing w:line="320" w:lineRule="exact"/>
              <w:jc w:val="center"/>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vAlign w:val="center"/>
          </w:tcPr>
          <w:p>
            <w:pPr>
              <w:tabs>
                <w:tab w:val="left" w:pos="210"/>
              </w:tabs>
              <w:spacing w:line="320" w:lineRule="exact"/>
              <w:jc w:val="center"/>
              <w:rPr>
                <w:rFonts w:ascii="宋体" w:hAnsi="宋体"/>
                <w:kern w:val="0"/>
                <w:sz w:val="24"/>
                <w:highlight w:val="none"/>
              </w:rPr>
            </w:pPr>
          </w:p>
        </w:tc>
        <w:tc>
          <w:tcPr>
            <w:tcW w:w="2065" w:type="dxa"/>
            <w:vAlign w:val="center"/>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税务登记机关</w:t>
            </w:r>
          </w:p>
        </w:tc>
        <w:tc>
          <w:tcPr>
            <w:tcW w:w="6360" w:type="dxa"/>
            <w:gridSpan w:val="4"/>
            <w:vAlign w:val="center"/>
          </w:tcPr>
          <w:p>
            <w:pPr>
              <w:tabs>
                <w:tab w:val="left" w:pos="210"/>
              </w:tabs>
              <w:spacing w:line="320" w:lineRule="exact"/>
              <w:jc w:val="center"/>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rPr>
                <w:rFonts w:ascii="宋体" w:hAnsi="宋体"/>
                <w:kern w:val="0"/>
                <w:sz w:val="24"/>
                <w:highlight w:val="none"/>
              </w:rPr>
            </w:pPr>
          </w:p>
        </w:tc>
        <w:tc>
          <w:tcPr>
            <w:tcW w:w="2065" w:type="dxa"/>
            <w:vAlign w:val="center"/>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机构代码证号</w:t>
            </w:r>
          </w:p>
        </w:tc>
        <w:tc>
          <w:tcPr>
            <w:tcW w:w="6360" w:type="dxa"/>
            <w:gridSpan w:val="4"/>
            <w:vAlign w:val="center"/>
          </w:tcPr>
          <w:p>
            <w:pPr>
              <w:tabs>
                <w:tab w:val="left" w:pos="210"/>
              </w:tabs>
              <w:spacing w:line="320" w:lineRule="exact"/>
              <w:jc w:val="center"/>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法定代表人</w:t>
            </w:r>
          </w:p>
        </w:tc>
        <w:tc>
          <w:tcPr>
            <w:tcW w:w="2065" w:type="dxa"/>
            <w:vAlign w:val="center"/>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姓名</w:t>
            </w:r>
          </w:p>
        </w:tc>
        <w:tc>
          <w:tcPr>
            <w:tcW w:w="2236" w:type="dxa"/>
            <w:gridSpan w:val="2"/>
            <w:vAlign w:val="center"/>
          </w:tcPr>
          <w:p>
            <w:pPr>
              <w:tabs>
                <w:tab w:val="left" w:pos="210"/>
              </w:tabs>
              <w:spacing w:line="320" w:lineRule="exact"/>
              <w:jc w:val="center"/>
              <w:rPr>
                <w:rFonts w:ascii="宋体" w:hAnsi="宋体"/>
                <w:kern w:val="0"/>
                <w:sz w:val="24"/>
                <w:highlight w:val="none"/>
              </w:rPr>
            </w:pPr>
          </w:p>
        </w:tc>
        <w:tc>
          <w:tcPr>
            <w:tcW w:w="2061" w:type="dxa"/>
            <w:vAlign w:val="center"/>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性别</w:t>
            </w:r>
          </w:p>
        </w:tc>
        <w:tc>
          <w:tcPr>
            <w:tcW w:w="2063" w:type="dxa"/>
            <w:vAlign w:val="center"/>
          </w:tcPr>
          <w:p>
            <w:pPr>
              <w:tabs>
                <w:tab w:val="left" w:pos="210"/>
              </w:tabs>
              <w:spacing w:line="320" w:lineRule="exact"/>
              <w:jc w:val="center"/>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rPr>
                <w:rFonts w:ascii="宋体" w:hAnsi="宋体"/>
                <w:kern w:val="0"/>
                <w:sz w:val="24"/>
                <w:highlight w:val="none"/>
              </w:rPr>
            </w:pPr>
          </w:p>
        </w:tc>
        <w:tc>
          <w:tcPr>
            <w:tcW w:w="2065" w:type="dxa"/>
            <w:vAlign w:val="center"/>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职务</w:t>
            </w:r>
          </w:p>
        </w:tc>
        <w:tc>
          <w:tcPr>
            <w:tcW w:w="2236" w:type="dxa"/>
            <w:gridSpan w:val="2"/>
            <w:vAlign w:val="center"/>
          </w:tcPr>
          <w:p>
            <w:pPr>
              <w:tabs>
                <w:tab w:val="left" w:pos="210"/>
              </w:tabs>
              <w:spacing w:line="320" w:lineRule="exact"/>
              <w:jc w:val="center"/>
              <w:rPr>
                <w:rFonts w:ascii="宋体" w:hAnsi="宋体"/>
                <w:kern w:val="0"/>
                <w:sz w:val="24"/>
                <w:highlight w:val="none"/>
              </w:rPr>
            </w:pPr>
          </w:p>
        </w:tc>
        <w:tc>
          <w:tcPr>
            <w:tcW w:w="2061" w:type="dxa"/>
            <w:vAlign w:val="center"/>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联系电话</w:t>
            </w:r>
          </w:p>
        </w:tc>
        <w:tc>
          <w:tcPr>
            <w:tcW w:w="2063" w:type="dxa"/>
            <w:vAlign w:val="center"/>
          </w:tcPr>
          <w:p>
            <w:pPr>
              <w:tabs>
                <w:tab w:val="left" w:pos="210"/>
              </w:tabs>
              <w:spacing w:line="320" w:lineRule="exact"/>
              <w:jc w:val="center"/>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rPr>
                <w:rFonts w:ascii="宋体" w:hAnsi="宋体"/>
                <w:kern w:val="0"/>
                <w:sz w:val="24"/>
                <w:highlight w:val="none"/>
              </w:rPr>
            </w:pPr>
          </w:p>
        </w:tc>
        <w:tc>
          <w:tcPr>
            <w:tcW w:w="2065" w:type="dxa"/>
            <w:vAlign w:val="center"/>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传真</w:t>
            </w:r>
          </w:p>
        </w:tc>
        <w:tc>
          <w:tcPr>
            <w:tcW w:w="6360" w:type="dxa"/>
            <w:gridSpan w:val="4"/>
            <w:vAlign w:val="center"/>
          </w:tcPr>
          <w:p>
            <w:pPr>
              <w:tabs>
                <w:tab w:val="left" w:pos="210"/>
              </w:tabs>
              <w:spacing w:line="320" w:lineRule="exact"/>
              <w:jc w:val="center"/>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vAlign w:val="center"/>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法定代表人身份证复印件</w:t>
            </w:r>
          </w:p>
        </w:tc>
        <w:tc>
          <w:tcPr>
            <w:tcW w:w="4125" w:type="dxa"/>
            <w:gridSpan w:val="2"/>
            <w:vMerge w:val="restart"/>
            <w:vAlign w:val="center"/>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（粘贴处）</w:t>
            </w:r>
          </w:p>
        </w:tc>
        <w:tc>
          <w:tcPr>
            <w:tcW w:w="4300" w:type="dxa"/>
            <w:gridSpan w:val="3"/>
            <w:vAlign w:val="center"/>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61" w:type="dxa"/>
            <w:vMerge w:val="continue"/>
            <w:vAlign w:val="center"/>
          </w:tcPr>
          <w:p>
            <w:pPr>
              <w:tabs>
                <w:tab w:val="left" w:pos="210"/>
              </w:tabs>
              <w:spacing w:line="320" w:lineRule="exact"/>
              <w:jc w:val="center"/>
              <w:rPr>
                <w:rFonts w:ascii="宋体" w:hAnsi="宋体"/>
                <w:kern w:val="0"/>
                <w:sz w:val="24"/>
                <w:highlight w:val="none"/>
              </w:rPr>
            </w:pPr>
          </w:p>
        </w:tc>
        <w:tc>
          <w:tcPr>
            <w:tcW w:w="4125" w:type="dxa"/>
            <w:gridSpan w:val="2"/>
            <w:vMerge w:val="continue"/>
            <w:vAlign w:val="center"/>
          </w:tcPr>
          <w:p>
            <w:pPr>
              <w:tabs>
                <w:tab w:val="left" w:pos="210"/>
              </w:tabs>
              <w:spacing w:line="320" w:lineRule="exact"/>
              <w:jc w:val="center"/>
              <w:rPr>
                <w:rFonts w:ascii="宋体" w:hAnsi="宋体"/>
                <w:kern w:val="0"/>
                <w:sz w:val="24"/>
                <w:highlight w:val="none"/>
              </w:rPr>
            </w:pPr>
          </w:p>
        </w:tc>
        <w:tc>
          <w:tcPr>
            <w:tcW w:w="4300" w:type="dxa"/>
            <w:gridSpan w:val="3"/>
            <w:vAlign w:val="bottom"/>
          </w:tcPr>
          <w:p>
            <w:pPr>
              <w:tabs>
                <w:tab w:val="left" w:pos="210"/>
              </w:tabs>
              <w:spacing w:line="320" w:lineRule="exact"/>
              <w:jc w:val="center"/>
              <w:rPr>
                <w:rFonts w:ascii="宋体" w:hAnsi="宋体"/>
                <w:kern w:val="0"/>
                <w:sz w:val="24"/>
                <w:highlight w:val="none"/>
              </w:rPr>
            </w:pPr>
            <w:r>
              <w:rPr>
                <w:rFonts w:hint="eastAsia" w:ascii="宋体" w:hAnsi="宋体"/>
                <w:kern w:val="0"/>
                <w:sz w:val="24"/>
                <w:highlight w:val="none"/>
              </w:rPr>
              <w:t>（公章）</w:t>
            </w:r>
          </w:p>
          <w:p>
            <w:pPr>
              <w:tabs>
                <w:tab w:val="left" w:pos="210"/>
              </w:tabs>
              <w:spacing w:line="320" w:lineRule="exact"/>
              <w:jc w:val="center"/>
              <w:rPr>
                <w:rFonts w:ascii="宋体" w:hAnsi="宋体"/>
                <w:kern w:val="0"/>
                <w:sz w:val="24"/>
                <w:highlight w:val="none"/>
              </w:rPr>
            </w:pPr>
          </w:p>
          <w:p>
            <w:pPr>
              <w:tabs>
                <w:tab w:val="left" w:pos="210"/>
              </w:tabs>
              <w:spacing w:line="320" w:lineRule="exact"/>
              <w:jc w:val="center"/>
              <w:rPr>
                <w:rFonts w:ascii="宋体" w:hAnsi="宋体"/>
                <w:kern w:val="0"/>
                <w:sz w:val="24"/>
                <w:highlight w:val="none"/>
              </w:rPr>
            </w:pPr>
          </w:p>
          <w:p>
            <w:pPr>
              <w:tabs>
                <w:tab w:val="left" w:pos="210"/>
              </w:tabs>
              <w:spacing w:line="320" w:lineRule="exact"/>
              <w:jc w:val="center"/>
              <w:rPr>
                <w:rFonts w:ascii="宋体" w:hAnsi="宋体"/>
                <w:kern w:val="0"/>
                <w:sz w:val="24"/>
                <w:highlight w:val="none"/>
              </w:rPr>
            </w:pPr>
          </w:p>
          <w:p>
            <w:pPr>
              <w:tabs>
                <w:tab w:val="left" w:pos="210"/>
              </w:tabs>
              <w:spacing w:line="320" w:lineRule="exact"/>
              <w:jc w:val="right"/>
              <w:rPr>
                <w:rFonts w:ascii="宋体" w:hAnsi="宋体"/>
                <w:kern w:val="0"/>
                <w:sz w:val="24"/>
                <w:highlight w:val="none"/>
              </w:rPr>
            </w:pPr>
            <w:r>
              <w:rPr>
                <w:rFonts w:hint="eastAsia" w:ascii="宋体" w:hAnsi="宋体"/>
                <w:kern w:val="0"/>
                <w:sz w:val="24"/>
                <w:highlight w:val="none"/>
              </w:rPr>
              <w:t xml:space="preserve">年  月  日 </w:t>
            </w:r>
          </w:p>
        </w:tc>
      </w:tr>
    </w:tbl>
    <w:p>
      <w:pPr>
        <w:spacing w:line="360" w:lineRule="auto"/>
        <w:ind w:firstLine="640" w:firstLineChars="200"/>
        <w:rPr>
          <w:rFonts w:ascii="仿宋_GB2312" w:hAnsi="仿宋" w:eastAsia="仿宋_GB2312" w:cs="仿宋"/>
          <w:color w:val="0000FF"/>
          <w:sz w:val="24"/>
          <w:highlight w:val="none"/>
        </w:rPr>
      </w:pPr>
      <w:r>
        <w:rPr>
          <w:rFonts w:hint="eastAsia" w:ascii="黑体" w:hAnsi="仿宋" w:eastAsia="黑体" w:cs="黑体"/>
          <w:sz w:val="32"/>
          <w:szCs w:val="32"/>
          <w:highlight w:val="none"/>
        </w:rPr>
        <w:t>注：签字不能以签字章代替！</w:t>
      </w:r>
    </w:p>
    <w:p>
      <w:pPr>
        <w:spacing w:line="360" w:lineRule="auto"/>
        <w:ind w:firstLine="480" w:firstLineChars="200"/>
        <w:rPr>
          <w:rFonts w:ascii="仿宋_GB2312" w:hAnsi="仿宋" w:eastAsia="仿宋_GB2312" w:cs="仿宋"/>
          <w:color w:val="0000FF"/>
          <w:sz w:val="24"/>
          <w:highlight w:val="none"/>
        </w:rPr>
      </w:pPr>
    </w:p>
    <w:p>
      <w:pPr>
        <w:spacing w:line="360" w:lineRule="auto"/>
        <w:ind w:firstLine="480" w:firstLineChars="200"/>
        <w:rPr>
          <w:rFonts w:ascii="仿宋_GB2312" w:hAnsi="仿宋" w:eastAsia="仿宋_GB2312" w:cs="仿宋"/>
          <w:color w:val="0000FF"/>
          <w:sz w:val="24"/>
          <w:highlight w:val="none"/>
        </w:rPr>
      </w:pPr>
    </w:p>
    <w:p>
      <w:pPr>
        <w:spacing w:line="360" w:lineRule="auto"/>
        <w:ind w:firstLine="480" w:firstLineChars="200"/>
        <w:rPr>
          <w:rFonts w:ascii="仿宋_GB2312" w:hAnsi="仿宋" w:eastAsia="仿宋_GB2312" w:cs="仿宋"/>
          <w:color w:val="0000FF"/>
          <w:sz w:val="24"/>
          <w:highlight w:val="none"/>
        </w:rPr>
      </w:pPr>
    </w:p>
    <w:p>
      <w:pPr>
        <w:spacing w:line="360" w:lineRule="auto"/>
        <w:ind w:firstLine="480" w:firstLineChars="200"/>
        <w:rPr>
          <w:rFonts w:ascii="仿宋_GB2312" w:hAnsi="仿宋" w:eastAsia="仿宋_GB2312" w:cs="仿宋"/>
          <w:color w:val="0000FF"/>
          <w:sz w:val="24"/>
          <w:highlight w:val="none"/>
        </w:rPr>
      </w:pPr>
    </w:p>
    <w:p>
      <w:pPr>
        <w:spacing w:line="360" w:lineRule="auto"/>
        <w:ind w:firstLine="482" w:firstLineChars="200"/>
        <w:rPr>
          <w:rFonts w:ascii="宋体" w:hAnsi="宋体"/>
          <w:b/>
          <w:bCs/>
          <w:sz w:val="24"/>
          <w:highlight w:val="none"/>
        </w:rPr>
      </w:pPr>
      <w:r>
        <w:rPr>
          <w:rFonts w:hint="eastAsia" w:ascii="宋体" w:hAnsi="宋体"/>
          <w:b/>
          <w:bCs/>
          <w:sz w:val="24"/>
          <w:highlight w:val="none"/>
        </w:rPr>
        <w:t>1.4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p>
      <w:pPr>
        <w:spacing w:line="360" w:lineRule="auto"/>
        <w:ind w:firstLine="482" w:firstLineChars="200"/>
        <w:rPr>
          <w:rFonts w:ascii="宋体" w:hAnsi="宋体"/>
          <w:b/>
          <w:bCs/>
          <w:sz w:val="24"/>
          <w:highlight w:val="none"/>
        </w:rPr>
      </w:pPr>
      <w:r>
        <w:rPr>
          <w:rFonts w:hint="eastAsia" w:ascii="宋体" w:hAnsi="宋体"/>
          <w:b/>
          <w:bCs/>
          <w:sz w:val="24"/>
          <w:highlight w:val="none"/>
          <w:u w:val="single"/>
        </w:rPr>
        <w:t>特别提醒：成交供应商的《中小企业声明函》、《残疾人福利性单位声明函》或监狱企业证明文件将随成交结果公告一同公布，接受社会监督。</w:t>
      </w:r>
    </w:p>
    <w:p>
      <w:pPr>
        <w:spacing w:line="360" w:lineRule="auto"/>
        <w:ind w:firstLine="480" w:firstLineChars="200"/>
        <w:rPr>
          <w:rFonts w:ascii="宋体" w:hAnsi="宋体"/>
          <w:sz w:val="24"/>
          <w:highlight w:val="none"/>
        </w:rPr>
      </w:pPr>
      <w:r>
        <w:rPr>
          <w:rFonts w:hint="eastAsia" w:ascii="宋体" w:hAnsi="宋体"/>
          <w:sz w:val="24"/>
          <w:highlight w:val="none"/>
        </w:rPr>
        <w:t>（1）关于中小企业判定</w:t>
      </w:r>
    </w:p>
    <w:p>
      <w:pPr>
        <w:spacing w:line="360" w:lineRule="auto"/>
        <w:ind w:firstLine="480" w:firstLineChars="200"/>
        <w:rPr>
          <w:rFonts w:ascii="宋体" w:hAnsi="宋体"/>
          <w:sz w:val="24"/>
          <w:highlight w:val="none"/>
        </w:rPr>
      </w:pPr>
      <w:r>
        <w:rPr>
          <w:rFonts w:hint="eastAsia" w:ascii="宋体" w:hAnsi="宋体"/>
          <w:sz w:val="24"/>
          <w:highlight w:val="none"/>
        </w:rPr>
        <w:t>本项目采购标的对应的中小企业划分标准所属行业为</w:t>
      </w:r>
      <w:r>
        <w:rPr>
          <w:rFonts w:hint="eastAsia" w:ascii="宋体" w:hAnsi="宋体"/>
          <w:sz w:val="24"/>
          <w:highlight w:val="none"/>
          <w:u w:val="single"/>
          <w:lang w:val="en-US" w:eastAsia="zh-CN"/>
        </w:rPr>
        <w:t>软件和信息技术服务业</w:t>
      </w:r>
      <w:r>
        <w:rPr>
          <w:rFonts w:hint="eastAsia" w:ascii="宋体" w:hAnsi="宋体"/>
          <w:sz w:val="24"/>
          <w:highlight w:val="none"/>
        </w:rPr>
        <w:t>。各投标供应商可根据企业从业人员、营业收入、资产总额等指标，按照磋商文件约定的采购标的对应的中小微企业划分标准所属行业和《中小企业划型标准规定》（工信部联企业〔2011〕300号）进行自测，判断属于中型、小型还是微型企业。</w:t>
      </w:r>
    </w:p>
    <w:p>
      <w:pPr>
        <w:spacing w:line="360" w:lineRule="atLeast"/>
        <w:jc w:val="center"/>
        <w:rPr>
          <w:rFonts w:ascii="黑体" w:hAnsi="仿宋" w:eastAsia="黑体" w:cs="黑体"/>
          <w:sz w:val="32"/>
          <w:szCs w:val="32"/>
          <w:highlight w:val="none"/>
        </w:rPr>
      </w:pPr>
      <w:r>
        <w:rPr>
          <w:rFonts w:hint="eastAsia" w:ascii="黑体" w:hAnsi="仿宋" w:eastAsia="黑体" w:cs="黑体"/>
          <w:sz w:val="32"/>
          <w:szCs w:val="32"/>
          <w:highlight w:val="none"/>
        </w:rPr>
        <w:t>中小企业声明函（服务）（格式）</w:t>
      </w:r>
    </w:p>
    <w:p>
      <w:pPr>
        <w:spacing w:line="360" w:lineRule="auto"/>
        <w:ind w:firstLine="567"/>
        <w:rPr>
          <w:rFonts w:ascii="宋体" w:hAnsi="宋体"/>
          <w:kern w:val="0"/>
          <w:sz w:val="24"/>
          <w:szCs w:val="20"/>
          <w:highlight w:val="none"/>
        </w:rPr>
      </w:pPr>
      <w:r>
        <w:rPr>
          <w:rFonts w:hint="eastAsia" w:ascii="宋体" w:hAnsi="宋体"/>
          <w:kern w:val="0"/>
          <w:sz w:val="24"/>
          <w:szCs w:val="20"/>
          <w:highlight w:val="none"/>
        </w:rPr>
        <w:t>本公司（联合体）郑重声明，根据《政府采购促进中小企业发展管理办法》（财库﹝2020﹞46 号）的规定，本公司（联合体）参加</w:t>
      </w:r>
      <w:r>
        <w:rPr>
          <w:rFonts w:hint="eastAsia" w:ascii="宋体" w:hAnsi="宋体"/>
          <w:kern w:val="0"/>
          <w:sz w:val="24"/>
          <w:szCs w:val="20"/>
          <w:highlight w:val="none"/>
          <w:u w:val="single"/>
        </w:rPr>
        <w:t>（采购代理机构名称）</w:t>
      </w:r>
      <w:r>
        <w:rPr>
          <w:rFonts w:hint="eastAsia" w:ascii="宋体" w:hAnsi="宋体"/>
          <w:kern w:val="0"/>
          <w:sz w:val="24"/>
          <w:szCs w:val="20"/>
          <w:highlight w:val="none"/>
        </w:rPr>
        <w:t>的</w:t>
      </w:r>
      <w:r>
        <w:rPr>
          <w:rFonts w:hint="eastAsia" w:ascii="宋体" w:hAnsi="宋体"/>
          <w:kern w:val="0"/>
          <w:sz w:val="24"/>
          <w:szCs w:val="20"/>
          <w:highlight w:val="none"/>
          <w:u w:val="single"/>
        </w:rPr>
        <w:t>（项目名称）</w:t>
      </w:r>
      <w:r>
        <w:rPr>
          <w:rFonts w:hint="eastAsia" w:ascii="宋体" w:hAnsi="宋体"/>
          <w:kern w:val="0"/>
          <w:sz w:val="24"/>
          <w:szCs w:val="20"/>
          <w:highlight w:val="none"/>
        </w:rPr>
        <w:t>采购活动，服务全部由符合政策要求的中小企业承接。相关企业（含联合体中的中小企业、签订分包意向协议的中小企业）的具体情况如下：</w:t>
      </w:r>
    </w:p>
    <w:p>
      <w:pPr>
        <w:spacing w:line="360" w:lineRule="auto"/>
        <w:ind w:firstLine="567"/>
        <w:rPr>
          <w:rFonts w:ascii="宋体" w:hAnsi="宋体"/>
          <w:kern w:val="0"/>
          <w:sz w:val="24"/>
          <w:szCs w:val="20"/>
          <w:highlight w:val="none"/>
        </w:rPr>
      </w:pPr>
      <w:r>
        <w:rPr>
          <w:rFonts w:hint="eastAsia" w:ascii="宋体" w:hAnsi="宋体"/>
          <w:kern w:val="0"/>
          <w:sz w:val="24"/>
          <w:szCs w:val="20"/>
          <w:highlight w:val="none"/>
        </w:rPr>
        <w:t>1.</w:t>
      </w:r>
      <w:r>
        <w:rPr>
          <w:rFonts w:hint="eastAsia" w:ascii="宋体" w:hAnsi="宋体"/>
          <w:kern w:val="0"/>
          <w:sz w:val="24"/>
          <w:szCs w:val="20"/>
          <w:highlight w:val="none"/>
          <w:u w:val="single"/>
        </w:rPr>
        <w:t>（项目名称）</w:t>
      </w:r>
      <w:r>
        <w:rPr>
          <w:rFonts w:hint="eastAsia" w:ascii="宋体" w:hAnsi="宋体"/>
          <w:kern w:val="0"/>
          <w:sz w:val="24"/>
          <w:szCs w:val="20"/>
          <w:highlight w:val="none"/>
        </w:rPr>
        <w:t>，属于</w:t>
      </w:r>
      <w:r>
        <w:rPr>
          <w:rFonts w:hint="eastAsia" w:ascii="宋体" w:hAnsi="宋体"/>
          <w:kern w:val="0"/>
          <w:sz w:val="24"/>
          <w:szCs w:val="20"/>
          <w:highlight w:val="none"/>
          <w:u w:val="single"/>
        </w:rPr>
        <w:t>（采购文件中明确的所属行业）</w:t>
      </w:r>
      <w:r>
        <w:rPr>
          <w:rFonts w:hint="eastAsia" w:ascii="宋体" w:hAnsi="宋体"/>
          <w:kern w:val="0"/>
          <w:sz w:val="24"/>
          <w:szCs w:val="20"/>
          <w:highlight w:val="none"/>
        </w:rPr>
        <w:t xml:space="preserve">；承接企业为（企业名称），从业人员   人，营业收入为   万元，资产总额为   万元1，属于（中型企业、小型企业、微型企业）； </w:t>
      </w:r>
    </w:p>
    <w:p>
      <w:pPr>
        <w:spacing w:line="360" w:lineRule="auto"/>
        <w:ind w:firstLine="567"/>
        <w:rPr>
          <w:rFonts w:ascii="宋体" w:hAnsi="宋体"/>
          <w:kern w:val="0"/>
          <w:sz w:val="24"/>
          <w:szCs w:val="20"/>
          <w:highlight w:val="none"/>
        </w:rPr>
      </w:pPr>
      <w:r>
        <w:rPr>
          <w:rFonts w:hint="eastAsia" w:ascii="宋体" w:hAnsi="宋体"/>
          <w:kern w:val="0"/>
          <w:sz w:val="24"/>
          <w:szCs w:val="20"/>
          <w:highlight w:val="none"/>
        </w:rPr>
        <w:t>2.</w:t>
      </w:r>
      <w:r>
        <w:rPr>
          <w:rFonts w:hint="eastAsia" w:ascii="宋体" w:hAnsi="宋体"/>
          <w:kern w:val="0"/>
          <w:sz w:val="24"/>
          <w:szCs w:val="20"/>
          <w:highlight w:val="none"/>
          <w:u w:val="single"/>
        </w:rPr>
        <w:t>（项目名称）</w:t>
      </w:r>
      <w:r>
        <w:rPr>
          <w:rFonts w:hint="eastAsia" w:ascii="宋体" w:hAnsi="宋体"/>
          <w:kern w:val="0"/>
          <w:sz w:val="24"/>
          <w:szCs w:val="20"/>
          <w:highlight w:val="none"/>
        </w:rPr>
        <w:t>，属于</w:t>
      </w:r>
      <w:r>
        <w:rPr>
          <w:rFonts w:hint="eastAsia" w:ascii="宋体" w:hAnsi="宋体"/>
          <w:kern w:val="0"/>
          <w:sz w:val="24"/>
          <w:szCs w:val="20"/>
          <w:highlight w:val="none"/>
          <w:u w:val="single"/>
        </w:rPr>
        <w:t>（采购文件中明确的所属行业）</w:t>
      </w:r>
      <w:r>
        <w:rPr>
          <w:rFonts w:hint="eastAsia" w:ascii="宋体" w:hAnsi="宋体"/>
          <w:kern w:val="0"/>
          <w:sz w:val="24"/>
          <w:szCs w:val="20"/>
          <w:highlight w:val="none"/>
        </w:rPr>
        <w:t xml:space="preserve">；承接企业为（企业名称），从业人员   人，营业收入为   万元，资产总额为   万元，属于（中型企业、小型企业、微型企业）； </w:t>
      </w:r>
    </w:p>
    <w:p>
      <w:pPr>
        <w:spacing w:line="360" w:lineRule="auto"/>
        <w:ind w:firstLine="567"/>
        <w:rPr>
          <w:rFonts w:ascii="宋体" w:hAnsi="宋体"/>
          <w:kern w:val="0"/>
          <w:sz w:val="24"/>
          <w:szCs w:val="20"/>
          <w:highlight w:val="none"/>
        </w:rPr>
      </w:pPr>
      <w:r>
        <w:rPr>
          <w:rFonts w:hint="eastAsia" w:ascii="宋体" w:hAnsi="宋体"/>
          <w:kern w:val="0"/>
          <w:sz w:val="24"/>
          <w:szCs w:val="20"/>
          <w:highlight w:val="none"/>
        </w:rPr>
        <w:t>……</w:t>
      </w:r>
    </w:p>
    <w:p>
      <w:pPr>
        <w:spacing w:line="360" w:lineRule="auto"/>
        <w:ind w:firstLine="567"/>
        <w:rPr>
          <w:rFonts w:ascii="宋体" w:hAnsi="宋体"/>
          <w:kern w:val="0"/>
          <w:sz w:val="24"/>
          <w:szCs w:val="20"/>
          <w:highlight w:val="none"/>
        </w:rPr>
      </w:pPr>
      <w:r>
        <w:rPr>
          <w:rFonts w:hint="eastAsia" w:ascii="宋体" w:hAnsi="宋体"/>
          <w:kern w:val="0"/>
          <w:sz w:val="24"/>
          <w:szCs w:val="20"/>
          <w:highlight w:val="none"/>
        </w:rPr>
        <w:t>以上企业，不属于大企业的分支机构，不存在控股股东为大企业的情形，也不存在与大企业的负责人为同一人的情形。</w:t>
      </w:r>
    </w:p>
    <w:p>
      <w:pPr>
        <w:spacing w:line="360" w:lineRule="auto"/>
        <w:ind w:firstLine="567"/>
        <w:rPr>
          <w:rFonts w:ascii="宋体" w:hAnsi="宋体"/>
          <w:kern w:val="0"/>
          <w:sz w:val="24"/>
          <w:szCs w:val="20"/>
          <w:highlight w:val="none"/>
        </w:rPr>
      </w:pPr>
      <w:r>
        <w:rPr>
          <w:rFonts w:hint="eastAsia" w:ascii="宋体" w:hAnsi="宋体"/>
          <w:kern w:val="0"/>
          <w:sz w:val="24"/>
          <w:szCs w:val="20"/>
          <w:highlight w:val="none"/>
        </w:rPr>
        <w:t>本企业对上述声明内容的真实性负责。如有虚假，将依法承担相应责任。</w:t>
      </w:r>
    </w:p>
    <w:p>
      <w:pPr>
        <w:spacing w:line="360" w:lineRule="auto"/>
        <w:ind w:firstLine="567"/>
        <w:rPr>
          <w:rFonts w:ascii="宋体" w:hAnsi="宋体"/>
          <w:kern w:val="0"/>
          <w:sz w:val="24"/>
          <w:szCs w:val="20"/>
          <w:highlight w:val="none"/>
        </w:rPr>
      </w:pPr>
      <w:r>
        <w:rPr>
          <w:rFonts w:hint="eastAsia" w:ascii="宋体" w:hAnsi="宋体"/>
          <w:kern w:val="0"/>
          <w:sz w:val="24"/>
          <w:szCs w:val="20"/>
          <w:highlight w:val="none"/>
        </w:rPr>
        <w:t>供应商名称（盖章）：</w:t>
      </w:r>
    </w:p>
    <w:p>
      <w:pPr>
        <w:spacing w:line="360" w:lineRule="auto"/>
        <w:ind w:firstLine="567"/>
        <w:rPr>
          <w:rFonts w:ascii="宋体" w:hAnsi="宋体"/>
          <w:kern w:val="0"/>
          <w:sz w:val="24"/>
          <w:szCs w:val="20"/>
          <w:highlight w:val="none"/>
        </w:rPr>
      </w:pPr>
      <w:r>
        <w:rPr>
          <w:rFonts w:hint="eastAsia" w:ascii="宋体" w:hAnsi="宋体"/>
          <w:kern w:val="0"/>
          <w:sz w:val="24"/>
          <w:szCs w:val="20"/>
          <w:highlight w:val="none"/>
        </w:rPr>
        <w:t>日 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360" w:lineRule="auto"/>
        <w:ind w:firstLine="567"/>
        <w:rPr>
          <w:rFonts w:ascii="宋体" w:hAnsi="宋体"/>
          <w:color w:val="000000"/>
          <w:kern w:val="0"/>
          <w:sz w:val="18"/>
          <w:szCs w:val="18"/>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7" name="直接连接符 9"/>
                <wp:cNvGraphicFramePr/>
                <a:graphic xmlns:a="http://schemas.openxmlformats.org/drawingml/2006/main">
                  <a:graphicData uri="http://schemas.microsoft.com/office/word/2010/wordprocessingShape">
                    <wps:wsp>
                      <wps:cNvCnPr/>
                      <wps:spPr>
                        <a:xfrm>
                          <a:off x="0" y="0"/>
                          <a:ext cx="18954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9" o:spid="_x0000_s1026" o:spt="20" style="position:absolute;left:0pt;margin-left:0.3pt;margin-top:10.95pt;height:0pt;width:149.25pt;z-index:251662336;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hL///SAAAABgEAAA8AAAAAAAAAAQAgAAAAIgAAAGRycy9kb3ducmV2LnhtbFBLAQIUABQA&#10;AAAIAIdO4kAWLTQ29gEAAOQDAAAOAAAAAAAAAAEAIAAAACEBAABkcnMvZTJvRG9jLnhtbFBLBQYA&#10;AAAABgAGAFkBAACJBQAAAAA=&#10;">
                <v:fill on="f" focussize="0,0"/>
                <v:stroke color="#000000" joinstyle="round"/>
                <v:imagedata o:title=""/>
                <o:lock v:ext="edit" aspectratio="f"/>
              </v:line>
            </w:pict>
          </mc:Fallback>
        </mc:AlternateContent>
      </w:r>
    </w:p>
    <w:p>
      <w:pPr>
        <w:widowControl/>
        <w:jc w:val="left"/>
        <w:rPr>
          <w:rFonts w:ascii="宋体" w:hAnsi="宋体"/>
          <w:color w:val="000000"/>
          <w:kern w:val="0"/>
          <w:szCs w:val="21"/>
          <w:highlight w:val="none"/>
        </w:rPr>
      </w:pPr>
      <w:r>
        <w:rPr>
          <w:rFonts w:hint="eastAsia" w:ascii="宋体" w:hAnsi="宋体"/>
          <w:b/>
          <w:bCs/>
          <w:color w:val="000000"/>
          <w:kern w:val="0"/>
          <w:szCs w:val="21"/>
          <w:highlight w:val="none"/>
        </w:rPr>
        <w:t>备注：</w:t>
      </w:r>
      <w:r>
        <w:rPr>
          <w:rFonts w:hint="eastAsia" w:ascii="宋体" w:hAnsi="宋体"/>
          <w:color w:val="000000"/>
          <w:kern w:val="0"/>
          <w:szCs w:val="21"/>
          <w:highlight w:val="none"/>
        </w:rPr>
        <w:t>1.填写前请认真阅读《工业和信息化部、国家统计局、国家发展和改革委员会、财政部关于印发中小企业划型标准规定的通知》（工信部联企业[2011]300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pPr>
        <w:widowControl/>
        <w:jc w:val="left"/>
        <w:rPr>
          <w:rFonts w:ascii="宋体" w:hAnsi="宋体"/>
          <w:color w:val="000000"/>
          <w:kern w:val="0"/>
          <w:szCs w:val="21"/>
          <w:highlight w:val="none"/>
        </w:rPr>
      </w:pPr>
      <w:r>
        <w:rPr>
          <w:rFonts w:hint="eastAsia" w:ascii="宋体" w:hAnsi="宋体"/>
          <w:color w:val="000000"/>
          <w:kern w:val="0"/>
          <w:szCs w:val="21"/>
          <w:highlight w:val="none"/>
        </w:rPr>
        <w:t>2.从业人员、营业收入、资产总额填报上一年度数据，无上一年度数据的新成立企业可不填报。</w:t>
      </w:r>
    </w:p>
    <w:p>
      <w:pPr>
        <w:rPr>
          <w:rFonts w:ascii="宋体" w:hAnsi="宋体"/>
          <w:b/>
          <w:bCs/>
          <w:sz w:val="24"/>
          <w:highlight w:val="none"/>
        </w:rPr>
      </w:pPr>
      <w:r>
        <w:rPr>
          <w:rFonts w:hint="eastAsia" w:ascii="宋体" w:hAnsi="宋体"/>
          <w:b/>
          <w:bCs/>
          <w:sz w:val="24"/>
          <w:highlight w:val="none"/>
        </w:rPr>
        <w:br w:type="page"/>
      </w:r>
    </w:p>
    <w:p>
      <w:pPr>
        <w:spacing w:line="360" w:lineRule="auto"/>
        <w:ind w:firstLine="480" w:firstLineChars="200"/>
        <w:rPr>
          <w:rFonts w:ascii="宋体" w:hAnsi="宋体"/>
          <w:sz w:val="24"/>
          <w:highlight w:val="none"/>
        </w:rPr>
      </w:pPr>
      <w:r>
        <w:rPr>
          <w:rFonts w:hint="eastAsia" w:ascii="宋体" w:hAnsi="宋体"/>
          <w:sz w:val="24"/>
          <w:highlight w:val="none"/>
        </w:rPr>
        <w:t>（2）关于监狱企业的证明文件</w:t>
      </w:r>
    </w:p>
    <w:p>
      <w:pPr>
        <w:spacing w:line="360" w:lineRule="auto"/>
        <w:jc w:val="center"/>
        <w:rPr>
          <w:rFonts w:ascii="黑体" w:hAnsi="仿宋" w:eastAsia="黑体" w:cs="黑体"/>
          <w:sz w:val="32"/>
          <w:szCs w:val="32"/>
          <w:highlight w:val="none"/>
        </w:rPr>
      </w:pPr>
      <w:r>
        <w:rPr>
          <w:rFonts w:hint="eastAsia" w:ascii="黑体" w:hAnsi="仿宋" w:eastAsia="黑体" w:cs="黑体"/>
          <w:sz w:val="32"/>
          <w:szCs w:val="32"/>
          <w:highlight w:val="none"/>
        </w:rPr>
        <w:t>关于监狱企业的证明文件（格式）</w:t>
      </w:r>
    </w:p>
    <w:p>
      <w:pPr>
        <w:spacing w:line="360" w:lineRule="auto"/>
        <w:ind w:firstLine="480" w:firstLineChars="200"/>
        <w:rPr>
          <w:rFonts w:ascii="宋体" w:hAnsi="宋体"/>
          <w:sz w:val="24"/>
          <w:highlight w:val="none"/>
        </w:rPr>
      </w:pPr>
      <w:r>
        <w:rPr>
          <w:rFonts w:hint="eastAsia" w:ascii="宋体" w:hAnsi="宋体"/>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ascii="宋体" w:hAnsi="宋体"/>
          <w:sz w:val="24"/>
          <w:highlight w:val="none"/>
        </w:rPr>
      </w:pPr>
      <w:r>
        <w:rPr>
          <w:rFonts w:hint="eastAsia" w:ascii="宋体" w:hAnsi="宋体"/>
          <w:sz w:val="24"/>
          <w:highlight w:val="none"/>
        </w:rPr>
        <w:t>监狱企业参加政府采购活动时，应当提供由省级以上监狱管理局、戒毒管理局（含新疆生产建设兵团）出具的属于监狱企业的证明文件。</w:t>
      </w:r>
    </w:p>
    <w:p>
      <w:pPr>
        <w:spacing w:line="360" w:lineRule="auto"/>
        <w:ind w:firstLine="480" w:firstLineChars="200"/>
        <w:rPr>
          <w:rFonts w:ascii="宋体" w:hAnsi="宋体"/>
          <w:sz w:val="24"/>
          <w:highlight w:val="none"/>
        </w:rPr>
      </w:pPr>
    </w:p>
    <w:p>
      <w:pPr>
        <w:rPr>
          <w:rFonts w:ascii="宋体" w:hAnsi="宋体"/>
          <w:b/>
          <w:bCs/>
          <w:sz w:val="24"/>
          <w:highlight w:val="none"/>
        </w:rPr>
      </w:pPr>
      <w:r>
        <w:rPr>
          <w:rFonts w:hint="eastAsia" w:ascii="宋体" w:hAnsi="宋体"/>
          <w:b/>
          <w:bCs/>
          <w:sz w:val="24"/>
          <w:highlight w:val="none"/>
        </w:rPr>
        <w:br w:type="page"/>
      </w:r>
    </w:p>
    <w:p>
      <w:pPr>
        <w:spacing w:line="360" w:lineRule="auto"/>
        <w:ind w:firstLine="480" w:firstLineChars="200"/>
        <w:rPr>
          <w:rFonts w:ascii="宋体" w:hAnsi="宋体"/>
          <w:sz w:val="24"/>
          <w:highlight w:val="none"/>
        </w:rPr>
      </w:pPr>
      <w:r>
        <w:rPr>
          <w:rFonts w:hint="eastAsia" w:ascii="宋体" w:hAnsi="宋体"/>
          <w:sz w:val="24"/>
          <w:highlight w:val="none"/>
        </w:rPr>
        <w:t>（3）关于残疾人福利性单位判定</w:t>
      </w:r>
    </w:p>
    <w:p>
      <w:pPr>
        <w:spacing w:line="360" w:lineRule="atLeast"/>
        <w:jc w:val="center"/>
        <w:rPr>
          <w:rFonts w:ascii="黑体" w:hAnsi="仿宋" w:eastAsia="黑体" w:cs="黑体"/>
          <w:sz w:val="32"/>
          <w:szCs w:val="32"/>
          <w:highlight w:val="none"/>
        </w:rPr>
      </w:pPr>
      <w:r>
        <w:rPr>
          <w:rFonts w:hint="eastAsia" w:ascii="黑体" w:hAnsi="仿宋" w:eastAsia="黑体" w:cs="黑体"/>
          <w:sz w:val="32"/>
          <w:szCs w:val="32"/>
          <w:highlight w:val="none"/>
        </w:rPr>
        <w:t>残疾人福利单位声明函</w:t>
      </w:r>
    </w:p>
    <w:p>
      <w:pPr>
        <w:spacing w:line="360" w:lineRule="auto"/>
        <w:ind w:firstLine="567"/>
        <w:rPr>
          <w:rFonts w:ascii="宋体" w:hAnsi="宋体"/>
          <w:kern w:val="0"/>
          <w:sz w:val="24"/>
          <w:szCs w:val="20"/>
          <w:highlight w:val="none"/>
        </w:rPr>
      </w:pPr>
      <w:r>
        <w:rPr>
          <w:rFonts w:hint="eastAsia" w:ascii="宋体" w:hAnsi="宋体"/>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中国残疾人联合会关于促进残疾人就业政府采购政策的通知》（财库〔2017〕141号）的规定，本单位为符合条件的残疾人福利性单位，且本单位参加（采购代理机构名称）</w:t>
      </w:r>
      <w:r>
        <w:rPr>
          <w:rFonts w:hint="eastAsia" w:ascii="宋体" w:hAnsi="宋体"/>
          <w:kern w:val="0"/>
          <w:sz w:val="24"/>
          <w:szCs w:val="20"/>
          <w:highlight w:val="none"/>
          <w:u w:val="single"/>
        </w:rPr>
        <w:t>（项目名称）</w:t>
      </w:r>
      <w:r>
        <w:rPr>
          <w:rFonts w:hint="eastAsia" w:ascii="宋体" w:hAnsi="宋体"/>
          <w:kern w:val="0"/>
          <w:sz w:val="24"/>
          <w:szCs w:val="20"/>
          <w:highlight w:val="none"/>
        </w:rPr>
        <w:t>采购活动提供本单位制造的货物（由本单位承担工程/提供服务），或者提供其他残疾人福利性单位制造的货物（不包括使用非残疾人福利性单位注册商标的货物）。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highlight w:val="none"/>
        </w:rPr>
      </w:pPr>
      <w:r>
        <w:rPr>
          <w:rFonts w:hint="eastAsia" w:ascii="宋体" w:hAnsi="宋体"/>
          <w:kern w:val="0"/>
          <w:sz w:val="24"/>
          <w:szCs w:val="20"/>
          <w:highlight w:val="none"/>
        </w:rPr>
        <w:t>本单位对上述声明的真实性负责。如有虚假，将依法承担相应责任。</w:t>
      </w:r>
    </w:p>
    <w:p>
      <w:pPr>
        <w:spacing w:line="360" w:lineRule="auto"/>
        <w:ind w:left="1080" w:leftChars="257" w:hanging="540"/>
        <w:jc w:val="center"/>
        <w:rPr>
          <w:rFonts w:ascii="宋体" w:hAnsi="宋体"/>
          <w:kern w:val="0"/>
          <w:sz w:val="24"/>
          <w:szCs w:val="20"/>
          <w:highlight w:val="none"/>
        </w:rPr>
      </w:pPr>
    </w:p>
    <w:p>
      <w:pPr>
        <w:spacing w:line="360" w:lineRule="auto"/>
        <w:ind w:left="1080" w:leftChars="257" w:hanging="540"/>
        <w:jc w:val="center"/>
        <w:rPr>
          <w:rFonts w:ascii="宋体" w:hAnsi="宋体"/>
          <w:kern w:val="0"/>
          <w:sz w:val="24"/>
          <w:szCs w:val="20"/>
          <w:highlight w:val="none"/>
        </w:rPr>
      </w:pP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供应商名称（盖章）：</w:t>
      </w:r>
      <w:r>
        <w:rPr>
          <w:rFonts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360" w:lineRule="auto"/>
        <w:ind w:firstLine="567"/>
        <w:rPr>
          <w:rFonts w:ascii="宋体" w:hAnsi="宋体"/>
          <w:color w:val="000000"/>
          <w:kern w:val="0"/>
          <w:sz w:val="18"/>
          <w:szCs w:val="18"/>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8" name="直接连接符 10"/>
                <wp:cNvGraphicFramePr/>
                <a:graphic xmlns:a="http://schemas.openxmlformats.org/drawingml/2006/main">
                  <a:graphicData uri="http://schemas.microsoft.com/office/word/2010/wordprocessingShape">
                    <wps:wsp>
                      <wps:cNvCnPr/>
                      <wps:spPr>
                        <a:xfrm>
                          <a:off x="0" y="0"/>
                          <a:ext cx="18954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0" o:spid="_x0000_s1026" o:spt="20" style="position:absolute;left:0pt;margin-left:0.3pt;margin-top:10.95pt;height:0pt;width:149.25pt;z-index:251663360;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4S///0gAAAAYBAAAPAAAAAAAAAAEAIAAAACIAAABkcnMvZG93bnJldi54bWxQSwECFAAUAAAA&#10;CACHTuJA42zX0vQBAADlAwAADgAAAAAAAAABACAAAAAhAQAAZHJzL2Uyb0RvYy54bWxQSwUGAAAA&#10;AAYABgBZAQAAhwUAAAAA&#10;">
                <v:fill on="f" focussize="0,0"/>
                <v:stroke color="#000000" joinstyle="round"/>
                <v:imagedata o:title=""/>
                <o:lock v:ext="edit" aspectratio="f"/>
              </v:line>
            </w:pict>
          </mc:Fallback>
        </mc:AlternateContent>
      </w:r>
    </w:p>
    <w:p>
      <w:pPr>
        <w:widowControl/>
        <w:jc w:val="left"/>
        <w:rPr>
          <w:szCs w:val="21"/>
          <w:highlight w:val="none"/>
        </w:rPr>
      </w:pPr>
      <w:r>
        <w:rPr>
          <w:rFonts w:hint="eastAsia" w:ascii="宋体" w:hAnsi="宋体"/>
          <w:b/>
          <w:bCs/>
          <w:color w:val="000000"/>
          <w:kern w:val="0"/>
          <w:szCs w:val="21"/>
          <w:highlight w:val="none"/>
        </w:rPr>
        <w:t>备注：</w:t>
      </w:r>
      <w:r>
        <w:rPr>
          <w:rFonts w:hint="eastAsia" w:ascii="宋体" w:hAnsi="宋体"/>
          <w:color w:val="000000"/>
          <w:kern w:val="0"/>
          <w:szCs w:val="21"/>
          <w:highlight w:val="none"/>
        </w:rPr>
        <w:t xml:space="preserve">根据《财政部 民政部 中国残疾人联合会关于促进残疾人就业政府采购政策的通知》（财库 </w:t>
      </w:r>
    </w:p>
    <w:p>
      <w:pPr>
        <w:widowControl/>
        <w:jc w:val="left"/>
        <w:rPr>
          <w:szCs w:val="21"/>
          <w:highlight w:val="none"/>
        </w:rPr>
      </w:pPr>
      <w:r>
        <w:rPr>
          <w:rFonts w:hint="eastAsia" w:ascii="宋体" w:hAnsi="宋体"/>
          <w:color w:val="000000"/>
          <w:kern w:val="0"/>
          <w:szCs w:val="21"/>
          <w:highlight w:val="none"/>
        </w:rPr>
        <w:t>〔2017〕141 号）的规定：</w:t>
      </w:r>
    </w:p>
    <w:p>
      <w:pPr>
        <w:widowControl/>
        <w:jc w:val="left"/>
        <w:rPr>
          <w:szCs w:val="21"/>
          <w:highlight w:val="none"/>
        </w:rPr>
      </w:pPr>
      <w:r>
        <w:rPr>
          <w:rFonts w:hint="eastAsia" w:ascii="宋体" w:hAnsi="宋体"/>
          <w:color w:val="000000"/>
          <w:kern w:val="0"/>
          <w:szCs w:val="21"/>
          <w:highlight w:val="none"/>
        </w:rPr>
        <w:t>一、享受政府采购支持政策的残疾人福利性单位应当同时满足以下条件：</w:t>
      </w:r>
    </w:p>
    <w:p>
      <w:pPr>
        <w:widowControl/>
        <w:jc w:val="left"/>
        <w:rPr>
          <w:szCs w:val="21"/>
          <w:highlight w:val="none"/>
        </w:rPr>
      </w:pPr>
      <w:r>
        <w:rPr>
          <w:rFonts w:hint="eastAsia" w:ascii="宋体" w:hAnsi="宋体"/>
          <w:color w:val="000000"/>
          <w:kern w:val="0"/>
          <w:szCs w:val="21"/>
          <w:highlight w:val="none"/>
        </w:rPr>
        <w:t xml:space="preserve">（一）安置的残疾人占本单位在职职工人数的比例不低于 </w:t>
      </w:r>
      <w:r>
        <w:rPr>
          <w:rFonts w:ascii="仿宋" w:hAnsi="仿宋" w:eastAsia="仿宋" w:cs="仿宋"/>
          <w:color w:val="000000"/>
          <w:kern w:val="0"/>
          <w:szCs w:val="21"/>
          <w:highlight w:val="none"/>
        </w:rPr>
        <w:t>25</w:t>
      </w:r>
      <w:r>
        <w:rPr>
          <w:rFonts w:hint="eastAsia" w:ascii="宋体" w:hAnsi="宋体"/>
          <w:color w:val="000000"/>
          <w:kern w:val="0"/>
          <w:szCs w:val="21"/>
          <w:highlight w:val="none"/>
        </w:rPr>
        <w:t xml:space="preserve">%（含 </w:t>
      </w:r>
      <w:r>
        <w:rPr>
          <w:rFonts w:hint="eastAsia" w:ascii="仿宋" w:hAnsi="仿宋" w:eastAsia="仿宋" w:cs="仿宋"/>
          <w:color w:val="000000"/>
          <w:kern w:val="0"/>
          <w:szCs w:val="21"/>
          <w:highlight w:val="none"/>
        </w:rPr>
        <w:t>25</w:t>
      </w:r>
      <w:r>
        <w:rPr>
          <w:rFonts w:hint="eastAsia" w:ascii="宋体" w:hAnsi="宋体"/>
          <w:color w:val="000000"/>
          <w:kern w:val="0"/>
          <w:szCs w:val="21"/>
          <w:highlight w:val="none"/>
        </w:rPr>
        <w:t>%），并且安置的残疾人人数不少于10人（含10人）；</w:t>
      </w:r>
    </w:p>
    <w:p>
      <w:pPr>
        <w:widowControl/>
        <w:jc w:val="left"/>
        <w:rPr>
          <w:szCs w:val="21"/>
          <w:highlight w:val="none"/>
        </w:rPr>
      </w:pPr>
      <w:r>
        <w:rPr>
          <w:rFonts w:hint="eastAsia" w:ascii="宋体" w:hAnsi="宋体"/>
          <w:color w:val="000000"/>
          <w:kern w:val="0"/>
          <w:szCs w:val="21"/>
          <w:highlight w:val="none"/>
        </w:rPr>
        <w:t>（二）依法与安置的每位残疾人签订了一年以上（含一年）的劳动合同或服务协议；</w:t>
      </w:r>
    </w:p>
    <w:p>
      <w:pPr>
        <w:widowControl/>
        <w:jc w:val="left"/>
        <w:rPr>
          <w:szCs w:val="21"/>
          <w:highlight w:val="none"/>
        </w:rPr>
      </w:pPr>
      <w:r>
        <w:rPr>
          <w:rFonts w:hint="eastAsia" w:ascii="宋体" w:hAnsi="宋体"/>
          <w:color w:val="000000"/>
          <w:kern w:val="0"/>
          <w:szCs w:val="21"/>
          <w:highlight w:val="none"/>
        </w:rPr>
        <w:t>（三）为安置的每位残疾人按月足额缴纳了基本养老保险、基本医疗保险、失业保险、工伤保险和生育保险等社会保险费；</w:t>
      </w:r>
    </w:p>
    <w:p>
      <w:pPr>
        <w:widowControl/>
        <w:jc w:val="left"/>
        <w:rPr>
          <w:szCs w:val="21"/>
          <w:highlight w:val="none"/>
        </w:rPr>
      </w:pPr>
      <w:r>
        <w:rPr>
          <w:rFonts w:hint="eastAsia" w:ascii="宋体" w:hAnsi="宋体"/>
          <w:color w:val="000000"/>
          <w:kern w:val="0"/>
          <w:szCs w:val="21"/>
          <w:highlight w:val="none"/>
        </w:rPr>
        <w:t>（四）通过银行等金融机构向安置的每位残疾人，按月支付了不低于单位所在区县适用的经省级人民政府批准的月最低工资标准的工资；</w:t>
      </w:r>
    </w:p>
    <w:p>
      <w:pPr>
        <w:widowControl/>
        <w:jc w:val="left"/>
        <w:rPr>
          <w:rFonts w:ascii="宋体" w:hAnsi="宋体"/>
          <w:color w:val="000000"/>
          <w:kern w:val="0"/>
          <w:szCs w:val="21"/>
          <w:highlight w:val="none"/>
        </w:rPr>
      </w:pPr>
      <w:r>
        <w:rPr>
          <w:rFonts w:hint="eastAsia" w:ascii="宋体" w:hAnsi="宋体"/>
          <w:color w:val="000000"/>
          <w:kern w:val="0"/>
          <w:szCs w:val="21"/>
          <w:highlight w:val="none"/>
        </w:rPr>
        <w:t>（五）提供本单位制造的货物、承担的工程或者服务（以下简称产品），或者提供其他残疾人福利性单位制造的货物（不包括使用非残疾人福利性单位注册商标的货物）。</w:t>
      </w:r>
    </w:p>
    <w:p>
      <w:pPr>
        <w:widowControl/>
        <w:jc w:val="left"/>
        <w:rPr>
          <w:szCs w:val="21"/>
          <w:highlight w:val="none"/>
        </w:rPr>
      </w:pPr>
      <w:r>
        <w:rPr>
          <w:rFonts w:hint="eastAsia" w:ascii="宋体" w:hAnsi="宋体"/>
          <w:color w:val="000000"/>
          <w:kern w:val="0"/>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jc w:val="left"/>
        <w:rPr>
          <w:szCs w:val="21"/>
          <w:highlight w:val="none"/>
        </w:rPr>
      </w:pPr>
      <w:r>
        <w:rPr>
          <w:rFonts w:hint="eastAsia" w:ascii="宋体" w:hAnsi="宋体"/>
          <w:color w:val="000000"/>
          <w:kern w:val="0"/>
          <w:szCs w:val="21"/>
          <w:highlight w:val="none"/>
        </w:rPr>
        <w:t>二、中标、成交供应商为残疾人福利性单位的，采购人或者其委托的采购代理机构应当随中标、成交结果同时公告其《残疾人福利性单位声明函》，接受社会监督。</w:t>
      </w:r>
    </w:p>
    <w:p>
      <w:pPr>
        <w:rPr>
          <w:rFonts w:ascii="宋体" w:hAnsi="宋体"/>
          <w:b/>
          <w:bCs/>
          <w:sz w:val="24"/>
          <w:highlight w:val="none"/>
        </w:rPr>
      </w:pPr>
      <w:r>
        <w:rPr>
          <w:rFonts w:hint="eastAsia" w:ascii="宋体" w:hAnsi="宋体"/>
          <w:b/>
          <w:bCs/>
          <w:sz w:val="24"/>
          <w:highlight w:val="none"/>
        </w:rPr>
        <w:br w:type="page"/>
      </w:r>
      <w:r>
        <w:rPr>
          <w:rFonts w:hint="eastAsia" w:ascii="宋体" w:hAnsi="宋体"/>
          <w:b/>
          <w:bCs/>
          <w:sz w:val="24"/>
          <w:highlight w:val="none"/>
        </w:rPr>
        <w:t>1.5</w:t>
      </w:r>
      <w:r>
        <w:rPr>
          <w:rFonts w:hint="eastAsia" w:ascii="宋体" w:hAnsi="宋体"/>
          <w:b/>
          <w:bCs/>
          <w:sz w:val="24"/>
          <w:highlight w:val="none"/>
          <w:lang w:val="en-GB"/>
        </w:rPr>
        <w:t>名称变更</w:t>
      </w:r>
      <w:r>
        <w:rPr>
          <w:rFonts w:hint="eastAsia" w:ascii="宋体" w:hAnsi="宋体"/>
          <w:b/>
          <w:bCs/>
          <w:sz w:val="24"/>
          <w:highlight w:val="none"/>
        </w:rPr>
        <w:t>证明</w:t>
      </w:r>
    </w:p>
    <w:p>
      <w:pPr>
        <w:spacing w:line="360" w:lineRule="auto"/>
        <w:ind w:firstLine="482" w:firstLineChars="200"/>
        <w:rPr>
          <w:rFonts w:ascii="宋体" w:hAnsi="宋体"/>
          <w:b/>
          <w:bCs/>
          <w:sz w:val="24"/>
          <w:highlight w:val="none"/>
        </w:rPr>
      </w:pPr>
    </w:p>
    <w:p>
      <w:pPr>
        <w:spacing w:line="360" w:lineRule="atLeast"/>
        <w:jc w:val="center"/>
        <w:rPr>
          <w:rFonts w:ascii="黑体" w:hAnsi="仿宋" w:eastAsia="黑体" w:cs="仿宋"/>
          <w:bCs/>
          <w:sz w:val="32"/>
          <w:szCs w:val="32"/>
          <w:highlight w:val="none"/>
          <w:lang w:val="en-GB"/>
        </w:rPr>
      </w:pPr>
      <w:r>
        <w:rPr>
          <w:rFonts w:hint="eastAsia" w:ascii="黑体" w:hAnsi="仿宋" w:eastAsia="黑体" w:cs="仿宋"/>
          <w:bCs/>
          <w:sz w:val="32"/>
          <w:szCs w:val="32"/>
          <w:highlight w:val="none"/>
          <w:lang w:val="en-GB"/>
        </w:rPr>
        <w:t>名称变更</w:t>
      </w:r>
      <w:r>
        <w:rPr>
          <w:rFonts w:hint="eastAsia" w:ascii="黑体" w:hAnsi="仿宋" w:eastAsia="黑体" w:cs="仿宋"/>
          <w:bCs/>
          <w:sz w:val="32"/>
          <w:szCs w:val="32"/>
          <w:highlight w:val="none"/>
        </w:rPr>
        <w:t>证明（如果有）</w:t>
      </w:r>
    </w:p>
    <w:p>
      <w:pPr>
        <w:pStyle w:val="13"/>
        <w:spacing w:line="500" w:lineRule="exact"/>
        <w:ind w:left="-120" w:leftChars="-57" w:firstLine="527" w:firstLineChars="250"/>
        <w:rPr>
          <w:rFonts w:hAnsi="宋体"/>
          <w:b/>
          <w:bCs/>
          <w:highlight w:val="none"/>
          <w:u w:val="single"/>
        </w:rPr>
      </w:pPr>
      <w:r>
        <w:rPr>
          <w:rFonts w:hint="eastAsia" w:hAnsi="宋体"/>
          <w:b/>
          <w:bCs/>
          <w:highlight w:val="none"/>
          <w:u w:val="single"/>
        </w:rPr>
        <w:t>注：供应商如果有名称变更的，应提供由工商管理部门出具的变更证明文件。（复印件加盖供应商公章）</w:t>
      </w: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rPr>
          <w:rFonts w:ascii="黑体" w:hAnsi="仿宋" w:eastAsia="黑体" w:cs="仿宋"/>
          <w:b/>
          <w:sz w:val="32"/>
          <w:szCs w:val="32"/>
          <w:highlight w:val="none"/>
        </w:rPr>
      </w:pPr>
    </w:p>
    <w:p>
      <w:pPr>
        <w:spacing w:line="360" w:lineRule="auto"/>
        <w:jc w:val="center"/>
        <w:outlineLvl w:val="1"/>
        <w:rPr>
          <w:rFonts w:ascii="黑体" w:hAnsi="仿宋" w:eastAsia="黑体" w:cs="仿宋"/>
          <w:b/>
          <w:sz w:val="32"/>
          <w:szCs w:val="32"/>
          <w:highlight w:val="none"/>
        </w:rPr>
      </w:pPr>
      <w:bookmarkStart w:id="513" w:name="_Toc7153"/>
      <w:bookmarkStart w:id="514" w:name="_Toc1613"/>
      <w:bookmarkStart w:id="515" w:name="_Toc17366"/>
      <w:bookmarkStart w:id="516" w:name="_Toc451"/>
      <w:r>
        <w:rPr>
          <w:rFonts w:hint="eastAsia" w:ascii="黑体" w:hAnsi="仿宋" w:eastAsia="黑体" w:cs="仿宋"/>
          <w:b/>
          <w:sz w:val="32"/>
          <w:szCs w:val="32"/>
          <w:highlight w:val="none"/>
        </w:rPr>
        <w:t>二、自查表</w:t>
      </w:r>
      <w:bookmarkEnd w:id="513"/>
      <w:bookmarkEnd w:id="514"/>
      <w:bookmarkEnd w:id="515"/>
      <w:bookmarkEnd w:id="516"/>
    </w:p>
    <w:p>
      <w:pPr>
        <w:spacing w:line="360" w:lineRule="auto"/>
        <w:ind w:firstLine="482" w:firstLineChars="200"/>
        <w:rPr>
          <w:rFonts w:ascii="宋体" w:hAnsi="宋体"/>
          <w:b/>
          <w:bCs/>
          <w:sz w:val="24"/>
          <w:highlight w:val="none"/>
        </w:rPr>
      </w:pPr>
      <w:r>
        <w:rPr>
          <w:rFonts w:ascii="宋体" w:hAnsi="宋体"/>
          <w:b/>
          <w:bCs/>
          <w:sz w:val="24"/>
          <w:highlight w:val="none"/>
        </w:rPr>
        <w:t>2.1</w:t>
      </w:r>
      <w:r>
        <w:rPr>
          <w:rFonts w:hint="eastAsia" w:ascii="宋体" w:hAnsi="宋体"/>
          <w:b/>
          <w:bCs/>
          <w:sz w:val="24"/>
          <w:highlight w:val="none"/>
        </w:rPr>
        <w:t>符合性自查表</w:t>
      </w:r>
    </w:p>
    <w:p>
      <w:pPr>
        <w:spacing w:line="360" w:lineRule="auto"/>
        <w:ind w:firstLine="482" w:firstLineChars="200"/>
        <w:rPr>
          <w:rFonts w:ascii="宋体" w:hAnsi="宋体"/>
          <w:b/>
          <w:bCs/>
          <w:sz w:val="24"/>
          <w:highlight w:val="none"/>
        </w:rPr>
      </w:pPr>
      <w:r>
        <w:rPr>
          <w:rFonts w:hint="eastAsia" w:ascii="宋体" w:hAnsi="宋体"/>
          <w:b/>
          <w:bCs/>
          <w:sz w:val="24"/>
          <w:highlight w:val="none"/>
        </w:rPr>
        <w:t>2.2</w:t>
      </w:r>
      <w:r>
        <w:rPr>
          <w:rFonts w:hint="eastAsia" w:ascii="宋体" w:hAnsi="宋体"/>
          <w:b/>
          <w:bCs/>
          <w:sz w:val="24"/>
          <w:highlight w:val="none"/>
          <w:lang w:val="en-GB"/>
        </w:rPr>
        <w:t>“★”</w:t>
      </w:r>
      <w:r>
        <w:rPr>
          <w:rFonts w:hint="eastAsia" w:ascii="宋体" w:hAnsi="宋体"/>
          <w:b/>
          <w:bCs/>
          <w:sz w:val="24"/>
          <w:highlight w:val="none"/>
        </w:rPr>
        <w:t>条款自查表（如果有）</w:t>
      </w:r>
    </w:p>
    <w:p>
      <w:pPr>
        <w:spacing w:line="360" w:lineRule="auto"/>
        <w:ind w:firstLine="482" w:firstLineChars="200"/>
        <w:rPr>
          <w:rFonts w:ascii="宋体" w:cs="Times New Roman"/>
          <w:b/>
          <w:bCs/>
          <w:sz w:val="24"/>
          <w:highlight w:val="none"/>
        </w:rPr>
      </w:pPr>
      <w:r>
        <w:rPr>
          <w:rFonts w:ascii="宋体" w:hAnsi="宋体"/>
          <w:b/>
          <w:bCs/>
          <w:sz w:val="24"/>
          <w:highlight w:val="none"/>
        </w:rPr>
        <w:t>2.</w:t>
      </w:r>
      <w:r>
        <w:rPr>
          <w:rFonts w:hint="eastAsia" w:ascii="宋体" w:hAnsi="宋体"/>
          <w:b/>
          <w:bCs/>
          <w:sz w:val="24"/>
          <w:highlight w:val="none"/>
        </w:rPr>
        <w:t>3技术评审自查表</w:t>
      </w:r>
    </w:p>
    <w:p>
      <w:pPr>
        <w:spacing w:line="360" w:lineRule="auto"/>
        <w:ind w:firstLine="482" w:firstLineChars="200"/>
        <w:rPr>
          <w:rFonts w:ascii="宋体" w:cs="Times New Roman"/>
          <w:b/>
          <w:bCs/>
          <w:sz w:val="24"/>
          <w:highlight w:val="none"/>
        </w:rPr>
      </w:pPr>
      <w:r>
        <w:rPr>
          <w:rFonts w:hint="eastAsia" w:ascii="宋体" w:hAnsi="宋体"/>
          <w:b/>
          <w:bCs/>
          <w:sz w:val="24"/>
          <w:highlight w:val="none"/>
        </w:rPr>
        <w:t>2.4商务评审自查表</w:t>
      </w: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宋体" w:hAnsi="宋体"/>
          <w:b/>
          <w:bCs/>
          <w:sz w:val="24"/>
          <w:highlight w:val="none"/>
        </w:rPr>
      </w:pPr>
      <w:bookmarkStart w:id="517" w:name="_Toc21086"/>
      <w:bookmarkStart w:id="518" w:name="_Toc29191"/>
      <w:r>
        <w:rPr>
          <w:rFonts w:hint="eastAsia" w:ascii="宋体" w:hAnsi="宋体"/>
          <w:b/>
          <w:bCs/>
          <w:sz w:val="24"/>
          <w:highlight w:val="none"/>
        </w:rPr>
        <w:t>2.1符合性自查表</w:t>
      </w:r>
    </w:p>
    <w:p>
      <w:pPr>
        <w:spacing w:line="360" w:lineRule="atLeast"/>
        <w:jc w:val="center"/>
        <w:rPr>
          <w:rFonts w:ascii="黑体" w:hAnsi="仿宋" w:eastAsia="黑体" w:cs="黑体"/>
          <w:sz w:val="32"/>
          <w:szCs w:val="32"/>
          <w:highlight w:val="none"/>
        </w:rPr>
      </w:pPr>
      <w:r>
        <w:rPr>
          <w:rFonts w:hint="eastAsia" w:ascii="黑体" w:hAnsi="仿宋" w:eastAsia="黑体" w:cs="黑体"/>
          <w:sz w:val="32"/>
          <w:szCs w:val="32"/>
          <w:highlight w:val="none"/>
        </w:rPr>
        <w:t>符合性自查表</w:t>
      </w:r>
    </w:p>
    <w:tbl>
      <w:tblPr>
        <w:tblStyle w:val="23"/>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5086"/>
        <w:gridCol w:w="1895"/>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序号</w:t>
            </w:r>
          </w:p>
        </w:tc>
        <w:tc>
          <w:tcPr>
            <w:tcW w:w="5086" w:type="dxa"/>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采购文件要求</w:t>
            </w:r>
          </w:p>
        </w:tc>
        <w:tc>
          <w:tcPr>
            <w:tcW w:w="1895" w:type="dxa"/>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自查结论</w:t>
            </w:r>
          </w:p>
        </w:tc>
        <w:tc>
          <w:tcPr>
            <w:tcW w:w="1898" w:type="dxa"/>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vAlign w:val="center"/>
          </w:tcPr>
          <w:p>
            <w:pPr>
              <w:spacing w:line="320" w:lineRule="atLeast"/>
              <w:jc w:val="center"/>
              <w:rPr>
                <w:rFonts w:ascii="宋体" w:hAnsi="宋体"/>
                <w:highlight w:val="none"/>
              </w:rPr>
            </w:pPr>
            <w:r>
              <w:rPr>
                <w:rFonts w:hint="eastAsia" w:ascii="宋体" w:hAnsi="宋体"/>
                <w:highlight w:val="none"/>
              </w:rPr>
              <w:t>1</w:t>
            </w:r>
          </w:p>
        </w:tc>
        <w:tc>
          <w:tcPr>
            <w:tcW w:w="5086" w:type="dxa"/>
            <w:vAlign w:val="center"/>
          </w:tcPr>
          <w:p>
            <w:pPr>
              <w:rPr>
                <w:rFonts w:ascii="宋体" w:hAnsi="宋体"/>
                <w:highlight w:val="none"/>
              </w:rPr>
            </w:pPr>
            <w:r>
              <w:rPr>
                <w:rFonts w:hint="eastAsia"/>
                <w:highlight w:val="none"/>
              </w:rPr>
              <w:t>响应文件语言及有效期符合磋商文件要求。</w:t>
            </w:r>
          </w:p>
        </w:tc>
        <w:tc>
          <w:tcPr>
            <w:tcW w:w="1895" w:type="dxa"/>
            <w:vAlign w:val="center"/>
          </w:tcPr>
          <w:p>
            <w:pPr>
              <w:spacing w:line="360" w:lineRule="auto"/>
              <w:jc w:val="center"/>
              <w:rPr>
                <w:rFonts w:ascii="宋体" w:hAnsi="宋体"/>
                <w:highlight w:val="none"/>
              </w:rPr>
            </w:pPr>
            <w:r>
              <w:rPr>
                <w:rFonts w:hint="eastAsia" w:ascii="宋体" w:hAnsi="宋体"/>
                <w:highlight w:val="none"/>
              </w:rPr>
              <w:t>□通过 □不通过</w:t>
            </w:r>
          </w:p>
        </w:tc>
        <w:tc>
          <w:tcPr>
            <w:tcW w:w="1898"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vAlign w:val="center"/>
          </w:tcPr>
          <w:p>
            <w:pPr>
              <w:spacing w:line="320" w:lineRule="atLeast"/>
              <w:jc w:val="center"/>
              <w:rPr>
                <w:rFonts w:ascii="宋体" w:hAnsi="宋体"/>
                <w:highlight w:val="none"/>
              </w:rPr>
            </w:pPr>
            <w:r>
              <w:rPr>
                <w:rFonts w:hint="eastAsia" w:ascii="宋体" w:hAnsi="宋体"/>
                <w:highlight w:val="none"/>
              </w:rPr>
              <w:t>2</w:t>
            </w:r>
          </w:p>
        </w:tc>
        <w:tc>
          <w:tcPr>
            <w:tcW w:w="5086" w:type="dxa"/>
            <w:vAlign w:val="center"/>
          </w:tcPr>
          <w:p>
            <w:pPr>
              <w:rPr>
                <w:rFonts w:ascii="宋体" w:hAnsi="宋体"/>
                <w:highlight w:val="none"/>
              </w:rPr>
            </w:pPr>
            <w:r>
              <w:rPr>
                <w:rFonts w:hint="eastAsia"/>
                <w:highlight w:val="none"/>
              </w:rPr>
              <w:t>响应文件封面、响应函、法定代表人授权委托书三处的项目名称、项目编号均无遗漏，且与所投项目名称、项目编号一致。</w:t>
            </w:r>
          </w:p>
        </w:tc>
        <w:tc>
          <w:tcPr>
            <w:tcW w:w="1895" w:type="dxa"/>
            <w:vAlign w:val="center"/>
          </w:tcPr>
          <w:p>
            <w:pPr>
              <w:spacing w:line="360" w:lineRule="auto"/>
              <w:jc w:val="center"/>
              <w:rPr>
                <w:rFonts w:ascii="宋体" w:hAnsi="宋体"/>
                <w:highlight w:val="none"/>
              </w:rPr>
            </w:pPr>
            <w:r>
              <w:rPr>
                <w:rFonts w:hint="eastAsia" w:ascii="宋体" w:hAnsi="宋体"/>
                <w:highlight w:val="none"/>
              </w:rPr>
              <w:t>□通过 □不通过</w:t>
            </w:r>
          </w:p>
        </w:tc>
        <w:tc>
          <w:tcPr>
            <w:tcW w:w="1898"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vAlign w:val="center"/>
          </w:tcPr>
          <w:p>
            <w:pPr>
              <w:spacing w:line="320" w:lineRule="atLeast"/>
              <w:jc w:val="center"/>
              <w:rPr>
                <w:rFonts w:ascii="宋体" w:hAnsi="宋体"/>
                <w:highlight w:val="none"/>
              </w:rPr>
            </w:pPr>
            <w:r>
              <w:rPr>
                <w:rFonts w:hint="eastAsia" w:ascii="宋体" w:hAnsi="宋体"/>
                <w:highlight w:val="none"/>
              </w:rPr>
              <w:t>3</w:t>
            </w:r>
          </w:p>
        </w:tc>
        <w:tc>
          <w:tcPr>
            <w:tcW w:w="5086" w:type="dxa"/>
            <w:vAlign w:val="center"/>
          </w:tcPr>
          <w:p>
            <w:pPr>
              <w:rPr>
                <w:rFonts w:ascii="宋体" w:hAnsi="宋体"/>
                <w:highlight w:val="none"/>
              </w:rPr>
            </w:pPr>
            <w:r>
              <w:rPr>
                <w:rFonts w:hint="eastAsia"/>
                <w:highlight w:val="none"/>
              </w:rPr>
              <w:t>响应文件签署、盖章均按磋商文件要求签字、盖章（评分标准中要求提供的证明材料除外）。</w:t>
            </w:r>
          </w:p>
        </w:tc>
        <w:tc>
          <w:tcPr>
            <w:tcW w:w="1895" w:type="dxa"/>
            <w:vAlign w:val="center"/>
          </w:tcPr>
          <w:p>
            <w:pPr>
              <w:spacing w:line="360" w:lineRule="auto"/>
              <w:jc w:val="center"/>
              <w:rPr>
                <w:rFonts w:ascii="宋体" w:hAnsi="宋体"/>
                <w:highlight w:val="none"/>
              </w:rPr>
            </w:pPr>
            <w:r>
              <w:rPr>
                <w:rFonts w:hint="eastAsia" w:ascii="宋体" w:hAnsi="宋体"/>
                <w:highlight w:val="none"/>
              </w:rPr>
              <w:t>□通过 □不通过</w:t>
            </w:r>
          </w:p>
        </w:tc>
        <w:tc>
          <w:tcPr>
            <w:tcW w:w="1898"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vAlign w:val="center"/>
          </w:tcPr>
          <w:p>
            <w:pPr>
              <w:spacing w:line="320" w:lineRule="atLeast"/>
              <w:jc w:val="center"/>
              <w:rPr>
                <w:rFonts w:ascii="宋体" w:hAnsi="宋体"/>
                <w:highlight w:val="none"/>
              </w:rPr>
            </w:pPr>
            <w:r>
              <w:rPr>
                <w:rFonts w:hint="eastAsia" w:ascii="宋体" w:hAnsi="宋体"/>
                <w:highlight w:val="none"/>
              </w:rPr>
              <w:t>4</w:t>
            </w:r>
          </w:p>
        </w:tc>
        <w:tc>
          <w:tcPr>
            <w:tcW w:w="5086" w:type="dxa"/>
            <w:vAlign w:val="center"/>
          </w:tcPr>
          <w:p>
            <w:pPr>
              <w:rPr>
                <w:rFonts w:ascii="宋体" w:hAnsi="宋体"/>
                <w:highlight w:val="none"/>
              </w:rPr>
            </w:pPr>
            <w:r>
              <w:rPr>
                <w:rFonts w:hint="eastAsia"/>
                <w:highlight w:val="none"/>
              </w:rPr>
              <w:t>首次报价一览表填写符合要求且未超出采购预算或磋商文件规定的最高限价。</w:t>
            </w:r>
          </w:p>
        </w:tc>
        <w:tc>
          <w:tcPr>
            <w:tcW w:w="1895" w:type="dxa"/>
            <w:vAlign w:val="center"/>
          </w:tcPr>
          <w:p>
            <w:pPr>
              <w:spacing w:line="360" w:lineRule="auto"/>
              <w:jc w:val="center"/>
              <w:rPr>
                <w:rFonts w:ascii="宋体" w:hAnsi="宋体"/>
                <w:highlight w:val="none"/>
              </w:rPr>
            </w:pPr>
            <w:r>
              <w:rPr>
                <w:rFonts w:hint="eastAsia" w:ascii="宋体" w:hAnsi="宋体"/>
                <w:highlight w:val="none"/>
              </w:rPr>
              <w:t>□通过 □不通过</w:t>
            </w:r>
          </w:p>
        </w:tc>
        <w:tc>
          <w:tcPr>
            <w:tcW w:w="1898"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vAlign w:val="center"/>
          </w:tcPr>
          <w:p>
            <w:pPr>
              <w:spacing w:line="320" w:lineRule="atLeast"/>
              <w:jc w:val="center"/>
              <w:rPr>
                <w:rFonts w:ascii="宋体" w:hAnsi="宋体"/>
                <w:highlight w:val="none"/>
              </w:rPr>
            </w:pPr>
            <w:r>
              <w:rPr>
                <w:rFonts w:hint="eastAsia" w:ascii="宋体" w:hAnsi="宋体"/>
                <w:highlight w:val="none"/>
              </w:rPr>
              <w:t>5</w:t>
            </w:r>
          </w:p>
        </w:tc>
        <w:tc>
          <w:tcPr>
            <w:tcW w:w="5086" w:type="dxa"/>
            <w:vAlign w:val="center"/>
          </w:tcPr>
          <w:p>
            <w:pPr>
              <w:rPr>
                <w:rFonts w:ascii="宋体" w:hAnsi="宋体"/>
                <w:highlight w:val="none"/>
              </w:rPr>
            </w:pPr>
            <w:r>
              <w:rPr>
                <w:rFonts w:hint="eastAsia"/>
                <w:highlight w:val="none"/>
              </w:rPr>
              <w:t>响应招标文件商务条款，无重大保留或偏差。</w:t>
            </w:r>
          </w:p>
        </w:tc>
        <w:tc>
          <w:tcPr>
            <w:tcW w:w="1895" w:type="dxa"/>
            <w:vAlign w:val="center"/>
          </w:tcPr>
          <w:p>
            <w:pPr>
              <w:spacing w:line="360" w:lineRule="auto"/>
              <w:jc w:val="center"/>
              <w:rPr>
                <w:rFonts w:ascii="宋体" w:hAnsi="宋体"/>
                <w:highlight w:val="none"/>
              </w:rPr>
            </w:pPr>
            <w:r>
              <w:rPr>
                <w:rFonts w:hint="eastAsia" w:ascii="宋体" w:hAnsi="宋体"/>
                <w:highlight w:val="none"/>
              </w:rPr>
              <w:t>□通过 □不通过</w:t>
            </w:r>
          </w:p>
        </w:tc>
        <w:tc>
          <w:tcPr>
            <w:tcW w:w="1898"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vAlign w:val="center"/>
          </w:tcPr>
          <w:p>
            <w:pPr>
              <w:spacing w:line="320" w:lineRule="atLeast"/>
              <w:jc w:val="center"/>
              <w:rPr>
                <w:rFonts w:ascii="宋体" w:hAnsi="宋体"/>
                <w:highlight w:val="none"/>
              </w:rPr>
            </w:pPr>
            <w:r>
              <w:rPr>
                <w:rFonts w:hint="eastAsia" w:ascii="宋体" w:hAnsi="宋体"/>
                <w:highlight w:val="none"/>
              </w:rPr>
              <w:t>6</w:t>
            </w:r>
          </w:p>
        </w:tc>
        <w:tc>
          <w:tcPr>
            <w:tcW w:w="5086" w:type="dxa"/>
            <w:vAlign w:val="center"/>
          </w:tcPr>
          <w:p>
            <w:pPr>
              <w:rPr>
                <w:rFonts w:ascii="宋体" w:hAnsi="宋体"/>
                <w:highlight w:val="none"/>
              </w:rPr>
            </w:pPr>
            <w:r>
              <w:rPr>
                <w:rFonts w:hint="eastAsia"/>
                <w:highlight w:val="none"/>
              </w:rPr>
              <w:t>没有不符合磋商文件规定的被视为无效响应的其他条款。</w:t>
            </w:r>
          </w:p>
        </w:tc>
        <w:tc>
          <w:tcPr>
            <w:tcW w:w="1895" w:type="dxa"/>
            <w:vAlign w:val="center"/>
          </w:tcPr>
          <w:p>
            <w:pPr>
              <w:spacing w:line="360" w:lineRule="auto"/>
              <w:jc w:val="center"/>
              <w:rPr>
                <w:rFonts w:ascii="宋体" w:hAnsi="宋体"/>
                <w:highlight w:val="none"/>
              </w:rPr>
            </w:pPr>
            <w:r>
              <w:rPr>
                <w:rFonts w:hint="eastAsia" w:ascii="宋体" w:hAnsi="宋体"/>
                <w:highlight w:val="none"/>
              </w:rPr>
              <w:t>□通过 □不通过</w:t>
            </w:r>
          </w:p>
        </w:tc>
        <w:tc>
          <w:tcPr>
            <w:tcW w:w="1898" w:type="dxa"/>
            <w:vAlign w:val="center"/>
          </w:tcPr>
          <w:p>
            <w:pPr>
              <w:spacing w:line="360" w:lineRule="auto"/>
              <w:jc w:val="center"/>
              <w:rPr>
                <w:rFonts w:ascii="宋体" w:hAnsi="宋体"/>
                <w:highlight w:val="none"/>
              </w:rPr>
            </w:pPr>
            <w:r>
              <w:rPr>
                <w:rFonts w:hint="eastAsia" w:ascii="宋体" w:hAnsi="宋体"/>
                <w:highlight w:val="none"/>
              </w:rPr>
              <w:t>见响应文件（）页</w:t>
            </w:r>
          </w:p>
        </w:tc>
      </w:tr>
    </w:tbl>
    <w:p>
      <w:pPr>
        <w:wordWrap w:val="0"/>
        <w:topLinePunct/>
        <w:spacing w:line="500" w:lineRule="exact"/>
        <w:ind w:firstLine="422" w:firstLineChars="200"/>
        <w:rPr>
          <w:rFonts w:ascii="宋体" w:hAnsi="宋体"/>
          <w:b/>
          <w:bCs/>
          <w:highlight w:val="none"/>
          <w:u w:val="single"/>
          <w:lang w:val="en-GB"/>
        </w:rPr>
      </w:pPr>
      <w:r>
        <w:rPr>
          <w:rFonts w:hint="eastAsia" w:ascii="宋体" w:hAnsi="宋体"/>
          <w:b/>
          <w:bCs/>
          <w:highlight w:val="none"/>
          <w:u w:val="single"/>
          <w:lang w:val="en-GB"/>
        </w:rPr>
        <w:t>注：以上材料将作为</w:t>
      </w:r>
      <w:r>
        <w:rPr>
          <w:rFonts w:hint="eastAsia" w:ascii="宋体" w:hAnsi="宋体"/>
          <w:b/>
          <w:bCs/>
          <w:highlight w:val="none"/>
          <w:u w:val="single"/>
        </w:rPr>
        <w:t>响应</w:t>
      </w:r>
      <w:r>
        <w:rPr>
          <w:rFonts w:hint="eastAsia" w:ascii="宋体" w:hAnsi="宋体"/>
          <w:b/>
          <w:bCs/>
          <w:highlight w:val="none"/>
          <w:u w:val="single"/>
          <w:lang w:val="en-GB"/>
        </w:rPr>
        <w:t>供应商</w:t>
      </w:r>
      <w:r>
        <w:rPr>
          <w:rFonts w:hint="eastAsia" w:ascii="宋体" w:hAnsi="宋体"/>
          <w:b/>
          <w:bCs/>
          <w:highlight w:val="none"/>
          <w:u w:val="single"/>
        </w:rPr>
        <w:t>符合</w:t>
      </w:r>
      <w:r>
        <w:rPr>
          <w:rFonts w:hint="eastAsia" w:ascii="宋体" w:hAnsi="宋体"/>
          <w:b/>
          <w:bCs/>
          <w:highlight w:val="none"/>
          <w:u w:val="single"/>
          <w:lang w:val="en-GB"/>
        </w:rPr>
        <w:t>性审核的重要内容之一，</w:t>
      </w:r>
      <w:r>
        <w:rPr>
          <w:rFonts w:hint="eastAsia" w:ascii="宋体" w:hAnsi="宋体"/>
          <w:b/>
          <w:bCs/>
          <w:highlight w:val="none"/>
          <w:u w:val="single"/>
        </w:rPr>
        <w:t>响应</w:t>
      </w:r>
      <w:r>
        <w:rPr>
          <w:rFonts w:hint="eastAsia" w:ascii="宋体" w:hAnsi="宋体"/>
          <w:b/>
          <w:bCs/>
          <w:highlight w:val="none"/>
          <w:u w:val="single"/>
          <w:lang w:val="en-GB"/>
        </w:rPr>
        <w:t>供应商必须严格按照其内容及序列要求在</w:t>
      </w:r>
      <w:r>
        <w:rPr>
          <w:rFonts w:hint="eastAsia" w:ascii="宋体" w:hAnsi="宋体"/>
          <w:b/>
          <w:bCs/>
          <w:highlight w:val="none"/>
          <w:u w:val="single"/>
        </w:rPr>
        <w:t>响应</w:t>
      </w:r>
      <w:r>
        <w:rPr>
          <w:rFonts w:hint="eastAsia" w:ascii="宋体" w:hAnsi="宋体"/>
          <w:b/>
          <w:bCs/>
          <w:highlight w:val="none"/>
          <w:u w:val="single"/>
          <w:lang w:val="en-GB"/>
        </w:rPr>
        <w:t>文件中对应如实提供，对符合性证明文件的任何缺漏和不符合项将会直接导致无效</w:t>
      </w:r>
      <w:r>
        <w:rPr>
          <w:rFonts w:hint="eastAsia" w:ascii="宋体" w:hAnsi="宋体"/>
          <w:b/>
          <w:bCs/>
          <w:highlight w:val="none"/>
          <w:u w:val="single"/>
        </w:rPr>
        <w:t>响应</w:t>
      </w:r>
      <w:r>
        <w:rPr>
          <w:rFonts w:hint="eastAsia" w:ascii="宋体" w:hAnsi="宋体"/>
          <w:b/>
          <w:bCs/>
          <w:highlight w:val="none"/>
          <w:u w:val="single"/>
          <w:lang w:val="en-GB"/>
        </w:rPr>
        <w:t>！</w:t>
      </w:r>
      <w:r>
        <w:rPr>
          <w:rFonts w:hint="eastAsia" w:ascii="宋体" w:hAnsi="宋体"/>
          <w:b/>
          <w:bCs/>
          <w:highlight w:val="none"/>
          <w:u w:val="single"/>
        </w:rPr>
        <w:t>响应</w:t>
      </w:r>
      <w:r>
        <w:rPr>
          <w:rFonts w:hint="eastAsia" w:ascii="宋体" w:hAnsi="宋体"/>
          <w:b/>
          <w:bCs/>
          <w:highlight w:val="none"/>
          <w:u w:val="single"/>
          <w:lang w:val="en-GB"/>
        </w:rPr>
        <w:t>供应商根据自查结论在对应的□打“√”。</w:t>
      </w: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wordWrap w:val="0"/>
        <w:topLinePunct/>
        <w:spacing w:line="500" w:lineRule="exact"/>
        <w:ind w:firstLine="482" w:firstLineChars="200"/>
        <w:rPr>
          <w:rFonts w:ascii="宋体" w:hAnsi="宋体"/>
          <w:b/>
          <w:bCs/>
          <w:sz w:val="24"/>
          <w:highlight w:val="none"/>
        </w:rPr>
      </w:pPr>
    </w:p>
    <w:p>
      <w:pPr>
        <w:wordWrap w:val="0"/>
        <w:topLinePunct/>
        <w:spacing w:line="500" w:lineRule="exact"/>
        <w:ind w:firstLine="482" w:firstLineChars="200"/>
        <w:rPr>
          <w:rFonts w:ascii="宋体" w:hAnsi="宋体"/>
          <w:b/>
          <w:bCs/>
          <w:sz w:val="24"/>
          <w:highlight w:val="none"/>
        </w:rPr>
      </w:pPr>
    </w:p>
    <w:p>
      <w:pPr>
        <w:rPr>
          <w:rFonts w:ascii="宋体" w:hAnsi="宋体"/>
          <w:b/>
          <w:bCs/>
          <w:sz w:val="24"/>
          <w:highlight w:val="none"/>
        </w:rPr>
      </w:pPr>
      <w:r>
        <w:rPr>
          <w:rFonts w:hint="eastAsia" w:ascii="宋体" w:hAnsi="宋体"/>
          <w:b/>
          <w:bCs/>
          <w:sz w:val="24"/>
          <w:highlight w:val="none"/>
        </w:rPr>
        <w:br w:type="page"/>
      </w:r>
    </w:p>
    <w:p>
      <w:pPr>
        <w:wordWrap w:val="0"/>
        <w:topLinePunct/>
        <w:spacing w:line="500" w:lineRule="exact"/>
        <w:ind w:firstLine="482" w:firstLineChars="200"/>
        <w:rPr>
          <w:rFonts w:ascii="宋体" w:hAnsi="宋体"/>
          <w:b/>
          <w:bCs/>
          <w:sz w:val="24"/>
          <w:highlight w:val="none"/>
        </w:rPr>
      </w:pPr>
      <w:r>
        <w:rPr>
          <w:rFonts w:hint="eastAsia" w:ascii="宋体" w:hAnsi="宋体"/>
          <w:b/>
          <w:bCs/>
          <w:sz w:val="24"/>
          <w:highlight w:val="none"/>
        </w:rPr>
        <w:t>2.2</w:t>
      </w:r>
      <w:r>
        <w:rPr>
          <w:rFonts w:hint="eastAsia" w:ascii="宋体" w:hAnsi="宋体"/>
          <w:b/>
          <w:bCs/>
          <w:sz w:val="24"/>
          <w:highlight w:val="none"/>
          <w:lang w:val="en-GB"/>
        </w:rPr>
        <w:t>“★”</w:t>
      </w:r>
      <w:r>
        <w:rPr>
          <w:rFonts w:hint="eastAsia" w:ascii="宋体" w:hAnsi="宋体"/>
          <w:b/>
          <w:bCs/>
          <w:sz w:val="24"/>
          <w:highlight w:val="none"/>
        </w:rPr>
        <w:t>条款自查表（如果有）</w:t>
      </w:r>
    </w:p>
    <w:p>
      <w:pPr>
        <w:spacing w:line="360" w:lineRule="atLeast"/>
        <w:jc w:val="center"/>
        <w:rPr>
          <w:rFonts w:ascii="黑体" w:hAnsi="仿宋" w:eastAsia="黑体" w:cs="黑体"/>
          <w:sz w:val="32"/>
          <w:szCs w:val="32"/>
          <w:highlight w:val="none"/>
        </w:rPr>
      </w:pPr>
    </w:p>
    <w:p>
      <w:pPr>
        <w:spacing w:line="360" w:lineRule="atLeast"/>
        <w:jc w:val="center"/>
        <w:rPr>
          <w:rFonts w:ascii="黑体" w:hAnsi="仿宋" w:eastAsia="黑体" w:cs="黑体"/>
          <w:sz w:val="32"/>
          <w:szCs w:val="32"/>
          <w:highlight w:val="none"/>
        </w:rPr>
      </w:pPr>
      <w:r>
        <w:rPr>
          <w:rFonts w:hint="eastAsia" w:ascii="黑体" w:hAnsi="仿宋" w:eastAsia="黑体" w:cs="黑体"/>
          <w:sz w:val="32"/>
          <w:szCs w:val="32"/>
          <w:highlight w:val="none"/>
        </w:rPr>
        <w:t>“★”条款自查表</w:t>
      </w:r>
    </w:p>
    <w:tbl>
      <w:tblPr>
        <w:tblStyle w:val="23"/>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733"/>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vAlign w:val="center"/>
          </w:tcPr>
          <w:p>
            <w:pPr>
              <w:spacing w:line="360" w:lineRule="auto"/>
              <w:jc w:val="center"/>
              <w:rPr>
                <w:rFonts w:ascii="黑体" w:hAnsi="仿宋" w:eastAsia="黑体" w:cs="黑体"/>
                <w:sz w:val="32"/>
                <w:szCs w:val="32"/>
                <w:highlight w:val="none"/>
              </w:rPr>
            </w:pPr>
            <w:r>
              <w:rPr>
                <w:rFonts w:hint="eastAsia" w:ascii="黑体" w:hAnsi="黑体" w:eastAsia="黑体" w:cs="黑体"/>
                <w:sz w:val="24"/>
                <w:highlight w:val="none"/>
              </w:rPr>
              <w:t>序号</w:t>
            </w:r>
          </w:p>
        </w:tc>
        <w:tc>
          <w:tcPr>
            <w:tcW w:w="3733" w:type="dxa"/>
            <w:vAlign w:val="center"/>
          </w:tcPr>
          <w:p>
            <w:pPr>
              <w:spacing w:line="360" w:lineRule="auto"/>
              <w:jc w:val="center"/>
              <w:rPr>
                <w:rFonts w:ascii="黑体" w:hAnsi="仿宋" w:eastAsia="黑体" w:cs="黑体"/>
                <w:sz w:val="32"/>
                <w:szCs w:val="32"/>
                <w:highlight w:val="none"/>
              </w:rPr>
            </w:pPr>
            <w:r>
              <w:rPr>
                <w:rFonts w:hint="eastAsia" w:ascii="黑体" w:hAnsi="黑体" w:eastAsia="黑体" w:cs="黑体"/>
                <w:sz w:val="24"/>
                <w:highlight w:val="none"/>
                <w:lang w:val="en-GB"/>
              </w:rPr>
              <w:t>“</w:t>
            </w:r>
            <w:r>
              <w:rPr>
                <w:rFonts w:hint="eastAsia" w:ascii="黑体" w:hAnsi="黑体" w:eastAsia="黑体" w:cs="黑体"/>
                <w:sz w:val="24"/>
                <w:highlight w:val="none"/>
              </w:rPr>
              <w:t>★</w:t>
            </w:r>
            <w:r>
              <w:rPr>
                <w:rFonts w:hint="eastAsia" w:ascii="黑体" w:hAnsi="黑体" w:eastAsia="黑体" w:cs="黑体"/>
                <w:sz w:val="24"/>
                <w:highlight w:val="none"/>
                <w:lang w:val="en-GB"/>
              </w:rPr>
              <w:t>”</w:t>
            </w:r>
            <w:r>
              <w:rPr>
                <w:rFonts w:hint="eastAsia" w:ascii="黑体" w:hAnsi="黑体" w:eastAsia="黑体" w:cs="黑体"/>
                <w:sz w:val="24"/>
                <w:highlight w:val="none"/>
              </w:rPr>
              <w:t>条款要求</w:t>
            </w:r>
          </w:p>
        </w:tc>
        <w:tc>
          <w:tcPr>
            <w:tcW w:w="2491" w:type="dxa"/>
            <w:vAlign w:val="center"/>
          </w:tcPr>
          <w:p>
            <w:pPr>
              <w:spacing w:line="360" w:lineRule="auto"/>
              <w:jc w:val="center"/>
              <w:rPr>
                <w:rFonts w:ascii="黑体" w:hAnsi="仿宋" w:eastAsia="黑体" w:cs="黑体"/>
                <w:sz w:val="32"/>
                <w:szCs w:val="32"/>
                <w:highlight w:val="none"/>
              </w:rPr>
            </w:pPr>
            <w:r>
              <w:rPr>
                <w:rFonts w:hint="eastAsia" w:ascii="黑体" w:hAnsi="黑体" w:eastAsia="黑体" w:cs="黑体"/>
                <w:sz w:val="24"/>
                <w:highlight w:val="none"/>
              </w:rPr>
              <w:t>自查结论</w:t>
            </w:r>
          </w:p>
        </w:tc>
        <w:tc>
          <w:tcPr>
            <w:tcW w:w="2491" w:type="dxa"/>
            <w:vAlign w:val="center"/>
          </w:tcPr>
          <w:p>
            <w:pPr>
              <w:spacing w:line="360" w:lineRule="auto"/>
              <w:jc w:val="center"/>
              <w:rPr>
                <w:rFonts w:ascii="黑体" w:hAnsi="仿宋" w:eastAsia="黑体" w:cs="黑体"/>
                <w:sz w:val="32"/>
                <w:szCs w:val="32"/>
                <w:highlight w:val="none"/>
              </w:rPr>
            </w:pPr>
            <w:r>
              <w:rPr>
                <w:rFonts w:hint="eastAsia" w:ascii="黑体" w:hAnsi="黑体" w:eastAsia="黑体" w:cs="黑体"/>
                <w:sz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pPr>
              <w:spacing w:line="360" w:lineRule="auto"/>
              <w:jc w:val="center"/>
              <w:rPr>
                <w:rFonts w:ascii="宋体" w:hAnsi="宋体"/>
                <w:highlight w:val="none"/>
              </w:rPr>
            </w:pPr>
            <w:r>
              <w:rPr>
                <w:rFonts w:hint="eastAsia" w:ascii="宋体" w:hAnsi="宋体"/>
                <w:highlight w:val="none"/>
              </w:rPr>
              <w:t>1</w:t>
            </w:r>
          </w:p>
        </w:tc>
        <w:tc>
          <w:tcPr>
            <w:tcW w:w="3733" w:type="dxa"/>
          </w:tcPr>
          <w:p>
            <w:pPr>
              <w:pStyle w:val="11"/>
              <w:rPr>
                <w:rFonts w:ascii="黑体" w:hAnsi="仿宋" w:eastAsia="黑体" w:cs="黑体"/>
                <w:sz w:val="32"/>
                <w:szCs w:val="32"/>
                <w:highlight w:val="none"/>
              </w:rPr>
            </w:pPr>
          </w:p>
        </w:tc>
        <w:tc>
          <w:tcPr>
            <w:tcW w:w="2491" w:type="dxa"/>
            <w:vAlign w:val="center"/>
          </w:tcPr>
          <w:p>
            <w:pPr>
              <w:spacing w:line="360" w:lineRule="auto"/>
              <w:jc w:val="center"/>
              <w:rPr>
                <w:rFonts w:ascii="黑体" w:hAnsi="仿宋" w:eastAsia="黑体" w:cs="黑体"/>
                <w:sz w:val="32"/>
                <w:szCs w:val="32"/>
                <w:highlight w:val="none"/>
              </w:rPr>
            </w:pPr>
            <w:r>
              <w:rPr>
                <w:rFonts w:hint="eastAsia" w:ascii="宋体" w:hAnsi="宋体"/>
                <w:highlight w:val="none"/>
              </w:rPr>
              <w:t>□通过 □不通过</w:t>
            </w:r>
          </w:p>
        </w:tc>
        <w:tc>
          <w:tcPr>
            <w:tcW w:w="2491" w:type="dxa"/>
            <w:vAlign w:val="center"/>
          </w:tcPr>
          <w:p>
            <w:pPr>
              <w:spacing w:line="360" w:lineRule="auto"/>
              <w:jc w:val="center"/>
              <w:rPr>
                <w:rFonts w:ascii="黑体" w:hAnsi="仿宋" w:eastAsia="黑体" w:cs="黑体"/>
                <w:sz w:val="32"/>
                <w:szCs w:val="32"/>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pPr>
              <w:spacing w:line="360" w:lineRule="auto"/>
              <w:jc w:val="center"/>
              <w:rPr>
                <w:rFonts w:ascii="宋体" w:hAnsi="宋体"/>
                <w:highlight w:val="none"/>
              </w:rPr>
            </w:pPr>
            <w:r>
              <w:rPr>
                <w:rFonts w:hint="eastAsia" w:ascii="宋体" w:hAnsi="宋体"/>
                <w:highlight w:val="none"/>
              </w:rPr>
              <w:t>2</w:t>
            </w:r>
          </w:p>
        </w:tc>
        <w:tc>
          <w:tcPr>
            <w:tcW w:w="3733" w:type="dxa"/>
          </w:tcPr>
          <w:p>
            <w:pPr>
              <w:pStyle w:val="11"/>
              <w:rPr>
                <w:rFonts w:ascii="黑体" w:hAnsi="仿宋" w:eastAsia="黑体" w:cs="黑体"/>
                <w:sz w:val="32"/>
                <w:szCs w:val="32"/>
                <w:highlight w:val="none"/>
              </w:rPr>
            </w:pPr>
          </w:p>
        </w:tc>
        <w:tc>
          <w:tcPr>
            <w:tcW w:w="2491" w:type="dxa"/>
            <w:vAlign w:val="center"/>
          </w:tcPr>
          <w:p>
            <w:pPr>
              <w:spacing w:line="360" w:lineRule="auto"/>
              <w:jc w:val="center"/>
              <w:rPr>
                <w:rFonts w:ascii="黑体" w:hAnsi="仿宋" w:eastAsia="黑体" w:cs="黑体"/>
                <w:sz w:val="32"/>
                <w:szCs w:val="32"/>
                <w:highlight w:val="none"/>
              </w:rPr>
            </w:pPr>
            <w:r>
              <w:rPr>
                <w:rFonts w:hint="eastAsia" w:ascii="宋体" w:hAnsi="宋体"/>
                <w:highlight w:val="none"/>
              </w:rPr>
              <w:t>□通过 □不通过</w:t>
            </w:r>
          </w:p>
        </w:tc>
        <w:tc>
          <w:tcPr>
            <w:tcW w:w="2491" w:type="dxa"/>
            <w:vAlign w:val="center"/>
          </w:tcPr>
          <w:p>
            <w:pPr>
              <w:spacing w:line="360" w:lineRule="auto"/>
              <w:jc w:val="center"/>
              <w:rPr>
                <w:rFonts w:ascii="黑体" w:hAnsi="仿宋" w:eastAsia="黑体" w:cs="黑体"/>
                <w:sz w:val="32"/>
                <w:szCs w:val="32"/>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pPr>
              <w:spacing w:line="360" w:lineRule="auto"/>
              <w:jc w:val="center"/>
              <w:rPr>
                <w:rFonts w:ascii="宋体" w:hAnsi="宋体"/>
                <w:highlight w:val="none"/>
              </w:rPr>
            </w:pPr>
            <w:r>
              <w:rPr>
                <w:rFonts w:hint="eastAsia" w:ascii="宋体" w:hAnsi="宋体"/>
                <w:highlight w:val="none"/>
              </w:rPr>
              <w:t>3</w:t>
            </w:r>
          </w:p>
        </w:tc>
        <w:tc>
          <w:tcPr>
            <w:tcW w:w="3733" w:type="dxa"/>
          </w:tcPr>
          <w:p>
            <w:pPr>
              <w:pStyle w:val="11"/>
              <w:rPr>
                <w:rFonts w:ascii="黑体" w:hAnsi="仿宋" w:eastAsia="黑体" w:cs="黑体"/>
                <w:sz w:val="32"/>
                <w:szCs w:val="32"/>
                <w:highlight w:val="none"/>
              </w:rPr>
            </w:pPr>
          </w:p>
        </w:tc>
        <w:tc>
          <w:tcPr>
            <w:tcW w:w="2491" w:type="dxa"/>
            <w:vAlign w:val="center"/>
          </w:tcPr>
          <w:p>
            <w:pPr>
              <w:spacing w:line="360" w:lineRule="auto"/>
              <w:jc w:val="center"/>
              <w:rPr>
                <w:rFonts w:ascii="黑体" w:hAnsi="仿宋" w:eastAsia="黑体" w:cs="黑体"/>
                <w:sz w:val="32"/>
                <w:szCs w:val="32"/>
                <w:highlight w:val="none"/>
              </w:rPr>
            </w:pPr>
            <w:r>
              <w:rPr>
                <w:rFonts w:hint="eastAsia" w:ascii="宋体" w:hAnsi="宋体"/>
                <w:highlight w:val="none"/>
              </w:rPr>
              <w:t>□通过 □不通过</w:t>
            </w:r>
          </w:p>
        </w:tc>
        <w:tc>
          <w:tcPr>
            <w:tcW w:w="2491" w:type="dxa"/>
            <w:vAlign w:val="center"/>
          </w:tcPr>
          <w:p>
            <w:pPr>
              <w:spacing w:line="360" w:lineRule="auto"/>
              <w:jc w:val="center"/>
              <w:rPr>
                <w:rFonts w:ascii="黑体" w:hAnsi="仿宋" w:eastAsia="黑体" w:cs="黑体"/>
                <w:sz w:val="32"/>
                <w:szCs w:val="32"/>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pPr>
              <w:spacing w:line="360" w:lineRule="auto"/>
              <w:jc w:val="center"/>
              <w:rPr>
                <w:rFonts w:ascii="宋体" w:hAnsi="宋体"/>
                <w:highlight w:val="none"/>
              </w:rPr>
            </w:pPr>
            <w:r>
              <w:rPr>
                <w:rFonts w:hint="eastAsia" w:ascii="宋体" w:hAnsi="宋体"/>
                <w:highlight w:val="none"/>
              </w:rPr>
              <w:t>4</w:t>
            </w:r>
          </w:p>
        </w:tc>
        <w:tc>
          <w:tcPr>
            <w:tcW w:w="3733" w:type="dxa"/>
          </w:tcPr>
          <w:p>
            <w:pPr>
              <w:pStyle w:val="11"/>
              <w:rPr>
                <w:rFonts w:ascii="黑体" w:hAnsi="仿宋" w:eastAsia="黑体" w:cs="黑体"/>
                <w:sz w:val="32"/>
                <w:szCs w:val="32"/>
                <w:highlight w:val="none"/>
              </w:rPr>
            </w:pPr>
          </w:p>
        </w:tc>
        <w:tc>
          <w:tcPr>
            <w:tcW w:w="2491" w:type="dxa"/>
            <w:vAlign w:val="center"/>
          </w:tcPr>
          <w:p>
            <w:pPr>
              <w:spacing w:line="360" w:lineRule="auto"/>
              <w:jc w:val="center"/>
              <w:rPr>
                <w:rFonts w:ascii="黑体" w:hAnsi="仿宋" w:eastAsia="黑体" w:cs="黑体"/>
                <w:sz w:val="32"/>
                <w:szCs w:val="32"/>
                <w:highlight w:val="none"/>
              </w:rPr>
            </w:pPr>
            <w:r>
              <w:rPr>
                <w:rFonts w:hint="eastAsia" w:ascii="宋体" w:hAnsi="宋体"/>
                <w:highlight w:val="none"/>
              </w:rPr>
              <w:t>□通过 □不通过</w:t>
            </w:r>
          </w:p>
        </w:tc>
        <w:tc>
          <w:tcPr>
            <w:tcW w:w="2491" w:type="dxa"/>
            <w:vAlign w:val="center"/>
          </w:tcPr>
          <w:p>
            <w:pPr>
              <w:spacing w:line="360" w:lineRule="auto"/>
              <w:jc w:val="center"/>
              <w:rPr>
                <w:rFonts w:ascii="黑体" w:hAnsi="仿宋" w:eastAsia="黑体" w:cs="黑体"/>
                <w:sz w:val="32"/>
                <w:szCs w:val="32"/>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pPr>
              <w:spacing w:line="360" w:lineRule="auto"/>
              <w:jc w:val="center"/>
              <w:rPr>
                <w:rFonts w:ascii="宋体" w:hAnsi="宋体"/>
                <w:highlight w:val="none"/>
              </w:rPr>
            </w:pPr>
            <w:r>
              <w:rPr>
                <w:rFonts w:hint="eastAsia" w:ascii="宋体" w:hAnsi="宋体"/>
                <w:highlight w:val="none"/>
              </w:rPr>
              <w:t>5</w:t>
            </w:r>
          </w:p>
        </w:tc>
        <w:tc>
          <w:tcPr>
            <w:tcW w:w="3733" w:type="dxa"/>
          </w:tcPr>
          <w:p>
            <w:pPr>
              <w:pStyle w:val="11"/>
              <w:rPr>
                <w:rFonts w:ascii="黑体" w:hAnsi="仿宋" w:eastAsia="黑体" w:cs="黑体"/>
                <w:sz w:val="32"/>
                <w:szCs w:val="32"/>
                <w:highlight w:val="none"/>
              </w:rPr>
            </w:pPr>
          </w:p>
        </w:tc>
        <w:tc>
          <w:tcPr>
            <w:tcW w:w="2491" w:type="dxa"/>
            <w:vAlign w:val="center"/>
          </w:tcPr>
          <w:p>
            <w:pPr>
              <w:spacing w:line="360" w:lineRule="auto"/>
              <w:jc w:val="center"/>
              <w:rPr>
                <w:rFonts w:ascii="黑体" w:hAnsi="仿宋" w:eastAsia="黑体" w:cs="黑体"/>
                <w:sz w:val="32"/>
                <w:szCs w:val="32"/>
                <w:highlight w:val="none"/>
              </w:rPr>
            </w:pPr>
            <w:r>
              <w:rPr>
                <w:rFonts w:hint="eastAsia" w:ascii="宋体" w:hAnsi="宋体"/>
                <w:highlight w:val="none"/>
              </w:rPr>
              <w:t>□通过 □不通过</w:t>
            </w:r>
          </w:p>
        </w:tc>
        <w:tc>
          <w:tcPr>
            <w:tcW w:w="2491" w:type="dxa"/>
            <w:vAlign w:val="center"/>
          </w:tcPr>
          <w:p>
            <w:pPr>
              <w:spacing w:line="360" w:lineRule="auto"/>
              <w:jc w:val="center"/>
              <w:rPr>
                <w:rFonts w:ascii="黑体" w:hAnsi="仿宋" w:eastAsia="黑体" w:cs="黑体"/>
                <w:sz w:val="32"/>
                <w:szCs w:val="32"/>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vAlign w:val="center"/>
          </w:tcPr>
          <w:p>
            <w:pPr>
              <w:spacing w:line="360" w:lineRule="auto"/>
              <w:jc w:val="center"/>
              <w:rPr>
                <w:rFonts w:ascii="宋体" w:hAnsi="宋体"/>
                <w:highlight w:val="none"/>
              </w:rPr>
            </w:pPr>
            <w:r>
              <w:rPr>
                <w:rFonts w:hint="eastAsia" w:ascii="宋体" w:hAnsi="宋体"/>
                <w:highlight w:val="none"/>
              </w:rPr>
              <w:t>6</w:t>
            </w:r>
          </w:p>
        </w:tc>
        <w:tc>
          <w:tcPr>
            <w:tcW w:w="3733" w:type="dxa"/>
          </w:tcPr>
          <w:p>
            <w:pPr>
              <w:pStyle w:val="11"/>
              <w:rPr>
                <w:rFonts w:ascii="黑体" w:hAnsi="仿宋" w:eastAsia="黑体" w:cs="黑体"/>
                <w:sz w:val="32"/>
                <w:szCs w:val="32"/>
                <w:highlight w:val="none"/>
              </w:rPr>
            </w:pPr>
          </w:p>
        </w:tc>
        <w:tc>
          <w:tcPr>
            <w:tcW w:w="2491" w:type="dxa"/>
            <w:vAlign w:val="center"/>
          </w:tcPr>
          <w:p>
            <w:pPr>
              <w:spacing w:line="360" w:lineRule="auto"/>
              <w:jc w:val="center"/>
              <w:rPr>
                <w:rFonts w:ascii="宋体" w:hAnsi="宋体"/>
                <w:highlight w:val="none"/>
              </w:rPr>
            </w:pPr>
            <w:r>
              <w:rPr>
                <w:rFonts w:hint="eastAsia" w:ascii="宋体" w:hAnsi="宋体"/>
                <w:highlight w:val="none"/>
              </w:rPr>
              <w:t>□通过 □不通过</w:t>
            </w:r>
          </w:p>
        </w:tc>
        <w:tc>
          <w:tcPr>
            <w:tcW w:w="2491"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vAlign w:val="center"/>
          </w:tcPr>
          <w:p>
            <w:pPr>
              <w:spacing w:line="360" w:lineRule="auto"/>
              <w:jc w:val="center"/>
              <w:rPr>
                <w:rFonts w:ascii="宋体" w:hAnsi="宋体"/>
                <w:highlight w:val="none"/>
              </w:rPr>
            </w:pPr>
            <w:r>
              <w:rPr>
                <w:rFonts w:hint="eastAsia" w:ascii="宋体" w:hAnsi="宋体"/>
                <w:highlight w:val="none"/>
              </w:rPr>
              <w:t>7</w:t>
            </w:r>
          </w:p>
        </w:tc>
        <w:tc>
          <w:tcPr>
            <w:tcW w:w="3733" w:type="dxa"/>
          </w:tcPr>
          <w:p>
            <w:pPr>
              <w:pStyle w:val="11"/>
              <w:rPr>
                <w:rFonts w:ascii="黑体" w:hAnsi="仿宋" w:eastAsia="黑体" w:cs="黑体"/>
                <w:sz w:val="32"/>
                <w:szCs w:val="32"/>
                <w:highlight w:val="none"/>
              </w:rPr>
            </w:pPr>
          </w:p>
        </w:tc>
        <w:tc>
          <w:tcPr>
            <w:tcW w:w="2491" w:type="dxa"/>
            <w:vAlign w:val="center"/>
          </w:tcPr>
          <w:p>
            <w:pPr>
              <w:spacing w:line="360" w:lineRule="auto"/>
              <w:jc w:val="center"/>
              <w:rPr>
                <w:rFonts w:ascii="宋体" w:hAnsi="宋体"/>
                <w:highlight w:val="none"/>
              </w:rPr>
            </w:pPr>
            <w:r>
              <w:rPr>
                <w:rFonts w:hint="eastAsia" w:ascii="宋体" w:hAnsi="宋体"/>
                <w:highlight w:val="none"/>
              </w:rPr>
              <w:t>□通过 □不通过</w:t>
            </w:r>
          </w:p>
        </w:tc>
        <w:tc>
          <w:tcPr>
            <w:tcW w:w="2491"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vAlign w:val="center"/>
          </w:tcPr>
          <w:p>
            <w:pPr>
              <w:spacing w:line="360" w:lineRule="auto"/>
              <w:jc w:val="center"/>
              <w:rPr>
                <w:rFonts w:ascii="宋体" w:hAnsi="宋体"/>
                <w:highlight w:val="none"/>
              </w:rPr>
            </w:pPr>
            <w:r>
              <w:rPr>
                <w:rFonts w:hint="eastAsia" w:ascii="宋体" w:hAnsi="宋体"/>
                <w:highlight w:val="none"/>
              </w:rPr>
              <w:t>8</w:t>
            </w:r>
          </w:p>
        </w:tc>
        <w:tc>
          <w:tcPr>
            <w:tcW w:w="3733" w:type="dxa"/>
          </w:tcPr>
          <w:p>
            <w:pPr>
              <w:pStyle w:val="11"/>
              <w:rPr>
                <w:rFonts w:ascii="黑体" w:hAnsi="仿宋" w:eastAsia="黑体" w:cs="黑体"/>
                <w:sz w:val="32"/>
                <w:szCs w:val="32"/>
                <w:highlight w:val="none"/>
              </w:rPr>
            </w:pPr>
          </w:p>
        </w:tc>
        <w:tc>
          <w:tcPr>
            <w:tcW w:w="2491" w:type="dxa"/>
            <w:vAlign w:val="center"/>
          </w:tcPr>
          <w:p>
            <w:pPr>
              <w:spacing w:line="360" w:lineRule="auto"/>
              <w:jc w:val="center"/>
              <w:rPr>
                <w:rFonts w:ascii="宋体" w:hAnsi="宋体"/>
                <w:highlight w:val="none"/>
              </w:rPr>
            </w:pPr>
            <w:r>
              <w:rPr>
                <w:rFonts w:hint="eastAsia" w:ascii="宋体" w:hAnsi="宋体"/>
                <w:highlight w:val="none"/>
              </w:rPr>
              <w:t>□通过 □不通过</w:t>
            </w:r>
          </w:p>
        </w:tc>
        <w:tc>
          <w:tcPr>
            <w:tcW w:w="2491"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vAlign w:val="center"/>
          </w:tcPr>
          <w:p>
            <w:pPr>
              <w:spacing w:line="360" w:lineRule="auto"/>
              <w:jc w:val="center"/>
              <w:rPr>
                <w:rFonts w:ascii="宋体" w:hAnsi="宋体"/>
                <w:highlight w:val="none"/>
              </w:rPr>
            </w:pPr>
            <w:r>
              <w:rPr>
                <w:rFonts w:hint="eastAsia" w:ascii="宋体" w:hAnsi="宋体"/>
                <w:highlight w:val="none"/>
              </w:rPr>
              <w:t>9</w:t>
            </w:r>
          </w:p>
        </w:tc>
        <w:tc>
          <w:tcPr>
            <w:tcW w:w="3733" w:type="dxa"/>
          </w:tcPr>
          <w:p>
            <w:pPr>
              <w:pStyle w:val="11"/>
              <w:rPr>
                <w:rFonts w:ascii="黑体" w:hAnsi="仿宋" w:eastAsia="黑体" w:cs="黑体"/>
                <w:sz w:val="32"/>
                <w:szCs w:val="32"/>
                <w:highlight w:val="none"/>
              </w:rPr>
            </w:pPr>
          </w:p>
        </w:tc>
        <w:tc>
          <w:tcPr>
            <w:tcW w:w="2491" w:type="dxa"/>
            <w:vAlign w:val="center"/>
          </w:tcPr>
          <w:p>
            <w:pPr>
              <w:spacing w:line="360" w:lineRule="auto"/>
              <w:jc w:val="center"/>
              <w:rPr>
                <w:rFonts w:ascii="宋体" w:hAnsi="宋体"/>
                <w:highlight w:val="none"/>
              </w:rPr>
            </w:pPr>
            <w:r>
              <w:rPr>
                <w:rFonts w:hint="eastAsia" w:ascii="宋体" w:hAnsi="宋体"/>
                <w:highlight w:val="none"/>
              </w:rPr>
              <w:t>□通过 □不通过</w:t>
            </w:r>
          </w:p>
        </w:tc>
        <w:tc>
          <w:tcPr>
            <w:tcW w:w="2491"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vAlign w:val="center"/>
          </w:tcPr>
          <w:p>
            <w:pPr>
              <w:spacing w:line="360" w:lineRule="auto"/>
              <w:jc w:val="center"/>
              <w:rPr>
                <w:rFonts w:ascii="宋体" w:hAnsi="宋体"/>
                <w:highlight w:val="none"/>
              </w:rPr>
            </w:pPr>
            <w:r>
              <w:rPr>
                <w:rFonts w:hint="eastAsia" w:ascii="宋体" w:hAnsi="宋体"/>
                <w:highlight w:val="none"/>
              </w:rPr>
              <w:t>……</w:t>
            </w:r>
          </w:p>
        </w:tc>
        <w:tc>
          <w:tcPr>
            <w:tcW w:w="3733" w:type="dxa"/>
          </w:tcPr>
          <w:p>
            <w:pPr>
              <w:pStyle w:val="11"/>
              <w:rPr>
                <w:rFonts w:ascii="黑体" w:hAnsi="仿宋" w:eastAsia="黑体" w:cs="黑体"/>
                <w:sz w:val="32"/>
                <w:szCs w:val="32"/>
                <w:highlight w:val="none"/>
              </w:rPr>
            </w:pPr>
          </w:p>
        </w:tc>
        <w:tc>
          <w:tcPr>
            <w:tcW w:w="2491" w:type="dxa"/>
            <w:vAlign w:val="center"/>
          </w:tcPr>
          <w:p>
            <w:pPr>
              <w:spacing w:line="360" w:lineRule="auto"/>
              <w:jc w:val="center"/>
              <w:rPr>
                <w:rFonts w:ascii="宋体" w:hAnsi="宋体"/>
                <w:highlight w:val="none"/>
              </w:rPr>
            </w:pPr>
          </w:p>
        </w:tc>
        <w:tc>
          <w:tcPr>
            <w:tcW w:w="2491" w:type="dxa"/>
            <w:vAlign w:val="center"/>
          </w:tcPr>
          <w:p>
            <w:pPr>
              <w:spacing w:line="360" w:lineRule="auto"/>
              <w:jc w:val="center"/>
              <w:rPr>
                <w:rFonts w:ascii="宋体" w:hAnsi="宋体"/>
                <w:highlight w:val="none"/>
              </w:rPr>
            </w:pPr>
          </w:p>
        </w:tc>
      </w:tr>
    </w:tbl>
    <w:p>
      <w:pPr>
        <w:wordWrap w:val="0"/>
        <w:topLinePunct/>
        <w:spacing w:line="500" w:lineRule="exact"/>
        <w:ind w:firstLine="422" w:firstLineChars="200"/>
        <w:rPr>
          <w:rFonts w:ascii="宋体" w:hAnsi="宋体"/>
          <w:szCs w:val="21"/>
          <w:highlight w:val="none"/>
          <w:lang w:val="en-GB"/>
        </w:rPr>
      </w:pPr>
      <w:r>
        <w:rPr>
          <w:rFonts w:hint="eastAsia" w:ascii="宋体" w:hAnsi="宋体"/>
          <w:b/>
          <w:bCs/>
          <w:highlight w:val="none"/>
          <w:u w:val="single"/>
          <w:lang w:val="en-GB"/>
        </w:rPr>
        <w:t>注：此表内容必须与</w:t>
      </w:r>
      <w:r>
        <w:rPr>
          <w:rFonts w:hint="eastAsia" w:ascii="宋体" w:hAnsi="宋体"/>
          <w:b/>
          <w:bCs/>
          <w:highlight w:val="none"/>
          <w:u w:val="single"/>
        </w:rPr>
        <w:t>响应</w:t>
      </w:r>
      <w:r>
        <w:rPr>
          <w:rFonts w:hint="eastAsia" w:ascii="宋体" w:hAnsi="宋体"/>
          <w:b/>
          <w:bCs/>
          <w:highlight w:val="none"/>
          <w:u w:val="single"/>
          <w:lang w:val="en-GB"/>
        </w:rPr>
        <w:t>文件中所介绍的内容一致。</w:t>
      </w:r>
    </w:p>
    <w:p>
      <w:pPr>
        <w:spacing w:line="360" w:lineRule="auto"/>
        <w:ind w:firstLine="482" w:firstLineChars="200"/>
        <w:rPr>
          <w:rFonts w:ascii="宋体" w:hAnsi="宋体"/>
          <w:b/>
          <w:bCs/>
          <w:sz w:val="24"/>
          <w:highlight w:val="none"/>
        </w:rPr>
      </w:pPr>
      <w:r>
        <w:rPr>
          <w:rFonts w:hint="eastAsia" w:ascii="宋体" w:hAnsi="宋体"/>
          <w:b/>
          <w:bCs/>
          <w:sz w:val="24"/>
          <w:highlight w:val="none"/>
        </w:rPr>
        <w:br w:type="page"/>
      </w:r>
      <w:r>
        <w:rPr>
          <w:rFonts w:hint="eastAsia" w:ascii="宋体" w:hAnsi="宋体"/>
          <w:b/>
          <w:bCs/>
          <w:sz w:val="24"/>
          <w:highlight w:val="none"/>
        </w:rPr>
        <w:t>2.3技术评审自查表</w:t>
      </w:r>
    </w:p>
    <w:p>
      <w:pPr>
        <w:spacing w:line="360" w:lineRule="auto"/>
        <w:ind w:firstLine="480" w:firstLineChars="200"/>
        <w:rPr>
          <w:rFonts w:ascii="??_GB2312" w:hAnsi="仿宋" w:eastAsia="Times New Roman" w:cs="Times New Roman"/>
          <w:b/>
          <w:bCs/>
          <w:sz w:val="24"/>
          <w:highlight w:val="none"/>
        </w:rPr>
      </w:pP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技术评审自查表</w:t>
      </w:r>
    </w:p>
    <w:tbl>
      <w:tblPr>
        <w:tblStyle w:val="23"/>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5"/>
        <w:gridCol w:w="3150"/>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序号</w:t>
            </w:r>
          </w:p>
        </w:tc>
        <w:tc>
          <w:tcPr>
            <w:tcW w:w="1825" w:type="dxa"/>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评审分项</w:t>
            </w:r>
          </w:p>
        </w:tc>
        <w:tc>
          <w:tcPr>
            <w:tcW w:w="3150" w:type="dxa"/>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内容</w:t>
            </w:r>
          </w:p>
        </w:tc>
        <w:tc>
          <w:tcPr>
            <w:tcW w:w="2863" w:type="dxa"/>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1</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2</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3</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4</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5</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6</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7</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8</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9</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p>
        </w:tc>
      </w:tr>
    </w:tbl>
    <w:p>
      <w:pPr>
        <w:wordWrap w:val="0"/>
        <w:topLinePunct/>
        <w:spacing w:line="500" w:lineRule="exact"/>
        <w:ind w:firstLine="422" w:firstLineChars="200"/>
        <w:rPr>
          <w:rFonts w:ascii="宋体" w:cs="Times New Roman"/>
          <w:b/>
          <w:bCs/>
          <w:highlight w:val="none"/>
          <w:u w:val="single"/>
          <w:lang w:val="en-GB"/>
        </w:rPr>
      </w:pPr>
      <w:r>
        <w:rPr>
          <w:rFonts w:hint="eastAsia" w:ascii="宋体" w:hAnsi="宋体"/>
          <w:b/>
          <w:bCs/>
          <w:highlight w:val="none"/>
          <w:u w:val="single"/>
          <w:lang w:val="en-GB"/>
        </w:rPr>
        <w:t>注：</w:t>
      </w:r>
      <w:r>
        <w:rPr>
          <w:rFonts w:hint="eastAsia" w:ascii="宋体" w:hAnsi="宋体"/>
          <w:b/>
          <w:bCs/>
          <w:highlight w:val="none"/>
          <w:u w:val="single"/>
        </w:rPr>
        <w:t>响应供应商应根据《技术评审表》的各项内容填写此表</w:t>
      </w:r>
      <w:r>
        <w:rPr>
          <w:rFonts w:hint="eastAsia" w:ascii="宋体" w:hAnsi="宋体"/>
          <w:b/>
          <w:bCs/>
          <w:highlight w:val="none"/>
          <w:u w:val="single"/>
          <w:lang w:val="en-GB"/>
        </w:rPr>
        <w:t>。</w:t>
      </w:r>
    </w:p>
    <w:p>
      <w:pPr>
        <w:pStyle w:val="10"/>
        <w:spacing w:after="0" w:line="360" w:lineRule="auto"/>
        <w:rPr>
          <w:rFonts w:ascii="宋体"/>
          <w:sz w:val="21"/>
          <w:szCs w:val="21"/>
          <w:highlight w:val="none"/>
          <w:lang w:val="en-GB"/>
        </w:rPr>
      </w:pPr>
    </w:p>
    <w:p>
      <w:pPr>
        <w:pStyle w:val="10"/>
        <w:spacing w:after="0" w:line="360" w:lineRule="auto"/>
        <w:rPr>
          <w:rFonts w:ascii="宋体"/>
          <w:sz w:val="21"/>
          <w:szCs w:val="21"/>
          <w:highlight w:val="none"/>
          <w:lang w:val="en-GB"/>
        </w:rPr>
      </w:pPr>
    </w:p>
    <w:p>
      <w:pPr>
        <w:pStyle w:val="10"/>
        <w:spacing w:after="0" w:line="360" w:lineRule="auto"/>
        <w:rPr>
          <w:rFonts w:ascii="宋体"/>
          <w:sz w:val="21"/>
          <w:szCs w:val="21"/>
          <w:highlight w:val="none"/>
          <w:lang w:val="en-GB"/>
        </w:rPr>
      </w:pPr>
    </w:p>
    <w:p>
      <w:pPr>
        <w:pStyle w:val="10"/>
        <w:spacing w:after="0" w:line="360" w:lineRule="auto"/>
        <w:rPr>
          <w:rFonts w:ascii="宋体"/>
          <w:sz w:val="21"/>
          <w:szCs w:val="21"/>
          <w:highlight w:val="none"/>
          <w:lang w:val="en-GB"/>
        </w:rPr>
      </w:pPr>
    </w:p>
    <w:p>
      <w:pPr>
        <w:pStyle w:val="10"/>
        <w:spacing w:after="0" w:line="360" w:lineRule="auto"/>
        <w:rPr>
          <w:rFonts w:ascii="宋体"/>
          <w:sz w:val="21"/>
          <w:szCs w:val="21"/>
          <w:highlight w:val="none"/>
          <w:lang w:val="en-GB"/>
        </w:rPr>
      </w:pPr>
    </w:p>
    <w:p>
      <w:pPr>
        <w:pStyle w:val="10"/>
        <w:spacing w:after="0" w:line="360" w:lineRule="auto"/>
        <w:rPr>
          <w:rFonts w:ascii="宋体"/>
          <w:sz w:val="21"/>
          <w:szCs w:val="21"/>
          <w:highlight w:val="none"/>
          <w:lang w:val="en-GB"/>
        </w:rPr>
      </w:pPr>
    </w:p>
    <w:p>
      <w:pPr>
        <w:pStyle w:val="10"/>
        <w:spacing w:after="0" w:line="360" w:lineRule="auto"/>
        <w:rPr>
          <w:rFonts w:ascii="宋体"/>
          <w:sz w:val="21"/>
          <w:szCs w:val="21"/>
          <w:highlight w:val="none"/>
          <w:lang w:val="en-GB"/>
        </w:rPr>
      </w:pPr>
    </w:p>
    <w:p>
      <w:pPr>
        <w:pStyle w:val="10"/>
        <w:spacing w:after="0" w:line="360" w:lineRule="auto"/>
        <w:rPr>
          <w:rFonts w:ascii="宋体"/>
          <w:sz w:val="21"/>
          <w:szCs w:val="21"/>
          <w:highlight w:val="none"/>
          <w:lang w:val="en-GB"/>
        </w:rPr>
      </w:pPr>
    </w:p>
    <w:p>
      <w:pPr>
        <w:pStyle w:val="10"/>
        <w:spacing w:after="0" w:line="360" w:lineRule="auto"/>
        <w:rPr>
          <w:rFonts w:ascii="宋体"/>
          <w:sz w:val="21"/>
          <w:szCs w:val="21"/>
          <w:highlight w:val="none"/>
          <w:lang w:val="en-GB"/>
        </w:rPr>
      </w:pPr>
    </w:p>
    <w:p>
      <w:pPr>
        <w:pStyle w:val="10"/>
        <w:spacing w:after="0" w:line="360" w:lineRule="auto"/>
        <w:rPr>
          <w:rFonts w:ascii="宋体"/>
          <w:sz w:val="21"/>
          <w:szCs w:val="21"/>
          <w:highlight w:val="none"/>
          <w:lang w:val="en-GB"/>
        </w:rPr>
      </w:pPr>
    </w:p>
    <w:p>
      <w:pPr>
        <w:pStyle w:val="10"/>
        <w:spacing w:after="0" w:line="360" w:lineRule="auto"/>
        <w:rPr>
          <w:rFonts w:ascii="宋体"/>
          <w:sz w:val="21"/>
          <w:szCs w:val="21"/>
          <w:highlight w:val="none"/>
          <w:lang w:val="en-GB"/>
        </w:rPr>
      </w:pPr>
    </w:p>
    <w:p>
      <w:pPr>
        <w:pStyle w:val="10"/>
        <w:spacing w:after="0" w:line="360" w:lineRule="auto"/>
        <w:rPr>
          <w:rFonts w:ascii="宋体"/>
          <w:sz w:val="21"/>
          <w:szCs w:val="21"/>
          <w:highlight w:val="none"/>
          <w:lang w:val="en-GB"/>
        </w:rPr>
      </w:pPr>
    </w:p>
    <w:p>
      <w:pPr>
        <w:pStyle w:val="10"/>
        <w:spacing w:after="0" w:line="360" w:lineRule="auto"/>
        <w:rPr>
          <w:rFonts w:ascii="宋体"/>
          <w:sz w:val="21"/>
          <w:szCs w:val="21"/>
          <w:highlight w:val="none"/>
          <w:lang w:val="en-GB"/>
        </w:rPr>
      </w:pPr>
    </w:p>
    <w:p>
      <w:pPr>
        <w:pStyle w:val="10"/>
        <w:spacing w:after="0" w:line="360" w:lineRule="auto"/>
        <w:rPr>
          <w:rFonts w:ascii="宋体"/>
          <w:sz w:val="21"/>
          <w:szCs w:val="21"/>
          <w:highlight w:val="none"/>
          <w:lang w:val="en-GB"/>
        </w:rPr>
      </w:pPr>
    </w:p>
    <w:p>
      <w:pPr>
        <w:spacing w:line="360" w:lineRule="auto"/>
        <w:ind w:firstLine="482" w:firstLineChars="200"/>
        <w:rPr>
          <w:rFonts w:ascii="宋体" w:cs="Times New Roman"/>
          <w:b/>
          <w:bCs/>
          <w:sz w:val="24"/>
          <w:highlight w:val="none"/>
        </w:rPr>
      </w:pPr>
      <w:r>
        <w:rPr>
          <w:rFonts w:ascii="宋体" w:hAnsi="宋体"/>
          <w:b/>
          <w:bCs/>
          <w:sz w:val="24"/>
          <w:highlight w:val="none"/>
        </w:rPr>
        <w:t>2.</w:t>
      </w:r>
      <w:r>
        <w:rPr>
          <w:rFonts w:hint="eastAsia" w:ascii="宋体" w:hAnsi="宋体"/>
          <w:b/>
          <w:bCs/>
          <w:sz w:val="24"/>
          <w:highlight w:val="none"/>
        </w:rPr>
        <w:t>4商务评审自查表</w:t>
      </w:r>
    </w:p>
    <w:p>
      <w:pPr>
        <w:spacing w:line="360" w:lineRule="auto"/>
        <w:ind w:firstLine="480" w:firstLineChars="200"/>
        <w:rPr>
          <w:rFonts w:ascii="??_GB2312" w:hAnsi="仿宋" w:eastAsia="Times New Roman" w:cs="Times New Roman"/>
          <w:b/>
          <w:bCs/>
          <w:sz w:val="24"/>
          <w:highlight w:val="none"/>
        </w:rPr>
      </w:pP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商务评审自查表</w:t>
      </w:r>
    </w:p>
    <w:tbl>
      <w:tblPr>
        <w:tblStyle w:val="23"/>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5"/>
        <w:gridCol w:w="3150"/>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序号</w:t>
            </w:r>
          </w:p>
        </w:tc>
        <w:tc>
          <w:tcPr>
            <w:tcW w:w="1825" w:type="dxa"/>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评审分项</w:t>
            </w:r>
          </w:p>
        </w:tc>
        <w:tc>
          <w:tcPr>
            <w:tcW w:w="3150" w:type="dxa"/>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内容</w:t>
            </w:r>
          </w:p>
        </w:tc>
        <w:tc>
          <w:tcPr>
            <w:tcW w:w="2863" w:type="dxa"/>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1</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2</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3</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4</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5</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6</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7</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8</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9</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r>
              <w:rPr>
                <w:rFonts w:hint="eastAsia" w:ascii="宋体" w:hAnsi="宋体"/>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vAlign w:val="center"/>
          </w:tcPr>
          <w:p>
            <w:pPr>
              <w:spacing w:line="360" w:lineRule="auto"/>
              <w:jc w:val="center"/>
              <w:rPr>
                <w:rFonts w:ascii="宋体" w:hAnsi="宋体"/>
                <w:highlight w:val="none"/>
              </w:rPr>
            </w:pPr>
            <w:r>
              <w:rPr>
                <w:rFonts w:hint="eastAsia" w:ascii="宋体" w:hAnsi="宋体"/>
                <w:highlight w:val="none"/>
              </w:rPr>
              <w:t>…</w:t>
            </w:r>
          </w:p>
        </w:tc>
        <w:tc>
          <w:tcPr>
            <w:tcW w:w="1825" w:type="dxa"/>
            <w:vAlign w:val="center"/>
          </w:tcPr>
          <w:p>
            <w:pPr>
              <w:spacing w:line="360" w:lineRule="auto"/>
              <w:jc w:val="center"/>
              <w:rPr>
                <w:rFonts w:ascii="宋体" w:hAnsi="宋体"/>
                <w:highlight w:val="none"/>
              </w:rPr>
            </w:pPr>
          </w:p>
        </w:tc>
        <w:tc>
          <w:tcPr>
            <w:tcW w:w="3150" w:type="dxa"/>
            <w:vAlign w:val="center"/>
          </w:tcPr>
          <w:p>
            <w:pPr>
              <w:spacing w:line="360" w:lineRule="auto"/>
              <w:jc w:val="center"/>
              <w:rPr>
                <w:rFonts w:ascii="宋体" w:hAnsi="宋体"/>
                <w:highlight w:val="none"/>
              </w:rPr>
            </w:pPr>
          </w:p>
        </w:tc>
        <w:tc>
          <w:tcPr>
            <w:tcW w:w="2863" w:type="dxa"/>
            <w:vAlign w:val="center"/>
          </w:tcPr>
          <w:p>
            <w:pPr>
              <w:spacing w:line="360" w:lineRule="auto"/>
              <w:jc w:val="center"/>
              <w:rPr>
                <w:rFonts w:ascii="宋体" w:hAnsi="宋体"/>
                <w:highlight w:val="none"/>
              </w:rPr>
            </w:pPr>
          </w:p>
        </w:tc>
      </w:tr>
    </w:tbl>
    <w:p>
      <w:pPr>
        <w:wordWrap w:val="0"/>
        <w:topLinePunct/>
        <w:spacing w:line="500" w:lineRule="exact"/>
        <w:ind w:firstLine="422" w:firstLineChars="200"/>
        <w:rPr>
          <w:rFonts w:ascii="宋体" w:cs="Times New Roman"/>
          <w:b/>
          <w:bCs/>
          <w:highlight w:val="none"/>
          <w:u w:val="single"/>
          <w:lang w:val="en-GB"/>
        </w:rPr>
      </w:pPr>
      <w:r>
        <w:rPr>
          <w:rFonts w:hint="eastAsia" w:ascii="宋体" w:hAnsi="宋体"/>
          <w:b/>
          <w:bCs/>
          <w:highlight w:val="none"/>
          <w:u w:val="single"/>
          <w:lang w:val="en-GB"/>
        </w:rPr>
        <w:t>注：</w:t>
      </w:r>
      <w:r>
        <w:rPr>
          <w:rFonts w:hint="eastAsia" w:ascii="宋体" w:hAnsi="宋体"/>
          <w:b/>
          <w:bCs/>
          <w:highlight w:val="none"/>
          <w:u w:val="single"/>
        </w:rPr>
        <w:t>响应</w:t>
      </w:r>
      <w:r>
        <w:rPr>
          <w:rFonts w:hint="eastAsia" w:ascii="宋体" w:hAnsi="宋体"/>
          <w:b/>
          <w:bCs/>
          <w:highlight w:val="none"/>
          <w:u w:val="single"/>
          <w:lang w:val="en-GB"/>
        </w:rPr>
        <w:t>供应商应根据《商务评审表》的各项内容填写此表。</w:t>
      </w:r>
    </w:p>
    <w:p>
      <w:pPr>
        <w:pStyle w:val="10"/>
        <w:spacing w:after="0" w:line="360" w:lineRule="auto"/>
        <w:ind w:left="424" w:hanging="424" w:hangingChars="202"/>
        <w:rPr>
          <w:rFonts w:ascii="宋体"/>
          <w:sz w:val="21"/>
          <w:szCs w:val="21"/>
          <w:highlight w:val="none"/>
          <w:lang w:val="en-GB"/>
        </w:rPr>
      </w:pPr>
    </w:p>
    <w:p>
      <w:pPr>
        <w:pStyle w:val="10"/>
        <w:spacing w:after="0" w:line="360" w:lineRule="auto"/>
        <w:ind w:left="424" w:hanging="424" w:hangingChars="202"/>
        <w:rPr>
          <w:rFonts w:ascii="宋体"/>
          <w:sz w:val="21"/>
          <w:szCs w:val="21"/>
          <w:highlight w:val="none"/>
          <w:lang w:val="en-GB"/>
        </w:rPr>
      </w:pPr>
    </w:p>
    <w:p>
      <w:pPr>
        <w:pStyle w:val="10"/>
        <w:spacing w:after="0" w:line="360" w:lineRule="auto"/>
        <w:ind w:left="424" w:hanging="424" w:hangingChars="202"/>
        <w:rPr>
          <w:rFonts w:ascii="宋体"/>
          <w:sz w:val="21"/>
          <w:szCs w:val="21"/>
          <w:highlight w:val="none"/>
          <w:lang w:val="en-GB"/>
        </w:rPr>
      </w:pPr>
    </w:p>
    <w:p>
      <w:pPr>
        <w:pStyle w:val="10"/>
        <w:spacing w:after="0" w:line="360" w:lineRule="auto"/>
        <w:ind w:left="424" w:hanging="424" w:hangingChars="202"/>
        <w:rPr>
          <w:rFonts w:ascii="宋体"/>
          <w:sz w:val="21"/>
          <w:szCs w:val="21"/>
          <w:highlight w:val="none"/>
          <w:lang w:val="en-GB"/>
        </w:rPr>
      </w:pPr>
    </w:p>
    <w:p>
      <w:pPr>
        <w:pStyle w:val="10"/>
        <w:spacing w:after="0" w:line="360" w:lineRule="auto"/>
        <w:ind w:left="424" w:hanging="424" w:hangingChars="202"/>
        <w:rPr>
          <w:rFonts w:ascii="宋体"/>
          <w:sz w:val="21"/>
          <w:szCs w:val="21"/>
          <w:highlight w:val="none"/>
          <w:lang w:val="en-GB"/>
        </w:rPr>
      </w:pPr>
    </w:p>
    <w:p>
      <w:pPr>
        <w:pStyle w:val="10"/>
        <w:spacing w:after="0" w:line="360" w:lineRule="auto"/>
        <w:ind w:left="424" w:hanging="424" w:hangingChars="202"/>
        <w:rPr>
          <w:rFonts w:ascii="宋体"/>
          <w:sz w:val="21"/>
          <w:szCs w:val="21"/>
          <w:highlight w:val="none"/>
          <w:lang w:val="en-GB"/>
        </w:rPr>
      </w:pPr>
    </w:p>
    <w:p>
      <w:pPr>
        <w:pStyle w:val="10"/>
        <w:spacing w:after="0" w:line="360" w:lineRule="auto"/>
        <w:ind w:left="424" w:hanging="424" w:hangingChars="202"/>
        <w:rPr>
          <w:rFonts w:ascii="宋体"/>
          <w:sz w:val="21"/>
          <w:szCs w:val="21"/>
          <w:highlight w:val="none"/>
          <w:lang w:val="en-GB"/>
        </w:rPr>
      </w:pPr>
    </w:p>
    <w:p>
      <w:pPr>
        <w:pStyle w:val="10"/>
        <w:spacing w:after="0" w:line="360" w:lineRule="auto"/>
        <w:ind w:left="424" w:hanging="424" w:hangingChars="202"/>
        <w:rPr>
          <w:rFonts w:ascii="宋体"/>
          <w:sz w:val="21"/>
          <w:szCs w:val="21"/>
          <w:highlight w:val="none"/>
          <w:lang w:val="en-GB"/>
        </w:rPr>
      </w:pPr>
    </w:p>
    <w:p>
      <w:pPr>
        <w:pStyle w:val="10"/>
        <w:spacing w:after="0" w:line="360" w:lineRule="auto"/>
        <w:ind w:left="424" w:hanging="424" w:hangingChars="202"/>
        <w:rPr>
          <w:rFonts w:ascii="宋体"/>
          <w:sz w:val="21"/>
          <w:szCs w:val="21"/>
          <w:highlight w:val="none"/>
          <w:lang w:val="en-GB"/>
        </w:rPr>
      </w:pPr>
    </w:p>
    <w:p>
      <w:pPr>
        <w:pStyle w:val="10"/>
        <w:spacing w:after="0" w:line="360" w:lineRule="auto"/>
        <w:ind w:left="424" w:hanging="424" w:hangingChars="202"/>
        <w:rPr>
          <w:rFonts w:ascii="宋体"/>
          <w:sz w:val="21"/>
          <w:szCs w:val="21"/>
          <w:highlight w:val="none"/>
          <w:lang w:val="en-GB"/>
        </w:rPr>
      </w:pPr>
    </w:p>
    <w:p>
      <w:pPr>
        <w:pStyle w:val="10"/>
        <w:spacing w:after="0" w:line="360" w:lineRule="auto"/>
        <w:ind w:left="424" w:hanging="424" w:hangingChars="202"/>
        <w:rPr>
          <w:rFonts w:ascii="宋体"/>
          <w:sz w:val="21"/>
          <w:szCs w:val="21"/>
          <w:highlight w:val="none"/>
          <w:lang w:val="en-GB"/>
        </w:rPr>
      </w:pPr>
    </w:p>
    <w:p>
      <w:pPr>
        <w:pStyle w:val="10"/>
        <w:spacing w:after="0" w:line="360" w:lineRule="auto"/>
        <w:ind w:left="424" w:hanging="424" w:hangingChars="202"/>
        <w:rPr>
          <w:rFonts w:ascii="宋体"/>
          <w:sz w:val="21"/>
          <w:szCs w:val="21"/>
          <w:highlight w:val="none"/>
          <w:lang w:val="en-GB"/>
        </w:rPr>
      </w:pPr>
    </w:p>
    <w:p>
      <w:pPr>
        <w:pStyle w:val="10"/>
        <w:spacing w:after="0" w:line="360" w:lineRule="auto"/>
        <w:ind w:left="424" w:hanging="424" w:hangingChars="202"/>
        <w:rPr>
          <w:rFonts w:ascii="宋体"/>
          <w:sz w:val="21"/>
          <w:szCs w:val="21"/>
          <w:highlight w:val="none"/>
          <w:lang w:val="en-GB"/>
        </w:rPr>
      </w:pPr>
    </w:p>
    <w:p>
      <w:pPr>
        <w:rPr>
          <w:highlight w:val="none"/>
        </w:rPr>
      </w:pPr>
    </w:p>
    <w:p>
      <w:pPr>
        <w:spacing w:line="360" w:lineRule="auto"/>
        <w:jc w:val="center"/>
        <w:outlineLvl w:val="1"/>
        <w:rPr>
          <w:rFonts w:ascii="黑体" w:hAnsi="仿宋" w:eastAsia="黑体" w:cs="仿宋"/>
          <w:b/>
          <w:sz w:val="32"/>
          <w:szCs w:val="32"/>
          <w:highlight w:val="none"/>
        </w:rPr>
      </w:pPr>
      <w:bookmarkStart w:id="519" w:name="_Toc23471"/>
      <w:bookmarkStart w:id="520" w:name="_Toc21642"/>
      <w:r>
        <w:rPr>
          <w:rFonts w:hint="eastAsia" w:ascii="黑体" w:hAnsi="仿宋" w:eastAsia="黑体" w:cs="仿宋"/>
          <w:b/>
          <w:sz w:val="32"/>
          <w:szCs w:val="32"/>
          <w:highlight w:val="none"/>
        </w:rPr>
        <w:t>三、</w:t>
      </w:r>
      <w:bookmarkEnd w:id="458"/>
      <w:r>
        <w:rPr>
          <w:rFonts w:hint="eastAsia" w:ascii="黑体" w:hAnsi="仿宋" w:eastAsia="黑体" w:cs="仿宋"/>
          <w:b/>
          <w:sz w:val="32"/>
          <w:szCs w:val="32"/>
          <w:highlight w:val="none"/>
        </w:rPr>
        <w:t>响应函（格式）</w:t>
      </w:r>
      <w:bookmarkEnd w:id="517"/>
      <w:bookmarkEnd w:id="518"/>
      <w:bookmarkEnd w:id="519"/>
      <w:bookmarkEnd w:id="520"/>
    </w:p>
    <w:p>
      <w:pPr>
        <w:spacing w:line="360" w:lineRule="auto"/>
        <w:rPr>
          <w:rFonts w:ascii="宋体" w:hAnsi="宋体"/>
          <w:b/>
          <w:bCs/>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p>
      <w:pPr>
        <w:spacing w:line="360" w:lineRule="auto"/>
        <w:ind w:firstLine="480" w:firstLineChars="200"/>
        <w:rPr>
          <w:rFonts w:ascii="宋体" w:hAnsi="宋体"/>
          <w:sz w:val="24"/>
          <w:highlight w:val="none"/>
        </w:rPr>
      </w:pPr>
      <w:r>
        <w:rPr>
          <w:rFonts w:hint="eastAsia" w:ascii="宋体" w:hAnsi="宋体"/>
          <w:sz w:val="24"/>
          <w:highlight w:val="none"/>
        </w:rPr>
        <w:t>为响应你方组织的</w:t>
      </w:r>
      <w:r>
        <w:rPr>
          <w:rFonts w:hint="eastAsia" w:ascii="宋体" w:hAnsi="宋体"/>
          <w:sz w:val="24"/>
          <w:highlight w:val="none"/>
          <w:u w:val="single"/>
        </w:rPr>
        <w:t>（</w:t>
      </w:r>
      <w:r>
        <w:rPr>
          <w:rFonts w:hint="eastAsia" w:hAnsi="宋体"/>
          <w:sz w:val="24"/>
          <w:highlight w:val="none"/>
          <w:u w:val="single"/>
        </w:rPr>
        <w:t>采购项目名称）</w:t>
      </w:r>
      <w:r>
        <w:rPr>
          <w:rFonts w:hint="eastAsia" w:ascii="宋体" w:hAnsi="宋体"/>
          <w:sz w:val="24"/>
          <w:highlight w:val="none"/>
        </w:rPr>
        <w:t>的竞争性磋商采购（项目编号为：</w:t>
      </w:r>
      <w:r>
        <w:rPr>
          <w:rFonts w:hint="eastAsia" w:ascii="宋体" w:hAnsi="宋体"/>
          <w:sz w:val="24"/>
          <w:highlight w:val="none"/>
          <w:u w:val="single"/>
        </w:rPr>
        <w:t xml:space="preserve">        </w:t>
      </w:r>
      <w:r>
        <w:rPr>
          <w:rFonts w:hint="eastAsia" w:ascii="宋体" w:hAnsi="宋体"/>
          <w:sz w:val="24"/>
          <w:highlight w:val="none"/>
        </w:rPr>
        <w:t>），我方愿参与磋商。</w:t>
      </w:r>
    </w:p>
    <w:p>
      <w:pPr>
        <w:spacing w:line="360" w:lineRule="auto"/>
        <w:ind w:firstLine="480" w:firstLineChars="200"/>
        <w:rPr>
          <w:rFonts w:ascii="宋体" w:hAnsi="宋体"/>
          <w:sz w:val="24"/>
          <w:highlight w:val="none"/>
        </w:rPr>
      </w:pPr>
      <w:r>
        <w:rPr>
          <w:rFonts w:hint="eastAsia" w:ascii="宋体" w:hAnsi="宋体"/>
          <w:sz w:val="24"/>
          <w:highlight w:val="none"/>
        </w:rPr>
        <w:t>我方确认收到贵方提供的</w:t>
      </w:r>
      <w:r>
        <w:rPr>
          <w:rFonts w:hint="eastAsia" w:ascii="宋体" w:hAnsi="宋体"/>
          <w:sz w:val="24"/>
          <w:highlight w:val="none"/>
          <w:u w:val="single"/>
        </w:rPr>
        <w:t xml:space="preserve">  （</w:t>
      </w:r>
      <w:r>
        <w:rPr>
          <w:rFonts w:hint="eastAsia" w:hAnsi="宋体"/>
          <w:sz w:val="24"/>
          <w:highlight w:val="none"/>
          <w:u w:val="single"/>
        </w:rPr>
        <w:t>采购项目名称）</w:t>
      </w:r>
      <w:r>
        <w:rPr>
          <w:rFonts w:hint="eastAsia" w:ascii="宋体" w:hAnsi="宋体"/>
          <w:sz w:val="24"/>
          <w:highlight w:val="none"/>
          <w:u w:val="single"/>
        </w:rPr>
        <w:t xml:space="preserve">  </w:t>
      </w:r>
      <w:r>
        <w:rPr>
          <w:rFonts w:hint="eastAsia" w:ascii="宋体" w:hAnsi="宋体"/>
          <w:sz w:val="24"/>
          <w:highlight w:val="none"/>
        </w:rPr>
        <w:t>磋商文件的全部内容。</w:t>
      </w:r>
    </w:p>
    <w:p>
      <w:pPr>
        <w:spacing w:line="360" w:lineRule="auto"/>
        <w:ind w:firstLine="480" w:firstLineChars="200"/>
        <w:rPr>
          <w:rFonts w:ascii="宋体" w:hAnsi="宋体"/>
          <w:sz w:val="24"/>
          <w:highlight w:val="none"/>
        </w:rPr>
      </w:pPr>
      <w:r>
        <w:rPr>
          <w:rFonts w:hint="eastAsia" w:ascii="宋体" w:hAnsi="宋体"/>
          <w:sz w:val="24"/>
          <w:highlight w:val="none"/>
        </w:rPr>
        <w:t>我方在参与磋商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spacing w:line="360" w:lineRule="auto"/>
        <w:ind w:firstLine="480" w:firstLineChars="200"/>
        <w:rPr>
          <w:rFonts w:ascii="宋体" w:hAnsi="宋体"/>
          <w:sz w:val="24"/>
          <w:highlight w:val="none"/>
        </w:rPr>
      </w:pPr>
      <w:r>
        <w:rPr>
          <w:rFonts w:hint="eastAsia" w:ascii="宋体" w:hAnsi="宋体"/>
          <w:sz w:val="24"/>
          <w:highlight w:val="none"/>
          <w:u w:val="single"/>
        </w:rPr>
        <w:t xml:space="preserve">      (供应商名称)      </w:t>
      </w:r>
      <w:r>
        <w:rPr>
          <w:rFonts w:hint="eastAsia" w:ascii="宋体" w:hAnsi="宋体"/>
          <w:sz w:val="24"/>
          <w:highlight w:val="none"/>
        </w:rPr>
        <w:t>作为供应商正式授权</w:t>
      </w:r>
      <w:r>
        <w:rPr>
          <w:rFonts w:hint="eastAsia" w:ascii="宋体" w:hAnsi="宋体"/>
          <w:sz w:val="24"/>
          <w:highlight w:val="none"/>
          <w:u w:val="single"/>
        </w:rPr>
        <w:t xml:space="preserve">  (授权代表全名, 职务)  </w:t>
      </w:r>
      <w:r>
        <w:rPr>
          <w:rFonts w:hint="eastAsia" w:ascii="宋体" w:hAnsi="宋体"/>
          <w:sz w:val="24"/>
          <w:highlight w:val="none"/>
        </w:rPr>
        <w:t>代表我方全权处理有关本响应的一切事宜。</w:t>
      </w:r>
    </w:p>
    <w:p>
      <w:pPr>
        <w:spacing w:line="360" w:lineRule="auto"/>
        <w:ind w:firstLine="480" w:firstLineChars="200"/>
        <w:rPr>
          <w:rFonts w:ascii="宋体" w:hAnsi="宋体"/>
          <w:sz w:val="24"/>
          <w:highlight w:val="none"/>
        </w:rPr>
      </w:pPr>
      <w:r>
        <w:rPr>
          <w:rFonts w:hint="eastAsia" w:ascii="宋体" w:hAnsi="宋体"/>
          <w:sz w:val="24"/>
          <w:highlight w:val="none"/>
        </w:rPr>
        <w:t>在此提交的响应文件，正本壹份，副本</w:t>
      </w:r>
      <w:r>
        <w:rPr>
          <w:rFonts w:hint="eastAsia" w:ascii="宋体" w:hAnsi="宋体"/>
          <w:sz w:val="24"/>
          <w:highlight w:val="none"/>
          <w:u w:val="single"/>
        </w:rPr>
        <w:t xml:space="preserve">  </w:t>
      </w:r>
      <w:r>
        <w:rPr>
          <w:rFonts w:hint="eastAsia" w:ascii="宋体" w:hAnsi="宋体"/>
          <w:sz w:val="24"/>
          <w:highlight w:val="none"/>
        </w:rPr>
        <w:t>份，电子版本</w:t>
      </w:r>
      <w:r>
        <w:rPr>
          <w:rFonts w:hint="eastAsia" w:ascii="宋体" w:hAnsi="宋体"/>
          <w:sz w:val="24"/>
          <w:highlight w:val="none"/>
          <w:u w:val="single"/>
        </w:rPr>
        <w:t xml:space="preserve">  </w:t>
      </w:r>
      <w:r>
        <w:rPr>
          <w:rFonts w:hint="eastAsia" w:ascii="宋体" w:hAnsi="宋体"/>
          <w:sz w:val="24"/>
          <w:highlight w:val="none"/>
        </w:rPr>
        <w:t>份。</w:t>
      </w:r>
    </w:p>
    <w:p>
      <w:pPr>
        <w:spacing w:line="360" w:lineRule="auto"/>
        <w:ind w:firstLine="480" w:firstLineChars="200"/>
        <w:rPr>
          <w:rFonts w:ascii="宋体" w:hAnsi="宋体"/>
          <w:sz w:val="24"/>
          <w:highlight w:val="none"/>
        </w:rPr>
      </w:pPr>
      <w:r>
        <w:rPr>
          <w:rFonts w:hint="eastAsia" w:ascii="宋体" w:hAnsi="宋体"/>
          <w:sz w:val="24"/>
          <w:highlight w:val="none"/>
        </w:rPr>
        <w:t>我方已完全明白磋商文件的所有条款要求，并申明如下：</w:t>
      </w:r>
    </w:p>
    <w:p>
      <w:pPr>
        <w:spacing w:line="360" w:lineRule="auto"/>
        <w:ind w:firstLine="480" w:firstLineChars="200"/>
        <w:rPr>
          <w:rFonts w:ascii="宋体" w:hAnsi="宋体"/>
          <w:sz w:val="24"/>
          <w:highlight w:val="none"/>
        </w:rPr>
      </w:pPr>
      <w:r>
        <w:rPr>
          <w:rFonts w:hint="eastAsia" w:ascii="宋体" w:hAnsi="宋体"/>
          <w:sz w:val="24"/>
          <w:highlight w:val="none"/>
        </w:rPr>
        <w:t>（一）按磋商文件提供的全部服务的响应总价详见《首次报价一览表》。</w:t>
      </w:r>
    </w:p>
    <w:p>
      <w:pPr>
        <w:spacing w:line="360" w:lineRule="auto"/>
        <w:ind w:firstLine="480" w:firstLineChars="200"/>
        <w:rPr>
          <w:rFonts w:ascii="宋体" w:hAnsi="宋体"/>
          <w:sz w:val="24"/>
          <w:highlight w:val="none"/>
        </w:rPr>
      </w:pPr>
      <w:r>
        <w:rPr>
          <w:rFonts w:hint="eastAsia" w:ascii="宋体" w:hAnsi="宋体"/>
          <w:sz w:val="24"/>
          <w:highlight w:val="none"/>
        </w:rPr>
        <w:t>（二）本响应文件的有效期为响应截止时间起90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spacing w:line="360" w:lineRule="auto"/>
        <w:ind w:firstLine="480" w:firstLineChars="200"/>
        <w:rPr>
          <w:rFonts w:ascii="宋体" w:hAnsi="宋体"/>
          <w:sz w:val="24"/>
          <w:highlight w:val="none"/>
        </w:rPr>
      </w:pPr>
      <w:r>
        <w:rPr>
          <w:rFonts w:hint="eastAsia" w:ascii="宋体" w:hAnsi="宋体"/>
          <w:sz w:val="24"/>
          <w:highlight w:val="none"/>
        </w:rPr>
        <w:t>（三）我方明白并同意，在规定的开标日之后，响应有效期之内撤回响应或成交后不按规定与采购人签订合同或不提交履约保证金，则贵方将不予退还磋商保证金。</w:t>
      </w:r>
    </w:p>
    <w:p>
      <w:pPr>
        <w:spacing w:line="360" w:lineRule="auto"/>
        <w:ind w:firstLine="480" w:firstLineChars="200"/>
        <w:rPr>
          <w:rFonts w:ascii="宋体" w:hAnsi="宋体"/>
          <w:sz w:val="24"/>
          <w:highlight w:val="none"/>
        </w:rPr>
      </w:pPr>
      <w:r>
        <w:rPr>
          <w:rFonts w:hint="eastAsia" w:ascii="宋体" w:hAnsi="宋体"/>
          <w:sz w:val="24"/>
          <w:highlight w:val="none"/>
        </w:rPr>
        <w:t>（四）我方同意按照贵方可能提出的要求而提供与响应有关的任何其它数据、信息或资料。</w:t>
      </w:r>
    </w:p>
    <w:p>
      <w:pPr>
        <w:spacing w:line="360" w:lineRule="auto"/>
        <w:ind w:firstLine="480" w:firstLineChars="200"/>
        <w:rPr>
          <w:rFonts w:ascii="宋体" w:hAnsi="宋体"/>
          <w:sz w:val="24"/>
          <w:highlight w:val="none"/>
        </w:rPr>
      </w:pPr>
      <w:r>
        <w:rPr>
          <w:rFonts w:hint="eastAsia" w:ascii="宋体" w:hAnsi="宋体"/>
          <w:sz w:val="24"/>
          <w:highlight w:val="none"/>
        </w:rPr>
        <w:t>（五）我方理解贵方不一定接受最低响应价或任何贵方可能收到的响应报价。</w:t>
      </w:r>
    </w:p>
    <w:p>
      <w:pPr>
        <w:spacing w:line="360" w:lineRule="auto"/>
        <w:ind w:firstLine="480" w:firstLineChars="200"/>
        <w:rPr>
          <w:rFonts w:ascii="宋体" w:hAnsi="宋体"/>
          <w:sz w:val="24"/>
          <w:highlight w:val="none"/>
        </w:rPr>
      </w:pPr>
      <w:r>
        <w:rPr>
          <w:rFonts w:hint="eastAsia" w:ascii="宋体" w:hAnsi="宋体"/>
          <w:sz w:val="24"/>
          <w:highlight w:val="none"/>
        </w:rPr>
        <w:t>（六）我方如果成交，将保证履行磋商文件及其澄清、修改文件（如果有）中的全部责任和义务，按质、按量、按期完成《用户需求书》及《合同书》中的全部任务。</w:t>
      </w:r>
    </w:p>
    <w:p>
      <w:pPr>
        <w:spacing w:line="360" w:lineRule="auto"/>
        <w:ind w:firstLine="480" w:firstLineChars="200"/>
        <w:rPr>
          <w:rFonts w:ascii="宋体" w:hAnsi="宋体"/>
          <w:sz w:val="24"/>
          <w:highlight w:val="none"/>
        </w:rPr>
      </w:pPr>
      <w:r>
        <w:rPr>
          <w:rFonts w:hint="eastAsia" w:ascii="宋体" w:hAnsi="宋体"/>
          <w:sz w:val="24"/>
          <w:highlight w:val="none"/>
        </w:rPr>
        <w:t>（七）如我方被授予合同，我方承诺支付就本次采购应支付或将支付的采购代理服务费。</w:t>
      </w:r>
    </w:p>
    <w:p>
      <w:pPr>
        <w:spacing w:line="360" w:lineRule="auto"/>
        <w:ind w:firstLine="480" w:firstLineChars="200"/>
        <w:rPr>
          <w:rFonts w:ascii="宋体" w:hAnsi="宋体"/>
          <w:sz w:val="24"/>
          <w:highlight w:val="none"/>
        </w:rPr>
      </w:pPr>
      <w:r>
        <w:rPr>
          <w:rFonts w:hint="eastAsia" w:ascii="宋体" w:hAnsi="宋体"/>
          <w:sz w:val="24"/>
          <w:highlight w:val="none"/>
        </w:rPr>
        <w:t>（八）我方作为在法律、财务和运作上独立于采购人、采购代理机构的供应商，在此保证所提交的所有文件和全部说明是真实的和正确的。</w:t>
      </w:r>
    </w:p>
    <w:p>
      <w:pPr>
        <w:spacing w:line="360" w:lineRule="auto"/>
        <w:ind w:firstLine="480" w:firstLineChars="200"/>
        <w:rPr>
          <w:rFonts w:ascii="宋体" w:hAnsi="宋体"/>
          <w:sz w:val="24"/>
          <w:highlight w:val="none"/>
        </w:rPr>
      </w:pPr>
      <w:r>
        <w:rPr>
          <w:rFonts w:hint="eastAsia" w:ascii="宋体" w:hAnsi="宋体"/>
          <w:sz w:val="24"/>
          <w:highlight w:val="none"/>
        </w:rPr>
        <w:t xml:space="preserve">（九）我方响应报价已包含应向知识产权所有权人支付的所有相关税费，并保证采购人在中国使用我方提供的货物时，如有第三方提出侵犯其知识产权主张的，责任由我方承担。 </w:t>
      </w:r>
    </w:p>
    <w:p>
      <w:pPr>
        <w:spacing w:line="360" w:lineRule="auto"/>
        <w:ind w:firstLine="480" w:firstLineChars="200"/>
        <w:rPr>
          <w:rFonts w:ascii="宋体" w:hAnsi="宋体"/>
          <w:sz w:val="24"/>
          <w:highlight w:val="none"/>
        </w:rPr>
      </w:pPr>
      <w:bookmarkStart w:id="521" w:name="_Toc20139"/>
      <w:bookmarkStart w:id="522" w:name="_Toc2656"/>
      <w:bookmarkStart w:id="523" w:name="_Toc30327"/>
      <w:r>
        <w:rPr>
          <w:rFonts w:hint="eastAsia" w:ascii="宋体" w:hAnsi="宋体"/>
          <w:sz w:val="24"/>
          <w:highlight w:val="none"/>
        </w:rPr>
        <w:t>（十）</w:t>
      </w:r>
      <w:r>
        <w:rPr>
          <w:rFonts w:hint="eastAsia" w:ascii="宋体" w:hAnsi="宋体"/>
          <w:b/>
          <w:bCs/>
          <w:sz w:val="24"/>
          <w:highlight w:val="none"/>
          <w:u w:val="single"/>
        </w:rPr>
        <w:t>我方符合磋商文件中“供应商资格要求”规定的条件</w:t>
      </w:r>
      <w:r>
        <w:rPr>
          <w:rFonts w:hint="eastAsia" w:ascii="宋体" w:hAnsi="宋体"/>
          <w:sz w:val="24"/>
          <w:highlight w:val="none"/>
        </w:rPr>
        <w:t>，承诺如下：</w:t>
      </w:r>
      <w:bookmarkEnd w:id="521"/>
      <w:bookmarkEnd w:id="522"/>
      <w:bookmarkEnd w:id="523"/>
    </w:p>
    <w:p>
      <w:pPr>
        <w:spacing w:line="360" w:lineRule="auto"/>
        <w:ind w:firstLine="480" w:firstLineChars="200"/>
        <w:rPr>
          <w:rFonts w:ascii="宋体" w:hAnsi="宋体"/>
          <w:sz w:val="24"/>
          <w:highlight w:val="none"/>
        </w:rPr>
      </w:pPr>
      <w:bookmarkStart w:id="524" w:name="_Toc2071"/>
      <w:bookmarkStart w:id="525" w:name="_Toc14364"/>
      <w:bookmarkStart w:id="526" w:name="_Toc17937"/>
      <w:r>
        <w:rPr>
          <w:rFonts w:hint="eastAsia" w:ascii="宋体" w:hAnsi="宋体"/>
          <w:sz w:val="24"/>
          <w:highlight w:val="none"/>
        </w:rPr>
        <w:t>（1）我方具有独立承担民事责任的能力，且是中华人民共和国境内注册的法人、其他组织或自然人；</w:t>
      </w:r>
      <w:bookmarkEnd w:id="524"/>
    </w:p>
    <w:p>
      <w:pPr>
        <w:spacing w:line="360" w:lineRule="auto"/>
        <w:ind w:firstLine="480" w:firstLineChars="200"/>
        <w:rPr>
          <w:rFonts w:ascii="宋体" w:hAnsi="宋体"/>
          <w:sz w:val="24"/>
          <w:highlight w:val="none"/>
        </w:rPr>
      </w:pPr>
      <w:bookmarkStart w:id="527" w:name="_Toc9945"/>
      <w:r>
        <w:rPr>
          <w:rFonts w:hint="eastAsia" w:ascii="宋体" w:hAnsi="宋体"/>
          <w:sz w:val="24"/>
          <w:highlight w:val="none"/>
        </w:rPr>
        <w:t>（2）我方具有良好的商业信誉和健全的财务会计制度；</w:t>
      </w:r>
      <w:bookmarkEnd w:id="525"/>
      <w:bookmarkEnd w:id="526"/>
      <w:bookmarkEnd w:id="527"/>
    </w:p>
    <w:p>
      <w:pPr>
        <w:spacing w:line="360" w:lineRule="auto"/>
        <w:ind w:firstLine="480" w:firstLineChars="200"/>
        <w:rPr>
          <w:rFonts w:ascii="宋体" w:hAnsi="宋体"/>
          <w:sz w:val="24"/>
          <w:highlight w:val="none"/>
        </w:rPr>
      </w:pPr>
      <w:bookmarkStart w:id="528" w:name="_Toc25137"/>
      <w:bookmarkStart w:id="529" w:name="_Toc24656"/>
      <w:bookmarkStart w:id="530" w:name="_Toc25294"/>
      <w:r>
        <w:rPr>
          <w:rFonts w:hint="eastAsia" w:ascii="宋体" w:hAnsi="宋体"/>
          <w:sz w:val="24"/>
          <w:highlight w:val="none"/>
        </w:rPr>
        <w:t>（3）我方具有履行合同所必须的设备和专业技术能力；</w:t>
      </w:r>
      <w:bookmarkEnd w:id="528"/>
      <w:bookmarkEnd w:id="529"/>
      <w:bookmarkEnd w:id="530"/>
    </w:p>
    <w:p>
      <w:pPr>
        <w:spacing w:line="360" w:lineRule="auto"/>
        <w:ind w:firstLine="480" w:firstLineChars="200"/>
        <w:rPr>
          <w:rFonts w:ascii="宋体" w:hAnsi="宋体"/>
          <w:sz w:val="24"/>
          <w:highlight w:val="none"/>
        </w:rPr>
      </w:pPr>
      <w:bookmarkStart w:id="531" w:name="_Toc20410"/>
      <w:bookmarkStart w:id="532" w:name="_Toc16193"/>
      <w:bookmarkStart w:id="533" w:name="_Toc20191"/>
      <w:r>
        <w:rPr>
          <w:rFonts w:hint="eastAsia" w:ascii="宋体" w:hAnsi="宋体"/>
          <w:sz w:val="24"/>
          <w:highlight w:val="none"/>
        </w:rPr>
        <w:t>（4）我方具有依法缴纳税收和社会保障资金的良好记录；</w:t>
      </w:r>
      <w:bookmarkEnd w:id="531"/>
      <w:bookmarkEnd w:id="532"/>
      <w:bookmarkEnd w:id="533"/>
    </w:p>
    <w:p>
      <w:pPr>
        <w:spacing w:line="360" w:lineRule="auto"/>
        <w:ind w:firstLine="480" w:firstLineChars="200"/>
        <w:rPr>
          <w:rFonts w:ascii="宋体" w:hAnsi="宋体"/>
          <w:sz w:val="24"/>
          <w:highlight w:val="none"/>
        </w:rPr>
      </w:pPr>
      <w:bookmarkStart w:id="534" w:name="_Toc21563"/>
      <w:bookmarkStart w:id="535" w:name="_Toc16926"/>
      <w:bookmarkStart w:id="536" w:name="_Toc14579"/>
      <w:r>
        <w:rPr>
          <w:rFonts w:hint="eastAsia" w:ascii="宋体" w:hAnsi="宋体"/>
          <w:sz w:val="24"/>
          <w:highlight w:val="none"/>
        </w:rPr>
        <w:t>（5）我方参加本次政府采购活动前三年内，在经营活动中没有重大违法记录；</w:t>
      </w:r>
      <w:bookmarkEnd w:id="534"/>
      <w:bookmarkEnd w:id="535"/>
      <w:bookmarkEnd w:id="536"/>
    </w:p>
    <w:p>
      <w:pPr>
        <w:spacing w:line="360" w:lineRule="auto"/>
        <w:ind w:firstLine="480" w:firstLineChars="200"/>
        <w:rPr>
          <w:rFonts w:ascii="宋体" w:hAnsi="宋体"/>
          <w:sz w:val="24"/>
          <w:highlight w:val="none"/>
        </w:rPr>
      </w:pPr>
      <w:bookmarkStart w:id="537" w:name="_Toc30273"/>
      <w:bookmarkStart w:id="538" w:name="_Toc32489"/>
      <w:bookmarkStart w:id="539" w:name="_Toc7846"/>
      <w:r>
        <w:rPr>
          <w:rFonts w:hint="eastAsia" w:ascii="宋体" w:hAnsi="宋体"/>
          <w:sz w:val="24"/>
          <w:highlight w:val="none"/>
        </w:rPr>
        <w:t>（6）我方具有法律、行政法规规定的其他条件；</w:t>
      </w:r>
      <w:bookmarkEnd w:id="537"/>
      <w:bookmarkEnd w:id="538"/>
      <w:bookmarkEnd w:id="539"/>
    </w:p>
    <w:p>
      <w:pPr>
        <w:spacing w:line="360" w:lineRule="auto"/>
        <w:ind w:firstLine="480" w:firstLineChars="200"/>
        <w:rPr>
          <w:rFonts w:ascii="宋体" w:hAnsi="宋体"/>
          <w:sz w:val="24"/>
          <w:highlight w:val="none"/>
        </w:rPr>
      </w:pPr>
      <w:bookmarkStart w:id="540" w:name="_Toc19026"/>
      <w:bookmarkStart w:id="541" w:name="_Toc3674"/>
      <w:bookmarkStart w:id="542" w:name="_Toc9446"/>
      <w:r>
        <w:rPr>
          <w:rFonts w:hint="eastAsia" w:ascii="宋体" w:hAnsi="宋体"/>
          <w:sz w:val="24"/>
          <w:highlight w:val="none"/>
        </w:rPr>
        <w:t>（7）我方具备采购人根据采购项目提出的特殊条件（如果有）。</w:t>
      </w:r>
      <w:bookmarkEnd w:id="540"/>
      <w:bookmarkEnd w:id="541"/>
      <w:bookmarkEnd w:id="542"/>
    </w:p>
    <w:p>
      <w:pPr>
        <w:spacing w:line="360" w:lineRule="auto"/>
        <w:ind w:firstLine="482" w:firstLineChars="200"/>
        <w:rPr>
          <w:rFonts w:ascii="宋体" w:hAnsi="宋体"/>
          <w:b/>
          <w:bCs/>
          <w:sz w:val="24"/>
          <w:highlight w:val="none"/>
          <w:u w:val="single"/>
        </w:rPr>
      </w:pPr>
      <w:bookmarkStart w:id="543" w:name="_Toc7440"/>
      <w:bookmarkStart w:id="544" w:name="_Toc18816"/>
      <w:bookmarkStart w:id="545" w:name="_Toc28260"/>
      <w:r>
        <w:rPr>
          <w:rFonts w:hint="eastAsia" w:ascii="宋体" w:hAnsi="宋体"/>
          <w:b/>
          <w:bCs/>
          <w:sz w:val="24"/>
          <w:highlight w:val="none"/>
          <w:u w:val="single"/>
        </w:rPr>
        <w:t>以上内容如有虚假或与事实不符的，磋商小组可将我方做无效响应处理，相关法律责任和处罚也由我方承担。</w:t>
      </w:r>
      <w:bookmarkEnd w:id="543"/>
      <w:bookmarkEnd w:id="544"/>
      <w:bookmarkEnd w:id="545"/>
    </w:p>
    <w:p>
      <w:pPr>
        <w:spacing w:line="360" w:lineRule="auto"/>
        <w:ind w:firstLine="480" w:firstLineChars="200"/>
        <w:rPr>
          <w:rFonts w:ascii="宋体" w:hAnsi="宋体"/>
          <w:sz w:val="24"/>
          <w:highlight w:val="none"/>
        </w:rPr>
      </w:pPr>
      <w:r>
        <w:rPr>
          <w:rFonts w:hint="eastAsia" w:ascii="宋体" w:hAnsi="宋体"/>
          <w:sz w:val="24"/>
          <w:highlight w:val="none"/>
        </w:rPr>
        <w:t>（十一）我方对在本函及响应文件中所作的所有承诺承担法律责任。</w:t>
      </w:r>
    </w:p>
    <w:p>
      <w:pPr>
        <w:spacing w:line="360" w:lineRule="auto"/>
        <w:ind w:firstLine="480" w:firstLineChars="200"/>
        <w:rPr>
          <w:rFonts w:ascii="宋体" w:hAnsi="宋体"/>
          <w:sz w:val="24"/>
          <w:highlight w:val="none"/>
        </w:rPr>
      </w:pPr>
      <w:r>
        <w:rPr>
          <w:rFonts w:hint="eastAsia" w:ascii="宋体" w:hAnsi="宋体"/>
          <w:sz w:val="24"/>
          <w:highlight w:val="none"/>
        </w:rPr>
        <w:t>（十二）所有与本采购有关的函件请发往下列地址：</w:t>
      </w: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r>
        <w:rPr>
          <w:rFonts w:hint="eastAsia" w:ascii="宋体" w:hAnsi="宋体"/>
          <w:sz w:val="24"/>
          <w:highlight w:val="none"/>
        </w:rPr>
        <w:t>.邮政编码：</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传    真：</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代表姓名：</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rPr>
          <w:rFonts w:ascii="宋体" w:hAnsi="宋体"/>
          <w:color w:val="000000"/>
          <w:sz w:val="24"/>
          <w:highlight w:val="none"/>
          <w:u w:val="single"/>
        </w:rPr>
      </w:pPr>
    </w:p>
    <w:p>
      <w:pPr>
        <w:spacing w:line="360" w:lineRule="auto"/>
        <w:rPr>
          <w:rFonts w:ascii="宋体" w:hAnsi="宋体"/>
          <w:color w:val="000000"/>
          <w:sz w:val="24"/>
          <w:highlight w:val="none"/>
          <w:u w:val="single"/>
        </w:rPr>
      </w:pPr>
    </w:p>
    <w:p>
      <w:pPr>
        <w:spacing w:line="360" w:lineRule="auto"/>
        <w:rPr>
          <w:rFonts w:ascii="宋体" w:hAnsi="宋体"/>
          <w:color w:val="000000"/>
          <w:sz w:val="24"/>
          <w:highlight w:val="none"/>
          <w:u w:val="single"/>
        </w:rPr>
      </w:pPr>
    </w:p>
    <w:p>
      <w:pPr>
        <w:spacing w:line="360" w:lineRule="auto"/>
        <w:rPr>
          <w:rFonts w:ascii="宋体" w:hAnsi="宋体"/>
          <w:color w:val="000000"/>
          <w:sz w:val="24"/>
          <w:highlight w:val="none"/>
          <w:u w:val="singl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供应商法定代表人（或法定代表人授权代表）签字：</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供应商名称（盖章）：</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ind w:firstLine="480" w:firstLineChars="200"/>
        <w:rPr>
          <w:rFonts w:ascii="仿宋_GB2312" w:hAnsi="仿宋" w:eastAsia="仿宋_GB2312" w:cs="仿宋"/>
          <w:sz w:val="24"/>
          <w:highlight w:val="none"/>
        </w:rPr>
      </w:pPr>
    </w:p>
    <w:p>
      <w:pPr>
        <w:pStyle w:val="11"/>
        <w:rPr>
          <w:rFonts w:ascii="仿宋_GB2312" w:hAnsi="仿宋" w:eastAsia="仿宋_GB2312" w:cs="仿宋"/>
          <w:sz w:val="24"/>
          <w:highlight w:val="none"/>
        </w:rPr>
      </w:pPr>
    </w:p>
    <w:p>
      <w:pPr>
        <w:pStyle w:val="11"/>
        <w:rPr>
          <w:rFonts w:ascii="仿宋_GB2312" w:hAnsi="仿宋" w:eastAsia="仿宋_GB2312" w:cs="仿宋"/>
          <w:sz w:val="24"/>
          <w:highlight w:val="none"/>
        </w:rPr>
      </w:pPr>
    </w:p>
    <w:p>
      <w:pPr>
        <w:spacing w:line="360" w:lineRule="atLeast"/>
        <w:jc w:val="center"/>
        <w:outlineLvl w:val="1"/>
        <w:rPr>
          <w:rFonts w:ascii="黑体" w:hAnsi="仿宋" w:eastAsia="黑体" w:cs="仿宋"/>
          <w:b/>
          <w:sz w:val="32"/>
          <w:szCs w:val="32"/>
          <w:highlight w:val="none"/>
        </w:rPr>
      </w:pPr>
      <w:bookmarkStart w:id="546" w:name="_Toc4675"/>
      <w:r>
        <w:rPr>
          <w:rFonts w:hint="eastAsia" w:ascii="黑体" w:hAnsi="仿宋" w:eastAsia="黑体" w:cs="仿宋"/>
          <w:b/>
          <w:sz w:val="32"/>
          <w:szCs w:val="32"/>
          <w:highlight w:val="none"/>
        </w:rPr>
        <w:t>四、报价表</w:t>
      </w:r>
      <w:bookmarkEnd w:id="546"/>
    </w:p>
    <w:p>
      <w:pPr>
        <w:spacing w:line="360" w:lineRule="auto"/>
        <w:ind w:firstLine="482" w:firstLineChars="200"/>
        <w:rPr>
          <w:rFonts w:ascii="宋体" w:cs="Times New Roman"/>
          <w:b/>
          <w:bCs/>
          <w:sz w:val="24"/>
          <w:highlight w:val="none"/>
        </w:rPr>
      </w:pPr>
      <w:r>
        <w:rPr>
          <w:rFonts w:ascii="宋体" w:hAnsi="宋体"/>
          <w:b/>
          <w:bCs/>
          <w:sz w:val="24"/>
          <w:highlight w:val="none"/>
        </w:rPr>
        <w:t>4.1</w:t>
      </w:r>
      <w:r>
        <w:rPr>
          <w:rFonts w:hint="eastAsia" w:ascii="宋体" w:hAnsi="宋体"/>
          <w:b/>
          <w:bCs/>
          <w:sz w:val="24"/>
          <w:highlight w:val="none"/>
        </w:rPr>
        <w:t>首次报价一览表（格式）</w:t>
      </w:r>
    </w:p>
    <w:p>
      <w:pPr>
        <w:spacing w:line="360" w:lineRule="auto"/>
        <w:ind w:firstLine="482" w:firstLineChars="200"/>
        <w:rPr>
          <w:rFonts w:ascii="宋体" w:cs="Times New Roman"/>
          <w:b/>
          <w:bCs/>
          <w:sz w:val="24"/>
          <w:highlight w:val="none"/>
        </w:rPr>
      </w:pPr>
      <w:r>
        <w:rPr>
          <w:rFonts w:ascii="宋体" w:hAnsi="宋体"/>
          <w:b/>
          <w:bCs/>
          <w:sz w:val="24"/>
          <w:highlight w:val="none"/>
        </w:rPr>
        <w:t>4.2</w:t>
      </w:r>
      <w:r>
        <w:rPr>
          <w:rFonts w:hint="eastAsia" w:ascii="宋体" w:hAnsi="宋体"/>
          <w:b/>
          <w:bCs/>
          <w:sz w:val="24"/>
          <w:highlight w:val="none"/>
        </w:rPr>
        <w:t>分项报价表（格式）</w:t>
      </w: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hAnsi="宋体"/>
          <w:b/>
          <w:bCs/>
          <w:sz w:val="24"/>
          <w:highlight w:val="none"/>
        </w:rPr>
      </w:pPr>
    </w:p>
    <w:p>
      <w:pPr>
        <w:rPr>
          <w:rFonts w:ascii="宋体" w:hAnsi="宋体"/>
          <w:b/>
          <w:bCs/>
          <w:sz w:val="24"/>
          <w:highlight w:val="none"/>
        </w:rPr>
      </w:pPr>
      <w:r>
        <w:rPr>
          <w:rFonts w:ascii="宋体" w:hAnsi="宋体"/>
          <w:b/>
          <w:bCs/>
          <w:sz w:val="24"/>
          <w:highlight w:val="none"/>
        </w:rPr>
        <w:br w:type="page"/>
      </w:r>
    </w:p>
    <w:p>
      <w:pPr>
        <w:spacing w:line="360" w:lineRule="auto"/>
        <w:ind w:firstLine="482" w:firstLineChars="200"/>
        <w:rPr>
          <w:rFonts w:ascii="宋体" w:cs="Times New Roman"/>
          <w:b/>
          <w:bCs/>
          <w:sz w:val="24"/>
          <w:highlight w:val="none"/>
        </w:rPr>
      </w:pPr>
      <w:r>
        <w:rPr>
          <w:rFonts w:ascii="宋体" w:hAnsi="宋体"/>
          <w:b/>
          <w:bCs/>
          <w:sz w:val="24"/>
          <w:highlight w:val="none"/>
        </w:rPr>
        <w:t>4.1</w:t>
      </w:r>
      <w:r>
        <w:rPr>
          <w:rFonts w:hint="eastAsia" w:ascii="宋体" w:hAnsi="宋体"/>
          <w:b/>
          <w:bCs/>
          <w:sz w:val="24"/>
          <w:highlight w:val="none"/>
        </w:rPr>
        <w:t>首次报价一览表</w:t>
      </w: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首次报价一览表（格式）</w:t>
      </w:r>
    </w:p>
    <w:p>
      <w:pPr>
        <w:spacing w:line="360" w:lineRule="auto"/>
        <w:ind w:firstLine="480" w:firstLineChars="200"/>
        <w:rPr>
          <w:rFonts w:ascii="宋体" w:cs="Times New Roman"/>
          <w:sz w:val="24"/>
          <w:highlight w:val="none"/>
        </w:rPr>
      </w:pPr>
      <w:r>
        <w:rPr>
          <w:rFonts w:hint="eastAsia" w:ascii="宋体" w:hAnsi="宋体"/>
          <w:sz w:val="24"/>
          <w:highlight w:val="none"/>
        </w:rPr>
        <w:t>项目名称：</w:t>
      </w:r>
    </w:p>
    <w:p>
      <w:pPr>
        <w:spacing w:line="360" w:lineRule="auto"/>
        <w:ind w:firstLine="480" w:firstLineChars="200"/>
        <w:rPr>
          <w:rFonts w:ascii="宋体" w:cs="Times New Roman"/>
          <w:sz w:val="24"/>
          <w:highlight w:val="none"/>
        </w:rPr>
      </w:pPr>
      <w:r>
        <w:rPr>
          <w:rFonts w:hint="eastAsia" w:ascii="宋体" w:hAnsi="宋体"/>
          <w:sz w:val="24"/>
          <w:highlight w:val="none"/>
        </w:rPr>
        <w:t>项目编号：</w:t>
      </w:r>
    </w:p>
    <w:p>
      <w:pPr>
        <w:spacing w:line="360" w:lineRule="auto"/>
        <w:ind w:firstLine="480" w:firstLineChars="200"/>
        <w:rPr>
          <w:rFonts w:ascii="宋体" w:hAnsi="宋体"/>
          <w:sz w:val="24"/>
          <w:highlight w:val="none"/>
        </w:rPr>
      </w:pPr>
      <w:r>
        <w:rPr>
          <w:rFonts w:hint="eastAsia" w:ascii="宋体" w:hAnsi="宋体"/>
          <w:sz w:val="24"/>
          <w:highlight w:val="none"/>
        </w:rPr>
        <w:t>供应商：</w:t>
      </w:r>
    </w:p>
    <w:p>
      <w:pPr>
        <w:kinsoku w:val="0"/>
        <w:spacing w:line="500" w:lineRule="exact"/>
        <w:ind w:firstLine="120" w:firstLineChars="50"/>
        <w:jc w:val="center"/>
        <w:rPr>
          <w:rFonts w:ascii="??_GB2312" w:hAnsi="仿宋" w:eastAsia="Times New Roman" w:cs="Times New Roman"/>
          <w:sz w:val="24"/>
          <w:highlight w:val="none"/>
        </w:rPr>
      </w:pPr>
      <w:r>
        <w:rPr>
          <w:rFonts w:ascii="宋体" w:hAnsi="宋体"/>
          <w:sz w:val="24"/>
          <w:highlight w:val="none"/>
        </w:rPr>
        <w:t xml:space="preserve">                                                           </w:t>
      </w:r>
    </w:p>
    <w:tbl>
      <w:tblPr>
        <w:tblStyle w:val="23"/>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Merge w:val="restart"/>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rPr>
              <w:t>首次总报价</w:t>
            </w:r>
          </w:p>
        </w:tc>
        <w:tc>
          <w:tcPr>
            <w:tcW w:w="6503" w:type="dxa"/>
            <w:vAlign w:val="center"/>
          </w:tcPr>
          <w:p>
            <w:pPr>
              <w:jc w:val="center"/>
              <w:rPr>
                <w:rFonts w:ascii="宋体" w:cs="Times New Roman"/>
                <w:sz w:val="24"/>
                <w:highlight w:val="none"/>
              </w:rPr>
            </w:pPr>
            <w:r>
              <w:rPr>
                <w:rFonts w:hint="eastAsia" w:ascii="宋体" w:hAnsi="宋体"/>
                <w:spacing w:val="-6"/>
                <w:sz w:val="24"/>
                <w:highlight w:val="none"/>
              </w:rPr>
              <w:t>（</w:t>
            </w:r>
            <w:r>
              <w:rPr>
                <w:rFonts w:ascii="宋体" w:hAnsi="宋体"/>
                <w:spacing w:val="-6"/>
                <w:sz w:val="24"/>
                <w:highlight w:val="none"/>
                <w:u w:val="single"/>
              </w:rPr>
              <w:t xml:space="preserve">                          </w:t>
            </w:r>
            <w:r>
              <w:rPr>
                <w:rFonts w:hint="eastAsia" w:ascii="宋体" w:hAnsi="宋体"/>
                <w:spacing w:val="-6"/>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Merge w:val="continue"/>
            <w:vAlign w:val="center"/>
          </w:tcPr>
          <w:p>
            <w:pPr>
              <w:spacing w:line="360" w:lineRule="auto"/>
              <w:jc w:val="center"/>
              <w:rPr>
                <w:rFonts w:ascii="黑体" w:hAnsi="黑体" w:eastAsia="黑体" w:cs="Times New Roman"/>
                <w:sz w:val="24"/>
                <w:highlight w:val="none"/>
              </w:rPr>
            </w:pPr>
          </w:p>
        </w:tc>
        <w:tc>
          <w:tcPr>
            <w:tcW w:w="6503" w:type="dxa"/>
            <w:vAlign w:val="center"/>
          </w:tcPr>
          <w:p>
            <w:pPr>
              <w:jc w:val="center"/>
              <w:rPr>
                <w:rFonts w:ascii="宋体" w:cs="Times New Roman"/>
                <w:sz w:val="24"/>
                <w:highlight w:val="none"/>
              </w:rPr>
            </w:pPr>
            <w:r>
              <w:rPr>
                <w:rFonts w:hint="eastAsia" w:ascii="宋体" w:hAnsi="宋体"/>
                <w:sz w:val="24"/>
                <w:highlight w:val="none"/>
              </w:rPr>
              <w:t>（人民币大写：</w:t>
            </w:r>
            <w:r>
              <w:rPr>
                <w:rFonts w:ascii="宋体" w:hAnsi="宋体"/>
                <w:sz w:val="24"/>
                <w:highlight w:val="none"/>
                <w:u w:val="single"/>
              </w:rPr>
              <w:t xml:space="preserve">             </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Align w:val="center"/>
          </w:tcPr>
          <w:p>
            <w:pPr>
              <w:spacing w:line="360" w:lineRule="auto"/>
              <w:jc w:val="center"/>
              <w:rPr>
                <w:rFonts w:ascii="黑体" w:hAnsi="黑体" w:eastAsia="黑体" w:cs="Times New Roman"/>
                <w:sz w:val="24"/>
                <w:highlight w:val="none"/>
              </w:rPr>
            </w:pPr>
            <w:r>
              <w:rPr>
                <w:rFonts w:hint="eastAsia" w:ascii="黑体" w:hAnsi="黑体" w:eastAsia="黑体" w:cs="Times New Roman"/>
                <w:sz w:val="24"/>
                <w:highlight w:val="none"/>
              </w:rPr>
              <w:t>服务期</w:t>
            </w:r>
          </w:p>
        </w:tc>
        <w:tc>
          <w:tcPr>
            <w:tcW w:w="6503"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pacing w:val="-6"/>
                <w:sz w:val="24"/>
                <w:highlight w:val="none"/>
              </w:rPr>
              <w:t>备注</w:t>
            </w:r>
          </w:p>
        </w:tc>
        <w:tc>
          <w:tcPr>
            <w:tcW w:w="6503" w:type="dxa"/>
            <w:vAlign w:val="center"/>
          </w:tcPr>
          <w:p>
            <w:pPr>
              <w:jc w:val="center"/>
              <w:rPr>
                <w:rFonts w:ascii="??_GB2312" w:hAnsi="仿宋" w:eastAsia="Times New Roman" w:cs="Times New Roman"/>
                <w:spacing w:val="-6"/>
                <w:sz w:val="24"/>
                <w:highlight w:val="none"/>
              </w:rPr>
            </w:pPr>
          </w:p>
        </w:tc>
      </w:tr>
    </w:tbl>
    <w:p>
      <w:pPr>
        <w:pStyle w:val="13"/>
        <w:spacing w:line="500" w:lineRule="exact"/>
        <w:ind w:left="-120" w:leftChars="-57" w:firstLine="527" w:firstLineChars="250"/>
        <w:rPr>
          <w:b/>
          <w:bCs/>
          <w:highlight w:val="none"/>
          <w:u w:val="single"/>
        </w:rPr>
      </w:pPr>
    </w:p>
    <w:p>
      <w:pPr>
        <w:pStyle w:val="13"/>
        <w:spacing w:line="440" w:lineRule="exact"/>
        <w:ind w:left="-120" w:leftChars="-57" w:firstLine="527" w:firstLineChars="250"/>
        <w:rPr>
          <w:b/>
          <w:bCs/>
          <w:highlight w:val="none"/>
          <w:u w:val="single"/>
        </w:rPr>
      </w:pPr>
      <w:r>
        <w:rPr>
          <w:rFonts w:hint="eastAsia" w:hAnsi="宋体"/>
          <w:b/>
          <w:bCs/>
          <w:highlight w:val="none"/>
          <w:u w:val="single"/>
        </w:rPr>
        <w:t>注：</w:t>
      </w:r>
    </w:p>
    <w:p>
      <w:pPr>
        <w:pStyle w:val="13"/>
        <w:spacing w:line="440" w:lineRule="exact"/>
        <w:ind w:left="-120" w:leftChars="-57" w:firstLine="527" w:firstLineChars="250"/>
        <w:rPr>
          <w:b/>
          <w:bCs/>
          <w:highlight w:val="none"/>
          <w:u w:val="single"/>
        </w:rPr>
      </w:pPr>
      <w:r>
        <w:rPr>
          <w:rFonts w:hAnsi="宋体"/>
          <w:b/>
          <w:bCs/>
          <w:highlight w:val="none"/>
          <w:u w:val="single"/>
        </w:rPr>
        <w:t>1.</w:t>
      </w:r>
      <w:r>
        <w:rPr>
          <w:rFonts w:hint="eastAsia" w:hAnsi="宋体"/>
          <w:b/>
          <w:bCs/>
          <w:highlight w:val="none"/>
          <w:u w:val="single"/>
        </w:rPr>
        <w:t>此表“首次总报价”是包括完成《用户需求书》要求的全部内容的所有可预见以及不可预见的费用。</w:t>
      </w:r>
    </w:p>
    <w:p>
      <w:pPr>
        <w:pStyle w:val="13"/>
        <w:spacing w:line="440" w:lineRule="exact"/>
        <w:ind w:left="-120" w:leftChars="-57" w:firstLine="527" w:firstLineChars="250"/>
        <w:rPr>
          <w:b/>
          <w:bCs/>
          <w:highlight w:val="none"/>
          <w:u w:val="single"/>
        </w:rPr>
      </w:pPr>
      <w:r>
        <w:rPr>
          <w:rFonts w:hAnsi="宋体"/>
          <w:b/>
          <w:bCs/>
          <w:highlight w:val="none"/>
          <w:u w:val="single"/>
        </w:rPr>
        <w:t>2.</w:t>
      </w:r>
      <w:r>
        <w:rPr>
          <w:rFonts w:hint="eastAsia" w:hAnsi="宋体"/>
          <w:b/>
          <w:bCs/>
          <w:highlight w:val="none"/>
          <w:u w:val="single"/>
        </w:rPr>
        <w:t>《首次报价一览表》除在响应文件内装订外，另制作一份单独放在一个信封中。封口处应有供应商全权代表签字及供应商公章。封皮上写明磋商项目名称、供应商名称，并注明“首次报价一览表”字样。</w:t>
      </w:r>
    </w:p>
    <w:p>
      <w:pPr>
        <w:pStyle w:val="13"/>
        <w:spacing w:line="440" w:lineRule="exact"/>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磋商文件规定的《首次报价一览表》格式以外的内容不予公开唱标，并不作为评审依据。</w:t>
      </w:r>
    </w:p>
    <w:p>
      <w:pPr>
        <w:pStyle w:val="13"/>
        <w:spacing w:line="440" w:lineRule="exact"/>
        <w:ind w:left="-120" w:leftChars="-57" w:firstLine="527" w:firstLineChars="250"/>
        <w:rPr>
          <w:b/>
          <w:bCs/>
          <w:highlight w:val="none"/>
          <w:u w:val="single"/>
        </w:rPr>
      </w:pPr>
      <w:r>
        <w:rPr>
          <w:rFonts w:hAnsi="宋体"/>
          <w:b/>
          <w:bCs/>
          <w:highlight w:val="none"/>
          <w:u w:val="single"/>
        </w:rPr>
        <w:t>4.</w:t>
      </w:r>
      <w:r>
        <w:rPr>
          <w:rFonts w:hint="eastAsia" w:hAnsi="宋体"/>
          <w:b/>
          <w:bCs/>
          <w:highlight w:val="none"/>
          <w:u w:val="single"/>
        </w:rPr>
        <w:t>表内报价内容以元为单位，保留小数点后两位。</w:t>
      </w:r>
    </w:p>
    <w:p>
      <w:pPr>
        <w:kinsoku w:val="0"/>
        <w:spacing w:line="500" w:lineRule="exact"/>
        <w:rPr>
          <w:rFonts w:ascii="??_GB2312" w:hAnsi="仿宋" w:eastAsia="Times New Roman" w:cs="Times New Roman"/>
          <w:sz w:val="24"/>
          <w:highlight w:val="none"/>
        </w:rPr>
      </w:pPr>
    </w:p>
    <w:p>
      <w:pPr>
        <w:kinsoku w:val="0"/>
        <w:spacing w:line="500" w:lineRule="exact"/>
        <w:rPr>
          <w:rFonts w:ascii="??_GB2312" w:hAnsi="仿宋" w:eastAsia="Times New Roman" w:cs="Times New Roman"/>
          <w:sz w:val="24"/>
          <w:highlight w:val="none"/>
        </w:rPr>
      </w:pPr>
    </w:p>
    <w:p>
      <w:pPr>
        <w:kinsoku w:val="0"/>
        <w:spacing w:line="500" w:lineRule="exact"/>
        <w:rPr>
          <w:rFonts w:ascii="??_GB2312" w:hAnsi="仿宋" w:eastAsia="Times New Roman" w:cs="Times New Roman"/>
          <w:sz w:val="24"/>
          <w:highlight w:val="none"/>
        </w:rPr>
      </w:pPr>
    </w:p>
    <w:p>
      <w:pPr>
        <w:kinsoku w:val="0"/>
        <w:spacing w:line="500" w:lineRule="exact"/>
        <w:rPr>
          <w:rFonts w:ascii="??_GB2312" w:hAnsi="仿宋" w:eastAsia="Times New Roman" w:cs="Times New Roman"/>
          <w:sz w:val="24"/>
          <w:highlight w:val="none"/>
        </w:rPr>
      </w:pPr>
    </w:p>
    <w:p>
      <w:pPr>
        <w:spacing w:line="360" w:lineRule="auto"/>
        <w:ind w:firstLine="420" w:firstLineChars="200"/>
        <w:rPr>
          <w:rFonts w:ascii="??_GB2312" w:hAnsi="仿宋" w:eastAsia="Times New Roman" w:cs="Times New Roman"/>
          <w:highlight w:val="none"/>
        </w:rPr>
      </w:pP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供应商法定代表人（或法定代表人授权代表）签字：</w:t>
      </w:r>
      <w:r>
        <w:rPr>
          <w:rFonts w:ascii="宋体" w:hAnsi="宋体"/>
          <w:sz w:val="24"/>
          <w:highlight w:val="none"/>
          <w:u w:val="single"/>
        </w:rPr>
        <w:t xml:space="preserve">                   </w:t>
      </w: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供应商名称（盖章）：</w:t>
      </w:r>
      <w:r>
        <w:rPr>
          <w:rFonts w:ascii="宋体" w:hAnsi="宋体"/>
          <w:sz w:val="24"/>
          <w:highlight w:val="none"/>
          <w:u w:val="single"/>
        </w:rPr>
        <w:t xml:space="preserve">                        </w:t>
      </w:r>
    </w:p>
    <w:p>
      <w:pPr>
        <w:spacing w:line="360" w:lineRule="auto"/>
        <w:ind w:firstLine="480" w:firstLineChars="200"/>
        <w:rPr>
          <w:rFonts w:ascii="宋体" w:cs="Times New Roman"/>
          <w:sz w:val="24"/>
          <w:highlight w:val="none"/>
        </w:rPr>
      </w:pPr>
      <w:r>
        <w:rPr>
          <w:rFonts w:hint="eastAsia" w:ascii="宋体" w:hAnsi="宋体"/>
          <w:sz w:val="24"/>
          <w:highlight w:val="none"/>
        </w:rPr>
        <w:t>日期：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360" w:lineRule="auto"/>
        <w:ind w:firstLine="482" w:firstLineChars="200"/>
        <w:rPr>
          <w:rFonts w:ascii="宋体" w:hAnsi="宋体"/>
          <w:b/>
          <w:bCs/>
          <w:sz w:val="24"/>
          <w:highlight w:val="none"/>
        </w:rPr>
        <w:sectPr>
          <w:footerReference r:id="rId5" w:type="default"/>
          <w:pgSz w:w="11906" w:h="16838"/>
          <w:pgMar w:top="1440" w:right="1080" w:bottom="1440" w:left="1080" w:header="851" w:footer="992" w:gutter="0"/>
          <w:cols w:space="425" w:num="1"/>
          <w:docGrid w:type="lines" w:linePitch="312" w:charSpace="0"/>
        </w:sectPr>
      </w:pPr>
    </w:p>
    <w:p>
      <w:pPr>
        <w:spacing w:line="360" w:lineRule="auto"/>
        <w:ind w:firstLine="482" w:firstLineChars="200"/>
        <w:rPr>
          <w:rFonts w:ascii="宋体" w:cs="Times New Roman"/>
          <w:b/>
          <w:bCs/>
          <w:sz w:val="24"/>
          <w:highlight w:val="none"/>
        </w:rPr>
      </w:pPr>
      <w:r>
        <w:rPr>
          <w:rFonts w:ascii="宋体" w:hAnsi="宋体"/>
          <w:b/>
          <w:bCs/>
          <w:sz w:val="24"/>
          <w:highlight w:val="none"/>
        </w:rPr>
        <w:t>4.2</w:t>
      </w:r>
      <w:r>
        <w:rPr>
          <w:rFonts w:hint="eastAsia" w:ascii="宋体" w:hAnsi="宋体"/>
          <w:b/>
          <w:bCs/>
          <w:sz w:val="24"/>
          <w:highlight w:val="none"/>
        </w:rPr>
        <w:t>分项报价表</w:t>
      </w: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分项报价表（格式）</w:t>
      </w:r>
    </w:p>
    <w:p>
      <w:pPr>
        <w:spacing w:line="360" w:lineRule="auto"/>
        <w:ind w:firstLine="480" w:firstLineChars="200"/>
        <w:rPr>
          <w:rFonts w:ascii="宋体" w:cs="Times New Roman"/>
          <w:sz w:val="24"/>
          <w:highlight w:val="none"/>
        </w:rPr>
      </w:pPr>
      <w:r>
        <w:rPr>
          <w:rFonts w:hint="eastAsia" w:ascii="宋体" w:hAnsi="宋体"/>
          <w:sz w:val="24"/>
          <w:highlight w:val="none"/>
        </w:rPr>
        <w:t>项目名称：</w:t>
      </w:r>
    </w:p>
    <w:p>
      <w:pPr>
        <w:spacing w:line="360" w:lineRule="auto"/>
        <w:ind w:firstLine="480" w:firstLineChars="200"/>
        <w:rPr>
          <w:rFonts w:ascii="宋体" w:cs="Times New Roman"/>
          <w:sz w:val="24"/>
          <w:highlight w:val="none"/>
        </w:rPr>
      </w:pPr>
      <w:r>
        <w:rPr>
          <w:rFonts w:hint="eastAsia" w:ascii="宋体" w:hAnsi="宋体"/>
          <w:sz w:val="24"/>
          <w:highlight w:val="none"/>
        </w:rPr>
        <w:t>项目编号：</w:t>
      </w:r>
    </w:p>
    <w:p>
      <w:pPr>
        <w:spacing w:line="360" w:lineRule="auto"/>
        <w:ind w:firstLine="480" w:firstLineChars="200"/>
        <w:rPr>
          <w:rFonts w:ascii="宋体" w:hAnsi="宋体"/>
          <w:sz w:val="24"/>
          <w:highlight w:val="none"/>
        </w:rPr>
      </w:pPr>
      <w:r>
        <w:rPr>
          <w:rFonts w:hint="eastAsia" w:ascii="宋体" w:hAnsi="宋体"/>
          <w:sz w:val="24"/>
          <w:highlight w:val="none"/>
        </w:rPr>
        <w:t>供应商：</w:t>
      </w:r>
    </w:p>
    <w:tbl>
      <w:tblPr>
        <w:tblStyle w:val="23"/>
        <w:tblW w:w="10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4"/>
        <w:gridCol w:w="1568"/>
        <w:gridCol w:w="1677"/>
        <w:gridCol w:w="1023"/>
        <w:gridCol w:w="13"/>
        <w:gridCol w:w="914"/>
        <w:gridCol w:w="14"/>
        <w:gridCol w:w="791"/>
        <w:gridCol w:w="16"/>
        <w:gridCol w:w="2352"/>
        <w:gridCol w:w="8"/>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5" w:type="dxa"/>
            <w:gridSpan w:val="13"/>
            <w:shd w:val="clear" w:color="auto" w:fill="F3F3F3"/>
            <w:vAlign w:val="center"/>
          </w:tcPr>
          <w:p>
            <w:pPr>
              <w:tabs>
                <w:tab w:val="left" w:pos="9585"/>
                <w:tab w:val="left" w:pos="11205"/>
              </w:tabs>
              <w:jc w:val="left"/>
              <w:rPr>
                <w:rFonts w:ascii="黑体" w:hAnsi="黑体" w:eastAsia="黑体" w:cs="Times New Roman"/>
                <w:sz w:val="24"/>
                <w:highlight w:val="none"/>
              </w:rPr>
            </w:pPr>
            <w:r>
              <w:rPr>
                <w:rFonts w:hint="eastAsia" w:ascii="黑体" w:hAnsi="黑体" w:eastAsia="黑体" w:cs="黑体"/>
                <w:sz w:val="24"/>
                <w:highlight w:val="none"/>
              </w:rPr>
              <w:t>一、服务类详列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68"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服务内容</w:t>
            </w:r>
          </w:p>
        </w:tc>
        <w:tc>
          <w:tcPr>
            <w:tcW w:w="1023"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单位</w:t>
            </w:r>
          </w:p>
        </w:tc>
        <w:tc>
          <w:tcPr>
            <w:tcW w:w="927" w:type="dxa"/>
            <w:gridSpan w:val="2"/>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821" w:type="dxa"/>
            <w:gridSpan w:val="3"/>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52"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15" w:type="dxa"/>
            <w:gridSpan w:val="2"/>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vAlign w:val="center"/>
          </w:tcPr>
          <w:p>
            <w:pPr>
              <w:spacing w:line="360" w:lineRule="auto"/>
              <w:jc w:val="center"/>
              <w:rPr>
                <w:rFonts w:ascii="黑体" w:hAnsi="黑体" w:eastAsia="黑体" w:cs="黑体"/>
                <w:highlight w:val="none"/>
              </w:rPr>
            </w:pPr>
            <w:r>
              <w:rPr>
                <w:rFonts w:hint="eastAsia" w:ascii="黑体" w:hAnsi="黑体" w:eastAsia="黑体" w:cs="黑体"/>
                <w:highlight w:val="none"/>
              </w:rPr>
              <w:t>1</w:t>
            </w:r>
          </w:p>
        </w:tc>
        <w:tc>
          <w:tcPr>
            <w:tcW w:w="1568" w:type="dxa"/>
            <w:vAlign w:val="center"/>
          </w:tcPr>
          <w:p>
            <w:pPr>
              <w:spacing w:line="360" w:lineRule="auto"/>
              <w:jc w:val="center"/>
              <w:rPr>
                <w:rFonts w:ascii="黑体" w:hAnsi="黑体" w:eastAsia="黑体" w:cs="黑体"/>
                <w:highlight w:val="none"/>
              </w:rPr>
            </w:pPr>
          </w:p>
        </w:tc>
        <w:tc>
          <w:tcPr>
            <w:tcW w:w="1677" w:type="dxa"/>
            <w:vAlign w:val="center"/>
          </w:tcPr>
          <w:p>
            <w:pPr>
              <w:spacing w:line="360" w:lineRule="auto"/>
              <w:jc w:val="center"/>
              <w:rPr>
                <w:rFonts w:ascii="黑体" w:hAnsi="黑体" w:eastAsia="黑体" w:cs="黑体"/>
                <w:highlight w:val="none"/>
              </w:rPr>
            </w:pPr>
          </w:p>
        </w:tc>
        <w:tc>
          <w:tcPr>
            <w:tcW w:w="1023" w:type="dxa"/>
            <w:vAlign w:val="center"/>
          </w:tcPr>
          <w:p>
            <w:pPr>
              <w:spacing w:line="360" w:lineRule="auto"/>
              <w:jc w:val="center"/>
              <w:rPr>
                <w:rFonts w:ascii="黑体" w:hAnsi="黑体" w:eastAsia="黑体" w:cs="黑体"/>
                <w:highlight w:val="none"/>
              </w:rPr>
            </w:pPr>
          </w:p>
        </w:tc>
        <w:tc>
          <w:tcPr>
            <w:tcW w:w="927" w:type="dxa"/>
            <w:gridSpan w:val="2"/>
            <w:vAlign w:val="center"/>
          </w:tcPr>
          <w:p>
            <w:pPr>
              <w:spacing w:line="360" w:lineRule="auto"/>
              <w:jc w:val="center"/>
              <w:rPr>
                <w:rFonts w:ascii="黑体" w:hAnsi="黑体" w:eastAsia="黑体" w:cs="黑体"/>
                <w:highlight w:val="none"/>
              </w:rPr>
            </w:pPr>
          </w:p>
        </w:tc>
        <w:tc>
          <w:tcPr>
            <w:tcW w:w="821" w:type="dxa"/>
            <w:gridSpan w:val="3"/>
            <w:vAlign w:val="center"/>
          </w:tcPr>
          <w:p>
            <w:pPr>
              <w:spacing w:line="360" w:lineRule="auto"/>
              <w:jc w:val="center"/>
              <w:rPr>
                <w:rFonts w:ascii="黑体" w:hAnsi="黑体" w:eastAsia="黑体" w:cs="黑体"/>
                <w:highlight w:val="none"/>
              </w:rPr>
            </w:pPr>
          </w:p>
        </w:tc>
        <w:tc>
          <w:tcPr>
            <w:tcW w:w="2352" w:type="dxa"/>
            <w:vAlign w:val="center"/>
          </w:tcPr>
          <w:p>
            <w:pPr>
              <w:spacing w:line="360" w:lineRule="auto"/>
              <w:jc w:val="center"/>
              <w:rPr>
                <w:rFonts w:ascii="黑体" w:hAnsi="黑体" w:eastAsia="黑体" w:cs="黑体"/>
                <w:highlight w:val="none"/>
              </w:rPr>
            </w:pPr>
          </w:p>
        </w:tc>
        <w:tc>
          <w:tcPr>
            <w:tcW w:w="1315" w:type="dxa"/>
            <w:gridSpan w:val="2"/>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1122" w:type="dxa"/>
            <w:gridSpan w:val="2"/>
            <w:vAlign w:val="center"/>
          </w:tcPr>
          <w:p>
            <w:pPr>
              <w:spacing w:line="360" w:lineRule="auto"/>
              <w:jc w:val="center"/>
              <w:rPr>
                <w:rFonts w:ascii="黑体" w:hAnsi="黑体" w:eastAsia="黑体" w:cs="黑体"/>
                <w:highlight w:val="none"/>
              </w:rPr>
            </w:pPr>
            <w:r>
              <w:rPr>
                <w:rFonts w:hint="eastAsia" w:ascii="黑体" w:hAnsi="黑体" w:eastAsia="黑体" w:cs="黑体"/>
                <w:highlight w:val="none"/>
              </w:rPr>
              <w:t>2</w:t>
            </w:r>
          </w:p>
        </w:tc>
        <w:tc>
          <w:tcPr>
            <w:tcW w:w="1568" w:type="dxa"/>
            <w:vAlign w:val="center"/>
          </w:tcPr>
          <w:p>
            <w:pPr>
              <w:spacing w:line="360" w:lineRule="auto"/>
              <w:jc w:val="center"/>
              <w:rPr>
                <w:rFonts w:ascii="黑体" w:hAnsi="黑体" w:eastAsia="黑体" w:cs="黑体"/>
                <w:highlight w:val="none"/>
              </w:rPr>
            </w:pPr>
          </w:p>
        </w:tc>
        <w:tc>
          <w:tcPr>
            <w:tcW w:w="1677" w:type="dxa"/>
            <w:vAlign w:val="center"/>
          </w:tcPr>
          <w:p>
            <w:pPr>
              <w:spacing w:line="360" w:lineRule="auto"/>
              <w:jc w:val="center"/>
              <w:rPr>
                <w:rFonts w:ascii="黑体" w:hAnsi="黑体" w:eastAsia="黑体" w:cs="黑体"/>
                <w:highlight w:val="none"/>
              </w:rPr>
            </w:pPr>
          </w:p>
        </w:tc>
        <w:tc>
          <w:tcPr>
            <w:tcW w:w="1023" w:type="dxa"/>
            <w:vAlign w:val="center"/>
          </w:tcPr>
          <w:p>
            <w:pPr>
              <w:spacing w:line="360" w:lineRule="auto"/>
              <w:jc w:val="center"/>
              <w:rPr>
                <w:rFonts w:ascii="黑体" w:hAnsi="黑体" w:eastAsia="黑体" w:cs="黑体"/>
                <w:highlight w:val="none"/>
              </w:rPr>
            </w:pPr>
          </w:p>
        </w:tc>
        <w:tc>
          <w:tcPr>
            <w:tcW w:w="927" w:type="dxa"/>
            <w:gridSpan w:val="2"/>
            <w:vAlign w:val="center"/>
          </w:tcPr>
          <w:p>
            <w:pPr>
              <w:spacing w:line="360" w:lineRule="auto"/>
              <w:jc w:val="center"/>
              <w:rPr>
                <w:rFonts w:ascii="黑体" w:hAnsi="黑体" w:eastAsia="黑体" w:cs="黑体"/>
                <w:highlight w:val="none"/>
              </w:rPr>
            </w:pPr>
          </w:p>
        </w:tc>
        <w:tc>
          <w:tcPr>
            <w:tcW w:w="821" w:type="dxa"/>
            <w:gridSpan w:val="3"/>
            <w:vAlign w:val="center"/>
          </w:tcPr>
          <w:p>
            <w:pPr>
              <w:spacing w:line="360" w:lineRule="auto"/>
              <w:jc w:val="center"/>
              <w:rPr>
                <w:rFonts w:ascii="黑体" w:hAnsi="黑体" w:eastAsia="黑体" w:cs="黑体"/>
                <w:highlight w:val="none"/>
              </w:rPr>
            </w:pPr>
          </w:p>
        </w:tc>
        <w:tc>
          <w:tcPr>
            <w:tcW w:w="2352" w:type="dxa"/>
            <w:vAlign w:val="center"/>
          </w:tcPr>
          <w:p>
            <w:pPr>
              <w:spacing w:line="360" w:lineRule="auto"/>
              <w:jc w:val="center"/>
              <w:rPr>
                <w:rFonts w:ascii="黑体" w:hAnsi="黑体" w:eastAsia="黑体" w:cs="黑体"/>
                <w:highlight w:val="none"/>
              </w:rPr>
            </w:pPr>
          </w:p>
        </w:tc>
        <w:tc>
          <w:tcPr>
            <w:tcW w:w="1315" w:type="dxa"/>
            <w:gridSpan w:val="2"/>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68" w:type="dxa"/>
            <w:vAlign w:val="center"/>
          </w:tcPr>
          <w:p>
            <w:pPr>
              <w:spacing w:line="360" w:lineRule="auto"/>
              <w:jc w:val="center"/>
              <w:rPr>
                <w:rFonts w:ascii="黑体" w:hAnsi="黑体" w:eastAsia="黑体" w:cs="Times New Roman"/>
                <w:highlight w:val="none"/>
              </w:rPr>
            </w:pPr>
          </w:p>
        </w:tc>
        <w:tc>
          <w:tcPr>
            <w:tcW w:w="1677" w:type="dxa"/>
            <w:vAlign w:val="center"/>
          </w:tcPr>
          <w:p>
            <w:pPr>
              <w:spacing w:line="360" w:lineRule="auto"/>
              <w:jc w:val="center"/>
              <w:rPr>
                <w:rFonts w:ascii="黑体" w:hAnsi="黑体" w:eastAsia="黑体" w:cs="Times New Roman"/>
                <w:highlight w:val="none"/>
              </w:rPr>
            </w:pPr>
          </w:p>
        </w:tc>
        <w:tc>
          <w:tcPr>
            <w:tcW w:w="1023" w:type="dxa"/>
            <w:vAlign w:val="center"/>
          </w:tcPr>
          <w:p>
            <w:pPr>
              <w:spacing w:line="360" w:lineRule="auto"/>
              <w:jc w:val="center"/>
              <w:rPr>
                <w:rFonts w:ascii="黑体" w:hAnsi="黑体" w:eastAsia="黑体" w:cs="Times New Roman"/>
                <w:highlight w:val="none"/>
              </w:rPr>
            </w:pPr>
          </w:p>
        </w:tc>
        <w:tc>
          <w:tcPr>
            <w:tcW w:w="927" w:type="dxa"/>
            <w:gridSpan w:val="2"/>
            <w:vAlign w:val="center"/>
          </w:tcPr>
          <w:p>
            <w:pPr>
              <w:spacing w:line="360" w:lineRule="auto"/>
              <w:jc w:val="center"/>
              <w:rPr>
                <w:rFonts w:ascii="黑体" w:hAnsi="黑体" w:eastAsia="黑体" w:cs="Times New Roman"/>
                <w:highlight w:val="none"/>
              </w:rPr>
            </w:pPr>
          </w:p>
        </w:tc>
        <w:tc>
          <w:tcPr>
            <w:tcW w:w="821" w:type="dxa"/>
            <w:gridSpan w:val="3"/>
            <w:vAlign w:val="center"/>
          </w:tcPr>
          <w:p>
            <w:pPr>
              <w:spacing w:line="360" w:lineRule="auto"/>
              <w:jc w:val="center"/>
              <w:rPr>
                <w:rFonts w:ascii="黑体" w:hAnsi="黑体" w:eastAsia="黑体" w:cs="Times New Roman"/>
                <w:highlight w:val="none"/>
              </w:rPr>
            </w:pPr>
          </w:p>
        </w:tc>
        <w:tc>
          <w:tcPr>
            <w:tcW w:w="2352" w:type="dxa"/>
            <w:vAlign w:val="center"/>
          </w:tcPr>
          <w:p>
            <w:pPr>
              <w:spacing w:line="360" w:lineRule="auto"/>
              <w:jc w:val="center"/>
              <w:rPr>
                <w:rFonts w:ascii="黑体" w:hAnsi="黑体" w:eastAsia="黑体" w:cs="Times New Roman"/>
                <w:highlight w:val="none"/>
              </w:rPr>
            </w:pPr>
          </w:p>
        </w:tc>
        <w:tc>
          <w:tcPr>
            <w:tcW w:w="1315" w:type="dxa"/>
            <w:gridSpan w:val="2"/>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367" w:type="dxa"/>
            <w:gridSpan w:val="4"/>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71" w:type="dxa"/>
            <w:gridSpan w:val="6"/>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67" w:type="dxa"/>
            <w:gridSpan w:val="3"/>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805" w:type="dxa"/>
            <w:gridSpan w:val="13"/>
            <w:vAlign w:val="center"/>
          </w:tcPr>
          <w:p>
            <w:pPr>
              <w:tabs>
                <w:tab w:val="left" w:pos="9585"/>
                <w:tab w:val="left" w:pos="11205"/>
              </w:tabs>
              <w:rPr>
                <w:rFonts w:hAnsi="宋体" w:cs="Times New Roman"/>
                <w:b/>
                <w:bCs/>
                <w:highlight w:val="none"/>
              </w:rPr>
            </w:pPr>
            <w:r>
              <w:rPr>
                <w:rFonts w:hint="eastAsia" w:ascii="黑体" w:hAnsi="黑体" w:eastAsia="黑体" w:cs="黑体"/>
                <w:sz w:val="24"/>
                <w:highlight w:val="none"/>
              </w:rPr>
              <w:t>二、其他费用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82" w:type="dxa"/>
            <w:gridSpan w:val="2"/>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具体内容</w:t>
            </w:r>
          </w:p>
        </w:tc>
        <w:tc>
          <w:tcPr>
            <w:tcW w:w="1036" w:type="dxa"/>
            <w:gridSpan w:val="2"/>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单位</w:t>
            </w:r>
          </w:p>
        </w:tc>
        <w:tc>
          <w:tcPr>
            <w:tcW w:w="928" w:type="dxa"/>
            <w:gridSpan w:val="2"/>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791"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76" w:type="dxa"/>
            <w:gridSpan w:val="3"/>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07"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vAlign w:val="center"/>
          </w:tcPr>
          <w:p>
            <w:pPr>
              <w:spacing w:line="360" w:lineRule="auto"/>
              <w:jc w:val="center"/>
              <w:rPr>
                <w:rFonts w:ascii="黑体" w:hAnsi="黑体" w:eastAsia="黑体" w:cs="黑体"/>
                <w:highlight w:val="none"/>
              </w:rPr>
            </w:pPr>
            <w:r>
              <w:rPr>
                <w:rFonts w:hint="eastAsia" w:ascii="黑体" w:hAnsi="黑体" w:eastAsia="黑体" w:cs="黑体"/>
                <w:highlight w:val="none"/>
              </w:rPr>
              <w:t>3</w:t>
            </w:r>
          </w:p>
        </w:tc>
        <w:tc>
          <w:tcPr>
            <w:tcW w:w="1582" w:type="dxa"/>
            <w:gridSpan w:val="2"/>
            <w:vAlign w:val="center"/>
          </w:tcPr>
          <w:p>
            <w:pPr>
              <w:spacing w:line="360" w:lineRule="auto"/>
              <w:jc w:val="center"/>
              <w:rPr>
                <w:rFonts w:ascii="黑体" w:hAnsi="黑体" w:eastAsia="黑体" w:cs="黑体"/>
                <w:highlight w:val="none"/>
              </w:rPr>
            </w:pPr>
          </w:p>
        </w:tc>
        <w:tc>
          <w:tcPr>
            <w:tcW w:w="1677" w:type="dxa"/>
            <w:vAlign w:val="center"/>
          </w:tcPr>
          <w:p>
            <w:pPr>
              <w:spacing w:line="360" w:lineRule="auto"/>
              <w:jc w:val="center"/>
              <w:rPr>
                <w:rFonts w:ascii="黑体" w:hAnsi="黑体" w:eastAsia="黑体" w:cs="黑体"/>
                <w:highlight w:val="none"/>
              </w:rPr>
            </w:pPr>
          </w:p>
        </w:tc>
        <w:tc>
          <w:tcPr>
            <w:tcW w:w="1036" w:type="dxa"/>
            <w:gridSpan w:val="2"/>
            <w:vAlign w:val="center"/>
          </w:tcPr>
          <w:p>
            <w:pPr>
              <w:spacing w:line="360" w:lineRule="auto"/>
              <w:jc w:val="center"/>
              <w:rPr>
                <w:rFonts w:ascii="黑体" w:hAnsi="黑体" w:eastAsia="黑体" w:cs="黑体"/>
                <w:highlight w:val="none"/>
              </w:rPr>
            </w:pPr>
          </w:p>
        </w:tc>
        <w:tc>
          <w:tcPr>
            <w:tcW w:w="928" w:type="dxa"/>
            <w:gridSpan w:val="2"/>
            <w:vAlign w:val="center"/>
          </w:tcPr>
          <w:p>
            <w:pPr>
              <w:spacing w:line="360" w:lineRule="auto"/>
              <w:jc w:val="center"/>
              <w:rPr>
                <w:rFonts w:ascii="黑体" w:hAnsi="黑体" w:eastAsia="黑体" w:cs="黑体"/>
                <w:highlight w:val="none"/>
              </w:rPr>
            </w:pPr>
          </w:p>
        </w:tc>
        <w:tc>
          <w:tcPr>
            <w:tcW w:w="791" w:type="dxa"/>
            <w:vAlign w:val="center"/>
          </w:tcPr>
          <w:p>
            <w:pPr>
              <w:spacing w:line="360" w:lineRule="auto"/>
              <w:jc w:val="center"/>
              <w:rPr>
                <w:rFonts w:ascii="黑体" w:hAnsi="黑体" w:eastAsia="黑体" w:cs="黑体"/>
                <w:highlight w:val="none"/>
              </w:rPr>
            </w:pPr>
          </w:p>
        </w:tc>
        <w:tc>
          <w:tcPr>
            <w:tcW w:w="2376" w:type="dxa"/>
            <w:gridSpan w:val="3"/>
            <w:vAlign w:val="center"/>
          </w:tcPr>
          <w:p>
            <w:pPr>
              <w:spacing w:line="360" w:lineRule="auto"/>
              <w:jc w:val="center"/>
              <w:rPr>
                <w:rFonts w:ascii="黑体" w:hAnsi="黑体" w:eastAsia="黑体" w:cs="黑体"/>
                <w:highlight w:val="none"/>
              </w:rPr>
            </w:pPr>
          </w:p>
        </w:tc>
        <w:tc>
          <w:tcPr>
            <w:tcW w:w="1307" w:type="dxa"/>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vAlign w:val="center"/>
          </w:tcPr>
          <w:p>
            <w:pPr>
              <w:spacing w:line="360" w:lineRule="auto"/>
              <w:jc w:val="center"/>
              <w:rPr>
                <w:rFonts w:ascii="黑体" w:hAnsi="黑体" w:eastAsia="黑体" w:cs="黑体"/>
                <w:highlight w:val="none"/>
              </w:rPr>
            </w:pPr>
            <w:r>
              <w:rPr>
                <w:rFonts w:hint="eastAsia" w:ascii="黑体" w:hAnsi="黑体" w:eastAsia="黑体" w:cs="黑体"/>
                <w:highlight w:val="none"/>
              </w:rPr>
              <w:t>4</w:t>
            </w:r>
          </w:p>
        </w:tc>
        <w:tc>
          <w:tcPr>
            <w:tcW w:w="1582" w:type="dxa"/>
            <w:gridSpan w:val="2"/>
            <w:vAlign w:val="center"/>
          </w:tcPr>
          <w:p>
            <w:pPr>
              <w:spacing w:line="360" w:lineRule="auto"/>
              <w:jc w:val="center"/>
              <w:rPr>
                <w:rFonts w:ascii="黑体" w:hAnsi="黑体" w:eastAsia="黑体" w:cs="黑体"/>
                <w:highlight w:val="none"/>
              </w:rPr>
            </w:pPr>
          </w:p>
        </w:tc>
        <w:tc>
          <w:tcPr>
            <w:tcW w:w="1677" w:type="dxa"/>
            <w:vAlign w:val="center"/>
          </w:tcPr>
          <w:p>
            <w:pPr>
              <w:spacing w:line="360" w:lineRule="auto"/>
              <w:jc w:val="center"/>
              <w:rPr>
                <w:rFonts w:ascii="黑体" w:hAnsi="黑体" w:eastAsia="黑体" w:cs="黑体"/>
                <w:highlight w:val="none"/>
              </w:rPr>
            </w:pPr>
          </w:p>
        </w:tc>
        <w:tc>
          <w:tcPr>
            <w:tcW w:w="1036" w:type="dxa"/>
            <w:gridSpan w:val="2"/>
            <w:vAlign w:val="center"/>
          </w:tcPr>
          <w:p>
            <w:pPr>
              <w:spacing w:line="360" w:lineRule="auto"/>
              <w:jc w:val="center"/>
              <w:rPr>
                <w:rFonts w:ascii="黑体" w:hAnsi="黑体" w:eastAsia="黑体" w:cs="黑体"/>
                <w:highlight w:val="none"/>
              </w:rPr>
            </w:pPr>
          </w:p>
        </w:tc>
        <w:tc>
          <w:tcPr>
            <w:tcW w:w="928" w:type="dxa"/>
            <w:gridSpan w:val="2"/>
            <w:vAlign w:val="center"/>
          </w:tcPr>
          <w:p>
            <w:pPr>
              <w:spacing w:line="360" w:lineRule="auto"/>
              <w:jc w:val="center"/>
              <w:rPr>
                <w:rFonts w:ascii="黑体" w:hAnsi="黑体" w:eastAsia="黑体" w:cs="黑体"/>
                <w:highlight w:val="none"/>
              </w:rPr>
            </w:pPr>
          </w:p>
        </w:tc>
        <w:tc>
          <w:tcPr>
            <w:tcW w:w="791" w:type="dxa"/>
            <w:vAlign w:val="center"/>
          </w:tcPr>
          <w:p>
            <w:pPr>
              <w:spacing w:line="360" w:lineRule="auto"/>
              <w:jc w:val="center"/>
              <w:rPr>
                <w:rFonts w:ascii="黑体" w:hAnsi="黑体" w:eastAsia="黑体" w:cs="黑体"/>
                <w:highlight w:val="none"/>
              </w:rPr>
            </w:pPr>
          </w:p>
        </w:tc>
        <w:tc>
          <w:tcPr>
            <w:tcW w:w="2376" w:type="dxa"/>
            <w:gridSpan w:val="3"/>
            <w:vAlign w:val="center"/>
          </w:tcPr>
          <w:p>
            <w:pPr>
              <w:spacing w:line="360" w:lineRule="auto"/>
              <w:jc w:val="center"/>
              <w:rPr>
                <w:rFonts w:ascii="黑体" w:hAnsi="黑体" w:eastAsia="黑体" w:cs="黑体"/>
                <w:highlight w:val="none"/>
              </w:rPr>
            </w:pPr>
          </w:p>
        </w:tc>
        <w:tc>
          <w:tcPr>
            <w:tcW w:w="1307" w:type="dxa"/>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82" w:type="dxa"/>
            <w:gridSpan w:val="2"/>
            <w:vAlign w:val="center"/>
          </w:tcPr>
          <w:p>
            <w:pPr>
              <w:spacing w:line="360" w:lineRule="auto"/>
              <w:jc w:val="center"/>
              <w:rPr>
                <w:rFonts w:ascii="黑体" w:hAnsi="黑体" w:eastAsia="黑体" w:cs="Times New Roman"/>
                <w:highlight w:val="none"/>
              </w:rPr>
            </w:pPr>
          </w:p>
        </w:tc>
        <w:tc>
          <w:tcPr>
            <w:tcW w:w="1677" w:type="dxa"/>
            <w:vAlign w:val="center"/>
          </w:tcPr>
          <w:p>
            <w:pPr>
              <w:spacing w:line="360" w:lineRule="auto"/>
              <w:jc w:val="center"/>
              <w:rPr>
                <w:rFonts w:ascii="黑体" w:hAnsi="黑体" w:eastAsia="黑体" w:cs="Times New Roman"/>
                <w:highlight w:val="none"/>
              </w:rPr>
            </w:pPr>
          </w:p>
        </w:tc>
        <w:tc>
          <w:tcPr>
            <w:tcW w:w="1036" w:type="dxa"/>
            <w:gridSpan w:val="2"/>
            <w:vAlign w:val="center"/>
          </w:tcPr>
          <w:p>
            <w:pPr>
              <w:spacing w:line="360" w:lineRule="auto"/>
              <w:jc w:val="center"/>
              <w:rPr>
                <w:rFonts w:ascii="黑体" w:hAnsi="黑体" w:eastAsia="黑体" w:cs="Times New Roman"/>
                <w:highlight w:val="none"/>
              </w:rPr>
            </w:pPr>
          </w:p>
        </w:tc>
        <w:tc>
          <w:tcPr>
            <w:tcW w:w="928" w:type="dxa"/>
            <w:gridSpan w:val="2"/>
            <w:vAlign w:val="center"/>
          </w:tcPr>
          <w:p>
            <w:pPr>
              <w:spacing w:line="360" w:lineRule="auto"/>
              <w:jc w:val="center"/>
              <w:rPr>
                <w:rFonts w:ascii="黑体" w:hAnsi="黑体" w:eastAsia="黑体" w:cs="Times New Roman"/>
                <w:highlight w:val="none"/>
              </w:rPr>
            </w:pPr>
          </w:p>
        </w:tc>
        <w:tc>
          <w:tcPr>
            <w:tcW w:w="791" w:type="dxa"/>
            <w:vAlign w:val="center"/>
          </w:tcPr>
          <w:p>
            <w:pPr>
              <w:spacing w:line="360" w:lineRule="auto"/>
              <w:jc w:val="center"/>
              <w:rPr>
                <w:rFonts w:ascii="黑体" w:hAnsi="黑体" w:eastAsia="黑体" w:cs="Times New Roman"/>
                <w:highlight w:val="none"/>
              </w:rPr>
            </w:pPr>
          </w:p>
        </w:tc>
        <w:tc>
          <w:tcPr>
            <w:tcW w:w="2376" w:type="dxa"/>
            <w:gridSpan w:val="3"/>
            <w:vAlign w:val="center"/>
          </w:tcPr>
          <w:p>
            <w:pPr>
              <w:spacing w:line="360" w:lineRule="auto"/>
              <w:jc w:val="center"/>
              <w:rPr>
                <w:rFonts w:ascii="黑体" w:hAnsi="黑体" w:eastAsia="黑体" w:cs="Times New Roman"/>
                <w:highlight w:val="none"/>
              </w:rPr>
            </w:pPr>
          </w:p>
        </w:tc>
        <w:tc>
          <w:tcPr>
            <w:tcW w:w="1307" w:type="dxa"/>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367" w:type="dxa"/>
            <w:gridSpan w:val="4"/>
            <w:shd w:val="clear" w:color="auto" w:fill="auto"/>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55" w:type="dxa"/>
            <w:gridSpan w:val="5"/>
            <w:shd w:val="clear" w:color="auto" w:fill="FFFFCC"/>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83" w:type="dxa"/>
            <w:gridSpan w:val="4"/>
            <w:shd w:val="clear" w:color="auto" w:fill="FFFFCC"/>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0805" w:type="dxa"/>
            <w:gridSpan w:val="13"/>
            <w:shd w:val="clear" w:color="auto" w:fill="FFFFCC"/>
            <w:vAlign w:val="center"/>
          </w:tcPr>
          <w:p>
            <w:pPr>
              <w:rPr>
                <w:rFonts w:hAnsi="宋体" w:cs="Times New Roman"/>
                <w:b/>
                <w:bCs/>
                <w:highlight w:val="none"/>
              </w:rPr>
            </w:pPr>
            <w:r>
              <w:rPr>
                <w:rFonts w:hint="eastAsia" w:ascii="黑体" w:hAnsi="黑体" w:eastAsia="黑体" w:cs="黑体"/>
                <w:sz w:val="24"/>
                <w:highlight w:val="none"/>
              </w:rPr>
              <w:t>三、报价汇总：人民币</w:t>
            </w:r>
            <w:r>
              <w:rPr>
                <w:rFonts w:ascii="黑体" w:hAnsi="黑体" w:eastAsia="黑体" w:cs="黑体"/>
                <w:sz w:val="24"/>
                <w:highlight w:val="none"/>
                <w:u w:val="single"/>
              </w:rPr>
              <w:t xml:space="preserve">    </w:t>
            </w:r>
            <w:r>
              <w:rPr>
                <w:rFonts w:hint="eastAsia" w:ascii="黑体" w:hAnsi="黑体" w:eastAsia="黑体" w:cs="黑体"/>
                <w:sz w:val="24"/>
                <w:highlight w:val="none"/>
                <w:u w:val="single"/>
              </w:rPr>
              <w:t xml:space="preserve">  </w:t>
            </w:r>
            <w:r>
              <w:rPr>
                <w:rFonts w:hint="eastAsia" w:ascii="黑体" w:hAnsi="黑体" w:eastAsia="黑体" w:cs="黑体"/>
                <w:sz w:val="24"/>
                <w:highlight w:val="none"/>
              </w:rPr>
              <w:t>元。</w:t>
            </w:r>
            <w:r>
              <w:rPr>
                <w:rFonts w:ascii="黑体" w:hAnsi="黑体" w:eastAsia="黑体" w:cs="黑体"/>
                <w:sz w:val="24"/>
                <w:highlight w:val="none"/>
              </w:rPr>
              <w:t xml:space="preserve"> </w:t>
            </w:r>
            <w:r>
              <w:rPr>
                <w:rFonts w:hint="eastAsia" w:ascii="黑体" w:hAnsi="黑体" w:eastAsia="黑体" w:cs="黑体"/>
                <w:highlight w:val="none"/>
              </w:rPr>
              <w:t>（以上各合计项与首次报价一览表中的对应项均一致相符，如不一致以首次报价一览表为准）</w:t>
            </w:r>
          </w:p>
        </w:tc>
      </w:tr>
    </w:tbl>
    <w:p>
      <w:pPr>
        <w:pStyle w:val="13"/>
        <w:spacing w:line="440" w:lineRule="exact"/>
        <w:ind w:left="-120" w:leftChars="-57" w:firstLine="527" w:firstLineChars="250"/>
        <w:rPr>
          <w:rFonts w:hAnsi="宋体"/>
          <w:b/>
          <w:bCs/>
          <w:highlight w:val="none"/>
          <w:u w:val="single"/>
        </w:rPr>
      </w:pPr>
    </w:p>
    <w:p>
      <w:pPr>
        <w:pStyle w:val="13"/>
        <w:spacing w:line="440" w:lineRule="exact"/>
        <w:ind w:left="-120" w:leftChars="-57" w:firstLine="527" w:firstLineChars="250"/>
        <w:rPr>
          <w:b/>
          <w:bCs/>
          <w:highlight w:val="none"/>
          <w:u w:val="single"/>
        </w:rPr>
      </w:pPr>
      <w:r>
        <w:rPr>
          <w:rFonts w:hint="eastAsia" w:hAnsi="宋体"/>
          <w:b/>
          <w:bCs/>
          <w:highlight w:val="none"/>
          <w:u w:val="single"/>
        </w:rPr>
        <w:t>注：</w:t>
      </w:r>
    </w:p>
    <w:p>
      <w:pPr>
        <w:pStyle w:val="13"/>
        <w:spacing w:line="440" w:lineRule="exact"/>
        <w:ind w:left="-120" w:leftChars="-57" w:firstLine="527" w:firstLineChars="250"/>
        <w:rPr>
          <w:b/>
          <w:bCs/>
          <w:highlight w:val="none"/>
          <w:u w:val="single"/>
        </w:rPr>
      </w:pPr>
      <w:r>
        <w:rPr>
          <w:rFonts w:hAnsi="宋体"/>
          <w:b/>
          <w:bCs/>
          <w:highlight w:val="none"/>
          <w:u w:val="single"/>
        </w:rPr>
        <w:t>1.</w:t>
      </w:r>
      <w:r>
        <w:rPr>
          <w:rFonts w:hint="eastAsia" w:hAnsi="宋体"/>
          <w:b/>
          <w:bCs/>
          <w:highlight w:val="none"/>
          <w:u w:val="single"/>
        </w:rPr>
        <w:t>分项报价表可参照以上格式提供，也可由供应商自拟格式；</w:t>
      </w:r>
    </w:p>
    <w:p>
      <w:pPr>
        <w:pStyle w:val="13"/>
        <w:spacing w:line="440" w:lineRule="exact"/>
        <w:ind w:left="-120" w:leftChars="-57" w:firstLine="527" w:firstLineChars="250"/>
        <w:rPr>
          <w:b/>
          <w:bCs/>
          <w:highlight w:val="none"/>
          <w:u w:val="single"/>
        </w:rPr>
      </w:pPr>
      <w:r>
        <w:rPr>
          <w:rFonts w:hint="eastAsia" w:hAnsi="宋体"/>
          <w:b/>
          <w:bCs/>
          <w:highlight w:val="none"/>
          <w:u w:val="single"/>
        </w:rPr>
        <w:t>自拟格式应能清楚表达《首次报价一览表》总报价组成；</w:t>
      </w:r>
    </w:p>
    <w:p>
      <w:pPr>
        <w:pStyle w:val="13"/>
        <w:spacing w:line="440" w:lineRule="exact"/>
        <w:ind w:left="-120" w:leftChars="-57" w:firstLine="527" w:firstLineChars="250"/>
        <w:rPr>
          <w:b/>
          <w:bCs/>
          <w:highlight w:val="none"/>
          <w:u w:val="single"/>
        </w:rPr>
      </w:pPr>
      <w:r>
        <w:rPr>
          <w:rFonts w:hint="eastAsia" w:hAnsi="宋体"/>
          <w:b/>
          <w:bCs/>
          <w:highlight w:val="none"/>
          <w:u w:val="single"/>
        </w:rPr>
        <w:t>如果不提供详细分项报价将视为没有实质性响应磋商文件。</w:t>
      </w:r>
    </w:p>
    <w:p>
      <w:pPr>
        <w:pStyle w:val="13"/>
        <w:spacing w:line="440" w:lineRule="exact"/>
        <w:ind w:left="-120" w:leftChars="-57" w:firstLine="527" w:firstLineChars="250"/>
        <w:rPr>
          <w:b/>
          <w:bCs/>
          <w:highlight w:val="none"/>
          <w:u w:val="single"/>
        </w:rPr>
      </w:pPr>
      <w:r>
        <w:rPr>
          <w:rFonts w:hAnsi="宋体"/>
          <w:b/>
          <w:bCs/>
          <w:highlight w:val="none"/>
          <w:u w:val="single"/>
        </w:rPr>
        <w:t>2.</w:t>
      </w:r>
      <w:r>
        <w:rPr>
          <w:rFonts w:hint="eastAsia" w:hAnsi="宋体"/>
          <w:b/>
          <w:bCs/>
          <w:highlight w:val="none"/>
          <w:u w:val="single"/>
        </w:rPr>
        <w:t>对于报价免费的项目必须标明“免费”。</w:t>
      </w:r>
    </w:p>
    <w:p>
      <w:pPr>
        <w:pStyle w:val="13"/>
        <w:spacing w:line="440" w:lineRule="exact"/>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表内报价内容以元为单位，保留小数点后两位。</w:t>
      </w:r>
    </w:p>
    <w:p>
      <w:pPr>
        <w:pStyle w:val="13"/>
        <w:spacing w:line="500" w:lineRule="exact"/>
        <w:ind w:left="-120" w:leftChars="-57" w:firstLine="527" w:firstLineChars="250"/>
        <w:rPr>
          <w:b/>
          <w:bCs/>
          <w:highlight w:val="none"/>
          <w:u w:val="single"/>
        </w:rPr>
      </w:pPr>
    </w:p>
    <w:p>
      <w:pPr>
        <w:pStyle w:val="13"/>
        <w:spacing w:line="500" w:lineRule="exact"/>
        <w:ind w:left="-120" w:leftChars="-57" w:firstLine="527" w:firstLineChars="250"/>
        <w:rPr>
          <w:b/>
          <w:bCs/>
          <w:highlight w:val="none"/>
          <w:u w:val="single"/>
        </w:rPr>
      </w:pP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供应商法定代表人（或法定代表人授权代表）签字：</w:t>
      </w:r>
      <w:r>
        <w:rPr>
          <w:rFonts w:ascii="宋体" w:hAnsi="宋体"/>
          <w:sz w:val="24"/>
          <w:highlight w:val="none"/>
          <w:u w:val="single"/>
        </w:rPr>
        <w:t xml:space="preserve">                   </w:t>
      </w: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供应商名称（盖章）：</w:t>
      </w:r>
      <w:r>
        <w:rPr>
          <w:rFonts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360" w:lineRule="auto"/>
        <w:ind w:firstLine="482" w:firstLineChars="200"/>
        <w:rPr>
          <w:rFonts w:ascii="宋体" w:hAnsi="宋体"/>
          <w:b/>
          <w:bCs/>
          <w:sz w:val="24"/>
          <w:highlight w:val="none"/>
        </w:rPr>
        <w:sectPr>
          <w:pgSz w:w="16838" w:h="11906" w:orient="landscape"/>
          <w:pgMar w:top="1080" w:right="1440" w:bottom="1080" w:left="1440" w:header="851" w:footer="992" w:gutter="0"/>
          <w:cols w:space="425" w:num="1"/>
          <w:docGrid w:type="lines" w:linePitch="312" w:charSpace="0"/>
        </w:sectPr>
      </w:pPr>
      <w:bookmarkStart w:id="547" w:name="_Toc22652"/>
      <w:bookmarkStart w:id="548" w:name="_Toc14998"/>
      <w:bookmarkStart w:id="549" w:name="_Toc483349446"/>
      <w:bookmarkStart w:id="550" w:name="_Toc484353369"/>
      <w:bookmarkStart w:id="551" w:name="_Toc27342"/>
    </w:p>
    <w:p>
      <w:pPr>
        <w:spacing w:line="360" w:lineRule="auto"/>
        <w:jc w:val="center"/>
        <w:outlineLvl w:val="1"/>
        <w:rPr>
          <w:rFonts w:ascii="黑体" w:hAnsi="仿宋" w:eastAsia="黑体" w:cs="Times New Roman"/>
          <w:b/>
          <w:bCs/>
          <w:sz w:val="32"/>
          <w:szCs w:val="32"/>
          <w:highlight w:val="none"/>
        </w:rPr>
      </w:pPr>
      <w:bookmarkStart w:id="552" w:name="_Toc16644"/>
      <w:bookmarkStart w:id="553" w:name="_Toc28380"/>
      <w:r>
        <w:rPr>
          <w:rFonts w:hint="eastAsia" w:ascii="黑体" w:hAnsi="仿宋" w:eastAsia="黑体" w:cs="黑体"/>
          <w:b/>
          <w:bCs/>
          <w:sz w:val="32"/>
          <w:szCs w:val="32"/>
          <w:highlight w:val="none"/>
        </w:rPr>
        <w:t>五、技术部分</w:t>
      </w:r>
      <w:bookmarkEnd w:id="547"/>
      <w:bookmarkEnd w:id="548"/>
      <w:bookmarkEnd w:id="549"/>
      <w:bookmarkEnd w:id="550"/>
      <w:bookmarkEnd w:id="551"/>
      <w:bookmarkEnd w:id="552"/>
      <w:bookmarkEnd w:id="553"/>
    </w:p>
    <w:p>
      <w:pPr>
        <w:spacing w:line="360" w:lineRule="auto"/>
        <w:ind w:firstLine="480" w:firstLineChars="200"/>
        <w:rPr>
          <w:rFonts w:ascii="宋体" w:hAnsi="宋体"/>
          <w:sz w:val="24"/>
          <w:highlight w:val="none"/>
        </w:rPr>
      </w:pPr>
      <w:r>
        <w:rPr>
          <w:rFonts w:hint="eastAsia" w:ascii="宋体" w:hAnsi="宋体"/>
          <w:sz w:val="24"/>
          <w:highlight w:val="none"/>
        </w:rPr>
        <w:t>响应供应商应按照磋商文件的要求，根据《用户需求书》《技术评审表》要求内容做出全面响应并编制技术服务方案。其内容应包括但不限于人力、物力等资源的投入以及服务内容、方式、手段、措施、质量保证及建议等。服务方案设计必须科学合理、真实可行，能充分体现出自身技术和专业优势。对含糊不清或欠具体明确之处，磋商小组可视为响应供应商履约能力不足或响应不全。</w:t>
      </w: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jc w:val="center"/>
        <w:outlineLvl w:val="1"/>
        <w:rPr>
          <w:rFonts w:ascii="黑体" w:hAnsi="仿宋" w:eastAsia="黑体" w:cs="黑体"/>
          <w:b/>
          <w:bCs/>
          <w:sz w:val="32"/>
          <w:szCs w:val="32"/>
          <w:highlight w:val="none"/>
        </w:rPr>
      </w:pPr>
      <w:bookmarkStart w:id="554" w:name="_Toc484353370"/>
      <w:bookmarkStart w:id="555" w:name="_Toc29468"/>
      <w:bookmarkStart w:id="556" w:name="_Toc28982"/>
      <w:bookmarkStart w:id="557" w:name="_Toc8463"/>
      <w:bookmarkStart w:id="558" w:name="_Toc483349447"/>
      <w:r>
        <w:rPr>
          <w:rFonts w:hint="eastAsia" w:ascii="黑体" w:hAnsi="仿宋" w:eastAsia="黑体" w:cs="黑体"/>
          <w:b/>
          <w:bCs/>
          <w:sz w:val="32"/>
          <w:szCs w:val="32"/>
          <w:highlight w:val="none"/>
        </w:rPr>
        <w:br w:type="page"/>
      </w:r>
    </w:p>
    <w:p>
      <w:pPr>
        <w:spacing w:line="360" w:lineRule="auto"/>
        <w:jc w:val="center"/>
        <w:outlineLvl w:val="1"/>
        <w:rPr>
          <w:rFonts w:ascii="黑体" w:hAnsi="仿宋" w:eastAsia="黑体" w:cs="Times New Roman"/>
          <w:b/>
          <w:bCs/>
          <w:sz w:val="32"/>
          <w:szCs w:val="32"/>
          <w:highlight w:val="none"/>
        </w:rPr>
      </w:pPr>
      <w:bookmarkStart w:id="559" w:name="_Toc20479"/>
      <w:bookmarkStart w:id="560" w:name="_Toc10245"/>
      <w:r>
        <w:rPr>
          <w:rFonts w:hint="eastAsia" w:ascii="黑体" w:hAnsi="仿宋" w:eastAsia="黑体" w:cs="黑体"/>
          <w:b/>
          <w:bCs/>
          <w:sz w:val="32"/>
          <w:szCs w:val="32"/>
          <w:highlight w:val="none"/>
        </w:rPr>
        <w:t>六、商务部分</w:t>
      </w:r>
      <w:bookmarkEnd w:id="554"/>
      <w:bookmarkEnd w:id="555"/>
      <w:bookmarkEnd w:id="556"/>
      <w:bookmarkEnd w:id="557"/>
      <w:bookmarkEnd w:id="558"/>
      <w:bookmarkEnd w:id="559"/>
      <w:bookmarkEnd w:id="560"/>
    </w:p>
    <w:p>
      <w:pPr>
        <w:spacing w:line="360" w:lineRule="auto"/>
        <w:ind w:firstLine="482" w:firstLineChars="200"/>
        <w:jc w:val="left"/>
        <w:rPr>
          <w:rFonts w:ascii="宋体" w:hAnsi="宋体"/>
          <w:b/>
          <w:bCs/>
          <w:sz w:val="24"/>
          <w:highlight w:val="none"/>
        </w:rPr>
      </w:pPr>
      <w:r>
        <w:rPr>
          <w:rFonts w:hint="eastAsia" w:ascii="宋体" w:hAnsi="宋体"/>
          <w:b/>
          <w:bCs/>
          <w:sz w:val="24"/>
          <w:highlight w:val="none"/>
        </w:rPr>
        <w:t>6.1供应商履约情况证明材料</w:t>
      </w:r>
    </w:p>
    <w:p>
      <w:pPr>
        <w:spacing w:line="360" w:lineRule="auto"/>
        <w:ind w:firstLine="480" w:firstLineChars="200"/>
        <w:jc w:val="left"/>
        <w:rPr>
          <w:rFonts w:ascii="宋体" w:hAnsi="宋体"/>
          <w:sz w:val="24"/>
          <w:highlight w:val="none"/>
        </w:rPr>
      </w:pPr>
      <w:r>
        <w:rPr>
          <w:rFonts w:hint="eastAsia" w:ascii="宋体" w:hAnsi="宋体"/>
          <w:sz w:val="24"/>
          <w:highlight w:val="none"/>
        </w:rPr>
        <w:t>6.1.1企业简介</w:t>
      </w:r>
    </w:p>
    <w:p>
      <w:pPr>
        <w:spacing w:line="360" w:lineRule="auto"/>
        <w:ind w:firstLine="480" w:firstLineChars="200"/>
        <w:jc w:val="left"/>
        <w:rPr>
          <w:rFonts w:ascii="宋体" w:hAnsi="宋体"/>
          <w:sz w:val="24"/>
          <w:highlight w:val="none"/>
        </w:rPr>
      </w:pPr>
      <w:r>
        <w:rPr>
          <w:rFonts w:hint="eastAsia" w:ascii="宋体" w:hAnsi="宋体"/>
          <w:sz w:val="24"/>
          <w:highlight w:val="none"/>
        </w:rPr>
        <w:t>6.1.2资质证书/获奖证书/荣誉证书/信用等级证书等（复印件加盖公章）</w:t>
      </w:r>
    </w:p>
    <w:p>
      <w:pPr>
        <w:spacing w:line="360" w:lineRule="auto"/>
        <w:ind w:firstLine="480" w:firstLineChars="200"/>
        <w:jc w:val="left"/>
        <w:rPr>
          <w:rFonts w:ascii="宋体" w:hAnsi="宋体"/>
          <w:sz w:val="24"/>
          <w:highlight w:val="none"/>
        </w:rPr>
      </w:pPr>
      <w:r>
        <w:rPr>
          <w:rFonts w:hint="eastAsia" w:ascii="宋体" w:hAnsi="宋体"/>
          <w:sz w:val="24"/>
          <w:highlight w:val="none"/>
        </w:rPr>
        <w:t>6.1.3同类项目业绩</w:t>
      </w:r>
    </w:p>
    <w:p>
      <w:pPr>
        <w:spacing w:line="360" w:lineRule="auto"/>
        <w:ind w:firstLine="480" w:firstLineChars="200"/>
        <w:jc w:val="left"/>
        <w:rPr>
          <w:rFonts w:ascii="宋体" w:hAnsi="宋体"/>
          <w:sz w:val="24"/>
          <w:highlight w:val="none"/>
        </w:rPr>
      </w:pPr>
      <w:r>
        <w:rPr>
          <w:rFonts w:hint="eastAsia" w:ascii="宋体" w:hAnsi="宋体"/>
          <w:sz w:val="24"/>
          <w:highlight w:val="none"/>
        </w:rPr>
        <w:t>6.1.4本项目管理、技术、服务人员情况表</w:t>
      </w:r>
    </w:p>
    <w:p>
      <w:pPr>
        <w:spacing w:line="360" w:lineRule="auto"/>
        <w:ind w:firstLine="480" w:firstLineChars="200"/>
        <w:jc w:val="left"/>
        <w:rPr>
          <w:rFonts w:ascii="宋体" w:hAnsi="宋体"/>
          <w:sz w:val="24"/>
          <w:highlight w:val="none"/>
        </w:rPr>
      </w:pPr>
      <w:r>
        <w:rPr>
          <w:rFonts w:hint="eastAsia" w:ascii="宋体" w:hAnsi="宋体"/>
          <w:sz w:val="24"/>
          <w:highlight w:val="none"/>
        </w:rPr>
        <w:t>6.1.5其它重要事项说明及承诺</w:t>
      </w: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r>
        <w:rPr>
          <w:rFonts w:hint="eastAsia" w:ascii="宋体" w:hAnsi="宋体"/>
          <w:b/>
          <w:bCs/>
          <w:sz w:val="24"/>
          <w:highlight w:val="none"/>
        </w:rPr>
        <w:t>6.2商务条款响应表</w:t>
      </w: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r>
        <w:rPr>
          <w:rFonts w:hint="eastAsia" w:ascii="宋体" w:hAnsi="宋体"/>
          <w:b/>
          <w:bCs/>
          <w:sz w:val="24"/>
          <w:highlight w:val="none"/>
        </w:rPr>
        <w:t>6.3其他</w:t>
      </w: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r>
        <w:rPr>
          <w:rFonts w:hint="eastAsia" w:ascii="宋体" w:hAnsi="宋体"/>
          <w:b/>
          <w:bCs/>
          <w:sz w:val="24"/>
          <w:highlight w:val="none"/>
        </w:rPr>
        <w:t>6.1供应商履约情况证明材料</w:t>
      </w:r>
    </w:p>
    <w:p>
      <w:pPr>
        <w:spacing w:line="360" w:lineRule="auto"/>
        <w:ind w:firstLine="480" w:firstLineChars="200"/>
        <w:jc w:val="left"/>
        <w:rPr>
          <w:rFonts w:ascii="宋体" w:hAnsi="宋体"/>
          <w:sz w:val="24"/>
          <w:highlight w:val="none"/>
        </w:rPr>
      </w:pPr>
    </w:p>
    <w:p>
      <w:pPr>
        <w:spacing w:line="360" w:lineRule="auto"/>
        <w:ind w:firstLine="480" w:firstLineChars="200"/>
        <w:jc w:val="left"/>
        <w:rPr>
          <w:rFonts w:ascii="宋体" w:hAnsi="宋体"/>
          <w:sz w:val="24"/>
          <w:highlight w:val="none"/>
        </w:rPr>
      </w:pPr>
      <w:r>
        <w:rPr>
          <w:rFonts w:hint="eastAsia" w:ascii="宋体" w:hAnsi="宋体"/>
          <w:sz w:val="24"/>
          <w:highlight w:val="none"/>
        </w:rPr>
        <w:t>6.1.1企业简介</w:t>
      </w:r>
    </w:p>
    <w:p>
      <w:pPr>
        <w:spacing w:line="360" w:lineRule="auto"/>
        <w:ind w:firstLine="480" w:firstLineChars="200"/>
        <w:jc w:val="left"/>
        <w:rPr>
          <w:rFonts w:ascii="宋体" w:hAnsi="宋体"/>
          <w:sz w:val="24"/>
          <w:highlight w:val="none"/>
        </w:rPr>
      </w:pPr>
    </w:p>
    <w:p>
      <w:pPr>
        <w:spacing w:line="360" w:lineRule="auto"/>
        <w:ind w:firstLine="480" w:firstLineChars="200"/>
        <w:jc w:val="left"/>
        <w:rPr>
          <w:rFonts w:ascii="宋体" w:hAnsi="宋体"/>
          <w:b/>
          <w:bCs/>
          <w:sz w:val="24"/>
          <w:highlight w:val="none"/>
        </w:rPr>
      </w:pPr>
      <w:r>
        <w:rPr>
          <w:rFonts w:hint="eastAsia" w:ascii="宋体" w:hAnsi="宋体"/>
          <w:sz w:val="24"/>
          <w:highlight w:val="none"/>
        </w:rPr>
        <w:t>6.1.2资质证书/获奖证书/荣誉证书/信用等级证书等（复印件加盖公章）</w:t>
      </w:r>
    </w:p>
    <w:p>
      <w:pPr>
        <w:spacing w:line="360" w:lineRule="auto"/>
        <w:ind w:firstLine="482" w:firstLineChars="200"/>
        <w:jc w:val="left"/>
        <w:rPr>
          <w:rFonts w:ascii="宋体" w:hAnsi="宋体"/>
          <w:b/>
          <w:bCs/>
          <w:sz w:val="24"/>
          <w:highlight w:val="none"/>
        </w:rPr>
      </w:pPr>
    </w:p>
    <w:p>
      <w:pPr>
        <w:spacing w:line="360" w:lineRule="auto"/>
        <w:ind w:firstLine="480" w:firstLineChars="200"/>
        <w:jc w:val="left"/>
        <w:rPr>
          <w:rFonts w:ascii="宋体" w:hAnsi="宋体"/>
          <w:sz w:val="24"/>
          <w:highlight w:val="none"/>
        </w:rPr>
      </w:pPr>
      <w:r>
        <w:rPr>
          <w:rFonts w:hint="eastAsia" w:ascii="宋体" w:hAnsi="宋体"/>
          <w:sz w:val="24"/>
          <w:highlight w:val="none"/>
        </w:rPr>
        <w:t>6.1.3同类项目业绩</w:t>
      </w:r>
    </w:p>
    <w:p>
      <w:pPr>
        <w:pStyle w:val="13"/>
        <w:spacing w:line="360" w:lineRule="auto"/>
        <w:ind w:left="-120" w:leftChars="-57" w:firstLine="602" w:firstLineChars="250"/>
        <w:rPr>
          <w:rFonts w:ascii="仿宋_GB2312" w:hAnsi="仿宋" w:eastAsia="仿宋_GB2312" w:cs="仿宋"/>
          <w:b/>
          <w:bCs/>
          <w:sz w:val="24"/>
          <w:szCs w:val="24"/>
          <w:highlight w:val="none"/>
        </w:rPr>
      </w:pPr>
    </w:p>
    <w:p>
      <w:pPr>
        <w:pStyle w:val="13"/>
        <w:spacing w:line="360" w:lineRule="auto"/>
        <w:jc w:val="center"/>
        <w:rPr>
          <w:rFonts w:ascii="仿宋_GB2312" w:hAnsi="仿宋" w:eastAsia="仿宋_GB2312" w:cs="仿宋"/>
          <w:b/>
          <w:bCs/>
          <w:sz w:val="24"/>
          <w:szCs w:val="24"/>
          <w:highlight w:val="none"/>
        </w:rPr>
      </w:pPr>
      <w:r>
        <w:rPr>
          <w:rFonts w:hint="eastAsia" w:ascii="黑体" w:hAnsi="仿宋" w:eastAsia="黑体" w:cs="仿宋"/>
          <w:bCs/>
          <w:sz w:val="32"/>
          <w:szCs w:val="32"/>
          <w:highlight w:val="none"/>
        </w:rPr>
        <w:t>同类项目业绩</w:t>
      </w:r>
    </w:p>
    <w:tbl>
      <w:tblPr>
        <w:tblStyle w:val="23"/>
        <w:tblW w:w="758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814"/>
        <w:gridCol w:w="1145"/>
        <w:gridCol w:w="1320"/>
        <w:gridCol w:w="1161"/>
        <w:gridCol w:w="1260"/>
        <w:gridCol w:w="8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tcBorders>
              <w:top w:val="single" w:color="auto" w:sz="4" w:space="0"/>
            </w:tcBorders>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合同签订时间</w:t>
            </w:r>
          </w:p>
        </w:tc>
        <w:tc>
          <w:tcPr>
            <w:tcW w:w="1145" w:type="dxa"/>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用户名称</w:t>
            </w:r>
          </w:p>
        </w:tc>
        <w:tc>
          <w:tcPr>
            <w:tcW w:w="1320" w:type="dxa"/>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项目名称</w:t>
            </w:r>
          </w:p>
        </w:tc>
        <w:tc>
          <w:tcPr>
            <w:tcW w:w="1161" w:type="dxa"/>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完成时间</w:t>
            </w:r>
          </w:p>
        </w:tc>
        <w:tc>
          <w:tcPr>
            <w:tcW w:w="1260" w:type="dxa"/>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合同金额</w:t>
            </w:r>
          </w:p>
        </w:tc>
        <w:tc>
          <w:tcPr>
            <w:tcW w:w="886" w:type="dxa"/>
            <w:tcBorders>
              <w:left w:val="single" w:color="auto" w:sz="4" w:space="0"/>
            </w:tcBorders>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vAlign w:val="center"/>
          </w:tcPr>
          <w:p>
            <w:pPr>
              <w:widowControl/>
              <w:spacing w:line="360" w:lineRule="atLeast"/>
              <w:ind w:firstLine="470" w:firstLineChars="196"/>
              <w:jc w:val="left"/>
              <w:outlineLvl w:val="1"/>
              <w:rPr>
                <w:rFonts w:ascii="宋体"/>
                <w:sz w:val="24"/>
                <w:highlight w:val="none"/>
              </w:rPr>
            </w:pPr>
          </w:p>
        </w:tc>
        <w:tc>
          <w:tcPr>
            <w:tcW w:w="1145" w:type="dxa"/>
            <w:vAlign w:val="center"/>
          </w:tcPr>
          <w:p>
            <w:pPr>
              <w:widowControl/>
              <w:spacing w:line="360" w:lineRule="atLeast"/>
              <w:ind w:firstLine="470" w:firstLineChars="196"/>
              <w:jc w:val="left"/>
              <w:outlineLvl w:val="1"/>
              <w:rPr>
                <w:rFonts w:ascii="宋体"/>
                <w:sz w:val="24"/>
                <w:highlight w:val="none"/>
              </w:rPr>
            </w:pPr>
          </w:p>
        </w:tc>
        <w:tc>
          <w:tcPr>
            <w:tcW w:w="1320" w:type="dxa"/>
            <w:vAlign w:val="center"/>
          </w:tcPr>
          <w:p>
            <w:pPr>
              <w:widowControl/>
              <w:spacing w:line="360" w:lineRule="atLeast"/>
              <w:ind w:firstLine="470" w:firstLineChars="196"/>
              <w:jc w:val="left"/>
              <w:outlineLvl w:val="1"/>
              <w:rPr>
                <w:rFonts w:ascii="宋体"/>
                <w:sz w:val="24"/>
                <w:highlight w:val="none"/>
              </w:rPr>
            </w:pPr>
          </w:p>
        </w:tc>
        <w:tc>
          <w:tcPr>
            <w:tcW w:w="1161" w:type="dxa"/>
            <w:vAlign w:val="center"/>
          </w:tcPr>
          <w:p>
            <w:pPr>
              <w:widowControl/>
              <w:spacing w:line="360" w:lineRule="atLeast"/>
              <w:ind w:firstLine="470" w:firstLineChars="196"/>
              <w:jc w:val="left"/>
              <w:outlineLvl w:val="1"/>
              <w:rPr>
                <w:rFonts w:ascii="宋体"/>
                <w:sz w:val="24"/>
                <w:highlight w:val="none"/>
              </w:rPr>
            </w:pPr>
          </w:p>
        </w:tc>
        <w:tc>
          <w:tcPr>
            <w:tcW w:w="1260" w:type="dxa"/>
            <w:vAlign w:val="center"/>
          </w:tcPr>
          <w:p>
            <w:pPr>
              <w:widowControl/>
              <w:spacing w:line="360" w:lineRule="atLeast"/>
              <w:ind w:firstLine="470" w:firstLineChars="196"/>
              <w:jc w:val="left"/>
              <w:outlineLvl w:val="1"/>
              <w:rPr>
                <w:rFonts w:ascii="宋体"/>
                <w:sz w:val="24"/>
                <w:highlight w:val="none"/>
              </w:rPr>
            </w:pPr>
          </w:p>
        </w:tc>
        <w:tc>
          <w:tcPr>
            <w:tcW w:w="886" w:type="dxa"/>
            <w:tcBorders>
              <w:left w:val="single" w:color="auto" w:sz="4" w:space="0"/>
            </w:tcBorders>
            <w:vAlign w:val="center"/>
          </w:tcPr>
          <w:p>
            <w:pPr>
              <w:widowControl/>
              <w:spacing w:line="360" w:lineRule="atLeast"/>
              <w:ind w:firstLine="470" w:firstLineChars="196"/>
              <w:jc w:val="left"/>
              <w:outlineLvl w:val="1"/>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vAlign w:val="center"/>
          </w:tcPr>
          <w:p>
            <w:pPr>
              <w:widowControl/>
              <w:spacing w:line="360" w:lineRule="atLeast"/>
              <w:ind w:firstLine="470" w:firstLineChars="196"/>
              <w:jc w:val="left"/>
              <w:outlineLvl w:val="1"/>
              <w:rPr>
                <w:rFonts w:ascii="宋体"/>
                <w:sz w:val="24"/>
                <w:highlight w:val="none"/>
              </w:rPr>
            </w:pPr>
          </w:p>
        </w:tc>
        <w:tc>
          <w:tcPr>
            <w:tcW w:w="1145" w:type="dxa"/>
            <w:vAlign w:val="center"/>
          </w:tcPr>
          <w:p>
            <w:pPr>
              <w:widowControl/>
              <w:spacing w:line="360" w:lineRule="atLeast"/>
              <w:ind w:firstLine="470" w:firstLineChars="196"/>
              <w:jc w:val="left"/>
              <w:outlineLvl w:val="1"/>
              <w:rPr>
                <w:rFonts w:ascii="宋体"/>
                <w:sz w:val="24"/>
                <w:highlight w:val="none"/>
              </w:rPr>
            </w:pPr>
          </w:p>
        </w:tc>
        <w:tc>
          <w:tcPr>
            <w:tcW w:w="1320" w:type="dxa"/>
            <w:vAlign w:val="center"/>
          </w:tcPr>
          <w:p>
            <w:pPr>
              <w:widowControl/>
              <w:spacing w:line="360" w:lineRule="atLeast"/>
              <w:ind w:firstLine="470" w:firstLineChars="196"/>
              <w:jc w:val="left"/>
              <w:outlineLvl w:val="1"/>
              <w:rPr>
                <w:rFonts w:ascii="宋体"/>
                <w:sz w:val="24"/>
                <w:highlight w:val="none"/>
              </w:rPr>
            </w:pPr>
          </w:p>
        </w:tc>
        <w:tc>
          <w:tcPr>
            <w:tcW w:w="1161" w:type="dxa"/>
            <w:vAlign w:val="center"/>
          </w:tcPr>
          <w:p>
            <w:pPr>
              <w:widowControl/>
              <w:spacing w:line="360" w:lineRule="atLeast"/>
              <w:ind w:firstLine="470" w:firstLineChars="196"/>
              <w:jc w:val="left"/>
              <w:outlineLvl w:val="1"/>
              <w:rPr>
                <w:rFonts w:ascii="宋体"/>
                <w:sz w:val="24"/>
                <w:highlight w:val="none"/>
              </w:rPr>
            </w:pPr>
          </w:p>
        </w:tc>
        <w:tc>
          <w:tcPr>
            <w:tcW w:w="1260" w:type="dxa"/>
            <w:vAlign w:val="center"/>
          </w:tcPr>
          <w:p>
            <w:pPr>
              <w:widowControl/>
              <w:spacing w:line="360" w:lineRule="atLeast"/>
              <w:ind w:firstLine="470" w:firstLineChars="196"/>
              <w:jc w:val="left"/>
              <w:outlineLvl w:val="1"/>
              <w:rPr>
                <w:rFonts w:ascii="宋体"/>
                <w:sz w:val="24"/>
                <w:highlight w:val="none"/>
              </w:rPr>
            </w:pPr>
          </w:p>
        </w:tc>
        <w:tc>
          <w:tcPr>
            <w:tcW w:w="886" w:type="dxa"/>
            <w:tcBorders>
              <w:left w:val="single" w:color="auto" w:sz="4" w:space="0"/>
            </w:tcBorders>
            <w:vAlign w:val="center"/>
          </w:tcPr>
          <w:p>
            <w:pPr>
              <w:widowControl/>
              <w:spacing w:line="360" w:lineRule="atLeast"/>
              <w:ind w:firstLine="470" w:firstLineChars="196"/>
              <w:jc w:val="left"/>
              <w:outlineLvl w:val="1"/>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vAlign w:val="center"/>
          </w:tcPr>
          <w:p>
            <w:pPr>
              <w:widowControl/>
              <w:spacing w:line="360" w:lineRule="atLeast"/>
              <w:ind w:firstLine="470" w:firstLineChars="196"/>
              <w:jc w:val="left"/>
              <w:outlineLvl w:val="1"/>
              <w:rPr>
                <w:rFonts w:ascii="宋体"/>
                <w:sz w:val="24"/>
                <w:highlight w:val="none"/>
              </w:rPr>
            </w:pPr>
          </w:p>
        </w:tc>
        <w:tc>
          <w:tcPr>
            <w:tcW w:w="1145" w:type="dxa"/>
            <w:vAlign w:val="center"/>
          </w:tcPr>
          <w:p>
            <w:pPr>
              <w:widowControl/>
              <w:spacing w:line="360" w:lineRule="atLeast"/>
              <w:ind w:firstLine="470" w:firstLineChars="196"/>
              <w:jc w:val="left"/>
              <w:outlineLvl w:val="1"/>
              <w:rPr>
                <w:rFonts w:ascii="宋体"/>
                <w:sz w:val="24"/>
                <w:highlight w:val="none"/>
              </w:rPr>
            </w:pPr>
          </w:p>
        </w:tc>
        <w:tc>
          <w:tcPr>
            <w:tcW w:w="1320" w:type="dxa"/>
            <w:vAlign w:val="center"/>
          </w:tcPr>
          <w:p>
            <w:pPr>
              <w:widowControl/>
              <w:spacing w:line="360" w:lineRule="atLeast"/>
              <w:ind w:firstLine="470" w:firstLineChars="196"/>
              <w:jc w:val="left"/>
              <w:outlineLvl w:val="1"/>
              <w:rPr>
                <w:rFonts w:ascii="宋体"/>
                <w:sz w:val="24"/>
                <w:highlight w:val="none"/>
              </w:rPr>
            </w:pPr>
          </w:p>
        </w:tc>
        <w:tc>
          <w:tcPr>
            <w:tcW w:w="1161" w:type="dxa"/>
            <w:vAlign w:val="center"/>
          </w:tcPr>
          <w:p>
            <w:pPr>
              <w:widowControl/>
              <w:spacing w:line="360" w:lineRule="atLeast"/>
              <w:ind w:firstLine="470" w:firstLineChars="196"/>
              <w:jc w:val="left"/>
              <w:outlineLvl w:val="1"/>
              <w:rPr>
                <w:rFonts w:ascii="宋体"/>
                <w:sz w:val="24"/>
                <w:highlight w:val="none"/>
              </w:rPr>
            </w:pPr>
          </w:p>
        </w:tc>
        <w:tc>
          <w:tcPr>
            <w:tcW w:w="1260" w:type="dxa"/>
            <w:vAlign w:val="center"/>
          </w:tcPr>
          <w:p>
            <w:pPr>
              <w:widowControl/>
              <w:spacing w:line="360" w:lineRule="atLeast"/>
              <w:ind w:firstLine="470" w:firstLineChars="196"/>
              <w:jc w:val="left"/>
              <w:outlineLvl w:val="1"/>
              <w:rPr>
                <w:rFonts w:ascii="宋体"/>
                <w:sz w:val="24"/>
                <w:highlight w:val="none"/>
              </w:rPr>
            </w:pPr>
          </w:p>
        </w:tc>
        <w:tc>
          <w:tcPr>
            <w:tcW w:w="886" w:type="dxa"/>
            <w:tcBorders>
              <w:left w:val="single" w:color="auto" w:sz="4" w:space="0"/>
            </w:tcBorders>
            <w:vAlign w:val="center"/>
          </w:tcPr>
          <w:p>
            <w:pPr>
              <w:widowControl/>
              <w:spacing w:line="360" w:lineRule="atLeast"/>
              <w:ind w:firstLine="470" w:firstLineChars="196"/>
              <w:jc w:val="left"/>
              <w:outlineLvl w:val="1"/>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vAlign w:val="center"/>
          </w:tcPr>
          <w:p>
            <w:pPr>
              <w:widowControl/>
              <w:spacing w:line="360" w:lineRule="atLeast"/>
              <w:ind w:firstLine="470" w:firstLineChars="196"/>
              <w:jc w:val="left"/>
              <w:outlineLvl w:val="1"/>
              <w:rPr>
                <w:rFonts w:ascii="宋体"/>
                <w:sz w:val="24"/>
                <w:highlight w:val="none"/>
              </w:rPr>
            </w:pPr>
          </w:p>
        </w:tc>
        <w:tc>
          <w:tcPr>
            <w:tcW w:w="1145" w:type="dxa"/>
            <w:tcBorders>
              <w:right w:val="single" w:color="auto" w:sz="4" w:space="0"/>
            </w:tcBorders>
            <w:vAlign w:val="center"/>
          </w:tcPr>
          <w:p>
            <w:pPr>
              <w:widowControl/>
              <w:spacing w:line="360" w:lineRule="atLeast"/>
              <w:ind w:firstLine="470" w:firstLineChars="196"/>
              <w:jc w:val="left"/>
              <w:outlineLvl w:val="1"/>
              <w:rPr>
                <w:rFonts w:ascii="宋体"/>
                <w:sz w:val="24"/>
                <w:highlight w:val="none"/>
              </w:rPr>
            </w:pPr>
          </w:p>
        </w:tc>
        <w:tc>
          <w:tcPr>
            <w:tcW w:w="1320" w:type="dxa"/>
            <w:tcBorders>
              <w:left w:val="single" w:color="auto" w:sz="4" w:space="0"/>
            </w:tcBorders>
            <w:vAlign w:val="center"/>
          </w:tcPr>
          <w:p>
            <w:pPr>
              <w:widowControl/>
              <w:spacing w:line="360" w:lineRule="atLeast"/>
              <w:ind w:firstLine="470" w:firstLineChars="196"/>
              <w:jc w:val="left"/>
              <w:outlineLvl w:val="1"/>
              <w:rPr>
                <w:rFonts w:ascii="宋体"/>
                <w:sz w:val="24"/>
                <w:highlight w:val="none"/>
              </w:rPr>
            </w:pPr>
          </w:p>
        </w:tc>
        <w:tc>
          <w:tcPr>
            <w:tcW w:w="1161" w:type="dxa"/>
            <w:vAlign w:val="center"/>
          </w:tcPr>
          <w:p>
            <w:pPr>
              <w:widowControl/>
              <w:spacing w:line="360" w:lineRule="atLeast"/>
              <w:ind w:firstLine="470" w:firstLineChars="196"/>
              <w:jc w:val="left"/>
              <w:outlineLvl w:val="1"/>
              <w:rPr>
                <w:rFonts w:ascii="宋体"/>
                <w:sz w:val="24"/>
                <w:highlight w:val="none"/>
              </w:rPr>
            </w:pPr>
          </w:p>
        </w:tc>
        <w:tc>
          <w:tcPr>
            <w:tcW w:w="1260" w:type="dxa"/>
            <w:vAlign w:val="center"/>
          </w:tcPr>
          <w:p>
            <w:pPr>
              <w:widowControl/>
              <w:spacing w:line="360" w:lineRule="atLeast"/>
              <w:ind w:firstLine="470" w:firstLineChars="196"/>
              <w:jc w:val="left"/>
              <w:outlineLvl w:val="1"/>
              <w:rPr>
                <w:rFonts w:ascii="宋体"/>
                <w:sz w:val="24"/>
                <w:highlight w:val="none"/>
              </w:rPr>
            </w:pPr>
          </w:p>
        </w:tc>
        <w:tc>
          <w:tcPr>
            <w:tcW w:w="886" w:type="dxa"/>
            <w:tcBorders>
              <w:left w:val="single" w:color="auto" w:sz="4" w:space="0"/>
            </w:tcBorders>
            <w:vAlign w:val="center"/>
          </w:tcPr>
          <w:p>
            <w:pPr>
              <w:widowControl/>
              <w:spacing w:line="360" w:lineRule="atLeast"/>
              <w:ind w:firstLine="470" w:firstLineChars="196"/>
              <w:jc w:val="left"/>
              <w:outlineLvl w:val="1"/>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vAlign w:val="center"/>
          </w:tcPr>
          <w:p>
            <w:pPr>
              <w:widowControl/>
              <w:spacing w:line="360" w:lineRule="atLeast"/>
              <w:ind w:firstLine="470" w:firstLineChars="196"/>
              <w:jc w:val="left"/>
              <w:outlineLvl w:val="1"/>
              <w:rPr>
                <w:rFonts w:ascii="宋体"/>
                <w:sz w:val="24"/>
                <w:highlight w:val="none"/>
              </w:rPr>
            </w:pPr>
          </w:p>
        </w:tc>
        <w:tc>
          <w:tcPr>
            <w:tcW w:w="1145" w:type="dxa"/>
            <w:tcBorders>
              <w:right w:val="single" w:color="auto" w:sz="4" w:space="0"/>
            </w:tcBorders>
            <w:vAlign w:val="center"/>
          </w:tcPr>
          <w:p>
            <w:pPr>
              <w:widowControl/>
              <w:spacing w:line="360" w:lineRule="atLeast"/>
              <w:ind w:firstLine="470" w:firstLineChars="196"/>
              <w:jc w:val="left"/>
              <w:outlineLvl w:val="1"/>
              <w:rPr>
                <w:rFonts w:ascii="宋体"/>
                <w:sz w:val="24"/>
                <w:highlight w:val="none"/>
              </w:rPr>
            </w:pPr>
          </w:p>
        </w:tc>
        <w:tc>
          <w:tcPr>
            <w:tcW w:w="1320" w:type="dxa"/>
            <w:tcBorders>
              <w:left w:val="single" w:color="auto" w:sz="4" w:space="0"/>
            </w:tcBorders>
            <w:vAlign w:val="center"/>
          </w:tcPr>
          <w:p>
            <w:pPr>
              <w:widowControl/>
              <w:spacing w:line="360" w:lineRule="atLeast"/>
              <w:ind w:firstLine="470" w:firstLineChars="196"/>
              <w:jc w:val="left"/>
              <w:outlineLvl w:val="1"/>
              <w:rPr>
                <w:rFonts w:ascii="宋体"/>
                <w:sz w:val="24"/>
                <w:highlight w:val="none"/>
              </w:rPr>
            </w:pPr>
          </w:p>
        </w:tc>
        <w:tc>
          <w:tcPr>
            <w:tcW w:w="1161" w:type="dxa"/>
            <w:vAlign w:val="center"/>
          </w:tcPr>
          <w:p>
            <w:pPr>
              <w:widowControl/>
              <w:spacing w:line="360" w:lineRule="atLeast"/>
              <w:ind w:firstLine="470" w:firstLineChars="196"/>
              <w:jc w:val="left"/>
              <w:outlineLvl w:val="1"/>
              <w:rPr>
                <w:rFonts w:ascii="宋体"/>
                <w:sz w:val="24"/>
                <w:highlight w:val="none"/>
              </w:rPr>
            </w:pPr>
          </w:p>
        </w:tc>
        <w:tc>
          <w:tcPr>
            <w:tcW w:w="1260" w:type="dxa"/>
            <w:vAlign w:val="center"/>
          </w:tcPr>
          <w:p>
            <w:pPr>
              <w:widowControl/>
              <w:spacing w:line="360" w:lineRule="atLeast"/>
              <w:ind w:firstLine="470" w:firstLineChars="196"/>
              <w:jc w:val="left"/>
              <w:outlineLvl w:val="1"/>
              <w:rPr>
                <w:rFonts w:ascii="宋体"/>
                <w:sz w:val="24"/>
                <w:highlight w:val="none"/>
              </w:rPr>
            </w:pPr>
          </w:p>
        </w:tc>
        <w:tc>
          <w:tcPr>
            <w:tcW w:w="886" w:type="dxa"/>
            <w:tcBorders>
              <w:left w:val="single" w:color="auto" w:sz="4" w:space="0"/>
            </w:tcBorders>
            <w:vAlign w:val="center"/>
          </w:tcPr>
          <w:p>
            <w:pPr>
              <w:widowControl/>
              <w:spacing w:line="360" w:lineRule="atLeast"/>
              <w:ind w:firstLine="470" w:firstLineChars="196"/>
              <w:jc w:val="left"/>
              <w:outlineLvl w:val="1"/>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vAlign w:val="center"/>
          </w:tcPr>
          <w:p>
            <w:pPr>
              <w:widowControl/>
              <w:spacing w:line="360" w:lineRule="atLeast"/>
              <w:ind w:firstLine="470" w:firstLineChars="196"/>
              <w:jc w:val="left"/>
              <w:outlineLvl w:val="1"/>
              <w:rPr>
                <w:rFonts w:ascii="宋体"/>
                <w:sz w:val="24"/>
                <w:highlight w:val="none"/>
              </w:rPr>
            </w:pPr>
          </w:p>
        </w:tc>
        <w:tc>
          <w:tcPr>
            <w:tcW w:w="1145" w:type="dxa"/>
            <w:tcBorders>
              <w:right w:val="single" w:color="auto" w:sz="4" w:space="0"/>
            </w:tcBorders>
            <w:vAlign w:val="center"/>
          </w:tcPr>
          <w:p>
            <w:pPr>
              <w:widowControl/>
              <w:spacing w:line="360" w:lineRule="atLeast"/>
              <w:ind w:firstLine="470" w:firstLineChars="196"/>
              <w:jc w:val="left"/>
              <w:outlineLvl w:val="1"/>
              <w:rPr>
                <w:rFonts w:ascii="宋体"/>
                <w:sz w:val="24"/>
                <w:highlight w:val="none"/>
              </w:rPr>
            </w:pPr>
          </w:p>
        </w:tc>
        <w:tc>
          <w:tcPr>
            <w:tcW w:w="1320" w:type="dxa"/>
            <w:tcBorders>
              <w:left w:val="single" w:color="auto" w:sz="4" w:space="0"/>
            </w:tcBorders>
            <w:vAlign w:val="center"/>
          </w:tcPr>
          <w:p>
            <w:pPr>
              <w:widowControl/>
              <w:spacing w:line="360" w:lineRule="atLeast"/>
              <w:ind w:firstLine="470" w:firstLineChars="196"/>
              <w:jc w:val="left"/>
              <w:outlineLvl w:val="1"/>
              <w:rPr>
                <w:rFonts w:ascii="宋体"/>
                <w:sz w:val="24"/>
                <w:highlight w:val="none"/>
              </w:rPr>
            </w:pPr>
          </w:p>
        </w:tc>
        <w:tc>
          <w:tcPr>
            <w:tcW w:w="1161" w:type="dxa"/>
            <w:vAlign w:val="center"/>
          </w:tcPr>
          <w:p>
            <w:pPr>
              <w:widowControl/>
              <w:spacing w:line="360" w:lineRule="atLeast"/>
              <w:ind w:firstLine="470" w:firstLineChars="196"/>
              <w:jc w:val="left"/>
              <w:outlineLvl w:val="1"/>
              <w:rPr>
                <w:rFonts w:ascii="宋体"/>
                <w:sz w:val="24"/>
                <w:highlight w:val="none"/>
              </w:rPr>
            </w:pPr>
          </w:p>
        </w:tc>
        <w:tc>
          <w:tcPr>
            <w:tcW w:w="1260" w:type="dxa"/>
            <w:vAlign w:val="center"/>
          </w:tcPr>
          <w:p>
            <w:pPr>
              <w:widowControl/>
              <w:spacing w:line="360" w:lineRule="atLeast"/>
              <w:ind w:firstLine="470" w:firstLineChars="196"/>
              <w:jc w:val="left"/>
              <w:outlineLvl w:val="1"/>
              <w:rPr>
                <w:rFonts w:ascii="宋体"/>
                <w:sz w:val="24"/>
                <w:highlight w:val="none"/>
              </w:rPr>
            </w:pPr>
          </w:p>
        </w:tc>
        <w:tc>
          <w:tcPr>
            <w:tcW w:w="886" w:type="dxa"/>
            <w:tcBorders>
              <w:left w:val="single" w:color="auto" w:sz="4" w:space="0"/>
            </w:tcBorders>
            <w:vAlign w:val="center"/>
          </w:tcPr>
          <w:p>
            <w:pPr>
              <w:widowControl/>
              <w:spacing w:line="360" w:lineRule="atLeast"/>
              <w:ind w:firstLine="470" w:firstLineChars="196"/>
              <w:jc w:val="left"/>
              <w:outlineLvl w:val="1"/>
              <w:rPr>
                <w:rFonts w:ascii="宋体"/>
                <w:sz w:val="24"/>
                <w:highlight w:val="none"/>
              </w:rPr>
            </w:pPr>
          </w:p>
        </w:tc>
      </w:tr>
    </w:tbl>
    <w:p>
      <w:pPr>
        <w:widowControl/>
        <w:spacing w:line="360" w:lineRule="atLeast"/>
        <w:ind w:firstLine="470" w:firstLineChars="196"/>
        <w:jc w:val="left"/>
        <w:rPr>
          <w:rFonts w:ascii="宋体"/>
          <w:sz w:val="24"/>
          <w:highlight w:val="none"/>
        </w:rPr>
      </w:pPr>
    </w:p>
    <w:p>
      <w:pPr>
        <w:spacing w:line="360" w:lineRule="auto"/>
        <w:ind w:firstLine="422" w:firstLineChars="200"/>
        <w:rPr>
          <w:rFonts w:ascii="宋体" w:hAnsi="宋体"/>
          <w:b/>
          <w:bCs/>
          <w:highlight w:val="none"/>
          <w:u w:val="single"/>
        </w:rPr>
      </w:pPr>
      <w:r>
        <w:rPr>
          <w:rFonts w:hint="eastAsia" w:ascii="宋体" w:hAnsi="宋体"/>
          <w:b/>
          <w:bCs/>
          <w:highlight w:val="none"/>
          <w:u w:val="single"/>
        </w:rPr>
        <w:t>注：</w:t>
      </w:r>
    </w:p>
    <w:p>
      <w:pPr>
        <w:spacing w:line="360" w:lineRule="auto"/>
        <w:ind w:firstLine="422" w:firstLineChars="200"/>
        <w:rPr>
          <w:rFonts w:ascii="仿宋_GB2312" w:hAnsi="仿宋" w:eastAsia="仿宋_GB2312" w:cs="仿宋"/>
          <w:b/>
          <w:bCs/>
          <w:highlight w:val="none"/>
          <w:u w:val="single"/>
        </w:rPr>
      </w:pPr>
      <w:r>
        <w:rPr>
          <w:rFonts w:hint="eastAsia" w:ascii="宋体" w:hAnsi="宋体"/>
          <w:b/>
          <w:bCs/>
          <w:highlight w:val="none"/>
          <w:u w:val="single"/>
        </w:rPr>
        <w:t>1.响应供应商（仅限于响应供应商自己实施的）以上业绩需提供有关书面证明材料。“合同金额”需提供合同复印件； 2.对于证明材料的特殊要求参照评审表。</w:t>
      </w:r>
    </w:p>
    <w:p>
      <w:pPr>
        <w:spacing w:line="360" w:lineRule="atLeast"/>
        <w:jc w:val="center"/>
        <w:rPr>
          <w:rFonts w:ascii="仿宋_GB2312" w:hAnsi="仿宋" w:eastAsia="仿宋_GB2312" w:cs="仿宋"/>
          <w:sz w:val="24"/>
          <w:highlight w:val="none"/>
        </w:rPr>
      </w:pPr>
    </w:p>
    <w:p>
      <w:pPr>
        <w:pStyle w:val="13"/>
        <w:spacing w:line="360" w:lineRule="auto"/>
        <w:ind w:left="-120" w:leftChars="-57" w:firstLine="602" w:firstLineChars="250"/>
        <w:rPr>
          <w:rFonts w:ascii="仿宋_GB2312" w:hAnsi="仿宋" w:eastAsia="仿宋_GB2312" w:cs="仿宋"/>
          <w:b/>
          <w:bCs/>
          <w:sz w:val="24"/>
          <w:szCs w:val="24"/>
          <w:highlight w:val="none"/>
        </w:rPr>
      </w:pPr>
    </w:p>
    <w:p>
      <w:pPr>
        <w:pStyle w:val="13"/>
        <w:spacing w:line="360" w:lineRule="auto"/>
        <w:ind w:left="-120" w:leftChars="-57" w:firstLine="602" w:firstLineChars="250"/>
        <w:rPr>
          <w:rFonts w:ascii="仿宋_GB2312" w:hAnsi="仿宋" w:eastAsia="仿宋_GB2312" w:cs="仿宋"/>
          <w:b/>
          <w:bCs/>
          <w:sz w:val="24"/>
          <w:szCs w:val="24"/>
          <w:highlight w:val="none"/>
        </w:rPr>
      </w:pPr>
    </w:p>
    <w:p>
      <w:pPr>
        <w:pStyle w:val="13"/>
        <w:spacing w:line="360" w:lineRule="auto"/>
        <w:ind w:left="-120" w:leftChars="-57" w:firstLine="602" w:firstLineChars="250"/>
        <w:rPr>
          <w:rFonts w:ascii="仿宋_GB2312" w:hAnsi="仿宋" w:eastAsia="仿宋_GB2312" w:cs="仿宋"/>
          <w:b/>
          <w:bCs/>
          <w:sz w:val="24"/>
          <w:szCs w:val="24"/>
          <w:highlight w:val="none"/>
        </w:rPr>
      </w:pPr>
    </w:p>
    <w:p>
      <w:pPr>
        <w:pStyle w:val="13"/>
        <w:spacing w:line="360" w:lineRule="auto"/>
        <w:ind w:left="-120" w:leftChars="-57" w:firstLine="602" w:firstLineChars="250"/>
        <w:rPr>
          <w:rFonts w:ascii="仿宋_GB2312" w:hAnsi="仿宋" w:eastAsia="仿宋_GB2312" w:cs="仿宋"/>
          <w:b/>
          <w:bCs/>
          <w:sz w:val="24"/>
          <w:szCs w:val="24"/>
          <w:highlight w:val="none"/>
        </w:rPr>
      </w:pPr>
    </w:p>
    <w:p>
      <w:pPr>
        <w:pStyle w:val="13"/>
        <w:spacing w:line="360" w:lineRule="auto"/>
        <w:ind w:left="-120" w:leftChars="-57" w:firstLine="602" w:firstLineChars="250"/>
        <w:rPr>
          <w:rFonts w:ascii="仿宋_GB2312" w:hAnsi="仿宋" w:eastAsia="仿宋_GB2312" w:cs="仿宋"/>
          <w:b/>
          <w:bCs/>
          <w:sz w:val="24"/>
          <w:szCs w:val="24"/>
          <w:highlight w:val="none"/>
        </w:rPr>
      </w:pPr>
    </w:p>
    <w:p>
      <w:pPr>
        <w:pStyle w:val="13"/>
        <w:spacing w:line="360" w:lineRule="auto"/>
        <w:ind w:left="-120" w:leftChars="-57" w:firstLine="602" w:firstLineChars="250"/>
        <w:rPr>
          <w:rFonts w:ascii="仿宋_GB2312" w:hAnsi="仿宋" w:eastAsia="仿宋_GB2312" w:cs="仿宋"/>
          <w:b/>
          <w:bCs/>
          <w:sz w:val="24"/>
          <w:szCs w:val="24"/>
          <w:highlight w:val="none"/>
        </w:rPr>
      </w:pPr>
    </w:p>
    <w:p>
      <w:pPr>
        <w:spacing w:line="360" w:lineRule="auto"/>
        <w:ind w:firstLine="480" w:firstLineChars="200"/>
        <w:jc w:val="left"/>
        <w:rPr>
          <w:rFonts w:ascii="宋体" w:hAnsi="宋体"/>
          <w:sz w:val="24"/>
          <w:highlight w:val="none"/>
        </w:rPr>
      </w:pPr>
      <w:r>
        <w:rPr>
          <w:rFonts w:hint="eastAsia" w:ascii="宋体" w:hAnsi="宋体"/>
          <w:sz w:val="24"/>
          <w:highlight w:val="none"/>
        </w:rPr>
        <w:t>6.1.4本项目管理、技术、服务人员情况表</w:t>
      </w:r>
    </w:p>
    <w:p>
      <w:pPr>
        <w:spacing w:line="360" w:lineRule="auto"/>
        <w:jc w:val="center"/>
        <w:rPr>
          <w:rFonts w:ascii="黑体" w:hAnsi="仿宋" w:eastAsia="黑体" w:cs="仿宋"/>
          <w:bCs/>
          <w:sz w:val="32"/>
          <w:szCs w:val="32"/>
          <w:highlight w:val="none"/>
        </w:rPr>
      </w:pPr>
      <w:r>
        <w:rPr>
          <w:rFonts w:hint="eastAsia" w:ascii="黑体" w:hAnsi="仿宋" w:eastAsia="黑体" w:cs="仿宋"/>
          <w:bCs/>
          <w:sz w:val="32"/>
          <w:szCs w:val="32"/>
          <w:highlight w:val="none"/>
        </w:rPr>
        <w:t>本项目管理、技术、服务人员情况表</w:t>
      </w:r>
    </w:p>
    <w:tbl>
      <w:tblPr>
        <w:tblStyle w:val="23"/>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231"/>
        <w:gridCol w:w="1192"/>
        <w:gridCol w:w="2196"/>
        <w:gridCol w:w="749"/>
        <w:gridCol w:w="818"/>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17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职责分工</w:t>
            </w:r>
          </w:p>
        </w:tc>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姓名</w:t>
            </w:r>
          </w:p>
        </w:tc>
        <w:tc>
          <w:tcPr>
            <w:tcW w:w="11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现职务</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曾主持/参与的</w:t>
            </w:r>
            <w:r>
              <w:rPr>
                <w:rFonts w:hint="eastAsia" w:ascii="黑体" w:hAnsi="黑体" w:eastAsia="黑体" w:cs="黑体"/>
                <w:sz w:val="24"/>
                <w:highlight w:val="none"/>
              </w:rPr>
              <w:br w:type="textWrapping"/>
            </w:r>
            <w:r>
              <w:rPr>
                <w:rFonts w:hint="eastAsia" w:ascii="黑体" w:hAnsi="黑体" w:eastAsia="黑体" w:cs="黑体"/>
                <w:sz w:val="24"/>
                <w:highlight w:val="none"/>
              </w:rPr>
              <w:t>同类项目经历</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职称</w:t>
            </w:r>
          </w:p>
        </w:tc>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专业</w:t>
            </w:r>
          </w:p>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工龄</w:t>
            </w:r>
          </w:p>
        </w:tc>
        <w:tc>
          <w:tcPr>
            <w:tcW w:w="1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tcBorders>
              <w:top w:val="single" w:color="auto" w:sz="4" w:space="0"/>
              <w:left w:val="single" w:color="auto" w:sz="4" w:space="0"/>
              <w:bottom w:val="nil"/>
              <w:right w:val="single" w:color="auto" w:sz="4" w:space="0"/>
            </w:tcBorders>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总负责人</w:t>
            </w:r>
          </w:p>
        </w:tc>
        <w:tc>
          <w:tcPr>
            <w:tcW w:w="1231" w:type="dxa"/>
            <w:tcBorders>
              <w:top w:val="single" w:color="auto" w:sz="4" w:space="0"/>
              <w:left w:val="single" w:color="auto" w:sz="4" w:space="0"/>
              <w:bottom w:val="nil"/>
              <w:right w:val="single" w:color="auto" w:sz="4" w:space="0"/>
            </w:tcBorders>
            <w:vAlign w:val="center"/>
          </w:tcPr>
          <w:p>
            <w:pPr>
              <w:jc w:val="center"/>
              <w:rPr>
                <w:rFonts w:ascii="宋体" w:hAnsi="宋体"/>
                <w:highlight w:val="none"/>
              </w:rPr>
            </w:pPr>
          </w:p>
        </w:tc>
        <w:tc>
          <w:tcPr>
            <w:tcW w:w="1192" w:type="dxa"/>
            <w:tcBorders>
              <w:top w:val="single" w:color="auto" w:sz="4" w:space="0"/>
              <w:left w:val="single" w:color="auto" w:sz="4" w:space="0"/>
              <w:bottom w:val="nil"/>
              <w:right w:val="single" w:color="auto" w:sz="4" w:space="0"/>
            </w:tcBorders>
            <w:vAlign w:val="center"/>
          </w:tcPr>
          <w:p>
            <w:pPr>
              <w:jc w:val="center"/>
              <w:rPr>
                <w:rFonts w:ascii="宋体" w:hAnsi="宋体"/>
                <w:highlight w:val="none"/>
              </w:rPr>
            </w:pPr>
          </w:p>
        </w:tc>
        <w:tc>
          <w:tcPr>
            <w:tcW w:w="2196" w:type="dxa"/>
            <w:tcBorders>
              <w:top w:val="single" w:color="auto" w:sz="4" w:space="0"/>
              <w:left w:val="single" w:color="auto" w:sz="4" w:space="0"/>
              <w:bottom w:val="nil"/>
              <w:right w:val="single" w:color="auto" w:sz="4" w:space="0"/>
            </w:tcBorders>
            <w:vAlign w:val="center"/>
          </w:tcPr>
          <w:p>
            <w:pPr>
              <w:pStyle w:val="29"/>
              <w:keepNext w:val="0"/>
              <w:adjustRightInd/>
              <w:spacing w:before="0" w:after="0" w:line="240" w:lineRule="auto"/>
              <w:rPr>
                <w:rFonts w:ascii="宋体" w:hAnsi="宋体"/>
                <w:spacing w:val="0"/>
                <w:kern w:val="2"/>
                <w:sz w:val="21"/>
                <w:szCs w:val="21"/>
                <w:highlight w:val="none"/>
              </w:rPr>
            </w:pPr>
          </w:p>
        </w:tc>
        <w:tc>
          <w:tcPr>
            <w:tcW w:w="749" w:type="dxa"/>
            <w:tcBorders>
              <w:top w:val="single" w:color="auto" w:sz="4" w:space="0"/>
              <w:left w:val="single" w:color="auto" w:sz="4" w:space="0"/>
              <w:bottom w:val="nil"/>
              <w:right w:val="single" w:color="auto" w:sz="4" w:space="0"/>
            </w:tcBorders>
            <w:vAlign w:val="center"/>
          </w:tcPr>
          <w:p>
            <w:pPr>
              <w:jc w:val="center"/>
              <w:rPr>
                <w:rFonts w:ascii="宋体" w:hAnsi="宋体"/>
                <w:highlight w:val="none"/>
              </w:rPr>
            </w:pPr>
          </w:p>
        </w:tc>
        <w:tc>
          <w:tcPr>
            <w:tcW w:w="818" w:type="dxa"/>
            <w:tcBorders>
              <w:top w:val="single" w:color="auto" w:sz="4" w:space="0"/>
              <w:left w:val="single" w:color="auto" w:sz="4" w:space="0"/>
              <w:bottom w:val="nil"/>
              <w:right w:val="single" w:color="auto" w:sz="4" w:space="0"/>
            </w:tcBorders>
            <w:vAlign w:val="center"/>
          </w:tcPr>
          <w:p>
            <w:pPr>
              <w:ind w:firstLine="12"/>
              <w:jc w:val="center"/>
              <w:rPr>
                <w:rFonts w:ascii="宋体" w:hAnsi="宋体"/>
                <w:highlight w:val="none"/>
              </w:rPr>
            </w:pPr>
          </w:p>
        </w:tc>
        <w:tc>
          <w:tcPr>
            <w:tcW w:w="1236" w:type="dxa"/>
            <w:tcBorders>
              <w:top w:val="single" w:color="auto" w:sz="4" w:space="0"/>
              <w:left w:val="single" w:color="auto" w:sz="4" w:space="0"/>
              <w:bottom w:val="nil"/>
              <w:right w:val="single" w:color="auto" w:sz="4" w:space="0"/>
            </w:tcBorders>
            <w:vAlign w:val="center"/>
          </w:tcPr>
          <w:p>
            <w:pPr>
              <w:ind w:firstLine="12"/>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主要技术人员</w:t>
            </w: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w:t>
            </w: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主要售后服务人员</w:t>
            </w: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w:t>
            </w: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r>
    </w:tbl>
    <w:p>
      <w:pPr>
        <w:spacing w:line="360" w:lineRule="auto"/>
        <w:ind w:firstLine="422" w:firstLineChars="200"/>
        <w:rPr>
          <w:rFonts w:ascii="宋体" w:hAnsi="宋体"/>
          <w:b/>
          <w:bCs/>
          <w:highlight w:val="none"/>
          <w:u w:val="single"/>
        </w:rPr>
      </w:pPr>
      <w:r>
        <w:rPr>
          <w:rFonts w:hint="eastAsia" w:ascii="宋体" w:hAnsi="宋体"/>
          <w:b/>
          <w:bCs/>
          <w:highlight w:val="none"/>
          <w:u w:val="single"/>
        </w:rPr>
        <w:t>注：</w:t>
      </w:r>
    </w:p>
    <w:p>
      <w:pPr>
        <w:spacing w:line="360" w:lineRule="auto"/>
        <w:ind w:firstLine="422" w:firstLineChars="200"/>
        <w:rPr>
          <w:rFonts w:ascii="宋体" w:hAnsi="宋体"/>
          <w:b/>
          <w:bCs/>
          <w:highlight w:val="none"/>
          <w:u w:val="single"/>
        </w:rPr>
      </w:pPr>
      <w:r>
        <w:rPr>
          <w:rFonts w:hint="eastAsia" w:ascii="宋体" w:hAnsi="宋体"/>
          <w:b/>
          <w:bCs/>
          <w:highlight w:val="none"/>
          <w:u w:val="single"/>
        </w:rPr>
        <w:t>1.对于主要管理、技术、服务人员可另页单独介绍。</w:t>
      </w:r>
    </w:p>
    <w:p>
      <w:pPr>
        <w:spacing w:line="360" w:lineRule="auto"/>
        <w:ind w:firstLine="422" w:firstLineChars="200"/>
        <w:rPr>
          <w:rFonts w:ascii="宋体" w:hAnsi="宋体"/>
          <w:b/>
          <w:bCs/>
          <w:highlight w:val="none"/>
          <w:u w:val="single"/>
        </w:rPr>
      </w:pPr>
      <w:r>
        <w:rPr>
          <w:rFonts w:hint="eastAsia" w:ascii="宋体" w:hAnsi="宋体"/>
          <w:b/>
          <w:bCs/>
          <w:highlight w:val="none"/>
          <w:u w:val="single"/>
        </w:rPr>
        <w:t>2.对于证明材料的特殊要求参照评审表。</w:t>
      </w:r>
    </w:p>
    <w:p>
      <w:pPr>
        <w:pStyle w:val="13"/>
        <w:spacing w:line="360" w:lineRule="auto"/>
        <w:ind w:left="-120" w:leftChars="-57" w:firstLine="602" w:firstLineChars="250"/>
        <w:rPr>
          <w:rFonts w:ascii="仿宋_GB2312" w:hAnsi="仿宋" w:eastAsia="仿宋_GB2312" w:cs="仿宋"/>
          <w:b/>
          <w:bCs/>
          <w:sz w:val="24"/>
          <w:szCs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0" w:firstLineChars="200"/>
        <w:jc w:val="left"/>
        <w:rPr>
          <w:rFonts w:ascii="宋体" w:hAnsi="宋体"/>
          <w:sz w:val="24"/>
          <w:highlight w:val="none"/>
        </w:rPr>
      </w:pPr>
      <w:r>
        <w:rPr>
          <w:rFonts w:hint="eastAsia" w:ascii="宋体" w:hAnsi="宋体"/>
          <w:sz w:val="24"/>
          <w:highlight w:val="none"/>
        </w:rPr>
        <w:t>6.1.5其它重要事项说明及承诺</w:t>
      </w:r>
    </w:p>
    <w:p>
      <w:pPr>
        <w:spacing w:line="360" w:lineRule="auto"/>
        <w:ind w:firstLine="422" w:firstLineChars="200"/>
        <w:rPr>
          <w:rFonts w:ascii="宋体" w:hAnsi="宋体"/>
          <w:b/>
          <w:bCs/>
          <w:highlight w:val="none"/>
          <w:u w:val="single"/>
        </w:rPr>
      </w:pPr>
      <w:r>
        <w:rPr>
          <w:rFonts w:hint="eastAsia" w:ascii="宋体" w:hAnsi="宋体"/>
          <w:b/>
          <w:bCs/>
          <w:highlight w:val="none"/>
          <w:u w:val="single"/>
          <w:lang w:val="en-GB"/>
        </w:rPr>
        <w:t>（如有，请扼要叙述）</w:t>
      </w:r>
    </w:p>
    <w:p>
      <w:pPr>
        <w:pStyle w:val="13"/>
        <w:spacing w:line="360" w:lineRule="auto"/>
        <w:ind w:left="-120" w:leftChars="-57" w:firstLine="602" w:firstLineChars="250"/>
        <w:rPr>
          <w:rFonts w:ascii="仿宋_GB2312" w:hAnsi="仿宋" w:eastAsia="仿宋_GB2312" w:cs="仿宋"/>
          <w:b/>
          <w:bCs/>
          <w:sz w:val="24"/>
          <w:szCs w:val="24"/>
          <w:highlight w:val="none"/>
        </w:rPr>
      </w:pPr>
    </w:p>
    <w:p>
      <w:pPr>
        <w:pStyle w:val="13"/>
        <w:spacing w:line="360" w:lineRule="auto"/>
        <w:ind w:left="-120" w:leftChars="-57" w:firstLine="602" w:firstLineChars="250"/>
        <w:rPr>
          <w:rFonts w:ascii="仿宋_GB2312" w:hAnsi="仿宋" w:eastAsia="仿宋_GB2312" w:cs="仿宋"/>
          <w:b/>
          <w:bCs/>
          <w:sz w:val="24"/>
          <w:szCs w:val="24"/>
          <w:highlight w:val="none"/>
        </w:rPr>
      </w:pPr>
    </w:p>
    <w:p>
      <w:pPr>
        <w:pStyle w:val="13"/>
        <w:spacing w:line="360" w:lineRule="auto"/>
        <w:ind w:left="-120" w:leftChars="-57" w:firstLine="602" w:firstLineChars="250"/>
        <w:rPr>
          <w:rFonts w:ascii="仿宋_GB2312" w:hAnsi="仿宋" w:eastAsia="仿宋_GB2312" w:cs="仿宋"/>
          <w:b/>
          <w:bCs/>
          <w:sz w:val="24"/>
          <w:szCs w:val="24"/>
          <w:highlight w:val="none"/>
        </w:rPr>
      </w:pPr>
    </w:p>
    <w:p>
      <w:pPr>
        <w:pStyle w:val="13"/>
        <w:spacing w:line="360" w:lineRule="auto"/>
        <w:ind w:left="-120" w:leftChars="-57" w:firstLine="602" w:firstLineChars="250"/>
        <w:rPr>
          <w:rFonts w:ascii="仿宋_GB2312" w:hAnsi="仿宋" w:eastAsia="仿宋_GB2312" w:cs="仿宋"/>
          <w:b/>
          <w:bCs/>
          <w:sz w:val="24"/>
          <w:szCs w:val="24"/>
          <w:highlight w:val="none"/>
        </w:rPr>
      </w:pPr>
    </w:p>
    <w:p>
      <w:pPr>
        <w:pStyle w:val="13"/>
        <w:spacing w:line="360" w:lineRule="auto"/>
        <w:ind w:left="-120" w:leftChars="-57" w:firstLine="602" w:firstLineChars="250"/>
        <w:rPr>
          <w:rFonts w:ascii="仿宋_GB2312" w:hAnsi="仿宋" w:eastAsia="仿宋_GB2312" w:cs="仿宋"/>
          <w:b/>
          <w:bCs/>
          <w:sz w:val="24"/>
          <w:szCs w:val="24"/>
          <w:highlight w:val="none"/>
        </w:rPr>
      </w:pPr>
    </w:p>
    <w:p>
      <w:pPr>
        <w:pStyle w:val="13"/>
        <w:spacing w:line="360" w:lineRule="auto"/>
        <w:ind w:left="-120" w:leftChars="-57" w:firstLine="602" w:firstLineChars="250"/>
        <w:rPr>
          <w:rFonts w:ascii="仿宋_GB2312" w:hAnsi="仿宋" w:eastAsia="仿宋_GB2312" w:cs="仿宋"/>
          <w:b/>
          <w:bCs/>
          <w:sz w:val="24"/>
          <w:szCs w:val="24"/>
          <w:highlight w:val="none"/>
        </w:rPr>
      </w:pPr>
    </w:p>
    <w:p>
      <w:pPr>
        <w:pStyle w:val="13"/>
        <w:spacing w:line="360" w:lineRule="auto"/>
        <w:ind w:left="-120" w:leftChars="-57" w:firstLine="602" w:firstLineChars="250"/>
        <w:rPr>
          <w:rFonts w:ascii="仿宋_GB2312" w:hAnsi="仿宋" w:eastAsia="仿宋_GB2312" w:cs="仿宋"/>
          <w:b/>
          <w:bCs/>
          <w:sz w:val="24"/>
          <w:szCs w:val="24"/>
          <w:highlight w:val="none"/>
        </w:rPr>
      </w:pPr>
    </w:p>
    <w:p>
      <w:pPr>
        <w:pStyle w:val="13"/>
        <w:spacing w:line="360" w:lineRule="auto"/>
        <w:ind w:left="-120" w:leftChars="-57" w:firstLine="602" w:firstLineChars="250"/>
        <w:rPr>
          <w:rFonts w:ascii="仿宋_GB2312" w:hAnsi="仿宋" w:eastAsia="仿宋_GB2312" w:cs="仿宋"/>
          <w:b/>
          <w:bCs/>
          <w:sz w:val="24"/>
          <w:szCs w:val="24"/>
          <w:highlight w:val="none"/>
        </w:rPr>
      </w:pPr>
    </w:p>
    <w:p>
      <w:pPr>
        <w:pStyle w:val="13"/>
        <w:spacing w:line="360" w:lineRule="auto"/>
        <w:ind w:left="-120" w:leftChars="-57" w:firstLine="602" w:firstLineChars="250"/>
        <w:rPr>
          <w:rFonts w:ascii="仿宋_GB2312" w:hAnsi="仿宋" w:eastAsia="仿宋_GB2312" w:cs="仿宋"/>
          <w:b/>
          <w:bCs/>
          <w:sz w:val="24"/>
          <w:szCs w:val="24"/>
          <w:highlight w:val="none"/>
        </w:rPr>
      </w:pPr>
    </w:p>
    <w:p>
      <w:pPr>
        <w:pStyle w:val="13"/>
        <w:spacing w:line="360" w:lineRule="auto"/>
        <w:ind w:left="-120" w:leftChars="-57" w:firstLine="602" w:firstLineChars="250"/>
        <w:rPr>
          <w:rFonts w:ascii="仿宋_GB2312" w:hAnsi="仿宋" w:eastAsia="仿宋_GB2312" w:cs="仿宋"/>
          <w:b/>
          <w:bCs/>
          <w:sz w:val="24"/>
          <w:szCs w:val="24"/>
          <w:highlight w:val="none"/>
        </w:rPr>
      </w:pPr>
    </w:p>
    <w:p>
      <w:pPr>
        <w:pStyle w:val="13"/>
        <w:spacing w:line="360" w:lineRule="auto"/>
        <w:ind w:left="-120" w:leftChars="-57" w:firstLine="602" w:firstLineChars="250"/>
        <w:rPr>
          <w:rFonts w:hAnsi="宋体"/>
          <w:b/>
          <w:bCs/>
          <w:sz w:val="24"/>
          <w:szCs w:val="24"/>
          <w:highlight w:val="none"/>
        </w:rPr>
      </w:pPr>
      <w:r>
        <w:rPr>
          <w:rFonts w:hint="eastAsia" w:ascii="仿宋_GB2312" w:hAnsi="仿宋" w:eastAsia="仿宋_GB2312" w:cs="仿宋"/>
          <w:b/>
          <w:bCs/>
          <w:sz w:val="24"/>
          <w:szCs w:val="24"/>
          <w:highlight w:val="none"/>
        </w:rPr>
        <w:br w:type="page"/>
      </w:r>
      <w:r>
        <w:rPr>
          <w:rFonts w:hint="eastAsia" w:hAnsi="宋体"/>
          <w:b/>
          <w:bCs/>
          <w:sz w:val="24"/>
          <w:szCs w:val="24"/>
          <w:highlight w:val="none"/>
        </w:rPr>
        <w:t>6.2商务条款响应表</w:t>
      </w:r>
    </w:p>
    <w:p>
      <w:pPr>
        <w:spacing w:line="360" w:lineRule="auto"/>
        <w:jc w:val="center"/>
        <w:rPr>
          <w:rFonts w:ascii="黑体" w:hAnsi="仿宋" w:eastAsia="黑体" w:cs="仿宋"/>
          <w:bCs/>
          <w:sz w:val="32"/>
          <w:szCs w:val="32"/>
          <w:highlight w:val="none"/>
        </w:rPr>
      </w:pPr>
      <w:r>
        <w:rPr>
          <w:rFonts w:hint="eastAsia" w:ascii="黑体" w:hAnsi="仿宋" w:eastAsia="黑体" w:cs="仿宋"/>
          <w:bCs/>
          <w:sz w:val="32"/>
          <w:szCs w:val="32"/>
          <w:highlight w:val="none"/>
        </w:rPr>
        <w:t>商务条款响应表</w:t>
      </w:r>
    </w:p>
    <w:tbl>
      <w:tblPr>
        <w:tblStyle w:val="23"/>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945"/>
        <w:gridCol w:w="1428"/>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序号</w:t>
            </w:r>
          </w:p>
        </w:tc>
        <w:tc>
          <w:tcPr>
            <w:tcW w:w="5945" w:type="dxa"/>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一般商务条款要求</w:t>
            </w:r>
          </w:p>
        </w:tc>
        <w:tc>
          <w:tcPr>
            <w:tcW w:w="1428" w:type="dxa"/>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是否响应</w:t>
            </w:r>
          </w:p>
        </w:tc>
        <w:tc>
          <w:tcPr>
            <w:tcW w:w="1255" w:type="dxa"/>
            <w:vAlign w:val="center"/>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1</w:t>
            </w:r>
          </w:p>
        </w:tc>
        <w:tc>
          <w:tcPr>
            <w:tcW w:w="5945" w:type="dxa"/>
          </w:tcPr>
          <w:p>
            <w:pPr>
              <w:spacing w:line="360" w:lineRule="auto"/>
              <w:jc w:val="left"/>
              <w:rPr>
                <w:rFonts w:ascii="宋体" w:hAnsi="宋体"/>
                <w:highlight w:val="none"/>
              </w:rPr>
            </w:pPr>
            <w:r>
              <w:rPr>
                <w:rFonts w:hint="eastAsia" w:ascii="宋体" w:hAnsi="宋体"/>
                <w:highlight w:val="none"/>
              </w:rPr>
              <w:t>完全理解并接受合同条款的要求</w:t>
            </w:r>
          </w:p>
        </w:tc>
        <w:tc>
          <w:tcPr>
            <w:tcW w:w="1428" w:type="dxa"/>
          </w:tcPr>
          <w:p>
            <w:pPr>
              <w:spacing w:line="360" w:lineRule="auto"/>
              <w:jc w:val="center"/>
              <w:rPr>
                <w:rFonts w:ascii="宋体" w:hAnsi="宋体"/>
                <w:highlight w:val="none"/>
              </w:rPr>
            </w:pPr>
          </w:p>
        </w:tc>
        <w:tc>
          <w:tcPr>
            <w:tcW w:w="1255" w:type="dxa"/>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2</w:t>
            </w:r>
          </w:p>
        </w:tc>
        <w:tc>
          <w:tcPr>
            <w:tcW w:w="5945" w:type="dxa"/>
          </w:tcPr>
          <w:p>
            <w:pPr>
              <w:spacing w:line="360" w:lineRule="auto"/>
              <w:jc w:val="left"/>
              <w:rPr>
                <w:rFonts w:ascii="宋体" w:hAnsi="宋体"/>
                <w:highlight w:val="none"/>
              </w:rPr>
            </w:pPr>
            <w:r>
              <w:rPr>
                <w:rFonts w:hint="eastAsia" w:ascii="宋体" w:hAnsi="宋体"/>
                <w:highlight w:val="none"/>
              </w:rPr>
              <w:t>完全理解并接受对合格供应商、合格服务的要求</w:t>
            </w:r>
          </w:p>
        </w:tc>
        <w:tc>
          <w:tcPr>
            <w:tcW w:w="1428" w:type="dxa"/>
          </w:tcPr>
          <w:p>
            <w:pPr>
              <w:spacing w:line="360" w:lineRule="auto"/>
              <w:jc w:val="center"/>
              <w:rPr>
                <w:rFonts w:ascii="宋体" w:hAnsi="宋体"/>
                <w:highlight w:val="none"/>
              </w:rPr>
            </w:pPr>
          </w:p>
        </w:tc>
        <w:tc>
          <w:tcPr>
            <w:tcW w:w="1255" w:type="dxa"/>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3</w:t>
            </w:r>
          </w:p>
        </w:tc>
        <w:tc>
          <w:tcPr>
            <w:tcW w:w="5945" w:type="dxa"/>
          </w:tcPr>
          <w:p>
            <w:pPr>
              <w:spacing w:line="360" w:lineRule="auto"/>
              <w:jc w:val="left"/>
              <w:rPr>
                <w:rFonts w:ascii="宋体" w:hAnsi="宋体"/>
                <w:highlight w:val="none"/>
              </w:rPr>
            </w:pPr>
            <w:r>
              <w:rPr>
                <w:rFonts w:hint="eastAsia" w:ascii="宋体" w:hAnsi="宋体"/>
                <w:highlight w:val="none"/>
              </w:rPr>
              <w:t>完全理解并接受对供应商须知、规约要求和责任义务</w:t>
            </w:r>
          </w:p>
        </w:tc>
        <w:tc>
          <w:tcPr>
            <w:tcW w:w="1428" w:type="dxa"/>
          </w:tcPr>
          <w:p>
            <w:pPr>
              <w:spacing w:line="360" w:lineRule="auto"/>
              <w:jc w:val="center"/>
              <w:rPr>
                <w:rFonts w:ascii="宋体" w:hAnsi="宋体"/>
                <w:highlight w:val="none"/>
              </w:rPr>
            </w:pPr>
          </w:p>
        </w:tc>
        <w:tc>
          <w:tcPr>
            <w:tcW w:w="1255" w:type="dxa"/>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4</w:t>
            </w:r>
          </w:p>
        </w:tc>
        <w:tc>
          <w:tcPr>
            <w:tcW w:w="5945" w:type="dxa"/>
          </w:tcPr>
          <w:p>
            <w:pPr>
              <w:spacing w:line="360" w:lineRule="auto"/>
              <w:jc w:val="left"/>
              <w:rPr>
                <w:rFonts w:ascii="宋体" w:hAnsi="宋体"/>
                <w:highlight w:val="none"/>
              </w:rPr>
            </w:pPr>
            <w:r>
              <w:rPr>
                <w:rFonts w:hint="eastAsia" w:ascii="宋体" w:hAnsi="宋体"/>
                <w:highlight w:val="none"/>
              </w:rPr>
              <w:t>响应有效期：自响应截止起不少于90日</w:t>
            </w:r>
          </w:p>
        </w:tc>
        <w:tc>
          <w:tcPr>
            <w:tcW w:w="1428" w:type="dxa"/>
          </w:tcPr>
          <w:p>
            <w:pPr>
              <w:spacing w:line="360" w:lineRule="auto"/>
              <w:jc w:val="center"/>
              <w:rPr>
                <w:rFonts w:ascii="宋体" w:hAnsi="宋体"/>
                <w:highlight w:val="none"/>
              </w:rPr>
            </w:pPr>
          </w:p>
        </w:tc>
        <w:tc>
          <w:tcPr>
            <w:tcW w:w="1255" w:type="dxa"/>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5</w:t>
            </w:r>
          </w:p>
        </w:tc>
        <w:tc>
          <w:tcPr>
            <w:tcW w:w="5945" w:type="dxa"/>
          </w:tcPr>
          <w:p>
            <w:pPr>
              <w:spacing w:line="360" w:lineRule="auto"/>
              <w:jc w:val="left"/>
              <w:rPr>
                <w:rFonts w:ascii="宋体" w:hAnsi="宋体"/>
                <w:highlight w:val="none"/>
              </w:rPr>
            </w:pPr>
            <w:r>
              <w:rPr>
                <w:rFonts w:hint="eastAsia" w:ascii="宋体" w:hAnsi="宋体"/>
                <w:highlight w:val="none"/>
              </w:rPr>
              <w:t>报价内容涵盖报价要求之一切费用和伴随服务</w:t>
            </w:r>
          </w:p>
        </w:tc>
        <w:tc>
          <w:tcPr>
            <w:tcW w:w="1428" w:type="dxa"/>
          </w:tcPr>
          <w:p>
            <w:pPr>
              <w:spacing w:line="360" w:lineRule="auto"/>
              <w:jc w:val="center"/>
              <w:rPr>
                <w:rFonts w:ascii="宋体" w:hAnsi="宋体"/>
                <w:highlight w:val="none"/>
              </w:rPr>
            </w:pPr>
          </w:p>
        </w:tc>
        <w:tc>
          <w:tcPr>
            <w:tcW w:w="1255" w:type="dxa"/>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6</w:t>
            </w:r>
          </w:p>
        </w:tc>
        <w:tc>
          <w:tcPr>
            <w:tcW w:w="5945" w:type="dxa"/>
          </w:tcPr>
          <w:p>
            <w:pPr>
              <w:spacing w:line="360" w:lineRule="auto"/>
              <w:jc w:val="left"/>
              <w:rPr>
                <w:rFonts w:ascii="宋体" w:hAnsi="宋体"/>
                <w:highlight w:val="none"/>
              </w:rPr>
            </w:pPr>
            <w:r>
              <w:rPr>
                <w:rFonts w:hint="eastAsia" w:ascii="宋体" w:hAnsi="宋体"/>
                <w:highlight w:val="none"/>
              </w:rPr>
              <w:t>同意接受磋商文件要求的付款方式</w:t>
            </w:r>
          </w:p>
        </w:tc>
        <w:tc>
          <w:tcPr>
            <w:tcW w:w="1428" w:type="dxa"/>
          </w:tcPr>
          <w:p>
            <w:pPr>
              <w:spacing w:line="360" w:lineRule="auto"/>
              <w:jc w:val="center"/>
              <w:rPr>
                <w:rFonts w:ascii="宋体" w:hAnsi="宋体"/>
                <w:highlight w:val="none"/>
              </w:rPr>
            </w:pPr>
          </w:p>
        </w:tc>
        <w:tc>
          <w:tcPr>
            <w:tcW w:w="1255" w:type="dxa"/>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7</w:t>
            </w:r>
          </w:p>
        </w:tc>
        <w:tc>
          <w:tcPr>
            <w:tcW w:w="5945" w:type="dxa"/>
          </w:tcPr>
          <w:p>
            <w:pPr>
              <w:spacing w:line="360" w:lineRule="auto"/>
              <w:jc w:val="left"/>
              <w:rPr>
                <w:rFonts w:ascii="宋体" w:hAnsi="宋体"/>
                <w:highlight w:val="none"/>
              </w:rPr>
            </w:pPr>
            <w:r>
              <w:rPr>
                <w:rFonts w:hint="eastAsia" w:ascii="宋体" w:hAnsi="宋体"/>
                <w:highlight w:val="none"/>
              </w:rPr>
              <w:t>同意接受磋商文件要求的服务期</w:t>
            </w:r>
          </w:p>
        </w:tc>
        <w:tc>
          <w:tcPr>
            <w:tcW w:w="1428" w:type="dxa"/>
          </w:tcPr>
          <w:p>
            <w:pPr>
              <w:spacing w:line="360" w:lineRule="auto"/>
              <w:jc w:val="center"/>
              <w:rPr>
                <w:rFonts w:ascii="宋体" w:hAnsi="宋体"/>
                <w:highlight w:val="none"/>
              </w:rPr>
            </w:pPr>
          </w:p>
        </w:tc>
        <w:tc>
          <w:tcPr>
            <w:tcW w:w="1255" w:type="dxa"/>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8</w:t>
            </w:r>
          </w:p>
        </w:tc>
        <w:tc>
          <w:tcPr>
            <w:tcW w:w="5945" w:type="dxa"/>
          </w:tcPr>
          <w:p>
            <w:pPr>
              <w:spacing w:line="360" w:lineRule="auto"/>
              <w:jc w:val="left"/>
              <w:rPr>
                <w:rFonts w:ascii="宋体" w:hAnsi="宋体"/>
                <w:highlight w:val="none"/>
              </w:rPr>
            </w:pPr>
            <w:r>
              <w:rPr>
                <w:rFonts w:hint="eastAsia" w:ascii="宋体" w:hAnsi="宋体"/>
                <w:highlight w:val="none"/>
              </w:rPr>
              <w:t>同意接受磋商文件要求的售后服务的各项要求</w:t>
            </w:r>
          </w:p>
        </w:tc>
        <w:tc>
          <w:tcPr>
            <w:tcW w:w="1428" w:type="dxa"/>
          </w:tcPr>
          <w:p>
            <w:pPr>
              <w:spacing w:line="360" w:lineRule="auto"/>
              <w:jc w:val="center"/>
              <w:rPr>
                <w:rFonts w:ascii="宋体" w:hAnsi="宋体"/>
                <w:highlight w:val="none"/>
              </w:rPr>
            </w:pPr>
          </w:p>
        </w:tc>
        <w:tc>
          <w:tcPr>
            <w:tcW w:w="1255" w:type="dxa"/>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9</w:t>
            </w:r>
          </w:p>
        </w:tc>
        <w:tc>
          <w:tcPr>
            <w:tcW w:w="5945" w:type="dxa"/>
          </w:tcPr>
          <w:p>
            <w:pPr>
              <w:spacing w:line="360" w:lineRule="auto"/>
              <w:jc w:val="left"/>
              <w:rPr>
                <w:rFonts w:ascii="宋体" w:hAnsi="宋体"/>
                <w:highlight w:val="none"/>
              </w:rPr>
            </w:pPr>
            <w:r>
              <w:rPr>
                <w:rFonts w:hint="eastAsia" w:ascii="宋体" w:hAnsi="宋体"/>
                <w:highlight w:val="none"/>
              </w:rPr>
              <w:t>同意接受合同范本所列的各项条款</w:t>
            </w:r>
          </w:p>
        </w:tc>
        <w:tc>
          <w:tcPr>
            <w:tcW w:w="1428" w:type="dxa"/>
          </w:tcPr>
          <w:p>
            <w:pPr>
              <w:spacing w:line="360" w:lineRule="auto"/>
              <w:jc w:val="center"/>
              <w:rPr>
                <w:rFonts w:ascii="宋体" w:hAnsi="宋体"/>
                <w:highlight w:val="none"/>
              </w:rPr>
            </w:pPr>
          </w:p>
        </w:tc>
        <w:tc>
          <w:tcPr>
            <w:tcW w:w="1255" w:type="dxa"/>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10</w:t>
            </w:r>
          </w:p>
        </w:tc>
        <w:tc>
          <w:tcPr>
            <w:tcW w:w="5945" w:type="dxa"/>
          </w:tcPr>
          <w:p>
            <w:pPr>
              <w:spacing w:line="360" w:lineRule="auto"/>
              <w:jc w:val="left"/>
              <w:rPr>
                <w:rFonts w:ascii="宋体" w:hAnsi="宋体"/>
                <w:highlight w:val="none"/>
              </w:rPr>
            </w:pPr>
            <w:r>
              <w:rPr>
                <w:rFonts w:hint="eastAsia" w:ascii="宋体" w:hAnsi="宋体"/>
                <w:highlight w:val="none"/>
              </w:rPr>
              <w:t>同意按照本项目要求缴付各项款项</w:t>
            </w:r>
          </w:p>
        </w:tc>
        <w:tc>
          <w:tcPr>
            <w:tcW w:w="1428" w:type="dxa"/>
          </w:tcPr>
          <w:p>
            <w:pPr>
              <w:spacing w:line="360" w:lineRule="auto"/>
              <w:jc w:val="center"/>
              <w:rPr>
                <w:rFonts w:ascii="宋体" w:hAnsi="宋体"/>
                <w:highlight w:val="none"/>
              </w:rPr>
            </w:pPr>
          </w:p>
        </w:tc>
        <w:tc>
          <w:tcPr>
            <w:tcW w:w="1255" w:type="dxa"/>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11</w:t>
            </w:r>
          </w:p>
        </w:tc>
        <w:tc>
          <w:tcPr>
            <w:tcW w:w="5945" w:type="dxa"/>
          </w:tcPr>
          <w:p>
            <w:pPr>
              <w:spacing w:line="360" w:lineRule="auto"/>
              <w:jc w:val="left"/>
              <w:rPr>
                <w:rFonts w:ascii="宋体" w:hAnsi="宋体"/>
                <w:highlight w:val="none"/>
              </w:rPr>
            </w:pPr>
            <w:r>
              <w:rPr>
                <w:rFonts w:hint="eastAsia" w:ascii="宋体" w:hAnsi="宋体"/>
                <w:highlight w:val="none"/>
              </w:rPr>
              <w:t>同意采购方以各种方式对我方提供的响应文件内容的真实性、有效性进行审查、验证</w:t>
            </w:r>
          </w:p>
        </w:tc>
        <w:tc>
          <w:tcPr>
            <w:tcW w:w="1428" w:type="dxa"/>
          </w:tcPr>
          <w:p>
            <w:pPr>
              <w:spacing w:line="360" w:lineRule="auto"/>
              <w:jc w:val="center"/>
              <w:rPr>
                <w:rFonts w:ascii="宋体" w:hAnsi="宋体"/>
                <w:highlight w:val="none"/>
              </w:rPr>
            </w:pPr>
          </w:p>
        </w:tc>
        <w:tc>
          <w:tcPr>
            <w:tcW w:w="1255" w:type="dxa"/>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spacing w:line="360" w:lineRule="auto"/>
              <w:jc w:val="center"/>
              <w:rPr>
                <w:rFonts w:ascii="黑体" w:hAnsi="黑体" w:eastAsia="黑体" w:cs="黑体"/>
                <w:sz w:val="24"/>
                <w:highlight w:val="none"/>
              </w:rPr>
            </w:pPr>
            <w:r>
              <w:rPr>
                <w:rFonts w:hint="eastAsia" w:ascii="黑体" w:hAnsi="黑体" w:eastAsia="黑体" w:cs="黑体"/>
                <w:sz w:val="24"/>
                <w:highlight w:val="none"/>
              </w:rPr>
              <w:t>12</w:t>
            </w:r>
          </w:p>
        </w:tc>
        <w:tc>
          <w:tcPr>
            <w:tcW w:w="5945" w:type="dxa"/>
          </w:tcPr>
          <w:p>
            <w:pPr>
              <w:spacing w:line="360" w:lineRule="auto"/>
              <w:jc w:val="left"/>
              <w:rPr>
                <w:rFonts w:ascii="宋体" w:hAnsi="宋体"/>
                <w:highlight w:val="none"/>
              </w:rPr>
            </w:pPr>
            <w:r>
              <w:rPr>
                <w:rFonts w:hint="eastAsia" w:ascii="宋体" w:hAnsi="宋体"/>
                <w:highlight w:val="none"/>
              </w:rPr>
              <w:t>其他商务条款偏离说明：</w:t>
            </w:r>
          </w:p>
        </w:tc>
        <w:tc>
          <w:tcPr>
            <w:tcW w:w="1428" w:type="dxa"/>
          </w:tcPr>
          <w:p>
            <w:pPr>
              <w:spacing w:line="360" w:lineRule="auto"/>
              <w:jc w:val="center"/>
              <w:rPr>
                <w:rFonts w:ascii="宋体" w:hAnsi="宋体"/>
                <w:highlight w:val="none"/>
              </w:rPr>
            </w:pPr>
          </w:p>
        </w:tc>
        <w:tc>
          <w:tcPr>
            <w:tcW w:w="1255" w:type="dxa"/>
          </w:tcPr>
          <w:p>
            <w:pPr>
              <w:spacing w:line="360" w:lineRule="auto"/>
              <w:jc w:val="center"/>
              <w:rPr>
                <w:rFonts w:ascii="宋体" w:hAnsi="宋体"/>
                <w:highlight w:val="none"/>
              </w:rPr>
            </w:pPr>
          </w:p>
        </w:tc>
      </w:tr>
    </w:tbl>
    <w:p>
      <w:pPr>
        <w:spacing w:line="360" w:lineRule="auto"/>
        <w:ind w:firstLine="422" w:firstLineChars="200"/>
        <w:jc w:val="left"/>
        <w:rPr>
          <w:rFonts w:ascii="宋体" w:hAnsi="宋体"/>
          <w:b/>
          <w:bCs/>
          <w:highlight w:val="none"/>
          <w:u w:val="single"/>
        </w:rPr>
      </w:pPr>
      <w:r>
        <w:rPr>
          <w:rFonts w:hint="eastAsia" w:ascii="宋体" w:hAnsi="宋体"/>
          <w:b/>
          <w:bCs/>
          <w:highlight w:val="none"/>
          <w:u w:val="single"/>
        </w:rPr>
        <w:t>注：对于上述要求，如响应供应商完全响应，则在“是否响应”栏打“√”，空白或打“Х”视偏离，请在“偏离说明”栏</w:t>
      </w:r>
      <w:r>
        <w:rPr>
          <w:rFonts w:hint="eastAsia" w:ascii="宋体" w:hAnsi="宋体"/>
          <w:b/>
          <w:bCs/>
          <w:highlight w:val="none"/>
          <w:u w:val="single"/>
          <w:lang w:val="en-GB"/>
        </w:rPr>
        <w:t>扼要叙述。</w:t>
      </w: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p>
    <w:p>
      <w:pPr>
        <w:spacing w:line="360" w:lineRule="auto"/>
        <w:ind w:firstLine="482" w:firstLineChars="200"/>
        <w:jc w:val="left"/>
        <w:rPr>
          <w:rFonts w:ascii="宋体" w:hAnsi="宋体"/>
          <w:b/>
          <w:bCs/>
          <w:sz w:val="24"/>
          <w:highlight w:val="none"/>
        </w:rPr>
      </w:pPr>
      <w:r>
        <w:rPr>
          <w:rFonts w:hint="eastAsia" w:ascii="宋体" w:hAnsi="宋体"/>
          <w:b/>
          <w:bCs/>
          <w:sz w:val="24"/>
          <w:highlight w:val="none"/>
        </w:rPr>
        <w:t>6.3其他</w:t>
      </w:r>
    </w:p>
    <w:p>
      <w:pPr>
        <w:spacing w:line="360" w:lineRule="auto"/>
        <w:ind w:firstLine="482" w:firstLineChars="200"/>
        <w:jc w:val="left"/>
        <w:rPr>
          <w:rFonts w:ascii="宋体" w:cs="Times New Roman"/>
          <w:b/>
          <w:bCs/>
          <w:sz w:val="24"/>
          <w:highlight w:val="none"/>
        </w:rPr>
      </w:pPr>
    </w:p>
    <w:p>
      <w:pPr>
        <w:spacing w:line="360" w:lineRule="auto"/>
        <w:ind w:firstLine="482" w:firstLineChars="200"/>
        <w:jc w:val="left"/>
        <w:rPr>
          <w:rFonts w:ascii="宋体" w:cs="Times New Roman"/>
          <w:b/>
          <w:bCs/>
          <w:sz w:val="24"/>
          <w:highlight w:val="none"/>
        </w:rPr>
      </w:pPr>
    </w:p>
    <w:p>
      <w:pPr>
        <w:spacing w:line="360" w:lineRule="auto"/>
        <w:ind w:firstLine="482" w:firstLineChars="200"/>
        <w:rPr>
          <w:rFonts w:ascii="宋体" w:hAnsi="宋体"/>
          <w:b/>
          <w:bCs/>
          <w:sz w:val="24"/>
          <w:highlight w:val="none"/>
        </w:rPr>
      </w:pPr>
    </w:p>
    <w:p>
      <w:pPr>
        <w:spacing w:line="360" w:lineRule="auto"/>
        <w:rPr>
          <w:rFonts w:ascii="宋体" w:hAnsi="宋体"/>
          <w:b/>
          <w:bCs/>
          <w:sz w:val="24"/>
          <w:highlight w:val="none"/>
        </w:rPr>
      </w:pPr>
    </w:p>
    <w:p>
      <w:pPr>
        <w:rPr>
          <w:rFonts w:ascii="黑体" w:hAnsi="黑体" w:eastAsia="黑体" w:cs="黑体"/>
          <w:b/>
          <w:bCs/>
          <w:sz w:val="32"/>
          <w:szCs w:val="32"/>
          <w:highlight w:val="none"/>
        </w:rPr>
      </w:pPr>
      <w:bookmarkStart w:id="561" w:name="_Toc278794818"/>
      <w:bookmarkStart w:id="562" w:name="_Toc13723"/>
      <w:bookmarkStart w:id="563" w:name="_Toc27025"/>
      <w:r>
        <w:rPr>
          <w:rFonts w:hint="eastAsia" w:ascii="黑体" w:hAnsi="黑体" w:eastAsia="黑体" w:cs="黑体"/>
          <w:b/>
          <w:bCs/>
          <w:sz w:val="32"/>
          <w:szCs w:val="32"/>
          <w:highlight w:val="none"/>
        </w:rPr>
        <w:br w:type="page"/>
      </w:r>
    </w:p>
    <w:p>
      <w:pPr>
        <w:pStyle w:val="4"/>
        <w:keepNext w:val="0"/>
        <w:keepLines w:val="0"/>
        <w:jc w:val="center"/>
        <w:rPr>
          <w:rFonts w:ascii="黑体" w:hAnsi="黑体" w:cs="黑体"/>
          <w:bCs/>
          <w:szCs w:val="32"/>
          <w:highlight w:val="none"/>
        </w:rPr>
      </w:pPr>
      <w:bookmarkStart w:id="564" w:name="_Toc24536"/>
      <w:bookmarkStart w:id="565" w:name="_Toc31841"/>
      <w:r>
        <w:rPr>
          <w:rFonts w:hint="eastAsia" w:ascii="黑体" w:hAnsi="黑体" w:cs="黑体"/>
          <w:bCs/>
          <w:szCs w:val="32"/>
          <w:highlight w:val="none"/>
        </w:rPr>
        <w:t>七、</w:t>
      </w:r>
      <w:bookmarkEnd w:id="561"/>
      <w:r>
        <w:rPr>
          <w:rFonts w:hint="eastAsia" w:ascii="黑体" w:hAnsi="黑体" w:cs="黑体"/>
          <w:bCs/>
          <w:szCs w:val="32"/>
          <w:highlight w:val="none"/>
        </w:rPr>
        <w:t>供应商认为必要说明的其它内容</w:t>
      </w:r>
      <w:bookmarkEnd w:id="562"/>
      <w:bookmarkEnd w:id="563"/>
      <w:bookmarkEnd w:id="564"/>
      <w:bookmarkEnd w:id="565"/>
    </w:p>
    <w:p>
      <w:pPr>
        <w:pStyle w:val="30"/>
        <w:spacing w:before="0" w:after="0" w:line="360" w:lineRule="auto"/>
        <w:rPr>
          <w:rFonts w:ascii="宋体" w:hAnsi="宋体"/>
          <w:sz w:val="21"/>
          <w:szCs w:val="21"/>
          <w:highlight w:val="none"/>
        </w:rPr>
      </w:pPr>
    </w:p>
    <w:p>
      <w:pPr>
        <w:spacing w:line="360" w:lineRule="atLeast"/>
        <w:jc w:val="center"/>
        <w:rPr>
          <w:rFonts w:ascii="仿宋_GB2312" w:hAnsi="仿宋" w:eastAsia="仿宋_GB2312" w:cs="仿宋"/>
          <w:sz w:val="24"/>
          <w:highlight w:val="none"/>
        </w:rPr>
      </w:pPr>
      <w:r>
        <w:rPr>
          <w:rFonts w:hint="eastAsia" w:ascii="宋体" w:hAnsi="宋体"/>
          <w:szCs w:val="21"/>
          <w:highlight w:val="none"/>
        </w:rPr>
        <w:br w:type="page"/>
      </w:r>
    </w:p>
    <w:p>
      <w:pPr>
        <w:pStyle w:val="4"/>
        <w:keepNext w:val="0"/>
        <w:keepLines w:val="0"/>
        <w:jc w:val="center"/>
        <w:rPr>
          <w:rFonts w:ascii="黑体" w:hAnsi="黑体" w:cs="黑体"/>
          <w:bCs/>
          <w:szCs w:val="32"/>
          <w:highlight w:val="none"/>
        </w:rPr>
      </w:pPr>
      <w:bookmarkStart w:id="566" w:name="_Toc6268"/>
      <w:bookmarkStart w:id="567" w:name="_Toc15979"/>
      <w:bookmarkStart w:id="568" w:name="_Toc24041"/>
      <w:bookmarkStart w:id="569" w:name="_Toc13265"/>
      <w:r>
        <w:rPr>
          <w:rFonts w:hint="eastAsia" w:ascii="黑体" w:hAnsi="黑体" w:cs="黑体"/>
          <w:bCs/>
          <w:szCs w:val="32"/>
          <w:highlight w:val="none"/>
        </w:rPr>
        <w:t>八、承诺书</w:t>
      </w:r>
      <w:bookmarkEnd w:id="566"/>
      <w:bookmarkEnd w:id="567"/>
      <w:bookmarkEnd w:id="568"/>
      <w:bookmarkEnd w:id="569"/>
    </w:p>
    <w:p>
      <w:pPr>
        <w:pStyle w:val="13"/>
        <w:spacing w:line="360" w:lineRule="auto"/>
        <w:ind w:left="-120" w:leftChars="-57" w:firstLine="602" w:firstLineChars="250"/>
        <w:rPr>
          <w:rFonts w:hAnsi="宋体"/>
          <w:b/>
          <w:bCs/>
          <w:sz w:val="24"/>
          <w:szCs w:val="24"/>
          <w:highlight w:val="none"/>
        </w:rPr>
      </w:pPr>
      <w:r>
        <w:rPr>
          <w:rFonts w:hint="eastAsia" w:hAnsi="宋体"/>
          <w:b/>
          <w:bCs/>
          <w:sz w:val="24"/>
          <w:szCs w:val="24"/>
          <w:highlight w:val="none"/>
        </w:rPr>
        <w:t>8.1供应商拒绝政府采购领域商业贿赂承诺书（格式）</w:t>
      </w:r>
    </w:p>
    <w:p>
      <w:pPr>
        <w:pStyle w:val="13"/>
        <w:spacing w:line="360" w:lineRule="auto"/>
        <w:ind w:left="-120" w:leftChars="-57" w:firstLine="602" w:firstLineChars="250"/>
        <w:rPr>
          <w:rFonts w:ascii="仿宋_GB2312" w:hAnsi="仿宋" w:eastAsia="仿宋_GB2312" w:cs="仿宋"/>
          <w:b/>
          <w:bCs/>
          <w:sz w:val="24"/>
          <w:szCs w:val="24"/>
          <w:highlight w:val="none"/>
        </w:rPr>
      </w:pPr>
    </w:p>
    <w:p>
      <w:pPr>
        <w:spacing w:line="360" w:lineRule="auto"/>
        <w:jc w:val="center"/>
        <w:rPr>
          <w:rFonts w:ascii="黑体" w:hAnsi="仿宋" w:eastAsia="黑体" w:cs="仿宋"/>
          <w:bCs/>
          <w:sz w:val="32"/>
          <w:szCs w:val="32"/>
          <w:highlight w:val="none"/>
          <w:lang w:val="en-GB"/>
        </w:rPr>
      </w:pPr>
      <w:bookmarkStart w:id="570" w:name="_Toc15323"/>
      <w:bookmarkStart w:id="571" w:name="_Toc23819"/>
      <w:bookmarkStart w:id="572" w:name="_Toc20127"/>
      <w:r>
        <w:rPr>
          <w:rFonts w:hint="eastAsia" w:ascii="黑体" w:hAnsi="仿宋" w:eastAsia="黑体" w:cs="仿宋"/>
          <w:bCs/>
          <w:sz w:val="32"/>
          <w:szCs w:val="32"/>
          <w:highlight w:val="none"/>
          <w:lang w:val="en-GB"/>
        </w:rPr>
        <w:t>陕西省政府采购供应商</w:t>
      </w:r>
      <w:bookmarkEnd w:id="570"/>
      <w:bookmarkEnd w:id="571"/>
      <w:bookmarkEnd w:id="572"/>
    </w:p>
    <w:p>
      <w:pPr>
        <w:spacing w:line="360" w:lineRule="auto"/>
        <w:jc w:val="center"/>
        <w:rPr>
          <w:rFonts w:ascii="黑体" w:hAnsi="仿宋" w:eastAsia="黑体" w:cs="仿宋"/>
          <w:bCs/>
          <w:sz w:val="32"/>
          <w:szCs w:val="32"/>
          <w:highlight w:val="none"/>
          <w:lang w:val="en-GB"/>
        </w:rPr>
      </w:pPr>
      <w:bookmarkStart w:id="573" w:name="_Toc6239"/>
      <w:bookmarkStart w:id="574" w:name="_Toc26965"/>
      <w:bookmarkStart w:id="575" w:name="_Toc17495"/>
      <w:r>
        <w:rPr>
          <w:rFonts w:hint="eastAsia" w:ascii="黑体" w:hAnsi="仿宋" w:eastAsia="黑体" w:cs="仿宋"/>
          <w:bCs/>
          <w:sz w:val="32"/>
          <w:szCs w:val="32"/>
          <w:highlight w:val="none"/>
          <w:lang w:val="en-GB"/>
        </w:rPr>
        <w:t>拒绝政府采购领域商业贿赂承诺书</w:t>
      </w:r>
      <w:bookmarkEnd w:id="573"/>
      <w:bookmarkEnd w:id="574"/>
      <w:bookmarkEnd w:id="575"/>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为响应党中央、国务院关于治理政府采购领域商业贿赂行为的号召，我公司在此庄严承诺：</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1、在参与政府采购活动中遵纪守法、诚信经营、公平竞标。</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2、不向政府采购单位、采购代理机构和政府采购评审专家进行任何形式的商业贿赂以谋取交易机会。</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3、不向政府采购代理机构和采购单位提供虚假资质文件或采用虚假应标方式参与政府采购市场竞争并谋取成交。</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4、不采取“围标、陪标”等商业欺诈手段获得政府采购订单。</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5、不采取不正当手段诋毁、排挤其他响应单位。</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6、不在提供商品或（和）服务时“偷梁换柱、以次充好”损害采购单位的合法权益。</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7、不与采购单位、采购代理机构政府采购评审专家或其它响应单位恶意串通，进行质疑和投诉，维护政府采购市场秩序。</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8、尊重和接受政府采购监督管理部门的监督和政府采购代理机构招标采购要求，承担因违约行为给采购单位造成的损失。</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9、不发生其他有悖于政府采购公开、公平、公正和诚信原则的行为。</w:t>
      </w:r>
    </w:p>
    <w:p>
      <w:pPr>
        <w:spacing w:line="360" w:lineRule="auto"/>
        <w:ind w:firstLine="480" w:firstLineChars="200"/>
        <w:rPr>
          <w:rFonts w:ascii="宋体" w:hAnsi="宋体"/>
          <w:sz w:val="24"/>
          <w:highlight w:val="none"/>
          <w:lang w:val="en-GB"/>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承诺单位：（盖章）</w:t>
      </w:r>
    </w:p>
    <w:p>
      <w:pPr>
        <w:spacing w:line="360" w:lineRule="auto"/>
        <w:ind w:firstLine="360" w:firstLineChars="150"/>
        <w:rPr>
          <w:rFonts w:ascii="宋体" w:hAnsi="宋体"/>
          <w:sz w:val="24"/>
          <w:szCs w:val="28"/>
          <w:highlight w:val="none"/>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全权代表：（签字）</w:t>
      </w:r>
    </w:p>
    <w:p>
      <w:pPr>
        <w:spacing w:line="360" w:lineRule="auto"/>
        <w:ind w:firstLine="360" w:firstLineChars="150"/>
        <w:rPr>
          <w:rFonts w:ascii="宋体" w:hAnsi="宋体"/>
          <w:sz w:val="24"/>
          <w:szCs w:val="28"/>
          <w:highlight w:val="none"/>
        </w:rPr>
      </w:pPr>
    </w:p>
    <w:p>
      <w:pPr>
        <w:spacing w:line="360" w:lineRule="auto"/>
        <w:jc w:val="left"/>
        <w:rPr>
          <w:rFonts w:ascii="宋体" w:hAnsi="宋体"/>
          <w:sz w:val="24"/>
          <w:szCs w:val="28"/>
          <w:highlight w:val="none"/>
        </w:rPr>
      </w:pPr>
      <w:r>
        <w:rPr>
          <w:rFonts w:hint="eastAsia" w:ascii="宋体" w:hAnsi="宋体"/>
          <w:sz w:val="24"/>
          <w:szCs w:val="28"/>
          <w:highlight w:val="none"/>
        </w:rPr>
        <w:t xml:space="preserve">       年   月  日</w:t>
      </w:r>
    </w:p>
    <w:p>
      <w:pPr>
        <w:spacing w:line="360" w:lineRule="auto"/>
        <w:jc w:val="left"/>
        <w:rPr>
          <w:rFonts w:ascii="宋体" w:hAnsi="宋体"/>
          <w:b/>
          <w:bCs/>
          <w:sz w:val="24"/>
          <w:highlight w:val="none"/>
        </w:rPr>
      </w:pPr>
    </w:p>
    <w:p>
      <w:pPr>
        <w:spacing w:line="360" w:lineRule="auto"/>
        <w:jc w:val="left"/>
        <w:rPr>
          <w:rFonts w:ascii="宋体" w:hAnsi="宋体"/>
          <w:b/>
          <w:bCs/>
          <w:sz w:val="24"/>
          <w:highlight w:val="none"/>
        </w:rPr>
      </w:pPr>
    </w:p>
    <w:p>
      <w:pPr>
        <w:spacing w:line="360" w:lineRule="auto"/>
        <w:jc w:val="left"/>
        <w:rPr>
          <w:rFonts w:ascii="仿宋_GB2312" w:hAnsi="仿宋" w:eastAsia="仿宋_GB2312" w:cs="仿宋"/>
          <w:b/>
          <w:bCs/>
          <w:sz w:val="24"/>
          <w:highlight w:val="none"/>
        </w:rPr>
      </w:pPr>
    </w:p>
    <w:p>
      <w:pPr>
        <w:pStyle w:val="13"/>
        <w:spacing w:line="360" w:lineRule="auto"/>
        <w:ind w:left="-120" w:leftChars="-57" w:firstLine="602" w:firstLineChars="250"/>
        <w:rPr>
          <w:rFonts w:hAnsi="宋体"/>
          <w:b/>
          <w:bCs/>
          <w:sz w:val="24"/>
          <w:szCs w:val="24"/>
          <w:highlight w:val="none"/>
        </w:rPr>
      </w:pPr>
      <w:r>
        <w:rPr>
          <w:rFonts w:hint="eastAsia" w:hAnsi="宋体"/>
          <w:b/>
          <w:bCs/>
          <w:sz w:val="24"/>
          <w:szCs w:val="24"/>
          <w:highlight w:val="none"/>
        </w:rPr>
        <w:t>8.2缴纳采购代理服务费承诺书</w:t>
      </w:r>
    </w:p>
    <w:p>
      <w:pPr>
        <w:spacing w:line="360" w:lineRule="auto"/>
        <w:jc w:val="center"/>
        <w:rPr>
          <w:rFonts w:ascii="黑体" w:hAnsi="仿宋" w:eastAsia="黑体" w:cs="仿宋"/>
          <w:bCs/>
          <w:sz w:val="32"/>
          <w:szCs w:val="32"/>
          <w:highlight w:val="none"/>
        </w:rPr>
      </w:pPr>
      <w:r>
        <w:rPr>
          <w:rFonts w:hint="eastAsia" w:ascii="黑体" w:hAnsi="仿宋" w:eastAsia="黑体" w:cs="仿宋"/>
          <w:bCs/>
          <w:sz w:val="32"/>
          <w:szCs w:val="32"/>
          <w:highlight w:val="none"/>
        </w:rPr>
        <w:t>缴纳采购代理服务费承诺书</w:t>
      </w:r>
    </w:p>
    <w:p>
      <w:pPr>
        <w:spacing w:line="360" w:lineRule="auto"/>
        <w:rPr>
          <w:rFonts w:ascii="宋体" w:hAnsi="宋体"/>
          <w:sz w:val="24"/>
          <w:highlight w:val="none"/>
          <w:lang w:val="en-GB"/>
        </w:rPr>
      </w:pPr>
      <w:r>
        <w:rPr>
          <w:rFonts w:hint="eastAsia" w:ascii="宋体" w:hAnsi="宋体"/>
          <w:sz w:val="24"/>
          <w:highlight w:val="none"/>
          <w:lang w:val="en-GB"/>
        </w:rPr>
        <w:t>致：</w:t>
      </w:r>
      <w:r>
        <w:rPr>
          <w:rFonts w:hint="eastAsia" w:ascii="宋体" w:hAnsi="宋体"/>
          <w:b/>
          <w:bCs/>
          <w:sz w:val="24"/>
          <w:highlight w:val="none"/>
          <w:lang w:val="en-GB"/>
        </w:rPr>
        <w:t>陕西德勤招标有限公司</w:t>
      </w:r>
    </w:p>
    <w:p>
      <w:pPr>
        <w:spacing w:line="360" w:lineRule="auto"/>
        <w:ind w:firstLine="480" w:firstLineChars="200"/>
        <w:rPr>
          <w:rFonts w:ascii="宋体" w:hAnsi="宋体"/>
          <w:sz w:val="24"/>
          <w:highlight w:val="none"/>
        </w:rPr>
      </w:pPr>
      <w:r>
        <w:rPr>
          <w:rFonts w:hint="eastAsia" w:ascii="宋体" w:hAnsi="宋体"/>
          <w:sz w:val="24"/>
          <w:highlight w:val="none"/>
        </w:rPr>
        <w:t>作为参加贵公司组织的采购项目的供应商，本公司承诺：如果成交，我方保证在收到成交通知书的</w:t>
      </w:r>
      <w:r>
        <w:rPr>
          <w:rFonts w:hint="eastAsia" w:ascii="宋体" w:hAnsi="宋体"/>
          <w:b/>
          <w:bCs/>
          <w:sz w:val="24"/>
          <w:highlight w:val="none"/>
        </w:rPr>
        <w:t>七个工作日内</w:t>
      </w:r>
      <w:r>
        <w:rPr>
          <w:rFonts w:hint="eastAsia" w:ascii="宋体" w:hAnsi="宋体"/>
          <w:sz w:val="24"/>
          <w:highlight w:val="none"/>
        </w:rPr>
        <w:t>按照磋商文件规定，自愿向贵方缴纳采购代理服务费。我方如违约，愿承担一切责任及后果。</w:t>
      </w:r>
    </w:p>
    <w:p>
      <w:pPr>
        <w:spacing w:line="360" w:lineRule="auto"/>
        <w:ind w:firstLine="480" w:firstLineChars="200"/>
        <w:rPr>
          <w:rFonts w:ascii="宋体" w:hAnsi="宋体"/>
          <w:sz w:val="24"/>
          <w:highlight w:val="none"/>
          <w:lang w:val="en-GB"/>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承诺单位：（盖章）</w:t>
      </w:r>
    </w:p>
    <w:p>
      <w:pPr>
        <w:spacing w:line="360" w:lineRule="auto"/>
        <w:ind w:firstLine="360" w:firstLineChars="150"/>
        <w:rPr>
          <w:rFonts w:ascii="宋体" w:hAnsi="宋体"/>
          <w:sz w:val="24"/>
          <w:szCs w:val="28"/>
          <w:highlight w:val="none"/>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全权代表：（签字）</w:t>
      </w:r>
    </w:p>
    <w:p>
      <w:pPr>
        <w:spacing w:line="360" w:lineRule="auto"/>
        <w:ind w:firstLine="360" w:firstLineChars="150"/>
        <w:rPr>
          <w:rFonts w:ascii="宋体" w:hAnsi="宋体"/>
          <w:sz w:val="24"/>
          <w:szCs w:val="28"/>
          <w:highlight w:val="none"/>
        </w:rPr>
      </w:pPr>
    </w:p>
    <w:p>
      <w:pPr>
        <w:spacing w:line="360" w:lineRule="auto"/>
        <w:jc w:val="left"/>
        <w:rPr>
          <w:rFonts w:ascii="宋体" w:hAnsi="宋体"/>
          <w:sz w:val="24"/>
          <w:szCs w:val="28"/>
          <w:highlight w:val="none"/>
        </w:rPr>
      </w:pPr>
      <w:r>
        <w:rPr>
          <w:rFonts w:hint="eastAsia" w:ascii="宋体" w:hAnsi="宋体"/>
          <w:sz w:val="24"/>
          <w:szCs w:val="28"/>
          <w:highlight w:val="none"/>
        </w:rPr>
        <w:t xml:space="preserve">       年   月  日</w:t>
      </w:r>
    </w:p>
    <w:p>
      <w:pPr>
        <w:rPr>
          <w:rFonts w:hAnsi="宋体"/>
          <w:b/>
          <w:bCs/>
          <w:sz w:val="24"/>
          <w:highlight w:val="none"/>
        </w:rPr>
      </w:pPr>
      <w:r>
        <w:rPr>
          <w:rFonts w:hint="eastAsia" w:hAnsi="宋体"/>
          <w:b/>
          <w:bCs/>
          <w:sz w:val="24"/>
          <w:highlight w:val="none"/>
        </w:rPr>
        <w:br w:type="page"/>
      </w:r>
    </w:p>
    <w:p>
      <w:pPr>
        <w:pStyle w:val="13"/>
        <w:spacing w:line="360" w:lineRule="auto"/>
        <w:ind w:left="-120" w:leftChars="-57" w:firstLine="602" w:firstLineChars="250"/>
        <w:rPr>
          <w:rFonts w:hAnsi="宋体"/>
          <w:b/>
          <w:bCs/>
          <w:sz w:val="24"/>
          <w:szCs w:val="24"/>
          <w:highlight w:val="none"/>
        </w:rPr>
      </w:pPr>
      <w:r>
        <w:rPr>
          <w:rFonts w:hint="eastAsia" w:hAnsi="宋体"/>
          <w:b/>
          <w:bCs/>
          <w:sz w:val="24"/>
          <w:szCs w:val="24"/>
          <w:highlight w:val="none"/>
        </w:rPr>
        <w:t>8.3其他承诺书</w:t>
      </w:r>
    </w:p>
    <w:p>
      <w:pPr>
        <w:pStyle w:val="13"/>
        <w:spacing w:line="360" w:lineRule="auto"/>
        <w:ind w:left="-120" w:leftChars="-57" w:firstLine="602" w:firstLineChars="250"/>
        <w:rPr>
          <w:rFonts w:hAnsi="宋体"/>
          <w:b/>
          <w:bCs/>
          <w:sz w:val="24"/>
          <w:szCs w:val="24"/>
          <w:highlight w:val="none"/>
        </w:rPr>
      </w:pPr>
    </w:p>
    <w:p>
      <w:pPr>
        <w:spacing w:line="360" w:lineRule="auto"/>
        <w:jc w:val="center"/>
        <w:rPr>
          <w:rFonts w:ascii="黑体" w:hAnsi="仿宋" w:eastAsia="黑体" w:cs="仿宋"/>
          <w:bCs/>
          <w:sz w:val="32"/>
          <w:szCs w:val="32"/>
          <w:highlight w:val="none"/>
          <w:lang w:val="en-GB"/>
        </w:rPr>
      </w:pPr>
      <w:bookmarkStart w:id="576" w:name="_Toc26079"/>
      <w:bookmarkStart w:id="577" w:name="_Toc3302"/>
      <w:bookmarkStart w:id="578" w:name="_Toc15733"/>
      <w:r>
        <w:rPr>
          <w:rFonts w:hint="eastAsia" w:ascii="黑体" w:hAnsi="仿宋" w:eastAsia="黑体" w:cs="仿宋"/>
          <w:bCs/>
          <w:sz w:val="32"/>
          <w:szCs w:val="32"/>
          <w:highlight w:val="none"/>
          <w:lang w:val="en-GB"/>
        </w:rPr>
        <w:t>承诺书Ⅱ</w:t>
      </w:r>
      <w:bookmarkEnd w:id="576"/>
      <w:bookmarkEnd w:id="577"/>
      <w:bookmarkEnd w:id="578"/>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sz w:val="24"/>
                <w:highlight w:val="none"/>
              </w:rPr>
            </w:pPr>
            <w:r>
              <w:rPr>
                <w:rFonts w:hint="eastAsia" w:ascii="宋体" w:hAnsi="宋体"/>
                <w:sz w:val="24"/>
                <w:highlight w:val="none"/>
              </w:rPr>
              <w:t>作为参加贵公司组织的采购项目的供应商，本公司承诺：在参加本项目采购之前不存在被依法禁止经营行为、财产被接管或冻结的情况，如有隐瞒实情，愿承担一切责任及后果。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sz w:val="24"/>
                <w:highlight w:val="none"/>
              </w:rPr>
            </w:pPr>
            <w:r>
              <w:rPr>
                <w:rFonts w:hint="eastAsia" w:ascii="宋体" w:hAnsi="宋体"/>
                <w:sz w:val="24"/>
                <w:highlight w:val="none"/>
              </w:rPr>
              <w:t>供应商</w:t>
            </w:r>
          </w:p>
        </w:tc>
        <w:tc>
          <w:tcPr>
            <w:tcW w:w="3420" w:type="dxa"/>
            <w:vAlign w:val="center"/>
          </w:tcPr>
          <w:p>
            <w:pPr>
              <w:spacing w:line="360" w:lineRule="atLeast"/>
              <w:jc w:val="center"/>
              <w:rPr>
                <w:rFonts w:ascii="宋体" w:hAnsi="宋体"/>
                <w:sz w:val="24"/>
                <w:highlight w:val="none"/>
              </w:rPr>
            </w:pPr>
            <w:r>
              <w:rPr>
                <w:rFonts w:hint="eastAsia" w:ascii="宋体" w:hAnsi="宋体"/>
                <w:sz w:val="24"/>
                <w:highlight w:val="none"/>
              </w:rPr>
              <w:t>法定代表人</w:t>
            </w:r>
          </w:p>
        </w:tc>
        <w:tc>
          <w:tcPr>
            <w:tcW w:w="2340" w:type="dxa"/>
            <w:vAlign w:val="center"/>
          </w:tcPr>
          <w:p>
            <w:pPr>
              <w:spacing w:line="360" w:lineRule="atLeast"/>
              <w:jc w:val="center"/>
              <w:rPr>
                <w:rFonts w:ascii="宋体" w:hAnsi="宋体"/>
                <w:sz w:val="24"/>
                <w:highlight w:val="none"/>
              </w:rPr>
            </w:pPr>
            <w:r>
              <w:rPr>
                <w:rFonts w:hint="eastAsia" w:ascii="宋体" w:hAnsi="宋体"/>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sz w:val="24"/>
                <w:highlight w:val="none"/>
              </w:rPr>
            </w:pPr>
            <w:r>
              <w:rPr>
                <w:rFonts w:hint="eastAsia" w:ascii="宋体" w:hAnsi="宋体"/>
                <w:sz w:val="24"/>
                <w:highlight w:val="none"/>
              </w:rPr>
              <w:t>（公章）</w:t>
            </w:r>
          </w:p>
        </w:tc>
        <w:tc>
          <w:tcPr>
            <w:tcW w:w="3420" w:type="dxa"/>
            <w:vAlign w:val="center"/>
          </w:tcPr>
          <w:p>
            <w:pPr>
              <w:spacing w:line="360" w:lineRule="atLeast"/>
              <w:jc w:val="center"/>
              <w:rPr>
                <w:rFonts w:ascii="宋体" w:hAnsi="宋体"/>
                <w:sz w:val="24"/>
                <w:highlight w:val="none"/>
              </w:rPr>
            </w:pPr>
            <w:r>
              <w:rPr>
                <w:rFonts w:hint="eastAsia" w:ascii="宋体" w:hAnsi="宋体"/>
                <w:sz w:val="24"/>
                <w:highlight w:val="none"/>
              </w:rPr>
              <w:t>（签字或盖章）</w:t>
            </w:r>
          </w:p>
        </w:tc>
        <w:tc>
          <w:tcPr>
            <w:tcW w:w="2340" w:type="dxa"/>
            <w:vAlign w:val="center"/>
          </w:tcPr>
          <w:p>
            <w:pPr>
              <w:spacing w:line="360" w:lineRule="atLeast"/>
              <w:ind w:firstLine="240" w:firstLineChars="100"/>
              <w:jc w:val="center"/>
              <w:rPr>
                <w:rFonts w:ascii="宋体" w:hAnsi="宋体"/>
                <w:sz w:val="24"/>
                <w:highlight w:val="none"/>
              </w:rPr>
            </w:pPr>
            <w:r>
              <w:rPr>
                <w:rFonts w:hint="eastAsia" w:ascii="宋体" w:hAnsi="宋体"/>
                <w:sz w:val="24"/>
                <w:highlight w:val="none"/>
              </w:rPr>
              <w:t>年  月  日</w:t>
            </w:r>
          </w:p>
        </w:tc>
      </w:tr>
    </w:tbl>
    <w:p>
      <w:pPr>
        <w:spacing w:line="360" w:lineRule="atLeast"/>
        <w:rPr>
          <w:rFonts w:ascii="仿宋_GB2312" w:hAnsi="仿宋" w:eastAsia="仿宋_GB2312" w:cs="仿宋"/>
          <w:b/>
          <w:sz w:val="42"/>
          <w:szCs w:val="42"/>
          <w:highlight w:val="none"/>
        </w:rPr>
      </w:pPr>
    </w:p>
    <w:p>
      <w:pPr>
        <w:spacing w:line="360" w:lineRule="auto"/>
        <w:jc w:val="center"/>
        <w:rPr>
          <w:rFonts w:ascii="黑体" w:hAnsi="仿宋" w:eastAsia="黑体" w:cs="仿宋"/>
          <w:bCs/>
          <w:sz w:val="32"/>
          <w:szCs w:val="32"/>
          <w:highlight w:val="none"/>
          <w:lang w:val="en-GB"/>
        </w:rPr>
      </w:pPr>
      <w:bookmarkStart w:id="579" w:name="_Toc28520"/>
      <w:bookmarkStart w:id="580" w:name="_Toc32058"/>
      <w:bookmarkStart w:id="581" w:name="_Toc1560"/>
      <w:r>
        <w:rPr>
          <w:rFonts w:hint="eastAsia" w:ascii="黑体" w:hAnsi="仿宋" w:eastAsia="黑体" w:cs="仿宋"/>
          <w:bCs/>
          <w:sz w:val="32"/>
          <w:szCs w:val="32"/>
          <w:highlight w:val="none"/>
          <w:lang w:val="en-GB"/>
        </w:rPr>
        <w:t>承诺书Ⅲ</w:t>
      </w:r>
      <w:bookmarkEnd w:id="579"/>
      <w:bookmarkEnd w:id="580"/>
      <w:bookmarkEnd w:id="581"/>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5" w:hRule="atLeast"/>
          <w:jc w:val="center"/>
        </w:trPr>
        <w:tc>
          <w:tcPr>
            <w:tcW w:w="9000" w:type="dxa"/>
            <w:gridSpan w:val="3"/>
            <w:vAlign w:val="center"/>
          </w:tcPr>
          <w:p>
            <w:pPr>
              <w:spacing w:line="360" w:lineRule="atLeast"/>
              <w:ind w:firstLine="480" w:firstLineChars="200"/>
              <w:rPr>
                <w:rFonts w:ascii="宋体" w:hAnsi="宋体"/>
                <w:sz w:val="24"/>
                <w:highlight w:val="none"/>
              </w:rPr>
            </w:pPr>
            <w:r>
              <w:rPr>
                <w:rFonts w:hint="eastAsia" w:ascii="宋体" w:hAnsi="宋体"/>
                <w:sz w:val="24"/>
                <w:highlight w:val="none"/>
              </w:rPr>
              <w:t>作为参加贵公司组织的采购项目的供应商，本公司承诺：参加本次响应提交的所有资质证明文件及业绩证明是真实的、有效的，如有隐瞒实情，愿承担一切责任及后果。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sz w:val="24"/>
                <w:highlight w:val="none"/>
              </w:rPr>
            </w:pPr>
            <w:r>
              <w:rPr>
                <w:rFonts w:hint="eastAsia" w:ascii="宋体" w:hAnsi="宋体"/>
                <w:sz w:val="24"/>
                <w:highlight w:val="none"/>
              </w:rPr>
              <w:t>供应商</w:t>
            </w:r>
          </w:p>
        </w:tc>
        <w:tc>
          <w:tcPr>
            <w:tcW w:w="3420" w:type="dxa"/>
            <w:vAlign w:val="center"/>
          </w:tcPr>
          <w:p>
            <w:pPr>
              <w:spacing w:line="360" w:lineRule="atLeast"/>
              <w:jc w:val="center"/>
              <w:rPr>
                <w:rFonts w:ascii="宋体" w:hAnsi="宋体"/>
                <w:sz w:val="24"/>
                <w:highlight w:val="none"/>
              </w:rPr>
            </w:pPr>
            <w:r>
              <w:rPr>
                <w:rFonts w:hint="eastAsia" w:ascii="宋体" w:hAnsi="宋体"/>
                <w:sz w:val="24"/>
                <w:highlight w:val="none"/>
              </w:rPr>
              <w:t>法定代表人</w:t>
            </w:r>
          </w:p>
        </w:tc>
        <w:tc>
          <w:tcPr>
            <w:tcW w:w="2340" w:type="dxa"/>
            <w:vAlign w:val="center"/>
          </w:tcPr>
          <w:p>
            <w:pPr>
              <w:spacing w:line="360" w:lineRule="atLeast"/>
              <w:jc w:val="center"/>
              <w:rPr>
                <w:rFonts w:ascii="宋体" w:hAnsi="宋体"/>
                <w:sz w:val="24"/>
                <w:highlight w:val="none"/>
              </w:rPr>
            </w:pPr>
            <w:r>
              <w:rPr>
                <w:rFonts w:hint="eastAsia" w:ascii="宋体" w:hAnsi="宋体"/>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sz w:val="24"/>
                <w:highlight w:val="none"/>
              </w:rPr>
            </w:pPr>
            <w:r>
              <w:rPr>
                <w:rFonts w:hint="eastAsia" w:ascii="宋体" w:hAnsi="宋体"/>
                <w:sz w:val="24"/>
                <w:highlight w:val="none"/>
              </w:rPr>
              <w:t>（公章）</w:t>
            </w:r>
          </w:p>
        </w:tc>
        <w:tc>
          <w:tcPr>
            <w:tcW w:w="3420" w:type="dxa"/>
            <w:vAlign w:val="center"/>
          </w:tcPr>
          <w:p>
            <w:pPr>
              <w:spacing w:line="360" w:lineRule="atLeast"/>
              <w:jc w:val="center"/>
              <w:rPr>
                <w:rFonts w:ascii="宋体" w:hAnsi="宋体"/>
                <w:sz w:val="24"/>
                <w:highlight w:val="none"/>
              </w:rPr>
            </w:pPr>
            <w:r>
              <w:rPr>
                <w:rFonts w:hint="eastAsia" w:ascii="宋体" w:hAnsi="宋体"/>
                <w:sz w:val="24"/>
                <w:highlight w:val="none"/>
              </w:rPr>
              <w:t>（签字或盖章）</w:t>
            </w:r>
          </w:p>
        </w:tc>
        <w:tc>
          <w:tcPr>
            <w:tcW w:w="2340" w:type="dxa"/>
            <w:vAlign w:val="center"/>
          </w:tcPr>
          <w:p>
            <w:pPr>
              <w:spacing w:line="360" w:lineRule="atLeast"/>
              <w:ind w:firstLine="240" w:firstLineChars="100"/>
              <w:jc w:val="center"/>
              <w:rPr>
                <w:rFonts w:ascii="宋体" w:hAnsi="宋体"/>
                <w:sz w:val="24"/>
                <w:highlight w:val="none"/>
              </w:rPr>
            </w:pPr>
            <w:r>
              <w:rPr>
                <w:rFonts w:hint="eastAsia" w:ascii="宋体" w:hAnsi="宋体"/>
                <w:sz w:val="24"/>
                <w:highlight w:val="none"/>
              </w:rPr>
              <w:t>年  月  日</w:t>
            </w:r>
          </w:p>
        </w:tc>
      </w:tr>
    </w:tbl>
    <w:p>
      <w:pPr>
        <w:spacing w:line="500" w:lineRule="exact"/>
        <w:rPr>
          <w:rFonts w:ascii="仿宋_GB2312" w:hAnsi="仿宋" w:eastAsia="仿宋_GB2312" w:cs="仿宋"/>
          <w:b/>
          <w:bCs/>
          <w:sz w:val="32"/>
          <w:highlight w:val="none"/>
        </w:rPr>
      </w:pPr>
    </w:p>
    <w:p>
      <w:pPr>
        <w:spacing w:line="360" w:lineRule="auto"/>
        <w:jc w:val="center"/>
        <w:outlineLvl w:val="0"/>
        <w:rPr>
          <w:rFonts w:ascii="黑体" w:hAnsi="仿宋" w:eastAsia="黑体" w:cs="仿宋"/>
          <w:b/>
          <w:sz w:val="32"/>
          <w:szCs w:val="32"/>
          <w:highlight w:val="none"/>
          <w:lang w:val="en-GB"/>
        </w:rPr>
      </w:pPr>
      <w:bookmarkStart w:id="582" w:name="_Toc17612"/>
      <w:r>
        <w:rPr>
          <w:rFonts w:hint="eastAsia" w:ascii="黑体" w:hAnsi="仿宋" w:eastAsia="黑体" w:cs="仿宋"/>
          <w:b/>
          <w:sz w:val="32"/>
          <w:szCs w:val="32"/>
          <w:highlight w:val="none"/>
          <w:lang w:val="en-GB"/>
        </w:rPr>
        <w:t>询问函、质疑函格式</w:t>
      </w:r>
      <w:bookmarkEnd w:id="582"/>
    </w:p>
    <w:p>
      <w:pPr>
        <w:pStyle w:val="13"/>
        <w:spacing w:line="500" w:lineRule="exact"/>
        <w:ind w:left="-120" w:leftChars="-57" w:firstLine="527" w:firstLineChars="250"/>
        <w:rPr>
          <w:rFonts w:hAnsi="宋体"/>
          <w:b/>
          <w:bCs/>
          <w:highlight w:val="none"/>
          <w:u w:val="single"/>
          <w:lang w:val="en-GB"/>
        </w:rPr>
      </w:pPr>
      <w:r>
        <w:rPr>
          <w:rFonts w:hint="eastAsia" w:hAnsi="宋体"/>
          <w:b/>
          <w:bCs/>
          <w:highlight w:val="none"/>
          <w:u w:val="single"/>
          <w:lang w:val="en-GB"/>
        </w:rPr>
        <w:t>说明：本部分格式为供应商提交询问函、质疑函时使用，不属于响应文件格式的组成部分。</w:t>
      </w:r>
    </w:p>
    <w:p>
      <w:pPr>
        <w:pStyle w:val="13"/>
        <w:spacing w:line="500" w:lineRule="exact"/>
        <w:ind w:left="-120" w:leftChars="-57" w:firstLine="527" w:firstLineChars="250"/>
        <w:rPr>
          <w:rFonts w:hAnsi="宋体"/>
          <w:b/>
          <w:bCs/>
          <w:highlight w:val="none"/>
          <w:u w:val="single"/>
          <w:lang w:val="en-GB"/>
        </w:rPr>
      </w:pPr>
    </w:p>
    <w:p>
      <w:pPr>
        <w:pStyle w:val="13"/>
        <w:spacing w:line="500" w:lineRule="exact"/>
        <w:ind w:left="-120" w:leftChars="-57" w:firstLine="602" w:firstLineChars="250"/>
        <w:rPr>
          <w:rFonts w:hAnsi="宋体"/>
          <w:b/>
          <w:bCs/>
          <w:sz w:val="24"/>
          <w:szCs w:val="24"/>
          <w:highlight w:val="none"/>
        </w:rPr>
      </w:pPr>
      <w:r>
        <w:rPr>
          <w:rFonts w:hint="eastAsia" w:hAnsi="宋体"/>
          <w:b/>
          <w:bCs/>
          <w:sz w:val="24"/>
          <w:szCs w:val="24"/>
          <w:highlight w:val="none"/>
        </w:rPr>
        <w:t>1.询问函格式</w:t>
      </w:r>
    </w:p>
    <w:p>
      <w:pPr>
        <w:pStyle w:val="13"/>
        <w:spacing w:line="500" w:lineRule="exact"/>
        <w:ind w:left="-120" w:leftChars="-57" w:firstLine="602" w:firstLineChars="250"/>
        <w:rPr>
          <w:rFonts w:hAnsi="宋体"/>
          <w:b/>
          <w:bCs/>
          <w:sz w:val="24"/>
          <w:szCs w:val="24"/>
          <w:highlight w:val="none"/>
        </w:rPr>
      </w:pPr>
    </w:p>
    <w:p>
      <w:pPr>
        <w:spacing w:line="360" w:lineRule="auto"/>
        <w:jc w:val="center"/>
        <w:outlineLvl w:val="1"/>
        <w:rPr>
          <w:rFonts w:ascii="黑体" w:hAnsi="黑体" w:eastAsia="黑体" w:cs="黑体"/>
          <w:bCs/>
          <w:sz w:val="32"/>
          <w:szCs w:val="32"/>
          <w:highlight w:val="none"/>
          <w:lang w:val="en-GB"/>
        </w:rPr>
      </w:pPr>
      <w:bookmarkStart w:id="583" w:name="_Toc14289"/>
      <w:r>
        <w:rPr>
          <w:rFonts w:hint="eastAsia" w:ascii="黑体" w:hAnsi="黑体" w:eastAsia="黑体" w:cs="黑体"/>
          <w:bCs/>
          <w:sz w:val="32"/>
          <w:szCs w:val="32"/>
          <w:highlight w:val="none"/>
          <w:lang w:val="en-GB"/>
        </w:rPr>
        <w:t>询问函</w:t>
      </w:r>
      <w:bookmarkEnd w:id="583"/>
    </w:p>
    <w:p>
      <w:pPr>
        <w:widowControl/>
        <w:tabs>
          <w:tab w:val="left" w:pos="6300"/>
        </w:tabs>
        <w:snapToGrid w:val="0"/>
        <w:spacing w:line="360" w:lineRule="auto"/>
        <w:jc w:val="left"/>
        <w:rPr>
          <w:rFonts w:ascii="宋体" w:hAnsi="宋体"/>
          <w:sz w:val="24"/>
          <w:highlight w:val="none"/>
        </w:rPr>
      </w:pPr>
      <w:r>
        <w:rPr>
          <w:rFonts w:hint="eastAsia" w:ascii="宋体" w:hAnsi="宋体"/>
          <w:sz w:val="24"/>
          <w:highlight w:val="none"/>
        </w:rPr>
        <w:t>陕西德勤招标有限公司：</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我单位已报名并准备参与</w:t>
      </w:r>
      <w:r>
        <w:rPr>
          <w:rFonts w:hint="eastAsia" w:ascii="宋体" w:hAnsi="宋体"/>
          <w:sz w:val="24"/>
          <w:highlight w:val="none"/>
          <w:u w:val="single"/>
        </w:rPr>
        <w:t>（</w:t>
      </w:r>
      <w:r>
        <w:rPr>
          <w:rFonts w:hint="eastAsia" w:hAnsi="宋体"/>
          <w:sz w:val="24"/>
          <w:highlight w:val="none"/>
          <w:u w:val="single"/>
        </w:rPr>
        <w:t>采购项目名称及标段）</w:t>
      </w:r>
      <w:r>
        <w:rPr>
          <w:rFonts w:hint="eastAsia" w:ascii="宋体" w:hAnsi="宋体"/>
          <w:sz w:val="24"/>
          <w:highlight w:val="none"/>
        </w:rPr>
        <w:t>项目（磋商文件编号：</w:t>
      </w:r>
      <w:r>
        <w:rPr>
          <w:rFonts w:hint="eastAsia" w:ascii="宋体" w:hAnsi="宋体"/>
          <w:sz w:val="24"/>
          <w:highlight w:val="none"/>
          <w:u w:val="single"/>
        </w:rPr>
        <w:t xml:space="preserve">     </w:t>
      </w:r>
      <w:r>
        <w:rPr>
          <w:rFonts w:hint="eastAsia" w:ascii="宋体" w:hAnsi="宋体"/>
          <w:sz w:val="24"/>
          <w:highlight w:val="none"/>
        </w:rPr>
        <w:t>）的响应（或报价）活动，现有以下几个内容（或条款）存在疑问（或无法理解），特提出询问。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一、_____________________（事项一）</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（3）____________________（建议）</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二、_____________________（事项二）</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随附相关证明材料如下：</w:t>
      </w: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480" w:firstLineChars="200"/>
        <w:jc w:val="left"/>
        <w:rPr>
          <w:rFonts w:ascii="宋体" w:hAnsi="宋体"/>
          <w:sz w:val="24"/>
          <w:highlight w:val="none"/>
        </w:rPr>
      </w:pP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询问人：（公章）</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法定代表人（授权代表）：</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地址/邮编：</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电话/传真：</w:t>
      </w:r>
    </w:p>
    <w:p>
      <w:pPr>
        <w:spacing w:line="360" w:lineRule="auto"/>
        <w:jc w:val="right"/>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napToGrid w:val="0"/>
        <w:spacing w:line="360" w:lineRule="auto"/>
        <w:ind w:firstLine="378" w:firstLineChars="180"/>
        <w:rPr>
          <w:rFonts w:ascii="宋体" w:hAnsi="宋体"/>
          <w:szCs w:val="21"/>
          <w:highlight w:val="none"/>
        </w:rPr>
      </w:pPr>
    </w:p>
    <w:p>
      <w:pPr>
        <w:pStyle w:val="22"/>
        <w:adjustRightInd w:val="0"/>
        <w:snapToGrid w:val="0"/>
        <w:spacing w:before="0" w:beforeAutospacing="0" w:after="0" w:afterAutospacing="0" w:line="360" w:lineRule="auto"/>
        <w:ind w:firstLine="481"/>
        <w:jc w:val="both"/>
        <w:rPr>
          <w:b/>
          <w:bCs/>
          <w:color w:val="auto"/>
          <w:kern w:val="2"/>
          <w:highlight w:val="none"/>
        </w:rPr>
      </w:pPr>
      <w:r>
        <w:rPr>
          <w:rFonts w:hint="eastAsia"/>
          <w:b/>
          <w:bCs/>
          <w:color w:val="auto"/>
          <w:kern w:val="2"/>
          <w:highlight w:val="none"/>
        </w:rPr>
        <w:t>2.质疑书格式</w:t>
      </w:r>
    </w:p>
    <w:p>
      <w:pPr>
        <w:pStyle w:val="22"/>
        <w:adjustRightInd w:val="0"/>
        <w:snapToGrid w:val="0"/>
        <w:spacing w:before="0" w:beforeAutospacing="0" w:after="0" w:afterAutospacing="0" w:line="360" w:lineRule="auto"/>
        <w:ind w:firstLine="481"/>
        <w:jc w:val="both"/>
        <w:rPr>
          <w:rFonts w:ascii="仿宋_GB2312" w:hAnsi="Courier New" w:eastAsia="仿宋_GB2312"/>
          <w:b/>
          <w:bCs/>
          <w:color w:val="auto"/>
          <w:kern w:val="2"/>
          <w:highlight w:val="none"/>
        </w:rPr>
      </w:pPr>
    </w:p>
    <w:p>
      <w:pPr>
        <w:spacing w:line="360" w:lineRule="auto"/>
        <w:jc w:val="center"/>
        <w:outlineLvl w:val="1"/>
        <w:rPr>
          <w:rFonts w:ascii="黑体" w:hAnsi="黑体" w:eastAsia="黑体" w:cs="黑体"/>
          <w:bCs/>
          <w:sz w:val="32"/>
          <w:szCs w:val="32"/>
          <w:highlight w:val="none"/>
          <w:lang w:val="en-GB"/>
        </w:rPr>
      </w:pPr>
      <w:bookmarkStart w:id="584" w:name="_Toc18152"/>
      <w:r>
        <w:rPr>
          <w:rFonts w:hint="eastAsia" w:ascii="黑体" w:hAnsi="黑体" w:eastAsia="黑体" w:cs="黑体"/>
          <w:bCs/>
          <w:sz w:val="32"/>
          <w:szCs w:val="32"/>
          <w:highlight w:val="none"/>
          <w:lang w:val="en-GB"/>
        </w:rPr>
        <w:t>质疑</w:t>
      </w:r>
      <w:r>
        <w:rPr>
          <w:rFonts w:hint="eastAsia" w:ascii="黑体" w:hAnsi="黑体" w:eastAsia="黑体" w:cs="黑体"/>
          <w:bCs/>
          <w:sz w:val="32"/>
          <w:szCs w:val="32"/>
          <w:highlight w:val="none"/>
        </w:rPr>
        <w:t>书</w:t>
      </w:r>
      <w:bookmarkEnd w:id="584"/>
    </w:p>
    <w:p>
      <w:pPr>
        <w:widowControl/>
        <w:tabs>
          <w:tab w:val="left" w:pos="6300"/>
        </w:tabs>
        <w:snapToGrid w:val="0"/>
        <w:spacing w:line="360" w:lineRule="auto"/>
        <w:jc w:val="left"/>
        <w:rPr>
          <w:rFonts w:ascii="仿宋_GB2312" w:hAnsi="宋体" w:eastAsia="仿宋_GB2312"/>
          <w:b/>
          <w:bCs/>
          <w:sz w:val="24"/>
          <w:highlight w:val="none"/>
        </w:rPr>
      </w:pPr>
      <w:r>
        <w:rPr>
          <w:rFonts w:hint="eastAsia" w:ascii="仿宋_GB2312" w:hAnsi="宋体" w:eastAsia="仿宋_GB2312"/>
          <w:b/>
          <w:bCs/>
          <w:sz w:val="24"/>
          <w:highlight w:val="none"/>
        </w:rPr>
        <w:t>陕西德勤招标有限公司/采购人：</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我公司依法参与了</w:t>
      </w:r>
      <w:r>
        <w:rPr>
          <w:rFonts w:hint="eastAsia" w:ascii="宋体" w:hAnsi="宋体"/>
          <w:sz w:val="24"/>
          <w:highlight w:val="none"/>
          <w:u w:val="single"/>
        </w:rPr>
        <w:t>（采购代理机构或采购人）</w:t>
      </w:r>
      <w:r>
        <w:rPr>
          <w:rFonts w:hint="eastAsia" w:ascii="宋体" w:hAnsi="宋体"/>
          <w:sz w:val="24"/>
          <w:highlight w:val="none"/>
        </w:rPr>
        <w:t>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日组织的政府采购活动。根据《政府采购法》和《政府采购供应商投诉处理办法》等规定，我公司认为</w:t>
      </w:r>
      <w:r>
        <w:rPr>
          <w:rFonts w:hint="eastAsia" w:ascii="宋体" w:hAnsi="宋体"/>
          <w:sz w:val="24"/>
          <w:highlight w:val="none"/>
          <w:u w:val="single"/>
        </w:rPr>
        <w:t xml:space="preserve"> （</w:t>
      </w:r>
      <w:r>
        <w:rPr>
          <w:rFonts w:hint="eastAsia" w:hAnsi="宋体"/>
          <w:sz w:val="24"/>
          <w:highlight w:val="none"/>
          <w:u w:val="single"/>
        </w:rPr>
        <w:t>采购项目名称及标段）</w:t>
      </w:r>
      <w:r>
        <w:rPr>
          <w:rFonts w:hint="eastAsia" w:ascii="宋体" w:hAnsi="宋体"/>
          <w:sz w:val="24"/>
          <w:highlight w:val="none"/>
          <w:u w:val="single"/>
        </w:rPr>
        <w:t>（采购项目编号：     ）</w:t>
      </w:r>
      <w:r>
        <w:rPr>
          <w:rFonts w:hint="eastAsia" w:ascii="宋体" w:hAnsi="宋体"/>
          <w:sz w:val="24"/>
          <w:highlight w:val="none"/>
        </w:rPr>
        <w:t>项目的采购活动中，</w:t>
      </w:r>
      <w:r>
        <w:rPr>
          <w:rFonts w:hint="eastAsia" w:ascii="宋体" w:hAnsi="宋体"/>
          <w:sz w:val="24"/>
          <w:highlight w:val="none"/>
          <w:u w:val="single"/>
        </w:rPr>
        <w:t>（磋商文件、采购过程、中标/成交结果）</w:t>
      </w:r>
      <w:r>
        <w:rPr>
          <w:rFonts w:hint="eastAsia" w:ascii="宋体" w:hAnsi="宋体"/>
          <w:sz w:val="24"/>
          <w:highlight w:val="none"/>
        </w:rPr>
        <w:t>损害了我公司权益，特提出质疑。</w:t>
      </w:r>
    </w:p>
    <w:p>
      <w:pPr>
        <w:spacing w:line="360" w:lineRule="auto"/>
        <w:ind w:right="120" w:firstLine="480"/>
        <w:rPr>
          <w:rFonts w:ascii="宋体" w:hAnsi="宋体"/>
          <w:sz w:val="24"/>
          <w:highlight w:val="none"/>
        </w:rPr>
      </w:pPr>
      <w:r>
        <w:rPr>
          <w:rFonts w:hint="eastAsia" w:ascii="宋体" w:hAnsi="宋体"/>
          <w:sz w:val="24"/>
          <w:highlight w:val="none"/>
        </w:rPr>
        <w:t>一、我公司认为项目的</w:t>
      </w:r>
      <w:r>
        <w:rPr>
          <w:rFonts w:hint="eastAsia" w:ascii="宋体" w:hAnsi="宋体"/>
          <w:sz w:val="24"/>
          <w:highlight w:val="none"/>
          <w:u w:val="single"/>
        </w:rPr>
        <w:t>（磋商文件、采购过程、中标/成交结果）</w:t>
      </w:r>
      <w:r>
        <w:rPr>
          <w:rFonts w:hint="eastAsia" w:ascii="宋体" w:hAnsi="宋体"/>
          <w:sz w:val="24"/>
          <w:highlight w:val="none"/>
        </w:rPr>
        <w:t>损害了我司权益，具体事项如下：（每个质疑事项应有与之相对应的证据予以支持。质疑事项属于涉密的，应提供信息来源或有效证据）：</w:t>
      </w:r>
    </w:p>
    <w:p>
      <w:pPr>
        <w:spacing w:line="360" w:lineRule="auto"/>
        <w:ind w:right="120" w:firstLine="480"/>
        <w:rPr>
          <w:rFonts w:ascii="宋体" w:hAnsi="宋体"/>
          <w:sz w:val="24"/>
          <w:highlight w:val="none"/>
        </w:rPr>
      </w:pPr>
      <w:r>
        <w:rPr>
          <w:rFonts w:hint="eastAsia" w:ascii="宋体" w:hAnsi="宋体"/>
          <w:sz w:val="24"/>
          <w:highlight w:val="none"/>
        </w:rPr>
        <w:t>（  ）质疑磋商文件</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1.质疑内容磋商文件</w:t>
      </w:r>
      <w:r>
        <w:rPr>
          <w:rFonts w:hint="eastAsia" w:ascii="宋体" w:hAnsi="宋体"/>
          <w:sz w:val="24"/>
          <w:highlight w:val="none"/>
          <w:u w:val="single"/>
        </w:rPr>
        <w:t xml:space="preserve">    </w:t>
      </w:r>
      <w:r>
        <w:rPr>
          <w:rFonts w:hint="eastAsia" w:ascii="宋体" w:hAnsi="宋体"/>
          <w:sz w:val="24"/>
          <w:highlight w:val="none"/>
        </w:rPr>
        <w:t xml:space="preserve">页，内容“ </w:t>
      </w:r>
      <w:r>
        <w:rPr>
          <w:rFonts w:hint="eastAsia" w:ascii="宋体" w:hAnsi="宋体"/>
          <w:sz w:val="24"/>
          <w:highlight w:val="none"/>
          <w:u w:val="single"/>
        </w:rPr>
        <w:t xml:space="preserve">                            </w:t>
      </w:r>
      <w:r>
        <w:rPr>
          <w:rFonts w:hint="eastAsia" w:ascii="宋体" w:hAnsi="宋体"/>
          <w:sz w:val="24"/>
          <w:highlight w:val="none"/>
        </w:rPr>
        <w:t xml:space="preserve"> ” 损害了我公司权益，</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事实依据： </w:t>
      </w:r>
      <w:r>
        <w:rPr>
          <w:rFonts w:hint="eastAsia" w:ascii="宋体" w:hAnsi="宋体"/>
          <w:sz w:val="24"/>
          <w:highlight w:val="none"/>
          <w:u w:val="single"/>
        </w:rPr>
        <w:t xml:space="preserve">                          （</w:t>
      </w:r>
      <w:r>
        <w:rPr>
          <w:rFonts w:hint="eastAsia" w:ascii="宋体" w:hAnsi="宋体"/>
          <w:sz w:val="24"/>
          <w:highlight w:val="none"/>
        </w:rPr>
        <w:t>证据见附件第</w:t>
      </w:r>
      <w:r>
        <w:rPr>
          <w:rFonts w:hint="eastAsia" w:ascii="宋体" w:hAnsi="宋体"/>
          <w:sz w:val="24"/>
          <w:highlight w:val="none"/>
          <w:u w:val="single"/>
        </w:rPr>
        <w:t xml:space="preserve">  </w:t>
      </w:r>
      <w:r>
        <w:rPr>
          <w:rFonts w:hint="eastAsia" w:ascii="宋体" w:hAnsi="宋体"/>
          <w:sz w:val="24"/>
          <w:highlight w:val="none"/>
        </w:rPr>
        <w:t>页）</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法律依据</w:t>
      </w:r>
      <w:r>
        <w:rPr>
          <w:rFonts w:hint="eastAsia" w:ascii="宋体" w:hAnsi="宋体"/>
          <w:kern w:val="0"/>
          <w:sz w:val="24"/>
          <w:highlight w:val="none"/>
        </w:rPr>
        <w:t>：</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我方请求磋商文件做如下修改：</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我方对磋商文件其他内容无质疑。</w:t>
      </w:r>
    </w:p>
    <w:p>
      <w:pPr>
        <w:spacing w:line="360" w:lineRule="auto"/>
        <w:ind w:right="120" w:firstLine="480"/>
        <w:rPr>
          <w:rFonts w:ascii="宋体" w:hAnsi="宋体"/>
          <w:sz w:val="24"/>
          <w:highlight w:val="none"/>
        </w:rPr>
      </w:pPr>
      <w:r>
        <w:rPr>
          <w:rFonts w:hint="eastAsia" w:ascii="宋体" w:hAnsi="宋体"/>
          <w:sz w:val="24"/>
          <w:highlight w:val="none"/>
        </w:rPr>
        <w:t>（  ）质疑采购过程</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1.于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日，在</w:t>
      </w:r>
      <w:r>
        <w:rPr>
          <w:rFonts w:hint="eastAsia" w:ascii="宋体" w:hAnsi="宋体"/>
          <w:sz w:val="24"/>
          <w:highlight w:val="none"/>
          <w:u w:val="single"/>
        </w:rPr>
        <w:t xml:space="preserve">                          </w:t>
      </w:r>
      <w:r>
        <w:rPr>
          <w:rFonts w:hint="eastAsia" w:ascii="宋体" w:hAnsi="宋体"/>
          <w:sz w:val="24"/>
          <w:highlight w:val="none"/>
        </w:rPr>
        <w:t>进行的（收取磋商文件（样品）、开标、谈判）过程，发生损害了我公司权益的事项，</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事实依据： </w:t>
      </w:r>
      <w:r>
        <w:rPr>
          <w:rFonts w:hint="eastAsia" w:ascii="宋体" w:hAnsi="宋体"/>
          <w:sz w:val="24"/>
          <w:highlight w:val="none"/>
          <w:u w:val="single"/>
        </w:rPr>
        <w:t xml:space="preserve">                          （</w:t>
      </w:r>
      <w:r>
        <w:rPr>
          <w:rFonts w:hint="eastAsia" w:ascii="宋体" w:hAnsi="宋体"/>
          <w:sz w:val="24"/>
          <w:highlight w:val="none"/>
        </w:rPr>
        <w:t>证据见附件第</w:t>
      </w:r>
      <w:r>
        <w:rPr>
          <w:rFonts w:hint="eastAsia" w:ascii="宋体" w:hAnsi="宋体"/>
          <w:sz w:val="24"/>
          <w:highlight w:val="none"/>
          <w:u w:val="single"/>
        </w:rPr>
        <w:t xml:space="preserve">  </w:t>
      </w:r>
      <w:r>
        <w:rPr>
          <w:rFonts w:hint="eastAsia" w:ascii="宋体" w:hAnsi="宋体"/>
          <w:sz w:val="24"/>
          <w:highlight w:val="none"/>
        </w:rPr>
        <w:t>页）</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法律依据</w:t>
      </w:r>
      <w:r>
        <w:rPr>
          <w:rFonts w:hint="eastAsia" w:ascii="宋体" w:hAnsi="宋体"/>
          <w:kern w:val="0"/>
          <w:sz w:val="24"/>
          <w:highlight w:val="none"/>
        </w:rPr>
        <w:t>：</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我方请求：</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我方对其他采购过程无质疑。</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  ）质疑采购结果</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1.于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日公布的成交（成交）结果，发生损害了我公司权益的事项，</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事实依据： </w:t>
      </w:r>
      <w:r>
        <w:rPr>
          <w:rFonts w:hint="eastAsia" w:ascii="宋体" w:hAnsi="宋体"/>
          <w:sz w:val="24"/>
          <w:highlight w:val="none"/>
          <w:u w:val="single"/>
        </w:rPr>
        <w:t xml:space="preserve">                          （</w:t>
      </w:r>
      <w:r>
        <w:rPr>
          <w:rFonts w:hint="eastAsia" w:ascii="宋体" w:hAnsi="宋体"/>
          <w:sz w:val="24"/>
          <w:highlight w:val="none"/>
        </w:rPr>
        <w:t>证据见附件第</w:t>
      </w:r>
      <w:r>
        <w:rPr>
          <w:rFonts w:hint="eastAsia" w:ascii="宋体" w:hAnsi="宋体"/>
          <w:sz w:val="24"/>
          <w:highlight w:val="none"/>
          <w:u w:val="single"/>
        </w:rPr>
        <w:t xml:space="preserve">  </w:t>
      </w:r>
      <w:r>
        <w:rPr>
          <w:rFonts w:hint="eastAsia" w:ascii="宋体" w:hAnsi="宋体"/>
          <w:sz w:val="24"/>
          <w:highlight w:val="none"/>
        </w:rPr>
        <w:t>页）</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法律依据</w:t>
      </w:r>
      <w:r>
        <w:rPr>
          <w:rFonts w:hint="eastAsia" w:ascii="宋体" w:hAnsi="宋体"/>
          <w:kern w:val="0"/>
          <w:sz w:val="24"/>
          <w:highlight w:val="none"/>
        </w:rPr>
        <w:t>：</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我方请求：</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我方对成交（成交）结果公告其他内容无质疑。</w:t>
      </w:r>
    </w:p>
    <w:p>
      <w:pPr>
        <w:widowControl/>
        <w:snapToGrid w:val="0"/>
        <w:spacing w:line="360" w:lineRule="auto"/>
        <w:ind w:firstLine="480" w:firstLineChars="200"/>
        <w:jc w:val="left"/>
        <w:rPr>
          <w:rFonts w:ascii="宋体" w:hAnsi="宋体"/>
          <w:sz w:val="24"/>
          <w:highlight w:val="none"/>
        </w:rPr>
      </w:pP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二、为维护我公司的合法权益，现要求贵方就上述质疑事项依照政府采购有关规定在限期内作出回复。</w:t>
      </w:r>
    </w:p>
    <w:p>
      <w:pPr>
        <w:widowControl/>
        <w:snapToGrid w:val="0"/>
        <w:spacing w:line="360" w:lineRule="auto"/>
        <w:jc w:val="left"/>
        <w:rPr>
          <w:rFonts w:ascii="宋体" w:hAnsi="宋体"/>
          <w:sz w:val="24"/>
          <w:highlight w:val="none"/>
        </w:rPr>
      </w:pP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质疑供应商</w:t>
      </w:r>
      <w:r>
        <w:rPr>
          <w:rFonts w:hint="eastAsia" w:ascii="宋体" w:hAnsi="宋体"/>
          <w:sz w:val="24"/>
          <w:highlight w:val="none"/>
          <w:u w:val="single"/>
        </w:rPr>
        <w:t xml:space="preserve">： （签章）    </w:t>
      </w:r>
      <w:r>
        <w:rPr>
          <w:rFonts w:hint="eastAsia" w:ascii="宋体" w:hAnsi="宋体"/>
          <w:sz w:val="24"/>
          <w:highlight w:val="none"/>
        </w:rPr>
        <w:t xml:space="preserve">   法定代表人：</w:t>
      </w:r>
      <w:r>
        <w:rPr>
          <w:rFonts w:hint="eastAsia" w:ascii="宋体" w:hAnsi="宋体"/>
          <w:sz w:val="24"/>
          <w:highlight w:val="none"/>
          <w:u w:val="single"/>
        </w:rPr>
        <w:t xml:space="preserve">        </w:t>
      </w:r>
      <w:r>
        <w:rPr>
          <w:rFonts w:hint="eastAsia" w:ascii="宋体" w:hAnsi="宋体"/>
          <w:sz w:val="24"/>
          <w:highlight w:val="none"/>
        </w:rPr>
        <w:t>（签名）</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项目联系人：</w:t>
      </w:r>
      <w:r>
        <w:rPr>
          <w:rFonts w:hint="eastAsia" w:ascii="宋体" w:hAnsi="宋体"/>
          <w:sz w:val="24"/>
          <w:highlight w:val="none"/>
          <w:u w:val="single"/>
        </w:rPr>
        <w:t xml:space="preserve">             </w:t>
      </w:r>
      <w:r>
        <w:rPr>
          <w:rFonts w:hint="eastAsia" w:ascii="宋体" w:hAnsi="宋体"/>
          <w:sz w:val="24"/>
          <w:highlight w:val="none"/>
        </w:rPr>
        <w:t xml:space="preserve">   电话（手机/座机）：</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地址：</w:t>
      </w:r>
      <w:r>
        <w:rPr>
          <w:rFonts w:hint="eastAsia" w:ascii="宋体" w:hAnsi="宋体"/>
          <w:sz w:val="24"/>
          <w:highlight w:val="none"/>
          <w:u w:val="single"/>
        </w:rPr>
        <w:t xml:space="preserve">                      </w:t>
      </w:r>
      <w:r>
        <w:rPr>
          <w:rFonts w:hint="eastAsia" w:ascii="宋体" w:hAnsi="宋体"/>
          <w:sz w:val="24"/>
          <w:highlight w:val="none"/>
        </w:rPr>
        <w:t>邮编：</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电子邮箱：</w:t>
      </w:r>
      <w:r>
        <w:rPr>
          <w:rFonts w:hint="eastAsia" w:ascii="宋体" w:hAnsi="宋体"/>
          <w:sz w:val="24"/>
          <w:highlight w:val="none"/>
          <w:u w:val="single"/>
        </w:rPr>
        <w:t xml:space="preserve">                  </w:t>
      </w:r>
      <w:r>
        <w:rPr>
          <w:rFonts w:hint="eastAsia" w:ascii="宋体" w:hAnsi="宋体"/>
          <w:sz w:val="24"/>
          <w:highlight w:val="none"/>
        </w:rPr>
        <w:t>传真：</w:t>
      </w:r>
      <w:r>
        <w:rPr>
          <w:rFonts w:hint="eastAsia" w:ascii="宋体" w:hAnsi="宋体"/>
          <w:sz w:val="24"/>
          <w:highlight w:val="none"/>
          <w:u w:val="single"/>
        </w:rPr>
        <w:t xml:space="preserve">          </w:t>
      </w:r>
    </w:p>
    <w:p>
      <w:pPr>
        <w:widowControl/>
        <w:tabs>
          <w:tab w:val="left" w:pos="6300"/>
        </w:tabs>
        <w:snapToGrid w:val="0"/>
        <w:spacing w:line="360" w:lineRule="auto"/>
        <w:jc w:val="right"/>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pStyle w:val="13"/>
        <w:spacing w:line="360" w:lineRule="auto"/>
        <w:ind w:left="-120" w:leftChars="-57" w:firstLine="527" w:firstLineChars="250"/>
        <w:rPr>
          <w:rFonts w:hAnsi="宋体"/>
          <w:b/>
          <w:bCs/>
          <w:highlight w:val="none"/>
          <w:u w:val="single"/>
          <w:lang w:val="en-GB"/>
        </w:rPr>
      </w:pPr>
      <w:r>
        <w:rPr>
          <w:rFonts w:hint="eastAsia" w:hAnsi="宋体"/>
          <w:b/>
          <w:bCs/>
          <w:highlight w:val="none"/>
          <w:u w:val="single"/>
          <w:lang w:val="en-GB"/>
        </w:rPr>
        <w:t>备注：</w:t>
      </w:r>
    </w:p>
    <w:p>
      <w:pPr>
        <w:pStyle w:val="13"/>
        <w:spacing w:line="360" w:lineRule="auto"/>
        <w:ind w:left="-120" w:leftChars="-57" w:firstLine="527" w:firstLineChars="250"/>
        <w:rPr>
          <w:rFonts w:hAnsi="宋体"/>
          <w:b/>
          <w:bCs/>
          <w:highlight w:val="none"/>
          <w:u w:val="single"/>
          <w:lang w:val="en-GB"/>
        </w:rPr>
      </w:pPr>
      <w:r>
        <w:rPr>
          <w:rFonts w:hint="eastAsia" w:hAnsi="宋体"/>
          <w:b/>
          <w:bCs/>
          <w:highlight w:val="none"/>
          <w:u w:val="single"/>
          <w:lang w:val="en-GB"/>
        </w:rPr>
        <w:t>1.每个质疑事项应有与之相对应的证据予以支持。质疑事项属于涉密的，应提供信息来源或有效证据。</w:t>
      </w:r>
    </w:p>
    <w:p>
      <w:pPr>
        <w:pStyle w:val="13"/>
        <w:spacing w:line="360" w:lineRule="auto"/>
        <w:ind w:left="-120" w:leftChars="-57" w:firstLine="527" w:firstLineChars="250"/>
        <w:rPr>
          <w:rFonts w:hAnsi="宋体"/>
          <w:b/>
          <w:bCs/>
          <w:highlight w:val="none"/>
          <w:u w:val="single"/>
          <w:lang w:val="en-GB"/>
        </w:rPr>
      </w:pPr>
      <w:r>
        <w:rPr>
          <w:rFonts w:hint="eastAsia" w:hAnsi="宋体"/>
          <w:b/>
          <w:bCs/>
          <w:highlight w:val="none"/>
          <w:u w:val="single"/>
          <w:lang w:val="en-GB"/>
        </w:rPr>
        <w:t>2.供应商质疑、投诉应当有明确的请求和必要的证明材料(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1至3年内参加政府采购活动)。</w:t>
      </w:r>
    </w:p>
    <w:p>
      <w:pPr>
        <w:pStyle w:val="13"/>
        <w:spacing w:line="360" w:lineRule="auto"/>
        <w:ind w:left="-120" w:leftChars="-57" w:firstLine="527" w:firstLineChars="250"/>
        <w:rPr>
          <w:rFonts w:hAnsi="宋体"/>
          <w:b/>
          <w:bCs/>
          <w:highlight w:val="none"/>
          <w:u w:val="single"/>
        </w:rPr>
      </w:pPr>
      <w:r>
        <w:rPr>
          <w:rFonts w:hint="eastAsia" w:hAnsi="宋体"/>
          <w:b/>
          <w:bCs/>
          <w:highlight w:val="none"/>
          <w:u w:val="single"/>
        </w:rPr>
        <w:t>3.质疑书应</w:t>
      </w:r>
      <w:r>
        <w:rPr>
          <w:rFonts w:hint="eastAsia" w:hAnsi="宋体"/>
          <w:b/>
          <w:bCs/>
          <w:highlight w:val="none"/>
          <w:u w:val="single"/>
          <w:lang w:val="en-GB"/>
        </w:rPr>
        <w:t>当包括</w:t>
      </w:r>
      <w:r>
        <w:rPr>
          <w:rFonts w:hint="eastAsia" w:hAnsi="宋体"/>
          <w:b/>
          <w:bCs/>
          <w:highlight w:val="none"/>
          <w:u w:val="single"/>
        </w:rPr>
        <w:t>但不限于</w:t>
      </w:r>
      <w:r>
        <w:rPr>
          <w:rFonts w:hint="eastAsia" w:hAnsi="宋体"/>
          <w:b/>
          <w:bCs/>
          <w:highlight w:val="none"/>
          <w:u w:val="single"/>
          <w:lang w:val="en-GB"/>
        </w:rPr>
        <w:t>以下主要内容：被质疑项目名称、项目编号、标段（</w:t>
      </w:r>
      <w:r>
        <w:rPr>
          <w:rFonts w:hint="eastAsia" w:hAnsi="宋体"/>
          <w:b/>
          <w:bCs/>
          <w:highlight w:val="none"/>
          <w:u w:val="single"/>
        </w:rPr>
        <w:t>如果有</w:t>
      </w:r>
      <w:r>
        <w:rPr>
          <w:rFonts w:hint="eastAsia" w:hAnsi="宋体"/>
          <w:b/>
          <w:bCs/>
          <w:highlight w:val="none"/>
          <w:u w:val="single"/>
          <w:lang w:val="en-GB"/>
        </w:rPr>
        <w:t>）、采购公告发布时间、质疑事项、权益受损害的情况说明及受损害的原因、证据材料、法律依据（具体条款）、质疑供应商有效联系方式等。</w:t>
      </w:r>
    </w:p>
    <w:p>
      <w:pPr>
        <w:pStyle w:val="13"/>
        <w:spacing w:line="360" w:lineRule="auto"/>
        <w:ind w:left="-120" w:leftChars="-57" w:firstLine="527" w:firstLineChars="250"/>
        <w:rPr>
          <w:rFonts w:hAnsi="宋体"/>
          <w:b/>
          <w:bCs/>
          <w:highlight w:val="none"/>
          <w:u w:val="single"/>
          <w:lang w:val="en-GB"/>
        </w:rPr>
      </w:pPr>
      <w:r>
        <w:rPr>
          <w:rFonts w:hint="eastAsia" w:hAnsi="宋体"/>
          <w:b/>
          <w:bCs/>
          <w:highlight w:val="none"/>
          <w:u w:val="single"/>
        </w:rPr>
        <w:t>4.</w:t>
      </w:r>
      <w:r>
        <w:rPr>
          <w:rFonts w:hint="eastAsia" w:hAnsi="宋体"/>
          <w:b/>
          <w:bCs/>
          <w:highlight w:val="none"/>
          <w:u w:val="single"/>
          <w:lang w:val="en-GB"/>
        </w:rPr>
        <w:t>质疑书应当由法定代表人签字并加盖公章，公章不得以合同章或其他印章代替；</w:t>
      </w:r>
    </w:p>
    <w:p>
      <w:pPr>
        <w:pStyle w:val="13"/>
        <w:spacing w:line="360" w:lineRule="auto"/>
        <w:ind w:left="-120" w:leftChars="-57" w:firstLine="527" w:firstLineChars="250"/>
        <w:rPr>
          <w:rFonts w:hAnsi="宋体"/>
          <w:b/>
          <w:bCs/>
          <w:highlight w:val="none"/>
          <w:u w:val="single"/>
          <w:lang w:val="en-GB"/>
        </w:rPr>
      </w:pPr>
      <w:r>
        <w:rPr>
          <w:rFonts w:hint="eastAsia" w:hAnsi="宋体"/>
          <w:b/>
          <w:bCs/>
          <w:highlight w:val="none"/>
          <w:u w:val="single"/>
        </w:rPr>
        <w:t>5.</w:t>
      </w:r>
      <w:r>
        <w:rPr>
          <w:rFonts w:hint="eastAsia" w:hAnsi="宋体"/>
          <w:b/>
          <w:bCs/>
          <w:highlight w:val="none"/>
          <w:u w:val="single"/>
          <w:lang w:val="en-GB"/>
        </w:rPr>
        <w:t>质疑供应商可以委托代理人办理质疑事项，代理人办理质疑事项时，除提交质疑书外，还应当提交质疑供应商的授权委托书及代理人的有效身份证明，授权委托书应当载明委托代理的具体权限和事项。</w:t>
      </w:r>
    </w:p>
    <w:p>
      <w:pPr>
        <w:pStyle w:val="13"/>
        <w:spacing w:line="360" w:lineRule="auto"/>
        <w:ind w:left="-120" w:leftChars="-57" w:firstLine="527" w:firstLineChars="250"/>
        <w:rPr>
          <w:rFonts w:hAnsi="宋体"/>
          <w:b/>
          <w:bCs/>
          <w:highlight w:val="none"/>
          <w:u w:val="single"/>
          <w:lang w:val="en-GB"/>
        </w:rPr>
      </w:pPr>
      <w:r>
        <w:rPr>
          <w:rFonts w:hint="eastAsia" w:hAnsi="宋体"/>
          <w:b/>
          <w:bCs/>
          <w:highlight w:val="none"/>
          <w:u w:val="single"/>
          <w:lang w:val="en-GB"/>
        </w:rPr>
        <w:t>不按上述要求拟写的质疑函，</w:t>
      </w:r>
      <w:r>
        <w:rPr>
          <w:rFonts w:hint="eastAsia" w:hAnsi="宋体"/>
          <w:b/>
          <w:bCs/>
          <w:highlight w:val="none"/>
          <w:u w:val="single"/>
        </w:rPr>
        <w:t>采购人、采购代理机构</w:t>
      </w:r>
      <w:r>
        <w:rPr>
          <w:rFonts w:hint="eastAsia" w:hAnsi="宋体"/>
          <w:b/>
          <w:bCs/>
          <w:highlight w:val="none"/>
          <w:u w:val="single"/>
          <w:lang w:val="en-GB"/>
        </w:rPr>
        <w:t>将有可能不予受理。</w:t>
      </w: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spacing w:line="360" w:lineRule="auto"/>
        <w:jc w:val="center"/>
        <w:outlineLvl w:val="0"/>
        <w:rPr>
          <w:rFonts w:ascii="黑体" w:hAnsi="仿宋" w:eastAsia="黑体" w:cs="仿宋"/>
          <w:b/>
          <w:sz w:val="32"/>
          <w:szCs w:val="32"/>
          <w:highlight w:val="none"/>
          <w:lang w:val="en-GB"/>
        </w:rPr>
      </w:pPr>
      <w:bookmarkStart w:id="585" w:name="_Toc928"/>
      <w:r>
        <w:rPr>
          <w:rFonts w:hint="eastAsia" w:ascii="黑体" w:hAnsi="仿宋" w:eastAsia="黑体" w:cs="仿宋"/>
          <w:b/>
          <w:sz w:val="32"/>
          <w:szCs w:val="32"/>
          <w:highlight w:val="none"/>
          <w:lang w:val="en-GB"/>
        </w:rPr>
        <w:t>封袋正面标识式样</w:t>
      </w:r>
      <w:bookmarkEnd w:id="585"/>
    </w:p>
    <w:p>
      <w:pPr>
        <w:spacing w:line="360" w:lineRule="atLeast"/>
        <w:jc w:val="center"/>
        <w:rPr>
          <w:rFonts w:ascii="黑体" w:hAnsi="仿宋" w:eastAsia="黑体" w:cs="仿宋"/>
          <w:b/>
          <w:sz w:val="24"/>
          <w:highlight w:val="none"/>
          <w:lang w:val="en-GB"/>
        </w:rPr>
      </w:pPr>
    </w:p>
    <w:p>
      <w:pPr>
        <w:pStyle w:val="22"/>
        <w:adjustRightInd w:val="0"/>
        <w:snapToGrid w:val="0"/>
        <w:spacing w:before="0" w:beforeAutospacing="0" w:after="0" w:afterAutospacing="0" w:line="360" w:lineRule="auto"/>
        <w:ind w:firstLine="481"/>
        <w:jc w:val="both"/>
        <w:rPr>
          <w:b/>
          <w:bCs/>
          <w:color w:val="auto"/>
          <w:kern w:val="2"/>
          <w:highlight w:val="none"/>
        </w:rPr>
      </w:pPr>
      <w:r>
        <w:rPr>
          <w:rFonts w:hint="eastAsia"/>
          <w:b/>
          <w:bCs/>
          <w:color w:val="auto"/>
          <w:kern w:val="2"/>
          <w:highlight w:val="none"/>
        </w:rPr>
        <w:t>格式A：响应文件封袋正面标识式样</w:t>
      </w:r>
    </w:p>
    <w:p>
      <w:pPr>
        <w:pStyle w:val="22"/>
        <w:adjustRightInd w:val="0"/>
        <w:snapToGrid w:val="0"/>
        <w:spacing w:before="0" w:beforeAutospacing="0" w:after="0" w:afterAutospacing="0" w:line="360" w:lineRule="auto"/>
        <w:ind w:left="479" w:leftChars="228" w:firstLine="65" w:firstLineChars="27"/>
        <w:jc w:val="both"/>
        <w:rPr>
          <w:b/>
          <w:bCs/>
          <w:color w:val="auto"/>
          <w:kern w:val="2"/>
          <w:highlight w:val="none"/>
        </w:rPr>
      </w:pPr>
      <w:r>
        <w:rPr>
          <w:rFonts w:ascii="仿宋_GB2312" w:hAnsi="仿宋" w:eastAsia="仿宋_GB2312" w:cs="仿宋"/>
          <w:b/>
          <w:highlight w:val="none"/>
        </w:rPr>
        <mc:AlternateContent>
          <mc:Choice Requires="wps">
            <w:drawing>
              <wp:inline distT="0" distB="0" distL="114300" distR="114300">
                <wp:extent cx="5791200" cy="3524885"/>
                <wp:effectExtent l="4445" t="4445" r="14605" b="13970"/>
                <wp:docPr id="1" name="矩形 15"/>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陕西德勤招标有限公司</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响应文件（正本）</w:t>
                            </w:r>
                          </w:p>
                          <w:p>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pPr>
                              <w:widowControl/>
                              <w:tabs>
                                <w:tab w:val="left" w:pos="6300"/>
                              </w:tabs>
                              <w:snapToGrid w:val="0"/>
                              <w:spacing w:line="360" w:lineRule="auto"/>
                              <w:jc w:val="left"/>
                              <w:rPr>
                                <w:rFonts w:ascii="宋体" w:hAnsi="宋体"/>
                                <w:sz w:val="28"/>
                                <w:szCs w:val="28"/>
                              </w:rPr>
                            </w:pP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矩形 15"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Zbx11AAAAAUBAAAPAAAAAAAAAAEAIAAAACIAAABkcnMvZG93&#10;bnJldi54bWxQSwECFAAUAAAACACHTuJA8Ty4AwQCAAArBAAADgAAAAAAAAABACAAAAAjAQAAZHJz&#10;L2Uyb0RvYy54bWxQSwUGAAAAAAYABgBZAQAAmQUAAAAA&#10;">
                <v:fill on="t" focussize="0,0"/>
                <v:stroke color="#000000" joinstyle="miter"/>
                <v:imagedata o:title=""/>
                <o:lock v:ext="edit" aspectratio="f"/>
                <v:textbox>
                  <w:txbxContent>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陕西德勤招标有限公司</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响应文件（正本）</w:t>
                      </w:r>
                    </w:p>
                    <w:p>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pPr>
                        <w:widowControl/>
                        <w:tabs>
                          <w:tab w:val="left" w:pos="6300"/>
                        </w:tabs>
                        <w:snapToGrid w:val="0"/>
                        <w:spacing w:line="360" w:lineRule="auto"/>
                        <w:jc w:val="left"/>
                        <w:rPr>
                          <w:rFonts w:ascii="宋体" w:hAnsi="宋体"/>
                          <w:sz w:val="28"/>
                          <w:szCs w:val="28"/>
                        </w:rPr>
                      </w:pP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r>
        <w:rPr>
          <w:rFonts w:hint="eastAsia"/>
          <w:b/>
          <w:bCs/>
          <w:color w:val="auto"/>
          <w:kern w:val="2"/>
          <w:highlight w:val="none"/>
        </w:rPr>
        <w:t>格式B：响应文件封袋正面标识式样</w:t>
      </w:r>
    </w:p>
    <w:p>
      <w:pPr>
        <w:spacing w:line="360" w:lineRule="auto"/>
        <w:ind w:firstLine="482" w:firstLineChars="200"/>
        <w:rPr>
          <w:rFonts w:ascii="仿宋_GB2312" w:hAnsi="仿宋" w:eastAsia="仿宋_GB2312" w:cs="仿宋"/>
          <w:b/>
          <w:sz w:val="24"/>
          <w:highlight w:val="none"/>
        </w:rPr>
      </w:pPr>
      <w:r>
        <w:rPr>
          <w:rFonts w:ascii="仿宋_GB2312" w:hAnsi="仿宋" w:eastAsia="仿宋_GB2312" w:cs="仿宋"/>
          <w:b/>
          <w:sz w:val="24"/>
          <w:highlight w:val="none"/>
        </w:rPr>
        <mc:AlternateContent>
          <mc:Choice Requires="wps">
            <w:drawing>
              <wp:inline distT="0" distB="0" distL="114300" distR="114300">
                <wp:extent cx="5791200" cy="3524885"/>
                <wp:effectExtent l="4445" t="4445" r="14605" b="13970"/>
                <wp:docPr id="2" name="矩形 14"/>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陕西德勤招标有限公司</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响应文件（副本）</w:t>
                            </w:r>
                          </w:p>
                          <w:p>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pPr>
                              <w:widowControl/>
                              <w:tabs>
                                <w:tab w:val="left" w:pos="6300"/>
                              </w:tabs>
                              <w:snapToGrid w:val="0"/>
                              <w:spacing w:line="360" w:lineRule="auto"/>
                              <w:jc w:val="left"/>
                              <w:rPr>
                                <w:rFonts w:ascii="宋体" w:hAnsi="宋体"/>
                                <w:sz w:val="28"/>
                                <w:szCs w:val="28"/>
                              </w:rPr>
                            </w:pP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矩形 14"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2W8ddQAAAAFAQAADwAAAAAAAAABACAAAAAiAAAAZHJzL2Rvd25y&#10;ZXYueG1sUEsBAhQAFAAAAAgAh07iQEai+wICAgAAKwQAAA4AAAAAAAAAAQAgAAAAIwEAAGRycy9l&#10;Mm9Eb2MueG1sUEsFBgAAAAAGAAYAWQEAAJcFAAAAAA==&#10;">
                <v:fill on="t" focussize="0,0"/>
                <v:stroke color="#000000" joinstyle="miter"/>
                <v:imagedata o:title=""/>
                <o:lock v:ext="edit" aspectratio="f"/>
                <v:textbox>
                  <w:txbxContent>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陕西德勤招标有限公司</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响应文件（副本）</w:t>
                      </w:r>
                    </w:p>
                    <w:p>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pPr>
                        <w:widowControl/>
                        <w:tabs>
                          <w:tab w:val="left" w:pos="6300"/>
                        </w:tabs>
                        <w:snapToGrid w:val="0"/>
                        <w:spacing w:line="360" w:lineRule="auto"/>
                        <w:jc w:val="left"/>
                        <w:rPr>
                          <w:rFonts w:ascii="宋体" w:hAnsi="宋体"/>
                          <w:sz w:val="28"/>
                          <w:szCs w:val="28"/>
                        </w:rPr>
                      </w:pP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22"/>
        <w:adjustRightInd w:val="0"/>
        <w:snapToGrid w:val="0"/>
        <w:spacing w:before="0" w:beforeAutospacing="0" w:after="0" w:afterAutospacing="0" w:line="360" w:lineRule="auto"/>
        <w:ind w:firstLine="481"/>
        <w:jc w:val="both"/>
        <w:rPr>
          <w:b/>
          <w:bCs/>
          <w:color w:val="auto"/>
          <w:kern w:val="2"/>
          <w:highlight w:val="none"/>
        </w:rPr>
      </w:pPr>
    </w:p>
    <w:p>
      <w:pPr>
        <w:pStyle w:val="22"/>
        <w:adjustRightInd w:val="0"/>
        <w:snapToGrid w:val="0"/>
        <w:spacing w:before="0" w:beforeAutospacing="0" w:after="0" w:afterAutospacing="0" w:line="360" w:lineRule="auto"/>
        <w:ind w:firstLine="481"/>
        <w:jc w:val="both"/>
        <w:rPr>
          <w:b/>
          <w:bCs/>
          <w:color w:val="auto"/>
          <w:kern w:val="2"/>
          <w:highlight w:val="none"/>
        </w:rPr>
      </w:pPr>
    </w:p>
    <w:p>
      <w:pPr>
        <w:pStyle w:val="22"/>
        <w:adjustRightInd w:val="0"/>
        <w:snapToGrid w:val="0"/>
        <w:spacing w:before="0" w:beforeAutospacing="0" w:after="0" w:afterAutospacing="0" w:line="360" w:lineRule="auto"/>
        <w:ind w:firstLine="481"/>
        <w:jc w:val="both"/>
        <w:rPr>
          <w:b/>
          <w:bCs/>
          <w:color w:val="auto"/>
          <w:kern w:val="2"/>
          <w:highlight w:val="none"/>
        </w:rPr>
      </w:pPr>
      <w:r>
        <w:rPr>
          <w:rFonts w:hint="eastAsia"/>
          <w:b/>
          <w:bCs/>
          <w:color w:val="auto"/>
          <w:kern w:val="2"/>
          <w:highlight w:val="none"/>
        </w:rPr>
        <w:t>格式C：响应文件封袋正面标识式样</w:t>
      </w:r>
    </w:p>
    <w:p>
      <w:pPr>
        <w:spacing w:line="360" w:lineRule="auto"/>
        <w:ind w:firstLine="482" w:firstLineChars="200"/>
        <w:rPr>
          <w:rFonts w:ascii="仿宋_GB2312" w:hAnsi="仿宋" w:eastAsia="仿宋_GB2312" w:cs="仿宋"/>
          <w:b/>
          <w:sz w:val="24"/>
          <w:highlight w:val="none"/>
        </w:rPr>
      </w:pPr>
      <w:r>
        <w:rPr>
          <w:rFonts w:ascii="仿宋_GB2312" w:hAnsi="仿宋" w:eastAsia="仿宋_GB2312" w:cs="仿宋"/>
          <w:b/>
          <w:sz w:val="24"/>
          <w:highlight w:val="none"/>
        </w:rPr>
        <mc:AlternateContent>
          <mc:Choice Requires="wps">
            <w:drawing>
              <wp:inline distT="0" distB="0" distL="114300" distR="114300">
                <wp:extent cx="5791200" cy="3524885"/>
                <wp:effectExtent l="4445" t="4445" r="14605" b="13970"/>
                <wp:docPr id="3" name="文本框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陕西德勤招标有限公司</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pPr>
                              <w:widowControl/>
                              <w:tabs>
                                <w:tab w:val="left" w:pos="6300"/>
                              </w:tabs>
                              <w:snapToGrid w:val="0"/>
                              <w:spacing w:line="360" w:lineRule="auto"/>
                              <w:jc w:val="left"/>
                            </w:pPr>
                            <w:r>
                              <w:rPr>
                                <w:rFonts w:hint="eastAsia" w:ascii="宋体" w:hAnsi="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响应文件（电子版本）</w:t>
                            </w:r>
                          </w:p>
                          <w:p>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pPr>
                              <w:widowControl/>
                              <w:tabs>
                                <w:tab w:val="left" w:pos="6300"/>
                              </w:tabs>
                              <w:snapToGrid w:val="0"/>
                              <w:spacing w:line="360" w:lineRule="auto"/>
                              <w:jc w:val="left"/>
                              <w:rPr>
                                <w:rFonts w:ascii="宋体" w:hAnsi="宋体"/>
                                <w:sz w:val="28"/>
                                <w:szCs w:val="28"/>
                              </w:rPr>
                            </w:pP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2W8ddQAAAAFAQAADwAAAAAAAAABACAAAAAiAAAAZHJzL2Rv&#10;d25yZXYueG1sUEsBAhQAFAAAAAgAh07iQKrep6oFAgAALQQAAA4AAAAAAAAAAQAgAAAAIwEAAGRy&#10;cy9lMm9Eb2MueG1sUEsFBgAAAAAGAAYAWQEAAJoFAAAAAA==&#10;">
                <v:fill on="t" focussize="0,0"/>
                <v:stroke color="#000000" joinstyle="miter"/>
                <v:imagedata o:title=""/>
                <o:lock v:ext="edit" aspectratio="f"/>
                <v:textbox>
                  <w:txbxContent>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陕西德勤招标有限公司</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pPr>
                        <w:widowControl/>
                        <w:tabs>
                          <w:tab w:val="left" w:pos="6300"/>
                        </w:tabs>
                        <w:snapToGrid w:val="0"/>
                        <w:spacing w:line="360" w:lineRule="auto"/>
                        <w:jc w:val="left"/>
                      </w:pPr>
                      <w:r>
                        <w:rPr>
                          <w:rFonts w:hint="eastAsia" w:ascii="宋体" w:hAnsi="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响应文件（电子版本）</w:t>
                      </w:r>
                    </w:p>
                    <w:p>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pPr>
                        <w:widowControl/>
                        <w:tabs>
                          <w:tab w:val="left" w:pos="6300"/>
                        </w:tabs>
                        <w:snapToGrid w:val="0"/>
                        <w:spacing w:line="360" w:lineRule="auto"/>
                        <w:jc w:val="left"/>
                        <w:rPr>
                          <w:rFonts w:ascii="宋体" w:hAnsi="宋体"/>
                          <w:sz w:val="28"/>
                          <w:szCs w:val="28"/>
                        </w:rPr>
                      </w:pP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22"/>
        <w:adjustRightInd w:val="0"/>
        <w:snapToGrid w:val="0"/>
        <w:spacing w:before="0" w:beforeAutospacing="0" w:after="0" w:afterAutospacing="0" w:line="360" w:lineRule="auto"/>
        <w:ind w:left="479" w:leftChars="228" w:firstLine="65" w:firstLineChars="27"/>
        <w:jc w:val="both"/>
        <w:rPr>
          <w:b/>
          <w:bCs/>
          <w:color w:val="auto"/>
          <w:kern w:val="2"/>
          <w:highlight w:val="none"/>
        </w:rPr>
      </w:pPr>
      <w:bookmarkStart w:id="586" w:name="_Toc30521"/>
      <w:r>
        <w:rPr>
          <w:rFonts w:hint="eastAsia"/>
          <w:b/>
          <w:bCs/>
          <w:color w:val="auto"/>
          <w:kern w:val="2"/>
          <w:highlight w:val="none"/>
        </w:rPr>
        <w:t>格式D：首次报价一览表封袋正面标识式样</w:t>
      </w:r>
      <w:bookmarkEnd w:id="586"/>
    </w:p>
    <w:p>
      <w:pPr>
        <w:spacing w:line="360" w:lineRule="auto"/>
        <w:ind w:firstLine="482" w:firstLineChars="200"/>
        <w:rPr>
          <w:rFonts w:ascii="仿宋_GB2312" w:hAnsi="仿宋" w:eastAsia="仿宋_GB2312" w:cs="仿宋"/>
          <w:b/>
          <w:sz w:val="24"/>
          <w:highlight w:val="none"/>
        </w:rPr>
      </w:pPr>
      <w:r>
        <w:rPr>
          <w:rFonts w:ascii="仿宋_GB2312" w:hAnsi="仿宋" w:eastAsia="仿宋_GB2312" w:cs="仿宋"/>
          <w:b/>
          <w:sz w:val="24"/>
          <w:highlight w:val="none"/>
        </w:rPr>
        <mc:AlternateContent>
          <mc:Choice Requires="wps">
            <w:drawing>
              <wp:inline distT="0" distB="0" distL="114300" distR="114300">
                <wp:extent cx="5791200" cy="3541395"/>
                <wp:effectExtent l="4445" t="4445" r="14605" b="16510"/>
                <wp:docPr id="4" name="文本框 3"/>
                <wp:cNvGraphicFramePr/>
                <a:graphic xmlns:a="http://schemas.openxmlformats.org/drawingml/2006/main">
                  <a:graphicData uri="http://schemas.microsoft.com/office/word/2010/wordprocessingShape">
                    <wps:wsp>
                      <wps:cNvSpPr/>
                      <wps:spPr>
                        <a:xfrm>
                          <a:off x="0" y="0"/>
                          <a:ext cx="5791200" cy="3541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宋体" w:hAnsi="宋体"/>
                                <w:sz w:val="28"/>
                                <w:szCs w:val="28"/>
                              </w:rPr>
                            </w:pPr>
                            <w:r>
                              <w:rPr>
                                <w:rFonts w:hint="eastAsia" w:ascii="仿宋_GB2312" w:hAnsi="宋体" w:eastAsia="仿宋_GB2312"/>
                                <w:sz w:val="28"/>
                                <w:szCs w:val="28"/>
                              </w:rPr>
                              <w:t>致：</w:t>
                            </w:r>
                            <w:r>
                              <w:rPr>
                                <w:rFonts w:hint="eastAsia" w:ascii="宋体" w:hAnsi="宋体"/>
                                <w:b/>
                                <w:bCs/>
                                <w:sz w:val="28"/>
                                <w:szCs w:val="28"/>
                              </w:rPr>
                              <w:t>陕西德勤招标有限公司</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项目名称：</w:t>
                            </w:r>
                          </w:p>
                          <w:p>
                            <w:pPr>
                              <w:widowControl/>
                              <w:tabs>
                                <w:tab w:val="left" w:pos="6300"/>
                              </w:tabs>
                              <w:snapToGrid w:val="0"/>
                              <w:spacing w:line="360" w:lineRule="auto"/>
                              <w:jc w:val="left"/>
                            </w:pP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首次报价一览表</w:t>
                            </w:r>
                          </w:p>
                          <w:p>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pPr>
                              <w:rPr>
                                <w:rFonts w:ascii="仿宋" w:hAnsi="仿宋" w:eastAsia="仿宋" w:cs="仿宋"/>
                                <w:sz w:val="28"/>
                                <w:szCs w:val="28"/>
                              </w:rPr>
                            </w:pP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txbxContent>
                      </wps:txbx>
                      <wps:bodyPr upright="1"/>
                    </wps:wsp>
                  </a:graphicData>
                </a:graphic>
              </wp:inline>
            </w:drawing>
          </mc:Choice>
          <mc:Fallback>
            <w:pict>
              <v:rect id="文本框 3" o:spid="_x0000_s1026" o:spt="1" style="height:278.85pt;width:456pt;" fillcolor="#FFFFFF" filled="t" stroked="t" coordsize="21600,21600" o:gfxdata="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BiuItQAAAAFAQAADwAAAAAAAAABACAAAAAiAAAAZHJzL2Rv&#10;d25yZXYueG1sUEsBAhQAFAAAAAgAh07iQDuSyhsFAgAALQQAAA4AAAAAAAAAAQAgAAAAIwEAAGRy&#10;cy9lMm9Eb2MueG1sUEsFBgAAAAAGAAYAWQEAAJoFAAAAAA==&#10;">
                <v:fill on="t" focussize="0,0"/>
                <v:stroke color="#000000" joinstyle="miter"/>
                <v:imagedata o:title=""/>
                <o:lock v:ext="edit" aspectratio="f"/>
                <v:textbox>
                  <w:txbxContent>
                    <w:p>
                      <w:pPr>
                        <w:widowControl/>
                        <w:tabs>
                          <w:tab w:val="left" w:pos="6300"/>
                        </w:tabs>
                        <w:snapToGrid w:val="0"/>
                        <w:spacing w:line="360" w:lineRule="auto"/>
                        <w:jc w:val="left"/>
                        <w:rPr>
                          <w:rFonts w:ascii="宋体" w:hAnsi="宋体"/>
                          <w:sz w:val="28"/>
                          <w:szCs w:val="28"/>
                        </w:rPr>
                      </w:pPr>
                      <w:r>
                        <w:rPr>
                          <w:rFonts w:hint="eastAsia" w:ascii="仿宋_GB2312" w:hAnsi="宋体" w:eastAsia="仿宋_GB2312"/>
                          <w:sz w:val="28"/>
                          <w:szCs w:val="28"/>
                        </w:rPr>
                        <w:t>致：</w:t>
                      </w:r>
                      <w:r>
                        <w:rPr>
                          <w:rFonts w:hint="eastAsia" w:ascii="宋体" w:hAnsi="宋体"/>
                          <w:b/>
                          <w:bCs/>
                          <w:sz w:val="28"/>
                          <w:szCs w:val="28"/>
                        </w:rPr>
                        <w:t>陕西德勤招标有限公司</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项目名称：</w:t>
                      </w:r>
                    </w:p>
                    <w:p>
                      <w:pPr>
                        <w:widowControl/>
                        <w:tabs>
                          <w:tab w:val="left" w:pos="6300"/>
                        </w:tabs>
                        <w:snapToGrid w:val="0"/>
                        <w:spacing w:line="360" w:lineRule="auto"/>
                        <w:jc w:val="left"/>
                      </w:pP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首次报价一览表</w:t>
                      </w:r>
                    </w:p>
                    <w:p>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pPr>
                        <w:rPr>
                          <w:rFonts w:ascii="仿宋" w:hAnsi="仿宋" w:eastAsia="仿宋" w:cs="仿宋"/>
                          <w:sz w:val="28"/>
                          <w:szCs w:val="28"/>
                        </w:rPr>
                      </w:pP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txbxContent>
                </v:textbox>
                <w10:wrap type="none"/>
                <w10:anchorlock/>
              </v:rect>
            </w:pict>
          </mc:Fallback>
        </mc:AlternateContent>
      </w:r>
    </w:p>
    <w:p>
      <w:pPr>
        <w:spacing w:line="360" w:lineRule="auto"/>
        <w:ind w:firstLine="482" w:firstLineChars="200"/>
        <w:rPr>
          <w:rFonts w:ascii="仿宋_GB2312" w:hAnsi="仿宋" w:eastAsia="仿宋_GB2312" w:cs="仿宋"/>
          <w:b/>
          <w:sz w:val="24"/>
          <w:highlight w:val="none"/>
        </w:rPr>
      </w:pPr>
    </w:p>
    <w:p>
      <w:pPr>
        <w:pStyle w:val="22"/>
        <w:adjustRightInd w:val="0"/>
        <w:snapToGrid w:val="0"/>
        <w:spacing w:before="0" w:beforeAutospacing="0" w:after="0" w:afterAutospacing="0" w:line="360" w:lineRule="auto"/>
        <w:ind w:left="479" w:leftChars="228" w:firstLine="65" w:firstLineChars="27"/>
        <w:jc w:val="both"/>
        <w:rPr>
          <w:b/>
          <w:bCs/>
          <w:color w:val="auto"/>
          <w:kern w:val="2"/>
          <w:highlight w:val="none"/>
        </w:rPr>
      </w:pPr>
      <w:bookmarkStart w:id="587" w:name="_Toc7421"/>
    </w:p>
    <w:p>
      <w:pPr>
        <w:pStyle w:val="22"/>
        <w:adjustRightInd w:val="0"/>
        <w:snapToGrid w:val="0"/>
        <w:spacing w:before="0" w:beforeAutospacing="0" w:after="0" w:afterAutospacing="0" w:line="360" w:lineRule="auto"/>
        <w:ind w:left="479" w:leftChars="228" w:firstLine="65" w:firstLineChars="27"/>
        <w:jc w:val="both"/>
        <w:rPr>
          <w:b/>
          <w:bCs/>
          <w:color w:val="auto"/>
          <w:kern w:val="2"/>
          <w:highlight w:val="none"/>
        </w:rPr>
      </w:pPr>
    </w:p>
    <w:p>
      <w:pPr>
        <w:pStyle w:val="22"/>
        <w:adjustRightInd w:val="0"/>
        <w:snapToGrid w:val="0"/>
        <w:spacing w:before="0" w:beforeAutospacing="0" w:after="0" w:afterAutospacing="0" w:line="360" w:lineRule="auto"/>
        <w:ind w:left="479" w:leftChars="228" w:firstLine="65" w:firstLineChars="27"/>
        <w:jc w:val="both"/>
        <w:rPr>
          <w:b/>
          <w:bCs/>
          <w:color w:val="auto"/>
          <w:kern w:val="2"/>
          <w:highlight w:val="none"/>
        </w:rPr>
      </w:pPr>
    </w:p>
    <w:p>
      <w:pPr>
        <w:pStyle w:val="22"/>
        <w:adjustRightInd w:val="0"/>
        <w:snapToGrid w:val="0"/>
        <w:spacing w:before="0" w:beforeAutospacing="0" w:after="0" w:afterAutospacing="0" w:line="360" w:lineRule="auto"/>
        <w:ind w:left="479" w:leftChars="228" w:firstLine="65" w:firstLineChars="27"/>
        <w:jc w:val="both"/>
        <w:rPr>
          <w:b/>
          <w:bCs/>
          <w:color w:val="auto"/>
          <w:kern w:val="2"/>
          <w:highlight w:val="none"/>
        </w:rPr>
      </w:pPr>
      <w:r>
        <w:rPr>
          <w:rFonts w:hint="eastAsia"/>
          <w:b/>
          <w:bCs/>
          <w:color w:val="auto"/>
          <w:kern w:val="2"/>
          <w:highlight w:val="none"/>
        </w:rPr>
        <w:t>格式E：资格证明文件证明材料原件文件封袋正面标识式样</w:t>
      </w:r>
      <w:bookmarkEnd w:id="587"/>
    </w:p>
    <w:p>
      <w:pPr>
        <w:spacing w:line="360" w:lineRule="auto"/>
        <w:ind w:firstLine="482" w:firstLineChars="200"/>
        <w:rPr>
          <w:rFonts w:ascii="仿宋_GB2312" w:hAnsi="仿宋" w:eastAsia="仿宋_GB2312" w:cs="仿宋"/>
          <w:b/>
          <w:sz w:val="24"/>
          <w:highlight w:val="none"/>
        </w:rPr>
      </w:pPr>
      <w:r>
        <w:rPr>
          <w:rFonts w:ascii="仿宋_GB2312" w:hAnsi="仿宋" w:eastAsia="仿宋_GB2312" w:cs="仿宋"/>
          <w:b/>
          <w:sz w:val="24"/>
          <w:highlight w:val="none"/>
        </w:rPr>
        <mc:AlternateContent>
          <mc:Choice Requires="wps">
            <w:drawing>
              <wp:inline distT="0" distB="0" distL="114300" distR="114300">
                <wp:extent cx="5791200" cy="3524885"/>
                <wp:effectExtent l="4445" t="4445" r="14605" b="13970"/>
                <wp:docPr id="5" name="文本框 5"/>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陕西德勤招标有限公司</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资格证明文件证明材料原件</w:t>
                            </w:r>
                          </w:p>
                          <w:p>
                            <w:pPr>
                              <w:widowControl/>
                              <w:tabs>
                                <w:tab w:val="left" w:pos="6300"/>
                              </w:tabs>
                              <w:snapToGrid w:val="0"/>
                              <w:spacing w:line="360" w:lineRule="auto"/>
                              <w:jc w:val="left"/>
                              <w:rPr>
                                <w:rFonts w:ascii="仿宋_GB2312" w:hAnsi="宋体" w:eastAsia="仿宋_GB2312"/>
                                <w:sz w:val="28"/>
                                <w:szCs w:val="28"/>
                              </w:rPr>
                            </w:pPr>
                          </w:p>
                          <w:p>
                            <w:pPr>
                              <w:widowControl/>
                              <w:tabs>
                                <w:tab w:val="left" w:pos="6300"/>
                              </w:tabs>
                              <w:snapToGrid w:val="0"/>
                              <w:spacing w:line="360" w:lineRule="auto"/>
                              <w:jc w:val="left"/>
                              <w:rPr>
                                <w:rFonts w:ascii="仿宋_GB2312" w:hAnsi="宋体" w:eastAsia="仿宋_GB2312"/>
                                <w:sz w:val="28"/>
                                <w:szCs w:val="28"/>
                              </w:rPr>
                            </w:pP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5"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Zbx11AAAAAUBAAAPAAAAAAAAAAEAIAAAACIAAABkcnMv&#10;ZG93bnJldi54bWxQSwECFAAUAAAACACHTuJAq+GLjwcCAAAtBAAADgAAAAAAAAABACAAAAAjAQAA&#10;ZHJzL2Uyb0RvYy54bWxQSwUGAAAAAAYABgBZAQAAnAUAAAAA&#10;">
                <v:fill on="t" focussize="0,0"/>
                <v:stroke color="#000000" joinstyle="miter"/>
                <v:imagedata o:title=""/>
                <o:lock v:ext="edit" aspectratio="f"/>
                <v:textbox>
                  <w:txbxContent>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陕西德勤招标有限公司</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资格证明文件证明材料原件</w:t>
                      </w:r>
                    </w:p>
                    <w:p>
                      <w:pPr>
                        <w:widowControl/>
                        <w:tabs>
                          <w:tab w:val="left" w:pos="6300"/>
                        </w:tabs>
                        <w:snapToGrid w:val="0"/>
                        <w:spacing w:line="360" w:lineRule="auto"/>
                        <w:jc w:val="left"/>
                        <w:rPr>
                          <w:rFonts w:ascii="仿宋_GB2312" w:hAnsi="宋体" w:eastAsia="仿宋_GB2312"/>
                          <w:sz w:val="28"/>
                          <w:szCs w:val="28"/>
                        </w:rPr>
                      </w:pPr>
                    </w:p>
                    <w:p>
                      <w:pPr>
                        <w:widowControl/>
                        <w:tabs>
                          <w:tab w:val="left" w:pos="6300"/>
                        </w:tabs>
                        <w:snapToGrid w:val="0"/>
                        <w:spacing w:line="360" w:lineRule="auto"/>
                        <w:jc w:val="left"/>
                        <w:rPr>
                          <w:rFonts w:ascii="仿宋_GB2312" w:hAnsi="宋体" w:eastAsia="仿宋_GB2312"/>
                          <w:sz w:val="28"/>
                          <w:szCs w:val="28"/>
                        </w:rPr>
                      </w:pP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22"/>
        <w:adjustRightInd w:val="0"/>
        <w:snapToGrid w:val="0"/>
        <w:spacing w:before="0" w:beforeAutospacing="0" w:after="0" w:afterAutospacing="0" w:line="360" w:lineRule="auto"/>
        <w:ind w:left="479" w:leftChars="228" w:firstLine="65" w:firstLineChars="27"/>
        <w:jc w:val="both"/>
        <w:rPr>
          <w:b/>
          <w:bCs/>
          <w:color w:val="auto"/>
          <w:kern w:val="2"/>
          <w:highlight w:val="none"/>
        </w:rPr>
      </w:pPr>
      <w:bookmarkStart w:id="588" w:name="_Toc1342"/>
      <w:r>
        <w:rPr>
          <w:rFonts w:hint="eastAsia"/>
          <w:b/>
          <w:bCs/>
          <w:color w:val="auto"/>
          <w:kern w:val="2"/>
          <w:highlight w:val="none"/>
        </w:rPr>
        <w:t>格式F：评审证明材料文件封袋正面标识式样</w:t>
      </w:r>
      <w:bookmarkEnd w:id="588"/>
    </w:p>
    <w:p>
      <w:pPr>
        <w:spacing w:line="360" w:lineRule="auto"/>
        <w:ind w:firstLine="482" w:firstLineChars="200"/>
        <w:rPr>
          <w:rFonts w:ascii="仿宋_GB2312" w:hAnsi="仿宋" w:eastAsia="仿宋_GB2312" w:cs="仿宋"/>
          <w:b/>
          <w:sz w:val="24"/>
          <w:highlight w:val="none"/>
        </w:rPr>
        <w:sectPr>
          <w:pgSz w:w="11906" w:h="16838"/>
          <w:pgMar w:top="1440" w:right="1080" w:bottom="1440" w:left="1080" w:header="851" w:footer="992" w:gutter="0"/>
          <w:cols w:space="425" w:num="1"/>
          <w:docGrid w:type="lines" w:linePitch="312" w:charSpace="0"/>
        </w:sectPr>
      </w:pPr>
      <w:r>
        <w:rPr>
          <w:rFonts w:ascii="仿宋_GB2312" w:hAnsi="仿宋" w:eastAsia="仿宋_GB2312" w:cs="仿宋"/>
          <w:b/>
          <w:sz w:val="24"/>
          <w:highlight w:val="none"/>
        </w:rPr>
        <mc:AlternateContent>
          <mc:Choice Requires="wps">
            <w:drawing>
              <wp:inline distT="0" distB="0" distL="114300" distR="114300">
                <wp:extent cx="5791200" cy="3532505"/>
                <wp:effectExtent l="4445" t="4445" r="14605" b="6350"/>
                <wp:docPr id="6" name="文本框 6"/>
                <wp:cNvGraphicFramePr/>
                <a:graphic xmlns:a="http://schemas.openxmlformats.org/drawingml/2006/main">
                  <a:graphicData uri="http://schemas.microsoft.com/office/word/2010/wordprocessingShape">
                    <wps:wsp>
                      <wps:cNvSpPr/>
                      <wps:spPr>
                        <a:xfrm>
                          <a:off x="0" y="0"/>
                          <a:ext cx="5791200" cy="3532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陕西德勤招标有限公司</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项目名称：</w:t>
                            </w:r>
                          </w:p>
                          <w:p>
                            <w:pPr>
                              <w:widowControl/>
                              <w:tabs>
                                <w:tab w:val="left" w:pos="6300"/>
                              </w:tabs>
                              <w:snapToGrid w:val="0"/>
                              <w:spacing w:line="360" w:lineRule="auto"/>
                              <w:jc w:val="left"/>
                            </w:pP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评审证明材料</w:t>
                            </w:r>
                          </w:p>
                          <w:p>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pPr>
                              <w:widowControl/>
                              <w:tabs>
                                <w:tab w:val="left" w:pos="6300"/>
                              </w:tabs>
                              <w:snapToGrid w:val="0"/>
                              <w:spacing w:line="360" w:lineRule="auto"/>
                              <w:jc w:val="left"/>
                              <w:rPr>
                                <w:rFonts w:ascii="宋体" w:hAnsi="宋体"/>
                                <w:sz w:val="28"/>
                                <w:szCs w:val="28"/>
                              </w:rPr>
                            </w:pP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6" o:spid="_x0000_s1026" o:spt="1" style="height:278.15pt;width:456pt;" fillcolor="#FFFFFF" filled="t" stroked="t" coordsize="21600,21600" o:gfxdata="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C6hrtQAAAAFAQAADwAAAAAAAAABACAAAAAiAAAAZHJzL2Rv&#10;d25yZXYueG1sUEsBAhQAFAAAAAgAh07iQPZUWt8FAgAALQQAAA4AAAAAAAAAAQAgAAAAIwEAAGRy&#10;cy9lMm9Eb2MueG1sUEsFBgAAAAAGAAYAWQEAAJoFAAAAAA==&#10;">
                <v:fill on="t" focussize="0,0"/>
                <v:stroke color="#000000" joinstyle="miter"/>
                <v:imagedata o:title=""/>
                <o:lock v:ext="edit" aspectratio="f"/>
                <v:textbox>
                  <w:txbxContent>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致：</w:t>
                      </w:r>
                      <w:r>
                        <w:rPr>
                          <w:rFonts w:hint="eastAsia" w:ascii="宋体" w:hAnsi="宋体"/>
                          <w:b/>
                          <w:bCs/>
                          <w:sz w:val="28"/>
                          <w:szCs w:val="28"/>
                        </w:rPr>
                        <w:t>陕西德勤招标有限公司</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 xml:space="preserve">项目编号：                                        </w:t>
                      </w: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项目名称：</w:t>
                      </w:r>
                    </w:p>
                    <w:p>
                      <w:pPr>
                        <w:widowControl/>
                        <w:tabs>
                          <w:tab w:val="left" w:pos="6300"/>
                        </w:tabs>
                        <w:snapToGrid w:val="0"/>
                        <w:spacing w:line="360" w:lineRule="auto"/>
                        <w:jc w:val="left"/>
                      </w:pP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评审证明材料</w:t>
                      </w:r>
                    </w:p>
                    <w:p>
                      <w:pPr>
                        <w:widowControl/>
                        <w:tabs>
                          <w:tab w:val="left" w:pos="6300"/>
                        </w:tabs>
                        <w:snapToGrid w:val="0"/>
                        <w:spacing w:line="360" w:lineRule="auto"/>
                        <w:jc w:val="center"/>
                        <w:rPr>
                          <w:rFonts w:ascii="宋体" w:hAnsi="宋体"/>
                          <w:sz w:val="28"/>
                          <w:szCs w:val="28"/>
                        </w:rPr>
                      </w:pPr>
                      <w:r>
                        <w:rPr>
                          <w:rFonts w:hint="eastAsia" w:ascii="宋体" w:hAnsi="宋体"/>
                          <w:sz w:val="28"/>
                          <w:szCs w:val="28"/>
                        </w:rPr>
                        <w:t>（非磋商会议不得启封）</w:t>
                      </w:r>
                    </w:p>
                    <w:p>
                      <w:pPr>
                        <w:widowControl/>
                        <w:tabs>
                          <w:tab w:val="left" w:pos="6300"/>
                        </w:tabs>
                        <w:snapToGrid w:val="0"/>
                        <w:spacing w:line="360" w:lineRule="auto"/>
                        <w:jc w:val="left"/>
                        <w:rPr>
                          <w:rFonts w:ascii="宋体" w:hAnsi="宋体"/>
                          <w:sz w:val="28"/>
                          <w:szCs w:val="28"/>
                        </w:rPr>
                      </w:pPr>
                    </w:p>
                    <w:p>
                      <w:pPr>
                        <w:widowControl/>
                        <w:tabs>
                          <w:tab w:val="left" w:pos="6300"/>
                        </w:tabs>
                        <w:snapToGrid w:val="0"/>
                        <w:spacing w:line="360" w:lineRule="auto"/>
                        <w:jc w:val="left"/>
                        <w:rPr>
                          <w:rFonts w:ascii="宋体" w:hAnsi="宋体"/>
                          <w:sz w:val="28"/>
                          <w:szCs w:val="28"/>
                        </w:rPr>
                      </w:pPr>
                      <w:r>
                        <w:rPr>
                          <w:rFonts w:hint="eastAsia" w:ascii="宋体" w:hAnsi="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11"/>
        <w:rPr>
          <w:highlight w:val="none"/>
        </w:rPr>
      </w:pPr>
    </w:p>
    <w:sectPr>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BatangChe">
    <w:altName w:val="Malgun Gothic"/>
    <w:panose1 w:val="02030609000101010101"/>
    <w:charset w:val="81"/>
    <w:family w:val="modern"/>
    <w:pitch w:val="default"/>
    <w:sig w:usb0="00000000" w:usb1="00000000" w:usb2="00000030" w:usb3="00000000" w:csb0="0008009F" w:csb1="00000000"/>
  </w:font>
  <w:font w:name="??_GB2312">
    <w:altName w:val="Times New Roman"/>
    <w:panose1 w:val="00000000000000000000"/>
    <w:charset w:val="00"/>
    <w:family w:val="auto"/>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1"/>
      </w:pBdr>
      <w:jc w:val="left"/>
      <w:rPr>
        <w:rFonts w:ascii="黑体" w:hAnsi="黑体" w:eastAsia="黑体" w:cs="黑体"/>
      </w:rPr>
    </w:pPr>
    <w:r>
      <mc:AlternateContent>
        <mc:Choice Requires="wps">
          <w:drawing>
            <wp:anchor distT="0" distB="0" distL="114300" distR="114300" simplePos="0" relativeHeight="251660288" behindDoc="0" locked="0" layoutInCell="1" allowOverlap="1">
              <wp:simplePos x="0" y="0"/>
              <wp:positionH relativeFrom="margin">
                <wp:posOffset>2515235</wp:posOffset>
              </wp:positionH>
              <wp:positionV relativeFrom="paragraph">
                <wp:posOffset>0</wp:posOffset>
              </wp:positionV>
              <wp:extent cx="1118235" cy="296545"/>
              <wp:effectExtent l="0" t="0" r="0" b="0"/>
              <wp:wrapNone/>
              <wp:docPr id="9" name="文本框 4"/>
              <wp:cNvGraphicFramePr/>
              <a:graphic xmlns:a="http://schemas.openxmlformats.org/drawingml/2006/main">
                <a:graphicData uri="http://schemas.microsoft.com/office/word/2010/wordprocessingShape">
                  <wps:wsp>
                    <wps:cNvSpPr txBox="1"/>
                    <wps:spPr>
                      <a:xfrm>
                        <a:off x="0" y="0"/>
                        <a:ext cx="1118235" cy="29654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96</w:t>
                          </w:r>
                          <w:r>
                            <w:rPr>
                              <w:sz w:val="18"/>
                            </w:rPr>
                            <w:fldChar w:fldCharType="end"/>
                          </w:r>
                          <w:r>
                            <w:rPr>
                              <w:rFonts w:hint="eastAsia"/>
                              <w:sz w:val="18"/>
                            </w:rPr>
                            <w:t xml:space="preserve"> 页</w:t>
                          </w:r>
                        </w:p>
                      </w:txbxContent>
                    </wps:txbx>
                    <wps:bodyPr lIns="0" tIns="0" rIns="0" bIns="0" upright="1"/>
                  </wps:wsp>
                </a:graphicData>
              </a:graphic>
            </wp:anchor>
          </w:drawing>
        </mc:Choice>
        <mc:Fallback>
          <w:pict>
            <v:shape id="文本框 4" o:spid="_x0000_s1026" o:spt="202" type="#_x0000_t202" style="position:absolute;left:0pt;margin-left:198.05pt;margin-top:0pt;height:23.35pt;width:88.05pt;mso-position-horizontal-relative:margin;z-index:251660288;mso-width-relative:page;mso-height-relative:page;" filled="f" stroked="f" coordsize="21600,21600" o:gfxdata="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uTVnDXAAAABwEAAA8AAAAAAAAAAQAgAAAAIgAAAGRycy9kb3ducmV2LnhtbFBLAQIU&#10;ABQAAAAIAIdO4kAJFksKuwEAAHIDAAAOAAAAAAAAAAEAIAAAACYBAABkcnMvZTJvRG9jLnhtbFBL&#10;BQYAAAAABgAGAFkBAABTBQ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96</w:t>
                    </w:r>
                    <w:r>
                      <w:rPr>
                        <w:sz w:val="18"/>
                      </w:rPr>
                      <w:fldChar w:fldCharType="end"/>
                    </w:r>
                    <w:r>
                      <w:rPr>
                        <w:rFonts w:hint="eastAsia"/>
                        <w:sz w:val="18"/>
                      </w:rPr>
                      <w:t xml:space="preserve"> 页</w:t>
                    </w:r>
                  </w:p>
                </w:txbxContent>
              </v:textbox>
            </v:shape>
          </w:pict>
        </mc:Fallback>
      </mc:AlternateContent>
    </w:r>
    <w:r>
      <w:rPr>
        <w:rFonts w:hint="eastAsia" w:ascii="黑体" w:hAnsi="黑体" w:eastAsia="黑体" w:cs="黑体"/>
      </w:rPr>
      <w:t>陕西德勤招标有限公司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1"/>
      </w:pBdr>
      <w:jc w:val="left"/>
      <w:rPr>
        <w:rFonts w:ascii="黑体" w:hAnsi="黑体" w:eastAsia="黑体" w:cs="黑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95045"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995045"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96</w:t>
                          </w:r>
                          <w:r>
                            <w:rPr>
                              <w:sz w:val="18"/>
                            </w:rPr>
                            <w:fldChar w:fldCharType="end"/>
                          </w:r>
                          <w:r>
                            <w:rPr>
                              <w:rFonts w:hint="eastAsia"/>
                              <w:sz w:val="18"/>
                            </w:rPr>
                            <w:t xml:space="preserve"> 页</w:t>
                          </w:r>
                        </w:p>
                      </w:txbxContent>
                    </wps:txbx>
                    <wps:bodyPr lIns="0" tIns="0" rIns="0" bIns="0" upright="1">
                      <a:spAutoFit/>
                    </wps:bodyPr>
                  </wps:wsp>
                </a:graphicData>
              </a:graphic>
            </wp:anchor>
          </w:drawing>
        </mc:Choice>
        <mc:Fallback>
          <w:pict>
            <v:shape id="文本框 1" o:spid="_x0000_s1026" o:spt="202" type="#_x0000_t202" style="position:absolute;left:0pt;margin-top:0pt;height:144pt;width:78.35pt;mso-position-horizontal:center;mso-position-horizontal-relative:margin;z-index:251661312;mso-width-relative:page;mso-height-relative:page;" filled="f" stroked="f" coordsize="21600,21600" o:gfxdata="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3mDLNMAAAAFAQAADwAAAAAAAAABACAAAAAiAAAAZHJzL2Rvd25yZXYu&#10;eG1sUEsBAhQAFAAAAAgAh07iQGCwUDfHAQAAjQMAAA4AAAAAAAAAAQAgAAAAI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96</w:t>
                    </w:r>
                    <w:r>
                      <w:rPr>
                        <w:sz w:val="18"/>
                      </w:rPr>
                      <w:fldChar w:fldCharType="end"/>
                    </w:r>
                    <w:r>
                      <w:rPr>
                        <w:rFonts w:hint="eastAsia"/>
                        <w:sz w:val="18"/>
                      </w:rPr>
                      <w:t xml:space="preserve"> 页</w:t>
                    </w:r>
                  </w:p>
                </w:txbxContent>
              </v:textbox>
            </v:shape>
          </w:pict>
        </mc:Fallback>
      </mc:AlternateContent>
    </w:r>
    <w:r>
      <w:rPr>
        <w:rFonts w:hint="eastAsia" w:ascii="黑体" w:hAnsi="黑体" w:eastAsia="黑体" w:cs="黑体"/>
      </w:rPr>
      <w:t>陕西德勤招标有限公司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1"/>
      </w:pBdr>
      <w:jc w:val="left"/>
      <w:rPr>
        <w:rFonts w:ascii="黑体" w:hAnsi="黑体" w:eastAsia="黑体" w:cs="黑体"/>
      </w:rPr>
    </w:pPr>
    <w:r>
      <w:rPr>
        <w:rFonts w:hint="eastAsia" w:ascii="黑体" w:hAnsi="黑体" w:eastAsia="黑体" w:cs="黑体"/>
      </w:rPr>
      <w:t>陕西省生态环境视频遥感信息能力建设项目竞争性磋商文件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abstractNum w:abstractNumId="1">
    <w:nsid w:val="479B5BBA"/>
    <w:multiLevelType w:val="multilevel"/>
    <w:tmpl w:val="479B5BBA"/>
    <w:lvl w:ilvl="0" w:tentative="0">
      <w:start w:val="1"/>
      <w:numFmt w:val="decimal"/>
      <w:lvlText w:val="%1"/>
      <w:lvlJc w:val="left"/>
      <w:pPr>
        <w:ind w:left="0" w:firstLine="0"/>
      </w:pPr>
      <w:rPr>
        <w:rFonts w:hint="eastAsia" w:ascii="黑体" w:hAnsi="黑体" w:eastAsia="黑体"/>
        <w:b w:val="0"/>
        <w:bCs w:val="0"/>
        <w:i w:val="0"/>
        <w:iCs w:val="0"/>
        <w:caps w:val="0"/>
        <w:smallCaps w:val="0"/>
        <w:strike w:val="0"/>
        <w:dstrike w:val="0"/>
        <w:vanish w:val="0"/>
        <w:spacing w:val="0"/>
        <w:position w:val="0"/>
        <w:sz w:val="44"/>
        <w:szCs w:val="36"/>
        <w:u w:val="none"/>
        <w:vertAlign w:val="baseline"/>
      </w:rPr>
    </w:lvl>
    <w:lvl w:ilvl="1" w:tentative="0">
      <w:start w:val="1"/>
      <w:numFmt w:val="decimal"/>
      <w:isLgl/>
      <w:suff w:val="space"/>
      <w:lvlText w:val="%1.%2"/>
      <w:lvlJc w:val="left"/>
      <w:pPr>
        <w:ind w:left="0" w:firstLine="0"/>
      </w:pPr>
      <w:rPr>
        <w:rFonts w:hint="eastAsia" w:ascii="黑体" w:hAnsi="黑体" w:eastAsia="黑体" w:cs="Times New Roman"/>
        <w:b w:val="0"/>
        <w:bCs w:val="0"/>
        <w:i w:val="0"/>
        <w:iCs w:val="0"/>
        <w:caps w:val="0"/>
        <w:smallCaps w:val="0"/>
        <w:strike w:val="0"/>
        <w:dstrike w:val="0"/>
        <w:vanish w:val="0"/>
        <w:color w:val="auto"/>
        <w:spacing w:val="0"/>
        <w:w w:val="100"/>
        <w:kern w:val="2"/>
        <w:position w:val="0"/>
        <w:sz w:val="36"/>
        <w:u w:val="none"/>
        <w:shd w:val="clear" w:color="auto" w:fill="auto"/>
        <w:vertAlign w:val="baseline"/>
        <w:lang w:val="en-US"/>
      </w:rPr>
    </w:lvl>
    <w:lvl w:ilvl="2" w:tentative="0">
      <w:start w:val="1"/>
      <w:numFmt w:val="decimal"/>
      <w:isLgl/>
      <w:suff w:val="space"/>
      <w:lvlText w:val="%1.%2.%3"/>
      <w:lvlJc w:val="left"/>
      <w:pPr>
        <w:ind w:left="0" w:firstLine="0"/>
      </w:pPr>
      <w:rPr>
        <w:b w:val="0"/>
        <w:bCs w:val="0"/>
        <w:i w:val="0"/>
        <w:iCs w:val="0"/>
        <w:caps w:val="0"/>
        <w:smallCaps w:val="0"/>
        <w:strike w:val="0"/>
        <w:dstrike w:val="0"/>
        <w:vanish w:val="0"/>
        <w:spacing w:val="0"/>
        <w:position w:val="0"/>
        <w:u w:val="none"/>
        <w:vertAlign w:val="baseline"/>
      </w:rPr>
    </w:lvl>
    <w:lvl w:ilvl="3" w:tentative="0">
      <w:start w:val="1"/>
      <w:numFmt w:val="decimal"/>
      <w:isLgl/>
      <w:suff w:val="space"/>
      <w:lvlText w:val="%1.%2.%3.%4"/>
      <w:lvlJc w:val="left"/>
      <w:pPr>
        <w:ind w:left="0" w:firstLine="0"/>
      </w:pPr>
      <w:rPr>
        <w:rFonts w:hint="default" w:ascii="黑体" w:hAnsi="黑体" w:eastAsia="黑体"/>
        <w:b w:val="0"/>
        <w:i w:val="0"/>
        <w:sz w:val="30"/>
        <w:lang w:val="zh-CN"/>
      </w:rPr>
    </w:lvl>
    <w:lvl w:ilvl="4" w:tentative="0">
      <w:start w:val="1"/>
      <w:numFmt w:val="decimal"/>
      <w:pStyle w:val="6"/>
      <w:isLgl/>
      <w:suff w:val="space"/>
      <w:lvlText w:val="%1.%2.%3.%4.%5"/>
      <w:lvlJc w:val="left"/>
      <w:pPr>
        <w:ind w:left="0" w:firstLine="0"/>
      </w:pPr>
      <w:rPr>
        <w:rFonts w:hint="default" w:ascii="黑体" w:hAnsi="黑体"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rFonts w:hint="eastAsia"/>
        <w:b w:val="0"/>
        <w:bCs w:val="0"/>
        <w:i w:val="0"/>
        <w:iCs w:val="0"/>
        <w:caps w:val="0"/>
        <w:smallCaps w:val="0"/>
        <w:strike w:val="0"/>
        <w:dstrike w:val="0"/>
        <w:vanish w:val="0"/>
        <w:spacing w:val="0"/>
        <w:position w:val="0"/>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OTBhMTNkZjg4OGNjZWQ4NzRiZmY0MTQ0ZjUwZDkifQ=="/>
  </w:docVars>
  <w:rsids>
    <w:rsidRoot w:val="529678D5"/>
    <w:rsid w:val="002A4CDB"/>
    <w:rsid w:val="00550EC6"/>
    <w:rsid w:val="005979ED"/>
    <w:rsid w:val="005C318C"/>
    <w:rsid w:val="0060727A"/>
    <w:rsid w:val="006777AC"/>
    <w:rsid w:val="00970ADC"/>
    <w:rsid w:val="009F4465"/>
    <w:rsid w:val="009F655E"/>
    <w:rsid w:val="00A307F2"/>
    <w:rsid w:val="00A55ADB"/>
    <w:rsid w:val="00A76D32"/>
    <w:rsid w:val="00AA26C9"/>
    <w:rsid w:val="00CB3C2D"/>
    <w:rsid w:val="00DF129E"/>
    <w:rsid w:val="00ED4562"/>
    <w:rsid w:val="01392227"/>
    <w:rsid w:val="01E36F83"/>
    <w:rsid w:val="024C78F9"/>
    <w:rsid w:val="028445EC"/>
    <w:rsid w:val="03534455"/>
    <w:rsid w:val="0375430C"/>
    <w:rsid w:val="03CE3EC1"/>
    <w:rsid w:val="03EE0A1C"/>
    <w:rsid w:val="06861187"/>
    <w:rsid w:val="068D5C4C"/>
    <w:rsid w:val="071977CA"/>
    <w:rsid w:val="07743DDC"/>
    <w:rsid w:val="08285411"/>
    <w:rsid w:val="09660AAA"/>
    <w:rsid w:val="09AB18D7"/>
    <w:rsid w:val="09CE4698"/>
    <w:rsid w:val="0A3B3B14"/>
    <w:rsid w:val="0BF34A5F"/>
    <w:rsid w:val="0C3342E6"/>
    <w:rsid w:val="0C8C4370"/>
    <w:rsid w:val="0CA4781F"/>
    <w:rsid w:val="0DC75605"/>
    <w:rsid w:val="0DEA2616"/>
    <w:rsid w:val="0E2D6EE3"/>
    <w:rsid w:val="0E5B539D"/>
    <w:rsid w:val="0EA35FE3"/>
    <w:rsid w:val="0F272618"/>
    <w:rsid w:val="0F8C6A7D"/>
    <w:rsid w:val="0F9D3A55"/>
    <w:rsid w:val="0FA15454"/>
    <w:rsid w:val="0FB8097A"/>
    <w:rsid w:val="0FE87B2E"/>
    <w:rsid w:val="100F64D3"/>
    <w:rsid w:val="118B62E2"/>
    <w:rsid w:val="119E5C63"/>
    <w:rsid w:val="11A445D7"/>
    <w:rsid w:val="11E76F04"/>
    <w:rsid w:val="127021BC"/>
    <w:rsid w:val="12FE6DF1"/>
    <w:rsid w:val="13705C7A"/>
    <w:rsid w:val="1408553C"/>
    <w:rsid w:val="140F22EF"/>
    <w:rsid w:val="14B1213B"/>
    <w:rsid w:val="14E34033"/>
    <w:rsid w:val="156E6238"/>
    <w:rsid w:val="16CF452D"/>
    <w:rsid w:val="182E7EE5"/>
    <w:rsid w:val="18C654B9"/>
    <w:rsid w:val="1A0A54AD"/>
    <w:rsid w:val="1B942062"/>
    <w:rsid w:val="1BA4249C"/>
    <w:rsid w:val="1C1E42AE"/>
    <w:rsid w:val="1CB81654"/>
    <w:rsid w:val="1E881677"/>
    <w:rsid w:val="1FCF6183"/>
    <w:rsid w:val="1FFD299A"/>
    <w:rsid w:val="20375807"/>
    <w:rsid w:val="20B93D39"/>
    <w:rsid w:val="21793E62"/>
    <w:rsid w:val="217D3465"/>
    <w:rsid w:val="227916F9"/>
    <w:rsid w:val="228826BC"/>
    <w:rsid w:val="23AF3EE9"/>
    <w:rsid w:val="241218F0"/>
    <w:rsid w:val="24D26BA3"/>
    <w:rsid w:val="260823CB"/>
    <w:rsid w:val="265D28C0"/>
    <w:rsid w:val="267D04DC"/>
    <w:rsid w:val="26C45CE5"/>
    <w:rsid w:val="27BA32C8"/>
    <w:rsid w:val="28820782"/>
    <w:rsid w:val="288F427A"/>
    <w:rsid w:val="28BE6FEB"/>
    <w:rsid w:val="28D42BF9"/>
    <w:rsid w:val="28F316C1"/>
    <w:rsid w:val="28FA4E70"/>
    <w:rsid w:val="291C346A"/>
    <w:rsid w:val="291E73BB"/>
    <w:rsid w:val="29260D2C"/>
    <w:rsid w:val="29CE5A60"/>
    <w:rsid w:val="2ADE10A4"/>
    <w:rsid w:val="2B5B79A3"/>
    <w:rsid w:val="2CAD3373"/>
    <w:rsid w:val="2D213381"/>
    <w:rsid w:val="2E3C7C90"/>
    <w:rsid w:val="3011734D"/>
    <w:rsid w:val="31AD282D"/>
    <w:rsid w:val="320A1909"/>
    <w:rsid w:val="323B7BCC"/>
    <w:rsid w:val="32425283"/>
    <w:rsid w:val="33B277B5"/>
    <w:rsid w:val="344477C7"/>
    <w:rsid w:val="34624D8C"/>
    <w:rsid w:val="34854DFA"/>
    <w:rsid w:val="34F474AA"/>
    <w:rsid w:val="353E6D29"/>
    <w:rsid w:val="359E1D04"/>
    <w:rsid w:val="37207864"/>
    <w:rsid w:val="37685DEA"/>
    <w:rsid w:val="37F63E0A"/>
    <w:rsid w:val="3A1952FA"/>
    <w:rsid w:val="3A19684F"/>
    <w:rsid w:val="3A4E260F"/>
    <w:rsid w:val="3A5656CD"/>
    <w:rsid w:val="3A607983"/>
    <w:rsid w:val="3AAA1E04"/>
    <w:rsid w:val="3C161516"/>
    <w:rsid w:val="3E4D3884"/>
    <w:rsid w:val="3F250382"/>
    <w:rsid w:val="41102C51"/>
    <w:rsid w:val="41E80B45"/>
    <w:rsid w:val="425D05EC"/>
    <w:rsid w:val="42C00539"/>
    <w:rsid w:val="447D6872"/>
    <w:rsid w:val="45014C2B"/>
    <w:rsid w:val="456654AD"/>
    <w:rsid w:val="45E12F90"/>
    <w:rsid w:val="46F522D3"/>
    <w:rsid w:val="47AC1E96"/>
    <w:rsid w:val="49A83EA5"/>
    <w:rsid w:val="49E35703"/>
    <w:rsid w:val="4C963723"/>
    <w:rsid w:val="4DC24777"/>
    <w:rsid w:val="4DC85289"/>
    <w:rsid w:val="4DFF0278"/>
    <w:rsid w:val="4EA93FFC"/>
    <w:rsid w:val="4EDC589A"/>
    <w:rsid w:val="4F015476"/>
    <w:rsid w:val="4FAD0170"/>
    <w:rsid w:val="4FB915A4"/>
    <w:rsid w:val="5037643E"/>
    <w:rsid w:val="5061609B"/>
    <w:rsid w:val="511B583B"/>
    <w:rsid w:val="5166489C"/>
    <w:rsid w:val="51981FA8"/>
    <w:rsid w:val="52843C1A"/>
    <w:rsid w:val="529678D5"/>
    <w:rsid w:val="52C8367B"/>
    <w:rsid w:val="52E27482"/>
    <w:rsid w:val="53355980"/>
    <w:rsid w:val="533E0AE0"/>
    <w:rsid w:val="544F298E"/>
    <w:rsid w:val="546B4EB8"/>
    <w:rsid w:val="55512FB6"/>
    <w:rsid w:val="55B57FCA"/>
    <w:rsid w:val="55C228D8"/>
    <w:rsid w:val="56AE003B"/>
    <w:rsid w:val="56CD45A9"/>
    <w:rsid w:val="58585849"/>
    <w:rsid w:val="586A76A9"/>
    <w:rsid w:val="58AE00FF"/>
    <w:rsid w:val="58D63144"/>
    <w:rsid w:val="58F00A48"/>
    <w:rsid w:val="5A2636E6"/>
    <w:rsid w:val="5A554CDC"/>
    <w:rsid w:val="5A791FD7"/>
    <w:rsid w:val="5C1D4723"/>
    <w:rsid w:val="5F7F7431"/>
    <w:rsid w:val="617A528A"/>
    <w:rsid w:val="617C2A61"/>
    <w:rsid w:val="635F0DF7"/>
    <w:rsid w:val="63D454B4"/>
    <w:rsid w:val="63DB3916"/>
    <w:rsid w:val="65461FD1"/>
    <w:rsid w:val="667173B8"/>
    <w:rsid w:val="671244F9"/>
    <w:rsid w:val="67F82970"/>
    <w:rsid w:val="68035B34"/>
    <w:rsid w:val="688370ED"/>
    <w:rsid w:val="6A855EEE"/>
    <w:rsid w:val="6AB8445C"/>
    <w:rsid w:val="6ADE2CC8"/>
    <w:rsid w:val="6AE94E76"/>
    <w:rsid w:val="6D2D6E53"/>
    <w:rsid w:val="6D582D10"/>
    <w:rsid w:val="6EFB6535"/>
    <w:rsid w:val="6FA1557F"/>
    <w:rsid w:val="6FBB308A"/>
    <w:rsid w:val="6FF4023B"/>
    <w:rsid w:val="6FFC691F"/>
    <w:rsid w:val="70737E30"/>
    <w:rsid w:val="70905CC7"/>
    <w:rsid w:val="70E02425"/>
    <w:rsid w:val="70F20B74"/>
    <w:rsid w:val="71CD3369"/>
    <w:rsid w:val="72A84721"/>
    <w:rsid w:val="73CE5F00"/>
    <w:rsid w:val="747807AC"/>
    <w:rsid w:val="756F71F3"/>
    <w:rsid w:val="75D30C43"/>
    <w:rsid w:val="76554A32"/>
    <w:rsid w:val="76B851FC"/>
    <w:rsid w:val="795D3FA6"/>
    <w:rsid w:val="79DD7FF0"/>
    <w:rsid w:val="7A7A2B2D"/>
    <w:rsid w:val="7A7A343F"/>
    <w:rsid w:val="7AFD7441"/>
    <w:rsid w:val="7CD945F1"/>
    <w:rsid w:val="7DB0367D"/>
    <w:rsid w:val="7E334068"/>
    <w:rsid w:val="7E8471DF"/>
    <w:rsid w:val="7F2F2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kern w:val="44"/>
      <w:sz w:val="30"/>
      <w:szCs w:val="44"/>
    </w:rPr>
  </w:style>
  <w:style w:type="paragraph" w:styleId="4">
    <w:name w:val="heading 2"/>
    <w:basedOn w:val="1"/>
    <w:next w:val="1"/>
    <w:semiHidden/>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after="260" w:line="412" w:lineRule="auto"/>
      <w:outlineLvl w:val="2"/>
    </w:pPr>
    <w:rPr>
      <w:b/>
      <w:sz w:val="32"/>
    </w:rPr>
  </w:style>
  <w:style w:type="paragraph" w:styleId="2">
    <w:name w:val="heading 4"/>
    <w:basedOn w:val="1"/>
    <w:next w:val="1"/>
    <w:qFormat/>
    <w:uiPriority w:val="99"/>
    <w:pPr>
      <w:keepNext/>
      <w:keepLines/>
      <w:spacing w:before="280" w:after="290" w:line="374" w:lineRule="auto"/>
      <w:outlineLvl w:val="3"/>
    </w:pPr>
    <w:rPr>
      <w:rFonts w:ascii="Cambria" w:hAnsi="Cambria" w:cs="Times New Roman"/>
      <w:b/>
      <w:bCs/>
      <w:kern w:val="0"/>
      <w:sz w:val="28"/>
      <w:szCs w:val="28"/>
    </w:rPr>
  </w:style>
  <w:style w:type="paragraph" w:styleId="6">
    <w:name w:val="heading 5"/>
    <w:basedOn w:val="1"/>
    <w:next w:val="1"/>
    <w:qFormat/>
    <w:uiPriority w:val="9"/>
    <w:pPr>
      <w:keepNext/>
      <w:keepLines/>
      <w:numPr>
        <w:ilvl w:val="4"/>
        <w:numId w:val="1"/>
      </w:numPr>
      <w:snapToGrid w:val="0"/>
      <w:jc w:val="left"/>
      <w:outlineLvl w:val="4"/>
    </w:pPr>
    <w:rPr>
      <w:rFonts w:eastAsia="黑体"/>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200" w:firstLineChars="200"/>
    </w:pPr>
  </w:style>
  <w:style w:type="paragraph" w:styleId="8">
    <w:name w:val="caption"/>
    <w:basedOn w:val="1"/>
    <w:next w:val="1"/>
    <w:link w:val="41"/>
    <w:unhideWhenUsed/>
    <w:qFormat/>
    <w:uiPriority w:val="0"/>
    <w:pPr>
      <w:jc w:val="center"/>
    </w:p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ascii="Times New Roman" w:hAnsi="Times New Roman"/>
      <w:sz w:val="16"/>
      <w:szCs w:val="16"/>
    </w:rPr>
  </w:style>
  <w:style w:type="paragraph" w:styleId="11">
    <w:name w:val="Body Text"/>
    <w:basedOn w:val="1"/>
    <w:next w:val="1"/>
    <w:qFormat/>
    <w:uiPriority w:val="99"/>
    <w:rPr>
      <w:rFonts w:cs="Times New Roman"/>
      <w:kern w:val="0"/>
    </w:rPr>
  </w:style>
  <w:style w:type="paragraph" w:styleId="12">
    <w:name w:val="toc 3"/>
    <w:basedOn w:val="1"/>
    <w:next w:val="1"/>
    <w:semiHidden/>
    <w:qFormat/>
    <w:uiPriority w:val="0"/>
    <w:pPr>
      <w:ind w:left="420"/>
      <w:jc w:val="left"/>
    </w:pPr>
    <w:rPr>
      <w:rFonts w:ascii="Times New Roman" w:hAnsi="Times New Roman" w:cs="Times New Roman"/>
      <w:i/>
      <w:iCs/>
      <w:sz w:val="20"/>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pPr>
      <w:autoSpaceDE w:val="0"/>
      <w:autoSpaceDN w:val="0"/>
      <w:adjustRightInd w:val="0"/>
      <w:textAlignment w:val="baseline"/>
    </w:pPr>
    <w:rPr>
      <w:rFonts w:ascii="宋体"/>
      <w:sz w:val="28"/>
    </w:rPr>
  </w:style>
  <w:style w:type="paragraph" w:styleId="15">
    <w:name w:val="Balloon Text"/>
    <w:basedOn w:val="1"/>
    <w:link w:val="42"/>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index heading"/>
    <w:basedOn w:val="1"/>
    <w:next w:val="20"/>
    <w:qFormat/>
    <w:uiPriority w:val="0"/>
    <w:rPr>
      <w:rFonts w:ascii="Times New Roman" w:hAnsi="Times New Roman"/>
      <w:szCs w:val="20"/>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4">
    <w:name w:val="Table Grid"/>
    <w:basedOn w:val="2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color w:val="333333"/>
      <w:u w:val="none"/>
    </w:rPr>
  </w:style>
  <w:style w:type="character" w:styleId="27">
    <w:name w:val="annotation reference"/>
    <w:basedOn w:val="25"/>
    <w:qFormat/>
    <w:uiPriority w:val="0"/>
    <w:rPr>
      <w:sz w:val="21"/>
      <w:szCs w:val="21"/>
    </w:rPr>
  </w:style>
  <w:style w:type="paragraph" w:customStyle="1" w:styleId="2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9">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30">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31">
    <w:name w:val="_Style 2"/>
    <w:basedOn w:val="1"/>
    <w:qFormat/>
    <w:uiPriority w:val="34"/>
    <w:pPr>
      <w:ind w:firstLine="420" w:firstLineChars="200"/>
    </w:pPr>
    <w:rPr>
      <w:szCs w:val="20"/>
    </w:rPr>
  </w:style>
  <w:style w:type="paragraph" w:styleId="32">
    <w:name w:val="List Paragraph"/>
    <w:basedOn w:val="1"/>
    <w:qFormat/>
    <w:uiPriority w:val="34"/>
    <w:pPr>
      <w:ind w:firstLine="420" w:firstLineChars="200"/>
    </w:pPr>
  </w:style>
  <w:style w:type="paragraph" w:customStyle="1" w:styleId="33">
    <w:name w:val="纯文本1"/>
    <w:basedOn w:val="1"/>
    <w:qFormat/>
    <w:uiPriority w:val="0"/>
    <w:rPr>
      <w:rFonts w:ascii="宋体" w:hAnsi="Courier New" w:cs="Times New Roman"/>
      <w:szCs w:val="22"/>
    </w:rPr>
  </w:style>
  <w:style w:type="paragraph" w:customStyle="1" w:styleId="34">
    <w:name w:val="正文缩进1"/>
    <w:basedOn w:val="1"/>
    <w:qFormat/>
    <w:uiPriority w:val="0"/>
    <w:pPr>
      <w:autoSpaceDE w:val="0"/>
      <w:autoSpaceDN w:val="0"/>
      <w:adjustRightInd w:val="0"/>
      <w:ind w:firstLine="420"/>
      <w:jc w:val="left"/>
    </w:pPr>
    <w:rPr>
      <w:rFonts w:ascii="宋体"/>
      <w:kern w:val="0"/>
      <w:sz w:val="24"/>
    </w:rPr>
  </w:style>
  <w:style w:type="paragraph" w:customStyle="1" w:styleId="35">
    <w:name w:val="段"/>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1"/>
      <w:szCs w:val="22"/>
      <w:lang w:val="en-US" w:eastAsia="zh-CN" w:bidi="ar-SA"/>
    </w:rPr>
  </w:style>
  <w:style w:type="paragraph" w:customStyle="1" w:styleId="3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_Style 12"/>
    <w:basedOn w:val="1"/>
    <w:next w:val="32"/>
    <w:qFormat/>
    <w:uiPriority w:val="34"/>
    <w:pPr>
      <w:spacing w:line="360" w:lineRule="auto"/>
      <w:ind w:firstLine="420" w:firstLineChars="200"/>
    </w:pPr>
    <w:rPr>
      <w:rFonts w:ascii="Arial" w:hAnsi="Arial"/>
      <w:sz w:val="24"/>
      <w:szCs w:val="22"/>
    </w:rPr>
  </w:style>
  <w:style w:type="character" w:customStyle="1" w:styleId="38">
    <w:name w:val="标题 1 Char"/>
    <w:qFormat/>
    <w:locked/>
    <w:uiPriority w:val="99"/>
    <w:rPr>
      <w:rFonts w:ascii="Calibri" w:hAnsi="Calibri" w:cs="Calibri"/>
      <w:b/>
      <w:bCs/>
      <w:kern w:val="44"/>
      <w:sz w:val="44"/>
      <w:szCs w:val="44"/>
    </w:rPr>
  </w:style>
  <w:style w:type="paragraph" w:customStyle="1" w:styleId="39">
    <w:name w:val="样式 首行缩进:  0 字符"/>
    <w:basedOn w:val="1"/>
    <w:qFormat/>
    <w:uiPriority w:val="0"/>
  </w:style>
  <w:style w:type="paragraph" w:customStyle="1" w:styleId="40">
    <w:name w:val="*正文"/>
    <w:basedOn w:val="1"/>
    <w:qFormat/>
    <w:uiPriority w:val="0"/>
    <w:pPr>
      <w:ind w:firstLine="480"/>
    </w:pPr>
    <w:rPr>
      <w:rFonts w:ascii="宋体" w:hAnsi="宋体" w:cs="仿宋_GB2312"/>
    </w:rPr>
  </w:style>
  <w:style w:type="character" w:customStyle="1" w:styleId="41">
    <w:name w:val="题注 Char"/>
    <w:link w:val="8"/>
    <w:qFormat/>
    <w:locked/>
    <w:uiPriority w:val="0"/>
    <w:rPr>
      <w:sz w:val="21"/>
    </w:rPr>
  </w:style>
  <w:style w:type="character" w:customStyle="1" w:styleId="42">
    <w:name w:val="批注框文本 Char"/>
    <w:basedOn w:val="25"/>
    <w:link w:val="15"/>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9DB5EC-15AE-43FC-A5D5-7636ED64C420}">
  <ds:schemaRefs/>
</ds:datastoreItem>
</file>

<file path=docProps/app.xml><?xml version="1.0" encoding="utf-8"?>
<Properties xmlns="http://schemas.openxmlformats.org/officeDocument/2006/extended-properties" xmlns:vt="http://schemas.openxmlformats.org/officeDocument/2006/docPropsVTypes">
  <Template>Normal</Template>
  <Pages>96</Pages>
  <Words>44338</Words>
  <Characters>47491</Characters>
  <Lines>387</Lines>
  <Paragraphs>108</Paragraphs>
  <TotalTime>5</TotalTime>
  <ScaleCrop>false</ScaleCrop>
  <LinksUpToDate>false</LinksUpToDate>
  <CharactersWithSpaces>49739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2022-12-07T01:26:00Z</dcterms:created>
  <dc:creator>lenovo</dc:creator>
  <cp:lastModifiedBy>饣耳</cp:lastModifiedBy>
  <dcterms:modified xsi:type="dcterms:W3CDTF">2023-01-05T07:49:07Z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C41BC9ED4CBD4E96B8EBF233FCE5CE8E</vt:lpwstr>
  </property>
</Properties>
</file>