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center"/>
        <w:textAlignment w:val="baseline"/>
        <w:outlineLvl w:val="2"/>
        <w:rPr>
          <w:rFonts w:hint="eastAsia" w:ascii="宋体" w:hAnsi="宋体" w:eastAsia="宋体" w:cs="宋体"/>
          <w:sz w:val="32"/>
          <w:szCs w:val="32"/>
        </w:rPr>
      </w:pPr>
      <w:bookmarkStart w:id="1" w:name="_GoBack"/>
      <w:bookmarkStart w:id="0" w:name="_Toc28468"/>
      <w:r>
        <w:rPr>
          <w:rFonts w:hint="eastAsia" w:ascii="宋体" w:hAnsi="宋体" w:eastAsia="宋体" w:cs="宋体"/>
          <w:sz w:val="32"/>
          <w:szCs w:val="32"/>
        </w:rPr>
        <w:t>2－2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分项价格表</w:t>
      </w:r>
      <w:bookmarkEnd w:id="1"/>
      <w:bookmarkEnd w:id="0"/>
    </w:p>
    <w:p>
      <w:pPr>
        <w:pStyle w:val="5"/>
        <w:spacing w:line="336" w:lineRule="auto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化学工程学院实验实训装置更新项目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pStyle w:val="5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项目编号：ZX2022-11-74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pStyle w:val="5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货币：人民币                            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1"/>
          <w:szCs w:val="21"/>
        </w:rPr>
        <w:t>单位：元</w:t>
      </w:r>
    </w:p>
    <w:tbl>
      <w:tblPr>
        <w:tblStyle w:val="6"/>
        <w:tblW w:w="48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204"/>
        <w:gridCol w:w="1102"/>
        <w:gridCol w:w="1669"/>
        <w:gridCol w:w="1835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38" w:type="pct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货物</w:t>
            </w:r>
          </w:p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1013" w:type="pct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规格</w:t>
            </w:r>
          </w:p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1114" w:type="pct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493" w:type="pct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单螺杆挤出机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精东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SJ25</w:t>
            </w:r>
          </w:p>
        </w:tc>
        <w:tc>
          <w:tcPr>
            <w:tcW w:w="111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具体单价在签订合同时以最终报价进行核算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连续流动反应器返混测定实验装置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华德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HD566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二元系统气液平衡数据测定实验装置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华德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HD564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催化剂成型挤出装置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中宇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CN-JTJ02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多釜串联实验装置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华德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HD563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综合流体力学实验装置(核心产品)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华德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HD520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填料塔精馏实验装置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华德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HD508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高精度控温不锈钢低温槽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新芝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DC-3010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永磁变频螺杆式空气压缩机</w:t>
            </w:r>
          </w:p>
        </w:tc>
        <w:tc>
          <w:tcPr>
            <w:tcW w:w="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双星牌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SXL-20HP</w:t>
            </w:r>
          </w:p>
        </w:tc>
        <w:tc>
          <w:tcPr>
            <w:tcW w:w="1114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27" w:type="pct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以上所有设备均包含运输，安装，场地整理，电力配置，垃圾清运，现场于两个工作日操作人员培训等所有人工及材料成本。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Tg5NDBiZjhlN2VjMmMxODQyM2Y0NTY5NDI4ZDUifQ=="/>
  </w:docVars>
  <w:rsids>
    <w:rsidRoot w:val="00000000"/>
    <w:rsid w:val="082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42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Body Text First Indent 2"/>
    <w:next w:val="1"/>
    <w:qFormat/>
    <w:uiPriority w:val="0"/>
    <w:pPr>
      <w:kinsoku w:val="0"/>
      <w:autoSpaceDE w:val="0"/>
      <w:autoSpaceDN w:val="0"/>
      <w:adjustRightInd w:val="0"/>
      <w:snapToGrid w:val="0"/>
      <w:spacing w:after="156" w:afterLines="50" w:line="360" w:lineRule="exact"/>
      <w:ind w:firstLine="420" w:firstLineChars="200"/>
      <w:jc w:val="left"/>
      <w:textAlignment w:val="baseline"/>
    </w:pPr>
    <w:rPr>
      <w:rFonts w:ascii="宋体" w:hAnsi="宋体" w:eastAsia="宋体" w:cs="Arial"/>
      <w:snapToGrid w:val="0"/>
      <w:color w:val="000000"/>
      <w:kern w:val="2"/>
      <w:sz w:val="24"/>
      <w:szCs w:val="20"/>
      <w:lang w:val="en-US" w:eastAsia="zh-CN" w:bidi="ar-SA"/>
    </w:rPr>
  </w:style>
  <w:style w:type="paragraph" w:styleId="4">
    <w:name w:val="Body Text Indent"/>
    <w:next w:val="1"/>
    <w:qFormat/>
    <w:uiPriority w:val="0"/>
    <w:pPr>
      <w:kinsoku w:val="0"/>
      <w:autoSpaceDE w:val="0"/>
      <w:autoSpaceDN w:val="0"/>
      <w:adjustRightInd w:val="0"/>
      <w:snapToGrid w:val="0"/>
      <w:spacing w:after="156" w:afterLines="50" w:line="360" w:lineRule="exact"/>
      <w:ind w:firstLine="480" w:firstLineChars="200"/>
      <w:jc w:val="left"/>
      <w:textAlignment w:val="baseline"/>
    </w:pPr>
    <w:rPr>
      <w:rFonts w:ascii="宋体" w:hAnsi="宋体" w:eastAsia="宋体" w:cs="Arial"/>
      <w:snapToGrid w:val="0"/>
      <w:color w:val="000000"/>
      <w:kern w:val="2"/>
      <w:sz w:val="24"/>
      <w:szCs w:val="24"/>
      <w:lang w:val="en-US" w:eastAsia="zh-CN" w:bidi="ar-SA"/>
    </w:rPr>
  </w:style>
  <w:style w:type="paragraph" w:styleId="5">
    <w:name w:val="Plain Text"/>
    <w:qFormat/>
    <w:uiPriority w:val="99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Arial"/>
      <w:snapToGrid w:val="0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2023-01-06T01:36:50Z</dcterms:created>
  <dc:creator>acer</dc:creator>
  <cp:lastModifiedBy>acer</cp:lastModifiedBy>
  <dcterms:modified xsi:type="dcterms:W3CDTF">2023-01-06T01:44:49Z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AE13ED9D17F4419CB73988D96999F609</vt:lpwstr>
  </property>
</Properties>
</file>