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宋体" w:hAnsi="宋体" w:cs="宋体"/>
          <w:b/>
          <w:sz w:val="30"/>
        </w:rPr>
      </w:pPr>
      <w:bookmarkStart w:id="0" w:name="OLE_LINK9"/>
      <w:r>
        <w:rPr>
          <w:rFonts w:hint="eastAsia" w:ascii="宋体" w:hAnsi="宋体" w:cs="宋体"/>
          <w:b/>
          <w:sz w:val="30"/>
        </w:rPr>
        <w:t>政府采购项目</w:t>
      </w:r>
    </w:p>
    <w:p>
      <w:pPr>
        <w:adjustRightInd w:val="0"/>
        <w:snapToGrid w:val="0"/>
        <w:spacing w:line="360" w:lineRule="auto"/>
        <w:jc w:val="left"/>
        <w:rPr>
          <w:rFonts w:hint="eastAsia" w:ascii="宋体" w:hAnsi="宋体" w:cs="宋体"/>
          <w:b/>
          <w:bCs/>
          <w:sz w:val="30"/>
        </w:rPr>
      </w:pPr>
      <w:r>
        <w:rPr>
          <w:rFonts w:hint="eastAsia" w:ascii="宋体" w:hAnsi="宋体" w:cs="宋体"/>
          <w:b/>
          <w:sz w:val="30"/>
        </w:rPr>
        <w:t>项目编号：SXWZ2022ZB-SYJ-013</w:t>
      </w:r>
    </w:p>
    <w:p>
      <w:pPr>
        <w:adjustRightInd w:val="0"/>
        <w:snapToGrid w:val="0"/>
        <w:spacing w:line="360" w:lineRule="auto"/>
        <w:jc w:val="left"/>
        <w:rPr>
          <w:rFonts w:ascii="宋体" w:hAnsi="宋体" w:cs="宋体"/>
          <w:b/>
          <w:sz w:val="30"/>
        </w:rPr>
      </w:pPr>
    </w:p>
    <w:p>
      <w:pPr>
        <w:adjustRightInd w:val="0"/>
        <w:snapToGrid w:val="0"/>
        <w:spacing w:line="360" w:lineRule="auto"/>
        <w:jc w:val="center"/>
        <w:rPr>
          <w:rFonts w:ascii="宋体" w:hAnsi="宋体" w:cs="宋体"/>
          <w:b/>
          <w:sz w:val="40"/>
          <w:szCs w:val="32"/>
        </w:rPr>
      </w:pPr>
    </w:p>
    <w:p>
      <w:pPr>
        <w:adjustRightInd w:val="0"/>
        <w:snapToGrid w:val="0"/>
        <w:spacing w:line="360" w:lineRule="auto"/>
        <w:jc w:val="center"/>
        <w:rPr>
          <w:rFonts w:hint="eastAsia" w:ascii="宋体" w:hAnsi="宋体" w:cs="宋体"/>
          <w:b/>
          <w:sz w:val="48"/>
          <w:szCs w:val="40"/>
        </w:rPr>
      </w:pPr>
      <w:r>
        <w:rPr>
          <w:rFonts w:hint="eastAsia" w:ascii="宋体" w:hAnsi="宋体" w:cs="宋体"/>
          <w:b/>
          <w:sz w:val="48"/>
          <w:szCs w:val="40"/>
        </w:rPr>
        <w:t>西安市食品药品检验所</w:t>
      </w:r>
    </w:p>
    <w:p>
      <w:pPr>
        <w:adjustRightInd w:val="0"/>
        <w:snapToGrid w:val="0"/>
        <w:spacing w:line="360" w:lineRule="auto"/>
        <w:jc w:val="center"/>
        <w:rPr>
          <w:rFonts w:hint="eastAsia" w:ascii="宋体" w:hAnsi="宋体" w:cs="宋体"/>
          <w:b/>
          <w:sz w:val="48"/>
          <w:szCs w:val="40"/>
        </w:rPr>
      </w:pPr>
      <w:r>
        <w:rPr>
          <w:rFonts w:hint="eastAsia" w:ascii="宋体" w:hAnsi="宋体" w:cs="宋体"/>
          <w:b/>
          <w:sz w:val="48"/>
          <w:szCs w:val="40"/>
        </w:rPr>
        <w:t>食品抽样租赁用车项目</w:t>
      </w:r>
    </w:p>
    <w:p>
      <w:pPr>
        <w:adjustRightInd w:val="0"/>
        <w:snapToGrid w:val="0"/>
        <w:spacing w:line="360" w:lineRule="auto"/>
        <w:jc w:val="left"/>
        <w:rPr>
          <w:rFonts w:ascii="宋体" w:hAnsi="宋体" w:cs="宋体"/>
          <w:b/>
          <w:sz w:val="30"/>
        </w:rPr>
      </w:pPr>
    </w:p>
    <w:p>
      <w:pPr>
        <w:adjustRightInd w:val="0"/>
        <w:snapToGrid w:val="0"/>
        <w:spacing w:line="360" w:lineRule="auto"/>
        <w:jc w:val="left"/>
        <w:rPr>
          <w:rFonts w:ascii="宋体" w:hAnsi="宋体" w:cs="宋体"/>
          <w:b/>
          <w:sz w:val="52"/>
          <w:szCs w:val="52"/>
        </w:rPr>
      </w:pPr>
      <w:r>
        <w:rPr>
          <w:rFonts w:hint="eastAsia" w:ascii="宋体" w:hAnsi="宋体" w:cs="宋体"/>
        </w:rPr>
        <w:drawing>
          <wp:anchor distT="0" distB="0" distL="114300" distR="114300" simplePos="0" relativeHeight="251662336" behindDoc="1" locked="0" layoutInCell="1" allowOverlap="1">
            <wp:simplePos x="0" y="0"/>
            <wp:positionH relativeFrom="column">
              <wp:posOffset>1568450</wp:posOffset>
            </wp:positionH>
            <wp:positionV relativeFrom="paragraph">
              <wp:posOffset>305435</wp:posOffset>
            </wp:positionV>
            <wp:extent cx="2312670" cy="1447800"/>
            <wp:effectExtent l="19050" t="0" r="0" b="0"/>
            <wp:wrapTight wrapText="bothSides">
              <wp:wrapPolygon>
                <wp:start x="-178" y="0"/>
                <wp:lineTo x="-178" y="21316"/>
                <wp:lineTo x="21529" y="21316"/>
                <wp:lineTo x="21529" y="0"/>
                <wp:lineTo x="-178" y="0"/>
              </wp:wrapPolygon>
            </wp:wrapTight>
            <wp:docPr id="2" name="Picture 2"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图标"/>
                    <pic:cNvPicPr>
                      <a:picLocks noChangeAspect="1" noChangeArrowheads="1"/>
                    </pic:cNvPicPr>
                  </pic:nvPicPr>
                  <pic:blipFill>
                    <a:blip r:embed="rId21"/>
                    <a:srcRect/>
                    <a:stretch>
                      <a:fillRect/>
                    </a:stretch>
                  </pic:blipFill>
                  <pic:spPr>
                    <a:xfrm>
                      <a:off x="0" y="0"/>
                      <a:ext cx="2312670" cy="1447800"/>
                    </a:xfrm>
                    <a:prstGeom prst="rect">
                      <a:avLst/>
                    </a:prstGeom>
                    <a:noFill/>
                    <a:ln w="9525">
                      <a:noFill/>
                      <a:miter lim="800000"/>
                      <a:headEnd/>
                      <a:tailEnd/>
                    </a:ln>
                  </pic:spPr>
                </pic:pic>
              </a:graphicData>
            </a:graphic>
          </wp:anchor>
        </w:drawing>
      </w:r>
    </w:p>
    <w:p>
      <w:pPr>
        <w:adjustRightInd w:val="0"/>
        <w:snapToGrid w:val="0"/>
        <w:spacing w:line="360" w:lineRule="auto"/>
        <w:jc w:val="left"/>
        <w:rPr>
          <w:rFonts w:ascii="宋体" w:hAnsi="宋体" w:cs="宋体"/>
          <w:b/>
          <w:sz w:val="52"/>
          <w:szCs w:val="52"/>
        </w:rPr>
      </w:pPr>
    </w:p>
    <w:p>
      <w:pPr>
        <w:adjustRightInd w:val="0"/>
        <w:snapToGrid w:val="0"/>
        <w:spacing w:line="360" w:lineRule="auto"/>
        <w:jc w:val="left"/>
        <w:rPr>
          <w:rFonts w:ascii="宋体" w:hAnsi="宋体" w:cs="宋体"/>
          <w:b/>
          <w:sz w:val="52"/>
          <w:szCs w:val="52"/>
        </w:rPr>
      </w:pPr>
    </w:p>
    <w:p>
      <w:pPr>
        <w:tabs>
          <w:tab w:val="left" w:pos="0"/>
        </w:tabs>
        <w:adjustRightInd w:val="0"/>
        <w:snapToGrid w:val="0"/>
        <w:spacing w:line="360" w:lineRule="auto"/>
        <w:jc w:val="center"/>
        <w:rPr>
          <w:rFonts w:ascii="宋体" w:hAnsi="宋体" w:cs="宋体"/>
          <w:b/>
          <w:szCs w:val="21"/>
        </w:rPr>
      </w:pPr>
    </w:p>
    <w:p>
      <w:pPr>
        <w:tabs>
          <w:tab w:val="left" w:pos="0"/>
        </w:tabs>
        <w:adjustRightInd w:val="0"/>
        <w:snapToGrid w:val="0"/>
        <w:spacing w:line="360" w:lineRule="auto"/>
        <w:jc w:val="center"/>
        <w:rPr>
          <w:rFonts w:ascii="宋体" w:hAnsi="宋体" w:cs="宋体"/>
          <w:b/>
          <w:szCs w:val="21"/>
        </w:rPr>
      </w:pPr>
    </w:p>
    <w:p>
      <w:pPr>
        <w:tabs>
          <w:tab w:val="left" w:pos="0"/>
        </w:tabs>
        <w:adjustRightInd w:val="0"/>
        <w:snapToGrid w:val="0"/>
        <w:spacing w:line="360" w:lineRule="auto"/>
        <w:jc w:val="center"/>
        <w:rPr>
          <w:rFonts w:ascii="宋体" w:hAnsi="宋体" w:cs="宋体"/>
          <w:b/>
          <w:sz w:val="30"/>
        </w:rPr>
      </w:pPr>
      <w:r>
        <w:rPr>
          <w:rFonts w:hint="eastAsia" w:ascii="宋体" w:hAnsi="宋体" w:cs="宋体"/>
          <w:b/>
          <w:sz w:val="72"/>
          <w:szCs w:val="72"/>
        </w:rPr>
        <w:t>竞争性磋商文件</w:t>
      </w:r>
    </w:p>
    <w:p>
      <w:pPr>
        <w:adjustRightInd w:val="0"/>
        <w:snapToGrid w:val="0"/>
        <w:spacing w:line="360" w:lineRule="auto"/>
        <w:rPr>
          <w:rFonts w:ascii="宋体" w:hAnsi="宋体" w:cs="宋体"/>
          <w:b/>
          <w:sz w:val="30"/>
        </w:rPr>
      </w:pPr>
    </w:p>
    <w:p>
      <w:pPr>
        <w:adjustRightInd w:val="0"/>
        <w:snapToGrid w:val="0"/>
        <w:spacing w:line="360" w:lineRule="auto"/>
        <w:rPr>
          <w:rFonts w:ascii="宋体" w:hAnsi="宋体" w:cs="宋体"/>
          <w:b/>
          <w:sz w:val="30"/>
        </w:rPr>
      </w:pPr>
    </w:p>
    <w:p>
      <w:pPr>
        <w:adjustRightInd w:val="0"/>
        <w:snapToGrid w:val="0"/>
        <w:spacing w:line="360" w:lineRule="auto"/>
        <w:ind w:firstLine="1968" w:firstLineChars="700"/>
        <w:rPr>
          <w:rFonts w:hint="eastAsia" w:ascii="宋体" w:hAnsi="宋体" w:cs="宋体"/>
          <w:b/>
          <w:sz w:val="28"/>
          <w:szCs w:val="28"/>
        </w:rPr>
      </w:pPr>
      <w:r>
        <w:rPr>
          <w:rFonts w:hint="eastAsia" w:ascii="宋体" w:hAnsi="宋体" w:cs="宋体"/>
          <w:b/>
          <w:sz w:val="28"/>
          <w:szCs w:val="28"/>
        </w:rPr>
        <w:t>采   购   人：西安市食品药品检验所</w:t>
      </w:r>
    </w:p>
    <w:p>
      <w:pPr>
        <w:adjustRightInd w:val="0"/>
        <w:snapToGrid w:val="0"/>
        <w:spacing w:line="360" w:lineRule="auto"/>
        <w:jc w:val="center"/>
        <w:rPr>
          <w:rFonts w:ascii="宋体" w:hAnsi="宋体" w:cs="宋体"/>
          <w:b/>
          <w:sz w:val="28"/>
          <w:szCs w:val="28"/>
        </w:rPr>
      </w:pPr>
      <w:r>
        <w:rPr>
          <w:rFonts w:hint="eastAsia" w:ascii="宋体" w:hAnsi="宋体" w:cs="宋体"/>
          <w:b/>
          <w:sz w:val="28"/>
          <w:szCs w:val="28"/>
        </w:rPr>
        <w:t>采购代理机构：陕西万泽招标有限公司</w:t>
      </w:r>
    </w:p>
    <w:p>
      <w:pPr>
        <w:adjustRightInd w:val="0"/>
        <w:snapToGrid w:val="0"/>
        <w:spacing w:line="360" w:lineRule="auto"/>
        <w:jc w:val="center"/>
        <w:rPr>
          <w:rFonts w:ascii="宋体" w:hAnsi="宋体" w:cs="宋体"/>
          <w:b/>
          <w:color w:val="FF0000"/>
          <w:sz w:val="32"/>
          <w:szCs w:val="32"/>
        </w:rPr>
      </w:pPr>
      <w:r>
        <w:rPr>
          <w:rFonts w:hint="eastAsia" w:ascii="宋体" w:hAnsi="宋体" w:cs="宋体"/>
          <w:b/>
          <w:sz w:val="28"/>
          <w:szCs w:val="28"/>
        </w:rPr>
        <w:t>二〇二二年</w:t>
      </w:r>
      <w:r>
        <w:rPr>
          <w:rFonts w:hint="eastAsia" w:ascii="宋体" w:hAnsi="宋体" w:cs="宋体"/>
          <w:b/>
          <w:sz w:val="28"/>
          <w:szCs w:val="28"/>
          <w:lang w:val="en-US" w:eastAsia="zh-CN"/>
        </w:rPr>
        <w:t>四</w:t>
      </w:r>
      <w:r>
        <w:rPr>
          <w:rFonts w:hint="eastAsia" w:ascii="宋体" w:hAnsi="宋体" w:cs="宋体"/>
          <w:b/>
          <w:sz w:val="28"/>
          <w:szCs w:val="28"/>
        </w:rPr>
        <w:t>月</w:t>
      </w:r>
    </w:p>
    <w:p>
      <w:pPr>
        <w:adjustRightInd w:val="0"/>
        <w:snapToGrid w:val="0"/>
        <w:spacing w:line="600" w:lineRule="auto"/>
        <w:rPr>
          <w:rFonts w:ascii="宋体" w:hAnsi="宋体" w:cs="宋体"/>
          <w:b/>
          <w:sz w:val="36"/>
          <w:szCs w:val="36"/>
        </w:rPr>
        <w:sectPr>
          <w:headerReference r:id="rId4" w:type="first"/>
          <w:headerReference r:id="rId3" w:type="default"/>
          <w:footerReference r:id="rId5" w:type="default"/>
          <w:pgSz w:w="11906" w:h="16838"/>
          <w:pgMar w:top="1440" w:right="1486" w:bottom="1440" w:left="1800" w:header="851" w:footer="992" w:gutter="0"/>
          <w:pgNumType w:start="1"/>
          <w:cols w:space="720" w:num="1"/>
          <w:docGrid w:type="lines" w:linePitch="312" w:charSpace="0"/>
        </w:sectPr>
      </w:pPr>
    </w:p>
    <w:p>
      <w:pPr>
        <w:pStyle w:val="19"/>
        <w:tabs>
          <w:tab w:val="right" w:leader="dot" w:pos="8306"/>
        </w:tabs>
        <w:spacing w:line="360" w:lineRule="auto"/>
        <w:jc w:val="center"/>
        <w:rPr>
          <w:rFonts w:ascii="宋体" w:hAnsi="宋体" w:cs="宋体"/>
          <w:b/>
          <w:bCs/>
          <w:sz w:val="40"/>
          <w:szCs w:val="40"/>
        </w:rPr>
      </w:pPr>
      <w:r>
        <w:rPr>
          <w:rFonts w:hint="eastAsia" w:ascii="宋体" w:hAnsi="宋体" w:cs="宋体"/>
          <w:b/>
          <w:bCs/>
          <w:sz w:val="40"/>
          <w:szCs w:val="40"/>
        </w:rPr>
        <w:t>目  录</w:t>
      </w:r>
    </w:p>
    <w:p>
      <w:pPr>
        <w:pStyle w:val="19"/>
        <w:tabs>
          <w:tab w:val="right" w:leader="dot" w:pos="8306"/>
        </w:tabs>
      </w:pPr>
      <w:bookmarkStart w:id="223" w:name="_GoBack"/>
      <w:bookmarkEnd w:id="223"/>
      <w:r>
        <w:rPr>
          <w:rFonts w:hint="eastAsia" w:ascii="宋体" w:hAnsi="宋体" w:cs="宋体"/>
          <w:sz w:val="28"/>
          <w:szCs w:val="28"/>
        </w:rPr>
        <w:fldChar w:fldCharType="begin"/>
      </w:r>
      <w:r>
        <w:rPr>
          <w:rFonts w:hint="eastAsia" w:ascii="宋体" w:hAnsi="宋体" w:cs="宋体"/>
          <w:sz w:val="28"/>
          <w:szCs w:val="28"/>
        </w:rPr>
        <w:instrText xml:space="preserve">TOC \o "1-2" \h \u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_Toc22085 </w:instrText>
      </w:r>
      <w:r>
        <w:rPr>
          <w:rFonts w:hint="eastAsia" w:ascii="宋体" w:hAnsi="宋体" w:cs="宋体"/>
          <w:szCs w:val="28"/>
        </w:rPr>
        <w:fldChar w:fldCharType="separate"/>
      </w:r>
      <w:r>
        <w:rPr>
          <w:rFonts w:hint="eastAsia" w:ascii="宋体" w:hAnsi="宋体" w:cs="宋体"/>
        </w:rPr>
        <w:t>第一部分 竞争性磋商公告</w:t>
      </w:r>
      <w:r>
        <w:tab/>
      </w:r>
      <w:r>
        <w:fldChar w:fldCharType="begin"/>
      </w:r>
      <w:r>
        <w:instrText xml:space="preserve"> PAGEREF _Toc22085 \h </w:instrText>
      </w:r>
      <w:r>
        <w:fldChar w:fldCharType="separate"/>
      </w:r>
      <w:r>
        <w:t>2</w:t>
      </w:r>
      <w:r>
        <w:fldChar w:fldCharType="end"/>
      </w:r>
      <w:r>
        <w:rPr>
          <w:rFonts w:hint="eastAsia" w:ascii="宋体" w:hAnsi="宋体" w:cs="宋体"/>
          <w:szCs w:val="28"/>
        </w:rPr>
        <w:fldChar w:fldCharType="end"/>
      </w:r>
    </w:p>
    <w:p>
      <w:pPr>
        <w:pStyle w:val="19"/>
        <w:tabs>
          <w:tab w:val="right" w:leader="dot" w:pos="8306"/>
        </w:tabs>
      </w:pPr>
      <w:r>
        <w:rPr>
          <w:rFonts w:hint="eastAsia" w:ascii="宋体" w:hAnsi="宋体" w:cs="宋体"/>
          <w:szCs w:val="28"/>
        </w:rPr>
        <w:fldChar w:fldCharType="begin"/>
      </w:r>
      <w:r>
        <w:rPr>
          <w:rFonts w:hint="eastAsia" w:ascii="宋体" w:hAnsi="宋体" w:cs="宋体"/>
          <w:szCs w:val="28"/>
        </w:rPr>
        <w:instrText xml:space="preserve"> HYPERLINK \l _Toc9381 </w:instrText>
      </w:r>
      <w:r>
        <w:rPr>
          <w:rFonts w:hint="eastAsia" w:ascii="宋体" w:hAnsi="宋体" w:cs="宋体"/>
          <w:szCs w:val="28"/>
        </w:rPr>
        <w:fldChar w:fldCharType="separate"/>
      </w:r>
      <w:r>
        <w:rPr>
          <w:rFonts w:hint="eastAsia" w:ascii="宋体" w:hAnsi="宋体" w:cs="宋体"/>
        </w:rPr>
        <w:t>第二部分 供应商须知前附表</w:t>
      </w:r>
      <w:r>
        <w:tab/>
      </w:r>
      <w:r>
        <w:fldChar w:fldCharType="begin"/>
      </w:r>
      <w:r>
        <w:instrText xml:space="preserve"> PAGEREF _Toc9381 \h </w:instrText>
      </w:r>
      <w:r>
        <w:fldChar w:fldCharType="separate"/>
      </w:r>
      <w:r>
        <w:t>5</w:t>
      </w:r>
      <w:r>
        <w:fldChar w:fldCharType="end"/>
      </w:r>
      <w:r>
        <w:rPr>
          <w:rFonts w:hint="eastAsia" w:ascii="宋体" w:hAnsi="宋体" w:cs="宋体"/>
          <w:szCs w:val="28"/>
        </w:rPr>
        <w:fldChar w:fldCharType="end"/>
      </w:r>
    </w:p>
    <w:p>
      <w:pPr>
        <w:pStyle w:val="19"/>
        <w:tabs>
          <w:tab w:val="right" w:leader="dot" w:pos="8306"/>
        </w:tabs>
      </w:pPr>
      <w:r>
        <w:rPr>
          <w:rFonts w:hint="eastAsia" w:ascii="宋体" w:hAnsi="宋体" w:cs="宋体"/>
          <w:szCs w:val="28"/>
        </w:rPr>
        <w:fldChar w:fldCharType="begin"/>
      </w:r>
      <w:r>
        <w:rPr>
          <w:rFonts w:hint="eastAsia" w:ascii="宋体" w:hAnsi="宋体" w:cs="宋体"/>
          <w:szCs w:val="28"/>
        </w:rPr>
        <w:instrText xml:space="preserve"> HYPERLINK \l _Toc6009 </w:instrText>
      </w:r>
      <w:r>
        <w:rPr>
          <w:rFonts w:hint="eastAsia" w:ascii="宋体" w:hAnsi="宋体" w:cs="宋体"/>
          <w:szCs w:val="28"/>
        </w:rPr>
        <w:fldChar w:fldCharType="separate"/>
      </w:r>
      <w:r>
        <w:rPr>
          <w:rFonts w:hint="eastAsia" w:ascii="宋体" w:hAnsi="宋体" w:cs="宋体"/>
          <w:kern w:val="44"/>
        </w:rPr>
        <w:t>第三部分 供应商须知</w:t>
      </w:r>
      <w:r>
        <w:tab/>
      </w:r>
      <w:r>
        <w:fldChar w:fldCharType="begin"/>
      </w:r>
      <w:r>
        <w:instrText xml:space="preserve"> PAGEREF _Toc6009 \h </w:instrText>
      </w:r>
      <w:r>
        <w:fldChar w:fldCharType="separate"/>
      </w:r>
      <w:r>
        <w:t>10</w:t>
      </w:r>
      <w:r>
        <w:fldChar w:fldCharType="end"/>
      </w:r>
      <w:r>
        <w:rPr>
          <w:rFonts w:hint="eastAsia" w:ascii="宋体" w:hAnsi="宋体" w:cs="宋体"/>
          <w:szCs w:val="28"/>
        </w:rPr>
        <w:fldChar w:fldCharType="end"/>
      </w:r>
    </w:p>
    <w:p>
      <w:pPr>
        <w:pStyle w:val="20"/>
        <w:tabs>
          <w:tab w:val="right" w:leader="dot" w:pos="8306"/>
        </w:tabs>
      </w:pPr>
      <w:r>
        <w:rPr>
          <w:rFonts w:hint="eastAsia" w:ascii="宋体" w:hAnsi="宋体" w:cs="宋体"/>
          <w:szCs w:val="28"/>
        </w:rPr>
        <w:fldChar w:fldCharType="begin"/>
      </w:r>
      <w:r>
        <w:rPr>
          <w:rFonts w:hint="eastAsia" w:ascii="宋体" w:hAnsi="宋体" w:cs="宋体"/>
          <w:szCs w:val="28"/>
        </w:rPr>
        <w:instrText xml:space="preserve"> HYPERLINK \l _Toc7249 </w:instrText>
      </w:r>
      <w:r>
        <w:rPr>
          <w:rFonts w:hint="eastAsia" w:ascii="宋体" w:hAnsi="宋体" w:cs="宋体"/>
          <w:szCs w:val="28"/>
        </w:rPr>
        <w:fldChar w:fldCharType="separate"/>
      </w:r>
      <w:r>
        <w:rPr>
          <w:rFonts w:hint="eastAsia" w:ascii="宋体" w:hAnsi="宋体" w:cs="Times New Roman"/>
          <w:bCs/>
          <w:kern w:val="0"/>
          <w:szCs w:val="28"/>
        </w:rPr>
        <w:t xml:space="preserve">一、 </w:t>
      </w:r>
      <w:r>
        <w:rPr>
          <w:rFonts w:hint="eastAsia" w:ascii="宋体" w:hAnsi="宋体" w:cs="宋体"/>
          <w:bCs/>
          <w:kern w:val="0"/>
          <w:szCs w:val="28"/>
        </w:rPr>
        <w:t>总则</w:t>
      </w:r>
      <w:r>
        <w:tab/>
      </w:r>
      <w:r>
        <w:fldChar w:fldCharType="begin"/>
      </w:r>
      <w:r>
        <w:instrText xml:space="preserve"> PAGEREF _Toc7249 \h </w:instrText>
      </w:r>
      <w:r>
        <w:fldChar w:fldCharType="separate"/>
      </w:r>
      <w:r>
        <w:t>10</w:t>
      </w:r>
      <w:r>
        <w:fldChar w:fldCharType="end"/>
      </w:r>
      <w:r>
        <w:rPr>
          <w:rFonts w:hint="eastAsia" w:ascii="宋体" w:hAnsi="宋体" w:cs="宋体"/>
          <w:szCs w:val="28"/>
        </w:rPr>
        <w:fldChar w:fldCharType="end"/>
      </w:r>
    </w:p>
    <w:p>
      <w:pPr>
        <w:pStyle w:val="20"/>
        <w:tabs>
          <w:tab w:val="right" w:leader="dot" w:pos="8306"/>
        </w:tabs>
      </w:pPr>
      <w:r>
        <w:rPr>
          <w:rFonts w:hint="eastAsia" w:ascii="宋体" w:hAnsi="宋体" w:cs="宋体"/>
          <w:szCs w:val="28"/>
        </w:rPr>
        <w:fldChar w:fldCharType="begin"/>
      </w:r>
      <w:r>
        <w:rPr>
          <w:rFonts w:hint="eastAsia" w:ascii="宋体" w:hAnsi="宋体" w:cs="宋体"/>
          <w:szCs w:val="28"/>
        </w:rPr>
        <w:instrText xml:space="preserve"> HYPERLINK \l _Toc20543 </w:instrText>
      </w:r>
      <w:r>
        <w:rPr>
          <w:rFonts w:hint="eastAsia" w:ascii="宋体" w:hAnsi="宋体" w:cs="宋体"/>
          <w:szCs w:val="28"/>
        </w:rPr>
        <w:fldChar w:fldCharType="separate"/>
      </w:r>
      <w:r>
        <w:rPr>
          <w:rFonts w:hint="eastAsia" w:ascii="宋体" w:hAnsi="宋体" w:cs="Times New Roman"/>
          <w:bCs/>
          <w:kern w:val="0"/>
          <w:szCs w:val="28"/>
        </w:rPr>
        <w:t xml:space="preserve">二、 </w:t>
      </w:r>
      <w:r>
        <w:rPr>
          <w:rFonts w:hint="eastAsia" w:ascii="宋体" w:hAnsi="宋体" w:cs="宋体"/>
          <w:bCs/>
          <w:kern w:val="0"/>
          <w:szCs w:val="28"/>
        </w:rPr>
        <w:t>竞争性磋商文件</w:t>
      </w:r>
      <w:r>
        <w:tab/>
      </w:r>
      <w:r>
        <w:fldChar w:fldCharType="begin"/>
      </w:r>
      <w:r>
        <w:instrText xml:space="preserve"> PAGEREF _Toc20543 \h </w:instrText>
      </w:r>
      <w:r>
        <w:fldChar w:fldCharType="separate"/>
      </w:r>
      <w:r>
        <w:t>13</w:t>
      </w:r>
      <w:r>
        <w:fldChar w:fldCharType="end"/>
      </w:r>
      <w:r>
        <w:rPr>
          <w:rFonts w:hint="eastAsia" w:ascii="宋体" w:hAnsi="宋体" w:cs="宋体"/>
          <w:szCs w:val="28"/>
        </w:rPr>
        <w:fldChar w:fldCharType="end"/>
      </w:r>
    </w:p>
    <w:p>
      <w:pPr>
        <w:pStyle w:val="20"/>
        <w:tabs>
          <w:tab w:val="right" w:leader="dot" w:pos="8306"/>
        </w:tabs>
      </w:pPr>
      <w:r>
        <w:rPr>
          <w:rFonts w:hint="eastAsia" w:ascii="宋体" w:hAnsi="宋体" w:cs="宋体"/>
          <w:szCs w:val="28"/>
        </w:rPr>
        <w:fldChar w:fldCharType="begin"/>
      </w:r>
      <w:r>
        <w:rPr>
          <w:rFonts w:hint="eastAsia" w:ascii="宋体" w:hAnsi="宋体" w:cs="宋体"/>
          <w:szCs w:val="28"/>
        </w:rPr>
        <w:instrText xml:space="preserve"> HYPERLINK \l _Toc10024 </w:instrText>
      </w:r>
      <w:r>
        <w:rPr>
          <w:rFonts w:hint="eastAsia" w:ascii="宋体" w:hAnsi="宋体" w:cs="宋体"/>
          <w:szCs w:val="28"/>
        </w:rPr>
        <w:fldChar w:fldCharType="separate"/>
      </w:r>
      <w:r>
        <w:rPr>
          <w:rFonts w:hint="eastAsia" w:ascii="宋体" w:hAnsi="宋体" w:cs="Times New Roman"/>
          <w:bCs/>
          <w:kern w:val="0"/>
          <w:szCs w:val="28"/>
        </w:rPr>
        <w:t xml:space="preserve">三、 </w:t>
      </w:r>
      <w:r>
        <w:rPr>
          <w:rFonts w:hint="eastAsia" w:ascii="宋体" w:hAnsi="宋体" w:cs="宋体"/>
          <w:bCs/>
          <w:kern w:val="0"/>
          <w:szCs w:val="28"/>
        </w:rPr>
        <w:t>磋商响应文件</w:t>
      </w:r>
      <w:r>
        <w:tab/>
      </w:r>
      <w:r>
        <w:fldChar w:fldCharType="begin"/>
      </w:r>
      <w:r>
        <w:instrText xml:space="preserve"> PAGEREF _Toc10024 \h </w:instrText>
      </w:r>
      <w:r>
        <w:fldChar w:fldCharType="separate"/>
      </w:r>
      <w:r>
        <w:t>15</w:t>
      </w:r>
      <w:r>
        <w:fldChar w:fldCharType="end"/>
      </w:r>
      <w:r>
        <w:rPr>
          <w:rFonts w:hint="eastAsia" w:ascii="宋体" w:hAnsi="宋体" w:cs="宋体"/>
          <w:szCs w:val="28"/>
        </w:rPr>
        <w:fldChar w:fldCharType="end"/>
      </w:r>
    </w:p>
    <w:p>
      <w:pPr>
        <w:pStyle w:val="20"/>
        <w:tabs>
          <w:tab w:val="right" w:leader="dot" w:pos="8306"/>
        </w:tabs>
      </w:pPr>
      <w:r>
        <w:rPr>
          <w:rFonts w:hint="eastAsia" w:ascii="宋体" w:hAnsi="宋体" w:cs="宋体"/>
          <w:szCs w:val="28"/>
        </w:rPr>
        <w:fldChar w:fldCharType="begin"/>
      </w:r>
      <w:r>
        <w:rPr>
          <w:rFonts w:hint="eastAsia" w:ascii="宋体" w:hAnsi="宋体" w:cs="宋体"/>
          <w:szCs w:val="28"/>
        </w:rPr>
        <w:instrText xml:space="preserve"> HYPERLINK \l _Toc7026 </w:instrText>
      </w:r>
      <w:r>
        <w:rPr>
          <w:rFonts w:hint="eastAsia" w:ascii="宋体" w:hAnsi="宋体" w:cs="宋体"/>
          <w:szCs w:val="28"/>
        </w:rPr>
        <w:fldChar w:fldCharType="separate"/>
      </w:r>
      <w:r>
        <w:rPr>
          <w:rFonts w:hint="eastAsia" w:ascii="宋体" w:hAnsi="宋体" w:cs="Times New Roman"/>
          <w:bCs/>
          <w:kern w:val="0"/>
          <w:szCs w:val="28"/>
        </w:rPr>
        <w:t xml:space="preserve">四、 </w:t>
      </w:r>
      <w:r>
        <w:rPr>
          <w:rFonts w:hint="eastAsia" w:ascii="宋体" w:hAnsi="宋体" w:cs="宋体"/>
          <w:bCs/>
          <w:kern w:val="0"/>
          <w:szCs w:val="28"/>
        </w:rPr>
        <w:t>磋商响应文件的递交</w:t>
      </w:r>
      <w:r>
        <w:tab/>
      </w:r>
      <w:r>
        <w:fldChar w:fldCharType="begin"/>
      </w:r>
      <w:r>
        <w:instrText xml:space="preserve"> PAGEREF _Toc7026 \h </w:instrText>
      </w:r>
      <w:r>
        <w:fldChar w:fldCharType="separate"/>
      </w:r>
      <w:r>
        <w:t>17</w:t>
      </w:r>
      <w:r>
        <w:fldChar w:fldCharType="end"/>
      </w:r>
      <w:r>
        <w:rPr>
          <w:rFonts w:hint="eastAsia" w:ascii="宋体" w:hAnsi="宋体" w:cs="宋体"/>
          <w:szCs w:val="28"/>
        </w:rPr>
        <w:fldChar w:fldCharType="end"/>
      </w:r>
    </w:p>
    <w:p>
      <w:pPr>
        <w:pStyle w:val="20"/>
        <w:tabs>
          <w:tab w:val="right" w:leader="dot" w:pos="8306"/>
        </w:tabs>
      </w:pPr>
      <w:r>
        <w:rPr>
          <w:rFonts w:hint="eastAsia" w:ascii="宋体" w:hAnsi="宋体" w:cs="宋体"/>
          <w:szCs w:val="28"/>
        </w:rPr>
        <w:fldChar w:fldCharType="begin"/>
      </w:r>
      <w:r>
        <w:rPr>
          <w:rFonts w:hint="eastAsia" w:ascii="宋体" w:hAnsi="宋体" w:cs="宋体"/>
          <w:szCs w:val="28"/>
        </w:rPr>
        <w:instrText xml:space="preserve"> HYPERLINK \l _Toc31986 </w:instrText>
      </w:r>
      <w:r>
        <w:rPr>
          <w:rFonts w:hint="eastAsia" w:ascii="宋体" w:hAnsi="宋体" w:cs="宋体"/>
          <w:szCs w:val="28"/>
        </w:rPr>
        <w:fldChar w:fldCharType="separate"/>
      </w:r>
      <w:r>
        <w:rPr>
          <w:rFonts w:hint="eastAsia" w:ascii="宋体" w:hAnsi="宋体" w:cs="Times New Roman"/>
          <w:bCs/>
          <w:kern w:val="0"/>
          <w:szCs w:val="28"/>
        </w:rPr>
        <w:t xml:space="preserve">五、 </w:t>
      </w:r>
      <w:r>
        <w:rPr>
          <w:rFonts w:hint="eastAsia" w:ascii="宋体" w:hAnsi="宋体" w:cs="宋体"/>
          <w:bCs/>
          <w:kern w:val="0"/>
          <w:szCs w:val="28"/>
        </w:rPr>
        <w:t>磋商、评审、定标</w:t>
      </w:r>
      <w:r>
        <w:tab/>
      </w:r>
      <w:r>
        <w:fldChar w:fldCharType="begin"/>
      </w:r>
      <w:r>
        <w:instrText xml:space="preserve"> PAGEREF _Toc31986 \h </w:instrText>
      </w:r>
      <w:r>
        <w:fldChar w:fldCharType="separate"/>
      </w:r>
      <w:r>
        <w:t>18</w:t>
      </w:r>
      <w:r>
        <w:fldChar w:fldCharType="end"/>
      </w:r>
      <w:r>
        <w:rPr>
          <w:rFonts w:hint="eastAsia" w:ascii="宋体" w:hAnsi="宋体" w:cs="宋体"/>
          <w:szCs w:val="28"/>
        </w:rPr>
        <w:fldChar w:fldCharType="end"/>
      </w:r>
    </w:p>
    <w:p>
      <w:pPr>
        <w:pStyle w:val="20"/>
        <w:tabs>
          <w:tab w:val="right" w:leader="dot" w:pos="8306"/>
        </w:tabs>
      </w:pPr>
      <w:r>
        <w:rPr>
          <w:rFonts w:hint="eastAsia" w:ascii="宋体" w:hAnsi="宋体" w:cs="宋体"/>
          <w:szCs w:val="28"/>
        </w:rPr>
        <w:fldChar w:fldCharType="begin"/>
      </w:r>
      <w:r>
        <w:rPr>
          <w:rFonts w:hint="eastAsia" w:ascii="宋体" w:hAnsi="宋体" w:cs="宋体"/>
          <w:szCs w:val="28"/>
        </w:rPr>
        <w:instrText xml:space="preserve"> HYPERLINK \l _Toc2968 </w:instrText>
      </w:r>
      <w:r>
        <w:rPr>
          <w:rFonts w:hint="eastAsia" w:ascii="宋体" w:hAnsi="宋体" w:cs="宋体"/>
          <w:szCs w:val="28"/>
        </w:rPr>
        <w:fldChar w:fldCharType="separate"/>
      </w:r>
      <w:r>
        <w:rPr>
          <w:rFonts w:hint="eastAsia" w:ascii="宋体" w:hAnsi="宋体" w:cs="Times New Roman"/>
          <w:bCs/>
          <w:kern w:val="0"/>
          <w:szCs w:val="28"/>
        </w:rPr>
        <w:t xml:space="preserve">六、 </w:t>
      </w:r>
      <w:r>
        <w:rPr>
          <w:rFonts w:hint="eastAsia" w:ascii="宋体" w:hAnsi="宋体" w:cs="宋体"/>
          <w:bCs/>
          <w:kern w:val="0"/>
          <w:szCs w:val="28"/>
        </w:rPr>
        <w:t>签订合同</w:t>
      </w:r>
      <w:r>
        <w:tab/>
      </w:r>
      <w:r>
        <w:fldChar w:fldCharType="begin"/>
      </w:r>
      <w:r>
        <w:instrText xml:space="preserve"> PAGEREF _Toc2968 \h </w:instrText>
      </w:r>
      <w:r>
        <w:fldChar w:fldCharType="separate"/>
      </w:r>
      <w:r>
        <w:t>21</w:t>
      </w:r>
      <w:r>
        <w:fldChar w:fldCharType="end"/>
      </w:r>
      <w:r>
        <w:rPr>
          <w:rFonts w:hint="eastAsia" w:ascii="宋体" w:hAnsi="宋体" w:cs="宋体"/>
          <w:szCs w:val="28"/>
        </w:rPr>
        <w:fldChar w:fldCharType="end"/>
      </w:r>
    </w:p>
    <w:p>
      <w:pPr>
        <w:pStyle w:val="20"/>
        <w:tabs>
          <w:tab w:val="right" w:leader="dot" w:pos="8306"/>
        </w:tabs>
      </w:pPr>
      <w:r>
        <w:rPr>
          <w:rFonts w:hint="eastAsia" w:ascii="宋体" w:hAnsi="宋体" w:cs="宋体"/>
          <w:szCs w:val="28"/>
        </w:rPr>
        <w:fldChar w:fldCharType="begin"/>
      </w:r>
      <w:r>
        <w:rPr>
          <w:rFonts w:hint="eastAsia" w:ascii="宋体" w:hAnsi="宋体" w:cs="宋体"/>
          <w:szCs w:val="28"/>
        </w:rPr>
        <w:instrText xml:space="preserve"> HYPERLINK \l _Toc27489 </w:instrText>
      </w:r>
      <w:r>
        <w:rPr>
          <w:rFonts w:hint="eastAsia" w:ascii="宋体" w:hAnsi="宋体" w:cs="宋体"/>
          <w:szCs w:val="28"/>
        </w:rPr>
        <w:fldChar w:fldCharType="separate"/>
      </w:r>
      <w:r>
        <w:rPr>
          <w:rFonts w:hint="eastAsia" w:ascii="宋体" w:hAnsi="宋体" w:cs="Times New Roman"/>
          <w:bCs/>
          <w:kern w:val="0"/>
          <w:szCs w:val="28"/>
        </w:rPr>
        <w:t xml:space="preserve">七、 </w:t>
      </w:r>
      <w:r>
        <w:rPr>
          <w:rFonts w:hint="eastAsia" w:ascii="宋体" w:hAnsi="宋体" w:cs="宋体"/>
          <w:bCs/>
          <w:kern w:val="0"/>
          <w:szCs w:val="28"/>
        </w:rPr>
        <w:t>代理服务费</w:t>
      </w:r>
      <w:r>
        <w:tab/>
      </w:r>
      <w:r>
        <w:fldChar w:fldCharType="begin"/>
      </w:r>
      <w:r>
        <w:instrText xml:space="preserve"> PAGEREF _Toc27489 \h </w:instrText>
      </w:r>
      <w:r>
        <w:fldChar w:fldCharType="separate"/>
      </w:r>
      <w:r>
        <w:t>21</w:t>
      </w:r>
      <w:r>
        <w:fldChar w:fldCharType="end"/>
      </w:r>
      <w:r>
        <w:rPr>
          <w:rFonts w:hint="eastAsia" w:ascii="宋体" w:hAnsi="宋体" w:cs="宋体"/>
          <w:szCs w:val="28"/>
        </w:rPr>
        <w:fldChar w:fldCharType="end"/>
      </w:r>
    </w:p>
    <w:p>
      <w:pPr>
        <w:pStyle w:val="20"/>
        <w:tabs>
          <w:tab w:val="right" w:leader="dot" w:pos="8306"/>
        </w:tabs>
      </w:pPr>
      <w:r>
        <w:rPr>
          <w:rFonts w:hint="eastAsia" w:ascii="宋体" w:hAnsi="宋体" w:cs="宋体"/>
          <w:szCs w:val="28"/>
        </w:rPr>
        <w:fldChar w:fldCharType="begin"/>
      </w:r>
      <w:r>
        <w:rPr>
          <w:rFonts w:hint="eastAsia" w:ascii="宋体" w:hAnsi="宋体" w:cs="宋体"/>
          <w:szCs w:val="28"/>
        </w:rPr>
        <w:instrText xml:space="preserve"> HYPERLINK \l _Toc31050 </w:instrText>
      </w:r>
      <w:r>
        <w:rPr>
          <w:rFonts w:hint="eastAsia" w:ascii="宋体" w:hAnsi="宋体" w:cs="宋体"/>
          <w:szCs w:val="28"/>
        </w:rPr>
        <w:fldChar w:fldCharType="separate"/>
      </w:r>
      <w:r>
        <w:rPr>
          <w:rFonts w:hint="eastAsia" w:ascii="宋体" w:hAnsi="宋体" w:cs="Times New Roman"/>
          <w:bCs/>
          <w:kern w:val="0"/>
          <w:szCs w:val="28"/>
        </w:rPr>
        <w:t xml:space="preserve">八、 </w:t>
      </w:r>
      <w:r>
        <w:rPr>
          <w:rFonts w:hint="eastAsia" w:ascii="宋体" w:hAnsi="宋体" w:cs="宋体"/>
          <w:bCs/>
          <w:kern w:val="0"/>
          <w:szCs w:val="28"/>
        </w:rPr>
        <w:t>质疑和投诉</w:t>
      </w:r>
      <w:r>
        <w:tab/>
      </w:r>
      <w:r>
        <w:fldChar w:fldCharType="begin"/>
      </w:r>
      <w:r>
        <w:instrText xml:space="preserve"> PAGEREF _Toc31050 \h </w:instrText>
      </w:r>
      <w:r>
        <w:fldChar w:fldCharType="separate"/>
      </w:r>
      <w:r>
        <w:t>22</w:t>
      </w:r>
      <w:r>
        <w:fldChar w:fldCharType="end"/>
      </w:r>
      <w:r>
        <w:rPr>
          <w:rFonts w:hint="eastAsia" w:ascii="宋体" w:hAnsi="宋体" w:cs="宋体"/>
          <w:szCs w:val="28"/>
        </w:rPr>
        <w:fldChar w:fldCharType="end"/>
      </w:r>
    </w:p>
    <w:p>
      <w:pPr>
        <w:pStyle w:val="20"/>
        <w:tabs>
          <w:tab w:val="right" w:leader="dot" w:pos="8306"/>
        </w:tabs>
      </w:pPr>
      <w:r>
        <w:rPr>
          <w:rFonts w:hint="eastAsia" w:ascii="宋体" w:hAnsi="宋体" w:cs="宋体"/>
          <w:szCs w:val="28"/>
        </w:rPr>
        <w:fldChar w:fldCharType="begin"/>
      </w:r>
      <w:r>
        <w:rPr>
          <w:rFonts w:hint="eastAsia" w:ascii="宋体" w:hAnsi="宋体" w:cs="宋体"/>
          <w:szCs w:val="28"/>
        </w:rPr>
        <w:instrText xml:space="preserve"> HYPERLINK \l _Toc5746 </w:instrText>
      </w:r>
      <w:r>
        <w:rPr>
          <w:rFonts w:hint="eastAsia" w:ascii="宋体" w:hAnsi="宋体" w:cs="宋体"/>
          <w:szCs w:val="28"/>
        </w:rPr>
        <w:fldChar w:fldCharType="separate"/>
      </w:r>
      <w:r>
        <w:rPr>
          <w:rFonts w:hint="eastAsia" w:ascii="宋体" w:hAnsi="宋体" w:cs="宋体"/>
          <w:bCs/>
          <w:szCs w:val="36"/>
        </w:rPr>
        <w:t>九、其他</w:t>
      </w:r>
      <w:r>
        <w:tab/>
      </w:r>
      <w:r>
        <w:fldChar w:fldCharType="begin"/>
      </w:r>
      <w:r>
        <w:instrText xml:space="preserve"> PAGEREF _Toc5746 \h </w:instrText>
      </w:r>
      <w:r>
        <w:fldChar w:fldCharType="separate"/>
      </w:r>
      <w:r>
        <w:t>24</w:t>
      </w:r>
      <w:r>
        <w:fldChar w:fldCharType="end"/>
      </w:r>
      <w:r>
        <w:rPr>
          <w:rFonts w:hint="eastAsia" w:ascii="宋体" w:hAnsi="宋体" w:cs="宋体"/>
          <w:szCs w:val="28"/>
        </w:rPr>
        <w:fldChar w:fldCharType="end"/>
      </w:r>
    </w:p>
    <w:p>
      <w:pPr>
        <w:pStyle w:val="19"/>
        <w:tabs>
          <w:tab w:val="right" w:leader="dot" w:pos="8306"/>
        </w:tabs>
      </w:pPr>
      <w:r>
        <w:rPr>
          <w:rFonts w:hint="eastAsia" w:ascii="宋体" w:hAnsi="宋体" w:cs="宋体"/>
          <w:szCs w:val="28"/>
        </w:rPr>
        <w:fldChar w:fldCharType="begin"/>
      </w:r>
      <w:r>
        <w:rPr>
          <w:rFonts w:hint="eastAsia" w:ascii="宋体" w:hAnsi="宋体" w:cs="宋体"/>
          <w:szCs w:val="28"/>
        </w:rPr>
        <w:instrText xml:space="preserve"> HYPERLINK \l _Toc15935 </w:instrText>
      </w:r>
      <w:r>
        <w:rPr>
          <w:rFonts w:hint="eastAsia" w:ascii="宋体" w:hAnsi="宋体" w:cs="宋体"/>
          <w:szCs w:val="28"/>
        </w:rPr>
        <w:fldChar w:fldCharType="separate"/>
      </w:r>
      <w:r>
        <w:rPr>
          <w:rFonts w:hint="eastAsia"/>
        </w:rPr>
        <w:t>第四部分 评审标准</w:t>
      </w:r>
      <w:r>
        <w:tab/>
      </w:r>
      <w:r>
        <w:fldChar w:fldCharType="begin"/>
      </w:r>
      <w:r>
        <w:instrText xml:space="preserve"> PAGEREF _Toc15935 \h </w:instrText>
      </w:r>
      <w:r>
        <w:fldChar w:fldCharType="separate"/>
      </w:r>
      <w:r>
        <w:t>25</w:t>
      </w:r>
      <w:r>
        <w:fldChar w:fldCharType="end"/>
      </w:r>
      <w:r>
        <w:rPr>
          <w:rFonts w:hint="eastAsia" w:ascii="宋体" w:hAnsi="宋体" w:cs="宋体"/>
          <w:szCs w:val="28"/>
        </w:rPr>
        <w:fldChar w:fldCharType="end"/>
      </w:r>
    </w:p>
    <w:p>
      <w:pPr>
        <w:pStyle w:val="19"/>
        <w:tabs>
          <w:tab w:val="right" w:leader="dot" w:pos="8306"/>
        </w:tabs>
      </w:pPr>
      <w:r>
        <w:rPr>
          <w:rFonts w:hint="eastAsia" w:ascii="宋体" w:hAnsi="宋体" w:cs="宋体"/>
          <w:szCs w:val="28"/>
        </w:rPr>
        <w:fldChar w:fldCharType="begin"/>
      </w:r>
      <w:r>
        <w:rPr>
          <w:rFonts w:hint="eastAsia" w:ascii="宋体" w:hAnsi="宋体" w:cs="宋体"/>
          <w:szCs w:val="28"/>
        </w:rPr>
        <w:instrText xml:space="preserve"> HYPERLINK \l _Toc3390 </w:instrText>
      </w:r>
      <w:r>
        <w:rPr>
          <w:rFonts w:hint="eastAsia" w:ascii="宋体" w:hAnsi="宋体" w:cs="宋体"/>
          <w:szCs w:val="28"/>
        </w:rPr>
        <w:fldChar w:fldCharType="separate"/>
      </w:r>
      <w:r>
        <w:rPr>
          <w:rFonts w:ascii="宋体" w:hAnsi="宋体" w:cs="宋体"/>
        </w:rPr>
        <w:t xml:space="preserve">第五部 </w:t>
      </w:r>
      <w:r>
        <w:rPr>
          <w:rFonts w:hint="eastAsia" w:ascii="宋体" w:hAnsi="宋体" w:cs="宋体"/>
        </w:rPr>
        <w:t xml:space="preserve">分 </w:t>
      </w:r>
      <w:r>
        <w:rPr>
          <w:rFonts w:hint="eastAsia" w:ascii="宋体" w:hAnsi="宋体" w:cs="宋体"/>
          <w:lang w:val="en-US" w:eastAsia="zh-CN"/>
        </w:rPr>
        <w:t>商务条款及</w:t>
      </w:r>
      <w:r>
        <w:rPr>
          <w:rFonts w:hint="eastAsia" w:ascii="宋体" w:hAnsi="宋体" w:cs="宋体"/>
        </w:rPr>
        <w:t>采购要求</w:t>
      </w:r>
      <w:r>
        <w:tab/>
      </w:r>
      <w:r>
        <w:fldChar w:fldCharType="begin"/>
      </w:r>
      <w:r>
        <w:instrText xml:space="preserve"> PAGEREF _Toc3390 \h </w:instrText>
      </w:r>
      <w:r>
        <w:fldChar w:fldCharType="separate"/>
      </w:r>
      <w:r>
        <w:t>29</w:t>
      </w:r>
      <w:r>
        <w:fldChar w:fldCharType="end"/>
      </w:r>
      <w:r>
        <w:rPr>
          <w:rFonts w:hint="eastAsia" w:ascii="宋体" w:hAnsi="宋体" w:cs="宋体"/>
          <w:szCs w:val="28"/>
        </w:rPr>
        <w:fldChar w:fldCharType="end"/>
      </w:r>
    </w:p>
    <w:p>
      <w:pPr>
        <w:pStyle w:val="19"/>
        <w:tabs>
          <w:tab w:val="right" w:leader="dot" w:pos="8306"/>
        </w:tabs>
      </w:pPr>
      <w:r>
        <w:rPr>
          <w:rFonts w:hint="eastAsia" w:ascii="宋体" w:hAnsi="宋体" w:cs="宋体"/>
          <w:szCs w:val="28"/>
        </w:rPr>
        <w:fldChar w:fldCharType="begin"/>
      </w:r>
      <w:r>
        <w:rPr>
          <w:rFonts w:hint="eastAsia" w:ascii="宋体" w:hAnsi="宋体" w:cs="宋体"/>
          <w:szCs w:val="28"/>
        </w:rPr>
        <w:instrText xml:space="preserve"> HYPERLINK \l _Toc16509 </w:instrText>
      </w:r>
      <w:r>
        <w:rPr>
          <w:rFonts w:hint="eastAsia" w:ascii="宋体" w:hAnsi="宋体" w:cs="宋体"/>
          <w:szCs w:val="28"/>
        </w:rPr>
        <w:fldChar w:fldCharType="separate"/>
      </w:r>
      <w:r>
        <w:rPr>
          <w:rFonts w:hint="eastAsia" w:ascii="宋体" w:hAnsi="宋体" w:cs="宋体"/>
          <w:kern w:val="44"/>
        </w:rPr>
        <w:t>第六部分 合同主要条款</w:t>
      </w:r>
      <w:r>
        <w:tab/>
      </w:r>
      <w:r>
        <w:fldChar w:fldCharType="begin"/>
      </w:r>
      <w:r>
        <w:instrText xml:space="preserve"> PAGEREF _Toc16509 \h </w:instrText>
      </w:r>
      <w:r>
        <w:fldChar w:fldCharType="separate"/>
      </w:r>
      <w:r>
        <w:t>31</w:t>
      </w:r>
      <w:r>
        <w:fldChar w:fldCharType="end"/>
      </w:r>
      <w:r>
        <w:rPr>
          <w:rFonts w:hint="eastAsia" w:ascii="宋体" w:hAnsi="宋体" w:cs="宋体"/>
          <w:szCs w:val="28"/>
        </w:rPr>
        <w:fldChar w:fldCharType="end"/>
      </w:r>
    </w:p>
    <w:p>
      <w:pPr>
        <w:pStyle w:val="19"/>
        <w:tabs>
          <w:tab w:val="right" w:leader="dot" w:pos="8306"/>
        </w:tabs>
      </w:pPr>
      <w:r>
        <w:rPr>
          <w:rFonts w:hint="eastAsia" w:ascii="宋体" w:hAnsi="宋体" w:cs="宋体"/>
          <w:szCs w:val="28"/>
        </w:rPr>
        <w:fldChar w:fldCharType="begin"/>
      </w:r>
      <w:r>
        <w:rPr>
          <w:rFonts w:hint="eastAsia" w:ascii="宋体" w:hAnsi="宋体" w:cs="宋体"/>
          <w:szCs w:val="28"/>
        </w:rPr>
        <w:instrText xml:space="preserve"> HYPERLINK \l _Toc11192 </w:instrText>
      </w:r>
      <w:r>
        <w:rPr>
          <w:rFonts w:hint="eastAsia" w:ascii="宋体" w:hAnsi="宋体" w:cs="宋体"/>
          <w:szCs w:val="28"/>
        </w:rPr>
        <w:fldChar w:fldCharType="separate"/>
      </w:r>
      <w:r>
        <w:rPr>
          <w:rFonts w:hint="eastAsia" w:ascii="宋体" w:hAnsi="宋体" w:cs="宋体"/>
        </w:rPr>
        <w:t>第七部分 磋商响应文件格式</w:t>
      </w:r>
      <w:r>
        <w:tab/>
      </w:r>
      <w:r>
        <w:fldChar w:fldCharType="begin"/>
      </w:r>
      <w:r>
        <w:instrText xml:space="preserve"> PAGEREF _Toc11192 \h </w:instrText>
      </w:r>
      <w:r>
        <w:fldChar w:fldCharType="separate"/>
      </w:r>
      <w:r>
        <w:t>37</w:t>
      </w:r>
      <w:r>
        <w:fldChar w:fldCharType="end"/>
      </w:r>
      <w:r>
        <w:rPr>
          <w:rFonts w:hint="eastAsia" w:ascii="宋体" w:hAnsi="宋体" w:cs="宋体"/>
          <w:szCs w:val="28"/>
        </w:rPr>
        <w:fldChar w:fldCharType="end"/>
      </w:r>
    </w:p>
    <w:p>
      <w:pPr>
        <w:pStyle w:val="20"/>
        <w:tabs>
          <w:tab w:val="right" w:leader="dot" w:pos="8306"/>
        </w:tabs>
      </w:pPr>
      <w:r>
        <w:rPr>
          <w:rFonts w:hint="eastAsia" w:ascii="宋体" w:hAnsi="宋体" w:cs="宋体"/>
          <w:szCs w:val="28"/>
        </w:rPr>
        <w:fldChar w:fldCharType="begin"/>
      </w:r>
      <w:r>
        <w:rPr>
          <w:rFonts w:hint="eastAsia" w:ascii="宋体" w:hAnsi="宋体" w:cs="宋体"/>
          <w:szCs w:val="28"/>
        </w:rPr>
        <w:instrText xml:space="preserve"> HYPERLINK \l _Toc27153 </w:instrText>
      </w:r>
      <w:r>
        <w:rPr>
          <w:rFonts w:hint="eastAsia" w:ascii="宋体" w:hAnsi="宋体" w:cs="宋体"/>
          <w:szCs w:val="28"/>
        </w:rPr>
        <w:fldChar w:fldCharType="separate"/>
      </w:r>
      <w:r>
        <w:rPr>
          <w:rFonts w:hint="eastAsia"/>
        </w:rPr>
        <w:t>第一章  响应函</w:t>
      </w:r>
      <w:r>
        <w:tab/>
      </w:r>
      <w:r>
        <w:fldChar w:fldCharType="begin"/>
      </w:r>
      <w:r>
        <w:instrText xml:space="preserve"> PAGEREF _Toc27153 \h </w:instrText>
      </w:r>
      <w:r>
        <w:fldChar w:fldCharType="separate"/>
      </w:r>
      <w:r>
        <w:t>39</w:t>
      </w:r>
      <w:r>
        <w:fldChar w:fldCharType="end"/>
      </w:r>
      <w:r>
        <w:rPr>
          <w:rFonts w:hint="eastAsia" w:ascii="宋体" w:hAnsi="宋体" w:cs="宋体"/>
          <w:szCs w:val="28"/>
        </w:rPr>
        <w:fldChar w:fldCharType="end"/>
      </w:r>
    </w:p>
    <w:p>
      <w:pPr>
        <w:pStyle w:val="20"/>
        <w:tabs>
          <w:tab w:val="right" w:leader="dot" w:pos="8306"/>
        </w:tabs>
      </w:pPr>
      <w:r>
        <w:rPr>
          <w:rFonts w:hint="eastAsia" w:ascii="宋体" w:hAnsi="宋体" w:cs="宋体"/>
          <w:szCs w:val="28"/>
        </w:rPr>
        <w:fldChar w:fldCharType="begin"/>
      </w:r>
      <w:r>
        <w:rPr>
          <w:rFonts w:hint="eastAsia" w:ascii="宋体" w:hAnsi="宋体" w:cs="宋体"/>
          <w:szCs w:val="28"/>
        </w:rPr>
        <w:instrText xml:space="preserve"> HYPERLINK \l _Toc16919 </w:instrText>
      </w:r>
      <w:r>
        <w:rPr>
          <w:rFonts w:hint="eastAsia" w:ascii="宋体" w:hAnsi="宋体" w:cs="宋体"/>
          <w:szCs w:val="28"/>
        </w:rPr>
        <w:fldChar w:fldCharType="separate"/>
      </w:r>
      <w:r>
        <w:rPr>
          <w:rFonts w:hint="eastAsia" w:ascii="宋体" w:hAnsi="宋体" w:cs="宋体"/>
        </w:rPr>
        <w:t>第二</w:t>
      </w:r>
      <w:r>
        <w:rPr>
          <w:rFonts w:hint="eastAsia"/>
        </w:rPr>
        <w:t xml:space="preserve">章  </w:t>
      </w:r>
      <w:r>
        <w:rPr>
          <w:rFonts w:hint="eastAsia" w:ascii="宋体" w:hAnsi="宋体" w:cs="宋体"/>
        </w:rPr>
        <w:t>磋商一览表</w:t>
      </w:r>
      <w:r>
        <w:tab/>
      </w:r>
      <w:r>
        <w:fldChar w:fldCharType="begin"/>
      </w:r>
      <w:r>
        <w:instrText xml:space="preserve"> PAGEREF _Toc16919 \h </w:instrText>
      </w:r>
      <w:r>
        <w:fldChar w:fldCharType="separate"/>
      </w:r>
      <w:r>
        <w:t>40</w:t>
      </w:r>
      <w:r>
        <w:fldChar w:fldCharType="end"/>
      </w:r>
      <w:r>
        <w:rPr>
          <w:rFonts w:hint="eastAsia" w:ascii="宋体" w:hAnsi="宋体" w:cs="宋体"/>
          <w:szCs w:val="28"/>
        </w:rPr>
        <w:fldChar w:fldCharType="end"/>
      </w:r>
    </w:p>
    <w:p>
      <w:pPr>
        <w:pStyle w:val="20"/>
        <w:tabs>
          <w:tab w:val="right" w:leader="dot" w:pos="8306"/>
        </w:tabs>
      </w:pPr>
      <w:r>
        <w:rPr>
          <w:rFonts w:hint="eastAsia" w:ascii="宋体" w:hAnsi="宋体" w:cs="宋体"/>
          <w:szCs w:val="28"/>
        </w:rPr>
        <w:fldChar w:fldCharType="begin"/>
      </w:r>
      <w:r>
        <w:rPr>
          <w:rFonts w:hint="eastAsia" w:ascii="宋体" w:hAnsi="宋体" w:cs="宋体"/>
          <w:szCs w:val="28"/>
        </w:rPr>
        <w:instrText xml:space="preserve"> HYPERLINK \l _Toc1865 </w:instrText>
      </w:r>
      <w:r>
        <w:rPr>
          <w:rFonts w:hint="eastAsia" w:ascii="宋体" w:hAnsi="宋体" w:cs="宋体"/>
          <w:szCs w:val="28"/>
        </w:rPr>
        <w:fldChar w:fldCharType="separate"/>
      </w:r>
      <w:r>
        <w:rPr>
          <w:rFonts w:hint="eastAsia" w:hAnsi="宋体" w:cs="宋体"/>
        </w:rPr>
        <w:t>第三章  分项报价表</w:t>
      </w:r>
      <w:r>
        <w:tab/>
      </w:r>
      <w:r>
        <w:fldChar w:fldCharType="begin"/>
      </w:r>
      <w:r>
        <w:instrText xml:space="preserve"> PAGEREF _Toc1865 \h </w:instrText>
      </w:r>
      <w:r>
        <w:fldChar w:fldCharType="separate"/>
      </w:r>
      <w:r>
        <w:t>41</w:t>
      </w:r>
      <w:r>
        <w:fldChar w:fldCharType="end"/>
      </w:r>
      <w:r>
        <w:rPr>
          <w:rFonts w:hint="eastAsia" w:ascii="宋体" w:hAnsi="宋体" w:cs="宋体"/>
          <w:szCs w:val="28"/>
        </w:rPr>
        <w:fldChar w:fldCharType="end"/>
      </w:r>
    </w:p>
    <w:p>
      <w:pPr>
        <w:pStyle w:val="20"/>
        <w:tabs>
          <w:tab w:val="right" w:leader="dot" w:pos="8306"/>
        </w:tabs>
      </w:pPr>
      <w:r>
        <w:rPr>
          <w:rFonts w:hint="eastAsia" w:ascii="宋体" w:hAnsi="宋体" w:cs="宋体"/>
          <w:szCs w:val="28"/>
        </w:rPr>
        <w:fldChar w:fldCharType="begin"/>
      </w:r>
      <w:r>
        <w:rPr>
          <w:rFonts w:hint="eastAsia" w:ascii="宋体" w:hAnsi="宋体" w:cs="宋体"/>
          <w:szCs w:val="28"/>
        </w:rPr>
        <w:instrText xml:space="preserve"> HYPERLINK \l _Toc31896 </w:instrText>
      </w:r>
      <w:r>
        <w:rPr>
          <w:rFonts w:hint="eastAsia" w:ascii="宋体" w:hAnsi="宋体" w:cs="宋体"/>
          <w:szCs w:val="28"/>
        </w:rPr>
        <w:fldChar w:fldCharType="separate"/>
      </w:r>
      <w:r>
        <w:rPr>
          <w:rFonts w:hint="eastAsia"/>
        </w:rPr>
        <w:t>第四章  供应商资质证明资料</w:t>
      </w:r>
      <w:r>
        <w:tab/>
      </w:r>
      <w:r>
        <w:fldChar w:fldCharType="begin"/>
      </w:r>
      <w:r>
        <w:instrText xml:space="preserve"> PAGEREF _Toc31896 \h </w:instrText>
      </w:r>
      <w:r>
        <w:fldChar w:fldCharType="separate"/>
      </w:r>
      <w:r>
        <w:t>42</w:t>
      </w:r>
      <w:r>
        <w:fldChar w:fldCharType="end"/>
      </w:r>
      <w:r>
        <w:rPr>
          <w:rFonts w:hint="eastAsia" w:ascii="宋体" w:hAnsi="宋体" w:cs="宋体"/>
          <w:szCs w:val="28"/>
        </w:rPr>
        <w:fldChar w:fldCharType="end"/>
      </w:r>
    </w:p>
    <w:p>
      <w:pPr>
        <w:pStyle w:val="20"/>
        <w:tabs>
          <w:tab w:val="right" w:leader="dot" w:pos="8306"/>
        </w:tabs>
      </w:pPr>
      <w:r>
        <w:rPr>
          <w:rFonts w:hint="eastAsia" w:ascii="宋体" w:hAnsi="宋体" w:cs="宋体"/>
          <w:szCs w:val="28"/>
        </w:rPr>
        <w:fldChar w:fldCharType="begin"/>
      </w:r>
      <w:r>
        <w:rPr>
          <w:rFonts w:hint="eastAsia" w:ascii="宋体" w:hAnsi="宋体" w:cs="宋体"/>
          <w:szCs w:val="28"/>
        </w:rPr>
        <w:instrText xml:space="preserve"> HYPERLINK \l _Toc2025 </w:instrText>
      </w:r>
      <w:r>
        <w:rPr>
          <w:rFonts w:hint="eastAsia" w:ascii="宋体" w:hAnsi="宋体" w:cs="宋体"/>
          <w:szCs w:val="28"/>
        </w:rPr>
        <w:fldChar w:fldCharType="separate"/>
      </w:r>
      <w:r>
        <w:rPr>
          <w:rFonts w:hint="eastAsia"/>
        </w:rPr>
        <w:t>第五章  商务和服务响应偏离表</w:t>
      </w:r>
      <w:r>
        <w:tab/>
      </w:r>
      <w:r>
        <w:fldChar w:fldCharType="begin"/>
      </w:r>
      <w:r>
        <w:instrText xml:space="preserve"> PAGEREF _Toc2025 \h </w:instrText>
      </w:r>
      <w:r>
        <w:fldChar w:fldCharType="separate"/>
      </w:r>
      <w:r>
        <w:t>50</w:t>
      </w:r>
      <w:r>
        <w:fldChar w:fldCharType="end"/>
      </w:r>
      <w:r>
        <w:rPr>
          <w:rFonts w:hint="eastAsia" w:ascii="宋体" w:hAnsi="宋体" w:cs="宋体"/>
          <w:szCs w:val="28"/>
        </w:rPr>
        <w:fldChar w:fldCharType="end"/>
      </w:r>
    </w:p>
    <w:p>
      <w:pPr>
        <w:pStyle w:val="20"/>
        <w:tabs>
          <w:tab w:val="right" w:leader="dot" w:pos="8306"/>
        </w:tabs>
      </w:pPr>
      <w:r>
        <w:rPr>
          <w:rFonts w:hint="eastAsia" w:ascii="宋体" w:hAnsi="宋体" w:cs="宋体"/>
          <w:szCs w:val="28"/>
        </w:rPr>
        <w:fldChar w:fldCharType="begin"/>
      </w:r>
      <w:r>
        <w:rPr>
          <w:rFonts w:hint="eastAsia" w:ascii="宋体" w:hAnsi="宋体" w:cs="宋体"/>
          <w:szCs w:val="28"/>
        </w:rPr>
        <w:instrText xml:space="preserve"> HYPERLINK \l _Toc13930 </w:instrText>
      </w:r>
      <w:r>
        <w:rPr>
          <w:rFonts w:hint="eastAsia" w:ascii="宋体" w:hAnsi="宋体" w:cs="宋体"/>
          <w:szCs w:val="28"/>
        </w:rPr>
        <w:fldChar w:fldCharType="separate"/>
      </w:r>
      <w:r>
        <w:rPr>
          <w:rFonts w:hint="eastAsia" w:ascii="Arial" w:hAnsi="Arial"/>
        </w:rPr>
        <w:t>第六章  服务方案</w:t>
      </w:r>
      <w:r>
        <w:tab/>
      </w:r>
      <w:r>
        <w:fldChar w:fldCharType="begin"/>
      </w:r>
      <w:r>
        <w:instrText xml:space="preserve"> PAGEREF _Toc13930 \h </w:instrText>
      </w:r>
      <w:r>
        <w:fldChar w:fldCharType="separate"/>
      </w:r>
      <w:r>
        <w:t>52</w:t>
      </w:r>
      <w:r>
        <w:fldChar w:fldCharType="end"/>
      </w:r>
      <w:r>
        <w:rPr>
          <w:rFonts w:hint="eastAsia" w:ascii="宋体" w:hAnsi="宋体" w:cs="宋体"/>
          <w:szCs w:val="28"/>
        </w:rPr>
        <w:fldChar w:fldCharType="end"/>
      </w:r>
    </w:p>
    <w:p>
      <w:pPr>
        <w:pStyle w:val="20"/>
        <w:tabs>
          <w:tab w:val="right" w:leader="dot" w:pos="8306"/>
        </w:tabs>
      </w:pPr>
      <w:r>
        <w:rPr>
          <w:rFonts w:hint="eastAsia" w:ascii="宋体" w:hAnsi="宋体" w:cs="宋体"/>
          <w:szCs w:val="28"/>
        </w:rPr>
        <w:fldChar w:fldCharType="begin"/>
      </w:r>
      <w:r>
        <w:rPr>
          <w:rFonts w:hint="eastAsia" w:ascii="宋体" w:hAnsi="宋体" w:cs="宋体"/>
          <w:szCs w:val="28"/>
        </w:rPr>
        <w:instrText xml:space="preserve"> HYPERLINK \l _Toc17149 </w:instrText>
      </w:r>
      <w:r>
        <w:rPr>
          <w:rFonts w:hint="eastAsia" w:ascii="宋体" w:hAnsi="宋体" w:cs="宋体"/>
          <w:szCs w:val="28"/>
        </w:rPr>
        <w:fldChar w:fldCharType="separate"/>
      </w:r>
      <w:r>
        <w:rPr>
          <w:rFonts w:hint="eastAsia"/>
        </w:rPr>
        <w:t>第七章  供应商业绩一览表</w:t>
      </w:r>
      <w:r>
        <w:tab/>
      </w:r>
      <w:r>
        <w:fldChar w:fldCharType="begin"/>
      </w:r>
      <w:r>
        <w:instrText xml:space="preserve"> PAGEREF _Toc17149 \h </w:instrText>
      </w:r>
      <w:r>
        <w:fldChar w:fldCharType="separate"/>
      </w:r>
      <w:r>
        <w:t>53</w:t>
      </w:r>
      <w:r>
        <w:fldChar w:fldCharType="end"/>
      </w:r>
      <w:r>
        <w:rPr>
          <w:rFonts w:hint="eastAsia" w:ascii="宋体" w:hAnsi="宋体" w:cs="宋体"/>
          <w:szCs w:val="28"/>
        </w:rPr>
        <w:fldChar w:fldCharType="end"/>
      </w:r>
    </w:p>
    <w:p>
      <w:pPr>
        <w:pStyle w:val="20"/>
        <w:tabs>
          <w:tab w:val="right" w:leader="dot" w:pos="8306"/>
        </w:tabs>
      </w:pPr>
      <w:r>
        <w:rPr>
          <w:rFonts w:hint="eastAsia" w:ascii="宋体" w:hAnsi="宋体" w:cs="宋体"/>
          <w:szCs w:val="28"/>
        </w:rPr>
        <w:fldChar w:fldCharType="begin"/>
      </w:r>
      <w:r>
        <w:rPr>
          <w:rFonts w:hint="eastAsia" w:ascii="宋体" w:hAnsi="宋体" w:cs="宋体"/>
          <w:szCs w:val="28"/>
        </w:rPr>
        <w:instrText xml:space="preserve"> HYPERLINK \l _Toc30901 </w:instrText>
      </w:r>
      <w:r>
        <w:rPr>
          <w:rFonts w:hint="eastAsia" w:ascii="宋体" w:hAnsi="宋体" w:cs="宋体"/>
          <w:szCs w:val="28"/>
        </w:rPr>
        <w:fldChar w:fldCharType="separate"/>
      </w:r>
      <w:r>
        <w:rPr>
          <w:rFonts w:hint="eastAsia"/>
        </w:rPr>
        <w:t>第八章  供应商认为有必要说明的其他问题</w:t>
      </w:r>
      <w:r>
        <w:tab/>
      </w:r>
      <w:r>
        <w:fldChar w:fldCharType="begin"/>
      </w:r>
      <w:r>
        <w:instrText xml:space="preserve"> PAGEREF _Toc30901 \h </w:instrText>
      </w:r>
      <w:r>
        <w:fldChar w:fldCharType="separate"/>
      </w:r>
      <w:r>
        <w:t>54</w:t>
      </w:r>
      <w:r>
        <w:fldChar w:fldCharType="end"/>
      </w:r>
      <w:r>
        <w:rPr>
          <w:rFonts w:hint="eastAsia" w:ascii="宋体" w:hAnsi="宋体" w:cs="宋体"/>
          <w:szCs w:val="28"/>
        </w:rPr>
        <w:fldChar w:fldCharType="end"/>
      </w:r>
    </w:p>
    <w:p>
      <w:pPr>
        <w:pStyle w:val="20"/>
        <w:tabs>
          <w:tab w:val="right" w:leader="dot" w:pos="8306"/>
        </w:tabs>
      </w:pPr>
      <w:r>
        <w:rPr>
          <w:rFonts w:hint="eastAsia" w:ascii="宋体" w:hAnsi="宋体" w:cs="宋体"/>
          <w:szCs w:val="28"/>
        </w:rPr>
        <w:fldChar w:fldCharType="begin"/>
      </w:r>
      <w:r>
        <w:rPr>
          <w:rFonts w:hint="eastAsia" w:ascii="宋体" w:hAnsi="宋体" w:cs="宋体"/>
          <w:szCs w:val="28"/>
        </w:rPr>
        <w:instrText xml:space="preserve"> HYPERLINK \l _Toc6699 </w:instrText>
      </w:r>
      <w:r>
        <w:rPr>
          <w:rFonts w:hint="eastAsia" w:ascii="宋体" w:hAnsi="宋体" w:cs="宋体"/>
          <w:szCs w:val="28"/>
        </w:rPr>
        <w:fldChar w:fldCharType="separate"/>
      </w:r>
      <w:r>
        <w:rPr>
          <w:rFonts w:hint="eastAsia" w:ascii="宋体" w:hAnsi="宋体" w:cs="宋体"/>
        </w:rPr>
        <w:t>附件一、封袋正面标识式样</w:t>
      </w:r>
      <w:r>
        <w:tab/>
      </w:r>
      <w:r>
        <w:fldChar w:fldCharType="begin"/>
      </w:r>
      <w:r>
        <w:instrText xml:space="preserve"> PAGEREF _Toc6699 \h </w:instrText>
      </w:r>
      <w:r>
        <w:fldChar w:fldCharType="separate"/>
      </w:r>
      <w:r>
        <w:t>55</w:t>
      </w:r>
      <w:r>
        <w:fldChar w:fldCharType="end"/>
      </w:r>
      <w:r>
        <w:rPr>
          <w:rFonts w:hint="eastAsia" w:ascii="宋体" w:hAnsi="宋体" w:cs="宋体"/>
          <w:szCs w:val="28"/>
        </w:rPr>
        <w:fldChar w:fldCharType="end"/>
      </w:r>
    </w:p>
    <w:p>
      <w:pPr>
        <w:pStyle w:val="20"/>
        <w:tabs>
          <w:tab w:val="right" w:leader="dot" w:pos="8306"/>
        </w:tabs>
      </w:pPr>
      <w:r>
        <w:rPr>
          <w:rFonts w:hint="eastAsia" w:ascii="宋体" w:hAnsi="宋体" w:cs="宋体"/>
          <w:szCs w:val="28"/>
        </w:rPr>
        <w:fldChar w:fldCharType="begin"/>
      </w:r>
      <w:r>
        <w:rPr>
          <w:rFonts w:hint="eastAsia" w:ascii="宋体" w:hAnsi="宋体" w:cs="宋体"/>
          <w:szCs w:val="28"/>
        </w:rPr>
        <w:instrText xml:space="preserve"> HYPERLINK \l _Toc12061 </w:instrText>
      </w:r>
      <w:r>
        <w:rPr>
          <w:rFonts w:hint="eastAsia" w:ascii="宋体" w:hAnsi="宋体" w:cs="宋体"/>
          <w:szCs w:val="28"/>
        </w:rPr>
        <w:fldChar w:fldCharType="separate"/>
      </w:r>
      <w:r>
        <w:rPr>
          <w:rFonts w:hint="eastAsia"/>
          <w:bCs/>
          <w:szCs w:val="28"/>
        </w:rPr>
        <w:t>附件</w:t>
      </w:r>
      <w:r>
        <w:rPr>
          <w:rFonts w:hint="eastAsia"/>
          <w:bCs/>
          <w:szCs w:val="28"/>
          <w:lang w:val="en-US" w:eastAsia="zh-CN"/>
        </w:rPr>
        <w:t>二</w:t>
      </w:r>
      <w:r>
        <w:rPr>
          <w:rFonts w:hint="eastAsia"/>
          <w:bCs/>
          <w:szCs w:val="28"/>
        </w:rPr>
        <w:t>、残疾人福利性单位声明</w:t>
      </w:r>
      <w:r>
        <w:tab/>
      </w:r>
      <w:r>
        <w:fldChar w:fldCharType="begin"/>
      </w:r>
      <w:r>
        <w:instrText xml:space="preserve"> PAGEREF _Toc12061 \h </w:instrText>
      </w:r>
      <w:r>
        <w:fldChar w:fldCharType="separate"/>
      </w:r>
      <w:r>
        <w:t>57</w:t>
      </w:r>
      <w:r>
        <w:fldChar w:fldCharType="end"/>
      </w:r>
      <w:r>
        <w:rPr>
          <w:rFonts w:hint="eastAsia" w:ascii="宋体" w:hAnsi="宋体" w:cs="宋体"/>
          <w:szCs w:val="28"/>
        </w:rPr>
        <w:fldChar w:fldCharType="end"/>
      </w:r>
    </w:p>
    <w:p>
      <w:pPr>
        <w:pStyle w:val="20"/>
        <w:tabs>
          <w:tab w:val="right" w:leader="dot" w:pos="8306"/>
        </w:tabs>
      </w:pPr>
      <w:r>
        <w:rPr>
          <w:rFonts w:hint="eastAsia" w:ascii="宋体" w:hAnsi="宋体" w:cs="宋体"/>
          <w:szCs w:val="28"/>
        </w:rPr>
        <w:fldChar w:fldCharType="begin"/>
      </w:r>
      <w:r>
        <w:rPr>
          <w:rFonts w:hint="eastAsia" w:ascii="宋体" w:hAnsi="宋体" w:cs="宋体"/>
          <w:szCs w:val="28"/>
        </w:rPr>
        <w:instrText xml:space="preserve"> HYPERLINK \l _Toc186 </w:instrText>
      </w:r>
      <w:r>
        <w:rPr>
          <w:rFonts w:hint="eastAsia" w:ascii="宋体" w:hAnsi="宋体" w:cs="宋体"/>
          <w:szCs w:val="28"/>
        </w:rPr>
        <w:fldChar w:fldCharType="separate"/>
      </w:r>
      <w:r>
        <w:rPr>
          <w:rFonts w:hint="eastAsia"/>
        </w:rPr>
        <w:t>附件</w:t>
      </w:r>
      <w:r>
        <w:rPr>
          <w:rFonts w:hint="eastAsia"/>
          <w:lang w:val="en-US" w:eastAsia="zh-CN"/>
        </w:rPr>
        <w:t>三</w:t>
      </w:r>
      <w:r>
        <w:rPr>
          <w:rFonts w:hint="eastAsia"/>
        </w:rPr>
        <w:t>、监狱企业证明文件</w:t>
      </w:r>
      <w:r>
        <w:tab/>
      </w:r>
      <w:r>
        <w:fldChar w:fldCharType="begin"/>
      </w:r>
      <w:r>
        <w:instrText xml:space="preserve"> PAGEREF _Toc186 \h </w:instrText>
      </w:r>
      <w:r>
        <w:fldChar w:fldCharType="separate"/>
      </w:r>
      <w:r>
        <w:t>58</w:t>
      </w:r>
      <w:r>
        <w:fldChar w:fldCharType="end"/>
      </w:r>
      <w:r>
        <w:rPr>
          <w:rFonts w:hint="eastAsia" w:ascii="宋体" w:hAnsi="宋体" w:cs="宋体"/>
          <w:szCs w:val="28"/>
        </w:rPr>
        <w:fldChar w:fldCharType="end"/>
      </w:r>
    </w:p>
    <w:p>
      <w:pPr>
        <w:pStyle w:val="20"/>
        <w:tabs>
          <w:tab w:val="right" w:leader="dot" w:pos="8306"/>
        </w:tabs>
      </w:pPr>
      <w:r>
        <w:rPr>
          <w:rFonts w:hint="eastAsia" w:ascii="宋体" w:hAnsi="宋体" w:cs="宋体"/>
          <w:szCs w:val="28"/>
        </w:rPr>
        <w:fldChar w:fldCharType="begin"/>
      </w:r>
      <w:r>
        <w:rPr>
          <w:rFonts w:hint="eastAsia" w:ascii="宋体" w:hAnsi="宋体" w:cs="宋体"/>
          <w:szCs w:val="28"/>
        </w:rPr>
        <w:instrText xml:space="preserve"> HYPERLINK \l _Toc9529 </w:instrText>
      </w:r>
      <w:r>
        <w:rPr>
          <w:rFonts w:hint="eastAsia" w:ascii="宋体" w:hAnsi="宋体" w:cs="宋体"/>
          <w:szCs w:val="28"/>
        </w:rPr>
        <w:fldChar w:fldCharType="separate"/>
      </w:r>
      <w:r>
        <w:rPr>
          <w:rFonts w:hint="eastAsia" w:ascii="宋体" w:hAnsi="宋体" w:cs="宋体"/>
        </w:rPr>
        <w:t>附件</w:t>
      </w:r>
      <w:r>
        <w:rPr>
          <w:rFonts w:hint="eastAsia" w:ascii="宋体" w:hAnsi="宋体" w:cs="宋体"/>
          <w:lang w:val="en-US" w:eastAsia="zh-CN"/>
        </w:rPr>
        <w:t>四</w:t>
      </w:r>
      <w:r>
        <w:rPr>
          <w:rFonts w:hint="eastAsia" w:ascii="宋体" w:hAnsi="宋体" w:cs="宋体"/>
        </w:rPr>
        <w:t>、“节能产品”，“环境标志产品”证明材料</w:t>
      </w:r>
      <w:r>
        <w:tab/>
      </w:r>
      <w:r>
        <w:fldChar w:fldCharType="begin"/>
      </w:r>
      <w:r>
        <w:instrText xml:space="preserve"> PAGEREF _Toc9529 \h </w:instrText>
      </w:r>
      <w:r>
        <w:fldChar w:fldCharType="separate"/>
      </w:r>
      <w:r>
        <w:t>58</w:t>
      </w:r>
      <w:r>
        <w:fldChar w:fldCharType="end"/>
      </w:r>
      <w:r>
        <w:rPr>
          <w:rFonts w:hint="eastAsia" w:ascii="宋体" w:hAnsi="宋体" w:cs="宋体"/>
          <w:szCs w:val="28"/>
        </w:rPr>
        <w:fldChar w:fldCharType="end"/>
      </w:r>
    </w:p>
    <w:p>
      <w:pPr>
        <w:pStyle w:val="20"/>
        <w:tabs>
          <w:tab w:val="right" w:leader="dot" w:pos="8306"/>
        </w:tabs>
      </w:pPr>
      <w:r>
        <w:rPr>
          <w:rFonts w:hint="eastAsia" w:ascii="宋体" w:hAnsi="宋体" w:cs="宋体"/>
          <w:szCs w:val="28"/>
        </w:rPr>
        <w:fldChar w:fldCharType="begin"/>
      </w:r>
      <w:r>
        <w:rPr>
          <w:rFonts w:hint="eastAsia" w:ascii="宋体" w:hAnsi="宋体" w:cs="宋体"/>
          <w:szCs w:val="28"/>
        </w:rPr>
        <w:instrText xml:space="preserve"> HYPERLINK \l _Toc19367 </w:instrText>
      </w:r>
      <w:r>
        <w:rPr>
          <w:rFonts w:hint="eastAsia" w:ascii="宋体" w:hAnsi="宋体" w:cs="宋体"/>
          <w:szCs w:val="28"/>
        </w:rPr>
        <w:fldChar w:fldCharType="separate"/>
      </w:r>
      <w:r>
        <w:rPr>
          <w:rFonts w:hint="eastAsia"/>
        </w:rPr>
        <w:t>附件</w:t>
      </w:r>
      <w:r>
        <w:rPr>
          <w:rFonts w:hint="eastAsia"/>
          <w:lang w:val="en-US" w:eastAsia="zh-CN"/>
        </w:rPr>
        <w:t>五</w:t>
      </w:r>
      <w:r>
        <w:rPr>
          <w:rFonts w:hint="eastAsia"/>
        </w:rPr>
        <w:t>、质疑函范本</w:t>
      </w:r>
      <w:r>
        <w:tab/>
      </w:r>
      <w:r>
        <w:fldChar w:fldCharType="begin"/>
      </w:r>
      <w:r>
        <w:instrText xml:space="preserve"> PAGEREF _Toc19367 \h </w:instrText>
      </w:r>
      <w:r>
        <w:fldChar w:fldCharType="separate"/>
      </w:r>
      <w:r>
        <w:t>59</w:t>
      </w:r>
      <w:r>
        <w:fldChar w:fldCharType="end"/>
      </w:r>
      <w:r>
        <w:rPr>
          <w:rFonts w:hint="eastAsia" w:ascii="宋体" w:hAnsi="宋体" w:cs="宋体"/>
          <w:szCs w:val="28"/>
        </w:rPr>
        <w:fldChar w:fldCharType="end"/>
      </w:r>
    </w:p>
    <w:p>
      <w:pPr>
        <w:spacing w:line="288" w:lineRule="auto"/>
        <w:rPr>
          <w:rFonts w:ascii="宋体" w:hAnsi="宋体" w:cs="宋体"/>
          <w:sz w:val="22"/>
          <w:szCs w:val="28"/>
        </w:rPr>
      </w:pPr>
      <w:r>
        <w:rPr>
          <w:rFonts w:hint="eastAsia" w:ascii="宋体" w:hAnsi="宋体" w:cs="宋体"/>
          <w:szCs w:val="28"/>
        </w:rPr>
        <w:fldChar w:fldCharType="end"/>
      </w:r>
    </w:p>
    <w:p/>
    <w:p/>
    <w:p/>
    <w:p/>
    <w:p/>
    <w:p>
      <w:pPr>
        <w:tabs>
          <w:tab w:val="left" w:pos="6210"/>
        </w:tabs>
        <w:jc w:val="left"/>
        <w:sectPr>
          <w:footerReference r:id="rId6" w:type="default"/>
          <w:pgSz w:w="11906" w:h="16838"/>
          <w:pgMar w:top="1440" w:right="1800" w:bottom="1440" w:left="1800" w:header="851" w:footer="992" w:gutter="0"/>
          <w:pgNumType w:start="1"/>
          <w:cols w:space="720" w:num="1"/>
          <w:docGrid w:type="lines" w:linePitch="312" w:charSpace="0"/>
        </w:sectPr>
      </w:pPr>
      <w:r>
        <w:rPr>
          <w:rFonts w:hint="eastAsia"/>
        </w:rPr>
        <w:tab/>
      </w:r>
    </w:p>
    <w:p>
      <w:pPr>
        <w:pStyle w:val="3"/>
        <w:rPr>
          <w:rFonts w:ascii="宋体" w:hAnsi="宋体" w:cs="宋体"/>
        </w:rPr>
      </w:pPr>
      <w:bookmarkStart w:id="1" w:name="_Toc27511"/>
      <w:bookmarkStart w:id="2" w:name="_Toc31803"/>
      <w:bookmarkStart w:id="3" w:name="_Toc26575"/>
      <w:bookmarkStart w:id="4" w:name="_Toc27507"/>
      <w:bookmarkStart w:id="5" w:name="_Toc22085"/>
      <w:r>
        <w:rPr>
          <w:rFonts w:hint="eastAsia" w:ascii="宋体" w:hAnsi="宋体" w:cs="宋体"/>
        </w:rPr>
        <w:t>第一部分 竞争性磋商公告</w:t>
      </w:r>
      <w:bookmarkEnd w:id="1"/>
      <w:bookmarkEnd w:id="2"/>
      <w:bookmarkEnd w:id="3"/>
      <w:bookmarkEnd w:id="4"/>
      <w:bookmarkEnd w:id="5"/>
    </w:p>
    <w:p>
      <w:pPr>
        <w:widowControl/>
        <w:wordWrap w:val="0"/>
        <w:snapToGrid w:val="0"/>
        <w:spacing w:line="360" w:lineRule="auto"/>
        <w:ind w:firstLine="480" w:firstLineChars="200"/>
        <w:jc w:val="left"/>
        <w:rPr>
          <w:rFonts w:ascii="宋体" w:hAnsi="宋体" w:cs="宋体"/>
          <w:b/>
          <w:bCs/>
          <w:kern w:val="0"/>
          <w:sz w:val="24"/>
          <w:szCs w:val="24"/>
        </w:rPr>
      </w:pPr>
      <w:r>
        <w:rPr>
          <w:rFonts w:hint="eastAsia" w:ascii="宋体" w:hAnsi="宋体" w:cs="宋体"/>
          <w:kern w:val="0"/>
          <w:sz w:val="24"/>
          <w:szCs w:val="24"/>
        </w:rPr>
        <w:t>陕西万泽招标有限公司受西安市食品药品检验所的委托，经政府采购管理部门批准，就西安市食品药品检验所食品抽样租赁用车项目进行竞争性磋商，欢迎符合资格条件的、有能力提供本次项目所需货物和服务的供货商参加磋商。</w:t>
      </w:r>
    </w:p>
    <w:p>
      <w:pPr>
        <w:widowControl/>
        <w:numPr>
          <w:ilvl w:val="0"/>
          <w:numId w:val="2"/>
        </w:numPr>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项目名称：西安市食品药品检验所食品抽样租赁用车项目</w:t>
      </w:r>
    </w:p>
    <w:p>
      <w:pPr>
        <w:widowControl/>
        <w:numPr>
          <w:ilvl w:val="0"/>
          <w:numId w:val="2"/>
        </w:numPr>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项目编号：SXWZ2022ZB-SYJ-013</w:t>
      </w:r>
    </w:p>
    <w:p>
      <w:pPr>
        <w:widowControl/>
        <w:numPr>
          <w:ilvl w:val="0"/>
          <w:numId w:val="2"/>
        </w:numPr>
        <w:wordWrap w:val="0"/>
        <w:snapToGrid w:val="0"/>
        <w:spacing w:line="360" w:lineRule="auto"/>
        <w:ind w:firstLine="480" w:firstLineChars="200"/>
        <w:jc w:val="left"/>
        <w:rPr>
          <w:rFonts w:ascii="宋体" w:hAnsi="宋体" w:cs="宋体"/>
          <w:kern w:val="0"/>
          <w:sz w:val="28"/>
          <w:szCs w:val="28"/>
        </w:rPr>
      </w:pPr>
      <w:bookmarkStart w:id="6" w:name="OLE_LINK2"/>
      <w:r>
        <w:rPr>
          <w:rFonts w:hint="eastAsia" w:ascii="宋体" w:hAnsi="宋体" w:cs="宋体"/>
          <w:kern w:val="0"/>
          <w:sz w:val="24"/>
          <w:szCs w:val="24"/>
        </w:rPr>
        <w:t>采购人名称：西安市食品药品检验所</w:t>
      </w:r>
    </w:p>
    <w:p>
      <w:pPr>
        <w:widowControl/>
        <w:wordWrap w:val="0"/>
        <w:snapToGrid w:val="0"/>
        <w:spacing w:line="360" w:lineRule="auto"/>
        <w:ind w:firstLine="960" w:firstLineChars="400"/>
        <w:jc w:val="left"/>
        <w:rPr>
          <w:rFonts w:hint="eastAsia" w:ascii="宋体" w:hAnsi="宋体" w:cs="宋体"/>
          <w:kern w:val="0"/>
          <w:sz w:val="24"/>
          <w:szCs w:val="24"/>
        </w:rPr>
      </w:pPr>
      <w:r>
        <w:rPr>
          <w:rFonts w:hint="eastAsia" w:ascii="宋体" w:hAnsi="宋体" w:cs="宋体"/>
          <w:kern w:val="0"/>
          <w:sz w:val="24"/>
          <w:szCs w:val="24"/>
        </w:rPr>
        <w:t>地    址：西安市碑林区雁塔中路26号</w:t>
      </w:r>
    </w:p>
    <w:p>
      <w:pPr>
        <w:widowControl/>
        <w:wordWrap w:val="0"/>
        <w:snapToGrid w:val="0"/>
        <w:spacing w:line="360" w:lineRule="auto"/>
        <w:ind w:firstLine="960" w:firstLineChars="400"/>
        <w:jc w:val="left"/>
        <w:rPr>
          <w:rFonts w:hint="eastAsia" w:ascii="宋体" w:hAnsi="宋体" w:cs="宋体"/>
          <w:kern w:val="0"/>
          <w:sz w:val="24"/>
          <w:szCs w:val="24"/>
        </w:rPr>
      </w:pPr>
      <w:r>
        <w:rPr>
          <w:rFonts w:hint="eastAsia" w:ascii="宋体" w:hAnsi="宋体" w:cs="宋体"/>
          <w:kern w:val="0"/>
          <w:sz w:val="24"/>
          <w:szCs w:val="24"/>
        </w:rPr>
        <w:t>联 系 人：曹老师</w:t>
      </w:r>
    </w:p>
    <w:p>
      <w:pPr>
        <w:widowControl/>
        <w:wordWrap w:val="0"/>
        <w:snapToGrid w:val="0"/>
        <w:spacing w:line="360" w:lineRule="auto"/>
        <w:ind w:firstLine="960" w:firstLineChars="400"/>
        <w:jc w:val="left"/>
        <w:rPr>
          <w:rFonts w:ascii="宋体" w:hAnsi="宋体" w:cs="宋体"/>
          <w:kern w:val="0"/>
          <w:sz w:val="24"/>
          <w:szCs w:val="24"/>
        </w:rPr>
      </w:pPr>
      <w:r>
        <w:rPr>
          <w:rFonts w:hint="eastAsia" w:ascii="宋体" w:hAnsi="宋体" w:cs="宋体"/>
          <w:kern w:val="0"/>
          <w:sz w:val="24"/>
          <w:szCs w:val="24"/>
        </w:rPr>
        <w:t>联系方式：</w:t>
      </w:r>
      <w:r>
        <w:rPr>
          <w:rFonts w:hint="eastAsia" w:ascii="宋体" w:hAnsi="宋体" w:cs="宋体"/>
          <w:sz w:val="24"/>
          <w:szCs w:val="24"/>
        </w:rPr>
        <w:t>029-85512681</w:t>
      </w:r>
    </w:p>
    <w:bookmarkEnd w:id="6"/>
    <w:p>
      <w:pPr>
        <w:widowControl/>
        <w:numPr>
          <w:ilvl w:val="0"/>
          <w:numId w:val="2"/>
        </w:numPr>
        <w:tabs>
          <w:tab w:val="left" w:pos="1620"/>
        </w:tabs>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采购代理机构名称：陕西万泽招标有限公司</w:t>
      </w:r>
    </w:p>
    <w:p>
      <w:pPr>
        <w:widowControl/>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    地    址：西安市莲湖区西关正街英达大厦1507室</w:t>
      </w:r>
    </w:p>
    <w:p>
      <w:pPr>
        <w:widowControl/>
        <w:wordWrap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 xml:space="preserve">    联系方式：029-88319689-807/806</w:t>
      </w:r>
    </w:p>
    <w:p>
      <w:pPr>
        <w:widowControl/>
        <w:numPr>
          <w:ilvl w:val="0"/>
          <w:numId w:val="2"/>
        </w:numPr>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采购内容和要求：</w:t>
      </w:r>
    </w:p>
    <w:p>
      <w:pPr>
        <w:widowControl/>
        <w:wordWrap w:val="0"/>
        <w:snapToGrid w:val="0"/>
        <w:spacing w:line="360" w:lineRule="auto"/>
        <w:ind w:firstLine="960" w:firstLineChars="400"/>
        <w:jc w:val="left"/>
        <w:rPr>
          <w:rFonts w:hint="eastAsia" w:ascii="宋体" w:hAnsi="宋体" w:cs="宋体"/>
          <w:kern w:val="0"/>
          <w:sz w:val="24"/>
          <w:szCs w:val="24"/>
        </w:rPr>
      </w:pPr>
      <w:r>
        <w:rPr>
          <w:rFonts w:hint="eastAsia" w:ascii="宋体" w:hAnsi="宋体" w:cs="宋体"/>
          <w:kern w:val="0"/>
          <w:sz w:val="24"/>
          <w:szCs w:val="24"/>
        </w:rPr>
        <w:t>采购内容：食品抽样租赁用车</w:t>
      </w:r>
    </w:p>
    <w:p>
      <w:pPr>
        <w:pStyle w:val="7"/>
        <w:spacing w:line="360" w:lineRule="auto"/>
        <w:ind w:left="958" w:leftChars="456" w:firstLine="0"/>
        <w:jc w:val="left"/>
        <w:rPr>
          <w:rFonts w:ascii="宋体" w:hAnsi="宋体" w:cs="宋体"/>
          <w:sz w:val="24"/>
          <w:szCs w:val="24"/>
        </w:rPr>
      </w:pPr>
      <w:r>
        <w:rPr>
          <w:rFonts w:hint="eastAsia" w:ascii="宋体" w:hAnsi="宋体" w:cs="宋体"/>
          <w:kern w:val="0"/>
          <w:sz w:val="24"/>
          <w:szCs w:val="24"/>
        </w:rPr>
        <w:t>采购预算：30</w:t>
      </w:r>
      <w:r>
        <w:rPr>
          <w:rFonts w:hint="eastAsia" w:ascii="宋体" w:hAnsi="宋体" w:cs="宋体"/>
          <w:sz w:val="24"/>
          <w:szCs w:val="24"/>
        </w:rPr>
        <w:t>万元</w:t>
      </w:r>
    </w:p>
    <w:p>
      <w:pPr>
        <w:pStyle w:val="7"/>
        <w:spacing w:line="360" w:lineRule="auto"/>
        <w:ind w:firstLine="960" w:firstLineChars="400"/>
        <w:jc w:val="left"/>
        <w:rPr>
          <w:rFonts w:ascii="宋体" w:hAnsi="宋体" w:cs="宋体"/>
          <w:sz w:val="24"/>
          <w:szCs w:val="24"/>
        </w:rPr>
      </w:pPr>
      <w:r>
        <w:rPr>
          <w:rFonts w:hint="eastAsia" w:ascii="宋体" w:hAnsi="宋体" w:cs="宋体"/>
          <w:sz w:val="24"/>
          <w:szCs w:val="24"/>
        </w:rPr>
        <w:t>项目用途：自用</w:t>
      </w:r>
    </w:p>
    <w:p>
      <w:pPr>
        <w:pStyle w:val="17"/>
        <w:spacing w:line="360" w:lineRule="auto"/>
        <w:ind w:firstLine="960" w:firstLineChars="400"/>
        <w:rPr>
          <w:sz w:val="24"/>
          <w:szCs w:val="24"/>
        </w:rPr>
      </w:pPr>
      <w:r>
        <w:rPr>
          <w:rFonts w:hint="eastAsia" w:ascii="宋体" w:hAnsi="宋体" w:cs="宋体"/>
          <w:sz w:val="24"/>
          <w:szCs w:val="24"/>
        </w:rPr>
        <w:t>项目性质：财政资金</w:t>
      </w:r>
    </w:p>
    <w:p>
      <w:pPr>
        <w:widowControl/>
        <w:numPr>
          <w:ilvl w:val="0"/>
          <w:numId w:val="2"/>
        </w:numPr>
        <w:tabs>
          <w:tab w:val="left" w:pos="1620"/>
        </w:tabs>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供应商资质要求：</w:t>
      </w:r>
    </w:p>
    <w:p>
      <w:pPr>
        <w:widowControl/>
        <w:shd w:val="clear" w:color="auto" w:fill="FFFFFF"/>
        <w:spacing w:line="480" w:lineRule="atLeast"/>
        <w:jc w:val="left"/>
        <w:rPr>
          <w:rFonts w:ascii="宋体" w:hAnsi="宋体" w:cs="宋体"/>
          <w:bCs/>
          <w:kern w:val="0"/>
          <w:sz w:val="24"/>
          <w:szCs w:val="24"/>
        </w:rPr>
      </w:pPr>
      <w:r>
        <w:rPr>
          <w:rFonts w:hint="eastAsia" w:ascii="宋体" w:hAnsi="宋体" w:cs="宋体"/>
          <w:bCs/>
          <w:kern w:val="0"/>
          <w:sz w:val="24"/>
          <w:szCs w:val="24"/>
        </w:rPr>
        <w:t>符合《中华人民共和国政府采购法》第二十二条规定，并提供以下材料：</w:t>
      </w:r>
    </w:p>
    <w:p>
      <w:pPr>
        <w:numPr>
          <w:ilvl w:val="0"/>
          <w:numId w:val="3"/>
        </w:numPr>
        <w:snapToGrid w:val="0"/>
        <w:spacing w:line="360" w:lineRule="auto"/>
        <w:ind w:firstLine="567"/>
        <w:jc w:val="left"/>
        <w:rPr>
          <w:rFonts w:ascii="宋体" w:hAnsi="宋体" w:cs="宋体"/>
          <w:bCs/>
          <w:kern w:val="0"/>
          <w:sz w:val="24"/>
          <w:szCs w:val="24"/>
        </w:rPr>
      </w:pPr>
      <w:r>
        <w:rPr>
          <w:rFonts w:hint="eastAsia" w:ascii="宋体" w:hAnsi="宋体" w:cs="宋体"/>
          <w:bCs/>
          <w:kern w:val="0"/>
          <w:sz w:val="24"/>
          <w:szCs w:val="24"/>
        </w:rPr>
        <w:t>具有独立承担民事责任能力的法人、其他组织或自然人，并出具合法有效的营业执照或事业单位法人证书等国家规定的相关证明，自然人参与的提供其身份证明；</w:t>
      </w:r>
    </w:p>
    <w:p>
      <w:pPr>
        <w:numPr>
          <w:ilvl w:val="0"/>
          <w:numId w:val="3"/>
        </w:numPr>
        <w:snapToGrid w:val="0"/>
        <w:spacing w:line="360" w:lineRule="auto"/>
        <w:ind w:firstLine="567"/>
        <w:jc w:val="left"/>
        <w:rPr>
          <w:rFonts w:ascii="宋体" w:hAnsi="宋体" w:cs="宋体"/>
          <w:bCs/>
          <w:kern w:val="0"/>
          <w:sz w:val="24"/>
          <w:szCs w:val="24"/>
        </w:rPr>
      </w:pPr>
      <w:r>
        <w:rPr>
          <w:rFonts w:hint="eastAsia" w:ascii="宋体" w:hAnsi="宋体" w:cs="宋体"/>
          <w:bCs/>
          <w:kern w:val="0"/>
          <w:sz w:val="24"/>
          <w:szCs w:val="24"/>
        </w:rPr>
        <w:t>社会保障资金缴纳证明：2021年</w:t>
      </w:r>
      <w:r>
        <w:rPr>
          <w:rFonts w:hint="eastAsia" w:ascii="宋体" w:hAnsi="宋体" w:cs="宋体"/>
          <w:bCs/>
          <w:kern w:val="0"/>
          <w:sz w:val="24"/>
          <w:szCs w:val="24"/>
          <w:lang w:val="en-US" w:eastAsia="zh-CN"/>
        </w:rPr>
        <w:t>9</w:t>
      </w:r>
      <w:r>
        <w:rPr>
          <w:rFonts w:hint="eastAsia" w:ascii="宋体" w:hAnsi="宋体" w:cs="宋体"/>
          <w:bCs/>
          <w:kern w:val="0"/>
          <w:sz w:val="24"/>
          <w:szCs w:val="24"/>
        </w:rPr>
        <w:t>月至今已缴纳的至少一个月的社会保障资金缴存单据或社保机构开具的社会保险参保缴费情况证明，单据或证明上应有社保机构或代收机构的公章。依法不需要缴纳社会保障资金的供应商应提供相关文件证明；</w:t>
      </w:r>
    </w:p>
    <w:p>
      <w:pPr>
        <w:numPr>
          <w:ilvl w:val="0"/>
          <w:numId w:val="3"/>
        </w:numPr>
        <w:snapToGrid w:val="0"/>
        <w:spacing w:line="360" w:lineRule="auto"/>
        <w:ind w:firstLine="567"/>
        <w:jc w:val="left"/>
        <w:rPr>
          <w:rFonts w:ascii="宋体" w:hAnsi="宋体" w:cs="宋体"/>
          <w:bCs/>
          <w:kern w:val="0"/>
          <w:sz w:val="24"/>
          <w:szCs w:val="24"/>
        </w:rPr>
      </w:pPr>
      <w:r>
        <w:rPr>
          <w:rFonts w:hint="eastAsia" w:ascii="宋体" w:hAnsi="宋体" w:cs="宋体"/>
          <w:bCs/>
          <w:kern w:val="0"/>
          <w:sz w:val="24"/>
          <w:szCs w:val="24"/>
        </w:rPr>
        <w:t>税收缴纳证明：2021年</w:t>
      </w:r>
      <w:r>
        <w:rPr>
          <w:rFonts w:hint="eastAsia" w:ascii="宋体" w:hAnsi="宋体" w:cs="宋体"/>
          <w:bCs/>
          <w:kern w:val="0"/>
          <w:sz w:val="24"/>
          <w:szCs w:val="24"/>
          <w:lang w:val="en-US" w:eastAsia="zh-CN"/>
        </w:rPr>
        <w:t>9</w:t>
      </w:r>
      <w:r>
        <w:rPr>
          <w:rFonts w:hint="eastAsia" w:ascii="宋体" w:hAnsi="宋体" w:cs="宋体"/>
          <w:bCs/>
          <w:kern w:val="0"/>
          <w:sz w:val="24"/>
          <w:szCs w:val="24"/>
        </w:rPr>
        <w:t>月至今已缴纳的至少一个月纳税证明或完税证明，依法免税的单位应提供相关证明材料； </w:t>
      </w:r>
    </w:p>
    <w:p>
      <w:pPr>
        <w:numPr>
          <w:ilvl w:val="0"/>
          <w:numId w:val="3"/>
        </w:numPr>
        <w:snapToGrid w:val="0"/>
        <w:spacing w:line="360" w:lineRule="auto"/>
        <w:ind w:firstLine="567"/>
        <w:jc w:val="left"/>
        <w:rPr>
          <w:rFonts w:ascii="宋体" w:hAnsi="宋体" w:cs="宋体"/>
          <w:bCs/>
          <w:kern w:val="0"/>
          <w:sz w:val="24"/>
          <w:szCs w:val="24"/>
        </w:rPr>
      </w:pPr>
      <w:r>
        <w:rPr>
          <w:rFonts w:hint="eastAsia" w:ascii="宋体" w:hAnsi="宋体" w:cs="宋体"/>
          <w:bCs/>
          <w:kern w:val="0"/>
          <w:sz w:val="24"/>
          <w:szCs w:val="24"/>
        </w:rPr>
        <w:t xml:space="preserve">财务状况证明：提供经会计师事务所审计的2020年或2021年任意一年的财务审计报告或在开标日期前六个月内其基本开户银行出具的资信证明；  </w:t>
      </w:r>
    </w:p>
    <w:p>
      <w:pPr>
        <w:numPr>
          <w:ilvl w:val="0"/>
          <w:numId w:val="3"/>
        </w:numPr>
        <w:snapToGrid w:val="0"/>
        <w:spacing w:line="360" w:lineRule="auto"/>
        <w:ind w:firstLine="567"/>
        <w:jc w:val="left"/>
        <w:rPr>
          <w:rFonts w:ascii="宋体" w:hAnsi="宋体" w:cs="宋体"/>
          <w:bCs/>
          <w:kern w:val="0"/>
          <w:sz w:val="24"/>
          <w:szCs w:val="24"/>
        </w:rPr>
      </w:pPr>
      <w:r>
        <w:rPr>
          <w:rFonts w:hint="eastAsia" w:ascii="宋体" w:hAnsi="宋体" w:cs="宋体"/>
          <w:bCs/>
          <w:kern w:val="0"/>
          <w:sz w:val="24"/>
          <w:szCs w:val="24"/>
        </w:rPr>
        <w:t>供应商应出具参加本次政府采购活动前3年内在经营活动中没有重大违法违纪，以及未被列入失信被执行人、重大税收违法案件当事人名单、政府采购严重违法失信行为记录名单的书面声明；</w:t>
      </w:r>
    </w:p>
    <w:p>
      <w:pPr>
        <w:numPr>
          <w:ilvl w:val="0"/>
          <w:numId w:val="3"/>
        </w:numPr>
        <w:snapToGrid w:val="0"/>
        <w:spacing w:line="360" w:lineRule="auto"/>
        <w:ind w:firstLine="567"/>
        <w:jc w:val="left"/>
        <w:rPr>
          <w:rFonts w:ascii="宋体" w:hAnsi="宋体" w:cs="宋体"/>
          <w:bCs/>
          <w:kern w:val="0"/>
          <w:sz w:val="24"/>
          <w:szCs w:val="24"/>
        </w:rPr>
      </w:pPr>
      <w:r>
        <w:rPr>
          <w:rFonts w:hint="eastAsia" w:ascii="宋体" w:hAnsi="宋体" w:cs="宋体"/>
          <w:bCs/>
          <w:kern w:val="0"/>
          <w:sz w:val="24"/>
          <w:szCs w:val="24"/>
        </w:rPr>
        <w:t>非法定代表人参加投标，须提供法定代表人授权委托书及被授权人身份证原件；法定代表人参加投标时,只须提供法定代表人身份证原件；</w:t>
      </w:r>
    </w:p>
    <w:p>
      <w:pPr>
        <w:snapToGrid w:val="0"/>
        <w:spacing w:line="360" w:lineRule="auto"/>
        <w:ind w:left="630"/>
        <w:jc w:val="left"/>
        <w:rPr>
          <w:rFonts w:hint="eastAsia" w:ascii="宋体" w:hAnsi="宋体" w:cs="宋体"/>
          <w:bCs/>
          <w:kern w:val="0"/>
          <w:sz w:val="24"/>
          <w:szCs w:val="24"/>
        </w:rPr>
      </w:pPr>
      <w:r>
        <w:rPr>
          <w:rFonts w:hint="eastAsia" w:ascii="宋体" w:hAnsi="宋体" w:cs="宋体"/>
          <w:bCs/>
          <w:kern w:val="0"/>
          <w:sz w:val="24"/>
          <w:szCs w:val="24"/>
          <w:lang w:val="en-US" w:eastAsia="zh-CN"/>
        </w:rPr>
        <w:t>7</w:t>
      </w:r>
      <w:r>
        <w:rPr>
          <w:rFonts w:hint="eastAsia" w:ascii="宋体" w:hAnsi="宋体" w:cs="宋体"/>
          <w:bCs/>
          <w:kern w:val="0"/>
          <w:sz w:val="24"/>
          <w:szCs w:val="24"/>
        </w:rPr>
        <w:t>、</w:t>
      </w:r>
      <w:r>
        <w:rPr>
          <w:rFonts w:hint="eastAsia" w:ascii="宋体" w:hAnsi="宋体" w:eastAsia="宋体" w:cs="宋体"/>
          <w:color w:val="0C0C0C"/>
          <w:sz w:val="24"/>
          <w:szCs w:val="24"/>
        </w:rPr>
        <w:t>本项目专门面向中小企业采购，供应商应提供中小企业声明函；</w:t>
      </w:r>
    </w:p>
    <w:p>
      <w:pPr>
        <w:snapToGrid w:val="0"/>
        <w:spacing w:line="360" w:lineRule="auto"/>
        <w:ind w:left="630"/>
        <w:jc w:val="left"/>
        <w:rPr>
          <w:rFonts w:hint="eastAsia" w:ascii="宋体" w:hAnsi="宋体" w:cs="宋体"/>
          <w:bCs/>
          <w:kern w:val="0"/>
          <w:sz w:val="24"/>
          <w:szCs w:val="24"/>
        </w:rPr>
      </w:pPr>
      <w:r>
        <w:rPr>
          <w:rFonts w:hint="eastAsia" w:ascii="宋体" w:hAnsi="宋体" w:cs="宋体"/>
          <w:bCs/>
          <w:kern w:val="0"/>
          <w:sz w:val="24"/>
          <w:szCs w:val="24"/>
          <w:lang w:val="en-US" w:eastAsia="zh-CN"/>
        </w:rPr>
        <w:t>8、</w:t>
      </w:r>
      <w:r>
        <w:rPr>
          <w:rFonts w:hint="eastAsia" w:ascii="宋体" w:hAnsi="宋体" w:cs="宋体"/>
          <w:bCs/>
          <w:kern w:val="0"/>
          <w:sz w:val="24"/>
          <w:szCs w:val="24"/>
        </w:rPr>
        <w:t xml:space="preserve">本项目不接受联合体磋商。 </w:t>
      </w:r>
    </w:p>
    <w:p>
      <w:pPr>
        <w:widowControl/>
        <w:numPr>
          <w:ilvl w:val="0"/>
          <w:numId w:val="2"/>
        </w:numPr>
        <w:tabs>
          <w:tab w:val="left" w:pos="1620"/>
        </w:tabs>
        <w:wordWrap w:val="0"/>
        <w:snapToGrid w:val="0"/>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采购项目需要落实的政府采购政策：</w:t>
      </w: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依据《中华人民共和国政府采购法》和《中华人民共和国政府采购法实施条例》的有关规定，落实政府采购“优先购买节能环保产品、扶持小微企业、监狱企业、福利企业” 等相关政策。</w:t>
      </w: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1、《政府采购促进中小企业发展管理办法》（财库〔2020〕46号）；</w:t>
      </w: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2、《财政部司法部关于政府采购支持监狱企业发展有关问题的通知》（财库〔2014〕68号）；</w:t>
      </w: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3、《国务院办公厅关于建立政府强制采购节能产品制度的通知》（国办发〔2007〕51号）；</w:t>
      </w: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4、《财政部发展改革委生态环境部市场监督总局关于调整优化节能产品、环境标志产品政府采购执行机制的通知》（财库[2019]9号）</w:t>
      </w: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5、《市场监督总局关于发布参与实施政府采购节能产品、环境标志产品认证机构名录的公告》（2019年第16号）</w:t>
      </w:r>
    </w:p>
    <w:p>
      <w:pPr>
        <w:widowControl/>
        <w:tabs>
          <w:tab w:val="left" w:pos="1620"/>
        </w:tabs>
        <w:wordWrap w:val="0"/>
        <w:snapToGrid w:val="0"/>
        <w:spacing w:line="30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6、 《三部门联合发布关于促进残疾人就业政府采购政策的通知》（财库〔2017〕141号）</w:t>
      </w:r>
    </w:p>
    <w:p>
      <w:pPr>
        <w:widowControl/>
        <w:tabs>
          <w:tab w:val="left" w:pos="1620"/>
        </w:tabs>
        <w:wordWrap w:val="0"/>
        <w:snapToGrid w:val="0"/>
        <w:spacing w:line="30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7、 陕西省财政厅关于印发《陕西省中小企业政府采购信用融资办法》（陕财办采〔2018〕23号）。</w:t>
      </w:r>
    </w:p>
    <w:p>
      <w:pPr>
        <w:widowControl/>
        <w:numPr>
          <w:ilvl w:val="0"/>
          <w:numId w:val="2"/>
        </w:numPr>
        <w:tabs>
          <w:tab w:val="left" w:pos="1620"/>
        </w:tabs>
        <w:wordWrap w:val="0"/>
        <w:snapToGrid w:val="0"/>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竞争性磋商文件发售：</w:t>
      </w:r>
    </w:p>
    <w:p>
      <w:pPr>
        <w:widowControl/>
        <w:wordWrap w:val="0"/>
        <w:snapToGrid w:val="0"/>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1、</w:t>
      </w:r>
      <w:r>
        <w:rPr>
          <w:rFonts w:hint="eastAsia" w:ascii="宋体" w:hAnsi="宋体" w:cs="宋体"/>
          <w:sz w:val="24"/>
        </w:rPr>
        <w:t>发售时间：</w:t>
      </w:r>
      <w:r>
        <w:rPr>
          <w:rFonts w:hint="eastAsia" w:ascii="宋体" w:hAnsi="宋体" w:cs="宋体"/>
          <w:b/>
          <w:bCs/>
          <w:color w:val="000000"/>
          <w:sz w:val="24"/>
        </w:rPr>
        <w:t>2022年</w:t>
      </w:r>
      <w:r>
        <w:rPr>
          <w:rFonts w:hint="eastAsia" w:ascii="宋体" w:hAnsi="宋体" w:cs="宋体"/>
          <w:b/>
          <w:bCs/>
          <w:color w:val="000000"/>
          <w:sz w:val="24"/>
          <w:lang w:val="en-US" w:eastAsia="zh-CN"/>
        </w:rPr>
        <w:t>04</w:t>
      </w:r>
      <w:r>
        <w:rPr>
          <w:rFonts w:hint="eastAsia" w:ascii="宋体" w:hAnsi="宋体" w:cs="宋体"/>
          <w:b/>
          <w:bCs/>
          <w:color w:val="000000"/>
          <w:sz w:val="24"/>
        </w:rPr>
        <w:t>月</w:t>
      </w:r>
      <w:r>
        <w:rPr>
          <w:rFonts w:hint="eastAsia" w:ascii="宋体" w:hAnsi="宋体" w:cs="宋体"/>
          <w:b/>
          <w:bCs/>
          <w:color w:val="000000"/>
          <w:sz w:val="24"/>
          <w:lang w:val="en-US" w:eastAsia="zh-CN"/>
        </w:rPr>
        <w:t>28</w:t>
      </w:r>
      <w:r>
        <w:rPr>
          <w:rFonts w:hint="eastAsia" w:ascii="宋体" w:hAnsi="宋体" w:cs="宋体"/>
          <w:b/>
          <w:bCs/>
          <w:color w:val="000000"/>
          <w:sz w:val="24"/>
        </w:rPr>
        <w:t>日至2022年</w:t>
      </w:r>
      <w:r>
        <w:rPr>
          <w:rFonts w:hint="eastAsia" w:ascii="宋体" w:hAnsi="宋体" w:cs="宋体"/>
          <w:b/>
          <w:bCs/>
          <w:color w:val="000000"/>
          <w:sz w:val="24"/>
          <w:lang w:val="en-US" w:eastAsia="zh-CN"/>
        </w:rPr>
        <w:t>05</w:t>
      </w:r>
      <w:r>
        <w:rPr>
          <w:rFonts w:hint="eastAsia" w:ascii="宋体" w:hAnsi="宋体" w:cs="宋体"/>
          <w:b/>
          <w:bCs/>
          <w:color w:val="000000"/>
          <w:sz w:val="24"/>
        </w:rPr>
        <w:t>月</w:t>
      </w:r>
      <w:r>
        <w:rPr>
          <w:rFonts w:hint="eastAsia" w:ascii="宋体" w:hAnsi="宋体" w:cs="宋体"/>
          <w:b/>
          <w:bCs/>
          <w:color w:val="000000"/>
          <w:sz w:val="24"/>
          <w:lang w:val="en-US" w:eastAsia="zh-CN"/>
        </w:rPr>
        <w:t>09</w:t>
      </w:r>
      <w:r>
        <w:rPr>
          <w:rFonts w:hint="eastAsia" w:ascii="宋体" w:hAnsi="宋体" w:cs="宋体"/>
          <w:b/>
          <w:bCs/>
          <w:color w:val="000000"/>
          <w:sz w:val="24"/>
        </w:rPr>
        <w:t>日止</w:t>
      </w:r>
      <w:r>
        <w:rPr>
          <w:rFonts w:hint="eastAsia" w:ascii="宋体" w:hAnsi="宋体" w:cs="宋体"/>
          <w:color w:val="000000"/>
          <w:sz w:val="24"/>
          <w:szCs w:val="24"/>
        </w:rPr>
        <w:t>。</w:t>
      </w:r>
    </w:p>
    <w:p>
      <w:pPr>
        <w:widowControl/>
        <w:wordWrap w:val="0"/>
        <w:snapToGrid w:val="0"/>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（上午09:00～12:00，下午14:00～17:00发售,法定节假日除外）。</w:t>
      </w:r>
    </w:p>
    <w:p>
      <w:pPr>
        <w:widowControl/>
        <w:wordWrap w:val="0"/>
        <w:snapToGrid w:val="0"/>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2、发售地点：西安市莲湖区西关正街英达大厦1507室。</w:t>
      </w:r>
    </w:p>
    <w:p>
      <w:pPr>
        <w:widowControl/>
        <w:wordWrap w:val="0"/>
        <w:snapToGrid w:val="0"/>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3、文件售价：¥0元/套，售后不退，谢绝邮寄。</w:t>
      </w:r>
    </w:p>
    <w:p>
      <w:pPr>
        <w:widowControl/>
        <w:tabs>
          <w:tab w:val="left" w:pos="1620"/>
        </w:tabs>
        <w:wordWrap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注：（1）供应商领取标书时，请携带单位介绍信及经办人身份证原件及复印件加盖公章；（2）请供应商按照《陕西省财政厅关于政府采购供应商注册登记有关事项的通知》中的要求，通过陕西省政府采购网（http://www.ccgp-shaanxi.gov.cn/）注册登记加入陕西省政府采购供应商库。</w:t>
      </w:r>
    </w:p>
    <w:p>
      <w:pPr>
        <w:widowControl/>
        <w:numPr>
          <w:ilvl w:val="0"/>
          <w:numId w:val="2"/>
        </w:numPr>
        <w:tabs>
          <w:tab w:val="left" w:pos="1620"/>
        </w:tabs>
        <w:wordWrap w:val="0"/>
        <w:snapToGrid w:val="0"/>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磋商响应文件递交截止时间及磋商时间和地点：</w:t>
      </w:r>
    </w:p>
    <w:p>
      <w:pPr>
        <w:widowControl/>
        <w:tabs>
          <w:tab w:val="left" w:pos="0"/>
        </w:tabs>
        <w:wordWrap w:val="0"/>
        <w:snapToGrid w:val="0"/>
        <w:spacing w:line="300" w:lineRule="auto"/>
        <w:ind w:firstLine="480" w:firstLineChars="200"/>
        <w:jc w:val="left"/>
        <w:rPr>
          <w:rFonts w:hint="default" w:ascii="宋体" w:hAnsi="宋体" w:eastAsia="宋体" w:cs="宋体"/>
          <w:color w:val="000000"/>
          <w:kern w:val="0"/>
          <w:sz w:val="24"/>
          <w:szCs w:val="24"/>
          <w:lang w:val="en-US" w:eastAsia="zh-CN"/>
        </w:rPr>
      </w:pPr>
      <w:r>
        <w:rPr>
          <w:rFonts w:hint="eastAsia" w:ascii="宋体" w:hAnsi="宋体" w:cs="宋体"/>
          <w:kern w:val="0"/>
          <w:sz w:val="24"/>
          <w:szCs w:val="24"/>
        </w:rPr>
        <w:t>1、磋商响应文件递交截止时间：</w:t>
      </w:r>
      <w:r>
        <w:rPr>
          <w:rFonts w:hint="eastAsia" w:ascii="宋体" w:hAnsi="宋体" w:cs="宋体"/>
          <w:b/>
          <w:bCs/>
          <w:color w:val="000000"/>
          <w:kern w:val="0"/>
          <w:sz w:val="24"/>
          <w:szCs w:val="24"/>
        </w:rPr>
        <w:t>2022年</w:t>
      </w:r>
      <w:r>
        <w:rPr>
          <w:rFonts w:hint="eastAsia" w:ascii="宋体" w:hAnsi="宋体" w:cs="宋体"/>
          <w:b/>
          <w:bCs/>
          <w:color w:val="000000"/>
          <w:sz w:val="24"/>
          <w:lang w:val="en-US" w:eastAsia="zh-CN"/>
        </w:rPr>
        <w:t>05</w:t>
      </w:r>
      <w:r>
        <w:rPr>
          <w:rFonts w:hint="eastAsia" w:ascii="宋体" w:hAnsi="宋体" w:cs="宋体"/>
          <w:b/>
          <w:bCs/>
          <w:color w:val="000000"/>
          <w:kern w:val="0"/>
          <w:sz w:val="24"/>
          <w:szCs w:val="24"/>
        </w:rPr>
        <w:t>月</w:t>
      </w:r>
      <w:r>
        <w:rPr>
          <w:rFonts w:hint="eastAsia" w:ascii="宋体" w:hAnsi="宋体" w:cs="宋体"/>
          <w:b/>
          <w:bCs/>
          <w:color w:val="000000"/>
          <w:kern w:val="0"/>
          <w:sz w:val="24"/>
          <w:szCs w:val="24"/>
          <w:lang w:val="en-US" w:eastAsia="zh-CN"/>
        </w:rPr>
        <w:t>12</w:t>
      </w:r>
      <w:r>
        <w:rPr>
          <w:rFonts w:hint="eastAsia" w:ascii="宋体" w:hAnsi="宋体" w:cs="宋体"/>
          <w:b/>
          <w:bCs/>
          <w:color w:val="000000"/>
          <w:sz w:val="24"/>
        </w:rPr>
        <w:t>日</w:t>
      </w:r>
      <w:r>
        <w:rPr>
          <w:rFonts w:hint="eastAsia" w:ascii="宋体" w:hAnsi="宋体" w:cs="宋体"/>
          <w:b/>
          <w:bCs/>
          <w:color w:val="000000"/>
          <w:sz w:val="24"/>
          <w:lang w:val="en-US" w:eastAsia="zh-CN"/>
        </w:rPr>
        <w:t>14</w:t>
      </w:r>
      <w:r>
        <w:rPr>
          <w:rFonts w:hint="eastAsia" w:ascii="宋体" w:hAnsi="宋体" w:cs="宋体"/>
          <w:b/>
          <w:bCs/>
          <w:color w:val="000000"/>
          <w:kern w:val="0"/>
          <w:sz w:val="24"/>
          <w:szCs w:val="24"/>
        </w:rPr>
        <w:t>:</w:t>
      </w:r>
      <w:r>
        <w:rPr>
          <w:rFonts w:hint="eastAsia" w:ascii="宋体" w:hAnsi="宋体" w:cs="宋体"/>
          <w:b/>
          <w:bCs/>
          <w:color w:val="000000"/>
          <w:kern w:val="0"/>
          <w:sz w:val="24"/>
          <w:szCs w:val="24"/>
          <w:lang w:val="en-US" w:eastAsia="zh-CN"/>
        </w:rPr>
        <w:t>30</w:t>
      </w:r>
    </w:p>
    <w:p>
      <w:pPr>
        <w:widowControl/>
        <w:tabs>
          <w:tab w:val="left" w:pos="0"/>
        </w:tabs>
        <w:wordWrap w:val="0"/>
        <w:snapToGrid w:val="0"/>
        <w:spacing w:line="30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2、磋商时间：</w:t>
      </w:r>
      <w:r>
        <w:rPr>
          <w:rFonts w:hint="eastAsia" w:ascii="宋体" w:hAnsi="宋体" w:cs="宋体"/>
          <w:b/>
          <w:bCs/>
          <w:color w:val="000000"/>
          <w:kern w:val="0"/>
          <w:sz w:val="24"/>
          <w:szCs w:val="24"/>
        </w:rPr>
        <w:t>2022年</w:t>
      </w:r>
      <w:r>
        <w:rPr>
          <w:rFonts w:hint="eastAsia" w:ascii="宋体" w:hAnsi="宋体" w:cs="宋体"/>
          <w:b/>
          <w:bCs/>
          <w:color w:val="000000"/>
          <w:sz w:val="24"/>
          <w:lang w:val="en-US" w:eastAsia="zh-CN"/>
        </w:rPr>
        <w:t>05</w:t>
      </w:r>
      <w:r>
        <w:rPr>
          <w:rFonts w:hint="eastAsia" w:ascii="宋体" w:hAnsi="宋体" w:cs="宋体"/>
          <w:b/>
          <w:bCs/>
          <w:color w:val="000000"/>
          <w:kern w:val="0"/>
          <w:sz w:val="24"/>
          <w:szCs w:val="24"/>
        </w:rPr>
        <w:t>月</w:t>
      </w:r>
      <w:r>
        <w:rPr>
          <w:rFonts w:hint="eastAsia" w:ascii="宋体" w:hAnsi="宋体" w:cs="宋体"/>
          <w:b/>
          <w:bCs/>
          <w:color w:val="000000"/>
          <w:kern w:val="0"/>
          <w:sz w:val="24"/>
          <w:szCs w:val="24"/>
          <w:lang w:val="en-US" w:eastAsia="zh-CN"/>
        </w:rPr>
        <w:t>12</w:t>
      </w:r>
      <w:r>
        <w:rPr>
          <w:rFonts w:hint="eastAsia" w:ascii="宋体" w:hAnsi="宋体" w:cs="宋体"/>
          <w:b/>
          <w:bCs/>
          <w:color w:val="000000"/>
          <w:sz w:val="24"/>
        </w:rPr>
        <w:t>日</w:t>
      </w:r>
      <w:r>
        <w:rPr>
          <w:rFonts w:hint="eastAsia" w:ascii="宋体" w:hAnsi="宋体" w:cs="宋体"/>
          <w:b/>
          <w:bCs/>
          <w:color w:val="000000"/>
          <w:sz w:val="24"/>
          <w:lang w:val="en-US" w:eastAsia="zh-CN"/>
        </w:rPr>
        <w:t>14</w:t>
      </w:r>
      <w:r>
        <w:rPr>
          <w:rFonts w:hint="eastAsia" w:ascii="宋体" w:hAnsi="宋体" w:cs="宋体"/>
          <w:b/>
          <w:bCs/>
          <w:color w:val="000000"/>
          <w:kern w:val="0"/>
          <w:sz w:val="24"/>
          <w:szCs w:val="24"/>
        </w:rPr>
        <w:t>:</w:t>
      </w:r>
      <w:r>
        <w:rPr>
          <w:rFonts w:hint="eastAsia" w:ascii="宋体" w:hAnsi="宋体" w:cs="宋体"/>
          <w:b/>
          <w:bCs/>
          <w:color w:val="000000"/>
          <w:kern w:val="0"/>
          <w:sz w:val="24"/>
          <w:szCs w:val="24"/>
          <w:lang w:val="en-US" w:eastAsia="zh-CN"/>
        </w:rPr>
        <w:t>30</w:t>
      </w:r>
    </w:p>
    <w:p>
      <w:pPr>
        <w:widowControl/>
        <w:tabs>
          <w:tab w:val="left" w:pos="1620"/>
        </w:tabs>
        <w:wordWrap w:val="0"/>
        <w:snapToGrid w:val="0"/>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3、磋商地点：西安市莲湖区西关正街英达大厦150</w:t>
      </w:r>
      <w:r>
        <w:rPr>
          <w:rFonts w:hint="eastAsia" w:ascii="宋体" w:hAnsi="宋体" w:cs="宋体"/>
          <w:kern w:val="0"/>
          <w:sz w:val="24"/>
          <w:szCs w:val="24"/>
          <w:lang w:val="en-US" w:eastAsia="zh-CN"/>
        </w:rPr>
        <w:t>3</w:t>
      </w:r>
      <w:r>
        <w:rPr>
          <w:rFonts w:hint="eastAsia" w:ascii="宋体" w:hAnsi="宋体" w:cs="宋体"/>
          <w:kern w:val="0"/>
          <w:sz w:val="24"/>
          <w:szCs w:val="24"/>
        </w:rPr>
        <w:t>会议室。</w:t>
      </w:r>
    </w:p>
    <w:p>
      <w:pPr>
        <w:widowControl/>
        <w:numPr>
          <w:ilvl w:val="0"/>
          <w:numId w:val="2"/>
        </w:numPr>
        <w:tabs>
          <w:tab w:val="left" w:pos="1620"/>
        </w:tabs>
        <w:wordWrap w:val="0"/>
        <w:snapToGrid w:val="0"/>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其它应说明的事项： </w:t>
      </w:r>
    </w:p>
    <w:p>
      <w:pPr>
        <w:widowControl/>
        <w:wordWrap w:val="0"/>
        <w:snapToGrid w:val="0"/>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1、采购项目联系人：张刘艳  于晓晶  郝思思   </w:t>
      </w:r>
    </w:p>
    <w:p>
      <w:pPr>
        <w:widowControl/>
        <w:wordWrap w:val="0"/>
        <w:snapToGrid w:val="0"/>
        <w:spacing w:line="300" w:lineRule="auto"/>
        <w:ind w:firstLine="840" w:firstLineChars="350"/>
        <w:jc w:val="left"/>
        <w:rPr>
          <w:rFonts w:hint="eastAsia" w:ascii="宋体" w:hAnsi="宋体" w:cs="宋体"/>
          <w:kern w:val="0"/>
          <w:sz w:val="24"/>
          <w:szCs w:val="24"/>
        </w:rPr>
      </w:pPr>
      <w:r>
        <w:rPr>
          <w:rFonts w:hint="eastAsia" w:ascii="宋体" w:hAnsi="宋体" w:cs="宋体"/>
          <w:kern w:val="0"/>
          <w:sz w:val="24"/>
          <w:szCs w:val="24"/>
        </w:rPr>
        <w:t>联系方式（电话/传真）：029-88319689-807/806</w:t>
      </w:r>
    </w:p>
    <w:p>
      <w:pPr>
        <w:widowControl/>
        <w:wordWrap w:val="0"/>
        <w:snapToGrid w:val="0"/>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2、采购代理机构开户名称：陕西万泽招标有限公司</w:t>
      </w:r>
    </w:p>
    <w:p>
      <w:pPr>
        <w:widowControl/>
        <w:wordWrap w:val="0"/>
        <w:snapToGrid w:val="0"/>
        <w:spacing w:line="300" w:lineRule="auto"/>
        <w:ind w:firstLine="840" w:firstLineChars="350"/>
        <w:jc w:val="left"/>
        <w:rPr>
          <w:rFonts w:ascii="宋体" w:hAnsi="宋体" w:cs="宋体"/>
          <w:kern w:val="0"/>
          <w:sz w:val="24"/>
          <w:szCs w:val="24"/>
        </w:rPr>
      </w:pPr>
      <w:r>
        <w:rPr>
          <w:rFonts w:hint="eastAsia" w:ascii="宋体" w:hAnsi="宋体" w:cs="宋体"/>
          <w:kern w:val="0"/>
          <w:sz w:val="24"/>
          <w:szCs w:val="24"/>
        </w:rPr>
        <w:t xml:space="preserve">开户行名称：西安银行朝阳门支行 </w:t>
      </w:r>
    </w:p>
    <w:p>
      <w:pPr>
        <w:widowControl/>
        <w:tabs>
          <w:tab w:val="left" w:pos="0"/>
        </w:tabs>
        <w:wordWrap w:val="0"/>
        <w:snapToGrid w:val="0"/>
        <w:spacing w:line="300" w:lineRule="auto"/>
        <w:ind w:firstLine="840" w:firstLineChars="350"/>
        <w:jc w:val="left"/>
        <w:rPr>
          <w:rFonts w:ascii="宋体" w:hAnsi="宋体" w:cs="宋体"/>
          <w:kern w:val="0"/>
          <w:sz w:val="24"/>
          <w:szCs w:val="24"/>
        </w:rPr>
      </w:pPr>
      <w:r>
        <w:rPr>
          <w:rFonts w:hint="eastAsia" w:ascii="宋体" w:hAnsi="宋体" w:cs="宋体"/>
          <w:kern w:val="0"/>
          <w:sz w:val="24"/>
          <w:szCs w:val="24"/>
        </w:rPr>
        <w:t>账      号：211011580000015489</w:t>
      </w:r>
    </w:p>
    <w:p>
      <w:pPr>
        <w:widowControl/>
        <w:numPr>
          <w:ilvl w:val="0"/>
          <w:numId w:val="2"/>
        </w:numPr>
        <w:tabs>
          <w:tab w:val="left" w:pos="1620"/>
        </w:tabs>
        <w:wordWrap w:val="0"/>
        <w:snapToGrid w:val="0"/>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竞争性磋商公告的公告期限为3个工作日。</w:t>
      </w:r>
    </w:p>
    <w:p/>
    <w:p>
      <w:pPr>
        <w:widowControl/>
        <w:tabs>
          <w:tab w:val="left" w:pos="1620"/>
        </w:tabs>
        <w:snapToGrid w:val="0"/>
        <w:spacing w:line="300" w:lineRule="auto"/>
        <w:ind w:firstLine="420" w:firstLineChars="175"/>
        <w:jc w:val="right"/>
        <w:rPr>
          <w:rFonts w:ascii="宋体" w:hAnsi="宋体" w:cs="宋体"/>
          <w:kern w:val="0"/>
          <w:sz w:val="24"/>
          <w:szCs w:val="24"/>
        </w:rPr>
      </w:pPr>
      <w:r>
        <w:rPr>
          <w:rFonts w:hint="eastAsia" w:ascii="宋体" w:hAnsi="宋体" w:cs="宋体"/>
          <w:kern w:val="0"/>
          <w:sz w:val="24"/>
          <w:szCs w:val="24"/>
        </w:rPr>
        <w:t>陕西万泽招标有限公司</w:t>
      </w:r>
    </w:p>
    <w:p>
      <w:pPr>
        <w:widowControl/>
        <w:tabs>
          <w:tab w:val="left" w:pos="1620"/>
        </w:tabs>
        <w:snapToGrid w:val="0"/>
        <w:spacing w:line="300" w:lineRule="auto"/>
        <w:ind w:firstLine="420" w:firstLineChars="175"/>
        <w:jc w:val="right"/>
        <w:rPr>
          <w:rFonts w:ascii="宋体" w:hAnsi="宋体" w:cs="宋体"/>
          <w:kern w:val="0"/>
          <w:sz w:val="24"/>
          <w:szCs w:val="24"/>
        </w:rPr>
      </w:pPr>
      <w:r>
        <w:rPr>
          <w:rFonts w:hint="eastAsia" w:ascii="宋体" w:hAnsi="宋体" w:cs="宋体"/>
          <w:kern w:val="0"/>
          <w:sz w:val="24"/>
          <w:szCs w:val="24"/>
        </w:rPr>
        <w:t xml:space="preserve"> 2022年</w:t>
      </w:r>
      <w:r>
        <w:rPr>
          <w:rFonts w:hint="eastAsia" w:ascii="宋体" w:hAnsi="宋体" w:cs="宋体"/>
          <w:color w:val="000000"/>
          <w:sz w:val="24"/>
          <w:lang w:val="en-US" w:eastAsia="zh-CN"/>
        </w:rPr>
        <w:t>04</w:t>
      </w:r>
      <w:r>
        <w:rPr>
          <w:rFonts w:hint="eastAsia" w:ascii="宋体" w:hAnsi="宋体" w:cs="宋体"/>
          <w:kern w:val="0"/>
          <w:sz w:val="24"/>
          <w:szCs w:val="24"/>
        </w:rPr>
        <w:t>月</w:t>
      </w:r>
      <w:r>
        <w:rPr>
          <w:rFonts w:hint="eastAsia" w:ascii="宋体" w:hAnsi="宋体" w:cs="宋体"/>
          <w:kern w:val="0"/>
          <w:sz w:val="24"/>
          <w:szCs w:val="24"/>
          <w:lang w:val="en-US" w:eastAsia="zh-CN"/>
        </w:rPr>
        <w:t>28</w:t>
      </w:r>
      <w:r>
        <w:rPr>
          <w:rFonts w:hint="eastAsia" w:ascii="宋体" w:hAnsi="宋体" w:cs="宋体"/>
          <w:kern w:val="0"/>
          <w:sz w:val="24"/>
          <w:szCs w:val="24"/>
        </w:rPr>
        <w:t>日</w:t>
      </w:r>
    </w:p>
    <w:p>
      <w:pPr>
        <w:pStyle w:val="3"/>
        <w:keepLines w:val="0"/>
        <w:spacing w:line="312" w:lineRule="auto"/>
        <w:ind w:firstLine="560" w:firstLineChars="175"/>
        <w:rPr>
          <w:rFonts w:ascii="宋体" w:hAnsi="宋体" w:cs="宋体"/>
          <w:b w:val="0"/>
        </w:rPr>
        <w:sectPr>
          <w:footerReference r:id="rId7" w:type="default"/>
          <w:pgSz w:w="11906" w:h="16838"/>
          <w:pgMar w:top="1440" w:right="1286" w:bottom="1440" w:left="1576" w:header="851" w:footer="992" w:gutter="0"/>
          <w:cols w:space="720" w:num="1"/>
          <w:docGrid w:type="lines" w:linePitch="312" w:charSpace="0"/>
        </w:sectPr>
      </w:pPr>
    </w:p>
    <w:p>
      <w:pPr>
        <w:pStyle w:val="3"/>
        <w:rPr>
          <w:rFonts w:ascii="宋体" w:hAnsi="宋体" w:cs="宋体"/>
        </w:rPr>
      </w:pPr>
      <w:bookmarkStart w:id="7" w:name="_Toc2880"/>
      <w:bookmarkStart w:id="8" w:name="_Toc31083"/>
      <w:bookmarkStart w:id="9" w:name="_Toc24298"/>
      <w:bookmarkStart w:id="10" w:name="_Toc30089"/>
      <w:bookmarkStart w:id="11" w:name="_Toc438048787"/>
      <w:bookmarkStart w:id="12" w:name="_Toc9381"/>
      <w:r>
        <w:rPr>
          <w:rFonts w:hint="eastAsia" w:ascii="宋体" w:hAnsi="宋体" w:cs="宋体"/>
        </w:rPr>
        <w:t>第二部分 供应商须知前附表</w:t>
      </w:r>
      <w:bookmarkEnd w:id="7"/>
      <w:bookmarkEnd w:id="8"/>
      <w:bookmarkEnd w:id="9"/>
      <w:bookmarkEnd w:id="10"/>
      <w:bookmarkEnd w:id="11"/>
      <w:bookmarkEnd w:id="12"/>
    </w:p>
    <w:tbl>
      <w:tblPr>
        <w:tblStyle w:val="27"/>
        <w:tblpPr w:leftFromText="180" w:rightFromText="180" w:vertAnchor="text" w:horzAnchor="page" w:tblpX="1582" w:tblpY="309"/>
        <w:tblOverlap w:val="never"/>
        <w:tblW w:w="901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04"/>
        <w:gridCol w:w="1258"/>
        <w:gridCol w:w="725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504" w:type="dxa"/>
          </w:tcPr>
          <w:p>
            <w:pPr>
              <w:spacing w:beforeLines="50"/>
              <w:jc w:val="center"/>
              <w:rPr>
                <w:rFonts w:ascii="宋体" w:hAnsi="宋体" w:cs="宋体"/>
                <w:b/>
                <w:szCs w:val="21"/>
              </w:rPr>
            </w:pPr>
            <w:bookmarkStart w:id="13" w:name="_Toc26164"/>
            <w:bookmarkStart w:id="14" w:name="_Toc25094"/>
            <w:bookmarkStart w:id="15" w:name="_Toc19272"/>
            <w:bookmarkStart w:id="16" w:name="_Toc13079"/>
            <w:r>
              <w:rPr>
                <w:rFonts w:hint="eastAsia" w:ascii="宋体" w:hAnsi="宋体" w:cs="宋体"/>
                <w:b/>
                <w:szCs w:val="21"/>
              </w:rPr>
              <w:t>序号</w:t>
            </w:r>
          </w:p>
        </w:tc>
        <w:tc>
          <w:tcPr>
            <w:tcW w:w="1258" w:type="dxa"/>
            <w:vAlign w:val="center"/>
          </w:tcPr>
          <w:p>
            <w:pPr>
              <w:spacing w:beforeLines="50"/>
              <w:jc w:val="center"/>
              <w:rPr>
                <w:rFonts w:ascii="宋体" w:hAnsi="宋体" w:cs="宋体"/>
                <w:b/>
                <w:szCs w:val="21"/>
              </w:rPr>
            </w:pPr>
            <w:r>
              <w:rPr>
                <w:rFonts w:hint="eastAsia" w:ascii="宋体" w:hAnsi="宋体" w:cs="宋体"/>
                <w:b/>
                <w:szCs w:val="21"/>
              </w:rPr>
              <w:t>条款</w:t>
            </w:r>
          </w:p>
        </w:tc>
        <w:tc>
          <w:tcPr>
            <w:tcW w:w="7257" w:type="dxa"/>
          </w:tcPr>
          <w:p>
            <w:pPr>
              <w:spacing w:beforeLines="50"/>
              <w:jc w:val="center"/>
              <w:rPr>
                <w:rFonts w:ascii="宋体" w:hAnsi="宋体" w:cs="宋体"/>
                <w:b/>
                <w:szCs w:val="21"/>
              </w:rPr>
            </w:pPr>
            <w:r>
              <w:rPr>
                <w:rFonts w:hint="eastAsia" w:ascii="宋体" w:hAnsi="宋体" w:cs="宋体"/>
                <w:b/>
                <w:szCs w:val="21"/>
              </w:rPr>
              <w:t>编列内容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504" w:type="dxa"/>
          </w:tcPr>
          <w:p>
            <w:pPr>
              <w:spacing w:beforeLines="50"/>
              <w:jc w:val="center"/>
              <w:rPr>
                <w:rFonts w:ascii="宋体" w:hAnsi="宋体" w:cs="宋体"/>
                <w:b/>
                <w:szCs w:val="21"/>
              </w:rPr>
            </w:pPr>
            <w:r>
              <w:rPr>
                <w:rFonts w:hint="eastAsia" w:ascii="宋体" w:hAnsi="宋体" w:cs="宋体"/>
                <w:b/>
                <w:szCs w:val="21"/>
              </w:rPr>
              <w:t>1</w:t>
            </w:r>
          </w:p>
        </w:tc>
        <w:tc>
          <w:tcPr>
            <w:tcW w:w="1258" w:type="dxa"/>
            <w:vAlign w:val="center"/>
          </w:tcPr>
          <w:p>
            <w:pPr>
              <w:spacing w:line="360" w:lineRule="auto"/>
              <w:rPr>
                <w:rFonts w:ascii="宋体" w:hAnsi="宋体" w:cs="宋体"/>
                <w:sz w:val="24"/>
                <w:szCs w:val="24"/>
              </w:rPr>
            </w:pPr>
            <w:r>
              <w:rPr>
                <w:rFonts w:hint="eastAsia" w:ascii="宋体" w:hAnsi="宋体" w:cs="宋体"/>
                <w:sz w:val="24"/>
                <w:szCs w:val="24"/>
              </w:rPr>
              <w:t>项 目</w:t>
            </w:r>
          </w:p>
          <w:p>
            <w:pPr>
              <w:spacing w:line="360" w:lineRule="auto"/>
              <w:rPr>
                <w:rFonts w:ascii="宋体" w:hAnsi="宋体" w:cs="宋体"/>
                <w:sz w:val="24"/>
                <w:szCs w:val="24"/>
              </w:rPr>
            </w:pPr>
            <w:r>
              <w:rPr>
                <w:rFonts w:hint="eastAsia" w:ascii="宋体" w:hAnsi="宋体" w:cs="宋体"/>
                <w:sz w:val="24"/>
                <w:szCs w:val="24"/>
              </w:rPr>
              <w:t>名 称</w:t>
            </w:r>
          </w:p>
        </w:tc>
        <w:tc>
          <w:tcPr>
            <w:tcW w:w="7257" w:type="dxa"/>
            <w:vAlign w:val="center"/>
          </w:tcPr>
          <w:p>
            <w:pPr>
              <w:spacing w:line="360" w:lineRule="auto"/>
              <w:rPr>
                <w:rFonts w:ascii="宋体" w:hAnsi="宋体" w:cs="宋体"/>
                <w:sz w:val="24"/>
                <w:szCs w:val="24"/>
              </w:rPr>
            </w:pPr>
            <w:r>
              <w:rPr>
                <w:rFonts w:hint="eastAsia" w:ascii="宋体" w:hAnsi="宋体" w:cs="宋体"/>
                <w:sz w:val="24"/>
                <w:szCs w:val="24"/>
              </w:rPr>
              <w:t xml:space="preserve">西安市食品药品检验所食品抽样租赁用车项目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504" w:type="dxa"/>
          </w:tcPr>
          <w:p>
            <w:pPr>
              <w:spacing w:beforeLines="50"/>
              <w:jc w:val="center"/>
              <w:rPr>
                <w:rFonts w:ascii="宋体" w:hAnsi="宋体" w:cs="宋体"/>
                <w:b/>
                <w:szCs w:val="21"/>
              </w:rPr>
            </w:pPr>
            <w:r>
              <w:rPr>
                <w:rFonts w:hint="eastAsia" w:ascii="宋体" w:hAnsi="宋体" w:cs="宋体"/>
                <w:b/>
                <w:szCs w:val="21"/>
              </w:rPr>
              <w:t>2</w:t>
            </w:r>
          </w:p>
        </w:tc>
        <w:tc>
          <w:tcPr>
            <w:tcW w:w="1258" w:type="dxa"/>
            <w:vAlign w:val="center"/>
          </w:tcPr>
          <w:p>
            <w:pPr>
              <w:widowControl/>
              <w:wordWrap w:val="0"/>
              <w:spacing w:line="360" w:lineRule="auto"/>
              <w:jc w:val="left"/>
              <w:rPr>
                <w:rFonts w:ascii="宋体" w:hAnsi="宋体" w:cs="宋体"/>
                <w:sz w:val="24"/>
                <w:szCs w:val="24"/>
              </w:rPr>
            </w:pPr>
            <w:r>
              <w:rPr>
                <w:rFonts w:hint="eastAsia" w:ascii="宋体" w:hAnsi="宋体" w:cs="宋体"/>
                <w:sz w:val="24"/>
                <w:szCs w:val="24"/>
              </w:rPr>
              <w:t>采 购人</w:t>
            </w:r>
          </w:p>
        </w:tc>
        <w:tc>
          <w:tcPr>
            <w:tcW w:w="7257" w:type="dxa"/>
            <w:vAlign w:val="center"/>
          </w:tcPr>
          <w:p>
            <w:pPr>
              <w:widowControl/>
              <w:wordWrap w:val="0"/>
              <w:spacing w:line="360" w:lineRule="auto"/>
              <w:jc w:val="left"/>
              <w:rPr>
                <w:rFonts w:hint="eastAsia" w:ascii="宋体" w:hAnsi="宋体" w:cs="宋体"/>
                <w:sz w:val="24"/>
                <w:szCs w:val="24"/>
              </w:rPr>
            </w:pPr>
            <w:r>
              <w:rPr>
                <w:rFonts w:hint="eastAsia" w:ascii="宋体" w:hAnsi="宋体" w:cs="宋体"/>
                <w:sz w:val="24"/>
                <w:szCs w:val="24"/>
              </w:rPr>
              <w:t>采购人名称：西安市食品药品检验所</w:t>
            </w:r>
          </w:p>
          <w:p>
            <w:pPr>
              <w:widowControl/>
              <w:wordWrap w:val="0"/>
              <w:spacing w:line="360" w:lineRule="auto"/>
              <w:jc w:val="left"/>
              <w:rPr>
                <w:rFonts w:ascii="宋体" w:hAnsi="宋体" w:cs="宋体"/>
                <w:sz w:val="24"/>
                <w:szCs w:val="24"/>
              </w:rPr>
            </w:pPr>
            <w:r>
              <w:rPr>
                <w:rFonts w:hint="eastAsia" w:ascii="宋体" w:hAnsi="宋体" w:cs="宋体"/>
                <w:sz w:val="24"/>
                <w:szCs w:val="24"/>
              </w:rPr>
              <w:t>地    址：西安市碑林区雁塔中路26号</w:t>
            </w:r>
          </w:p>
          <w:p>
            <w:pPr>
              <w:widowControl/>
              <w:wordWrap w:val="0"/>
              <w:spacing w:line="360" w:lineRule="auto"/>
              <w:jc w:val="left"/>
              <w:rPr>
                <w:rFonts w:hint="eastAsia" w:ascii="宋体" w:hAnsi="宋体" w:cs="宋体"/>
                <w:sz w:val="24"/>
                <w:szCs w:val="24"/>
              </w:rPr>
            </w:pPr>
            <w:r>
              <w:rPr>
                <w:rFonts w:hint="eastAsia" w:ascii="宋体" w:hAnsi="宋体" w:cs="宋体"/>
                <w:sz w:val="24"/>
                <w:szCs w:val="24"/>
              </w:rPr>
              <w:t>联系人：曹老师</w:t>
            </w:r>
          </w:p>
          <w:p>
            <w:pPr>
              <w:widowControl/>
              <w:wordWrap w:val="0"/>
              <w:spacing w:line="360" w:lineRule="auto"/>
              <w:jc w:val="left"/>
              <w:rPr>
                <w:rFonts w:ascii="宋体" w:hAnsi="宋体" w:cs="宋体"/>
                <w:sz w:val="24"/>
                <w:szCs w:val="24"/>
              </w:rPr>
            </w:pPr>
            <w:r>
              <w:rPr>
                <w:rFonts w:hint="eastAsia" w:ascii="宋体" w:hAnsi="宋体" w:cs="宋体"/>
                <w:sz w:val="24"/>
                <w:szCs w:val="24"/>
              </w:rPr>
              <w:t>联系方式：029-85512681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504" w:type="dxa"/>
            <w:tcBorders>
              <w:top w:val="single" w:color="auto" w:sz="4" w:space="0"/>
            </w:tcBorders>
          </w:tcPr>
          <w:p>
            <w:pPr>
              <w:spacing w:beforeLines="50"/>
              <w:jc w:val="center"/>
              <w:rPr>
                <w:rFonts w:ascii="宋体" w:hAnsi="宋体" w:cs="宋体"/>
                <w:b/>
                <w:szCs w:val="21"/>
              </w:rPr>
            </w:pPr>
            <w:r>
              <w:rPr>
                <w:rFonts w:hint="eastAsia" w:ascii="宋体" w:hAnsi="宋体" w:cs="宋体"/>
                <w:b/>
                <w:szCs w:val="21"/>
              </w:rPr>
              <w:t>3</w:t>
            </w:r>
          </w:p>
        </w:tc>
        <w:tc>
          <w:tcPr>
            <w:tcW w:w="1258" w:type="dxa"/>
            <w:tcBorders>
              <w:top w:val="single" w:color="auto" w:sz="4" w:space="0"/>
            </w:tcBorders>
            <w:vAlign w:val="center"/>
          </w:tcPr>
          <w:p>
            <w:pPr>
              <w:spacing w:line="360" w:lineRule="auto"/>
              <w:rPr>
                <w:rFonts w:ascii="宋体" w:hAnsi="宋体" w:cs="宋体"/>
                <w:sz w:val="24"/>
                <w:szCs w:val="24"/>
              </w:rPr>
            </w:pPr>
            <w:r>
              <w:rPr>
                <w:rFonts w:hint="eastAsia" w:ascii="宋体" w:hAnsi="宋体" w:cs="宋体"/>
                <w:sz w:val="24"/>
                <w:szCs w:val="24"/>
              </w:rPr>
              <w:t>采 购</w:t>
            </w:r>
          </w:p>
          <w:p>
            <w:pPr>
              <w:spacing w:line="360" w:lineRule="auto"/>
              <w:rPr>
                <w:rFonts w:ascii="宋体" w:hAnsi="宋体" w:cs="宋体"/>
                <w:sz w:val="24"/>
                <w:szCs w:val="24"/>
              </w:rPr>
            </w:pPr>
            <w:r>
              <w:rPr>
                <w:rFonts w:hint="eastAsia" w:ascii="宋体" w:hAnsi="宋体" w:cs="宋体"/>
                <w:sz w:val="24"/>
                <w:szCs w:val="24"/>
              </w:rPr>
              <w:t>代理机构</w:t>
            </w:r>
          </w:p>
        </w:tc>
        <w:tc>
          <w:tcPr>
            <w:tcW w:w="7257" w:type="dxa"/>
            <w:tcBorders>
              <w:top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采购代理机构：陕西万泽招标有限公司</w:t>
            </w:r>
          </w:p>
          <w:p>
            <w:pPr>
              <w:spacing w:line="360" w:lineRule="auto"/>
              <w:jc w:val="left"/>
              <w:rPr>
                <w:rFonts w:ascii="宋体" w:hAnsi="宋体" w:cs="宋体"/>
                <w:sz w:val="24"/>
                <w:szCs w:val="24"/>
              </w:rPr>
            </w:pPr>
            <w:r>
              <w:rPr>
                <w:rFonts w:hint="eastAsia" w:ascii="宋体" w:hAnsi="宋体" w:cs="宋体"/>
                <w:sz w:val="24"/>
                <w:szCs w:val="24"/>
              </w:rPr>
              <w:t>地        址：西安市莲湖区西关正街英达大厦1507室</w:t>
            </w:r>
          </w:p>
          <w:p>
            <w:pPr>
              <w:spacing w:line="360" w:lineRule="auto"/>
              <w:jc w:val="left"/>
              <w:rPr>
                <w:rFonts w:ascii="宋体" w:hAnsi="宋体" w:cs="宋体"/>
                <w:sz w:val="24"/>
                <w:szCs w:val="24"/>
              </w:rPr>
            </w:pPr>
            <w:r>
              <w:rPr>
                <w:rFonts w:hint="eastAsia" w:ascii="宋体" w:hAnsi="宋体" w:cs="宋体"/>
                <w:sz w:val="24"/>
                <w:szCs w:val="24"/>
              </w:rPr>
              <w:t xml:space="preserve">联   系   人：张刘艳  于晓晶  郝思思    </w:t>
            </w:r>
          </w:p>
          <w:p>
            <w:pPr>
              <w:spacing w:line="360" w:lineRule="auto"/>
              <w:jc w:val="left"/>
              <w:rPr>
                <w:rFonts w:ascii="宋体" w:hAnsi="宋体" w:cs="宋体"/>
                <w:sz w:val="24"/>
                <w:szCs w:val="24"/>
              </w:rPr>
            </w:pPr>
            <w:r>
              <w:rPr>
                <w:rFonts w:hint="eastAsia" w:ascii="宋体" w:hAnsi="宋体" w:cs="宋体"/>
                <w:sz w:val="24"/>
                <w:szCs w:val="24"/>
              </w:rPr>
              <w:t>电        话：029-88319689-807/806</w:t>
            </w:r>
          </w:p>
          <w:p>
            <w:pPr>
              <w:spacing w:line="360" w:lineRule="auto"/>
              <w:jc w:val="left"/>
              <w:rPr>
                <w:rFonts w:ascii="宋体" w:hAnsi="宋体" w:cs="宋体"/>
                <w:sz w:val="24"/>
                <w:szCs w:val="24"/>
              </w:rPr>
            </w:pPr>
            <w:r>
              <w:rPr>
                <w:rFonts w:hint="eastAsia" w:ascii="宋体" w:hAnsi="宋体" w:cs="宋体"/>
                <w:sz w:val="24"/>
                <w:szCs w:val="24"/>
              </w:rPr>
              <w:t>邮        箱：sxwzzb123@163.com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504" w:type="dxa"/>
            <w:vAlign w:val="center"/>
          </w:tcPr>
          <w:p>
            <w:pPr>
              <w:jc w:val="center"/>
              <w:rPr>
                <w:rFonts w:ascii="宋体" w:hAnsi="宋体" w:cs="宋体"/>
                <w:szCs w:val="21"/>
              </w:rPr>
            </w:pPr>
            <w:r>
              <w:rPr>
                <w:rFonts w:hint="eastAsia" w:ascii="宋体" w:hAnsi="宋体" w:cs="宋体"/>
                <w:szCs w:val="21"/>
              </w:rPr>
              <w:t>4</w:t>
            </w:r>
          </w:p>
        </w:tc>
        <w:tc>
          <w:tcPr>
            <w:tcW w:w="1258" w:type="dxa"/>
            <w:vAlign w:val="center"/>
          </w:tcPr>
          <w:p>
            <w:pPr>
              <w:spacing w:line="360" w:lineRule="auto"/>
              <w:rPr>
                <w:rFonts w:ascii="宋体" w:hAnsi="宋体" w:cs="宋体"/>
                <w:sz w:val="24"/>
                <w:szCs w:val="24"/>
              </w:rPr>
            </w:pPr>
            <w:r>
              <w:rPr>
                <w:rFonts w:hint="eastAsia" w:ascii="宋体" w:hAnsi="宋体" w:cs="宋体"/>
                <w:sz w:val="24"/>
                <w:szCs w:val="24"/>
              </w:rPr>
              <w:t>联合体形式</w:t>
            </w:r>
          </w:p>
        </w:tc>
        <w:tc>
          <w:tcPr>
            <w:tcW w:w="7257" w:type="dxa"/>
            <w:vAlign w:val="center"/>
          </w:tcPr>
          <w:p>
            <w:pPr>
              <w:spacing w:line="360" w:lineRule="auto"/>
              <w:rPr>
                <w:rFonts w:ascii="宋体" w:hAnsi="宋体" w:cs="宋体"/>
                <w:sz w:val="24"/>
                <w:szCs w:val="24"/>
              </w:rPr>
            </w:pPr>
            <w:r>
              <w:rPr>
                <w:rFonts w:hint="eastAsia" w:ascii="宋体" w:hAnsi="宋体" w:cs="宋体"/>
                <w:sz w:val="24"/>
                <w:szCs w:val="24"/>
              </w:rPr>
              <w:t xml:space="preserve">☑不接受 </w:t>
            </w:r>
          </w:p>
          <w:p>
            <w:pPr>
              <w:spacing w:line="360" w:lineRule="auto"/>
              <w:rPr>
                <w:rFonts w:ascii="宋体" w:hAnsi="宋体" w:cs="宋体"/>
                <w:sz w:val="24"/>
                <w:szCs w:val="24"/>
              </w:rPr>
            </w:pPr>
            <w:r>
              <w:rPr>
                <w:rFonts w:hint="eastAsia" w:ascii="宋体" w:hAnsi="宋体" w:cs="宋体"/>
                <w:sz w:val="24"/>
                <w:szCs w:val="24"/>
              </w:rPr>
              <w:t>□接受</w:t>
            </w:r>
          </w:p>
          <w:p>
            <w:pPr>
              <w:spacing w:line="360" w:lineRule="auto"/>
              <w:rPr>
                <w:rFonts w:hint="eastAsia" w:ascii="宋体" w:hAnsi="宋体" w:cs="宋体"/>
                <w:b/>
                <w:bCs/>
                <w:sz w:val="24"/>
                <w:szCs w:val="24"/>
              </w:rPr>
            </w:pPr>
            <w:r>
              <w:rPr>
                <w:rFonts w:hint="eastAsia" w:ascii="宋体" w:hAnsi="宋体" w:cs="宋体"/>
                <w:sz w:val="24"/>
                <w:szCs w:val="24"/>
              </w:rPr>
              <w:t>对于联合体协议或者分包意向协议约定小微企业的合同份额占到合同总金额30％以上的，对联合体或者大中型企业的报价给予</w:t>
            </w:r>
            <w:r>
              <w:rPr>
                <w:rFonts w:hint="eastAsia" w:ascii="宋体" w:hAnsi="宋体" w:cs="宋体"/>
                <w:sz w:val="24"/>
                <w:szCs w:val="24"/>
                <w:u w:val="single"/>
              </w:rPr>
              <w:t xml:space="preserve"> 2 </w:t>
            </w:r>
            <w:r>
              <w:rPr>
                <w:rFonts w:hint="eastAsia" w:ascii="宋体" w:hAnsi="宋体" w:cs="宋体"/>
                <w:sz w:val="24"/>
                <w:szCs w:val="24"/>
              </w:rPr>
              <w:t>％（2％-3％）的扣除，用扣除后的报价参加评审。</w:t>
            </w:r>
            <w:r>
              <w:rPr>
                <w:rFonts w:hint="eastAsia" w:ascii="宋体" w:hAnsi="宋体" w:cs="宋体"/>
                <w:b/>
                <w:bCs/>
                <w:sz w:val="24"/>
                <w:szCs w:val="24"/>
              </w:rPr>
              <w:t>同时要求参加联合体的投标人均应当具备《中华人民共和国政府采购法》第22条规定的条件，并应当向采购人提交联合体协议，载明联合体各方承担的工作和义务。联合体各方应当共同与采购人签订采购合同，就采购合同约定的事项对采购人承担连带责任。否则，采购人和代理机构有权拒绝。</w:t>
            </w:r>
          </w:p>
          <w:p>
            <w:pPr>
              <w:spacing w:line="360" w:lineRule="auto"/>
              <w:rPr>
                <w:rFonts w:hint="eastAsia" w:ascii="宋体" w:hAnsi="宋体" w:cs="宋体"/>
                <w:b/>
                <w:bCs/>
                <w:sz w:val="24"/>
                <w:szCs w:val="24"/>
              </w:rPr>
            </w:pPr>
            <w:r>
              <w:rPr>
                <w:rFonts w:hint="eastAsia" w:ascii="宋体" w:hAnsi="宋体" w:cs="宋体"/>
                <w:b/>
                <w:bCs/>
                <w:sz w:val="24"/>
                <w:szCs w:val="24"/>
              </w:rPr>
              <w:t>联合体投标的，需满足下列要求：</w:t>
            </w:r>
          </w:p>
          <w:p>
            <w:pPr>
              <w:spacing w:line="360" w:lineRule="auto"/>
              <w:rPr>
                <w:rFonts w:hint="eastAsia" w:ascii="宋体" w:hAnsi="宋体" w:cs="宋体"/>
                <w:b/>
                <w:bCs/>
                <w:sz w:val="24"/>
                <w:szCs w:val="24"/>
              </w:rPr>
            </w:pPr>
            <w:r>
              <w:rPr>
                <w:rFonts w:hint="eastAsia" w:ascii="宋体" w:hAnsi="宋体" w:cs="宋体"/>
                <w:b/>
                <w:bCs/>
                <w:sz w:val="24"/>
                <w:szCs w:val="24"/>
              </w:rPr>
              <w:t>（1）一个联合体只能由两个成员组成；</w:t>
            </w:r>
          </w:p>
          <w:p>
            <w:pPr>
              <w:spacing w:line="360" w:lineRule="auto"/>
              <w:rPr>
                <w:rFonts w:hint="eastAsia" w:ascii="宋体" w:hAnsi="宋体" w:cs="宋体"/>
                <w:b/>
                <w:bCs/>
                <w:sz w:val="24"/>
                <w:szCs w:val="24"/>
              </w:rPr>
            </w:pPr>
            <w:r>
              <w:rPr>
                <w:rFonts w:hint="eastAsia" w:ascii="宋体" w:hAnsi="宋体" w:cs="宋体"/>
                <w:b/>
                <w:bCs/>
                <w:sz w:val="24"/>
                <w:szCs w:val="24"/>
              </w:rPr>
              <w:t>（2）已经以独立形式进行投标的投标人之间不得再组成联合体；</w:t>
            </w:r>
          </w:p>
          <w:p>
            <w:pPr>
              <w:spacing w:line="360" w:lineRule="auto"/>
              <w:rPr>
                <w:rFonts w:ascii="宋体" w:hAnsi="宋体" w:cs="宋体"/>
                <w:sz w:val="24"/>
                <w:szCs w:val="24"/>
              </w:rPr>
            </w:pPr>
            <w:r>
              <w:rPr>
                <w:rFonts w:hint="eastAsia" w:ascii="宋体" w:hAnsi="宋体" w:cs="宋体"/>
                <w:b/>
                <w:bCs/>
                <w:sz w:val="24"/>
                <w:szCs w:val="24"/>
              </w:rPr>
              <w:t>（3）联合体各方不得再以独立形式或参加其他联合体的形式参与本项目同一包的投标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03" w:hRule="atLeast"/>
        </w:trPr>
        <w:tc>
          <w:tcPr>
            <w:tcW w:w="504" w:type="dxa"/>
            <w:vAlign w:val="center"/>
          </w:tcPr>
          <w:p>
            <w:pPr>
              <w:jc w:val="center"/>
              <w:rPr>
                <w:rFonts w:ascii="宋体" w:hAnsi="宋体" w:cs="宋体"/>
                <w:szCs w:val="21"/>
              </w:rPr>
            </w:pPr>
            <w:r>
              <w:rPr>
                <w:rFonts w:hint="eastAsia" w:ascii="宋体" w:hAnsi="宋体" w:cs="宋体"/>
                <w:szCs w:val="21"/>
              </w:rPr>
              <w:t>5</w:t>
            </w:r>
          </w:p>
        </w:tc>
        <w:tc>
          <w:tcPr>
            <w:tcW w:w="1258" w:type="dxa"/>
            <w:vAlign w:val="center"/>
          </w:tcPr>
          <w:p>
            <w:pPr>
              <w:rPr>
                <w:rFonts w:ascii="宋体" w:hAnsi="宋体" w:cs="宋体"/>
                <w:sz w:val="24"/>
                <w:szCs w:val="24"/>
              </w:rPr>
            </w:pPr>
            <w:r>
              <w:rPr>
                <w:rFonts w:hint="eastAsia" w:ascii="宋体" w:hAnsi="宋体" w:cs="宋体"/>
                <w:sz w:val="24"/>
                <w:szCs w:val="24"/>
              </w:rPr>
              <w:t>备 选</w:t>
            </w:r>
          </w:p>
          <w:p>
            <w:pPr>
              <w:rPr>
                <w:rFonts w:ascii="宋体" w:hAnsi="宋体" w:cs="宋体"/>
                <w:sz w:val="24"/>
                <w:szCs w:val="24"/>
              </w:rPr>
            </w:pPr>
            <w:r>
              <w:rPr>
                <w:rFonts w:hint="eastAsia" w:ascii="宋体" w:hAnsi="宋体" w:cs="宋体"/>
                <w:sz w:val="24"/>
                <w:szCs w:val="24"/>
              </w:rPr>
              <w:t>方 案</w:t>
            </w:r>
          </w:p>
        </w:tc>
        <w:tc>
          <w:tcPr>
            <w:tcW w:w="7257" w:type="dxa"/>
            <w:vAlign w:val="center"/>
          </w:tcPr>
          <w:p>
            <w:pPr>
              <w:spacing w:line="360" w:lineRule="auto"/>
              <w:jc w:val="left"/>
              <w:rPr>
                <w:rFonts w:ascii="宋体" w:hAnsi="宋体" w:cs="宋体"/>
                <w:sz w:val="24"/>
                <w:szCs w:val="24"/>
              </w:rPr>
            </w:pPr>
            <w:r>
              <w:rPr>
                <w:rFonts w:hint="eastAsia" w:ascii="宋体" w:hAnsi="宋体" w:cs="宋体"/>
                <w:sz w:val="24"/>
                <w:szCs w:val="24"/>
              </w:rPr>
              <w:t>不允许提供。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504" w:type="dxa"/>
            <w:vAlign w:val="center"/>
          </w:tcPr>
          <w:p>
            <w:pPr>
              <w:jc w:val="center"/>
              <w:rPr>
                <w:rFonts w:ascii="宋体" w:hAnsi="宋体" w:cs="宋体"/>
                <w:szCs w:val="21"/>
              </w:rPr>
            </w:pPr>
            <w:r>
              <w:rPr>
                <w:rFonts w:hint="eastAsia" w:ascii="宋体" w:hAnsi="宋体" w:cs="宋体"/>
                <w:szCs w:val="21"/>
              </w:rPr>
              <w:t>6</w:t>
            </w:r>
          </w:p>
        </w:tc>
        <w:tc>
          <w:tcPr>
            <w:tcW w:w="1258" w:type="dxa"/>
            <w:vAlign w:val="center"/>
          </w:tcPr>
          <w:p>
            <w:pPr>
              <w:spacing w:line="360" w:lineRule="auto"/>
              <w:rPr>
                <w:rFonts w:ascii="宋体" w:hAnsi="宋体" w:cs="宋体"/>
                <w:sz w:val="24"/>
                <w:szCs w:val="24"/>
              </w:rPr>
            </w:pPr>
            <w:r>
              <w:rPr>
                <w:rFonts w:hint="eastAsia" w:ascii="宋体" w:hAnsi="宋体" w:cs="宋体"/>
                <w:sz w:val="24"/>
                <w:szCs w:val="24"/>
              </w:rPr>
              <w:t>标  段</w:t>
            </w:r>
          </w:p>
        </w:tc>
        <w:tc>
          <w:tcPr>
            <w:tcW w:w="7257" w:type="dxa"/>
            <w:vAlign w:val="center"/>
          </w:tcPr>
          <w:p>
            <w:pPr>
              <w:spacing w:line="360" w:lineRule="auto"/>
              <w:ind w:firstLine="480" w:firstLineChars="200"/>
              <w:jc w:val="left"/>
              <w:rPr>
                <w:rFonts w:ascii="宋体" w:hAnsi="宋体" w:cs="宋体"/>
                <w:sz w:val="24"/>
                <w:szCs w:val="24"/>
              </w:rPr>
            </w:pPr>
            <w:r>
              <w:rPr>
                <w:rFonts w:hint="eastAsia" w:ascii="宋体" w:hAnsi="宋体" w:cs="宋体"/>
                <w:sz w:val="24"/>
                <w:szCs w:val="24"/>
              </w:rPr>
              <w:t>本次采购不分标段，供应商可根据自身的资质情况和经营范围对本项目进行磋商，不得自行分解或只对本次项目中的品目进行不完全磋商，任何不完全的磋商将按无效磋商处理。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504" w:type="dxa"/>
            <w:vAlign w:val="center"/>
          </w:tcPr>
          <w:p>
            <w:pPr>
              <w:jc w:val="center"/>
              <w:rPr>
                <w:rFonts w:ascii="宋体" w:hAnsi="宋体" w:cs="宋体"/>
                <w:szCs w:val="21"/>
              </w:rPr>
            </w:pPr>
            <w:r>
              <w:rPr>
                <w:rFonts w:hint="eastAsia" w:ascii="宋体" w:hAnsi="宋体" w:cs="宋体"/>
                <w:szCs w:val="21"/>
              </w:rPr>
              <w:t>7</w:t>
            </w:r>
          </w:p>
        </w:tc>
        <w:tc>
          <w:tcPr>
            <w:tcW w:w="1258" w:type="dxa"/>
            <w:vAlign w:val="center"/>
          </w:tcPr>
          <w:p>
            <w:pPr>
              <w:spacing w:line="360" w:lineRule="auto"/>
              <w:rPr>
                <w:rFonts w:ascii="宋体" w:hAnsi="宋体" w:cs="宋体"/>
                <w:sz w:val="24"/>
                <w:szCs w:val="24"/>
              </w:rPr>
            </w:pPr>
            <w:r>
              <w:rPr>
                <w:rFonts w:hint="eastAsia" w:ascii="宋体" w:hAnsi="宋体" w:cs="宋体"/>
                <w:sz w:val="24"/>
                <w:szCs w:val="24"/>
              </w:rPr>
              <w:t>有效期</w:t>
            </w:r>
          </w:p>
        </w:tc>
        <w:tc>
          <w:tcPr>
            <w:tcW w:w="7257" w:type="dxa"/>
            <w:vAlign w:val="center"/>
          </w:tcPr>
          <w:p>
            <w:pPr>
              <w:spacing w:line="360" w:lineRule="auto"/>
              <w:ind w:firstLine="480" w:firstLineChars="200"/>
              <w:jc w:val="left"/>
              <w:rPr>
                <w:rFonts w:ascii="宋体" w:hAnsi="宋体" w:cs="宋体"/>
                <w:sz w:val="24"/>
                <w:szCs w:val="24"/>
              </w:rPr>
            </w:pPr>
            <w:r>
              <w:rPr>
                <w:rFonts w:hint="eastAsia" w:ascii="宋体" w:hAnsi="宋体" w:cs="宋体"/>
                <w:sz w:val="24"/>
                <w:szCs w:val="24"/>
              </w:rPr>
              <w:t>响应文件及法定代表人授权书自递交截止之日起有效期为90日历日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504" w:type="dxa"/>
            <w:vAlign w:val="center"/>
          </w:tcPr>
          <w:p>
            <w:pPr>
              <w:jc w:val="center"/>
              <w:rPr>
                <w:rFonts w:ascii="宋体" w:hAnsi="宋体" w:cs="宋体"/>
                <w:szCs w:val="21"/>
              </w:rPr>
            </w:pPr>
            <w:r>
              <w:rPr>
                <w:rFonts w:hint="eastAsia" w:ascii="宋体" w:hAnsi="宋体" w:cs="宋体"/>
                <w:szCs w:val="21"/>
              </w:rPr>
              <w:t>8</w:t>
            </w:r>
          </w:p>
        </w:tc>
        <w:tc>
          <w:tcPr>
            <w:tcW w:w="1258" w:type="dxa"/>
            <w:vAlign w:val="center"/>
          </w:tcPr>
          <w:p>
            <w:pPr>
              <w:jc w:val="center"/>
              <w:rPr>
                <w:rFonts w:ascii="宋体" w:hAnsi="宋体" w:cs="宋体"/>
                <w:sz w:val="24"/>
                <w:szCs w:val="24"/>
              </w:rPr>
            </w:pPr>
            <w:r>
              <w:rPr>
                <w:rFonts w:hint="eastAsia" w:ascii="宋体" w:hAnsi="宋体" w:cs="宋体"/>
                <w:sz w:val="24"/>
                <w:szCs w:val="24"/>
              </w:rPr>
              <w:t>资 格</w:t>
            </w:r>
          </w:p>
          <w:p>
            <w:pPr>
              <w:jc w:val="center"/>
              <w:rPr>
                <w:rFonts w:ascii="宋体" w:hAnsi="宋体" w:cs="宋体"/>
                <w:sz w:val="24"/>
                <w:szCs w:val="24"/>
              </w:rPr>
            </w:pPr>
            <w:r>
              <w:rPr>
                <w:rFonts w:hint="eastAsia" w:ascii="宋体" w:hAnsi="宋体" w:cs="宋体"/>
                <w:sz w:val="24"/>
                <w:szCs w:val="24"/>
              </w:rPr>
              <w:t>要 求</w:t>
            </w:r>
          </w:p>
        </w:tc>
        <w:tc>
          <w:tcPr>
            <w:tcW w:w="7257" w:type="dxa"/>
          </w:tcPr>
          <w:p>
            <w:pPr>
              <w:snapToGrid w:val="0"/>
              <w:spacing w:line="360" w:lineRule="auto"/>
              <w:jc w:val="left"/>
              <w:rPr>
                <w:rFonts w:ascii="宋体" w:hAnsi="宋体" w:cs="宋体"/>
                <w:bCs/>
                <w:kern w:val="0"/>
                <w:sz w:val="24"/>
                <w:szCs w:val="24"/>
              </w:rPr>
            </w:pPr>
            <w:r>
              <w:rPr>
                <w:rFonts w:hint="eastAsia" w:ascii="宋体" w:hAnsi="宋体" w:cs="宋体"/>
                <w:bCs/>
                <w:kern w:val="0"/>
                <w:sz w:val="24"/>
                <w:szCs w:val="24"/>
              </w:rPr>
              <w:t>符合《中华人民共和国政府采购法》第二十二条规定，并提供以下材料：</w:t>
            </w:r>
          </w:p>
          <w:p>
            <w:pPr>
              <w:numPr>
                <w:ilvl w:val="0"/>
                <w:numId w:val="4"/>
              </w:numPr>
              <w:snapToGrid w:val="0"/>
              <w:spacing w:line="360" w:lineRule="auto"/>
              <w:jc w:val="left"/>
              <w:rPr>
                <w:rFonts w:ascii="宋体" w:hAnsi="宋体" w:cs="宋体"/>
                <w:bCs/>
                <w:kern w:val="0"/>
                <w:sz w:val="24"/>
                <w:szCs w:val="24"/>
              </w:rPr>
            </w:pPr>
            <w:r>
              <w:rPr>
                <w:rFonts w:hint="eastAsia"/>
                <w:sz w:val="24"/>
                <w:szCs w:val="24"/>
              </w:rPr>
              <w:t>符</w:t>
            </w:r>
            <w:r>
              <w:rPr>
                <w:rFonts w:hint="eastAsia" w:ascii="宋体" w:hAnsi="宋体" w:cs="宋体"/>
                <w:sz w:val="24"/>
                <w:szCs w:val="24"/>
              </w:rPr>
              <w:t>合</w:t>
            </w:r>
            <w:r>
              <w:rPr>
                <w:rFonts w:hint="eastAsia" w:ascii="宋体" w:hAnsi="宋体" w:cs="宋体"/>
                <w:bCs/>
                <w:kern w:val="0"/>
                <w:sz w:val="24"/>
                <w:szCs w:val="24"/>
              </w:rPr>
              <w:t>具有独立承担民事责任能力的法人、其他组织或自然人，并出具合法有效的营业执照或事业单位法人证书等国家规定的相关证明，自然人参与的提供其身份证明；</w:t>
            </w:r>
          </w:p>
          <w:p>
            <w:pPr>
              <w:numPr>
                <w:ilvl w:val="0"/>
                <w:numId w:val="4"/>
              </w:numPr>
              <w:snapToGrid w:val="0"/>
              <w:spacing w:line="360" w:lineRule="auto"/>
              <w:jc w:val="left"/>
              <w:rPr>
                <w:rFonts w:ascii="宋体" w:hAnsi="宋体" w:cs="宋体"/>
                <w:bCs/>
                <w:kern w:val="0"/>
                <w:sz w:val="24"/>
                <w:szCs w:val="24"/>
              </w:rPr>
            </w:pPr>
            <w:r>
              <w:rPr>
                <w:rFonts w:hint="eastAsia" w:ascii="宋体" w:hAnsi="宋体" w:cs="宋体"/>
                <w:bCs/>
                <w:kern w:val="0"/>
                <w:sz w:val="24"/>
                <w:szCs w:val="24"/>
              </w:rPr>
              <w:t>社会保障资金缴纳证明：2021年</w:t>
            </w:r>
            <w:r>
              <w:rPr>
                <w:rFonts w:hint="eastAsia" w:ascii="宋体" w:hAnsi="宋体" w:cs="宋体"/>
                <w:bCs/>
                <w:kern w:val="0"/>
                <w:sz w:val="24"/>
                <w:szCs w:val="24"/>
                <w:lang w:val="en-US" w:eastAsia="zh-CN"/>
              </w:rPr>
              <w:t>9</w:t>
            </w:r>
            <w:r>
              <w:rPr>
                <w:rFonts w:hint="eastAsia" w:ascii="宋体" w:hAnsi="宋体" w:cs="宋体"/>
                <w:bCs/>
                <w:kern w:val="0"/>
                <w:sz w:val="24"/>
                <w:szCs w:val="24"/>
              </w:rPr>
              <w:t>月至今已缴纳的至少一个月的社会保障资金缴存单据或社保机构开具的社会保险参保缴费情况证明，单据或证明上应有社保机构或代收机构的公章。依法不需要缴纳社会保障资金的供应商应提供相关文件证明；</w:t>
            </w:r>
          </w:p>
          <w:p>
            <w:pPr>
              <w:numPr>
                <w:ilvl w:val="0"/>
                <w:numId w:val="4"/>
              </w:numPr>
              <w:snapToGrid w:val="0"/>
              <w:spacing w:line="360" w:lineRule="auto"/>
              <w:jc w:val="left"/>
              <w:rPr>
                <w:rFonts w:ascii="宋体" w:hAnsi="宋体" w:cs="宋体"/>
                <w:bCs/>
                <w:kern w:val="0"/>
                <w:sz w:val="24"/>
                <w:szCs w:val="24"/>
              </w:rPr>
            </w:pPr>
            <w:r>
              <w:rPr>
                <w:rFonts w:hint="eastAsia" w:ascii="宋体" w:hAnsi="宋体" w:cs="宋体"/>
                <w:bCs/>
                <w:kern w:val="0"/>
                <w:sz w:val="24"/>
                <w:szCs w:val="24"/>
              </w:rPr>
              <w:t>税收缴纳证明：2021年</w:t>
            </w:r>
            <w:r>
              <w:rPr>
                <w:rFonts w:hint="eastAsia" w:ascii="宋体" w:hAnsi="宋体" w:cs="宋体"/>
                <w:bCs/>
                <w:kern w:val="0"/>
                <w:sz w:val="24"/>
                <w:szCs w:val="24"/>
                <w:lang w:val="en-US" w:eastAsia="zh-CN"/>
              </w:rPr>
              <w:t>9</w:t>
            </w:r>
            <w:r>
              <w:rPr>
                <w:rFonts w:hint="eastAsia" w:ascii="宋体" w:hAnsi="宋体" w:cs="宋体"/>
                <w:bCs/>
                <w:kern w:val="0"/>
                <w:sz w:val="24"/>
                <w:szCs w:val="24"/>
              </w:rPr>
              <w:t>月至今已缴纳的至少一个月纳税证明或完税证明，依法免税的单位应提供相关证明材料； </w:t>
            </w:r>
          </w:p>
          <w:p>
            <w:pPr>
              <w:numPr>
                <w:ilvl w:val="0"/>
                <w:numId w:val="4"/>
              </w:numPr>
              <w:snapToGrid w:val="0"/>
              <w:spacing w:line="360" w:lineRule="auto"/>
              <w:jc w:val="left"/>
              <w:rPr>
                <w:rFonts w:ascii="宋体" w:hAnsi="宋体" w:cs="宋体"/>
                <w:bCs/>
                <w:kern w:val="0"/>
                <w:sz w:val="24"/>
                <w:szCs w:val="24"/>
              </w:rPr>
            </w:pPr>
            <w:r>
              <w:rPr>
                <w:rFonts w:hint="eastAsia" w:ascii="宋体" w:hAnsi="宋体" w:cs="宋体"/>
                <w:bCs/>
                <w:kern w:val="0"/>
                <w:sz w:val="24"/>
                <w:szCs w:val="24"/>
              </w:rPr>
              <w:t xml:space="preserve">财务状况证明：提供经会计师事务所审计的2020年或2021年任意一年的财务审计报告或在开标日期前六个月内其基本开户银行出具的资信证明；  </w:t>
            </w:r>
          </w:p>
          <w:p>
            <w:pPr>
              <w:numPr>
                <w:ilvl w:val="0"/>
                <w:numId w:val="4"/>
              </w:numPr>
              <w:snapToGrid w:val="0"/>
              <w:spacing w:line="360" w:lineRule="auto"/>
              <w:jc w:val="left"/>
              <w:rPr>
                <w:rFonts w:ascii="宋体" w:hAnsi="宋体" w:cs="宋体"/>
                <w:bCs/>
                <w:kern w:val="0"/>
                <w:sz w:val="24"/>
                <w:szCs w:val="24"/>
              </w:rPr>
            </w:pPr>
            <w:r>
              <w:rPr>
                <w:rFonts w:hint="eastAsia" w:ascii="宋体" w:hAnsi="宋体" w:cs="宋体"/>
                <w:bCs/>
                <w:kern w:val="0"/>
                <w:sz w:val="24"/>
                <w:szCs w:val="24"/>
              </w:rPr>
              <w:t>供应商应出具参加本次政府采购活动前3年内在经营活动中没有重大违法违纪，以及未被列入失信被执行人、重大税收违法案件当事人名单、政府采购严重违法失信行为记录名单的书面声明；</w:t>
            </w:r>
          </w:p>
          <w:p>
            <w:pPr>
              <w:numPr>
                <w:ilvl w:val="0"/>
                <w:numId w:val="4"/>
              </w:numPr>
              <w:snapToGrid w:val="0"/>
              <w:spacing w:line="360" w:lineRule="auto"/>
              <w:jc w:val="left"/>
              <w:rPr>
                <w:rFonts w:ascii="宋体" w:hAnsi="宋体" w:cs="宋体"/>
                <w:bCs/>
                <w:kern w:val="0"/>
                <w:sz w:val="24"/>
                <w:szCs w:val="24"/>
              </w:rPr>
            </w:pPr>
            <w:r>
              <w:rPr>
                <w:rFonts w:hint="eastAsia" w:ascii="宋体" w:hAnsi="宋体" w:cs="宋体"/>
                <w:bCs/>
                <w:kern w:val="0"/>
                <w:sz w:val="24"/>
                <w:szCs w:val="24"/>
              </w:rPr>
              <w:t>非法定代表人参加投标，须提供法定代表人授权委托书及被授权人身份证原件；法定代表人参加投标时,只须提供法定代表人身份证原件；</w:t>
            </w:r>
          </w:p>
          <w:p>
            <w:pPr>
              <w:snapToGrid w:val="0"/>
              <w:spacing w:line="360" w:lineRule="auto"/>
              <w:jc w:val="left"/>
              <w:rPr>
                <w:rFonts w:hint="eastAsia" w:ascii="宋体" w:hAnsi="宋体" w:cs="宋体"/>
                <w:bCs/>
                <w:kern w:val="0"/>
                <w:sz w:val="24"/>
                <w:szCs w:val="24"/>
              </w:rPr>
            </w:pPr>
            <w:r>
              <w:rPr>
                <w:rFonts w:hint="eastAsia" w:ascii="宋体" w:hAnsi="宋体" w:cs="宋体"/>
                <w:bCs/>
                <w:kern w:val="0"/>
                <w:sz w:val="24"/>
                <w:szCs w:val="24"/>
                <w:lang w:val="en-US" w:eastAsia="zh-CN"/>
              </w:rPr>
              <w:t>7</w:t>
            </w:r>
            <w:r>
              <w:rPr>
                <w:rFonts w:hint="eastAsia" w:ascii="宋体" w:hAnsi="宋体" w:cs="宋体"/>
                <w:bCs/>
                <w:kern w:val="0"/>
                <w:sz w:val="24"/>
                <w:szCs w:val="24"/>
              </w:rPr>
              <w:t>、</w:t>
            </w:r>
            <w:r>
              <w:rPr>
                <w:rFonts w:hint="eastAsia" w:ascii="宋体" w:hAnsi="宋体" w:eastAsia="宋体" w:cs="宋体"/>
                <w:color w:val="0C0C0C"/>
                <w:sz w:val="24"/>
                <w:szCs w:val="24"/>
              </w:rPr>
              <w:t>本项目专门面向中小企业采购，供应商应提供中小企业声明函；</w:t>
            </w:r>
          </w:p>
          <w:p>
            <w:pPr>
              <w:pStyle w:val="7"/>
              <w:spacing w:line="360" w:lineRule="auto"/>
              <w:ind w:firstLine="0"/>
              <w:rPr>
                <w:rFonts w:hint="eastAsia" w:ascii="宋体" w:hAnsi="宋体" w:cs="宋体"/>
                <w:bCs/>
                <w:kern w:val="0"/>
                <w:sz w:val="24"/>
                <w:szCs w:val="24"/>
              </w:rPr>
            </w:pPr>
            <w:r>
              <w:rPr>
                <w:rFonts w:hint="eastAsia" w:ascii="宋体" w:hAnsi="宋体" w:cs="宋体"/>
                <w:bCs/>
                <w:kern w:val="0"/>
                <w:sz w:val="24"/>
                <w:szCs w:val="24"/>
                <w:lang w:val="en-US" w:eastAsia="zh-CN"/>
              </w:rPr>
              <w:t>8、</w:t>
            </w:r>
            <w:r>
              <w:rPr>
                <w:rFonts w:hint="eastAsia" w:ascii="宋体" w:hAnsi="宋体" w:cs="宋体"/>
                <w:bCs/>
                <w:kern w:val="0"/>
                <w:sz w:val="24"/>
                <w:szCs w:val="24"/>
              </w:rPr>
              <w:t>本项目不接受联合体磋商。</w:t>
            </w:r>
          </w:p>
          <w:p>
            <w:pPr>
              <w:pStyle w:val="7"/>
              <w:spacing w:line="360" w:lineRule="auto"/>
              <w:ind w:firstLine="0"/>
              <w:rPr>
                <w:rFonts w:ascii="宋体" w:hAnsi="宋体" w:cs="宋体"/>
                <w:color w:val="000000"/>
                <w:sz w:val="24"/>
                <w:szCs w:val="24"/>
              </w:rPr>
            </w:pPr>
            <w:r>
              <w:rPr>
                <w:rFonts w:hint="eastAsia" w:ascii="宋体" w:hAnsi="宋体" w:cs="宋体"/>
                <w:color w:val="000000"/>
                <w:sz w:val="24"/>
                <w:szCs w:val="24"/>
              </w:rPr>
              <w:t>以上项为资格审查必备资质。评审时，根据供应商响应文件中提供的上述资格证明文件（复印件加盖公章，原件备查）进行资格审查，未通过资格审查的，其响应文件将按无效响应处理。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504" w:type="dxa"/>
            <w:vAlign w:val="center"/>
          </w:tcPr>
          <w:p>
            <w:pPr>
              <w:jc w:val="center"/>
              <w:rPr>
                <w:rFonts w:ascii="宋体" w:hAnsi="宋体" w:cs="宋体"/>
                <w:szCs w:val="21"/>
              </w:rPr>
            </w:pPr>
            <w:r>
              <w:rPr>
                <w:rFonts w:hint="eastAsia" w:ascii="宋体" w:hAnsi="宋体" w:cs="宋体"/>
                <w:szCs w:val="21"/>
              </w:rPr>
              <w:t>9</w:t>
            </w:r>
          </w:p>
        </w:tc>
        <w:tc>
          <w:tcPr>
            <w:tcW w:w="1258" w:type="dxa"/>
            <w:vAlign w:val="center"/>
          </w:tcPr>
          <w:p>
            <w:pPr>
              <w:jc w:val="center"/>
              <w:rPr>
                <w:rFonts w:ascii="宋体" w:hAnsi="宋体" w:cs="宋体"/>
                <w:sz w:val="24"/>
                <w:szCs w:val="24"/>
              </w:rPr>
            </w:pPr>
            <w:r>
              <w:rPr>
                <w:rFonts w:hint="eastAsia" w:ascii="宋体" w:hAnsi="宋体" w:cs="宋体"/>
                <w:sz w:val="24"/>
                <w:szCs w:val="24"/>
              </w:rPr>
              <w:t>磋商</w:t>
            </w:r>
          </w:p>
          <w:p>
            <w:pPr>
              <w:jc w:val="center"/>
              <w:rPr>
                <w:rFonts w:ascii="宋体" w:hAnsi="宋体" w:cs="宋体"/>
                <w:sz w:val="24"/>
                <w:szCs w:val="24"/>
              </w:rPr>
            </w:pPr>
            <w:r>
              <w:rPr>
                <w:rFonts w:hint="eastAsia" w:ascii="宋体" w:hAnsi="宋体" w:cs="宋体"/>
                <w:sz w:val="24"/>
                <w:szCs w:val="24"/>
              </w:rPr>
              <w:t>响应</w:t>
            </w:r>
          </w:p>
          <w:p>
            <w:pPr>
              <w:jc w:val="center"/>
              <w:rPr>
                <w:rFonts w:ascii="宋体" w:hAnsi="宋体" w:cs="宋体"/>
                <w:sz w:val="24"/>
                <w:szCs w:val="24"/>
              </w:rPr>
            </w:pPr>
            <w:r>
              <w:rPr>
                <w:rFonts w:hint="eastAsia" w:ascii="宋体" w:hAnsi="宋体" w:cs="宋体"/>
                <w:sz w:val="24"/>
                <w:szCs w:val="24"/>
              </w:rPr>
              <w:t>文件</w:t>
            </w:r>
          </w:p>
        </w:tc>
        <w:tc>
          <w:tcPr>
            <w:tcW w:w="7257" w:type="dxa"/>
            <w:vAlign w:val="center"/>
          </w:tcPr>
          <w:p>
            <w:pPr>
              <w:spacing w:line="360" w:lineRule="auto"/>
              <w:ind w:firstLine="480" w:firstLineChars="200"/>
              <w:jc w:val="left"/>
              <w:rPr>
                <w:rFonts w:ascii="宋体" w:hAnsi="宋体" w:cs="宋体"/>
                <w:sz w:val="24"/>
                <w:szCs w:val="24"/>
              </w:rPr>
            </w:pPr>
            <w:r>
              <w:rPr>
                <w:rFonts w:hint="eastAsia" w:ascii="宋体" w:hAnsi="宋体" w:cs="宋体"/>
                <w:sz w:val="24"/>
                <w:szCs w:val="24"/>
              </w:rPr>
              <w:t>磋商响应文件</w:t>
            </w:r>
            <w:r>
              <w:rPr>
                <w:rFonts w:hint="eastAsia" w:ascii="宋体" w:hAnsi="宋体" w:cs="宋体"/>
                <w:b/>
                <w:bCs/>
                <w:sz w:val="24"/>
                <w:szCs w:val="24"/>
              </w:rPr>
              <w:t>正本壹份、副本叁份</w:t>
            </w:r>
            <w:r>
              <w:rPr>
                <w:rFonts w:hint="eastAsia" w:ascii="宋体" w:hAnsi="宋体" w:cs="宋体"/>
                <w:sz w:val="24"/>
                <w:szCs w:val="24"/>
              </w:rPr>
              <w:t>，分别胶装装订成册，且封面须清楚地标明“正本”或“副本”；若正本和副本不符，以正本书面文件为准；</w:t>
            </w:r>
            <w:r>
              <w:rPr>
                <w:rFonts w:hint="eastAsia" w:ascii="宋体" w:hAnsi="宋体"/>
                <w:sz w:val="24"/>
                <w:szCs w:val="24"/>
              </w:rPr>
              <w:t>同时提供与正本内容一致的电子版（</w:t>
            </w:r>
            <w:r>
              <w:rPr>
                <w:rFonts w:ascii="宋体" w:hAnsi="宋体"/>
                <w:b/>
                <w:bCs/>
                <w:sz w:val="24"/>
                <w:szCs w:val="24"/>
              </w:rPr>
              <w:t>U</w:t>
            </w:r>
            <w:r>
              <w:rPr>
                <w:rFonts w:hint="eastAsia" w:ascii="宋体" w:hAnsi="宋体"/>
                <w:b/>
                <w:bCs/>
                <w:sz w:val="24"/>
                <w:szCs w:val="24"/>
              </w:rPr>
              <w:t>盘</w:t>
            </w:r>
            <w:r>
              <w:rPr>
                <w:rFonts w:hint="eastAsia" w:ascii="宋体" w:hAnsi="宋体"/>
                <w:sz w:val="24"/>
                <w:szCs w:val="24"/>
              </w:rPr>
              <w:t>、</w:t>
            </w:r>
            <w:r>
              <w:rPr>
                <w:rFonts w:hint="eastAsia" w:ascii="宋体" w:hAnsi="宋体" w:cs="宋体"/>
                <w:b/>
                <w:bCs/>
                <w:sz w:val="24"/>
                <w:szCs w:val="24"/>
              </w:rPr>
              <w:t>电子文档应为</w:t>
            </w:r>
            <w:r>
              <w:rPr>
                <w:rFonts w:ascii="宋体" w:hAnsi="宋体" w:cs="宋体"/>
                <w:b/>
                <w:bCs/>
                <w:sz w:val="24"/>
                <w:szCs w:val="24"/>
              </w:rPr>
              <w:t>PDF</w:t>
            </w:r>
            <w:r>
              <w:rPr>
                <w:rFonts w:hint="eastAsia" w:ascii="宋体" w:hAnsi="宋体" w:cs="宋体"/>
                <w:b/>
                <w:bCs/>
                <w:sz w:val="24"/>
                <w:szCs w:val="24"/>
              </w:rPr>
              <w:t>格式WORD格式各一份</w:t>
            </w:r>
            <w:r>
              <w:rPr>
                <w:rFonts w:hint="eastAsia" w:ascii="宋体" w:hAnsi="宋体"/>
                <w:sz w:val="24"/>
                <w:szCs w:val="24"/>
              </w:rPr>
              <w:t>）、磋商一览表壹份</w:t>
            </w:r>
            <w:r>
              <w:rPr>
                <w:rFonts w:hint="eastAsia" w:ascii="宋体" w:hAnsi="宋体" w:cs="宋体"/>
                <w:b/>
                <w:bCs/>
                <w:sz w:val="24"/>
                <w:szCs w:val="24"/>
              </w:rPr>
              <w:t>（</w:t>
            </w:r>
            <w:r>
              <w:rPr>
                <w:rFonts w:hint="eastAsia" w:ascii="宋体" w:hAnsi="宋体" w:cs="宋体"/>
                <w:sz w:val="24"/>
                <w:szCs w:val="24"/>
              </w:rPr>
              <w:t>单独提交的“磋商一览表”应为原件</w:t>
            </w:r>
            <w:r>
              <w:rPr>
                <w:rFonts w:hint="eastAsia" w:ascii="宋体" w:hAnsi="宋体" w:cs="宋体"/>
                <w:b/>
                <w:bCs/>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504" w:type="dxa"/>
            <w:vAlign w:val="center"/>
          </w:tcPr>
          <w:p>
            <w:pPr>
              <w:jc w:val="center"/>
              <w:rPr>
                <w:rFonts w:ascii="宋体" w:hAnsi="宋体" w:cs="宋体"/>
                <w:szCs w:val="21"/>
              </w:rPr>
            </w:pPr>
            <w:r>
              <w:rPr>
                <w:rFonts w:hint="eastAsia" w:ascii="宋体" w:hAnsi="宋体" w:cs="宋体"/>
                <w:szCs w:val="21"/>
              </w:rPr>
              <w:t>10</w:t>
            </w:r>
          </w:p>
        </w:tc>
        <w:tc>
          <w:tcPr>
            <w:tcW w:w="1258" w:type="dxa"/>
            <w:vAlign w:val="center"/>
          </w:tcPr>
          <w:p>
            <w:pPr>
              <w:jc w:val="center"/>
              <w:rPr>
                <w:rFonts w:ascii="宋体" w:hAnsi="宋体" w:cs="宋体"/>
                <w:sz w:val="24"/>
                <w:szCs w:val="24"/>
              </w:rPr>
            </w:pPr>
            <w:r>
              <w:rPr>
                <w:rFonts w:hint="eastAsia" w:ascii="宋体" w:hAnsi="宋体" w:cs="宋体"/>
                <w:sz w:val="24"/>
                <w:szCs w:val="24"/>
              </w:rPr>
              <w:t>磋商</w:t>
            </w:r>
          </w:p>
          <w:p>
            <w:pPr>
              <w:jc w:val="center"/>
              <w:rPr>
                <w:rFonts w:ascii="宋体" w:hAnsi="宋体" w:cs="宋体"/>
                <w:sz w:val="24"/>
                <w:szCs w:val="24"/>
              </w:rPr>
            </w:pPr>
            <w:r>
              <w:rPr>
                <w:rFonts w:hint="eastAsia" w:ascii="宋体" w:hAnsi="宋体" w:cs="宋体"/>
                <w:sz w:val="24"/>
                <w:szCs w:val="24"/>
              </w:rPr>
              <w:t>响应</w:t>
            </w:r>
          </w:p>
          <w:p>
            <w:pPr>
              <w:jc w:val="center"/>
              <w:rPr>
                <w:rFonts w:ascii="宋体" w:hAnsi="宋体" w:cs="宋体"/>
                <w:sz w:val="24"/>
                <w:szCs w:val="24"/>
              </w:rPr>
            </w:pPr>
            <w:r>
              <w:rPr>
                <w:rFonts w:hint="eastAsia" w:ascii="宋体" w:hAnsi="宋体" w:cs="宋体"/>
                <w:sz w:val="24"/>
                <w:szCs w:val="24"/>
              </w:rPr>
              <w:t>文件的签署盖章</w:t>
            </w:r>
          </w:p>
        </w:tc>
        <w:tc>
          <w:tcPr>
            <w:tcW w:w="7257" w:type="dxa"/>
            <w:vAlign w:val="center"/>
          </w:tcPr>
          <w:p>
            <w:pPr>
              <w:spacing w:line="360" w:lineRule="auto"/>
              <w:ind w:firstLine="480" w:firstLineChars="200"/>
              <w:jc w:val="left"/>
              <w:rPr>
                <w:rFonts w:ascii="宋体" w:hAnsi="宋体" w:cs="宋体"/>
                <w:sz w:val="24"/>
                <w:szCs w:val="24"/>
              </w:rPr>
            </w:pPr>
            <w:r>
              <w:rPr>
                <w:rFonts w:hint="eastAsia" w:ascii="宋体" w:hAnsi="宋体" w:cs="宋体"/>
                <w:sz w:val="24"/>
                <w:szCs w:val="24"/>
              </w:rPr>
              <w:t>1、供应商在磋商响应文件中指定的页面的落款处，按竞争性磋商文件要求由供应商的法定代表人或其授权代表在规定的签章处签字或盖章。</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2、供应商应按照磋商文件要求，在每一份磋商响应文件的正本和副本封面下方以及其他磋商文件要求的位置填写供应商全称并加盖公章。</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3、磋商响应文件应字迹清楚、内容齐全、不得涂改或增删。如有修改和增删，必须有供应商公章及法定代表人或其授权代表签字。</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4、因磋商响应文件字迹潦草或表达不清所引起的不利后果由供应商承担。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504" w:type="dxa"/>
            <w:vAlign w:val="center"/>
          </w:tcPr>
          <w:p>
            <w:pPr>
              <w:jc w:val="center"/>
              <w:rPr>
                <w:rFonts w:ascii="宋体" w:hAnsi="宋体" w:cs="宋体"/>
                <w:szCs w:val="21"/>
              </w:rPr>
            </w:pPr>
            <w:r>
              <w:rPr>
                <w:rFonts w:hint="eastAsia" w:ascii="宋体" w:hAnsi="宋体" w:cs="宋体"/>
                <w:szCs w:val="21"/>
              </w:rPr>
              <w:t>11</w:t>
            </w:r>
          </w:p>
        </w:tc>
        <w:tc>
          <w:tcPr>
            <w:tcW w:w="1258" w:type="dxa"/>
            <w:vAlign w:val="center"/>
          </w:tcPr>
          <w:p>
            <w:pPr>
              <w:jc w:val="center"/>
              <w:rPr>
                <w:rFonts w:ascii="宋体" w:hAnsi="宋体" w:cs="宋体"/>
                <w:sz w:val="24"/>
                <w:szCs w:val="24"/>
              </w:rPr>
            </w:pPr>
            <w:r>
              <w:rPr>
                <w:rFonts w:hint="eastAsia" w:ascii="宋体" w:hAnsi="宋体" w:cs="宋体"/>
                <w:sz w:val="24"/>
                <w:szCs w:val="24"/>
              </w:rPr>
              <w:t>包装</w:t>
            </w:r>
          </w:p>
          <w:p>
            <w:pPr>
              <w:jc w:val="center"/>
              <w:rPr>
                <w:rFonts w:ascii="宋体" w:hAnsi="宋体" w:cs="宋体"/>
                <w:sz w:val="24"/>
                <w:szCs w:val="24"/>
              </w:rPr>
            </w:pPr>
            <w:r>
              <w:rPr>
                <w:rFonts w:hint="eastAsia" w:ascii="宋体" w:hAnsi="宋体" w:cs="宋体"/>
                <w:sz w:val="24"/>
                <w:szCs w:val="24"/>
              </w:rPr>
              <w:t>密封</w:t>
            </w:r>
          </w:p>
        </w:tc>
        <w:tc>
          <w:tcPr>
            <w:tcW w:w="7257" w:type="dxa"/>
            <w:vAlign w:val="center"/>
          </w:tcPr>
          <w:p>
            <w:pPr>
              <w:spacing w:line="360" w:lineRule="auto"/>
              <w:ind w:firstLine="480" w:firstLineChars="200"/>
              <w:jc w:val="left"/>
              <w:rPr>
                <w:rFonts w:ascii="宋体" w:hAnsi="宋体" w:cs="宋体"/>
                <w:kern w:val="0"/>
                <w:sz w:val="24"/>
                <w:szCs w:val="24"/>
              </w:rPr>
            </w:pPr>
            <w:r>
              <w:rPr>
                <w:rFonts w:hint="eastAsia" w:ascii="宋体" w:hAnsi="宋体" w:cs="宋体"/>
                <w:sz w:val="24"/>
                <w:szCs w:val="24"/>
              </w:rPr>
              <w:t>磋商响应文件正本、所有的副本、电子版、磋商一览表需分开密封装在单独的封袋中（封袋不得有破损），且在封袋正面标明“正本”“副本”“电子版”“磋商一览表”字样。封袋应密封，并在封线处加盖供应商鲜章，封袋正面要粘贴供应商全称、项目名称、编号、标段号等标识，且</w:t>
            </w:r>
            <w:r>
              <w:rPr>
                <w:rFonts w:hint="eastAsia" w:ascii="宋体" w:hAnsi="宋体" w:cs="宋体"/>
                <w:kern w:val="0"/>
                <w:sz w:val="24"/>
                <w:szCs w:val="24"/>
              </w:rPr>
              <w:t>磋商响应文件袋上应加盖供应商公章（</w:t>
            </w:r>
            <w:r>
              <w:rPr>
                <w:rFonts w:hint="eastAsia" w:ascii="宋体" w:hAnsi="宋体" w:cs="宋体"/>
                <w:sz w:val="24"/>
                <w:szCs w:val="24"/>
              </w:rPr>
              <w:t>封面标识见竞争性磋商文件</w:t>
            </w:r>
            <w:r>
              <w:rPr>
                <w:rFonts w:hint="eastAsia" w:ascii="宋体" w:hAnsi="宋体" w:cs="宋体"/>
                <w:b/>
                <w:bCs/>
                <w:sz w:val="24"/>
                <w:szCs w:val="24"/>
              </w:rPr>
              <w:t>附件一</w:t>
            </w:r>
            <w:r>
              <w:rPr>
                <w:rFonts w:hint="eastAsia" w:ascii="宋体" w:hAnsi="宋体" w:cs="宋体"/>
                <w:sz w:val="24"/>
                <w:szCs w:val="24"/>
              </w:rPr>
              <w:t>）</w:t>
            </w:r>
            <w:r>
              <w:rPr>
                <w:rFonts w:hint="eastAsia" w:ascii="宋体" w:hAnsi="宋体" w:cs="宋体"/>
                <w:kern w:val="0"/>
                <w:sz w:val="24"/>
                <w:szCs w:val="24"/>
              </w:rPr>
              <w:t>如果未按上述规定进行密封，供应商的磋商响应文件有权被拒绝</w:t>
            </w:r>
            <w:r>
              <w:rPr>
                <w:rFonts w:hint="eastAsia" w:ascii="宋体" w:hAnsi="宋体" w:cs="宋体"/>
                <w:sz w:val="24"/>
                <w:szCs w:val="24"/>
              </w:rPr>
              <w:t>。</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如果供应商未按上述要求密封及加写标记，误投或过早启封的磋商响应文件，将自行承担其磋商响应文件被视为无效磋商响应文件的风险。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504" w:type="dxa"/>
            <w:vAlign w:val="center"/>
          </w:tcPr>
          <w:p>
            <w:pPr>
              <w:jc w:val="center"/>
              <w:rPr>
                <w:rFonts w:ascii="宋体" w:hAnsi="宋体" w:cs="宋体"/>
                <w:szCs w:val="21"/>
              </w:rPr>
            </w:pPr>
            <w:r>
              <w:rPr>
                <w:rFonts w:hint="eastAsia" w:ascii="宋体" w:hAnsi="宋体" w:cs="宋体"/>
                <w:szCs w:val="21"/>
              </w:rPr>
              <w:t>12</w:t>
            </w:r>
          </w:p>
        </w:tc>
        <w:tc>
          <w:tcPr>
            <w:tcW w:w="1258" w:type="dxa"/>
            <w:vAlign w:val="center"/>
          </w:tcPr>
          <w:p>
            <w:pPr>
              <w:jc w:val="center"/>
              <w:rPr>
                <w:rFonts w:ascii="宋体" w:hAnsi="宋体" w:cs="宋体"/>
                <w:color w:val="000000"/>
                <w:sz w:val="24"/>
                <w:szCs w:val="24"/>
              </w:rPr>
            </w:pPr>
            <w:r>
              <w:rPr>
                <w:rFonts w:hint="eastAsia" w:ascii="宋体" w:hAnsi="宋体" w:cs="宋体"/>
                <w:color w:val="000000"/>
                <w:sz w:val="24"/>
                <w:szCs w:val="24"/>
              </w:rPr>
              <w:t>评分</w:t>
            </w:r>
          </w:p>
          <w:p>
            <w:pPr>
              <w:jc w:val="center"/>
              <w:rPr>
                <w:rFonts w:ascii="宋体" w:hAnsi="宋体" w:cs="宋体"/>
                <w:sz w:val="24"/>
                <w:szCs w:val="24"/>
              </w:rPr>
            </w:pPr>
            <w:r>
              <w:rPr>
                <w:rFonts w:hint="eastAsia" w:ascii="宋体" w:hAnsi="宋体" w:cs="宋体"/>
                <w:color w:val="000000"/>
                <w:sz w:val="24"/>
                <w:szCs w:val="24"/>
              </w:rPr>
              <w:t>标准</w:t>
            </w:r>
          </w:p>
        </w:tc>
        <w:tc>
          <w:tcPr>
            <w:tcW w:w="7257" w:type="dxa"/>
            <w:vAlign w:val="center"/>
          </w:tcPr>
          <w:p>
            <w:pPr>
              <w:ind w:firstLine="480" w:firstLineChars="200"/>
              <w:jc w:val="left"/>
              <w:rPr>
                <w:rFonts w:ascii="宋体" w:hAnsi="宋体" w:cs="宋体"/>
                <w:b/>
                <w:bCs/>
                <w:color w:val="000000"/>
                <w:sz w:val="24"/>
                <w:szCs w:val="24"/>
              </w:rPr>
            </w:pPr>
            <w:r>
              <w:rPr>
                <w:rFonts w:hint="eastAsia" w:ascii="宋体" w:hAnsi="宋体" w:cs="宋体"/>
                <w:sz w:val="24"/>
                <w:szCs w:val="24"/>
              </w:rPr>
              <w:t>磋商多轮报价，综合评分（详见第四部分）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504" w:type="dxa"/>
            <w:vAlign w:val="center"/>
          </w:tcPr>
          <w:p>
            <w:pPr>
              <w:jc w:val="center"/>
              <w:rPr>
                <w:rFonts w:ascii="宋体" w:hAnsi="宋体" w:cs="宋体"/>
                <w:szCs w:val="21"/>
              </w:rPr>
            </w:pPr>
            <w:r>
              <w:rPr>
                <w:rFonts w:hint="eastAsia" w:ascii="宋体" w:hAnsi="宋体" w:cs="宋体"/>
                <w:szCs w:val="21"/>
              </w:rPr>
              <w:t>13</w:t>
            </w:r>
          </w:p>
        </w:tc>
        <w:tc>
          <w:tcPr>
            <w:tcW w:w="1258"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履约保证金</w:t>
            </w:r>
          </w:p>
        </w:tc>
        <w:tc>
          <w:tcPr>
            <w:tcW w:w="7257" w:type="dxa"/>
            <w:vAlign w:val="center"/>
          </w:tcPr>
          <w:p>
            <w:pPr>
              <w:pStyle w:val="25"/>
              <w:spacing w:line="360" w:lineRule="auto"/>
              <w:ind w:firstLine="0" w:firstLineChars="0"/>
              <w:jc w:val="left"/>
              <w:rPr>
                <w:rFonts w:ascii="宋体" w:hAnsi="宋体" w:cs="宋体"/>
                <w:kern w:val="2"/>
                <w:sz w:val="24"/>
                <w:szCs w:val="24"/>
                <w:lang w:val="en-US" w:eastAsia="zh-CN"/>
              </w:rPr>
            </w:pPr>
            <w:r>
              <w:rPr>
                <w:rFonts w:hint="eastAsia" w:ascii="宋体" w:hAnsi="宋体" w:cs="宋体"/>
                <w:kern w:val="2"/>
                <w:sz w:val="24"/>
                <w:szCs w:val="24"/>
                <w:lang w:val="en-US" w:eastAsia="zh-CN"/>
              </w:rPr>
              <w:t>1、☑无</w:t>
            </w:r>
          </w:p>
          <w:p>
            <w:pPr>
              <w:pStyle w:val="25"/>
              <w:spacing w:line="360" w:lineRule="auto"/>
              <w:ind w:firstLine="0" w:firstLineChars="0"/>
              <w:jc w:val="left"/>
              <w:rPr>
                <w:rFonts w:ascii="宋体" w:hAnsi="宋体" w:cs="宋体"/>
                <w:kern w:val="2"/>
                <w:sz w:val="24"/>
                <w:szCs w:val="24"/>
                <w:lang w:val="en-US" w:eastAsia="zh-CN"/>
              </w:rPr>
            </w:pPr>
            <w:r>
              <w:rPr>
                <w:rFonts w:hint="eastAsia" w:ascii="宋体" w:hAnsi="宋体" w:cs="宋体"/>
                <w:kern w:val="2"/>
                <w:sz w:val="24"/>
                <w:szCs w:val="24"/>
                <w:lang w:val="en-US" w:eastAsia="zh-CN"/>
              </w:rPr>
              <w:t>2、□有</w:t>
            </w:r>
          </w:p>
          <w:p>
            <w:pPr>
              <w:pStyle w:val="25"/>
              <w:spacing w:line="360" w:lineRule="auto"/>
              <w:ind w:firstLine="0" w:firstLineChars="0"/>
              <w:jc w:val="left"/>
              <w:rPr>
                <w:rFonts w:ascii="宋体" w:hAnsi="宋体" w:cs="宋体"/>
                <w:kern w:val="2"/>
                <w:sz w:val="24"/>
                <w:szCs w:val="24"/>
                <w:lang w:val="en-US" w:eastAsia="zh-CN"/>
              </w:rPr>
            </w:pPr>
            <w:r>
              <w:rPr>
                <w:rFonts w:hint="eastAsia" w:ascii="宋体" w:hAnsi="宋体" w:cs="宋体"/>
                <w:kern w:val="2"/>
                <w:sz w:val="24"/>
                <w:szCs w:val="24"/>
                <w:lang w:val="en-US" w:eastAsia="zh-CN"/>
              </w:rPr>
              <w:t>占政府采购合同金额的</w:t>
            </w:r>
            <w:r>
              <w:rPr>
                <w:rFonts w:hint="eastAsia" w:ascii="宋体" w:hAnsi="宋体" w:cs="宋体"/>
                <w:kern w:val="2"/>
                <w:sz w:val="24"/>
                <w:szCs w:val="24"/>
                <w:u w:val="single"/>
                <w:lang w:val="en-US" w:eastAsia="zh-CN"/>
              </w:rPr>
              <w:t xml:space="preserve">  10   </w:t>
            </w:r>
            <w:r>
              <w:rPr>
                <w:rFonts w:hint="eastAsia" w:ascii="宋体" w:hAnsi="宋体" w:cs="宋体"/>
                <w:kern w:val="2"/>
                <w:sz w:val="24"/>
                <w:szCs w:val="24"/>
                <w:lang w:val="en-US" w:eastAsia="zh-CN"/>
              </w:rPr>
              <w:t>％</w:t>
            </w:r>
          </w:p>
          <w:p>
            <w:pPr>
              <w:pStyle w:val="25"/>
              <w:spacing w:line="360" w:lineRule="auto"/>
              <w:ind w:firstLine="0" w:firstLineChars="0"/>
              <w:jc w:val="left"/>
              <w:rPr>
                <w:rFonts w:ascii="宋体" w:hAnsi="宋体" w:cs="宋体"/>
                <w:kern w:val="2"/>
                <w:sz w:val="24"/>
                <w:szCs w:val="24"/>
                <w:lang w:val="en-US" w:eastAsia="zh-CN"/>
              </w:rPr>
            </w:pPr>
            <w:r>
              <w:rPr>
                <w:rFonts w:hint="eastAsia" w:ascii="宋体" w:hAnsi="宋体" w:cs="宋体"/>
                <w:kern w:val="2"/>
                <w:sz w:val="24"/>
                <w:szCs w:val="24"/>
                <w:lang w:val="en-US" w:eastAsia="zh-CN"/>
              </w:rPr>
              <w:t>履约保证金的数额不得超过政府采购合同金额的10％；对于单价合同，其数额不得超过采购预算的10％</w:t>
            </w:r>
          </w:p>
          <w:p>
            <w:pPr>
              <w:pStyle w:val="25"/>
              <w:spacing w:line="360" w:lineRule="auto"/>
              <w:ind w:firstLine="0" w:firstLineChars="0"/>
              <w:jc w:val="left"/>
              <w:rPr>
                <w:rFonts w:ascii="宋体" w:hAnsi="宋体" w:cs="宋体"/>
                <w:kern w:val="2"/>
                <w:sz w:val="24"/>
                <w:szCs w:val="24"/>
                <w:lang w:val="en-US" w:eastAsia="zh-CN"/>
              </w:rPr>
            </w:pPr>
            <w:r>
              <w:rPr>
                <w:rFonts w:hint="eastAsia" w:ascii="宋体" w:hAnsi="宋体" w:cs="宋体"/>
                <w:kern w:val="2"/>
                <w:sz w:val="24"/>
                <w:szCs w:val="24"/>
                <w:lang w:val="en-US" w:eastAsia="zh-CN"/>
              </w:rPr>
              <w:t>□由采购单位自行收退</w:t>
            </w:r>
          </w:p>
          <w:p>
            <w:pPr>
              <w:pStyle w:val="25"/>
              <w:spacing w:line="360" w:lineRule="auto"/>
              <w:ind w:firstLine="0" w:firstLineChars="0"/>
              <w:jc w:val="left"/>
              <w:rPr>
                <w:rFonts w:ascii="宋体" w:hAnsi="宋体" w:cs="宋体"/>
                <w:kern w:val="2"/>
                <w:sz w:val="24"/>
                <w:szCs w:val="24"/>
                <w:lang w:val="en-US" w:eastAsia="zh-CN"/>
              </w:rPr>
            </w:pPr>
            <w:r>
              <w:rPr>
                <w:rFonts w:hint="eastAsia" w:ascii="宋体" w:hAnsi="宋体" w:cs="宋体"/>
                <w:kern w:val="2"/>
                <w:sz w:val="24"/>
                <w:szCs w:val="24"/>
                <w:lang w:val="en-US" w:eastAsia="zh-CN"/>
              </w:rPr>
              <w:t>□由代理机构负责收退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504" w:type="dxa"/>
            <w:vAlign w:val="center"/>
          </w:tcPr>
          <w:p>
            <w:pPr>
              <w:jc w:val="center"/>
              <w:rPr>
                <w:rFonts w:ascii="宋体" w:hAnsi="宋体" w:cs="宋体"/>
                <w:szCs w:val="21"/>
              </w:rPr>
            </w:pPr>
            <w:r>
              <w:rPr>
                <w:rFonts w:hint="eastAsia" w:ascii="宋体" w:hAnsi="宋体" w:cs="宋体"/>
                <w:szCs w:val="21"/>
              </w:rPr>
              <w:t>14</w:t>
            </w:r>
          </w:p>
        </w:tc>
        <w:tc>
          <w:tcPr>
            <w:tcW w:w="1258" w:type="dxa"/>
            <w:vAlign w:val="center"/>
          </w:tcPr>
          <w:p>
            <w:pPr>
              <w:spacing w:line="360" w:lineRule="auto"/>
              <w:rPr>
                <w:rFonts w:ascii="宋体" w:hAnsi="宋体" w:cs="宋体"/>
                <w:sz w:val="24"/>
                <w:szCs w:val="24"/>
              </w:rPr>
            </w:pPr>
            <w:r>
              <w:rPr>
                <w:rFonts w:hint="eastAsia" w:ascii="宋体" w:hAnsi="宋体" w:cs="宋体"/>
                <w:sz w:val="24"/>
                <w:szCs w:val="24"/>
              </w:rPr>
              <w:t>项目性质</w:t>
            </w:r>
          </w:p>
        </w:tc>
        <w:tc>
          <w:tcPr>
            <w:tcW w:w="7257" w:type="dxa"/>
            <w:vAlign w:val="center"/>
          </w:tcPr>
          <w:p>
            <w:pPr>
              <w:spacing w:line="360" w:lineRule="auto"/>
              <w:jc w:val="left"/>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专门面向中小企业采购</w:t>
            </w:r>
          </w:p>
          <w:p>
            <w:pPr>
              <w:spacing w:line="360" w:lineRule="auto"/>
              <w:jc w:val="left"/>
              <w:rPr>
                <w:rFonts w:hint="eastAsia" w:ascii="宋体" w:hAnsi="宋体" w:cs="宋体"/>
                <w:sz w:val="24"/>
                <w:szCs w:val="24"/>
                <w:lang w:eastAsia="zh-CN"/>
              </w:rPr>
            </w:pPr>
            <w:r>
              <w:rPr>
                <w:rFonts w:hint="eastAsia" w:ascii="宋体" w:hAnsi="宋体" w:cs="宋体"/>
                <w:sz w:val="24"/>
                <w:szCs w:val="24"/>
              </w:rPr>
              <w:t>仅允许中小企业或小型、微型企业参与投标。</w:t>
            </w:r>
          </w:p>
          <w:p>
            <w:pPr>
              <w:spacing w:line="360" w:lineRule="auto"/>
              <w:jc w:val="left"/>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非专门面向中小企业采购</w:t>
            </w:r>
          </w:p>
          <w:p>
            <w:pPr>
              <w:spacing w:line="360" w:lineRule="auto"/>
              <w:rPr>
                <w:rFonts w:ascii="宋体" w:hAnsi="宋体" w:cs="宋体"/>
                <w:sz w:val="24"/>
                <w:szCs w:val="24"/>
              </w:rPr>
            </w:pPr>
            <w:r>
              <w:rPr>
                <w:rFonts w:hint="eastAsia" w:ascii="宋体" w:hAnsi="宋体" w:cs="宋体"/>
                <w:sz w:val="24"/>
                <w:szCs w:val="24"/>
              </w:rPr>
              <w:t>对符合《政府采购促进中小企业发展管理办法》(财库{2020}46号)规定的小微企业(监狱企业视同小型、微型企业)的报价给予</w:t>
            </w:r>
            <w:r>
              <w:rPr>
                <w:rFonts w:hint="eastAsia" w:ascii="宋体" w:hAnsi="宋体" w:cs="宋体"/>
                <w:sz w:val="24"/>
                <w:szCs w:val="24"/>
                <w:u w:val="single"/>
              </w:rPr>
              <w:t xml:space="preserve"> 6 </w:t>
            </w:r>
            <w:r>
              <w:rPr>
                <w:rFonts w:hint="eastAsia" w:ascii="宋体" w:hAnsi="宋体" w:cs="宋体"/>
                <w:sz w:val="24"/>
                <w:szCs w:val="24"/>
              </w:rPr>
              <w:t>％(6％-10％)的扣除,用扣除后的价格参加评审。</w:t>
            </w:r>
          </w:p>
          <w:p>
            <w:pPr>
              <w:spacing w:line="360" w:lineRule="auto"/>
              <w:jc w:val="left"/>
              <w:rPr>
                <w:rFonts w:ascii="宋体" w:hAnsi="宋体" w:cs="宋体"/>
                <w:sz w:val="24"/>
                <w:szCs w:val="24"/>
              </w:rPr>
            </w:pPr>
            <w:r>
              <w:rPr>
                <w:rFonts w:hint="eastAsia" w:ascii="宋体" w:hAnsi="宋体" w:cs="宋体"/>
                <w:sz w:val="24"/>
                <w:szCs w:val="24"/>
              </w:rPr>
              <w:t>根据《政府采购促进中小企业发展暂行办法》，投标人提供的《中小企业声明函》</w:t>
            </w:r>
            <w:r>
              <w:rPr>
                <w:rFonts w:hint="eastAsia" w:ascii="宋体" w:hAnsi="宋体" w:cs="宋体"/>
                <w:b/>
                <w:bCs/>
                <w:sz w:val="24"/>
                <w:szCs w:val="24"/>
              </w:rPr>
              <w:t>（附件二）</w:t>
            </w:r>
            <w:r>
              <w:rPr>
                <w:rFonts w:hint="eastAsia" w:ascii="宋体" w:hAnsi="宋体" w:cs="宋体"/>
                <w:sz w:val="24"/>
                <w:szCs w:val="24"/>
              </w:rPr>
              <w:t>。其划型标准严格按照国家工信部、国家统计局、国家发改委、财政部出台的《中小企业划型标准规定》（工信部联企业[2011]300号）执行。投标人提供的《中小企业声明函》资料必须真实，否则，按照有关规定予以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504" w:type="dxa"/>
            <w:vAlign w:val="center"/>
          </w:tcPr>
          <w:p>
            <w:pPr>
              <w:jc w:val="center"/>
              <w:rPr>
                <w:rFonts w:ascii="宋体" w:hAnsi="宋体" w:cs="宋体"/>
                <w:szCs w:val="21"/>
              </w:rPr>
            </w:pPr>
            <w:r>
              <w:rPr>
                <w:rFonts w:hint="eastAsia" w:ascii="宋体" w:hAnsi="宋体" w:cs="宋体"/>
                <w:szCs w:val="21"/>
              </w:rPr>
              <w:t>15</w:t>
            </w:r>
          </w:p>
        </w:tc>
        <w:tc>
          <w:tcPr>
            <w:tcW w:w="1258" w:type="dxa"/>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集中答疑</w:t>
            </w:r>
          </w:p>
        </w:tc>
        <w:tc>
          <w:tcPr>
            <w:tcW w:w="7257" w:type="dxa"/>
            <w:vAlign w:val="center"/>
          </w:tcPr>
          <w:p>
            <w:pPr>
              <w:pStyle w:val="9"/>
              <w:spacing w:line="360" w:lineRule="auto"/>
              <w:rPr>
                <w:rFonts w:ascii="宋体" w:hAnsi="宋体" w:cs="宋体"/>
                <w:kern w:val="2"/>
                <w:sz w:val="24"/>
                <w:szCs w:val="24"/>
                <w:u w:val="single"/>
                <w:lang w:val="en-US" w:eastAsia="zh-CN"/>
              </w:rPr>
            </w:pPr>
            <w:r>
              <w:rPr>
                <w:rFonts w:hint="eastAsia" w:ascii="宋体" w:hAnsi="宋体" w:cs="宋体"/>
                <w:kern w:val="2"/>
                <w:sz w:val="24"/>
                <w:szCs w:val="24"/>
                <w:lang w:val="en-US" w:eastAsia="zh-CN"/>
              </w:rPr>
              <w:t>□组织,答疑地点为:</w:t>
            </w:r>
            <w:r>
              <w:rPr>
                <w:rFonts w:hint="eastAsia" w:ascii="宋体" w:hAnsi="宋体" w:cs="宋体"/>
                <w:kern w:val="2"/>
                <w:sz w:val="24"/>
                <w:szCs w:val="24"/>
                <w:u w:val="single"/>
                <w:lang w:val="en-US" w:eastAsia="zh-CN"/>
              </w:rPr>
              <w:t xml:space="preserve">          </w:t>
            </w:r>
          </w:p>
          <w:p>
            <w:pPr>
              <w:pStyle w:val="9"/>
              <w:spacing w:line="360" w:lineRule="auto"/>
              <w:rPr>
                <w:rFonts w:ascii="宋体" w:hAnsi="宋体" w:cs="宋体"/>
                <w:kern w:val="2"/>
                <w:sz w:val="24"/>
                <w:szCs w:val="24"/>
                <w:lang w:val="en-US" w:eastAsia="zh-CN"/>
              </w:rPr>
            </w:pPr>
            <w:r>
              <w:rPr>
                <w:rFonts w:hint="eastAsia" w:ascii="宋体" w:hAnsi="宋体" w:cs="宋体"/>
                <w:kern w:val="2"/>
                <w:sz w:val="24"/>
                <w:szCs w:val="24"/>
                <w:lang w:val="en-US" w:eastAsia="zh-CN"/>
              </w:rPr>
              <w:t>☑不组织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504" w:type="dxa"/>
            <w:vAlign w:val="center"/>
          </w:tcPr>
          <w:p>
            <w:pPr>
              <w:jc w:val="center"/>
              <w:rPr>
                <w:rFonts w:ascii="宋体" w:hAnsi="宋体" w:cs="宋体"/>
                <w:szCs w:val="21"/>
              </w:rPr>
            </w:pPr>
            <w:r>
              <w:rPr>
                <w:rFonts w:hint="eastAsia" w:ascii="宋体" w:hAnsi="宋体" w:cs="宋体"/>
                <w:szCs w:val="21"/>
              </w:rPr>
              <w:t>16</w:t>
            </w:r>
          </w:p>
        </w:tc>
        <w:tc>
          <w:tcPr>
            <w:tcW w:w="1258" w:type="dxa"/>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弃标须知</w:t>
            </w:r>
          </w:p>
        </w:tc>
        <w:tc>
          <w:tcPr>
            <w:tcW w:w="7257" w:type="dxa"/>
            <w:vAlign w:val="center"/>
          </w:tcPr>
          <w:p>
            <w:pPr>
              <w:spacing w:line="360" w:lineRule="auto"/>
              <w:ind w:firstLine="480" w:firstLineChars="200"/>
              <w:jc w:val="left"/>
              <w:rPr>
                <w:rFonts w:ascii="宋体" w:hAnsi="宋体" w:cs="宋体"/>
                <w:sz w:val="24"/>
                <w:szCs w:val="24"/>
              </w:rPr>
            </w:pPr>
            <w:r>
              <w:rPr>
                <w:rFonts w:hint="eastAsia" w:ascii="宋体" w:hAnsi="宋体" w:cs="宋体"/>
                <w:sz w:val="24"/>
                <w:szCs w:val="24"/>
              </w:rPr>
              <w:t>根据市财函【2021】431号文第16条规定：供应商登记免费领取采购文件的，如不参与项目投标，应在递交投标（或相应）文件截止时间前一日以书面形式告知采购代理机构。否则，采购代理机构可以向财政部门反应情况并提供佐证。供应商一年内累计出现三次该情形，将被监管部门记录为失信行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504" w:type="dxa"/>
            <w:vAlign w:val="center"/>
          </w:tcPr>
          <w:p>
            <w:pPr>
              <w:jc w:val="center"/>
              <w:rPr>
                <w:rFonts w:ascii="宋体" w:hAnsi="宋体" w:cs="宋体"/>
                <w:szCs w:val="21"/>
              </w:rPr>
            </w:pPr>
            <w:r>
              <w:rPr>
                <w:rFonts w:hint="eastAsia" w:ascii="宋体" w:hAnsi="宋体" w:cs="宋体"/>
                <w:szCs w:val="21"/>
              </w:rPr>
              <w:t>17</w:t>
            </w:r>
          </w:p>
        </w:tc>
        <w:tc>
          <w:tcPr>
            <w:tcW w:w="1258" w:type="dxa"/>
            <w:vAlign w:val="center"/>
          </w:tcPr>
          <w:p>
            <w:pPr>
              <w:jc w:val="center"/>
              <w:rPr>
                <w:rFonts w:ascii="宋体" w:hAnsi="宋体" w:cs="宋体"/>
                <w:color w:val="000000"/>
                <w:sz w:val="24"/>
                <w:szCs w:val="24"/>
              </w:rPr>
            </w:pPr>
            <w:r>
              <w:rPr>
                <w:rFonts w:hint="eastAsia" w:ascii="宋体" w:hAnsi="宋体" w:cs="宋体"/>
                <w:color w:val="000000"/>
                <w:sz w:val="24"/>
                <w:szCs w:val="24"/>
              </w:rPr>
              <w:t>政府采购信用融资</w:t>
            </w:r>
          </w:p>
        </w:tc>
        <w:tc>
          <w:tcPr>
            <w:tcW w:w="7257" w:type="dxa"/>
            <w:vAlign w:val="center"/>
          </w:tcPr>
          <w:p>
            <w:pPr>
              <w:spacing w:line="360" w:lineRule="auto"/>
              <w:ind w:firstLine="480" w:firstLineChars="200"/>
              <w:jc w:val="left"/>
              <w:rPr>
                <w:rFonts w:ascii="宋体" w:hAnsi="宋体" w:cs="宋体"/>
                <w:sz w:val="24"/>
                <w:szCs w:val="24"/>
              </w:rPr>
            </w:pPr>
            <w:r>
              <w:rPr>
                <w:rFonts w:hint="eastAsia" w:ascii="宋体" w:hAnsi="宋体" w:cs="宋体"/>
                <w:sz w:val="24"/>
                <w:szCs w:val="24"/>
              </w:rPr>
              <w:t>成交供应商缴纳履约保证金时可自愿选择通过担保机构保函的形式缴纳；中标供应商如果需要融资贷款服务的，可凭中标通知书、政府采购合同等相关资料，按照实施方案规定的程序申请办理，具体规定可登陆西安市财政局网站(</w:t>
            </w:r>
            <w:r>
              <w:rPr>
                <w:rFonts w:hint="eastAsia" w:ascii="宋体" w:hAnsi="宋体" w:cs="宋体"/>
                <w:sz w:val="24"/>
                <w:szCs w:val="24"/>
              </w:rPr>
              <w:drawing>
                <wp:inline distT="0" distB="0" distL="0" distR="0">
                  <wp:extent cx="190500" cy="142875"/>
                  <wp:effectExtent l="19050" t="0" r="0" b="0"/>
                  <wp:docPr id="1"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IMG_256"/>
                          <pic:cNvPicPr>
                            <a:picLocks noChangeAspect="1" noChangeArrowheads="1"/>
                          </pic:cNvPicPr>
                        </pic:nvPicPr>
                        <pic:blipFill>
                          <a:blip r:embed="rId22"/>
                          <a:srcRect/>
                          <a:stretch>
                            <a:fillRect/>
                          </a:stretch>
                        </pic:blipFill>
                        <pic:spPr>
                          <a:xfrm>
                            <a:off x="0" y="0"/>
                            <a:ext cx="190500" cy="142875"/>
                          </a:xfrm>
                          <a:prstGeom prst="rect">
                            <a:avLst/>
                          </a:prstGeom>
                          <a:noFill/>
                          <a:ln w="9525">
                            <a:noFill/>
                            <a:miter lim="800000"/>
                            <a:headEnd/>
                            <a:tailEnd/>
                          </a:ln>
                        </pic:spPr>
                      </pic:pic>
                    </a:graphicData>
                  </a:graphic>
                </wp:inline>
              </w:drawing>
            </w:r>
            <w:r>
              <w:rPr>
                <w:rFonts w:hint="eastAsia" w:ascii="宋体" w:hAnsi="宋体" w:cs="宋体"/>
                <w:sz w:val="24"/>
                <w:szCs w:val="24"/>
              </w:rPr>
              <w:t>http://xaczj.xa.gov.cn/)政府采购专栏中西安市政府采购信用担保及信用融资合作机构联系名单</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（http://xaczj.xa.gov.cn/zfcg/cgfg/5db9054565cbd804f69e97e0.html）查询了解。详见采购文件供应商须知中政府采购政策支持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504" w:type="dxa"/>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18</w:t>
            </w:r>
          </w:p>
        </w:tc>
        <w:tc>
          <w:tcPr>
            <w:tcW w:w="1258" w:type="dxa"/>
            <w:vAlign w:val="center"/>
          </w:tcPr>
          <w:p>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本项目所属行业</w:t>
            </w:r>
          </w:p>
        </w:tc>
        <w:tc>
          <w:tcPr>
            <w:tcW w:w="7257" w:type="dxa"/>
            <w:vAlign w:val="center"/>
          </w:tcPr>
          <w:p>
            <w:pPr>
              <w:spacing w:line="36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其他未列明行业</w:t>
            </w:r>
          </w:p>
        </w:tc>
      </w:tr>
    </w:tbl>
    <w:p>
      <w:pPr>
        <w:jc w:val="center"/>
        <w:outlineLvl w:val="0"/>
        <w:rPr>
          <w:rFonts w:ascii="宋体" w:hAnsi="宋体" w:cs="宋体"/>
        </w:rPr>
      </w:pPr>
      <w:r>
        <w:rPr>
          <w:rFonts w:hint="eastAsia" w:ascii="宋体" w:hAnsi="宋体" w:cs="宋体"/>
        </w:rPr>
        <w:br w:type="page"/>
      </w:r>
      <w:bookmarkStart w:id="17" w:name="_Toc6009"/>
      <w:r>
        <w:rPr>
          <w:rFonts w:hint="eastAsia" w:ascii="宋体" w:hAnsi="宋体" w:cs="宋体"/>
          <w:b/>
          <w:kern w:val="44"/>
          <w:sz w:val="32"/>
        </w:rPr>
        <w:t>第三部分 供应商须知</w:t>
      </w:r>
      <w:bookmarkEnd w:id="13"/>
      <w:bookmarkEnd w:id="14"/>
      <w:bookmarkEnd w:id="15"/>
      <w:bookmarkEnd w:id="16"/>
      <w:bookmarkEnd w:id="17"/>
    </w:p>
    <w:p>
      <w:pPr>
        <w:widowControl/>
        <w:numPr>
          <w:ilvl w:val="0"/>
          <w:numId w:val="5"/>
        </w:numPr>
        <w:spacing w:line="360" w:lineRule="auto"/>
        <w:ind w:firstLine="643" w:firstLineChars="200"/>
        <w:jc w:val="center"/>
        <w:outlineLvl w:val="1"/>
        <w:rPr>
          <w:rFonts w:ascii="宋体" w:hAnsi="宋体" w:cs="宋体"/>
          <w:b/>
          <w:bCs/>
          <w:kern w:val="0"/>
          <w:sz w:val="32"/>
          <w:szCs w:val="28"/>
        </w:rPr>
      </w:pPr>
      <w:bookmarkStart w:id="18" w:name="_Toc12064"/>
      <w:bookmarkStart w:id="19" w:name="_Toc32144"/>
      <w:bookmarkStart w:id="20" w:name="_Toc10909"/>
      <w:bookmarkStart w:id="21" w:name="_Toc26739"/>
      <w:bookmarkStart w:id="22" w:name="_Toc7249"/>
      <w:r>
        <w:rPr>
          <w:rFonts w:hint="eastAsia" w:ascii="宋体" w:hAnsi="宋体" w:cs="宋体"/>
          <w:b/>
          <w:bCs/>
          <w:kern w:val="0"/>
          <w:sz w:val="32"/>
          <w:szCs w:val="28"/>
        </w:rPr>
        <w:t>总则</w:t>
      </w:r>
      <w:bookmarkEnd w:id="18"/>
      <w:bookmarkEnd w:id="19"/>
      <w:bookmarkEnd w:id="20"/>
      <w:bookmarkEnd w:id="21"/>
      <w:bookmarkEnd w:id="22"/>
    </w:p>
    <w:p>
      <w:pPr>
        <w:pStyle w:val="5"/>
        <w:numPr>
          <w:ilvl w:val="0"/>
          <w:numId w:val="6"/>
        </w:numPr>
        <w:ind w:firstLine="562" w:firstLineChars="200"/>
        <w:rPr>
          <w:rFonts w:ascii="宋体" w:hAnsi="宋体" w:cs="宋体"/>
        </w:rPr>
      </w:pPr>
      <w:bookmarkStart w:id="23" w:name="_Toc6742"/>
      <w:bookmarkStart w:id="24" w:name="_Toc380336725"/>
      <w:bookmarkStart w:id="25" w:name="_Toc9257"/>
      <w:bookmarkStart w:id="26" w:name="_Toc358364319"/>
      <w:r>
        <w:rPr>
          <w:rFonts w:hint="eastAsia" w:ascii="宋体" w:hAnsi="宋体" w:cs="宋体"/>
        </w:rPr>
        <w:t>适用范围</w:t>
      </w:r>
      <w:bookmarkEnd w:id="23"/>
      <w:bookmarkEnd w:id="24"/>
      <w:bookmarkEnd w:id="25"/>
      <w:bookmarkEnd w:id="26"/>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1.1 本磋商文件适用于本次采购活动的全过程。</w:t>
      </w:r>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1.2 本次采购属政府采购，采购人、采购代理机构、供应商、磋商小组的相关行为均受《中华人民共和国政府采购法》及实施条例、财政部规章及政府采购项目所在地有关法规</w:t>
      </w:r>
      <w:r>
        <w:rPr>
          <w:rFonts w:hint="eastAsia" w:ascii="宋体" w:hAnsi="宋体" w:cs="宋体"/>
          <w:color w:val="000000"/>
          <w:kern w:val="0"/>
          <w:sz w:val="24"/>
          <w:szCs w:val="24"/>
        </w:rPr>
        <w:t>、规章</w:t>
      </w:r>
      <w:r>
        <w:rPr>
          <w:rFonts w:hint="eastAsia" w:ascii="宋体" w:hAnsi="宋体" w:cs="宋体"/>
          <w:kern w:val="0"/>
          <w:sz w:val="24"/>
          <w:szCs w:val="24"/>
        </w:rPr>
        <w:t>的约束，其权利受到上述法律法规的保护。</w:t>
      </w:r>
    </w:p>
    <w:p>
      <w:pPr>
        <w:pStyle w:val="5"/>
        <w:numPr>
          <w:ilvl w:val="0"/>
          <w:numId w:val="6"/>
        </w:numPr>
        <w:ind w:firstLine="562" w:firstLineChars="200"/>
        <w:rPr>
          <w:rFonts w:ascii="宋体" w:hAnsi="宋体" w:cs="宋体"/>
        </w:rPr>
      </w:pPr>
      <w:bookmarkStart w:id="27" w:name="_Toc380336726"/>
      <w:bookmarkStart w:id="28" w:name="_Toc7922"/>
      <w:bookmarkStart w:id="29" w:name="_Toc11287"/>
      <w:bookmarkStart w:id="30" w:name="_Toc358364320"/>
      <w:r>
        <w:rPr>
          <w:rFonts w:hint="eastAsia" w:ascii="宋体" w:hAnsi="宋体" w:cs="宋体"/>
        </w:rPr>
        <w:t>定义</w:t>
      </w:r>
      <w:bookmarkEnd w:id="27"/>
      <w:bookmarkEnd w:id="28"/>
      <w:bookmarkEnd w:id="29"/>
      <w:bookmarkEnd w:id="30"/>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2.1 “采购人”是指依法进行政府采购的国家机关、事业单位、团体组织。本次政府采购的采购人名称、地址、电话见供应商须知前附表。</w:t>
      </w:r>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2.2 “采购代理机构”是指接受采购人委托，代理采购项目的集中采购机构和其他采购代理机构。本次采购代理机构名称、地址、电话见供应商须知前附表。</w:t>
      </w:r>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2.3 “供应商”是</w:t>
      </w:r>
      <w:r>
        <w:rPr>
          <w:rFonts w:hint="eastAsia" w:ascii="宋体" w:hAnsi="宋体" w:cs="宋体"/>
          <w:sz w:val="24"/>
          <w:szCs w:val="24"/>
        </w:rPr>
        <w:t>参与本项目磋商活动的</w:t>
      </w:r>
      <w:r>
        <w:rPr>
          <w:rFonts w:hint="eastAsia" w:ascii="宋体" w:hAnsi="宋体" w:cs="宋体"/>
          <w:color w:val="000000"/>
          <w:sz w:val="24"/>
          <w:szCs w:val="24"/>
        </w:rPr>
        <w:t>法人、其他组织或自然人</w:t>
      </w:r>
      <w:r>
        <w:rPr>
          <w:rFonts w:hint="eastAsia" w:ascii="宋体" w:hAnsi="宋体" w:cs="宋体"/>
          <w:kern w:val="0"/>
          <w:sz w:val="24"/>
          <w:szCs w:val="24"/>
        </w:rPr>
        <w:t>。</w:t>
      </w:r>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2.4 “货物” 是指各种形态和种类的物品，包括原材料、燃料</w:t>
      </w:r>
      <w:r>
        <w:rPr>
          <w:rFonts w:hint="eastAsia" w:ascii="宋体" w:hAnsi="宋体" w:cs="宋体"/>
          <w:color w:val="000000"/>
          <w:kern w:val="0"/>
          <w:sz w:val="24"/>
          <w:szCs w:val="24"/>
        </w:rPr>
        <w:t>、产品、等</w:t>
      </w:r>
      <w:r>
        <w:rPr>
          <w:rFonts w:hint="eastAsia" w:ascii="宋体" w:hAnsi="宋体" w:cs="宋体"/>
          <w:kern w:val="0"/>
          <w:sz w:val="24"/>
          <w:szCs w:val="24"/>
        </w:rPr>
        <w:t>。按照财政部《政府采购进口产品管理办法》（财库[2007]119号）的有关规定，本磋商文件涉及的所有采购内容除特别标注为“可接受进口产品”外，均必须采购国产产品。进口产品特指“通过中国海关报关验放进入中国境内且产自关境外的产品”。</w:t>
      </w:r>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2.5 “服务”指除了货物和工程外的其他政府采购对象。包含除货物以外规定由供应商承担的与货物有关的辅助服务。</w:t>
      </w:r>
    </w:p>
    <w:p>
      <w:pPr>
        <w:pStyle w:val="5"/>
        <w:numPr>
          <w:ilvl w:val="0"/>
          <w:numId w:val="6"/>
        </w:numPr>
        <w:spacing w:line="500" w:lineRule="exact"/>
        <w:ind w:firstLine="562" w:firstLineChars="200"/>
        <w:rPr>
          <w:rFonts w:ascii="宋体" w:hAnsi="宋体" w:cs="宋体"/>
          <w:szCs w:val="28"/>
        </w:rPr>
      </w:pPr>
      <w:bookmarkStart w:id="31" w:name="_Toc23781"/>
      <w:bookmarkStart w:id="32" w:name="_Toc358364321"/>
      <w:bookmarkStart w:id="33" w:name="_Toc380336727"/>
      <w:bookmarkStart w:id="34" w:name="_Toc17676"/>
      <w:r>
        <w:rPr>
          <w:rFonts w:hint="eastAsia" w:ascii="宋体" w:hAnsi="宋体" w:cs="宋体"/>
          <w:szCs w:val="28"/>
        </w:rPr>
        <w:t>合格的</w:t>
      </w:r>
      <w:bookmarkEnd w:id="31"/>
      <w:bookmarkEnd w:id="32"/>
      <w:bookmarkEnd w:id="33"/>
      <w:bookmarkEnd w:id="34"/>
      <w:r>
        <w:rPr>
          <w:rFonts w:hint="eastAsia" w:ascii="宋体" w:hAnsi="宋体" w:cs="宋体"/>
          <w:szCs w:val="28"/>
        </w:rPr>
        <w:t>供应商</w:t>
      </w:r>
    </w:p>
    <w:p>
      <w:pPr>
        <w:tabs>
          <w:tab w:val="left" w:pos="0"/>
        </w:tabs>
        <w:spacing w:line="500" w:lineRule="exact"/>
        <w:ind w:left="6" w:firstLine="499" w:firstLineChars="208"/>
        <w:jc w:val="left"/>
        <w:rPr>
          <w:rFonts w:ascii="宋体" w:hAnsi="宋体" w:cs="宋体"/>
          <w:sz w:val="24"/>
          <w:szCs w:val="24"/>
        </w:rPr>
      </w:pPr>
      <w:r>
        <w:rPr>
          <w:rFonts w:hint="eastAsia" w:ascii="宋体" w:hAnsi="宋体" w:cs="宋体"/>
          <w:sz w:val="24"/>
          <w:szCs w:val="24"/>
        </w:rPr>
        <w:t>3.1具有本项目生产、制造、加工、供应或实施能力，符合、承认并承诺履行本磋商文件各项规定的国内供应商。</w:t>
      </w:r>
    </w:p>
    <w:p>
      <w:pPr>
        <w:tabs>
          <w:tab w:val="left" w:pos="0"/>
        </w:tabs>
        <w:spacing w:line="500" w:lineRule="exact"/>
        <w:ind w:left="6" w:firstLine="499" w:firstLineChars="208"/>
        <w:jc w:val="left"/>
        <w:rPr>
          <w:rFonts w:ascii="宋体" w:hAnsi="宋体" w:cs="宋体"/>
          <w:sz w:val="24"/>
          <w:szCs w:val="24"/>
        </w:rPr>
      </w:pPr>
      <w:r>
        <w:rPr>
          <w:rFonts w:hint="eastAsia" w:ascii="宋体" w:hAnsi="宋体" w:cs="宋体"/>
          <w:sz w:val="24"/>
          <w:szCs w:val="24"/>
        </w:rPr>
        <w:t>3.2供应商应遵守有关的国家法律、法规和条例，具备《中华人民共和国政府采购法》和本文件中规定的条件：</w:t>
      </w:r>
    </w:p>
    <w:p>
      <w:pPr>
        <w:numPr>
          <w:ilvl w:val="0"/>
          <w:numId w:val="7"/>
        </w:numPr>
        <w:spacing w:line="500" w:lineRule="exact"/>
        <w:ind w:left="6" w:firstLine="480" w:firstLineChars="200"/>
        <w:jc w:val="left"/>
        <w:rPr>
          <w:rFonts w:ascii="宋体" w:hAnsi="宋体" w:cs="宋体"/>
          <w:sz w:val="24"/>
          <w:szCs w:val="24"/>
        </w:rPr>
      </w:pPr>
      <w:r>
        <w:rPr>
          <w:rFonts w:hint="eastAsia" w:ascii="宋体" w:hAnsi="宋体" w:cs="宋体"/>
          <w:sz w:val="24"/>
          <w:szCs w:val="24"/>
        </w:rPr>
        <w:t>具有独立承担民事责任的能力；</w:t>
      </w:r>
    </w:p>
    <w:p>
      <w:pPr>
        <w:numPr>
          <w:ilvl w:val="0"/>
          <w:numId w:val="7"/>
        </w:numPr>
        <w:spacing w:line="500" w:lineRule="exact"/>
        <w:ind w:left="6" w:firstLine="480" w:firstLineChars="200"/>
        <w:jc w:val="left"/>
        <w:rPr>
          <w:rFonts w:ascii="宋体" w:hAnsi="宋体" w:cs="宋体"/>
          <w:sz w:val="24"/>
          <w:szCs w:val="24"/>
        </w:rPr>
      </w:pPr>
      <w:r>
        <w:rPr>
          <w:rFonts w:hint="eastAsia" w:ascii="宋体" w:hAnsi="宋体" w:cs="宋体"/>
          <w:sz w:val="24"/>
          <w:szCs w:val="24"/>
        </w:rPr>
        <w:t>具有良好的商业信誉和健全的财务会计制度；</w:t>
      </w:r>
    </w:p>
    <w:p>
      <w:pPr>
        <w:numPr>
          <w:ilvl w:val="0"/>
          <w:numId w:val="7"/>
        </w:numPr>
        <w:spacing w:line="500" w:lineRule="exact"/>
        <w:ind w:left="6" w:firstLine="480" w:firstLineChars="200"/>
        <w:jc w:val="left"/>
        <w:rPr>
          <w:rFonts w:ascii="宋体" w:hAnsi="宋体" w:cs="宋体"/>
          <w:sz w:val="24"/>
          <w:szCs w:val="24"/>
        </w:rPr>
      </w:pPr>
      <w:r>
        <w:rPr>
          <w:rFonts w:hint="eastAsia" w:ascii="宋体" w:hAnsi="宋体" w:cs="宋体"/>
          <w:sz w:val="24"/>
          <w:szCs w:val="24"/>
        </w:rPr>
        <w:t>具有履行合同所必需的产品和专业技术能力；</w:t>
      </w:r>
    </w:p>
    <w:p>
      <w:pPr>
        <w:numPr>
          <w:ilvl w:val="0"/>
          <w:numId w:val="7"/>
        </w:numPr>
        <w:spacing w:line="500" w:lineRule="exact"/>
        <w:ind w:left="6" w:firstLine="480" w:firstLineChars="200"/>
        <w:jc w:val="left"/>
        <w:rPr>
          <w:rFonts w:ascii="宋体" w:hAnsi="宋体" w:cs="宋体"/>
          <w:sz w:val="24"/>
          <w:szCs w:val="24"/>
        </w:rPr>
      </w:pPr>
      <w:r>
        <w:rPr>
          <w:rFonts w:hint="eastAsia" w:ascii="宋体" w:hAnsi="宋体" w:cs="宋体"/>
          <w:sz w:val="24"/>
          <w:szCs w:val="24"/>
        </w:rPr>
        <w:t>具有依法缴纳税收和社会保障资金的良好记录；</w:t>
      </w:r>
    </w:p>
    <w:p>
      <w:pPr>
        <w:numPr>
          <w:ilvl w:val="0"/>
          <w:numId w:val="7"/>
        </w:numPr>
        <w:spacing w:line="500" w:lineRule="exact"/>
        <w:ind w:left="6" w:firstLine="480" w:firstLineChars="200"/>
        <w:jc w:val="left"/>
        <w:rPr>
          <w:rFonts w:ascii="宋体" w:hAnsi="宋体" w:cs="宋体"/>
          <w:sz w:val="24"/>
          <w:szCs w:val="24"/>
        </w:rPr>
      </w:pPr>
      <w:r>
        <w:rPr>
          <w:rFonts w:hint="eastAsia" w:ascii="宋体" w:hAnsi="宋体" w:cs="宋体"/>
          <w:sz w:val="24"/>
          <w:szCs w:val="24"/>
        </w:rPr>
        <w:t>参加此项采购活动前三年内，在经营活动中没有重大违法记录；</w:t>
      </w:r>
    </w:p>
    <w:p>
      <w:pPr>
        <w:numPr>
          <w:ilvl w:val="0"/>
          <w:numId w:val="7"/>
        </w:numPr>
        <w:spacing w:line="500" w:lineRule="exact"/>
        <w:ind w:left="6" w:firstLine="480" w:firstLineChars="200"/>
        <w:jc w:val="left"/>
        <w:rPr>
          <w:rFonts w:ascii="宋体" w:hAnsi="宋体" w:cs="宋体"/>
          <w:sz w:val="24"/>
          <w:szCs w:val="24"/>
        </w:rPr>
      </w:pPr>
      <w:r>
        <w:rPr>
          <w:rFonts w:hint="eastAsia" w:ascii="宋体" w:hAnsi="宋体" w:cs="宋体"/>
          <w:sz w:val="24"/>
          <w:szCs w:val="24"/>
        </w:rPr>
        <w:t>法律、行政法规规定的其他条件。</w:t>
      </w:r>
    </w:p>
    <w:p>
      <w:pPr>
        <w:tabs>
          <w:tab w:val="left" w:pos="0"/>
        </w:tabs>
        <w:spacing w:line="500" w:lineRule="exact"/>
        <w:ind w:left="6" w:firstLine="499" w:firstLineChars="208"/>
        <w:rPr>
          <w:rFonts w:ascii="宋体" w:hAnsi="宋体" w:cs="宋体"/>
          <w:sz w:val="24"/>
          <w:szCs w:val="24"/>
        </w:rPr>
      </w:pPr>
      <w:r>
        <w:rPr>
          <w:rFonts w:hint="eastAsia" w:ascii="宋体" w:hAnsi="宋体" w:cs="宋体"/>
          <w:sz w:val="24"/>
          <w:szCs w:val="24"/>
        </w:rPr>
        <w:t>3.3供应商购买磋商文件时应登记备案，并提供有效联系方式。</w:t>
      </w:r>
    </w:p>
    <w:p>
      <w:pPr>
        <w:tabs>
          <w:tab w:val="left" w:pos="0"/>
        </w:tabs>
        <w:spacing w:line="500" w:lineRule="exact"/>
        <w:ind w:left="5" w:firstLine="518" w:firstLineChars="216"/>
        <w:rPr>
          <w:rFonts w:ascii="宋体" w:hAnsi="宋体" w:cs="宋体"/>
          <w:kern w:val="0"/>
          <w:sz w:val="24"/>
          <w:szCs w:val="24"/>
        </w:rPr>
      </w:pPr>
      <w:r>
        <w:rPr>
          <w:rFonts w:hint="eastAsia" w:ascii="宋体" w:hAnsi="宋体" w:cs="宋体"/>
          <w:sz w:val="24"/>
          <w:szCs w:val="24"/>
        </w:rPr>
        <w:t>3.4供应商应独立于采购人，不得直接或间接地与采购人为采购本次招标的货物进行设计、编制技术规格和其它文件所委托的咨询公司或其附属机构有任何关联。</w:t>
      </w:r>
    </w:p>
    <w:p>
      <w:pPr>
        <w:tabs>
          <w:tab w:val="left" w:pos="0"/>
        </w:tabs>
        <w:spacing w:line="500" w:lineRule="exact"/>
        <w:ind w:left="5" w:firstLine="518" w:firstLineChars="216"/>
        <w:rPr>
          <w:rFonts w:ascii="宋体" w:hAnsi="宋体" w:cs="宋体"/>
          <w:kern w:val="0"/>
          <w:sz w:val="24"/>
          <w:szCs w:val="24"/>
        </w:rPr>
      </w:pPr>
      <w:r>
        <w:rPr>
          <w:rFonts w:hint="eastAsia" w:ascii="宋体" w:hAnsi="宋体" w:cs="宋体"/>
          <w:kern w:val="0"/>
          <w:sz w:val="24"/>
          <w:szCs w:val="24"/>
        </w:rPr>
        <w:t>3.5供应商不得存在下列情形之一</w:t>
      </w:r>
      <w:r>
        <w:rPr>
          <w:rFonts w:hint="eastAsia" w:ascii="宋体" w:hAnsi="宋体" w:cs="宋体"/>
          <w:sz w:val="24"/>
          <w:szCs w:val="24"/>
        </w:rPr>
        <w:t>：</w:t>
      </w:r>
    </w:p>
    <w:p>
      <w:pPr>
        <w:tabs>
          <w:tab w:val="left" w:pos="0"/>
        </w:tabs>
        <w:spacing w:line="500" w:lineRule="exact"/>
        <w:ind w:left="6" w:firstLine="480" w:firstLineChars="200"/>
        <w:rPr>
          <w:rFonts w:ascii="宋体" w:hAnsi="宋体" w:cs="宋体"/>
          <w:kern w:val="0"/>
          <w:sz w:val="24"/>
          <w:szCs w:val="24"/>
        </w:rPr>
      </w:pPr>
      <w:r>
        <w:rPr>
          <w:rFonts w:hint="eastAsia" w:ascii="宋体" w:hAnsi="宋体" w:cs="宋体"/>
          <w:kern w:val="0"/>
          <w:sz w:val="24"/>
          <w:szCs w:val="24"/>
        </w:rPr>
        <w:t>（1）与采购人或采购代理机构存在隶属关系或者其他利害关系；</w:t>
      </w:r>
    </w:p>
    <w:p>
      <w:pPr>
        <w:tabs>
          <w:tab w:val="left" w:pos="0"/>
        </w:tabs>
        <w:spacing w:line="500" w:lineRule="exact"/>
        <w:ind w:left="6" w:firstLine="480" w:firstLineChars="200"/>
        <w:rPr>
          <w:rFonts w:ascii="宋体" w:hAnsi="宋体" w:cs="宋体"/>
          <w:kern w:val="0"/>
          <w:sz w:val="24"/>
          <w:szCs w:val="24"/>
        </w:rPr>
      </w:pPr>
      <w:r>
        <w:rPr>
          <w:rFonts w:hint="eastAsia" w:ascii="宋体" w:hAnsi="宋体" w:cs="宋体"/>
          <w:kern w:val="0"/>
          <w:sz w:val="24"/>
          <w:szCs w:val="24"/>
        </w:rPr>
        <w:t>（2）与其他供应商的法定代表人（或者负责人）为同一人，或者与其他供应商存在直接控股、管理关系；</w:t>
      </w:r>
    </w:p>
    <w:p>
      <w:pPr>
        <w:tabs>
          <w:tab w:val="left" w:pos="0"/>
        </w:tabs>
        <w:spacing w:line="500" w:lineRule="exact"/>
        <w:ind w:left="6" w:firstLine="480" w:firstLineChars="200"/>
        <w:rPr>
          <w:rFonts w:ascii="宋体" w:hAnsi="宋体" w:cs="宋体"/>
          <w:kern w:val="0"/>
          <w:sz w:val="24"/>
          <w:szCs w:val="24"/>
        </w:rPr>
      </w:pPr>
      <w:r>
        <w:rPr>
          <w:rFonts w:hint="eastAsia" w:ascii="宋体" w:hAnsi="宋体" w:cs="宋体"/>
          <w:kern w:val="0"/>
          <w:sz w:val="24"/>
          <w:szCs w:val="24"/>
        </w:rPr>
        <w:t>（3）受到刑事处罚，或者受到三万元以上罚款，责令停产停业、在一年至三年内禁止参加政府采购活动、暂扣或吊销许可证、暂扣或吊销营业执照等情形之一的行政处罚，或者存在财政部门认定的其他重大违法记录。</w:t>
      </w:r>
    </w:p>
    <w:p>
      <w:pPr>
        <w:tabs>
          <w:tab w:val="left" w:pos="0"/>
        </w:tabs>
        <w:spacing w:line="500" w:lineRule="exact"/>
        <w:ind w:left="5" w:firstLine="444" w:firstLineChars="185"/>
        <w:rPr>
          <w:rFonts w:ascii="宋体" w:hAnsi="宋体" w:cs="宋体"/>
          <w:b/>
          <w:bCs/>
          <w:kern w:val="0"/>
          <w:sz w:val="24"/>
          <w:szCs w:val="24"/>
        </w:rPr>
      </w:pPr>
      <w:r>
        <w:rPr>
          <w:rFonts w:hint="eastAsia" w:ascii="宋体" w:hAnsi="宋体" w:cs="宋体"/>
          <w:kern w:val="0"/>
          <w:sz w:val="24"/>
          <w:szCs w:val="24"/>
        </w:rPr>
        <w:t>（4）</w:t>
      </w:r>
      <w:r>
        <w:rPr>
          <w:rFonts w:hint="eastAsia" w:ascii="宋体" w:hAnsi="宋体" w:cs="宋体"/>
          <w:b/>
          <w:bCs/>
          <w:kern w:val="0"/>
          <w:sz w:val="24"/>
          <w:szCs w:val="24"/>
        </w:rPr>
        <w:t>在投标截止日前被列入失信被执行人、重大税收违法案件当事人名单、政府采购严重违法失信行为记录名单（处罚期限届满的除外）（以信用中国网（www.creditchina.gov.cn）、中国政府采购网（www.ccgp.gov.cn）查询结果为准、如相关失信记录已失效，供应商需提供相关证明资料）。</w:t>
      </w:r>
    </w:p>
    <w:p>
      <w:pPr>
        <w:pStyle w:val="5"/>
        <w:numPr>
          <w:ilvl w:val="0"/>
          <w:numId w:val="6"/>
        </w:numPr>
        <w:spacing w:line="500" w:lineRule="exact"/>
        <w:ind w:firstLine="562" w:firstLineChars="200"/>
        <w:rPr>
          <w:rFonts w:ascii="宋体" w:hAnsi="宋体" w:cs="宋体"/>
          <w:szCs w:val="28"/>
        </w:rPr>
      </w:pPr>
      <w:bookmarkStart w:id="35" w:name="_Toc380336728"/>
      <w:bookmarkStart w:id="36" w:name="_Toc22444"/>
      <w:bookmarkStart w:id="37" w:name="_Toc540"/>
      <w:bookmarkStart w:id="38" w:name="_Toc358364322"/>
      <w:r>
        <w:rPr>
          <w:rFonts w:hint="eastAsia" w:ascii="宋体" w:hAnsi="宋体" w:cs="宋体"/>
          <w:szCs w:val="28"/>
        </w:rPr>
        <w:t>费用</w:t>
      </w:r>
      <w:bookmarkEnd w:id="35"/>
      <w:bookmarkEnd w:id="36"/>
      <w:bookmarkEnd w:id="37"/>
      <w:bookmarkEnd w:id="38"/>
    </w:p>
    <w:p>
      <w:pPr>
        <w:widowControl/>
        <w:wordWrap w:val="0"/>
        <w:snapToGrid w:val="0"/>
        <w:spacing w:beforeLines="50" w:line="360" w:lineRule="auto"/>
        <w:ind w:right="-90" w:rightChars="-43" w:firstLine="480" w:firstLineChars="200"/>
        <w:jc w:val="left"/>
        <w:rPr>
          <w:rFonts w:ascii="宋体" w:hAnsi="宋体" w:cs="宋体"/>
          <w:kern w:val="0"/>
          <w:sz w:val="24"/>
          <w:szCs w:val="24"/>
        </w:rPr>
      </w:pPr>
      <w:r>
        <w:rPr>
          <w:rFonts w:hint="eastAsia" w:ascii="宋体" w:hAnsi="宋体" w:cs="宋体"/>
          <w:kern w:val="0"/>
          <w:sz w:val="24"/>
          <w:szCs w:val="24"/>
        </w:rPr>
        <w:t>供应商应承担所有与准备和参加磋商有关的费用，采购代理机构（或采购人)在任何情况下均无义务和责任承担这些费用。</w:t>
      </w:r>
    </w:p>
    <w:p>
      <w:pPr>
        <w:pStyle w:val="5"/>
        <w:numPr>
          <w:ilvl w:val="0"/>
          <w:numId w:val="6"/>
        </w:numPr>
        <w:spacing w:line="500" w:lineRule="exact"/>
        <w:ind w:firstLine="562" w:firstLineChars="200"/>
        <w:rPr>
          <w:rFonts w:ascii="宋体" w:hAnsi="宋体" w:cs="宋体"/>
          <w:szCs w:val="28"/>
        </w:rPr>
      </w:pPr>
      <w:r>
        <w:rPr>
          <w:rFonts w:hint="eastAsia" w:ascii="宋体" w:hAnsi="宋体" w:cs="宋体"/>
          <w:szCs w:val="28"/>
        </w:rPr>
        <w:t>采购进口产品</w:t>
      </w:r>
    </w:p>
    <w:p>
      <w:pPr>
        <w:widowControl/>
        <w:wordWrap w:val="0"/>
        <w:snapToGrid w:val="0"/>
        <w:spacing w:beforeLines="50" w:line="360" w:lineRule="auto"/>
        <w:ind w:right="-90" w:rightChars="-43" w:firstLine="480" w:firstLineChars="200"/>
        <w:jc w:val="left"/>
        <w:rPr>
          <w:rFonts w:ascii="宋体" w:hAnsi="宋体" w:cs="宋体"/>
          <w:sz w:val="24"/>
          <w:szCs w:val="24"/>
        </w:rPr>
      </w:pPr>
      <w:r>
        <w:rPr>
          <w:rFonts w:hint="eastAsia" w:ascii="宋体" w:hAnsi="宋体" w:cs="宋体"/>
          <w:sz w:val="24"/>
          <w:szCs w:val="24"/>
        </w:rPr>
        <w:t>5.1 除公告或第五部分采购要求标明允许采购进口产品外，本项目拒绝进口产品参加采购活动。</w:t>
      </w:r>
    </w:p>
    <w:p>
      <w:pPr>
        <w:widowControl/>
        <w:wordWrap w:val="0"/>
        <w:snapToGrid w:val="0"/>
        <w:spacing w:line="360" w:lineRule="auto"/>
        <w:ind w:right="-92" w:rightChars="-44" w:firstLine="480" w:firstLineChars="200"/>
        <w:jc w:val="left"/>
        <w:rPr>
          <w:rFonts w:ascii="宋体" w:hAnsi="宋体" w:cs="宋体"/>
          <w:sz w:val="24"/>
          <w:szCs w:val="24"/>
        </w:rPr>
      </w:pPr>
      <w:r>
        <w:rPr>
          <w:rFonts w:hint="eastAsia" w:ascii="宋体" w:hAnsi="宋体" w:cs="宋体"/>
          <w:sz w:val="24"/>
          <w:szCs w:val="24"/>
        </w:rPr>
        <w:t>5.2 本项目第五部分采购要求中同意购买进口产品的，采购活动不限制满足磋商文件要求的国产产品参与本次采购。</w:t>
      </w:r>
    </w:p>
    <w:p>
      <w:pPr>
        <w:pStyle w:val="5"/>
        <w:numPr>
          <w:ilvl w:val="0"/>
          <w:numId w:val="6"/>
        </w:numPr>
        <w:spacing w:afterLines="100" w:line="500" w:lineRule="exact"/>
        <w:ind w:firstLine="562" w:firstLineChars="200"/>
        <w:rPr>
          <w:rFonts w:ascii="宋体" w:hAnsi="宋体" w:cs="宋体"/>
          <w:szCs w:val="28"/>
        </w:rPr>
      </w:pPr>
      <w:r>
        <w:rPr>
          <w:rFonts w:hint="eastAsia" w:ascii="宋体" w:hAnsi="宋体" w:cs="宋体"/>
          <w:szCs w:val="28"/>
        </w:rPr>
        <w:t>政府采购政策支持</w:t>
      </w:r>
    </w:p>
    <w:p>
      <w:pPr>
        <w:widowControl/>
        <w:wordWrap w:val="0"/>
        <w:snapToGrid w:val="0"/>
        <w:spacing w:line="360" w:lineRule="auto"/>
        <w:ind w:right="-92" w:rightChars="-44" w:firstLine="480" w:firstLineChars="200"/>
        <w:jc w:val="left"/>
        <w:rPr>
          <w:rFonts w:ascii="宋体" w:hAnsi="宋体" w:cs="宋体"/>
          <w:kern w:val="0"/>
          <w:sz w:val="24"/>
          <w:szCs w:val="24"/>
        </w:rPr>
      </w:pPr>
      <w:r>
        <w:rPr>
          <w:rFonts w:hint="eastAsia" w:ascii="宋体" w:hAnsi="宋体" w:cs="宋体"/>
          <w:kern w:val="0"/>
          <w:sz w:val="24"/>
          <w:szCs w:val="24"/>
        </w:rPr>
        <w:t xml:space="preserve">6.1对列入财政部、国家发改委发布的《节能产品品目清单》且属于应当“强制采购的节能产品”，按照规定实行强制采购。 </w:t>
      </w:r>
    </w:p>
    <w:p>
      <w:pPr>
        <w:widowControl/>
        <w:wordWrap w:val="0"/>
        <w:snapToGrid w:val="0"/>
        <w:spacing w:line="360" w:lineRule="auto"/>
        <w:ind w:right="-92" w:rightChars="-44" w:firstLine="480" w:firstLineChars="200"/>
        <w:rPr>
          <w:rFonts w:ascii="宋体" w:hAnsi="宋体" w:cs="宋体"/>
          <w:kern w:val="0"/>
          <w:sz w:val="24"/>
          <w:szCs w:val="24"/>
        </w:rPr>
      </w:pPr>
      <w:r>
        <w:rPr>
          <w:rFonts w:hint="eastAsia" w:ascii="宋体" w:hAnsi="宋体" w:cs="宋体"/>
          <w:kern w:val="0"/>
          <w:sz w:val="24"/>
          <w:szCs w:val="24"/>
        </w:rPr>
        <w:t>6.2对列入财政部、国家发展改革委员会发布的《节能产品品目清单》的“非强制采购节能产品”，财政部、环境保护部发布的《环境标志产品品目清单》的“环境标志产品”以及中小企业（监狱企业视同小型、微型企业），实行优先采购，按照省级以上财政部门有关政策规定，评审时进行价格扣除或者加分。</w:t>
      </w:r>
    </w:p>
    <w:p>
      <w:pPr>
        <w:widowControl/>
        <w:wordWrap w:val="0"/>
        <w:snapToGrid w:val="0"/>
        <w:spacing w:line="360" w:lineRule="auto"/>
        <w:ind w:right="-92" w:rightChars="-44" w:firstLine="480" w:firstLineChars="200"/>
        <w:jc w:val="left"/>
        <w:rPr>
          <w:rFonts w:ascii="宋体" w:hAnsi="宋体" w:cs="宋体"/>
          <w:kern w:val="0"/>
          <w:sz w:val="24"/>
          <w:szCs w:val="24"/>
        </w:rPr>
      </w:pPr>
      <w:r>
        <w:rPr>
          <w:rFonts w:hint="eastAsia" w:ascii="宋体" w:hAnsi="宋体" w:cs="宋体"/>
          <w:kern w:val="0"/>
          <w:sz w:val="24"/>
          <w:szCs w:val="24"/>
        </w:rPr>
        <w:t>6.3产品同时属于“非强制采购节能产品”、环境标志产品的，评审时只有其中一项能享受优先待遇（投标人自行选择，并在报价文件中填写相关信息及数据）。</w:t>
      </w:r>
    </w:p>
    <w:p>
      <w:pPr>
        <w:widowControl/>
        <w:wordWrap w:val="0"/>
        <w:snapToGrid w:val="0"/>
        <w:spacing w:line="360" w:lineRule="auto"/>
        <w:ind w:right="-92" w:rightChars="-44" w:firstLine="480" w:firstLineChars="200"/>
        <w:jc w:val="left"/>
        <w:rPr>
          <w:rFonts w:ascii="宋体" w:hAnsi="宋体" w:cs="宋体"/>
          <w:kern w:val="0"/>
          <w:sz w:val="24"/>
          <w:szCs w:val="24"/>
        </w:rPr>
        <w:sectPr>
          <w:footerReference r:id="rId8" w:type="default"/>
          <w:pgSz w:w="11906" w:h="16838"/>
          <w:pgMar w:top="1440" w:right="1706" w:bottom="1440" w:left="1800" w:header="851" w:footer="992" w:gutter="0"/>
          <w:cols w:space="720" w:num="1"/>
          <w:docGrid w:type="lines" w:linePitch="312" w:charSpace="0"/>
        </w:sectPr>
      </w:pPr>
      <w:r>
        <w:rPr>
          <w:rFonts w:hint="eastAsia" w:ascii="宋体" w:hAnsi="宋体" w:cs="宋体"/>
          <w:kern w:val="0"/>
          <w:sz w:val="24"/>
          <w:szCs w:val="24"/>
        </w:rPr>
        <w:t>6.4为发挥政府采购促进中小企业发展的政策功能，西安市财政局制定了《西安市政府采购信用担保及信用融资工作实施方案（试行）》（市财发〔2014〕167），为参与西安市市级政府采购项目的供应商提供政府采购信用担保和融资服务，并按照程序确定了合作的担保机构和商业银行（具体名单见网址：http://xaczj.xa.gov.cn/zfcg/cgfg/5db9054565cbd804f69e97e0.html中《西安市财政局关于进一步做好政府采购信用担保及信用融资工作有关事宜的通知》）。</w:t>
      </w:r>
    </w:p>
    <w:p>
      <w:pPr>
        <w:widowControl/>
        <w:numPr>
          <w:ilvl w:val="0"/>
          <w:numId w:val="5"/>
        </w:numPr>
        <w:spacing w:line="360" w:lineRule="auto"/>
        <w:ind w:firstLine="643" w:firstLineChars="200"/>
        <w:jc w:val="center"/>
        <w:outlineLvl w:val="1"/>
        <w:rPr>
          <w:rFonts w:ascii="宋体" w:hAnsi="宋体" w:cs="宋体"/>
          <w:b/>
          <w:bCs/>
          <w:kern w:val="0"/>
          <w:sz w:val="32"/>
          <w:szCs w:val="28"/>
        </w:rPr>
      </w:pPr>
      <w:bookmarkStart w:id="39" w:name="_Toc1811"/>
      <w:bookmarkStart w:id="40" w:name="_Toc22040"/>
      <w:bookmarkStart w:id="41" w:name="_Toc24962"/>
      <w:bookmarkStart w:id="42" w:name="_Toc20543"/>
      <w:r>
        <w:rPr>
          <w:rFonts w:hint="eastAsia" w:ascii="宋体" w:hAnsi="宋体" w:cs="宋体"/>
          <w:b/>
          <w:bCs/>
          <w:kern w:val="0"/>
          <w:sz w:val="32"/>
          <w:szCs w:val="28"/>
        </w:rPr>
        <w:t>竞争性磋商文件</w:t>
      </w:r>
      <w:bookmarkEnd w:id="39"/>
      <w:bookmarkEnd w:id="40"/>
      <w:bookmarkEnd w:id="41"/>
      <w:bookmarkEnd w:id="42"/>
    </w:p>
    <w:p>
      <w:pPr>
        <w:pStyle w:val="5"/>
        <w:numPr>
          <w:ilvl w:val="0"/>
          <w:numId w:val="8"/>
        </w:numPr>
        <w:rPr>
          <w:rFonts w:ascii="宋体" w:hAnsi="宋体" w:cs="宋体"/>
        </w:rPr>
      </w:pPr>
      <w:bookmarkStart w:id="43" w:name="_Toc5801"/>
      <w:r>
        <w:rPr>
          <w:rFonts w:hint="eastAsia" w:ascii="宋体" w:hAnsi="宋体" w:cs="宋体"/>
        </w:rPr>
        <w:t>竞争性磋商文件的构成</w:t>
      </w:r>
      <w:bookmarkEnd w:id="43"/>
    </w:p>
    <w:p>
      <w:pPr>
        <w:tabs>
          <w:tab w:val="left" w:pos="0"/>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竞争性磋商文件是供应商准备磋商响应文件和参加磋商的依据，同时也是评审的重要依据，具有准法律文件性质。竞争性磋商文件用以阐明采购项目所需的资质、技术、服务及报价等要求、磋商程序、有关规定和注意事项以及合同主要条款等。本竞争性磋商文件包括以下内容：</w:t>
      </w:r>
    </w:p>
    <w:p>
      <w:pPr>
        <w:numPr>
          <w:ilvl w:val="0"/>
          <w:numId w:val="9"/>
        </w:numPr>
        <w:tabs>
          <w:tab w:val="left" w:pos="0"/>
        </w:tabs>
        <w:adjustRightInd w:val="0"/>
        <w:snapToGrid w:val="0"/>
        <w:spacing w:line="360" w:lineRule="auto"/>
        <w:jc w:val="left"/>
        <w:rPr>
          <w:rFonts w:ascii="宋体" w:hAnsi="宋体" w:cs="宋体"/>
          <w:sz w:val="24"/>
          <w:szCs w:val="24"/>
        </w:rPr>
      </w:pPr>
      <w:r>
        <w:rPr>
          <w:rFonts w:hint="eastAsia" w:ascii="宋体" w:hAnsi="宋体" w:cs="宋体"/>
          <w:sz w:val="24"/>
          <w:szCs w:val="24"/>
        </w:rPr>
        <w:t>竞争性磋商公告；</w:t>
      </w:r>
    </w:p>
    <w:p>
      <w:pPr>
        <w:numPr>
          <w:ilvl w:val="0"/>
          <w:numId w:val="9"/>
        </w:numPr>
        <w:tabs>
          <w:tab w:val="left" w:pos="0"/>
        </w:tabs>
        <w:adjustRightInd w:val="0"/>
        <w:snapToGrid w:val="0"/>
        <w:spacing w:line="360" w:lineRule="auto"/>
        <w:jc w:val="left"/>
        <w:rPr>
          <w:rFonts w:ascii="宋体" w:hAnsi="宋体" w:cs="宋体"/>
          <w:sz w:val="24"/>
          <w:szCs w:val="24"/>
        </w:rPr>
      </w:pPr>
      <w:r>
        <w:rPr>
          <w:rFonts w:hint="eastAsia" w:ascii="宋体" w:hAnsi="宋体" w:cs="宋体"/>
          <w:sz w:val="24"/>
          <w:szCs w:val="24"/>
        </w:rPr>
        <w:t>供应商须知前附表；</w:t>
      </w:r>
    </w:p>
    <w:p>
      <w:pPr>
        <w:numPr>
          <w:ilvl w:val="0"/>
          <w:numId w:val="9"/>
        </w:numPr>
        <w:tabs>
          <w:tab w:val="left" w:pos="0"/>
        </w:tabs>
        <w:adjustRightInd w:val="0"/>
        <w:snapToGrid w:val="0"/>
        <w:spacing w:line="360" w:lineRule="auto"/>
        <w:jc w:val="left"/>
        <w:rPr>
          <w:rFonts w:ascii="宋体" w:hAnsi="宋体" w:cs="宋体"/>
          <w:sz w:val="24"/>
          <w:szCs w:val="24"/>
        </w:rPr>
      </w:pPr>
      <w:r>
        <w:rPr>
          <w:rFonts w:hint="eastAsia" w:ascii="宋体" w:hAnsi="宋体" w:cs="宋体"/>
          <w:sz w:val="24"/>
          <w:szCs w:val="24"/>
        </w:rPr>
        <w:t>供应商须知；</w:t>
      </w:r>
    </w:p>
    <w:p>
      <w:pPr>
        <w:numPr>
          <w:ilvl w:val="0"/>
          <w:numId w:val="9"/>
        </w:numPr>
        <w:tabs>
          <w:tab w:val="left" w:pos="0"/>
        </w:tabs>
        <w:adjustRightInd w:val="0"/>
        <w:snapToGrid w:val="0"/>
        <w:spacing w:line="360" w:lineRule="auto"/>
        <w:jc w:val="left"/>
        <w:rPr>
          <w:rFonts w:ascii="宋体" w:hAnsi="宋体" w:cs="宋体"/>
          <w:sz w:val="24"/>
          <w:szCs w:val="24"/>
        </w:rPr>
      </w:pPr>
      <w:r>
        <w:rPr>
          <w:rFonts w:hint="eastAsia" w:ascii="宋体" w:hAnsi="宋体" w:cs="宋体"/>
          <w:sz w:val="24"/>
          <w:szCs w:val="24"/>
        </w:rPr>
        <w:t>评审标准；</w:t>
      </w:r>
    </w:p>
    <w:p>
      <w:pPr>
        <w:numPr>
          <w:ilvl w:val="0"/>
          <w:numId w:val="9"/>
        </w:numPr>
        <w:tabs>
          <w:tab w:val="left" w:pos="0"/>
        </w:tabs>
        <w:adjustRightInd w:val="0"/>
        <w:snapToGrid w:val="0"/>
        <w:spacing w:line="360" w:lineRule="auto"/>
        <w:jc w:val="left"/>
        <w:rPr>
          <w:rFonts w:ascii="宋体" w:hAnsi="宋体" w:cs="宋体"/>
          <w:sz w:val="24"/>
          <w:szCs w:val="24"/>
        </w:rPr>
      </w:pPr>
      <w:r>
        <w:rPr>
          <w:rFonts w:hint="eastAsia" w:ascii="宋体" w:hAnsi="宋体" w:cs="宋体"/>
          <w:sz w:val="24"/>
          <w:szCs w:val="24"/>
        </w:rPr>
        <w:t>采购要求；</w:t>
      </w:r>
    </w:p>
    <w:p>
      <w:pPr>
        <w:numPr>
          <w:ilvl w:val="0"/>
          <w:numId w:val="9"/>
        </w:numPr>
        <w:tabs>
          <w:tab w:val="left" w:pos="0"/>
        </w:tabs>
        <w:adjustRightInd w:val="0"/>
        <w:snapToGrid w:val="0"/>
        <w:spacing w:line="360" w:lineRule="auto"/>
        <w:jc w:val="left"/>
        <w:rPr>
          <w:rFonts w:ascii="宋体" w:hAnsi="宋体" w:cs="宋体"/>
          <w:sz w:val="24"/>
          <w:szCs w:val="24"/>
        </w:rPr>
      </w:pPr>
      <w:r>
        <w:rPr>
          <w:rFonts w:hint="eastAsia" w:ascii="宋体" w:hAnsi="宋体" w:cs="宋体"/>
          <w:sz w:val="24"/>
          <w:szCs w:val="24"/>
        </w:rPr>
        <w:t>合同主要条款；</w:t>
      </w:r>
    </w:p>
    <w:p>
      <w:pPr>
        <w:numPr>
          <w:ilvl w:val="0"/>
          <w:numId w:val="9"/>
        </w:numPr>
        <w:tabs>
          <w:tab w:val="left" w:pos="0"/>
        </w:tabs>
        <w:adjustRightInd w:val="0"/>
        <w:snapToGrid w:val="0"/>
        <w:spacing w:line="360" w:lineRule="auto"/>
        <w:jc w:val="left"/>
        <w:rPr>
          <w:rFonts w:ascii="宋体" w:hAnsi="宋体" w:cs="宋体"/>
          <w:sz w:val="24"/>
          <w:szCs w:val="24"/>
        </w:rPr>
      </w:pPr>
      <w:r>
        <w:rPr>
          <w:rFonts w:hint="eastAsia" w:ascii="宋体" w:hAnsi="宋体" w:cs="宋体"/>
          <w:sz w:val="24"/>
          <w:szCs w:val="24"/>
        </w:rPr>
        <w:t>磋商响应文件格式。</w:t>
      </w:r>
    </w:p>
    <w:p>
      <w:pPr>
        <w:tabs>
          <w:tab w:val="left" w:pos="0"/>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rPr>
        <w:t>供应商应认真阅读和充分理解竞争性磋商文件中所有的事项、格式条款和规范要求。供应商没有对竞争性磋商文件全面做出实质性响应是供应商的风险。没有按照竞争性磋商文件要求作出实质性响应的磋商响应文件将被拒绝。</w:t>
      </w:r>
    </w:p>
    <w:p>
      <w:pPr>
        <w:pStyle w:val="5"/>
        <w:numPr>
          <w:ilvl w:val="0"/>
          <w:numId w:val="8"/>
        </w:numPr>
        <w:rPr>
          <w:rFonts w:ascii="宋体" w:hAnsi="宋体" w:cs="宋体"/>
        </w:rPr>
      </w:pPr>
      <w:bookmarkStart w:id="44" w:name="_Toc19797"/>
      <w:r>
        <w:rPr>
          <w:rFonts w:hint="eastAsia" w:ascii="宋体" w:hAnsi="宋体" w:cs="宋体"/>
        </w:rPr>
        <w:t>竞争性磋商文件的澄清</w:t>
      </w:r>
      <w:bookmarkEnd w:id="44"/>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2.1 供应商应认真阅读和充分理解竞争性磋商文件中所有的事项，如有问题或疑议请及时函告。否则，视为同意竞争性磋商文件的一切条款和要求并承担由此引起的一切法律责任。凡因供应商对竞争性磋商文件阅读不深、理解不透、误解、疏漏、或因市场行情了解不清造成的后果和风险均由供应商自负。</w:t>
      </w:r>
    </w:p>
    <w:p>
      <w:pPr>
        <w:tabs>
          <w:tab w:val="left" w:pos="0"/>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2.2任何对竞争性磋商文件进行询问或要求进行澄清的供应商，均应在收到竞争性磋商文件后二日内按竞争性磋商文件中的通讯地址以书面形式递交代理机构，采购人或代理机构对收到的任何询问或澄清要求将在三个工作日内作出书面答复。</w:t>
      </w:r>
    </w:p>
    <w:p>
      <w:pPr>
        <w:pStyle w:val="5"/>
        <w:numPr>
          <w:ilvl w:val="0"/>
          <w:numId w:val="8"/>
        </w:numPr>
        <w:rPr>
          <w:rFonts w:ascii="宋体" w:hAnsi="宋体" w:cs="宋体"/>
        </w:rPr>
      </w:pPr>
      <w:bookmarkStart w:id="45" w:name="_Toc6390"/>
      <w:r>
        <w:rPr>
          <w:rFonts w:hint="eastAsia" w:ascii="宋体" w:hAnsi="宋体" w:cs="宋体"/>
        </w:rPr>
        <w:t>竞争性磋商文件的修改</w:t>
      </w:r>
      <w:bookmarkEnd w:id="45"/>
    </w:p>
    <w:p>
      <w:pPr>
        <w:tabs>
          <w:tab w:val="left" w:pos="0"/>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3.1 在磋商截止时间五日前，无论出于何种原因，代理机构可主动地或在解答供应商提出的澄清问题时，对竞争性磋商文件进行修改。竞争性磋商文件的澄清和修改将以书面形式通知所有供应商，并作为竞争性磋商文件的补充，与其具有同等法律效力。</w:t>
      </w:r>
    </w:p>
    <w:p>
      <w:pPr>
        <w:tabs>
          <w:tab w:val="left" w:pos="0"/>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3.2 为方便供应商对竞争性磋商文件修改或澄清内容有充分的时间进行补充修改，代理机构可适当延长磋商截止时间和磋商时间，在竞争性磋商文件要求提交磋商响应文件的截止期三日前，将变更时间书面通知所有购买竞争性磋商文件的供应商。</w:t>
      </w:r>
    </w:p>
    <w:p>
      <w:pPr>
        <w:pStyle w:val="5"/>
        <w:numPr>
          <w:ilvl w:val="0"/>
          <w:numId w:val="8"/>
        </w:numPr>
        <w:rPr>
          <w:rFonts w:ascii="宋体" w:hAnsi="宋体" w:cs="宋体"/>
        </w:rPr>
      </w:pPr>
      <w:bookmarkStart w:id="46" w:name="_Toc31188"/>
      <w:r>
        <w:rPr>
          <w:rFonts w:hint="eastAsia" w:ascii="宋体" w:hAnsi="宋体" w:cs="宋体"/>
        </w:rPr>
        <w:t>竞争性磋商文件的获取</w:t>
      </w:r>
      <w:bookmarkEnd w:id="46"/>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供应商必须从代理机构购买竞争性磋商文件，供应商自行转让或复制竞争性磋商文件视为无效。竞争性磋商文件一经售出，一律不退，仅作为本次竞争性磋商使用。</w:t>
      </w:r>
    </w:p>
    <w:p>
      <w:pPr>
        <w:pStyle w:val="5"/>
        <w:numPr>
          <w:ilvl w:val="0"/>
          <w:numId w:val="8"/>
        </w:numPr>
        <w:rPr>
          <w:rFonts w:ascii="宋体" w:hAnsi="宋体" w:cs="宋体"/>
        </w:rPr>
      </w:pPr>
      <w:bookmarkStart w:id="47" w:name="_Toc5095"/>
      <w:r>
        <w:rPr>
          <w:rFonts w:hint="eastAsia" w:ascii="宋体" w:hAnsi="宋体" w:cs="宋体"/>
        </w:rPr>
        <w:t>竞争性磋商文件的解释权归代理机构。</w:t>
      </w:r>
      <w:bookmarkEnd w:id="47"/>
    </w:p>
    <w:p>
      <w:pPr>
        <w:widowControl/>
        <w:numPr>
          <w:ilvl w:val="0"/>
          <w:numId w:val="5"/>
        </w:numPr>
        <w:spacing w:line="360" w:lineRule="auto"/>
        <w:ind w:firstLine="643" w:firstLineChars="200"/>
        <w:jc w:val="center"/>
        <w:outlineLvl w:val="1"/>
        <w:rPr>
          <w:rFonts w:ascii="宋体" w:hAnsi="宋体" w:cs="宋体"/>
          <w:b/>
          <w:bCs/>
          <w:kern w:val="0"/>
          <w:sz w:val="32"/>
          <w:szCs w:val="28"/>
        </w:rPr>
        <w:sectPr>
          <w:footerReference r:id="rId9" w:type="default"/>
          <w:pgSz w:w="11906" w:h="16838"/>
          <w:pgMar w:top="1440" w:right="1706" w:bottom="1440" w:left="1800" w:header="851" w:footer="992" w:gutter="0"/>
          <w:cols w:space="720" w:num="1"/>
          <w:docGrid w:type="lines" w:linePitch="312" w:charSpace="0"/>
        </w:sectPr>
      </w:pPr>
    </w:p>
    <w:p>
      <w:pPr>
        <w:widowControl/>
        <w:numPr>
          <w:ilvl w:val="0"/>
          <w:numId w:val="5"/>
        </w:numPr>
        <w:spacing w:line="360" w:lineRule="auto"/>
        <w:ind w:firstLine="643" w:firstLineChars="200"/>
        <w:jc w:val="center"/>
        <w:outlineLvl w:val="1"/>
        <w:rPr>
          <w:rFonts w:ascii="宋体" w:hAnsi="宋体" w:cs="宋体"/>
          <w:b/>
          <w:bCs/>
          <w:kern w:val="0"/>
          <w:sz w:val="32"/>
          <w:szCs w:val="28"/>
        </w:rPr>
      </w:pPr>
      <w:bookmarkStart w:id="48" w:name="_Toc10013"/>
      <w:bookmarkStart w:id="49" w:name="_Toc25919"/>
      <w:bookmarkStart w:id="50" w:name="_Toc23299"/>
      <w:bookmarkStart w:id="51" w:name="_Toc10024"/>
      <w:r>
        <w:rPr>
          <w:rFonts w:hint="eastAsia" w:ascii="宋体" w:hAnsi="宋体" w:cs="宋体"/>
          <w:b/>
          <w:bCs/>
          <w:kern w:val="0"/>
          <w:sz w:val="32"/>
          <w:szCs w:val="28"/>
        </w:rPr>
        <w:t>磋商响应文件</w:t>
      </w:r>
      <w:bookmarkEnd w:id="48"/>
      <w:bookmarkEnd w:id="49"/>
      <w:bookmarkEnd w:id="50"/>
      <w:bookmarkEnd w:id="51"/>
    </w:p>
    <w:p>
      <w:pPr>
        <w:pStyle w:val="5"/>
        <w:numPr>
          <w:ilvl w:val="0"/>
          <w:numId w:val="10"/>
        </w:numPr>
        <w:rPr>
          <w:rFonts w:ascii="宋体" w:hAnsi="宋体" w:cs="宋体"/>
        </w:rPr>
      </w:pPr>
      <w:bookmarkStart w:id="52" w:name="_Toc17549"/>
      <w:r>
        <w:rPr>
          <w:rFonts w:hint="eastAsia" w:ascii="宋体" w:hAnsi="宋体" w:cs="宋体"/>
        </w:rPr>
        <w:t>磋商响应文件的编制</w:t>
      </w:r>
      <w:bookmarkEnd w:id="52"/>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磋商响应文件必须根据代理机构发售的竞争性磋商文件格式和顺序认真编制。具体内容包括：</w:t>
      </w:r>
    </w:p>
    <w:p>
      <w:pPr>
        <w:numPr>
          <w:ilvl w:val="0"/>
          <w:numId w:val="11"/>
        </w:numPr>
        <w:tabs>
          <w:tab w:val="left" w:pos="0"/>
        </w:tabs>
        <w:adjustRightInd w:val="0"/>
        <w:snapToGrid w:val="0"/>
        <w:spacing w:line="440" w:lineRule="exact"/>
        <w:jc w:val="left"/>
        <w:rPr>
          <w:rFonts w:ascii="宋体" w:hAnsi="宋体" w:cs="宋体"/>
          <w:sz w:val="24"/>
          <w:szCs w:val="24"/>
        </w:rPr>
      </w:pPr>
      <w:r>
        <w:rPr>
          <w:rFonts w:hint="eastAsia" w:ascii="宋体" w:hAnsi="宋体" w:cs="宋体"/>
          <w:sz w:val="24"/>
          <w:szCs w:val="24"/>
        </w:rPr>
        <w:t>响应函；</w:t>
      </w:r>
    </w:p>
    <w:p>
      <w:pPr>
        <w:numPr>
          <w:ilvl w:val="0"/>
          <w:numId w:val="11"/>
        </w:numPr>
        <w:tabs>
          <w:tab w:val="left" w:pos="0"/>
        </w:tabs>
        <w:adjustRightInd w:val="0"/>
        <w:snapToGrid w:val="0"/>
        <w:spacing w:line="440" w:lineRule="exact"/>
        <w:jc w:val="left"/>
        <w:rPr>
          <w:rFonts w:ascii="宋体" w:hAnsi="宋体" w:cs="宋体"/>
          <w:sz w:val="24"/>
          <w:szCs w:val="24"/>
        </w:rPr>
      </w:pPr>
      <w:r>
        <w:rPr>
          <w:rFonts w:hint="eastAsia" w:ascii="宋体" w:hAnsi="宋体" w:cs="宋体"/>
          <w:sz w:val="24"/>
          <w:szCs w:val="24"/>
        </w:rPr>
        <w:t>磋商一览表 ；</w:t>
      </w:r>
    </w:p>
    <w:p>
      <w:pPr>
        <w:numPr>
          <w:ilvl w:val="0"/>
          <w:numId w:val="11"/>
        </w:numPr>
        <w:tabs>
          <w:tab w:val="left" w:pos="0"/>
        </w:tabs>
        <w:adjustRightInd w:val="0"/>
        <w:snapToGrid w:val="0"/>
        <w:spacing w:line="440" w:lineRule="exact"/>
        <w:jc w:val="left"/>
        <w:rPr>
          <w:rFonts w:ascii="宋体" w:hAnsi="宋体" w:cs="宋体"/>
          <w:sz w:val="24"/>
          <w:szCs w:val="24"/>
        </w:rPr>
      </w:pPr>
      <w:r>
        <w:rPr>
          <w:rFonts w:hint="eastAsia" w:ascii="宋体" w:hAnsi="宋体" w:cs="宋体"/>
          <w:sz w:val="24"/>
          <w:szCs w:val="24"/>
        </w:rPr>
        <w:t>分项报价表；</w:t>
      </w:r>
    </w:p>
    <w:p>
      <w:pPr>
        <w:numPr>
          <w:ilvl w:val="0"/>
          <w:numId w:val="11"/>
        </w:numPr>
        <w:tabs>
          <w:tab w:val="left" w:pos="0"/>
        </w:tabs>
        <w:adjustRightInd w:val="0"/>
        <w:snapToGrid w:val="0"/>
        <w:spacing w:line="440" w:lineRule="exact"/>
        <w:jc w:val="left"/>
        <w:rPr>
          <w:rFonts w:ascii="宋体" w:hAnsi="宋体" w:cs="宋体"/>
          <w:sz w:val="24"/>
          <w:szCs w:val="24"/>
        </w:rPr>
      </w:pPr>
      <w:r>
        <w:rPr>
          <w:rFonts w:hint="eastAsia" w:ascii="宋体" w:hAnsi="宋体" w:cs="宋体"/>
          <w:sz w:val="24"/>
          <w:szCs w:val="24"/>
        </w:rPr>
        <w:t>供应商资质证明资料；</w:t>
      </w:r>
    </w:p>
    <w:p>
      <w:pPr>
        <w:numPr>
          <w:ilvl w:val="0"/>
          <w:numId w:val="11"/>
        </w:numPr>
        <w:tabs>
          <w:tab w:val="left" w:pos="0"/>
        </w:tabs>
        <w:adjustRightInd w:val="0"/>
        <w:snapToGrid w:val="0"/>
        <w:spacing w:line="440" w:lineRule="exact"/>
        <w:jc w:val="left"/>
        <w:rPr>
          <w:rFonts w:ascii="宋体" w:hAnsi="宋体" w:cs="宋体"/>
          <w:sz w:val="24"/>
          <w:szCs w:val="24"/>
        </w:rPr>
      </w:pPr>
      <w:r>
        <w:rPr>
          <w:rFonts w:hint="eastAsia" w:ascii="宋体" w:hAnsi="宋体" w:cs="宋体"/>
          <w:sz w:val="24"/>
          <w:szCs w:val="24"/>
        </w:rPr>
        <w:t>商务和服务响应偏离表；</w:t>
      </w:r>
    </w:p>
    <w:p>
      <w:pPr>
        <w:numPr>
          <w:ilvl w:val="0"/>
          <w:numId w:val="11"/>
        </w:numPr>
        <w:tabs>
          <w:tab w:val="left" w:pos="0"/>
        </w:tabs>
        <w:adjustRightInd w:val="0"/>
        <w:snapToGrid w:val="0"/>
        <w:spacing w:line="440" w:lineRule="exact"/>
        <w:jc w:val="left"/>
        <w:rPr>
          <w:rFonts w:ascii="宋体" w:hAnsi="宋体" w:cs="宋体"/>
          <w:sz w:val="24"/>
          <w:szCs w:val="24"/>
        </w:rPr>
      </w:pPr>
      <w:r>
        <w:rPr>
          <w:rFonts w:hint="eastAsia" w:ascii="宋体" w:hAnsi="宋体" w:cs="宋体"/>
          <w:sz w:val="24"/>
          <w:szCs w:val="24"/>
        </w:rPr>
        <w:t>服务方案；</w:t>
      </w:r>
    </w:p>
    <w:p>
      <w:pPr>
        <w:numPr>
          <w:ilvl w:val="0"/>
          <w:numId w:val="11"/>
        </w:numPr>
        <w:tabs>
          <w:tab w:val="left" w:pos="0"/>
        </w:tabs>
        <w:adjustRightInd w:val="0"/>
        <w:snapToGrid w:val="0"/>
        <w:spacing w:line="440" w:lineRule="exact"/>
        <w:jc w:val="left"/>
        <w:rPr>
          <w:rFonts w:ascii="宋体" w:hAnsi="宋体" w:cs="宋体"/>
          <w:sz w:val="24"/>
          <w:szCs w:val="24"/>
        </w:rPr>
      </w:pPr>
      <w:r>
        <w:rPr>
          <w:rFonts w:hint="eastAsia" w:ascii="宋体" w:hAnsi="宋体" w:cs="宋体"/>
          <w:sz w:val="24"/>
          <w:szCs w:val="24"/>
        </w:rPr>
        <w:t>供应商业绩一览表；</w:t>
      </w:r>
    </w:p>
    <w:p>
      <w:pPr>
        <w:numPr>
          <w:ilvl w:val="0"/>
          <w:numId w:val="11"/>
        </w:numPr>
        <w:tabs>
          <w:tab w:val="left" w:pos="0"/>
        </w:tabs>
        <w:adjustRightInd w:val="0"/>
        <w:snapToGrid w:val="0"/>
        <w:spacing w:line="440" w:lineRule="exact"/>
        <w:jc w:val="left"/>
        <w:rPr>
          <w:rFonts w:ascii="宋体" w:hAnsi="宋体" w:cs="宋体"/>
          <w:sz w:val="24"/>
          <w:szCs w:val="24"/>
        </w:rPr>
      </w:pPr>
      <w:r>
        <w:rPr>
          <w:rFonts w:hint="eastAsia" w:ascii="宋体" w:hAnsi="宋体" w:cs="宋体"/>
          <w:sz w:val="24"/>
          <w:szCs w:val="24"/>
        </w:rPr>
        <w:t>供应商认为有必要说明的其他问题；</w:t>
      </w:r>
    </w:p>
    <w:p>
      <w:pPr>
        <w:pStyle w:val="5"/>
        <w:numPr>
          <w:ilvl w:val="0"/>
          <w:numId w:val="10"/>
        </w:numPr>
        <w:rPr>
          <w:rFonts w:ascii="宋体" w:hAnsi="宋体" w:cs="宋体"/>
        </w:rPr>
      </w:pPr>
      <w:r>
        <w:rPr>
          <w:rFonts w:hint="eastAsia" w:ascii="宋体" w:hAnsi="宋体" w:cs="宋体"/>
        </w:rPr>
        <w:t>响应报价</w:t>
      </w:r>
    </w:p>
    <w:p>
      <w:pPr>
        <w:tabs>
          <w:tab w:val="left" w:pos="0"/>
        </w:tabs>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2.1供应商应在磋商报价表中标明完成本次磋商所要求的货物、服务且验收合格的所有费用，</w:t>
      </w:r>
      <w:r>
        <w:rPr>
          <w:rFonts w:hint="eastAsia" w:ascii="宋体" w:hAnsi="宋体" w:cs="宋体"/>
          <w:sz w:val="24"/>
          <w:szCs w:val="24"/>
          <w:highlight w:val="none"/>
        </w:rPr>
        <w:t>总报价包括设备费、</w:t>
      </w:r>
      <w:r>
        <w:rPr>
          <w:rFonts w:hint="eastAsia" w:ascii="宋体" w:hAnsi="宋体" w:cs="宋体"/>
          <w:sz w:val="24"/>
          <w:szCs w:val="24"/>
          <w:highlight w:val="none"/>
          <w:lang w:val="en-US" w:eastAsia="zh-CN"/>
        </w:rPr>
        <w:t>车辆损耗费</w:t>
      </w:r>
      <w:r>
        <w:rPr>
          <w:rFonts w:hint="eastAsia" w:ascii="宋体" w:hAnsi="宋体" w:cs="宋体"/>
          <w:sz w:val="24"/>
          <w:szCs w:val="24"/>
          <w:highlight w:val="none"/>
        </w:rPr>
        <w:t>、</w:t>
      </w:r>
      <w:r>
        <w:rPr>
          <w:rFonts w:hint="eastAsia" w:ascii="宋体" w:hAnsi="宋体" w:cs="宋体"/>
          <w:sz w:val="24"/>
          <w:szCs w:val="24"/>
          <w:highlight w:val="none"/>
          <w:lang w:val="en-US" w:eastAsia="zh-CN"/>
        </w:rPr>
        <w:t>燃料费、</w:t>
      </w:r>
      <w:r>
        <w:rPr>
          <w:rFonts w:hint="eastAsia" w:ascii="宋体" w:hAnsi="宋体" w:cs="宋体"/>
          <w:sz w:val="24"/>
          <w:szCs w:val="24"/>
          <w:highlight w:val="none"/>
        </w:rPr>
        <w:t>运杂费（含保险）、</w:t>
      </w:r>
      <w:r>
        <w:rPr>
          <w:rFonts w:hint="eastAsia" w:ascii="宋体" w:hAnsi="宋体" w:cs="宋体"/>
          <w:sz w:val="24"/>
          <w:szCs w:val="24"/>
          <w:highlight w:val="none"/>
          <w:lang w:val="en-US" w:eastAsia="zh-CN"/>
        </w:rPr>
        <w:t>零备件费</w:t>
      </w:r>
      <w:r>
        <w:rPr>
          <w:rFonts w:hint="eastAsia" w:ascii="宋体" w:hAnsi="宋体" w:cs="宋体"/>
          <w:sz w:val="24"/>
          <w:szCs w:val="24"/>
          <w:highlight w:val="none"/>
        </w:rPr>
        <w:t>、检测费、</w:t>
      </w:r>
      <w:r>
        <w:rPr>
          <w:rFonts w:hint="eastAsia" w:ascii="宋体" w:hAnsi="宋体" w:cs="宋体"/>
          <w:sz w:val="24"/>
          <w:szCs w:val="24"/>
          <w:highlight w:val="none"/>
          <w:lang w:val="en-US" w:eastAsia="zh-CN"/>
        </w:rPr>
        <w:t>维修费、过路费、车辆保养费、停车费、</w:t>
      </w:r>
      <w:r>
        <w:rPr>
          <w:rFonts w:hint="eastAsia" w:ascii="宋体" w:hAnsi="宋体" w:cs="宋体"/>
          <w:sz w:val="24"/>
          <w:szCs w:val="24"/>
          <w:highlight w:val="none"/>
        </w:rPr>
        <w:t>人工费、国家按现行税收政策征收的一切税费等。磋商</w:t>
      </w:r>
      <w:r>
        <w:rPr>
          <w:rFonts w:hint="eastAsia" w:ascii="宋体" w:hAnsi="宋体" w:cs="宋体"/>
          <w:sz w:val="24"/>
          <w:szCs w:val="24"/>
        </w:rPr>
        <w:t>报价表中标明本次货物、服务的所有单项价格和总价，任何有选择的报价将不予接受，否则按无效磋商处理。</w:t>
      </w:r>
    </w:p>
    <w:p>
      <w:pPr>
        <w:tabs>
          <w:tab w:val="left" w:pos="0"/>
        </w:tabs>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2.2磋商报价表成交的价格，在合同执行过程中，不得以任何理由变更。</w:t>
      </w:r>
    </w:p>
    <w:p>
      <w:pPr>
        <w:tabs>
          <w:tab w:val="left" w:pos="0"/>
        </w:tabs>
        <w:adjustRightInd w:val="0"/>
        <w:snapToGrid w:val="0"/>
        <w:spacing w:line="440" w:lineRule="exact"/>
        <w:ind w:firstLine="480" w:firstLineChars="200"/>
        <w:jc w:val="left"/>
        <w:rPr>
          <w:rFonts w:ascii="宋体" w:hAnsi="宋体" w:cs="宋体"/>
          <w:color w:val="0000FF"/>
          <w:sz w:val="24"/>
          <w:szCs w:val="24"/>
        </w:rPr>
      </w:pPr>
      <w:r>
        <w:rPr>
          <w:rFonts w:hint="eastAsia" w:ascii="宋体" w:hAnsi="宋体" w:cs="宋体"/>
          <w:sz w:val="24"/>
          <w:szCs w:val="24"/>
        </w:rPr>
        <w:t>2.3供应商应在磋商响应文件中的磋商一览表上，标明总报价、服务期限等磋商文件要求的其他内容；任何有选择的报价不予接受。</w:t>
      </w:r>
    </w:p>
    <w:p>
      <w:pPr>
        <w:tabs>
          <w:tab w:val="left" w:pos="0"/>
        </w:tabs>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2.4最低报价不是成交的唯一依据。</w:t>
      </w:r>
    </w:p>
    <w:p>
      <w:pPr>
        <w:pStyle w:val="5"/>
        <w:numPr>
          <w:ilvl w:val="0"/>
          <w:numId w:val="10"/>
        </w:numPr>
        <w:rPr>
          <w:rFonts w:ascii="宋体" w:hAnsi="宋体" w:cs="宋体"/>
        </w:rPr>
      </w:pPr>
      <w:bookmarkStart w:id="53" w:name="_Toc29200"/>
      <w:r>
        <w:rPr>
          <w:rFonts w:hint="eastAsia" w:ascii="宋体" w:hAnsi="宋体" w:cs="宋体"/>
        </w:rPr>
        <w:t>磋商货币</w:t>
      </w:r>
      <w:bookmarkEnd w:id="53"/>
    </w:p>
    <w:p>
      <w:pPr>
        <w:widowControl/>
        <w:spacing w:line="360" w:lineRule="auto"/>
        <w:ind w:firstLine="480" w:firstLineChars="200"/>
        <w:rPr>
          <w:rFonts w:ascii="宋体" w:hAnsi="宋体" w:cs="宋体"/>
          <w:kern w:val="0"/>
          <w:sz w:val="24"/>
        </w:rPr>
      </w:pPr>
      <w:r>
        <w:rPr>
          <w:rFonts w:hint="eastAsia" w:ascii="宋体" w:hAnsi="宋体" w:cs="宋体"/>
          <w:kern w:val="0"/>
          <w:sz w:val="24"/>
        </w:rPr>
        <w:t>采购人只接受人民币作为唯一磋商货币。</w:t>
      </w:r>
    </w:p>
    <w:p>
      <w:pPr>
        <w:pStyle w:val="5"/>
        <w:numPr>
          <w:ilvl w:val="0"/>
          <w:numId w:val="10"/>
        </w:numPr>
        <w:rPr>
          <w:rFonts w:ascii="宋体" w:hAnsi="宋体" w:cs="宋体"/>
        </w:rPr>
      </w:pPr>
      <w:bookmarkStart w:id="54" w:name="_Toc19668"/>
      <w:r>
        <w:rPr>
          <w:rFonts w:hint="eastAsia" w:ascii="宋体" w:hAnsi="宋体" w:cs="宋体"/>
        </w:rPr>
        <w:t>磋商有效期</w:t>
      </w:r>
      <w:bookmarkEnd w:id="54"/>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磋商有效期见供应商须知前附表，无磋商有效期或磋商有效期短于此规定期限的投标文件，视为无效文件，其磋商响应文件将被拒绝。</w:t>
      </w:r>
    </w:p>
    <w:p>
      <w:pPr>
        <w:pStyle w:val="5"/>
        <w:numPr>
          <w:ilvl w:val="0"/>
          <w:numId w:val="10"/>
        </w:numPr>
        <w:rPr>
          <w:rFonts w:ascii="宋体" w:hAnsi="宋体" w:cs="宋体"/>
        </w:rPr>
      </w:pPr>
      <w:bookmarkStart w:id="55" w:name="_Toc24827"/>
      <w:r>
        <w:rPr>
          <w:rFonts w:hint="eastAsia" w:ascii="宋体" w:hAnsi="宋体" w:cs="宋体"/>
        </w:rPr>
        <w:t>磋商响应文件的格式、装订、密封和签署</w:t>
      </w:r>
      <w:bookmarkEnd w:id="55"/>
    </w:p>
    <w:p>
      <w:pPr>
        <w:tabs>
          <w:tab w:val="left" w:pos="0"/>
        </w:tabs>
        <w:spacing w:line="360" w:lineRule="auto"/>
        <w:ind w:right="-90" w:rightChars="-43" w:firstLine="480" w:firstLineChars="200"/>
        <w:rPr>
          <w:rFonts w:ascii="宋体" w:hAnsi="宋体" w:cs="宋体"/>
          <w:sz w:val="24"/>
          <w:szCs w:val="24"/>
        </w:rPr>
      </w:pPr>
      <w:r>
        <w:rPr>
          <w:rFonts w:hint="eastAsia" w:ascii="宋体" w:hAnsi="宋体" w:cs="宋体"/>
          <w:sz w:val="24"/>
          <w:szCs w:val="24"/>
        </w:rPr>
        <w:t>5.1供应商须依据竞争性磋商文件内容和磋商响应文件格式的要求编制磋商响应文件；</w:t>
      </w:r>
    </w:p>
    <w:p>
      <w:pPr>
        <w:tabs>
          <w:tab w:val="left" w:pos="0"/>
        </w:tabs>
        <w:spacing w:line="360" w:lineRule="auto"/>
        <w:ind w:right="-90" w:rightChars="-43" w:firstLine="480" w:firstLineChars="200"/>
        <w:rPr>
          <w:rFonts w:ascii="宋体" w:hAnsi="宋体" w:cs="宋体"/>
          <w:sz w:val="24"/>
          <w:szCs w:val="24"/>
        </w:rPr>
      </w:pPr>
      <w:r>
        <w:rPr>
          <w:rFonts w:hint="eastAsia" w:ascii="宋体" w:hAnsi="宋体" w:cs="宋体"/>
          <w:sz w:val="24"/>
          <w:szCs w:val="24"/>
        </w:rPr>
        <w:t>磋商响应文件的正本须打印或用不褪色蓝（黑）墨水（汁）书写，磋商响应文件的打印（</w:t>
      </w:r>
      <w:r>
        <w:rPr>
          <w:rFonts w:hint="eastAsia" w:ascii="宋体" w:hAnsi="宋体" w:cs="宋体"/>
          <w:b/>
          <w:bCs/>
          <w:sz w:val="24"/>
          <w:szCs w:val="24"/>
        </w:rPr>
        <w:t>建议双面打印</w:t>
      </w:r>
      <w:r>
        <w:rPr>
          <w:rFonts w:hint="eastAsia" w:ascii="宋体" w:hAnsi="宋体" w:cs="宋体"/>
          <w:sz w:val="24"/>
          <w:szCs w:val="24"/>
        </w:rPr>
        <w:t>）和书写应清楚工整，任何行间插字、涂改和增删，必须由供应商的法定代表人或其授权代表签字或加盖个人印章，字迹潦草或表达不清或可能导致非唯一理解的磋商响应文件可能视为无效文件；</w:t>
      </w:r>
      <w:r>
        <w:rPr>
          <w:rFonts w:hint="eastAsia" w:ascii="宋体" w:hAnsi="宋体" w:cs="宋体"/>
          <w:b/>
          <w:bCs/>
          <w:sz w:val="24"/>
          <w:szCs w:val="24"/>
        </w:rPr>
        <w:t>所有的副本可以为正本的复印件</w:t>
      </w:r>
      <w:r>
        <w:rPr>
          <w:rFonts w:hint="eastAsia" w:ascii="宋体" w:hAnsi="宋体" w:cs="宋体"/>
          <w:sz w:val="24"/>
          <w:szCs w:val="24"/>
        </w:rPr>
        <w:t>，在每一页清楚标明页码，页码连续。</w:t>
      </w:r>
    </w:p>
    <w:p>
      <w:pPr>
        <w:tabs>
          <w:tab w:val="left" w:pos="0"/>
        </w:tabs>
        <w:spacing w:line="360" w:lineRule="auto"/>
        <w:ind w:firstLine="480" w:firstLineChars="200"/>
        <w:rPr>
          <w:rFonts w:ascii="宋体" w:hAnsi="宋体" w:cs="宋体"/>
          <w:sz w:val="24"/>
          <w:szCs w:val="24"/>
        </w:rPr>
      </w:pPr>
      <w:r>
        <w:rPr>
          <w:rFonts w:hint="eastAsia" w:ascii="宋体" w:hAnsi="宋体" w:cs="宋体"/>
          <w:sz w:val="24"/>
          <w:szCs w:val="24"/>
        </w:rPr>
        <w:t>5.2磋商响应文件的装订</w:t>
      </w:r>
    </w:p>
    <w:p>
      <w:pPr>
        <w:tabs>
          <w:tab w:val="left" w:pos="0"/>
        </w:tabs>
        <w:spacing w:line="360" w:lineRule="auto"/>
        <w:ind w:firstLine="480" w:firstLineChars="200"/>
        <w:rPr>
          <w:rFonts w:ascii="宋体" w:hAnsi="宋体" w:cs="宋体"/>
          <w:b/>
          <w:bCs/>
          <w:sz w:val="24"/>
          <w:szCs w:val="24"/>
        </w:rPr>
      </w:pPr>
      <w:r>
        <w:rPr>
          <w:rFonts w:hint="eastAsia" w:ascii="宋体" w:hAnsi="宋体" w:cs="宋体"/>
          <w:sz w:val="24"/>
          <w:szCs w:val="24"/>
        </w:rPr>
        <w:t>磋商响应文件</w:t>
      </w:r>
      <w:r>
        <w:rPr>
          <w:rFonts w:hint="eastAsia" w:ascii="宋体" w:hAnsi="宋体" w:cs="宋体"/>
          <w:b/>
          <w:bCs/>
          <w:sz w:val="24"/>
          <w:szCs w:val="24"/>
        </w:rPr>
        <w:t>正本壹份、副本叁份</w:t>
      </w:r>
      <w:r>
        <w:rPr>
          <w:rFonts w:hint="eastAsia" w:ascii="宋体" w:hAnsi="宋体" w:cs="宋体"/>
          <w:sz w:val="24"/>
          <w:szCs w:val="24"/>
        </w:rPr>
        <w:t>，分别胶装装订成册（散页无效），且封面须清楚地标明“正本”或“副本”；若正本和副本不符，以正本书面文件为准；同时提供与正本内容一致的</w:t>
      </w:r>
      <w:bookmarkStart w:id="56" w:name="OLE_LINK13"/>
      <w:r>
        <w:rPr>
          <w:rFonts w:hint="eastAsia" w:ascii="宋体" w:hAnsi="宋体" w:cs="宋体"/>
          <w:sz w:val="24"/>
          <w:szCs w:val="24"/>
        </w:rPr>
        <w:t>电子版</w:t>
      </w:r>
      <w:bookmarkEnd w:id="56"/>
      <w:r>
        <w:rPr>
          <w:rFonts w:hint="eastAsia" w:ascii="宋体" w:hAnsi="宋体" w:cs="宋体"/>
          <w:sz w:val="24"/>
          <w:szCs w:val="24"/>
        </w:rPr>
        <w:t>（</w:t>
      </w:r>
      <w:r>
        <w:rPr>
          <w:rFonts w:hint="eastAsia" w:ascii="宋体" w:hAnsi="宋体" w:cs="宋体"/>
          <w:b/>
          <w:bCs/>
          <w:sz w:val="24"/>
          <w:szCs w:val="24"/>
        </w:rPr>
        <w:t>U盘</w:t>
      </w:r>
      <w:r>
        <w:rPr>
          <w:rFonts w:hint="eastAsia" w:ascii="宋体" w:hAnsi="宋体" w:cs="宋体"/>
          <w:sz w:val="24"/>
          <w:szCs w:val="24"/>
        </w:rPr>
        <w:t>、</w:t>
      </w:r>
      <w:r>
        <w:rPr>
          <w:rFonts w:hint="eastAsia" w:ascii="宋体" w:hAnsi="宋体" w:cs="宋体"/>
          <w:b/>
          <w:bCs/>
          <w:sz w:val="24"/>
          <w:szCs w:val="24"/>
        </w:rPr>
        <w:t>电子文档应为PDF与WORD格式各一份</w:t>
      </w:r>
      <w:r>
        <w:rPr>
          <w:rFonts w:hint="eastAsia" w:ascii="宋体" w:hAnsi="宋体" w:cs="宋体"/>
          <w:sz w:val="24"/>
          <w:szCs w:val="24"/>
        </w:rPr>
        <w:t>）、磋商一览表壹份</w:t>
      </w:r>
      <w:r>
        <w:rPr>
          <w:rFonts w:hint="eastAsia" w:ascii="宋体" w:hAnsi="宋体" w:cs="宋体"/>
          <w:b/>
          <w:bCs/>
          <w:sz w:val="24"/>
          <w:szCs w:val="24"/>
        </w:rPr>
        <w:t>（</w:t>
      </w:r>
      <w:r>
        <w:rPr>
          <w:rFonts w:hint="eastAsia" w:ascii="宋体" w:hAnsi="宋体" w:cs="宋体"/>
          <w:sz w:val="24"/>
          <w:szCs w:val="24"/>
        </w:rPr>
        <w:t>单独提交的“磋商一览表”应为原件</w:t>
      </w:r>
      <w:r>
        <w:rPr>
          <w:rFonts w:hint="eastAsia" w:ascii="宋体" w:hAnsi="宋体" w:cs="宋体"/>
          <w:b/>
          <w:bCs/>
          <w:sz w:val="24"/>
          <w:szCs w:val="24"/>
        </w:rPr>
        <w:t>）。</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5.3磋商响应文件的签署</w:t>
      </w:r>
    </w:p>
    <w:p>
      <w:pPr>
        <w:spacing w:line="360" w:lineRule="auto"/>
        <w:ind w:firstLine="723" w:firstLineChars="300"/>
        <w:jc w:val="left"/>
        <w:rPr>
          <w:rFonts w:ascii="宋体" w:hAnsi="宋体" w:cs="宋体"/>
          <w:sz w:val="24"/>
          <w:szCs w:val="24"/>
        </w:rPr>
      </w:pPr>
      <w:r>
        <w:rPr>
          <w:rFonts w:hint="eastAsia" w:ascii="宋体" w:hAnsi="宋体" w:cs="宋体"/>
          <w:b/>
          <w:bCs/>
          <w:kern w:val="0"/>
          <w:sz w:val="24"/>
        </w:rPr>
        <w:t>见供应商须知前附表</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5.4磋商响应文件的密封</w:t>
      </w:r>
    </w:p>
    <w:p>
      <w:pPr>
        <w:spacing w:line="360" w:lineRule="auto"/>
        <w:ind w:firstLine="723" w:firstLineChars="300"/>
        <w:jc w:val="left"/>
        <w:rPr>
          <w:rFonts w:ascii="宋体" w:hAnsi="宋体" w:cs="宋体"/>
          <w:b/>
          <w:bCs/>
          <w:kern w:val="0"/>
          <w:sz w:val="24"/>
        </w:rPr>
      </w:pPr>
      <w:r>
        <w:rPr>
          <w:rFonts w:hint="eastAsia" w:ascii="宋体" w:hAnsi="宋体" w:cs="宋体"/>
          <w:b/>
          <w:bCs/>
          <w:kern w:val="0"/>
          <w:sz w:val="24"/>
        </w:rPr>
        <w:t>见供应商须知前附表</w:t>
      </w:r>
    </w:p>
    <w:p>
      <w:pPr>
        <w:spacing w:line="360" w:lineRule="auto"/>
        <w:ind w:firstLine="480" w:firstLineChars="200"/>
        <w:rPr>
          <w:rFonts w:ascii="宋体" w:hAnsi="宋体" w:cs="宋体"/>
          <w:sz w:val="24"/>
          <w:szCs w:val="24"/>
        </w:rPr>
      </w:pPr>
      <w:r>
        <w:rPr>
          <w:rFonts w:hint="eastAsia" w:ascii="宋体" w:hAnsi="宋体" w:cs="宋体"/>
          <w:sz w:val="24"/>
          <w:szCs w:val="24"/>
        </w:rPr>
        <w:t>5.5本次磋商只接受简体中文文字的磋商响应文件；如磋商响应文件中出现外文资料，必须配以中文译文。否则，由此引发的一切责任由供应商自负。</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5.6拒绝接受以电话、传真、电子邮件形式的磋商。</w:t>
      </w:r>
    </w:p>
    <w:p>
      <w:pPr>
        <w:pStyle w:val="5"/>
        <w:numPr>
          <w:ilvl w:val="0"/>
          <w:numId w:val="10"/>
        </w:numPr>
        <w:rPr>
          <w:rFonts w:ascii="宋体" w:hAnsi="宋体" w:cs="宋体"/>
        </w:rPr>
      </w:pPr>
      <w:bookmarkStart w:id="57" w:name="_Toc22752"/>
      <w:r>
        <w:rPr>
          <w:rFonts w:hint="eastAsia" w:ascii="宋体" w:hAnsi="宋体" w:cs="宋体"/>
        </w:rPr>
        <w:t>知识产权</w:t>
      </w:r>
      <w:bookmarkEnd w:id="57"/>
    </w:p>
    <w:p>
      <w:pPr>
        <w:spacing w:line="360" w:lineRule="auto"/>
        <w:ind w:firstLine="480" w:firstLineChars="200"/>
        <w:jc w:val="left"/>
        <w:rPr>
          <w:rFonts w:ascii="宋体" w:hAnsi="宋体" w:cs="宋体"/>
          <w:sz w:val="24"/>
          <w:szCs w:val="24"/>
        </w:rPr>
      </w:pPr>
      <w:r>
        <w:rPr>
          <w:rFonts w:hint="eastAsia" w:ascii="宋体" w:hAnsi="宋体" w:cs="宋体"/>
          <w:sz w:val="24"/>
          <w:szCs w:val="24"/>
        </w:rPr>
        <w:t>6.1供应商应保证在本项目使用的任何产品和服务（包括部分使用）时，不会产生因第三方提出侵犯其专利权、商标权或其它知识产权而引起的法律和经济纠纷，如因专利权、商标权或其它知识产权而引起法律纠纷和经济纠纷，由供应商承担所有相关责任。</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6.2采购人享有本项目在实施过程中产生的知识成果及知识产权。</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6.3供应商如欲在项目实施过程中采用自有知识成果，需在磋商响应文件中声明，并提供相关知识产权证明文件。使用该知识成果后，供应商须提供开发接口和开发手册等技术文档，并承诺提供无限期技术支持，采购人享有永久使用权。</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6.4如供应商所不拥有的知识产权，则在响应报价中必须包括合法获取该知识产权的相关费用。</w:t>
      </w:r>
    </w:p>
    <w:p>
      <w:pPr>
        <w:widowControl/>
        <w:numPr>
          <w:ilvl w:val="0"/>
          <w:numId w:val="5"/>
        </w:numPr>
        <w:spacing w:line="360" w:lineRule="auto"/>
        <w:ind w:firstLine="643" w:firstLineChars="200"/>
        <w:jc w:val="center"/>
        <w:outlineLvl w:val="1"/>
        <w:rPr>
          <w:rFonts w:ascii="宋体" w:hAnsi="宋体" w:cs="宋体"/>
          <w:b/>
          <w:bCs/>
          <w:kern w:val="0"/>
          <w:sz w:val="32"/>
          <w:szCs w:val="28"/>
        </w:rPr>
        <w:sectPr>
          <w:pgSz w:w="11906" w:h="16838"/>
          <w:pgMar w:top="1440" w:right="1706" w:bottom="1440" w:left="1800" w:header="851" w:footer="992" w:gutter="0"/>
          <w:cols w:space="720" w:num="1"/>
          <w:docGrid w:type="lines" w:linePitch="312" w:charSpace="0"/>
        </w:sectPr>
      </w:pPr>
      <w:bookmarkStart w:id="58" w:name="_Toc3736"/>
    </w:p>
    <w:p>
      <w:pPr>
        <w:widowControl/>
        <w:numPr>
          <w:ilvl w:val="0"/>
          <w:numId w:val="5"/>
        </w:numPr>
        <w:spacing w:line="360" w:lineRule="auto"/>
        <w:ind w:firstLine="643" w:firstLineChars="200"/>
        <w:jc w:val="center"/>
        <w:outlineLvl w:val="1"/>
        <w:rPr>
          <w:rFonts w:ascii="宋体" w:hAnsi="宋体" w:cs="宋体"/>
          <w:b/>
          <w:bCs/>
          <w:kern w:val="0"/>
          <w:sz w:val="32"/>
          <w:szCs w:val="28"/>
        </w:rPr>
      </w:pPr>
      <w:bookmarkStart w:id="59" w:name="_Toc3565"/>
      <w:bookmarkStart w:id="60" w:name="_Toc2312"/>
      <w:bookmarkStart w:id="61" w:name="_Toc12403"/>
      <w:bookmarkStart w:id="62" w:name="_Toc7624"/>
      <w:bookmarkStart w:id="63" w:name="_Toc7026"/>
      <w:r>
        <w:rPr>
          <w:rFonts w:hint="eastAsia" w:ascii="宋体" w:hAnsi="宋体" w:cs="宋体"/>
          <w:b/>
          <w:bCs/>
          <w:kern w:val="0"/>
          <w:sz w:val="32"/>
          <w:szCs w:val="28"/>
        </w:rPr>
        <w:t>磋商响应文件的递交</w:t>
      </w:r>
      <w:bookmarkEnd w:id="59"/>
      <w:bookmarkEnd w:id="60"/>
      <w:bookmarkEnd w:id="61"/>
      <w:bookmarkEnd w:id="62"/>
      <w:bookmarkEnd w:id="63"/>
    </w:p>
    <w:bookmarkEnd w:id="58"/>
    <w:p>
      <w:pPr>
        <w:pStyle w:val="5"/>
        <w:numPr>
          <w:ilvl w:val="0"/>
          <w:numId w:val="12"/>
        </w:numPr>
        <w:ind w:firstLine="562" w:firstLineChars="200"/>
        <w:rPr>
          <w:rFonts w:ascii="宋体" w:hAnsi="宋体" w:cs="宋体"/>
        </w:rPr>
      </w:pPr>
      <w:bookmarkStart w:id="64" w:name="_Toc3685"/>
      <w:r>
        <w:rPr>
          <w:rFonts w:hint="eastAsia" w:ascii="宋体" w:hAnsi="宋体" w:cs="宋体"/>
        </w:rPr>
        <w:t>磋商响应文件递交</w:t>
      </w:r>
      <w:bookmarkEnd w:id="64"/>
    </w:p>
    <w:p>
      <w:pPr>
        <w:widowControl/>
        <w:tabs>
          <w:tab w:val="left" w:pos="0"/>
        </w:tabs>
        <w:spacing w:line="460" w:lineRule="exact"/>
        <w:ind w:firstLine="480" w:firstLineChars="200"/>
        <w:jc w:val="left"/>
        <w:rPr>
          <w:rFonts w:ascii="宋体" w:hAnsi="宋体" w:cs="宋体"/>
          <w:sz w:val="24"/>
          <w:szCs w:val="24"/>
        </w:rPr>
      </w:pPr>
      <w:r>
        <w:rPr>
          <w:rFonts w:hint="eastAsia" w:ascii="宋体" w:hAnsi="宋体" w:cs="宋体"/>
          <w:sz w:val="24"/>
          <w:szCs w:val="24"/>
        </w:rPr>
        <w:t>1.1供应商必须在竞争性磋商文件规定的磋商响应文件递交截止时间之前，将全部磋商响应文件递交至代理机构项目工作人员；代理机构项目承办人在竞争性磋商文件规定的磋商响应文件递交截止时间前，只负责磋商响应文件的接收、清点、造册登记工作，并请供应商代表签字确认，对其有效性不负任何责任。</w:t>
      </w:r>
    </w:p>
    <w:p>
      <w:pPr>
        <w:widowControl/>
        <w:tabs>
          <w:tab w:val="left" w:pos="0"/>
        </w:tabs>
        <w:spacing w:line="460" w:lineRule="exact"/>
        <w:ind w:firstLine="480" w:firstLineChars="200"/>
        <w:jc w:val="left"/>
        <w:rPr>
          <w:rFonts w:ascii="宋体" w:hAnsi="宋体" w:cs="宋体"/>
          <w:sz w:val="24"/>
          <w:szCs w:val="24"/>
        </w:rPr>
      </w:pPr>
      <w:r>
        <w:rPr>
          <w:rFonts w:hint="eastAsia" w:ascii="宋体" w:hAnsi="宋体" w:cs="宋体"/>
          <w:sz w:val="24"/>
          <w:szCs w:val="24"/>
        </w:rPr>
        <w:t>1.2代理机构在宣布递交磋商响应文件时间截止之后，拒绝接收任何人送达、递交的磋商响应文件；</w:t>
      </w:r>
    </w:p>
    <w:p>
      <w:pPr>
        <w:widowControl/>
        <w:tabs>
          <w:tab w:val="left" w:pos="0"/>
        </w:tabs>
        <w:spacing w:line="460" w:lineRule="exact"/>
        <w:ind w:firstLine="480" w:firstLineChars="200"/>
        <w:jc w:val="left"/>
        <w:rPr>
          <w:rFonts w:ascii="宋体" w:hAnsi="宋体" w:cs="宋体"/>
          <w:sz w:val="24"/>
          <w:szCs w:val="24"/>
        </w:rPr>
      </w:pPr>
      <w:r>
        <w:rPr>
          <w:rFonts w:hint="eastAsia" w:ascii="宋体" w:hAnsi="宋体" w:cs="宋体"/>
          <w:sz w:val="24"/>
          <w:szCs w:val="24"/>
        </w:rPr>
        <w:t>1.3代理机构不接受邮寄的磋商响应文件；</w:t>
      </w:r>
    </w:p>
    <w:p>
      <w:pPr>
        <w:widowControl/>
        <w:tabs>
          <w:tab w:val="left" w:pos="0"/>
        </w:tabs>
        <w:spacing w:line="460" w:lineRule="exact"/>
        <w:ind w:firstLine="480" w:firstLineChars="200"/>
        <w:jc w:val="left"/>
        <w:rPr>
          <w:rFonts w:ascii="宋体" w:hAnsi="宋体" w:cs="宋体"/>
          <w:sz w:val="24"/>
          <w:szCs w:val="24"/>
        </w:rPr>
      </w:pPr>
      <w:r>
        <w:rPr>
          <w:rFonts w:hint="eastAsia" w:ascii="宋体" w:hAnsi="宋体" w:cs="宋体"/>
          <w:sz w:val="24"/>
          <w:szCs w:val="24"/>
        </w:rPr>
        <w:t>1.4无论供应商成交与否，其磋商响应文件恕不退还。</w:t>
      </w:r>
    </w:p>
    <w:p>
      <w:pPr>
        <w:pStyle w:val="5"/>
        <w:numPr>
          <w:ilvl w:val="0"/>
          <w:numId w:val="12"/>
        </w:numPr>
        <w:ind w:firstLine="562" w:firstLineChars="200"/>
        <w:rPr>
          <w:rFonts w:ascii="宋体" w:hAnsi="宋体" w:cs="宋体"/>
        </w:rPr>
      </w:pPr>
      <w:bookmarkStart w:id="65" w:name="_Toc12741"/>
      <w:r>
        <w:rPr>
          <w:rFonts w:hint="eastAsia" w:ascii="宋体" w:hAnsi="宋体" w:cs="宋体"/>
        </w:rPr>
        <w:t>磋商响应文件的修改和撤回</w:t>
      </w:r>
      <w:bookmarkEnd w:id="65"/>
    </w:p>
    <w:p>
      <w:pPr>
        <w:widowControl/>
        <w:tabs>
          <w:tab w:val="left" w:pos="0"/>
        </w:tabs>
        <w:spacing w:line="460" w:lineRule="exact"/>
        <w:ind w:firstLine="480" w:firstLineChars="200"/>
        <w:jc w:val="left"/>
      </w:pPr>
      <w:r>
        <w:rPr>
          <w:rFonts w:hint="eastAsia" w:ascii="宋体" w:hAnsi="宋体" w:cs="宋体"/>
          <w:sz w:val="24"/>
          <w:szCs w:val="24"/>
        </w:rPr>
        <w:t>在磋商截止时间之后，供应商不得对其递交的磋商响应文件做任何修改或撤回。</w:t>
      </w:r>
    </w:p>
    <w:p>
      <w:pPr>
        <w:spacing w:line="360" w:lineRule="auto"/>
        <w:rPr>
          <w:rFonts w:ascii="宋体" w:hAnsi="宋体" w:cs="宋体"/>
          <w:sz w:val="24"/>
          <w:szCs w:val="24"/>
        </w:rPr>
      </w:pPr>
      <w:r>
        <w:rPr>
          <w:rFonts w:hint="eastAsia" w:ascii="宋体" w:hAnsi="宋体" w:cs="宋体"/>
          <w:sz w:val="24"/>
          <w:szCs w:val="24"/>
        </w:rPr>
        <w:br w:type="page"/>
      </w:r>
    </w:p>
    <w:p>
      <w:pPr>
        <w:widowControl/>
        <w:numPr>
          <w:ilvl w:val="0"/>
          <w:numId w:val="5"/>
        </w:numPr>
        <w:spacing w:line="360" w:lineRule="auto"/>
        <w:ind w:firstLine="643" w:firstLineChars="200"/>
        <w:jc w:val="center"/>
        <w:outlineLvl w:val="1"/>
        <w:rPr>
          <w:rFonts w:ascii="宋体" w:hAnsi="宋体" w:cs="宋体"/>
          <w:b/>
          <w:bCs/>
          <w:kern w:val="0"/>
          <w:sz w:val="32"/>
          <w:szCs w:val="28"/>
        </w:rPr>
      </w:pPr>
      <w:bookmarkStart w:id="66" w:name="_Toc27217"/>
      <w:bookmarkStart w:id="67" w:name="_Toc30333"/>
      <w:bookmarkStart w:id="68" w:name="_Toc27066"/>
      <w:bookmarkStart w:id="69" w:name="_Toc14415"/>
      <w:bookmarkStart w:id="70" w:name="_Toc8303"/>
      <w:bookmarkStart w:id="71" w:name="_Toc31986"/>
      <w:r>
        <w:rPr>
          <w:rFonts w:hint="eastAsia" w:ascii="宋体" w:hAnsi="宋体" w:cs="宋体"/>
          <w:b/>
          <w:bCs/>
          <w:kern w:val="0"/>
          <w:sz w:val="32"/>
          <w:szCs w:val="28"/>
        </w:rPr>
        <w:t>磋商、评审、定标</w:t>
      </w:r>
      <w:bookmarkEnd w:id="66"/>
      <w:bookmarkEnd w:id="67"/>
      <w:bookmarkEnd w:id="68"/>
      <w:bookmarkEnd w:id="69"/>
      <w:bookmarkEnd w:id="70"/>
      <w:bookmarkEnd w:id="71"/>
    </w:p>
    <w:p>
      <w:pPr>
        <w:pStyle w:val="5"/>
        <w:numPr>
          <w:ilvl w:val="0"/>
          <w:numId w:val="13"/>
        </w:numPr>
        <w:ind w:firstLine="562" w:firstLineChars="200"/>
        <w:rPr>
          <w:rFonts w:ascii="宋体" w:hAnsi="宋体" w:cs="宋体"/>
        </w:rPr>
      </w:pPr>
      <w:r>
        <w:rPr>
          <w:rFonts w:hint="eastAsia" w:ascii="宋体" w:hAnsi="宋体" w:cs="宋体"/>
        </w:rPr>
        <w:t>磋商</w:t>
      </w:r>
    </w:p>
    <w:p>
      <w:pPr>
        <w:widowControl/>
        <w:tabs>
          <w:tab w:val="left" w:pos="0"/>
        </w:tabs>
        <w:spacing w:line="500" w:lineRule="exact"/>
        <w:ind w:firstLine="480" w:firstLineChars="200"/>
        <w:jc w:val="left"/>
        <w:rPr>
          <w:rFonts w:ascii="宋体"/>
          <w:sz w:val="24"/>
          <w:szCs w:val="24"/>
        </w:rPr>
      </w:pPr>
      <w:r>
        <w:rPr>
          <w:rFonts w:hint="eastAsia" w:ascii="宋体" w:hAnsi="宋体" w:cs="宋体"/>
          <w:sz w:val="24"/>
          <w:szCs w:val="24"/>
        </w:rPr>
        <w:t>1.1采购代理机构按竞争性磋商公告中规定的时间和地点接收供应商递交的磋商响应文件。磋商小组、采购单位代表、监督机构及有关工作人员参加，参加磋商会议的代表应签名报到以证明其出席；供应商代表参加磋商会议；整个磋商过程接受监督机构的监督。</w:t>
      </w:r>
    </w:p>
    <w:p>
      <w:pPr>
        <w:widowControl/>
        <w:tabs>
          <w:tab w:val="left" w:pos="0"/>
        </w:tabs>
        <w:spacing w:line="500" w:lineRule="exact"/>
        <w:ind w:firstLine="480" w:firstLineChars="200"/>
        <w:jc w:val="left"/>
        <w:rPr>
          <w:rFonts w:ascii="宋体" w:hAnsi="宋体" w:cs="宋体"/>
          <w:color w:val="000000"/>
          <w:sz w:val="24"/>
        </w:rPr>
      </w:pPr>
      <w:r>
        <w:rPr>
          <w:rFonts w:ascii="宋体" w:hAnsi="宋体" w:cs="宋体"/>
          <w:sz w:val="24"/>
          <w:szCs w:val="24"/>
        </w:rPr>
        <w:t xml:space="preserve">1.2 </w:t>
      </w:r>
      <w:r>
        <w:rPr>
          <w:rFonts w:hint="eastAsia" w:ascii="宋体" w:hAnsi="宋体" w:cs="宋体"/>
          <w:kern w:val="0"/>
          <w:sz w:val="24"/>
        </w:rPr>
        <w:t>磋商时，供应商与监标人共同检查磋商响应文件密封情况并签字确认。确认无误后方可拆封磋商响应文件</w:t>
      </w:r>
      <w:r>
        <w:rPr>
          <w:rFonts w:hint="eastAsia" w:ascii="宋体" w:hAnsi="宋体" w:cs="宋体"/>
          <w:color w:val="000000"/>
          <w:sz w:val="24"/>
        </w:rPr>
        <w:t>，竞争性磋商过程中代理机构指定专人负责将供应商的名称、磋商项目名称、磋商价格等进行记录，并存档备案</w:t>
      </w:r>
      <w:r>
        <w:rPr>
          <w:rFonts w:hint="eastAsia" w:ascii="宋体" w:hAnsi="宋体" w:cs="宋体"/>
          <w:sz w:val="24"/>
          <w:szCs w:val="24"/>
        </w:rPr>
        <w:t>。</w:t>
      </w:r>
    </w:p>
    <w:p>
      <w:pPr>
        <w:tabs>
          <w:tab w:val="left" w:pos="0"/>
        </w:tabs>
        <w:spacing w:line="360" w:lineRule="auto"/>
        <w:ind w:firstLine="480" w:firstLineChars="200"/>
        <w:jc w:val="left"/>
        <w:rPr>
          <w:rFonts w:ascii="宋体" w:hAnsi="宋体" w:cs="宋体"/>
          <w:kern w:val="0"/>
          <w:sz w:val="24"/>
        </w:rPr>
      </w:pPr>
      <w:r>
        <w:rPr>
          <w:rFonts w:hint="eastAsia" w:ascii="宋体" w:hAnsi="宋体" w:cs="宋体"/>
          <w:kern w:val="0"/>
          <w:sz w:val="24"/>
        </w:rPr>
        <w:t>1.3磋商时，磋商响应文件中出现下列情况，修正原则为：</w:t>
      </w:r>
    </w:p>
    <w:p>
      <w:pPr>
        <w:widowControl/>
        <w:numPr>
          <w:ilvl w:val="0"/>
          <w:numId w:val="14"/>
        </w:numPr>
        <w:tabs>
          <w:tab w:val="left" w:pos="0"/>
        </w:tabs>
        <w:spacing w:line="500" w:lineRule="exact"/>
        <w:jc w:val="left"/>
        <w:rPr>
          <w:rFonts w:ascii="宋体" w:hAnsi="宋体" w:cs="宋体"/>
          <w:sz w:val="24"/>
          <w:szCs w:val="24"/>
        </w:rPr>
      </w:pPr>
      <w:r>
        <w:rPr>
          <w:rFonts w:hint="eastAsia" w:ascii="宋体" w:hAnsi="宋体" w:cs="宋体"/>
          <w:sz w:val="24"/>
          <w:szCs w:val="24"/>
        </w:rPr>
        <w:t>磋商文件中磋商一览表（报价表）内容与响应文件中相应内容不一致的，以磋商一览表（报价表）为准；报价精确到小数点后两位，不进行四舍五入；</w:t>
      </w:r>
    </w:p>
    <w:p>
      <w:pPr>
        <w:widowControl/>
        <w:numPr>
          <w:ilvl w:val="0"/>
          <w:numId w:val="14"/>
        </w:numPr>
        <w:tabs>
          <w:tab w:val="left" w:pos="0"/>
        </w:tabs>
        <w:spacing w:line="500" w:lineRule="exact"/>
        <w:jc w:val="left"/>
        <w:rPr>
          <w:rFonts w:ascii="宋体" w:hAnsi="宋体" w:cs="宋体"/>
          <w:sz w:val="24"/>
          <w:szCs w:val="24"/>
        </w:rPr>
      </w:pPr>
      <w:r>
        <w:rPr>
          <w:rFonts w:hint="eastAsia" w:ascii="宋体" w:hAnsi="宋体" w:cs="宋体"/>
          <w:sz w:val="24"/>
          <w:szCs w:val="24"/>
        </w:rPr>
        <w:t>大写金额和小写金额不一致的，以大写金额为准；</w:t>
      </w:r>
    </w:p>
    <w:p>
      <w:pPr>
        <w:widowControl/>
        <w:numPr>
          <w:ilvl w:val="0"/>
          <w:numId w:val="14"/>
        </w:numPr>
        <w:tabs>
          <w:tab w:val="left" w:pos="0"/>
        </w:tabs>
        <w:spacing w:line="500" w:lineRule="exact"/>
        <w:jc w:val="left"/>
        <w:rPr>
          <w:rFonts w:ascii="宋体" w:hAnsi="宋体" w:cs="宋体"/>
          <w:sz w:val="24"/>
          <w:szCs w:val="24"/>
        </w:rPr>
      </w:pPr>
      <w:r>
        <w:rPr>
          <w:rFonts w:hint="eastAsia" w:ascii="宋体" w:hAnsi="宋体" w:cs="宋体"/>
          <w:sz w:val="24"/>
          <w:szCs w:val="24"/>
        </w:rPr>
        <w:t>单价金额小数点或者百分比有明显错位的，以磋商一览表的总价为准，并修改单价；</w:t>
      </w:r>
    </w:p>
    <w:p>
      <w:pPr>
        <w:widowControl/>
        <w:numPr>
          <w:ilvl w:val="0"/>
          <w:numId w:val="14"/>
        </w:numPr>
        <w:tabs>
          <w:tab w:val="left" w:pos="0"/>
        </w:tabs>
        <w:spacing w:line="500" w:lineRule="exact"/>
        <w:jc w:val="left"/>
        <w:rPr>
          <w:rFonts w:ascii="宋体" w:hAnsi="宋体" w:cs="宋体"/>
          <w:sz w:val="24"/>
          <w:szCs w:val="24"/>
        </w:rPr>
      </w:pPr>
      <w:r>
        <w:rPr>
          <w:rFonts w:hint="eastAsia" w:ascii="宋体" w:hAnsi="宋体" w:cs="宋体"/>
          <w:sz w:val="24"/>
          <w:szCs w:val="24"/>
        </w:rPr>
        <w:t xml:space="preserve">总价金额与按单价汇总金额不一致的，以单价金额计算结果为准； </w:t>
      </w:r>
    </w:p>
    <w:p>
      <w:pPr>
        <w:widowControl/>
        <w:numPr>
          <w:ilvl w:val="0"/>
          <w:numId w:val="14"/>
        </w:numPr>
        <w:tabs>
          <w:tab w:val="left" w:pos="0"/>
        </w:tabs>
        <w:spacing w:line="500" w:lineRule="exact"/>
        <w:jc w:val="left"/>
        <w:rPr>
          <w:rFonts w:ascii="宋体" w:hAnsi="宋体" w:cs="宋体"/>
          <w:sz w:val="24"/>
          <w:szCs w:val="24"/>
        </w:rPr>
      </w:pPr>
      <w:r>
        <w:rPr>
          <w:rFonts w:hint="eastAsia" w:ascii="宋体" w:hAnsi="宋体" w:cs="宋体"/>
          <w:sz w:val="24"/>
          <w:szCs w:val="24"/>
        </w:rPr>
        <w:t>响应文件正本与副本不一致的，以正本为准；</w:t>
      </w:r>
    </w:p>
    <w:p>
      <w:pPr>
        <w:widowControl/>
        <w:numPr>
          <w:ilvl w:val="0"/>
          <w:numId w:val="14"/>
        </w:numPr>
        <w:tabs>
          <w:tab w:val="left" w:pos="0"/>
        </w:tabs>
        <w:spacing w:line="500" w:lineRule="exact"/>
        <w:jc w:val="left"/>
        <w:rPr>
          <w:rFonts w:ascii="宋体" w:hAnsi="宋体" w:cs="宋体"/>
          <w:sz w:val="24"/>
          <w:szCs w:val="24"/>
        </w:rPr>
      </w:pPr>
      <w:r>
        <w:rPr>
          <w:rFonts w:hint="eastAsia" w:ascii="宋体" w:hAnsi="宋体" w:cs="宋体"/>
          <w:sz w:val="24"/>
          <w:szCs w:val="24"/>
        </w:rPr>
        <w:t>磋商响应文件中单独密封递交的磋商一览表内容与磋商响应文件中明细表内容与正本不一致的，以单独密封递交的磋商一览表为准。</w:t>
      </w:r>
    </w:p>
    <w:p>
      <w:pPr>
        <w:spacing w:line="500" w:lineRule="exact"/>
        <w:ind w:firstLine="480" w:firstLineChars="200"/>
        <w:jc w:val="left"/>
        <w:rPr>
          <w:rFonts w:ascii="宋体" w:hAnsi="宋体" w:cs="宋体"/>
          <w:sz w:val="24"/>
          <w:szCs w:val="24"/>
        </w:rPr>
      </w:pPr>
      <w:r>
        <w:rPr>
          <w:rFonts w:hint="eastAsia" w:ascii="宋体" w:hAnsi="宋体" w:cs="宋体"/>
          <w:kern w:val="0"/>
          <w:sz w:val="24"/>
          <w:szCs w:val="24"/>
        </w:rPr>
        <w:t>同时出现两种以上不一致的，按照前款规定的顺序修正。修正后的报价按照</w:t>
      </w:r>
      <w:r>
        <w:rPr>
          <w:rFonts w:hint="eastAsia" w:ascii="宋体" w:hAnsi="宋体" w:cs="宋体"/>
          <w:sz w:val="24"/>
        </w:rPr>
        <w:t>《政府采购竞争性磋商采购方式管理暂行办法》</w:t>
      </w:r>
      <w:r>
        <w:rPr>
          <w:rFonts w:hint="eastAsia" w:ascii="宋体" w:hAnsi="宋体" w:cs="宋体"/>
          <w:kern w:val="0"/>
          <w:sz w:val="24"/>
          <w:szCs w:val="24"/>
        </w:rPr>
        <w:t>的规定经供应商确认后产生约束力，供应商不确认的，其响应无效。</w:t>
      </w:r>
    </w:p>
    <w:p>
      <w:pPr>
        <w:pStyle w:val="5"/>
        <w:numPr>
          <w:ilvl w:val="0"/>
          <w:numId w:val="13"/>
        </w:numPr>
        <w:rPr>
          <w:rFonts w:ascii="宋体" w:hAnsi="宋体" w:cs="宋体"/>
        </w:rPr>
      </w:pPr>
      <w:r>
        <w:rPr>
          <w:rFonts w:hint="eastAsia" w:ascii="宋体" w:hAnsi="宋体" w:cs="宋体"/>
        </w:rPr>
        <w:t>磋商小组</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2.1采购人将根据本次采购项目的特点，参照《中华人民共和国政府采购法》及</w:t>
      </w:r>
      <w:r>
        <w:rPr>
          <w:rFonts w:hint="eastAsia" w:ascii="宋体" w:hAnsi="宋体" w:cs="宋体"/>
          <w:sz w:val="24"/>
        </w:rPr>
        <w:t>《政府采购竞争性磋商采购方式管理暂行办法》</w:t>
      </w:r>
      <w:r>
        <w:rPr>
          <w:rFonts w:hint="eastAsia" w:ascii="宋体" w:hAnsi="宋体" w:cs="宋体"/>
          <w:kern w:val="0"/>
          <w:sz w:val="24"/>
        </w:rPr>
        <w:t>等有关规定组建磋商小组。</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2.2磋商小组由采购人代表和有关技术、经济等方面的专家组成，磋商小组产生方式符合国家和地方有关评审专家产生方式的规定。磋商小组负责评审活动。</w:t>
      </w:r>
    </w:p>
    <w:p>
      <w:pPr>
        <w:widowControl/>
        <w:spacing w:line="360" w:lineRule="auto"/>
        <w:ind w:firstLine="480" w:firstLineChars="200"/>
        <w:rPr>
          <w:rFonts w:ascii="宋体" w:hAnsi="宋体" w:cs="宋体"/>
          <w:b/>
          <w:sz w:val="24"/>
          <w:szCs w:val="24"/>
        </w:rPr>
      </w:pPr>
      <w:r>
        <w:rPr>
          <w:rFonts w:hint="eastAsia" w:ascii="宋体" w:hAnsi="宋体" w:cs="宋体"/>
          <w:kern w:val="0"/>
          <w:sz w:val="24"/>
        </w:rPr>
        <w:t>2.3磋商小组对各供应商的磋商响应文件进行审查、评估和比较，并推荐出成交候选人。</w:t>
      </w:r>
    </w:p>
    <w:p>
      <w:pPr>
        <w:pStyle w:val="5"/>
        <w:numPr>
          <w:ilvl w:val="0"/>
          <w:numId w:val="13"/>
        </w:numPr>
        <w:rPr>
          <w:rFonts w:ascii="宋体" w:hAnsi="宋体" w:cs="宋体"/>
        </w:rPr>
      </w:pPr>
      <w:bookmarkStart w:id="72" w:name="_Toc386129876"/>
      <w:bookmarkStart w:id="73" w:name="_Toc385958808"/>
      <w:bookmarkStart w:id="74" w:name="_Toc27940"/>
      <w:bookmarkStart w:id="75" w:name="_Toc28085"/>
      <w:r>
        <w:rPr>
          <w:rFonts w:hint="eastAsia" w:ascii="宋体" w:hAnsi="宋体" w:cs="宋体"/>
        </w:rPr>
        <w:t>磋商响应文件初审</w:t>
      </w:r>
      <w:bookmarkEnd w:id="72"/>
      <w:bookmarkEnd w:id="73"/>
      <w:bookmarkEnd w:id="74"/>
      <w:bookmarkEnd w:id="75"/>
    </w:p>
    <w:p>
      <w:pPr>
        <w:overflowPunct w:val="0"/>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3.1磋商响应文件的资格性审查</w:t>
      </w:r>
    </w:p>
    <w:p>
      <w:pPr>
        <w:overflowPunct w:val="0"/>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依据法律法规和竞争性磋商文件的规定，对磋商响应文件中的资格证明文件等进行审查，以确保供应商是否具备相应资格。</w:t>
      </w:r>
    </w:p>
    <w:p>
      <w:pPr>
        <w:overflowPunct w:val="0"/>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3.2磋商响应文件符合性审查</w:t>
      </w:r>
    </w:p>
    <w:p>
      <w:pPr>
        <w:overflowPunct w:val="0"/>
        <w:adjustRightInd w:val="0"/>
        <w:snapToGrid w:val="0"/>
        <w:spacing w:line="500" w:lineRule="exact"/>
        <w:ind w:firstLine="480" w:firstLineChars="200"/>
        <w:rPr>
          <w:rFonts w:ascii="宋体" w:hAnsi="宋体" w:cs="宋体"/>
          <w:kern w:val="0"/>
          <w:sz w:val="24"/>
          <w:szCs w:val="24"/>
        </w:rPr>
      </w:pPr>
      <w:r>
        <w:rPr>
          <w:rFonts w:hint="eastAsia" w:ascii="宋体" w:hAnsi="宋体" w:cs="宋体"/>
          <w:kern w:val="0"/>
          <w:sz w:val="24"/>
          <w:szCs w:val="24"/>
        </w:rPr>
        <w:t>依据</w:t>
      </w:r>
      <w:r>
        <w:rPr>
          <w:rFonts w:hint="eastAsia" w:ascii="宋体" w:hAnsi="宋体" w:cs="宋体"/>
          <w:kern w:val="0"/>
          <w:sz w:val="24"/>
        </w:rPr>
        <w:t>法律法规和竞争性磋商文件的规定，由磋商小组对符合资格要求的供应商的响应文件有效性、完整性和对磋商文件的响应程度进行符合性审查，以确定是否对磋商文件的实质性内容作出响应，下列情况有一项不满足者（但不限于）不得进入下一轮评审：</w:t>
      </w:r>
    </w:p>
    <w:tbl>
      <w:tblPr>
        <w:tblStyle w:val="27"/>
        <w:tblW w:w="8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419"/>
        <w:gridCol w:w="6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22" w:type="dxa"/>
            <w:vMerge w:val="restart"/>
            <w:vAlign w:val="center"/>
          </w:tcPr>
          <w:p>
            <w:pPr>
              <w:overflowPunct w:val="0"/>
              <w:adjustRightInd w:val="0"/>
              <w:snapToGrid w:val="0"/>
              <w:spacing w:line="500" w:lineRule="exact"/>
              <w:rPr>
                <w:rFonts w:ascii="宋体" w:hAnsi="宋体" w:cs="宋体"/>
                <w:kern w:val="0"/>
                <w:szCs w:val="21"/>
              </w:rPr>
            </w:pPr>
            <w:r>
              <w:rPr>
                <w:rFonts w:hint="eastAsia" w:ascii="宋体" w:hAnsi="宋体" w:cs="宋体"/>
                <w:kern w:val="0"/>
                <w:szCs w:val="21"/>
              </w:rPr>
              <w:t>符合性</w:t>
            </w:r>
          </w:p>
          <w:p>
            <w:pPr>
              <w:overflowPunct w:val="0"/>
              <w:adjustRightInd w:val="0"/>
              <w:snapToGrid w:val="0"/>
              <w:spacing w:line="500" w:lineRule="exact"/>
              <w:rPr>
                <w:rFonts w:ascii="宋体" w:hAnsi="宋体" w:cs="宋体"/>
                <w:kern w:val="0"/>
                <w:szCs w:val="21"/>
              </w:rPr>
            </w:pPr>
            <w:r>
              <w:rPr>
                <w:rFonts w:hint="eastAsia" w:ascii="宋体" w:hAnsi="宋体" w:cs="宋体"/>
                <w:kern w:val="0"/>
                <w:szCs w:val="21"/>
              </w:rPr>
              <w:t>审查</w:t>
            </w:r>
          </w:p>
        </w:tc>
        <w:tc>
          <w:tcPr>
            <w:tcW w:w="419" w:type="dxa"/>
          </w:tcPr>
          <w:p>
            <w:pPr>
              <w:overflowPunct w:val="0"/>
              <w:adjustRightInd w:val="0"/>
              <w:snapToGrid w:val="0"/>
              <w:spacing w:line="500" w:lineRule="exact"/>
              <w:rPr>
                <w:rFonts w:ascii="宋体" w:hAnsi="宋体" w:cs="宋体"/>
                <w:kern w:val="0"/>
                <w:szCs w:val="21"/>
              </w:rPr>
            </w:pPr>
            <w:r>
              <w:rPr>
                <w:rFonts w:hint="eastAsia" w:ascii="宋体" w:hAnsi="宋体" w:cs="宋体"/>
                <w:kern w:val="0"/>
                <w:szCs w:val="21"/>
              </w:rPr>
              <w:t>1</w:t>
            </w:r>
          </w:p>
        </w:tc>
        <w:tc>
          <w:tcPr>
            <w:tcW w:w="6838" w:type="dxa"/>
          </w:tcPr>
          <w:p>
            <w:pPr>
              <w:overflowPunct w:val="0"/>
              <w:adjustRightInd w:val="0"/>
              <w:snapToGrid w:val="0"/>
              <w:spacing w:line="500" w:lineRule="exact"/>
              <w:rPr>
                <w:rFonts w:ascii="宋体" w:hAnsi="宋体" w:cs="宋体"/>
                <w:kern w:val="0"/>
                <w:szCs w:val="21"/>
              </w:rPr>
            </w:pPr>
            <w:r>
              <w:rPr>
                <w:rFonts w:hint="eastAsia" w:ascii="宋体" w:hAnsi="宋体" w:cs="宋体"/>
                <w:kern w:val="0"/>
                <w:szCs w:val="21"/>
              </w:rPr>
              <w:t>响应报价是否超过预算或最高限价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22" w:type="dxa"/>
            <w:vMerge w:val="continue"/>
          </w:tcPr>
          <w:p>
            <w:pPr>
              <w:overflowPunct w:val="0"/>
              <w:adjustRightInd w:val="0"/>
              <w:snapToGrid w:val="0"/>
              <w:spacing w:line="500" w:lineRule="exact"/>
              <w:rPr>
                <w:rFonts w:ascii="宋体" w:hAnsi="宋体" w:cs="宋体"/>
                <w:kern w:val="0"/>
                <w:szCs w:val="21"/>
              </w:rPr>
            </w:pPr>
          </w:p>
        </w:tc>
        <w:tc>
          <w:tcPr>
            <w:tcW w:w="419" w:type="dxa"/>
          </w:tcPr>
          <w:p>
            <w:pPr>
              <w:overflowPunct w:val="0"/>
              <w:adjustRightInd w:val="0"/>
              <w:snapToGrid w:val="0"/>
              <w:spacing w:line="500" w:lineRule="exact"/>
              <w:rPr>
                <w:rFonts w:ascii="宋体" w:hAnsi="宋体" w:cs="宋体"/>
                <w:kern w:val="0"/>
                <w:szCs w:val="21"/>
              </w:rPr>
            </w:pPr>
            <w:r>
              <w:rPr>
                <w:rFonts w:hint="eastAsia" w:ascii="宋体" w:hAnsi="宋体" w:cs="宋体"/>
                <w:kern w:val="0"/>
                <w:szCs w:val="21"/>
              </w:rPr>
              <w:t>2</w:t>
            </w:r>
          </w:p>
        </w:tc>
        <w:tc>
          <w:tcPr>
            <w:tcW w:w="6838" w:type="dxa"/>
          </w:tcPr>
          <w:p>
            <w:pPr>
              <w:overflowPunct w:val="0"/>
              <w:adjustRightInd w:val="0"/>
              <w:snapToGrid w:val="0"/>
              <w:spacing w:line="500" w:lineRule="exact"/>
              <w:rPr>
                <w:rFonts w:ascii="宋体" w:hAnsi="宋体" w:cs="宋体"/>
                <w:kern w:val="0"/>
                <w:szCs w:val="21"/>
              </w:rPr>
            </w:pPr>
            <w:r>
              <w:rPr>
                <w:rFonts w:hint="eastAsia" w:ascii="宋体" w:hAnsi="宋体" w:cs="宋体"/>
                <w:kern w:val="0"/>
                <w:szCs w:val="21"/>
              </w:rPr>
              <w:t>服务期限是否满足竞争性磋商文件要求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22" w:type="dxa"/>
            <w:vMerge w:val="continue"/>
          </w:tcPr>
          <w:p>
            <w:pPr>
              <w:overflowPunct w:val="0"/>
              <w:adjustRightInd w:val="0"/>
              <w:snapToGrid w:val="0"/>
              <w:spacing w:line="500" w:lineRule="exact"/>
              <w:rPr>
                <w:rFonts w:ascii="宋体" w:hAnsi="宋体" w:cs="宋体"/>
                <w:kern w:val="0"/>
                <w:szCs w:val="21"/>
              </w:rPr>
            </w:pPr>
          </w:p>
        </w:tc>
        <w:tc>
          <w:tcPr>
            <w:tcW w:w="419" w:type="dxa"/>
          </w:tcPr>
          <w:p>
            <w:pPr>
              <w:overflowPunct w:val="0"/>
              <w:adjustRightInd w:val="0"/>
              <w:snapToGrid w:val="0"/>
              <w:spacing w:line="500" w:lineRule="exact"/>
              <w:rPr>
                <w:rFonts w:ascii="宋体" w:hAnsi="宋体" w:cs="宋体"/>
                <w:kern w:val="0"/>
                <w:szCs w:val="21"/>
              </w:rPr>
            </w:pPr>
            <w:r>
              <w:rPr>
                <w:rFonts w:hint="eastAsia" w:ascii="宋体" w:hAnsi="宋体" w:cs="宋体"/>
                <w:kern w:val="0"/>
                <w:szCs w:val="21"/>
              </w:rPr>
              <w:t>3</w:t>
            </w:r>
          </w:p>
        </w:tc>
        <w:tc>
          <w:tcPr>
            <w:tcW w:w="6838" w:type="dxa"/>
          </w:tcPr>
          <w:p>
            <w:pPr>
              <w:overflowPunct w:val="0"/>
              <w:adjustRightInd w:val="0"/>
              <w:snapToGrid w:val="0"/>
              <w:spacing w:line="500" w:lineRule="exact"/>
              <w:rPr>
                <w:rFonts w:ascii="宋体" w:hAnsi="宋体" w:cs="宋体"/>
                <w:kern w:val="0"/>
                <w:szCs w:val="21"/>
              </w:rPr>
            </w:pPr>
            <w:r>
              <w:rPr>
                <w:rFonts w:hint="eastAsia" w:ascii="宋体" w:hAnsi="宋体" w:cs="宋体"/>
                <w:kern w:val="0"/>
                <w:szCs w:val="21"/>
              </w:rPr>
              <w:t>响应文件签字、盖章、装订是否满足竞争性磋商文件要求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22" w:type="dxa"/>
            <w:vMerge w:val="continue"/>
          </w:tcPr>
          <w:p>
            <w:pPr>
              <w:overflowPunct w:val="0"/>
              <w:adjustRightInd w:val="0"/>
              <w:snapToGrid w:val="0"/>
              <w:spacing w:line="500" w:lineRule="exact"/>
              <w:rPr>
                <w:rFonts w:ascii="宋体" w:hAnsi="宋体" w:cs="宋体"/>
                <w:kern w:val="0"/>
                <w:szCs w:val="21"/>
              </w:rPr>
            </w:pPr>
          </w:p>
        </w:tc>
        <w:tc>
          <w:tcPr>
            <w:tcW w:w="419" w:type="dxa"/>
          </w:tcPr>
          <w:p>
            <w:pPr>
              <w:overflowPunct w:val="0"/>
              <w:adjustRightInd w:val="0"/>
              <w:snapToGrid w:val="0"/>
              <w:spacing w:line="500" w:lineRule="exact"/>
              <w:rPr>
                <w:rFonts w:ascii="宋体" w:hAnsi="宋体" w:cs="宋体"/>
                <w:kern w:val="0"/>
                <w:szCs w:val="21"/>
              </w:rPr>
            </w:pPr>
            <w:r>
              <w:rPr>
                <w:rFonts w:hint="eastAsia" w:ascii="宋体" w:hAnsi="宋体" w:cs="宋体"/>
                <w:kern w:val="0"/>
                <w:szCs w:val="21"/>
              </w:rPr>
              <w:t>4</w:t>
            </w:r>
          </w:p>
        </w:tc>
        <w:tc>
          <w:tcPr>
            <w:tcW w:w="6838" w:type="dxa"/>
          </w:tcPr>
          <w:p>
            <w:pPr>
              <w:overflowPunct w:val="0"/>
              <w:adjustRightInd w:val="0"/>
              <w:snapToGrid w:val="0"/>
              <w:spacing w:line="500" w:lineRule="exact"/>
              <w:rPr>
                <w:rFonts w:ascii="宋体" w:hAnsi="宋体" w:cs="宋体"/>
                <w:kern w:val="0"/>
                <w:szCs w:val="21"/>
              </w:rPr>
            </w:pPr>
            <w:r>
              <w:rPr>
                <w:rFonts w:hint="eastAsia" w:ascii="宋体" w:hAnsi="宋体" w:cs="宋体"/>
                <w:kern w:val="0"/>
                <w:szCs w:val="21"/>
              </w:rPr>
              <w:t>磋商有效期是否满足竞争性磋商文件要求</w:t>
            </w:r>
          </w:p>
        </w:tc>
      </w:tr>
    </w:tbl>
    <w:p>
      <w:pPr>
        <w:overflowPunct w:val="0"/>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3.3经过对供应商及磋商响应文件审查，出现下列情况者（但不限于），视为未响应磋商文件实质性条款，其响应文件按无效处理。</w:t>
      </w:r>
    </w:p>
    <w:p>
      <w:pPr>
        <w:numPr>
          <w:ilvl w:val="0"/>
          <w:numId w:val="15"/>
        </w:numPr>
        <w:spacing w:line="360" w:lineRule="auto"/>
        <w:ind w:firstLine="480" w:firstLineChars="200"/>
        <w:rPr>
          <w:rFonts w:ascii="宋体" w:hAnsi="宋体" w:cs="宋体"/>
          <w:sz w:val="24"/>
        </w:rPr>
      </w:pPr>
      <w:r>
        <w:rPr>
          <w:rFonts w:hint="eastAsia" w:ascii="宋体" w:hAnsi="宋体" w:cs="宋体"/>
          <w:sz w:val="24"/>
        </w:rPr>
        <w:t>供应商未经过正常渠道购买竞争性磋商文件，或供应商名称与购买竞争性磋商文件时登记的供应商名称不符的；</w:t>
      </w:r>
    </w:p>
    <w:p>
      <w:pPr>
        <w:numPr>
          <w:ilvl w:val="0"/>
          <w:numId w:val="15"/>
        </w:numPr>
        <w:spacing w:line="360" w:lineRule="auto"/>
        <w:ind w:firstLine="480" w:firstLineChars="200"/>
        <w:rPr>
          <w:rFonts w:ascii="宋体" w:hAnsi="宋体" w:cs="宋体"/>
          <w:sz w:val="24"/>
        </w:rPr>
      </w:pPr>
      <w:r>
        <w:rPr>
          <w:rFonts w:hint="eastAsia" w:ascii="宋体" w:hAnsi="宋体" w:cs="宋体"/>
          <w:sz w:val="24"/>
        </w:rPr>
        <w:t>供应商针对同一项目递交两份或多份内容不同的磋商响应文件，未书面声明哪一份是有效的或出现选择性报价的；</w:t>
      </w:r>
    </w:p>
    <w:p>
      <w:pPr>
        <w:numPr>
          <w:ilvl w:val="0"/>
          <w:numId w:val="15"/>
        </w:numPr>
        <w:spacing w:line="360" w:lineRule="auto"/>
        <w:ind w:firstLine="480" w:firstLineChars="200"/>
        <w:rPr>
          <w:rFonts w:ascii="宋体" w:hAnsi="宋体" w:cs="宋体"/>
          <w:sz w:val="24"/>
        </w:rPr>
      </w:pPr>
      <w:r>
        <w:rPr>
          <w:rFonts w:hint="eastAsia" w:ascii="宋体" w:hAnsi="宋体" w:cs="宋体"/>
          <w:sz w:val="24"/>
        </w:rPr>
        <w:t>供应商未按竞争性磋商文件要求提供产品的技术参数及产品供货渠道不明确的；</w:t>
      </w:r>
    </w:p>
    <w:p>
      <w:pPr>
        <w:numPr>
          <w:ilvl w:val="0"/>
          <w:numId w:val="15"/>
        </w:numPr>
        <w:spacing w:line="360" w:lineRule="auto"/>
        <w:ind w:firstLine="480" w:firstLineChars="200"/>
        <w:rPr>
          <w:rFonts w:ascii="宋体" w:hAnsi="宋体" w:cs="宋体"/>
          <w:sz w:val="24"/>
        </w:rPr>
      </w:pPr>
      <w:r>
        <w:rPr>
          <w:rFonts w:hint="eastAsia" w:ascii="宋体" w:hAnsi="宋体" w:cs="宋体"/>
          <w:sz w:val="24"/>
        </w:rPr>
        <w:t>响应报价出现漏项或货物数量与要求不符的；</w:t>
      </w:r>
    </w:p>
    <w:p>
      <w:pPr>
        <w:numPr>
          <w:ilvl w:val="0"/>
          <w:numId w:val="15"/>
        </w:numPr>
        <w:spacing w:line="360" w:lineRule="auto"/>
        <w:ind w:firstLine="480" w:firstLineChars="200"/>
        <w:rPr>
          <w:rFonts w:ascii="宋体" w:hAnsi="宋体" w:cs="宋体"/>
          <w:sz w:val="24"/>
        </w:rPr>
      </w:pPr>
      <w:r>
        <w:rPr>
          <w:rFonts w:hint="eastAsia" w:ascii="宋体" w:hAnsi="宋体" w:cs="宋体"/>
          <w:sz w:val="24"/>
        </w:rPr>
        <w:t>经磋商小组一致认定响应产品的技术参数、性能指标与竞争性磋商文件要求出现重大负偏差的；或者提供虚假证明（包括第三方的虚假证明），除按无效文件处理外，还将按照政府采购法的有关规定进行处罚；</w:t>
      </w:r>
    </w:p>
    <w:p>
      <w:pPr>
        <w:numPr>
          <w:ilvl w:val="0"/>
          <w:numId w:val="15"/>
        </w:numPr>
        <w:spacing w:line="360" w:lineRule="auto"/>
        <w:ind w:firstLine="480" w:firstLineChars="200"/>
        <w:rPr>
          <w:rFonts w:ascii="宋体" w:hAnsi="宋体" w:cs="宋体"/>
          <w:kern w:val="0"/>
          <w:sz w:val="24"/>
        </w:rPr>
      </w:pPr>
      <w:r>
        <w:rPr>
          <w:rFonts w:hint="eastAsia" w:ascii="宋体" w:hAnsi="宋体" w:cs="宋体"/>
          <w:sz w:val="24"/>
        </w:rPr>
        <w:t>如澄清、补正、说明的内容与磋商响应文件内容有重大相悖或矛盾，将被认定为无效磋商。</w:t>
      </w:r>
    </w:p>
    <w:p>
      <w:pPr>
        <w:pStyle w:val="5"/>
        <w:numPr>
          <w:ilvl w:val="0"/>
          <w:numId w:val="13"/>
        </w:numPr>
        <w:rPr>
          <w:rFonts w:ascii="宋体" w:hAnsi="宋体" w:cs="宋体"/>
        </w:rPr>
      </w:pPr>
      <w:bookmarkStart w:id="76" w:name="_Toc17705"/>
      <w:r>
        <w:rPr>
          <w:rFonts w:hint="eastAsia" w:ascii="宋体" w:hAnsi="宋体" w:cs="宋体"/>
        </w:rPr>
        <w:t>磋商响应文件澄清</w:t>
      </w:r>
      <w:bookmarkEnd w:id="76"/>
    </w:p>
    <w:p>
      <w:pPr>
        <w:overflowPunct w:val="0"/>
        <w:adjustRightInd w:val="0"/>
        <w:snapToGrid w:val="0"/>
        <w:spacing w:line="360" w:lineRule="auto"/>
        <w:ind w:firstLine="480" w:firstLineChars="200"/>
        <w:rPr>
          <w:rFonts w:ascii="宋体" w:hAnsi="宋体" w:cs="宋体"/>
          <w:sz w:val="24"/>
        </w:rPr>
      </w:pPr>
      <w:r>
        <w:rPr>
          <w:rFonts w:hint="eastAsia" w:ascii="宋体" w:hAnsi="宋体" w:cs="宋体"/>
          <w:sz w:val="24"/>
          <w:szCs w:val="24"/>
        </w:rPr>
        <w:t>4.1在评审期间,采购代理机构可根据磋商小组对其磋商响应文件有疑义不清楚的内容，要求供应商对其磋商响应文件进行澄清，有关澄清的要求和答复应以书面形式</w:t>
      </w:r>
      <w:r>
        <w:rPr>
          <w:rFonts w:hint="eastAsia" w:ascii="宋体" w:hAnsi="宋体" w:cs="宋体"/>
          <w:sz w:val="24"/>
        </w:rPr>
        <w:t>提交，</w:t>
      </w:r>
      <w:r>
        <w:rPr>
          <w:rFonts w:hint="eastAsia" w:ascii="宋体" w:hAnsi="宋体" w:cs="宋体"/>
          <w:sz w:val="24"/>
          <w:szCs w:val="24"/>
        </w:rPr>
        <w:t>如磋商小组未变动实质性采购需求，供应商</w:t>
      </w:r>
      <w:r>
        <w:rPr>
          <w:rFonts w:hint="eastAsia" w:ascii="宋体" w:hAnsi="宋体" w:cs="宋体"/>
          <w:sz w:val="24"/>
        </w:rPr>
        <w:t>不得对实质性内容进行变动。</w:t>
      </w:r>
    </w:p>
    <w:p>
      <w:pPr>
        <w:overflowPunct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4.2供应商应采用书面形式进行澄清或说明，但不得超出磋商响应文件的范围或改变磋商响应文件的实质性内容。</w:t>
      </w:r>
    </w:p>
    <w:p>
      <w:pPr>
        <w:pStyle w:val="5"/>
        <w:numPr>
          <w:ilvl w:val="0"/>
          <w:numId w:val="13"/>
        </w:numPr>
        <w:rPr>
          <w:rFonts w:ascii="宋体" w:hAnsi="宋体" w:cs="宋体"/>
        </w:rPr>
      </w:pPr>
      <w:r>
        <w:rPr>
          <w:rFonts w:hint="eastAsia" w:ascii="宋体" w:hAnsi="宋体" w:cs="宋体"/>
        </w:rPr>
        <w:t>评审</w:t>
      </w:r>
    </w:p>
    <w:p>
      <w:pPr>
        <w:spacing w:line="360" w:lineRule="auto"/>
        <w:ind w:firstLine="480" w:firstLineChars="200"/>
        <w:rPr>
          <w:rFonts w:ascii="宋体" w:hAnsi="宋体" w:cs="宋体"/>
          <w:sz w:val="24"/>
        </w:rPr>
      </w:pPr>
      <w:bookmarkStart w:id="77" w:name="_Toc12947"/>
      <w:r>
        <w:rPr>
          <w:rFonts w:hint="eastAsia" w:ascii="宋体" w:hAnsi="宋体" w:cs="宋体"/>
          <w:sz w:val="24"/>
        </w:rPr>
        <w:t xml:space="preserve">5.1磋商小组有权对在磋商、评审过程中出现的一切问题，根据《中华人民共和国政府采购法》和《政府采购竞争性磋商采购方式管理暂行办法》的条款，本着公开、公平、公正的原则进行处理。 </w:t>
      </w:r>
    </w:p>
    <w:p>
      <w:pPr>
        <w:spacing w:line="360" w:lineRule="auto"/>
        <w:ind w:firstLine="480" w:firstLineChars="200"/>
        <w:rPr>
          <w:rFonts w:ascii="宋体" w:hAnsi="宋体" w:cs="宋体"/>
          <w:sz w:val="24"/>
        </w:rPr>
      </w:pPr>
      <w:r>
        <w:rPr>
          <w:rFonts w:hint="eastAsia" w:ascii="宋体" w:hAnsi="宋体" w:cs="宋体"/>
          <w:sz w:val="24"/>
        </w:rPr>
        <w:t>5.2磋商流程</w:t>
      </w:r>
    </w:p>
    <w:p>
      <w:pPr>
        <w:numPr>
          <w:ilvl w:val="0"/>
          <w:numId w:val="16"/>
        </w:numPr>
        <w:spacing w:line="360" w:lineRule="auto"/>
        <w:rPr>
          <w:rFonts w:ascii="宋体" w:hAnsi="宋体" w:cs="宋体"/>
          <w:sz w:val="24"/>
        </w:rPr>
      </w:pPr>
      <w:r>
        <w:rPr>
          <w:rFonts w:hint="eastAsia" w:ascii="宋体" w:hAnsi="宋体" w:cs="宋体"/>
          <w:sz w:val="24"/>
        </w:rPr>
        <w:t>磋商小组先对供应商作资格性及符合性审查，只有通过资格性及符合性审查的供应商，才能进入第二阶段的磋商，否则被淘汰。</w:t>
      </w:r>
    </w:p>
    <w:p>
      <w:pPr>
        <w:numPr>
          <w:ilvl w:val="0"/>
          <w:numId w:val="16"/>
        </w:numPr>
        <w:spacing w:line="360" w:lineRule="auto"/>
        <w:rPr>
          <w:rFonts w:ascii="宋体" w:hAnsi="宋体" w:cs="宋体"/>
          <w:sz w:val="24"/>
        </w:rPr>
      </w:pPr>
      <w:r>
        <w:rPr>
          <w:rFonts w:hint="eastAsia" w:ascii="宋体" w:hAnsi="宋体" w:cs="宋体"/>
          <w:sz w:val="24"/>
        </w:rPr>
        <w:t>磋商小组所有成员集中与单一供应商分别进行磋商（谈判轮次为一轮），并给予所有参加磋商的供应商平等的磋商机会。在磋商过程中，磋商小组可以根据磋商文件和磋商情况实质性变动采购需求中的技术、服务要求以及合同草案条款，但不得变动磋商文件中的其他内容。实质性变动的内容，须经采购人代表确认。</w:t>
      </w:r>
    </w:p>
    <w:p>
      <w:pPr>
        <w:numPr>
          <w:ilvl w:val="0"/>
          <w:numId w:val="16"/>
        </w:numPr>
        <w:spacing w:line="360" w:lineRule="auto"/>
        <w:rPr>
          <w:rFonts w:ascii="宋体" w:hAnsi="宋体" w:cs="宋体"/>
          <w:sz w:val="24"/>
        </w:rPr>
      </w:pPr>
      <w:r>
        <w:rPr>
          <w:rFonts w:hint="eastAsia" w:ascii="宋体" w:hAnsi="宋体" w:cs="宋体"/>
          <w:kern w:val="0"/>
          <w:sz w:val="24"/>
          <w:szCs w:val="24"/>
        </w:rPr>
        <w:t>如磋商小组认为某个供应商最终报价明显不合理且低于其他通过资质及符合性审查供应商的最终报价，有可能影响服务质量或者不能诚信履约的，应当在评标现场要求供应商提供书面说明及相关证明材料。供应商未提供或提供的相关证明材料不能证明其报价合理性的，将视为无效投标。</w:t>
      </w:r>
    </w:p>
    <w:p>
      <w:pPr>
        <w:numPr>
          <w:ilvl w:val="0"/>
          <w:numId w:val="16"/>
        </w:numPr>
        <w:spacing w:line="360" w:lineRule="auto"/>
        <w:rPr>
          <w:rFonts w:ascii="宋体" w:hAnsi="宋体" w:cs="宋体"/>
          <w:sz w:val="24"/>
        </w:rPr>
      </w:pPr>
      <w:r>
        <w:rPr>
          <w:rFonts w:hint="eastAsia" w:ascii="宋体" w:hAnsi="宋体" w:cs="宋体"/>
          <w:sz w:val="24"/>
        </w:rPr>
        <w:t>对磋商文件作出的实质性变动是磋商文件的有效组成部分，磋商小组应当及时以书面形式同时通知所有参加磋商的供应商。</w:t>
      </w:r>
    </w:p>
    <w:p>
      <w:pPr>
        <w:numPr>
          <w:ilvl w:val="0"/>
          <w:numId w:val="16"/>
        </w:numPr>
        <w:spacing w:line="360" w:lineRule="auto"/>
        <w:rPr>
          <w:rFonts w:ascii="宋体" w:hAnsi="宋体" w:cs="宋体"/>
          <w:sz w:val="24"/>
          <w:shd w:val="clear" w:color="FFFFFF" w:fill="D9D9D9"/>
        </w:rPr>
      </w:pPr>
      <w:r>
        <w:rPr>
          <w:rFonts w:hint="eastAsia" w:ascii="宋体" w:hAnsi="宋体" w:cs="宋体"/>
          <w:sz w:val="24"/>
        </w:rPr>
        <w:t>磋商结束后，磋商小组要求参加磋商的各供应商在规定的时间内集中提交最终报价。</w:t>
      </w:r>
    </w:p>
    <w:p>
      <w:pPr>
        <w:widowControl/>
        <w:numPr>
          <w:ilvl w:val="0"/>
          <w:numId w:val="16"/>
        </w:numPr>
        <w:spacing w:line="360" w:lineRule="auto"/>
        <w:jc w:val="left"/>
        <w:rPr>
          <w:rFonts w:ascii="宋体" w:hAnsi="宋体" w:cs="宋体"/>
          <w:sz w:val="24"/>
        </w:rPr>
      </w:pPr>
      <w:r>
        <w:rPr>
          <w:rFonts w:hint="eastAsia" w:ascii="宋体" w:hAnsi="宋体" w:cs="宋体"/>
          <w:sz w:val="24"/>
          <w:szCs w:val="24"/>
        </w:rPr>
        <w:t>在确定最终采购需求和提交最后报价的供应商后，由磋商小组采用综合评分法对提交最后报价的供应商进行综合评分。</w:t>
      </w:r>
      <w:r>
        <w:rPr>
          <w:rFonts w:hint="eastAsia" w:ascii="宋体" w:hAnsi="宋体" w:cs="宋体"/>
          <w:sz w:val="24"/>
        </w:rPr>
        <w:t>磋商小组应按照第四部分评分标准规定的各项因素进行比较、自主打分、综合评审。磋商小组将评审得分汇总后，按评审总得分由高到低汇总排序，推荐1～3名成交候选人；</w:t>
      </w:r>
      <w:r>
        <w:rPr>
          <w:rFonts w:hint="eastAsia" w:ascii="宋体" w:hAnsi="宋体" w:cs="宋体"/>
          <w:sz w:val="24"/>
          <w:szCs w:val="24"/>
        </w:rPr>
        <w:t>评审得分相同的，按照最后报价由低到高的顺序推荐。评审得分且最后报价相同的，按照技术指标优劣顺序推荐。</w:t>
      </w:r>
    </w:p>
    <w:p>
      <w:pPr>
        <w:pStyle w:val="5"/>
        <w:numPr>
          <w:ilvl w:val="0"/>
          <w:numId w:val="13"/>
        </w:numPr>
        <w:rPr>
          <w:rFonts w:ascii="宋体" w:hAnsi="宋体" w:cs="宋体"/>
        </w:rPr>
      </w:pPr>
      <w:r>
        <w:rPr>
          <w:rFonts w:hint="eastAsia" w:ascii="宋体" w:hAnsi="宋体" w:cs="宋体"/>
        </w:rPr>
        <w:t>定标</w:t>
      </w:r>
      <w:bookmarkEnd w:id="77"/>
    </w:p>
    <w:p>
      <w:pPr>
        <w:spacing w:line="360" w:lineRule="auto"/>
        <w:ind w:left="420"/>
        <w:jc w:val="left"/>
        <w:rPr>
          <w:rFonts w:ascii="宋体" w:hAnsi="宋体" w:cs="宋体"/>
          <w:sz w:val="24"/>
        </w:rPr>
      </w:pPr>
      <w:r>
        <w:rPr>
          <w:rFonts w:hint="eastAsia" w:ascii="宋体" w:hAnsi="宋体" w:cs="宋体"/>
          <w:sz w:val="24"/>
        </w:rPr>
        <w:t>6.1代理机构在评审结束后1个工作日内将评审报告送达采购单位，采购单</w:t>
      </w:r>
    </w:p>
    <w:p>
      <w:pPr>
        <w:spacing w:line="360" w:lineRule="auto"/>
        <w:jc w:val="left"/>
        <w:rPr>
          <w:rFonts w:ascii="宋体" w:hAnsi="宋体" w:cs="宋体"/>
          <w:sz w:val="24"/>
        </w:rPr>
      </w:pPr>
      <w:r>
        <w:rPr>
          <w:rFonts w:hint="eastAsia" w:ascii="宋体" w:hAnsi="宋体" w:cs="宋体"/>
          <w:sz w:val="24"/>
        </w:rPr>
        <w:t>位在收到评审报告后4个工作日内，按照评审报告中推荐的成交候选人顺序确认第一成交候选人为成交单位，同时书面复函代理机构；</w:t>
      </w:r>
    </w:p>
    <w:p>
      <w:pPr>
        <w:spacing w:line="360" w:lineRule="auto"/>
        <w:ind w:firstLine="420" w:firstLineChars="175"/>
        <w:rPr>
          <w:rFonts w:ascii="宋体" w:hAnsi="宋体" w:cs="宋体"/>
          <w:sz w:val="24"/>
        </w:rPr>
      </w:pPr>
      <w:r>
        <w:rPr>
          <w:rFonts w:hint="eastAsia" w:ascii="宋体" w:hAnsi="宋体" w:cs="宋体"/>
          <w:sz w:val="24"/>
        </w:rPr>
        <w:t>6.2代理机构收到采购单位“定标复函”后1个工作日内，在财政部门指定的政府采购信息媒体上发布公告，并向成交供应商发出“成交通知书”。</w:t>
      </w:r>
    </w:p>
    <w:p>
      <w:pPr>
        <w:widowControl/>
        <w:numPr>
          <w:ilvl w:val="0"/>
          <w:numId w:val="5"/>
        </w:numPr>
        <w:spacing w:line="360" w:lineRule="auto"/>
        <w:ind w:firstLine="643" w:firstLineChars="200"/>
        <w:jc w:val="center"/>
        <w:outlineLvl w:val="1"/>
        <w:rPr>
          <w:rFonts w:ascii="宋体" w:hAnsi="宋体" w:cs="宋体"/>
          <w:b/>
          <w:bCs/>
          <w:kern w:val="0"/>
          <w:sz w:val="32"/>
          <w:szCs w:val="28"/>
        </w:rPr>
      </w:pPr>
      <w:bookmarkStart w:id="78" w:name="_Toc29822"/>
      <w:bookmarkStart w:id="79" w:name="_Toc794"/>
      <w:bookmarkStart w:id="80" w:name="_Toc25308"/>
      <w:bookmarkStart w:id="81" w:name="_Toc19972"/>
      <w:bookmarkStart w:id="82" w:name="_Toc740"/>
      <w:bookmarkStart w:id="83" w:name="_Toc2968"/>
      <w:r>
        <w:rPr>
          <w:rFonts w:hint="eastAsia" w:ascii="宋体" w:hAnsi="宋体" w:cs="宋体"/>
          <w:b/>
          <w:bCs/>
          <w:kern w:val="0"/>
          <w:sz w:val="32"/>
          <w:szCs w:val="28"/>
        </w:rPr>
        <w:t>签订合同</w:t>
      </w:r>
      <w:bookmarkEnd w:id="78"/>
      <w:bookmarkEnd w:id="79"/>
      <w:bookmarkEnd w:id="80"/>
      <w:bookmarkEnd w:id="81"/>
      <w:bookmarkEnd w:id="82"/>
      <w:bookmarkEnd w:id="83"/>
    </w:p>
    <w:p>
      <w:pPr>
        <w:spacing w:line="360" w:lineRule="auto"/>
        <w:ind w:firstLine="480" w:firstLineChars="200"/>
        <w:jc w:val="left"/>
        <w:rPr>
          <w:rFonts w:ascii="宋体" w:hAnsi="宋体" w:cs="宋体"/>
          <w:sz w:val="24"/>
        </w:rPr>
      </w:pPr>
      <w:r>
        <w:rPr>
          <w:rFonts w:hint="eastAsia" w:ascii="宋体" w:hAnsi="宋体" w:cs="宋体"/>
          <w:sz w:val="24"/>
        </w:rPr>
        <w:t>1、成交后，成交供应商与采购人洽谈合同条款，并签订供货合同，同时送</w:t>
      </w:r>
    </w:p>
    <w:p>
      <w:pPr>
        <w:spacing w:line="360" w:lineRule="auto"/>
        <w:jc w:val="left"/>
        <w:rPr>
          <w:rFonts w:ascii="宋体" w:hAnsi="宋体" w:cs="宋体"/>
          <w:sz w:val="24"/>
        </w:rPr>
      </w:pPr>
      <w:r>
        <w:rPr>
          <w:rFonts w:hint="eastAsia" w:ascii="宋体" w:hAnsi="宋体" w:cs="宋体"/>
          <w:sz w:val="24"/>
        </w:rPr>
        <w:t>代理机构归档，竞争性磋商文件及成交供应商的磋商响应文件均作为合同的组成部分。</w:t>
      </w:r>
    </w:p>
    <w:p>
      <w:pPr>
        <w:spacing w:line="360" w:lineRule="auto"/>
        <w:ind w:firstLine="480" w:firstLineChars="200"/>
        <w:jc w:val="left"/>
        <w:rPr>
          <w:rFonts w:ascii="宋体" w:hAnsi="宋体" w:cs="宋体"/>
          <w:sz w:val="24"/>
        </w:rPr>
      </w:pPr>
      <w:r>
        <w:rPr>
          <w:rFonts w:hint="eastAsia" w:ascii="宋体" w:hAnsi="宋体" w:cs="宋体"/>
          <w:sz w:val="24"/>
        </w:rPr>
        <w:t>2、根据需要，代理机构应协助采购人监督、协调和处理履约过程中出现的</w:t>
      </w:r>
    </w:p>
    <w:p>
      <w:pPr>
        <w:spacing w:line="360" w:lineRule="auto"/>
        <w:jc w:val="left"/>
        <w:rPr>
          <w:rFonts w:ascii="宋体" w:hAnsi="宋体" w:cs="宋体"/>
          <w:sz w:val="24"/>
        </w:rPr>
      </w:pPr>
      <w:r>
        <w:rPr>
          <w:rFonts w:hint="eastAsia" w:ascii="宋体" w:hAnsi="宋体" w:cs="宋体"/>
          <w:sz w:val="24"/>
        </w:rPr>
        <w:t>问题。</w:t>
      </w:r>
    </w:p>
    <w:p>
      <w:pPr>
        <w:spacing w:line="360" w:lineRule="auto"/>
        <w:ind w:firstLine="480" w:firstLineChars="200"/>
        <w:jc w:val="left"/>
        <w:rPr>
          <w:rFonts w:ascii="宋体" w:hAnsi="宋体" w:cs="宋体"/>
          <w:sz w:val="24"/>
        </w:rPr>
      </w:pPr>
      <w:r>
        <w:rPr>
          <w:rFonts w:hint="eastAsia" w:ascii="宋体" w:hAnsi="宋体" w:cs="宋体"/>
          <w:sz w:val="24"/>
        </w:rPr>
        <w:t>3、财政部门在合同履行期间以及履行期后，可以随时检查项目的执行情况，对采购标准、采购内容进行调查核实，并对发现的问题进行处理。</w:t>
      </w:r>
    </w:p>
    <w:p>
      <w:pPr>
        <w:widowControl/>
        <w:numPr>
          <w:ilvl w:val="0"/>
          <w:numId w:val="5"/>
        </w:numPr>
        <w:spacing w:line="360" w:lineRule="auto"/>
        <w:ind w:firstLine="643" w:firstLineChars="200"/>
        <w:jc w:val="center"/>
        <w:outlineLvl w:val="1"/>
        <w:rPr>
          <w:rFonts w:ascii="宋体" w:hAnsi="宋体" w:cs="宋体"/>
          <w:b/>
          <w:bCs/>
          <w:kern w:val="0"/>
          <w:sz w:val="32"/>
          <w:szCs w:val="28"/>
        </w:rPr>
      </w:pPr>
      <w:bookmarkStart w:id="84" w:name="_Toc6476"/>
      <w:bookmarkStart w:id="85" w:name="_Toc26132"/>
      <w:bookmarkStart w:id="86" w:name="_Toc17913"/>
      <w:bookmarkStart w:id="87" w:name="_Toc28110"/>
      <w:bookmarkStart w:id="88" w:name="_Toc28603"/>
      <w:bookmarkStart w:id="89" w:name="_Toc27489"/>
      <w:r>
        <w:rPr>
          <w:rFonts w:hint="eastAsia" w:ascii="宋体" w:hAnsi="宋体" w:cs="宋体"/>
          <w:b/>
          <w:bCs/>
          <w:kern w:val="0"/>
          <w:sz w:val="32"/>
          <w:szCs w:val="28"/>
        </w:rPr>
        <w:t>代理服务费</w:t>
      </w:r>
      <w:bookmarkEnd w:id="84"/>
      <w:bookmarkEnd w:id="85"/>
      <w:bookmarkEnd w:id="86"/>
      <w:bookmarkEnd w:id="87"/>
      <w:bookmarkEnd w:id="88"/>
      <w:bookmarkEnd w:id="89"/>
    </w:p>
    <w:p>
      <w:pPr>
        <w:spacing w:line="560" w:lineRule="exact"/>
        <w:ind w:firstLine="480" w:firstLineChars="200"/>
        <w:jc w:val="left"/>
        <w:rPr>
          <w:rFonts w:ascii="宋体" w:hAnsi="宋体" w:cs="宋体"/>
          <w:sz w:val="24"/>
          <w:szCs w:val="24"/>
        </w:rPr>
      </w:pPr>
      <w:bookmarkStart w:id="90" w:name="_Toc13048"/>
      <w:bookmarkStart w:id="91" w:name="_Toc11862"/>
      <w:bookmarkStart w:id="92" w:name="_Toc13674"/>
      <w:bookmarkStart w:id="93" w:name="_Toc14280"/>
      <w:r>
        <w:rPr>
          <w:rFonts w:hint="eastAsia" w:ascii="宋体" w:hAnsi="宋体" w:cs="宋体"/>
          <w:sz w:val="24"/>
          <w:szCs w:val="24"/>
        </w:rPr>
        <w:t>1、以本采购项目成交价为基数，参照（计价格[2002]1980号）文件规定的标准收费，由成交供应商在领取成交通知书时向招标代理机构交纳代理服务费。服务费不足6000元的按6000元收取。；</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2、投标人将招标代理服务费计入投标报价但不单独列明，中标单位在领取中标通知书前，须向采购代理机构一次性支付招标代理服务费；代理服务费以转账、电汇或现金等形式交纳。</w:t>
      </w:r>
    </w:p>
    <w:p>
      <w:pPr>
        <w:spacing w:line="560" w:lineRule="exact"/>
        <w:ind w:firstLine="480" w:firstLineChars="200"/>
        <w:jc w:val="left"/>
        <w:rPr>
          <w:rFonts w:ascii="宋体" w:hAnsi="宋体" w:cs="宋体"/>
          <w:sz w:val="24"/>
          <w:szCs w:val="24"/>
        </w:rPr>
      </w:pPr>
    </w:p>
    <w:p>
      <w:pPr>
        <w:widowControl/>
        <w:numPr>
          <w:ilvl w:val="0"/>
          <w:numId w:val="5"/>
        </w:numPr>
        <w:spacing w:line="360" w:lineRule="auto"/>
        <w:ind w:firstLine="643" w:firstLineChars="200"/>
        <w:jc w:val="center"/>
        <w:outlineLvl w:val="1"/>
        <w:rPr>
          <w:rFonts w:ascii="宋体" w:hAnsi="宋体" w:cs="宋体"/>
          <w:b/>
          <w:bCs/>
          <w:kern w:val="0"/>
          <w:sz w:val="32"/>
          <w:szCs w:val="28"/>
        </w:rPr>
      </w:pPr>
      <w:bookmarkStart w:id="94" w:name="_Toc31616"/>
      <w:bookmarkStart w:id="95" w:name="_Toc31050"/>
      <w:r>
        <w:rPr>
          <w:rFonts w:hint="eastAsia" w:ascii="宋体" w:hAnsi="宋体" w:cs="宋体"/>
          <w:b/>
          <w:bCs/>
          <w:kern w:val="0"/>
          <w:sz w:val="32"/>
          <w:szCs w:val="28"/>
        </w:rPr>
        <w:t>质疑和投诉</w:t>
      </w:r>
      <w:bookmarkEnd w:id="90"/>
      <w:bookmarkEnd w:id="91"/>
      <w:bookmarkEnd w:id="92"/>
      <w:bookmarkEnd w:id="93"/>
      <w:bookmarkEnd w:id="94"/>
      <w:bookmarkEnd w:id="95"/>
    </w:p>
    <w:p>
      <w:pPr>
        <w:spacing w:line="360" w:lineRule="auto"/>
        <w:ind w:firstLine="480" w:firstLineChars="200"/>
        <w:rPr>
          <w:rFonts w:ascii="宋体" w:hAnsi="宋体" w:cs="宋体"/>
          <w:sz w:val="24"/>
          <w:szCs w:val="24"/>
        </w:rPr>
      </w:pPr>
      <w:r>
        <w:rPr>
          <w:rFonts w:hint="eastAsia" w:ascii="宋体" w:hAnsi="宋体" w:cs="宋体"/>
          <w:sz w:val="24"/>
          <w:szCs w:val="24"/>
        </w:rPr>
        <w:t xml:space="preserve">质疑、投诉的接收和处理严格按照《中华人共和国政府采购法》、《政府采购质疑和投诉办法》财政部令第94号、《财政部关于加强政府采购供应商投诉受理审查工作的通知》等的相关规定办理。 </w:t>
      </w:r>
    </w:p>
    <w:p>
      <w:pPr>
        <w:spacing w:line="360" w:lineRule="auto"/>
        <w:ind w:firstLine="480" w:firstLineChars="200"/>
        <w:rPr>
          <w:rFonts w:ascii="宋体" w:hAnsi="宋体" w:cs="宋体"/>
          <w:sz w:val="24"/>
          <w:szCs w:val="24"/>
        </w:rPr>
      </w:pPr>
      <w:r>
        <w:rPr>
          <w:rFonts w:hint="eastAsia" w:ascii="宋体" w:hAnsi="宋体" w:cs="宋体"/>
          <w:sz w:val="24"/>
          <w:szCs w:val="24"/>
        </w:rPr>
        <w:t>8.1供应商认为磋商文件、采购过程和中标结果使自己的权益受到损害的，可以在知道或者应知其权益受到损害之日起七个工作日内，以书面原件形式向采购人或采购代理机构提出质疑，供应商应该在法定质疑期内一次性提出针对同一采购程序环节的质疑，逾期质疑无效。</w:t>
      </w:r>
    </w:p>
    <w:p>
      <w:pPr>
        <w:spacing w:line="360" w:lineRule="auto"/>
        <w:ind w:firstLine="480" w:firstLineChars="200"/>
        <w:rPr>
          <w:rFonts w:ascii="宋体" w:hAnsi="宋体" w:cs="宋体"/>
          <w:sz w:val="24"/>
          <w:szCs w:val="24"/>
        </w:rPr>
      </w:pPr>
      <w:r>
        <w:rPr>
          <w:rFonts w:hint="eastAsia" w:ascii="宋体" w:hAnsi="宋体" w:cs="宋体"/>
          <w:sz w:val="24"/>
          <w:szCs w:val="24"/>
        </w:rPr>
        <w:t>8.2 质疑文件应当包括下列主要内容：</w:t>
      </w:r>
    </w:p>
    <w:p>
      <w:pPr>
        <w:spacing w:line="360" w:lineRule="auto"/>
        <w:ind w:firstLine="480" w:firstLineChars="200"/>
        <w:rPr>
          <w:rFonts w:ascii="宋体" w:hAnsi="宋体" w:cs="宋体"/>
          <w:sz w:val="24"/>
          <w:szCs w:val="24"/>
        </w:rPr>
      </w:pPr>
      <w:r>
        <w:rPr>
          <w:rFonts w:hint="eastAsia" w:ascii="宋体" w:hAnsi="宋体" w:cs="宋体"/>
          <w:sz w:val="24"/>
          <w:szCs w:val="24"/>
        </w:rPr>
        <w:t>1）质疑供应商和相关供应商的名称、地址、联系人及联系电话等；</w:t>
      </w:r>
    </w:p>
    <w:p>
      <w:pPr>
        <w:spacing w:line="360" w:lineRule="auto"/>
        <w:ind w:firstLine="480" w:firstLineChars="200"/>
        <w:rPr>
          <w:rFonts w:ascii="宋体" w:hAnsi="宋体" w:cs="宋体"/>
          <w:sz w:val="24"/>
          <w:szCs w:val="24"/>
        </w:rPr>
      </w:pPr>
      <w:r>
        <w:rPr>
          <w:rFonts w:hint="eastAsia" w:ascii="宋体" w:hAnsi="宋体" w:cs="宋体"/>
          <w:sz w:val="24"/>
          <w:szCs w:val="24"/>
        </w:rPr>
        <w:t>2）质疑项目及编号、质疑事项；</w:t>
      </w:r>
    </w:p>
    <w:p>
      <w:pPr>
        <w:spacing w:line="360" w:lineRule="auto"/>
        <w:ind w:firstLine="480" w:firstLineChars="200"/>
        <w:rPr>
          <w:rFonts w:ascii="宋体" w:hAnsi="宋体" w:cs="宋体"/>
          <w:sz w:val="24"/>
          <w:szCs w:val="24"/>
        </w:rPr>
      </w:pPr>
      <w:r>
        <w:rPr>
          <w:rFonts w:hint="eastAsia" w:ascii="宋体" w:hAnsi="宋体" w:cs="宋体"/>
          <w:sz w:val="24"/>
          <w:szCs w:val="24"/>
        </w:rPr>
        <w:t>3）认为采购文件、采购过程、中标和成交结果使自己的合法权益受到损害的法律依据、事实依据、相关证明材料及证据来源；</w:t>
      </w:r>
    </w:p>
    <w:p>
      <w:pPr>
        <w:spacing w:line="360" w:lineRule="auto"/>
        <w:ind w:firstLine="480" w:firstLineChars="200"/>
        <w:rPr>
          <w:rFonts w:ascii="宋体" w:hAnsi="宋体" w:cs="宋体"/>
          <w:sz w:val="24"/>
          <w:szCs w:val="24"/>
        </w:rPr>
      </w:pPr>
      <w:r>
        <w:rPr>
          <w:rFonts w:hint="eastAsia" w:ascii="宋体" w:hAnsi="宋体" w:cs="宋体"/>
          <w:sz w:val="24"/>
          <w:szCs w:val="24"/>
        </w:rPr>
        <w:t>4）提出质疑的日期。</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8.3 质疑函应当署名。质疑供应商为自然人的，应当由本人签字；质疑供应商为法人或者其他组织的，应当由法定代表人或者主要负责人签字盖章并加盖公章。</w:t>
      </w:r>
    </w:p>
    <w:p>
      <w:pPr>
        <w:spacing w:line="360" w:lineRule="auto"/>
        <w:ind w:firstLine="482" w:firstLineChars="200"/>
        <w:rPr>
          <w:rFonts w:ascii="宋体" w:hAnsi="宋体" w:cs="宋体"/>
          <w:sz w:val="24"/>
          <w:szCs w:val="24"/>
        </w:rPr>
      </w:pPr>
      <w:r>
        <w:rPr>
          <w:rFonts w:hint="eastAsia" w:ascii="宋体" w:hAnsi="宋体" w:cs="宋体"/>
          <w:b/>
          <w:bCs/>
          <w:sz w:val="24"/>
          <w:szCs w:val="24"/>
        </w:rPr>
        <w:t>8.4 供应商质疑应当有明确的请求和必要的证明材料。</w:t>
      </w:r>
      <w:r>
        <w:rPr>
          <w:rFonts w:hint="eastAsia" w:ascii="宋体" w:hAnsi="宋体" w:cs="宋体"/>
          <w:sz w:val="24"/>
          <w:szCs w:val="24"/>
        </w:rPr>
        <w:t>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将依法处理。</w:t>
      </w:r>
    </w:p>
    <w:p>
      <w:pPr>
        <w:spacing w:line="360" w:lineRule="auto"/>
        <w:ind w:firstLine="482" w:firstLineChars="200"/>
        <w:rPr>
          <w:rFonts w:ascii="宋体" w:hAnsi="宋体" w:cs="宋体"/>
          <w:sz w:val="24"/>
          <w:szCs w:val="24"/>
        </w:rPr>
      </w:pPr>
      <w:r>
        <w:rPr>
          <w:rFonts w:hint="eastAsia" w:ascii="宋体" w:hAnsi="宋体" w:cs="宋体"/>
          <w:b/>
          <w:bCs/>
          <w:sz w:val="24"/>
          <w:szCs w:val="24"/>
        </w:rPr>
        <w:t>8.5质疑文件提交方式：由自然人本人或法定代表人或者主要负责人携带书面原件及身份证明原件到现场提交（自然人本人或法定代表人或者主要负责人不能到达现场的，可以委托他人到现场代交，但必须出具授权委托书原件，明确委托事宜。同时被委托人须携带身份证明原件），否则不予受理。</w:t>
      </w:r>
    </w:p>
    <w:p>
      <w:pPr>
        <w:spacing w:line="360" w:lineRule="auto"/>
        <w:ind w:firstLine="480" w:firstLineChars="200"/>
        <w:rPr>
          <w:rFonts w:ascii="宋体" w:hAnsi="宋体" w:cs="宋体"/>
          <w:sz w:val="24"/>
          <w:szCs w:val="24"/>
        </w:rPr>
      </w:pPr>
      <w:r>
        <w:rPr>
          <w:rFonts w:hint="eastAsia" w:ascii="宋体" w:hAnsi="宋体" w:cs="宋体"/>
          <w:sz w:val="24"/>
          <w:szCs w:val="24"/>
        </w:rPr>
        <w:t>8.6质疑供应商对采购人、采购代理机构的质疑答复不满意，或者采购人、采购代理机构未在规定期限内作出答复的，可以在答复期满后15个工作日内向采购人的同级政府采购监督管理部门提起投诉。</w:t>
      </w:r>
    </w:p>
    <w:p>
      <w:pPr>
        <w:spacing w:line="360" w:lineRule="auto"/>
        <w:ind w:firstLine="480" w:firstLineChars="200"/>
        <w:rPr>
          <w:rFonts w:ascii="宋体" w:hAnsi="宋体" w:cs="宋体"/>
          <w:sz w:val="24"/>
          <w:szCs w:val="24"/>
        </w:rPr>
      </w:pPr>
      <w:r>
        <w:rPr>
          <w:rFonts w:hint="eastAsia" w:ascii="宋体" w:hAnsi="宋体" w:cs="宋体"/>
          <w:sz w:val="24"/>
          <w:szCs w:val="24"/>
        </w:rPr>
        <w:t>8.7 质疑受理部门：陕西万泽招标有限公司。</w:t>
      </w:r>
    </w:p>
    <w:p>
      <w:pPr>
        <w:spacing w:line="360" w:lineRule="auto"/>
        <w:ind w:firstLine="480" w:firstLineChars="200"/>
        <w:rPr>
          <w:rFonts w:ascii="宋体" w:hAnsi="宋体" w:cs="宋体"/>
          <w:sz w:val="24"/>
          <w:szCs w:val="24"/>
        </w:rPr>
      </w:pPr>
      <w:r>
        <w:rPr>
          <w:rFonts w:hint="eastAsia" w:ascii="宋体" w:hAnsi="宋体" w:cs="宋体"/>
          <w:sz w:val="24"/>
          <w:szCs w:val="24"/>
        </w:rPr>
        <w:t>8.8 提交质疑文件地点：西安市西关正街英达大厦1507室。</w:t>
      </w:r>
    </w:p>
    <w:p>
      <w:pPr>
        <w:spacing w:line="360" w:lineRule="auto"/>
        <w:ind w:right="-319" w:rightChars="-152" w:firstLine="480" w:firstLineChars="200"/>
        <w:rPr>
          <w:rFonts w:ascii="宋体" w:hAnsi="宋体" w:cs="宋体"/>
          <w:sz w:val="24"/>
          <w:szCs w:val="24"/>
        </w:rPr>
      </w:pPr>
      <w:r>
        <w:rPr>
          <w:rFonts w:hint="eastAsia" w:ascii="宋体" w:hAnsi="宋体" w:cs="宋体"/>
          <w:sz w:val="24"/>
          <w:szCs w:val="24"/>
        </w:rPr>
        <w:t>8.9 本次采购活动中，采购代理机构对质疑回复等文件的送达方式为现场取件。</w:t>
      </w:r>
    </w:p>
    <w:p>
      <w:pPr>
        <w:spacing w:line="360" w:lineRule="auto"/>
        <w:ind w:firstLine="480" w:firstLineChars="200"/>
        <w:rPr>
          <w:rFonts w:ascii="宋体" w:hAnsi="宋体" w:cs="宋体"/>
          <w:sz w:val="24"/>
          <w:szCs w:val="24"/>
        </w:rPr>
      </w:pPr>
      <w:r>
        <w:rPr>
          <w:rFonts w:hint="eastAsia" w:ascii="宋体" w:hAnsi="宋体" w:cs="宋体"/>
          <w:sz w:val="24"/>
          <w:szCs w:val="24"/>
        </w:rPr>
        <w:t>8.10 质疑函应当使用中文。质疑函范本详见附件六。</w:t>
      </w:r>
    </w:p>
    <w:p>
      <w:pPr>
        <w:jc w:val="center"/>
        <w:outlineLvl w:val="1"/>
        <w:rPr>
          <w:rFonts w:ascii="宋体" w:hAnsi="宋体" w:cs="宋体"/>
          <w:sz w:val="36"/>
          <w:szCs w:val="36"/>
        </w:rPr>
      </w:pPr>
      <w:bookmarkStart w:id="96" w:name="_Toc3298"/>
      <w:r>
        <w:rPr>
          <w:rFonts w:ascii="宋体" w:hAnsi="宋体" w:cs="宋体"/>
          <w:b/>
          <w:bCs/>
          <w:sz w:val="36"/>
          <w:szCs w:val="36"/>
        </w:rPr>
        <w:br w:type="page"/>
      </w:r>
      <w:bookmarkStart w:id="97" w:name="_Toc25652"/>
      <w:bookmarkStart w:id="98" w:name="_Toc1320"/>
      <w:bookmarkStart w:id="99" w:name="_Toc28106"/>
      <w:bookmarkStart w:id="100" w:name="_Toc5746"/>
      <w:r>
        <w:rPr>
          <w:rFonts w:hint="eastAsia" w:ascii="宋体" w:hAnsi="宋体" w:cs="宋体"/>
          <w:b/>
          <w:bCs/>
          <w:sz w:val="36"/>
          <w:szCs w:val="36"/>
        </w:rPr>
        <w:t>九、其他</w:t>
      </w:r>
      <w:bookmarkEnd w:id="97"/>
      <w:bookmarkEnd w:id="98"/>
      <w:bookmarkEnd w:id="99"/>
      <w:bookmarkEnd w:id="100"/>
    </w:p>
    <w:p>
      <w:pPr>
        <w:rPr>
          <w:rFonts w:ascii="宋体" w:hAnsi="宋体" w:cs="宋体"/>
        </w:rPr>
      </w:pPr>
    </w:p>
    <w:p>
      <w:pPr>
        <w:spacing w:line="360" w:lineRule="auto"/>
        <w:ind w:firstLine="480" w:firstLineChars="200"/>
        <w:rPr>
          <w:rFonts w:ascii="宋体" w:hAnsi="宋体" w:cs="宋体"/>
          <w:sz w:val="24"/>
          <w:szCs w:val="24"/>
        </w:rPr>
      </w:pPr>
      <w:r>
        <w:rPr>
          <w:rFonts w:hint="eastAsia" w:ascii="宋体" w:hAnsi="宋体" w:cs="宋体"/>
          <w:sz w:val="24"/>
          <w:szCs w:val="24"/>
        </w:rPr>
        <w:t>响应文件递交截止时间后，提交响应文件的供应商不足3家或者通过资格审查或符合性审查的供应商不足3家的，根据《西安市财政局关于进一步规范市级预算单位变更政府采购方式审批管理的通知》</w:t>
      </w:r>
      <w:r>
        <w:rPr>
          <w:rFonts w:hint="eastAsia" w:ascii="宋体" w:hAnsi="宋体" w:cs="宋体"/>
          <w:kern w:val="0"/>
          <w:sz w:val="24"/>
          <w:szCs w:val="24"/>
        </w:rPr>
        <w:t>市财发〔2017〕186号</w:t>
      </w:r>
      <w:r>
        <w:rPr>
          <w:rFonts w:hint="eastAsia" w:ascii="宋体" w:hAnsi="宋体" w:cs="宋体"/>
          <w:sz w:val="24"/>
          <w:szCs w:val="24"/>
        </w:rPr>
        <w:t>、《西安市财政局关于进一步加强政府采购评审组织过程中变更采购方式管理的通知》（市财发〔2013〕333号）、《西安市财政局关于贯彻实施&lt;政府采购非招标采购方式管理办法&gt;的通知》（市财函〔2014〕120号）、《财政部关于印发政府采购竞争性磋商采购方式管理暂行办法的通知》（财库〔2014〕214号）及其补充通知（财库〔2015〕124号）执行由采购人自主选择以下其中一种方式：</w:t>
      </w:r>
    </w:p>
    <w:p>
      <w:pPr>
        <w:spacing w:line="360" w:lineRule="auto"/>
        <w:ind w:firstLine="480" w:firstLineChars="200"/>
        <w:rPr>
          <w:rFonts w:ascii="宋体" w:hAnsi="宋体" w:cs="宋体"/>
          <w:sz w:val="24"/>
          <w:szCs w:val="24"/>
        </w:rPr>
      </w:pPr>
      <w:r>
        <w:rPr>
          <w:rFonts w:hint="eastAsia" w:ascii="宋体" w:hAnsi="宋体" w:cs="宋体"/>
          <w:sz w:val="24"/>
          <w:szCs w:val="24"/>
        </w:rPr>
        <w:t>9.1按废标处理；</w:t>
      </w:r>
    </w:p>
    <w:p>
      <w:pPr>
        <w:spacing w:line="360" w:lineRule="auto"/>
        <w:ind w:firstLine="480" w:firstLineChars="200"/>
        <w:rPr>
          <w:rFonts w:ascii="宋体" w:hAnsi="宋体" w:cs="宋体"/>
          <w:sz w:val="24"/>
          <w:szCs w:val="24"/>
        </w:rPr>
      </w:pPr>
      <w:r>
        <w:rPr>
          <w:rFonts w:hint="eastAsia" w:ascii="宋体" w:hAnsi="宋体" w:cs="宋体"/>
          <w:sz w:val="24"/>
          <w:szCs w:val="24"/>
        </w:rPr>
        <w:t>9.2根据《西安市财政局关于进一步规范市级预算单位变更政府采购方式审批管理的通知》</w:t>
      </w:r>
      <w:r>
        <w:rPr>
          <w:rFonts w:hint="eastAsia" w:ascii="宋体" w:hAnsi="宋体" w:cs="宋体"/>
          <w:kern w:val="0"/>
          <w:sz w:val="24"/>
          <w:szCs w:val="24"/>
        </w:rPr>
        <w:t>市财发〔2017〕186号</w:t>
      </w:r>
      <w:r>
        <w:rPr>
          <w:rFonts w:hint="eastAsia" w:ascii="宋体" w:hAnsi="宋体" w:cs="宋体"/>
          <w:sz w:val="24"/>
          <w:szCs w:val="24"/>
        </w:rPr>
        <w:t>规定，经采购人报财政部门批准后现场改变采购方式，继续采购活动。</w:t>
      </w:r>
    </w:p>
    <w:p>
      <w:pPr>
        <w:spacing w:line="360" w:lineRule="auto"/>
        <w:ind w:firstLine="480" w:firstLineChars="200"/>
        <w:rPr>
          <w:rFonts w:ascii="宋体" w:hAnsi="宋体" w:cs="宋体"/>
          <w:sz w:val="24"/>
          <w:szCs w:val="24"/>
        </w:rPr>
      </w:pPr>
      <w:r>
        <w:rPr>
          <w:rFonts w:hint="eastAsia" w:ascii="宋体" w:hAnsi="宋体" w:cs="宋体"/>
          <w:sz w:val="24"/>
          <w:szCs w:val="24"/>
        </w:rPr>
        <w:t>9.2.1如果采用竞争性磋商方式继续进行采购，则按照以下程序进行：</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财政部关于印发政府采购竞争性磋商采购方式管理暂行办法的通知》（财库〔2014〕214号），本次评审采用多轮报价，综合评分的办法，即从质量和服务均能满足招标文件要求的供应商中，综合评分推荐成交候选人。  </w:t>
      </w:r>
    </w:p>
    <w:p>
      <w:pPr>
        <w:overflowPunct w:val="0"/>
        <w:adjustRightInd w:val="0"/>
        <w:snapToGrid w:val="0"/>
        <w:spacing w:line="500" w:lineRule="exact"/>
        <w:ind w:firstLine="480" w:firstLineChars="200"/>
        <w:rPr>
          <w:rFonts w:ascii="宋体" w:hAnsi="宋体" w:cs="宋体"/>
          <w:kern w:val="0"/>
          <w:sz w:val="24"/>
          <w:szCs w:val="24"/>
        </w:rPr>
      </w:pPr>
      <w:r>
        <w:rPr>
          <w:rFonts w:hint="eastAsia" w:ascii="宋体" w:hAnsi="宋体" w:cs="宋体"/>
          <w:kern w:val="0"/>
          <w:sz w:val="24"/>
          <w:szCs w:val="24"/>
        </w:rPr>
        <w:t xml:space="preserve"> 9.2.2如果采用竞争性谈判方式继续进行采购，则按照以下程序进行：</w:t>
      </w:r>
    </w:p>
    <w:p>
      <w:pPr>
        <w:spacing w:line="360" w:lineRule="auto"/>
        <w:ind w:firstLine="480" w:firstLineChars="200"/>
        <w:rPr>
          <w:rFonts w:hint="eastAsia" w:ascii="宋体" w:hAnsi="宋体" w:cs="宋体"/>
          <w:sz w:val="24"/>
          <w:szCs w:val="24"/>
        </w:rPr>
      </w:pPr>
      <w:r>
        <w:rPr>
          <w:rFonts w:hint="eastAsia" w:ascii="宋体" w:hAnsi="宋体" w:cs="宋体"/>
          <w:kern w:val="0"/>
          <w:sz w:val="24"/>
          <w:szCs w:val="24"/>
        </w:rPr>
        <w:t>竞争性谈判遵循《政府采购非招标采购方式管理办法》（中华人民共和国财政部令第74号），根据质量和服务均能够满足采购文件实质性响应要求且最后</w:t>
      </w:r>
      <w:r>
        <w:rPr>
          <w:rFonts w:hint="eastAsia" w:ascii="宋体" w:hAnsi="宋体" w:cs="宋体"/>
          <w:sz w:val="24"/>
          <w:szCs w:val="24"/>
        </w:rPr>
        <w:t>报价最低的原则确定成交候选人。</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9.2.3</w:t>
      </w:r>
      <w:r>
        <w:rPr>
          <w:rFonts w:hint="eastAsia" w:ascii="宋体" w:hAnsi="宋体" w:cs="宋体"/>
          <w:kern w:val="0"/>
          <w:sz w:val="24"/>
          <w:szCs w:val="24"/>
        </w:rPr>
        <w:t>如果采用单一来源方式继续进行采购，则按照以下程序进行：</w:t>
      </w:r>
    </w:p>
    <w:p>
      <w:pPr>
        <w:spacing w:line="360" w:lineRule="auto"/>
        <w:ind w:firstLine="480" w:firstLineChars="200"/>
        <w:rPr>
          <w:rFonts w:ascii="宋体" w:hAnsi="宋体" w:cs="宋体"/>
          <w:sz w:val="24"/>
          <w:szCs w:val="24"/>
        </w:rPr>
      </w:pPr>
      <w:r>
        <w:rPr>
          <w:rFonts w:hint="eastAsia" w:ascii="宋体" w:hAnsi="宋体" w:cs="宋体"/>
          <w:sz w:val="24"/>
          <w:szCs w:val="24"/>
        </w:rPr>
        <w:t>实施竞争性磋商的货物、服务类采购项目，如果招标过程中有效投标人只有1家，申请变更为单一来源采购方式的;</w:t>
      </w:r>
    </w:p>
    <w:p>
      <w:pPr>
        <w:overflowPunct w:val="0"/>
        <w:adjustRightInd w:val="0"/>
        <w:snapToGrid w:val="0"/>
        <w:spacing w:line="500" w:lineRule="exact"/>
        <w:ind w:firstLine="480" w:firstLineChars="200"/>
        <w:rPr>
          <w:rFonts w:ascii="宋体" w:hAnsi="宋体" w:cs="宋体"/>
          <w:kern w:val="0"/>
          <w:sz w:val="24"/>
          <w:szCs w:val="24"/>
        </w:rPr>
      </w:pPr>
      <w:r>
        <w:rPr>
          <w:rFonts w:hint="eastAsia" w:ascii="宋体" w:hAnsi="宋体" w:cs="宋体"/>
          <w:sz w:val="24"/>
          <w:szCs w:val="24"/>
        </w:rPr>
        <w:t>实施竞争性磋商的货物、服务、工程类采购项目，如果第一次开标有效投标人只有1家，必须废标，重新组织开标。重新开标时有效投标人仍只有1家，依据财政部门核批的变更申请表，申请变更为单一来源采购方式的。</w:t>
      </w:r>
    </w:p>
    <w:p>
      <w:pPr>
        <w:pStyle w:val="6"/>
        <w:rPr>
          <w:rFonts w:hint="default"/>
        </w:rPr>
        <w:sectPr>
          <w:footerReference r:id="rId10" w:type="default"/>
          <w:pgSz w:w="11906" w:h="16838"/>
          <w:pgMar w:top="1440" w:right="1803" w:bottom="1440" w:left="1803" w:header="851" w:footer="992" w:gutter="0"/>
          <w:cols w:space="720" w:num="1"/>
          <w:docGrid w:type="lines" w:linePitch="319" w:charSpace="0"/>
        </w:sectPr>
      </w:pPr>
    </w:p>
    <w:bookmarkEnd w:id="96"/>
    <w:p>
      <w:pPr>
        <w:pStyle w:val="3"/>
        <w:keepLines w:val="0"/>
        <w:ind w:firstLine="643" w:firstLineChars="200"/>
      </w:pPr>
      <w:bookmarkStart w:id="101" w:name="_Toc8030"/>
      <w:bookmarkStart w:id="102" w:name="_Toc19588"/>
      <w:bookmarkStart w:id="103" w:name="_Toc14512"/>
      <w:bookmarkStart w:id="104" w:name="_Toc10430"/>
      <w:bookmarkStart w:id="105" w:name="_Toc15935"/>
      <w:r>
        <w:rPr>
          <w:rFonts w:hint="eastAsia"/>
        </w:rPr>
        <w:t>第四部分 评审标准</w:t>
      </w:r>
      <w:bookmarkEnd w:id="101"/>
      <w:bookmarkEnd w:id="102"/>
      <w:bookmarkEnd w:id="103"/>
      <w:bookmarkEnd w:id="104"/>
      <w:bookmarkEnd w:id="105"/>
    </w:p>
    <w:p>
      <w:pPr>
        <w:spacing w:line="500" w:lineRule="exact"/>
        <w:ind w:firstLine="480" w:firstLineChars="200"/>
        <w:rPr>
          <w:rFonts w:ascii="宋体" w:hAnsi="宋体" w:cs="宋体"/>
          <w:sz w:val="24"/>
          <w:szCs w:val="24"/>
        </w:rPr>
      </w:pPr>
      <w:r>
        <w:rPr>
          <w:rFonts w:hint="eastAsia" w:ascii="宋体" w:hAnsi="宋体" w:cs="宋体"/>
          <w:sz w:val="24"/>
          <w:szCs w:val="24"/>
        </w:rPr>
        <w:t>本次评标采用综合评分法，综合评分的主要因素为价格、技术、业绩、服务等以及对竞争性磋商文件的响应程度。每一供应商的最终得分为所有评委评分的算数平均值。</w:t>
      </w:r>
    </w:p>
    <w:tbl>
      <w:tblPr>
        <w:tblStyle w:val="27"/>
        <w:tblpPr w:leftFromText="180" w:rightFromText="180" w:vertAnchor="text" w:horzAnchor="page" w:tblpX="1794" w:tblpY="503"/>
        <w:tblOverlap w:val="never"/>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1200"/>
        <w:gridCol w:w="6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060" w:type="dxa"/>
            <w:vAlign w:val="center"/>
          </w:tcPr>
          <w:p>
            <w:pPr>
              <w:jc w:val="center"/>
              <w:rPr>
                <w:rFonts w:hint="eastAsia" w:ascii="宋体" w:hAnsi="宋体" w:cs="宋体"/>
                <w:b/>
                <w:bCs/>
                <w:szCs w:val="21"/>
              </w:rPr>
            </w:pPr>
            <w:r>
              <w:rPr>
                <w:rFonts w:hint="eastAsia" w:ascii="宋体" w:hAnsi="宋体" w:cs="宋体"/>
                <w:b/>
                <w:bCs/>
                <w:szCs w:val="21"/>
              </w:rPr>
              <w:t>评审</w:t>
            </w:r>
          </w:p>
          <w:p>
            <w:pPr>
              <w:jc w:val="center"/>
              <w:rPr>
                <w:rFonts w:hint="eastAsia" w:ascii="宋体" w:hAnsi="宋体" w:cs="宋体"/>
                <w:b/>
                <w:bCs/>
                <w:szCs w:val="21"/>
              </w:rPr>
            </w:pPr>
            <w:r>
              <w:rPr>
                <w:rFonts w:hint="eastAsia" w:ascii="宋体" w:hAnsi="宋体" w:cs="宋体"/>
                <w:b/>
                <w:bCs/>
                <w:szCs w:val="21"/>
              </w:rPr>
              <w:t>因素</w:t>
            </w:r>
          </w:p>
        </w:tc>
        <w:tc>
          <w:tcPr>
            <w:tcW w:w="1200" w:type="dxa"/>
            <w:vAlign w:val="center"/>
          </w:tcPr>
          <w:p>
            <w:pPr>
              <w:jc w:val="center"/>
              <w:rPr>
                <w:rFonts w:hint="eastAsia" w:ascii="宋体" w:hAnsi="宋体" w:cs="宋体"/>
                <w:b/>
                <w:bCs/>
                <w:szCs w:val="21"/>
              </w:rPr>
            </w:pPr>
            <w:r>
              <w:rPr>
                <w:rFonts w:hint="eastAsia" w:ascii="宋体" w:hAnsi="宋体" w:cs="宋体"/>
                <w:b/>
                <w:bCs/>
                <w:szCs w:val="21"/>
              </w:rPr>
              <w:t>分值</w:t>
            </w:r>
          </w:p>
        </w:tc>
        <w:tc>
          <w:tcPr>
            <w:tcW w:w="6259" w:type="dxa"/>
            <w:vAlign w:val="center"/>
          </w:tcPr>
          <w:p>
            <w:pPr>
              <w:jc w:val="center"/>
              <w:rPr>
                <w:rFonts w:hint="eastAsia" w:ascii="宋体" w:hAnsi="宋体" w:cs="宋体"/>
                <w:b/>
                <w:bCs/>
                <w:szCs w:val="21"/>
              </w:rPr>
            </w:pPr>
            <w:r>
              <w:rPr>
                <w:rFonts w:hint="eastAsia" w:ascii="宋体" w:hAnsi="宋体" w:cs="宋体"/>
                <w:b/>
                <w:bCs/>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1060" w:type="dxa"/>
            <w:vAlign w:val="center"/>
          </w:tcPr>
          <w:p>
            <w:pPr>
              <w:jc w:val="center"/>
              <w:rPr>
                <w:rFonts w:hint="eastAsia" w:ascii="宋体" w:hAnsi="宋体" w:cs="宋体"/>
                <w:szCs w:val="21"/>
              </w:rPr>
            </w:pPr>
            <w:r>
              <w:rPr>
                <w:rFonts w:hint="eastAsia" w:ascii="宋体" w:hAnsi="宋体" w:cs="宋体"/>
                <w:szCs w:val="21"/>
              </w:rPr>
              <w:t>磋商</w:t>
            </w:r>
          </w:p>
          <w:p>
            <w:pPr>
              <w:jc w:val="center"/>
              <w:rPr>
                <w:rFonts w:hint="eastAsia" w:ascii="宋体" w:hAnsi="宋体" w:cs="宋体"/>
                <w:szCs w:val="21"/>
              </w:rPr>
            </w:pPr>
            <w:r>
              <w:rPr>
                <w:rFonts w:hint="eastAsia" w:ascii="宋体" w:hAnsi="宋体" w:cs="宋体"/>
                <w:szCs w:val="21"/>
              </w:rPr>
              <w:t>报价</w:t>
            </w:r>
          </w:p>
        </w:tc>
        <w:tc>
          <w:tcPr>
            <w:tcW w:w="1200" w:type="dxa"/>
            <w:vAlign w:val="center"/>
          </w:tcPr>
          <w:p>
            <w:pPr>
              <w:spacing w:line="360" w:lineRule="auto"/>
              <w:jc w:val="center"/>
              <w:rPr>
                <w:rFonts w:hint="eastAsia" w:ascii="宋体" w:hAnsi="宋体" w:cs="宋体"/>
                <w:szCs w:val="21"/>
              </w:rPr>
            </w:pPr>
            <w:r>
              <w:rPr>
                <w:rFonts w:hint="eastAsia" w:ascii="宋体" w:hAnsi="宋体" w:cs="宋体"/>
                <w:szCs w:val="21"/>
              </w:rPr>
              <w:t>20分</w:t>
            </w:r>
          </w:p>
        </w:tc>
        <w:tc>
          <w:tcPr>
            <w:tcW w:w="6259" w:type="dxa"/>
          </w:tcPr>
          <w:p>
            <w:pPr>
              <w:spacing w:line="360" w:lineRule="auto"/>
              <w:jc w:val="left"/>
              <w:rPr>
                <w:rFonts w:hint="eastAsia" w:ascii="宋体" w:hAnsi="宋体" w:cs="宋体"/>
                <w:szCs w:val="21"/>
              </w:rPr>
            </w:pPr>
            <w:r>
              <w:rPr>
                <w:rFonts w:hint="eastAsia" w:ascii="宋体" w:hAnsi="宋体" w:cs="宋体"/>
                <w:szCs w:val="21"/>
              </w:rPr>
              <w:t xml:space="preserve">价格满足磋商文件要求且磋商价格最低的磋商报价为磋商基准价，其价格分为满分。其他供应商的价格分统一按照下列公式计算： </w:t>
            </w:r>
          </w:p>
          <w:p>
            <w:pPr>
              <w:spacing w:line="360" w:lineRule="auto"/>
              <w:jc w:val="left"/>
              <w:rPr>
                <w:rFonts w:hint="eastAsia" w:ascii="宋体" w:hAnsi="宋体" w:cs="宋体"/>
                <w:szCs w:val="21"/>
              </w:rPr>
            </w:pPr>
            <w:r>
              <w:rPr>
                <w:rFonts w:hint="eastAsia" w:ascii="宋体" w:hAnsi="宋体" w:cs="宋体"/>
                <w:szCs w:val="21"/>
              </w:rPr>
              <w:t>磋商报价得分=(磋商基准价／磋商报价)×20</w:t>
            </w:r>
          </w:p>
          <w:p>
            <w:pPr>
              <w:spacing w:line="360" w:lineRule="auto"/>
              <w:rPr>
                <w:rFonts w:hint="eastAsia" w:ascii="宋体" w:hAnsi="宋体" w:cs="宋体"/>
                <w:szCs w:val="21"/>
              </w:rPr>
            </w:pPr>
            <w:r>
              <w:rPr>
                <w:rFonts w:hint="eastAsia" w:ascii="宋体" w:hAnsi="宋体" w:cs="宋体"/>
                <w:szCs w:val="21"/>
              </w:rPr>
              <w:t>计算分数时四舍五入取小数点后两位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0" w:type="dxa"/>
            <w:vMerge w:val="restart"/>
            <w:vAlign w:val="center"/>
          </w:tcPr>
          <w:p>
            <w:pPr>
              <w:jc w:val="center"/>
              <w:rPr>
                <w:rFonts w:hint="eastAsia" w:ascii="宋体" w:hAnsi="宋体" w:cs="宋体"/>
                <w:szCs w:val="21"/>
              </w:rPr>
            </w:pPr>
          </w:p>
          <w:p>
            <w:pPr>
              <w:jc w:val="center"/>
              <w:rPr>
                <w:rFonts w:hint="eastAsia" w:ascii="宋体" w:hAnsi="宋体" w:cs="宋体"/>
                <w:szCs w:val="21"/>
              </w:rPr>
            </w:pPr>
          </w:p>
          <w:p>
            <w:pPr>
              <w:jc w:val="center"/>
              <w:rPr>
                <w:rFonts w:hint="eastAsia" w:ascii="宋体" w:hAnsi="宋体" w:cs="宋体"/>
                <w:szCs w:val="21"/>
              </w:rPr>
            </w:pPr>
          </w:p>
          <w:p>
            <w:pPr>
              <w:jc w:val="center"/>
              <w:rPr>
                <w:rFonts w:hint="eastAsia" w:ascii="宋体" w:hAnsi="宋体" w:cs="宋体"/>
                <w:szCs w:val="21"/>
              </w:rPr>
            </w:pPr>
            <w:r>
              <w:rPr>
                <w:rFonts w:hint="eastAsia" w:ascii="宋体" w:hAnsi="宋体" w:cs="宋体"/>
                <w:szCs w:val="21"/>
              </w:rPr>
              <w:t>服务</w:t>
            </w:r>
          </w:p>
          <w:p>
            <w:pPr>
              <w:jc w:val="center"/>
              <w:rPr>
                <w:rFonts w:hint="eastAsia" w:ascii="宋体" w:hAnsi="宋体" w:cs="宋体"/>
                <w:szCs w:val="21"/>
              </w:rPr>
            </w:pPr>
            <w:r>
              <w:rPr>
                <w:rFonts w:hint="eastAsia" w:ascii="宋体" w:hAnsi="宋体" w:cs="宋体"/>
                <w:szCs w:val="21"/>
              </w:rPr>
              <w:t>方案</w:t>
            </w:r>
          </w:p>
          <w:p>
            <w:pPr>
              <w:jc w:val="center"/>
              <w:rPr>
                <w:rFonts w:hint="eastAsia" w:ascii="宋体" w:hAnsi="宋体" w:cs="宋体"/>
                <w:szCs w:val="21"/>
              </w:rPr>
            </w:pPr>
            <w:r>
              <w:rPr>
                <w:rFonts w:hint="eastAsia" w:ascii="宋体" w:hAnsi="宋体" w:cs="宋体"/>
                <w:szCs w:val="21"/>
              </w:rPr>
              <w:t>（40分）</w:t>
            </w:r>
          </w:p>
        </w:tc>
        <w:tc>
          <w:tcPr>
            <w:tcW w:w="1200" w:type="dxa"/>
            <w:vAlign w:val="center"/>
          </w:tcPr>
          <w:p>
            <w:pPr>
              <w:spacing w:line="360" w:lineRule="auto"/>
              <w:jc w:val="center"/>
              <w:rPr>
                <w:rFonts w:hint="eastAsia" w:ascii="宋体" w:hAnsi="宋体" w:cs="宋体"/>
                <w:szCs w:val="21"/>
              </w:rPr>
            </w:pPr>
            <w:r>
              <w:rPr>
                <w:rFonts w:hint="eastAsia" w:ascii="宋体" w:hAnsi="宋体" w:cs="宋体"/>
                <w:szCs w:val="21"/>
              </w:rPr>
              <w:t>需求</w:t>
            </w:r>
          </w:p>
          <w:p>
            <w:pPr>
              <w:spacing w:line="360" w:lineRule="auto"/>
              <w:jc w:val="center"/>
              <w:rPr>
                <w:rFonts w:hint="eastAsia" w:ascii="宋体" w:hAnsi="宋体" w:cs="宋体"/>
                <w:szCs w:val="21"/>
              </w:rPr>
            </w:pPr>
            <w:r>
              <w:rPr>
                <w:rFonts w:hint="eastAsia" w:ascii="宋体" w:hAnsi="宋体" w:cs="宋体"/>
                <w:szCs w:val="21"/>
              </w:rPr>
              <w:t>理解</w:t>
            </w:r>
          </w:p>
          <w:p>
            <w:pPr>
              <w:spacing w:line="360" w:lineRule="auto"/>
              <w:jc w:val="center"/>
              <w:rPr>
                <w:rFonts w:hint="eastAsia" w:ascii="宋体" w:hAnsi="宋体" w:cs="宋体"/>
                <w:szCs w:val="21"/>
              </w:rPr>
            </w:pPr>
            <w:r>
              <w:rPr>
                <w:rFonts w:hint="eastAsia" w:ascii="宋体" w:hAnsi="宋体" w:cs="宋体"/>
                <w:szCs w:val="21"/>
              </w:rPr>
              <w:t>（15分）</w:t>
            </w:r>
          </w:p>
        </w:tc>
        <w:tc>
          <w:tcPr>
            <w:tcW w:w="6259" w:type="dxa"/>
          </w:tcPr>
          <w:p>
            <w:pPr>
              <w:widowControl/>
              <w:spacing w:line="360" w:lineRule="auto"/>
              <w:jc w:val="left"/>
              <w:rPr>
                <w:rFonts w:hint="eastAsia" w:ascii="宋体" w:hAnsi="宋体" w:cs="宋体"/>
                <w:szCs w:val="21"/>
              </w:rPr>
            </w:pPr>
            <w:r>
              <w:rPr>
                <w:rFonts w:hint="eastAsia" w:ascii="宋体" w:hAnsi="宋体" w:cs="宋体"/>
                <w:szCs w:val="21"/>
              </w:rPr>
              <w:t>供应商对本项目的认识及对服务要求响应情况：能完全响应服务要求、正确理解项目背景、满足质量标准计10.1-15分；基本响应服务要求、理解项目背景、符合质量标准计5.1-10分；对本项目认识模糊、不能响应服务要求、不符合质量标准计1-5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0" w:type="dxa"/>
            <w:vMerge w:val="continue"/>
          </w:tcPr>
          <w:p>
            <w:pPr>
              <w:jc w:val="center"/>
              <w:rPr>
                <w:rFonts w:hint="eastAsia" w:ascii="宋体" w:hAnsi="宋体" w:cs="宋体"/>
                <w:szCs w:val="21"/>
              </w:rPr>
            </w:pPr>
          </w:p>
        </w:tc>
        <w:tc>
          <w:tcPr>
            <w:tcW w:w="1200" w:type="dxa"/>
            <w:vAlign w:val="center"/>
          </w:tcPr>
          <w:p>
            <w:pPr>
              <w:spacing w:line="360" w:lineRule="auto"/>
              <w:jc w:val="center"/>
              <w:rPr>
                <w:rFonts w:hint="eastAsia" w:ascii="宋体" w:hAnsi="宋体" w:cs="宋体"/>
                <w:szCs w:val="21"/>
              </w:rPr>
            </w:pPr>
            <w:r>
              <w:rPr>
                <w:rFonts w:hint="eastAsia" w:ascii="宋体" w:hAnsi="宋体" w:cs="宋体"/>
                <w:szCs w:val="21"/>
              </w:rPr>
              <w:t>应急方案（10分）</w:t>
            </w:r>
          </w:p>
        </w:tc>
        <w:tc>
          <w:tcPr>
            <w:tcW w:w="6259" w:type="dxa"/>
          </w:tcPr>
          <w:p>
            <w:pPr>
              <w:spacing w:line="360" w:lineRule="auto"/>
              <w:jc w:val="left"/>
              <w:rPr>
                <w:rFonts w:hint="eastAsia" w:ascii="宋体" w:hAnsi="宋体" w:cs="宋体"/>
                <w:szCs w:val="21"/>
              </w:rPr>
            </w:pPr>
            <w:r>
              <w:rPr>
                <w:rFonts w:hint="eastAsia" w:ascii="宋体" w:hAnsi="宋体" w:cs="宋体"/>
                <w:szCs w:val="21"/>
              </w:rPr>
              <w:t>根据供应商针对恶劣天气、突发事件（包括但不限于堵车、交通事故、中暑及车辆出现故障等特殊情况等相关事件）的应急方案及应急备用车辆进行综合评审。</w:t>
            </w:r>
          </w:p>
          <w:p>
            <w:pPr>
              <w:spacing w:line="360" w:lineRule="auto"/>
              <w:jc w:val="left"/>
              <w:rPr>
                <w:rFonts w:hint="eastAsia" w:ascii="宋体" w:hAnsi="宋体" w:cs="宋体"/>
                <w:szCs w:val="21"/>
              </w:rPr>
            </w:pPr>
            <w:r>
              <w:rPr>
                <w:rFonts w:hint="eastAsia" w:ascii="宋体" w:hAnsi="宋体" w:cs="宋体"/>
                <w:szCs w:val="21"/>
              </w:rPr>
              <w:t>应急方案完善、合理有效、完全满足采购需求计7.1-10分；</w:t>
            </w:r>
          </w:p>
          <w:p>
            <w:pPr>
              <w:spacing w:line="360" w:lineRule="auto"/>
              <w:jc w:val="left"/>
              <w:rPr>
                <w:rFonts w:hint="eastAsia" w:ascii="宋体" w:hAnsi="宋体" w:cs="宋体"/>
                <w:szCs w:val="21"/>
              </w:rPr>
            </w:pPr>
            <w:r>
              <w:rPr>
                <w:rFonts w:hint="eastAsia" w:ascii="宋体" w:hAnsi="宋体" w:cs="宋体"/>
                <w:szCs w:val="21"/>
              </w:rPr>
              <w:t>方案较完善、可操作性较强，基本保障项目实施计4.1-7分；</w:t>
            </w:r>
          </w:p>
          <w:p>
            <w:pPr>
              <w:spacing w:line="360" w:lineRule="auto"/>
              <w:jc w:val="left"/>
              <w:rPr>
                <w:rFonts w:hint="eastAsia" w:ascii="宋体" w:hAnsi="宋体" w:cs="宋体"/>
                <w:szCs w:val="21"/>
              </w:rPr>
            </w:pPr>
            <w:r>
              <w:rPr>
                <w:rFonts w:hint="eastAsia" w:ascii="宋体" w:hAnsi="宋体" w:cs="宋体"/>
                <w:szCs w:val="21"/>
              </w:rPr>
              <w:t>方案简单、内容空泛计1-4分；未提供不计分。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0" w:type="dxa"/>
            <w:vMerge w:val="continue"/>
          </w:tcPr>
          <w:p>
            <w:pPr>
              <w:jc w:val="center"/>
              <w:rPr>
                <w:rFonts w:hint="eastAsia" w:ascii="宋体" w:hAnsi="宋体" w:cs="宋体"/>
                <w:szCs w:val="21"/>
              </w:rPr>
            </w:pPr>
          </w:p>
        </w:tc>
        <w:tc>
          <w:tcPr>
            <w:tcW w:w="1200" w:type="dxa"/>
            <w:vAlign w:val="center"/>
          </w:tcPr>
          <w:p>
            <w:pPr>
              <w:spacing w:line="360" w:lineRule="auto"/>
              <w:jc w:val="center"/>
              <w:rPr>
                <w:rFonts w:hint="eastAsia" w:ascii="宋体" w:hAnsi="宋体" w:cs="宋体"/>
                <w:szCs w:val="21"/>
              </w:rPr>
            </w:pPr>
            <w:r>
              <w:rPr>
                <w:rFonts w:hint="eastAsia" w:ascii="宋体" w:hAnsi="宋体" w:cs="宋体"/>
                <w:szCs w:val="21"/>
              </w:rPr>
              <w:t>管理制度</w:t>
            </w:r>
          </w:p>
          <w:p>
            <w:pPr>
              <w:spacing w:line="360" w:lineRule="auto"/>
              <w:jc w:val="center"/>
              <w:rPr>
                <w:rFonts w:hint="eastAsia" w:ascii="宋体" w:hAnsi="宋体" w:cs="宋体"/>
                <w:szCs w:val="21"/>
              </w:rPr>
            </w:pPr>
            <w:r>
              <w:rPr>
                <w:rFonts w:hint="eastAsia" w:ascii="宋体" w:hAnsi="宋体" w:cs="宋体"/>
                <w:szCs w:val="21"/>
              </w:rPr>
              <w:t>（10分）</w:t>
            </w:r>
          </w:p>
        </w:tc>
        <w:tc>
          <w:tcPr>
            <w:tcW w:w="6259" w:type="dxa"/>
          </w:tcPr>
          <w:p>
            <w:pPr>
              <w:spacing w:line="360" w:lineRule="auto"/>
              <w:jc w:val="left"/>
              <w:rPr>
                <w:rFonts w:hint="eastAsia" w:ascii="宋体" w:hAnsi="宋体" w:cs="宋体"/>
                <w:szCs w:val="21"/>
              </w:rPr>
            </w:pPr>
            <w:r>
              <w:rPr>
                <w:rFonts w:hint="eastAsia" w:ascii="宋体" w:hAnsi="宋体" w:cs="宋体"/>
                <w:spacing w:val="-5"/>
                <w:szCs w:val="21"/>
              </w:rPr>
              <w:t>制定针对本项目的管理制度</w:t>
            </w:r>
            <w:r>
              <w:rPr>
                <w:rFonts w:hint="eastAsia" w:ascii="宋体" w:hAnsi="宋体" w:cs="宋体"/>
                <w:spacing w:val="-3"/>
                <w:szCs w:val="21"/>
              </w:rPr>
              <w:t>（包括但不限于安全配置、出车前的安全检查、人员管理、安全行车、车辆维护等），管理制度完善，可操作性强计</w:t>
            </w:r>
            <w:r>
              <w:rPr>
                <w:rFonts w:hint="eastAsia" w:ascii="宋体" w:hAnsi="宋体" w:cs="宋体"/>
                <w:szCs w:val="21"/>
              </w:rPr>
              <w:t>7.1-10</w:t>
            </w:r>
            <w:r>
              <w:rPr>
                <w:rFonts w:hint="eastAsia" w:ascii="宋体" w:hAnsi="宋体" w:cs="宋体"/>
                <w:spacing w:val="-10"/>
                <w:szCs w:val="21"/>
              </w:rPr>
              <w:t xml:space="preserve"> 分；管</w:t>
            </w:r>
            <w:r>
              <w:rPr>
                <w:rFonts w:hint="eastAsia" w:ascii="宋体" w:hAnsi="宋体" w:cs="宋体"/>
                <w:spacing w:val="-8"/>
                <w:szCs w:val="21"/>
              </w:rPr>
              <w:t>理制度基本完善，可操作性较强计</w:t>
            </w:r>
            <w:r>
              <w:rPr>
                <w:rFonts w:hint="eastAsia" w:ascii="宋体" w:hAnsi="宋体" w:cs="宋体"/>
                <w:szCs w:val="21"/>
              </w:rPr>
              <w:t>4.1-7</w:t>
            </w:r>
            <w:r>
              <w:rPr>
                <w:rFonts w:hint="eastAsia" w:ascii="宋体" w:hAnsi="宋体" w:cs="宋体"/>
                <w:spacing w:val="-12"/>
                <w:szCs w:val="21"/>
              </w:rPr>
              <w:t xml:space="preserve"> 分；管理制度较</w:t>
            </w:r>
            <w:r>
              <w:rPr>
                <w:rFonts w:hint="eastAsia" w:ascii="宋体" w:hAnsi="宋体" w:cs="宋体"/>
                <w:szCs w:val="21"/>
              </w:rPr>
              <w:t>差，内容空泛计1-4分；未提供不计分。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0" w:type="dxa"/>
            <w:vMerge w:val="continue"/>
          </w:tcPr>
          <w:p>
            <w:pPr>
              <w:jc w:val="center"/>
              <w:rPr>
                <w:rFonts w:hint="eastAsia" w:ascii="宋体" w:hAnsi="宋体" w:cs="宋体"/>
                <w:szCs w:val="21"/>
              </w:rPr>
            </w:pPr>
          </w:p>
        </w:tc>
        <w:tc>
          <w:tcPr>
            <w:tcW w:w="1200" w:type="dxa"/>
            <w:vAlign w:val="center"/>
          </w:tcPr>
          <w:p>
            <w:pPr>
              <w:spacing w:line="360" w:lineRule="auto"/>
              <w:jc w:val="center"/>
              <w:rPr>
                <w:rFonts w:hint="eastAsia" w:ascii="宋体" w:hAnsi="宋体" w:cs="宋体"/>
                <w:szCs w:val="21"/>
              </w:rPr>
            </w:pPr>
            <w:r>
              <w:rPr>
                <w:rFonts w:hint="eastAsia" w:ascii="宋体" w:hAnsi="宋体" w:cs="宋体"/>
                <w:szCs w:val="21"/>
              </w:rPr>
              <w:t>本地</w:t>
            </w:r>
          </w:p>
          <w:p>
            <w:pPr>
              <w:spacing w:line="360" w:lineRule="auto"/>
              <w:jc w:val="center"/>
              <w:rPr>
                <w:rFonts w:hint="eastAsia" w:ascii="宋体" w:hAnsi="宋体" w:cs="宋体"/>
                <w:szCs w:val="21"/>
              </w:rPr>
            </w:pPr>
            <w:r>
              <w:rPr>
                <w:rFonts w:hint="eastAsia" w:ascii="宋体" w:hAnsi="宋体" w:cs="宋体"/>
                <w:szCs w:val="21"/>
              </w:rPr>
              <w:t>化服务</w:t>
            </w:r>
          </w:p>
          <w:p>
            <w:pPr>
              <w:spacing w:line="360" w:lineRule="auto"/>
              <w:jc w:val="center"/>
              <w:rPr>
                <w:rFonts w:hint="eastAsia" w:ascii="宋体" w:hAnsi="宋体" w:cs="宋体"/>
                <w:szCs w:val="21"/>
                <w:highlight w:val="yellow"/>
              </w:rPr>
            </w:pPr>
            <w:r>
              <w:rPr>
                <w:rFonts w:hint="eastAsia" w:ascii="宋体" w:hAnsi="宋体" w:cs="宋体"/>
                <w:szCs w:val="21"/>
              </w:rPr>
              <w:t>（5分）</w:t>
            </w:r>
          </w:p>
        </w:tc>
        <w:tc>
          <w:tcPr>
            <w:tcW w:w="6259" w:type="dxa"/>
          </w:tcPr>
          <w:p>
            <w:pPr>
              <w:spacing w:line="360" w:lineRule="auto"/>
              <w:jc w:val="left"/>
              <w:rPr>
                <w:rFonts w:hint="eastAsia" w:ascii="宋体" w:hAnsi="宋体" w:cs="宋体"/>
                <w:szCs w:val="21"/>
                <w:highlight w:val="yellow"/>
              </w:rPr>
            </w:pPr>
            <w:r>
              <w:rPr>
                <w:rFonts w:hint="eastAsia" w:ascii="宋体" w:hAnsi="宋体" w:cs="宋体"/>
                <w:szCs w:val="21"/>
              </w:rPr>
              <w:t>根据供应商提供的本地化服务方案（包括但不限于在项目实施所在地有相应的技术支持及售后服务机构，能够提供有效的办公场所证明材料）进行综合评审，按其响应程度计1-5分；未提供不计分。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060" w:type="dxa"/>
            <w:vMerge w:val="restart"/>
            <w:vAlign w:val="center"/>
          </w:tcPr>
          <w:p>
            <w:pPr>
              <w:jc w:val="center"/>
              <w:rPr>
                <w:rFonts w:hint="eastAsia" w:ascii="宋体" w:hAnsi="宋体" w:cs="宋体"/>
                <w:szCs w:val="21"/>
              </w:rPr>
            </w:pPr>
            <w:r>
              <w:rPr>
                <w:rFonts w:hint="eastAsia" w:ascii="宋体" w:hAnsi="宋体" w:cs="宋体"/>
                <w:szCs w:val="21"/>
              </w:rPr>
              <w:t>车辆情况（20分）</w:t>
            </w:r>
          </w:p>
        </w:tc>
        <w:tc>
          <w:tcPr>
            <w:tcW w:w="1200" w:type="dxa"/>
            <w:vAlign w:val="center"/>
          </w:tcPr>
          <w:p>
            <w:pPr>
              <w:spacing w:line="360" w:lineRule="auto"/>
              <w:jc w:val="center"/>
              <w:rPr>
                <w:rFonts w:hint="eastAsia" w:ascii="宋体" w:hAnsi="宋体" w:cs="宋体"/>
                <w:szCs w:val="21"/>
              </w:rPr>
            </w:pPr>
            <w:r>
              <w:rPr>
                <w:rFonts w:hint="eastAsia" w:ascii="宋体" w:hAnsi="宋体" w:cs="宋体"/>
                <w:szCs w:val="21"/>
              </w:rPr>
              <w:t>车辆情况</w:t>
            </w:r>
          </w:p>
          <w:p>
            <w:pPr>
              <w:spacing w:line="360" w:lineRule="auto"/>
              <w:jc w:val="center"/>
              <w:rPr>
                <w:rFonts w:hint="eastAsia" w:ascii="宋体" w:hAnsi="宋体" w:cs="宋体"/>
                <w:szCs w:val="21"/>
              </w:rPr>
            </w:pPr>
            <w:r>
              <w:rPr>
                <w:rFonts w:hint="eastAsia" w:ascii="宋体" w:hAnsi="宋体" w:cs="宋体"/>
                <w:szCs w:val="21"/>
              </w:rPr>
              <w:t>（15分）</w:t>
            </w:r>
          </w:p>
        </w:tc>
        <w:tc>
          <w:tcPr>
            <w:tcW w:w="6259" w:type="dxa"/>
          </w:tcPr>
          <w:p>
            <w:pPr>
              <w:spacing w:line="360" w:lineRule="auto"/>
              <w:jc w:val="left"/>
              <w:rPr>
                <w:rFonts w:hint="eastAsia" w:ascii="宋体" w:hAnsi="宋体" w:cs="宋体"/>
                <w:szCs w:val="21"/>
              </w:rPr>
            </w:pPr>
            <w:r>
              <w:rPr>
                <w:rFonts w:hint="eastAsia" w:ascii="宋体" w:hAnsi="宋体" w:cs="宋体"/>
                <w:szCs w:val="21"/>
              </w:rPr>
              <w:t>根据供应商提供的车辆数量、车辆型号（提供车辆实物照片）、车况、使用年限、年审、手续、车内监控、GPS配置、车辆保险（至少包括交强险、车损险、第三者责任险、人员险）等车辆相关情况进行综合评审。</w:t>
            </w:r>
          </w:p>
          <w:p>
            <w:pPr>
              <w:spacing w:line="360" w:lineRule="auto"/>
              <w:jc w:val="left"/>
              <w:rPr>
                <w:rFonts w:hint="eastAsia" w:ascii="宋体" w:hAnsi="宋体" w:cs="宋体"/>
                <w:szCs w:val="21"/>
              </w:rPr>
            </w:pPr>
            <w:r>
              <w:rPr>
                <w:rFonts w:hint="eastAsia" w:ascii="宋体" w:hAnsi="宋体" w:cs="宋体"/>
                <w:szCs w:val="21"/>
              </w:rPr>
              <w:t>供应商提供的车辆信息及配置齐全、详细，车辆状况优良、配置齐全，计10.1-15分；</w:t>
            </w:r>
          </w:p>
          <w:p>
            <w:pPr>
              <w:spacing w:line="360" w:lineRule="auto"/>
              <w:jc w:val="left"/>
              <w:rPr>
                <w:rFonts w:hint="eastAsia" w:ascii="宋体" w:hAnsi="宋体" w:cs="宋体"/>
                <w:szCs w:val="21"/>
              </w:rPr>
            </w:pPr>
            <w:r>
              <w:rPr>
                <w:rFonts w:hint="eastAsia" w:ascii="宋体" w:hAnsi="宋体" w:cs="宋体"/>
                <w:szCs w:val="21"/>
              </w:rPr>
              <w:t>供应商提供的车辆信息及配置基本齐全，计5.1-10分；</w:t>
            </w:r>
          </w:p>
          <w:p>
            <w:pPr>
              <w:spacing w:line="360" w:lineRule="auto"/>
              <w:jc w:val="left"/>
              <w:rPr>
                <w:rFonts w:hint="eastAsia" w:ascii="宋体" w:hAnsi="宋体" w:cs="宋体"/>
                <w:szCs w:val="21"/>
              </w:rPr>
            </w:pPr>
            <w:r>
              <w:rPr>
                <w:rFonts w:hint="eastAsia" w:ascii="宋体" w:hAnsi="宋体" w:cs="宋体"/>
                <w:szCs w:val="21"/>
              </w:rPr>
              <w:t>供应商提供的车辆数量及配置不齐全，计1-5分；未提供不计分。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060" w:type="dxa"/>
            <w:vMerge w:val="continue"/>
            <w:vAlign w:val="center"/>
          </w:tcPr>
          <w:p>
            <w:pPr>
              <w:jc w:val="center"/>
              <w:rPr>
                <w:rFonts w:hint="eastAsia" w:ascii="宋体" w:hAnsi="宋体" w:cs="宋体"/>
                <w:szCs w:val="21"/>
              </w:rPr>
            </w:pPr>
          </w:p>
        </w:tc>
        <w:tc>
          <w:tcPr>
            <w:tcW w:w="1200" w:type="dxa"/>
            <w:vAlign w:val="center"/>
          </w:tcPr>
          <w:p>
            <w:pPr>
              <w:spacing w:line="360" w:lineRule="auto"/>
              <w:jc w:val="center"/>
              <w:rPr>
                <w:rFonts w:hint="eastAsia" w:ascii="宋体" w:hAnsi="宋体" w:cs="宋体"/>
                <w:szCs w:val="21"/>
              </w:rPr>
            </w:pPr>
            <w:r>
              <w:rPr>
                <w:rFonts w:hint="eastAsia" w:ascii="宋体" w:hAnsi="宋体" w:cs="宋体"/>
                <w:szCs w:val="21"/>
              </w:rPr>
              <w:t>应急设备（5分）</w:t>
            </w:r>
          </w:p>
        </w:tc>
        <w:tc>
          <w:tcPr>
            <w:tcW w:w="6259" w:type="dxa"/>
            <w:vAlign w:val="center"/>
          </w:tcPr>
          <w:p>
            <w:pPr>
              <w:pStyle w:val="92"/>
              <w:spacing w:line="360" w:lineRule="auto"/>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根据供应商提供医用急救设备及清单、防火设备（灭火器及警示性标志牌）、安全锤等设施设备，以及清洁、消毒措施进行综合评审。</w:t>
            </w:r>
          </w:p>
          <w:p>
            <w:pPr>
              <w:pStyle w:val="92"/>
              <w:spacing w:line="360" w:lineRule="auto"/>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应急设施设备齐全、可靠，清洁、消毒方案全面、科学合理、规范计4.1-5分；</w:t>
            </w:r>
          </w:p>
          <w:p>
            <w:pPr>
              <w:pStyle w:val="92"/>
              <w:spacing w:line="360" w:lineRule="auto"/>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应急设施设备较齐全、可靠，清洁、消毒方案较全面、科学合理、规范计2.1-4分；</w:t>
            </w:r>
          </w:p>
          <w:p>
            <w:pPr>
              <w:pStyle w:val="92"/>
              <w:spacing w:line="360" w:lineRule="auto"/>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应急设施设备有漏项不齐全，清洁、消毒方案不全面、不科学规范计1-2分；</w:t>
            </w:r>
          </w:p>
          <w:p>
            <w:pPr>
              <w:pStyle w:val="92"/>
              <w:spacing w:line="360" w:lineRule="auto"/>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060" w:type="dxa"/>
            <w:vMerge w:val="restart"/>
            <w:vAlign w:val="center"/>
          </w:tcPr>
          <w:p>
            <w:pPr>
              <w:jc w:val="center"/>
              <w:rPr>
                <w:rFonts w:hint="eastAsia" w:ascii="宋体" w:hAnsi="宋体" w:cs="宋体"/>
                <w:szCs w:val="21"/>
              </w:rPr>
            </w:pPr>
            <w:r>
              <w:rPr>
                <w:rFonts w:hint="eastAsia" w:ascii="宋体" w:hAnsi="宋体" w:cs="宋体"/>
                <w:szCs w:val="21"/>
              </w:rPr>
              <w:t>人员配备（15）</w:t>
            </w:r>
          </w:p>
        </w:tc>
        <w:tc>
          <w:tcPr>
            <w:tcW w:w="1200" w:type="dxa"/>
            <w:vAlign w:val="center"/>
          </w:tcPr>
          <w:p>
            <w:pPr>
              <w:spacing w:line="360" w:lineRule="auto"/>
              <w:jc w:val="center"/>
              <w:rPr>
                <w:rFonts w:hint="eastAsia" w:ascii="宋体" w:hAnsi="宋体" w:cs="宋体"/>
                <w:szCs w:val="21"/>
              </w:rPr>
            </w:pPr>
            <w:r>
              <w:rPr>
                <w:rFonts w:hint="eastAsia" w:ascii="宋体" w:hAnsi="宋体" w:cs="宋体"/>
                <w:szCs w:val="21"/>
              </w:rPr>
              <w:t>驾驶员</w:t>
            </w:r>
          </w:p>
          <w:p>
            <w:pPr>
              <w:spacing w:line="360" w:lineRule="auto"/>
              <w:jc w:val="center"/>
              <w:rPr>
                <w:rFonts w:hint="eastAsia" w:ascii="宋体" w:hAnsi="宋体" w:cs="宋体"/>
                <w:szCs w:val="21"/>
              </w:rPr>
            </w:pPr>
            <w:r>
              <w:rPr>
                <w:rFonts w:hint="eastAsia" w:ascii="宋体" w:hAnsi="宋体" w:cs="宋体"/>
                <w:szCs w:val="21"/>
              </w:rPr>
              <w:t>配备</w:t>
            </w:r>
          </w:p>
          <w:p>
            <w:pPr>
              <w:spacing w:line="360" w:lineRule="auto"/>
              <w:jc w:val="center"/>
              <w:rPr>
                <w:rFonts w:hint="eastAsia" w:ascii="宋体" w:hAnsi="宋体" w:cs="宋体"/>
                <w:szCs w:val="21"/>
              </w:rPr>
            </w:pPr>
            <w:r>
              <w:rPr>
                <w:rFonts w:hint="eastAsia" w:ascii="宋体" w:hAnsi="宋体" w:cs="宋体"/>
                <w:szCs w:val="21"/>
              </w:rPr>
              <w:t>（10分）</w:t>
            </w:r>
          </w:p>
        </w:tc>
        <w:tc>
          <w:tcPr>
            <w:tcW w:w="6259" w:type="dxa"/>
            <w:vAlign w:val="center"/>
          </w:tcPr>
          <w:p>
            <w:pPr>
              <w:pStyle w:val="92"/>
              <w:spacing w:line="360" w:lineRule="auto"/>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根据供应商提供的拟派驾驶员配备情况（包括但不限于执业资格、社保缴纳情况、年龄、身体健康程度（持有驾驶员1年内体检证明）、遵纪守法情况、等），并提供相关证明材料。</w:t>
            </w:r>
          </w:p>
          <w:p>
            <w:pPr>
              <w:pStyle w:val="92"/>
              <w:spacing w:line="360" w:lineRule="auto"/>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人员配置齐全，履历贴合项目需求，经验丰富、证件齐全，完全满足采购人需求计7.1-10分；</w:t>
            </w:r>
          </w:p>
          <w:p>
            <w:pPr>
              <w:pStyle w:val="92"/>
              <w:spacing w:line="360" w:lineRule="auto"/>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人员配置齐全，证件齐全，驾驶技能基本满足采购人需求计4.1-7分；</w:t>
            </w:r>
          </w:p>
          <w:p>
            <w:pPr>
              <w:pStyle w:val="92"/>
              <w:spacing w:line="360" w:lineRule="auto"/>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人员配置齐全，证件欠缺，无法保障项目顺利实施计1-4分；未提供不计分。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060" w:type="dxa"/>
            <w:vMerge w:val="continue"/>
            <w:vAlign w:val="center"/>
          </w:tcPr>
          <w:p>
            <w:pPr>
              <w:jc w:val="center"/>
              <w:rPr>
                <w:rFonts w:hint="eastAsia" w:ascii="宋体" w:hAnsi="宋体" w:cs="宋体"/>
                <w:szCs w:val="21"/>
              </w:rPr>
            </w:pPr>
          </w:p>
        </w:tc>
        <w:tc>
          <w:tcPr>
            <w:tcW w:w="1200" w:type="dxa"/>
            <w:vAlign w:val="center"/>
          </w:tcPr>
          <w:p>
            <w:pPr>
              <w:spacing w:line="360" w:lineRule="auto"/>
              <w:jc w:val="center"/>
              <w:rPr>
                <w:rFonts w:hint="eastAsia" w:ascii="宋体" w:hAnsi="宋体" w:cs="宋体"/>
                <w:szCs w:val="21"/>
              </w:rPr>
            </w:pPr>
            <w:r>
              <w:rPr>
                <w:rFonts w:hint="eastAsia" w:ascii="宋体" w:hAnsi="宋体" w:cs="宋体"/>
                <w:szCs w:val="21"/>
              </w:rPr>
              <w:t>人员准点保证措施</w:t>
            </w:r>
          </w:p>
          <w:p>
            <w:pPr>
              <w:spacing w:line="360" w:lineRule="auto"/>
              <w:jc w:val="center"/>
              <w:rPr>
                <w:rFonts w:hint="eastAsia" w:ascii="宋体" w:hAnsi="宋体" w:cs="宋体"/>
                <w:szCs w:val="21"/>
              </w:rPr>
            </w:pPr>
            <w:r>
              <w:rPr>
                <w:rFonts w:hint="eastAsia" w:ascii="宋体" w:hAnsi="宋体" w:cs="宋体"/>
                <w:szCs w:val="21"/>
              </w:rPr>
              <w:t>（5分）</w:t>
            </w:r>
          </w:p>
        </w:tc>
        <w:tc>
          <w:tcPr>
            <w:tcW w:w="6259" w:type="dxa"/>
            <w:vAlign w:val="center"/>
          </w:tcPr>
          <w:p>
            <w:pPr>
              <w:pStyle w:val="92"/>
              <w:spacing w:line="240" w:lineRule="auto"/>
              <w:jc w:val="left"/>
              <w:rPr>
                <w:rFonts w:hint="eastAsia"/>
                <w:sz w:val="21"/>
                <w:szCs w:val="21"/>
              </w:rPr>
            </w:pPr>
            <w:r>
              <w:rPr>
                <w:rFonts w:hint="eastAsia"/>
                <w:sz w:val="21"/>
                <w:szCs w:val="21"/>
              </w:rPr>
              <w:t>根据供应商响应速度、准点率保证措施等情况进行综合评审，按其响应程度计1-5分；未提供不计分。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060" w:type="dxa"/>
            <w:vAlign w:val="center"/>
          </w:tcPr>
          <w:p>
            <w:pPr>
              <w:jc w:val="center"/>
              <w:rPr>
                <w:rFonts w:hint="eastAsia" w:ascii="宋体" w:hAnsi="宋体" w:cs="宋体"/>
                <w:szCs w:val="21"/>
              </w:rPr>
            </w:pPr>
            <w:r>
              <w:rPr>
                <w:rFonts w:hint="eastAsia" w:ascii="宋体" w:hAnsi="宋体" w:cs="宋体"/>
                <w:szCs w:val="21"/>
              </w:rPr>
              <w:t>同类</w:t>
            </w:r>
          </w:p>
          <w:p>
            <w:pPr>
              <w:jc w:val="center"/>
              <w:rPr>
                <w:rFonts w:hint="eastAsia" w:ascii="宋体" w:hAnsi="宋体" w:cs="宋体"/>
                <w:szCs w:val="21"/>
              </w:rPr>
            </w:pPr>
            <w:r>
              <w:rPr>
                <w:rFonts w:hint="eastAsia" w:ascii="宋体" w:hAnsi="宋体" w:cs="宋体"/>
                <w:szCs w:val="21"/>
              </w:rPr>
              <w:t>业绩</w:t>
            </w:r>
          </w:p>
          <w:p>
            <w:pPr>
              <w:jc w:val="center"/>
              <w:rPr>
                <w:rFonts w:hint="eastAsia" w:ascii="宋体" w:hAnsi="宋体" w:cs="宋体"/>
                <w:szCs w:val="21"/>
              </w:rPr>
            </w:pPr>
            <w:r>
              <w:rPr>
                <w:rFonts w:hint="eastAsia" w:ascii="宋体" w:hAnsi="宋体" w:cs="宋体"/>
                <w:szCs w:val="21"/>
              </w:rPr>
              <w:t>（5分）</w:t>
            </w:r>
          </w:p>
        </w:tc>
        <w:tc>
          <w:tcPr>
            <w:tcW w:w="1200" w:type="dxa"/>
            <w:vAlign w:val="center"/>
          </w:tcPr>
          <w:p>
            <w:pPr>
              <w:spacing w:line="360" w:lineRule="auto"/>
              <w:jc w:val="center"/>
              <w:rPr>
                <w:rFonts w:hint="eastAsia" w:ascii="宋体" w:hAnsi="宋体" w:cs="宋体"/>
                <w:szCs w:val="21"/>
              </w:rPr>
            </w:pPr>
            <w:r>
              <w:rPr>
                <w:rFonts w:hint="eastAsia" w:ascii="宋体" w:hAnsi="宋体" w:cs="宋体"/>
                <w:szCs w:val="21"/>
              </w:rPr>
              <w:t>5分</w:t>
            </w:r>
          </w:p>
        </w:tc>
        <w:tc>
          <w:tcPr>
            <w:tcW w:w="6259" w:type="dxa"/>
            <w:vAlign w:val="center"/>
          </w:tcPr>
          <w:p>
            <w:pPr>
              <w:spacing w:line="360" w:lineRule="auto"/>
              <w:jc w:val="left"/>
              <w:rPr>
                <w:rFonts w:hint="eastAsia" w:ascii="宋体" w:hAnsi="宋体" w:cs="宋体"/>
                <w:szCs w:val="21"/>
              </w:rPr>
            </w:pPr>
            <w:r>
              <w:rPr>
                <w:rFonts w:hint="eastAsia" w:ascii="宋体" w:hAnsi="宋体" w:cs="宋体"/>
                <w:szCs w:val="21"/>
              </w:rPr>
              <w:t>供应商提供自2019年1月1日至今同类项目业绩，每份计1分，最高计5分。（合同原件备查）</w:t>
            </w:r>
          </w:p>
        </w:tc>
      </w:tr>
    </w:tbl>
    <w:p>
      <w:pPr>
        <w:rPr>
          <w:rFonts w:ascii="宋体" w:hAnsi="宋体" w:cs="宋体"/>
          <w:b/>
          <w:bCs/>
          <w:sz w:val="24"/>
        </w:rPr>
      </w:pPr>
    </w:p>
    <w:p>
      <w:pPr>
        <w:spacing w:line="360" w:lineRule="auto"/>
        <w:rPr>
          <w:rFonts w:hint="eastAsia" w:ascii="宋体" w:hAnsi="宋体" w:cs="宋体"/>
          <w:sz w:val="24"/>
          <w:szCs w:val="24"/>
        </w:rPr>
      </w:pPr>
      <w:r>
        <w:rPr>
          <w:rFonts w:hint="eastAsia" w:ascii="宋体" w:hAnsi="宋体" w:cs="宋体"/>
          <w:b/>
          <w:bCs/>
          <w:sz w:val="24"/>
          <w:szCs w:val="24"/>
        </w:rPr>
        <w:t>备注：</w:t>
      </w:r>
    </w:p>
    <w:p>
      <w:pPr>
        <w:pStyle w:val="82"/>
        <w:pBdr>
          <w:between w:val="single" w:color="auto" w:sz="4" w:space="1"/>
        </w:pBd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1、磋商小组成员必须按照本评审要素据实打分，各类数字计算均按“四舍五入”</w:t>
      </w:r>
      <w:r>
        <w:rPr>
          <w:rFonts w:hint="eastAsia" w:ascii="宋体" w:hAnsi="宋体" w:eastAsia="宋体" w:cs="宋体"/>
          <w:color w:val="auto"/>
          <w:szCs w:val="24"/>
          <w:lang w:eastAsia="zh-CN"/>
        </w:rPr>
        <w:t>精确到小数点后两位</w:t>
      </w:r>
      <w:r>
        <w:rPr>
          <w:rFonts w:hint="eastAsia" w:ascii="宋体" w:hAnsi="宋体" w:eastAsia="宋体" w:cs="宋体"/>
          <w:color w:val="auto"/>
          <w:szCs w:val="24"/>
        </w:rPr>
        <w:t>；</w:t>
      </w:r>
    </w:p>
    <w:p>
      <w:pPr>
        <w:pStyle w:val="82"/>
        <w:pBdr>
          <w:between w:val="single" w:color="auto" w:sz="4" w:space="1"/>
        </w:pBd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2、对小型和微型企业的报价给予6%的价格扣除，用扣除后的价格参与评审；未提供中小企业声明函的不享受价格折扣。</w:t>
      </w:r>
    </w:p>
    <w:p>
      <w:pPr>
        <w:spacing w:line="360" w:lineRule="auto"/>
        <w:rPr>
          <w:rFonts w:ascii="宋体" w:hAnsi="宋体" w:cs="宋体"/>
          <w:b/>
          <w:bCs/>
          <w:sz w:val="24"/>
          <w:szCs w:val="24"/>
        </w:rPr>
      </w:pPr>
      <w:r>
        <w:rPr>
          <w:rFonts w:hint="eastAsia" w:ascii="宋体" w:hAnsi="宋体" w:cs="宋体"/>
          <w:b/>
          <w:bCs/>
          <w:sz w:val="24"/>
          <w:szCs w:val="24"/>
        </w:rPr>
        <w:t>政府采购政策：</w:t>
      </w:r>
    </w:p>
    <w:p>
      <w:pPr>
        <w:spacing w:line="360" w:lineRule="auto"/>
        <w:ind w:firstLine="482" w:firstLineChars="200"/>
        <w:rPr>
          <w:rFonts w:ascii="宋体" w:cs="宋体"/>
          <w:b/>
          <w:bCs/>
          <w:sz w:val="24"/>
          <w:szCs w:val="24"/>
        </w:rPr>
      </w:pPr>
      <w:r>
        <w:rPr>
          <w:rFonts w:hint="eastAsia" w:ascii="宋体" w:hAnsi="宋体" w:cs="宋体"/>
          <w:b/>
          <w:bCs/>
          <w:sz w:val="24"/>
          <w:szCs w:val="24"/>
        </w:rPr>
        <w:t>（一）对小型或微型企业参加政府采购投标的扶持：</w:t>
      </w:r>
    </w:p>
    <w:p>
      <w:pPr>
        <w:spacing w:line="360" w:lineRule="auto"/>
        <w:ind w:firstLine="480" w:firstLineChars="200"/>
        <w:rPr>
          <w:rFonts w:ascii="宋体" w:cs="宋体"/>
          <w:sz w:val="24"/>
          <w:szCs w:val="24"/>
        </w:rPr>
      </w:pPr>
      <w:r>
        <w:rPr>
          <w:rFonts w:hint="eastAsia" w:ascii="宋体" w:hAnsi="宋体" w:cs="宋体"/>
          <w:sz w:val="24"/>
          <w:szCs w:val="24"/>
        </w:rPr>
        <w:t>根据《政府采购促进中小企业发展管理办法》（财库</w:t>
      </w:r>
      <w:r>
        <w:rPr>
          <w:rFonts w:ascii="宋体" w:hAnsi="宋体" w:cs="宋体"/>
          <w:sz w:val="24"/>
          <w:szCs w:val="24"/>
        </w:rPr>
        <w:t>[20</w:t>
      </w:r>
      <w:r>
        <w:rPr>
          <w:rFonts w:hint="eastAsia" w:ascii="宋体" w:hAnsi="宋体" w:cs="宋体"/>
          <w:sz w:val="24"/>
          <w:szCs w:val="24"/>
        </w:rPr>
        <w:t>20</w:t>
      </w:r>
      <w:r>
        <w:rPr>
          <w:rFonts w:ascii="宋体" w:hAnsi="宋体" w:cs="宋体"/>
          <w:sz w:val="24"/>
          <w:szCs w:val="24"/>
        </w:rPr>
        <w:t>]</w:t>
      </w:r>
      <w:r>
        <w:rPr>
          <w:rFonts w:hint="eastAsia" w:ascii="宋体" w:hAnsi="宋体" w:cs="宋体"/>
          <w:sz w:val="24"/>
          <w:szCs w:val="24"/>
        </w:rPr>
        <w:t>46号）的规定，对于非专门面向中小企业的项目，对小型和微型企业产品的价格给予</w:t>
      </w:r>
      <w:r>
        <w:rPr>
          <w:rFonts w:ascii="宋体" w:hAnsi="宋体" w:cs="宋体"/>
          <w:sz w:val="24"/>
          <w:szCs w:val="24"/>
        </w:rPr>
        <w:t>6%</w:t>
      </w:r>
      <w:r>
        <w:rPr>
          <w:rFonts w:hint="eastAsia" w:ascii="宋体" w:hAnsi="宋体" w:cs="宋体"/>
          <w:sz w:val="24"/>
          <w:szCs w:val="24"/>
        </w:rPr>
        <w:t>的扣除，用扣除后的价格参与评审；供应商可在响应文件中提供小型和微型企业声明，具体格式详见附件。</w:t>
      </w:r>
    </w:p>
    <w:p>
      <w:pPr>
        <w:spacing w:line="360" w:lineRule="auto"/>
        <w:ind w:firstLine="482" w:firstLineChars="200"/>
        <w:rPr>
          <w:rFonts w:ascii="宋体" w:cs="宋体"/>
          <w:b/>
          <w:bCs/>
          <w:sz w:val="24"/>
          <w:szCs w:val="24"/>
        </w:rPr>
      </w:pPr>
      <w:r>
        <w:rPr>
          <w:rFonts w:hint="eastAsia" w:ascii="宋体" w:cs="宋体"/>
          <w:b/>
          <w:bCs/>
          <w:sz w:val="24"/>
          <w:szCs w:val="24"/>
        </w:rPr>
        <w:t>（二）对监狱企业、残疾人福利企业的扶持</w:t>
      </w:r>
    </w:p>
    <w:p>
      <w:pPr>
        <w:spacing w:line="360" w:lineRule="auto"/>
        <w:ind w:firstLine="480" w:firstLineChars="200"/>
        <w:rPr>
          <w:rFonts w:ascii="宋体" w:hAnsi="宋体" w:cs="宋体"/>
          <w:sz w:val="24"/>
          <w:szCs w:val="24"/>
        </w:rPr>
      </w:pPr>
      <w:r>
        <w:rPr>
          <w:rFonts w:hint="eastAsia" w:ascii="宋体" w:cs="宋体"/>
          <w:sz w:val="24"/>
          <w:szCs w:val="24"/>
        </w:rPr>
        <w:t>根据《关于政府采购支持监狱企业发展有关问题的通知》（财库[2014]68号）</w:t>
      </w:r>
      <w:r>
        <w:rPr>
          <w:rFonts w:hint="eastAsia" w:ascii="宋体" w:hAnsi="宋体" w:cs="宋体"/>
          <w:sz w:val="24"/>
          <w:szCs w:val="24"/>
        </w:rPr>
        <w:t xml:space="preserve">（提供由省级以上监狱管理局、戒毒管理局（含新疆生产建设兵团）出具的属于监狱企业的证明文件）、《三部门联合发布关于促进残疾人就业政府采购政策的通知》（财库〔2017〕141号）的规定，对监狱企业、残疾人福利企业给予6%的价格扣除，用扣除后的价格参与评审。 </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（三）对同时属于小微企业、监狱企业或残疾人福利性单位的， 不重复享受政策。</w:t>
      </w:r>
    </w:p>
    <w:p>
      <w:pPr>
        <w:spacing w:line="360" w:lineRule="auto"/>
        <w:ind w:firstLine="482" w:firstLineChars="200"/>
        <w:rPr>
          <w:rFonts w:ascii="宋体" w:cs="宋体"/>
          <w:b/>
          <w:bCs/>
          <w:sz w:val="24"/>
          <w:szCs w:val="24"/>
        </w:rPr>
      </w:pPr>
      <w:r>
        <w:rPr>
          <w:rFonts w:hint="eastAsia" w:ascii="宋体" w:hAnsi="宋体" w:cs="宋体"/>
          <w:b/>
          <w:bCs/>
          <w:sz w:val="24"/>
          <w:szCs w:val="24"/>
        </w:rPr>
        <w:t>（四）对节能、环保政策的支持</w:t>
      </w:r>
    </w:p>
    <w:p>
      <w:pPr>
        <w:spacing w:line="360" w:lineRule="auto"/>
        <w:ind w:firstLine="480" w:firstLineChars="200"/>
        <w:rPr>
          <w:rFonts w:ascii="宋体"/>
          <w:sz w:val="24"/>
          <w:szCs w:val="24"/>
        </w:rPr>
      </w:pPr>
      <w:r>
        <w:rPr>
          <w:rFonts w:hint="eastAsia" w:ascii="宋体" w:hAnsi="宋体" w:cs="宋体"/>
          <w:sz w:val="24"/>
          <w:szCs w:val="24"/>
        </w:rPr>
        <w:t>1、根据《财政部发展改革委 生态环境部 市场监管总局关于调整优化节能产品 环境标志产品政府采购执行机制的通知》（财库〔2019〕9号）和财政部、发展改革委发布的《关于印发节能产品政府采购品目清单的通知》（财库〔2019〕19号）的规定，若投标货物属于“</w:t>
      </w:r>
      <w:r>
        <w:fldChar w:fldCharType="begin"/>
      </w:r>
      <w:r>
        <w:instrText xml:space="preserve"> HYPERLINK "http://www.chinatax.gov.cn/chinatax/n810214/n810621/n810678/c4293681/5121646/files/51d7613cffca4e6e8bfb64142bb45e16.pdf" </w:instrText>
      </w:r>
      <w:r>
        <w:fldChar w:fldCharType="separate"/>
      </w:r>
      <w:r>
        <w:rPr>
          <w:rFonts w:hint="eastAsia" w:ascii="宋体" w:hAnsi="宋体" w:cs="宋体"/>
          <w:sz w:val="24"/>
          <w:szCs w:val="24"/>
        </w:rPr>
        <w:t>节能产品政府采购品目清单</w:t>
      </w:r>
      <w:r>
        <w:rPr>
          <w:rFonts w:hint="eastAsia" w:ascii="宋体" w:hAnsi="宋体" w:cs="宋体"/>
          <w:sz w:val="24"/>
          <w:szCs w:val="24"/>
        </w:rPr>
        <w:fldChar w:fldCharType="end"/>
      </w:r>
      <w:r>
        <w:rPr>
          <w:rFonts w:hint="eastAsia" w:ascii="宋体" w:hAnsi="宋体" w:cs="宋体"/>
          <w:sz w:val="24"/>
          <w:szCs w:val="24"/>
        </w:rPr>
        <w:t>”中品目的产品，供应商提供国家确定的认证机构出具的、处于有效期之内的节能产品认证证书，对获得证书的产品实施政府优先采购或强制采购。</w:t>
      </w:r>
    </w:p>
    <w:p>
      <w:pPr>
        <w:spacing w:line="360" w:lineRule="auto"/>
        <w:ind w:firstLine="480" w:firstLineChars="200"/>
        <w:rPr>
          <w:rFonts w:ascii="宋体" w:hAnsi="宋体" w:cs="宋体"/>
          <w:sz w:val="24"/>
          <w:szCs w:val="24"/>
        </w:rPr>
      </w:pPr>
      <w:r>
        <w:rPr>
          <w:rFonts w:hint="eastAsia" w:ascii="宋体" w:hAnsi="宋体" w:cs="宋体"/>
          <w:sz w:val="24"/>
          <w:szCs w:val="24"/>
        </w:rPr>
        <w:t>2、根据《财政部发展改革委 生态环境部 市场监管总局关于调整优化节能产品 环境标志产品政府采购执行机制的通知》（财库〔2019〕9号），及 财政部、生态环境部《关于印发环境标志产品政府采购品目清单的通知》财库〔2019〕18号的规定，若投标货物属于“环境标志产品政府采购品目清单”中品目的产品，供应商提供国家确定的认证机构出具的、处于有效期之内的环境标志产品认证证书，对获得证书的产品实施政府优先采购或强制采购。</w:t>
      </w:r>
    </w:p>
    <w:p>
      <w:pPr>
        <w:spacing w:line="360" w:lineRule="auto"/>
        <w:ind w:firstLine="480" w:firstLineChars="200"/>
        <w:rPr>
          <w:sz w:val="24"/>
          <w:szCs w:val="24"/>
        </w:rPr>
      </w:pPr>
      <w:r>
        <w:rPr>
          <w:rFonts w:hint="eastAsia" w:ascii="宋体" w:hAnsi="宋体" w:cs="宋体"/>
          <w:sz w:val="24"/>
          <w:szCs w:val="24"/>
        </w:rPr>
        <w:t>3、产品同时属于“非强制采购节能产品”、环境标志产品的，评审时只有其中一项能享受优先待遇（供应商自行选择，并在报价文件中填写相关信息及数据）。</w:t>
      </w:r>
    </w:p>
    <w:p>
      <w:pPr>
        <w:spacing w:line="360" w:lineRule="auto"/>
        <w:rPr>
          <w:rFonts w:ascii="宋体" w:hAnsi="宋体" w:cs="宋体"/>
          <w:sz w:val="24"/>
        </w:rPr>
        <w:sectPr>
          <w:headerReference r:id="rId11" w:type="default"/>
          <w:pgSz w:w="11906" w:h="16838"/>
          <w:pgMar w:top="1440" w:right="1803" w:bottom="1440" w:left="1803" w:header="851" w:footer="992" w:gutter="0"/>
          <w:cols w:space="720" w:num="1"/>
          <w:docGrid w:type="lines" w:linePitch="319" w:charSpace="0"/>
        </w:sectPr>
      </w:pPr>
    </w:p>
    <w:p>
      <w:pPr>
        <w:pStyle w:val="3"/>
        <w:pageBreakBefore/>
        <w:numPr>
          <w:ilvl w:val="0"/>
          <w:numId w:val="17"/>
        </w:numPr>
        <w:rPr>
          <w:rFonts w:ascii="宋体" w:hAnsi="宋体" w:cs="宋体"/>
        </w:rPr>
      </w:pPr>
      <w:bookmarkStart w:id="106" w:name="_Toc262"/>
      <w:bookmarkStart w:id="107" w:name="_Toc3021"/>
      <w:bookmarkStart w:id="108" w:name="_Toc26757"/>
      <w:bookmarkStart w:id="109" w:name="_Toc20514"/>
      <w:bookmarkStart w:id="110" w:name="_Toc3390"/>
      <w:r>
        <w:rPr>
          <w:rFonts w:hint="eastAsia" w:ascii="宋体" w:hAnsi="宋体" w:cs="宋体"/>
        </w:rPr>
        <w:t>分</w:t>
      </w:r>
      <w:bookmarkEnd w:id="106"/>
      <w:bookmarkStart w:id="111" w:name="_Toc6835"/>
      <w:bookmarkStart w:id="112" w:name="_Toc15647"/>
      <w:r>
        <w:rPr>
          <w:rFonts w:hint="eastAsia" w:ascii="宋体" w:hAnsi="宋体" w:cs="宋体"/>
        </w:rPr>
        <w:t xml:space="preserve"> </w:t>
      </w:r>
      <w:r>
        <w:rPr>
          <w:rFonts w:hint="eastAsia" w:ascii="宋体" w:hAnsi="宋体" w:cs="宋体"/>
          <w:lang w:val="en-US" w:eastAsia="zh-CN"/>
        </w:rPr>
        <w:t>商务条款及</w:t>
      </w:r>
      <w:r>
        <w:rPr>
          <w:rFonts w:hint="eastAsia" w:ascii="宋体" w:hAnsi="宋体" w:cs="宋体"/>
        </w:rPr>
        <w:t>采购要求</w:t>
      </w:r>
      <w:bookmarkEnd w:id="107"/>
      <w:bookmarkEnd w:id="108"/>
      <w:bookmarkEnd w:id="109"/>
      <w:bookmarkEnd w:id="110"/>
    </w:p>
    <w:p>
      <w:pPr>
        <w:spacing w:line="360" w:lineRule="auto"/>
        <w:rPr>
          <w:rFonts w:ascii="宋体" w:hAnsi="宋体" w:cs="宋体"/>
          <w:b/>
          <w:sz w:val="24"/>
          <w:szCs w:val="24"/>
        </w:rPr>
      </w:pPr>
      <w:r>
        <w:rPr>
          <w:rFonts w:hint="eastAsia" w:ascii="宋体" w:hAnsi="宋体" w:cs="宋体"/>
          <w:b/>
          <w:sz w:val="24"/>
          <w:szCs w:val="24"/>
        </w:rPr>
        <w:t>一、商务条款</w:t>
      </w:r>
    </w:p>
    <w:p>
      <w:pPr>
        <w:tabs>
          <w:tab w:val="left" w:pos="420"/>
        </w:tabs>
        <w:spacing w:line="360" w:lineRule="auto"/>
        <w:ind w:firstLine="496" w:firstLineChars="200"/>
        <w:rPr>
          <w:rFonts w:hint="eastAsia" w:ascii="宋体" w:hAnsi="宋体" w:cs="宋体"/>
          <w:sz w:val="24"/>
          <w:szCs w:val="24"/>
          <w:highlight w:val="yellow"/>
        </w:rPr>
      </w:pPr>
      <w:r>
        <w:rPr>
          <w:rFonts w:hint="eastAsia" w:ascii="宋体" w:hAnsi="宋体" w:cs="宋体"/>
          <w:sz w:val="24"/>
          <w:szCs w:val="24"/>
        </w:rPr>
        <w:t>1、服务期限：自合同签订之日起至采购预算执行完止</w:t>
      </w:r>
    </w:p>
    <w:p>
      <w:pPr>
        <w:pStyle w:val="25"/>
        <w:ind w:left="1489" w:leftChars="228" w:hanging="992" w:hangingChars="400"/>
        <w:rPr>
          <w:rFonts w:ascii="宋体" w:hAnsi="宋体" w:cs="宋体"/>
          <w:sz w:val="24"/>
          <w:szCs w:val="24"/>
        </w:rPr>
      </w:pPr>
      <w:r>
        <w:rPr>
          <w:rFonts w:hint="eastAsia" w:ascii="宋体" w:hAnsi="宋体" w:cs="宋体"/>
          <w:sz w:val="24"/>
          <w:szCs w:val="24"/>
        </w:rPr>
        <w:t>2、服务地点：采购人指定地点</w:t>
      </w:r>
    </w:p>
    <w:p>
      <w:pPr>
        <w:spacing w:line="360" w:lineRule="auto"/>
        <w:ind w:firstLine="496" w:firstLineChars="200"/>
        <w:rPr>
          <w:rFonts w:ascii="宋体" w:hAnsi="宋体" w:cs="宋体"/>
          <w:sz w:val="24"/>
          <w:szCs w:val="24"/>
        </w:rPr>
      </w:pPr>
      <w:r>
        <w:rPr>
          <w:rFonts w:hint="eastAsia" w:ascii="宋体" w:hAnsi="宋体" w:cs="宋体"/>
          <w:sz w:val="24"/>
          <w:szCs w:val="24"/>
        </w:rPr>
        <w:t>3、付款方式：据实结算，每月支付一次，成交供应商根据实际运行的情况（经采购人书面核实后的运行天数及车辆数）开具真实、有效、合法的等额发票交于采购人进行结算，采购人审核完毕后向成交供应商付款。</w:t>
      </w:r>
    </w:p>
    <w:p>
      <w:pPr>
        <w:spacing w:line="360" w:lineRule="auto"/>
        <w:rPr>
          <w:rFonts w:hint="eastAsia" w:ascii="宋体" w:hAnsi="宋体" w:cs="宋体"/>
          <w:b/>
          <w:sz w:val="24"/>
          <w:szCs w:val="24"/>
        </w:rPr>
      </w:pPr>
      <w:r>
        <w:rPr>
          <w:rFonts w:hint="eastAsia" w:ascii="宋体" w:hAnsi="宋体" w:cs="宋体"/>
          <w:b/>
          <w:sz w:val="24"/>
          <w:szCs w:val="24"/>
        </w:rPr>
        <w:t>二、项目概况：</w:t>
      </w:r>
    </w:p>
    <w:p>
      <w:pPr>
        <w:spacing w:line="360" w:lineRule="auto"/>
        <w:ind w:firstLine="496" w:firstLineChars="200"/>
        <w:rPr>
          <w:rFonts w:hint="eastAsia" w:ascii="宋体" w:hAnsi="宋体" w:cs="宋体"/>
          <w:sz w:val="24"/>
          <w:szCs w:val="24"/>
        </w:rPr>
      </w:pPr>
      <w:r>
        <w:rPr>
          <w:rFonts w:hint="eastAsia" w:ascii="宋体" w:hAnsi="宋体" w:cs="宋体"/>
          <w:sz w:val="24"/>
          <w:szCs w:val="24"/>
        </w:rPr>
        <w:t>西安市食品药品检验所因业务需求，现面向社会租用食品监督抽检车辆，为确保车辆安全运行，对车辆及驾驶员要求如下：</w:t>
      </w:r>
    </w:p>
    <w:p>
      <w:pPr>
        <w:spacing w:line="360" w:lineRule="auto"/>
        <w:rPr>
          <w:rFonts w:ascii="宋体" w:hAnsi="宋体" w:cs="宋体"/>
          <w:b/>
          <w:sz w:val="24"/>
          <w:szCs w:val="24"/>
        </w:rPr>
      </w:pPr>
      <w:r>
        <w:rPr>
          <w:rFonts w:hint="eastAsia" w:ascii="宋体" w:hAnsi="宋体" w:cs="宋体"/>
          <w:b/>
          <w:sz w:val="24"/>
          <w:szCs w:val="24"/>
        </w:rPr>
        <w:t>三、服务内容及要求</w:t>
      </w:r>
    </w:p>
    <w:p>
      <w:pPr>
        <w:spacing w:line="360" w:lineRule="auto"/>
        <w:ind w:firstLine="496" w:firstLineChars="200"/>
        <w:rPr>
          <w:rFonts w:hint="eastAsia" w:ascii="宋体" w:hAnsi="宋体" w:cs="宋体"/>
          <w:b/>
          <w:sz w:val="24"/>
          <w:szCs w:val="24"/>
        </w:rPr>
      </w:pPr>
      <w:r>
        <w:rPr>
          <w:rFonts w:hint="eastAsia" w:ascii="宋体" w:hAnsi="宋体" w:cs="宋体"/>
          <w:b/>
          <w:sz w:val="24"/>
          <w:szCs w:val="24"/>
        </w:rPr>
        <w:t>服务内容</w:t>
      </w:r>
    </w:p>
    <w:p>
      <w:pPr>
        <w:spacing w:line="360" w:lineRule="auto"/>
        <w:ind w:firstLine="496" w:firstLineChars="200"/>
        <w:rPr>
          <w:rFonts w:hint="eastAsia" w:ascii="宋体" w:hAnsi="宋体" w:cs="宋体"/>
          <w:b/>
          <w:sz w:val="24"/>
          <w:szCs w:val="24"/>
        </w:rPr>
      </w:pPr>
      <w:r>
        <w:rPr>
          <w:rFonts w:hint="eastAsia" w:ascii="宋体" w:hAnsi="宋体" w:cs="宋体"/>
          <w:b/>
          <w:sz w:val="24"/>
          <w:szCs w:val="24"/>
        </w:rPr>
        <w:t>三厢车辆:</w:t>
      </w:r>
    </w:p>
    <w:p>
      <w:pPr>
        <w:spacing w:line="360" w:lineRule="auto"/>
        <w:ind w:firstLine="496" w:firstLineChars="200"/>
        <w:rPr>
          <w:rFonts w:hint="eastAsia" w:ascii="宋体" w:hAnsi="宋体" w:cs="宋体"/>
          <w:sz w:val="24"/>
          <w:szCs w:val="24"/>
          <w:highlight w:val="yellow"/>
        </w:rPr>
      </w:pPr>
      <w:r>
        <w:rPr>
          <w:rFonts w:hint="eastAsia" w:ascii="宋体" w:hAnsi="宋体" w:cs="宋体"/>
          <w:sz w:val="24"/>
          <w:szCs w:val="24"/>
        </w:rPr>
        <w:t>1、</w:t>
      </w:r>
      <w:r>
        <w:rPr>
          <w:rFonts w:hint="eastAsia" w:ascii="宋体" w:hAnsi="宋体" w:cs="宋体"/>
          <w:sz w:val="24"/>
          <w:szCs w:val="24"/>
          <w:highlight w:val="none"/>
        </w:rPr>
        <w:t>保证每天至少预备</w:t>
      </w:r>
      <w:r>
        <w:rPr>
          <w:rFonts w:hint="eastAsia" w:ascii="宋体" w:hAnsi="宋体" w:cs="宋体"/>
          <w:sz w:val="24"/>
          <w:szCs w:val="24"/>
          <w:highlight w:val="none"/>
          <w:lang w:val="en-US" w:eastAsia="zh-CN"/>
        </w:rPr>
        <w:t>3</w:t>
      </w:r>
      <w:r>
        <w:rPr>
          <w:rFonts w:hint="eastAsia" w:ascii="宋体" w:hAnsi="宋体" w:cs="宋体"/>
          <w:sz w:val="24"/>
          <w:szCs w:val="24"/>
          <w:highlight w:val="none"/>
        </w:rPr>
        <w:t>辆车供采购人使用，预备</w:t>
      </w:r>
      <w:r>
        <w:rPr>
          <w:rFonts w:hint="eastAsia" w:ascii="宋体" w:hAnsi="宋体" w:cs="宋体"/>
          <w:sz w:val="24"/>
          <w:szCs w:val="24"/>
          <w:highlight w:val="none"/>
          <w:lang w:val="en-US" w:eastAsia="zh-CN"/>
        </w:rPr>
        <w:t>1</w:t>
      </w:r>
      <w:r>
        <w:rPr>
          <w:rFonts w:hint="eastAsia" w:ascii="宋体" w:hAnsi="宋体" w:cs="宋体"/>
          <w:sz w:val="24"/>
          <w:szCs w:val="24"/>
          <w:highlight w:val="none"/>
        </w:rPr>
        <w:t>辆应急车辆。</w:t>
      </w:r>
    </w:p>
    <w:p>
      <w:pPr>
        <w:spacing w:line="360" w:lineRule="auto"/>
        <w:ind w:firstLine="496" w:firstLineChars="200"/>
        <w:rPr>
          <w:rFonts w:hint="eastAsia" w:ascii="宋体" w:hAnsi="宋体" w:cs="宋体"/>
          <w:sz w:val="24"/>
          <w:szCs w:val="24"/>
        </w:rPr>
      </w:pPr>
      <w:r>
        <w:rPr>
          <w:rFonts w:hint="eastAsia" w:ascii="宋体" w:hAnsi="宋体" w:cs="宋体"/>
          <w:sz w:val="24"/>
          <w:szCs w:val="24"/>
        </w:rPr>
        <w:t>2、所提供服务车辆必须为投标人所属车辆，车辆保险手续齐全（至少包括交强险、车损险、第三者责任险、人员险），提供行驶证、保险单、年审、车辆保养等证明资料。</w:t>
      </w:r>
    </w:p>
    <w:p>
      <w:pPr>
        <w:spacing w:line="360" w:lineRule="auto"/>
        <w:ind w:firstLine="496" w:firstLineChars="200"/>
        <w:rPr>
          <w:rFonts w:hint="eastAsia" w:ascii="宋体" w:hAnsi="宋体" w:cs="宋体"/>
          <w:sz w:val="24"/>
          <w:szCs w:val="24"/>
        </w:rPr>
      </w:pPr>
      <w:r>
        <w:rPr>
          <w:rFonts w:hint="eastAsia" w:ascii="宋体" w:hAnsi="宋体" w:cs="宋体"/>
          <w:sz w:val="24"/>
          <w:szCs w:val="24"/>
        </w:rPr>
        <w:t>3、所提供服务的车辆必须达到西安市环保部门对同类车辆要求的排放标准。</w:t>
      </w:r>
    </w:p>
    <w:p>
      <w:pPr>
        <w:spacing w:line="360" w:lineRule="auto"/>
        <w:ind w:firstLine="496" w:firstLineChars="200"/>
        <w:rPr>
          <w:rFonts w:hint="eastAsia" w:ascii="宋体" w:hAnsi="宋体" w:cs="宋体"/>
          <w:sz w:val="24"/>
          <w:szCs w:val="24"/>
        </w:rPr>
      </w:pPr>
      <w:r>
        <w:rPr>
          <w:rFonts w:hint="eastAsia" w:ascii="宋体" w:hAnsi="宋体" w:cs="宋体"/>
          <w:sz w:val="24"/>
          <w:szCs w:val="24"/>
        </w:rPr>
        <w:t>4、汽油车排量1.6以上，新能源车轴距≥2.65m；车辆技术状况良好，车容车貌整洁，车辆配备安全设施齐全可靠。</w:t>
      </w:r>
    </w:p>
    <w:p>
      <w:pPr>
        <w:spacing w:line="360" w:lineRule="auto"/>
        <w:ind w:firstLine="496" w:firstLineChars="200"/>
        <w:rPr>
          <w:rFonts w:hint="eastAsia" w:ascii="宋体" w:hAnsi="宋体" w:cs="宋体"/>
          <w:sz w:val="24"/>
          <w:szCs w:val="24"/>
        </w:rPr>
      </w:pPr>
      <w:r>
        <w:rPr>
          <w:rFonts w:hint="eastAsia" w:ascii="宋体" w:hAnsi="宋体" w:cs="宋体"/>
          <w:sz w:val="24"/>
          <w:szCs w:val="24"/>
        </w:rPr>
        <w:t>5、采购人有权要求乙方调换不符合甲方要求的车辆和驾驶员。</w:t>
      </w:r>
    </w:p>
    <w:p>
      <w:pPr>
        <w:spacing w:line="360" w:lineRule="auto"/>
        <w:ind w:firstLine="496" w:firstLineChars="200"/>
        <w:rPr>
          <w:rFonts w:hint="eastAsia" w:ascii="宋体" w:hAnsi="宋体" w:cs="宋体"/>
          <w:sz w:val="24"/>
          <w:szCs w:val="24"/>
        </w:rPr>
      </w:pPr>
      <w:r>
        <w:rPr>
          <w:rFonts w:hint="eastAsia" w:ascii="宋体" w:hAnsi="宋体" w:cs="宋体"/>
          <w:sz w:val="24"/>
          <w:szCs w:val="24"/>
        </w:rPr>
        <w:t>6、提供应急备用车辆。遇到车辆出现故障等特殊情况时，应及时调整，确保完成出车任务。</w:t>
      </w:r>
    </w:p>
    <w:p>
      <w:pPr>
        <w:spacing w:line="360" w:lineRule="auto"/>
        <w:ind w:firstLine="496" w:firstLineChars="200"/>
        <w:rPr>
          <w:rFonts w:hint="eastAsia" w:ascii="宋体" w:hAnsi="宋体" w:cs="宋体"/>
          <w:sz w:val="24"/>
          <w:szCs w:val="24"/>
        </w:rPr>
      </w:pPr>
      <w:r>
        <w:rPr>
          <w:rFonts w:hint="eastAsia" w:ascii="宋体" w:hAnsi="宋体" w:cs="宋体"/>
          <w:sz w:val="24"/>
          <w:szCs w:val="24"/>
        </w:rPr>
        <w:t>7、供应商要按照采购人的用车计划和行车时间表安排运行车辆，确保用车需要和临时用车需要。</w:t>
      </w:r>
    </w:p>
    <w:p>
      <w:pPr>
        <w:spacing w:line="360" w:lineRule="auto"/>
        <w:ind w:firstLine="496" w:firstLineChars="200"/>
        <w:rPr>
          <w:rFonts w:hint="eastAsia" w:ascii="宋体" w:hAnsi="宋体" w:cs="宋体"/>
          <w:sz w:val="24"/>
          <w:szCs w:val="24"/>
        </w:rPr>
      </w:pPr>
      <w:r>
        <w:rPr>
          <w:rFonts w:hint="eastAsia" w:ascii="宋体" w:hAnsi="宋体" w:cs="宋体"/>
          <w:sz w:val="24"/>
          <w:szCs w:val="24"/>
        </w:rPr>
        <w:t>8、供应商必须在每次出车前做好车辆安全检查工作，保证安全正常行驶。</w:t>
      </w:r>
    </w:p>
    <w:p>
      <w:pPr>
        <w:spacing w:line="360" w:lineRule="auto"/>
        <w:ind w:firstLine="496" w:firstLineChars="200"/>
        <w:rPr>
          <w:rFonts w:hint="eastAsia" w:ascii="宋体" w:hAnsi="宋体" w:cs="宋体"/>
          <w:sz w:val="24"/>
          <w:szCs w:val="24"/>
        </w:rPr>
      </w:pPr>
      <w:r>
        <w:rPr>
          <w:rFonts w:hint="eastAsia" w:ascii="宋体" w:hAnsi="宋体" w:cs="宋体"/>
          <w:sz w:val="24"/>
          <w:szCs w:val="24"/>
        </w:rPr>
        <w:t>9、供应商需对车辆进行定期消毒。</w:t>
      </w:r>
    </w:p>
    <w:p>
      <w:pPr>
        <w:spacing w:line="360" w:lineRule="auto"/>
        <w:ind w:firstLine="496" w:firstLineChars="200"/>
        <w:rPr>
          <w:rFonts w:hint="eastAsia" w:ascii="宋体" w:hAnsi="宋体" w:cs="宋体"/>
          <w:sz w:val="24"/>
          <w:szCs w:val="24"/>
        </w:rPr>
      </w:pPr>
      <w:r>
        <w:rPr>
          <w:rFonts w:hint="eastAsia" w:ascii="宋体" w:hAnsi="宋体" w:cs="宋体"/>
          <w:sz w:val="24"/>
          <w:szCs w:val="24"/>
        </w:rPr>
        <w:t>10、公司具备本地化服务能力，在项目实施所在地有相应的技术支持及售后服务机构，提供有效的办公场所证明材料。</w:t>
      </w:r>
    </w:p>
    <w:p>
      <w:pPr>
        <w:spacing w:line="360" w:lineRule="auto"/>
        <w:ind w:firstLine="496" w:firstLineChars="200"/>
        <w:rPr>
          <w:rFonts w:hint="eastAsia" w:ascii="宋体" w:hAnsi="宋体" w:cs="宋体"/>
          <w:b/>
          <w:sz w:val="24"/>
          <w:szCs w:val="24"/>
        </w:rPr>
      </w:pPr>
      <w:r>
        <w:rPr>
          <w:rFonts w:hint="eastAsia" w:ascii="宋体" w:hAnsi="宋体" w:cs="宋体"/>
          <w:b/>
          <w:sz w:val="24"/>
          <w:szCs w:val="24"/>
        </w:rPr>
        <w:t>驾驶员：</w:t>
      </w:r>
    </w:p>
    <w:p>
      <w:pPr>
        <w:spacing w:line="360" w:lineRule="auto"/>
        <w:ind w:firstLine="496" w:firstLineChars="200"/>
        <w:rPr>
          <w:rFonts w:hint="eastAsia" w:ascii="宋体" w:hAnsi="宋体" w:cs="宋体"/>
          <w:sz w:val="24"/>
          <w:szCs w:val="24"/>
        </w:rPr>
      </w:pPr>
      <w:r>
        <w:rPr>
          <w:rFonts w:hint="eastAsia" w:ascii="宋体" w:hAnsi="宋体" w:cs="宋体"/>
          <w:sz w:val="24"/>
          <w:szCs w:val="24"/>
        </w:rPr>
        <w:t>1、驾驶证、身份证及驾驶车辆必备的证照齐全。</w:t>
      </w:r>
    </w:p>
    <w:p>
      <w:pPr>
        <w:spacing w:line="360" w:lineRule="auto"/>
        <w:ind w:firstLine="496" w:firstLineChars="200"/>
        <w:rPr>
          <w:rFonts w:hint="eastAsia" w:ascii="宋体" w:hAnsi="宋体" w:cs="宋体"/>
          <w:sz w:val="24"/>
          <w:szCs w:val="24"/>
        </w:rPr>
      </w:pPr>
      <w:r>
        <w:rPr>
          <w:rFonts w:hint="eastAsia" w:ascii="宋体" w:hAnsi="宋体" w:cs="宋体"/>
          <w:sz w:val="24"/>
          <w:szCs w:val="24"/>
        </w:rPr>
        <w:t>2、身体健康（持有体检证明）、品行良好，无违法犯罪记录，有良好的职业道德和操守。</w:t>
      </w:r>
    </w:p>
    <w:p>
      <w:pPr>
        <w:spacing w:line="360" w:lineRule="auto"/>
        <w:ind w:firstLine="496" w:firstLineChars="200"/>
        <w:rPr>
          <w:rFonts w:hint="eastAsia" w:ascii="宋体" w:hAnsi="宋体" w:cs="宋体"/>
          <w:sz w:val="24"/>
          <w:szCs w:val="24"/>
        </w:rPr>
      </w:pPr>
      <w:r>
        <w:rPr>
          <w:rFonts w:hint="eastAsia" w:ascii="宋体" w:hAnsi="宋体" w:cs="宋体"/>
          <w:sz w:val="24"/>
          <w:szCs w:val="24"/>
        </w:rPr>
        <w:t>3、遵守交通法规，操作规范，文明驾驶。</w:t>
      </w:r>
    </w:p>
    <w:p>
      <w:pPr>
        <w:spacing w:line="360" w:lineRule="auto"/>
        <w:ind w:firstLine="496" w:firstLineChars="200"/>
        <w:rPr>
          <w:rFonts w:hint="eastAsia" w:ascii="宋体" w:hAnsi="宋体" w:cs="宋体"/>
          <w:sz w:val="24"/>
          <w:szCs w:val="24"/>
        </w:rPr>
      </w:pPr>
      <w:r>
        <w:rPr>
          <w:rFonts w:hint="eastAsia" w:ascii="宋体" w:hAnsi="宋体" w:cs="宋体"/>
          <w:sz w:val="24"/>
          <w:szCs w:val="24"/>
        </w:rPr>
        <w:t>4、有驾驶人员应有的服务意识和责任意识。</w:t>
      </w:r>
    </w:p>
    <w:p>
      <w:pPr>
        <w:spacing w:line="360" w:lineRule="auto"/>
        <w:ind w:firstLine="496" w:firstLineChars="200"/>
        <w:rPr>
          <w:rFonts w:hint="eastAsia" w:ascii="宋体" w:hAnsi="宋体" w:cs="宋体"/>
          <w:sz w:val="24"/>
          <w:szCs w:val="24"/>
        </w:rPr>
      </w:pPr>
      <w:r>
        <w:rPr>
          <w:rFonts w:hint="eastAsia" w:ascii="宋体" w:hAnsi="宋体" w:cs="宋体"/>
          <w:sz w:val="24"/>
          <w:szCs w:val="24"/>
        </w:rPr>
        <w:t>5、驾驶员必须服从采购人的协调管理。</w:t>
      </w:r>
    </w:p>
    <w:p>
      <w:pPr>
        <w:spacing w:line="360" w:lineRule="auto"/>
        <w:ind w:firstLine="496" w:firstLineChars="200"/>
        <w:rPr>
          <w:rFonts w:hint="eastAsia" w:ascii="宋体" w:hAnsi="宋体" w:cs="宋体"/>
          <w:sz w:val="24"/>
          <w:szCs w:val="24"/>
        </w:rPr>
      </w:pPr>
      <w:r>
        <w:rPr>
          <w:rFonts w:hint="eastAsia" w:ascii="宋体" w:hAnsi="宋体" w:cs="宋体"/>
          <w:sz w:val="24"/>
          <w:szCs w:val="24"/>
        </w:rPr>
        <w:t>6、车辆做到准时、准点发车，原则上提前15分钟到达接送点。</w:t>
      </w:r>
    </w:p>
    <w:p>
      <w:pPr>
        <w:spacing w:line="360" w:lineRule="auto"/>
        <w:ind w:firstLine="496" w:firstLineChars="200"/>
        <w:rPr>
          <w:rFonts w:hint="eastAsia" w:ascii="宋体" w:hAnsi="宋体" w:cs="宋体"/>
          <w:sz w:val="24"/>
          <w:szCs w:val="24"/>
        </w:rPr>
      </w:pPr>
      <w:r>
        <w:rPr>
          <w:rFonts w:hint="eastAsia" w:ascii="宋体" w:hAnsi="宋体" w:cs="宋体"/>
          <w:sz w:val="24"/>
          <w:szCs w:val="24"/>
        </w:rPr>
        <w:t>7、驾驶员不得以任何理由与乘车人员发生冲突，要热情饱满地为甲方服务，要文明用语、微笑服务、礼貌待人、优质服务。</w:t>
      </w:r>
    </w:p>
    <w:p>
      <w:pPr>
        <w:spacing w:line="360" w:lineRule="auto"/>
        <w:ind w:firstLine="496" w:firstLineChars="200"/>
        <w:rPr>
          <w:rFonts w:hint="eastAsia" w:ascii="宋体" w:hAnsi="宋体" w:cs="宋体"/>
          <w:sz w:val="24"/>
          <w:szCs w:val="24"/>
        </w:rPr>
      </w:pPr>
      <w:r>
        <w:rPr>
          <w:rFonts w:hint="eastAsia" w:ascii="宋体" w:hAnsi="宋体" w:cs="宋体"/>
          <w:sz w:val="24"/>
          <w:szCs w:val="24"/>
        </w:rPr>
        <w:t>8、驾驶员有三年以上的驾龄，三年内无重大交通事故。</w:t>
      </w:r>
    </w:p>
    <w:p>
      <w:pPr>
        <w:spacing w:line="360" w:lineRule="auto"/>
        <w:ind w:firstLine="496" w:firstLineChars="200"/>
        <w:rPr>
          <w:rFonts w:hint="eastAsia" w:ascii="宋体" w:hAnsi="宋体" w:cs="宋体"/>
          <w:b/>
          <w:sz w:val="24"/>
          <w:szCs w:val="24"/>
        </w:rPr>
      </w:pPr>
      <w:r>
        <w:rPr>
          <w:rFonts w:hint="eastAsia" w:ascii="宋体" w:hAnsi="宋体" w:cs="宋体"/>
          <w:b/>
          <w:sz w:val="24"/>
          <w:szCs w:val="24"/>
        </w:rPr>
        <w:t>服务要求：</w:t>
      </w:r>
    </w:p>
    <w:p>
      <w:pPr>
        <w:spacing w:line="360" w:lineRule="auto"/>
        <w:ind w:firstLine="496" w:firstLineChars="200"/>
        <w:rPr>
          <w:rFonts w:hint="eastAsia" w:ascii="宋体" w:hAnsi="宋体" w:cs="宋体"/>
          <w:sz w:val="24"/>
          <w:szCs w:val="24"/>
        </w:rPr>
      </w:pPr>
      <w:r>
        <w:rPr>
          <w:rFonts w:hint="eastAsia" w:ascii="宋体" w:hAnsi="宋体" w:cs="宋体"/>
          <w:sz w:val="24"/>
          <w:szCs w:val="24"/>
        </w:rPr>
        <w:t>1、运行路线：西安市辖区内根据采购人需求调整使用车辆台数及路线。</w:t>
      </w:r>
    </w:p>
    <w:p>
      <w:pPr>
        <w:spacing w:line="360" w:lineRule="auto"/>
        <w:ind w:firstLine="496" w:firstLineChars="200"/>
        <w:rPr>
          <w:rFonts w:hint="eastAsia" w:ascii="宋体" w:hAnsi="宋体" w:cs="宋体"/>
          <w:sz w:val="24"/>
          <w:szCs w:val="24"/>
        </w:rPr>
      </w:pPr>
      <w:r>
        <w:rPr>
          <w:rFonts w:hint="eastAsia" w:ascii="宋体" w:hAnsi="宋体" w:cs="宋体"/>
          <w:sz w:val="24"/>
          <w:szCs w:val="24"/>
        </w:rPr>
        <w:t>2、运行时间：09：00-18：00</w:t>
      </w:r>
    </w:p>
    <w:p>
      <w:pPr>
        <w:snapToGrid w:val="0"/>
        <w:spacing w:line="360" w:lineRule="auto"/>
        <w:ind w:firstLine="496" w:firstLineChars="200"/>
        <w:jc w:val="left"/>
        <w:rPr>
          <w:rFonts w:hint="eastAsia" w:ascii="宋体" w:hAnsi="宋体" w:cs="宋体"/>
          <w:bCs/>
          <w:kern w:val="0"/>
          <w:sz w:val="24"/>
          <w:szCs w:val="24"/>
          <w:highlight w:val="yellow"/>
        </w:rPr>
      </w:pPr>
      <w:r>
        <w:rPr>
          <w:rFonts w:hint="eastAsia" w:ascii="宋体" w:hAnsi="宋体" w:cs="宋体"/>
          <w:sz w:val="24"/>
          <w:szCs w:val="24"/>
        </w:rPr>
        <w:t>3、运行费用：按实际运行日计费</w:t>
      </w:r>
    </w:p>
    <w:bookmarkEnd w:id="111"/>
    <w:bookmarkEnd w:id="112"/>
    <w:p>
      <w:pPr>
        <w:spacing w:line="360" w:lineRule="auto"/>
        <w:jc w:val="center"/>
        <w:outlineLvl w:val="0"/>
        <w:rPr>
          <w:rFonts w:hint="eastAsia" w:ascii="宋体" w:hAnsi="宋体" w:cs="宋体"/>
          <w:b/>
          <w:kern w:val="44"/>
          <w:sz w:val="32"/>
        </w:rPr>
      </w:pPr>
      <w:bookmarkStart w:id="113" w:name="_Toc18696"/>
      <w:bookmarkStart w:id="114" w:name="OLE_LINK285"/>
      <w:bookmarkStart w:id="115" w:name="OLE_LINK286"/>
      <w:bookmarkStart w:id="116" w:name="_Toc2234"/>
      <w:bookmarkStart w:id="117" w:name="_Toc23741"/>
      <w:bookmarkStart w:id="118" w:name="_Toc26324"/>
      <w:bookmarkStart w:id="119" w:name="_Toc26312"/>
      <w:r>
        <w:rPr>
          <w:rFonts w:hint="eastAsia"/>
        </w:rPr>
        <w:br w:type="page"/>
      </w:r>
      <w:bookmarkStart w:id="120" w:name="_Toc16509"/>
      <w:r>
        <w:rPr>
          <w:rFonts w:hint="eastAsia" w:ascii="宋体" w:hAnsi="宋体" w:cs="宋体"/>
          <w:b/>
          <w:kern w:val="44"/>
          <w:sz w:val="32"/>
        </w:rPr>
        <w:t>第六部分 合同主要条款</w:t>
      </w:r>
      <w:bookmarkEnd w:id="113"/>
      <w:bookmarkEnd w:id="114"/>
      <w:bookmarkEnd w:id="115"/>
      <w:bookmarkEnd w:id="120"/>
    </w:p>
    <w:p>
      <w:pPr>
        <w:pStyle w:val="9"/>
        <w:rPr>
          <w:rFonts w:hint="eastAsia"/>
          <w:lang w:eastAsia="zh-CN"/>
        </w:rPr>
      </w:pPr>
    </w:p>
    <w:p>
      <w:pPr>
        <w:pStyle w:val="17"/>
        <w:rPr>
          <w:rFonts w:hint="eastAsia" w:ascii="楷体" w:hAnsi="楷体" w:eastAsia="楷体" w:cs="仿宋"/>
          <w:b/>
          <w:sz w:val="44"/>
          <w:szCs w:val="44"/>
        </w:rPr>
      </w:pPr>
    </w:p>
    <w:p>
      <w:pPr>
        <w:pStyle w:val="17"/>
        <w:rPr>
          <w:rFonts w:hint="eastAsia" w:ascii="楷体" w:hAnsi="楷体" w:eastAsia="楷体" w:cs="仿宋"/>
          <w:b/>
          <w:sz w:val="44"/>
          <w:szCs w:val="44"/>
        </w:rPr>
      </w:pPr>
    </w:p>
    <w:p>
      <w:pPr>
        <w:spacing w:line="720" w:lineRule="auto"/>
        <w:jc w:val="center"/>
        <w:rPr>
          <w:rFonts w:hint="eastAsia" w:ascii="楷体" w:hAnsi="楷体" w:eastAsia="楷体" w:cs="仿宋"/>
          <w:b/>
          <w:bCs/>
          <w:sz w:val="52"/>
          <w:szCs w:val="52"/>
        </w:rPr>
      </w:pPr>
      <w:r>
        <w:rPr>
          <w:rFonts w:hint="eastAsia" w:ascii="楷体" w:hAnsi="楷体" w:eastAsia="楷体" w:cs="楷体"/>
          <w:b/>
          <w:bCs/>
          <w:sz w:val="52"/>
          <w:szCs w:val="52"/>
        </w:rPr>
        <w:t>西安市食品药品检验所食品抽样租赁用车项目</w:t>
      </w:r>
    </w:p>
    <w:p>
      <w:pPr>
        <w:spacing w:line="360" w:lineRule="auto"/>
        <w:jc w:val="center"/>
        <w:rPr>
          <w:rFonts w:hint="eastAsia" w:ascii="楷体" w:hAnsi="楷体" w:eastAsia="楷体" w:cs="仿宋"/>
          <w:b/>
          <w:bCs/>
          <w:sz w:val="48"/>
          <w:szCs w:val="44"/>
        </w:rPr>
      </w:pPr>
    </w:p>
    <w:p>
      <w:pPr>
        <w:spacing w:line="360" w:lineRule="auto"/>
        <w:jc w:val="center"/>
        <w:rPr>
          <w:rFonts w:hint="eastAsia" w:ascii="楷体" w:hAnsi="楷体" w:eastAsia="楷体" w:cs="仿宋"/>
          <w:b/>
          <w:bCs/>
          <w:sz w:val="48"/>
          <w:szCs w:val="44"/>
        </w:rPr>
      </w:pPr>
    </w:p>
    <w:p>
      <w:pPr>
        <w:spacing w:line="360" w:lineRule="auto"/>
        <w:jc w:val="center"/>
        <w:rPr>
          <w:rFonts w:hint="eastAsia" w:ascii="楷体" w:hAnsi="楷体" w:eastAsia="楷体" w:cs="仿宋"/>
          <w:b/>
          <w:bCs/>
          <w:sz w:val="48"/>
          <w:szCs w:val="44"/>
        </w:rPr>
      </w:pPr>
      <w:r>
        <w:rPr>
          <w:rFonts w:hint="eastAsia" w:ascii="楷体" w:hAnsi="楷体" w:eastAsia="楷体" w:cs="仿宋"/>
          <w:b/>
          <w:bCs/>
          <w:sz w:val="48"/>
          <w:szCs w:val="44"/>
        </w:rPr>
        <w:t>服 务 合 同</w:t>
      </w:r>
    </w:p>
    <w:p>
      <w:pPr>
        <w:jc w:val="center"/>
        <w:rPr>
          <w:rFonts w:hint="eastAsia" w:ascii="楷体" w:hAnsi="楷体" w:eastAsia="楷体" w:cs="仿宋"/>
          <w:b/>
          <w:sz w:val="48"/>
          <w:szCs w:val="48"/>
        </w:rPr>
      </w:pPr>
    </w:p>
    <w:p>
      <w:pPr>
        <w:jc w:val="center"/>
        <w:rPr>
          <w:rFonts w:hint="eastAsia" w:ascii="楷体" w:hAnsi="楷体" w:eastAsia="楷体" w:cs="仿宋"/>
          <w:b/>
          <w:sz w:val="48"/>
          <w:szCs w:val="48"/>
        </w:rPr>
      </w:pPr>
    </w:p>
    <w:p>
      <w:pPr>
        <w:jc w:val="center"/>
        <w:rPr>
          <w:rFonts w:hint="eastAsia" w:ascii="楷体" w:hAnsi="楷体" w:eastAsia="楷体" w:cs="仿宋"/>
          <w:b/>
          <w:bCs/>
          <w:sz w:val="44"/>
          <w:szCs w:val="44"/>
        </w:rPr>
      </w:pPr>
      <w:r>
        <w:rPr>
          <w:rFonts w:hint="eastAsia" w:ascii="楷体" w:hAnsi="楷体" w:eastAsia="楷体" w:cs="仿宋"/>
          <w:b/>
          <w:sz w:val="48"/>
          <w:szCs w:val="48"/>
        </w:rPr>
        <w:t>（示范文本）</w:t>
      </w:r>
    </w:p>
    <w:p>
      <w:pPr>
        <w:jc w:val="left"/>
        <w:rPr>
          <w:rFonts w:hint="eastAsia" w:ascii="楷体" w:hAnsi="楷体" w:eastAsia="楷体" w:cs="仿宋"/>
          <w:sz w:val="32"/>
          <w:szCs w:val="32"/>
        </w:rPr>
      </w:pPr>
    </w:p>
    <w:p>
      <w:pPr>
        <w:jc w:val="center"/>
        <w:rPr>
          <w:rFonts w:ascii="楷体" w:hAnsi="楷体" w:eastAsia="楷体" w:cs="仿宋"/>
          <w:sz w:val="28"/>
          <w:szCs w:val="32"/>
        </w:rPr>
      </w:pPr>
      <w:r>
        <w:rPr>
          <w:rFonts w:hint="eastAsia" w:ascii="楷体" w:hAnsi="楷体" w:eastAsia="楷体" w:cs="仿宋"/>
          <w:sz w:val="28"/>
          <w:szCs w:val="32"/>
        </w:rPr>
        <w:t>成交供应商和采购人也可根据项目特点自行拟定合同条款。</w:t>
      </w:r>
    </w:p>
    <w:p>
      <w:pPr>
        <w:jc w:val="center"/>
        <w:rPr>
          <w:rFonts w:ascii="楷体" w:hAnsi="楷体" w:eastAsia="楷体" w:cs="仿宋"/>
          <w:sz w:val="44"/>
          <w:szCs w:val="44"/>
        </w:rPr>
      </w:pPr>
    </w:p>
    <w:p>
      <w:pPr>
        <w:rPr>
          <w:rFonts w:ascii="楷体" w:hAnsi="楷体" w:eastAsia="楷体" w:cs="仿宋"/>
          <w:b/>
          <w:sz w:val="48"/>
          <w:szCs w:val="48"/>
        </w:rPr>
      </w:pPr>
    </w:p>
    <w:p>
      <w:pPr>
        <w:pStyle w:val="7"/>
        <w:rPr>
          <w:rFonts w:hint="eastAsia" w:ascii="楷体" w:hAnsi="楷体" w:eastAsia="楷体"/>
        </w:rPr>
      </w:pPr>
    </w:p>
    <w:p>
      <w:pPr>
        <w:spacing w:line="360" w:lineRule="auto"/>
        <w:ind w:firstLine="656" w:firstLineChars="200"/>
        <w:jc w:val="center"/>
        <w:rPr>
          <w:rFonts w:ascii="宋体" w:hAnsi="宋体" w:cs="宋体"/>
          <w:b/>
          <w:bCs/>
          <w:sz w:val="24"/>
          <w:szCs w:val="24"/>
        </w:rPr>
      </w:pPr>
      <w:r>
        <w:rPr>
          <w:rFonts w:hint="eastAsia" w:ascii="楷体" w:hAnsi="楷体" w:eastAsia="楷体"/>
          <w:b/>
          <w:bCs/>
          <w:sz w:val="32"/>
          <w:szCs w:val="24"/>
        </w:rPr>
        <w:br w:type="page"/>
      </w:r>
      <w:r>
        <w:rPr>
          <w:rFonts w:hint="eastAsia" w:ascii="宋体" w:hAnsi="宋体" w:cs="宋体"/>
          <w:b/>
          <w:bCs/>
          <w:sz w:val="24"/>
          <w:szCs w:val="24"/>
        </w:rPr>
        <w:t>服务合同</w:t>
      </w:r>
    </w:p>
    <w:p>
      <w:pPr>
        <w:spacing w:line="360" w:lineRule="auto"/>
        <w:ind w:firstLine="496" w:firstLineChars="200"/>
        <w:rPr>
          <w:rFonts w:ascii="宋体" w:hAnsi="宋体" w:cs="宋体"/>
          <w:sz w:val="24"/>
          <w:szCs w:val="24"/>
        </w:rPr>
      </w:pPr>
      <w:r>
        <w:rPr>
          <w:rFonts w:hint="eastAsia" w:ascii="宋体" w:hAnsi="宋体" w:cs="宋体"/>
          <w:sz w:val="24"/>
          <w:szCs w:val="24"/>
        </w:rPr>
        <w:t>（以下简称甲方）</w:t>
      </w:r>
      <w:r>
        <w:rPr>
          <w:rFonts w:hint="eastAsia" w:ascii="宋体" w:hAnsi="宋体" w:cs="宋体"/>
          <w:sz w:val="24"/>
          <w:szCs w:val="24"/>
          <w:u w:val="single"/>
        </w:rPr>
        <w:t>西安市食品药品检验所食品抽样租赁用车项目</w:t>
      </w:r>
      <w:r>
        <w:rPr>
          <w:rFonts w:hint="eastAsia" w:ascii="宋体" w:hAnsi="宋体" w:cs="宋体"/>
          <w:sz w:val="24"/>
          <w:szCs w:val="24"/>
        </w:rPr>
        <w:t>采购，由组织采购，选定 (以下简称乙方）为该项目成交供应商。参照《中华人民共和国民法典》和《中华人民共和国政府采购法》，经甲、乙双方共同协商，按下述条款和条件签署本合同。</w:t>
      </w:r>
    </w:p>
    <w:p>
      <w:pPr>
        <w:spacing w:line="360" w:lineRule="auto"/>
        <w:ind w:firstLine="496" w:firstLineChars="200"/>
        <w:jc w:val="left"/>
        <w:rPr>
          <w:rFonts w:ascii="宋体" w:hAnsi="宋体" w:cs="宋体"/>
          <w:b/>
          <w:sz w:val="24"/>
          <w:szCs w:val="24"/>
        </w:rPr>
      </w:pPr>
      <w:r>
        <w:rPr>
          <w:rFonts w:hint="eastAsia" w:ascii="宋体" w:hAnsi="宋体" w:cs="宋体"/>
          <w:b/>
          <w:sz w:val="24"/>
          <w:szCs w:val="24"/>
        </w:rPr>
        <w:t>一、合同内容</w:t>
      </w:r>
    </w:p>
    <w:p>
      <w:pPr>
        <w:spacing w:line="360" w:lineRule="auto"/>
        <w:ind w:firstLine="496" w:firstLineChars="200"/>
        <w:jc w:val="left"/>
        <w:rPr>
          <w:rFonts w:ascii="宋体" w:hAnsi="宋体" w:cs="宋体"/>
          <w:sz w:val="24"/>
          <w:szCs w:val="24"/>
        </w:rPr>
      </w:pPr>
      <w:r>
        <w:rPr>
          <w:rFonts w:hint="eastAsia" w:ascii="宋体" w:hAnsi="宋体" w:cs="宋体"/>
          <w:sz w:val="24"/>
          <w:szCs w:val="24"/>
        </w:rPr>
        <w:t>乙方根据甲方需要，将车辆租给甲方使用。甲方租用乙方车辆仅限于用于食品抽样用车，不得从事营运业务。甲方拥有车辆调度权、使用权，对于合法合理的使用乙方不得以任何理由干涉。</w:t>
      </w:r>
    </w:p>
    <w:p>
      <w:pPr>
        <w:spacing w:line="360" w:lineRule="auto"/>
        <w:ind w:firstLine="496" w:firstLineChars="200"/>
        <w:jc w:val="left"/>
        <w:rPr>
          <w:rFonts w:ascii="宋体" w:hAnsi="宋体" w:cs="宋体"/>
          <w:bCs/>
          <w:sz w:val="24"/>
          <w:szCs w:val="24"/>
        </w:rPr>
      </w:pPr>
      <w:r>
        <w:rPr>
          <w:rFonts w:hint="eastAsia" w:ascii="宋体" w:hAnsi="宋体" w:cs="宋体"/>
          <w:sz w:val="24"/>
          <w:szCs w:val="24"/>
        </w:rPr>
        <w:t>租赁期限：</w:t>
      </w:r>
      <w:r>
        <w:rPr>
          <w:rFonts w:hint="eastAsia" w:ascii="宋体" w:hAnsi="宋体" w:cs="宋体"/>
          <w:bCs/>
          <w:sz w:val="24"/>
          <w:szCs w:val="24"/>
        </w:rPr>
        <w:t>自合同签订之日起至采购预算执行完止</w:t>
      </w:r>
    </w:p>
    <w:p>
      <w:pPr>
        <w:spacing w:line="360" w:lineRule="auto"/>
        <w:ind w:firstLine="496" w:firstLineChars="200"/>
        <w:jc w:val="left"/>
        <w:rPr>
          <w:rFonts w:ascii="宋体" w:hAnsi="宋体" w:cs="宋体"/>
          <w:sz w:val="24"/>
          <w:szCs w:val="24"/>
        </w:rPr>
      </w:pPr>
      <w:r>
        <w:rPr>
          <w:rFonts w:hint="eastAsia" w:ascii="宋体" w:hAnsi="宋体" w:cs="宋体"/>
          <w:sz w:val="24"/>
          <w:szCs w:val="24"/>
        </w:rPr>
        <w:t>甲方在租赁期内如需提前终止租赁，应在终止日前30天通知乙方；甲方在租赁期满后如需继续租赁，应在租赁期满前30天通知乙方。</w:t>
      </w:r>
    </w:p>
    <w:p>
      <w:pPr>
        <w:spacing w:line="360" w:lineRule="auto"/>
        <w:ind w:firstLine="496" w:firstLineChars="200"/>
        <w:jc w:val="left"/>
        <w:rPr>
          <w:rFonts w:ascii="宋体" w:hAnsi="宋体" w:cs="宋体"/>
          <w:b/>
          <w:sz w:val="24"/>
          <w:szCs w:val="24"/>
        </w:rPr>
      </w:pPr>
      <w:r>
        <w:rPr>
          <w:rFonts w:hint="eastAsia" w:ascii="宋体" w:hAnsi="宋体" w:cs="宋体"/>
          <w:b/>
          <w:sz w:val="24"/>
          <w:szCs w:val="24"/>
        </w:rPr>
        <w:t>二、合同价格</w:t>
      </w:r>
    </w:p>
    <w:p>
      <w:pPr>
        <w:spacing w:line="360" w:lineRule="auto"/>
        <w:ind w:firstLine="496" w:firstLineChars="200"/>
        <w:jc w:val="left"/>
        <w:rPr>
          <w:rFonts w:ascii="宋体" w:hAnsi="宋体" w:cs="宋体"/>
          <w:sz w:val="24"/>
          <w:szCs w:val="24"/>
        </w:rPr>
      </w:pPr>
      <w:r>
        <w:rPr>
          <w:rFonts w:hint="eastAsia" w:ascii="宋体" w:hAnsi="宋体" w:cs="宋体"/>
          <w:sz w:val="24"/>
          <w:szCs w:val="24"/>
        </w:rPr>
        <w:t>租车单价：</w:t>
      </w:r>
      <w:r>
        <w:rPr>
          <w:rFonts w:hint="eastAsia" w:ascii="宋体" w:hAnsi="宋体" w:cs="宋体"/>
          <w:color w:val="000000"/>
          <w:sz w:val="24"/>
          <w:szCs w:val="24"/>
          <w:u w:val="single"/>
        </w:rPr>
        <w:t>人民币         元整/天/台（¥         元/天/台）</w:t>
      </w:r>
    </w:p>
    <w:p>
      <w:pPr>
        <w:spacing w:line="360" w:lineRule="auto"/>
        <w:ind w:firstLine="496" w:firstLineChars="200"/>
        <w:jc w:val="left"/>
        <w:rPr>
          <w:rFonts w:ascii="宋体" w:hAnsi="宋体" w:cs="宋体"/>
          <w:sz w:val="24"/>
          <w:szCs w:val="24"/>
        </w:rPr>
      </w:pPr>
      <w:r>
        <w:rPr>
          <w:rFonts w:hint="eastAsia" w:ascii="宋体" w:hAnsi="宋体" w:cs="宋体"/>
          <w:sz w:val="24"/>
          <w:szCs w:val="24"/>
        </w:rPr>
        <w:t>合同总价：</w:t>
      </w:r>
      <w:r>
        <w:rPr>
          <w:rFonts w:hint="eastAsia" w:ascii="宋体" w:hAnsi="宋体" w:cs="宋体"/>
          <w:color w:val="000000"/>
          <w:sz w:val="24"/>
          <w:szCs w:val="24"/>
          <w:u w:val="single"/>
        </w:rPr>
        <w:t>人民币         元整（¥         元）</w:t>
      </w:r>
    </w:p>
    <w:p>
      <w:pPr>
        <w:spacing w:line="360" w:lineRule="auto"/>
        <w:ind w:firstLine="496" w:firstLineChars="200"/>
        <w:jc w:val="left"/>
        <w:rPr>
          <w:rFonts w:ascii="宋体" w:hAnsi="宋体" w:cs="宋体"/>
          <w:sz w:val="24"/>
          <w:szCs w:val="24"/>
        </w:rPr>
      </w:pPr>
      <w:r>
        <w:rPr>
          <w:rFonts w:hint="eastAsia" w:ascii="宋体" w:hAnsi="宋体" w:cs="宋体"/>
          <w:sz w:val="24"/>
          <w:szCs w:val="24"/>
        </w:rPr>
        <w:t>说明：合同价格一次包死（含税价），包含但不限于车辆维修保养费、油费、保险费、车辆驾驶员工资及相关福利等与车辆正常运行相关的所有费用，不受市场价格变化的影响，并作为结算的唯一依据。</w:t>
      </w:r>
    </w:p>
    <w:p>
      <w:pPr>
        <w:spacing w:line="360" w:lineRule="auto"/>
        <w:ind w:firstLine="496" w:firstLineChars="200"/>
        <w:jc w:val="left"/>
        <w:rPr>
          <w:rFonts w:ascii="宋体" w:hAnsi="宋体" w:cs="宋体"/>
          <w:b/>
          <w:sz w:val="24"/>
          <w:szCs w:val="24"/>
        </w:rPr>
      </w:pPr>
      <w:r>
        <w:rPr>
          <w:rFonts w:hint="eastAsia" w:ascii="宋体" w:hAnsi="宋体" w:cs="宋体"/>
          <w:b/>
          <w:sz w:val="24"/>
          <w:szCs w:val="24"/>
        </w:rPr>
        <w:t>三、合同款项支付</w:t>
      </w:r>
    </w:p>
    <w:p>
      <w:pPr>
        <w:spacing w:line="360" w:lineRule="auto"/>
        <w:ind w:firstLine="496" w:firstLineChars="200"/>
        <w:jc w:val="left"/>
        <w:rPr>
          <w:rFonts w:ascii="宋体" w:hAnsi="宋体" w:cs="宋体"/>
          <w:sz w:val="24"/>
          <w:szCs w:val="24"/>
        </w:rPr>
      </w:pPr>
      <w:r>
        <w:rPr>
          <w:rFonts w:hint="eastAsia" w:ascii="宋体" w:hAnsi="宋体" w:cs="宋体"/>
          <w:sz w:val="24"/>
          <w:szCs w:val="24"/>
        </w:rPr>
        <w:t>据实结算，每月支付一次，成交供应商根据实际运行的情况（经采购人书面核实后的运行天数及车辆数）开具真实、有效、合法的等额发票交于采购人进行结算，采购人审核完毕后向成交供应商付款。</w:t>
      </w:r>
    </w:p>
    <w:p>
      <w:pPr>
        <w:spacing w:line="360" w:lineRule="auto"/>
        <w:ind w:firstLine="496" w:firstLineChars="200"/>
        <w:jc w:val="left"/>
        <w:rPr>
          <w:rFonts w:ascii="宋体" w:hAnsi="宋体" w:cs="宋体"/>
          <w:sz w:val="24"/>
          <w:szCs w:val="24"/>
        </w:rPr>
      </w:pPr>
      <w:r>
        <w:rPr>
          <w:rFonts w:hint="eastAsia" w:ascii="宋体" w:hAnsi="宋体" w:cs="宋体"/>
          <w:sz w:val="24"/>
          <w:szCs w:val="24"/>
        </w:rPr>
        <w:t>成交供应商指定如下账户为本合同约定的收款账户：</w:t>
      </w:r>
    </w:p>
    <w:p>
      <w:pPr>
        <w:spacing w:line="360" w:lineRule="auto"/>
        <w:ind w:firstLine="496" w:firstLineChars="200"/>
        <w:jc w:val="left"/>
        <w:rPr>
          <w:rFonts w:ascii="宋体" w:hAnsi="宋体" w:cs="宋体"/>
          <w:sz w:val="24"/>
          <w:szCs w:val="24"/>
        </w:rPr>
      </w:pPr>
      <w:r>
        <w:rPr>
          <w:rFonts w:hint="eastAsia" w:ascii="宋体" w:hAnsi="宋体" w:cs="宋体"/>
          <w:sz w:val="24"/>
          <w:szCs w:val="24"/>
        </w:rPr>
        <w:t>户名：</w:t>
      </w:r>
    </w:p>
    <w:p>
      <w:pPr>
        <w:spacing w:line="360" w:lineRule="auto"/>
        <w:ind w:firstLine="496" w:firstLineChars="200"/>
        <w:jc w:val="left"/>
        <w:rPr>
          <w:rFonts w:ascii="宋体" w:hAnsi="宋体" w:cs="宋体"/>
          <w:sz w:val="24"/>
          <w:szCs w:val="24"/>
        </w:rPr>
      </w:pPr>
      <w:r>
        <w:rPr>
          <w:rFonts w:hint="eastAsia" w:ascii="宋体" w:hAnsi="宋体" w:cs="宋体"/>
          <w:sz w:val="24"/>
          <w:szCs w:val="24"/>
        </w:rPr>
        <w:t>开户行行号：</w:t>
      </w:r>
    </w:p>
    <w:p>
      <w:pPr>
        <w:spacing w:line="360" w:lineRule="auto"/>
        <w:ind w:firstLine="496" w:firstLineChars="200"/>
        <w:jc w:val="left"/>
        <w:rPr>
          <w:rFonts w:ascii="宋体" w:hAnsi="宋体" w:cs="宋体"/>
          <w:sz w:val="24"/>
          <w:szCs w:val="24"/>
        </w:rPr>
      </w:pPr>
      <w:r>
        <w:rPr>
          <w:rFonts w:hint="eastAsia" w:ascii="宋体" w:hAnsi="宋体" w:cs="宋体"/>
          <w:sz w:val="24"/>
          <w:szCs w:val="24"/>
        </w:rPr>
        <w:t>银行账号：</w:t>
      </w:r>
    </w:p>
    <w:p>
      <w:pPr>
        <w:spacing w:line="360" w:lineRule="auto"/>
        <w:ind w:firstLine="496" w:firstLineChars="200"/>
        <w:jc w:val="left"/>
        <w:rPr>
          <w:rFonts w:ascii="宋体" w:hAnsi="宋体" w:cs="宋体"/>
          <w:b/>
          <w:sz w:val="24"/>
          <w:szCs w:val="24"/>
        </w:rPr>
      </w:pPr>
      <w:r>
        <w:rPr>
          <w:rFonts w:hint="eastAsia" w:ascii="宋体" w:hAnsi="宋体" w:cs="宋体"/>
          <w:b/>
          <w:sz w:val="24"/>
          <w:szCs w:val="24"/>
        </w:rPr>
        <w:t>四、交付条件</w:t>
      </w:r>
    </w:p>
    <w:p>
      <w:pPr>
        <w:spacing w:line="360" w:lineRule="auto"/>
        <w:ind w:firstLine="496" w:firstLineChars="200"/>
        <w:jc w:val="left"/>
        <w:rPr>
          <w:rFonts w:ascii="宋体" w:hAnsi="宋体" w:cs="宋体"/>
          <w:sz w:val="24"/>
          <w:szCs w:val="24"/>
        </w:rPr>
      </w:pPr>
      <w:r>
        <w:rPr>
          <w:rFonts w:hint="eastAsia" w:ascii="宋体" w:hAnsi="宋体" w:cs="宋体"/>
          <w:sz w:val="24"/>
          <w:szCs w:val="24"/>
        </w:rPr>
        <w:t>（一）服务地点：由乙方负责将车辆运送至西安市食品药品检验所指定地点。</w:t>
      </w:r>
    </w:p>
    <w:p>
      <w:pPr>
        <w:spacing w:line="360" w:lineRule="auto"/>
        <w:ind w:firstLine="496" w:firstLineChars="200"/>
        <w:jc w:val="left"/>
        <w:rPr>
          <w:rFonts w:ascii="宋体" w:hAnsi="宋体" w:cs="宋体"/>
          <w:sz w:val="24"/>
          <w:szCs w:val="24"/>
        </w:rPr>
      </w:pPr>
      <w:r>
        <w:rPr>
          <w:rFonts w:hint="eastAsia" w:ascii="宋体" w:hAnsi="宋体" w:cs="宋体"/>
          <w:sz w:val="24"/>
          <w:szCs w:val="24"/>
        </w:rPr>
        <w:t>（二）服务期：同第一条第二项。</w:t>
      </w:r>
    </w:p>
    <w:p>
      <w:pPr>
        <w:spacing w:line="360" w:lineRule="auto"/>
        <w:ind w:firstLine="496" w:firstLineChars="200"/>
        <w:jc w:val="left"/>
        <w:rPr>
          <w:rFonts w:ascii="宋体" w:hAnsi="宋体" w:cs="宋体"/>
          <w:b/>
          <w:sz w:val="24"/>
          <w:szCs w:val="24"/>
        </w:rPr>
      </w:pPr>
      <w:r>
        <w:rPr>
          <w:rFonts w:hint="eastAsia" w:ascii="宋体" w:hAnsi="宋体" w:cs="宋体"/>
          <w:b/>
          <w:sz w:val="24"/>
          <w:szCs w:val="24"/>
        </w:rPr>
        <w:t>五、质量保证</w:t>
      </w:r>
    </w:p>
    <w:p>
      <w:pPr>
        <w:spacing w:line="360" w:lineRule="auto"/>
        <w:ind w:firstLine="496" w:firstLineChars="200"/>
        <w:jc w:val="left"/>
        <w:rPr>
          <w:rFonts w:ascii="宋体" w:hAnsi="宋体" w:cs="宋体"/>
          <w:sz w:val="24"/>
          <w:szCs w:val="24"/>
        </w:rPr>
      </w:pPr>
      <w:r>
        <w:rPr>
          <w:rFonts w:hint="eastAsia" w:ascii="宋体" w:hAnsi="宋体" w:cs="宋体"/>
          <w:sz w:val="24"/>
          <w:szCs w:val="24"/>
        </w:rPr>
        <w:t>1、乙方应保证其提供车辆的性能良好，经车辆检测部门认定合格，保证乘车人员乘坐舒适安全放心；</w:t>
      </w:r>
    </w:p>
    <w:p>
      <w:pPr>
        <w:spacing w:line="360" w:lineRule="auto"/>
        <w:ind w:firstLine="496" w:firstLineChars="200"/>
        <w:jc w:val="left"/>
        <w:rPr>
          <w:rFonts w:ascii="宋体" w:hAnsi="宋体" w:cs="宋体"/>
          <w:sz w:val="24"/>
          <w:szCs w:val="24"/>
        </w:rPr>
      </w:pPr>
      <w:r>
        <w:rPr>
          <w:rFonts w:hint="eastAsia" w:ascii="宋体" w:hAnsi="宋体" w:cs="宋体"/>
          <w:sz w:val="24"/>
          <w:szCs w:val="24"/>
        </w:rPr>
        <w:t>2、甲方有权对乙方提供车辆的当年检审验证明、保险单据、驾驶员审验证明、服务态度和服务质量进行监督和检查，乙方应如实向甲方提供租赁车辆的相关信息；</w:t>
      </w:r>
    </w:p>
    <w:p>
      <w:pPr>
        <w:spacing w:line="360" w:lineRule="auto"/>
        <w:ind w:firstLine="496" w:firstLineChars="200"/>
        <w:jc w:val="left"/>
        <w:rPr>
          <w:rFonts w:ascii="宋体" w:hAnsi="宋体" w:cs="宋体"/>
          <w:sz w:val="24"/>
          <w:szCs w:val="24"/>
        </w:rPr>
      </w:pPr>
      <w:r>
        <w:rPr>
          <w:rFonts w:hint="eastAsia" w:ascii="宋体" w:hAnsi="宋体" w:cs="宋体"/>
          <w:sz w:val="24"/>
          <w:szCs w:val="24"/>
        </w:rPr>
        <w:t>3、甲方有权要求乙方调换不符合要求的车辆和驾驶员；</w:t>
      </w:r>
    </w:p>
    <w:p>
      <w:pPr>
        <w:spacing w:line="360" w:lineRule="auto"/>
        <w:ind w:firstLine="496" w:firstLineChars="200"/>
        <w:jc w:val="left"/>
        <w:rPr>
          <w:rFonts w:ascii="宋体" w:hAnsi="宋体" w:cs="宋体"/>
          <w:sz w:val="24"/>
          <w:szCs w:val="24"/>
        </w:rPr>
      </w:pPr>
      <w:r>
        <w:rPr>
          <w:rFonts w:hint="eastAsia" w:ascii="宋体" w:hAnsi="宋体" w:cs="宋体"/>
          <w:sz w:val="24"/>
          <w:szCs w:val="24"/>
        </w:rPr>
        <w:t>4、乙方应按照甲方的用车计划和行车时间安排运行车辆，确保甲方工作用车需要；</w:t>
      </w:r>
    </w:p>
    <w:p>
      <w:pPr>
        <w:spacing w:line="360" w:lineRule="auto"/>
        <w:ind w:firstLine="496" w:firstLineChars="200"/>
        <w:jc w:val="left"/>
        <w:rPr>
          <w:rFonts w:ascii="宋体" w:hAnsi="宋体" w:cs="宋体"/>
          <w:sz w:val="24"/>
          <w:szCs w:val="24"/>
        </w:rPr>
      </w:pPr>
      <w:r>
        <w:rPr>
          <w:rFonts w:hint="eastAsia" w:ascii="宋体" w:hAnsi="宋体" w:cs="宋体"/>
          <w:sz w:val="24"/>
          <w:szCs w:val="24"/>
        </w:rPr>
        <w:t>5、乙方应在每次出车前做好车辆安全检查工作，保证车辆安全正常行驶。因乙方原因造成交通事故或其他损失的，由乙方承担相应责任。</w:t>
      </w:r>
    </w:p>
    <w:p>
      <w:pPr>
        <w:spacing w:line="360" w:lineRule="auto"/>
        <w:ind w:firstLine="496" w:firstLineChars="200"/>
        <w:jc w:val="left"/>
        <w:rPr>
          <w:rFonts w:ascii="宋体" w:hAnsi="宋体" w:cs="宋体"/>
          <w:b/>
          <w:sz w:val="24"/>
          <w:szCs w:val="24"/>
        </w:rPr>
      </w:pPr>
      <w:r>
        <w:rPr>
          <w:rFonts w:hint="eastAsia" w:ascii="宋体" w:hAnsi="宋体" w:cs="宋体"/>
          <w:b/>
          <w:sz w:val="24"/>
          <w:szCs w:val="24"/>
        </w:rPr>
        <w:t>六、技术服务</w:t>
      </w:r>
    </w:p>
    <w:p>
      <w:pPr>
        <w:spacing w:line="360" w:lineRule="auto"/>
        <w:ind w:firstLine="496" w:firstLineChars="200"/>
        <w:jc w:val="left"/>
        <w:rPr>
          <w:rFonts w:ascii="宋体" w:hAnsi="宋体" w:cs="宋体"/>
          <w:sz w:val="24"/>
          <w:szCs w:val="24"/>
        </w:rPr>
      </w:pPr>
      <w:r>
        <w:rPr>
          <w:rFonts w:hint="eastAsia" w:ascii="宋体" w:hAnsi="宋体" w:cs="宋体"/>
          <w:sz w:val="24"/>
          <w:szCs w:val="24"/>
        </w:rPr>
        <w:t>1、对技术服务的要求：乙方提供的驾驶员必须符合相应车辆技术性能相关标准，并有极强的责任感和工作能力，勤奋负责，热爱本职工作。</w:t>
      </w:r>
    </w:p>
    <w:p>
      <w:pPr>
        <w:spacing w:line="360" w:lineRule="auto"/>
        <w:ind w:firstLine="496" w:firstLineChars="200"/>
        <w:jc w:val="left"/>
        <w:rPr>
          <w:rFonts w:ascii="宋体" w:hAnsi="宋体" w:cs="宋体"/>
          <w:sz w:val="24"/>
          <w:szCs w:val="24"/>
        </w:rPr>
      </w:pPr>
      <w:r>
        <w:rPr>
          <w:rFonts w:hint="eastAsia" w:ascii="宋体" w:hAnsi="宋体" w:cs="宋体"/>
          <w:sz w:val="24"/>
          <w:szCs w:val="24"/>
        </w:rPr>
        <w:t>2、乙方应严格检查驾驶员的任职资格，严把准入关，加强职业道德教育，每月定期召开安全例会，利用多种形式将知识传授给驾驶人员，杜绝事故发生。</w:t>
      </w:r>
    </w:p>
    <w:p>
      <w:pPr>
        <w:spacing w:line="360" w:lineRule="auto"/>
        <w:ind w:firstLine="496" w:firstLineChars="200"/>
        <w:jc w:val="left"/>
        <w:rPr>
          <w:rFonts w:ascii="宋体" w:hAnsi="宋体" w:cs="宋体"/>
          <w:sz w:val="24"/>
          <w:szCs w:val="24"/>
        </w:rPr>
      </w:pPr>
      <w:r>
        <w:rPr>
          <w:rFonts w:hint="eastAsia" w:ascii="宋体" w:hAnsi="宋体" w:cs="宋体"/>
          <w:sz w:val="24"/>
          <w:szCs w:val="24"/>
        </w:rPr>
        <w:t>3、乙方安全管理人员在管理车辆中要严格检查、不徇私情，要有高度的责任感，对待车辆人员要一视同仁，办事不推诿、不扯皮，做到文明规范服务。</w:t>
      </w:r>
    </w:p>
    <w:p>
      <w:pPr>
        <w:spacing w:line="360" w:lineRule="auto"/>
        <w:ind w:firstLine="496" w:firstLineChars="200"/>
        <w:jc w:val="left"/>
        <w:rPr>
          <w:rFonts w:ascii="宋体" w:hAnsi="宋体" w:cs="宋体"/>
          <w:sz w:val="24"/>
          <w:szCs w:val="24"/>
        </w:rPr>
      </w:pPr>
      <w:r>
        <w:rPr>
          <w:rFonts w:hint="eastAsia" w:ascii="宋体" w:hAnsi="宋体" w:cs="宋体"/>
          <w:sz w:val="24"/>
          <w:szCs w:val="24"/>
        </w:rPr>
        <w:t>4、乙方应对现有驾驶员按照驾龄及无事故经历进行资历排行，安排驾驶年限长、无任何重大安全事故且符合甲方要求的驾驶员进行驾驶。</w:t>
      </w:r>
    </w:p>
    <w:p>
      <w:pPr>
        <w:spacing w:line="360" w:lineRule="auto"/>
        <w:ind w:firstLine="496" w:firstLineChars="200"/>
        <w:jc w:val="left"/>
        <w:rPr>
          <w:rFonts w:ascii="宋体" w:hAnsi="宋体" w:cs="宋体"/>
          <w:sz w:val="24"/>
          <w:szCs w:val="24"/>
        </w:rPr>
      </w:pPr>
      <w:r>
        <w:rPr>
          <w:rFonts w:hint="eastAsia" w:ascii="宋体" w:hAnsi="宋体" w:cs="宋体"/>
          <w:sz w:val="24"/>
          <w:szCs w:val="24"/>
        </w:rPr>
        <w:t>5、乙方应合理安排驾驶员，做到驾驶员年龄结构合理，保证工作经验丰富，也要保证应不定期高强度驾驶工作。</w:t>
      </w:r>
    </w:p>
    <w:p>
      <w:pPr>
        <w:spacing w:line="360" w:lineRule="auto"/>
        <w:ind w:firstLine="496" w:firstLineChars="200"/>
        <w:jc w:val="left"/>
        <w:rPr>
          <w:rFonts w:ascii="宋体" w:hAnsi="宋体" w:cs="宋体"/>
          <w:sz w:val="24"/>
          <w:szCs w:val="24"/>
        </w:rPr>
      </w:pPr>
      <w:r>
        <w:rPr>
          <w:rFonts w:hint="eastAsia" w:ascii="宋体" w:hAnsi="宋体" w:cs="宋体"/>
          <w:sz w:val="24"/>
          <w:szCs w:val="24"/>
        </w:rPr>
        <w:t>6、在合同期内，若乙方提供的驾驶员不符合合同约定或甲方要求，自该情况发生之日起，乙方不再提供该驾驶员供甲方使用，并应根据甲方要求另行安排符合条件的驾驶员。</w:t>
      </w:r>
    </w:p>
    <w:p>
      <w:pPr>
        <w:spacing w:line="360" w:lineRule="auto"/>
        <w:ind w:firstLine="496" w:firstLineChars="200"/>
        <w:jc w:val="left"/>
        <w:rPr>
          <w:rFonts w:ascii="宋体" w:hAnsi="宋体" w:cs="宋体"/>
          <w:sz w:val="24"/>
          <w:szCs w:val="24"/>
        </w:rPr>
      </w:pPr>
      <w:r>
        <w:rPr>
          <w:rFonts w:hint="eastAsia" w:ascii="宋体" w:hAnsi="宋体" w:cs="宋体"/>
          <w:sz w:val="24"/>
          <w:szCs w:val="24"/>
        </w:rPr>
        <w:t>7、乙方提供的驾驶员应具有良好的专业素养及丰富的行车经验（有三年以上的驾龄，三年内无重大交通事故，持有公安机关交通管理部门核发的机动车驾驶证，符合准驾要求，持有体检证明），足以胜任根据甲方要求驾驶租用车辆的工作的专业驾驶员，提供有效必要证件供甲方进行核查。</w:t>
      </w:r>
    </w:p>
    <w:p>
      <w:pPr>
        <w:spacing w:line="360" w:lineRule="auto"/>
        <w:ind w:firstLine="496" w:firstLineChars="200"/>
        <w:jc w:val="left"/>
        <w:rPr>
          <w:rFonts w:ascii="宋体" w:hAnsi="宋体" w:cs="宋体"/>
          <w:sz w:val="24"/>
          <w:szCs w:val="24"/>
        </w:rPr>
      </w:pPr>
      <w:r>
        <w:rPr>
          <w:rFonts w:hint="eastAsia" w:ascii="宋体" w:hAnsi="宋体" w:cs="宋体"/>
          <w:sz w:val="24"/>
          <w:szCs w:val="24"/>
        </w:rPr>
        <w:t>8、乙方应与其提供的驾驶员确定劳务合同关系，保障服务的连贯性。</w:t>
      </w:r>
    </w:p>
    <w:p>
      <w:pPr>
        <w:spacing w:line="360" w:lineRule="auto"/>
        <w:ind w:firstLine="496" w:firstLineChars="200"/>
        <w:jc w:val="left"/>
        <w:rPr>
          <w:rFonts w:ascii="宋体" w:hAnsi="宋体" w:cs="宋体"/>
          <w:sz w:val="24"/>
          <w:szCs w:val="24"/>
        </w:rPr>
      </w:pPr>
      <w:r>
        <w:rPr>
          <w:rFonts w:hint="eastAsia" w:ascii="宋体" w:hAnsi="宋体" w:cs="宋体"/>
          <w:sz w:val="24"/>
          <w:szCs w:val="24"/>
        </w:rPr>
        <w:t>9、若乙方驾驶员提出请假、休年假，无法保障甲方正常工作需求时，乙方应至少提前3日通知甲方，并妥善安排接替工作，在乙方驾驶员休假当日提供符合本合同要求的驾驶员；如因乙方或乙方驾驶员个人原因影响甲方正常工作的，乙方应承担额外赔偿责任。</w:t>
      </w:r>
    </w:p>
    <w:p>
      <w:pPr>
        <w:spacing w:line="360" w:lineRule="auto"/>
        <w:ind w:firstLine="496" w:firstLineChars="200"/>
        <w:jc w:val="left"/>
        <w:rPr>
          <w:rFonts w:ascii="宋体" w:hAnsi="宋体" w:cs="宋体"/>
          <w:bCs/>
          <w:sz w:val="24"/>
          <w:szCs w:val="24"/>
        </w:rPr>
      </w:pPr>
      <w:r>
        <w:rPr>
          <w:rFonts w:hint="eastAsia" w:ascii="宋体" w:hAnsi="宋体" w:cs="宋体"/>
          <w:sz w:val="24"/>
          <w:szCs w:val="24"/>
        </w:rPr>
        <w:t>10、</w:t>
      </w:r>
      <w:r>
        <w:rPr>
          <w:rFonts w:hint="eastAsia" w:ascii="宋体" w:hAnsi="宋体" w:cs="宋体"/>
          <w:bCs/>
          <w:sz w:val="24"/>
          <w:szCs w:val="24"/>
        </w:rPr>
        <w:t>乙方在车辆行驶中突然发生故障或未能按时到指定地点时，应立即通知甲方，并安排应急车辆供乘车人员使用，负责将乘车人员安全送到目的地。由此产生的费用和造成的损失由乙方全部承担。</w:t>
      </w:r>
    </w:p>
    <w:p>
      <w:pPr>
        <w:spacing w:line="360" w:lineRule="auto"/>
        <w:ind w:firstLine="496" w:firstLineChars="200"/>
        <w:jc w:val="left"/>
        <w:rPr>
          <w:rFonts w:ascii="宋体" w:hAnsi="宋体" w:cs="宋体"/>
          <w:bCs/>
          <w:sz w:val="24"/>
          <w:szCs w:val="24"/>
        </w:rPr>
      </w:pPr>
      <w:r>
        <w:rPr>
          <w:rFonts w:hint="eastAsia" w:ascii="宋体" w:hAnsi="宋体" w:cs="宋体"/>
          <w:bCs/>
          <w:sz w:val="24"/>
          <w:szCs w:val="24"/>
        </w:rPr>
        <w:t>11、非因甲方原因出现车辆故障的，在车辆维修期间，乙方应及时安排应急车辆供甲方使用，由此产生的费用由乙方全部承担。</w:t>
      </w:r>
    </w:p>
    <w:p>
      <w:pPr>
        <w:spacing w:line="360" w:lineRule="auto"/>
        <w:ind w:firstLine="496" w:firstLineChars="200"/>
        <w:jc w:val="left"/>
        <w:rPr>
          <w:rFonts w:ascii="宋体" w:hAnsi="宋体" w:cs="宋体"/>
          <w:sz w:val="24"/>
          <w:szCs w:val="24"/>
        </w:rPr>
      </w:pPr>
      <w:r>
        <w:rPr>
          <w:rFonts w:hint="eastAsia" w:ascii="宋体" w:hAnsi="宋体" w:cs="宋体"/>
          <w:sz w:val="24"/>
          <w:szCs w:val="24"/>
        </w:rPr>
        <w:t>12、乙方未经甲方同意，不得擅自调换租赁车辆。</w:t>
      </w:r>
    </w:p>
    <w:p>
      <w:pPr>
        <w:spacing w:line="360" w:lineRule="auto"/>
        <w:ind w:firstLine="496" w:firstLineChars="200"/>
        <w:jc w:val="left"/>
        <w:rPr>
          <w:rFonts w:ascii="宋体" w:hAnsi="宋体" w:cs="宋体"/>
          <w:sz w:val="24"/>
          <w:szCs w:val="24"/>
        </w:rPr>
      </w:pPr>
      <w:r>
        <w:rPr>
          <w:rFonts w:hint="eastAsia" w:ascii="宋体" w:hAnsi="宋体" w:cs="宋体"/>
          <w:sz w:val="24"/>
          <w:szCs w:val="24"/>
        </w:rPr>
        <w:t>13、乙方要对车辆进行定期消毒和检查。</w:t>
      </w:r>
    </w:p>
    <w:p>
      <w:pPr>
        <w:spacing w:line="360" w:lineRule="auto"/>
        <w:ind w:firstLine="496" w:firstLineChars="200"/>
        <w:jc w:val="left"/>
        <w:rPr>
          <w:rFonts w:ascii="宋体" w:hAnsi="宋体" w:cs="宋体"/>
          <w:b/>
          <w:sz w:val="24"/>
          <w:szCs w:val="24"/>
        </w:rPr>
      </w:pPr>
      <w:r>
        <w:rPr>
          <w:rFonts w:hint="eastAsia" w:ascii="宋体" w:hAnsi="宋体" w:cs="宋体"/>
          <w:b/>
          <w:sz w:val="24"/>
          <w:szCs w:val="24"/>
        </w:rPr>
        <w:t>七、违约责任</w:t>
      </w:r>
    </w:p>
    <w:p>
      <w:pPr>
        <w:snapToGrid w:val="0"/>
        <w:spacing w:line="360" w:lineRule="auto"/>
        <w:ind w:firstLine="496" w:firstLineChars="200"/>
        <w:rPr>
          <w:rFonts w:ascii="宋体" w:hAnsi="宋体" w:cs="宋体"/>
          <w:bCs/>
          <w:sz w:val="24"/>
          <w:szCs w:val="24"/>
        </w:rPr>
      </w:pPr>
      <w:r>
        <w:rPr>
          <w:rFonts w:hint="eastAsia" w:ascii="宋体" w:hAnsi="宋体" w:cs="宋体"/>
          <w:bCs/>
          <w:sz w:val="24"/>
          <w:szCs w:val="24"/>
        </w:rPr>
        <w:t>1、乙方应当保证租赁车辆和驾驶员符合合同约定的要求，否则甲方有权要求更换。甲方要求乙方更换车辆驾驶员，自乙方收到通知之日起两日内未更换或更换后仍不符合约定的，甲方有权另行雇佣车辆，费用由乙方承担；至第五日乙方仍未更换或更换后仍不符合约定的，甲方有权单方解除本合同，并追究乙方的违约责任。</w:t>
      </w:r>
    </w:p>
    <w:p>
      <w:pPr>
        <w:snapToGrid w:val="0"/>
        <w:spacing w:line="360" w:lineRule="auto"/>
        <w:ind w:firstLine="496" w:firstLineChars="200"/>
        <w:rPr>
          <w:rFonts w:ascii="宋体" w:hAnsi="宋体" w:cs="宋体"/>
          <w:bCs/>
          <w:sz w:val="24"/>
          <w:szCs w:val="24"/>
        </w:rPr>
      </w:pPr>
      <w:r>
        <w:rPr>
          <w:rFonts w:hint="eastAsia" w:ascii="宋体" w:hAnsi="宋体" w:cs="宋体"/>
          <w:bCs/>
          <w:sz w:val="24"/>
          <w:szCs w:val="24"/>
        </w:rPr>
        <w:t>2、乙方不得擅自将租赁车辆调回，否则将向甲方赔偿双倍租金。</w:t>
      </w:r>
    </w:p>
    <w:p>
      <w:pPr>
        <w:snapToGrid w:val="0"/>
        <w:spacing w:line="360" w:lineRule="auto"/>
        <w:ind w:firstLine="496" w:firstLineChars="200"/>
        <w:rPr>
          <w:rFonts w:ascii="宋体" w:hAnsi="宋体" w:cs="宋体"/>
          <w:bCs/>
          <w:sz w:val="24"/>
          <w:szCs w:val="24"/>
        </w:rPr>
      </w:pPr>
      <w:r>
        <w:rPr>
          <w:rFonts w:hint="eastAsia" w:ascii="宋体" w:hAnsi="宋体" w:cs="宋体"/>
          <w:bCs/>
          <w:sz w:val="24"/>
          <w:szCs w:val="24"/>
        </w:rPr>
        <w:t>3、甲方应当按合同规定的时间和金额付款。</w:t>
      </w:r>
    </w:p>
    <w:p>
      <w:pPr>
        <w:spacing w:line="360" w:lineRule="auto"/>
        <w:ind w:firstLine="496" w:firstLineChars="200"/>
        <w:jc w:val="left"/>
        <w:rPr>
          <w:rFonts w:ascii="宋体" w:hAnsi="宋体" w:cs="宋体"/>
          <w:bCs/>
          <w:sz w:val="24"/>
          <w:szCs w:val="24"/>
        </w:rPr>
      </w:pPr>
      <w:r>
        <w:rPr>
          <w:rFonts w:hint="eastAsia" w:ascii="宋体" w:hAnsi="宋体" w:cs="宋体"/>
          <w:bCs/>
          <w:sz w:val="24"/>
          <w:szCs w:val="24"/>
        </w:rPr>
        <w:t>4、遇有不可抗力的特殊情况，如战争、地震、火灾、水灾等诸多自然因素致使合同不能履行，双方互不承担违约责任。</w:t>
      </w:r>
    </w:p>
    <w:p>
      <w:pPr>
        <w:spacing w:line="360" w:lineRule="auto"/>
        <w:ind w:firstLine="496" w:firstLineChars="200"/>
        <w:jc w:val="left"/>
        <w:rPr>
          <w:rFonts w:ascii="宋体" w:hAnsi="宋体" w:cs="宋体"/>
          <w:b/>
          <w:sz w:val="24"/>
          <w:szCs w:val="24"/>
        </w:rPr>
      </w:pPr>
      <w:r>
        <w:rPr>
          <w:rFonts w:hint="eastAsia" w:ascii="宋体" w:hAnsi="宋体" w:cs="宋体"/>
          <w:b/>
          <w:sz w:val="24"/>
          <w:szCs w:val="24"/>
        </w:rPr>
        <w:t>八、交付资料</w:t>
      </w:r>
    </w:p>
    <w:p>
      <w:pPr>
        <w:spacing w:line="360" w:lineRule="auto"/>
        <w:ind w:firstLine="496" w:firstLineChars="200"/>
        <w:jc w:val="left"/>
        <w:rPr>
          <w:rFonts w:ascii="宋体" w:hAnsi="宋体" w:cs="宋体"/>
          <w:bCs/>
          <w:sz w:val="24"/>
          <w:szCs w:val="24"/>
        </w:rPr>
      </w:pPr>
      <w:r>
        <w:rPr>
          <w:rFonts w:hint="eastAsia" w:ascii="宋体" w:hAnsi="宋体" w:cs="宋体"/>
          <w:bCs/>
          <w:sz w:val="24"/>
          <w:szCs w:val="24"/>
        </w:rPr>
        <w:t>车辆有效证件配备齐全，包括驾驶证、行驶证及国家或当地公安机关车辆管理部门要求随车配备的证件及驾驶人的身体健康证明等相关资料，乙方应将上述资料的复印件加盖公章并交至甲方，同时携带原件供甲方核查。</w:t>
      </w:r>
    </w:p>
    <w:p>
      <w:pPr>
        <w:spacing w:line="360" w:lineRule="auto"/>
        <w:ind w:firstLine="496" w:firstLineChars="200"/>
        <w:jc w:val="left"/>
        <w:rPr>
          <w:rFonts w:ascii="宋体" w:hAnsi="宋体" w:cs="宋体"/>
          <w:b/>
          <w:sz w:val="24"/>
          <w:szCs w:val="24"/>
        </w:rPr>
      </w:pPr>
      <w:r>
        <w:rPr>
          <w:rFonts w:hint="eastAsia" w:ascii="宋体" w:hAnsi="宋体" w:cs="宋体"/>
          <w:b/>
          <w:sz w:val="24"/>
          <w:szCs w:val="24"/>
        </w:rPr>
        <w:t>九、争议解决</w:t>
      </w:r>
    </w:p>
    <w:p>
      <w:pPr>
        <w:spacing w:line="360" w:lineRule="auto"/>
        <w:ind w:firstLine="496" w:firstLineChars="200"/>
        <w:jc w:val="left"/>
        <w:rPr>
          <w:rFonts w:ascii="宋体" w:hAnsi="宋体" w:cs="宋体"/>
          <w:sz w:val="24"/>
          <w:szCs w:val="24"/>
        </w:rPr>
      </w:pPr>
      <w:r>
        <w:rPr>
          <w:rFonts w:hint="eastAsia" w:ascii="宋体" w:hAnsi="宋体" w:cs="宋体"/>
          <w:sz w:val="24"/>
          <w:szCs w:val="24"/>
        </w:rPr>
        <w:t>甲乙双方因履行本合同发生争议的，由双方协商解决，协商不成的，双方一致同意提交甲方所在地的人民法院诉讼解决。</w:t>
      </w:r>
    </w:p>
    <w:p>
      <w:pPr>
        <w:spacing w:line="360" w:lineRule="auto"/>
        <w:ind w:firstLine="496" w:firstLineChars="200"/>
        <w:jc w:val="left"/>
        <w:rPr>
          <w:rFonts w:ascii="宋体" w:hAnsi="宋体" w:cs="宋体"/>
          <w:b/>
          <w:sz w:val="24"/>
          <w:szCs w:val="24"/>
        </w:rPr>
      </w:pPr>
      <w:r>
        <w:rPr>
          <w:rFonts w:hint="eastAsia" w:ascii="宋体" w:hAnsi="宋体" w:cs="宋体"/>
          <w:b/>
          <w:sz w:val="24"/>
          <w:szCs w:val="24"/>
        </w:rPr>
        <w:t>十、其他事项</w:t>
      </w:r>
    </w:p>
    <w:p>
      <w:pPr>
        <w:spacing w:line="360" w:lineRule="auto"/>
        <w:ind w:firstLine="496" w:firstLineChars="200"/>
        <w:jc w:val="left"/>
        <w:rPr>
          <w:rFonts w:ascii="宋体" w:hAnsi="宋体" w:cs="宋体"/>
          <w:sz w:val="24"/>
          <w:szCs w:val="24"/>
        </w:rPr>
      </w:pPr>
      <w:r>
        <w:rPr>
          <w:rFonts w:hint="eastAsia" w:ascii="宋体" w:hAnsi="宋体" w:cs="宋体"/>
          <w:sz w:val="24"/>
          <w:szCs w:val="24"/>
        </w:rPr>
        <w:t>（一）采购人监督部门在合同的履行期间以及履行期后，可以随时检查项目的执行情况，对采购标准、采购内容进行调查核实，并对发现的问题进行处理。</w:t>
      </w:r>
    </w:p>
    <w:p>
      <w:pPr>
        <w:spacing w:line="360" w:lineRule="auto"/>
        <w:ind w:firstLine="496" w:firstLineChars="200"/>
        <w:jc w:val="left"/>
        <w:rPr>
          <w:rFonts w:ascii="宋体" w:hAnsi="宋体" w:cs="宋体"/>
          <w:sz w:val="24"/>
          <w:szCs w:val="24"/>
        </w:rPr>
      </w:pPr>
      <w:r>
        <w:rPr>
          <w:rFonts w:hint="eastAsia" w:ascii="宋体" w:hAnsi="宋体" w:cs="宋体"/>
          <w:sz w:val="24"/>
          <w:szCs w:val="24"/>
        </w:rPr>
        <w:t>（二）本合同一式陆份，自甲乙双方签字并盖章后生效，甲方执壹份，乙方执肆份，采购代理机构执壹份，具有同等法律效力。</w:t>
      </w:r>
    </w:p>
    <w:p>
      <w:pPr>
        <w:spacing w:line="360" w:lineRule="auto"/>
        <w:ind w:firstLine="496" w:firstLineChars="200"/>
        <w:jc w:val="left"/>
        <w:rPr>
          <w:rFonts w:ascii="宋体" w:hAnsi="宋体" w:cs="宋体"/>
          <w:sz w:val="24"/>
          <w:szCs w:val="24"/>
        </w:rPr>
      </w:pPr>
      <w:r>
        <w:rPr>
          <w:rFonts w:hint="eastAsia" w:ascii="宋体" w:hAnsi="宋体" w:cs="宋体"/>
          <w:sz w:val="24"/>
          <w:szCs w:val="24"/>
        </w:rPr>
        <w:t>（三）磋商文件、磋商响应文件</w:t>
      </w:r>
      <w:r>
        <w:rPr>
          <w:rFonts w:hint="eastAsia" w:ascii="宋体" w:hAnsi="宋体" w:cs="宋体"/>
          <w:bCs/>
          <w:sz w:val="24"/>
          <w:szCs w:val="24"/>
        </w:rPr>
        <w:t>也是合同的组成部分，合同中未约定的以</w:t>
      </w:r>
      <w:r>
        <w:rPr>
          <w:rFonts w:hint="eastAsia" w:ascii="宋体" w:hAnsi="宋体" w:cs="宋体"/>
          <w:sz w:val="24"/>
          <w:szCs w:val="24"/>
        </w:rPr>
        <w:t>磋商文件、磋商响应文件</w:t>
      </w:r>
      <w:r>
        <w:rPr>
          <w:rFonts w:hint="eastAsia" w:ascii="宋体" w:hAnsi="宋体" w:cs="宋体"/>
          <w:bCs/>
          <w:sz w:val="24"/>
          <w:szCs w:val="24"/>
        </w:rPr>
        <w:t>为准。</w:t>
      </w:r>
    </w:p>
    <w:p>
      <w:pPr>
        <w:spacing w:line="360" w:lineRule="auto"/>
        <w:ind w:firstLine="496" w:firstLineChars="200"/>
        <w:jc w:val="left"/>
        <w:rPr>
          <w:rFonts w:ascii="宋体" w:hAnsi="宋体" w:cs="宋体"/>
          <w:sz w:val="24"/>
          <w:szCs w:val="24"/>
        </w:rPr>
      </w:pPr>
    </w:p>
    <w:p>
      <w:pPr>
        <w:spacing w:line="360" w:lineRule="auto"/>
        <w:ind w:firstLine="496" w:firstLineChars="200"/>
        <w:jc w:val="left"/>
        <w:rPr>
          <w:rFonts w:ascii="宋体" w:hAnsi="宋体" w:cs="宋体"/>
          <w:sz w:val="24"/>
          <w:szCs w:val="24"/>
        </w:rPr>
      </w:pPr>
    </w:p>
    <w:p>
      <w:pPr>
        <w:spacing w:line="360" w:lineRule="auto"/>
        <w:jc w:val="left"/>
        <w:rPr>
          <w:rFonts w:ascii="宋体" w:hAnsi="宋体" w:cs="宋体"/>
          <w:sz w:val="24"/>
          <w:szCs w:val="24"/>
        </w:rPr>
      </w:pPr>
      <w:r>
        <w:rPr>
          <w:rFonts w:hint="eastAsia" w:ascii="宋体" w:hAnsi="宋体" w:cs="宋体"/>
          <w:sz w:val="24"/>
          <w:szCs w:val="24"/>
        </w:rPr>
        <w:t>甲    方                   乙    方               鉴证方</w:t>
      </w:r>
    </w:p>
    <w:p>
      <w:pPr>
        <w:spacing w:line="360" w:lineRule="auto"/>
        <w:jc w:val="left"/>
        <w:rPr>
          <w:rFonts w:ascii="宋体" w:hAnsi="宋体" w:cs="宋体"/>
          <w:sz w:val="24"/>
          <w:szCs w:val="24"/>
        </w:rPr>
      </w:pPr>
      <w:r>
        <w:rPr>
          <w:rFonts w:hint="eastAsia" w:ascii="宋体" w:hAnsi="宋体" w:cs="宋体"/>
          <w:sz w:val="24"/>
          <w:szCs w:val="24"/>
        </w:rPr>
        <w:t>单位名称：                 单位名称：             单位名称：</w:t>
      </w:r>
    </w:p>
    <w:p>
      <w:pPr>
        <w:spacing w:line="360" w:lineRule="auto"/>
        <w:jc w:val="left"/>
        <w:rPr>
          <w:rFonts w:ascii="宋体" w:hAnsi="宋体" w:cs="宋体"/>
          <w:sz w:val="24"/>
          <w:szCs w:val="24"/>
        </w:rPr>
      </w:pPr>
      <w:r>
        <w:rPr>
          <w:rFonts w:hint="eastAsia" w:ascii="宋体" w:hAnsi="宋体" w:cs="宋体"/>
          <w:sz w:val="24"/>
          <w:szCs w:val="24"/>
        </w:rPr>
        <w:t xml:space="preserve">地   址：  </w:t>
      </w:r>
      <w:r>
        <w:rPr>
          <w:rFonts w:hint="eastAsia" w:ascii="宋体" w:hAnsi="宋体" w:cs="宋体"/>
          <w:sz w:val="24"/>
          <w:szCs w:val="24"/>
        </w:rPr>
        <w:tab/>
      </w:r>
      <w:r>
        <w:rPr>
          <w:rFonts w:hint="eastAsia" w:ascii="宋体" w:hAnsi="宋体" w:cs="宋体"/>
          <w:sz w:val="24"/>
          <w:szCs w:val="24"/>
        </w:rPr>
        <w:t xml:space="preserve">             地    址：             地    址：</w:t>
      </w:r>
    </w:p>
    <w:p>
      <w:pPr>
        <w:spacing w:line="360" w:lineRule="auto"/>
        <w:jc w:val="left"/>
        <w:rPr>
          <w:rFonts w:ascii="宋体" w:hAnsi="宋体" w:cs="宋体"/>
          <w:sz w:val="24"/>
          <w:szCs w:val="24"/>
        </w:rPr>
      </w:pPr>
      <w:r>
        <w:rPr>
          <w:rFonts w:hint="eastAsia" w:ascii="宋体" w:hAnsi="宋体" w:cs="宋体"/>
          <w:sz w:val="24"/>
          <w:szCs w:val="24"/>
        </w:rPr>
        <w:t>法人代表：                 法人代表：             法人代表：</w:t>
      </w:r>
    </w:p>
    <w:p>
      <w:pPr>
        <w:spacing w:line="360" w:lineRule="auto"/>
        <w:jc w:val="left"/>
        <w:rPr>
          <w:rFonts w:ascii="宋体" w:hAnsi="宋体" w:cs="宋体"/>
          <w:sz w:val="24"/>
          <w:szCs w:val="24"/>
        </w:rPr>
      </w:pPr>
      <w:r>
        <w:rPr>
          <w:rFonts w:hint="eastAsia" w:ascii="宋体" w:hAnsi="宋体" w:cs="宋体"/>
          <w:sz w:val="24"/>
          <w:szCs w:val="24"/>
        </w:rPr>
        <w:t>联系电话：                 联系电话：             联系电话：</w:t>
      </w:r>
    </w:p>
    <w:p>
      <w:pPr>
        <w:spacing w:line="360" w:lineRule="auto"/>
        <w:jc w:val="left"/>
        <w:rPr>
          <w:rFonts w:ascii="宋体" w:hAnsi="宋体" w:cs="宋体"/>
          <w:sz w:val="24"/>
          <w:szCs w:val="24"/>
        </w:rPr>
      </w:pPr>
      <w:r>
        <w:rPr>
          <w:rFonts w:hint="eastAsia" w:ascii="宋体" w:hAnsi="宋体" w:cs="宋体"/>
          <w:sz w:val="24"/>
          <w:szCs w:val="24"/>
        </w:rPr>
        <w:t>开 户 行：                 开 户 行：             开 户 行：</w:t>
      </w:r>
    </w:p>
    <w:p>
      <w:pPr>
        <w:spacing w:line="360" w:lineRule="auto"/>
        <w:jc w:val="left"/>
        <w:rPr>
          <w:rFonts w:ascii="宋体" w:hAnsi="宋体" w:cs="宋体"/>
          <w:sz w:val="24"/>
          <w:szCs w:val="24"/>
        </w:rPr>
      </w:pPr>
      <w:r>
        <w:rPr>
          <w:rFonts w:hint="eastAsia" w:ascii="宋体" w:hAnsi="宋体" w:cs="宋体"/>
          <w:sz w:val="24"/>
          <w:szCs w:val="24"/>
        </w:rPr>
        <w:t xml:space="preserve">账    号：                 账    号：             账    号： </w:t>
      </w:r>
    </w:p>
    <w:p>
      <w:pPr>
        <w:spacing w:line="360" w:lineRule="auto"/>
        <w:rPr>
          <w:rFonts w:ascii="宋体" w:hAnsi="宋体" w:cs="宋体"/>
        </w:rPr>
      </w:pPr>
      <w:r>
        <w:rPr>
          <w:rFonts w:hint="eastAsia" w:ascii="宋体" w:hAnsi="宋体" w:cs="宋体"/>
          <w:bCs/>
          <w:sz w:val="24"/>
          <w:szCs w:val="24"/>
        </w:rPr>
        <w:t>签订日期：</w:t>
      </w:r>
      <w:r>
        <w:rPr>
          <w:rFonts w:hint="eastAsia" w:ascii="宋体" w:hAnsi="宋体" w:cs="宋体"/>
          <w:sz w:val="24"/>
          <w:szCs w:val="24"/>
        </w:rPr>
        <w:t>年 月 日</w:t>
      </w:r>
      <w:r>
        <w:rPr>
          <w:rFonts w:hint="eastAsia" w:ascii="宋体" w:hAnsi="宋体" w:cs="宋体"/>
          <w:bCs/>
          <w:sz w:val="24"/>
          <w:szCs w:val="24"/>
        </w:rPr>
        <w:tab/>
      </w:r>
      <w:r>
        <w:rPr>
          <w:rFonts w:hint="eastAsia" w:ascii="宋体" w:hAnsi="宋体" w:cs="宋体"/>
          <w:bCs/>
          <w:sz w:val="24"/>
          <w:szCs w:val="24"/>
        </w:rPr>
        <w:t xml:space="preserve">      签订日期：</w:t>
      </w:r>
      <w:r>
        <w:rPr>
          <w:rFonts w:hint="eastAsia" w:ascii="宋体" w:hAnsi="宋体" w:cs="宋体"/>
          <w:sz w:val="24"/>
          <w:szCs w:val="24"/>
        </w:rPr>
        <w:t xml:space="preserve">年 月 日     </w:t>
      </w:r>
      <w:r>
        <w:rPr>
          <w:rFonts w:hint="eastAsia" w:ascii="宋体" w:hAnsi="宋体" w:cs="宋体"/>
          <w:bCs/>
          <w:sz w:val="24"/>
          <w:szCs w:val="24"/>
        </w:rPr>
        <w:t>签订日期：</w:t>
      </w:r>
      <w:r>
        <w:rPr>
          <w:rFonts w:hint="eastAsia" w:ascii="宋体" w:hAnsi="宋体" w:cs="宋体"/>
          <w:sz w:val="24"/>
          <w:szCs w:val="24"/>
        </w:rPr>
        <w:t>年 月 日</w:t>
      </w:r>
    </w:p>
    <w:p>
      <w:pPr>
        <w:pStyle w:val="3"/>
        <w:keepNext w:val="0"/>
        <w:pageBreakBefore/>
        <w:rPr>
          <w:rFonts w:ascii="宋体" w:hAnsi="宋体" w:cs="宋体"/>
        </w:rPr>
      </w:pPr>
      <w:bookmarkStart w:id="121" w:name="_Toc11192"/>
      <w:r>
        <w:rPr>
          <w:rFonts w:hint="eastAsia" w:ascii="宋体" w:hAnsi="宋体" w:cs="宋体"/>
        </w:rPr>
        <w:t>第七部分 磋商响应文件格式</w:t>
      </w:r>
      <w:bookmarkEnd w:id="116"/>
      <w:bookmarkEnd w:id="117"/>
      <w:bookmarkEnd w:id="118"/>
      <w:bookmarkEnd w:id="119"/>
      <w:bookmarkEnd w:id="121"/>
    </w:p>
    <w:p>
      <w:pPr>
        <w:adjustRightInd w:val="0"/>
        <w:snapToGrid w:val="0"/>
        <w:spacing w:line="400" w:lineRule="exact"/>
        <w:jc w:val="left"/>
        <w:rPr>
          <w:rFonts w:ascii="宋体" w:hAnsi="宋体" w:cs="宋体"/>
          <w:b/>
          <w:w w:val="120"/>
          <w:sz w:val="28"/>
          <w:szCs w:val="28"/>
        </w:rPr>
      </w:pPr>
      <w:bookmarkStart w:id="122" w:name="_Toc24239"/>
      <w:bookmarkStart w:id="123" w:name="_Toc7459"/>
      <w:r>
        <w:rPr>
          <w:rFonts w:hint="eastAsia" w:ascii="宋体" w:hAnsi="宋体" w:cs="宋体"/>
          <w:b/>
          <w:w w:val="120"/>
          <w:sz w:val="28"/>
          <w:szCs w:val="28"/>
        </w:rPr>
        <w:t>项目编号：SXWZ2022ZB-SYJ-013     （正本或副本）</w:t>
      </w:r>
    </w:p>
    <w:p>
      <w:pPr>
        <w:adjustRightInd w:val="0"/>
        <w:snapToGrid w:val="0"/>
        <w:spacing w:line="480" w:lineRule="auto"/>
        <w:rPr>
          <w:rFonts w:ascii="宋体" w:hAnsi="宋体" w:cs="宋体"/>
          <w:b/>
          <w:sz w:val="44"/>
          <w:szCs w:val="44"/>
        </w:rPr>
      </w:pPr>
    </w:p>
    <w:p>
      <w:pPr>
        <w:adjustRightInd w:val="0"/>
        <w:snapToGrid w:val="0"/>
        <w:spacing w:line="480" w:lineRule="auto"/>
        <w:jc w:val="center"/>
        <w:rPr>
          <w:rFonts w:hint="eastAsia" w:ascii="宋体" w:hAnsi="宋体" w:cs="宋体"/>
          <w:b/>
          <w:sz w:val="44"/>
          <w:szCs w:val="44"/>
        </w:rPr>
      </w:pPr>
      <w:r>
        <w:rPr>
          <w:rFonts w:hint="eastAsia" w:ascii="宋体" w:hAnsi="宋体" w:cs="宋体"/>
          <w:b/>
          <w:sz w:val="44"/>
          <w:szCs w:val="44"/>
        </w:rPr>
        <w:t>西安市食品药品检验所</w:t>
      </w:r>
    </w:p>
    <w:p>
      <w:pPr>
        <w:adjustRightInd w:val="0"/>
        <w:snapToGrid w:val="0"/>
        <w:spacing w:line="480" w:lineRule="auto"/>
        <w:jc w:val="center"/>
        <w:rPr>
          <w:rFonts w:hint="eastAsia" w:ascii="宋体" w:hAnsi="宋体" w:cs="宋体"/>
          <w:b/>
          <w:sz w:val="44"/>
          <w:szCs w:val="44"/>
        </w:rPr>
      </w:pPr>
      <w:r>
        <w:rPr>
          <w:rFonts w:hint="eastAsia" w:ascii="宋体" w:hAnsi="宋体" w:cs="宋体"/>
          <w:b/>
          <w:sz w:val="44"/>
          <w:szCs w:val="44"/>
        </w:rPr>
        <w:t>食品抽样租赁用车项目</w:t>
      </w:r>
    </w:p>
    <w:p>
      <w:pPr>
        <w:adjustRightInd w:val="0"/>
        <w:snapToGrid w:val="0"/>
        <w:spacing w:line="480" w:lineRule="auto"/>
        <w:jc w:val="center"/>
        <w:rPr>
          <w:rFonts w:ascii="宋体" w:hAnsi="宋体" w:cs="宋体"/>
          <w:b/>
          <w:sz w:val="52"/>
          <w:szCs w:val="52"/>
        </w:rPr>
      </w:pPr>
    </w:p>
    <w:p>
      <w:pPr>
        <w:adjustRightInd w:val="0"/>
        <w:snapToGrid w:val="0"/>
        <w:spacing w:line="480" w:lineRule="auto"/>
        <w:jc w:val="center"/>
        <w:rPr>
          <w:rFonts w:ascii="宋体" w:hAnsi="宋体" w:cs="宋体"/>
          <w:sz w:val="52"/>
          <w:szCs w:val="52"/>
        </w:rPr>
      </w:pPr>
      <w:r>
        <w:rPr>
          <w:rFonts w:hint="eastAsia" w:ascii="宋体" w:hAnsi="宋体" w:cs="宋体"/>
          <w:b/>
          <w:sz w:val="52"/>
          <w:szCs w:val="52"/>
        </w:rPr>
        <w:t>磋商响应文件</w:t>
      </w:r>
    </w:p>
    <w:p>
      <w:pPr>
        <w:snapToGrid w:val="0"/>
        <w:spacing w:line="480" w:lineRule="auto"/>
        <w:ind w:firstLine="656" w:firstLineChars="200"/>
        <w:jc w:val="left"/>
        <w:rPr>
          <w:rFonts w:ascii="宋体" w:hAnsi="宋体" w:cs="宋体"/>
          <w:sz w:val="32"/>
          <w:szCs w:val="32"/>
        </w:rPr>
      </w:pPr>
    </w:p>
    <w:p>
      <w:pPr>
        <w:rPr>
          <w:rFonts w:ascii="宋体" w:hAnsi="宋体" w:cs="宋体"/>
          <w:sz w:val="32"/>
          <w:szCs w:val="32"/>
        </w:rPr>
      </w:pPr>
    </w:p>
    <w:p>
      <w:pPr>
        <w:rPr>
          <w:rFonts w:ascii="宋体" w:hAnsi="宋体" w:cs="宋体"/>
          <w:sz w:val="32"/>
          <w:szCs w:val="32"/>
        </w:rPr>
      </w:pPr>
    </w:p>
    <w:p>
      <w:pPr>
        <w:rPr>
          <w:rFonts w:ascii="宋体" w:hAnsi="宋体" w:cs="宋体"/>
          <w:sz w:val="32"/>
          <w:szCs w:val="32"/>
        </w:rPr>
      </w:pPr>
    </w:p>
    <w:p>
      <w:pPr>
        <w:rPr>
          <w:rFonts w:ascii="宋体" w:hAnsi="宋体" w:cs="宋体"/>
          <w:sz w:val="32"/>
          <w:szCs w:val="32"/>
        </w:rPr>
      </w:pPr>
    </w:p>
    <w:p/>
    <w:p>
      <w:pPr>
        <w:snapToGrid w:val="0"/>
        <w:spacing w:line="480" w:lineRule="auto"/>
        <w:ind w:firstLine="1312" w:firstLineChars="400"/>
        <w:rPr>
          <w:rFonts w:ascii="宋体" w:hAnsi="宋体" w:cs="宋体"/>
          <w:sz w:val="32"/>
          <w:szCs w:val="32"/>
          <w:lang w:val="zh-CN"/>
        </w:rPr>
      </w:pPr>
      <w:r>
        <w:rPr>
          <w:rFonts w:hint="eastAsia" w:ascii="宋体" w:hAnsi="宋体" w:cs="宋体"/>
          <w:sz w:val="32"/>
          <w:szCs w:val="32"/>
          <w:lang w:val="zh-CN"/>
        </w:rPr>
        <w:t>供应商（单位名称及公章）：</w:t>
      </w:r>
    </w:p>
    <w:p>
      <w:pPr>
        <w:snapToGrid w:val="0"/>
        <w:spacing w:line="480" w:lineRule="auto"/>
        <w:jc w:val="center"/>
      </w:pPr>
      <w:r>
        <w:rPr>
          <w:rFonts w:hint="eastAsia" w:ascii="宋体" w:hAnsi="宋体" w:cs="宋体"/>
          <w:sz w:val="32"/>
          <w:szCs w:val="32"/>
        </w:rPr>
        <w:t xml:space="preserve"> 法定代表人或被授权人（签字或盖章）：</w:t>
      </w:r>
    </w:p>
    <w:p>
      <w:pPr>
        <w:snapToGrid w:val="0"/>
        <w:spacing w:line="480" w:lineRule="auto"/>
        <w:ind w:firstLine="1312" w:firstLineChars="400"/>
        <w:rPr>
          <w:rFonts w:ascii="宋体" w:hAnsi="宋体" w:cs="宋体"/>
          <w:sz w:val="32"/>
          <w:szCs w:val="32"/>
          <w:u w:val="single"/>
        </w:rPr>
      </w:pPr>
      <w:r>
        <w:rPr>
          <w:rFonts w:hint="eastAsia" w:ascii="宋体" w:hAnsi="宋体" w:cs="宋体"/>
          <w:sz w:val="32"/>
          <w:szCs w:val="32"/>
        </w:rPr>
        <w:t>日   期</w:t>
      </w:r>
      <w:r>
        <w:rPr>
          <w:rFonts w:hint="eastAsia" w:ascii="宋体" w:hAnsi="宋体" w:cs="宋体"/>
          <w:sz w:val="32"/>
          <w:szCs w:val="32"/>
          <w:lang w:val="zh-CN"/>
        </w:rPr>
        <w:t>：</w:t>
      </w:r>
    </w:p>
    <w:p>
      <w:pPr>
        <w:pageBreakBefore/>
        <w:ind w:firstLine="1016" w:firstLineChars="200"/>
        <w:jc w:val="center"/>
        <w:rPr>
          <w:rFonts w:ascii="宋体" w:cs="宋体"/>
          <w:b/>
          <w:color w:val="000000"/>
          <w:sz w:val="50"/>
        </w:rPr>
      </w:pPr>
      <w:bookmarkStart w:id="124" w:name="_Toc17527_WPSOffice_Level1"/>
      <w:r>
        <w:rPr>
          <w:rFonts w:hint="eastAsia" w:ascii="宋体" w:hAnsi="宋体" w:cs="宋体"/>
          <w:b/>
          <w:color w:val="000000"/>
          <w:sz w:val="50"/>
        </w:rPr>
        <w:t>目录</w:t>
      </w:r>
      <w:bookmarkEnd w:id="124"/>
    </w:p>
    <w:p>
      <w:pPr>
        <w:ind w:firstLine="1016" w:firstLineChars="200"/>
        <w:jc w:val="left"/>
        <w:rPr>
          <w:rFonts w:ascii="宋体" w:cs="宋体"/>
          <w:b/>
          <w:color w:val="000000"/>
          <w:sz w:val="50"/>
        </w:rPr>
      </w:pPr>
    </w:p>
    <w:p>
      <w:pPr>
        <w:pStyle w:val="13"/>
        <w:snapToGrid w:val="0"/>
        <w:spacing w:line="480" w:lineRule="auto"/>
        <w:ind w:firstLine="576" w:firstLineChars="200"/>
        <w:jc w:val="left"/>
        <w:rPr>
          <w:rFonts w:hAnsi="宋体" w:cs="宋体"/>
          <w:b/>
          <w:bCs/>
          <w:color w:val="000000"/>
          <w:sz w:val="28"/>
          <w:szCs w:val="28"/>
        </w:rPr>
      </w:pPr>
      <w:bookmarkStart w:id="125" w:name="_Toc3727_WPSOffice_Level1"/>
      <w:bookmarkStart w:id="126" w:name="_Toc2536"/>
      <w:bookmarkStart w:id="127" w:name="_Toc2272"/>
      <w:bookmarkStart w:id="128" w:name="_Toc27653"/>
      <w:r>
        <w:rPr>
          <w:rFonts w:hint="eastAsia" w:hAnsi="宋体" w:cs="宋体"/>
          <w:b/>
          <w:bCs/>
          <w:color w:val="000000"/>
          <w:sz w:val="28"/>
          <w:szCs w:val="28"/>
        </w:rPr>
        <w:t>第一章  响应函</w:t>
      </w:r>
      <w:bookmarkEnd w:id="125"/>
    </w:p>
    <w:p>
      <w:pPr>
        <w:snapToGrid w:val="0"/>
        <w:spacing w:line="480" w:lineRule="auto"/>
        <w:ind w:firstLine="576" w:firstLineChars="200"/>
        <w:jc w:val="left"/>
        <w:rPr>
          <w:rFonts w:hAnsi="宋体" w:cs="宋体"/>
          <w:b/>
          <w:color w:val="000000"/>
          <w:sz w:val="28"/>
          <w:szCs w:val="28"/>
        </w:rPr>
      </w:pPr>
      <w:bookmarkStart w:id="129" w:name="_Toc23436_WPSOffice_Level1"/>
      <w:r>
        <w:rPr>
          <w:rFonts w:hint="eastAsia" w:ascii="宋体" w:hAnsi="宋体" w:cs="宋体"/>
          <w:b/>
          <w:color w:val="000000"/>
          <w:sz w:val="28"/>
          <w:szCs w:val="28"/>
        </w:rPr>
        <w:t>第二</w:t>
      </w:r>
      <w:r>
        <w:rPr>
          <w:rFonts w:hint="eastAsia" w:hAnsi="宋体" w:cs="宋体"/>
          <w:b/>
          <w:bCs/>
          <w:color w:val="000000"/>
          <w:sz w:val="28"/>
          <w:szCs w:val="28"/>
        </w:rPr>
        <w:t xml:space="preserve">章  </w:t>
      </w:r>
      <w:r>
        <w:rPr>
          <w:rFonts w:hint="eastAsia" w:ascii="宋体" w:hAnsi="宋体" w:cs="宋体"/>
          <w:b/>
          <w:color w:val="000000"/>
          <w:sz w:val="28"/>
          <w:szCs w:val="28"/>
        </w:rPr>
        <w:t>磋商一览表</w:t>
      </w:r>
      <w:bookmarkEnd w:id="129"/>
    </w:p>
    <w:p>
      <w:pPr>
        <w:pStyle w:val="13"/>
        <w:snapToGrid w:val="0"/>
        <w:spacing w:line="480" w:lineRule="auto"/>
        <w:ind w:firstLine="576" w:firstLineChars="200"/>
        <w:jc w:val="left"/>
        <w:rPr>
          <w:rFonts w:hAnsi="宋体" w:cs="宋体"/>
          <w:b/>
          <w:color w:val="000000"/>
          <w:sz w:val="28"/>
          <w:szCs w:val="28"/>
        </w:rPr>
      </w:pPr>
      <w:bookmarkStart w:id="130" w:name="_Toc11444_WPSOffice_Level1"/>
      <w:r>
        <w:rPr>
          <w:rFonts w:hint="eastAsia" w:hAnsi="宋体" w:cs="宋体"/>
          <w:b/>
          <w:color w:val="000000"/>
          <w:sz w:val="28"/>
          <w:szCs w:val="28"/>
        </w:rPr>
        <w:t>第三</w:t>
      </w:r>
      <w:r>
        <w:rPr>
          <w:rFonts w:hint="eastAsia" w:hAnsi="宋体" w:cs="宋体"/>
          <w:b/>
          <w:bCs/>
          <w:color w:val="000000"/>
          <w:sz w:val="28"/>
          <w:szCs w:val="28"/>
        </w:rPr>
        <w:t>章  分项报价表</w:t>
      </w:r>
      <w:bookmarkEnd w:id="130"/>
    </w:p>
    <w:p>
      <w:pPr>
        <w:pStyle w:val="13"/>
        <w:snapToGrid w:val="0"/>
        <w:spacing w:line="480" w:lineRule="auto"/>
        <w:ind w:firstLine="576" w:firstLineChars="200"/>
        <w:jc w:val="left"/>
        <w:rPr>
          <w:rFonts w:hAnsi="宋体" w:cs="宋体"/>
          <w:b/>
          <w:color w:val="000000"/>
          <w:sz w:val="28"/>
          <w:szCs w:val="28"/>
        </w:rPr>
      </w:pPr>
      <w:r>
        <w:rPr>
          <w:rFonts w:hint="eastAsia" w:hAnsi="宋体" w:cs="宋体"/>
          <w:b/>
          <w:color w:val="000000"/>
          <w:sz w:val="28"/>
          <w:szCs w:val="28"/>
        </w:rPr>
        <w:t>第四</w:t>
      </w:r>
      <w:r>
        <w:rPr>
          <w:rFonts w:hint="eastAsia" w:hAnsi="宋体" w:cs="宋体"/>
          <w:b/>
          <w:bCs/>
          <w:color w:val="000000"/>
          <w:sz w:val="28"/>
          <w:szCs w:val="28"/>
        </w:rPr>
        <w:t xml:space="preserve">章  </w:t>
      </w:r>
      <w:r>
        <w:rPr>
          <w:rFonts w:hint="eastAsia" w:hAnsi="宋体" w:cs="宋体"/>
          <w:b/>
          <w:color w:val="000000"/>
          <w:sz w:val="28"/>
          <w:szCs w:val="28"/>
        </w:rPr>
        <w:t>供应商资质证明资料</w:t>
      </w:r>
    </w:p>
    <w:p>
      <w:pPr>
        <w:pStyle w:val="13"/>
        <w:snapToGrid w:val="0"/>
        <w:spacing w:line="480" w:lineRule="auto"/>
        <w:ind w:firstLine="576" w:firstLineChars="200"/>
        <w:jc w:val="left"/>
        <w:rPr>
          <w:rFonts w:hAnsi="宋体" w:cs="宋体"/>
          <w:b/>
          <w:bCs/>
          <w:color w:val="000000"/>
          <w:sz w:val="28"/>
          <w:szCs w:val="28"/>
        </w:rPr>
      </w:pPr>
      <w:bookmarkStart w:id="131" w:name="_Toc5905_WPSOffice_Level1"/>
      <w:r>
        <w:rPr>
          <w:rFonts w:hint="eastAsia" w:hAnsi="宋体" w:cs="宋体"/>
          <w:b/>
          <w:color w:val="000000"/>
          <w:sz w:val="28"/>
          <w:szCs w:val="28"/>
        </w:rPr>
        <w:t>第五</w:t>
      </w:r>
      <w:r>
        <w:rPr>
          <w:rFonts w:hint="eastAsia" w:hAnsi="宋体" w:cs="宋体"/>
          <w:b/>
          <w:bCs/>
          <w:color w:val="000000"/>
          <w:sz w:val="28"/>
          <w:szCs w:val="28"/>
        </w:rPr>
        <w:t>章  商务和服务响应偏离表</w:t>
      </w:r>
    </w:p>
    <w:p>
      <w:pPr>
        <w:pStyle w:val="13"/>
        <w:snapToGrid w:val="0"/>
        <w:spacing w:line="480" w:lineRule="auto"/>
        <w:ind w:firstLine="576" w:firstLineChars="200"/>
        <w:jc w:val="left"/>
        <w:rPr>
          <w:rFonts w:hAnsi="宋体" w:cs="宋体"/>
          <w:b/>
          <w:color w:val="000000"/>
          <w:sz w:val="28"/>
          <w:szCs w:val="28"/>
        </w:rPr>
      </w:pPr>
      <w:r>
        <w:rPr>
          <w:rFonts w:hint="eastAsia" w:hAnsi="宋体" w:cs="宋体"/>
          <w:b/>
          <w:color w:val="000000"/>
          <w:sz w:val="28"/>
          <w:szCs w:val="28"/>
        </w:rPr>
        <w:t>第</w:t>
      </w:r>
      <w:bookmarkEnd w:id="131"/>
      <w:r>
        <w:rPr>
          <w:rFonts w:hint="eastAsia" w:hAnsi="宋体" w:cs="宋体"/>
          <w:b/>
          <w:color w:val="000000"/>
          <w:sz w:val="28"/>
          <w:szCs w:val="28"/>
        </w:rPr>
        <w:t>六</w:t>
      </w:r>
      <w:r>
        <w:rPr>
          <w:rFonts w:hint="eastAsia" w:hAnsi="宋体" w:cs="宋体"/>
          <w:b/>
          <w:bCs/>
          <w:color w:val="000000"/>
          <w:sz w:val="28"/>
          <w:szCs w:val="28"/>
        </w:rPr>
        <w:t xml:space="preserve">章  </w:t>
      </w:r>
      <w:r>
        <w:rPr>
          <w:rFonts w:hint="eastAsia" w:hAnsi="宋体" w:cs="宋体"/>
          <w:b/>
          <w:color w:val="000000"/>
          <w:sz w:val="28"/>
          <w:szCs w:val="28"/>
        </w:rPr>
        <w:t>服务方案</w:t>
      </w:r>
    </w:p>
    <w:p>
      <w:pPr>
        <w:snapToGrid w:val="0"/>
        <w:spacing w:line="480" w:lineRule="auto"/>
        <w:ind w:firstLine="576" w:firstLineChars="200"/>
        <w:jc w:val="left"/>
        <w:rPr>
          <w:rFonts w:ascii="宋体" w:cs="宋体"/>
          <w:b/>
          <w:bCs/>
          <w:color w:val="000000"/>
          <w:sz w:val="28"/>
          <w:szCs w:val="28"/>
        </w:rPr>
      </w:pPr>
      <w:bookmarkStart w:id="132" w:name="_Toc1523_WPSOffice_Level1"/>
      <w:r>
        <w:rPr>
          <w:rFonts w:hint="eastAsia" w:ascii="宋体" w:hAnsi="宋体" w:cs="宋体"/>
          <w:b/>
          <w:bCs/>
          <w:color w:val="000000"/>
          <w:sz w:val="28"/>
          <w:szCs w:val="28"/>
        </w:rPr>
        <w:t>第七</w:t>
      </w:r>
      <w:r>
        <w:rPr>
          <w:rFonts w:hint="eastAsia" w:hAnsi="宋体" w:cs="宋体"/>
          <w:b/>
          <w:bCs/>
          <w:color w:val="000000"/>
          <w:sz w:val="28"/>
          <w:szCs w:val="28"/>
        </w:rPr>
        <w:t xml:space="preserve">章  </w:t>
      </w:r>
      <w:r>
        <w:rPr>
          <w:rFonts w:hint="eastAsia" w:ascii="宋体" w:hAnsi="宋体" w:cs="宋体"/>
          <w:b/>
          <w:bCs/>
          <w:color w:val="000000"/>
          <w:sz w:val="28"/>
          <w:szCs w:val="28"/>
        </w:rPr>
        <w:t>供应商业绩一览表</w:t>
      </w:r>
      <w:bookmarkEnd w:id="132"/>
    </w:p>
    <w:p>
      <w:pPr>
        <w:snapToGrid w:val="0"/>
        <w:spacing w:line="480" w:lineRule="auto"/>
        <w:ind w:firstLine="576" w:firstLineChars="200"/>
        <w:jc w:val="left"/>
        <w:rPr>
          <w:rFonts w:ascii="宋体" w:cs="宋体"/>
          <w:b/>
          <w:bCs/>
          <w:color w:val="000000"/>
          <w:sz w:val="28"/>
          <w:szCs w:val="28"/>
        </w:rPr>
      </w:pPr>
      <w:bookmarkStart w:id="133" w:name="_Toc13214_WPSOffice_Level1"/>
      <w:r>
        <w:rPr>
          <w:rFonts w:hint="eastAsia" w:ascii="宋体" w:hAnsi="宋体" w:cs="宋体"/>
          <w:b/>
          <w:bCs/>
          <w:color w:val="000000"/>
          <w:sz w:val="28"/>
          <w:szCs w:val="28"/>
        </w:rPr>
        <w:t>第八</w:t>
      </w:r>
      <w:r>
        <w:rPr>
          <w:rFonts w:hint="eastAsia" w:hAnsi="宋体" w:cs="宋体"/>
          <w:b/>
          <w:bCs/>
          <w:color w:val="000000"/>
          <w:sz w:val="28"/>
          <w:szCs w:val="28"/>
        </w:rPr>
        <w:t xml:space="preserve">章  </w:t>
      </w:r>
      <w:r>
        <w:rPr>
          <w:rFonts w:hint="eastAsia" w:ascii="宋体" w:hAnsi="宋体" w:cs="宋体"/>
          <w:b/>
          <w:bCs/>
          <w:color w:val="000000"/>
          <w:sz w:val="28"/>
          <w:szCs w:val="28"/>
        </w:rPr>
        <w:t>供应商认为有必要说明的其他问题</w:t>
      </w:r>
      <w:bookmarkEnd w:id="133"/>
    </w:p>
    <w:p>
      <w:pPr>
        <w:pStyle w:val="4"/>
        <w:rPr>
          <w:color w:val="000000"/>
        </w:rPr>
      </w:pPr>
      <w:bookmarkStart w:id="134" w:name="_Toc32244"/>
      <w:bookmarkStart w:id="135" w:name="_Toc4950"/>
      <w:bookmarkStart w:id="136" w:name="_Toc27215"/>
      <w:bookmarkStart w:id="137" w:name="_Toc31486"/>
      <w:bookmarkStart w:id="138" w:name="_Toc25438"/>
      <w:r>
        <w:rPr>
          <w:rFonts w:hint="eastAsia"/>
          <w:color w:val="000000"/>
        </w:rPr>
        <w:br w:type="page"/>
      </w:r>
      <w:bookmarkStart w:id="139" w:name="_Toc14707"/>
      <w:bookmarkStart w:id="140" w:name="_Toc24937"/>
      <w:bookmarkStart w:id="141" w:name="_Toc27153"/>
      <w:r>
        <w:rPr>
          <w:rFonts w:hint="eastAsia"/>
          <w:color w:val="000000"/>
        </w:rPr>
        <w:t>第一</w:t>
      </w:r>
      <w:bookmarkEnd w:id="126"/>
      <w:r>
        <w:rPr>
          <w:rFonts w:hint="eastAsia"/>
          <w:color w:val="000000"/>
        </w:rPr>
        <w:t>章  响应函</w:t>
      </w:r>
      <w:bookmarkEnd w:id="127"/>
      <w:bookmarkEnd w:id="128"/>
      <w:bookmarkEnd w:id="134"/>
      <w:bookmarkEnd w:id="135"/>
      <w:bookmarkEnd w:id="136"/>
      <w:bookmarkEnd w:id="137"/>
      <w:bookmarkEnd w:id="138"/>
      <w:bookmarkEnd w:id="139"/>
      <w:bookmarkEnd w:id="140"/>
      <w:bookmarkEnd w:id="141"/>
    </w:p>
    <w:p>
      <w:pPr>
        <w:adjustRightInd w:val="0"/>
        <w:snapToGrid w:val="0"/>
        <w:spacing w:line="276" w:lineRule="auto"/>
        <w:jc w:val="left"/>
        <w:rPr>
          <w:rFonts w:ascii="宋体" w:cs="宋体"/>
          <w:bCs/>
          <w:color w:val="000000"/>
          <w:sz w:val="32"/>
          <w:szCs w:val="32"/>
        </w:rPr>
      </w:pPr>
      <w:r>
        <w:rPr>
          <w:rFonts w:hint="eastAsia" w:ascii="宋体" w:hAnsi="宋体" w:cs="宋体"/>
          <w:b/>
          <w:bCs/>
          <w:color w:val="000000"/>
          <w:sz w:val="28"/>
          <w:szCs w:val="28"/>
        </w:rPr>
        <w:t>陕西万泽招标有限公司</w:t>
      </w:r>
      <w:r>
        <w:rPr>
          <w:rFonts w:hint="eastAsia" w:ascii="宋体" w:hAnsi="宋体" w:cs="宋体"/>
          <w:bCs/>
          <w:color w:val="000000"/>
          <w:sz w:val="32"/>
          <w:szCs w:val="32"/>
        </w:rPr>
        <w:t>：</w:t>
      </w:r>
    </w:p>
    <w:p>
      <w:pPr>
        <w:adjustRightInd w:val="0"/>
        <w:snapToGrid w:val="0"/>
        <w:spacing w:line="360" w:lineRule="auto"/>
        <w:ind w:firstLine="496" w:firstLineChars="200"/>
        <w:jc w:val="left"/>
        <w:rPr>
          <w:rFonts w:ascii="宋体" w:cs="宋体"/>
          <w:color w:val="000000"/>
          <w:sz w:val="24"/>
        </w:rPr>
      </w:pPr>
      <w:r>
        <w:rPr>
          <w:rFonts w:hint="eastAsia" w:ascii="宋体" w:hAnsi="宋体" w:cs="宋体"/>
          <w:color w:val="000000"/>
          <w:sz w:val="24"/>
        </w:rPr>
        <w:t>我单位收到项目名称</w:t>
      </w:r>
      <w:r>
        <w:rPr>
          <w:rFonts w:hint="eastAsia" w:ascii="宋体" w:hAnsi="宋体" w:cs="宋体"/>
          <w:color w:val="000000"/>
          <w:sz w:val="24"/>
          <w:u w:val="single"/>
        </w:rPr>
        <w:t xml:space="preserve">：    </w:t>
      </w:r>
      <w:r>
        <w:rPr>
          <w:rFonts w:hint="eastAsia" w:ascii="宋体" w:hAnsi="宋体" w:cs="宋体"/>
          <w:color w:val="000000"/>
          <w:sz w:val="24"/>
        </w:rPr>
        <w:t>编号为</w:t>
      </w:r>
      <w:r>
        <w:rPr>
          <w:rFonts w:hint="eastAsia" w:ascii="宋体" w:hAnsi="宋体" w:cs="宋体"/>
          <w:color w:val="000000"/>
          <w:sz w:val="24"/>
          <w:u w:val="single"/>
        </w:rPr>
        <w:t xml:space="preserve">    ：</w:t>
      </w:r>
      <w:r>
        <w:rPr>
          <w:rFonts w:hint="eastAsia" w:ascii="宋体" w:hAnsi="宋体" w:cs="宋体"/>
          <w:color w:val="000000"/>
          <w:sz w:val="24"/>
        </w:rPr>
        <w:t>的竞争性磋商文件，经详细研究，我公司决定参加本次磋商活动。为此，我方郑重承诺以下诸点，并负法律责任。</w:t>
      </w:r>
    </w:p>
    <w:p>
      <w:pPr>
        <w:adjustRightInd w:val="0"/>
        <w:snapToGrid w:val="0"/>
        <w:spacing w:line="360" w:lineRule="auto"/>
        <w:ind w:firstLine="496" w:firstLineChars="200"/>
        <w:jc w:val="left"/>
        <w:rPr>
          <w:rFonts w:ascii="宋体" w:cs="宋体"/>
          <w:color w:val="000000"/>
          <w:sz w:val="24"/>
        </w:rPr>
      </w:pPr>
      <w:r>
        <w:rPr>
          <w:rFonts w:ascii="宋体" w:hAnsi="宋体" w:cs="宋体"/>
          <w:color w:val="000000"/>
          <w:sz w:val="24"/>
        </w:rPr>
        <w:t>1</w:t>
      </w:r>
      <w:r>
        <w:rPr>
          <w:rFonts w:hint="eastAsia" w:ascii="宋体" w:hAnsi="宋体" w:cs="宋体"/>
          <w:color w:val="000000"/>
          <w:sz w:val="24"/>
        </w:rPr>
        <w:t>、愿意按照竞争性磋商文件中的全部要求，提供合格的产品及完善的技术服务，履行合同的责任和义务。</w:t>
      </w:r>
    </w:p>
    <w:p>
      <w:pPr>
        <w:adjustRightInd w:val="0"/>
        <w:snapToGrid w:val="0"/>
        <w:spacing w:line="360" w:lineRule="auto"/>
        <w:ind w:firstLine="496" w:firstLineChars="200"/>
        <w:jc w:val="left"/>
        <w:rPr>
          <w:rFonts w:ascii="宋体" w:cs="宋体"/>
          <w:color w:val="000000"/>
          <w:sz w:val="24"/>
        </w:rPr>
      </w:pPr>
      <w:r>
        <w:rPr>
          <w:rFonts w:ascii="宋体" w:hAnsi="宋体" w:cs="宋体"/>
          <w:color w:val="000000"/>
          <w:sz w:val="24"/>
        </w:rPr>
        <w:t>2</w:t>
      </w:r>
      <w:r>
        <w:rPr>
          <w:rFonts w:hint="eastAsia" w:ascii="宋体" w:hAnsi="宋体" w:cs="宋体"/>
          <w:color w:val="000000"/>
          <w:sz w:val="24"/>
        </w:rPr>
        <w:t>、按照竞争性磋商文件的规定，我公司的每辆车单价为：</w:t>
      </w:r>
    </w:p>
    <w:p>
      <w:pPr>
        <w:adjustRightInd w:val="0"/>
        <w:snapToGrid w:val="0"/>
        <w:spacing w:line="360" w:lineRule="auto"/>
        <w:ind w:firstLine="496" w:firstLineChars="200"/>
        <w:jc w:val="left"/>
        <w:rPr>
          <w:rFonts w:ascii="宋体" w:cs="宋体"/>
          <w:color w:val="000000"/>
          <w:sz w:val="24"/>
          <w:szCs w:val="24"/>
        </w:rPr>
      </w:pPr>
      <w:r>
        <w:rPr>
          <w:rFonts w:hint="eastAsia" w:ascii="宋体" w:hAnsi="宋体" w:cs="宋体"/>
          <w:color w:val="000000"/>
          <w:sz w:val="24"/>
        </w:rPr>
        <w:t>人民币（大</w:t>
      </w:r>
      <w:r>
        <w:rPr>
          <w:rFonts w:hint="eastAsia" w:ascii="宋体" w:hAnsi="宋体" w:cs="宋体"/>
          <w:color w:val="000000"/>
          <w:sz w:val="24"/>
          <w:szCs w:val="24"/>
        </w:rPr>
        <w:t>写）</w:t>
      </w:r>
      <w:r>
        <w:rPr>
          <w:rFonts w:hint="eastAsia" w:ascii="宋体" w:hAnsi="宋体" w:cs="宋体"/>
          <w:color w:val="000000"/>
          <w:sz w:val="24"/>
          <w:szCs w:val="24"/>
          <w:u w:val="single"/>
        </w:rPr>
        <w:t>：    元</w:t>
      </w:r>
      <w:r>
        <w:rPr>
          <w:rFonts w:hint="eastAsia" w:ascii="宋体" w:hAnsi="宋体" w:cs="宋体"/>
          <w:color w:val="000000"/>
          <w:sz w:val="24"/>
          <w:szCs w:val="24"/>
        </w:rPr>
        <w:t>；（小写）</w:t>
      </w:r>
      <w:r>
        <w:rPr>
          <w:rFonts w:hint="eastAsia" w:ascii="宋体" w:cs="宋体"/>
          <w:color w:val="000000"/>
          <w:sz w:val="24"/>
          <w:szCs w:val="24"/>
        </w:rPr>
        <w:t>￥</w:t>
      </w:r>
      <w:r>
        <w:rPr>
          <w:rFonts w:hint="eastAsia" w:ascii="宋体" w:hAnsi="宋体" w:cs="宋体"/>
          <w:color w:val="000000"/>
          <w:sz w:val="24"/>
          <w:szCs w:val="24"/>
          <w:u w:val="single"/>
        </w:rPr>
        <w:t>：     元</w:t>
      </w:r>
      <w:r>
        <w:rPr>
          <w:rFonts w:hint="eastAsia" w:ascii="宋体" w:hAnsi="宋体" w:cs="宋体"/>
          <w:color w:val="000000"/>
          <w:sz w:val="24"/>
          <w:szCs w:val="24"/>
        </w:rPr>
        <w:t>；</w:t>
      </w:r>
    </w:p>
    <w:p>
      <w:pPr>
        <w:adjustRightInd w:val="0"/>
        <w:snapToGrid w:val="0"/>
        <w:spacing w:line="360" w:lineRule="auto"/>
        <w:ind w:firstLine="496" w:firstLineChars="200"/>
        <w:jc w:val="left"/>
        <w:rPr>
          <w:rFonts w:ascii="宋体" w:cs="宋体"/>
          <w:color w:val="000000"/>
          <w:sz w:val="24"/>
        </w:rPr>
      </w:pPr>
      <w:r>
        <w:rPr>
          <w:rFonts w:ascii="宋体" w:hAnsi="宋体" w:cs="宋体"/>
          <w:color w:val="000000"/>
          <w:sz w:val="24"/>
        </w:rPr>
        <w:t>3</w:t>
      </w:r>
      <w:r>
        <w:rPr>
          <w:rFonts w:hint="eastAsia" w:ascii="宋体" w:hAnsi="宋体" w:cs="宋体"/>
          <w:color w:val="000000"/>
          <w:sz w:val="24"/>
        </w:rPr>
        <w:t>、我方提交的磋商响应文件正本</w:t>
      </w:r>
      <w:r>
        <w:rPr>
          <w:rFonts w:hint="eastAsia" w:ascii="宋体" w:hAnsi="宋体" w:cs="宋体"/>
          <w:color w:val="000000"/>
          <w:sz w:val="24"/>
          <w:u w:val="single"/>
        </w:rPr>
        <w:t xml:space="preserve"> 壹 </w:t>
      </w:r>
      <w:r>
        <w:rPr>
          <w:rFonts w:hint="eastAsia" w:ascii="宋体" w:hAnsi="宋体" w:cs="宋体"/>
          <w:color w:val="000000"/>
          <w:sz w:val="24"/>
        </w:rPr>
        <w:t>份、副本</w:t>
      </w:r>
      <w:r>
        <w:rPr>
          <w:rFonts w:hint="eastAsia" w:ascii="宋体" w:hAnsi="宋体" w:cs="宋体"/>
          <w:color w:val="000000"/>
          <w:sz w:val="24"/>
          <w:u w:val="single"/>
        </w:rPr>
        <w:t xml:space="preserve"> 叁 </w:t>
      </w:r>
      <w:r>
        <w:rPr>
          <w:rFonts w:hint="eastAsia" w:ascii="宋体" w:hAnsi="宋体" w:cs="宋体"/>
          <w:color w:val="000000"/>
          <w:sz w:val="24"/>
        </w:rPr>
        <w:t>份，电子文档</w:t>
      </w:r>
      <w:r>
        <w:rPr>
          <w:rFonts w:hint="eastAsia" w:ascii="宋体" w:hAnsi="宋体" w:cs="宋体"/>
          <w:color w:val="000000"/>
          <w:sz w:val="24"/>
          <w:u w:val="single"/>
        </w:rPr>
        <w:t xml:space="preserve"> 壹 </w:t>
      </w:r>
      <w:r>
        <w:rPr>
          <w:rFonts w:hint="eastAsia" w:ascii="宋体" w:hAnsi="宋体" w:cs="宋体"/>
          <w:color w:val="000000"/>
          <w:sz w:val="24"/>
        </w:rPr>
        <w:t>份、</w:t>
      </w:r>
      <w:r>
        <w:rPr>
          <w:rFonts w:hint="eastAsia" w:ascii="宋体" w:hAnsi="宋体" w:cs="宋体"/>
          <w:color w:val="000000"/>
          <w:sz w:val="24"/>
          <w:szCs w:val="24"/>
        </w:rPr>
        <w:t>磋商一览表</w:t>
      </w:r>
      <w:r>
        <w:rPr>
          <w:rFonts w:hint="eastAsia" w:ascii="宋体" w:hAnsi="宋体" w:cs="宋体"/>
          <w:color w:val="000000"/>
          <w:sz w:val="24"/>
          <w:szCs w:val="24"/>
          <w:u w:val="single"/>
        </w:rPr>
        <w:t xml:space="preserve"> 壹 </w:t>
      </w:r>
      <w:r>
        <w:rPr>
          <w:rFonts w:hint="eastAsia" w:ascii="宋体" w:hAnsi="宋体" w:cs="宋体"/>
          <w:color w:val="000000"/>
          <w:sz w:val="24"/>
          <w:szCs w:val="24"/>
        </w:rPr>
        <w:t>份</w:t>
      </w:r>
      <w:r>
        <w:rPr>
          <w:rFonts w:hint="eastAsia" w:ascii="宋体" w:hAnsi="宋体" w:cs="宋体"/>
          <w:color w:val="000000"/>
          <w:sz w:val="24"/>
        </w:rPr>
        <w:t>。</w:t>
      </w:r>
    </w:p>
    <w:p>
      <w:pPr>
        <w:adjustRightInd w:val="0"/>
        <w:snapToGrid w:val="0"/>
        <w:spacing w:line="360" w:lineRule="auto"/>
        <w:ind w:firstLine="496" w:firstLineChars="200"/>
        <w:jc w:val="left"/>
        <w:rPr>
          <w:rFonts w:ascii="宋体" w:cs="宋体"/>
          <w:color w:val="000000"/>
          <w:sz w:val="24"/>
        </w:rPr>
      </w:pPr>
      <w:r>
        <w:rPr>
          <w:rFonts w:ascii="宋体" w:hAnsi="宋体" w:cs="宋体"/>
          <w:color w:val="000000"/>
          <w:sz w:val="24"/>
        </w:rPr>
        <w:t>4</w:t>
      </w:r>
      <w:r>
        <w:rPr>
          <w:rFonts w:hint="eastAsia" w:ascii="宋体" w:hAnsi="宋体" w:cs="宋体"/>
          <w:color w:val="000000"/>
          <w:sz w:val="24"/>
        </w:rPr>
        <w:t>、我们已详细阅读了竞争性磋商文件，完全理解并同意放弃提出含糊不清和误解问题的权力。</w:t>
      </w:r>
    </w:p>
    <w:p>
      <w:pPr>
        <w:adjustRightInd w:val="0"/>
        <w:snapToGrid w:val="0"/>
        <w:spacing w:line="360" w:lineRule="auto"/>
        <w:ind w:firstLine="496" w:firstLineChars="200"/>
        <w:jc w:val="left"/>
        <w:rPr>
          <w:rFonts w:ascii="宋体" w:cs="宋体"/>
          <w:color w:val="000000"/>
          <w:sz w:val="24"/>
        </w:rPr>
      </w:pPr>
      <w:r>
        <w:rPr>
          <w:rFonts w:ascii="宋体" w:hAnsi="宋体" w:cs="宋体"/>
          <w:color w:val="000000"/>
          <w:sz w:val="24"/>
        </w:rPr>
        <w:t>5</w:t>
      </w:r>
      <w:r>
        <w:rPr>
          <w:rFonts w:hint="eastAsia" w:ascii="宋体" w:hAnsi="宋体" w:cs="宋体"/>
          <w:color w:val="000000"/>
          <w:sz w:val="24"/>
        </w:rPr>
        <w:t>、如果我方在磋商后到规定的磋商有效期内撤回磋商响应文件及承诺，我们的保证金将被对方没收。</w:t>
      </w:r>
    </w:p>
    <w:p>
      <w:pPr>
        <w:adjustRightInd w:val="0"/>
        <w:snapToGrid w:val="0"/>
        <w:spacing w:line="360" w:lineRule="auto"/>
        <w:ind w:firstLine="496" w:firstLineChars="200"/>
        <w:jc w:val="left"/>
        <w:rPr>
          <w:rFonts w:ascii="宋体" w:cs="宋体"/>
          <w:color w:val="000000"/>
          <w:sz w:val="24"/>
        </w:rPr>
      </w:pPr>
      <w:r>
        <w:rPr>
          <w:rFonts w:ascii="宋体" w:hAnsi="宋体" w:cs="宋体"/>
          <w:color w:val="000000"/>
          <w:sz w:val="24"/>
        </w:rPr>
        <w:t>6</w:t>
      </w:r>
      <w:r>
        <w:rPr>
          <w:rFonts w:hint="eastAsia" w:ascii="宋体" w:hAnsi="宋体" w:cs="宋体"/>
          <w:color w:val="000000"/>
          <w:sz w:val="24"/>
        </w:rPr>
        <w:t>、同意向贵方提供贵方可能要求的、与本次磋商有关的任何证据资料。</w:t>
      </w:r>
    </w:p>
    <w:p>
      <w:pPr>
        <w:adjustRightInd w:val="0"/>
        <w:snapToGrid w:val="0"/>
        <w:spacing w:line="360" w:lineRule="auto"/>
        <w:ind w:firstLine="496" w:firstLineChars="200"/>
        <w:jc w:val="left"/>
        <w:rPr>
          <w:rFonts w:ascii="宋体" w:hAnsi="宋体" w:cs="宋体"/>
          <w:color w:val="000000"/>
          <w:sz w:val="24"/>
        </w:rPr>
      </w:pPr>
      <w:r>
        <w:rPr>
          <w:rFonts w:ascii="宋体" w:hAnsi="宋体" w:cs="宋体"/>
          <w:color w:val="000000"/>
          <w:sz w:val="24"/>
        </w:rPr>
        <w:t>7</w:t>
      </w:r>
      <w:r>
        <w:rPr>
          <w:rFonts w:hint="eastAsia" w:ascii="宋体" w:hAnsi="宋体" w:cs="宋体"/>
          <w:color w:val="000000"/>
          <w:sz w:val="24"/>
        </w:rPr>
        <w:t>、我方的响应文件及法定代表人授权书自递交截止之日起有效期为90日历日。</w:t>
      </w:r>
    </w:p>
    <w:p>
      <w:pPr>
        <w:adjustRightInd w:val="0"/>
        <w:snapToGrid w:val="0"/>
        <w:spacing w:line="360" w:lineRule="auto"/>
        <w:ind w:firstLine="496" w:firstLineChars="200"/>
        <w:jc w:val="left"/>
        <w:rPr>
          <w:rFonts w:ascii="宋体" w:cs="宋体"/>
          <w:color w:val="000000"/>
          <w:sz w:val="24"/>
        </w:rPr>
      </w:pPr>
      <w:r>
        <w:rPr>
          <w:rFonts w:ascii="宋体" w:hAnsi="宋体" w:cs="宋体"/>
          <w:color w:val="000000"/>
          <w:sz w:val="24"/>
        </w:rPr>
        <w:t>8</w:t>
      </w:r>
      <w:r>
        <w:rPr>
          <w:rFonts w:hint="eastAsia" w:ascii="宋体" w:hAnsi="宋体" w:cs="宋体"/>
          <w:color w:val="000000"/>
          <w:sz w:val="24"/>
        </w:rPr>
        <w:t>、所有关于本次磋商的函电，请按下列地址联系：</w:t>
      </w:r>
    </w:p>
    <w:p>
      <w:pPr>
        <w:adjustRightInd w:val="0"/>
        <w:snapToGrid w:val="0"/>
        <w:spacing w:line="360" w:lineRule="auto"/>
        <w:ind w:firstLine="496" w:firstLineChars="200"/>
        <w:jc w:val="left"/>
        <w:rPr>
          <w:rFonts w:ascii="宋体" w:cs="宋体"/>
          <w:color w:val="000000"/>
          <w:sz w:val="24"/>
          <w:u w:val="single"/>
        </w:rPr>
      </w:pPr>
      <w:r>
        <w:rPr>
          <w:rFonts w:hint="eastAsia" w:ascii="宋体" w:hAnsi="宋体" w:cs="宋体"/>
          <w:color w:val="000000"/>
          <w:sz w:val="24"/>
        </w:rPr>
        <w:t>供应商（单位名称及公章）：</w:t>
      </w:r>
    </w:p>
    <w:p>
      <w:pPr>
        <w:adjustRightInd w:val="0"/>
        <w:snapToGrid w:val="0"/>
        <w:spacing w:line="360" w:lineRule="auto"/>
        <w:ind w:firstLine="496" w:firstLineChars="200"/>
        <w:rPr>
          <w:rFonts w:ascii="宋体" w:cs="宋体"/>
          <w:color w:val="000000"/>
          <w:sz w:val="24"/>
        </w:rPr>
      </w:pPr>
      <w:r>
        <w:rPr>
          <w:rFonts w:hint="eastAsia" w:ascii="宋体" w:hAnsi="宋体" w:cs="宋体"/>
          <w:color w:val="000000"/>
          <w:sz w:val="24"/>
        </w:rPr>
        <w:t>法定代表人或被授权人（签字或盖章）：</w:t>
      </w:r>
    </w:p>
    <w:p>
      <w:pPr>
        <w:adjustRightInd w:val="0"/>
        <w:snapToGrid w:val="0"/>
        <w:spacing w:line="360" w:lineRule="auto"/>
        <w:ind w:firstLine="496" w:firstLineChars="200"/>
        <w:jc w:val="left"/>
        <w:rPr>
          <w:rFonts w:ascii="宋体" w:cs="宋体"/>
          <w:color w:val="000000"/>
          <w:sz w:val="24"/>
        </w:rPr>
      </w:pPr>
      <w:r>
        <w:rPr>
          <w:rFonts w:hint="eastAsia" w:ascii="宋体" w:hAnsi="宋体" w:cs="宋体"/>
          <w:color w:val="000000"/>
          <w:sz w:val="24"/>
        </w:rPr>
        <w:t>地址：</w:t>
      </w:r>
    </w:p>
    <w:p>
      <w:pPr>
        <w:adjustRightInd w:val="0"/>
        <w:snapToGrid w:val="0"/>
        <w:spacing w:line="360" w:lineRule="auto"/>
        <w:ind w:firstLine="496" w:firstLineChars="200"/>
        <w:jc w:val="left"/>
        <w:rPr>
          <w:rFonts w:ascii="宋体" w:cs="宋体"/>
          <w:color w:val="000000"/>
          <w:sz w:val="24"/>
          <w:u w:val="single"/>
        </w:rPr>
      </w:pPr>
      <w:r>
        <w:rPr>
          <w:rFonts w:hint="eastAsia" w:ascii="宋体" w:hAnsi="宋体" w:cs="宋体"/>
          <w:color w:val="000000"/>
          <w:sz w:val="24"/>
        </w:rPr>
        <w:t>开户银行：</w:t>
      </w:r>
    </w:p>
    <w:p>
      <w:pPr>
        <w:adjustRightInd w:val="0"/>
        <w:snapToGrid w:val="0"/>
        <w:spacing w:line="360" w:lineRule="auto"/>
        <w:ind w:firstLine="496" w:firstLineChars="200"/>
        <w:jc w:val="left"/>
        <w:rPr>
          <w:rFonts w:ascii="宋体" w:cs="宋体"/>
          <w:color w:val="000000"/>
          <w:sz w:val="24"/>
          <w:u w:val="single"/>
        </w:rPr>
      </w:pPr>
      <w:r>
        <w:rPr>
          <w:rFonts w:hint="eastAsia" w:ascii="宋体" w:hAnsi="宋体" w:cs="宋体"/>
          <w:color w:val="000000"/>
          <w:sz w:val="24"/>
        </w:rPr>
        <w:t>帐号：</w:t>
      </w:r>
    </w:p>
    <w:p>
      <w:pPr>
        <w:adjustRightInd w:val="0"/>
        <w:snapToGrid w:val="0"/>
        <w:spacing w:line="360" w:lineRule="auto"/>
        <w:ind w:firstLine="496" w:firstLineChars="200"/>
        <w:jc w:val="left"/>
        <w:rPr>
          <w:rFonts w:ascii="宋体" w:cs="宋体"/>
          <w:color w:val="000000"/>
          <w:sz w:val="24"/>
          <w:u w:val="single"/>
        </w:rPr>
      </w:pPr>
      <w:r>
        <w:rPr>
          <w:rFonts w:hint="eastAsia" w:ascii="宋体" w:hAnsi="宋体" w:cs="宋体"/>
          <w:color w:val="000000"/>
          <w:sz w:val="24"/>
        </w:rPr>
        <w:t>电话：</w:t>
      </w:r>
    </w:p>
    <w:p>
      <w:pPr>
        <w:adjustRightInd w:val="0"/>
        <w:snapToGrid w:val="0"/>
        <w:spacing w:line="360" w:lineRule="auto"/>
        <w:ind w:firstLine="496" w:firstLineChars="200"/>
        <w:jc w:val="left"/>
        <w:rPr>
          <w:rFonts w:ascii="宋体" w:cs="宋体"/>
          <w:color w:val="000000"/>
          <w:sz w:val="24"/>
          <w:u w:val="single"/>
        </w:rPr>
      </w:pPr>
      <w:r>
        <w:rPr>
          <w:rFonts w:hint="eastAsia" w:ascii="宋体" w:hAnsi="宋体" w:cs="宋体"/>
          <w:color w:val="000000"/>
          <w:sz w:val="24"/>
        </w:rPr>
        <w:t>传真：</w:t>
      </w:r>
    </w:p>
    <w:p>
      <w:pPr>
        <w:adjustRightInd w:val="0"/>
        <w:snapToGrid w:val="0"/>
        <w:spacing w:line="360" w:lineRule="auto"/>
        <w:ind w:firstLine="496" w:firstLineChars="200"/>
        <w:jc w:val="left"/>
        <w:rPr>
          <w:rFonts w:ascii="宋体" w:cs="宋体"/>
          <w:color w:val="000000"/>
          <w:sz w:val="24"/>
          <w:u w:val="single"/>
        </w:rPr>
      </w:pPr>
      <w:r>
        <w:rPr>
          <w:rFonts w:hint="eastAsia" w:ascii="宋体" w:hAnsi="宋体" w:cs="宋体"/>
          <w:color w:val="000000"/>
          <w:sz w:val="24"/>
        </w:rPr>
        <w:t>邮编：</w:t>
      </w:r>
    </w:p>
    <w:p>
      <w:pPr>
        <w:adjustRightInd w:val="0"/>
        <w:snapToGrid w:val="0"/>
        <w:spacing w:line="360" w:lineRule="auto"/>
        <w:ind w:firstLine="496" w:firstLineChars="200"/>
        <w:rPr>
          <w:rFonts w:ascii="宋体" w:cs="宋体"/>
          <w:color w:val="000000"/>
          <w:sz w:val="24"/>
        </w:rPr>
      </w:pPr>
      <w:r>
        <w:rPr>
          <w:rFonts w:hint="eastAsia" w:ascii="宋体" w:hAnsi="宋体" w:cs="宋体"/>
          <w:color w:val="000000"/>
          <w:sz w:val="24"/>
        </w:rPr>
        <w:t>日期：年 月 日</w:t>
      </w:r>
    </w:p>
    <w:p>
      <w:pPr>
        <w:widowControl/>
        <w:spacing w:line="460" w:lineRule="exact"/>
        <w:ind w:firstLine="736" w:firstLineChars="200"/>
        <w:jc w:val="left"/>
        <w:rPr>
          <w:rFonts w:ascii="宋体" w:cs="宋体"/>
          <w:color w:val="000000"/>
          <w:sz w:val="36"/>
          <w:szCs w:val="36"/>
          <w:u w:val="single"/>
        </w:rPr>
      </w:pPr>
    </w:p>
    <w:p>
      <w:pPr>
        <w:pStyle w:val="4"/>
        <w:rPr>
          <w:rFonts w:ascii="宋体" w:cs="宋体"/>
          <w:color w:val="000000"/>
        </w:rPr>
        <w:sectPr>
          <w:headerReference r:id="rId13" w:type="first"/>
          <w:footerReference r:id="rId15" w:type="first"/>
          <w:headerReference r:id="rId12" w:type="default"/>
          <w:footerReference r:id="rId14" w:type="default"/>
          <w:pgSz w:w="11906" w:h="16838"/>
          <w:pgMar w:top="1440" w:right="1803" w:bottom="1440" w:left="1803" w:header="850" w:footer="992" w:gutter="0"/>
          <w:cols w:space="720" w:num="1"/>
          <w:titlePg/>
          <w:docGrid w:type="linesAndChars" w:linePitch="395" w:charSpace="1724"/>
        </w:sectPr>
      </w:pPr>
      <w:bookmarkStart w:id="142" w:name="_Toc28494"/>
    </w:p>
    <w:p>
      <w:pPr>
        <w:pStyle w:val="4"/>
        <w:rPr>
          <w:rFonts w:ascii="宋体" w:cs="宋体"/>
          <w:color w:val="000000"/>
        </w:rPr>
      </w:pPr>
      <w:bookmarkStart w:id="143" w:name="_Toc28012"/>
      <w:bookmarkStart w:id="144" w:name="_Toc19624"/>
      <w:bookmarkStart w:id="145" w:name="_Toc23678"/>
      <w:bookmarkStart w:id="146" w:name="_Toc25695"/>
      <w:bookmarkStart w:id="147" w:name="_Toc26486"/>
      <w:bookmarkStart w:id="148" w:name="_Toc31150"/>
      <w:bookmarkStart w:id="149" w:name="_Toc6333"/>
      <w:bookmarkStart w:id="150" w:name="_Toc26259"/>
      <w:bookmarkStart w:id="151" w:name="_Toc23295"/>
      <w:bookmarkStart w:id="152" w:name="_Toc16919"/>
      <w:r>
        <w:rPr>
          <w:rFonts w:hint="eastAsia" w:ascii="宋体" w:hAnsi="宋体" w:cs="宋体"/>
          <w:color w:val="000000"/>
        </w:rPr>
        <w:t>第二</w:t>
      </w:r>
      <w:bookmarkEnd w:id="142"/>
      <w:r>
        <w:rPr>
          <w:rFonts w:hint="eastAsia"/>
          <w:color w:val="000000"/>
        </w:rPr>
        <w:t xml:space="preserve">章  </w:t>
      </w:r>
      <w:r>
        <w:rPr>
          <w:rFonts w:hint="eastAsia" w:ascii="宋体" w:hAnsi="宋体" w:cs="宋体"/>
          <w:color w:val="000000"/>
        </w:rPr>
        <w:t>磋商一览表</w:t>
      </w:r>
      <w:bookmarkEnd w:id="143"/>
      <w:bookmarkEnd w:id="144"/>
      <w:bookmarkEnd w:id="145"/>
      <w:bookmarkEnd w:id="146"/>
      <w:bookmarkEnd w:id="147"/>
      <w:bookmarkEnd w:id="148"/>
      <w:bookmarkEnd w:id="149"/>
      <w:bookmarkEnd w:id="150"/>
      <w:bookmarkEnd w:id="151"/>
      <w:bookmarkEnd w:id="152"/>
    </w:p>
    <w:p>
      <w:pPr>
        <w:widowControl/>
        <w:wordWrap w:val="0"/>
        <w:spacing w:line="360" w:lineRule="auto"/>
        <w:jc w:val="left"/>
        <w:rPr>
          <w:rFonts w:hint="eastAsia" w:ascii="宋体" w:hAnsi="宋体" w:cs="宋体"/>
          <w:color w:val="000000"/>
          <w:sz w:val="24"/>
          <w:u w:val="single"/>
        </w:rPr>
      </w:pPr>
      <w:r>
        <w:rPr>
          <w:rFonts w:hint="eastAsia" w:ascii="宋体" w:hAnsi="宋体" w:cs="宋体"/>
          <w:color w:val="000000"/>
          <w:sz w:val="24"/>
        </w:rPr>
        <w:t>项目名称</w:t>
      </w:r>
      <w:r>
        <w:rPr>
          <w:rFonts w:hint="eastAsia" w:ascii="宋体" w:hAnsi="宋体" w:cs="宋体"/>
          <w:color w:val="000000"/>
          <w:sz w:val="24"/>
          <w:u w:val="single"/>
        </w:rPr>
        <w:t>：西安市食品药品检验所食品抽样租赁用车项目</w:t>
      </w:r>
    </w:p>
    <w:p>
      <w:pPr>
        <w:pStyle w:val="7"/>
        <w:ind w:firstLine="0"/>
        <w:rPr>
          <w:rFonts w:hint="eastAsia" w:ascii="宋体" w:cs="宋体"/>
          <w:color w:val="000000"/>
          <w:sz w:val="24"/>
          <w:u w:val="single"/>
        </w:rPr>
      </w:pPr>
      <w:r>
        <w:rPr>
          <w:rFonts w:hint="eastAsia" w:ascii="宋体" w:hAnsi="宋体" w:cs="宋体"/>
          <w:color w:val="000000"/>
          <w:sz w:val="24"/>
        </w:rPr>
        <w:t>项目编号：</w:t>
      </w:r>
      <w:r>
        <w:rPr>
          <w:rFonts w:hint="eastAsia" w:ascii="宋体" w:hAnsi="宋体" w:cs="宋体"/>
          <w:color w:val="000000"/>
          <w:sz w:val="24"/>
          <w:u w:val="single"/>
        </w:rPr>
        <w:t>SXWZ2022ZB-SYJ-013</w:t>
      </w:r>
    </w:p>
    <w:p>
      <w:pPr>
        <w:kinsoku w:val="0"/>
        <w:spacing w:line="360" w:lineRule="auto"/>
        <w:jc w:val="left"/>
        <w:rPr>
          <w:rFonts w:ascii="宋体" w:cs="宋体"/>
          <w:color w:val="000000"/>
          <w:sz w:val="24"/>
        </w:rPr>
      </w:pPr>
      <w:r>
        <w:rPr>
          <w:rFonts w:hint="eastAsia" w:ascii="宋体" w:hAnsi="宋体" w:cs="宋体"/>
          <w:color w:val="000000"/>
          <w:sz w:val="24"/>
        </w:rPr>
        <w:t>单位：</w:t>
      </w:r>
      <w:r>
        <w:rPr>
          <w:rFonts w:hint="eastAsia" w:ascii="宋体" w:hAnsi="宋体" w:cs="宋体"/>
          <w:color w:val="000000"/>
          <w:sz w:val="24"/>
          <w:szCs w:val="24"/>
        </w:rPr>
        <w:t>元</w:t>
      </w:r>
    </w:p>
    <w:tbl>
      <w:tblPr>
        <w:tblStyle w:val="27"/>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5"/>
        <w:gridCol w:w="2266"/>
        <w:gridCol w:w="3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2635" w:type="dxa"/>
            <w:tcBorders>
              <w:tl2br w:val="single" w:color="auto" w:sz="4" w:space="0"/>
            </w:tcBorders>
          </w:tcPr>
          <w:p>
            <w:pPr>
              <w:kinsoku w:val="0"/>
              <w:spacing w:line="480" w:lineRule="auto"/>
              <w:ind w:firstLine="436" w:firstLineChars="200"/>
              <w:jc w:val="left"/>
              <w:rPr>
                <w:rFonts w:ascii="宋体" w:hAnsi="宋体" w:cs="宋体"/>
                <w:color w:val="000000"/>
                <w:szCs w:val="21"/>
              </w:rPr>
            </w:pPr>
            <w:r>
              <w:rPr>
                <w:rFonts w:hint="eastAsia" w:ascii="宋体" w:hAnsi="宋体" w:cs="宋体"/>
                <w:color w:val="000000"/>
                <w:szCs w:val="21"/>
              </w:rPr>
              <w:t>报价内容</w:t>
            </w:r>
          </w:p>
          <w:p>
            <w:pPr>
              <w:kinsoku w:val="0"/>
              <w:spacing w:line="480" w:lineRule="auto"/>
              <w:jc w:val="left"/>
              <w:rPr>
                <w:rFonts w:ascii="宋体" w:hAnsi="宋体" w:cs="宋体"/>
                <w:color w:val="000000"/>
                <w:szCs w:val="21"/>
              </w:rPr>
            </w:pPr>
          </w:p>
          <w:p>
            <w:pPr>
              <w:kinsoku w:val="0"/>
              <w:spacing w:line="480" w:lineRule="auto"/>
              <w:jc w:val="left"/>
              <w:rPr>
                <w:rFonts w:ascii="宋体" w:cs="宋体"/>
                <w:color w:val="000000"/>
                <w:szCs w:val="21"/>
              </w:rPr>
            </w:pPr>
            <w:r>
              <w:rPr>
                <w:rFonts w:hint="eastAsia" w:ascii="宋体" w:hAnsi="宋体" w:cs="宋体"/>
                <w:color w:val="000000"/>
                <w:szCs w:val="21"/>
              </w:rPr>
              <w:t>响应内容</w:t>
            </w:r>
          </w:p>
        </w:tc>
        <w:tc>
          <w:tcPr>
            <w:tcW w:w="2266" w:type="dxa"/>
            <w:vAlign w:val="center"/>
          </w:tcPr>
          <w:p>
            <w:pPr>
              <w:kinsoku w:val="0"/>
              <w:spacing w:line="480" w:lineRule="auto"/>
              <w:jc w:val="center"/>
              <w:rPr>
                <w:rFonts w:ascii="宋体" w:cs="宋体"/>
                <w:color w:val="000000"/>
                <w:szCs w:val="21"/>
              </w:rPr>
            </w:pPr>
            <w:r>
              <w:rPr>
                <w:rFonts w:hint="eastAsia" w:ascii="宋体" w:hAnsi="宋体" w:cs="宋体"/>
                <w:color w:val="000000"/>
                <w:szCs w:val="21"/>
              </w:rPr>
              <w:t>单价/辆/天</w:t>
            </w:r>
          </w:p>
        </w:tc>
        <w:tc>
          <w:tcPr>
            <w:tcW w:w="3638" w:type="dxa"/>
            <w:vAlign w:val="center"/>
          </w:tcPr>
          <w:p>
            <w:pPr>
              <w:kinsoku w:val="0"/>
              <w:jc w:val="center"/>
              <w:rPr>
                <w:rFonts w:hint="eastAsia" w:ascii="宋体" w:hAnsi="宋体" w:cs="宋体"/>
                <w:color w:val="000000"/>
                <w:szCs w:val="21"/>
              </w:rPr>
            </w:pPr>
            <w:r>
              <w:rPr>
                <w:rFonts w:hint="eastAsia" w:ascii="宋体" w:hAnsi="宋体" w:cs="宋体"/>
                <w:color w:val="000000"/>
                <w:szCs w:val="21"/>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2635" w:type="dxa"/>
            <w:vAlign w:val="center"/>
          </w:tcPr>
          <w:p>
            <w:pPr>
              <w:pStyle w:val="7"/>
              <w:ind w:firstLine="0"/>
              <w:jc w:val="center"/>
              <w:rPr>
                <w:rFonts w:hint="eastAsia"/>
                <w:color w:val="000000"/>
              </w:rPr>
            </w:pPr>
            <w:r>
              <w:rPr>
                <w:rFonts w:hint="eastAsia"/>
                <w:color w:val="000000"/>
              </w:rPr>
              <w:t>西安市食品药品检验所食品抽样租赁用车项目</w:t>
            </w:r>
          </w:p>
        </w:tc>
        <w:tc>
          <w:tcPr>
            <w:tcW w:w="2266" w:type="dxa"/>
            <w:vAlign w:val="center"/>
          </w:tcPr>
          <w:p>
            <w:pPr>
              <w:kinsoku w:val="0"/>
              <w:spacing w:line="480" w:lineRule="auto"/>
              <w:ind w:firstLine="436" w:firstLineChars="200"/>
              <w:jc w:val="left"/>
              <w:rPr>
                <w:rFonts w:ascii="宋体" w:cs="宋体"/>
                <w:color w:val="000000"/>
                <w:szCs w:val="21"/>
              </w:rPr>
            </w:pPr>
          </w:p>
        </w:tc>
        <w:tc>
          <w:tcPr>
            <w:tcW w:w="3638" w:type="dxa"/>
            <w:vAlign w:val="center"/>
          </w:tcPr>
          <w:p>
            <w:pPr>
              <w:kinsoku w:val="0"/>
              <w:spacing w:line="480" w:lineRule="auto"/>
              <w:ind w:firstLine="436" w:firstLineChars="200"/>
              <w:jc w:val="left"/>
              <w:rPr>
                <w:rFonts w:asci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539" w:type="dxa"/>
            <w:gridSpan w:val="3"/>
            <w:vAlign w:val="center"/>
          </w:tcPr>
          <w:p>
            <w:pPr>
              <w:kinsoku w:val="0"/>
              <w:spacing w:line="480" w:lineRule="auto"/>
              <w:jc w:val="left"/>
              <w:rPr>
                <w:rFonts w:ascii="宋体" w:hAnsi="宋体" w:cs="宋体"/>
                <w:color w:val="000000"/>
                <w:szCs w:val="21"/>
              </w:rPr>
            </w:pPr>
            <w:r>
              <w:rPr>
                <w:rFonts w:hint="eastAsia" w:ascii="宋体" w:hAnsi="宋体" w:cs="宋体"/>
                <w:szCs w:val="21"/>
              </w:rPr>
              <w:t>单价/辆/天：人民币</w:t>
            </w:r>
            <w:r>
              <w:rPr>
                <w:rFonts w:hint="eastAsia" w:ascii="宋体" w:hAnsi="宋体" w:cs="宋体"/>
                <w:szCs w:val="21"/>
                <w:u w:val="single"/>
              </w:rPr>
              <w:t>（大写）                           （小写）￥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8539" w:type="dxa"/>
            <w:gridSpan w:val="3"/>
            <w:vAlign w:val="center"/>
          </w:tcPr>
          <w:p>
            <w:pPr>
              <w:kinsoku w:val="0"/>
              <w:spacing w:line="480" w:lineRule="auto"/>
              <w:ind w:firstLine="436" w:firstLineChars="200"/>
              <w:jc w:val="left"/>
              <w:rPr>
                <w:rFonts w:ascii="宋体" w:cs="宋体"/>
                <w:color w:val="000000"/>
                <w:szCs w:val="21"/>
              </w:rPr>
            </w:pPr>
            <w:r>
              <w:rPr>
                <w:rFonts w:hint="eastAsia" w:ascii="宋体" w:hAnsi="宋体" w:cs="宋体"/>
                <w:color w:val="000000"/>
                <w:szCs w:val="21"/>
              </w:rPr>
              <w:t>备注：</w:t>
            </w:r>
            <w:r>
              <w:rPr>
                <w:rFonts w:ascii="宋体" w:hAnsi="宋体" w:cs="宋体"/>
                <w:color w:val="000000"/>
                <w:szCs w:val="21"/>
              </w:rPr>
              <w:t>1.</w:t>
            </w:r>
            <w:r>
              <w:rPr>
                <w:rFonts w:hint="eastAsia" w:ascii="宋体" w:hAnsi="宋体" w:cs="宋体"/>
                <w:color w:val="000000"/>
                <w:szCs w:val="21"/>
              </w:rPr>
              <w:t>表内报价内容以元为单位，精确到小数点后两位；</w:t>
            </w:r>
          </w:p>
          <w:p>
            <w:pPr>
              <w:kinsoku w:val="0"/>
              <w:spacing w:line="480" w:lineRule="auto"/>
              <w:ind w:firstLine="1090" w:firstLineChars="500"/>
              <w:jc w:val="left"/>
              <w:rPr>
                <w:rFonts w:ascii="宋体" w:hAnsi="宋体" w:cs="宋体"/>
                <w:color w:val="000000"/>
                <w:szCs w:val="21"/>
              </w:rPr>
            </w:pPr>
            <w:r>
              <w:rPr>
                <w:rFonts w:ascii="宋体" w:hAnsi="宋体" w:cs="宋体"/>
                <w:color w:val="000000"/>
                <w:szCs w:val="21"/>
              </w:rPr>
              <w:t>2.</w:t>
            </w:r>
            <w:r>
              <w:rPr>
                <w:rFonts w:hint="eastAsia" w:ascii="宋体" w:hAnsi="宋体" w:cs="宋体"/>
                <w:color w:val="000000"/>
                <w:szCs w:val="21"/>
              </w:rPr>
              <w:t>服务期限见第五部分</w:t>
            </w:r>
            <w:r>
              <w:rPr>
                <w:rFonts w:hint="eastAsia" w:ascii="宋体" w:hAnsi="宋体" w:cs="宋体"/>
                <w:color w:val="000000"/>
                <w:szCs w:val="21"/>
                <w:lang w:val="en-US" w:eastAsia="zh-CN"/>
              </w:rPr>
              <w:t>商务条款及</w:t>
            </w:r>
            <w:r>
              <w:rPr>
                <w:rFonts w:hint="eastAsia" w:ascii="宋体" w:hAnsi="宋体" w:cs="宋体"/>
                <w:color w:val="000000"/>
                <w:szCs w:val="21"/>
              </w:rPr>
              <w:t>采购要求。</w:t>
            </w:r>
          </w:p>
        </w:tc>
      </w:tr>
    </w:tbl>
    <w:p>
      <w:pPr>
        <w:adjustRightInd w:val="0"/>
        <w:snapToGrid w:val="0"/>
        <w:spacing w:line="480" w:lineRule="auto"/>
        <w:jc w:val="left"/>
        <w:rPr>
          <w:rFonts w:ascii="宋体" w:cs="宋体"/>
          <w:color w:val="000000"/>
          <w:sz w:val="24"/>
        </w:rPr>
      </w:pPr>
      <w:r>
        <w:rPr>
          <w:rFonts w:hint="eastAsia" w:ascii="宋体" w:hAnsi="宋体" w:cs="宋体"/>
          <w:b/>
          <w:bCs/>
          <w:spacing w:val="20"/>
          <w:kern w:val="0"/>
          <w:sz w:val="28"/>
          <w:szCs w:val="28"/>
        </w:rPr>
        <w:t>注：此表再制作一份原件单独密封递交</w:t>
      </w:r>
    </w:p>
    <w:p>
      <w:pPr>
        <w:adjustRightInd w:val="0"/>
        <w:snapToGrid w:val="0"/>
        <w:spacing w:line="480" w:lineRule="auto"/>
        <w:jc w:val="left"/>
        <w:rPr>
          <w:rFonts w:ascii="宋体" w:cs="宋体"/>
          <w:color w:val="000000"/>
          <w:sz w:val="24"/>
        </w:rPr>
      </w:pPr>
      <w:r>
        <w:rPr>
          <w:rFonts w:hint="eastAsia" w:ascii="宋体" w:hAnsi="宋体" w:cs="宋体"/>
          <w:color w:val="000000"/>
          <w:sz w:val="24"/>
        </w:rPr>
        <w:t>供应商（单位名称及公章）：</w:t>
      </w:r>
    </w:p>
    <w:p>
      <w:pPr>
        <w:adjustRightInd w:val="0"/>
        <w:snapToGrid w:val="0"/>
        <w:spacing w:line="480" w:lineRule="auto"/>
        <w:rPr>
          <w:rFonts w:ascii="宋体" w:cs="宋体"/>
          <w:color w:val="000000"/>
          <w:sz w:val="24"/>
        </w:rPr>
      </w:pPr>
      <w:r>
        <w:rPr>
          <w:rFonts w:hint="eastAsia" w:ascii="宋体" w:hAnsi="宋体" w:cs="宋体"/>
          <w:color w:val="000000"/>
          <w:sz w:val="24"/>
        </w:rPr>
        <w:t>法定代表人或被授权人（签字或盖章）：</w:t>
      </w:r>
    </w:p>
    <w:p>
      <w:pPr>
        <w:adjustRightInd w:val="0"/>
        <w:snapToGrid w:val="0"/>
        <w:spacing w:line="480" w:lineRule="auto"/>
        <w:rPr>
          <w:rFonts w:ascii="宋体" w:cs="宋体"/>
          <w:color w:val="000000"/>
          <w:sz w:val="24"/>
        </w:rPr>
      </w:pPr>
      <w:r>
        <w:rPr>
          <w:rFonts w:hint="eastAsia" w:ascii="宋体" w:hAnsi="宋体" w:cs="宋体"/>
          <w:color w:val="000000"/>
          <w:sz w:val="24"/>
        </w:rPr>
        <w:t>日期：年 月 日</w:t>
      </w:r>
    </w:p>
    <w:p>
      <w:pPr>
        <w:kinsoku w:val="0"/>
        <w:spacing w:line="480" w:lineRule="auto"/>
        <w:jc w:val="left"/>
        <w:rPr>
          <w:rFonts w:ascii="宋体" w:cs="宋体"/>
          <w:color w:val="000000"/>
          <w:sz w:val="24"/>
        </w:rPr>
      </w:pPr>
    </w:p>
    <w:p>
      <w:pPr>
        <w:pStyle w:val="4"/>
        <w:rPr>
          <w:color w:val="000000"/>
          <w:sz w:val="36"/>
          <w:szCs w:val="36"/>
        </w:rPr>
      </w:pPr>
      <w:r>
        <w:rPr>
          <w:rFonts w:hAnsi="宋体" w:cs="宋体"/>
          <w:color w:val="000000"/>
        </w:rPr>
        <w:br w:type="page"/>
      </w:r>
      <w:bookmarkStart w:id="153" w:name="_Toc20625"/>
      <w:bookmarkStart w:id="154" w:name="_Toc10234"/>
      <w:bookmarkStart w:id="155" w:name="_Toc27277"/>
      <w:bookmarkStart w:id="156" w:name="_Toc12045"/>
      <w:bookmarkStart w:id="157" w:name="_Toc25886"/>
      <w:bookmarkStart w:id="158" w:name="_Toc1789"/>
      <w:bookmarkStart w:id="159" w:name="_Toc9868"/>
      <w:bookmarkStart w:id="160" w:name="_Toc1865"/>
      <w:bookmarkStart w:id="161" w:name="_Toc9863"/>
      <w:bookmarkStart w:id="162" w:name="_Toc6753"/>
      <w:bookmarkStart w:id="163" w:name="_Toc10126"/>
      <w:bookmarkStart w:id="164" w:name="_Toc17641"/>
      <w:bookmarkStart w:id="165" w:name="_Toc9034"/>
      <w:r>
        <w:rPr>
          <w:rFonts w:hint="eastAsia" w:hAnsi="宋体" w:cs="宋体"/>
          <w:color w:val="000000"/>
        </w:rPr>
        <w:t>第三章  分项报价表</w:t>
      </w:r>
      <w:bookmarkEnd w:id="153"/>
      <w:bookmarkEnd w:id="154"/>
      <w:bookmarkEnd w:id="155"/>
      <w:bookmarkEnd w:id="156"/>
      <w:bookmarkEnd w:id="157"/>
      <w:bookmarkEnd w:id="158"/>
      <w:bookmarkEnd w:id="159"/>
      <w:bookmarkEnd w:id="160"/>
    </w:p>
    <w:p>
      <w:pPr>
        <w:pStyle w:val="7"/>
        <w:ind w:firstLine="0"/>
        <w:rPr>
          <w:color w:val="000000"/>
        </w:rPr>
      </w:pPr>
    </w:p>
    <w:p>
      <w:pPr>
        <w:widowControl/>
        <w:wordWrap w:val="0"/>
        <w:spacing w:line="360" w:lineRule="auto"/>
        <w:jc w:val="left"/>
        <w:rPr>
          <w:rFonts w:hint="eastAsia" w:ascii="宋体" w:hAnsi="宋体" w:cs="宋体"/>
          <w:color w:val="000000"/>
          <w:sz w:val="24"/>
          <w:u w:val="single"/>
        </w:rPr>
      </w:pPr>
      <w:r>
        <w:rPr>
          <w:rFonts w:hint="eastAsia" w:ascii="宋体" w:hAnsi="宋体" w:cs="宋体"/>
          <w:color w:val="000000"/>
          <w:sz w:val="24"/>
        </w:rPr>
        <w:t>项目名称：西安市食品药品检验所食品抽样租赁用车项目</w:t>
      </w:r>
    </w:p>
    <w:p>
      <w:pPr>
        <w:pStyle w:val="7"/>
        <w:ind w:firstLine="0"/>
        <w:rPr>
          <w:rFonts w:hint="eastAsia" w:ascii="宋体" w:cs="宋体"/>
          <w:color w:val="000000"/>
          <w:sz w:val="24"/>
          <w:u w:val="single"/>
        </w:rPr>
      </w:pPr>
      <w:r>
        <w:rPr>
          <w:rFonts w:hint="eastAsia" w:ascii="宋体" w:hAnsi="宋体" w:cs="宋体"/>
          <w:color w:val="000000"/>
          <w:sz w:val="24"/>
        </w:rPr>
        <w:t>项目编号：</w:t>
      </w:r>
      <w:r>
        <w:rPr>
          <w:rFonts w:hint="eastAsia" w:ascii="宋体" w:hAnsi="宋体" w:cs="宋体"/>
          <w:color w:val="000000"/>
          <w:sz w:val="24"/>
          <w:u w:val="single"/>
        </w:rPr>
        <w:t>SXWZ2022ZB-SYJ-013</w:t>
      </w:r>
    </w:p>
    <w:p>
      <w:pPr>
        <w:widowControl/>
        <w:wordWrap w:val="0"/>
        <w:spacing w:line="360" w:lineRule="auto"/>
        <w:jc w:val="left"/>
        <w:rPr>
          <w:rFonts w:ascii="宋体" w:cs="宋体"/>
          <w:b/>
          <w:color w:val="000000"/>
          <w:sz w:val="36"/>
          <w:szCs w:val="36"/>
        </w:rPr>
      </w:pPr>
      <w:r>
        <w:rPr>
          <w:rFonts w:hint="eastAsia" w:ascii="宋体" w:hAnsi="宋体" w:cs="宋体"/>
          <w:color w:val="000000"/>
          <w:sz w:val="24"/>
        </w:rPr>
        <w:t>共  页，第  页</w:t>
      </w:r>
    </w:p>
    <w:tbl>
      <w:tblPr>
        <w:tblStyle w:val="27"/>
        <w:tblpPr w:leftFromText="180" w:rightFromText="180" w:vertAnchor="text" w:horzAnchor="page" w:tblpX="1251" w:tblpY="373"/>
        <w:tblOverlap w:val="never"/>
        <w:tblW w:w="9223" w:type="dxa"/>
        <w:tblInd w:w="0" w:type="dxa"/>
        <w:tblLayout w:type="fixed"/>
        <w:tblCellMar>
          <w:top w:w="0" w:type="dxa"/>
          <w:left w:w="28" w:type="dxa"/>
          <w:bottom w:w="0" w:type="dxa"/>
          <w:right w:w="28" w:type="dxa"/>
        </w:tblCellMar>
      </w:tblPr>
      <w:tblGrid>
        <w:gridCol w:w="1416"/>
        <w:gridCol w:w="523"/>
        <w:gridCol w:w="1097"/>
        <w:gridCol w:w="1212"/>
        <w:gridCol w:w="1549"/>
        <w:gridCol w:w="1115"/>
        <w:gridCol w:w="1173"/>
        <w:gridCol w:w="1138"/>
      </w:tblGrid>
      <w:tr>
        <w:tblPrEx>
          <w:tblCellMar>
            <w:top w:w="0" w:type="dxa"/>
            <w:left w:w="28" w:type="dxa"/>
            <w:bottom w:w="0" w:type="dxa"/>
            <w:right w:w="28" w:type="dxa"/>
          </w:tblCellMar>
        </w:tblPrEx>
        <w:trPr>
          <w:trHeight w:val="832" w:hRule="atLeast"/>
        </w:trPr>
        <w:tc>
          <w:tcPr>
            <w:tcW w:w="1416" w:type="dxa"/>
            <w:vMerge w:val="restart"/>
            <w:tcBorders>
              <w:top w:val="single" w:color="auto" w:sz="6" w:space="0"/>
              <w:left w:val="single" w:color="auto" w:sz="6" w:space="0"/>
              <w:right w:val="single" w:color="auto" w:sz="4" w:space="0"/>
            </w:tcBorders>
            <w:vAlign w:val="center"/>
          </w:tcPr>
          <w:p>
            <w:pPr>
              <w:jc w:val="left"/>
              <w:rPr>
                <w:rFonts w:ascii="宋体" w:hAnsi="宋体" w:cs="宋体"/>
                <w:sz w:val="22"/>
              </w:rPr>
            </w:pPr>
            <w:r>
              <w:rPr>
                <w:rFonts w:hint="eastAsia" w:ascii="宋体" w:hAnsi="宋体" w:cs="宋体"/>
                <w:sz w:val="22"/>
              </w:rPr>
              <w:t>服务费用</w:t>
            </w:r>
          </w:p>
        </w:tc>
        <w:tc>
          <w:tcPr>
            <w:tcW w:w="523" w:type="dxa"/>
            <w:tcBorders>
              <w:top w:val="single" w:color="auto" w:sz="6" w:space="0"/>
              <w:left w:val="single" w:color="auto" w:sz="4" w:space="0"/>
              <w:bottom w:val="single" w:color="auto" w:sz="6" w:space="0"/>
            </w:tcBorders>
            <w:vAlign w:val="center"/>
          </w:tcPr>
          <w:p>
            <w:pPr>
              <w:spacing w:after="120"/>
              <w:jc w:val="center"/>
              <w:rPr>
                <w:rFonts w:ascii="宋体" w:hAnsi="宋体" w:cs="宋体"/>
                <w:sz w:val="22"/>
              </w:rPr>
            </w:pPr>
            <w:r>
              <w:rPr>
                <w:rFonts w:hint="eastAsia" w:ascii="宋体" w:hAnsi="宋体" w:cs="宋体"/>
                <w:sz w:val="22"/>
              </w:rPr>
              <w:t>序号</w:t>
            </w:r>
          </w:p>
        </w:tc>
        <w:tc>
          <w:tcPr>
            <w:tcW w:w="1097"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hAnsi="宋体" w:cs="宋体"/>
                <w:sz w:val="22"/>
              </w:rPr>
            </w:pPr>
            <w:r>
              <w:rPr>
                <w:rFonts w:hint="eastAsia" w:ascii="宋体" w:hAnsi="宋体" w:cs="宋体"/>
                <w:sz w:val="22"/>
              </w:rPr>
              <w:t>名称</w:t>
            </w:r>
          </w:p>
        </w:tc>
        <w:tc>
          <w:tcPr>
            <w:tcW w:w="1212"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hAnsi="宋体" w:cs="宋体"/>
                <w:sz w:val="22"/>
              </w:rPr>
            </w:pPr>
            <w:r>
              <w:rPr>
                <w:rFonts w:hint="eastAsia" w:ascii="宋体" w:hAnsi="宋体" w:cs="宋体"/>
                <w:sz w:val="22"/>
              </w:rPr>
              <w:t>服务/费用类型</w:t>
            </w:r>
          </w:p>
        </w:tc>
        <w:tc>
          <w:tcPr>
            <w:tcW w:w="1549" w:type="dxa"/>
            <w:tcBorders>
              <w:top w:val="single" w:color="auto" w:sz="6" w:space="0"/>
              <w:left w:val="single" w:color="auto" w:sz="6" w:space="0"/>
              <w:bottom w:val="single" w:color="auto" w:sz="6" w:space="0"/>
              <w:right w:val="single" w:color="auto" w:sz="6" w:space="0"/>
            </w:tcBorders>
            <w:vAlign w:val="center"/>
          </w:tcPr>
          <w:p>
            <w:pPr>
              <w:spacing w:beforeLines="50" w:after="120"/>
              <w:ind w:firstLine="456" w:firstLineChars="200"/>
              <w:rPr>
                <w:rFonts w:ascii="宋体" w:hAnsi="宋体" w:cs="宋体"/>
                <w:sz w:val="22"/>
              </w:rPr>
            </w:pPr>
            <w:r>
              <w:rPr>
                <w:rFonts w:hint="eastAsia" w:ascii="宋体" w:hAnsi="宋体" w:cs="宋体"/>
                <w:sz w:val="22"/>
              </w:rPr>
              <w:t>服务商</w:t>
            </w:r>
          </w:p>
        </w:tc>
        <w:tc>
          <w:tcPr>
            <w:tcW w:w="1115"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hAnsi="宋体" w:cs="宋体"/>
                <w:sz w:val="22"/>
              </w:rPr>
            </w:pPr>
            <w:r>
              <w:rPr>
                <w:rFonts w:hint="eastAsia" w:ascii="宋体" w:hAnsi="宋体" w:cs="宋体"/>
                <w:sz w:val="22"/>
              </w:rPr>
              <w:t>数量/单位</w:t>
            </w:r>
          </w:p>
        </w:tc>
        <w:tc>
          <w:tcPr>
            <w:tcW w:w="117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hAnsi="宋体" w:cs="宋体"/>
                <w:sz w:val="22"/>
              </w:rPr>
            </w:pPr>
            <w:r>
              <w:rPr>
                <w:rFonts w:hint="eastAsia" w:ascii="宋体" w:hAnsi="宋体" w:cs="宋体"/>
                <w:color w:val="000000"/>
                <w:szCs w:val="21"/>
              </w:rPr>
              <w:t>单价/辆/天</w:t>
            </w:r>
          </w:p>
          <w:p>
            <w:pPr>
              <w:spacing w:after="120"/>
              <w:jc w:val="center"/>
              <w:rPr>
                <w:rFonts w:ascii="宋体" w:hAnsi="宋体" w:cs="宋体"/>
                <w:bCs/>
                <w:sz w:val="22"/>
              </w:rPr>
            </w:pPr>
            <w:r>
              <w:rPr>
                <w:rFonts w:hint="eastAsia" w:ascii="宋体" w:hAnsi="宋体" w:cs="宋体"/>
                <w:sz w:val="22"/>
              </w:rPr>
              <w:t>（元）</w:t>
            </w:r>
          </w:p>
        </w:tc>
        <w:tc>
          <w:tcPr>
            <w:tcW w:w="1138"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hAnsi="宋体" w:cs="宋体"/>
                <w:bCs/>
                <w:sz w:val="22"/>
              </w:rPr>
            </w:pPr>
            <w:r>
              <w:rPr>
                <w:rFonts w:hint="eastAsia" w:ascii="宋体" w:hAnsi="宋体" w:cs="宋体"/>
                <w:bCs/>
                <w:sz w:val="22"/>
              </w:rPr>
              <w:t>总价</w:t>
            </w:r>
          </w:p>
          <w:p>
            <w:pPr>
              <w:spacing w:after="120"/>
              <w:jc w:val="center"/>
              <w:rPr>
                <w:rFonts w:ascii="宋体" w:hAnsi="宋体" w:cs="宋体"/>
                <w:bCs/>
                <w:sz w:val="22"/>
              </w:rPr>
            </w:pPr>
            <w:r>
              <w:rPr>
                <w:rFonts w:hint="eastAsia" w:ascii="宋体" w:hAnsi="宋体" w:cs="宋体"/>
                <w:bCs/>
                <w:sz w:val="22"/>
              </w:rPr>
              <w:t>（元）</w:t>
            </w:r>
          </w:p>
        </w:tc>
      </w:tr>
      <w:tr>
        <w:tblPrEx>
          <w:tblCellMar>
            <w:top w:w="0" w:type="dxa"/>
            <w:left w:w="28" w:type="dxa"/>
            <w:bottom w:w="0" w:type="dxa"/>
            <w:right w:w="28" w:type="dxa"/>
          </w:tblCellMar>
        </w:tblPrEx>
        <w:trPr>
          <w:trHeight w:val="696" w:hRule="atLeast"/>
        </w:trPr>
        <w:tc>
          <w:tcPr>
            <w:tcW w:w="1416" w:type="dxa"/>
            <w:vMerge w:val="continue"/>
            <w:tcBorders>
              <w:left w:val="single" w:color="auto" w:sz="6" w:space="0"/>
              <w:right w:val="single" w:color="auto" w:sz="4" w:space="0"/>
            </w:tcBorders>
            <w:vAlign w:val="center"/>
          </w:tcPr>
          <w:p>
            <w:pPr>
              <w:spacing w:beforeLines="100"/>
              <w:jc w:val="center"/>
              <w:rPr>
                <w:rFonts w:ascii="宋体" w:hAnsi="宋体" w:cs="宋体"/>
                <w:sz w:val="22"/>
              </w:rPr>
            </w:pPr>
          </w:p>
        </w:tc>
        <w:tc>
          <w:tcPr>
            <w:tcW w:w="523" w:type="dxa"/>
            <w:tcBorders>
              <w:top w:val="single" w:color="auto" w:sz="6" w:space="0"/>
              <w:left w:val="single" w:color="auto" w:sz="4" w:space="0"/>
              <w:bottom w:val="single" w:color="auto" w:sz="4" w:space="0"/>
            </w:tcBorders>
            <w:vAlign w:val="center"/>
          </w:tcPr>
          <w:p>
            <w:pPr>
              <w:spacing w:beforeLines="100"/>
              <w:jc w:val="center"/>
              <w:rPr>
                <w:rFonts w:ascii="宋体" w:hAnsi="宋体" w:cs="宋体"/>
                <w:sz w:val="22"/>
              </w:rPr>
            </w:pPr>
            <w:r>
              <w:rPr>
                <w:rFonts w:hint="eastAsia" w:ascii="宋体" w:hAnsi="宋体" w:cs="宋体"/>
                <w:sz w:val="22"/>
              </w:rPr>
              <w:t>1</w:t>
            </w:r>
          </w:p>
        </w:tc>
        <w:tc>
          <w:tcPr>
            <w:tcW w:w="1097"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ascii="宋体" w:hAnsi="宋体" w:cs="宋体"/>
                <w:sz w:val="22"/>
              </w:rPr>
            </w:pPr>
          </w:p>
        </w:tc>
        <w:tc>
          <w:tcPr>
            <w:tcW w:w="1212" w:type="dxa"/>
            <w:tcBorders>
              <w:top w:val="single" w:color="auto" w:sz="6" w:space="0"/>
              <w:left w:val="single" w:color="auto" w:sz="6" w:space="0"/>
              <w:bottom w:val="single" w:color="auto" w:sz="4" w:space="0"/>
              <w:right w:val="single" w:color="auto" w:sz="6" w:space="0"/>
            </w:tcBorders>
            <w:vAlign w:val="center"/>
          </w:tcPr>
          <w:p>
            <w:pPr>
              <w:jc w:val="center"/>
              <w:rPr>
                <w:rFonts w:ascii="宋体" w:hAnsi="宋体" w:cs="宋体"/>
                <w:sz w:val="22"/>
              </w:rPr>
            </w:pPr>
          </w:p>
        </w:tc>
        <w:tc>
          <w:tcPr>
            <w:tcW w:w="1549"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ascii="宋体" w:hAnsi="宋体" w:cs="宋体"/>
                <w:sz w:val="22"/>
              </w:rPr>
            </w:pPr>
          </w:p>
        </w:tc>
        <w:tc>
          <w:tcPr>
            <w:tcW w:w="1115"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ascii="宋体" w:hAnsi="宋体" w:cs="宋体"/>
                <w:sz w:val="22"/>
              </w:rPr>
            </w:pPr>
          </w:p>
        </w:tc>
        <w:tc>
          <w:tcPr>
            <w:tcW w:w="1173"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ascii="宋体" w:hAnsi="宋体" w:cs="宋体"/>
                <w:sz w:val="22"/>
              </w:rPr>
            </w:pPr>
          </w:p>
        </w:tc>
        <w:tc>
          <w:tcPr>
            <w:tcW w:w="1138"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ascii="宋体" w:hAnsi="宋体" w:cs="宋体"/>
                <w:sz w:val="22"/>
              </w:rPr>
            </w:pPr>
          </w:p>
        </w:tc>
      </w:tr>
      <w:tr>
        <w:tblPrEx>
          <w:tblCellMar>
            <w:top w:w="0" w:type="dxa"/>
            <w:left w:w="28" w:type="dxa"/>
            <w:bottom w:w="0" w:type="dxa"/>
            <w:right w:w="28" w:type="dxa"/>
          </w:tblCellMar>
        </w:tblPrEx>
        <w:trPr>
          <w:trHeight w:val="691" w:hRule="atLeast"/>
        </w:trPr>
        <w:tc>
          <w:tcPr>
            <w:tcW w:w="1416" w:type="dxa"/>
            <w:vMerge w:val="continue"/>
            <w:tcBorders>
              <w:left w:val="single" w:color="auto" w:sz="6" w:space="0"/>
              <w:right w:val="single" w:color="auto" w:sz="4" w:space="0"/>
            </w:tcBorders>
            <w:vAlign w:val="center"/>
          </w:tcPr>
          <w:p>
            <w:pPr>
              <w:spacing w:beforeLines="100"/>
              <w:jc w:val="center"/>
              <w:rPr>
                <w:rFonts w:ascii="宋体" w:hAnsi="宋体" w:cs="宋体"/>
                <w:sz w:val="22"/>
              </w:rPr>
            </w:pPr>
          </w:p>
        </w:tc>
        <w:tc>
          <w:tcPr>
            <w:tcW w:w="523" w:type="dxa"/>
            <w:tcBorders>
              <w:top w:val="single" w:color="auto" w:sz="4" w:space="0"/>
              <w:left w:val="single" w:color="auto" w:sz="4" w:space="0"/>
              <w:bottom w:val="single" w:color="auto" w:sz="6" w:space="0"/>
            </w:tcBorders>
            <w:vAlign w:val="center"/>
          </w:tcPr>
          <w:p>
            <w:pPr>
              <w:spacing w:beforeLines="100"/>
              <w:jc w:val="center"/>
              <w:rPr>
                <w:rFonts w:ascii="宋体" w:hAnsi="宋体" w:cs="宋体"/>
                <w:sz w:val="22"/>
              </w:rPr>
            </w:pPr>
            <w:r>
              <w:rPr>
                <w:rFonts w:hint="eastAsia" w:ascii="宋体" w:hAnsi="宋体" w:cs="宋体"/>
                <w:sz w:val="22"/>
              </w:rPr>
              <w:t>2</w:t>
            </w:r>
          </w:p>
        </w:tc>
        <w:tc>
          <w:tcPr>
            <w:tcW w:w="1097" w:type="dxa"/>
            <w:tcBorders>
              <w:top w:val="single" w:color="auto" w:sz="4" w:space="0"/>
              <w:left w:val="single" w:color="auto" w:sz="6" w:space="0"/>
              <w:bottom w:val="single" w:color="auto" w:sz="6" w:space="0"/>
              <w:right w:val="single" w:color="auto" w:sz="6" w:space="0"/>
            </w:tcBorders>
            <w:vAlign w:val="center"/>
          </w:tcPr>
          <w:p>
            <w:pPr>
              <w:spacing w:beforeLines="100"/>
              <w:jc w:val="center"/>
              <w:rPr>
                <w:rFonts w:ascii="宋体" w:hAnsi="宋体" w:cs="宋体"/>
                <w:sz w:val="22"/>
              </w:rPr>
            </w:pPr>
          </w:p>
        </w:tc>
        <w:tc>
          <w:tcPr>
            <w:tcW w:w="1212" w:type="dxa"/>
            <w:tcBorders>
              <w:top w:val="single" w:color="auto" w:sz="4" w:space="0"/>
              <w:left w:val="single" w:color="auto" w:sz="6" w:space="0"/>
              <w:bottom w:val="single" w:color="auto" w:sz="6" w:space="0"/>
              <w:right w:val="single" w:color="auto" w:sz="6" w:space="0"/>
            </w:tcBorders>
            <w:vAlign w:val="center"/>
          </w:tcPr>
          <w:p>
            <w:pPr>
              <w:jc w:val="center"/>
              <w:rPr>
                <w:rFonts w:ascii="宋体" w:hAnsi="宋体" w:cs="宋体"/>
                <w:sz w:val="22"/>
              </w:rPr>
            </w:pPr>
          </w:p>
        </w:tc>
        <w:tc>
          <w:tcPr>
            <w:tcW w:w="1549"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2"/>
              </w:rPr>
            </w:pPr>
          </w:p>
        </w:tc>
        <w:tc>
          <w:tcPr>
            <w:tcW w:w="1115"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2"/>
              </w:rPr>
            </w:pPr>
          </w:p>
        </w:tc>
        <w:tc>
          <w:tcPr>
            <w:tcW w:w="1173"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2"/>
              </w:rPr>
            </w:pPr>
          </w:p>
        </w:tc>
        <w:tc>
          <w:tcPr>
            <w:tcW w:w="1138"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2"/>
              </w:rPr>
            </w:pPr>
          </w:p>
        </w:tc>
      </w:tr>
      <w:tr>
        <w:tblPrEx>
          <w:tblCellMar>
            <w:top w:w="0" w:type="dxa"/>
            <w:left w:w="28" w:type="dxa"/>
            <w:bottom w:w="0" w:type="dxa"/>
            <w:right w:w="28" w:type="dxa"/>
          </w:tblCellMar>
        </w:tblPrEx>
        <w:trPr>
          <w:trHeight w:val="696" w:hRule="atLeast"/>
        </w:trPr>
        <w:tc>
          <w:tcPr>
            <w:tcW w:w="1416" w:type="dxa"/>
            <w:vMerge w:val="continue"/>
            <w:tcBorders>
              <w:left w:val="single" w:color="auto" w:sz="6" w:space="0"/>
              <w:right w:val="single" w:color="auto" w:sz="4" w:space="0"/>
            </w:tcBorders>
            <w:vAlign w:val="center"/>
          </w:tcPr>
          <w:p>
            <w:pPr>
              <w:spacing w:beforeLines="100"/>
              <w:jc w:val="center"/>
              <w:rPr>
                <w:rFonts w:ascii="宋体" w:hAnsi="宋体" w:cs="宋体"/>
                <w:sz w:val="22"/>
              </w:rPr>
            </w:pPr>
          </w:p>
        </w:tc>
        <w:tc>
          <w:tcPr>
            <w:tcW w:w="523" w:type="dxa"/>
            <w:tcBorders>
              <w:top w:val="single" w:color="auto" w:sz="4" w:space="0"/>
              <w:left w:val="single" w:color="auto" w:sz="4" w:space="0"/>
              <w:bottom w:val="single" w:color="auto" w:sz="6" w:space="0"/>
            </w:tcBorders>
            <w:vAlign w:val="center"/>
          </w:tcPr>
          <w:p>
            <w:pPr>
              <w:spacing w:beforeLines="100"/>
              <w:jc w:val="center"/>
              <w:rPr>
                <w:rFonts w:ascii="宋体" w:hAnsi="宋体" w:cs="宋体"/>
                <w:sz w:val="22"/>
              </w:rPr>
            </w:pPr>
            <w:r>
              <w:rPr>
                <w:rFonts w:hint="eastAsia" w:ascii="宋体" w:hAnsi="宋体" w:cs="宋体"/>
                <w:sz w:val="22"/>
              </w:rPr>
              <w:t>3</w:t>
            </w:r>
          </w:p>
        </w:tc>
        <w:tc>
          <w:tcPr>
            <w:tcW w:w="1097" w:type="dxa"/>
            <w:tcBorders>
              <w:top w:val="single" w:color="auto" w:sz="4" w:space="0"/>
              <w:left w:val="single" w:color="auto" w:sz="6" w:space="0"/>
              <w:bottom w:val="single" w:color="auto" w:sz="6" w:space="0"/>
              <w:right w:val="single" w:color="auto" w:sz="6" w:space="0"/>
            </w:tcBorders>
            <w:vAlign w:val="center"/>
          </w:tcPr>
          <w:p>
            <w:pPr>
              <w:spacing w:beforeLines="100"/>
              <w:jc w:val="center"/>
              <w:rPr>
                <w:rFonts w:ascii="宋体" w:hAnsi="宋体" w:cs="宋体"/>
                <w:sz w:val="22"/>
              </w:rPr>
            </w:pPr>
          </w:p>
        </w:tc>
        <w:tc>
          <w:tcPr>
            <w:tcW w:w="1212" w:type="dxa"/>
            <w:tcBorders>
              <w:top w:val="single" w:color="auto" w:sz="4" w:space="0"/>
              <w:left w:val="single" w:color="auto" w:sz="6" w:space="0"/>
              <w:bottom w:val="single" w:color="auto" w:sz="6" w:space="0"/>
              <w:right w:val="single" w:color="auto" w:sz="6" w:space="0"/>
            </w:tcBorders>
            <w:vAlign w:val="center"/>
          </w:tcPr>
          <w:p>
            <w:pPr>
              <w:jc w:val="center"/>
              <w:rPr>
                <w:rFonts w:ascii="宋体" w:hAnsi="宋体" w:cs="宋体"/>
                <w:sz w:val="22"/>
              </w:rPr>
            </w:pPr>
          </w:p>
        </w:tc>
        <w:tc>
          <w:tcPr>
            <w:tcW w:w="1549"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2"/>
              </w:rPr>
            </w:pPr>
          </w:p>
        </w:tc>
        <w:tc>
          <w:tcPr>
            <w:tcW w:w="1115"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2"/>
              </w:rPr>
            </w:pPr>
          </w:p>
        </w:tc>
        <w:tc>
          <w:tcPr>
            <w:tcW w:w="1173"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2"/>
              </w:rPr>
            </w:pPr>
          </w:p>
        </w:tc>
        <w:tc>
          <w:tcPr>
            <w:tcW w:w="1138"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2"/>
              </w:rPr>
            </w:pPr>
          </w:p>
        </w:tc>
      </w:tr>
      <w:tr>
        <w:tblPrEx>
          <w:tblCellMar>
            <w:top w:w="0" w:type="dxa"/>
            <w:left w:w="28" w:type="dxa"/>
            <w:bottom w:w="0" w:type="dxa"/>
            <w:right w:w="28" w:type="dxa"/>
          </w:tblCellMar>
        </w:tblPrEx>
        <w:trPr>
          <w:trHeight w:val="894" w:hRule="atLeast"/>
        </w:trPr>
        <w:tc>
          <w:tcPr>
            <w:tcW w:w="1416" w:type="dxa"/>
            <w:vMerge w:val="continue"/>
            <w:tcBorders>
              <w:left w:val="single" w:color="auto" w:sz="6" w:space="0"/>
              <w:right w:val="single" w:color="auto" w:sz="4" w:space="0"/>
            </w:tcBorders>
            <w:vAlign w:val="center"/>
          </w:tcPr>
          <w:p>
            <w:pPr>
              <w:spacing w:beforeLines="100"/>
              <w:jc w:val="center"/>
              <w:rPr>
                <w:rFonts w:ascii="宋体" w:hAnsi="宋体" w:cs="宋体"/>
                <w:sz w:val="22"/>
              </w:rPr>
            </w:pPr>
          </w:p>
        </w:tc>
        <w:tc>
          <w:tcPr>
            <w:tcW w:w="523" w:type="dxa"/>
            <w:tcBorders>
              <w:top w:val="single" w:color="auto" w:sz="4" w:space="0"/>
              <w:left w:val="single" w:color="auto" w:sz="4" w:space="0"/>
              <w:bottom w:val="single" w:color="auto" w:sz="6" w:space="0"/>
            </w:tcBorders>
            <w:vAlign w:val="center"/>
          </w:tcPr>
          <w:p>
            <w:pPr>
              <w:spacing w:beforeLines="100"/>
              <w:jc w:val="center"/>
              <w:rPr>
                <w:rFonts w:ascii="宋体" w:hAnsi="宋体" w:cs="宋体"/>
                <w:sz w:val="22"/>
              </w:rPr>
            </w:pPr>
            <w:r>
              <w:rPr>
                <w:rFonts w:hint="eastAsia" w:ascii="宋体" w:hAnsi="宋体" w:cs="宋体"/>
                <w:sz w:val="22"/>
              </w:rPr>
              <w:t>4</w:t>
            </w:r>
          </w:p>
        </w:tc>
        <w:tc>
          <w:tcPr>
            <w:tcW w:w="1097"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2"/>
              </w:rPr>
            </w:pPr>
          </w:p>
        </w:tc>
        <w:tc>
          <w:tcPr>
            <w:tcW w:w="1212" w:type="dxa"/>
            <w:tcBorders>
              <w:top w:val="single" w:color="auto" w:sz="4" w:space="0"/>
              <w:left w:val="single" w:color="auto" w:sz="6" w:space="0"/>
              <w:bottom w:val="single" w:color="auto" w:sz="6" w:space="0"/>
              <w:right w:val="single" w:color="auto" w:sz="6" w:space="0"/>
            </w:tcBorders>
            <w:vAlign w:val="center"/>
          </w:tcPr>
          <w:p>
            <w:pPr>
              <w:jc w:val="center"/>
              <w:rPr>
                <w:rFonts w:ascii="宋体" w:hAnsi="宋体" w:cs="宋体"/>
                <w:sz w:val="22"/>
              </w:rPr>
            </w:pPr>
          </w:p>
        </w:tc>
        <w:tc>
          <w:tcPr>
            <w:tcW w:w="1549"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2"/>
              </w:rPr>
            </w:pPr>
          </w:p>
        </w:tc>
        <w:tc>
          <w:tcPr>
            <w:tcW w:w="1115"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2"/>
              </w:rPr>
            </w:pPr>
          </w:p>
        </w:tc>
        <w:tc>
          <w:tcPr>
            <w:tcW w:w="1173"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2"/>
              </w:rPr>
            </w:pPr>
          </w:p>
        </w:tc>
        <w:tc>
          <w:tcPr>
            <w:tcW w:w="1138"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2"/>
              </w:rPr>
            </w:pPr>
          </w:p>
        </w:tc>
      </w:tr>
      <w:tr>
        <w:tblPrEx>
          <w:tblCellMar>
            <w:top w:w="0" w:type="dxa"/>
            <w:left w:w="28" w:type="dxa"/>
            <w:bottom w:w="0" w:type="dxa"/>
            <w:right w:w="28" w:type="dxa"/>
          </w:tblCellMar>
        </w:tblPrEx>
        <w:trPr>
          <w:trHeight w:val="894" w:hRule="atLeast"/>
        </w:trPr>
        <w:tc>
          <w:tcPr>
            <w:tcW w:w="1416" w:type="dxa"/>
            <w:vMerge w:val="continue"/>
            <w:tcBorders>
              <w:left w:val="single" w:color="auto" w:sz="6" w:space="0"/>
              <w:bottom w:val="single" w:color="auto" w:sz="6" w:space="0"/>
              <w:right w:val="single" w:color="auto" w:sz="4" w:space="0"/>
            </w:tcBorders>
            <w:vAlign w:val="center"/>
          </w:tcPr>
          <w:p>
            <w:pPr>
              <w:spacing w:beforeLines="100"/>
              <w:jc w:val="center"/>
              <w:rPr>
                <w:rFonts w:ascii="宋体" w:hAnsi="宋体" w:cs="宋体"/>
                <w:sz w:val="22"/>
              </w:rPr>
            </w:pPr>
          </w:p>
        </w:tc>
        <w:tc>
          <w:tcPr>
            <w:tcW w:w="523" w:type="dxa"/>
            <w:tcBorders>
              <w:top w:val="single" w:color="auto" w:sz="4" w:space="0"/>
              <w:left w:val="single" w:color="auto" w:sz="4" w:space="0"/>
              <w:bottom w:val="single" w:color="auto" w:sz="6" w:space="0"/>
            </w:tcBorders>
            <w:vAlign w:val="center"/>
          </w:tcPr>
          <w:p>
            <w:pPr>
              <w:spacing w:beforeLines="100"/>
              <w:jc w:val="center"/>
              <w:rPr>
                <w:rFonts w:ascii="宋体" w:hAnsi="宋体" w:cs="宋体"/>
                <w:sz w:val="22"/>
              </w:rPr>
            </w:pPr>
            <w:r>
              <w:rPr>
                <w:rFonts w:hint="eastAsia" w:ascii="宋体" w:hAnsi="宋体" w:cs="宋体"/>
                <w:sz w:val="22"/>
              </w:rPr>
              <w:t>……</w:t>
            </w:r>
          </w:p>
        </w:tc>
        <w:tc>
          <w:tcPr>
            <w:tcW w:w="1097"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2"/>
              </w:rPr>
            </w:pPr>
          </w:p>
        </w:tc>
        <w:tc>
          <w:tcPr>
            <w:tcW w:w="1212" w:type="dxa"/>
            <w:tcBorders>
              <w:top w:val="single" w:color="auto" w:sz="4" w:space="0"/>
              <w:left w:val="single" w:color="auto" w:sz="6" w:space="0"/>
              <w:bottom w:val="single" w:color="auto" w:sz="6" w:space="0"/>
              <w:right w:val="single" w:color="auto" w:sz="6" w:space="0"/>
            </w:tcBorders>
            <w:vAlign w:val="center"/>
          </w:tcPr>
          <w:p>
            <w:pPr>
              <w:jc w:val="center"/>
              <w:rPr>
                <w:rFonts w:ascii="宋体" w:hAnsi="宋体" w:cs="宋体"/>
                <w:sz w:val="24"/>
                <w:szCs w:val="24"/>
              </w:rPr>
            </w:pPr>
            <w:r>
              <w:rPr>
                <w:rFonts w:hint="eastAsia" w:ascii="宋体" w:hAnsi="宋体" w:cs="宋体"/>
                <w:sz w:val="22"/>
              </w:rPr>
              <w:t>……</w:t>
            </w:r>
          </w:p>
        </w:tc>
        <w:tc>
          <w:tcPr>
            <w:tcW w:w="1549"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2"/>
              </w:rPr>
            </w:pPr>
          </w:p>
        </w:tc>
        <w:tc>
          <w:tcPr>
            <w:tcW w:w="1115"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2"/>
              </w:rPr>
            </w:pPr>
          </w:p>
        </w:tc>
        <w:tc>
          <w:tcPr>
            <w:tcW w:w="1173"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2"/>
              </w:rPr>
            </w:pPr>
          </w:p>
        </w:tc>
        <w:tc>
          <w:tcPr>
            <w:tcW w:w="1138"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2"/>
              </w:rPr>
            </w:pPr>
          </w:p>
        </w:tc>
      </w:tr>
      <w:tr>
        <w:tblPrEx>
          <w:tblCellMar>
            <w:top w:w="0" w:type="dxa"/>
            <w:left w:w="28" w:type="dxa"/>
            <w:bottom w:w="0" w:type="dxa"/>
            <w:right w:w="28" w:type="dxa"/>
          </w:tblCellMar>
        </w:tblPrEx>
        <w:trPr>
          <w:trHeight w:val="565" w:hRule="atLeast"/>
        </w:trPr>
        <w:tc>
          <w:tcPr>
            <w:tcW w:w="3036"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hAnsi="宋体" w:cs="宋体"/>
                <w:sz w:val="22"/>
              </w:rPr>
            </w:pPr>
            <w:r>
              <w:rPr>
                <w:rFonts w:hint="eastAsia" w:ascii="宋体" w:hAnsi="宋体" w:cs="宋体"/>
                <w:sz w:val="22"/>
              </w:rPr>
              <w:t>其他费用</w:t>
            </w:r>
          </w:p>
        </w:tc>
        <w:tc>
          <w:tcPr>
            <w:tcW w:w="6187" w:type="dxa"/>
            <w:gridSpan w:val="5"/>
            <w:tcBorders>
              <w:top w:val="single" w:color="auto" w:sz="4" w:space="0"/>
              <w:left w:val="single" w:color="auto" w:sz="6" w:space="0"/>
              <w:bottom w:val="single" w:color="auto" w:sz="6" w:space="0"/>
              <w:right w:val="single" w:color="auto" w:sz="6" w:space="0"/>
            </w:tcBorders>
            <w:vAlign w:val="center"/>
          </w:tcPr>
          <w:p>
            <w:pPr>
              <w:jc w:val="center"/>
              <w:rPr>
                <w:rFonts w:ascii="宋体" w:hAnsi="宋体" w:cs="宋体"/>
              </w:rPr>
            </w:pPr>
          </w:p>
        </w:tc>
      </w:tr>
      <w:tr>
        <w:tblPrEx>
          <w:tblCellMar>
            <w:top w:w="0" w:type="dxa"/>
            <w:left w:w="28" w:type="dxa"/>
            <w:bottom w:w="0" w:type="dxa"/>
            <w:right w:w="28" w:type="dxa"/>
          </w:tblCellMar>
        </w:tblPrEx>
        <w:trPr>
          <w:trHeight w:val="565" w:hRule="atLeast"/>
        </w:trPr>
        <w:tc>
          <w:tcPr>
            <w:tcW w:w="1939" w:type="dxa"/>
            <w:gridSpan w:val="2"/>
            <w:tcBorders>
              <w:top w:val="single" w:color="auto" w:sz="4" w:space="0"/>
              <w:left w:val="single" w:color="auto" w:sz="6" w:space="0"/>
              <w:bottom w:val="single" w:color="auto" w:sz="6" w:space="0"/>
            </w:tcBorders>
            <w:vAlign w:val="center"/>
          </w:tcPr>
          <w:p>
            <w:pPr>
              <w:rPr>
                <w:rFonts w:ascii="宋体" w:hAnsi="宋体" w:cs="宋体"/>
                <w:sz w:val="22"/>
              </w:rPr>
            </w:pPr>
            <w:r>
              <w:rPr>
                <w:rFonts w:hint="eastAsia" w:ascii="宋体" w:hAnsi="宋体" w:cs="宋体"/>
                <w:sz w:val="22"/>
              </w:rPr>
              <w:t>投标总报价</w:t>
            </w:r>
          </w:p>
        </w:tc>
        <w:tc>
          <w:tcPr>
            <w:tcW w:w="1097" w:type="dxa"/>
            <w:tcBorders>
              <w:top w:val="single" w:color="auto" w:sz="4" w:space="0"/>
              <w:left w:val="single" w:color="auto" w:sz="6" w:space="0"/>
              <w:bottom w:val="single" w:color="auto" w:sz="6" w:space="0"/>
              <w:right w:val="single" w:color="auto" w:sz="6" w:space="0"/>
            </w:tcBorders>
            <w:vAlign w:val="center"/>
          </w:tcPr>
          <w:p>
            <w:pPr>
              <w:spacing w:beforeLines="50"/>
              <w:jc w:val="left"/>
              <w:rPr>
                <w:rFonts w:ascii="宋体" w:hAnsi="宋体" w:cs="宋体"/>
                <w:sz w:val="22"/>
              </w:rPr>
            </w:pPr>
            <w:r>
              <w:rPr>
                <w:rFonts w:hint="eastAsia" w:ascii="宋体" w:hAnsi="宋体" w:cs="宋体"/>
                <w:sz w:val="22"/>
              </w:rPr>
              <w:t>大写：                       小写：元</w:t>
            </w:r>
          </w:p>
        </w:tc>
        <w:tc>
          <w:tcPr>
            <w:tcW w:w="6187" w:type="dxa"/>
            <w:gridSpan w:val="5"/>
            <w:tcBorders>
              <w:top w:val="single" w:color="auto" w:sz="4" w:space="0"/>
              <w:left w:val="single" w:color="auto" w:sz="6" w:space="0"/>
              <w:bottom w:val="single" w:color="auto" w:sz="6" w:space="0"/>
              <w:right w:val="single" w:color="auto" w:sz="6" w:space="0"/>
            </w:tcBorders>
            <w:vAlign w:val="center"/>
          </w:tcPr>
          <w:p>
            <w:pPr>
              <w:spacing w:beforeLines="50"/>
              <w:jc w:val="left"/>
              <w:rPr>
                <w:rFonts w:ascii="宋体" w:hAnsi="宋体" w:cs="宋体"/>
              </w:rPr>
            </w:pPr>
          </w:p>
        </w:tc>
      </w:tr>
      <w:tr>
        <w:tblPrEx>
          <w:tblCellMar>
            <w:top w:w="0" w:type="dxa"/>
            <w:left w:w="28" w:type="dxa"/>
            <w:bottom w:w="0" w:type="dxa"/>
            <w:right w:w="28" w:type="dxa"/>
          </w:tblCellMar>
        </w:tblPrEx>
        <w:trPr>
          <w:trHeight w:val="647" w:hRule="atLeast"/>
        </w:trPr>
        <w:tc>
          <w:tcPr>
            <w:tcW w:w="1939" w:type="dxa"/>
            <w:gridSpan w:val="2"/>
            <w:tcBorders>
              <w:top w:val="single" w:color="auto" w:sz="4" w:space="0"/>
              <w:left w:val="single" w:color="auto" w:sz="6" w:space="0"/>
              <w:bottom w:val="single" w:color="auto" w:sz="6" w:space="0"/>
            </w:tcBorders>
            <w:vAlign w:val="center"/>
          </w:tcPr>
          <w:p>
            <w:pPr>
              <w:jc w:val="center"/>
              <w:rPr>
                <w:rFonts w:ascii="宋体" w:hAnsi="宋体" w:cs="宋体"/>
                <w:sz w:val="22"/>
              </w:rPr>
            </w:pPr>
            <w:r>
              <w:rPr>
                <w:rFonts w:hint="eastAsia" w:ascii="宋体" w:hAnsi="宋体" w:cs="宋体"/>
                <w:sz w:val="22"/>
              </w:rPr>
              <w:t>备注</w:t>
            </w:r>
          </w:p>
        </w:tc>
        <w:tc>
          <w:tcPr>
            <w:tcW w:w="7284" w:type="dxa"/>
            <w:gridSpan w:val="6"/>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cs="宋体"/>
                <w:sz w:val="22"/>
              </w:rPr>
            </w:pPr>
            <w:r>
              <w:rPr>
                <w:rFonts w:hint="eastAsia" w:ascii="宋体" w:hAnsi="宋体" w:cs="宋体"/>
                <w:spacing w:val="-6"/>
                <w:sz w:val="22"/>
                <w:lang w:eastAsia="zh-CN"/>
              </w:rPr>
              <w:t>精确到小数点后两位</w:t>
            </w:r>
            <w:r>
              <w:rPr>
                <w:rFonts w:hint="eastAsia" w:ascii="宋体" w:hAnsi="宋体" w:cs="宋体"/>
                <w:spacing w:val="-6"/>
                <w:sz w:val="22"/>
              </w:rPr>
              <w:t>。</w:t>
            </w:r>
          </w:p>
        </w:tc>
      </w:tr>
    </w:tbl>
    <w:p>
      <w:pPr>
        <w:widowControl/>
        <w:wordWrap w:val="0"/>
        <w:spacing w:line="360" w:lineRule="auto"/>
        <w:jc w:val="left"/>
        <w:rPr>
          <w:rFonts w:ascii="宋体" w:cs="宋体"/>
          <w:b/>
          <w:color w:val="000000"/>
          <w:sz w:val="36"/>
          <w:szCs w:val="36"/>
        </w:rPr>
      </w:pPr>
    </w:p>
    <w:p>
      <w:pPr>
        <w:adjustRightInd w:val="0"/>
        <w:snapToGrid w:val="0"/>
        <w:spacing w:line="480" w:lineRule="auto"/>
        <w:rPr>
          <w:rFonts w:ascii="宋体"/>
          <w:color w:val="000000"/>
          <w:sz w:val="24"/>
          <w:szCs w:val="24"/>
        </w:rPr>
      </w:pPr>
      <w:r>
        <w:rPr>
          <w:rFonts w:hint="eastAsia" w:ascii="宋体" w:hAnsi="宋体"/>
          <w:color w:val="000000"/>
          <w:sz w:val="24"/>
          <w:szCs w:val="24"/>
        </w:rPr>
        <w:t>供应商（单位名称及公章）：</w:t>
      </w:r>
    </w:p>
    <w:p>
      <w:pPr>
        <w:adjustRightInd w:val="0"/>
        <w:snapToGrid w:val="0"/>
        <w:spacing w:line="480" w:lineRule="auto"/>
        <w:rPr>
          <w:rFonts w:ascii="宋体"/>
          <w:color w:val="000000"/>
          <w:sz w:val="24"/>
          <w:szCs w:val="24"/>
        </w:rPr>
      </w:pPr>
      <w:r>
        <w:rPr>
          <w:rFonts w:hint="eastAsia" w:ascii="宋体" w:hAnsi="宋体"/>
          <w:color w:val="000000"/>
          <w:sz w:val="24"/>
          <w:szCs w:val="24"/>
        </w:rPr>
        <w:t>法定代表人或被授权人（签字或盖章）：</w:t>
      </w:r>
    </w:p>
    <w:p>
      <w:pPr>
        <w:adjustRightInd w:val="0"/>
        <w:snapToGrid w:val="0"/>
        <w:spacing w:line="480" w:lineRule="auto"/>
        <w:rPr>
          <w:rFonts w:ascii="宋体"/>
          <w:color w:val="000000"/>
          <w:sz w:val="24"/>
          <w:szCs w:val="24"/>
        </w:rPr>
      </w:pPr>
      <w:r>
        <w:rPr>
          <w:rFonts w:hint="eastAsia" w:ascii="宋体" w:hAnsi="宋体"/>
          <w:color w:val="000000"/>
          <w:sz w:val="24"/>
          <w:szCs w:val="24"/>
        </w:rPr>
        <w:t>日期：年  月  日</w:t>
      </w:r>
    </w:p>
    <w:p>
      <w:pPr>
        <w:pStyle w:val="4"/>
        <w:rPr>
          <w:color w:val="000000"/>
          <w:sz w:val="36"/>
          <w:szCs w:val="36"/>
        </w:rPr>
        <w:sectPr>
          <w:pgSz w:w="11906" w:h="16838"/>
          <w:pgMar w:top="1440" w:right="1803" w:bottom="1440" w:left="1803" w:header="850" w:footer="992" w:gutter="0"/>
          <w:cols w:space="720" w:num="1"/>
          <w:titlePg/>
          <w:docGrid w:type="linesAndChars" w:linePitch="395" w:charSpace="1724"/>
        </w:sectPr>
      </w:pPr>
    </w:p>
    <w:bookmarkEnd w:id="161"/>
    <w:bookmarkEnd w:id="162"/>
    <w:bookmarkEnd w:id="163"/>
    <w:bookmarkEnd w:id="164"/>
    <w:bookmarkEnd w:id="165"/>
    <w:p>
      <w:pPr>
        <w:pStyle w:val="4"/>
        <w:rPr>
          <w:color w:val="000000"/>
        </w:rPr>
      </w:pPr>
      <w:bookmarkStart w:id="166" w:name="_Toc3301"/>
      <w:bookmarkStart w:id="167" w:name="_Toc25889"/>
      <w:bookmarkStart w:id="168" w:name="_Toc28248"/>
      <w:bookmarkStart w:id="169" w:name="_Toc31896"/>
      <w:bookmarkStart w:id="170" w:name="_Toc32440"/>
      <w:bookmarkStart w:id="171" w:name="_Toc23078"/>
      <w:r>
        <w:rPr>
          <w:rFonts w:hint="eastAsia"/>
          <w:color w:val="000000"/>
        </w:rPr>
        <w:t>第四章  供应商资质证明资料</w:t>
      </w:r>
      <w:bookmarkEnd w:id="166"/>
      <w:bookmarkEnd w:id="167"/>
      <w:bookmarkEnd w:id="168"/>
      <w:bookmarkEnd w:id="169"/>
    </w:p>
    <w:p>
      <w:pPr>
        <w:rPr>
          <w:color w:val="000000"/>
        </w:rPr>
      </w:pPr>
      <w:r>
        <w:rPr>
          <w:rFonts w:hint="eastAsia" w:ascii="宋体" w:hAnsi="宋体" w:cs="宋体"/>
          <w:b/>
          <w:bCs/>
          <w:sz w:val="28"/>
          <w:szCs w:val="24"/>
        </w:rPr>
        <w:t>供应商需在此页附磋商公告或磋商文件中要求的资质证明文件，磋商文件附资质复印件或扫描件加盖投标人公章。格式参考见下页。</w:t>
      </w:r>
      <w:r>
        <w:rPr>
          <w:rFonts w:hint="eastAsia"/>
          <w:color w:val="000000"/>
        </w:rPr>
        <w:br w:type="page"/>
      </w:r>
    </w:p>
    <w:p>
      <w:pPr>
        <w:pStyle w:val="7"/>
        <w:ind w:firstLine="0"/>
        <w:rPr>
          <w:rFonts w:ascii="宋体" w:hAnsi="宋体" w:cs="宋体"/>
          <w:b/>
          <w:bCs/>
          <w:sz w:val="32"/>
          <w:szCs w:val="28"/>
        </w:rPr>
      </w:pPr>
      <w:r>
        <w:rPr>
          <w:rFonts w:hint="eastAsia" w:ascii="宋体" w:hAnsi="宋体" w:cs="宋体"/>
          <w:b/>
          <w:bCs/>
          <w:sz w:val="32"/>
          <w:szCs w:val="28"/>
        </w:rPr>
        <w:t>附：资质证明文件格式：</w:t>
      </w:r>
    </w:p>
    <w:p>
      <w:pPr>
        <w:rPr>
          <w:rFonts w:ascii="宋体" w:hAnsi="宋体" w:cs="宋体"/>
        </w:rPr>
      </w:pPr>
      <w:r>
        <w:rPr>
          <w:rFonts w:hint="eastAsia" w:ascii="宋体" w:hAnsi="宋体" w:cs="宋体"/>
          <w:sz w:val="24"/>
          <w:szCs w:val="24"/>
        </w:rPr>
        <w:t>1、供应商符合《政府采购法》第二十二条规定条件的承诺函</w:t>
      </w:r>
    </w:p>
    <w:p>
      <w:pPr>
        <w:pStyle w:val="10"/>
        <w:spacing w:line="360" w:lineRule="auto"/>
        <w:ind w:left="0" w:leftChars="0"/>
        <w:rPr>
          <w:rFonts w:ascii="宋体" w:hAnsi="宋体" w:cs="宋体"/>
          <w:sz w:val="24"/>
          <w:szCs w:val="24"/>
        </w:rPr>
      </w:pPr>
      <w:r>
        <w:rPr>
          <w:rFonts w:hint="eastAsia" w:ascii="宋体" w:hAnsi="宋体" w:cs="宋体"/>
          <w:sz w:val="24"/>
          <w:szCs w:val="24"/>
        </w:rPr>
        <w:t xml:space="preserve">致陕西万泽招标有限公司： </w:t>
      </w:r>
    </w:p>
    <w:p>
      <w:pPr>
        <w:pStyle w:val="10"/>
        <w:spacing w:line="360" w:lineRule="auto"/>
        <w:ind w:left="0" w:leftChars="0" w:firstLine="558" w:firstLineChars="225"/>
        <w:rPr>
          <w:rFonts w:ascii="宋体" w:hAnsi="宋体" w:cs="宋体"/>
          <w:sz w:val="24"/>
          <w:szCs w:val="24"/>
        </w:rPr>
      </w:pPr>
      <w:r>
        <w:rPr>
          <w:rFonts w:hint="eastAsia" w:ascii="宋体" w:hAnsi="宋体" w:cs="宋体"/>
          <w:sz w:val="24"/>
          <w:szCs w:val="24"/>
        </w:rPr>
        <w:t>本公司</w:t>
      </w:r>
      <w:r>
        <w:rPr>
          <w:rFonts w:hint="eastAsia" w:ascii="宋体" w:hAnsi="宋体" w:cs="宋体"/>
          <w:sz w:val="24"/>
          <w:szCs w:val="24"/>
          <w:u w:val="single"/>
        </w:rPr>
        <w:t xml:space="preserve">   （公司名称）</w:t>
      </w:r>
      <w:r>
        <w:rPr>
          <w:rFonts w:hint="eastAsia" w:ascii="宋体" w:hAnsi="宋体" w:cs="宋体"/>
          <w:sz w:val="24"/>
          <w:szCs w:val="24"/>
        </w:rPr>
        <w:t>参加的采购活动，现承诺：</w:t>
      </w:r>
    </w:p>
    <w:p>
      <w:pPr>
        <w:pStyle w:val="10"/>
        <w:spacing w:line="360" w:lineRule="auto"/>
        <w:ind w:left="0" w:leftChars="0" w:firstLine="558" w:firstLineChars="225"/>
        <w:rPr>
          <w:rFonts w:ascii="宋体" w:hAnsi="宋体" w:cs="宋体"/>
          <w:sz w:val="24"/>
          <w:szCs w:val="24"/>
        </w:rPr>
      </w:pPr>
      <w:r>
        <w:rPr>
          <w:rFonts w:hint="eastAsia" w:ascii="宋体" w:hAnsi="宋体" w:cs="宋体"/>
          <w:sz w:val="24"/>
          <w:szCs w:val="24"/>
        </w:rPr>
        <w:t>我公司满足政府采购法第二十二条关于供应商的资格要求：</w:t>
      </w:r>
    </w:p>
    <w:p>
      <w:pPr>
        <w:pStyle w:val="10"/>
        <w:spacing w:line="360" w:lineRule="auto"/>
        <w:ind w:left="0" w:leftChars="0" w:firstLine="558" w:firstLineChars="225"/>
        <w:rPr>
          <w:rFonts w:ascii="宋体" w:hAnsi="宋体" w:cs="宋体"/>
          <w:sz w:val="24"/>
          <w:szCs w:val="24"/>
        </w:rPr>
      </w:pPr>
      <w:r>
        <w:rPr>
          <w:rFonts w:hint="eastAsia" w:ascii="宋体" w:hAnsi="宋体" w:cs="宋体"/>
          <w:sz w:val="24"/>
          <w:szCs w:val="24"/>
        </w:rPr>
        <w:t xml:space="preserve">（一）具有独立承担民事责任的能力； </w:t>
      </w:r>
    </w:p>
    <w:p>
      <w:pPr>
        <w:pStyle w:val="10"/>
        <w:spacing w:line="360" w:lineRule="auto"/>
        <w:ind w:left="0" w:leftChars="0" w:firstLine="558" w:firstLineChars="225"/>
        <w:rPr>
          <w:rFonts w:ascii="宋体" w:hAnsi="宋体" w:cs="宋体"/>
          <w:sz w:val="24"/>
          <w:szCs w:val="24"/>
        </w:rPr>
      </w:pPr>
      <w:r>
        <w:rPr>
          <w:rFonts w:hint="eastAsia" w:ascii="宋体" w:hAnsi="宋体" w:cs="宋体"/>
          <w:sz w:val="24"/>
          <w:szCs w:val="24"/>
        </w:rPr>
        <w:t xml:space="preserve">（二）具有良好的商业信誉和健全的财务会计制度； </w:t>
      </w:r>
    </w:p>
    <w:p>
      <w:pPr>
        <w:pStyle w:val="10"/>
        <w:spacing w:line="360" w:lineRule="auto"/>
        <w:ind w:left="0" w:leftChars="0" w:firstLine="558" w:firstLineChars="225"/>
        <w:rPr>
          <w:rFonts w:ascii="宋体" w:hAnsi="宋体" w:cs="宋体"/>
          <w:sz w:val="24"/>
          <w:szCs w:val="24"/>
        </w:rPr>
      </w:pPr>
      <w:r>
        <w:rPr>
          <w:rFonts w:hint="eastAsia" w:ascii="宋体" w:hAnsi="宋体" w:cs="宋体"/>
          <w:sz w:val="24"/>
          <w:szCs w:val="24"/>
        </w:rPr>
        <w:t xml:space="preserve">（三）具有履行合同所必需的设备和专业技术能力； </w:t>
      </w:r>
    </w:p>
    <w:p>
      <w:pPr>
        <w:pStyle w:val="10"/>
        <w:spacing w:line="360" w:lineRule="auto"/>
        <w:ind w:left="0" w:leftChars="0" w:firstLine="558" w:firstLineChars="225"/>
        <w:rPr>
          <w:rFonts w:ascii="宋体" w:hAnsi="宋体" w:cs="宋体"/>
          <w:sz w:val="24"/>
          <w:szCs w:val="24"/>
        </w:rPr>
      </w:pPr>
      <w:r>
        <w:rPr>
          <w:rFonts w:hint="eastAsia" w:ascii="宋体" w:hAnsi="宋体" w:cs="宋体"/>
          <w:sz w:val="24"/>
          <w:szCs w:val="24"/>
        </w:rPr>
        <w:t xml:space="preserve">（四）有依法缴纳税收的良好记录； </w:t>
      </w:r>
    </w:p>
    <w:p>
      <w:pPr>
        <w:pStyle w:val="10"/>
        <w:spacing w:line="360" w:lineRule="auto"/>
        <w:ind w:left="0" w:leftChars="0" w:firstLine="558" w:firstLineChars="225"/>
        <w:rPr>
          <w:rFonts w:ascii="宋体" w:hAnsi="宋体" w:cs="宋体"/>
          <w:sz w:val="24"/>
          <w:szCs w:val="24"/>
        </w:rPr>
      </w:pPr>
      <w:r>
        <w:rPr>
          <w:rFonts w:hint="eastAsia" w:ascii="宋体" w:hAnsi="宋体" w:cs="宋体"/>
          <w:sz w:val="24"/>
          <w:szCs w:val="24"/>
        </w:rPr>
        <w:t xml:space="preserve">（五）参加政府采购活动前三年内，在经营活动中没有重大违法记录； </w:t>
      </w:r>
    </w:p>
    <w:p>
      <w:pPr>
        <w:pStyle w:val="10"/>
        <w:spacing w:line="360" w:lineRule="auto"/>
        <w:ind w:left="0" w:leftChars="0" w:firstLine="558" w:firstLineChars="225"/>
        <w:rPr>
          <w:rFonts w:ascii="宋体" w:hAnsi="宋体" w:cs="宋体"/>
          <w:sz w:val="24"/>
          <w:szCs w:val="24"/>
        </w:rPr>
      </w:pPr>
      <w:r>
        <w:rPr>
          <w:rFonts w:hint="eastAsia" w:ascii="宋体" w:hAnsi="宋体" w:cs="宋体"/>
          <w:sz w:val="24"/>
          <w:szCs w:val="24"/>
        </w:rPr>
        <w:t>（六）法律、行政法规规定的其他条件。</w:t>
      </w:r>
    </w:p>
    <w:p>
      <w:pPr>
        <w:pStyle w:val="10"/>
        <w:spacing w:line="360" w:lineRule="auto"/>
        <w:ind w:left="0" w:leftChars="0" w:firstLine="558" w:firstLineChars="225"/>
        <w:rPr>
          <w:rFonts w:ascii="宋体" w:hAnsi="宋体" w:cs="宋体"/>
          <w:sz w:val="24"/>
          <w:szCs w:val="24"/>
        </w:rPr>
      </w:pPr>
      <w:r>
        <w:rPr>
          <w:rFonts w:hint="eastAsia" w:ascii="宋体" w:hAnsi="宋体" w:cs="宋体"/>
          <w:sz w:val="24"/>
          <w:szCs w:val="24"/>
        </w:rPr>
        <w:t>同时也满足本项目法律法规规章规定关于供应商的其他资格性条件，未参与本采购项目前期咨询论证，不属于禁止参加投标的供应商。</w:t>
      </w:r>
    </w:p>
    <w:p>
      <w:pPr>
        <w:pStyle w:val="10"/>
        <w:spacing w:line="360" w:lineRule="auto"/>
        <w:ind w:left="0" w:leftChars="0" w:firstLine="558" w:firstLineChars="225"/>
        <w:rPr>
          <w:rFonts w:ascii="宋体" w:hAnsi="宋体" w:cs="宋体"/>
          <w:sz w:val="24"/>
          <w:szCs w:val="24"/>
        </w:rPr>
      </w:pPr>
      <w:r>
        <w:rPr>
          <w:rFonts w:hint="eastAsia" w:ascii="宋体" w:hAnsi="宋体" w:cs="宋体"/>
          <w:sz w:val="24"/>
          <w:szCs w:val="24"/>
        </w:rPr>
        <w:t>如违反以上承诺，本公司愿承担一切法律责任。</w:t>
      </w:r>
    </w:p>
    <w:p>
      <w:pPr>
        <w:pStyle w:val="10"/>
        <w:spacing w:line="360" w:lineRule="auto"/>
        <w:ind w:left="0" w:leftChars="0"/>
        <w:rPr>
          <w:rFonts w:ascii="宋体" w:hAnsi="宋体" w:cs="宋体"/>
          <w:sz w:val="24"/>
          <w:szCs w:val="24"/>
        </w:rPr>
      </w:pPr>
    </w:p>
    <w:p>
      <w:pPr>
        <w:spacing w:line="360" w:lineRule="auto"/>
        <w:rPr>
          <w:rFonts w:ascii="宋体" w:hAnsi="宋体" w:cs="宋体"/>
          <w:sz w:val="24"/>
          <w:szCs w:val="24"/>
          <w:u w:val="single"/>
        </w:rPr>
      </w:pPr>
      <w:r>
        <w:rPr>
          <w:rFonts w:hint="eastAsia" w:ascii="宋体" w:hAnsi="宋体" w:cs="宋体"/>
          <w:sz w:val="24"/>
          <w:szCs w:val="24"/>
        </w:rPr>
        <w:t>供应商名称：</w:t>
      </w:r>
      <w:r>
        <w:rPr>
          <w:rFonts w:hint="eastAsia" w:ascii="宋体" w:hAnsi="宋体" w:cs="宋体"/>
          <w:sz w:val="24"/>
          <w:szCs w:val="24"/>
          <w:u w:val="single"/>
        </w:rPr>
        <w:t xml:space="preserve">        （名称及盖章）</w:t>
      </w: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法定代表人或委托代理人（签字或盖章）：</w:t>
      </w: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日期：</w:t>
      </w:r>
    </w:p>
    <w:p>
      <w:pPr>
        <w:snapToGrid w:val="0"/>
        <w:spacing w:line="360" w:lineRule="auto"/>
        <w:ind w:right="-207" w:rightChars="-95"/>
        <w:jc w:val="left"/>
        <w:rPr>
          <w:rFonts w:ascii="宋体" w:hAnsi="宋体" w:cs="宋体"/>
          <w:kern w:val="0"/>
          <w:sz w:val="24"/>
          <w:szCs w:val="24"/>
        </w:rPr>
      </w:pPr>
      <w:r>
        <w:br w:type="page"/>
      </w:r>
      <w:r>
        <w:rPr>
          <w:rFonts w:hint="eastAsia"/>
          <w:lang w:val="en-US" w:eastAsia="zh-CN"/>
        </w:rPr>
        <w:t>2、</w:t>
      </w:r>
      <w:r>
        <w:rPr>
          <w:rFonts w:hint="eastAsia" w:ascii="宋体" w:hAnsi="宋体" w:cs="宋体"/>
          <w:kern w:val="0"/>
          <w:sz w:val="24"/>
          <w:szCs w:val="24"/>
        </w:rPr>
        <w:t>资质要求资料复印件须加盖供应商公章</w:t>
      </w:r>
    </w:p>
    <w:p>
      <w:pPr>
        <w:jc w:val="center"/>
        <w:rPr>
          <w:b/>
          <w:bCs/>
        </w:rPr>
      </w:pPr>
      <w:r>
        <w:rPr>
          <w:rFonts w:hint="eastAsia"/>
          <w:b/>
          <w:bCs/>
        </w:rPr>
        <w:t>法定代表人证明书（格式）</w:t>
      </w:r>
    </w:p>
    <w:tbl>
      <w:tblPr>
        <w:tblStyle w:val="27"/>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2283"/>
        <w:gridCol w:w="1899"/>
        <w:gridCol w:w="178"/>
        <w:gridCol w:w="2089"/>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120" w:type="dxa"/>
            <w:gridSpan w:val="6"/>
            <w:vAlign w:val="center"/>
          </w:tcPr>
          <w:p>
            <w:r>
              <w:rPr>
                <w:rFonts w:hint="eastAsia"/>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75" w:type="dxa"/>
            <w:vMerge w:val="restart"/>
            <w:vAlign w:val="center"/>
          </w:tcPr>
          <w:p>
            <w:r>
              <w:rPr>
                <w:rFonts w:hint="eastAsia"/>
              </w:rPr>
              <w:t>企</w:t>
            </w:r>
          </w:p>
          <w:p>
            <w:r>
              <w:rPr>
                <w:rFonts w:hint="eastAsia"/>
              </w:rPr>
              <w:t>业</w:t>
            </w:r>
          </w:p>
          <w:p>
            <w:r>
              <w:rPr>
                <w:rFonts w:hint="eastAsia"/>
              </w:rPr>
              <w:t>法</w:t>
            </w:r>
          </w:p>
          <w:p>
            <w:r>
              <w:rPr>
                <w:rFonts w:hint="eastAsia"/>
              </w:rPr>
              <w:t>人</w:t>
            </w:r>
          </w:p>
        </w:tc>
        <w:tc>
          <w:tcPr>
            <w:tcW w:w="2283" w:type="dxa"/>
            <w:vAlign w:val="center"/>
          </w:tcPr>
          <w:p>
            <w:r>
              <w:rPr>
                <w:rFonts w:hint="eastAsia"/>
              </w:rPr>
              <w:t>企业名称</w:t>
            </w:r>
          </w:p>
        </w:tc>
        <w:tc>
          <w:tcPr>
            <w:tcW w:w="6262" w:type="dxa"/>
            <w:gridSpan w:val="4"/>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75" w:type="dxa"/>
            <w:vMerge w:val="continue"/>
            <w:vAlign w:val="center"/>
          </w:tcPr>
          <w:p/>
        </w:tc>
        <w:tc>
          <w:tcPr>
            <w:tcW w:w="2283" w:type="dxa"/>
            <w:vAlign w:val="center"/>
          </w:tcPr>
          <w:p>
            <w:r>
              <w:rPr>
                <w:rFonts w:hint="eastAsia"/>
              </w:rPr>
              <w:t>法定地址</w:t>
            </w:r>
          </w:p>
        </w:tc>
        <w:tc>
          <w:tcPr>
            <w:tcW w:w="6262" w:type="dxa"/>
            <w:gridSpan w:val="4"/>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75" w:type="dxa"/>
            <w:vMerge w:val="continue"/>
            <w:vAlign w:val="center"/>
          </w:tcPr>
          <w:p/>
        </w:tc>
        <w:tc>
          <w:tcPr>
            <w:tcW w:w="2283" w:type="dxa"/>
            <w:vAlign w:val="center"/>
          </w:tcPr>
          <w:p>
            <w:r>
              <w:rPr>
                <w:rFonts w:hint="eastAsia"/>
              </w:rPr>
              <w:t>邮政编码</w:t>
            </w:r>
          </w:p>
        </w:tc>
        <w:tc>
          <w:tcPr>
            <w:tcW w:w="6262" w:type="dxa"/>
            <w:gridSpan w:val="4"/>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575" w:type="dxa"/>
            <w:vMerge w:val="continue"/>
            <w:vAlign w:val="center"/>
          </w:tcPr>
          <w:p/>
        </w:tc>
        <w:tc>
          <w:tcPr>
            <w:tcW w:w="2283" w:type="dxa"/>
            <w:vAlign w:val="center"/>
          </w:tcPr>
          <w:p>
            <w:r>
              <w:rPr>
                <w:rFonts w:hint="eastAsia"/>
              </w:rPr>
              <w:t>工商登记机关</w:t>
            </w:r>
          </w:p>
        </w:tc>
        <w:tc>
          <w:tcPr>
            <w:tcW w:w="6262" w:type="dxa"/>
            <w:gridSpan w:val="4"/>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575" w:type="dxa"/>
            <w:vMerge w:val="continue"/>
            <w:vAlign w:val="center"/>
          </w:tcPr>
          <w:p/>
        </w:tc>
        <w:tc>
          <w:tcPr>
            <w:tcW w:w="2283" w:type="dxa"/>
            <w:vAlign w:val="center"/>
          </w:tcPr>
          <w:p>
            <w:r>
              <w:rPr>
                <w:rFonts w:hint="eastAsia"/>
              </w:rPr>
              <w:t>统一社会信用代码</w:t>
            </w:r>
          </w:p>
        </w:tc>
        <w:tc>
          <w:tcPr>
            <w:tcW w:w="6262" w:type="dxa"/>
            <w:gridSpan w:val="4"/>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75" w:type="dxa"/>
            <w:vMerge w:val="restart"/>
            <w:vAlign w:val="center"/>
          </w:tcPr>
          <w:p>
            <w:r>
              <w:rPr>
                <w:rFonts w:hint="eastAsia"/>
              </w:rPr>
              <w:t>法</w:t>
            </w:r>
          </w:p>
          <w:p>
            <w:r>
              <w:rPr>
                <w:rFonts w:hint="eastAsia"/>
              </w:rPr>
              <w:t>定</w:t>
            </w:r>
          </w:p>
          <w:p>
            <w:r>
              <w:rPr>
                <w:rFonts w:hint="eastAsia"/>
              </w:rPr>
              <w:t>代</w:t>
            </w:r>
          </w:p>
          <w:p>
            <w:r>
              <w:rPr>
                <w:rFonts w:hint="eastAsia"/>
              </w:rPr>
              <w:t>表</w:t>
            </w:r>
          </w:p>
          <w:p>
            <w:r>
              <w:rPr>
                <w:rFonts w:hint="eastAsia"/>
              </w:rPr>
              <w:t>人</w:t>
            </w:r>
          </w:p>
        </w:tc>
        <w:tc>
          <w:tcPr>
            <w:tcW w:w="2283" w:type="dxa"/>
            <w:vAlign w:val="center"/>
          </w:tcPr>
          <w:p>
            <w:r>
              <w:rPr>
                <w:rFonts w:hint="eastAsia"/>
              </w:rPr>
              <w:t>姓名</w:t>
            </w:r>
          </w:p>
        </w:tc>
        <w:tc>
          <w:tcPr>
            <w:tcW w:w="2077" w:type="dxa"/>
            <w:gridSpan w:val="2"/>
            <w:vAlign w:val="center"/>
          </w:tcPr>
          <w:p/>
        </w:tc>
        <w:tc>
          <w:tcPr>
            <w:tcW w:w="2089" w:type="dxa"/>
            <w:vAlign w:val="center"/>
          </w:tcPr>
          <w:p>
            <w:r>
              <w:rPr>
                <w:rFonts w:hint="eastAsia"/>
              </w:rPr>
              <w:t>性别</w:t>
            </w:r>
          </w:p>
        </w:tc>
        <w:tc>
          <w:tcPr>
            <w:tcW w:w="2096"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75" w:type="dxa"/>
            <w:vMerge w:val="continue"/>
            <w:vAlign w:val="center"/>
          </w:tcPr>
          <w:p/>
        </w:tc>
        <w:tc>
          <w:tcPr>
            <w:tcW w:w="2283" w:type="dxa"/>
            <w:vAlign w:val="center"/>
          </w:tcPr>
          <w:p>
            <w:r>
              <w:rPr>
                <w:rFonts w:hint="eastAsia"/>
              </w:rPr>
              <w:t>职务</w:t>
            </w:r>
          </w:p>
        </w:tc>
        <w:tc>
          <w:tcPr>
            <w:tcW w:w="2077" w:type="dxa"/>
            <w:gridSpan w:val="2"/>
            <w:vAlign w:val="center"/>
          </w:tcPr>
          <w:p/>
        </w:tc>
        <w:tc>
          <w:tcPr>
            <w:tcW w:w="2089" w:type="dxa"/>
            <w:vAlign w:val="center"/>
          </w:tcPr>
          <w:p>
            <w:r>
              <w:rPr>
                <w:rFonts w:hint="eastAsia"/>
              </w:rPr>
              <w:t>联系电话</w:t>
            </w:r>
          </w:p>
        </w:tc>
        <w:tc>
          <w:tcPr>
            <w:tcW w:w="2096"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575" w:type="dxa"/>
            <w:vMerge w:val="continue"/>
            <w:vAlign w:val="center"/>
          </w:tcPr>
          <w:p/>
        </w:tc>
        <w:tc>
          <w:tcPr>
            <w:tcW w:w="2283" w:type="dxa"/>
            <w:vAlign w:val="center"/>
          </w:tcPr>
          <w:p>
            <w:r>
              <w:rPr>
                <w:rFonts w:hint="eastAsia"/>
              </w:rPr>
              <w:t>传真</w:t>
            </w:r>
          </w:p>
        </w:tc>
        <w:tc>
          <w:tcPr>
            <w:tcW w:w="6262" w:type="dxa"/>
            <w:gridSpan w:val="4"/>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575" w:type="dxa"/>
            <w:vMerge w:val="restart"/>
            <w:vAlign w:val="center"/>
          </w:tcPr>
          <w:p>
            <w:r>
              <w:rPr>
                <w:rFonts w:hint="eastAsia"/>
              </w:rPr>
              <w:t>法</w:t>
            </w:r>
          </w:p>
          <w:p>
            <w:r>
              <w:rPr>
                <w:rFonts w:hint="eastAsia"/>
              </w:rPr>
              <w:t>定</w:t>
            </w:r>
          </w:p>
          <w:p>
            <w:r>
              <w:rPr>
                <w:rFonts w:hint="eastAsia"/>
              </w:rPr>
              <w:t>代</w:t>
            </w:r>
          </w:p>
          <w:p>
            <w:r>
              <w:rPr>
                <w:rFonts w:hint="eastAsia"/>
              </w:rPr>
              <w:t>表</w:t>
            </w:r>
          </w:p>
          <w:p>
            <w:r>
              <w:rPr>
                <w:rFonts w:hint="eastAsia"/>
              </w:rPr>
              <w:t>人</w:t>
            </w:r>
          </w:p>
          <w:p>
            <w:r>
              <w:rPr>
                <w:rFonts w:hint="eastAsia"/>
              </w:rPr>
              <w:t>身</w:t>
            </w:r>
          </w:p>
          <w:p>
            <w:r>
              <w:rPr>
                <w:rFonts w:hint="eastAsia"/>
              </w:rPr>
              <w:t>份</w:t>
            </w:r>
          </w:p>
          <w:p>
            <w:r>
              <w:rPr>
                <w:rFonts w:hint="eastAsia"/>
              </w:rPr>
              <w:t>证</w:t>
            </w:r>
          </w:p>
          <w:p>
            <w:r>
              <w:rPr>
                <w:rFonts w:hint="eastAsia"/>
              </w:rPr>
              <w:t>复</w:t>
            </w:r>
          </w:p>
          <w:p>
            <w:r>
              <w:rPr>
                <w:rFonts w:hint="eastAsia"/>
              </w:rPr>
              <w:t>印</w:t>
            </w:r>
          </w:p>
          <w:p>
            <w:r>
              <w:rPr>
                <w:rFonts w:hint="eastAsia"/>
              </w:rPr>
              <w:t>件</w:t>
            </w:r>
          </w:p>
        </w:tc>
        <w:tc>
          <w:tcPr>
            <w:tcW w:w="4182" w:type="dxa"/>
            <w:gridSpan w:val="2"/>
            <w:vMerge w:val="restart"/>
            <w:vAlign w:val="center"/>
          </w:tcPr>
          <w:p>
            <w:r>
              <w:rPr>
                <w:rFonts w:hint="eastAsia"/>
              </w:rPr>
              <w:t>（正反面）</w:t>
            </w:r>
          </w:p>
        </w:tc>
        <w:tc>
          <w:tcPr>
            <w:tcW w:w="4363" w:type="dxa"/>
            <w:gridSpan w:val="3"/>
            <w:vAlign w:val="center"/>
          </w:tcPr>
          <w:p>
            <w:r>
              <w:rPr>
                <w:rFonts w:hint="eastAsia"/>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7" w:hRule="atLeast"/>
          <w:jc w:val="center"/>
        </w:trPr>
        <w:tc>
          <w:tcPr>
            <w:tcW w:w="575" w:type="dxa"/>
            <w:vMerge w:val="continue"/>
            <w:vAlign w:val="center"/>
          </w:tcPr>
          <w:p/>
        </w:tc>
        <w:tc>
          <w:tcPr>
            <w:tcW w:w="4182" w:type="dxa"/>
            <w:gridSpan w:val="2"/>
            <w:vMerge w:val="continue"/>
            <w:vAlign w:val="center"/>
          </w:tcPr>
          <w:p/>
        </w:tc>
        <w:tc>
          <w:tcPr>
            <w:tcW w:w="4363" w:type="dxa"/>
            <w:gridSpan w:val="3"/>
            <w:vAlign w:val="bottom"/>
          </w:tcPr>
          <w:p>
            <w:r>
              <w:rPr>
                <w:rFonts w:hint="eastAsia"/>
              </w:rPr>
              <w:t>（公章）</w:t>
            </w:r>
          </w:p>
          <w:p/>
          <w:p/>
          <w:p/>
          <w:p/>
        </w:tc>
      </w:tr>
    </w:tbl>
    <w:p>
      <w:pPr>
        <w:pStyle w:val="7"/>
        <w:rPr>
          <w:color w:val="000000"/>
          <w:sz w:val="24"/>
          <w:szCs w:val="24"/>
        </w:rPr>
      </w:pPr>
    </w:p>
    <w:p>
      <w:pPr>
        <w:jc w:val="center"/>
        <w:rPr>
          <w:rFonts w:ascii="宋体" w:hAnsi="宋体" w:cs="宋体"/>
          <w:b/>
          <w:bCs/>
          <w:kern w:val="0"/>
          <w:sz w:val="24"/>
          <w:szCs w:val="24"/>
        </w:rPr>
      </w:pPr>
      <w:r>
        <w:rPr>
          <w:b/>
          <w:bCs/>
          <w:color w:val="000000"/>
          <w:sz w:val="28"/>
          <w:szCs w:val="28"/>
        </w:rPr>
        <w:br w:type="page"/>
      </w:r>
      <w:r>
        <w:rPr>
          <w:rFonts w:hint="eastAsia" w:ascii="宋体" w:hAnsi="宋体" w:cs="宋体"/>
          <w:b/>
          <w:bCs/>
          <w:kern w:val="0"/>
          <w:sz w:val="24"/>
          <w:szCs w:val="24"/>
        </w:rPr>
        <w:t>法定代表人授权委托书（格式）</w:t>
      </w:r>
    </w:p>
    <w:p>
      <w:pPr>
        <w:pStyle w:val="13"/>
        <w:spacing w:line="500" w:lineRule="exact"/>
        <w:jc w:val="left"/>
        <w:rPr>
          <w:rFonts w:hAnsi="宋体" w:cs="宋体"/>
          <w:b/>
          <w:bCs/>
          <w:sz w:val="24"/>
          <w:szCs w:val="24"/>
        </w:rPr>
      </w:pPr>
      <w:r>
        <w:rPr>
          <w:rFonts w:hint="eastAsia" w:hAnsi="宋体" w:cs="宋体"/>
          <w:sz w:val="24"/>
          <w:szCs w:val="24"/>
        </w:rPr>
        <w:t>陕西万泽招标有限公司：</w:t>
      </w:r>
    </w:p>
    <w:p>
      <w:pPr>
        <w:pStyle w:val="13"/>
        <w:spacing w:line="500" w:lineRule="exact"/>
        <w:ind w:firstLine="496" w:firstLineChars="200"/>
        <w:jc w:val="left"/>
        <w:rPr>
          <w:rFonts w:hAnsi="宋体" w:cs="宋体"/>
          <w:sz w:val="24"/>
          <w:szCs w:val="24"/>
        </w:rPr>
      </w:pPr>
      <w:r>
        <w:rPr>
          <w:rFonts w:hint="eastAsia" w:hAnsi="宋体" w:cs="宋体"/>
          <w:sz w:val="24"/>
          <w:szCs w:val="24"/>
        </w:rPr>
        <w:t>本授权书声明：注册于（</w:t>
      </w:r>
      <w:r>
        <w:rPr>
          <w:rFonts w:hint="eastAsia" w:hAnsi="宋体" w:cs="宋体"/>
          <w:sz w:val="24"/>
          <w:szCs w:val="24"/>
          <w:u w:val="single"/>
        </w:rPr>
        <w:t>工商行政管理局名称）之（委托单位全称）</w:t>
      </w:r>
      <w:r>
        <w:rPr>
          <w:rFonts w:hint="eastAsia" w:hAnsi="宋体" w:cs="宋体"/>
          <w:sz w:val="24"/>
          <w:szCs w:val="24"/>
        </w:rPr>
        <w:t>的法定代表人</w:t>
      </w:r>
      <w:r>
        <w:rPr>
          <w:rFonts w:hint="eastAsia" w:hAnsi="宋体" w:cs="宋体"/>
          <w:sz w:val="24"/>
          <w:szCs w:val="24"/>
          <w:u w:val="single"/>
        </w:rPr>
        <w:t>（姓名、性别）</w:t>
      </w:r>
      <w:r>
        <w:rPr>
          <w:rFonts w:hint="eastAsia" w:hAnsi="宋体" w:cs="宋体"/>
          <w:sz w:val="24"/>
          <w:szCs w:val="24"/>
        </w:rPr>
        <w:t>授权</w:t>
      </w:r>
      <w:r>
        <w:rPr>
          <w:rFonts w:hint="eastAsia" w:hAnsi="宋体" w:cs="宋体"/>
          <w:sz w:val="24"/>
          <w:szCs w:val="24"/>
          <w:u w:val="single"/>
        </w:rPr>
        <w:t>（被授权人姓名、性别、职务）</w:t>
      </w:r>
      <w:r>
        <w:rPr>
          <w:rFonts w:hint="eastAsia" w:hAnsi="宋体" w:cs="宋体"/>
          <w:sz w:val="24"/>
          <w:szCs w:val="24"/>
        </w:rPr>
        <w:t>为本公司合法代理人，就贵方组织的有关</w:t>
      </w:r>
      <w:r>
        <w:rPr>
          <w:rFonts w:hint="eastAsia" w:hAnsi="宋体" w:cs="宋体"/>
          <w:sz w:val="24"/>
          <w:szCs w:val="24"/>
          <w:u w:val="single"/>
        </w:rPr>
        <w:t>（项目名称）</w:t>
      </w:r>
      <w:r>
        <w:rPr>
          <w:rFonts w:hint="eastAsia" w:hAnsi="宋体" w:cs="宋体"/>
          <w:sz w:val="24"/>
          <w:szCs w:val="24"/>
        </w:rPr>
        <w:t>（文件编号：____________________）的投标、洽谈、执行等具体事务，签署全部有关文件、文书、协议、合同，本公司对被授权人在本项目中的签名承担全部法律责任。</w:t>
      </w:r>
    </w:p>
    <w:p>
      <w:pPr>
        <w:pStyle w:val="13"/>
        <w:spacing w:line="500" w:lineRule="exact"/>
        <w:ind w:firstLine="496" w:firstLineChars="200"/>
        <w:jc w:val="left"/>
        <w:rPr>
          <w:rFonts w:hAnsi="宋体" w:cs="宋体"/>
          <w:sz w:val="10"/>
          <w:szCs w:val="10"/>
        </w:rPr>
      </w:pPr>
      <w:r>
        <w:rPr>
          <w:rFonts w:hint="eastAsia" w:hAnsi="宋体" w:cs="宋体"/>
          <w:sz w:val="24"/>
          <w:szCs w:val="24"/>
        </w:rPr>
        <w:t>本授权书自响应文件递交截止之日起计算有效期为</w:t>
      </w:r>
      <w:r>
        <w:rPr>
          <w:rFonts w:hint="eastAsia" w:hAnsi="宋体" w:cs="宋体"/>
          <w:sz w:val="24"/>
          <w:szCs w:val="24"/>
          <w:u w:val="single"/>
        </w:rPr>
        <w:t xml:space="preserve">  90  </w:t>
      </w:r>
      <w:r>
        <w:rPr>
          <w:rFonts w:hint="eastAsia" w:hAnsi="宋体" w:cs="宋体"/>
          <w:sz w:val="24"/>
          <w:szCs w:val="24"/>
        </w:rPr>
        <w:t>日历日。</w:t>
      </w:r>
    </w:p>
    <w:p>
      <w:pPr>
        <w:pStyle w:val="13"/>
        <w:spacing w:line="500" w:lineRule="exact"/>
        <w:ind w:firstLine="496" w:firstLineChars="200"/>
        <w:jc w:val="left"/>
        <w:rPr>
          <w:rFonts w:hAnsi="宋体" w:cs="宋体"/>
          <w:sz w:val="24"/>
          <w:szCs w:val="24"/>
        </w:rPr>
      </w:pPr>
      <w:r>
        <w:rPr>
          <w:rFonts w:hint="eastAsia" w:hAnsi="宋体" w:cs="宋体"/>
          <w:sz w:val="24"/>
          <w:szCs w:val="24"/>
        </w:rPr>
        <w:t>单位名称：__________（公章）</w:t>
      </w:r>
    </w:p>
    <w:p>
      <w:pPr>
        <w:pStyle w:val="13"/>
        <w:spacing w:line="500" w:lineRule="exact"/>
        <w:ind w:firstLine="496" w:firstLineChars="200"/>
        <w:jc w:val="left"/>
        <w:rPr>
          <w:rFonts w:hAnsi="宋体" w:cs="宋体"/>
          <w:sz w:val="24"/>
          <w:szCs w:val="24"/>
        </w:rPr>
      </w:pPr>
      <w:r>
        <w:rPr>
          <w:rFonts w:hint="eastAsia" w:hAnsi="宋体" w:cs="宋体"/>
          <w:sz w:val="24"/>
          <w:szCs w:val="24"/>
        </w:rPr>
        <w:t>法定代表人（签字或盖章）：________</w:t>
      </w:r>
    </w:p>
    <w:p>
      <w:pPr>
        <w:pStyle w:val="13"/>
        <w:spacing w:line="500" w:lineRule="exact"/>
        <w:ind w:firstLine="496" w:firstLineChars="200"/>
        <w:jc w:val="left"/>
        <w:rPr>
          <w:rFonts w:hAnsi="宋体" w:cs="宋体"/>
          <w:sz w:val="24"/>
          <w:szCs w:val="24"/>
        </w:rPr>
      </w:pPr>
      <w:r>
        <w:rPr>
          <w:rFonts w:hint="eastAsia" w:hAnsi="宋体" w:cs="宋体"/>
          <w:sz w:val="24"/>
          <w:szCs w:val="24"/>
        </w:rPr>
        <w:t>被授权人(签字)：___________性别：_______职务：____________</w:t>
      </w:r>
    </w:p>
    <w:p>
      <w:pPr>
        <w:pStyle w:val="13"/>
        <w:spacing w:line="500" w:lineRule="exact"/>
        <w:ind w:firstLine="496" w:firstLineChars="200"/>
        <w:jc w:val="left"/>
        <w:rPr>
          <w:rFonts w:hAnsi="宋体" w:cs="宋体"/>
          <w:sz w:val="24"/>
          <w:szCs w:val="24"/>
          <w:u w:val="single"/>
        </w:rPr>
      </w:pPr>
      <w:r>
        <w:rPr>
          <w:rFonts w:hint="eastAsia" w:hAnsi="宋体" w:cs="宋体"/>
          <w:sz w:val="24"/>
          <w:szCs w:val="24"/>
        </w:rPr>
        <w:t>联系地址：____________________</w:t>
      </w:r>
    </w:p>
    <w:p>
      <w:pPr>
        <w:pStyle w:val="13"/>
        <w:spacing w:line="500" w:lineRule="exact"/>
        <w:ind w:firstLine="496" w:firstLineChars="200"/>
        <w:jc w:val="left"/>
        <w:rPr>
          <w:rFonts w:hAnsi="宋体" w:cs="宋体"/>
          <w:sz w:val="24"/>
          <w:szCs w:val="24"/>
          <w:u w:val="single"/>
        </w:rPr>
      </w:pPr>
      <w:r>
        <w:rPr>
          <w:rFonts w:hint="eastAsia" w:hAnsi="宋体" w:cs="宋体"/>
          <w:sz w:val="24"/>
          <w:szCs w:val="24"/>
        </w:rPr>
        <w:t>联系电话：____________________传真：____________________</w:t>
      </w:r>
    </w:p>
    <w:p>
      <w:pPr>
        <w:pStyle w:val="13"/>
        <w:spacing w:line="500" w:lineRule="exact"/>
        <w:ind w:firstLine="496" w:firstLineChars="200"/>
        <w:jc w:val="left"/>
        <w:rPr>
          <w:rFonts w:hAnsi="宋体" w:cs="宋体"/>
          <w:sz w:val="24"/>
          <w:szCs w:val="24"/>
        </w:rPr>
      </w:pPr>
      <w:r>
        <w:rPr>
          <w:rFonts w:hint="eastAsia" w:hAnsi="宋体" w:cs="宋体"/>
          <w:sz w:val="24"/>
          <w:szCs w:val="24"/>
        </w:rPr>
        <w:t>法定代表人及被授权人身份证复印件</w:t>
      </w:r>
    </w:p>
    <w:tbl>
      <w:tblPr>
        <w:tblStyle w:val="27"/>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3"/>
        <w:gridCol w:w="4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8" w:hRule="atLeast"/>
        </w:trPr>
        <w:tc>
          <w:tcPr>
            <w:tcW w:w="4443" w:type="dxa"/>
            <w:shd w:val="clear" w:color="auto" w:fill="D9D9D9"/>
            <w:vAlign w:val="center"/>
          </w:tcPr>
          <w:p>
            <w:pPr>
              <w:pStyle w:val="13"/>
              <w:spacing w:line="500" w:lineRule="exact"/>
              <w:jc w:val="left"/>
              <w:rPr>
                <w:rFonts w:hAnsi="宋体" w:cs="宋体"/>
                <w:kern w:val="2"/>
                <w:sz w:val="24"/>
                <w:szCs w:val="24"/>
                <w:shd w:val="pct10" w:color="auto" w:fill="FFFFFF"/>
                <w:lang w:val="en-US" w:eastAsia="zh-CN"/>
              </w:rPr>
            </w:pPr>
            <w:r>
              <w:rPr>
                <w:rFonts w:hint="eastAsia" w:hAnsi="宋体" w:cs="宋体"/>
                <w:kern w:val="2"/>
                <w:sz w:val="24"/>
                <w:szCs w:val="24"/>
                <w:shd w:val="pct10" w:color="auto" w:fill="FFFFFF"/>
                <w:lang w:val="en-US" w:eastAsia="zh-CN"/>
              </w:rPr>
              <w:t>法定代表人身份证正反面复印件</w:t>
            </w:r>
          </w:p>
          <w:p>
            <w:pPr>
              <w:pStyle w:val="13"/>
              <w:spacing w:line="500" w:lineRule="exact"/>
              <w:jc w:val="left"/>
              <w:rPr>
                <w:rFonts w:hAnsi="宋体" w:cs="宋体"/>
                <w:kern w:val="2"/>
                <w:sz w:val="24"/>
                <w:szCs w:val="24"/>
                <w:shd w:val="pct10" w:color="auto" w:fill="FFFFFF"/>
                <w:lang w:val="en-US" w:eastAsia="zh-CN"/>
              </w:rPr>
            </w:pPr>
          </w:p>
        </w:tc>
        <w:tc>
          <w:tcPr>
            <w:tcW w:w="4597" w:type="dxa"/>
            <w:shd w:val="clear" w:color="auto" w:fill="D9D9D9"/>
            <w:vAlign w:val="center"/>
          </w:tcPr>
          <w:p>
            <w:pPr>
              <w:pStyle w:val="13"/>
              <w:spacing w:line="500" w:lineRule="exact"/>
              <w:ind w:firstLine="496" w:firstLineChars="200"/>
              <w:jc w:val="left"/>
              <w:rPr>
                <w:rFonts w:hAnsi="宋体" w:cs="宋体"/>
                <w:kern w:val="2"/>
                <w:sz w:val="24"/>
                <w:szCs w:val="24"/>
                <w:shd w:val="pct10" w:color="auto" w:fill="FFFFFF"/>
                <w:lang w:val="en-US" w:eastAsia="zh-CN"/>
              </w:rPr>
            </w:pPr>
            <w:r>
              <w:rPr>
                <w:rFonts w:hint="eastAsia" w:hAnsi="宋体" w:cs="宋体"/>
                <w:kern w:val="2"/>
                <w:sz w:val="24"/>
                <w:szCs w:val="24"/>
                <w:shd w:val="pct10" w:color="auto" w:fill="FFFFFF"/>
                <w:lang w:val="en-US" w:eastAsia="zh-CN"/>
              </w:rPr>
              <w:t>被授权人身份证正反面复印件</w:t>
            </w:r>
          </w:p>
          <w:p>
            <w:pPr>
              <w:pStyle w:val="13"/>
              <w:spacing w:line="500" w:lineRule="exact"/>
              <w:ind w:firstLine="496" w:firstLineChars="200"/>
              <w:jc w:val="left"/>
              <w:rPr>
                <w:rFonts w:hAnsi="宋体" w:cs="宋体"/>
                <w:kern w:val="2"/>
                <w:sz w:val="24"/>
                <w:szCs w:val="24"/>
                <w:shd w:val="pct10" w:color="auto" w:fill="FFFFFF"/>
                <w:lang w:val="en-US" w:eastAsia="zh-CN"/>
              </w:rPr>
            </w:pPr>
          </w:p>
        </w:tc>
      </w:tr>
    </w:tbl>
    <w:p>
      <w:pPr>
        <w:pStyle w:val="7"/>
        <w:ind w:firstLine="0"/>
        <w:rPr>
          <w:b/>
          <w:bCs/>
          <w:color w:val="000000"/>
          <w:sz w:val="28"/>
          <w:szCs w:val="28"/>
        </w:rPr>
        <w:sectPr>
          <w:pgSz w:w="11906" w:h="16838"/>
          <w:pgMar w:top="1440" w:right="1803" w:bottom="1440" w:left="1803" w:header="850" w:footer="992" w:gutter="0"/>
          <w:cols w:space="720" w:num="1"/>
          <w:titlePg/>
          <w:docGrid w:type="linesAndChars" w:linePitch="395" w:charSpace="1724"/>
        </w:sectPr>
      </w:pPr>
    </w:p>
    <w:p>
      <w:pPr>
        <w:jc w:val="center"/>
        <w:rPr>
          <w:rFonts w:ascii="宋体" w:hAnsi="宋体" w:cs="宋体"/>
          <w:color w:val="000000"/>
          <w:sz w:val="24"/>
          <w:szCs w:val="28"/>
        </w:rPr>
      </w:pPr>
      <w:bookmarkStart w:id="172" w:name="_Toc1408"/>
      <w:r>
        <w:rPr>
          <w:rFonts w:hint="eastAsia" w:ascii="宋体" w:hAnsi="宋体" w:cs="宋体"/>
          <w:color w:val="000000"/>
          <w:sz w:val="24"/>
          <w:szCs w:val="28"/>
          <w:lang w:val="en-US" w:eastAsia="zh-CN"/>
        </w:rPr>
        <w:t>3、</w:t>
      </w:r>
      <w:r>
        <w:rPr>
          <w:rFonts w:hint="eastAsia" w:ascii="宋体" w:hAnsi="宋体" w:cs="宋体"/>
          <w:color w:val="000000"/>
          <w:sz w:val="24"/>
          <w:szCs w:val="28"/>
        </w:rPr>
        <w:t>无重大违法记录声明</w:t>
      </w:r>
    </w:p>
    <w:p>
      <w:pPr>
        <w:widowControl/>
        <w:snapToGrid w:val="0"/>
        <w:spacing w:line="480" w:lineRule="auto"/>
        <w:ind w:firstLine="496" w:firstLineChars="200"/>
        <w:jc w:val="left"/>
        <w:rPr>
          <w:rFonts w:ascii="宋体" w:hAnsi="宋体" w:cs="宋体"/>
          <w:color w:val="000000"/>
          <w:kern w:val="0"/>
          <w:sz w:val="24"/>
        </w:rPr>
      </w:pPr>
    </w:p>
    <w:p>
      <w:pPr>
        <w:widowControl/>
        <w:snapToGrid w:val="0"/>
        <w:spacing w:line="480" w:lineRule="auto"/>
        <w:ind w:firstLine="496" w:firstLineChars="200"/>
        <w:jc w:val="left"/>
        <w:rPr>
          <w:rFonts w:ascii="宋体" w:hAnsi="宋体" w:cs="宋体"/>
          <w:color w:val="000000"/>
          <w:kern w:val="0"/>
          <w:sz w:val="24"/>
        </w:rPr>
      </w:pPr>
      <w:r>
        <w:rPr>
          <w:rFonts w:hint="eastAsia" w:ascii="宋体" w:hAnsi="宋体" w:cs="宋体"/>
          <w:color w:val="000000"/>
          <w:kern w:val="0"/>
          <w:sz w:val="24"/>
        </w:rPr>
        <w:t>我单位参与</w:t>
      </w:r>
      <w:r>
        <w:rPr>
          <w:rFonts w:hint="eastAsia" w:ascii="宋体" w:hAnsi="宋体" w:cs="宋体"/>
          <w:color w:val="000000"/>
          <w:kern w:val="0"/>
          <w:sz w:val="24"/>
          <w:u w:val="single"/>
        </w:rPr>
        <w:t xml:space="preserve">陕西万泽招标有限公司 </w:t>
      </w:r>
      <w:r>
        <w:rPr>
          <w:rFonts w:hint="eastAsia" w:ascii="宋体" w:hAnsi="宋体" w:cs="宋体"/>
          <w:color w:val="000000"/>
          <w:kern w:val="0"/>
          <w:sz w:val="24"/>
        </w:rPr>
        <w:t>组织的</w:t>
      </w:r>
      <w:r>
        <w:rPr>
          <w:rFonts w:hint="eastAsia" w:ascii="宋体" w:hAnsi="宋体" w:cs="宋体"/>
          <w:color w:val="000000"/>
          <w:kern w:val="0"/>
          <w:sz w:val="24"/>
          <w:u w:val="single"/>
        </w:rPr>
        <w:t xml:space="preserve">             （项目名称）              </w:t>
      </w:r>
      <w:r>
        <w:rPr>
          <w:rFonts w:hint="eastAsia" w:ascii="宋体" w:hAnsi="宋体" w:cs="宋体"/>
          <w:color w:val="000000"/>
          <w:kern w:val="0"/>
          <w:sz w:val="24"/>
        </w:rPr>
        <w:t>竞争性磋商，我单位郑重声明：我方参加本项目采购工作前三年内在经营活动中无重大违法活动记录，未被信用中国网（www.creditchina.gov.cn）列入失信被执行人、重大税收违法案件当事人名单，未被中国政府采购（www.ccgp.gov.cn）列入政府采购严重违法失信行为记录名单，符合《中华人民共和国政府采购法》规定的供应商资格条件，我方对此声明负全部法律责任。</w:t>
      </w:r>
    </w:p>
    <w:p>
      <w:pPr>
        <w:widowControl/>
        <w:snapToGrid w:val="0"/>
        <w:spacing w:line="480" w:lineRule="auto"/>
        <w:ind w:firstLine="496" w:firstLineChars="200"/>
        <w:jc w:val="left"/>
        <w:rPr>
          <w:rFonts w:ascii="宋体" w:hAnsi="宋体" w:cs="宋体"/>
          <w:color w:val="000000"/>
          <w:kern w:val="0"/>
          <w:sz w:val="24"/>
        </w:rPr>
      </w:pPr>
      <w:r>
        <w:rPr>
          <w:rFonts w:hint="eastAsia" w:ascii="宋体" w:hAnsi="宋体" w:cs="宋体"/>
          <w:color w:val="000000"/>
          <w:kern w:val="0"/>
          <w:sz w:val="24"/>
        </w:rPr>
        <w:t>特此声明。</w:t>
      </w:r>
    </w:p>
    <w:p>
      <w:pPr>
        <w:widowControl/>
        <w:spacing w:line="460" w:lineRule="exact"/>
        <w:ind w:firstLine="496" w:firstLineChars="200"/>
        <w:jc w:val="left"/>
        <w:rPr>
          <w:rFonts w:ascii="宋体" w:hAnsi="宋体" w:cs="宋体"/>
          <w:color w:val="000000"/>
          <w:kern w:val="0"/>
          <w:sz w:val="24"/>
        </w:rPr>
      </w:pPr>
    </w:p>
    <w:p>
      <w:pPr>
        <w:pStyle w:val="13"/>
        <w:spacing w:line="480" w:lineRule="auto"/>
        <w:jc w:val="left"/>
        <w:rPr>
          <w:rFonts w:hint="eastAsia" w:hAnsi="宋体" w:cs="宋体"/>
          <w:color w:val="000000"/>
          <w:sz w:val="24"/>
        </w:rPr>
      </w:pPr>
    </w:p>
    <w:p>
      <w:pPr>
        <w:pStyle w:val="13"/>
        <w:spacing w:line="480" w:lineRule="auto"/>
        <w:jc w:val="left"/>
        <w:rPr>
          <w:rFonts w:hAnsi="宋体" w:cs="宋体"/>
          <w:color w:val="000000"/>
          <w:sz w:val="24"/>
        </w:rPr>
      </w:pPr>
      <w:r>
        <w:rPr>
          <w:rFonts w:hint="eastAsia" w:hAnsi="宋体" w:cs="宋体"/>
          <w:color w:val="000000"/>
          <w:sz w:val="24"/>
        </w:rPr>
        <w:t>供应商（单位名称及公章）：</w:t>
      </w:r>
    </w:p>
    <w:p>
      <w:pPr>
        <w:pStyle w:val="13"/>
        <w:spacing w:line="480" w:lineRule="auto"/>
        <w:jc w:val="left"/>
        <w:rPr>
          <w:rFonts w:hAnsi="宋体" w:cs="宋体"/>
          <w:color w:val="000000"/>
          <w:sz w:val="24"/>
        </w:rPr>
      </w:pPr>
      <w:r>
        <w:rPr>
          <w:rFonts w:hint="eastAsia" w:hAnsi="宋体" w:cs="宋体"/>
          <w:color w:val="000000"/>
          <w:sz w:val="24"/>
        </w:rPr>
        <w:t>法定代表人或被授权人（签字或盖章）：</w:t>
      </w:r>
    </w:p>
    <w:p>
      <w:pPr>
        <w:spacing w:line="600" w:lineRule="auto"/>
        <w:rPr>
          <w:rFonts w:hint="eastAsia" w:ascii="宋体" w:hAnsi="宋体" w:cs="宋体"/>
          <w:color w:val="000000"/>
          <w:kern w:val="0"/>
          <w:sz w:val="24"/>
          <w:u w:val="single"/>
        </w:rPr>
      </w:pPr>
      <w:r>
        <w:rPr>
          <w:rFonts w:hint="eastAsia" w:ascii="宋体" w:hAnsi="宋体" w:cs="宋体"/>
          <w:color w:val="000000"/>
          <w:kern w:val="0"/>
          <w:sz w:val="24"/>
        </w:rPr>
        <w:t>日    期</w:t>
      </w:r>
      <w:r>
        <w:rPr>
          <w:rFonts w:hint="eastAsia" w:ascii="宋体" w:hAnsi="宋体" w:cs="宋体"/>
          <w:color w:val="000000"/>
          <w:kern w:val="0"/>
          <w:sz w:val="24"/>
          <w:u w:val="single"/>
        </w:rPr>
        <w:t xml:space="preserve">：             </w:t>
      </w:r>
    </w:p>
    <w:p>
      <w:pPr>
        <w:pStyle w:val="6"/>
        <w:sectPr>
          <w:pgSz w:w="11906" w:h="16838"/>
          <w:pgMar w:top="1440" w:right="1803" w:bottom="1440" w:left="1803" w:header="850" w:footer="992" w:gutter="0"/>
          <w:cols w:space="720" w:num="1"/>
          <w:titlePg/>
          <w:docGrid w:type="linesAndChars" w:linePitch="395" w:charSpace="1724"/>
        </w:sectPr>
      </w:pPr>
    </w:p>
    <w:bookmarkEnd w:id="172"/>
    <w:p>
      <w:pPr>
        <w:numPr>
          <w:ilvl w:val="0"/>
          <w:numId w:val="0"/>
        </w:numPr>
        <w:snapToGrid w:val="0"/>
        <w:spacing w:line="360" w:lineRule="auto"/>
        <w:ind w:firstLine="496" w:firstLineChars="200"/>
        <w:jc w:val="left"/>
        <w:rPr>
          <w:rFonts w:ascii="宋体" w:hAnsi="宋体" w:cs="宋体"/>
          <w:bCs/>
          <w:kern w:val="0"/>
          <w:sz w:val="24"/>
          <w:szCs w:val="24"/>
        </w:rPr>
      </w:pPr>
      <w:bookmarkStart w:id="173" w:name="_Toc30568"/>
      <w:bookmarkStart w:id="174" w:name="_Toc28294"/>
      <w:bookmarkStart w:id="175" w:name="_Toc17505"/>
      <w:r>
        <w:rPr>
          <w:rFonts w:hint="eastAsia" w:ascii="宋体" w:hAnsi="宋体" w:cs="宋体"/>
          <w:bCs/>
          <w:kern w:val="0"/>
          <w:sz w:val="24"/>
          <w:szCs w:val="24"/>
          <w:lang w:val="en-US" w:eastAsia="zh-CN"/>
        </w:rPr>
        <w:t>4、</w:t>
      </w:r>
      <w:r>
        <w:rPr>
          <w:rFonts w:hint="eastAsia" w:ascii="宋体" w:hAnsi="宋体" w:cs="宋体"/>
          <w:bCs/>
          <w:kern w:val="0"/>
          <w:sz w:val="24"/>
          <w:szCs w:val="24"/>
        </w:rPr>
        <w:t>具有独立承担民事责任能力的法人、其他组织或自然人，并出具合法有效的营业执照或事业单位法人证书等国家规定的相关证明，自然人参与的提供其身份证明；</w:t>
      </w:r>
    </w:p>
    <w:p>
      <w:pPr>
        <w:numPr>
          <w:ilvl w:val="0"/>
          <w:numId w:val="0"/>
        </w:numPr>
        <w:snapToGrid w:val="0"/>
        <w:spacing w:line="360" w:lineRule="auto"/>
        <w:ind w:firstLine="496" w:firstLineChars="200"/>
        <w:jc w:val="left"/>
        <w:rPr>
          <w:rFonts w:ascii="宋体" w:hAnsi="宋体" w:cs="宋体"/>
          <w:bCs/>
          <w:kern w:val="0"/>
          <w:sz w:val="24"/>
          <w:szCs w:val="24"/>
        </w:rPr>
      </w:pPr>
      <w:r>
        <w:rPr>
          <w:rFonts w:hint="eastAsia" w:ascii="宋体" w:hAnsi="宋体" w:cs="宋体"/>
          <w:bCs/>
          <w:kern w:val="0"/>
          <w:sz w:val="24"/>
          <w:szCs w:val="24"/>
          <w:lang w:val="en-US" w:eastAsia="zh-CN"/>
        </w:rPr>
        <w:t>5、</w:t>
      </w:r>
      <w:r>
        <w:rPr>
          <w:rFonts w:hint="eastAsia" w:ascii="宋体" w:hAnsi="宋体" w:cs="宋体"/>
          <w:bCs/>
          <w:kern w:val="0"/>
          <w:sz w:val="24"/>
          <w:szCs w:val="24"/>
        </w:rPr>
        <w:t>社会保障资金缴纳证明：2021年</w:t>
      </w:r>
      <w:r>
        <w:rPr>
          <w:rFonts w:hint="eastAsia" w:ascii="宋体" w:hAnsi="宋体" w:cs="宋体"/>
          <w:bCs/>
          <w:kern w:val="0"/>
          <w:sz w:val="24"/>
          <w:szCs w:val="24"/>
          <w:lang w:val="en-US" w:eastAsia="zh-CN"/>
        </w:rPr>
        <w:t>9</w:t>
      </w:r>
      <w:r>
        <w:rPr>
          <w:rFonts w:hint="eastAsia" w:ascii="宋体" w:hAnsi="宋体" w:cs="宋体"/>
          <w:bCs/>
          <w:kern w:val="0"/>
          <w:sz w:val="24"/>
          <w:szCs w:val="24"/>
        </w:rPr>
        <w:t>月至今已缴纳的至少一个月的社会保障资金缴存单据或社保机构开具的社会保险参保缴费情况证明，单据或证明上应有社保机构或代收机构的公章。依法不需要缴纳社会保障资金的供应商应提供相关文件证明；</w:t>
      </w:r>
    </w:p>
    <w:p>
      <w:pPr>
        <w:numPr>
          <w:ilvl w:val="0"/>
          <w:numId w:val="0"/>
        </w:numPr>
        <w:snapToGrid w:val="0"/>
        <w:spacing w:line="360" w:lineRule="auto"/>
        <w:ind w:firstLine="496" w:firstLineChars="200"/>
        <w:jc w:val="left"/>
        <w:rPr>
          <w:rFonts w:ascii="宋体" w:hAnsi="宋体" w:cs="宋体"/>
          <w:bCs/>
          <w:kern w:val="0"/>
          <w:sz w:val="24"/>
          <w:szCs w:val="24"/>
        </w:rPr>
      </w:pPr>
      <w:r>
        <w:rPr>
          <w:rFonts w:hint="eastAsia" w:ascii="宋体" w:hAnsi="宋体" w:cs="宋体"/>
          <w:bCs/>
          <w:kern w:val="0"/>
          <w:sz w:val="24"/>
          <w:szCs w:val="24"/>
          <w:lang w:val="en-US" w:eastAsia="zh-CN"/>
        </w:rPr>
        <w:t>6、</w:t>
      </w:r>
      <w:r>
        <w:rPr>
          <w:rFonts w:hint="eastAsia" w:ascii="宋体" w:hAnsi="宋体" w:cs="宋体"/>
          <w:bCs/>
          <w:kern w:val="0"/>
          <w:sz w:val="24"/>
          <w:szCs w:val="24"/>
        </w:rPr>
        <w:t>税收缴纳证明：2021年</w:t>
      </w:r>
      <w:r>
        <w:rPr>
          <w:rFonts w:hint="eastAsia" w:ascii="宋体" w:hAnsi="宋体" w:cs="宋体"/>
          <w:bCs/>
          <w:kern w:val="0"/>
          <w:sz w:val="24"/>
          <w:szCs w:val="24"/>
          <w:lang w:val="en-US" w:eastAsia="zh-CN"/>
        </w:rPr>
        <w:t>9</w:t>
      </w:r>
      <w:r>
        <w:rPr>
          <w:rFonts w:hint="eastAsia" w:ascii="宋体" w:hAnsi="宋体" w:cs="宋体"/>
          <w:bCs/>
          <w:kern w:val="0"/>
          <w:sz w:val="24"/>
          <w:szCs w:val="24"/>
        </w:rPr>
        <w:t>月至今已缴纳的至少一个月纳税证明或完税证明，依法免税的单位应提供相关证明材料； </w:t>
      </w:r>
    </w:p>
    <w:p>
      <w:pPr>
        <w:numPr>
          <w:ilvl w:val="0"/>
          <w:numId w:val="0"/>
        </w:numPr>
        <w:snapToGrid w:val="0"/>
        <w:spacing w:line="360" w:lineRule="auto"/>
        <w:ind w:firstLine="496" w:firstLineChars="200"/>
        <w:jc w:val="left"/>
        <w:rPr>
          <w:rFonts w:ascii="宋体" w:hAnsi="宋体" w:cs="宋体"/>
          <w:bCs/>
          <w:kern w:val="0"/>
          <w:sz w:val="24"/>
          <w:szCs w:val="24"/>
        </w:rPr>
      </w:pPr>
      <w:r>
        <w:rPr>
          <w:rFonts w:hint="eastAsia" w:ascii="宋体" w:hAnsi="宋体" w:cs="宋体"/>
          <w:bCs/>
          <w:kern w:val="0"/>
          <w:sz w:val="24"/>
          <w:szCs w:val="24"/>
          <w:lang w:val="en-US" w:eastAsia="zh-CN"/>
        </w:rPr>
        <w:t>7、</w:t>
      </w:r>
      <w:r>
        <w:rPr>
          <w:rFonts w:hint="eastAsia" w:ascii="宋体" w:hAnsi="宋体" w:cs="宋体"/>
          <w:bCs/>
          <w:kern w:val="0"/>
          <w:sz w:val="24"/>
          <w:szCs w:val="24"/>
        </w:rPr>
        <w:t xml:space="preserve">财务状况证明：提供经会计师事务所审计的2020年或2021年任意一年的财务审计报告或在开标日期前六个月内其基本开户银行出具的资信证明；  </w:t>
      </w:r>
    </w:p>
    <w:p>
      <w:pPr>
        <w:rPr>
          <w:rFonts w:hint="eastAsia" w:ascii="宋体" w:hAnsi="宋体" w:cs="宋体"/>
          <w:bCs/>
          <w:kern w:val="0"/>
          <w:sz w:val="24"/>
          <w:szCs w:val="24"/>
          <w:lang w:val="en-US" w:eastAsia="zh-CN"/>
        </w:rPr>
      </w:pPr>
      <w:r>
        <w:rPr>
          <w:rFonts w:hint="eastAsia" w:ascii="宋体" w:hAnsi="宋体" w:cs="宋体"/>
          <w:bCs/>
          <w:kern w:val="0"/>
          <w:sz w:val="24"/>
          <w:szCs w:val="24"/>
          <w:lang w:val="en-US" w:eastAsia="zh-CN"/>
        </w:rPr>
        <w:br w:type="page"/>
      </w:r>
    </w:p>
    <w:p>
      <w:pPr>
        <w:snapToGrid w:val="0"/>
        <w:spacing w:line="360" w:lineRule="auto"/>
        <w:ind w:firstLine="496" w:firstLineChars="200"/>
        <w:jc w:val="left"/>
        <w:rPr>
          <w:rFonts w:hint="eastAsia" w:ascii="宋体" w:hAnsi="宋体" w:cs="宋体"/>
          <w:bCs/>
          <w:kern w:val="0"/>
          <w:sz w:val="24"/>
          <w:szCs w:val="24"/>
        </w:rPr>
      </w:pPr>
      <w:r>
        <w:rPr>
          <w:rFonts w:hint="eastAsia" w:ascii="宋体" w:hAnsi="宋体" w:cs="宋体"/>
          <w:bCs/>
          <w:kern w:val="0"/>
          <w:sz w:val="24"/>
          <w:szCs w:val="24"/>
          <w:lang w:val="en-US" w:eastAsia="zh-CN"/>
        </w:rPr>
        <w:t>8</w:t>
      </w:r>
      <w:r>
        <w:rPr>
          <w:rFonts w:hint="eastAsia" w:ascii="宋体" w:hAnsi="宋体" w:cs="宋体"/>
          <w:bCs/>
          <w:kern w:val="0"/>
          <w:sz w:val="24"/>
          <w:szCs w:val="24"/>
        </w:rPr>
        <w:t>、</w:t>
      </w:r>
      <w:r>
        <w:rPr>
          <w:rFonts w:hint="eastAsia" w:ascii="宋体" w:hAnsi="宋体" w:eastAsia="宋体" w:cs="宋体"/>
          <w:color w:val="0C0C0C"/>
          <w:sz w:val="24"/>
          <w:szCs w:val="24"/>
        </w:rPr>
        <w:t>本项目专门面向中小企业采购，供应商应提供中小企业声明函；</w:t>
      </w:r>
    </w:p>
    <w:p>
      <w:pPr>
        <w:spacing w:line="312" w:lineRule="auto"/>
        <w:jc w:val="center"/>
        <w:rPr>
          <w:rFonts w:ascii="宋体" w:hAnsi="宋体" w:cs="宋体"/>
          <w:b/>
          <w:bCs/>
          <w:sz w:val="32"/>
          <w:szCs w:val="32"/>
        </w:rPr>
      </w:pPr>
      <w:r>
        <w:rPr>
          <w:rFonts w:hint="eastAsia" w:ascii="宋体" w:hAnsi="宋体" w:cs="宋体"/>
          <w:b/>
          <w:bCs/>
          <w:sz w:val="32"/>
          <w:szCs w:val="32"/>
        </w:rPr>
        <w:t>中小企业申明</w:t>
      </w:r>
    </w:p>
    <w:p>
      <w:pPr>
        <w:spacing w:line="312" w:lineRule="auto"/>
        <w:ind w:firstLine="520" w:firstLineChars="200"/>
        <w:rPr>
          <w:rFonts w:ascii="宋体" w:hAnsi="宋体"/>
          <w:color w:val="000000"/>
          <w:spacing w:val="6"/>
          <w:sz w:val="24"/>
        </w:rPr>
      </w:pPr>
      <w:r>
        <w:rPr>
          <w:rFonts w:hint="eastAsia" w:ascii="宋体" w:hAnsi="宋体"/>
          <w:color w:val="000000"/>
          <w:spacing w:val="6"/>
          <w:sz w:val="24"/>
        </w:rPr>
        <w:t>根据《政府采购促进中小企业发展管理办法》（财库[2020]46号）的规定，由供应商自行声明并对真实性负责。如有虚假，将依法承担相应责任。</w:t>
      </w:r>
    </w:p>
    <w:p>
      <w:pPr>
        <w:spacing w:line="312" w:lineRule="auto"/>
        <w:jc w:val="center"/>
        <w:rPr>
          <w:rFonts w:ascii="宋体" w:hAnsi="宋体" w:cs="宋体"/>
          <w:b/>
          <w:bCs/>
          <w:sz w:val="32"/>
          <w:szCs w:val="32"/>
        </w:rPr>
      </w:pPr>
      <w:r>
        <w:rPr>
          <w:rFonts w:ascii="宋体" w:hAnsi="宋体" w:cs="宋体"/>
          <w:b/>
          <w:bCs/>
          <w:sz w:val="32"/>
          <w:szCs w:val="32"/>
        </w:rPr>
        <w:t xml:space="preserve">中小企业声明函（工程、服务） </w:t>
      </w:r>
    </w:p>
    <w:p>
      <w:pPr>
        <w:spacing w:line="312" w:lineRule="auto"/>
        <w:ind w:firstLine="744" w:firstLineChars="300"/>
        <w:jc w:val="left"/>
        <w:rPr>
          <w:rFonts w:ascii="宋体" w:hAnsi="宋体" w:cs="宋体"/>
          <w:sz w:val="24"/>
          <w:szCs w:val="24"/>
        </w:rPr>
      </w:pPr>
      <w:r>
        <w:rPr>
          <w:rFonts w:ascii="宋体" w:hAnsi="宋体" w:cs="宋体"/>
          <w:sz w:val="24"/>
          <w:szCs w:val="24"/>
        </w:rPr>
        <w:t>本公司（联合体）郑重声明，根据《政府采购促进中小 企业发展管理办法》（财库﹝2020﹞46 号）的规定，本公司 （联合体）参加</w:t>
      </w:r>
      <w:r>
        <w:rPr>
          <w:rFonts w:ascii="宋体" w:hAnsi="宋体" w:cs="宋体"/>
          <w:sz w:val="24"/>
          <w:szCs w:val="24"/>
          <w:u w:val="single"/>
        </w:rPr>
        <w:t>（单位名称）</w:t>
      </w:r>
      <w:r>
        <w:rPr>
          <w:rFonts w:ascii="宋体" w:hAnsi="宋体" w:cs="宋体"/>
          <w:sz w:val="24"/>
          <w:szCs w:val="24"/>
        </w:rPr>
        <w:t>的</w:t>
      </w:r>
      <w:r>
        <w:rPr>
          <w:rFonts w:hint="eastAsia" w:ascii="宋体" w:hAnsi="宋体" w:cs="宋体"/>
          <w:sz w:val="24"/>
          <w:szCs w:val="24"/>
          <w:u w:val="single"/>
        </w:rPr>
        <w:t xml:space="preserve">             </w:t>
      </w:r>
      <w:r>
        <w:rPr>
          <w:rFonts w:ascii="宋体" w:hAnsi="宋体" w:cs="宋体"/>
          <w:sz w:val="24"/>
          <w:szCs w:val="24"/>
          <w:u w:val="single"/>
        </w:rPr>
        <w:t>（项目名称）</w:t>
      </w:r>
      <w:r>
        <w:rPr>
          <w:rFonts w:ascii="宋体" w:hAnsi="宋体" w:cs="宋体"/>
          <w:sz w:val="24"/>
          <w:szCs w:val="24"/>
        </w:rPr>
        <w:t xml:space="preserve">采购活动，工程的施工单位全部为符合政策要求的中小企业（或者：服务 全部由符合政策要求的中小企业承接）。相关企业（含联合 体中的中小企业、签订分包意向协议的中小企业）的具体情 况如下： </w:t>
      </w:r>
    </w:p>
    <w:p>
      <w:pPr>
        <w:spacing w:line="312" w:lineRule="auto"/>
        <w:ind w:firstLine="496" w:firstLineChars="200"/>
        <w:jc w:val="left"/>
        <w:rPr>
          <w:rFonts w:ascii="仿宋_GB2312" w:eastAsia="仿宋_GB2312"/>
          <w:b/>
          <w:color w:val="000000"/>
          <w:spacing w:val="6"/>
          <w:sz w:val="24"/>
          <w:szCs w:val="24"/>
        </w:rPr>
      </w:pPr>
      <w:r>
        <w:rPr>
          <w:rFonts w:ascii="宋体" w:hAnsi="宋体" w:cs="宋体"/>
          <w:sz w:val="24"/>
          <w:szCs w:val="24"/>
        </w:rPr>
        <w:t>1.</w:t>
      </w:r>
      <w:r>
        <w:rPr>
          <w:rFonts w:ascii="宋体" w:hAnsi="宋体" w:cs="宋体"/>
          <w:sz w:val="24"/>
          <w:szCs w:val="24"/>
          <w:u w:val="single"/>
        </w:rPr>
        <w:t>（标的名称）</w:t>
      </w:r>
      <w:r>
        <w:rPr>
          <w:rFonts w:ascii="宋体" w:hAnsi="宋体" w:cs="宋体"/>
          <w:sz w:val="24"/>
          <w:szCs w:val="24"/>
        </w:rPr>
        <w:t xml:space="preserve"> ，属于</w:t>
      </w:r>
      <w:r>
        <w:rPr>
          <w:rFonts w:ascii="宋体" w:hAnsi="宋体" w:cs="宋体"/>
          <w:sz w:val="24"/>
          <w:szCs w:val="24"/>
          <w:u w:val="single"/>
        </w:rPr>
        <w:t>（采购文件中明确的所属行业）</w:t>
      </w:r>
      <w:r>
        <w:rPr>
          <w:rFonts w:ascii="宋体" w:hAnsi="宋体" w:cs="宋体"/>
          <w:sz w:val="24"/>
          <w:szCs w:val="24"/>
        </w:rPr>
        <w:t>； 承建（承接）企业为</w:t>
      </w:r>
      <w:r>
        <w:rPr>
          <w:rFonts w:ascii="宋体" w:hAnsi="宋体" w:cs="宋体"/>
          <w:sz w:val="24"/>
          <w:szCs w:val="24"/>
          <w:u w:val="single"/>
        </w:rPr>
        <w:t>（企业名称）</w:t>
      </w:r>
      <w:r>
        <w:rPr>
          <w:rFonts w:ascii="宋体" w:hAnsi="宋体" w:cs="宋体"/>
          <w:sz w:val="24"/>
          <w:szCs w:val="24"/>
        </w:rPr>
        <w:t>，从业人员</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rPr>
        <w:t>人，营业 收入为</w:t>
      </w:r>
      <w:r>
        <w:rPr>
          <w:rFonts w:hint="eastAsia" w:ascii="宋体" w:hAnsi="宋体" w:cs="宋体"/>
          <w:sz w:val="24"/>
          <w:szCs w:val="24"/>
          <w:u w:val="single"/>
        </w:rPr>
        <w:t xml:space="preserve">     </w:t>
      </w:r>
      <w:r>
        <w:rPr>
          <w:rFonts w:ascii="宋体" w:hAnsi="宋体" w:cs="宋体"/>
          <w:sz w:val="24"/>
          <w:szCs w:val="24"/>
        </w:rPr>
        <w:t>万元，资产总额为</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rPr>
        <w:t>万元，属于</w:t>
      </w:r>
      <w:r>
        <w:rPr>
          <w:rFonts w:hint="eastAsia" w:ascii="宋体" w:hAnsi="宋体" w:cs="宋体"/>
          <w:sz w:val="24"/>
          <w:szCs w:val="24"/>
          <w:u w:val="single"/>
        </w:rPr>
        <w:t xml:space="preserve">        </w:t>
      </w:r>
      <w:r>
        <w:rPr>
          <w:rFonts w:ascii="宋体" w:hAnsi="宋体" w:cs="宋体"/>
          <w:sz w:val="24"/>
          <w:szCs w:val="24"/>
        </w:rPr>
        <w:t>（中型企业、 小型企业、微型企业）；</w:t>
      </w:r>
    </w:p>
    <w:p>
      <w:pPr>
        <w:spacing w:line="312" w:lineRule="auto"/>
        <w:ind w:firstLine="496" w:firstLineChars="200"/>
        <w:jc w:val="left"/>
        <w:rPr>
          <w:rFonts w:ascii="宋体" w:hAnsi="宋体" w:cs="宋体"/>
          <w:sz w:val="24"/>
          <w:szCs w:val="24"/>
        </w:rPr>
      </w:pPr>
      <w:r>
        <w:rPr>
          <w:rFonts w:ascii="宋体" w:hAnsi="宋体" w:cs="宋体"/>
          <w:sz w:val="24"/>
          <w:szCs w:val="24"/>
        </w:rPr>
        <w:t>2.</w:t>
      </w:r>
      <w:r>
        <w:rPr>
          <w:rFonts w:ascii="宋体" w:hAnsi="宋体" w:cs="宋体"/>
          <w:sz w:val="24"/>
          <w:szCs w:val="24"/>
          <w:u w:val="single"/>
        </w:rPr>
        <w:t xml:space="preserve"> （标的名称） </w:t>
      </w:r>
      <w:r>
        <w:rPr>
          <w:rFonts w:ascii="宋体" w:hAnsi="宋体" w:cs="宋体"/>
          <w:sz w:val="24"/>
          <w:szCs w:val="24"/>
        </w:rPr>
        <w:t>，属于</w:t>
      </w:r>
      <w:r>
        <w:rPr>
          <w:rFonts w:ascii="宋体" w:hAnsi="宋体" w:cs="宋体"/>
          <w:sz w:val="24"/>
          <w:szCs w:val="24"/>
          <w:u w:val="single"/>
        </w:rPr>
        <w:t>（采购文件中明确的所属行业）</w:t>
      </w:r>
      <w:r>
        <w:rPr>
          <w:rFonts w:ascii="宋体" w:hAnsi="宋体" w:cs="宋体"/>
          <w:sz w:val="24"/>
          <w:szCs w:val="24"/>
        </w:rPr>
        <w:t>； 承建（承接）企业为</w:t>
      </w:r>
      <w:r>
        <w:rPr>
          <w:rFonts w:ascii="宋体" w:hAnsi="宋体" w:cs="宋体"/>
          <w:sz w:val="24"/>
          <w:szCs w:val="24"/>
          <w:u w:val="single"/>
        </w:rPr>
        <w:t>（企业名称）</w:t>
      </w:r>
      <w:r>
        <w:rPr>
          <w:rFonts w:ascii="宋体" w:hAnsi="宋体" w:cs="宋体"/>
          <w:sz w:val="24"/>
          <w:szCs w:val="24"/>
        </w:rPr>
        <w:t>，从业人员</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rPr>
        <w:t>人，营业 收入为</w:t>
      </w:r>
      <w:r>
        <w:rPr>
          <w:rFonts w:hint="eastAsia" w:ascii="宋体" w:hAnsi="宋体" w:cs="宋体"/>
          <w:sz w:val="24"/>
          <w:szCs w:val="24"/>
          <w:u w:val="single"/>
        </w:rPr>
        <w:t xml:space="preserve">     </w:t>
      </w:r>
      <w:r>
        <w:rPr>
          <w:rFonts w:ascii="宋体" w:hAnsi="宋体" w:cs="宋体"/>
          <w:sz w:val="24"/>
          <w:szCs w:val="24"/>
        </w:rPr>
        <w:t>万元，资产总额为</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rPr>
        <w:t>万元，属于</w:t>
      </w:r>
      <w:r>
        <w:rPr>
          <w:rFonts w:hint="eastAsia" w:ascii="宋体" w:hAnsi="宋体" w:cs="宋体"/>
          <w:sz w:val="24"/>
          <w:szCs w:val="24"/>
          <w:u w:val="single"/>
        </w:rPr>
        <w:t xml:space="preserve">        </w:t>
      </w:r>
      <w:r>
        <w:rPr>
          <w:rFonts w:ascii="宋体" w:hAnsi="宋体" w:cs="宋体"/>
          <w:sz w:val="24"/>
          <w:szCs w:val="24"/>
        </w:rPr>
        <w:t xml:space="preserve">（中型企业、 小型企业、微型企业）； </w:t>
      </w:r>
    </w:p>
    <w:p>
      <w:pPr>
        <w:spacing w:line="312" w:lineRule="auto"/>
        <w:ind w:firstLine="496" w:firstLineChars="200"/>
        <w:jc w:val="left"/>
        <w:rPr>
          <w:rFonts w:ascii="宋体" w:hAnsi="宋体" w:cs="宋体"/>
          <w:sz w:val="24"/>
          <w:szCs w:val="24"/>
        </w:rPr>
      </w:pPr>
      <w:r>
        <w:rPr>
          <w:rFonts w:ascii="宋体" w:hAnsi="宋体" w:cs="宋体"/>
          <w:sz w:val="24"/>
          <w:szCs w:val="24"/>
        </w:rPr>
        <w:t xml:space="preserve">…… 以上企业，不属于大企业的分支机构，不存在控股股东 为大企业的情形，也不存在与大企业的负责人为同一人的情 形。 </w:t>
      </w:r>
    </w:p>
    <w:p>
      <w:pPr>
        <w:spacing w:line="312" w:lineRule="auto"/>
        <w:ind w:firstLine="496" w:firstLineChars="200"/>
        <w:jc w:val="left"/>
        <w:rPr>
          <w:rFonts w:ascii="宋体" w:hAnsi="宋体" w:cs="宋体"/>
          <w:sz w:val="24"/>
          <w:szCs w:val="24"/>
        </w:rPr>
      </w:pPr>
      <w:r>
        <w:rPr>
          <w:rFonts w:ascii="宋体" w:hAnsi="宋体" w:cs="宋体"/>
          <w:sz w:val="24"/>
          <w:szCs w:val="24"/>
        </w:rPr>
        <w:t xml:space="preserve">本企业对上述声明内容的真实性负责。如有虚假，将依 法承担相应责任。 </w:t>
      </w:r>
    </w:p>
    <w:p>
      <w:pPr>
        <w:spacing w:line="312" w:lineRule="auto"/>
        <w:ind w:firstLine="496" w:firstLineChars="200"/>
        <w:jc w:val="left"/>
        <w:rPr>
          <w:rFonts w:ascii="宋体" w:hAnsi="宋体" w:cs="宋体"/>
          <w:sz w:val="24"/>
          <w:szCs w:val="24"/>
        </w:rPr>
      </w:pPr>
      <w:r>
        <w:rPr>
          <w:rFonts w:ascii="宋体" w:hAnsi="宋体" w:cs="宋体"/>
          <w:sz w:val="24"/>
          <w:szCs w:val="24"/>
        </w:rPr>
        <w:t xml:space="preserve">企业名称（盖章）： </w:t>
      </w:r>
    </w:p>
    <w:p>
      <w:pPr>
        <w:spacing w:line="312" w:lineRule="auto"/>
        <w:ind w:firstLine="496" w:firstLineChars="200"/>
        <w:jc w:val="left"/>
        <w:rPr>
          <w:rFonts w:ascii="宋体" w:hAnsi="宋体" w:cs="宋体"/>
          <w:sz w:val="24"/>
          <w:szCs w:val="24"/>
        </w:rPr>
      </w:pPr>
      <w:r>
        <w:rPr>
          <w:rFonts w:ascii="宋体" w:hAnsi="宋体" w:cs="宋体"/>
          <w:sz w:val="24"/>
          <w:szCs w:val="24"/>
        </w:rPr>
        <w:t xml:space="preserve">日 期： </w:t>
      </w:r>
    </w:p>
    <w:p>
      <w:pPr>
        <w:rPr>
          <w:rFonts w:hint="eastAsia" w:ascii="宋体" w:hAnsi="宋体" w:cs="宋体"/>
          <w:bCs/>
          <w:kern w:val="0"/>
          <w:sz w:val="24"/>
          <w:szCs w:val="24"/>
          <w:lang w:val="en-US" w:eastAsia="zh-CN"/>
        </w:rPr>
      </w:pPr>
      <w:r>
        <w:rPr>
          <w:rFonts w:hint="eastAsia" w:ascii="宋体" w:hAnsi="宋体" w:cs="宋体"/>
          <w:szCs w:val="21"/>
        </w:rPr>
        <w:t>注：</w:t>
      </w:r>
      <w:r>
        <w:rPr>
          <w:rFonts w:ascii="宋体" w:hAnsi="宋体" w:cs="宋体"/>
          <w:szCs w:val="21"/>
        </w:rPr>
        <w:t xml:space="preserve"> 从业人员、营业收入、资产总额填报上一年度数据，无上一年度数据的新成立企业可不填报。</w:t>
      </w:r>
      <w:r>
        <w:rPr>
          <w:rFonts w:hint="eastAsia" w:ascii="宋体" w:hAnsi="宋体" w:cs="宋体"/>
          <w:bCs/>
          <w:kern w:val="0"/>
          <w:sz w:val="24"/>
          <w:szCs w:val="24"/>
          <w:lang w:val="en-US" w:eastAsia="zh-CN"/>
        </w:rPr>
        <w:br w:type="page"/>
      </w:r>
    </w:p>
    <w:p>
      <w:pPr>
        <w:ind w:firstLine="496" w:firstLineChars="200"/>
        <w:rPr>
          <w:rFonts w:hint="eastAsia"/>
          <w:color w:val="000000"/>
        </w:rPr>
      </w:pPr>
      <w:r>
        <w:rPr>
          <w:rFonts w:hint="eastAsia" w:ascii="宋体" w:hAnsi="宋体" w:cs="宋体"/>
          <w:bCs/>
          <w:kern w:val="0"/>
          <w:sz w:val="24"/>
          <w:szCs w:val="24"/>
          <w:lang w:val="en-US" w:eastAsia="zh-CN"/>
        </w:rPr>
        <w:t>9、</w:t>
      </w:r>
      <w:r>
        <w:rPr>
          <w:rFonts w:hint="eastAsia" w:ascii="宋体" w:hAnsi="宋体" w:cs="宋体"/>
          <w:bCs/>
          <w:kern w:val="0"/>
          <w:sz w:val="24"/>
          <w:szCs w:val="24"/>
        </w:rPr>
        <w:t>本项目不接受联合体磋商</w:t>
      </w:r>
      <w:r>
        <w:rPr>
          <w:rFonts w:hint="eastAsia" w:ascii="宋体" w:hAnsi="宋体" w:eastAsia="宋体" w:cs="宋体"/>
          <w:bCs/>
          <w:kern w:val="0"/>
          <w:sz w:val="24"/>
          <w:szCs w:val="24"/>
          <w:lang w:eastAsia="zh-CN"/>
        </w:rPr>
        <w:t>（自行拟定声明）</w:t>
      </w:r>
      <w:r>
        <w:rPr>
          <w:rFonts w:hint="eastAsia" w:ascii="宋体" w:hAnsi="宋体" w:cs="宋体"/>
          <w:bCs/>
          <w:kern w:val="0"/>
          <w:sz w:val="24"/>
          <w:szCs w:val="24"/>
        </w:rPr>
        <w:t>。</w:t>
      </w:r>
      <w:r>
        <w:rPr>
          <w:rFonts w:hint="eastAsia"/>
          <w:color w:val="000000"/>
        </w:rPr>
        <w:br w:type="page"/>
      </w:r>
    </w:p>
    <w:p>
      <w:pPr>
        <w:pStyle w:val="4"/>
        <w:rPr>
          <w:color w:val="000000"/>
        </w:rPr>
      </w:pPr>
      <w:bookmarkStart w:id="176" w:name="_Toc2025"/>
      <w:r>
        <w:rPr>
          <w:rFonts w:hint="eastAsia"/>
          <w:color w:val="000000"/>
        </w:rPr>
        <w:t>第五章  商务和服务响应偏离表</w:t>
      </w:r>
      <w:bookmarkEnd w:id="173"/>
      <w:bookmarkEnd w:id="174"/>
      <w:bookmarkEnd w:id="175"/>
      <w:bookmarkEnd w:id="176"/>
    </w:p>
    <w:p>
      <w:pPr>
        <w:kinsoku w:val="0"/>
        <w:spacing w:line="480" w:lineRule="auto"/>
        <w:ind w:left="1269" w:hanging="1267" w:hangingChars="440"/>
        <w:jc w:val="left"/>
        <w:rPr>
          <w:rFonts w:ascii="宋体" w:hAnsi="宋体" w:cs="宋体"/>
          <w:color w:val="000000"/>
          <w:sz w:val="28"/>
          <w:szCs w:val="28"/>
        </w:rPr>
      </w:pPr>
      <w:r>
        <w:rPr>
          <w:rFonts w:hint="eastAsia" w:ascii="宋体" w:hAnsi="宋体" w:cs="宋体"/>
          <w:color w:val="000000"/>
          <w:sz w:val="28"/>
          <w:szCs w:val="28"/>
        </w:rPr>
        <w:t>表1、商务响应偏差表</w:t>
      </w:r>
    </w:p>
    <w:tbl>
      <w:tblPr>
        <w:tblStyle w:val="27"/>
        <w:tblW w:w="8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614"/>
        <w:gridCol w:w="1680"/>
        <w:gridCol w:w="2448"/>
        <w:gridCol w:w="2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96" w:type="dxa"/>
            <w:vAlign w:val="center"/>
          </w:tcPr>
          <w:p>
            <w:pPr>
              <w:pStyle w:val="13"/>
              <w:spacing w:line="480" w:lineRule="auto"/>
              <w:jc w:val="center"/>
              <w:rPr>
                <w:rFonts w:hAnsi="宋体" w:cs="宋体"/>
                <w:color w:val="000000"/>
                <w:kern w:val="2"/>
                <w:sz w:val="24"/>
                <w:szCs w:val="24"/>
                <w:lang w:val="en-US" w:eastAsia="zh-CN"/>
              </w:rPr>
            </w:pPr>
            <w:r>
              <w:rPr>
                <w:rFonts w:hint="eastAsia" w:hAnsi="宋体" w:cs="宋体"/>
                <w:color w:val="000000"/>
                <w:kern w:val="2"/>
                <w:lang w:val="en-US" w:eastAsia="zh-CN"/>
              </w:rPr>
              <w:t xml:space="preserve"> 序号</w:t>
            </w:r>
          </w:p>
        </w:tc>
        <w:tc>
          <w:tcPr>
            <w:tcW w:w="1614" w:type="dxa"/>
            <w:vAlign w:val="center"/>
          </w:tcPr>
          <w:p>
            <w:pPr>
              <w:pStyle w:val="13"/>
              <w:spacing w:line="480" w:lineRule="auto"/>
              <w:jc w:val="left"/>
              <w:rPr>
                <w:rFonts w:hAnsi="宋体" w:cs="宋体"/>
                <w:color w:val="000000"/>
                <w:kern w:val="2"/>
                <w:sz w:val="24"/>
                <w:szCs w:val="24"/>
                <w:lang w:val="en-US" w:eastAsia="zh-CN"/>
              </w:rPr>
            </w:pPr>
            <w:r>
              <w:rPr>
                <w:rFonts w:hint="eastAsia" w:hAnsi="宋体" w:cs="宋体"/>
                <w:color w:val="000000"/>
                <w:kern w:val="2"/>
                <w:lang w:val="en-US" w:eastAsia="zh-CN"/>
              </w:rPr>
              <w:t xml:space="preserve"> 商务条款</w:t>
            </w:r>
          </w:p>
        </w:tc>
        <w:tc>
          <w:tcPr>
            <w:tcW w:w="1680" w:type="dxa"/>
            <w:vAlign w:val="center"/>
          </w:tcPr>
          <w:p>
            <w:pPr>
              <w:pStyle w:val="13"/>
              <w:spacing w:line="480" w:lineRule="auto"/>
              <w:jc w:val="left"/>
              <w:rPr>
                <w:rFonts w:hAnsi="宋体" w:cs="宋体"/>
                <w:color w:val="000000"/>
                <w:kern w:val="2"/>
                <w:sz w:val="24"/>
                <w:szCs w:val="24"/>
                <w:lang w:val="en-US" w:eastAsia="zh-CN"/>
              </w:rPr>
            </w:pPr>
            <w:r>
              <w:rPr>
                <w:rFonts w:hint="eastAsia" w:hAnsi="宋体" w:cs="宋体"/>
                <w:color w:val="000000"/>
                <w:kern w:val="2"/>
                <w:lang w:val="en-US" w:eastAsia="zh-CN"/>
              </w:rPr>
              <w:t>商务要求内容</w:t>
            </w:r>
          </w:p>
        </w:tc>
        <w:tc>
          <w:tcPr>
            <w:tcW w:w="2448" w:type="dxa"/>
            <w:vAlign w:val="center"/>
          </w:tcPr>
          <w:p>
            <w:pPr>
              <w:pStyle w:val="13"/>
              <w:spacing w:line="480" w:lineRule="auto"/>
              <w:rPr>
                <w:rFonts w:hAnsi="宋体" w:cs="宋体"/>
                <w:color w:val="000000"/>
                <w:kern w:val="2"/>
                <w:sz w:val="24"/>
                <w:szCs w:val="24"/>
                <w:lang w:val="en-US" w:eastAsia="zh-CN"/>
              </w:rPr>
            </w:pPr>
            <w:r>
              <w:rPr>
                <w:rFonts w:hint="eastAsia" w:hAnsi="宋体" w:cs="宋体"/>
                <w:color w:val="000000"/>
                <w:kern w:val="2"/>
                <w:lang w:val="en-US" w:eastAsia="zh-CN"/>
              </w:rPr>
              <w:t>响应文件响应商务内容</w:t>
            </w:r>
          </w:p>
        </w:tc>
        <w:tc>
          <w:tcPr>
            <w:tcW w:w="2042" w:type="dxa"/>
            <w:vAlign w:val="center"/>
          </w:tcPr>
          <w:p>
            <w:pPr>
              <w:pStyle w:val="13"/>
              <w:spacing w:line="480" w:lineRule="auto"/>
              <w:jc w:val="center"/>
              <w:rPr>
                <w:rFonts w:hAnsi="宋体" w:cs="宋体"/>
                <w:color w:val="000000"/>
                <w:kern w:val="2"/>
                <w:sz w:val="24"/>
                <w:szCs w:val="24"/>
                <w:lang w:val="en-US" w:eastAsia="zh-CN"/>
              </w:rPr>
            </w:pPr>
            <w:r>
              <w:rPr>
                <w:rFonts w:hint="eastAsia" w:hAnsi="宋体" w:cs="宋体"/>
                <w:color w:val="000000"/>
                <w:kern w:val="2"/>
                <w:lang w:val="en-US" w:eastAsia="zh-C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13"/>
              <w:spacing w:line="480" w:lineRule="auto"/>
              <w:ind w:firstLine="496" w:firstLineChars="200"/>
              <w:jc w:val="left"/>
              <w:rPr>
                <w:rFonts w:hAnsi="宋体" w:cs="宋体"/>
                <w:color w:val="000000"/>
                <w:kern w:val="2"/>
                <w:sz w:val="24"/>
                <w:szCs w:val="24"/>
                <w:lang w:val="en-US" w:eastAsia="zh-CN"/>
              </w:rPr>
            </w:pPr>
          </w:p>
        </w:tc>
        <w:tc>
          <w:tcPr>
            <w:tcW w:w="1614" w:type="dxa"/>
          </w:tcPr>
          <w:p>
            <w:pPr>
              <w:pStyle w:val="13"/>
              <w:spacing w:line="480" w:lineRule="auto"/>
              <w:ind w:firstLine="496" w:firstLineChars="200"/>
              <w:jc w:val="left"/>
              <w:rPr>
                <w:rFonts w:hAnsi="宋体" w:cs="宋体"/>
                <w:color w:val="000000"/>
                <w:kern w:val="2"/>
                <w:sz w:val="24"/>
                <w:szCs w:val="24"/>
                <w:lang w:val="en-US" w:eastAsia="zh-CN"/>
              </w:rPr>
            </w:pPr>
          </w:p>
        </w:tc>
        <w:tc>
          <w:tcPr>
            <w:tcW w:w="1680" w:type="dxa"/>
            <w:vAlign w:val="center"/>
          </w:tcPr>
          <w:p>
            <w:pPr>
              <w:pStyle w:val="13"/>
              <w:spacing w:line="480" w:lineRule="auto"/>
              <w:ind w:firstLine="496" w:firstLineChars="200"/>
              <w:jc w:val="left"/>
              <w:rPr>
                <w:rFonts w:hAnsi="宋体" w:cs="宋体"/>
                <w:color w:val="000000"/>
                <w:kern w:val="2"/>
                <w:sz w:val="24"/>
                <w:szCs w:val="24"/>
                <w:lang w:val="en-US" w:eastAsia="zh-CN"/>
              </w:rPr>
            </w:pPr>
          </w:p>
        </w:tc>
        <w:tc>
          <w:tcPr>
            <w:tcW w:w="2448" w:type="dxa"/>
            <w:vAlign w:val="center"/>
          </w:tcPr>
          <w:p>
            <w:pPr>
              <w:pStyle w:val="13"/>
              <w:spacing w:line="480" w:lineRule="auto"/>
              <w:ind w:firstLine="496" w:firstLineChars="200"/>
              <w:jc w:val="left"/>
              <w:rPr>
                <w:rFonts w:hAnsi="宋体" w:cs="宋体"/>
                <w:color w:val="000000"/>
                <w:kern w:val="2"/>
                <w:sz w:val="24"/>
                <w:szCs w:val="24"/>
                <w:lang w:val="en-US" w:eastAsia="zh-CN"/>
              </w:rPr>
            </w:pPr>
          </w:p>
        </w:tc>
        <w:tc>
          <w:tcPr>
            <w:tcW w:w="2042" w:type="dxa"/>
            <w:vAlign w:val="center"/>
          </w:tcPr>
          <w:p>
            <w:pPr>
              <w:pStyle w:val="13"/>
              <w:spacing w:line="480" w:lineRule="auto"/>
              <w:ind w:firstLine="496" w:firstLineChars="200"/>
              <w:jc w:val="left"/>
              <w:rPr>
                <w:rFonts w:hAnsi="宋体" w:cs="宋体"/>
                <w:color w:val="00000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13"/>
              <w:spacing w:line="480" w:lineRule="auto"/>
              <w:ind w:firstLine="496" w:firstLineChars="200"/>
              <w:jc w:val="left"/>
              <w:rPr>
                <w:rFonts w:hAnsi="宋体" w:cs="宋体"/>
                <w:color w:val="000000"/>
                <w:kern w:val="2"/>
                <w:sz w:val="24"/>
                <w:szCs w:val="24"/>
                <w:lang w:val="en-US" w:eastAsia="zh-CN"/>
              </w:rPr>
            </w:pPr>
          </w:p>
        </w:tc>
        <w:tc>
          <w:tcPr>
            <w:tcW w:w="1614" w:type="dxa"/>
          </w:tcPr>
          <w:p>
            <w:pPr>
              <w:pStyle w:val="13"/>
              <w:spacing w:line="480" w:lineRule="auto"/>
              <w:ind w:firstLine="496" w:firstLineChars="200"/>
              <w:jc w:val="left"/>
              <w:rPr>
                <w:rFonts w:hAnsi="宋体" w:cs="宋体"/>
                <w:color w:val="000000"/>
                <w:kern w:val="2"/>
                <w:sz w:val="24"/>
                <w:szCs w:val="24"/>
                <w:lang w:val="en-US" w:eastAsia="zh-CN"/>
              </w:rPr>
            </w:pPr>
          </w:p>
        </w:tc>
        <w:tc>
          <w:tcPr>
            <w:tcW w:w="1680" w:type="dxa"/>
          </w:tcPr>
          <w:p>
            <w:pPr>
              <w:pStyle w:val="13"/>
              <w:spacing w:line="480" w:lineRule="auto"/>
              <w:ind w:firstLine="496" w:firstLineChars="200"/>
              <w:jc w:val="left"/>
              <w:rPr>
                <w:rFonts w:hAnsi="宋体" w:cs="宋体"/>
                <w:color w:val="000000"/>
                <w:kern w:val="2"/>
                <w:sz w:val="24"/>
                <w:szCs w:val="24"/>
                <w:lang w:val="en-US" w:eastAsia="zh-CN"/>
              </w:rPr>
            </w:pPr>
          </w:p>
        </w:tc>
        <w:tc>
          <w:tcPr>
            <w:tcW w:w="2448" w:type="dxa"/>
          </w:tcPr>
          <w:p>
            <w:pPr>
              <w:pStyle w:val="13"/>
              <w:spacing w:line="480" w:lineRule="auto"/>
              <w:ind w:firstLine="496" w:firstLineChars="200"/>
              <w:jc w:val="left"/>
              <w:rPr>
                <w:rFonts w:hAnsi="宋体" w:cs="宋体"/>
                <w:color w:val="000000"/>
                <w:kern w:val="2"/>
                <w:sz w:val="24"/>
                <w:szCs w:val="24"/>
                <w:lang w:val="en-US" w:eastAsia="zh-CN"/>
              </w:rPr>
            </w:pPr>
          </w:p>
        </w:tc>
        <w:tc>
          <w:tcPr>
            <w:tcW w:w="2042" w:type="dxa"/>
          </w:tcPr>
          <w:p>
            <w:pPr>
              <w:pStyle w:val="13"/>
              <w:spacing w:line="480" w:lineRule="auto"/>
              <w:ind w:firstLine="496" w:firstLineChars="200"/>
              <w:jc w:val="left"/>
              <w:rPr>
                <w:rFonts w:hAnsi="宋体" w:cs="宋体"/>
                <w:color w:val="00000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13"/>
              <w:spacing w:line="480" w:lineRule="auto"/>
              <w:ind w:firstLine="496" w:firstLineChars="200"/>
              <w:jc w:val="left"/>
              <w:rPr>
                <w:rFonts w:hAnsi="宋体" w:cs="宋体"/>
                <w:color w:val="000000"/>
                <w:kern w:val="2"/>
                <w:sz w:val="24"/>
                <w:szCs w:val="24"/>
                <w:lang w:val="en-US" w:eastAsia="zh-CN"/>
              </w:rPr>
            </w:pPr>
          </w:p>
        </w:tc>
        <w:tc>
          <w:tcPr>
            <w:tcW w:w="1614" w:type="dxa"/>
          </w:tcPr>
          <w:p>
            <w:pPr>
              <w:pStyle w:val="13"/>
              <w:spacing w:line="480" w:lineRule="auto"/>
              <w:ind w:firstLine="496" w:firstLineChars="200"/>
              <w:jc w:val="left"/>
              <w:rPr>
                <w:rFonts w:hAnsi="宋体" w:cs="宋体"/>
                <w:color w:val="000000"/>
                <w:kern w:val="2"/>
                <w:sz w:val="24"/>
                <w:szCs w:val="24"/>
                <w:lang w:val="en-US" w:eastAsia="zh-CN"/>
              </w:rPr>
            </w:pPr>
          </w:p>
        </w:tc>
        <w:tc>
          <w:tcPr>
            <w:tcW w:w="1680" w:type="dxa"/>
          </w:tcPr>
          <w:p>
            <w:pPr>
              <w:pStyle w:val="13"/>
              <w:spacing w:line="480" w:lineRule="auto"/>
              <w:ind w:firstLine="496" w:firstLineChars="200"/>
              <w:jc w:val="left"/>
              <w:rPr>
                <w:rFonts w:hAnsi="宋体" w:cs="宋体"/>
                <w:color w:val="000000"/>
                <w:kern w:val="2"/>
                <w:sz w:val="24"/>
                <w:szCs w:val="24"/>
                <w:lang w:val="en-US" w:eastAsia="zh-CN"/>
              </w:rPr>
            </w:pPr>
          </w:p>
        </w:tc>
        <w:tc>
          <w:tcPr>
            <w:tcW w:w="2448" w:type="dxa"/>
          </w:tcPr>
          <w:p>
            <w:pPr>
              <w:pStyle w:val="13"/>
              <w:spacing w:line="480" w:lineRule="auto"/>
              <w:ind w:firstLine="496" w:firstLineChars="200"/>
              <w:jc w:val="left"/>
              <w:rPr>
                <w:rFonts w:hAnsi="宋体" w:cs="宋体"/>
                <w:color w:val="000000"/>
                <w:kern w:val="2"/>
                <w:sz w:val="24"/>
                <w:szCs w:val="24"/>
                <w:lang w:val="en-US" w:eastAsia="zh-CN"/>
              </w:rPr>
            </w:pPr>
          </w:p>
        </w:tc>
        <w:tc>
          <w:tcPr>
            <w:tcW w:w="2042" w:type="dxa"/>
          </w:tcPr>
          <w:p>
            <w:pPr>
              <w:pStyle w:val="13"/>
              <w:spacing w:line="480" w:lineRule="auto"/>
              <w:ind w:firstLine="496" w:firstLineChars="200"/>
              <w:jc w:val="left"/>
              <w:rPr>
                <w:rFonts w:hAnsi="宋体" w:cs="宋体"/>
                <w:color w:val="00000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13"/>
              <w:spacing w:line="480" w:lineRule="auto"/>
              <w:ind w:firstLine="496" w:firstLineChars="200"/>
              <w:jc w:val="left"/>
              <w:rPr>
                <w:rFonts w:hAnsi="宋体" w:cs="宋体"/>
                <w:color w:val="000000"/>
                <w:kern w:val="2"/>
                <w:sz w:val="24"/>
                <w:szCs w:val="24"/>
                <w:lang w:val="en-US" w:eastAsia="zh-CN"/>
              </w:rPr>
            </w:pPr>
          </w:p>
        </w:tc>
        <w:tc>
          <w:tcPr>
            <w:tcW w:w="1614" w:type="dxa"/>
          </w:tcPr>
          <w:p>
            <w:pPr>
              <w:pStyle w:val="13"/>
              <w:spacing w:line="480" w:lineRule="auto"/>
              <w:ind w:firstLine="496" w:firstLineChars="200"/>
              <w:jc w:val="left"/>
              <w:rPr>
                <w:rFonts w:hAnsi="宋体" w:cs="宋体"/>
                <w:color w:val="000000"/>
                <w:kern w:val="2"/>
                <w:sz w:val="24"/>
                <w:szCs w:val="24"/>
                <w:lang w:val="en-US" w:eastAsia="zh-CN"/>
              </w:rPr>
            </w:pPr>
          </w:p>
        </w:tc>
        <w:tc>
          <w:tcPr>
            <w:tcW w:w="1680" w:type="dxa"/>
          </w:tcPr>
          <w:p>
            <w:pPr>
              <w:pStyle w:val="13"/>
              <w:spacing w:line="480" w:lineRule="auto"/>
              <w:ind w:firstLine="496" w:firstLineChars="200"/>
              <w:jc w:val="left"/>
              <w:rPr>
                <w:rFonts w:hAnsi="宋体" w:cs="宋体"/>
                <w:color w:val="000000"/>
                <w:kern w:val="2"/>
                <w:sz w:val="24"/>
                <w:szCs w:val="24"/>
                <w:lang w:val="en-US" w:eastAsia="zh-CN"/>
              </w:rPr>
            </w:pPr>
          </w:p>
        </w:tc>
        <w:tc>
          <w:tcPr>
            <w:tcW w:w="2448" w:type="dxa"/>
          </w:tcPr>
          <w:p>
            <w:pPr>
              <w:pStyle w:val="13"/>
              <w:spacing w:line="480" w:lineRule="auto"/>
              <w:ind w:firstLine="496" w:firstLineChars="200"/>
              <w:jc w:val="left"/>
              <w:rPr>
                <w:rFonts w:hAnsi="宋体" w:cs="宋体"/>
                <w:color w:val="000000"/>
                <w:kern w:val="2"/>
                <w:sz w:val="24"/>
                <w:szCs w:val="24"/>
                <w:lang w:val="en-US" w:eastAsia="zh-CN"/>
              </w:rPr>
            </w:pPr>
          </w:p>
        </w:tc>
        <w:tc>
          <w:tcPr>
            <w:tcW w:w="2042" w:type="dxa"/>
          </w:tcPr>
          <w:p>
            <w:pPr>
              <w:pStyle w:val="13"/>
              <w:spacing w:line="480" w:lineRule="auto"/>
              <w:ind w:firstLine="496" w:firstLineChars="200"/>
              <w:jc w:val="left"/>
              <w:rPr>
                <w:rFonts w:hAnsi="宋体" w:cs="宋体"/>
                <w:color w:val="00000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13"/>
              <w:spacing w:line="480" w:lineRule="auto"/>
              <w:ind w:firstLine="496" w:firstLineChars="200"/>
              <w:jc w:val="left"/>
              <w:rPr>
                <w:rFonts w:hAnsi="宋体" w:cs="宋体"/>
                <w:color w:val="000000"/>
                <w:kern w:val="2"/>
                <w:sz w:val="24"/>
                <w:szCs w:val="24"/>
                <w:lang w:val="en-US" w:eastAsia="zh-CN"/>
              </w:rPr>
            </w:pPr>
          </w:p>
        </w:tc>
        <w:tc>
          <w:tcPr>
            <w:tcW w:w="1614" w:type="dxa"/>
          </w:tcPr>
          <w:p>
            <w:pPr>
              <w:pStyle w:val="13"/>
              <w:spacing w:line="480" w:lineRule="auto"/>
              <w:ind w:firstLine="496" w:firstLineChars="200"/>
              <w:jc w:val="left"/>
              <w:rPr>
                <w:rFonts w:hAnsi="宋体" w:cs="宋体"/>
                <w:color w:val="000000"/>
                <w:kern w:val="2"/>
                <w:sz w:val="24"/>
                <w:szCs w:val="24"/>
                <w:lang w:val="en-US" w:eastAsia="zh-CN"/>
              </w:rPr>
            </w:pPr>
          </w:p>
        </w:tc>
        <w:tc>
          <w:tcPr>
            <w:tcW w:w="1680" w:type="dxa"/>
          </w:tcPr>
          <w:p>
            <w:pPr>
              <w:pStyle w:val="13"/>
              <w:spacing w:line="480" w:lineRule="auto"/>
              <w:ind w:firstLine="496" w:firstLineChars="200"/>
              <w:jc w:val="left"/>
              <w:rPr>
                <w:rFonts w:hAnsi="宋体" w:cs="宋体"/>
                <w:color w:val="000000"/>
                <w:kern w:val="2"/>
                <w:sz w:val="24"/>
                <w:szCs w:val="24"/>
                <w:lang w:val="en-US" w:eastAsia="zh-CN"/>
              </w:rPr>
            </w:pPr>
          </w:p>
        </w:tc>
        <w:tc>
          <w:tcPr>
            <w:tcW w:w="2448" w:type="dxa"/>
          </w:tcPr>
          <w:p>
            <w:pPr>
              <w:pStyle w:val="13"/>
              <w:spacing w:line="480" w:lineRule="auto"/>
              <w:ind w:firstLine="496" w:firstLineChars="200"/>
              <w:jc w:val="left"/>
              <w:rPr>
                <w:rFonts w:hAnsi="宋体" w:cs="宋体"/>
                <w:color w:val="000000"/>
                <w:kern w:val="2"/>
                <w:sz w:val="24"/>
                <w:szCs w:val="24"/>
                <w:lang w:val="en-US" w:eastAsia="zh-CN"/>
              </w:rPr>
            </w:pPr>
          </w:p>
        </w:tc>
        <w:tc>
          <w:tcPr>
            <w:tcW w:w="2042" w:type="dxa"/>
          </w:tcPr>
          <w:p>
            <w:pPr>
              <w:pStyle w:val="13"/>
              <w:spacing w:line="480" w:lineRule="auto"/>
              <w:ind w:firstLine="496" w:firstLineChars="200"/>
              <w:jc w:val="left"/>
              <w:rPr>
                <w:rFonts w:hAnsi="宋体" w:cs="宋体"/>
                <w:color w:val="00000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13"/>
              <w:spacing w:line="480" w:lineRule="auto"/>
              <w:ind w:firstLine="496" w:firstLineChars="200"/>
              <w:jc w:val="left"/>
              <w:rPr>
                <w:rFonts w:hAnsi="宋体" w:cs="宋体"/>
                <w:color w:val="000000"/>
                <w:kern w:val="2"/>
                <w:sz w:val="24"/>
                <w:szCs w:val="24"/>
                <w:lang w:val="en-US" w:eastAsia="zh-CN"/>
              </w:rPr>
            </w:pPr>
          </w:p>
        </w:tc>
        <w:tc>
          <w:tcPr>
            <w:tcW w:w="1614" w:type="dxa"/>
          </w:tcPr>
          <w:p>
            <w:pPr>
              <w:pStyle w:val="13"/>
              <w:spacing w:line="480" w:lineRule="auto"/>
              <w:ind w:firstLine="496" w:firstLineChars="200"/>
              <w:jc w:val="left"/>
              <w:rPr>
                <w:rFonts w:hAnsi="宋体" w:cs="宋体"/>
                <w:color w:val="000000"/>
                <w:kern w:val="2"/>
                <w:sz w:val="24"/>
                <w:szCs w:val="24"/>
                <w:lang w:val="en-US" w:eastAsia="zh-CN"/>
              </w:rPr>
            </w:pPr>
          </w:p>
        </w:tc>
        <w:tc>
          <w:tcPr>
            <w:tcW w:w="1680" w:type="dxa"/>
          </w:tcPr>
          <w:p>
            <w:pPr>
              <w:pStyle w:val="13"/>
              <w:spacing w:line="480" w:lineRule="auto"/>
              <w:ind w:firstLine="496" w:firstLineChars="200"/>
              <w:jc w:val="left"/>
              <w:rPr>
                <w:rFonts w:hAnsi="宋体" w:cs="宋体"/>
                <w:color w:val="000000"/>
                <w:kern w:val="2"/>
                <w:sz w:val="24"/>
                <w:szCs w:val="24"/>
                <w:lang w:val="en-US" w:eastAsia="zh-CN"/>
              </w:rPr>
            </w:pPr>
          </w:p>
        </w:tc>
        <w:tc>
          <w:tcPr>
            <w:tcW w:w="2448" w:type="dxa"/>
          </w:tcPr>
          <w:p>
            <w:pPr>
              <w:pStyle w:val="13"/>
              <w:spacing w:line="480" w:lineRule="auto"/>
              <w:ind w:firstLine="496" w:firstLineChars="200"/>
              <w:jc w:val="left"/>
              <w:rPr>
                <w:rFonts w:hAnsi="宋体" w:cs="宋体"/>
                <w:color w:val="000000"/>
                <w:kern w:val="2"/>
                <w:sz w:val="24"/>
                <w:szCs w:val="24"/>
                <w:lang w:val="en-US" w:eastAsia="zh-CN"/>
              </w:rPr>
            </w:pPr>
          </w:p>
        </w:tc>
        <w:tc>
          <w:tcPr>
            <w:tcW w:w="2042" w:type="dxa"/>
          </w:tcPr>
          <w:p>
            <w:pPr>
              <w:pStyle w:val="13"/>
              <w:spacing w:line="480" w:lineRule="auto"/>
              <w:ind w:firstLine="496" w:firstLineChars="200"/>
              <w:jc w:val="left"/>
              <w:rPr>
                <w:rFonts w:hAnsi="宋体" w:cs="宋体"/>
                <w:color w:val="00000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96" w:type="dxa"/>
          </w:tcPr>
          <w:p>
            <w:pPr>
              <w:pStyle w:val="13"/>
              <w:spacing w:line="480" w:lineRule="auto"/>
              <w:ind w:firstLine="496" w:firstLineChars="200"/>
              <w:jc w:val="left"/>
              <w:rPr>
                <w:rFonts w:hAnsi="宋体" w:cs="宋体"/>
                <w:color w:val="000000"/>
                <w:kern w:val="2"/>
                <w:sz w:val="24"/>
                <w:szCs w:val="24"/>
                <w:lang w:val="en-US" w:eastAsia="zh-CN"/>
              </w:rPr>
            </w:pPr>
          </w:p>
        </w:tc>
        <w:tc>
          <w:tcPr>
            <w:tcW w:w="1614" w:type="dxa"/>
          </w:tcPr>
          <w:p>
            <w:pPr>
              <w:pStyle w:val="13"/>
              <w:spacing w:line="480" w:lineRule="auto"/>
              <w:ind w:firstLine="496" w:firstLineChars="200"/>
              <w:jc w:val="left"/>
              <w:rPr>
                <w:rFonts w:hAnsi="宋体" w:cs="宋体"/>
                <w:color w:val="000000"/>
                <w:kern w:val="2"/>
                <w:sz w:val="24"/>
                <w:szCs w:val="24"/>
                <w:lang w:val="en-US" w:eastAsia="zh-CN"/>
              </w:rPr>
            </w:pPr>
          </w:p>
        </w:tc>
        <w:tc>
          <w:tcPr>
            <w:tcW w:w="1680" w:type="dxa"/>
          </w:tcPr>
          <w:p>
            <w:pPr>
              <w:pStyle w:val="13"/>
              <w:spacing w:line="480" w:lineRule="auto"/>
              <w:ind w:firstLine="496" w:firstLineChars="200"/>
              <w:jc w:val="left"/>
              <w:rPr>
                <w:rFonts w:hAnsi="宋体" w:cs="宋体"/>
                <w:color w:val="000000"/>
                <w:kern w:val="2"/>
                <w:sz w:val="24"/>
                <w:szCs w:val="24"/>
                <w:lang w:val="en-US" w:eastAsia="zh-CN"/>
              </w:rPr>
            </w:pPr>
          </w:p>
        </w:tc>
        <w:tc>
          <w:tcPr>
            <w:tcW w:w="2448" w:type="dxa"/>
          </w:tcPr>
          <w:p>
            <w:pPr>
              <w:pStyle w:val="13"/>
              <w:spacing w:line="480" w:lineRule="auto"/>
              <w:ind w:firstLine="496" w:firstLineChars="200"/>
              <w:jc w:val="left"/>
              <w:rPr>
                <w:rFonts w:hAnsi="宋体" w:cs="宋体"/>
                <w:color w:val="000000"/>
                <w:kern w:val="2"/>
                <w:sz w:val="24"/>
                <w:szCs w:val="24"/>
                <w:lang w:val="en-US" w:eastAsia="zh-CN"/>
              </w:rPr>
            </w:pPr>
          </w:p>
        </w:tc>
        <w:tc>
          <w:tcPr>
            <w:tcW w:w="2042" w:type="dxa"/>
          </w:tcPr>
          <w:p>
            <w:pPr>
              <w:pStyle w:val="13"/>
              <w:spacing w:line="480" w:lineRule="auto"/>
              <w:ind w:firstLine="496" w:firstLineChars="200"/>
              <w:jc w:val="left"/>
              <w:rPr>
                <w:rFonts w:hAnsi="宋体" w:cs="宋体"/>
                <w:color w:val="000000"/>
                <w:kern w:val="2"/>
                <w:sz w:val="24"/>
                <w:szCs w:val="24"/>
                <w:lang w:val="en-US" w:eastAsia="zh-CN"/>
              </w:rPr>
            </w:pPr>
          </w:p>
        </w:tc>
      </w:tr>
    </w:tbl>
    <w:p>
      <w:pPr>
        <w:pStyle w:val="7"/>
        <w:ind w:firstLine="0"/>
        <w:rPr>
          <w:rFonts w:ascii="宋体" w:hAnsi="宋体" w:cs="宋体"/>
          <w:b/>
          <w:bCs/>
          <w:sz w:val="28"/>
          <w:szCs w:val="28"/>
        </w:rPr>
      </w:pPr>
      <w:r>
        <w:rPr>
          <w:rFonts w:hint="eastAsia" w:ascii="宋体" w:hAnsi="宋体" w:cs="宋体"/>
          <w:b/>
          <w:bCs/>
          <w:sz w:val="28"/>
          <w:szCs w:val="28"/>
        </w:rPr>
        <w:t>填写说明：供应商应逐条对招标文件第五部分</w:t>
      </w:r>
      <w:r>
        <w:rPr>
          <w:rFonts w:hint="eastAsia" w:ascii="宋体" w:hAnsi="宋体" w:cs="宋体"/>
          <w:b/>
          <w:bCs/>
          <w:sz w:val="28"/>
          <w:szCs w:val="28"/>
          <w:lang w:val="en-US" w:eastAsia="zh-CN"/>
        </w:rPr>
        <w:t>商务条款及</w:t>
      </w:r>
      <w:r>
        <w:rPr>
          <w:rFonts w:hint="eastAsia" w:ascii="宋体" w:hAnsi="宋体" w:cs="宋体"/>
          <w:b/>
          <w:bCs/>
          <w:sz w:val="28"/>
          <w:szCs w:val="28"/>
        </w:rPr>
        <w:t>采购要求的“商务条款”逐条进行响应说明，并保证响应的真实性。</w:t>
      </w:r>
    </w:p>
    <w:p>
      <w:pPr>
        <w:pStyle w:val="7"/>
        <w:ind w:firstLine="0"/>
        <w:rPr>
          <w:rFonts w:ascii="宋体" w:hAnsi="宋体" w:cs="宋体"/>
          <w:b/>
          <w:bCs/>
          <w:sz w:val="28"/>
          <w:szCs w:val="28"/>
        </w:rPr>
      </w:pPr>
      <w:r>
        <w:rPr>
          <w:rFonts w:hint="eastAsia" w:ascii="宋体" w:hAnsi="宋体" w:cs="宋体"/>
          <w:b/>
          <w:bCs/>
          <w:sz w:val="28"/>
          <w:szCs w:val="28"/>
        </w:rPr>
        <w:t>偏差说明填写：正偏离（标明正偏离内容）、符合。</w:t>
      </w:r>
    </w:p>
    <w:p>
      <w:pPr>
        <w:pStyle w:val="7"/>
        <w:ind w:firstLine="0"/>
        <w:rPr>
          <w:rFonts w:hint="eastAsia" w:ascii="宋体" w:hAnsi="宋体" w:cs="宋体"/>
          <w:b/>
          <w:bCs/>
          <w:sz w:val="28"/>
          <w:szCs w:val="28"/>
        </w:rPr>
      </w:pPr>
      <w:r>
        <w:rPr>
          <w:rFonts w:hint="eastAsia" w:ascii="宋体" w:hAnsi="宋体" w:cs="宋体"/>
          <w:b/>
          <w:bCs/>
          <w:sz w:val="28"/>
          <w:szCs w:val="28"/>
        </w:rPr>
        <w:t>商务条款不允许负偏离；</w:t>
      </w:r>
    </w:p>
    <w:p>
      <w:pPr>
        <w:pStyle w:val="7"/>
        <w:ind w:firstLine="0"/>
        <w:rPr>
          <w:rFonts w:ascii="宋体" w:hAnsi="宋体" w:cs="宋体"/>
          <w:sz w:val="28"/>
          <w:szCs w:val="28"/>
        </w:rPr>
      </w:pPr>
      <w:r>
        <w:rPr>
          <w:rFonts w:hint="eastAsia" w:ascii="宋体" w:hAnsi="宋体" w:cs="宋体"/>
          <w:b/>
          <w:bCs/>
          <w:sz w:val="28"/>
          <w:szCs w:val="28"/>
        </w:rPr>
        <w:t>如未填写完整，视为全部响应；</w:t>
      </w:r>
    </w:p>
    <w:p>
      <w:pPr>
        <w:pStyle w:val="7"/>
        <w:ind w:firstLine="0"/>
        <w:rPr>
          <w:rFonts w:ascii="宋体" w:hAnsi="宋体"/>
          <w:color w:val="000000"/>
          <w:sz w:val="24"/>
          <w:szCs w:val="24"/>
        </w:rPr>
      </w:pPr>
    </w:p>
    <w:p>
      <w:pPr>
        <w:adjustRightInd w:val="0"/>
        <w:snapToGrid w:val="0"/>
        <w:spacing w:line="480" w:lineRule="auto"/>
        <w:jc w:val="left"/>
        <w:rPr>
          <w:rFonts w:ascii="宋体" w:hAnsi="宋体" w:cs="宋体"/>
          <w:color w:val="000000"/>
          <w:sz w:val="24"/>
          <w:szCs w:val="24"/>
        </w:rPr>
      </w:pPr>
    </w:p>
    <w:p>
      <w:pPr>
        <w:adjustRightInd w:val="0"/>
        <w:snapToGrid w:val="0"/>
        <w:spacing w:line="480" w:lineRule="auto"/>
        <w:jc w:val="left"/>
        <w:rPr>
          <w:rFonts w:ascii="宋体" w:hAnsi="宋体" w:cs="宋体"/>
          <w:color w:val="000000"/>
          <w:sz w:val="24"/>
          <w:szCs w:val="24"/>
          <w:u w:val="single"/>
        </w:rPr>
      </w:pPr>
      <w:r>
        <w:rPr>
          <w:rFonts w:hint="eastAsia" w:ascii="宋体" w:hAnsi="宋体" w:cs="宋体"/>
          <w:color w:val="000000"/>
          <w:sz w:val="24"/>
          <w:szCs w:val="24"/>
        </w:rPr>
        <w:t>供应商（单位名称及公章）：</w:t>
      </w:r>
    </w:p>
    <w:p>
      <w:pPr>
        <w:adjustRightInd w:val="0"/>
        <w:snapToGrid w:val="0"/>
        <w:spacing w:line="480" w:lineRule="auto"/>
        <w:rPr>
          <w:rFonts w:ascii="宋体" w:hAnsi="宋体" w:cs="宋体"/>
          <w:color w:val="000000"/>
          <w:sz w:val="24"/>
          <w:szCs w:val="24"/>
        </w:rPr>
      </w:pPr>
      <w:r>
        <w:rPr>
          <w:rFonts w:hint="eastAsia" w:ascii="宋体" w:hAnsi="宋体" w:cs="宋体"/>
          <w:color w:val="000000"/>
          <w:sz w:val="24"/>
          <w:szCs w:val="24"/>
        </w:rPr>
        <w:t>法定代表人或被授权人（签字或盖章）：</w:t>
      </w:r>
    </w:p>
    <w:p>
      <w:pPr>
        <w:adjustRightInd w:val="0"/>
        <w:snapToGrid w:val="0"/>
        <w:spacing w:line="480" w:lineRule="auto"/>
        <w:rPr>
          <w:rFonts w:ascii="宋体" w:hAnsi="宋体"/>
          <w:color w:val="000000"/>
          <w:sz w:val="24"/>
          <w:szCs w:val="24"/>
        </w:rPr>
        <w:sectPr>
          <w:pgSz w:w="11906" w:h="16838"/>
          <w:pgMar w:top="1440" w:right="1803" w:bottom="1440" w:left="1803" w:header="850" w:footer="992" w:gutter="0"/>
          <w:cols w:space="720" w:num="1"/>
          <w:titlePg/>
          <w:docGrid w:type="linesAndChars" w:linePitch="395" w:charSpace="1724"/>
        </w:sectPr>
      </w:pPr>
      <w:r>
        <w:rPr>
          <w:rFonts w:hint="eastAsia" w:ascii="宋体" w:hAnsi="宋体" w:cs="宋体"/>
          <w:color w:val="000000"/>
          <w:sz w:val="24"/>
          <w:szCs w:val="24"/>
        </w:rPr>
        <w:t>日    期：年月日</w:t>
      </w:r>
    </w:p>
    <w:p>
      <w:pPr>
        <w:pStyle w:val="25"/>
        <w:ind w:firstLine="288"/>
        <w:rPr>
          <w:rFonts w:ascii="宋体" w:hAnsi="宋体" w:cs="宋体"/>
          <w:color w:val="000000"/>
          <w:sz w:val="28"/>
          <w:szCs w:val="28"/>
        </w:rPr>
      </w:pPr>
      <w:r>
        <w:rPr>
          <w:rFonts w:hint="eastAsia" w:ascii="宋体" w:hAnsi="宋体" w:cs="宋体"/>
          <w:color w:val="000000"/>
          <w:sz w:val="28"/>
          <w:szCs w:val="28"/>
        </w:rPr>
        <w:t>表2、服务响应偏差表</w:t>
      </w:r>
    </w:p>
    <w:tbl>
      <w:tblPr>
        <w:tblStyle w:val="27"/>
        <w:tblW w:w="82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2248"/>
        <w:gridCol w:w="1755"/>
        <w:gridCol w:w="1830"/>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938" w:type="dxa"/>
            <w:vAlign w:val="center"/>
          </w:tcPr>
          <w:p>
            <w:pPr>
              <w:pStyle w:val="13"/>
              <w:spacing w:line="480" w:lineRule="auto"/>
              <w:jc w:val="center"/>
              <w:rPr>
                <w:rFonts w:hAnsi="宋体" w:cs="宋体"/>
                <w:color w:val="000000"/>
                <w:kern w:val="2"/>
                <w:sz w:val="24"/>
                <w:szCs w:val="24"/>
                <w:lang w:val="en-US" w:eastAsia="zh-CN"/>
              </w:rPr>
            </w:pPr>
            <w:r>
              <w:rPr>
                <w:rFonts w:hint="eastAsia" w:hAnsi="宋体" w:cs="宋体"/>
                <w:color w:val="000000"/>
                <w:kern w:val="2"/>
                <w:sz w:val="24"/>
                <w:szCs w:val="24"/>
                <w:lang w:val="en-US" w:eastAsia="zh-CN"/>
              </w:rPr>
              <w:t>序号</w:t>
            </w:r>
          </w:p>
        </w:tc>
        <w:tc>
          <w:tcPr>
            <w:tcW w:w="2248" w:type="dxa"/>
            <w:vAlign w:val="center"/>
          </w:tcPr>
          <w:p>
            <w:pPr>
              <w:pStyle w:val="13"/>
              <w:spacing w:line="480" w:lineRule="auto"/>
              <w:ind w:firstLine="496" w:firstLineChars="200"/>
              <w:rPr>
                <w:rFonts w:hAnsi="宋体" w:cs="宋体"/>
                <w:color w:val="000000"/>
                <w:kern w:val="2"/>
                <w:sz w:val="24"/>
                <w:szCs w:val="24"/>
                <w:lang w:val="en-US" w:eastAsia="zh-CN"/>
              </w:rPr>
            </w:pPr>
            <w:r>
              <w:rPr>
                <w:rFonts w:hint="eastAsia" w:hAnsi="宋体" w:cs="宋体"/>
                <w:color w:val="000000"/>
                <w:kern w:val="2"/>
                <w:sz w:val="24"/>
                <w:szCs w:val="24"/>
                <w:lang w:val="en-US" w:eastAsia="zh-CN"/>
              </w:rPr>
              <w:t>文件要求</w:t>
            </w:r>
          </w:p>
          <w:p>
            <w:pPr>
              <w:pStyle w:val="13"/>
              <w:spacing w:line="480" w:lineRule="auto"/>
              <w:ind w:firstLine="496" w:firstLineChars="200"/>
              <w:rPr>
                <w:rFonts w:hAnsi="宋体" w:cs="宋体"/>
                <w:color w:val="000000"/>
                <w:kern w:val="2"/>
                <w:sz w:val="24"/>
                <w:szCs w:val="24"/>
                <w:lang w:val="en-US" w:eastAsia="zh-CN"/>
              </w:rPr>
            </w:pPr>
            <w:r>
              <w:rPr>
                <w:rFonts w:hint="eastAsia" w:hAnsi="宋体" w:cs="宋体"/>
                <w:color w:val="000000"/>
                <w:kern w:val="2"/>
                <w:sz w:val="24"/>
                <w:szCs w:val="24"/>
                <w:lang w:val="en-US" w:eastAsia="zh-CN"/>
              </w:rPr>
              <w:t>服务要求</w:t>
            </w:r>
          </w:p>
        </w:tc>
        <w:tc>
          <w:tcPr>
            <w:tcW w:w="1755" w:type="dxa"/>
            <w:vAlign w:val="center"/>
          </w:tcPr>
          <w:p>
            <w:pPr>
              <w:pStyle w:val="13"/>
              <w:spacing w:line="480" w:lineRule="auto"/>
              <w:ind w:firstLine="496" w:firstLineChars="200"/>
              <w:rPr>
                <w:rFonts w:hAnsi="宋体" w:cs="宋体"/>
                <w:color w:val="000000"/>
                <w:kern w:val="2"/>
                <w:sz w:val="24"/>
                <w:szCs w:val="24"/>
                <w:lang w:val="en-US" w:eastAsia="zh-CN"/>
              </w:rPr>
            </w:pPr>
            <w:r>
              <w:rPr>
                <w:rFonts w:hint="eastAsia" w:hAnsi="宋体" w:cs="宋体"/>
                <w:color w:val="000000"/>
                <w:kern w:val="2"/>
                <w:sz w:val="24"/>
                <w:szCs w:val="24"/>
                <w:lang w:val="en-US" w:eastAsia="zh-CN"/>
              </w:rPr>
              <w:t>响应文件</w:t>
            </w:r>
          </w:p>
          <w:p>
            <w:pPr>
              <w:pStyle w:val="13"/>
              <w:spacing w:line="480" w:lineRule="auto"/>
              <w:ind w:firstLine="496" w:firstLineChars="200"/>
              <w:rPr>
                <w:rFonts w:hAnsi="宋体" w:cs="宋体"/>
                <w:color w:val="000000"/>
                <w:kern w:val="2"/>
                <w:sz w:val="24"/>
                <w:szCs w:val="24"/>
                <w:lang w:val="en-US" w:eastAsia="zh-CN"/>
              </w:rPr>
            </w:pPr>
            <w:r>
              <w:rPr>
                <w:rFonts w:hint="eastAsia" w:hAnsi="宋体" w:cs="宋体"/>
                <w:color w:val="000000"/>
                <w:kern w:val="2"/>
                <w:sz w:val="24"/>
                <w:szCs w:val="24"/>
                <w:lang w:val="en-US" w:eastAsia="zh-CN"/>
              </w:rPr>
              <w:t>服务内容</w:t>
            </w:r>
          </w:p>
        </w:tc>
        <w:tc>
          <w:tcPr>
            <w:tcW w:w="1830" w:type="dxa"/>
            <w:vAlign w:val="center"/>
          </w:tcPr>
          <w:p>
            <w:pPr>
              <w:pStyle w:val="13"/>
              <w:spacing w:line="480" w:lineRule="auto"/>
              <w:rPr>
                <w:rFonts w:hAnsi="宋体" w:cs="宋体"/>
                <w:color w:val="000000"/>
                <w:kern w:val="2"/>
                <w:sz w:val="24"/>
                <w:szCs w:val="24"/>
                <w:lang w:val="en-US" w:eastAsia="zh-CN"/>
              </w:rPr>
            </w:pPr>
            <w:r>
              <w:rPr>
                <w:rFonts w:hint="eastAsia" w:hAnsi="宋体" w:cs="宋体"/>
                <w:color w:val="000000"/>
                <w:kern w:val="2"/>
                <w:sz w:val="24"/>
                <w:szCs w:val="24"/>
                <w:lang w:val="en-US" w:eastAsia="zh-CN"/>
              </w:rPr>
              <w:t>偏差说明</w:t>
            </w:r>
          </w:p>
        </w:tc>
        <w:tc>
          <w:tcPr>
            <w:tcW w:w="1500" w:type="dxa"/>
            <w:vAlign w:val="center"/>
          </w:tcPr>
          <w:p>
            <w:pPr>
              <w:pStyle w:val="13"/>
              <w:spacing w:line="480" w:lineRule="auto"/>
              <w:rPr>
                <w:rFonts w:hAnsi="宋体" w:cs="宋体"/>
                <w:color w:val="000000"/>
                <w:kern w:val="2"/>
                <w:sz w:val="24"/>
                <w:szCs w:val="24"/>
                <w:lang w:val="en-US" w:eastAsia="zh-CN"/>
              </w:rPr>
            </w:pPr>
            <w:r>
              <w:rPr>
                <w:rFonts w:hint="eastAsia" w:hAnsi="宋体" w:cs="宋体"/>
                <w:color w:val="000000"/>
                <w:kern w:val="2"/>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13"/>
              <w:spacing w:line="480" w:lineRule="auto"/>
              <w:ind w:firstLine="496" w:firstLineChars="200"/>
              <w:jc w:val="left"/>
              <w:rPr>
                <w:rFonts w:hAnsi="宋体" w:cs="宋体"/>
                <w:color w:val="000000"/>
                <w:kern w:val="2"/>
                <w:sz w:val="24"/>
                <w:szCs w:val="24"/>
                <w:lang w:val="en-US" w:eastAsia="zh-CN"/>
              </w:rPr>
            </w:pPr>
          </w:p>
        </w:tc>
        <w:tc>
          <w:tcPr>
            <w:tcW w:w="2248" w:type="dxa"/>
            <w:vAlign w:val="center"/>
          </w:tcPr>
          <w:p>
            <w:pPr>
              <w:pStyle w:val="13"/>
              <w:spacing w:line="480" w:lineRule="auto"/>
              <w:ind w:firstLine="496" w:firstLineChars="200"/>
              <w:jc w:val="left"/>
              <w:rPr>
                <w:rFonts w:hAnsi="宋体" w:cs="宋体"/>
                <w:color w:val="000000"/>
                <w:kern w:val="2"/>
                <w:sz w:val="24"/>
                <w:szCs w:val="24"/>
                <w:lang w:val="en-US" w:eastAsia="zh-CN"/>
              </w:rPr>
            </w:pPr>
          </w:p>
        </w:tc>
        <w:tc>
          <w:tcPr>
            <w:tcW w:w="1755" w:type="dxa"/>
            <w:vAlign w:val="center"/>
          </w:tcPr>
          <w:p>
            <w:pPr>
              <w:pStyle w:val="13"/>
              <w:spacing w:line="480" w:lineRule="auto"/>
              <w:ind w:firstLine="496" w:firstLineChars="200"/>
              <w:jc w:val="left"/>
              <w:rPr>
                <w:rFonts w:hAnsi="宋体" w:cs="宋体"/>
                <w:color w:val="000000"/>
                <w:kern w:val="2"/>
                <w:sz w:val="24"/>
                <w:szCs w:val="24"/>
                <w:lang w:val="en-US" w:eastAsia="zh-CN"/>
              </w:rPr>
            </w:pPr>
          </w:p>
        </w:tc>
        <w:tc>
          <w:tcPr>
            <w:tcW w:w="1830" w:type="dxa"/>
            <w:vAlign w:val="center"/>
          </w:tcPr>
          <w:p>
            <w:pPr>
              <w:pStyle w:val="13"/>
              <w:spacing w:line="480" w:lineRule="auto"/>
              <w:ind w:firstLine="496" w:firstLineChars="200"/>
              <w:jc w:val="left"/>
              <w:rPr>
                <w:rFonts w:hAnsi="宋体" w:cs="宋体"/>
                <w:color w:val="000000"/>
                <w:kern w:val="2"/>
                <w:sz w:val="24"/>
                <w:szCs w:val="24"/>
                <w:lang w:val="en-US" w:eastAsia="zh-CN"/>
              </w:rPr>
            </w:pPr>
          </w:p>
        </w:tc>
        <w:tc>
          <w:tcPr>
            <w:tcW w:w="1500" w:type="dxa"/>
            <w:vAlign w:val="center"/>
          </w:tcPr>
          <w:p>
            <w:pPr>
              <w:pStyle w:val="13"/>
              <w:spacing w:line="480" w:lineRule="auto"/>
              <w:ind w:firstLine="496" w:firstLineChars="200"/>
              <w:jc w:val="left"/>
              <w:rPr>
                <w:rFonts w:hAnsi="宋体" w:cs="宋体"/>
                <w:color w:val="00000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13"/>
              <w:spacing w:line="480" w:lineRule="auto"/>
              <w:ind w:firstLine="496" w:firstLineChars="200"/>
              <w:jc w:val="left"/>
              <w:rPr>
                <w:rFonts w:hAnsi="宋体" w:cs="宋体"/>
                <w:color w:val="000000"/>
                <w:kern w:val="2"/>
                <w:sz w:val="24"/>
                <w:szCs w:val="24"/>
                <w:lang w:val="en-US" w:eastAsia="zh-CN"/>
              </w:rPr>
            </w:pPr>
          </w:p>
        </w:tc>
        <w:tc>
          <w:tcPr>
            <w:tcW w:w="2248" w:type="dxa"/>
          </w:tcPr>
          <w:p>
            <w:pPr>
              <w:pStyle w:val="13"/>
              <w:spacing w:line="480" w:lineRule="auto"/>
              <w:ind w:firstLine="496" w:firstLineChars="200"/>
              <w:jc w:val="left"/>
              <w:rPr>
                <w:rFonts w:hAnsi="宋体" w:cs="宋体"/>
                <w:color w:val="000000"/>
                <w:kern w:val="2"/>
                <w:sz w:val="24"/>
                <w:szCs w:val="24"/>
                <w:lang w:val="en-US" w:eastAsia="zh-CN"/>
              </w:rPr>
            </w:pPr>
          </w:p>
        </w:tc>
        <w:tc>
          <w:tcPr>
            <w:tcW w:w="1755" w:type="dxa"/>
          </w:tcPr>
          <w:p>
            <w:pPr>
              <w:pStyle w:val="13"/>
              <w:spacing w:line="480" w:lineRule="auto"/>
              <w:ind w:firstLine="496" w:firstLineChars="200"/>
              <w:jc w:val="left"/>
              <w:rPr>
                <w:rFonts w:hAnsi="宋体" w:cs="宋体"/>
                <w:color w:val="000000"/>
                <w:kern w:val="2"/>
                <w:sz w:val="24"/>
                <w:szCs w:val="24"/>
                <w:lang w:val="en-US" w:eastAsia="zh-CN"/>
              </w:rPr>
            </w:pPr>
          </w:p>
        </w:tc>
        <w:tc>
          <w:tcPr>
            <w:tcW w:w="1830" w:type="dxa"/>
          </w:tcPr>
          <w:p>
            <w:pPr>
              <w:pStyle w:val="13"/>
              <w:spacing w:line="480" w:lineRule="auto"/>
              <w:ind w:firstLine="496" w:firstLineChars="200"/>
              <w:jc w:val="left"/>
              <w:rPr>
                <w:rFonts w:hAnsi="宋体" w:cs="宋体"/>
                <w:color w:val="000000"/>
                <w:kern w:val="2"/>
                <w:sz w:val="24"/>
                <w:szCs w:val="24"/>
                <w:lang w:val="en-US" w:eastAsia="zh-CN"/>
              </w:rPr>
            </w:pPr>
          </w:p>
        </w:tc>
        <w:tc>
          <w:tcPr>
            <w:tcW w:w="1500" w:type="dxa"/>
          </w:tcPr>
          <w:p>
            <w:pPr>
              <w:pStyle w:val="13"/>
              <w:spacing w:line="480" w:lineRule="auto"/>
              <w:ind w:firstLine="496" w:firstLineChars="200"/>
              <w:jc w:val="left"/>
              <w:rPr>
                <w:rFonts w:hAnsi="宋体" w:cs="宋体"/>
                <w:color w:val="00000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13"/>
              <w:spacing w:line="480" w:lineRule="auto"/>
              <w:ind w:firstLine="496" w:firstLineChars="200"/>
              <w:jc w:val="left"/>
              <w:rPr>
                <w:rFonts w:hAnsi="宋体" w:cs="宋体"/>
                <w:color w:val="000000"/>
                <w:kern w:val="2"/>
                <w:sz w:val="24"/>
                <w:szCs w:val="24"/>
                <w:lang w:val="en-US" w:eastAsia="zh-CN"/>
              </w:rPr>
            </w:pPr>
          </w:p>
        </w:tc>
        <w:tc>
          <w:tcPr>
            <w:tcW w:w="2248" w:type="dxa"/>
          </w:tcPr>
          <w:p>
            <w:pPr>
              <w:pStyle w:val="13"/>
              <w:spacing w:line="480" w:lineRule="auto"/>
              <w:ind w:firstLine="496" w:firstLineChars="200"/>
              <w:jc w:val="left"/>
              <w:rPr>
                <w:rFonts w:hAnsi="宋体" w:cs="宋体"/>
                <w:color w:val="000000"/>
                <w:kern w:val="2"/>
                <w:sz w:val="24"/>
                <w:szCs w:val="24"/>
                <w:lang w:val="en-US" w:eastAsia="zh-CN"/>
              </w:rPr>
            </w:pPr>
          </w:p>
        </w:tc>
        <w:tc>
          <w:tcPr>
            <w:tcW w:w="1755" w:type="dxa"/>
          </w:tcPr>
          <w:p>
            <w:pPr>
              <w:pStyle w:val="13"/>
              <w:spacing w:line="480" w:lineRule="auto"/>
              <w:ind w:firstLine="496" w:firstLineChars="200"/>
              <w:jc w:val="left"/>
              <w:rPr>
                <w:rFonts w:hAnsi="宋体" w:cs="宋体"/>
                <w:color w:val="000000"/>
                <w:kern w:val="2"/>
                <w:sz w:val="24"/>
                <w:szCs w:val="24"/>
                <w:lang w:val="en-US" w:eastAsia="zh-CN"/>
              </w:rPr>
            </w:pPr>
          </w:p>
        </w:tc>
        <w:tc>
          <w:tcPr>
            <w:tcW w:w="1830" w:type="dxa"/>
          </w:tcPr>
          <w:p>
            <w:pPr>
              <w:pStyle w:val="13"/>
              <w:spacing w:line="480" w:lineRule="auto"/>
              <w:ind w:firstLine="496" w:firstLineChars="200"/>
              <w:jc w:val="left"/>
              <w:rPr>
                <w:rFonts w:hAnsi="宋体" w:cs="宋体"/>
                <w:color w:val="000000"/>
                <w:kern w:val="2"/>
                <w:sz w:val="24"/>
                <w:szCs w:val="24"/>
                <w:lang w:val="en-US" w:eastAsia="zh-CN"/>
              </w:rPr>
            </w:pPr>
          </w:p>
        </w:tc>
        <w:tc>
          <w:tcPr>
            <w:tcW w:w="1500" w:type="dxa"/>
          </w:tcPr>
          <w:p>
            <w:pPr>
              <w:pStyle w:val="13"/>
              <w:spacing w:line="480" w:lineRule="auto"/>
              <w:ind w:firstLine="496" w:firstLineChars="200"/>
              <w:jc w:val="left"/>
              <w:rPr>
                <w:rFonts w:hAnsi="宋体" w:cs="宋体"/>
                <w:color w:val="00000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13"/>
              <w:spacing w:line="480" w:lineRule="auto"/>
              <w:ind w:firstLine="496" w:firstLineChars="200"/>
              <w:jc w:val="left"/>
              <w:rPr>
                <w:rFonts w:hAnsi="宋体" w:cs="宋体"/>
                <w:color w:val="000000"/>
                <w:kern w:val="2"/>
                <w:sz w:val="24"/>
                <w:szCs w:val="24"/>
                <w:lang w:val="en-US" w:eastAsia="zh-CN"/>
              </w:rPr>
            </w:pPr>
          </w:p>
        </w:tc>
        <w:tc>
          <w:tcPr>
            <w:tcW w:w="2248" w:type="dxa"/>
          </w:tcPr>
          <w:p>
            <w:pPr>
              <w:pStyle w:val="13"/>
              <w:spacing w:line="480" w:lineRule="auto"/>
              <w:ind w:firstLine="496" w:firstLineChars="200"/>
              <w:jc w:val="left"/>
              <w:rPr>
                <w:rFonts w:hAnsi="宋体" w:cs="宋体"/>
                <w:color w:val="000000"/>
                <w:kern w:val="2"/>
                <w:sz w:val="24"/>
                <w:szCs w:val="24"/>
                <w:lang w:val="en-US" w:eastAsia="zh-CN"/>
              </w:rPr>
            </w:pPr>
          </w:p>
        </w:tc>
        <w:tc>
          <w:tcPr>
            <w:tcW w:w="1755" w:type="dxa"/>
          </w:tcPr>
          <w:p>
            <w:pPr>
              <w:pStyle w:val="13"/>
              <w:spacing w:line="480" w:lineRule="auto"/>
              <w:ind w:firstLine="496" w:firstLineChars="200"/>
              <w:jc w:val="left"/>
              <w:rPr>
                <w:rFonts w:hAnsi="宋体" w:cs="宋体"/>
                <w:color w:val="000000"/>
                <w:kern w:val="2"/>
                <w:sz w:val="24"/>
                <w:szCs w:val="24"/>
                <w:lang w:val="en-US" w:eastAsia="zh-CN"/>
              </w:rPr>
            </w:pPr>
          </w:p>
        </w:tc>
        <w:tc>
          <w:tcPr>
            <w:tcW w:w="1830" w:type="dxa"/>
          </w:tcPr>
          <w:p>
            <w:pPr>
              <w:pStyle w:val="13"/>
              <w:spacing w:line="480" w:lineRule="auto"/>
              <w:ind w:firstLine="496" w:firstLineChars="200"/>
              <w:jc w:val="left"/>
              <w:rPr>
                <w:rFonts w:hAnsi="宋体" w:cs="宋体"/>
                <w:color w:val="000000"/>
                <w:kern w:val="2"/>
                <w:sz w:val="24"/>
                <w:szCs w:val="24"/>
                <w:lang w:val="en-US" w:eastAsia="zh-CN"/>
              </w:rPr>
            </w:pPr>
          </w:p>
        </w:tc>
        <w:tc>
          <w:tcPr>
            <w:tcW w:w="1500" w:type="dxa"/>
          </w:tcPr>
          <w:p>
            <w:pPr>
              <w:pStyle w:val="13"/>
              <w:spacing w:line="480" w:lineRule="auto"/>
              <w:ind w:firstLine="496" w:firstLineChars="200"/>
              <w:jc w:val="left"/>
              <w:rPr>
                <w:rFonts w:hAnsi="宋体" w:cs="宋体"/>
                <w:color w:val="00000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13"/>
              <w:spacing w:line="480" w:lineRule="auto"/>
              <w:ind w:firstLine="496" w:firstLineChars="200"/>
              <w:jc w:val="left"/>
              <w:rPr>
                <w:rFonts w:hAnsi="宋体" w:cs="宋体"/>
                <w:color w:val="000000"/>
                <w:kern w:val="2"/>
                <w:sz w:val="24"/>
                <w:szCs w:val="24"/>
                <w:lang w:val="en-US" w:eastAsia="zh-CN"/>
              </w:rPr>
            </w:pPr>
          </w:p>
        </w:tc>
        <w:tc>
          <w:tcPr>
            <w:tcW w:w="2248" w:type="dxa"/>
          </w:tcPr>
          <w:p>
            <w:pPr>
              <w:pStyle w:val="13"/>
              <w:spacing w:line="480" w:lineRule="auto"/>
              <w:ind w:firstLine="496" w:firstLineChars="200"/>
              <w:jc w:val="left"/>
              <w:rPr>
                <w:rFonts w:hAnsi="宋体" w:cs="宋体"/>
                <w:color w:val="000000"/>
                <w:kern w:val="2"/>
                <w:sz w:val="24"/>
                <w:szCs w:val="24"/>
                <w:lang w:val="en-US" w:eastAsia="zh-CN"/>
              </w:rPr>
            </w:pPr>
          </w:p>
        </w:tc>
        <w:tc>
          <w:tcPr>
            <w:tcW w:w="1755" w:type="dxa"/>
          </w:tcPr>
          <w:p>
            <w:pPr>
              <w:pStyle w:val="13"/>
              <w:spacing w:line="480" w:lineRule="auto"/>
              <w:ind w:firstLine="496" w:firstLineChars="200"/>
              <w:jc w:val="left"/>
              <w:rPr>
                <w:rFonts w:hAnsi="宋体" w:cs="宋体"/>
                <w:color w:val="000000"/>
                <w:kern w:val="2"/>
                <w:sz w:val="24"/>
                <w:szCs w:val="24"/>
                <w:lang w:val="en-US" w:eastAsia="zh-CN"/>
              </w:rPr>
            </w:pPr>
          </w:p>
        </w:tc>
        <w:tc>
          <w:tcPr>
            <w:tcW w:w="1830" w:type="dxa"/>
          </w:tcPr>
          <w:p>
            <w:pPr>
              <w:pStyle w:val="13"/>
              <w:spacing w:line="480" w:lineRule="auto"/>
              <w:ind w:firstLine="496" w:firstLineChars="200"/>
              <w:jc w:val="left"/>
              <w:rPr>
                <w:rFonts w:hAnsi="宋体" w:cs="宋体"/>
                <w:color w:val="000000"/>
                <w:kern w:val="2"/>
                <w:sz w:val="24"/>
                <w:szCs w:val="24"/>
                <w:lang w:val="en-US" w:eastAsia="zh-CN"/>
              </w:rPr>
            </w:pPr>
          </w:p>
        </w:tc>
        <w:tc>
          <w:tcPr>
            <w:tcW w:w="1500" w:type="dxa"/>
          </w:tcPr>
          <w:p>
            <w:pPr>
              <w:pStyle w:val="13"/>
              <w:spacing w:line="480" w:lineRule="auto"/>
              <w:ind w:firstLine="496" w:firstLineChars="200"/>
              <w:jc w:val="left"/>
              <w:rPr>
                <w:rFonts w:hAnsi="宋体" w:cs="宋体"/>
                <w:color w:val="00000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13"/>
              <w:spacing w:line="480" w:lineRule="auto"/>
              <w:ind w:firstLine="496" w:firstLineChars="200"/>
              <w:jc w:val="left"/>
              <w:rPr>
                <w:rFonts w:hAnsi="宋体" w:cs="宋体"/>
                <w:color w:val="000000"/>
                <w:kern w:val="2"/>
                <w:sz w:val="24"/>
                <w:szCs w:val="24"/>
                <w:lang w:val="en-US" w:eastAsia="zh-CN"/>
              </w:rPr>
            </w:pPr>
          </w:p>
        </w:tc>
        <w:tc>
          <w:tcPr>
            <w:tcW w:w="2248" w:type="dxa"/>
          </w:tcPr>
          <w:p>
            <w:pPr>
              <w:pStyle w:val="13"/>
              <w:spacing w:line="480" w:lineRule="auto"/>
              <w:ind w:firstLine="496" w:firstLineChars="200"/>
              <w:jc w:val="left"/>
              <w:rPr>
                <w:rFonts w:hAnsi="宋体" w:cs="宋体"/>
                <w:color w:val="000000"/>
                <w:kern w:val="2"/>
                <w:sz w:val="24"/>
                <w:szCs w:val="24"/>
                <w:lang w:val="en-US" w:eastAsia="zh-CN"/>
              </w:rPr>
            </w:pPr>
          </w:p>
        </w:tc>
        <w:tc>
          <w:tcPr>
            <w:tcW w:w="1755" w:type="dxa"/>
          </w:tcPr>
          <w:p>
            <w:pPr>
              <w:pStyle w:val="13"/>
              <w:spacing w:line="480" w:lineRule="auto"/>
              <w:ind w:firstLine="496" w:firstLineChars="200"/>
              <w:jc w:val="left"/>
              <w:rPr>
                <w:rFonts w:hAnsi="宋体" w:cs="宋体"/>
                <w:color w:val="000000"/>
                <w:kern w:val="2"/>
                <w:sz w:val="24"/>
                <w:szCs w:val="24"/>
                <w:lang w:val="en-US" w:eastAsia="zh-CN"/>
              </w:rPr>
            </w:pPr>
          </w:p>
        </w:tc>
        <w:tc>
          <w:tcPr>
            <w:tcW w:w="1830" w:type="dxa"/>
          </w:tcPr>
          <w:p>
            <w:pPr>
              <w:pStyle w:val="13"/>
              <w:spacing w:line="480" w:lineRule="auto"/>
              <w:ind w:firstLine="496" w:firstLineChars="200"/>
              <w:jc w:val="left"/>
              <w:rPr>
                <w:rFonts w:hAnsi="宋体" w:cs="宋体"/>
                <w:color w:val="000000"/>
                <w:kern w:val="2"/>
                <w:sz w:val="24"/>
                <w:szCs w:val="24"/>
                <w:lang w:val="en-US" w:eastAsia="zh-CN"/>
              </w:rPr>
            </w:pPr>
          </w:p>
        </w:tc>
        <w:tc>
          <w:tcPr>
            <w:tcW w:w="1500" w:type="dxa"/>
          </w:tcPr>
          <w:p>
            <w:pPr>
              <w:pStyle w:val="13"/>
              <w:spacing w:line="480" w:lineRule="auto"/>
              <w:ind w:firstLine="496" w:firstLineChars="200"/>
              <w:jc w:val="left"/>
              <w:rPr>
                <w:rFonts w:hAnsi="宋体" w:cs="宋体"/>
                <w:color w:val="00000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13"/>
              <w:spacing w:line="480" w:lineRule="auto"/>
              <w:ind w:firstLine="496" w:firstLineChars="200"/>
              <w:jc w:val="left"/>
              <w:rPr>
                <w:rFonts w:hAnsi="宋体" w:cs="宋体"/>
                <w:color w:val="000000"/>
                <w:kern w:val="2"/>
                <w:sz w:val="24"/>
                <w:szCs w:val="24"/>
                <w:lang w:val="en-US" w:eastAsia="zh-CN"/>
              </w:rPr>
            </w:pPr>
          </w:p>
        </w:tc>
        <w:tc>
          <w:tcPr>
            <w:tcW w:w="2248" w:type="dxa"/>
          </w:tcPr>
          <w:p>
            <w:pPr>
              <w:pStyle w:val="13"/>
              <w:spacing w:line="480" w:lineRule="auto"/>
              <w:ind w:firstLine="496" w:firstLineChars="200"/>
              <w:jc w:val="left"/>
              <w:rPr>
                <w:rFonts w:hAnsi="宋体" w:cs="宋体"/>
                <w:color w:val="000000"/>
                <w:kern w:val="2"/>
                <w:sz w:val="24"/>
                <w:szCs w:val="24"/>
                <w:lang w:val="en-US" w:eastAsia="zh-CN"/>
              </w:rPr>
            </w:pPr>
          </w:p>
        </w:tc>
        <w:tc>
          <w:tcPr>
            <w:tcW w:w="1755" w:type="dxa"/>
          </w:tcPr>
          <w:p>
            <w:pPr>
              <w:pStyle w:val="13"/>
              <w:spacing w:line="480" w:lineRule="auto"/>
              <w:ind w:firstLine="496" w:firstLineChars="200"/>
              <w:jc w:val="left"/>
              <w:rPr>
                <w:rFonts w:hAnsi="宋体" w:cs="宋体"/>
                <w:color w:val="000000"/>
                <w:kern w:val="2"/>
                <w:sz w:val="24"/>
                <w:szCs w:val="24"/>
                <w:lang w:val="en-US" w:eastAsia="zh-CN"/>
              </w:rPr>
            </w:pPr>
          </w:p>
        </w:tc>
        <w:tc>
          <w:tcPr>
            <w:tcW w:w="1830" w:type="dxa"/>
          </w:tcPr>
          <w:p>
            <w:pPr>
              <w:pStyle w:val="13"/>
              <w:spacing w:line="480" w:lineRule="auto"/>
              <w:ind w:firstLine="496" w:firstLineChars="200"/>
              <w:jc w:val="left"/>
              <w:rPr>
                <w:rFonts w:hAnsi="宋体" w:cs="宋体"/>
                <w:color w:val="000000"/>
                <w:kern w:val="2"/>
                <w:sz w:val="24"/>
                <w:szCs w:val="24"/>
                <w:lang w:val="en-US" w:eastAsia="zh-CN"/>
              </w:rPr>
            </w:pPr>
          </w:p>
        </w:tc>
        <w:tc>
          <w:tcPr>
            <w:tcW w:w="1500" w:type="dxa"/>
          </w:tcPr>
          <w:p>
            <w:pPr>
              <w:pStyle w:val="13"/>
              <w:spacing w:line="480" w:lineRule="auto"/>
              <w:ind w:firstLine="496" w:firstLineChars="200"/>
              <w:jc w:val="left"/>
              <w:rPr>
                <w:rFonts w:hAnsi="宋体" w:cs="宋体"/>
                <w:color w:val="000000"/>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38" w:type="dxa"/>
          </w:tcPr>
          <w:p>
            <w:pPr>
              <w:pStyle w:val="13"/>
              <w:spacing w:line="480" w:lineRule="auto"/>
              <w:ind w:firstLine="496" w:firstLineChars="200"/>
              <w:jc w:val="left"/>
              <w:rPr>
                <w:rFonts w:hAnsi="宋体" w:cs="宋体"/>
                <w:color w:val="000000"/>
                <w:kern w:val="2"/>
                <w:sz w:val="24"/>
                <w:szCs w:val="24"/>
                <w:lang w:val="en-US" w:eastAsia="zh-CN"/>
              </w:rPr>
            </w:pPr>
          </w:p>
        </w:tc>
        <w:tc>
          <w:tcPr>
            <w:tcW w:w="2248" w:type="dxa"/>
          </w:tcPr>
          <w:p>
            <w:pPr>
              <w:pStyle w:val="13"/>
              <w:spacing w:line="480" w:lineRule="auto"/>
              <w:ind w:firstLine="496" w:firstLineChars="200"/>
              <w:jc w:val="left"/>
              <w:rPr>
                <w:rFonts w:hAnsi="宋体" w:cs="宋体"/>
                <w:color w:val="000000"/>
                <w:kern w:val="2"/>
                <w:sz w:val="24"/>
                <w:szCs w:val="24"/>
                <w:lang w:val="en-US" w:eastAsia="zh-CN"/>
              </w:rPr>
            </w:pPr>
          </w:p>
        </w:tc>
        <w:tc>
          <w:tcPr>
            <w:tcW w:w="1755" w:type="dxa"/>
          </w:tcPr>
          <w:p>
            <w:pPr>
              <w:pStyle w:val="13"/>
              <w:spacing w:line="480" w:lineRule="auto"/>
              <w:ind w:firstLine="496" w:firstLineChars="200"/>
              <w:jc w:val="left"/>
              <w:rPr>
                <w:rFonts w:hAnsi="宋体" w:cs="宋体"/>
                <w:color w:val="000000"/>
                <w:kern w:val="2"/>
                <w:sz w:val="24"/>
                <w:szCs w:val="24"/>
                <w:lang w:val="en-US" w:eastAsia="zh-CN"/>
              </w:rPr>
            </w:pPr>
          </w:p>
        </w:tc>
        <w:tc>
          <w:tcPr>
            <w:tcW w:w="1830" w:type="dxa"/>
          </w:tcPr>
          <w:p>
            <w:pPr>
              <w:pStyle w:val="13"/>
              <w:spacing w:line="480" w:lineRule="auto"/>
              <w:ind w:firstLine="496" w:firstLineChars="200"/>
              <w:jc w:val="left"/>
              <w:rPr>
                <w:rFonts w:hAnsi="宋体" w:cs="宋体"/>
                <w:color w:val="000000"/>
                <w:kern w:val="2"/>
                <w:sz w:val="24"/>
                <w:szCs w:val="24"/>
                <w:lang w:val="en-US" w:eastAsia="zh-CN"/>
              </w:rPr>
            </w:pPr>
          </w:p>
        </w:tc>
        <w:tc>
          <w:tcPr>
            <w:tcW w:w="1500" w:type="dxa"/>
          </w:tcPr>
          <w:p>
            <w:pPr>
              <w:pStyle w:val="13"/>
              <w:spacing w:line="480" w:lineRule="auto"/>
              <w:ind w:firstLine="496" w:firstLineChars="200"/>
              <w:jc w:val="left"/>
              <w:rPr>
                <w:rFonts w:hAnsi="宋体" w:cs="宋体"/>
                <w:color w:val="000000"/>
                <w:kern w:val="2"/>
                <w:sz w:val="24"/>
                <w:szCs w:val="24"/>
                <w:lang w:val="en-US" w:eastAsia="zh-CN"/>
              </w:rPr>
            </w:pPr>
          </w:p>
        </w:tc>
      </w:tr>
    </w:tbl>
    <w:p>
      <w:pPr>
        <w:pStyle w:val="13"/>
        <w:ind w:firstLine="496" w:firstLineChars="200"/>
        <w:jc w:val="left"/>
        <w:rPr>
          <w:rFonts w:hAnsi="宋体" w:cs="宋体"/>
          <w:color w:val="000000"/>
          <w:sz w:val="24"/>
          <w:szCs w:val="24"/>
        </w:rPr>
      </w:pPr>
      <w:r>
        <w:rPr>
          <w:rFonts w:hint="eastAsia" w:hAnsi="宋体" w:cs="宋体"/>
          <w:b/>
          <w:color w:val="000000"/>
          <w:sz w:val="24"/>
          <w:szCs w:val="24"/>
        </w:rPr>
        <w:t>填写说明：</w:t>
      </w:r>
      <w:r>
        <w:rPr>
          <w:rFonts w:hint="eastAsia" w:hAnsi="宋体" w:cs="宋体"/>
          <w:color w:val="000000"/>
          <w:sz w:val="24"/>
          <w:szCs w:val="24"/>
        </w:rPr>
        <w:t>请按磋商文件第五部分采购要求中“三、服务内容</w:t>
      </w:r>
      <w:r>
        <w:rPr>
          <w:rFonts w:hint="eastAsia" w:hAnsi="宋体" w:cs="宋体"/>
          <w:color w:val="000000"/>
          <w:sz w:val="24"/>
          <w:szCs w:val="24"/>
          <w:lang w:val="en-US" w:eastAsia="zh-CN"/>
        </w:rPr>
        <w:t>及要求</w:t>
      </w:r>
      <w:r>
        <w:rPr>
          <w:rFonts w:hint="eastAsia" w:hAnsi="宋体" w:cs="宋体"/>
          <w:color w:val="000000"/>
          <w:sz w:val="24"/>
          <w:szCs w:val="24"/>
        </w:rPr>
        <w:t>”，进行逐条响应，认真填写本表。偏差说明填写：正偏离（标明正偏离内容及正偏离的证明材料的页码）、符合（标明主要技术参数证明材料页码）或负偏离。</w:t>
      </w:r>
    </w:p>
    <w:p>
      <w:pPr>
        <w:adjustRightInd w:val="0"/>
        <w:snapToGrid w:val="0"/>
        <w:spacing w:line="480" w:lineRule="auto"/>
        <w:jc w:val="left"/>
        <w:rPr>
          <w:rFonts w:ascii="宋体" w:hAnsi="宋体" w:cs="宋体"/>
          <w:color w:val="000000"/>
          <w:sz w:val="24"/>
          <w:szCs w:val="24"/>
          <w:u w:val="single"/>
        </w:rPr>
      </w:pPr>
      <w:r>
        <w:rPr>
          <w:rFonts w:hint="eastAsia" w:ascii="宋体" w:hAnsi="宋体" w:cs="宋体"/>
          <w:color w:val="000000"/>
          <w:sz w:val="24"/>
          <w:szCs w:val="24"/>
        </w:rPr>
        <w:t>供应商（单位名称及公章）：</w:t>
      </w:r>
    </w:p>
    <w:p>
      <w:pPr>
        <w:adjustRightInd w:val="0"/>
        <w:snapToGrid w:val="0"/>
        <w:spacing w:line="480" w:lineRule="auto"/>
        <w:rPr>
          <w:rFonts w:ascii="宋体" w:hAnsi="宋体" w:cs="宋体"/>
          <w:color w:val="000000"/>
          <w:sz w:val="24"/>
          <w:szCs w:val="24"/>
        </w:rPr>
      </w:pPr>
      <w:r>
        <w:rPr>
          <w:rFonts w:hint="eastAsia" w:ascii="宋体" w:hAnsi="宋体" w:cs="宋体"/>
          <w:color w:val="000000"/>
          <w:sz w:val="24"/>
          <w:szCs w:val="24"/>
        </w:rPr>
        <w:t>法定代表人或被授权人（签字或盖章）：</w:t>
      </w:r>
    </w:p>
    <w:p>
      <w:pPr>
        <w:adjustRightInd w:val="0"/>
        <w:snapToGrid w:val="0"/>
        <w:spacing w:line="480" w:lineRule="auto"/>
        <w:rPr>
          <w:rFonts w:ascii="宋体" w:hAnsi="宋体" w:cs="宋体"/>
          <w:color w:val="000000"/>
          <w:sz w:val="24"/>
          <w:szCs w:val="24"/>
        </w:rPr>
      </w:pPr>
      <w:r>
        <w:rPr>
          <w:rFonts w:hint="eastAsia" w:ascii="宋体" w:hAnsi="宋体" w:cs="宋体"/>
          <w:color w:val="000000"/>
          <w:sz w:val="24"/>
          <w:szCs w:val="24"/>
        </w:rPr>
        <w:t>日    期：年月日</w:t>
      </w:r>
    </w:p>
    <w:p>
      <w:pPr>
        <w:jc w:val="center"/>
        <w:outlineLvl w:val="1"/>
        <w:rPr>
          <w:rFonts w:ascii="宋体" w:hAnsi="宋体" w:cs="宋体"/>
          <w:color w:val="000000"/>
          <w:sz w:val="36"/>
          <w:szCs w:val="36"/>
        </w:rPr>
      </w:pPr>
      <w:r>
        <w:rPr>
          <w:rFonts w:hint="eastAsia" w:ascii="宋体" w:hAnsi="宋体" w:cs="宋体"/>
          <w:color w:val="000000"/>
          <w:sz w:val="24"/>
          <w:szCs w:val="24"/>
        </w:rPr>
        <w:br w:type="page"/>
      </w:r>
      <w:bookmarkStart w:id="177" w:name="_Toc8786"/>
      <w:bookmarkStart w:id="178" w:name="_Toc18357"/>
      <w:bookmarkStart w:id="179" w:name="_Toc31024"/>
      <w:bookmarkStart w:id="180" w:name="_Toc25917"/>
      <w:bookmarkStart w:id="181" w:name="_Toc13930"/>
      <w:r>
        <w:rPr>
          <w:rFonts w:hint="eastAsia" w:ascii="Arial" w:hAnsi="Arial"/>
          <w:b/>
          <w:color w:val="000000"/>
          <w:sz w:val="28"/>
        </w:rPr>
        <w:t>第六章</w:t>
      </w:r>
      <w:bookmarkEnd w:id="177"/>
      <w:bookmarkEnd w:id="178"/>
      <w:bookmarkEnd w:id="179"/>
      <w:r>
        <w:rPr>
          <w:rFonts w:hint="eastAsia" w:ascii="Arial" w:hAnsi="Arial"/>
          <w:b/>
          <w:color w:val="000000"/>
          <w:sz w:val="28"/>
        </w:rPr>
        <w:t xml:space="preserve">  服务方案</w:t>
      </w:r>
      <w:bookmarkEnd w:id="180"/>
      <w:bookmarkEnd w:id="181"/>
    </w:p>
    <w:p>
      <w:pPr>
        <w:spacing w:line="480" w:lineRule="auto"/>
        <w:rPr>
          <w:b/>
          <w:bCs/>
          <w:color w:val="000000"/>
          <w:sz w:val="24"/>
          <w:szCs w:val="24"/>
        </w:rPr>
      </w:pPr>
      <w:r>
        <w:rPr>
          <w:rFonts w:hint="eastAsia"/>
          <w:b/>
          <w:bCs/>
          <w:color w:val="000000"/>
          <w:sz w:val="24"/>
          <w:szCs w:val="24"/>
        </w:rPr>
        <w:t>供应商可根据评审办法自行编写，格式不限；</w:t>
      </w:r>
    </w:p>
    <w:p>
      <w:pPr>
        <w:rPr>
          <w:color w:val="000000"/>
        </w:rPr>
      </w:pPr>
    </w:p>
    <w:p>
      <w:pPr>
        <w:pStyle w:val="4"/>
        <w:rPr>
          <w:color w:val="000000"/>
        </w:rPr>
        <w:sectPr>
          <w:headerReference r:id="rId16" w:type="default"/>
          <w:footerReference r:id="rId17" w:type="default"/>
          <w:pgSz w:w="11906" w:h="16838"/>
          <w:pgMar w:top="1440" w:right="1803" w:bottom="1440" w:left="1803" w:header="850" w:footer="992" w:gutter="0"/>
          <w:cols w:space="720" w:num="1"/>
          <w:titlePg/>
          <w:docGrid w:type="linesAndChars" w:linePitch="395" w:charSpace="1724"/>
        </w:sectPr>
      </w:pPr>
    </w:p>
    <w:p>
      <w:pPr>
        <w:pStyle w:val="4"/>
        <w:rPr>
          <w:color w:val="000000"/>
        </w:rPr>
      </w:pPr>
      <w:bookmarkStart w:id="182" w:name="_Toc15793"/>
      <w:bookmarkStart w:id="183" w:name="_Toc24882"/>
      <w:bookmarkStart w:id="184" w:name="_Toc11540"/>
      <w:bookmarkStart w:id="185" w:name="_Toc17149"/>
      <w:r>
        <w:rPr>
          <w:rFonts w:hint="eastAsia"/>
          <w:color w:val="000000"/>
        </w:rPr>
        <w:t>第七章  供应商业绩一览表</w:t>
      </w:r>
      <w:bookmarkEnd w:id="182"/>
      <w:bookmarkEnd w:id="183"/>
      <w:bookmarkEnd w:id="184"/>
      <w:bookmarkEnd w:id="185"/>
    </w:p>
    <w:p>
      <w:pPr>
        <w:rPr>
          <w:rFonts w:ascii="宋体" w:hAnsi="宋体" w:cs="宋体"/>
          <w:color w:val="000000"/>
        </w:rPr>
      </w:pPr>
    </w:p>
    <w:tbl>
      <w:tblPr>
        <w:tblStyle w:val="27"/>
        <w:tblpPr w:leftFromText="180" w:rightFromText="180" w:vertAnchor="text" w:horzAnchor="page" w:tblpX="1453" w:tblpY="35"/>
        <w:tblOverlap w:val="never"/>
        <w:tblW w:w="920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54"/>
        <w:gridCol w:w="1508"/>
        <w:gridCol w:w="1382"/>
        <w:gridCol w:w="1399"/>
        <w:gridCol w:w="1485"/>
        <w:gridCol w:w="1576"/>
        <w:gridCol w:w="109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4" w:hRule="atLeast"/>
        </w:trPr>
        <w:tc>
          <w:tcPr>
            <w:tcW w:w="754" w:type="dxa"/>
            <w:tcBorders>
              <w:top w:val="single" w:color="auto" w:sz="4" w:space="0"/>
            </w:tcBorders>
            <w:vAlign w:val="center"/>
          </w:tcPr>
          <w:p>
            <w:pPr>
              <w:spacing w:line="400" w:lineRule="exact"/>
              <w:rPr>
                <w:rFonts w:ascii="宋体" w:hAnsi="宋体" w:cs="宋体"/>
                <w:bCs/>
                <w:color w:val="000000"/>
                <w:szCs w:val="21"/>
              </w:rPr>
            </w:pPr>
            <w:r>
              <w:rPr>
                <w:rFonts w:hint="eastAsia" w:ascii="宋体" w:hAnsi="宋体" w:cs="宋体"/>
                <w:bCs/>
                <w:color w:val="000000"/>
                <w:szCs w:val="21"/>
              </w:rPr>
              <w:t>年份</w:t>
            </w:r>
          </w:p>
        </w:tc>
        <w:tc>
          <w:tcPr>
            <w:tcW w:w="1508" w:type="dxa"/>
            <w:vAlign w:val="center"/>
          </w:tcPr>
          <w:p>
            <w:pPr>
              <w:spacing w:line="400" w:lineRule="exact"/>
              <w:jc w:val="center"/>
              <w:rPr>
                <w:rFonts w:ascii="宋体" w:hAnsi="宋体" w:cs="宋体"/>
                <w:bCs/>
                <w:color w:val="000000"/>
                <w:szCs w:val="21"/>
              </w:rPr>
            </w:pPr>
            <w:r>
              <w:rPr>
                <w:rFonts w:hint="eastAsia" w:ascii="宋体" w:hAnsi="宋体" w:cs="宋体"/>
                <w:bCs/>
                <w:color w:val="000000"/>
                <w:szCs w:val="21"/>
              </w:rPr>
              <w:t>用户名称</w:t>
            </w:r>
          </w:p>
        </w:tc>
        <w:tc>
          <w:tcPr>
            <w:tcW w:w="1382" w:type="dxa"/>
            <w:vAlign w:val="center"/>
          </w:tcPr>
          <w:p>
            <w:pPr>
              <w:spacing w:line="400" w:lineRule="exact"/>
              <w:jc w:val="center"/>
              <w:rPr>
                <w:rFonts w:ascii="宋体" w:hAnsi="宋体" w:cs="宋体"/>
                <w:bCs/>
                <w:color w:val="000000"/>
                <w:szCs w:val="21"/>
              </w:rPr>
            </w:pPr>
            <w:r>
              <w:rPr>
                <w:rFonts w:hint="eastAsia" w:ascii="宋体" w:hAnsi="宋体" w:cs="宋体"/>
                <w:bCs/>
                <w:color w:val="000000"/>
                <w:szCs w:val="21"/>
              </w:rPr>
              <w:t>项目名称</w:t>
            </w:r>
          </w:p>
        </w:tc>
        <w:tc>
          <w:tcPr>
            <w:tcW w:w="1399" w:type="dxa"/>
            <w:vAlign w:val="center"/>
          </w:tcPr>
          <w:p>
            <w:pPr>
              <w:spacing w:line="400" w:lineRule="exact"/>
              <w:jc w:val="center"/>
              <w:rPr>
                <w:rFonts w:ascii="宋体" w:hAnsi="宋体" w:cs="宋体"/>
                <w:bCs/>
                <w:color w:val="000000"/>
                <w:szCs w:val="21"/>
              </w:rPr>
            </w:pPr>
            <w:r>
              <w:rPr>
                <w:rFonts w:hint="eastAsia" w:ascii="宋体" w:hAnsi="宋体" w:cs="宋体"/>
                <w:bCs/>
                <w:color w:val="000000"/>
                <w:szCs w:val="21"/>
              </w:rPr>
              <w:t>完成时间</w:t>
            </w:r>
          </w:p>
        </w:tc>
        <w:tc>
          <w:tcPr>
            <w:tcW w:w="1485" w:type="dxa"/>
            <w:vAlign w:val="center"/>
          </w:tcPr>
          <w:p>
            <w:pPr>
              <w:spacing w:line="400" w:lineRule="exact"/>
              <w:ind w:firstLine="109" w:firstLineChars="50"/>
              <w:rPr>
                <w:rFonts w:ascii="宋体" w:hAnsi="宋体" w:cs="宋体"/>
                <w:bCs/>
                <w:color w:val="000000"/>
                <w:szCs w:val="21"/>
              </w:rPr>
            </w:pPr>
            <w:r>
              <w:rPr>
                <w:rFonts w:hint="eastAsia" w:ascii="宋体" w:hAnsi="宋体" w:cs="宋体"/>
                <w:bCs/>
                <w:color w:val="000000"/>
                <w:szCs w:val="21"/>
              </w:rPr>
              <w:t>合同金额</w:t>
            </w:r>
          </w:p>
        </w:tc>
        <w:tc>
          <w:tcPr>
            <w:tcW w:w="1576" w:type="dxa"/>
            <w:tcBorders>
              <w:right w:val="single" w:color="auto" w:sz="4" w:space="0"/>
            </w:tcBorders>
            <w:vAlign w:val="center"/>
          </w:tcPr>
          <w:p>
            <w:pPr>
              <w:spacing w:line="400" w:lineRule="exact"/>
              <w:ind w:left="212" w:hanging="210" w:hangingChars="97"/>
              <w:rPr>
                <w:rFonts w:ascii="宋体" w:hAnsi="宋体" w:cs="宋体"/>
                <w:bCs/>
                <w:color w:val="000000"/>
                <w:szCs w:val="21"/>
              </w:rPr>
            </w:pPr>
            <w:r>
              <w:rPr>
                <w:rFonts w:hint="eastAsia" w:ascii="宋体" w:hAnsi="宋体" w:cs="宋体"/>
                <w:bCs/>
                <w:color w:val="000000"/>
                <w:szCs w:val="21"/>
              </w:rPr>
              <w:t>完成项目质量</w:t>
            </w:r>
          </w:p>
        </w:tc>
        <w:tc>
          <w:tcPr>
            <w:tcW w:w="1096" w:type="dxa"/>
            <w:tcBorders>
              <w:left w:val="single" w:color="auto" w:sz="4" w:space="0"/>
            </w:tcBorders>
            <w:vAlign w:val="center"/>
          </w:tcPr>
          <w:p>
            <w:pPr>
              <w:spacing w:line="400" w:lineRule="exact"/>
              <w:rPr>
                <w:rFonts w:ascii="宋体" w:hAnsi="宋体" w:cs="宋体"/>
                <w:bCs/>
                <w:color w:val="000000"/>
                <w:szCs w:val="21"/>
              </w:rPr>
            </w:pPr>
            <w:r>
              <w:rPr>
                <w:rFonts w:hint="eastAsia" w:ascii="宋体" w:hAnsi="宋体" w:cs="宋体"/>
                <w:bCs/>
                <w:color w:val="000000"/>
                <w:szCs w:val="21"/>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宋体" w:hAnsi="宋体" w:cs="宋体"/>
                <w:bCs/>
                <w:color w:val="000000"/>
                <w:szCs w:val="21"/>
              </w:rPr>
            </w:pPr>
          </w:p>
        </w:tc>
        <w:tc>
          <w:tcPr>
            <w:tcW w:w="1508" w:type="dxa"/>
            <w:vAlign w:val="center"/>
          </w:tcPr>
          <w:p>
            <w:pPr>
              <w:spacing w:line="400" w:lineRule="exact"/>
              <w:jc w:val="center"/>
              <w:rPr>
                <w:rFonts w:ascii="宋体" w:hAnsi="宋体" w:cs="宋体"/>
                <w:bCs/>
                <w:color w:val="000000"/>
                <w:szCs w:val="21"/>
              </w:rPr>
            </w:pPr>
          </w:p>
        </w:tc>
        <w:tc>
          <w:tcPr>
            <w:tcW w:w="1382" w:type="dxa"/>
            <w:vAlign w:val="center"/>
          </w:tcPr>
          <w:p>
            <w:pPr>
              <w:spacing w:line="400" w:lineRule="exact"/>
              <w:jc w:val="center"/>
              <w:rPr>
                <w:rFonts w:ascii="宋体" w:hAnsi="宋体" w:cs="宋体"/>
                <w:bCs/>
                <w:color w:val="000000"/>
                <w:szCs w:val="21"/>
              </w:rPr>
            </w:pPr>
          </w:p>
        </w:tc>
        <w:tc>
          <w:tcPr>
            <w:tcW w:w="1399" w:type="dxa"/>
            <w:vAlign w:val="center"/>
          </w:tcPr>
          <w:p>
            <w:pPr>
              <w:spacing w:line="400" w:lineRule="exact"/>
              <w:jc w:val="center"/>
              <w:rPr>
                <w:rFonts w:ascii="宋体" w:hAnsi="宋体" w:cs="宋体"/>
                <w:bCs/>
                <w:color w:val="000000"/>
                <w:szCs w:val="21"/>
              </w:rPr>
            </w:pPr>
          </w:p>
        </w:tc>
        <w:tc>
          <w:tcPr>
            <w:tcW w:w="1485" w:type="dxa"/>
            <w:vAlign w:val="center"/>
          </w:tcPr>
          <w:p>
            <w:pPr>
              <w:spacing w:line="400" w:lineRule="exact"/>
              <w:jc w:val="center"/>
              <w:rPr>
                <w:rFonts w:ascii="宋体" w:hAnsi="宋体" w:cs="宋体"/>
                <w:bCs/>
                <w:color w:val="000000"/>
                <w:szCs w:val="21"/>
              </w:rPr>
            </w:pPr>
          </w:p>
        </w:tc>
        <w:tc>
          <w:tcPr>
            <w:tcW w:w="1576" w:type="dxa"/>
            <w:tcBorders>
              <w:right w:val="single" w:color="auto" w:sz="4" w:space="0"/>
            </w:tcBorders>
            <w:vAlign w:val="center"/>
          </w:tcPr>
          <w:p>
            <w:pPr>
              <w:spacing w:line="400" w:lineRule="exact"/>
              <w:jc w:val="center"/>
              <w:rPr>
                <w:rFonts w:ascii="宋体" w:hAnsi="宋体" w:cs="宋体"/>
                <w:bCs/>
                <w:color w:val="000000"/>
                <w:szCs w:val="21"/>
              </w:rPr>
            </w:pPr>
          </w:p>
        </w:tc>
        <w:tc>
          <w:tcPr>
            <w:tcW w:w="1096" w:type="dxa"/>
            <w:tcBorders>
              <w:left w:val="single" w:color="auto" w:sz="4" w:space="0"/>
            </w:tcBorders>
            <w:vAlign w:val="center"/>
          </w:tcPr>
          <w:p>
            <w:pPr>
              <w:spacing w:line="400" w:lineRule="exact"/>
              <w:jc w:val="center"/>
              <w:rPr>
                <w:rFonts w:ascii="宋体" w:hAnsi="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宋体" w:hAnsi="宋体" w:cs="宋体"/>
                <w:bCs/>
                <w:color w:val="000000"/>
                <w:szCs w:val="21"/>
              </w:rPr>
            </w:pPr>
          </w:p>
        </w:tc>
        <w:tc>
          <w:tcPr>
            <w:tcW w:w="1508" w:type="dxa"/>
            <w:vAlign w:val="center"/>
          </w:tcPr>
          <w:p>
            <w:pPr>
              <w:spacing w:line="400" w:lineRule="exact"/>
              <w:jc w:val="center"/>
              <w:rPr>
                <w:rFonts w:ascii="宋体" w:hAnsi="宋体" w:cs="宋体"/>
                <w:bCs/>
                <w:color w:val="000000"/>
                <w:szCs w:val="21"/>
              </w:rPr>
            </w:pPr>
          </w:p>
        </w:tc>
        <w:tc>
          <w:tcPr>
            <w:tcW w:w="1382" w:type="dxa"/>
            <w:vAlign w:val="center"/>
          </w:tcPr>
          <w:p>
            <w:pPr>
              <w:spacing w:line="400" w:lineRule="exact"/>
              <w:jc w:val="center"/>
              <w:rPr>
                <w:rFonts w:ascii="宋体" w:hAnsi="宋体" w:cs="宋体"/>
                <w:bCs/>
                <w:color w:val="000000"/>
                <w:szCs w:val="21"/>
              </w:rPr>
            </w:pPr>
          </w:p>
        </w:tc>
        <w:tc>
          <w:tcPr>
            <w:tcW w:w="1399" w:type="dxa"/>
            <w:vAlign w:val="center"/>
          </w:tcPr>
          <w:p>
            <w:pPr>
              <w:spacing w:line="400" w:lineRule="exact"/>
              <w:jc w:val="center"/>
              <w:rPr>
                <w:rFonts w:ascii="宋体" w:hAnsi="宋体" w:cs="宋体"/>
                <w:bCs/>
                <w:color w:val="000000"/>
                <w:szCs w:val="21"/>
              </w:rPr>
            </w:pPr>
          </w:p>
        </w:tc>
        <w:tc>
          <w:tcPr>
            <w:tcW w:w="1485" w:type="dxa"/>
            <w:vAlign w:val="center"/>
          </w:tcPr>
          <w:p>
            <w:pPr>
              <w:spacing w:line="400" w:lineRule="exact"/>
              <w:jc w:val="center"/>
              <w:rPr>
                <w:rFonts w:ascii="宋体" w:hAnsi="宋体" w:cs="宋体"/>
                <w:bCs/>
                <w:color w:val="000000"/>
                <w:szCs w:val="21"/>
              </w:rPr>
            </w:pPr>
          </w:p>
        </w:tc>
        <w:tc>
          <w:tcPr>
            <w:tcW w:w="1576" w:type="dxa"/>
            <w:tcBorders>
              <w:right w:val="single" w:color="auto" w:sz="4" w:space="0"/>
            </w:tcBorders>
            <w:vAlign w:val="center"/>
          </w:tcPr>
          <w:p>
            <w:pPr>
              <w:spacing w:line="400" w:lineRule="exact"/>
              <w:jc w:val="center"/>
              <w:rPr>
                <w:rFonts w:ascii="宋体" w:hAnsi="宋体" w:cs="宋体"/>
                <w:bCs/>
                <w:color w:val="000000"/>
                <w:szCs w:val="21"/>
              </w:rPr>
            </w:pPr>
          </w:p>
        </w:tc>
        <w:tc>
          <w:tcPr>
            <w:tcW w:w="1096" w:type="dxa"/>
            <w:tcBorders>
              <w:left w:val="single" w:color="auto" w:sz="4" w:space="0"/>
            </w:tcBorders>
            <w:vAlign w:val="center"/>
          </w:tcPr>
          <w:p>
            <w:pPr>
              <w:spacing w:line="400" w:lineRule="exact"/>
              <w:jc w:val="center"/>
              <w:rPr>
                <w:rFonts w:ascii="宋体" w:hAnsi="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宋体" w:hAnsi="宋体" w:cs="宋体"/>
                <w:bCs/>
                <w:color w:val="000000"/>
                <w:szCs w:val="21"/>
              </w:rPr>
            </w:pPr>
          </w:p>
        </w:tc>
        <w:tc>
          <w:tcPr>
            <w:tcW w:w="1508" w:type="dxa"/>
            <w:vAlign w:val="center"/>
          </w:tcPr>
          <w:p>
            <w:pPr>
              <w:spacing w:line="400" w:lineRule="exact"/>
              <w:jc w:val="center"/>
              <w:rPr>
                <w:rFonts w:ascii="宋体" w:hAnsi="宋体" w:cs="宋体"/>
                <w:bCs/>
                <w:color w:val="000000"/>
                <w:szCs w:val="21"/>
              </w:rPr>
            </w:pPr>
          </w:p>
        </w:tc>
        <w:tc>
          <w:tcPr>
            <w:tcW w:w="1382" w:type="dxa"/>
            <w:vAlign w:val="center"/>
          </w:tcPr>
          <w:p>
            <w:pPr>
              <w:spacing w:line="400" w:lineRule="exact"/>
              <w:jc w:val="center"/>
              <w:rPr>
                <w:rFonts w:ascii="宋体" w:hAnsi="宋体" w:cs="宋体"/>
                <w:bCs/>
                <w:color w:val="000000"/>
                <w:szCs w:val="21"/>
              </w:rPr>
            </w:pPr>
          </w:p>
        </w:tc>
        <w:tc>
          <w:tcPr>
            <w:tcW w:w="1399" w:type="dxa"/>
            <w:vAlign w:val="center"/>
          </w:tcPr>
          <w:p>
            <w:pPr>
              <w:spacing w:line="400" w:lineRule="exact"/>
              <w:jc w:val="center"/>
              <w:rPr>
                <w:rFonts w:ascii="宋体" w:hAnsi="宋体" w:cs="宋体"/>
                <w:bCs/>
                <w:color w:val="000000"/>
                <w:szCs w:val="21"/>
              </w:rPr>
            </w:pPr>
          </w:p>
        </w:tc>
        <w:tc>
          <w:tcPr>
            <w:tcW w:w="1485" w:type="dxa"/>
            <w:vAlign w:val="center"/>
          </w:tcPr>
          <w:p>
            <w:pPr>
              <w:spacing w:line="400" w:lineRule="exact"/>
              <w:jc w:val="center"/>
              <w:rPr>
                <w:rFonts w:ascii="宋体" w:hAnsi="宋体" w:cs="宋体"/>
                <w:bCs/>
                <w:color w:val="000000"/>
                <w:szCs w:val="21"/>
              </w:rPr>
            </w:pPr>
          </w:p>
        </w:tc>
        <w:tc>
          <w:tcPr>
            <w:tcW w:w="1576" w:type="dxa"/>
            <w:tcBorders>
              <w:right w:val="single" w:color="auto" w:sz="4" w:space="0"/>
            </w:tcBorders>
            <w:vAlign w:val="center"/>
          </w:tcPr>
          <w:p>
            <w:pPr>
              <w:spacing w:line="400" w:lineRule="exact"/>
              <w:jc w:val="center"/>
              <w:rPr>
                <w:rFonts w:ascii="宋体" w:hAnsi="宋体" w:cs="宋体"/>
                <w:bCs/>
                <w:color w:val="000000"/>
                <w:szCs w:val="21"/>
              </w:rPr>
            </w:pPr>
          </w:p>
        </w:tc>
        <w:tc>
          <w:tcPr>
            <w:tcW w:w="1096" w:type="dxa"/>
            <w:tcBorders>
              <w:left w:val="single" w:color="auto" w:sz="4" w:space="0"/>
            </w:tcBorders>
            <w:vAlign w:val="center"/>
          </w:tcPr>
          <w:p>
            <w:pPr>
              <w:spacing w:line="400" w:lineRule="exact"/>
              <w:jc w:val="center"/>
              <w:rPr>
                <w:rFonts w:ascii="宋体" w:hAnsi="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宋体" w:hAnsi="宋体" w:cs="宋体"/>
                <w:bCs/>
                <w:color w:val="000000"/>
                <w:szCs w:val="21"/>
              </w:rPr>
            </w:pPr>
          </w:p>
        </w:tc>
        <w:tc>
          <w:tcPr>
            <w:tcW w:w="1508" w:type="dxa"/>
            <w:tcBorders>
              <w:right w:val="single" w:color="auto" w:sz="4" w:space="0"/>
            </w:tcBorders>
            <w:vAlign w:val="center"/>
          </w:tcPr>
          <w:p>
            <w:pPr>
              <w:spacing w:line="400" w:lineRule="exact"/>
              <w:jc w:val="center"/>
              <w:rPr>
                <w:rFonts w:ascii="宋体" w:hAnsi="宋体" w:cs="宋体"/>
                <w:bCs/>
                <w:color w:val="000000"/>
                <w:szCs w:val="21"/>
              </w:rPr>
            </w:pPr>
          </w:p>
        </w:tc>
        <w:tc>
          <w:tcPr>
            <w:tcW w:w="1382" w:type="dxa"/>
            <w:tcBorders>
              <w:left w:val="single" w:color="auto" w:sz="4" w:space="0"/>
            </w:tcBorders>
            <w:vAlign w:val="center"/>
          </w:tcPr>
          <w:p>
            <w:pPr>
              <w:spacing w:line="400" w:lineRule="exact"/>
              <w:jc w:val="center"/>
              <w:rPr>
                <w:rFonts w:ascii="宋体" w:hAnsi="宋体" w:cs="宋体"/>
                <w:bCs/>
                <w:color w:val="000000"/>
                <w:szCs w:val="21"/>
              </w:rPr>
            </w:pPr>
          </w:p>
        </w:tc>
        <w:tc>
          <w:tcPr>
            <w:tcW w:w="1399" w:type="dxa"/>
            <w:vAlign w:val="center"/>
          </w:tcPr>
          <w:p>
            <w:pPr>
              <w:spacing w:line="400" w:lineRule="exact"/>
              <w:jc w:val="center"/>
              <w:rPr>
                <w:rFonts w:ascii="宋体" w:hAnsi="宋体" w:cs="宋体"/>
                <w:bCs/>
                <w:color w:val="000000"/>
                <w:szCs w:val="21"/>
              </w:rPr>
            </w:pPr>
          </w:p>
        </w:tc>
        <w:tc>
          <w:tcPr>
            <w:tcW w:w="1485" w:type="dxa"/>
            <w:vAlign w:val="center"/>
          </w:tcPr>
          <w:p>
            <w:pPr>
              <w:spacing w:line="400" w:lineRule="exact"/>
              <w:jc w:val="center"/>
              <w:rPr>
                <w:rFonts w:ascii="宋体" w:hAnsi="宋体" w:cs="宋体"/>
                <w:bCs/>
                <w:color w:val="000000"/>
                <w:szCs w:val="21"/>
              </w:rPr>
            </w:pPr>
          </w:p>
        </w:tc>
        <w:tc>
          <w:tcPr>
            <w:tcW w:w="1576" w:type="dxa"/>
            <w:tcBorders>
              <w:right w:val="single" w:color="auto" w:sz="4" w:space="0"/>
            </w:tcBorders>
            <w:vAlign w:val="center"/>
          </w:tcPr>
          <w:p>
            <w:pPr>
              <w:spacing w:line="400" w:lineRule="exact"/>
              <w:jc w:val="center"/>
              <w:rPr>
                <w:rFonts w:ascii="宋体" w:hAnsi="宋体" w:cs="宋体"/>
                <w:bCs/>
                <w:color w:val="000000"/>
                <w:szCs w:val="21"/>
              </w:rPr>
            </w:pPr>
          </w:p>
        </w:tc>
        <w:tc>
          <w:tcPr>
            <w:tcW w:w="1096" w:type="dxa"/>
            <w:tcBorders>
              <w:left w:val="single" w:color="auto" w:sz="4" w:space="0"/>
            </w:tcBorders>
            <w:vAlign w:val="center"/>
          </w:tcPr>
          <w:p>
            <w:pPr>
              <w:spacing w:line="400" w:lineRule="exact"/>
              <w:jc w:val="center"/>
              <w:rPr>
                <w:rFonts w:ascii="宋体" w:hAnsi="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tcBorders>
              <w:right w:val="single" w:color="auto" w:sz="4" w:space="0"/>
            </w:tcBorders>
            <w:vAlign w:val="center"/>
          </w:tcPr>
          <w:p>
            <w:pPr>
              <w:spacing w:line="400" w:lineRule="exact"/>
              <w:rPr>
                <w:rFonts w:ascii="宋体" w:hAnsi="宋体" w:cs="宋体"/>
                <w:bCs/>
                <w:color w:val="000000"/>
                <w:szCs w:val="21"/>
              </w:rPr>
            </w:pPr>
          </w:p>
        </w:tc>
        <w:tc>
          <w:tcPr>
            <w:tcW w:w="1508" w:type="dxa"/>
            <w:tcBorders>
              <w:left w:val="single" w:color="auto" w:sz="4" w:space="0"/>
              <w:right w:val="single" w:color="auto" w:sz="4" w:space="0"/>
            </w:tcBorders>
            <w:vAlign w:val="center"/>
          </w:tcPr>
          <w:p>
            <w:pPr>
              <w:spacing w:line="400" w:lineRule="exact"/>
              <w:rPr>
                <w:rFonts w:ascii="宋体" w:hAnsi="宋体" w:cs="宋体"/>
                <w:bCs/>
                <w:color w:val="000000"/>
                <w:szCs w:val="21"/>
              </w:rPr>
            </w:pPr>
          </w:p>
        </w:tc>
        <w:tc>
          <w:tcPr>
            <w:tcW w:w="1382" w:type="dxa"/>
            <w:tcBorders>
              <w:left w:val="single" w:color="auto" w:sz="4" w:space="0"/>
              <w:right w:val="single" w:color="auto" w:sz="4" w:space="0"/>
            </w:tcBorders>
            <w:vAlign w:val="center"/>
          </w:tcPr>
          <w:p>
            <w:pPr>
              <w:spacing w:line="400" w:lineRule="exact"/>
              <w:rPr>
                <w:rFonts w:ascii="宋体" w:hAnsi="宋体" w:cs="宋体"/>
                <w:bCs/>
                <w:color w:val="000000"/>
                <w:szCs w:val="21"/>
              </w:rPr>
            </w:pPr>
          </w:p>
        </w:tc>
        <w:tc>
          <w:tcPr>
            <w:tcW w:w="1399" w:type="dxa"/>
            <w:tcBorders>
              <w:left w:val="single" w:color="auto" w:sz="4" w:space="0"/>
              <w:right w:val="single" w:color="auto" w:sz="4" w:space="0"/>
            </w:tcBorders>
            <w:vAlign w:val="center"/>
          </w:tcPr>
          <w:p>
            <w:pPr>
              <w:spacing w:line="400" w:lineRule="exact"/>
              <w:rPr>
                <w:rFonts w:ascii="宋体" w:hAnsi="宋体" w:cs="宋体"/>
                <w:bCs/>
                <w:color w:val="000000"/>
                <w:szCs w:val="21"/>
              </w:rPr>
            </w:pPr>
          </w:p>
        </w:tc>
        <w:tc>
          <w:tcPr>
            <w:tcW w:w="1485" w:type="dxa"/>
            <w:tcBorders>
              <w:left w:val="single" w:color="auto" w:sz="4" w:space="0"/>
              <w:right w:val="single" w:color="auto" w:sz="4" w:space="0"/>
            </w:tcBorders>
            <w:vAlign w:val="center"/>
          </w:tcPr>
          <w:p>
            <w:pPr>
              <w:spacing w:line="400" w:lineRule="exact"/>
              <w:rPr>
                <w:rFonts w:ascii="宋体" w:hAnsi="宋体" w:cs="宋体"/>
                <w:bCs/>
                <w:color w:val="000000"/>
                <w:szCs w:val="21"/>
              </w:rPr>
            </w:pPr>
          </w:p>
        </w:tc>
        <w:tc>
          <w:tcPr>
            <w:tcW w:w="1576" w:type="dxa"/>
            <w:tcBorders>
              <w:left w:val="single" w:color="auto" w:sz="4" w:space="0"/>
              <w:right w:val="single" w:color="auto" w:sz="4" w:space="0"/>
            </w:tcBorders>
            <w:vAlign w:val="center"/>
          </w:tcPr>
          <w:p>
            <w:pPr>
              <w:spacing w:line="400" w:lineRule="exact"/>
              <w:rPr>
                <w:rFonts w:ascii="宋体" w:hAnsi="宋体" w:cs="宋体"/>
                <w:bCs/>
                <w:color w:val="000000"/>
                <w:szCs w:val="21"/>
              </w:rPr>
            </w:pPr>
          </w:p>
        </w:tc>
        <w:tc>
          <w:tcPr>
            <w:tcW w:w="1096" w:type="dxa"/>
            <w:tcBorders>
              <w:left w:val="single" w:color="auto" w:sz="4" w:space="0"/>
            </w:tcBorders>
            <w:vAlign w:val="center"/>
          </w:tcPr>
          <w:p>
            <w:pPr>
              <w:spacing w:line="400" w:lineRule="exact"/>
              <w:rPr>
                <w:rFonts w:ascii="宋体" w:hAnsi="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rPr>
                <w:rFonts w:ascii="宋体" w:hAnsi="宋体" w:cs="宋体"/>
                <w:bCs/>
                <w:color w:val="000000"/>
                <w:szCs w:val="21"/>
              </w:rPr>
            </w:pPr>
          </w:p>
        </w:tc>
        <w:tc>
          <w:tcPr>
            <w:tcW w:w="1508" w:type="dxa"/>
            <w:vAlign w:val="center"/>
          </w:tcPr>
          <w:p>
            <w:pPr>
              <w:spacing w:line="400" w:lineRule="exact"/>
              <w:rPr>
                <w:rFonts w:ascii="宋体" w:hAnsi="宋体" w:cs="宋体"/>
                <w:bCs/>
                <w:color w:val="000000"/>
                <w:szCs w:val="21"/>
              </w:rPr>
            </w:pPr>
          </w:p>
        </w:tc>
        <w:tc>
          <w:tcPr>
            <w:tcW w:w="1382" w:type="dxa"/>
            <w:vAlign w:val="center"/>
          </w:tcPr>
          <w:p>
            <w:pPr>
              <w:spacing w:line="400" w:lineRule="exact"/>
              <w:rPr>
                <w:rFonts w:ascii="宋体" w:hAnsi="宋体" w:cs="宋体"/>
                <w:bCs/>
                <w:color w:val="000000"/>
                <w:szCs w:val="21"/>
              </w:rPr>
            </w:pPr>
          </w:p>
        </w:tc>
        <w:tc>
          <w:tcPr>
            <w:tcW w:w="1399" w:type="dxa"/>
            <w:vAlign w:val="center"/>
          </w:tcPr>
          <w:p>
            <w:pPr>
              <w:spacing w:line="400" w:lineRule="exact"/>
              <w:rPr>
                <w:rFonts w:ascii="宋体" w:hAnsi="宋体" w:cs="宋体"/>
                <w:bCs/>
                <w:color w:val="000000"/>
                <w:szCs w:val="21"/>
              </w:rPr>
            </w:pPr>
          </w:p>
        </w:tc>
        <w:tc>
          <w:tcPr>
            <w:tcW w:w="1485" w:type="dxa"/>
            <w:tcBorders>
              <w:right w:val="single" w:color="auto" w:sz="4" w:space="0"/>
            </w:tcBorders>
            <w:vAlign w:val="center"/>
          </w:tcPr>
          <w:p>
            <w:pPr>
              <w:spacing w:line="400" w:lineRule="exact"/>
              <w:rPr>
                <w:rFonts w:ascii="宋体" w:hAnsi="宋体" w:cs="宋体"/>
                <w:bCs/>
                <w:color w:val="000000"/>
                <w:szCs w:val="21"/>
              </w:rPr>
            </w:pPr>
          </w:p>
        </w:tc>
        <w:tc>
          <w:tcPr>
            <w:tcW w:w="1576" w:type="dxa"/>
            <w:tcBorders>
              <w:left w:val="single" w:color="auto" w:sz="4" w:space="0"/>
              <w:right w:val="single" w:color="auto" w:sz="4" w:space="0"/>
            </w:tcBorders>
            <w:vAlign w:val="center"/>
          </w:tcPr>
          <w:p>
            <w:pPr>
              <w:spacing w:line="400" w:lineRule="exact"/>
              <w:rPr>
                <w:rFonts w:ascii="宋体" w:hAnsi="宋体" w:cs="宋体"/>
                <w:bCs/>
                <w:color w:val="000000"/>
                <w:szCs w:val="21"/>
              </w:rPr>
            </w:pPr>
          </w:p>
        </w:tc>
        <w:tc>
          <w:tcPr>
            <w:tcW w:w="1096" w:type="dxa"/>
            <w:tcBorders>
              <w:left w:val="single" w:color="auto" w:sz="4" w:space="0"/>
            </w:tcBorders>
            <w:vAlign w:val="center"/>
          </w:tcPr>
          <w:p>
            <w:pPr>
              <w:spacing w:line="400" w:lineRule="exact"/>
              <w:rPr>
                <w:rFonts w:ascii="宋体" w:hAnsi="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11" w:hRule="atLeast"/>
        </w:trPr>
        <w:tc>
          <w:tcPr>
            <w:tcW w:w="754" w:type="dxa"/>
            <w:vAlign w:val="center"/>
          </w:tcPr>
          <w:p>
            <w:pPr>
              <w:spacing w:line="400" w:lineRule="exact"/>
              <w:jc w:val="center"/>
              <w:rPr>
                <w:rFonts w:ascii="宋体" w:hAnsi="宋体" w:cs="宋体"/>
                <w:bCs/>
                <w:color w:val="000000"/>
                <w:szCs w:val="21"/>
              </w:rPr>
            </w:pPr>
          </w:p>
        </w:tc>
        <w:tc>
          <w:tcPr>
            <w:tcW w:w="1508" w:type="dxa"/>
            <w:vAlign w:val="center"/>
          </w:tcPr>
          <w:p>
            <w:pPr>
              <w:spacing w:line="400" w:lineRule="exact"/>
              <w:jc w:val="center"/>
              <w:rPr>
                <w:rFonts w:ascii="宋体" w:hAnsi="宋体" w:cs="宋体"/>
                <w:bCs/>
                <w:color w:val="000000"/>
                <w:szCs w:val="21"/>
              </w:rPr>
            </w:pPr>
          </w:p>
        </w:tc>
        <w:tc>
          <w:tcPr>
            <w:tcW w:w="1382" w:type="dxa"/>
            <w:vAlign w:val="center"/>
          </w:tcPr>
          <w:p>
            <w:pPr>
              <w:spacing w:line="400" w:lineRule="exact"/>
              <w:jc w:val="center"/>
              <w:rPr>
                <w:rFonts w:ascii="宋体" w:hAnsi="宋体" w:cs="宋体"/>
                <w:bCs/>
                <w:color w:val="000000"/>
                <w:szCs w:val="21"/>
              </w:rPr>
            </w:pPr>
          </w:p>
        </w:tc>
        <w:tc>
          <w:tcPr>
            <w:tcW w:w="1399" w:type="dxa"/>
            <w:vAlign w:val="center"/>
          </w:tcPr>
          <w:p>
            <w:pPr>
              <w:spacing w:line="400" w:lineRule="exact"/>
              <w:jc w:val="center"/>
              <w:rPr>
                <w:rFonts w:ascii="宋体" w:hAnsi="宋体" w:cs="宋体"/>
                <w:bCs/>
                <w:color w:val="000000"/>
                <w:szCs w:val="21"/>
              </w:rPr>
            </w:pPr>
          </w:p>
        </w:tc>
        <w:tc>
          <w:tcPr>
            <w:tcW w:w="1485" w:type="dxa"/>
            <w:tcBorders>
              <w:right w:val="single" w:color="auto" w:sz="4" w:space="0"/>
            </w:tcBorders>
            <w:vAlign w:val="center"/>
          </w:tcPr>
          <w:p>
            <w:pPr>
              <w:spacing w:line="400" w:lineRule="exact"/>
              <w:jc w:val="center"/>
              <w:rPr>
                <w:rFonts w:ascii="宋体" w:hAnsi="宋体" w:cs="宋体"/>
                <w:bCs/>
                <w:color w:val="000000"/>
                <w:szCs w:val="21"/>
              </w:rPr>
            </w:pPr>
          </w:p>
        </w:tc>
        <w:tc>
          <w:tcPr>
            <w:tcW w:w="1576" w:type="dxa"/>
            <w:tcBorders>
              <w:left w:val="single" w:color="auto" w:sz="4" w:space="0"/>
              <w:right w:val="single" w:color="auto" w:sz="4" w:space="0"/>
            </w:tcBorders>
            <w:vAlign w:val="center"/>
          </w:tcPr>
          <w:p>
            <w:pPr>
              <w:spacing w:line="400" w:lineRule="exact"/>
              <w:jc w:val="center"/>
              <w:rPr>
                <w:rFonts w:ascii="宋体" w:hAnsi="宋体" w:cs="宋体"/>
                <w:bCs/>
                <w:color w:val="000000"/>
                <w:szCs w:val="21"/>
              </w:rPr>
            </w:pPr>
          </w:p>
        </w:tc>
        <w:tc>
          <w:tcPr>
            <w:tcW w:w="1096" w:type="dxa"/>
            <w:tcBorders>
              <w:left w:val="single" w:color="auto" w:sz="4" w:space="0"/>
            </w:tcBorders>
            <w:vAlign w:val="center"/>
          </w:tcPr>
          <w:p>
            <w:pPr>
              <w:spacing w:line="400" w:lineRule="exact"/>
              <w:jc w:val="center"/>
              <w:rPr>
                <w:rFonts w:ascii="宋体" w:hAnsi="宋体" w:cs="宋体"/>
                <w:bCs/>
                <w:color w:val="000000"/>
                <w:szCs w:val="21"/>
              </w:rPr>
            </w:pPr>
          </w:p>
        </w:tc>
      </w:tr>
    </w:tbl>
    <w:p>
      <w:pPr>
        <w:tabs>
          <w:tab w:val="left" w:pos="555"/>
          <w:tab w:val="left" w:pos="2214"/>
          <w:tab w:val="left" w:pos="3774"/>
          <w:tab w:val="left" w:pos="4854"/>
          <w:tab w:val="left" w:pos="5934"/>
          <w:tab w:val="left" w:pos="7014"/>
          <w:tab w:val="left" w:pos="8214"/>
          <w:tab w:val="left" w:pos="10134"/>
          <w:tab w:val="left" w:pos="11124"/>
        </w:tabs>
        <w:spacing w:line="400" w:lineRule="exact"/>
        <w:rPr>
          <w:rFonts w:ascii="宋体" w:hAnsi="宋体" w:cs="宋体"/>
          <w:color w:val="000000"/>
          <w:sz w:val="24"/>
          <w:szCs w:val="24"/>
        </w:rPr>
      </w:pPr>
      <w:r>
        <w:rPr>
          <w:rFonts w:hint="eastAsia" w:ascii="宋体" w:hAnsi="宋体" w:cs="宋体"/>
          <w:color w:val="000000"/>
          <w:sz w:val="24"/>
          <w:szCs w:val="24"/>
        </w:rPr>
        <w:t xml:space="preserve"> 注：供应商（仅限于供应商自己实施的）以上业绩需提供采购合同复印件加盖公章。（合同原件备查）</w:t>
      </w:r>
    </w:p>
    <w:p>
      <w:pPr>
        <w:tabs>
          <w:tab w:val="left" w:pos="555"/>
          <w:tab w:val="left" w:pos="2214"/>
          <w:tab w:val="left" w:pos="3774"/>
          <w:tab w:val="left" w:pos="4854"/>
          <w:tab w:val="left" w:pos="5934"/>
          <w:tab w:val="left" w:pos="7014"/>
          <w:tab w:val="left" w:pos="8214"/>
          <w:tab w:val="left" w:pos="10134"/>
          <w:tab w:val="left" w:pos="11124"/>
        </w:tabs>
        <w:spacing w:line="400" w:lineRule="exact"/>
        <w:ind w:left="372" w:leftChars="171" w:firstLine="372" w:firstLineChars="150"/>
        <w:rPr>
          <w:rFonts w:ascii="宋体" w:hAnsi="宋体" w:cs="宋体"/>
          <w:color w:val="000000"/>
          <w:sz w:val="24"/>
          <w:szCs w:val="24"/>
        </w:rPr>
      </w:pPr>
    </w:p>
    <w:p>
      <w:pPr>
        <w:spacing w:line="360" w:lineRule="auto"/>
        <w:ind w:left="360"/>
        <w:jc w:val="center"/>
        <w:rPr>
          <w:rFonts w:ascii="宋体" w:hAnsi="宋体" w:cs="宋体"/>
          <w:color w:val="000000"/>
          <w:sz w:val="24"/>
          <w:szCs w:val="24"/>
        </w:rPr>
      </w:pPr>
    </w:p>
    <w:p>
      <w:pPr>
        <w:adjustRightInd w:val="0"/>
        <w:spacing w:line="360" w:lineRule="auto"/>
        <w:ind w:firstLine="434" w:firstLineChars="175"/>
        <w:jc w:val="left"/>
        <w:rPr>
          <w:rFonts w:ascii="宋体" w:hAnsi="宋体" w:cs="宋体"/>
          <w:bCs/>
          <w:color w:val="000000"/>
          <w:sz w:val="24"/>
          <w:szCs w:val="24"/>
          <w:u w:val="single"/>
        </w:rPr>
      </w:pPr>
      <w:r>
        <w:rPr>
          <w:rFonts w:hint="eastAsia" w:ascii="宋体" w:hAnsi="宋体" w:cs="宋体"/>
          <w:bCs/>
          <w:color w:val="000000"/>
          <w:sz w:val="24"/>
          <w:szCs w:val="24"/>
        </w:rPr>
        <w:t>供应商名称：</w:t>
      </w:r>
      <w:r>
        <w:rPr>
          <w:rFonts w:hint="eastAsia" w:ascii="宋体" w:hAnsi="宋体" w:cs="宋体"/>
          <w:bCs/>
          <w:color w:val="000000"/>
          <w:sz w:val="24"/>
          <w:szCs w:val="24"/>
          <w:u w:val="single"/>
        </w:rPr>
        <w:t xml:space="preserve">              （全称及公章）</w:t>
      </w:r>
    </w:p>
    <w:p>
      <w:pPr>
        <w:adjustRightInd w:val="0"/>
        <w:snapToGrid w:val="0"/>
        <w:spacing w:line="360" w:lineRule="auto"/>
        <w:ind w:firstLine="496" w:firstLineChars="200"/>
        <w:rPr>
          <w:rFonts w:ascii="宋体" w:hAnsi="宋体" w:cs="宋体"/>
          <w:color w:val="000000"/>
          <w:sz w:val="24"/>
          <w:szCs w:val="24"/>
        </w:rPr>
      </w:pPr>
      <w:r>
        <w:rPr>
          <w:rFonts w:hint="eastAsia" w:ascii="宋体" w:hAnsi="宋体" w:cs="宋体"/>
          <w:color w:val="000000"/>
          <w:sz w:val="24"/>
          <w:szCs w:val="24"/>
        </w:rPr>
        <w:t>法定代表人或被授权人（签字或盖章）：</w:t>
      </w:r>
    </w:p>
    <w:p>
      <w:pPr>
        <w:adjustRightInd w:val="0"/>
        <w:snapToGrid w:val="0"/>
        <w:spacing w:line="360" w:lineRule="auto"/>
        <w:ind w:firstLine="496" w:firstLineChars="200"/>
        <w:rPr>
          <w:rFonts w:ascii="宋体" w:hAnsi="宋体" w:cs="宋体"/>
          <w:color w:val="000000"/>
          <w:sz w:val="24"/>
          <w:szCs w:val="24"/>
        </w:rPr>
      </w:pPr>
      <w:r>
        <w:rPr>
          <w:rFonts w:hint="eastAsia" w:ascii="宋体" w:hAnsi="宋体" w:cs="宋体"/>
          <w:bCs/>
          <w:color w:val="000000"/>
          <w:sz w:val="24"/>
          <w:szCs w:val="24"/>
        </w:rPr>
        <w:t xml:space="preserve">日    </w:t>
      </w:r>
      <w:r>
        <w:rPr>
          <w:rFonts w:hint="eastAsia" w:ascii="宋体" w:hAnsi="宋体" w:cs="宋体"/>
          <w:color w:val="000000"/>
          <w:sz w:val="24"/>
          <w:szCs w:val="24"/>
        </w:rPr>
        <w:t xml:space="preserve">期:                       </w:t>
      </w:r>
    </w:p>
    <w:p>
      <w:pPr>
        <w:adjustRightInd w:val="0"/>
        <w:spacing w:line="360" w:lineRule="auto"/>
        <w:ind w:firstLine="434" w:firstLineChars="175"/>
        <w:jc w:val="left"/>
        <w:rPr>
          <w:rFonts w:ascii="宋体" w:hAnsi="宋体" w:cs="宋体"/>
          <w:bCs/>
          <w:color w:val="000000"/>
          <w:sz w:val="24"/>
          <w:szCs w:val="24"/>
          <w:u w:val="single"/>
        </w:rPr>
      </w:pPr>
    </w:p>
    <w:p>
      <w:pPr>
        <w:adjustRightInd w:val="0"/>
        <w:spacing w:line="360" w:lineRule="auto"/>
        <w:ind w:firstLine="434" w:firstLineChars="175"/>
        <w:jc w:val="left"/>
        <w:rPr>
          <w:rFonts w:ascii="宋体" w:hAnsi="宋体" w:cs="宋体"/>
          <w:bCs/>
          <w:color w:val="000000"/>
          <w:sz w:val="24"/>
          <w:szCs w:val="24"/>
          <w:u w:val="single"/>
        </w:rPr>
      </w:pPr>
    </w:p>
    <w:p>
      <w:pPr>
        <w:adjustRightInd w:val="0"/>
        <w:spacing w:line="360" w:lineRule="auto"/>
        <w:ind w:firstLine="434" w:firstLineChars="175"/>
        <w:jc w:val="left"/>
        <w:rPr>
          <w:rFonts w:ascii="宋体" w:hAnsi="宋体" w:cs="宋体"/>
          <w:bCs/>
          <w:color w:val="000000"/>
          <w:sz w:val="24"/>
          <w:szCs w:val="24"/>
          <w:u w:val="single"/>
        </w:rPr>
      </w:pPr>
    </w:p>
    <w:p>
      <w:pPr>
        <w:adjustRightInd w:val="0"/>
        <w:spacing w:line="360" w:lineRule="auto"/>
        <w:ind w:firstLine="434" w:firstLineChars="175"/>
        <w:jc w:val="left"/>
        <w:rPr>
          <w:rFonts w:ascii="宋体" w:hAnsi="宋体" w:cs="宋体"/>
          <w:bCs/>
          <w:color w:val="000000"/>
          <w:sz w:val="24"/>
          <w:szCs w:val="24"/>
          <w:u w:val="single"/>
        </w:rPr>
      </w:pPr>
    </w:p>
    <w:p>
      <w:pPr>
        <w:adjustRightInd w:val="0"/>
        <w:spacing w:line="360" w:lineRule="auto"/>
        <w:ind w:firstLine="434" w:firstLineChars="175"/>
        <w:jc w:val="left"/>
        <w:rPr>
          <w:rFonts w:ascii="宋体" w:hAnsi="宋体" w:cs="宋体"/>
          <w:bCs/>
          <w:color w:val="000000"/>
          <w:sz w:val="24"/>
          <w:szCs w:val="24"/>
          <w:u w:val="single"/>
        </w:rPr>
      </w:pPr>
    </w:p>
    <w:p>
      <w:pPr>
        <w:adjustRightInd w:val="0"/>
        <w:spacing w:line="360" w:lineRule="auto"/>
        <w:jc w:val="left"/>
        <w:rPr>
          <w:rFonts w:ascii="宋体" w:hAnsi="宋体" w:cs="宋体"/>
          <w:bCs/>
          <w:color w:val="000000"/>
          <w:sz w:val="24"/>
          <w:szCs w:val="24"/>
          <w:u w:val="single"/>
        </w:rPr>
      </w:pPr>
    </w:p>
    <w:p>
      <w:pPr>
        <w:pStyle w:val="4"/>
        <w:rPr>
          <w:color w:val="000000"/>
        </w:rPr>
      </w:pPr>
      <w:bookmarkStart w:id="186" w:name="_Toc23432"/>
      <w:bookmarkStart w:id="187" w:name="_Toc18894"/>
      <w:bookmarkStart w:id="188" w:name="_Toc29034"/>
      <w:bookmarkStart w:id="189" w:name="_Toc22382"/>
      <w:bookmarkStart w:id="190" w:name="_Toc30901"/>
      <w:r>
        <w:rPr>
          <w:rFonts w:hint="eastAsia"/>
          <w:color w:val="000000"/>
        </w:rPr>
        <w:t>第八章  供应商认为有必要说明的其他问题</w:t>
      </w:r>
      <w:bookmarkEnd w:id="186"/>
      <w:bookmarkEnd w:id="187"/>
      <w:bookmarkEnd w:id="188"/>
      <w:bookmarkEnd w:id="189"/>
      <w:bookmarkEnd w:id="190"/>
    </w:p>
    <w:p>
      <w:pPr>
        <w:rPr>
          <w:rFonts w:ascii="宋体" w:hAnsi="宋体" w:cs="宋体"/>
          <w:color w:val="000000"/>
          <w:sz w:val="24"/>
        </w:rPr>
      </w:pPr>
      <w:r>
        <w:rPr>
          <w:rFonts w:hint="eastAsia" w:ascii="宋体" w:hAnsi="宋体" w:cs="宋体"/>
          <w:color w:val="000000"/>
          <w:sz w:val="24"/>
        </w:rPr>
        <w:t>供应商认为有必要提供的其他证明文件</w:t>
      </w:r>
    </w:p>
    <w:p>
      <w:pPr>
        <w:pStyle w:val="7"/>
        <w:rPr>
          <w:color w:val="000000"/>
        </w:rPr>
      </w:pPr>
    </w:p>
    <w:p>
      <w:pPr>
        <w:adjustRightInd w:val="0"/>
        <w:snapToGrid w:val="0"/>
        <w:ind w:firstLine="436" w:firstLineChars="200"/>
        <w:jc w:val="left"/>
        <w:rPr>
          <w:rFonts w:ascii="宋体" w:hAnsi="宋体" w:cs="宋体"/>
          <w:bCs/>
          <w:sz w:val="36"/>
          <w:szCs w:val="36"/>
        </w:rPr>
      </w:pPr>
      <w:r>
        <w:rPr>
          <w:rFonts w:hint="eastAsia" w:ascii="宋体" w:hAnsi="宋体" w:cs="宋体"/>
          <w:color w:val="000000"/>
        </w:rPr>
        <w:br w:type="page"/>
      </w:r>
      <w:bookmarkEnd w:id="170"/>
      <w:bookmarkEnd w:id="171"/>
    </w:p>
    <w:p>
      <w:pPr>
        <w:pStyle w:val="4"/>
        <w:adjustRightInd w:val="0"/>
        <w:spacing w:line="416" w:lineRule="atLeast"/>
        <w:textAlignment w:val="baseline"/>
        <w:rPr>
          <w:rFonts w:ascii="宋体" w:hAnsi="宋体" w:cs="宋体"/>
        </w:rPr>
      </w:pPr>
      <w:bookmarkStart w:id="191" w:name="_Toc25689"/>
      <w:bookmarkStart w:id="192" w:name="_Toc6699"/>
      <w:r>
        <w:rPr>
          <w:rFonts w:hint="eastAsia" w:ascii="宋体" w:hAnsi="宋体" w:cs="宋体"/>
        </w:rPr>
        <w:t>附件一、封袋正面标识式样</w:t>
      </w:r>
      <w:bookmarkEnd w:id="122"/>
      <w:bookmarkEnd w:id="123"/>
      <w:bookmarkEnd w:id="191"/>
      <w:bookmarkEnd w:id="192"/>
    </w:p>
    <w:p>
      <w:pPr>
        <w:spacing w:line="460" w:lineRule="exact"/>
        <w:ind w:firstLine="496" w:firstLineChars="200"/>
        <w:jc w:val="center"/>
        <w:rPr>
          <w:rFonts w:ascii="宋体" w:hAnsi="宋体" w:cs="宋体"/>
          <w:b/>
          <w:sz w:val="24"/>
        </w:rPr>
      </w:pPr>
      <w:r>
        <w:rPr>
          <w:rFonts w:hint="eastAsia" w:ascii="宋体" w:hAnsi="宋体" w:cs="宋体"/>
          <w:b/>
          <w:sz w:val="24"/>
        </w:rPr>
        <w:t>磋商响应文件正本封袋正面标识式样</w:t>
      </w:r>
    </w:p>
    <w:p>
      <w:pPr>
        <w:spacing w:line="460" w:lineRule="exact"/>
        <w:ind w:firstLine="436" w:firstLineChars="200"/>
        <w:jc w:val="center"/>
        <w:rPr>
          <w:rFonts w:ascii="宋体" w:hAnsi="宋体" w:cs="宋体"/>
          <w:b/>
          <w:sz w:val="24"/>
        </w:rPr>
      </w:pPr>
      <w:r>
        <w:rPr>
          <w:rFonts w:ascii="宋体" w:hAnsi="宋体" w:cs="宋体"/>
        </w:rPr>
        <mc:AlternateContent>
          <mc:Choice Requires="wps">
            <w:drawing>
              <wp:anchor distT="0" distB="0" distL="114300" distR="114300" simplePos="0" relativeHeight="251663360" behindDoc="0" locked="0" layoutInCell="1" allowOverlap="1">
                <wp:simplePos x="0" y="0"/>
                <wp:positionH relativeFrom="column">
                  <wp:posOffset>-349885</wp:posOffset>
                </wp:positionH>
                <wp:positionV relativeFrom="paragraph">
                  <wp:posOffset>113030</wp:posOffset>
                </wp:positionV>
                <wp:extent cx="6274435" cy="2795270"/>
                <wp:effectExtent l="4445" t="4445" r="7620" b="19685"/>
                <wp:wrapNone/>
                <wp:docPr id="13" name="Text Box 3"/>
                <wp:cNvGraphicFramePr/>
                <a:graphic xmlns:a="http://schemas.openxmlformats.org/drawingml/2006/main">
                  <a:graphicData uri="http://schemas.microsoft.com/office/word/2010/wordprocessingShape">
                    <wps:wsp>
                      <wps:cNvSpPr txBox="1"/>
                      <wps:spPr>
                        <a:xfrm>
                          <a:off x="0" y="0"/>
                          <a:ext cx="5781040" cy="30086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sz w:val="28"/>
                                <w:szCs w:val="28"/>
                              </w:rPr>
                            </w:pPr>
                            <w:r>
                              <w:rPr>
                                <w:rFonts w:hint="eastAsia"/>
                                <w:sz w:val="28"/>
                                <w:szCs w:val="28"/>
                              </w:rPr>
                              <w:t>致：陕西万泽招标有限公司         项目编号：SXWZ2022ZB-SYJ-013</w:t>
                            </w:r>
                          </w:p>
                          <w:p>
                            <w:pPr>
                              <w:ind w:left="1442" w:hanging="1400" w:hangingChars="500"/>
                              <w:rPr>
                                <w:rFonts w:hint="eastAsia"/>
                                <w:sz w:val="28"/>
                                <w:szCs w:val="28"/>
                              </w:rPr>
                            </w:pPr>
                            <w:r>
                              <w:rPr>
                                <w:rFonts w:hint="eastAsia"/>
                                <w:sz w:val="28"/>
                                <w:szCs w:val="28"/>
                              </w:rPr>
                              <w:t>项目名称：西安市食品药品检验所食品抽样租赁用车项目</w:t>
                            </w:r>
                          </w:p>
                          <w:p>
                            <w:pPr>
                              <w:jc w:val="center"/>
                              <w:rPr>
                                <w:sz w:val="28"/>
                                <w:szCs w:val="28"/>
                              </w:rPr>
                            </w:pPr>
                          </w:p>
                          <w:p>
                            <w:pPr>
                              <w:jc w:val="center"/>
                              <w:rPr>
                                <w:b/>
                                <w:sz w:val="44"/>
                                <w:szCs w:val="44"/>
                              </w:rPr>
                            </w:pPr>
                            <w:r>
                              <w:rPr>
                                <w:rFonts w:hint="eastAsia"/>
                                <w:b/>
                                <w:sz w:val="44"/>
                                <w:szCs w:val="44"/>
                              </w:rPr>
                              <w:t>磋商响应文件（正本）</w:t>
                            </w:r>
                          </w:p>
                          <w:p>
                            <w:pPr>
                              <w:jc w:val="center"/>
                              <w:rPr>
                                <w:sz w:val="28"/>
                                <w:szCs w:val="28"/>
                              </w:rPr>
                            </w:pPr>
                            <w:r>
                              <w:rPr>
                                <w:rFonts w:hint="eastAsia"/>
                                <w:sz w:val="28"/>
                                <w:szCs w:val="28"/>
                              </w:rPr>
                              <w:t>（非磋商会议不得启封）</w:t>
                            </w:r>
                          </w:p>
                          <w:p>
                            <w:pPr>
                              <w:rPr>
                                <w:sz w:val="28"/>
                                <w:szCs w:val="28"/>
                                <w:u w:val="single"/>
                              </w:rPr>
                            </w:pPr>
                            <w:r>
                              <w:rPr>
                                <w:rFonts w:hint="eastAsia"/>
                                <w:sz w:val="28"/>
                                <w:szCs w:val="28"/>
                              </w:rPr>
                              <w:t>供应商（公章）：</w:t>
                            </w:r>
                          </w:p>
                          <w:p>
                            <w:pPr>
                              <w:rPr>
                                <w:sz w:val="28"/>
                                <w:szCs w:val="28"/>
                              </w:rPr>
                            </w:pPr>
                            <w:r>
                              <w:rPr>
                                <w:rFonts w:hint="eastAsia"/>
                                <w:sz w:val="28"/>
                                <w:szCs w:val="28"/>
                              </w:rPr>
                              <w:t>时          间：</w:t>
                            </w:r>
                            <w:r>
                              <w:rPr>
                                <w:rFonts w:hint="eastAsia"/>
                                <w:sz w:val="28"/>
                                <w:szCs w:val="28"/>
                                <w:u w:val="single"/>
                              </w:rPr>
                              <w:t xml:space="preserve">        年       月      日</w:t>
                            </w:r>
                          </w:p>
                        </w:txbxContent>
                      </wps:txbx>
                      <wps:bodyPr upright="1"/>
                    </wps:wsp>
                  </a:graphicData>
                </a:graphic>
              </wp:anchor>
            </w:drawing>
          </mc:Choice>
          <mc:Fallback>
            <w:pict>
              <v:shape id="Text Box 3" o:spid="_x0000_s1026" o:spt="202" type="#_x0000_t202" style="position:absolute;left:0pt;margin-left:-27.55pt;margin-top:8.9pt;height:220.1pt;width:494.05pt;z-index:251663360;mso-width-relative:page;mso-height-relative:page;" fillcolor="#FFFFFF" filled="t" stroked="t" coordsize="21600,21600" o:gfxdata="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&#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dK2ujZAAAACgEAAA8AAAAAAAAAAQAgAAAAIgAAAGRy&#10;cy9kb3ducmV2LnhtbFBLAQIUABQAAAAIAIdO4kD6Rt5MBAIAAEUEAAAOAAAAAAAAAAEAIAAAACgB&#10;AABkcnMvZTJvRG9jLnhtbFBLBQYAAAAABgAGAFkBAACeBQAAAAA=&#10;">
                <v:fill on="t" focussize="0,0"/>
                <v:stroke color="#000000" joinstyle="miter"/>
                <v:imagedata o:title=""/>
                <o:lock v:ext="edit" aspectratio="f"/>
                <v:textbox>
                  <w:txbxContent>
                    <w:p>
                      <w:pPr>
                        <w:rPr>
                          <w:rFonts w:hint="eastAsia"/>
                          <w:sz w:val="28"/>
                          <w:szCs w:val="28"/>
                        </w:rPr>
                      </w:pPr>
                      <w:r>
                        <w:rPr>
                          <w:rFonts w:hint="eastAsia"/>
                          <w:sz w:val="28"/>
                          <w:szCs w:val="28"/>
                        </w:rPr>
                        <w:t>致：陕西万泽招标有限公司         项目编号：SXWZ2022ZB-SYJ-013</w:t>
                      </w:r>
                    </w:p>
                    <w:p>
                      <w:pPr>
                        <w:ind w:left="1442" w:hanging="1400" w:hangingChars="500"/>
                        <w:rPr>
                          <w:rFonts w:hint="eastAsia"/>
                          <w:sz w:val="28"/>
                          <w:szCs w:val="28"/>
                        </w:rPr>
                      </w:pPr>
                      <w:r>
                        <w:rPr>
                          <w:rFonts w:hint="eastAsia"/>
                          <w:sz w:val="28"/>
                          <w:szCs w:val="28"/>
                        </w:rPr>
                        <w:t>项目名称：西安市食品药品检验所食品抽样租赁用车项目</w:t>
                      </w:r>
                    </w:p>
                    <w:p>
                      <w:pPr>
                        <w:jc w:val="center"/>
                        <w:rPr>
                          <w:sz w:val="28"/>
                          <w:szCs w:val="28"/>
                        </w:rPr>
                      </w:pPr>
                    </w:p>
                    <w:p>
                      <w:pPr>
                        <w:jc w:val="center"/>
                        <w:rPr>
                          <w:b/>
                          <w:sz w:val="44"/>
                          <w:szCs w:val="44"/>
                        </w:rPr>
                      </w:pPr>
                      <w:r>
                        <w:rPr>
                          <w:rFonts w:hint="eastAsia"/>
                          <w:b/>
                          <w:sz w:val="44"/>
                          <w:szCs w:val="44"/>
                        </w:rPr>
                        <w:t>磋商响应文件（正本）</w:t>
                      </w:r>
                    </w:p>
                    <w:p>
                      <w:pPr>
                        <w:jc w:val="center"/>
                        <w:rPr>
                          <w:sz w:val="28"/>
                          <w:szCs w:val="28"/>
                        </w:rPr>
                      </w:pPr>
                      <w:r>
                        <w:rPr>
                          <w:rFonts w:hint="eastAsia"/>
                          <w:sz w:val="28"/>
                          <w:szCs w:val="28"/>
                        </w:rPr>
                        <w:t>（非磋商会议不得启封）</w:t>
                      </w:r>
                    </w:p>
                    <w:p>
                      <w:pPr>
                        <w:rPr>
                          <w:sz w:val="28"/>
                          <w:szCs w:val="28"/>
                          <w:u w:val="single"/>
                        </w:rPr>
                      </w:pPr>
                      <w:r>
                        <w:rPr>
                          <w:rFonts w:hint="eastAsia"/>
                          <w:sz w:val="28"/>
                          <w:szCs w:val="28"/>
                        </w:rPr>
                        <w:t>供应商（公章）：</w:t>
                      </w:r>
                    </w:p>
                    <w:p>
                      <w:pPr>
                        <w:rPr>
                          <w:sz w:val="28"/>
                          <w:szCs w:val="28"/>
                        </w:rPr>
                      </w:pPr>
                      <w:r>
                        <w:rPr>
                          <w:rFonts w:hint="eastAsia"/>
                          <w:sz w:val="28"/>
                          <w:szCs w:val="28"/>
                        </w:rPr>
                        <w:t>时          间：</w:t>
                      </w:r>
                      <w:r>
                        <w:rPr>
                          <w:rFonts w:hint="eastAsia"/>
                          <w:sz w:val="28"/>
                          <w:szCs w:val="28"/>
                          <w:u w:val="single"/>
                        </w:rPr>
                        <w:t xml:space="preserve">        年       月      日</w:t>
                      </w:r>
                    </w:p>
                  </w:txbxContent>
                </v:textbox>
              </v:shape>
            </w:pict>
          </mc:Fallback>
        </mc:AlternateContent>
      </w:r>
    </w:p>
    <w:p>
      <w:pPr>
        <w:spacing w:line="460" w:lineRule="exact"/>
        <w:ind w:firstLine="496" w:firstLineChars="200"/>
        <w:jc w:val="center"/>
        <w:rPr>
          <w:rFonts w:ascii="宋体" w:hAnsi="宋体" w:cs="宋体"/>
          <w:b/>
          <w:sz w:val="24"/>
        </w:rPr>
      </w:pPr>
    </w:p>
    <w:p>
      <w:pPr>
        <w:spacing w:line="460" w:lineRule="exact"/>
        <w:ind w:firstLine="496" w:firstLineChars="200"/>
        <w:jc w:val="center"/>
        <w:rPr>
          <w:rFonts w:ascii="宋体" w:hAnsi="宋体" w:cs="宋体"/>
          <w:b/>
          <w:sz w:val="24"/>
        </w:rPr>
      </w:pPr>
    </w:p>
    <w:p>
      <w:pPr>
        <w:spacing w:line="460" w:lineRule="exact"/>
        <w:ind w:firstLine="496" w:firstLineChars="200"/>
        <w:jc w:val="center"/>
        <w:rPr>
          <w:rFonts w:ascii="宋体" w:hAnsi="宋体" w:cs="宋体"/>
          <w:b/>
          <w:sz w:val="24"/>
        </w:rPr>
      </w:pPr>
    </w:p>
    <w:p>
      <w:pPr>
        <w:spacing w:line="460" w:lineRule="exact"/>
        <w:ind w:firstLine="496" w:firstLineChars="200"/>
        <w:jc w:val="center"/>
        <w:rPr>
          <w:rFonts w:ascii="宋体" w:hAnsi="宋体" w:cs="宋体"/>
          <w:b/>
          <w:sz w:val="24"/>
        </w:rPr>
      </w:pPr>
    </w:p>
    <w:p>
      <w:pPr>
        <w:spacing w:line="460" w:lineRule="exact"/>
        <w:ind w:firstLine="496" w:firstLineChars="200"/>
        <w:jc w:val="center"/>
        <w:rPr>
          <w:rFonts w:ascii="宋体" w:hAnsi="宋体" w:cs="宋体"/>
          <w:b/>
          <w:sz w:val="24"/>
        </w:rPr>
      </w:pPr>
    </w:p>
    <w:p>
      <w:pPr>
        <w:spacing w:line="460" w:lineRule="exact"/>
        <w:ind w:firstLine="496" w:firstLineChars="200"/>
        <w:jc w:val="center"/>
        <w:rPr>
          <w:rFonts w:ascii="宋体" w:hAnsi="宋体" w:cs="宋体"/>
          <w:b/>
          <w:sz w:val="24"/>
        </w:rPr>
      </w:pPr>
    </w:p>
    <w:p>
      <w:pPr>
        <w:spacing w:line="460" w:lineRule="exact"/>
        <w:ind w:firstLine="496" w:firstLineChars="200"/>
        <w:jc w:val="center"/>
        <w:rPr>
          <w:rFonts w:ascii="宋体" w:hAnsi="宋体" w:cs="宋体"/>
          <w:b/>
          <w:sz w:val="24"/>
        </w:rPr>
      </w:pPr>
    </w:p>
    <w:p>
      <w:pPr>
        <w:spacing w:line="460" w:lineRule="exact"/>
        <w:ind w:firstLine="496" w:firstLineChars="200"/>
        <w:jc w:val="center"/>
        <w:rPr>
          <w:rFonts w:ascii="宋体" w:hAnsi="宋体" w:cs="宋体"/>
          <w:b/>
          <w:sz w:val="24"/>
        </w:rPr>
      </w:pPr>
    </w:p>
    <w:p>
      <w:pPr>
        <w:spacing w:line="460" w:lineRule="exact"/>
        <w:ind w:firstLine="496" w:firstLineChars="200"/>
        <w:jc w:val="center"/>
        <w:rPr>
          <w:rFonts w:ascii="宋体" w:hAnsi="宋体" w:cs="宋体"/>
          <w:b/>
          <w:sz w:val="24"/>
        </w:rPr>
      </w:pPr>
    </w:p>
    <w:p>
      <w:pPr>
        <w:spacing w:line="460" w:lineRule="exact"/>
        <w:ind w:firstLine="496" w:firstLineChars="200"/>
        <w:jc w:val="center"/>
        <w:rPr>
          <w:rFonts w:ascii="宋体" w:hAnsi="宋体" w:cs="宋体"/>
          <w:b/>
          <w:sz w:val="24"/>
        </w:rPr>
      </w:pPr>
    </w:p>
    <w:p>
      <w:pPr>
        <w:spacing w:line="460" w:lineRule="exact"/>
        <w:ind w:firstLine="496" w:firstLineChars="200"/>
        <w:jc w:val="center"/>
        <w:rPr>
          <w:rFonts w:ascii="宋体" w:hAnsi="宋体" w:cs="宋体"/>
          <w:b/>
          <w:sz w:val="24"/>
        </w:rPr>
      </w:pPr>
    </w:p>
    <w:p>
      <w:pPr>
        <w:pStyle w:val="7"/>
      </w:pPr>
    </w:p>
    <w:p>
      <w:pPr>
        <w:spacing w:line="460" w:lineRule="exact"/>
        <w:ind w:firstLine="496" w:firstLineChars="200"/>
        <w:jc w:val="center"/>
        <w:rPr>
          <w:rFonts w:ascii="宋体" w:hAnsi="宋体" w:cs="宋体"/>
          <w:b/>
          <w:sz w:val="24"/>
        </w:rPr>
      </w:pPr>
      <w:r>
        <w:rPr>
          <w:rFonts w:hint="eastAsia" w:ascii="宋体" w:hAnsi="宋体" w:cs="宋体"/>
          <w:b/>
          <w:sz w:val="24"/>
        </w:rPr>
        <w:t>磋商响应文件副本封袋正面标识式样</w:t>
      </w:r>
    </w:p>
    <w:p>
      <w:pPr>
        <w:ind w:firstLine="436" w:firstLineChars="200"/>
        <w:jc w:val="center"/>
        <w:rPr>
          <w:rFonts w:ascii="宋体" w:hAnsi="宋体" w:cs="宋体"/>
        </w:rPr>
      </w:pPr>
    </w:p>
    <w:p>
      <w:pPr>
        <w:ind w:firstLine="436" w:firstLineChars="200"/>
        <w:jc w:val="center"/>
        <w:rPr>
          <w:rFonts w:ascii="宋体" w:hAnsi="宋体" w:cs="宋体"/>
        </w:rPr>
      </w:pPr>
      <w:r>
        <w:rPr>
          <w:rFonts w:ascii="宋体" w:hAnsi="宋体" w:cs="宋体"/>
        </w:rPr>
        <mc:AlternateContent>
          <mc:Choice Requires="wps">
            <w:drawing>
              <wp:anchor distT="0" distB="0" distL="114300" distR="114300" simplePos="0" relativeHeight="251664384" behindDoc="0" locked="0" layoutInCell="1" allowOverlap="1">
                <wp:simplePos x="0" y="0"/>
                <wp:positionH relativeFrom="column">
                  <wp:posOffset>-314325</wp:posOffset>
                </wp:positionH>
                <wp:positionV relativeFrom="paragraph">
                  <wp:posOffset>100330</wp:posOffset>
                </wp:positionV>
                <wp:extent cx="6257925" cy="3180715"/>
                <wp:effectExtent l="4445" t="4445" r="5080" b="15240"/>
                <wp:wrapNone/>
                <wp:docPr id="6" name="Text Box 4"/>
                <wp:cNvGraphicFramePr/>
                <a:graphic xmlns:a="http://schemas.openxmlformats.org/drawingml/2006/main">
                  <a:graphicData uri="http://schemas.microsoft.com/office/word/2010/wordprocessingShape">
                    <wps:wsp>
                      <wps:cNvSpPr txBox="1"/>
                      <wps:spPr>
                        <a:xfrm>
                          <a:off x="0" y="0"/>
                          <a:ext cx="5825490" cy="31807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sz w:val="28"/>
                                <w:szCs w:val="28"/>
                              </w:rPr>
                            </w:pPr>
                            <w:r>
                              <w:rPr>
                                <w:rFonts w:hint="eastAsia"/>
                                <w:sz w:val="28"/>
                                <w:szCs w:val="28"/>
                              </w:rPr>
                              <w:t>致：陕西万泽招标有限公司         项目编号：SXWZ2022ZB-SYJ-013</w:t>
                            </w:r>
                          </w:p>
                          <w:p>
                            <w:pPr>
                              <w:ind w:left="1442" w:hanging="1400" w:hangingChars="500"/>
                              <w:rPr>
                                <w:rFonts w:hint="eastAsia"/>
                                <w:sz w:val="28"/>
                                <w:szCs w:val="28"/>
                              </w:rPr>
                            </w:pPr>
                            <w:r>
                              <w:rPr>
                                <w:rFonts w:hint="eastAsia"/>
                                <w:sz w:val="28"/>
                                <w:szCs w:val="28"/>
                              </w:rPr>
                              <w:t>项目名称：西安市食品药品检验所食品抽样租赁用车项目</w:t>
                            </w:r>
                          </w:p>
                          <w:p>
                            <w:pPr>
                              <w:jc w:val="center"/>
                              <w:rPr>
                                <w:sz w:val="28"/>
                                <w:szCs w:val="28"/>
                              </w:rPr>
                            </w:pPr>
                          </w:p>
                          <w:p>
                            <w:pPr>
                              <w:jc w:val="center"/>
                              <w:rPr>
                                <w:b/>
                                <w:sz w:val="44"/>
                                <w:szCs w:val="44"/>
                              </w:rPr>
                            </w:pPr>
                            <w:r>
                              <w:rPr>
                                <w:rFonts w:hint="eastAsia"/>
                                <w:b/>
                                <w:sz w:val="44"/>
                                <w:szCs w:val="44"/>
                              </w:rPr>
                              <w:t>磋商响应文件（副本）</w:t>
                            </w:r>
                          </w:p>
                          <w:p>
                            <w:pPr>
                              <w:jc w:val="center"/>
                              <w:rPr>
                                <w:sz w:val="28"/>
                                <w:szCs w:val="28"/>
                              </w:rPr>
                            </w:pPr>
                            <w:r>
                              <w:rPr>
                                <w:rFonts w:hint="eastAsia"/>
                                <w:sz w:val="28"/>
                                <w:szCs w:val="28"/>
                              </w:rPr>
                              <w:t>（非磋商会议不得启封）</w:t>
                            </w:r>
                          </w:p>
                          <w:p>
                            <w:pPr>
                              <w:pStyle w:val="7"/>
                              <w:ind w:firstLine="0"/>
                            </w:pPr>
                          </w:p>
                          <w:p>
                            <w:pPr>
                              <w:rPr>
                                <w:sz w:val="28"/>
                                <w:szCs w:val="28"/>
                                <w:u w:val="single"/>
                              </w:rPr>
                            </w:pPr>
                            <w:r>
                              <w:rPr>
                                <w:rFonts w:hint="eastAsia"/>
                                <w:sz w:val="28"/>
                                <w:szCs w:val="28"/>
                              </w:rPr>
                              <w:t>供应商（公章）：</w:t>
                            </w:r>
                          </w:p>
                          <w:p>
                            <w:pPr>
                              <w:rPr>
                                <w:sz w:val="28"/>
                                <w:szCs w:val="28"/>
                              </w:rPr>
                            </w:pPr>
                            <w:r>
                              <w:rPr>
                                <w:rFonts w:hint="eastAsia"/>
                                <w:sz w:val="28"/>
                                <w:szCs w:val="28"/>
                              </w:rPr>
                              <w:t>时          间：</w:t>
                            </w:r>
                            <w:r>
                              <w:rPr>
                                <w:rFonts w:hint="eastAsia"/>
                                <w:sz w:val="28"/>
                                <w:szCs w:val="28"/>
                                <w:u w:val="single"/>
                              </w:rPr>
                              <w:t xml:space="preserve">        年       月      日</w:t>
                            </w:r>
                          </w:p>
                        </w:txbxContent>
                      </wps:txbx>
                      <wps:bodyPr upright="1"/>
                    </wps:wsp>
                  </a:graphicData>
                </a:graphic>
              </wp:anchor>
            </w:drawing>
          </mc:Choice>
          <mc:Fallback>
            <w:pict>
              <v:shape id="Text Box 4" o:spid="_x0000_s1026" o:spt="202" type="#_x0000_t202" style="position:absolute;left:0pt;margin-left:-24.75pt;margin-top:7.9pt;height:250.45pt;width:492.75pt;z-index:251664384;mso-width-relative:page;mso-height-relative:page;" fillcolor="#FFFFFF" filled="t" stroked="t" coordsize="21600,21600" o:gfxdata="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xtI+s2QAAAAoBAAAPAAAAAAAAAAEAIAAAACIAAABkcnMv&#10;ZG93bnJldi54bWxQSwECFAAUAAAACACHTuJAjRWJWgICAABEBAAADgAAAAAAAAABACAAAAAoAQAA&#10;ZHJzL2Uyb0RvYy54bWxQSwUGAAAAAAYABgBZAQAAnAUAAAAA&#10;">
                <v:fill on="t" focussize="0,0"/>
                <v:stroke color="#000000" joinstyle="miter"/>
                <v:imagedata o:title=""/>
                <o:lock v:ext="edit" aspectratio="f"/>
                <v:textbox>
                  <w:txbxContent>
                    <w:p>
                      <w:pPr>
                        <w:rPr>
                          <w:rFonts w:hint="eastAsia"/>
                          <w:sz w:val="28"/>
                          <w:szCs w:val="28"/>
                        </w:rPr>
                      </w:pPr>
                      <w:r>
                        <w:rPr>
                          <w:rFonts w:hint="eastAsia"/>
                          <w:sz w:val="28"/>
                          <w:szCs w:val="28"/>
                        </w:rPr>
                        <w:t>致：陕西万泽招标有限公司         项目编号：SXWZ2022ZB-SYJ-013</w:t>
                      </w:r>
                    </w:p>
                    <w:p>
                      <w:pPr>
                        <w:ind w:left="1442" w:hanging="1400" w:hangingChars="500"/>
                        <w:rPr>
                          <w:rFonts w:hint="eastAsia"/>
                          <w:sz w:val="28"/>
                          <w:szCs w:val="28"/>
                        </w:rPr>
                      </w:pPr>
                      <w:r>
                        <w:rPr>
                          <w:rFonts w:hint="eastAsia"/>
                          <w:sz w:val="28"/>
                          <w:szCs w:val="28"/>
                        </w:rPr>
                        <w:t>项目名称：西安市食品药品检验所食品抽样租赁用车项目</w:t>
                      </w:r>
                    </w:p>
                    <w:p>
                      <w:pPr>
                        <w:jc w:val="center"/>
                        <w:rPr>
                          <w:sz w:val="28"/>
                          <w:szCs w:val="28"/>
                        </w:rPr>
                      </w:pPr>
                    </w:p>
                    <w:p>
                      <w:pPr>
                        <w:jc w:val="center"/>
                        <w:rPr>
                          <w:b/>
                          <w:sz w:val="44"/>
                          <w:szCs w:val="44"/>
                        </w:rPr>
                      </w:pPr>
                      <w:r>
                        <w:rPr>
                          <w:rFonts w:hint="eastAsia"/>
                          <w:b/>
                          <w:sz w:val="44"/>
                          <w:szCs w:val="44"/>
                        </w:rPr>
                        <w:t>磋商响应文件（副本）</w:t>
                      </w:r>
                    </w:p>
                    <w:p>
                      <w:pPr>
                        <w:jc w:val="center"/>
                        <w:rPr>
                          <w:sz w:val="28"/>
                          <w:szCs w:val="28"/>
                        </w:rPr>
                      </w:pPr>
                      <w:r>
                        <w:rPr>
                          <w:rFonts w:hint="eastAsia"/>
                          <w:sz w:val="28"/>
                          <w:szCs w:val="28"/>
                        </w:rPr>
                        <w:t>（非磋商会议不得启封）</w:t>
                      </w:r>
                    </w:p>
                    <w:p>
                      <w:pPr>
                        <w:pStyle w:val="7"/>
                        <w:ind w:firstLine="0"/>
                      </w:pPr>
                    </w:p>
                    <w:p>
                      <w:pPr>
                        <w:rPr>
                          <w:sz w:val="28"/>
                          <w:szCs w:val="28"/>
                          <w:u w:val="single"/>
                        </w:rPr>
                      </w:pPr>
                      <w:r>
                        <w:rPr>
                          <w:rFonts w:hint="eastAsia"/>
                          <w:sz w:val="28"/>
                          <w:szCs w:val="28"/>
                        </w:rPr>
                        <w:t>供应商（公章）：</w:t>
                      </w:r>
                    </w:p>
                    <w:p>
                      <w:pPr>
                        <w:rPr>
                          <w:sz w:val="28"/>
                          <w:szCs w:val="28"/>
                        </w:rPr>
                      </w:pPr>
                      <w:r>
                        <w:rPr>
                          <w:rFonts w:hint="eastAsia"/>
                          <w:sz w:val="28"/>
                          <w:szCs w:val="28"/>
                        </w:rPr>
                        <w:t>时          间：</w:t>
                      </w:r>
                      <w:r>
                        <w:rPr>
                          <w:rFonts w:hint="eastAsia"/>
                          <w:sz w:val="28"/>
                          <w:szCs w:val="28"/>
                          <w:u w:val="single"/>
                        </w:rPr>
                        <w:t xml:space="preserve">        年       月      日</w:t>
                      </w:r>
                    </w:p>
                  </w:txbxContent>
                </v:textbox>
              </v:shape>
            </w:pict>
          </mc:Fallback>
        </mc:AlternateContent>
      </w:r>
    </w:p>
    <w:p>
      <w:pPr>
        <w:ind w:firstLine="436" w:firstLineChars="200"/>
        <w:jc w:val="center"/>
        <w:rPr>
          <w:rFonts w:ascii="宋体" w:hAnsi="宋体" w:cs="宋体"/>
        </w:rPr>
      </w:pPr>
    </w:p>
    <w:p>
      <w:pPr>
        <w:ind w:firstLine="436" w:firstLineChars="200"/>
        <w:jc w:val="center"/>
        <w:rPr>
          <w:rFonts w:ascii="宋体" w:hAnsi="宋体" w:cs="宋体"/>
        </w:rPr>
      </w:pPr>
    </w:p>
    <w:p>
      <w:pPr>
        <w:ind w:firstLine="436" w:firstLineChars="200"/>
        <w:jc w:val="center"/>
        <w:rPr>
          <w:rFonts w:ascii="宋体" w:hAnsi="宋体" w:cs="宋体"/>
        </w:rPr>
      </w:pPr>
    </w:p>
    <w:p>
      <w:pPr>
        <w:ind w:firstLine="436" w:firstLineChars="200"/>
        <w:jc w:val="center"/>
        <w:rPr>
          <w:rFonts w:ascii="宋体" w:hAnsi="宋体" w:cs="宋体"/>
        </w:rPr>
      </w:pPr>
    </w:p>
    <w:p>
      <w:pPr>
        <w:ind w:firstLine="436" w:firstLineChars="200"/>
        <w:jc w:val="center"/>
        <w:rPr>
          <w:rFonts w:ascii="宋体" w:hAnsi="宋体" w:cs="宋体"/>
        </w:rPr>
      </w:pPr>
    </w:p>
    <w:p>
      <w:pPr>
        <w:ind w:firstLine="436" w:firstLineChars="200"/>
        <w:jc w:val="center"/>
        <w:rPr>
          <w:rFonts w:ascii="宋体" w:hAnsi="宋体" w:cs="宋体"/>
        </w:rPr>
      </w:pPr>
    </w:p>
    <w:p>
      <w:pPr>
        <w:ind w:firstLine="436" w:firstLineChars="200"/>
        <w:jc w:val="center"/>
        <w:rPr>
          <w:rFonts w:ascii="宋体" w:hAnsi="宋体" w:cs="宋体"/>
        </w:rPr>
      </w:pPr>
    </w:p>
    <w:p>
      <w:pPr>
        <w:ind w:firstLine="436" w:firstLineChars="200"/>
        <w:jc w:val="center"/>
        <w:rPr>
          <w:rFonts w:ascii="宋体" w:hAnsi="宋体" w:cs="宋体"/>
        </w:rPr>
      </w:pPr>
    </w:p>
    <w:p>
      <w:pPr>
        <w:ind w:firstLine="436" w:firstLineChars="200"/>
        <w:jc w:val="center"/>
        <w:rPr>
          <w:rFonts w:ascii="宋体" w:hAnsi="宋体" w:cs="宋体"/>
        </w:rPr>
      </w:pPr>
    </w:p>
    <w:p>
      <w:pPr>
        <w:ind w:firstLine="1016" w:firstLineChars="200"/>
        <w:jc w:val="center"/>
        <w:rPr>
          <w:rFonts w:ascii="宋体" w:hAnsi="宋体" w:cs="宋体"/>
          <w:b/>
          <w:sz w:val="50"/>
        </w:rPr>
      </w:pPr>
    </w:p>
    <w:p>
      <w:pPr>
        <w:widowControl/>
        <w:spacing w:line="460" w:lineRule="exact"/>
        <w:ind w:firstLine="496" w:firstLineChars="200"/>
        <w:jc w:val="center"/>
        <w:rPr>
          <w:rFonts w:ascii="宋体" w:hAnsi="宋体" w:cs="宋体"/>
          <w:sz w:val="24"/>
          <w:szCs w:val="28"/>
        </w:rPr>
        <w:sectPr>
          <w:footerReference r:id="rId18" w:type="default"/>
          <w:pgSz w:w="11906" w:h="16838"/>
          <w:pgMar w:top="1440" w:right="1803" w:bottom="1440" w:left="1803" w:header="850" w:footer="992" w:gutter="0"/>
          <w:cols w:space="720" w:num="1"/>
          <w:titlePg/>
          <w:docGrid w:type="linesAndChars" w:linePitch="395" w:charSpace="1724"/>
        </w:sectPr>
      </w:pPr>
    </w:p>
    <w:p>
      <w:pPr>
        <w:spacing w:line="460" w:lineRule="exact"/>
        <w:ind w:firstLine="496" w:firstLineChars="200"/>
        <w:jc w:val="center"/>
        <w:rPr>
          <w:rFonts w:ascii="宋体" w:hAnsi="宋体" w:cs="宋体"/>
          <w:b/>
          <w:sz w:val="24"/>
        </w:rPr>
      </w:pPr>
      <w:r>
        <w:rPr>
          <w:rFonts w:hint="eastAsia" w:ascii="宋体" w:hAnsi="宋体" w:cs="宋体"/>
          <w:b/>
          <w:sz w:val="24"/>
        </w:rPr>
        <w:t>磋商一览表封袋正面标识式样</w:t>
      </w:r>
    </w:p>
    <w:p>
      <w:pPr>
        <w:spacing w:line="460" w:lineRule="exact"/>
        <w:ind w:firstLine="436" w:firstLineChars="200"/>
        <w:jc w:val="center"/>
        <w:rPr>
          <w:rFonts w:ascii="宋体" w:hAnsi="宋体" w:cs="宋体"/>
          <w:b/>
          <w:sz w:val="24"/>
        </w:rPr>
      </w:pPr>
      <w:r>
        <w:rPr>
          <w:rFonts w:ascii="宋体" w:hAnsi="宋体" w:cs="宋体"/>
        </w:rPr>
        <mc:AlternateContent>
          <mc:Choice Requires="wps">
            <w:drawing>
              <wp:anchor distT="0" distB="0" distL="114300" distR="114300" simplePos="0" relativeHeight="251664384" behindDoc="0" locked="0" layoutInCell="1" allowOverlap="1">
                <wp:simplePos x="0" y="0"/>
                <wp:positionH relativeFrom="column">
                  <wp:posOffset>-325755</wp:posOffset>
                </wp:positionH>
                <wp:positionV relativeFrom="paragraph">
                  <wp:posOffset>191135</wp:posOffset>
                </wp:positionV>
                <wp:extent cx="6229985" cy="2956560"/>
                <wp:effectExtent l="4445" t="5080" r="13970" b="10160"/>
                <wp:wrapNone/>
                <wp:docPr id="11" name="Text Box 3"/>
                <wp:cNvGraphicFramePr/>
                <a:graphic xmlns:a="http://schemas.openxmlformats.org/drawingml/2006/main">
                  <a:graphicData uri="http://schemas.microsoft.com/office/word/2010/wordprocessingShape">
                    <wps:wsp>
                      <wps:cNvSpPr txBox="1"/>
                      <wps:spPr>
                        <a:xfrm>
                          <a:off x="0" y="0"/>
                          <a:ext cx="5706745" cy="30607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sz w:val="28"/>
                                <w:szCs w:val="28"/>
                              </w:rPr>
                            </w:pPr>
                            <w:r>
                              <w:rPr>
                                <w:rFonts w:hint="eastAsia"/>
                                <w:sz w:val="28"/>
                                <w:szCs w:val="28"/>
                              </w:rPr>
                              <w:t>致：陕西万泽招标有限公司         项目编号：SXWZ2022ZB-SYJ-013</w:t>
                            </w:r>
                          </w:p>
                          <w:p>
                            <w:pPr>
                              <w:ind w:left="1442" w:hanging="1400" w:hangingChars="500"/>
                              <w:rPr>
                                <w:rFonts w:hint="eastAsia"/>
                                <w:sz w:val="28"/>
                                <w:szCs w:val="28"/>
                              </w:rPr>
                            </w:pPr>
                            <w:r>
                              <w:rPr>
                                <w:rFonts w:hint="eastAsia"/>
                                <w:sz w:val="28"/>
                                <w:szCs w:val="28"/>
                              </w:rPr>
                              <w:t>项目名称：西安市食品药品检验所食品抽样租赁用车项目</w:t>
                            </w:r>
                          </w:p>
                          <w:p>
                            <w:pPr>
                              <w:jc w:val="center"/>
                              <w:rPr>
                                <w:sz w:val="28"/>
                                <w:szCs w:val="28"/>
                              </w:rPr>
                            </w:pPr>
                          </w:p>
                          <w:p>
                            <w:pPr>
                              <w:jc w:val="center"/>
                              <w:rPr>
                                <w:b/>
                                <w:sz w:val="44"/>
                                <w:szCs w:val="44"/>
                              </w:rPr>
                            </w:pPr>
                            <w:r>
                              <w:rPr>
                                <w:rFonts w:hint="eastAsia"/>
                                <w:b/>
                                <w:sz w:val="44"/>
                                <w:szCs w:val="44"/>
                              </w:rPr>
                              <w:t>磋商一览表</w:t>
                            </w:r>
                          </w:p>
                          <w:p>
                            <w:pPr>
                              <w:jc w:val="center"/>
                              <w:rPr>
                                <w:sz w:val="28"/>
                                <w:szCs w:val="28"/>
                              </w:rPr>
                            </w:pPr>
                            <w:r>
                              <w:rPr>
                                <w:rFonts w:hint="eastAsia"/>
                                <w:sz w:val="28"/>
                                <w:szCs w:val="28"/>
                              </w:rPr>
                              <w:t>（非磋商会议不得启封）</w:t>
                            </w:r>
                          </w:p>
                          <w:p>
                            <w:pPr>
                              <w:rPr>
                                <w:sz w:val="28"/>
                                <w:szCs w:val="28"/>
                              </w:rPr>
                            </w:pPr>
                          </w:p>
                          <w:p>
                            <w:pPr>
                              <w:rPr>
                                <w:sz w:val="28"/>
                                <w:szCs w:val="28"/>
                              </w:rPr>
                            </w:pPr>
                          </w:p>
                          <w:p>
                            <w:pPr>
                              <w:rPr>
                                <w:sz w:val="28"/>
                                <w:szCs w:val="28"/>
                                <w:u w:val="single"/>
                              </w:rPr>
                            </w:pPr>
                            <w:r>
                              <w:rPr>
                                <w:rFonts w:hint="eastAsia"/>
                                <w:sz w:val="28"/>
                                <w:szCs w:val="28"/>
                              </w:rPr>
                              <w:t>供应商（公章）：</w:t>
                            </w:r>
                          </w:p>
                          <w:p>
                            <w:pPr>
                              <w:rPr>
                                <w:sz w:val="28"/>
                                <w:szCs w:val="28"/>
                              </w:rPr>
                            </w:pPr>
                            <w:r>
                              <w:rPr>
                                <w:rFonts w:hint="eastAsia"/>
                                <w:sz w:val="28"/>
                                <w:szCs w:val="28"/>
                              </w:rPr>
                              <w:t>时          间：</w:t>
                            </w:r>
                            <w:r>
                              <w:rPr>
                                <w:rFonts w:hint="eastAsia"/>
                                <w:sz w:val="28"/>
                                <w:szCs w:val="28"/>
                                <w:u w:val="single"/>
                              </w:rPr>
                              <w:t xml:space="preserve">        年       月      日</w:t>
                            </w:r>
                          </w:p>
                        </w:txbxContent>
                      </wps:txbx>
                      <wps:bodyPr upright="1"/>
                    </wps:wsp>
                  </a:graphicData>
                </a:graphic>
              </wp:anchor>
            </w:drawing>
          </mc:Choice>
          <mc:Fallback>
            <w:pict>
              <v:shape id="Text Box 3" o:spid="_x0000_s1026" o:spt="202" type="#_x0000_t202" style="position:absolute;left:0pt;margin-left:-25.65pt;margin-top:15.05pt;height:232.8pt;width:490.55pt;z-index:251664384;mso-width-relative:page;mso-height-relative:page;" fillcolor="#FFFFFF" filled="t" stroked="t" coordsize="21600,21600" o:gfxdata="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&#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92LQV2gAAAAoBAAAPAAAAAAAAAAEAIAAAACIAAABk&#10;cnMvZG93bnJldi54bWxQSwECFAAUAAAACACHTuJA3fJJMwQCAABFBAAADgAAAAAAAAABACAAAAAp&#10;AQAAZHJzL2Uyb0RvYy54bWxQSwUGAAAAAAYABgBZAQAAnwUAAAAA&#10;">
                <v:fill on="t" focussize="0,0"/>
                <v:stroke color="#000000" joinstyle="miter"/>
                <v:imagedata o:title=""/>
                <o:lock v:ext="edit" aspectratio="f"/>
                <v:textbox>
                  <w:txbxContent>
                    <w:p>
                      <w:pPr>
                        <w:rPr>
                          <w:rFonts w:hint="eastAsia"/>
                          <w:sz w:val="28"/>
                          <w:szCs w:val="28"/>
                        </w:rPr>
                      </w:pPr>
                      <w:r>
                        <w:rPr>
                          <w:rFonts w:hint="eastAsia"/>
                          <w:sz w:val="28"/>
                          <w:szCs w:val="28"/>
                        </w:rPr>
                        <w:t>致：陕西万泽招标有限公司         项目编号：SXWZ2022ZB-SYJ-013</w:t>
                      </w:r>
                    </w:p>
                    <w:p>
                      <w:pPr>
                        <w:ind w:left="1442" w:hanging="1400" w:hangingChars="500"/>
                        <w:rPr>
                          <w:rFonts w:hint="eastAsia"/>
                          <w:sz w:val="28"/>
                          <w:szCs w:val="28"/>
                        </w:rPr>
                      </w:pPr>
                      <w:r>
                        <w:rPr>
                          <w:rFonts w:hint="eastAsia"/>
                          <w:sz w:val="28"/>
                          <w:szCs w:val="28"/>
                        </w:rPr>
                        <w:t>项目名称：西安市食品药品检验所食品抽样租赁用车项目</w:t>
                      </w:r>
                    </w:p>
                    <w:p>
                      <w:pPr>
                        <w:jc w:val="center"/>
                        <w:rPr>
                          <w:sz w:val="28"/>
                          <w:szCs w:val="28"/>
                        </w:rPr>
                      </w:pPr>
                    </w:p>
                    <w:p>
                      <w:pPr>
                        <w:jc w:val="center"/>
                        <w:rPr>
                          <w:b/>
                          <w:sz w:val="44"/>
                          <w:szCs w:val="44"/>
                        </w:rPr>
                      </w:pPr>
                      <w:r>
                        <w:rPr>
                          <w:rFonts w:hint="eastAsia"/>
                          <w:b/>
                          <w:sz w:val="44"/>
                          <w:szCs w:val="44"/>
                        </w:rPr>
                        <w:t>磋商一览表</w:t>
                      </w:r>
                    </w:p>
                    <w:p>
                      <w:pPr>
                        <w:jc w:val="center"/>
                        <w:rPr>
                          <w:sz w:val="28"/>
                          <w:szCs w:val="28"/>
                        </w:rPr>
                      </w:pPr>
                      <w:r>
                        <w:rPr>
                          <w:rFonts w:hint="eastAsia"/>
                          <w:sz w:val="28"/>
                          <w:szCs w:val="28"/>
                        </w:rPr>
                        <w:t>（非磋商会议不得启封）</w:t>
                      </w:r>
                    </w:p>
                    <w:p>
                      <w:pPr>
                        <w:rPr>
                          <w:sz w:val="28"/>
                          <w:szCs w:val="28"/>
                        </w:rPr>
                      </w:pPr>
                    </w:p>
                    <w:p>
                      <w:pPr>
                        <w:rPr>
                          <w:sz w:val="28"/>
                          <w:szCs w:val="28"/>
                        </w:rPr>
                      </w:pPr>
                    </w:p>
                    <w:p>
                      <w:pPr>
                        <w:rPr>
                          <w:sz w:val="28"/>
                          <w:szCs w:val="28"/>
                          <w:u w:val="single"/>
                        </w:rPr>
                      </w:pPr>
                      <w:r>
                        <w:rPr>
                          <w:rFonts w:hint="eastAsia"/>
                          <w:sz w:val="28"/>
                          <w:szCs w:val="28"/>
                        </w:rPr>
                        <w:t>供应商（公章）：</w:t>
                      </w:r>
                    </w:p>
                    <w:p>
                      <w:pPr>
                        <w:rPr>
                          <w:sz w:val="28"/>
                          <w:szCs w:val="28"/>
                        </w:rPr>
                      </w:pPr>
                      <w:r>
                        <w:rPr>
                          <w:rFonts w:hint="eastAsia"/>
                          <w:sz w:val="28"/>
                          <w:szCs w:val="28"/>
                        </w:rPr>
                        <w:t>时          间：</w:t>
                      </w:r>
                      <w:r>
                        <w:rPr>
                          <w:rFonts w:hint="eastAsia"/>
                          <w:sz w:val="28"/>
                          <w:szCs w:val="28"/>
                          <w:u w:val="single"/>
                        </w:rPr>
                        <w:t xml:space="preserve">        年       月      日</w:t>
                      </w:r>
                    </w:p>
                  </w:txbxContent>
                </v:textbox>
              </v:shape>
            </w:pict>
          </mc:Fallback>
        </mc:AlternateContent>
      </w:r>
    </w:p>
    <w:p>
      <w:pPr>
        <w:spacing w:line="460" w:lineRule="exact"/>
        <w:ind w:firstLine="496" w:firstLineChars="200"/>
        <w:jc w:val="center"/>
        <w:rPr>
          <w:rFonts w:ascii="宋体" w:hAnsi="宋体" w:cs="宋体"/>
          <w:b/>
          <w:sz w:val="24"/>
        </w:rPr>
      </w:pPr>
    </w:p>
    <w:p>
      <w:pPr>
        <w:spacing w:line="460" w:lineRule="exact"/>
        <w:ind w:firstLine="496" w:firstLineChars="200"/>
        <w:jc w:val="center"/>
        <w:rPr>
          <w:rFonts w:ascii="宋体" w:hAnsi="宋体" w:cs="宋体"/>
          <w:b/>
          <w:sz w:val="24"/>
        </w:rPr>
      </w:pPr>
    </w:p>
    <w:p>
      <w:pPr>
        <w:spacing w:line="460" w:lineRule="exact"/>
        <w:ind w:firstLine="496" w:firstLineChars="200"/>
        <w:jc w:val="center"/>
        <w:rPr>
          <w:rFonts w:ascii="宋体" w:hAnsi="宋体" w:cs="宋体"/>
          <w:b/>
          <w:sz w:val="24"/>
        </w:rPr>
      </w:pPr>
    </w:p>
    <w:p>
      <w:pPr>
        <w:spacing w:line="460" w:lineRule="exact"/>
        <w:ind w:firstLine="496" w:firstLineChars="200"/>
        <w:jc w:val="center"/>
        <w:rPr>
          <w:rFonts w:ascii="宋体" w:hAnsi="宋体" w:cs="宋体"/>
          <w:b/>
          <w:sz w:val="24"/>
        </w:rPr>
      </w:pPr>
    </w:p>
    <w:p>
      <w:pPr>
        <w:spacing w:line="460" w:lineRule="exact"/>
        <w:ind w:firstLine="496" w:firstLineChars="200"/>
        <w:jc w:val="center"/>
        <w:rPr>
          <w:rFonts w:ascii="宋体" w:hAnsi="宋体" w:cs="宋体"/>
          <w:b/>
          <w:sz w:val="24"/>
        </w:rPr>
      </w:pPr>
    </w:p>
    <w:p>
      <w:pPr>
        <w:spacing w:line="460" w:lineRule="exact"/>
        <w:ind w:firstLine="496" w:firstLineChars="200"/>
        <w:jc w:val="center"/>
        <w:rPr>
          <w:rFonts w:ascii="宋体" w:hAnsi="宋体" w:cs="宋体"/>
          <w:b/>
          <w:sz w:val="24"/>
        </w:rPr>
      </w:pPr>
    </w:p>
    <w:p>
      <w:pPr>
        <w:spacing w:line="460" w:lineRule="exact"/>
        <w:ind w:firstLine="496" w:firstLineChars="200"/>
        <w:jc w:val="center"/>
        <w:rPr>
          <w:rFonts w:ascii="宋体" w:hAnsi="宋体" w:cs="宋体"/>
          <w:b/>
          <w:sz w:val="24"/>
        </w:rPr>
      </w:pPr>
    </w:p>
    <w:p>
      <w:pPr>
        <w:spacing w:line="460" w:lineRule="exact"/>
        <w:ind w:firstLine="496" w:firstLineChars="200"/>
        <w:jc w:val="center"/>
        <w:rPr>
          <w:rFonts w:ascii="宋体" w:hAnsi="宋体" w:cs="宋体"/>
          <w:b/>
          <w:sz w:val="24"/>
        </w:rPr>
      </w:pPr>
    </w:p>
    <w:p>
      <w:pPr>
        <w:spacing w:line="460" w:lineRule="exact"/>
        <w:ind w:firstLine="496" w:firstLineChars="200"/>
        <w:jc w:val="center"/>
        <w:rPr>
          <w:rFonts w:ascii="宋体" w:hAnsi="宋体" w:cs="宋体"/>
          <w:b/>
          <w:sz w:val="24"/>
        </w:rPr>
      </w:pPr>
    </w:p>
    <w:p>
      <w:pPr>
        <w:spacing w:line="460" w:lineRule="exact"/>
        <w:jc w:val="center"/>
        <w:rPr>
          <w:rFonts w:ascii="宋体" w:hAnsi="宋体" w:cs="宋体"/>
          <w:b/>
          <w:sz w:val="24"/>
        </w:rPr>
      </w:pPr>
    </w:p>
    <w:p>
      <w:pPr>
        <w:spacing w:line="460" w:lineRule="exact"/>
        <w:jc w:val="center"/>
        <w:rPr>
          <w:rFonts w:ascii="宋体" w:hAnsi="宋体" w:cs="宋体"/>
          <w:b/>
          <w:sz w:val="24"/>
        </w:rPr>
      </w:pPr>
    </w:p>
    <w:p>
      <w:pPr>
        <w:spacing w:line="460" w:lineRule="exact"/>
        <w:jc w:val="center"/>
        <w:rPr>
          <w:rFonts w:ascii="宋体" w:hAnsi="宋体" w:cs="宋体"/>
          <w:b/>
          <w:sz w:val="24"/>
        </w:rPr>
      </w:pPr>
    </w:p>
    <w:p>
      <w:pPr>
        <w:spacing w:line="460" w:lineRule="exact"/>
        <w:jc w:val="center"/>
        <w:rPr>
          <w:rFonts w:ascii="宋体" w:hAnsi="宋体" w:cs="宋体"/>
          <w:b/>
          <w:sz w:val="24"/>
        </w:rPr>
      </w:pPr>
      <w:r>
        <w:rPr>
          <w:rFonts w:hint="eastAsia" w:ascii="宋体" w:hAnsi="宋体" w:cs="宋体"/>
          <w:b/>
          <w:sz w:val="24"/>
        </w:rPr>
        <w:t>电子文档封袋正面标识式样</w:t>
      </w:r>
    </w:p>
    <w:p>
      <w:pPr>
        <w:tabs>
          <w:tab w:val="left" w:pos="8280"/>
        </w:tabs>
        <w:spacing w:line="460" w:lineRule="exact"/>
        <w:ind w:firstLine="436" w:firstLineChars="200"/>
        <w:jc w:val="center"/>
        <w:rPr>
          <w:rFonts w:ascii="宋体" w:hAnsi="宋体" w:cs="宋体"/>
          <w:b/>
          <w:sz w:val="24"/>
        </w:rPr>
      </w:pPr>
      <w:r>
        <w:rPr>
          <w:rFonts w:ascii="宋体" w:hAnsi="宋体" w:cs="宋体"/>
        </w:rPr>
        <mc:AlternateContent>
          <mc:Choice Requires="wps">
            <w:drawing>
              <wp:anchor distT="0" distB="0" distL="114300" distR="114300" simplePos="0" relativeHeight="251665408" behindDoc="0" locked="0" layoutInCell="1" allowOverlap="1">
                <wp:simplePos x="0" y="0"/>
                <wp:positionH relativeFrom="column">
                  <wp:posOffset>-331470</wp:posOffset>
                </wp:positionH>
                <wp:positionV relativeFrom="paragraph">
                  <wp:posOffset>142240</wp:posOffset>
                </wp:positionV>
                <wp:extent cx="6251575" cy="3089275"/>
                <wp:effectExtent l="4445" t="4445" r="11430" b="11430"/>
                <wp:wrapNone/>
                <wp:docPr id="10" name="Text Box 3"/>
                <wp:cNvGraphicFramePr/>
                <a:graphic xmlns:a="http://schemas.openxmlformats.org/drawingml/2006/main">
                  <a:graphicData uri="http://schemas.microsoft.com/office/word/2010/wordprocessingShape">
                    <wps:wsp>
                      <wps:cNvSpPr txBox="1"/>
                      <wps:spPr>
                        <a:xfrm>
                          <a:off x="0" y="0"/>
                          <a:ext cx="5750560" cy="28994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sz w:val="28"/>
                                <w:szCs w:val="28"/>
                              </w:rPr>
                            </w:pPr>
                            <w:r>
                              <w:rPr>
                                <w:rFonts w:hint="eastAsia"/>
                                <w:sz w:val="28"/>
                                <w:szCs w:val="28"/>
                              </w:rPr>
                              <w:t>致：陕西万泽招标有限公司         项目编号：SXWZ2022ZB-SYJ-013</w:t>
                            </w:r>
                          </w:p>
                          <w:p>
                            <w:pPr>
                              <w:ind w:left="1442" w:hanging="1400" w:hangingChars="500"/>
                              <w:rPr>
                                <w:rFonts w:hint="eastAsia"/>
                                <w:sz w:val="28"/>
                                <w:szCs w:val="28"/>
                              </w:rPr>
                            </w:pPr>
                            <w:r>
                              <w:rPr>
                                <w:rFonts w:hint="eastAsia"/>
                                <w:sz w:val="28"/>
                                <w:szCs w:val="28"/>
                              </w:rPr>
                              <w:t>项目名称：西安市食品药品检验所食品抽样租赁用车项目</w:t>
                            </w:r>
                          </w:p>
                          <w:p>
                            <w:pPr>
                              <w:jc w:val="center"/>
                              <w:rPr>
                                <w:rFonts w:ascii="宋体" w:hAnsi="宋体" w:cs="宋体"/>
                                <w:b/>
                                <w:bCs/>
                                <w:sz w:val="32"/>
                                <w:szCs w:val="32"/>
                              </w:rPr>
                            </w:pPr>
                          </w:p>
                          <w:p>
                            <w:pPr>
                              <w:jc w:val="center"/>
                              <w:rPr>
                                <w:b/>
                                <w:sz w:val="44"/>
                                <w:szCs w:val="44"/>
                              </w:rPr>
                            </w:pPr>
                            <w:r>
                              <w:rPr>
                                <w:rFonts w:hint="eastAsia"/>
                                <w:b/>
                                <w:sz w:val="44"/>
                                <w:szCs w:val="44"/>
                              </w:rPr>
                              <w:t>电子文档</w:t>
                            </w:r>
                          </w:p>
                          <w:p>
                            <w:pPr>
                              <w:jc w:val="center"/>
                              <w:rPr>
                                <w:sz w:val="28"/>
                                <w:szCs w:val="28"/>
                              </w:rPr>
                            </w:pPr>
                            <w:r>
                              <w:rPr>
                                <w:rFonts w:hint="eastAsia"/>
                                <w:sz w:val="28"/>
                                <w:szCs w:val="28"/>
                              </w:rPr>
                              <w:t>（非磋商会议不得启封）</w:t>
                            </w:r>
                          </w:p>
                          <w:p>
                            <w:pPr>
                              <w:rPr>
                                <w:sz w:val="28"/>
                                <w:szCs w:val="28"/>
                                <w:u w:val="single"/>
                              </w:rPr>
                            </w:pPr>
                            <w:r>
                              <w:rPr>
                                <w:rFonts w:hint="eastAsia"/>
                                <w:sz w:val="28"/>
                                <w:szCs w:val="28"/>
                              </w:rPr>
                              <w:t>供应商（公章）：</w:t>
                            </w:r>
                          </w:p>
                          <w:p>
                            <w:pPr>
                              <w:rPr>
                                <w:sz w:val="28"/>
                                <w:szCs w:val="28"/>
                              </w:rPr>
                            </w:pPr>
                            <w:r>
                              <w:rPr>
                                <w:rFonts w:hint="eastAsia"/>
                                <w:sz w:val="28"/>
                                <w:szCs w:val="28"/>
                              </w:rPr>
                              <w:t>时          间：</w:t>
                            </w:r>
                            <w:r>
                              <w:rPr>
                                <w:rFonts w:hint="eastAsia"/>
                                <w:sz w:val="28"/>
                                <w:szCs w:val="28"/>
                                <w:u w:val="single"/>
                              </w:rPr>
                              <w:t xml:space="preserve">        年       月      日</w:t>
                            </w:r>
                          </w:p>
                          <w:p/>
                          <w:p>
                            <w:pPr>
                              <w:rPr>
                                <w:sz w:val="28"/>
                                <w:szCs w:val="28"/>
                              </w:rPr>
                            </w:pPr>
                          </w:p>
                        </w:txbxContent>
                      </wps:txbx>
                      <wps:bodyPr upright="1"/>
                    </wps:wsp>
                  </a:graphicData>
                </a:graphic>
              </wp:anchor>
            </w:drawing>
          </mc:Choice>
          <mc:Fallback>
            <w:pict>
              <v:shape id="Text Box 3" o:spid="_x0000_s1026" o:spt="202" type="#_x0000_t202" style="position:absolute;left:0pt;margin-left:-26.1pt;margin-top:11.2pt;height:243.25pt;width:492.25pt;z-index:251665408;mso-width-relative:page;mso-height-relative:page;" fillcolor="#FFFFFF" filled="t" stroked="t" coordsize="21600,21600" o:gfxdata="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St9vh2gAAAAoBAAAPAAAAAAAAAAEAIAAAACIAAABkcnMv&#10;ZG93bnJldi54bWxQSwECFAAUAAAACACHTuJAqkKM/AECAABFBAAADgAAAAAAAAABACAAAAApAQAA&#10;ZHJzL2Uyb0RvYy54bWxQSwUGAAAAAAYABgBZAQAAnAUAAAAA&#10;">
                <v:fill on="t" focussize="0,0"/>
                <v:stroke color="#000000" joinstyle="miter"/>
                <v:imagedata o:title=""/>
                <o:lock v:ext="edit" aspectratio="f"/>
                <v:textbox>
                  <w:txbxContent>
                    <w:p>
                      <w:pPr>
                        <w:rPr>
                          <w:rFonts w:hint="eastAsia"/>
                          <w:sz w:val="28"/>
                          <w:szCs w:val="28"/>
                        </w:rPr>
                      </w:pPr>
                      <w:r>
                        <w:rPr>
                          <w:rFonts w:hint="eastAsia"/>
                          <w:sz w:val="28"/>
                          <w:szCs w:val="28"/>
                        </w:rPr>
                        <w:t>致：陕西万泽招标有限公司         项目编号：SXWZ2022ZB-SYJ-013</w:t>
                      </w:r>
                    </w:p>
                    <w:p>
                      <w:pPr>
                        <w:ind w:left="1442" w:hanging="1400" w:hangingChars="500"/>
                        <w:rPr>
                          <w:rFonts w:hint="eastAsia"/>
                          <w:sz w:val="28"/>
                          <w:szCs w:val="28"/>
                        </w:rPr>
                      </w:pPr>
                      <w:r>
                        <w:rPr>
                          <w:rFonts w:hint="eastAsia"/>
                          <w:sz w:val="28"/>
                          <w:szCs w:val="28"/>
                        </w:rPr>
                        <w:t>项目名称：西安市食品药品检验所食品抽样租赁用车项目</w:t>
                      </w:r>
                    </w:p>
                    <w:p>
                      <w:pPr>
                        <w:jc w:val="center"/>
                        <w:rPr>
                          <w:rFonts w:ascii="宋体" w:hAnsi="宋体" w:cs="宋体"/>
                          <w:b/>
                          <w:bCs/>
                          <w:sz w:val="32"/>
                          <w:szCs w:val="32"/>
                        </w:rPr>
                      </w:pPr>
                    </w:p>
                    <w:p>
                      <w:pPr>
                        <w:jc w:val="center"/>
                        <w:rPr>
                          <w:b/>
                          <w:sz w:val="44"/>
                          <w:szCs w:val="44"/>
                        </w:rPr>
                      </w:pPr>
                      <w:r>
                        <w:rPr>
                          <w:rFonts w:hint="eastAsia"/>
                          <w:b/>
                          <w:sz w:val="44"/>
                          <w:szCs w:val="44"/>
                        </w:rPr>
                        <w:t>电子文档</w:t>
                      </w:r>
                    </w:p>
                    <w:p>
                      <w:pPr>
                        <w:jc w:val="center"/>
                        <w:rPr>
                          <w:sz w:val="28"/>
                          <w:szCs w:val="28"/>
                        </w:rPr>
                      </w:pPr>
                      <w:r>
                        <w:rPr>
                          <w:rFonts w:hint="eastAsia"/>
                          <w:sz w:val="28"/>
                          <w:szCs w:val="28"/>
                        </w:rPr>
                        <w:t>（非磋商会议不得启封）</w:t>
                      </w:r>
                    </w:p>
                    <w:p>
                      <w:pPr>
                        <w:rPr>
                          <w:sz w:val="28"/>
                          <w:szCs w:val="28"/>
                          <w:u w:val="single"/>
                        </w:rPr>
                      </w:pPr>
                      <w:r>
                        <w:rPr>
                          <w:rFonts w:hint="eastAsia"/>
                          <w:sz w:val="28"/>
                          <w:szCs w:val="28"/>
                        </w:rPr>
                        <w:t>供应商（公章）：</w:t>
                      </w:r>
                    </w:p>
                    <w:p>
                      <w:pPr>
                        <w:rPr>
                          <w:sz w:val="28"/>
                          <w:szCs w:val="28"/>
                        </w:rPr>
                      </w:pPr>
                      <w:r>
                        <w:rPr>
                          <w:rFonts w:hint="eastAsia"/>
                          <w:sz w:val="28"/>
                          <w:szCs w:val="28"/>
                        </w:rPr>
                        <w:t>时          间：</w:t>
                      </w:r>
                      <w:r>
                        <w:rPr>
                          <w:rFonts w:hint="eastAsia"/>
                          <w:sz w:val="28"/>
                          <w:szCs w:val="28"/>
                          <w:u w:val="single"/>
                        </w:rPr>
                        <w:t xml:space="preserve">        年       月      日</w:t>
                      </w:r>
                    </w:p>
                    <w:p/>
                    <w:p>
                      <w:pPr>
                        <w:rPr>
                          <w:sz w:val="28"/>
                          <w:szCs w:val="28"/>
                        </w:rPr>
                      </w:pPr>
                    </w:p>
                  </w:txbxContent>
                </v:textbox>
              </v:shape>
            </w:pict>
          </mc:Fallback>
        </mc:AlternateContent>
      </w:r>
    </w:p>
    <w:p>
      <w:pPr>
        <w:ind w:firstLine="436" w:firstLineChars="200"/>
        <w:jc w:val="center"/>
        <w:rPr>
          <w:rFonts w:ascii="宋体" w:hAnsi="宋体" w:cs="宋体"/>
        </w:rPr>
      </w:pPr>
    </w:p>
    <w:p>
      <w:pPr>
        <w:ind w:firstLine="436" w:firstLineChars="200"/>
        <w:jc w:val="center"/>
        <w:rPr>
          <w:rFonts w:ascii="宋体" w:hAnsi="宋体" w:cs="宋体"/>
        </w:rPr>
      </w:pPr>
    </w:p>
    <w:p>
      <w:pPr>
        <w:ind w:firstLine="436" w:firstLineChars="200"/>
        <w:jc w:val="center"/>
        <w:rPr>
          <w:rFonts w:ascii="宋体" w:hAnsi="宋体" w:cs="宋体"/>
        </w:rPr>
      </w:pPr>
    </w:p>
    <w:p>
      <w:pPr>
        <w:ind w:firstLine="436" w:firstLineChars="200"/>
        <w:jc w:val="center"/>
        <w:rPr>
          <w:rFonts w:ascii="宋体" w:hAnsi="宋体" w:cs="宋体"/>
        </w:rPr>
      </w:pPr>
    </w:p>
    <w:p>
      <w:pPr>
        <w:ind w:firstLine="436" w:firstLineChars="200"/>
        <w:jc w:val="center"/>
        <w:rPr>
          <w:rFonts w:ascii="宋体" w:hAnsi="宋体" w:cs="宋体"/>
        </w:rPr>
      </w:pPr>
    </w:p>
    <w:p>
      <w:pPr>
        <w:ind w:firstLine="436" w:firstLineChars="200"/>
        <w:jc w:val="center"/>
        <w:rPr>
          <w:rFonts w:ascii="宋体" w:hAnsi="宋体" w:cs="宋体"/>
        </w:rPr>
      </w:pPr>
    </w:p>
    <w:p>
      <w:pPr>
        <w:ind w:firstLine="436" w:firstLineChars="200"/>
        <w:jc w:val="center"/>
        <w:rPr>
          <w:rFonts w:ascii="宋体" w:hAnsi="宋体" w:cs="宋体"/>
        </w:rPr>
      </w:pPr>
    </w:p>
    <w:p>
      <w:pPr>
        <w:ind w:firstLine="436" w:firstLineChars="200"/>
        <w:jc w:val="center"/>
        <w:rPr>
          <w:rFonts w:ascii="宋体" w:hAnsi="宋体" w:cs="宋体"/>
        </w:rPr>
      </w:pPr>
    </w:p>
    <w:p>
      <w:pPr>
        <w:ind w:firstLine="436" w:firstLineChars="200"/>
        <w:jc w:val="center"/>
        <w:rPr>
          <w:rFonts w:ascii="宋体" w:hAnsi="宋体" w:cs="宋体"/>
        </w:rPr>
      </w:pPr>
    </w:p>
    <w:p>
      <w:pPr>
        <w:ind w:firstLine="436" w:firstLineChars="200"/>
        <w:jc w:val="center"/>
        <w:rPr>
          <w:rFonts w:ascii="宋体" w:hAnsi="宋体" w:cs="宋体"/>
        </w:rPr>
      </w:pPr>
    </w:p>
    <w:p>
      <w:pPr>
        <w:ind w:firstLine="436" w:firstLineChars="200"/>
        <w:jc w:val="center"/>
        <w:rPr>
          <w:rFonts w:ascii="宋体" w:hAnsi="宋体" w:cs="宋体"/>
        </w:rPr>
      </w:pPr>
    </w:p>
    <w:p>
      <w:pPr>
        <w:ind w:firstLine="1016" w:firstLineChars="200"/>
        <w:jc w:val="center"/>
        <w:rPr>
          <w:rFonts w:ascii="宋体" w:hAnsi="宋体" w:cs="宋体"/>
          <w:b/>
          <w:sz w:val="50"/>
        </w:rPr>
      </w:pPr>
    </w:p>
    <w:p>
      <w:pPr>
        <w:pageBreakBefore/>
        <w:spacing w:line="420" w:lineRule="auto"/>
        <w:jc w:val="center"/>
        <w:rPr>
          <w:rFonts w:ascii="宋体" w:hAnsi="宋体" w:cs="宋体"/>
          <w:b/>
          <w:bCs/>
          <w:sz w:val="36"/>
          <w:szCs w:val="36"/>
        </w:rPr>
        <w:sectPr>
          <w:pgSz w:w="11906" w:h="16838"/>
          <w:pgMar w:top="1440" w:right="1803" w:bottom="1440" w:left="1803" w:header="850" w:footer="992" w:gutter="0"/>
          <w:cols w:space="720" w:num="1"/>
          <w:titlePg/>
          <w:docGrid w:type="linesAndChars" w:linePitch="395" w:charSpace="1724"/>
        </w:sectPr>
      </w:pPr>
    </w:p>
    <w:p>
      <w:pPr>
        <w:spacing w:line="588" w:lineRule="exact"/>
        <w:ind w:firstLine="496" w:firstLineChars="200"/>
        <w:jc w:val="center"/>
        <w:outlineLvl w:val="1"/>
        <w:rPr>
          <w:b/>
          <w:bCs/>
          <w:sz w:val="24"/>
          <w:szCs w:val="28"/>
        </w:rPr>
      </w:pPr>
      <w:bookmarkStart w:id="193" w:name="_Toc6022"/>
      <w:bookmarkStart w:id="194" w:name="_Toc11896"/>
      <w:bookmarkStart w:id="195" w:name="_Toc12531"/>
      <w:bookmarkStart w:id="196" w:name="_Toc3156"/>
      <w:bookmarkStart w:id="197" w:name="_Toc32438"/>
      <w:bookmarkStart w:id="198" w:name="_Toc10807"/>
      <w:bookmarkStart w:id="199" w:name="_Toc5814"/>
      <w:bookmarkStart w:id="200" w:name="_Toc12061"/>
      <w:bookmarkStart w:id="201" w:name="_Toc15467"/>
      <w:bookmarkStart w:id="202" w:name="_Toc30536"/>
      <w:bookmarkStart w:id="203" w:name="_Toc30870"/>
      <w:r>
        <w:rPr>
          <w:rFonts w:hint="eastAsia"/>
          <w:b/>
          <w:bCs/>
          <w:sz w:val="24"/>
          <w:szCs w:val="28"/>
        </w:rPr>
        <w:t>附件</w:t>
      </w:r>
      <w:r>
        <w:rPr>
          <w:rFonts w:hint="eastAsia"/>
          <w:b/>
          <w:bCs/>
          <w:sz w:val="24"/>
          <w:szCs w:val="28"/>
          <w:lang w:val="en-US" w:eastAsia="zh-CN"/>
        </w:rPr>
        <w:t>二</w:t>
      </w:r>
      <w:r>
        <w:rPr>
          <w:rFonts w:hint="eastAsia"/>
          <w:b/>
          <w:bCs/>
          <w:sz w:val="24"/>
          <w:szCs w:val="28"/>
        </w:rPr>
        <w:t>、残疾人福利性单位声明</w:t>
      </w:r>
      <w:bookmarkEnd w:id="193"/>
      <w:bookmarkEnd w:id="194"/>
      <w:bookmarkEnd w:id="195"/>
      <w:bookmarkEnd w:id="196"/>
      <w:bookmarkEnd w:id="197"/>
      <w:bookmarkEnd w:id="198"/>
      <w:bookmarkEnd w:id="199"/>
      <w:bookmarkEnd w:id="200"/>
    </w:p>
    <w:p>
      <w:pPr>
        <w:spacing w:line="588" w:lineRule="exact"/>
        <w:ind w:firstLine="520" w:firstLineChars="200"/>
        <w:rPr>
          <w:rFonts w:ascii="宋体" w:hAnsi="宋体"/>
          <w:spacing w:val="6"/>
          <w:sz w:val="24"/>
        </w:rPr>
      </w:pPr>
      <w:r>
        <w:rPr>
          <w:rFonts w:hint="eastAsia" w:ascii="宋体" w:hAnsi="宋体"/>
          <w:spacing w:val="6"/>
          <w:sz w:val="24"/>
        </w:rPr>
        <w:t>根据《三部门联合发布关于促进残疾人就业政府采购政策的通知》（财库〔2017〕141号）的规定，由供应商自行申明，并对申明真实性负责。如有虚假，将依法承担相应责任。</w:t>
      </w:r>
    </w:p>
    <w:p/>
    <w:p>
      <w:pPr>
        <w:spacing w:line="588" w:lineRule="exact"/>
        <w:jc w:val="center"/>
        <w:rPr>
          <w:rFonts w:ascii="宋体" w:hAnsi="宋体" w:cs="宋体"/>
          <w:b/>
          <w:spacing w:val="6"/>
          <w:sz w:val="24"/>
          <w:szCs w:val="24"/>
        </w:rPr>
      </w:pPr>
      <w:bookmarkStart w:id="204" w:name="OLE_LINK14"/>
      <w:r>
        <w:rPr>
          <w:rFonts w:hint="eastAsia" w:ascii="宋体" w:hAnsi="宋体" w:cs="宋体"/>
          <w:b/>
          <w:spacing w:val="6"/>
          <w:sz w:val="24"/>
          <w:szCs w:val="24"/>
        </w:rPr>
        <w:t>残疾人福利性单位声明函</w:t>
      </w:r>
      <w:bookmarkEnd w:id="204"/>
    </w:p>
    <w:p>
      <w:pPr>
        <w:spacing w:line="588" w:lineRule="exact"/>
        <w:ind w:firstLine="520" w:firstLineChars="200"/>
        <w:rPr>
          <w:rFonts w:ascii="宋体" w:hAnsi="宋体" w:cs="宋体"/>
          <w:spacing w:val="6"/>
          <w:sz w:val="24"/>
          <w:szCs w:val="24"/>
        </w:rPr>
      </w:pPr>
      <w:r>
        <w:rPr>
          <w:rFonts w:hint="eastAsia" w:ascii="宋体" w:hAnsi="宋体" w:cs="宋体"/>
          <w:spacing w:val="6"/>
          <w:sz w:val="24"/>
          <w:szCs w:val="24"/>
        </w:rPr>
        <w:t>本单位郑重声明，根据《财政部 民政部 中国残疾人联合会关于促进残疾人就业政府采购政策的通知》（财库</w:t>
      </w:r>
      <w:r>
        <w:rPr>
          <w:rFonts w:hint="eastAsia" w:ascii="宋体" w:hAnsi="宋体" w:cs="宋体"/>
          <w:sz w:val="24"/>
          <w:szCs w:val="24"/>
        </w:rPr>
        <w:t>〔2017〕 141</w:t>
      </w:r>
      <w:r>
        <w:rPr>
          <w:rFonts w:hint="eastAsia" w:ascii="宋体" w:hAnsi="宋体" w:cs="宋体"/>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20" w:firstLineChars="200"/>
        <w:rPr>
          <w:rFonts w:ascii="宋体" w:hAnsi="宋体" w:cs="宋体"/>
          <w:spacing w:val="6"/>
          <w:sz w:val="24"/>
          <w:szCs w:val="24"/>
        </w:rPr>
      </w:pPr>
      <w:r>
        <w:rPr>
          <w:rFonts w:hint="eastAsia" w:ascii="宋体" w:hAnsi="宋体" w:cs="宋体"/>
          <w:spacing w:val="6"/>
          <w:sz w:val="24"/>
          <w:szCs w:val="24"/>
        </w:rPr>
        <w:t>本单位对上述声明的真实性负责。如有虚假，将依法承担相应责任。</w:t>
      </w:r>
    </w:p>
    <w:p>
      <w:pPr>
        <w:spacing w:line="360" w:lineRule="auto"/>
        <w:ind w:firstLine="460" w:firstLineChars="200"/>
        <w:rPr>
          <w:rFonts w:ascii="宋体" w:hAnsi="宋体"/>
          <w:spacing w:val="6"/>
          <w:szCs w:val="21"/>
        </w:rPr>
      </w:pPr>
    </w:p>
    <w:tbl>
      <w:tblPr>
        <w:tblStyle w:val="27"/>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3058"/>
        <w:gridCol w:w="1258"/>
        <w:gridCol w:w="1439"/>
        <w:gridCol w:w="1259"/>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27" w:type="dxa"/>
            <w:vAlign w:val="center"/>
          </w:tcPr>
          <w:p>
            <w:pPr>
              <w:spacing w:line="360" w:lineRule="auto"/>
              <w:jc w:val="center"/>
              <w:rPr>
                <w:rFonts w:ascii="宋体" w:hAnsi="宋体"/>
                <w:spacing w:val="6"/>
                <w:szCs w:val="21"/>
              </w:rPr>
            </w:pPr>
            <w:r>
              <w:rPr>
                <w:rFonts w:hint="eastAsia" w:ascii="宋体" w:hAnsi="宋体"/>
                <w:spacing w:val="6"/>
                <w:szCs w:val="21"/>
              </w:rPr>
              <w:t>序号</w:t>
            </w:r>
          </w:p>
        </w:tc>
        <w:tc>
          <w:tcPr>
            <w:tcW w:w="3058" w:type="dxa"/>
            <w:vAlign w:val="center"/>
          </w:tcPr>
          <w:p>
            <w:pPr>
              <w:spacing w:line="360" w:lineRule="auto"/>
              <w:jc w:val="center"/>
              <w:rPr>
                <w:rFonts w:ascii="宋体" w:hAnsi="宋体"/>
                <w:spacing w:val="6"/>
                <w:szCs w:val="21"/>
              </w:rPr>
            </w:pPr>
            <w:r>
              <w:rPr>
                <w:rFonts w:hint="eastAsia" w:ascii="宋体" w:hAnsi="宋体"/>
                <w:spacing w:val="6"/>
                <w:szCs w:val="21"/>
              </w:rPr>
              <w:t>产品类型</w:t>
            </w:r>
          </w:p>
        </w:tc>
        <w:tc>
          <w:tcPr>
            <w:tcW w:w="1258" w:type="dxa"/>
            <w:vAlign w:val="center"/>
          </w:tcPr>
          <w:p>
            <w:pPr>
              <w:spacing w:line="360" w:lineRule="auto"/>
              <w:jc w:val="center"/>
              <w:rPr>
                <w:rFonts w:ascii="宋体" w:hAnsi="宋体"/>
                <w:spacing w:val="6"/>
                <w:szCs w:val="21"/>
              </w:rPr>
            </w:pPr>
            <w:r>
              <w:rPr>
                <w:rFonts w:hint="eastAsia" w:ascii="宋体" w:hAnsi="宋体"/>
                <w:spacing w:val="6"/>
                <w:szCs w:val="21"/>
              </w:rPr>
              <w:t>产品名称</w:t>
            </w:r>
          </w:p>
        </w:tc>
        <w:tc>
          <w:tcPr>
            <w:tcW w:w="1439" w:type="dxa"/>
            <w:vAlign w:val="center"/>
          </w:tcPr>
          <w:p>
            <w:pPr>
              <w:spacing w:line="360" w:lineRule="auto"/>
              <w:jc w:val="center"/>
              <w:rPr>
                <w:rFonts w:ascii="宋体" w:hAnsi="宋体"/>
                <w:spacing w:val="6"/>
                <w:szCs w:val="21"/>
              </w:rPr>
            </w:pPr>
            <w:r>
              <w:rPr>
                <w:rFonts w:hint="eastAsia" w:ascii="宋体" w:hAnsi="宋体"/>
                <w:spacing w:val="6"/>
                <w:szCs w:val="21"/>
              </w:rPr>
              <w:t>制造商</w:t>
            </w:r>
          </w:p>
        </w:tc>
        <w:tc>
          <w:tcPr>
            <w:tcW w:w="1259" w:type="dxa"/>
            <w:vAlign w:val="center"/>
          </w:tcPr>
          <w:p>
            <w:pPr>
              <w:spacing w:line="360" w:lineRule="auto"/>
              <w:jc w:val="center"/>
              <w:rPr>
                <w:rFonts w:ascii="宋体" w:hAnsi="宋体"/>
                <w:spacing w:val="6"/>
                <w:szCs w:val="21"/>
              </w:rPr>
            </w:pPr>
            <w:r>
              <w:rPr>
                <w:rFonts w:hint="eastAsia" w:ascii="宋体" w:hAnsi="宋体"/>
                <w:spacing w:val="6"/>
                <w:szCs w:val="21"/>
              </w:rPr>
              <w:t>金额（元）</w:t>
            </w:r>
          </w:p>
        </w:tc>
        <w:tc>
          <w:tcPr>
            <w:tcW w:w="1259" w:type="dxa"/>
            <w:vAlign w:val="center"/>
          </w:tcPr>
          <w:p>
            <w:pPr>
              <w:spacing w:line="360" w:lineRule="auto"/>
              <w:jc w:val="center"/>
              <w:rPr>
                <w:rFonts w:ascii="宋体" w:hAnsi="宋体"/>
                <w:spacing w:val="6"/>
                <w:szCs w:val="21"/>
              </w:rPr>
            </w:pPr>
            <w:r>
              <w:rPr>
                <w:rFonts w:hint="eastAsia" w:ascii="宋体" w:hAnsi="宋体"/>
                <w:spacing w:val="6"/>
                <w:szCs w:val="21"/>
              </w:rPr>
              <w:t>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27" w:type="dxa"/>
            <w:vAlign w:val="center"/>
          </w:tcPr>
          <w:p>
            <w:pPr>
              <w:spacing w:line="360" w:lineRule="auto"/>
              <w:jc w:val="center"/>
              <w:rPr>
                <w:rFonts w:ascii="宋体" w:hAnsi="宋体"/>
                <w:spacing w:val="6"/>
                <w:szCs w:val="21"/>
              </w:rPr>
            </w:pPr>
            <w:r>
              <w:rPr>
                <w:rFonts w:hint="eastAsia" w:ascii="宋体" w:hAnsi="宋体"/>
                <w:spacing w:val="6"/>
                <w:szCs w:val="21"/>
              </w:rPr>
              <w:t>1</w:t>
            </w:r>
          </w:p>
        </w:tc>
        <w:tc>
          <w:tcPr>
            <w:tcW w:w="3058" w:type="dxa"/>
            <w:vAlign w:val="center"/>
          </w:tcPr>
          <w:p>
            <w:pPr>
              <w:spacing w:line="360" w:lineRule="auto"/>
              <w:rPr>
                <w:rFonts w:ascii="宋体" w:hAnsi="宋体"/>
                <w:spacing w:val="6"/>
                <w:szCs w:val="21"/>
              </w:rPr>
            </w:pPr>
            <w:r>
              <w:rPr>
                <w:rFonts w:hint="eastAsia" w:ascii="宋体" w:hAnsi="宋体"/>
                <w:spacing w:val="6"/>
                <w:szCs w:val="21"/>
              </w:rPr>
              <w:t>本企业制造的货物</w:t>
            </w:r>
          </w:p>
        </w:tc>
        <w:tc>
          <w:tcPr>
            <w:tcW w:w="1258" w:type="dxa"/>
            <w:vAlign w:val="center"/>
          </w:tcPr>
          <w:p>
            <w:pPr>
              <w:spacing w:line="360" w:lineRule="auto"/>
              <w:jc w:val="center"/>
              <w:rPr>
                <w:rFonts w:ascii="宋体" w:hAnsi="宋体"/>
                <w:spacing w:val="6"/>
                <w:szCs w:val="21"/>
              </w:rPr>
            </w:pPr>
          </w:p>
        </w:tc>
        <w:tc>
          <w:tcPr>
            <w:tcW w:w="1439" w:type="dxa"/>
            <w:vAlign w:val="center"/>
          </w:tcPr>
          <w:p>
            <w:pPr>
              <w:spacing w:line="360" w:lineRule="auto"/>
              <w:jc w:val="center"/>
              <w:rPr>
                <w:rFonts w:ascii="宋体" w:hAnsi="宋体"/>
                <w:spacing w:val="6"/>
                <w:szCs w:val="21"/>
              </w:rPr>
            </w:pPr>
          </w:p>
        </w:tc>
        <w:tc>
          <w:tcPr>
            <w:tcW w:w="1259" w:type="dxa"/>
            <w:vAlign w:val="center"/>
          </w:tcPr>
          <w:p>
            <w:pPr>
              <w:spacing w:line="360" w:lineRule="auto"/>
              <w:jc w:val="center"/>
              <w:rPr>
                <w:rFonts w:ascii="宋体" w:hAnsi="宋体"/>
                <w:spacing w:val="6"/>
                <w:szCs w:val="21"/>
              </w:rPr>
            </w:pPr>
          </w:p>
        </w:tc>
        <w:tc>
          <w:tcPr>
            <w:tcW w:w="1259" w:type="dxa"/>
            <w:vAlign w:val="center"/>
          </w:tcPr>
          <w:p>
            <w:pPr>
              <w:spacing w:line="360" w:lineRule="auto"/>
              <w:jc w:val="center"/>
              <w:rPr>
                <w:rFonts w:ascii="宋体" w:hAnsi="宋体"/>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827" w:type="dxa"/>
            <w:vAlign w:val="center"/>
          </w:tcPr>
          <w:p>
            <w:pPr>
              <w:spacing w:line="360" w:lineRule="auto"/>
              <w:jc w:val="center"/>
              <w:rPr>
                <w:rFonts w:ascii="宋体" w:hAnsi="宋体"/>
                <w:spacing w:val="6"/>
                <w:szCs w:val="21"/>
              </w:rPr>
            </w:pPr>
            <w:r>
              <w:rPr>
                <w:rFonts w:hint="eastAsia" w:ascii="宋体" w:hAnsi="宋体"/>
                <w:spacing w:val="6"/>
                <w:szCs w:val="21"/>
              </w:rPr>
              <w:t>2</w:t>
            </w:r>
          </w:p>
        </w:tc>
        <w:tc>
          <w:tcPr>
            <w:tcW w:w="3058" w:type="dxa"/>
            <w:vAlign w:val="center"/>
          </w:tcPr>
          <w:p>
            <w:pPr>
              <w:spacing w:line="360" w:lineRule="auto"/>
              <w:rPr>
                <w:rFonts w:ascii="宋体" w:hAnsi="宋体"/>
                <w:spacing w:val="6"/>
                <w:szCs w:val="21"/>
              </w:rPr>
            </w:pPr>
            <w:r>
              <w:rPr>
                <w:rFonts w:hint="eastAsia" w:ascii="宋体" w:hAnsi="宋体"/>
                <w:spacing w:val="6"/>
                <w:szCs w:val="21"/>
              </w:rPr>
              <w:t>其他残疾人福利性单位制造的货物</w:t>
            </w:r>
          </w:p>
        </w:tc>
        <w:tc>
          <w:tcPr>
            <w:tcW w:w="1258" w:type="dxa"/>
            <w:vAlign w:val="center"/>
          </w:tcPr>
          <w:p>
            <w:pPr>
              <w:spacing w:line="360" w:lineRule="auto"/>
              <w:jc w:val="center"/>
              <w:rPr>
                <w:rFonts w:ascii="宋体" w:hAnsi="宋体"/>
                <w:spacing w:val="6"/>
                <w:szCs w:val="21"/>
              </w:rPr>
            </w:pPr>
          </w:p>
        </w:tc>
        <w:tc>
          <w:tcPr>
            <w:tcW w:w="1439" w:type="dxa"/>
            <w:vAlign w:val="center"/>
          </w:tcPr>
          <w:p>
            <w:pPr>
              <w:spacing w:line="360" w:lineRule="auto"/>
              <w:jc w:val="center"/>
              <w:rPr>
                <w:rFonts w:ascii="宋体" w:hAnsi="宋体"/>
                <w:spacing w:val="6"/>
                <w:szCs w:val="21"/>
              </w:rPr>
            </w:pPr>
          </w:p>
        </w:tc>
        <w:tc>
          <w:tcPr>
            <w:tcW w:w="1259" w:type="dxa"/>
            <w:vAlign w:val="center"/>
          </w:tcPr>
          <w:p>
            <w:pPr>
              <w:spacing w:line="360" w:lineRule="auto"/>
              <w:jc w:val="center"/>
              <w:rPr>
                <w:rFonts w:ascii="宋体" w:hAnsi="宋体"/>
                <w:spacing w:val="6"/>
                <w:szCs w:val="21"/>
              </w:rPr>
            </w:pPr>
          </w:p>
        </w:tc>
        <w:tc>
          <w:tcPr>
            <w:tcW w:w="1259" w:type="dxa"/>
            <w:vAlign w:val="center"/>
          </w:tcPr>
          <w:p>
            <w:pPr>
              <w:spacing w:line="360" w:lineRule="auto"/>
              <w:jc w:val="center"/>
              <w:rPr>
                <w:rFonts w:ascii="宋体" w:hAnsi="宋体"/>
                <w:spacing w:val="6"/>
                <w:szCs w:val="21"/>
              </w:rPr>
            </w:pPr>
          </w:p>
        </w:tc>
      </w:tr>
    </w:tbl>
    <w:p>
      <w:pPr>
        <w:tabs>
          <w:tab w:val="left" w:pos="4860"/>
        </w:tabs>
        <w:spacing w:line="360" w:lineRule="auto"/>
        <w:ind w:right="1560" w:firstLine="230" w:firstLineChars="100"/>
        <w:rPr>
          <w:rFonts w:ascii="宋体" w:hAnsi="宋体"/>
          <w:spacing w:val="6"/>
          <w:szCs w:val="21"/>
        </w:rPr>
      </w:pPr>
      <w:r>
        <w:rPr>
          <w:rFonts w:hint="eastAsia" w:ascii="宋体" w:hAnsi="宋体"/>
          <w:spacing w:val="6"/>
          <w:szCs w:val="21"/>
        </w:rPr>
        <w:t>注：1、本声明函对残疾人福利性单位参与政府采购活动时适用。</w:t>
      </w:r>
    </w:p>
    <w:p>
      <w:pPr>
        <w:tabs>
          <w:tab w:val="left" w:pos="4860"/>
        </w:tabs>
        <w:spacing w:line="360" w:lineRule="auto"/>
        <w:ind w:firstLine="690" w:firstLineChars="300"/>
        <w:rPr>
          <w:rFonts w:ascii="宋体" w:hAnsi="宋体"/>
          <w:spacing w:val="6"/>
          <w:szCs w:val="21"/>
        </w:rPr>
      </w:pPr>
      <w:r>
        <w:rPr>
          <w:rFonts w:hint="eastAsia" w:ascii="宋体" w:hAnsi="宋体"/>
          <w:spacing w:val="6"/>
          <w:szCs w:val="21"/>
        </w:rPr>
        <w:t>2、如提供其他残疾人福利性单位的货物须按此格式附其他中小企业的《中小企业声明函》</w:t>
      </w:r>
    </w:p>
    <w:p>
      <w:pPr>
        <w:tabs>
          <w:tab w:val="left" w:pos="4860"/>
        </w:tabs>
        <w:spacing w:line="360" w:lineRule="auto"/>
        <w:ind w:firstLine="520" w:firstLineChars="200"/>
        <w:rPr>
          <w:rFonts w:ascii="宋体" w:hAnsi="宋体" w:cs="宋体"/>
          <w:spacing w:val="6"/>
          <w:sz w:val="24"/>
          <w:szCs w:val="24"/>
        </w:rPr>
      </w:pPr>
      <w:r>
        <w:rPr>
          <w:rFonts w:hint="eastAsia" w:ascii="宋体" w:hAnsi="宋体" w:cs="宋体"/>
          <w:spacing w:val="6"/>
          <w:sz w:val="24"/>
          <w:szCs w:val="24"/>
        </w:rPr>
        <w:t>供应商名称（盖章）：</w:t>
      </w:r>
    </w:p>
    <w:p>
      <w:pPr>
        <w:tabs>
          <w:tab w:val="left" w:pos="4860"/>
        </w:tabs>
        <w:spacing w:line="588" w:lineRule="exact"/>
        <w:ind w:right="1560" w:firstLine="520" w:firstLineChars="200"/>
        <w:jc w:val="left"/>
        <w:rPr>
          <w:rFonts w:ascii="宋体" w:hAnsi="宋体" w:cs="宋体"/>
          <w:spacing w:val="6"/>
          <w:sz w:val="24"/>
          <w:szCs w:val="24"/>
        </w:rPr>
      </w:pPr>
      <w:r>
        <w:rPr>
          <w:rFonts w:hint="eastAsia" w:ascii="宋体" w:hAnsi="宋体" w:cs="宋体"/>
          <w:spacing w:val="6"/>
          <w:sz w:val="24"/>
          <w:szCs w:val="24"/>
        </w:rPr>
        <w:t>日  期：</w:t>
      </w:r>
    </w:p>
    <w:p>
      <w:pPr>
        <w:pStyle w:val="4"/>
        <w:rPr>
          <w:rFonts w:ascii="宋体" w:hAnsi="宋体" w:cs="宋体"/>
        </w:rPr>
      </w:pPr>
      <w:bookmarkStart w:id="205" w:name="_Toc3053"/>
      <w:bookmarkStart w:id="206" w:name="_Toc32260"/>
      <w:bookmarkStart w:id="207" w:name="_Toc186"/>
      <w:r>
        <w:rPr>
          <w:rFonts w:hint="eastAsia"/>
        </w:rPr>
        <w:t>附件</w:t>
      </w:r>
      <w:r>
        <w:rPr>
          <w:rFonts w:hint="eastAsia"/>
          <w:lang w:val="en-US" w:eastAsia="zh-CN"/>
        </w:rPr>
        <w:t>三</w:t>
      </w:r>
      <w:r>
        <w:rPr>
          <w:rFonts w:hint="eastAsia"/>
        </w:rPr>
        <w:t>、监狱企业证明文件</w:t>
      </w:r>
      <w:bookmarkEnd w:id="201"/>
      <w:bookmarkEnd w:id="202"/>
      <w:bookmarkEnd w:id="203"/>
      <w:bookmarkEnd w:id="205"/>
      <w:bookmarkEnd w:id="206"/>
      <w:bookmarkEnd w:id="207"/>
    </w:p>
    <w:p>
      <w:pPr>
        <w:rPr>
          <w:rFonts w:ascii="宋体" w:hAnsi="宋体" w:cs="宋体"/>
        </w:rPr>
      </w:pPr>
    </w:p>
    <w:p>
      <w:pPr>
        <w:snapToGrid w:val="0"/>
        <w:spacing w:line="360" w:lineRule="auto"/>
        <w:ind w:firstLine="520" w:firstLineChars="200"/>
        <w:jc w:val="left"/>
        <w:rPr>
          <w:rFonts w:ascii="宋体" w:hAnsi="宋体" w:cs="宋体"/>
          <w:b/>
          <w:bCs/>
          <w:spacing w:val="48"/>
          <w:sz w:val="72"/>
          <w:szCs w:val="72"/>
        </w:rPr>
      </w:pPr>
      <w:r>
        <w:rPr>
          <w:rFonts w:hint="eastAsia" w:ascii="宋体" w:hAnsi="宋体" w:cs="宋体"/>
          <w:spacing w:val="6"/>
          <w:sz w:val="24"/>
          <w:szCs w:val="24"/>
        </w:rPr>
        <w:t>说明：根据</w:t>
      </w:r>
      <w:r>
        <w:rPr>
          <w:rFonts w:hint="eastAsia" w:ascii="宋体" w:hAnsi="宋体" w:cs="宋体"/>
          <w:sz w:val="24"/>
          <w:szCs w:val="24"/>
        </w:rPr>
        <w:t>《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4"/>
        <w:adjustRightInd w:val="0"/>
        <w:spacing w:line="416" w:lineRule="atLeast"/>
        <w:textAlignment w:val="baseline"/>
        <w:rPr>
          <w:rFonts w:ascii="宋体" w:hAnsi="宋体" w:cs="宋体"/>
        </w:rPr>
      </w:pPr>
      <w:bookmarkStart w:id="208" w:name="_Toc11969"/>
      <w:bookmarkStart w:id="209" w:name="_Toc563"/>
      <w:bookmarkStart w:id="210" w:name="_Toc2126"/>
      <w:bookmarkStart w:id="211" w:name="_Toc1884"/>
      <w:bookmarkStart w:id="212" w:name="_Toc13303"/>
      <w:bookmarkStart w:id="213" w:name="_Toc13122"/>
      <w:bookmarkStart w:id="214" w:name="_Toc9529"/>
      <w:r>
        <w:rPr>
          <w:rFonts w:hint="eastAsia" w:ascii="宋体" w:hAnsi="宋体" w:cs="宋体"/>
        </w:rPr>
        <w:t>附件</w:t>
      </w:r>
      <w:r>
        <w:rPr>
          <w:rFonts w:hint="eastAsia" w:ascii="宋体" w:hAnsi="宋体" w:cs="宋体"/>
          <w:lang w:val="en-US" w:eastAsia="zh-CN"/>
        </w:rPr>
        <w:t>四</w:t>
      </w:r>
      <w:r>
        <w:rPr>
          <w:rFonts w:hint="eastAsia" w:ascii="宋体" w:hAnsi="宋体" w:cs="宋体"/>
        </w:rPr>
        <w:t>、“节能产品”，“环境标志产品”证明材料</w:t>
      </w:r>
      <w:bookmarkEnd w:id="208"/>
      <w:bookmarkEnd w:id="209"/>
      <w:bookmarkEnd w:id="210"/>
      <w:bookmarkEnd w:id="211"/>
      <w:bookmarkEnd w:id="212"/>
      <w:bookmarkEnd w:id="213"/>
      <w:bookmarkEnd w:id="214"/>
    </w:p>
    <w:p>
      <w:pPr>
        <w:widowControl/>
        <w:spacing w:line="360" w:lineRule="auto"/>
        <w:ind w:firstLine="520" w:firstLineChars="200"/>
        <w:rPr>
          <w:rFonts w:ascii="宋体" w:hAnsi="宋体" w:cs="宋体"/>
          <w:spacing w:val="6"/>
          <w:sz w:val="24"/>
          <w:szCs w:val="24"/>
        </w:rPr>
      </w:pPr>
      <w:r>
        <w:rPr>
          <w:rFonts w:hint="eastAsia" w:ascii="宋体" w:hAnsi="宋体" w:cs="宋体"/>
          <w:spacing w:val="6"/>
          <w:sz w:val="24"/>
          <w:szCs w:val="24"/>
        </w:rPr>
        <w:t>1、供应商提供的产品属于下列情形，应按照磋商文件第三部分供应商须知总则第六款规定提供产品列入“节能产品品目清单”，“环境标志产品品目清单”相应产品的国家确定的认证机构出具的、处于有效期内的节能产品、环境标志产品认证证书。</w:t>
      </w:r>
    </w:p>
    <w:p>
      <w:pPr>
        <w:widowControl/>
        <w:spacing w:line="360" w:lineRule="auto"/>
        <w:ind w:left="436" w:leftChars="200"/>
        <w:rPr>
          <w:rFonts w:ascii="宋体" w:hAnsi="宋体" w:cs="宋体"/>
          <w:sz w:val="24"/>
          <w:szCs w:val="24"/>
        </w:rPr>
      </w:pPr>
      <w:r>
        <w:rPr>
          <w:rFonts w:hint="eastAsia" w:ascii="宋体" w:hAnsi="宋体" w:cs="宋体"/>
          <w:sz w:val="24"/>
          <w:szCs w:val="24"/>
        </w:rPr>
        <w:t>2、未按照上述要求提供的，评审时不予以考虑。</w:t>
      </w:r>
    </w:p>
    <w:p>
      <w:pPr>
        <w:snapToGrid w:val="0"/>
        <w:spacing w:line="360" w:lineRule="auto"/>
        <w:ind w:firstLine="496" w:firstLineChars="200"/>
        <w:rPr>
          <w:rFonts w:ascii="宋体" w:hAnsi="宋体" w:cs="宋体"/>
          <w:sz w:val="24"/>
          <w:szCs w:val="24"/>
        </w:rPr>
      </w:pPr>
    </w:p>
    <w:p>
      <w:pPr>
        <w:spacing w:line="588" w:lineRule="exact"/>
        <w:ind w:firstLine="520" w:firstLineChars="200"/>
        <w:rPr>
          <w:rFonts w:ascii="宋体" w:hAnsi="宋体" w:cs="宋体"/>
          <w:spacing w:val="6"/>
          <w:sz w:val="24"/>
          <w:szCs w:val="24"/>
        </w:rPr>
      </w:pPr>
    </w:p>
    <w:p>
      <w:pPr>
        <w:pStyle w:val="4"/>
        <w:adjustRightInd w:val="0"/>
        <w:spacing w:line="416" w:lineRule="atLeast"/>
        <w:textAlignment w:val="baseline"/>
        <w:rPr>
          <w:rFonts w:ascii="宋体" w:hAnsi="宋体" w:cs="宋体"/>
        </w:rPr>
        <w:sectPr>
          <w:footerReference r:id="rId19" w:type="default"/>
          <w:pgSz w:w="11906" w:h="16838"/>
          <w:pgMar w:top="1440" w:right="1803" w:bottom="1440" w:left="1803" w:header="850" w:footer="992" w:gutter="0"/>
          <w:cols w:space="720" w:num="1"/>
          <w:titlePg/>
          <w:docGrid w:type="linesAndChars" w:linePitch="395" w:charSpace="1724"/>
        </w:sectPr>
      </w:pPr>
    </w:p>
    <w:p>
      <w:pPr>
        <w:pStyle w:val="4"/>
      </w:pPr>
      <w:bookmarkStart w:id="215" w:name="_Toc26351"/>
      <w:bookmarkStart w:id="216" w:name="_Toc23799"/>
      <w:bookmarkStart w:id="217" w:name="_Toc3277"/>
      <w:bookmarkStart w:id="218" w:name="_Toc4414"/>
      <w:bookmarkStart w:id="219" w:name="_Toc19367"/>
      <w:bookmarkStart w:id="220" w:name="_Toc11924"/>
      <w:bookmarkStart w:id="221" w:name="_Toc10027"/>
      <w:bookmarkStart w:id="222" w:name="_Toc5338"/>
      <w:r>
        <w:rPr>
          <w:rFonts w:hint="eastAsia"/>
        </w:rPr>
        <w:t>附件</w:t>
      </w:r>
      <w:r>
        <w:rPr>
          <w:rFonts w:hint="eastAsia"/>
          <w:lang w:val="en-US" w:eastAsia="zh-CN"/>
        </w:rPr>
        <w:t>五</w:t>
      </w:r>
      <w:r>
        <w:rPr>
          <w:rFonts w:hint="eastAsia"/>
        </w:rPr>
        <w:t>、质疑函范本</w:t>
      </w:r>
      <w:bookmarkEnd w:id="215"/>
      <w:bookmarkEnd w:id="216"/>
      <w:bookmarkEnd w:id="217"/>
      <w:bookmarkEnd w:id="218"/>
      <w:bookmarkEnd w:id="219"/>
    </w:p>
    <w:p>
      <w:pPr>
        <w:widowControl/>
        <w:spacing w:line="288" w:lineRule="auto"/>
        <w:ind w:left="436" w:leftChars="200"/>
        <w:rPr>
          <w:rFonts w:ascii="宋体" w:hAnsi="宋体" w:cs="宋体"/>
          <w:sz w:val="24"/>
          <w:szCs w:val="24"/>
        </w:rPr>
      </w:pPr>
      <w:r>
        <w:rPr>
          <w:rFonts w:hint="eastAsia" w:ascii="宋体" w:hAnsi="宋体" w:cs="宋体"/>
          <w:sz w:val="24"/>
          <w:szCs w:val="24"/>
        </w:rPr>
        <w:t>一、质疑供应商基本信息</w:t>
      </w:r>
    </w:p>
    <w:p>
      <w:pPr>
        <w:widowControl/>
        <w:spacing w:line="288" w:lineRule="auto"/>
        <w:ind w:left="436" w:leftChars="200"/>
        <w:rPr>
          <w:rFonts w:ascii="宋体" w:hAnsi="宋体" w:cs="宋体"/>
          <w:sz w:val="24"/>
          <w:szCs w:val="24"/>
        </w:rPr>
      </w:pPr>
      <w:r>
        <w:rPr>
          <w:rFonts w:hint="eastAsia" w:ascii="宋体" w:hAnsi="宋体" w:cs="宋体"/>
          <w:sz w:val="24"/>
          <w:szCs w:val="24"/>
        </w:rPr>
        <w:t xml:space="preserve">质疑供应商：                                        </w:t>
      </w:r>
    </w:p>
    <w:p>
      <w:pPr>
        <w:widowControl/>
        <w:spacing w:line="288" w:lineRule="auto"/>
        <w:ind w:left="436" w:leftChars="200"/>
        <w:rPr>
          <w:rFonts w:ascii="宋体" w:hAnsi="宋体" w:cs="宋体"/>
          <w:sz w:val="24"/>
          <w:szCs w:val="24"/>
        </w:rPr>
      </w:pPr>
      <w:r>
        <w:rPr>
          <w:rFonts w:hint="eastAsia" w:ascii="宋体" w:hAnsi="宋体" w:cs="宋体"/>
          <w:sz w:val="24"/>
          <w:szCs w:val="24"/>
        </w:rPr>
        <w:t xml:space="preserve">地址：                          邮编：                                                   </w:t>
      </w:r>
    </w:p>
    <w:p>
      <w:pPr>
        <w:widowControl/>
        <w:spacing w:line="288" w:lineRule="auto"/>
        <w:ind w:left="436" w:leftChars="200"/>
        <w:rPr>
          <w:rFonts w:ascii="宋体" w:hAnsi="宋体" w:cs="宋体"/>
          <w:sz w:val="24"/>
          <w:szCs w:val="24"/>
        </w:rPr>
      </w:pPr>
      <w:r>
        <w:rPr>
          <w:rFonts w:hint="eastAsia" w:ascii="宋体" w:hAnsi="宋体" w:cs="宋体"/>
          <w:sz w:val="24"/>
          <w:szCs w:val="24"/>
        </w:rPr>
        <w:t xml:space="preserve">联系人：                      联系电话：                              </w:t>
      </w:r>
    </w:p>
    <w:p>
      <w:pPr>
        <w:widowControl/>
        <w:spacing w:line="288" w:lineRule="auto"/>
        <w:ind w:left="436" w:leftChars="200"/>
        <w:rPr>
          <w:rFonts w:ascii="宋体" w:hAnsi="宋体" w:cs="宋体"/>
          <w:sz w:val="24"/>
          <w:szCs w:val="24"/>
        </w:rPr>
      </w:pPr>
      <w:r>
        <w:rPr>
          <w:rFonts w:hint="eastAsia" w:ascii="宋体" w:hAnsi="宋体" w:cs="宋体"/>
          <w:sz w:val="24"/>
          <w:szCs w:val="24"/>
        </w:rPr>
        <w:t xml:space="preserve">授权代表：                                          </w:t>
      </w:r>
    </w:p>
    <w:p>
      <w:pPr>
        <w:widowControl/>
        <w:spacing w:line="288" w:lineRule="auto"/>
        <w:ind w:left="436" w:leftChars="200"/>
        <w:rPr>
          <w:rFonts w:ascii="宋体" w:hAnsi="宋体" w:cs="宋体"/>
          <w:sz w:val="24"/>
          <w:szCs w:val="24"/>
        </w:rPr>
      </w:pPr>
      <w:r>
        <w:rPr>
          <w:rFonts w:hint="eastAsia" w:ascii="宋体" w:hAnsi="宋体" w:cs="宋体"/>
          <w:sz w:val="24"/>
          <w:szCs w:val="24"/>
        </w:rPr>
        <w:t xml:space="preserve">联系电话：                                            </w:t>
      </w:r>
    </w:p>
    <w:p>
      <w:pPr>
        <w:widowControl/>
        <w:spacing w:line="288" w:lineRule="auto"/>
        <w:ind w:left="436" w:leftChars="200"/>
        <w:rPr>
          <w:rFonts w:ascii="宋体" w:hAnsi="宋体" w:cs="宋体"/>
          <w:sz w:val="24"/>
          <w:szCs w:val="24"/>
        </w:rPr>
      </w:pPr>
      <w:r>
        <w:rPr>
          <w:rFonts w:hint="eastAsia" w:ascii="宋体" w:hAnsi="宋体" w:cs="宋体"/>
          <w:sz w:val="24"/>
          <w:szCs w:val="24"/>
        </w:rPr>
        <w:t xml:space="preserve">地址：                         邮编：                                                </w:t>
      </w:r>
    </w:p>
    <w:p>
      <w:pPr>
        <w:widowControl/>
        <w:spacing w:line="288" w:lineRule="auto"/>
        <w:ind w:left="436" w:leftChars="200"/>
        <w:rPr>
          <w:rFonts w:ascii="宋体" w:hAnsi="宋体" w:cs="宋体"/>
          <w:sz w:val="24"/>
          <w:szCs w:val="24"/>
        </w:rPr>
      </w:pPr>
      <w:r>
        <w:rPr>
          <w:rFonts w:hint="eastAsia" w:ascii="宋体" w:hAnsi="宋体" w:cs="宋体"/>
          <w:sz w:val="24"/>
          <w:szCs w:val="24"/>
        </w:rPr>
        <w:t>二、质疑项目基本情况</w:t>
      </w:r>
    </w:p>
    <w:p>
      <w:pPr>
        <w:widowControl/>
        <w:spacing w:line="288" w:lineRule="auto"/>
        <w:ind w:left="436" w:leftChars="200"/>
        <w:rPr>
          <w:rFonts w:ascii="宋体" w:hAnsi="宋体" w:cs="宋体"/>
          <w:sz w:val="24"/>
          <w:szCs w:val="24"/>
        </w:rPr>
      </w:pPr>
      <w:r>
        <w:rPr>
          <w:rFonts w:hint="eastAsia" w:ascii="宋体" w:hAnsi="宋体" w:cs="宋体"/>
          <w:sz w:val="24"/>
          <w:szCs w:val="24"/>
        </w:rPr>
        <w:t xml:space="preserve">质疑项目的名称：            标段号：                          </w:t>
      </w:r>
    </w:p>
    <w:p>
      <w:pPr>
        <w:widowControl/>
        <w:spacing w:line="288" w:lineRule="auto"/>
        <w:ind w:left="436" w:leftChars="200"/>
        <w:rPr>
          <w:rFonts w:ascii="宋体" w:hAnsi="宋体" w:cs="宋体"/>
          <w:sz w:val="24"/>
          <w:szCs w:val="24"/>
        </w:rPr>
      </w:pPr>
      <w:r>
        <w:rPr>
          <w:rFonts w:hint="eastAsia" w:ascii="宋体" w:hAnsi="宋体" w:cs="宋体"/>
          <w:sz w:val="24"/>
          <w:szCs w:val="24"/>
        </w:rPr>
        <w:t xml:space="preserve">质疑项目的编号：                    </w:t>
      </w:r>
    </w:p>
    <w:p>
      <w:pPr>
        <w:widowControl/>
        <w:spacing w:line="288" w:lineRule="auto"/>
        <w:ind w:left="436" w:leftChars="200"/>
        <w:rPr>
          <w:rFonts w:ascii="宋体" w:hAnsi="宋体" w:cs="宋体"/>
          <w:sz w:val="24"/>
          <w:szCs w:val="24"/>
        </w:rPr>
      </w:pPr>
      <w:r>
        <w:rPr>
          <w:rFonts w:hint="eastAsia" w:ascii="宋体" w:hAnsi="宋体" w:cs="宋体"/>
          <w:sz w:val="24"/>
          <w:szCs w:val="24"/>
        </w:rPr>
        <w:t xml:space="preserve">采购人名称：                                         </w:t>
      </w:r>
    </w:p>
    <w:p>
      <w:pPr>
        <w:widowControl/>
        <w:spacing w:line="288" w:lineRule="auto"/>
        <w:ind w:left="436" w:leftChars="200"/>
        <w:rPr>
          <w:rFonts w:ascii="宋体" w:hAnsi="宋体" w:cs="宋体"/>
          <w:sz w:val="24"/>
          <w:szCs w:val="24"/>
        </w:rPr>
      </w:pPr>
      <w:r>
        <w:rPr>
          <w:rFonts w:hint="eastAsia" w:ascii="宋体" w:hAnsi="宋体" w:cs="宋体"/>
          <w:sz w:val="24"/>
          <w:szCs w:val="24"/>
        </w:rPr>
        <w:t xml:space="preserve">采购文件获取日期：                                           </w:t>
      </w:r>
    </w:p>
    <w:p>
      <w:pPr>
        <w:widowControl/>
        <w:spacing w:line="288" w:lineRule="auto"/>
        <w:ind w:left="436" w:leftChars="200"/>
        <w:rPr>
          <w:rFonts w:ascii="宋体" w:hAnsi="宋体" w:cs="宋体"/>
          <w:sz w:val="24"/>
          <w:szCs w:val="24"/>
        </w:rPr>
      </w:pPr>
      <w:r>
        <w:rPr>
          <w:rFonts w:hint="eastAsia" w:ascii="宋体" w:hAnsi="宋体" w:cs="宋体"/>
          <w:sz w:val="24"/>
          <w:szCs w:val="24"/>
        </w:rPr>
        <w:t>三、质疑事项具体内容</w:t>
      </w:r>
    </w:p>
    <w:p>
      <w:pPr>
        <w:widowControl/>
        <w:spacing w:line="288" w:lineRule="auto"/>
        <w:ind w:left="436" w:leftChars="200"/>
        <w:rPr>
          <w:rFonts w:ascii="宋体" w:hAnsi="宋体" w:cs="宋体"/>
          <w:sz w:val="24"/>
          <w:szCs w:val="24"/>
        </w:rPr>
      </w:pPr>
      <w:r>
        <w:rPr>
          <w:rFonts w:hint="eastAsia" w:ascii="宋体" w:hAnsi="宋体" w:cs="宋体"/>
          <w:sz w:val="24"/>
          <w:szCs w:val="24"/>
        </w:rPr>
        <w:t xml:space="preserve">质疑事项1：                                         </w:t>
      </w:r>
    </w:p>
    <w:p>
      <w:pPr>
        <w:widowControl/>
        <w:spacing w:line="288" w:lineRule="auto"/>
        <w:ind w:left="436" w:leftChars="200"/>
        <w:rPr>
          <w:rFonts w:ascii="宋体" w:hAnsi="宋体" w:cs="宋体"/>
          <w:sz w:val="24"/>
          <w:szCs w:val="24"/>
        </w:rPr>
      </w:pPr>
      <w:r>
        <w:rPr>
          <w:rFonts w:hint="eastAsia" w:ascii="宋体" w:hAnsi="宋体" w:cs="宋体"/>
          <w:sz w:val="24"/>
          <w:szCs w:val="24"/>
        </w:rPr>
        <w:t xml:space="preserve">事实依据：                                          </w:t>
      </w:r>
    </w:p>
    <w:p>
      <w:pPr>
        <w:widowControl/>
        <w:spacing w:line="288" w:lineRule="auto"/>
        <w:ind w:left="436" w:leftChars="200"/>
        <w:rPr>
          <w:rFonts w:ascii="宋体" w:hAnsi="宋体" w:cs="宋体"/>
          <w:sz w:val="24"/>
          <w:szCs w:val="24"/>
        </w:rPr>
      </w:pPr>
    </w:p>
    <w:p>
      <w:pPr>
        <w:widowControl/>
        <w:spacing w:line="288" w:lineRule="auto"/>
        <w:ind w:left="436" w:leftChars="200"/>
        <w:rPr>
          <w:rFonts w:ascii="宋体" w:hAnsi="宋体" w:cs="宋体"/>
          <w:sz w:val="24"/>
          <w:szCs w:val="24"/>
        </w:rPr>
      </w:pPr>
      <w:r>
        <w:rPr>
          <w:rFonts w:hint="eastAsia" w:ascii="宋体" w:hAnsi="宋体" w:cs="宋体"/>
          <w:sz w:val="24"/>
          <w:szCs w:val="24"/>
        </w:rPr>
        <w:t xml:space="preserve">法律依据：                                          </w:t>
      </w:r>
    </w:p>
    <w:p>
      <w:pPr>
        <w:widowControl/>
        <w:spacing w:line="288" w:lineRule="auto"/>
        <w:ind w:left="436" w:leftChars="200"/>
        <w:rPr>
          <w:rFonts w:ascii="宋体" w:hAnsi="宋体" w:cs="宋体"/>
          <w:sz w:val="24"/>
          <w:szCs w:val="24"/>
        </w:rPr>
      </w:pPr>
    </w:p>
    <w:p>
      <w:pPr>
        <w:widowControl/>
        <w:spacing w:line="288" w:lineRule="auto"/>
        <w:ind w:left="436" w:leftChars="200"/>
        <w:rPr>
          <w:rFonts w:ascii="宋体" w:hAnsi="宋体" w:cs="宋体"/>
          <w:sz w:val="24"/>
          <w:szCs w:val="24"/>
        </w:rPr>
      </w:pPr>
      <w:r>
        <w:rPr>
          <w:rFonts w:hint="eastAsia" w:ascii="宋体" w:hAnsi="宋体" w:cs="宋体"/>
          <w:sz w:val="24"/>
          <w:szCs w:val="24"/>
        </w:rPr>
        <w:t>质疑事项2</w:t>
      </w:r>
    </w:p>
    <w:p>
      <w:pPr>
        <w:widowControl/>
        <w:spacing w:line="288" w:lineRule="auto"/>
        <w:ind w:left="436" w:leftChars="200"/>
        <w:rPr>
          <w:rFonts w:ascii="宋体" w:hAnsi="宋体" w:cs="宋体"/>
          <w:sz w:val="24"/>
          <w:szCs w:val="24"/>
        </w:rPr>
      </w:pPr>
      <w:r>
        <w:rPr>
          <w:rFonts w:hint="eastAsia" w:ascii="宋体" w:hAnsi="宋体" w:cs="宋体"/>
          <w:sz w:val="24"/>
          <w:szCs w:val="24"/>
        </w:rPr>
        <w:t>……</w:t>
      </w:r>
    </w:p>
    <w:p>
      <w:pPr>
        <w:widowControl/>
        <w:spacing w:line="288" w:lineRule="auto"/>
        <w:ind w:left="436" w:leftChars="200"/>
        <w:rPr>
          <w:rFonts w:ascii="宋体" w:hAnsi="宋体" w:cs="宋体"/>
          <w:sz w:val="24"/>
          <w:szCs w:val="24"/>
        </w:rPr>
      </w:pPr>
      <w:r>
        <w:rPr>
          <w:rFonts w:hint="eastAsia" w:ascii="宋体" w:hAnsi="宋体" w:cs="宋体"/>
          <w:sz w:val="24"/>
          <w:szCs w:val="24"/>
        </w:rPr>
        <w:t>四、与质疑事项相关的质疑请求</w:t>
      </w:r>
    </w:p>
    <w:p>
      <w:pPr>
        <w:widowControl/>
        <w:spacing w:line="288" w:lineRule="auto"/>
        <w:ind w:left="436" w:leftChars="200"/>
        <w:rPr>
          <w:rFonts w:ascii="宋体" w:hAnsi="宋体" w:cs="宋体"/>
          <w:sz w:val="24"/>
          <w:szCs w:val="24"/>
        </w:rPr>
      </w:pPr>
      <w:r>
        <w:rPr>
          <w:rFonts w:hint="eastAsia" w:ascii="宋体" w:hAnsi="宋体" w:cs="宋体"/>
          <w:sz w:val="24"/>
          <w:szCs w:val="24"/>
        </w:rPr>
        <w:t xml:space="preserve">请求：                                               </w:t>
      </w:r>
    </w:p>
    <w:p>
      <w:pPr>
        <w:widowControl/>
        <w:spacing w:line="288" w:lineRule="auto"/>
        <w:ind w:left="436" w:leftChars="200"/>
        <w:rPr>
          <w:rFonts w:ascii="宋体" w:hAnsi="宋体" w:cs="宋体"/>
          <w:sz w:val="24"/>
          <w:szCs w:val="24"/>
        </w:rPr>
      </w:pPr>
      <w:r>
        <w:rPr>
          <w:rFonts w:hint="eastAsia" w:ascii="宋体" w:hAnsi="宋体" w:cs="宋体"/>
          <w:sz w:val="24"/>
          <w:szCs w:val="24"/>
        </w:rPr>
        <w:t xml:space="preserve">签字(签章)：                   公章：                      </w:t>
      </w:r>
    </w:p>
    <w:p>
      <w:pPr>
        <w:widowControl/>
        <w:spacing w:line="288" w:lineRule="auto"/>
        <w:ind w:left="436" w:leftChars="200"/>
      </w:pPr>
      <w:r>
        <w:rPr>
          <w:rFonts w:hint="eastAsia" w:ascii="宋体" w:hAnsi="宋体" w:cs="宋体"/>
          <w:sz w:val="24"/>
          <w:szCs w:val="24"/>
        </w:rPr>
        <w:t xml:space="preserve">日期：    </w:t>
      </w:r>
    </w:p>
    <w:p>
      <w:pPr>
        <w:widowControl/>
        <w:spacing w:line="288" w:lineRule="auto"/>
        <w:rPr>
          <w:rFonts w:ascii="宋体" w:hAnsi="宋体" w:cs="宋体"/>
          <w:sz w:val="24"/>
          <w:szCs w:val="24"/>
        </w:rPr>
        <w:sectPr>
          <w:pgSz w:w="11906" w:h="16838"/>
          <w:pgMar w:top="1440" w:right="1803" w:bottom="1440" w:left="1803" w:header="850" w:footer="992" w:gutter="0"/>
          <w:cols w:space="720" w:num="1"/>
          <w:titlePg/>
          <w:docGrid w:type="linesAndChars" w:linePitch="395" w:charSpace="1724"/>
        </w:sectPr>
      </w:pPr>
    </w:p>
    <w:p>
      <w:pPr>
        <w:widowControl/>
        <w:spacing w:line="360" w:lineRule="auto"/>
        <w:ind w:left="436" w:leftChars="200"/>
        <w:rPr>
          <w:rFonts w:ascii="宋体" w:hAnsi="宋体" w:cs="宋体"/>
          <w:sz w:val="24"/>
          <w:szCs w:val="24"/>
        </w:rPr>
      </w:pPr>
      <w:r>
        <w:rPr>
          <w:rFonts w:hint="eastAsia" w:ascii="宋体" w:hAnsi="宋体" w:cs="宋体"/>
          <w:sz w:val="24"/>
          <w:szCs w:val="24"/>
        </w:rPr>
        <w:t>质疑函制作说明：</w:t>
      </w:r>
    </w:p>
    <w:p>
      <w:pPr>
        <w:widowControl/>
        <w:spacing w:line="360" w:lineRule="auto"/>
        <w:ind w:left="436" w:leftChars="200"/>
        <w:rPr>
          <w:rFonts w:ascii="宋体" w:hAnsi="宋体" w:cs="宋体"/>
          <w:sz w:val="24"/>
          <w:szCs w:val="24"/>
        </w:rPr>
      </w:pPr>
      <w:r>
        <w:rPr>
          <w:rFonts w:hint="eastAsia" w:ascii="宋体" w:hAnsi="宋体" w:cs="宋体"/>
          <w:sz w:val="24"/>
          <w:szCs w:val="24"/>
        </w:rPr>
        <w:t>1.供应商提出质疑时，应提交质疑函和必要的证明材料。</w:t>
      </w:r>
    </w:p>
    <w:p>
      <w:pPr>
        <w:widowControl/>
        <w:spacing w:line="360" w:lineRule="auto"/>
        <w:ind w:left="436" w:leftChars="200"/>
        <w:rPr>
          <w:rFonts w:ascii="宋体" w:hAnsi="宋体" w:cs="宋体"/>
          <w:sz w:val="24"/>
          <w:szCs w:val="24"/>
        </w:rPr>
      </w:pPr>
      <w:r>
        <w:rPr>
          <w:rFonts w:hint="eastAsia" w:ascii="宋体" w:hAnsi="宋体" w:cs="宋体"/>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spacing w:line="360" w:lineRule="auto"/>
        <w:ind w:left="436" w:leftChars="200"/>
        <w:rPr>
          <w:rFonts w:ascii="宋体" w:hAnsi="宋体" w:cs="宋体"/>
          <w:sz w:val="24"/>
          <w:szCs w:val="24"/>
        </w:rPr>
      </w:pPr>
      <w:r>
        <w:rPr>
          <w:rFonts w:hint="eastAsia" w:ascii="宋体" w:hAnsi="宋体" w:cs="宋体"/>
          <w:sz w:val="24"/>
          <w:szCs w:val="24"/>
        </w:rPr>
        <w:t>3.质疑供应商若对项目的某一分包进行质疑，质疑函中应列明具体分标段号。</w:t>
      </w:r>
    </w:p>
    <w:p>
      <w:pPr>
        <w:widowControl/>
        <w:spacing w:line="360" w:lineRule="auto"/>
        <w:ind w:left="436" w:leftChars="200"/>
        <w:rPr>
          <w:rFonts w:ascii="宋体" w:hAnsi="宋体" w:cs="宋体"/>
          <w:sz w:val="24"/>
          <w:szCs w:val="24"/>
        </w:rPr>
      </w:pPr>
      <w:r>
        <w:rPr>
          <w:rFonts w:hint="eastAsia" w:ascii="宋体" w:hAnsi="宋体" w:cs="宋体"/>
          <w:sz w:val="24"/>
          <w:szCs w:val="24"/>
        </w:rPr>
        <w:t>4.质疑函的质疑事项应具体、明确，并有必要的事实依据和法律依据。</w:t>
      </w:r>
    </w:p>
    <w:p>
      <w:pPr>
        <w:widowControl/>
        <w:spacing w:line="360" w:lineRule="auto"/>
        <w:ind w:left="436" w:leftChars="200"/>
        <w:rPr>
          <w:rFonts w:ascii="宋体" w:hAnsi="宋体" w:cs="宋体"/>
          <w:sz w:val="24"/>
          <w:szCs w:val="24"/>
        </w:rPr>
      </w:pPr>
      <w:r>
        <w:rPr>
          <w:rFonts w:hint="eastAsia" w:ascii="宋体" w:hAnsi="宋体" w:cs="宋体"/>
          <w:sz w:val="24"/>
          <w:szCs w:val="24"/>
        </w:rPr>
        <w:t>5.质疑函的质疑请求应与质疑事项相关。</w:t>
      </w:r>
    </w:p>
    <w:p>
      <w:pPr>
        <w:widowControl/>
        <w:spacing w:line="360" w:lineRule="auto"/>
        <w:ind w:left="436" w:leftChars="200"/>
        <w:rPr>
          <w:rFonts w:ascii="宋体" w:hAnsi="宋体" w:cs="宋体"/>
          <w:sz w:val="24"/>
          <w:szCs w:val="24"/>
        </w:rPr>
      </w:pPr>
      <w:r>
        <w:rPr>
          <w:rFonts w:hint="eastAsia" w:ascii="宋体" w:hAnsi="宋体" w:cs="宋体"/>
          <w:sz w:val="24"/>
          <w:szCs w:val="24"/>
        </w:rPr>
        <w:t>6.质疑供应商为自然人的，质疑函应由本人签字；质疑供应商为法人或者其他组织的，质疑函应由法定代表人、主要负责人，或者其授权代表签字或者盖章，并加盖公章。</w:t>
      </w:r>
    </w:p>
    <w:p>
      <w:pPr>
        <w:pStyle w:val="4"/>
        <w:adjustRightInd w:val="0"/>
        <w:spacing w:line="416" w:lineRule="atLeast"/>
        <w:jc w:val="both"/>
        <w:textAlignment w:val="baseline"/>
        <w:rPr>
          <w:rFonts w:ascii="宋体" w:hAnsi="宋体" w:cs="宋体"/>
        </w:rPr>
        <w:sectPr>
          <w:pgSz w:w="11906" w:h="16838"/>
          <w:pgMar w:top="1440" w:right="1803" w:bottom="1440" w:left="1803" w:header="850" w:footer="992" w:gutter="0"/>
          <w:cols w:space="720" w:num="1"/>
          <w:titlePg/>
          <w:docGrid w:type="linesAndChars" w:linePitch="395" w:charSpace="1724"/>
        </w:sectPr>
      </w:pPr>
    </w:p>
    <w:bookmarkEnd w:id="220"/>
    <w:bookmarkEnd w:id="221"/>
    <w:bookmarkEnd w:id="222"/>
    <w:p/>
    <w:p>
      <w:pPr>
        <w:jc w:val="left"/>
        <w:rPr>
          <w:rFonts w:ascii="宋体" w:hAnsi="宋体" w:cs="宋体"/>
          <w:sz w:val="72"/>
          <w:szCs w:val="72"/>
        </w:rPr>
      </w:pPr>
      <w:r>
        <w:rPr>
          <w:rFonts w:hint="eastAsia" w:ascii="宋体" w:hAnsi="宋体" w:cs="宋体"/>
          <w:b/>
          <w:spacing w:val="48"/>
          <w:sz w:val="72"/>
          <w:szCs w:val="72"/>
        </w:rPr>
        <w:t>公平</w:t>
      </w:r>
    </w:p>
    <w:p>
      <w:pPr>
        <w:tabs>
          <w:tab w:val="left" w:pos="3810"/>
        </w:tabs>
        <w:jc w:val="left"/>
        <w:rPr>
          <w:rFonts w:ascii="宋体" w:hAnsi="宋体" w:cs="宋体"/>
          <w:sz w:val="72"/>
          <w:szCs w:val="72"/>
        </w:rPr>
      </w:pPr>
    </w:p>
    <w:p>
      <w:pPr>
        <w:jc w:val="left"/>
        <w:rPr>
          <w:rFonts w:ascii="宋体" w:hAnsi="宋体" w:cs="宋体"/>
          <w:sz w:val="72"/>
          <w:szCs w:val="72"/>
        </w:rPr>
      </w:pPr>
    </w:p>
    <w:p>
      <w:pPr>
        <w:rPr>
          <w:rFonts w:ascii="宋体" w:hAnsi="宋体" w:cs="宋体"/>
          <w:b/>
          <w:spacing w:val="48"/>
          <w:sz w:val="72"/>
          <w:szCs w:val="72"/>
        </w:rPr>
      </w:pPr>
    </w:p>
    <w:p>
      <w:pPr>
        <w:jc w:val="center"/>
        <w:rPr>
          <w:rFonts w:ascii="宋体" w:hAnsi="宋体" w:cs="宋体"/>
          <w:b/>
          <w:spacing w:val="48"/>
          <w:sz w:val="72"/>
          <w:szCs w:val="72"/>
        </w:rPr>
      </w:pPr>
      <w:r>
        <w:rPr>
          <w:rFonts w:hint="eastAsia" w:ascii="宋体" w:hAnsi="宋体" w:cs="宋体"/>
          <w:b/>
          <w:spacing w:val="48"/>
          <w:sz w:val="72"/>
          <w:szCs w:val="72"/>
        </w:rPr>
        <w:t>公正</w:t>
      </w:r>
    </w:p>
    <w:p>
      <w:pPr>
        <w:jc w:val="left"/>
        <w:rPr>
          <w:rFonts w:ascii="宋体" w:hAnsi="宋体" w:cs="宋体"/>
          <w:b/>
          <w:spacing w:val="48"/>
          <w:sz w:val="72"/>
          <w:szCs w:val="72"/>
        </w:rPr>
      </w:pPr>
    </w:p>
    <w:p>
      <w:pPr>
        <w:jc w:val="left"/>
        <w:rPr>
          <w:rFonts w:ascii="宋体" w:hAnsi="宋体" w:cs="宋体"/>
          <w:b/>
          <w:spacing w:val="48"/>
          <w:sz w:val="72"/>
          <w:szCs w:val="72"/>
        </w:rPr>
      </w:pPr>
    </w:p>
    <w:p>
      <w:pPr>
        <w:rPr>
          <w:rFonts w:ascii="宋体" w:hAnsi="宋体" w:cs="宋体"/>
          <w:b/>
          <w:spacing w:val="48"/>
          <w:sz w:val="72"/>
          <w:szCs w:val="72"/>
        </w:rPr>
      </w:pPr>
    </w:p>
    <w:p>
      <w:pPr>
        <w:jc w:val="right"/>
        <w:rPr>
          <w:rFonts w:ascii="宋体" w:hAnsi="宋体" w:cs="宋体"/>
          <w:b/>
          <w:spacing w:val="48"/>
          <w:sz w:val="72"/>
          <w:szCs w:val="72"/>
        </w:rPr>
      </w:pPr>
      <w:r>
        <w:rPr>
          <w:rFonts w:hint="eastAsia" w:ascii="宋体" w:hAnsi="宋体" w:cs="宋体"/>
          <w:b/>
          <w:spacing w:val="48"/>
          <w:sz w:val="72"/>
          <w:szCs w:val="72"/>
        </w:rPr>
        <w:t>公开</w:t>
      </w:r>
    </w:p>
    <w:bookmarkEnd w:id="0"/>
    <w:p>
      <w:pPr>
        <w:spacing w:line="360" w:lineRule="auto"/>
        <w:rPr>
          <w:rFonts w:ascii="宋体" w:hAnsi="宋体" w:cs="宋体"/>
          <w:b/>
          <w:sz w:val="30"/>
          <w:szCs w:val="30"/>
        </w:rPr>
      </w:pPr>
      <w:r>
        <w:rPr>
          <w:rFonts w:hint="eastAsia" w:ascii="宋体" w:hAnsi="宋体" w:cs="宋体"/>
          <w:b/>
          <w:sz w:val="30"/>
          <w:szCs w:val="30"/>
        </w:rPr>
        <w:t>企业名称：陕西万泽招标有限公司</w:t>
      </w:r>
    </w:p>
    <w:p>
      <w:pPr>
        <w:spacing w:line="360" w:lineRule="auto"/>
        <w:rPr>
          <w:rFonts w:ascii="宋体" w:hAnsi="宋体" w:cs="宋体"/>
          <w:b/>
          <w:sz w:val="30"/>
          <w:szCs w:val="30"/>
        </w:rPr>
      </w:pPr>
      <w:r>
        <w:rPr>
          <w:rFonts w:hint="eastAsia" w:ascii="宋体" w:hAnsi="宋体" w:cs="宋体"/>
          <w:b/>
          <w:sz w:val="30"/>
          <w:szCs w:val="30"/>
        </w:rPr>
        <w:t>地址：西安市西关正街英达大厦1507室</w:t>
      </w:r>
    </w:p>
    <w:p>
      <w:pPr>
        <w:spacing w:line="360" w:lineRule="auto"/>
        <w:rPr>
          <w:rFonts w:ascii="宋体" w:hAnsi="宋体" w:cs="宋体"/>
          <w:b/>
          <w:sz w:val="30"/>
          <w:szCs w:val="30"/>
        </w:rPr>
      </w:pPr>
      <w:r>
        <w:rPr>
          <w:rFonts w:hint="eastAsia" w:ascii="宋体" w:hAnsi="宋体" w:cs="宋体"/>
          <w:b/>
          <w:sz w:val="30"/>
          <w:szCs w:val="30"/>
        </w:rPr>
        <w:t>邮政编码：710082</w:t>
      </w:r>
    </w:p>
    <w:p>
      <w:pPr>
        <w:spacing w:line="360" w:lineRule="auto"/>
        <w:rPr>
          <w:rFonts w:ascii="宋体" w:hAnsi="宋体" w:cs="宋体"/>
          <w:b/>
          <w:sz w:val="30"/>
          <w:szCs w:val="30"/>
        </w:rPr>
      </w:pPr>
      <w:r>
        <w:rPr>
          <w:rFonts w:hint="eastAsia" w:ascii="宋体" w:hAnsi="宋体" w:cs="宋体"/>
          <w:b/>
          <w:sz w:val="30"/>
          <w:szCs w:val="30"/>
        </w:rPr>
        <w:t>电话：029-88319689</w:t>
      </w:r>
    </w:p>
    <w:p>
      <w:pPr>
        <w:spacing w:line="360" w:lineRule="auto"/>
        <w:rPr>
          <w:rFonts w:ascii="宋体" w:hAnsi="宋体" w:cs="宋体"/>
        </w:rPr>
      </w:pPr>
      <w:r>
        <w:rPr>
          <w:rFonts w:hint="eastAsia" w:ascii="宋体" w:hAnsi="宋体" w:cs="宋体"/>
          <w:b/>
          <w:sz w:val="30"/>
          <w:szCs w:val="30"/>
        </w:rPr>
        <w:t>传真：029-88319689</w:t>
      </w:r>
    </w:p>
    <w:sectPr>
      <w:pgSz w:w="11906" w:h="16838"/>
      <w:pgMar w:top="1440" w:right="1803" w:bottom="1440" w:left="1803" w:header="850" w:footer="992" w:gutter="0"/>
      <w:cols w:space="720" w:num="1"/>
      <w:titlePg/>
      <w:docGrid w:type="linesAndChars" w:linePitch="395" w:charSpace="17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pperplate Gothic Bold">
    <w:altName w:val="Segoe Print"/>
    <w:panose1 w:val="020E07050202060204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 w:name="Minion">
    <w:altName w:val="新宋体"/>
    <w:panose1 w:val="00000000000000000000"/>
    <w:charset w:val="00"/>
    <w:family w:val="auto"/>
    <w:pitch w:val="default"/>
    <w:sig w:usb0="00000000" w:usb1="00000000" w:usb2="00000000" w:usb3="00000000" w:csb0="00000001" w:csb1="00000000"/>
  </w:font>
  <w:font w:name="新宋体">
    <w:panose1 w:val="02010609030101010101"/>
    <w:charset w:val="86"/>
    <w:family w:val="auto"/>
    <w:pitch w:val="default"/>
    <w:sig w:usb0="0000028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rFonts w:ascii="宋体" w:cs="宋体"/>
      </w:rPr>
    </w:pPr>
    <w:r>
      <w:rPr>
        <w:rFonts w:hint="eastAsia" w:ascii="宋体" w:hAnsi="宋体" w:cs="宋体"/>
      </w:rPr>
      <w:t>陕西万泽招标有限公司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rFonts w:ascii="宋体" w:cs="宋体"/>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7"/>
                          </w:pPr>
                          <w:r>
                            <w:t xml:space="preserve">第 </w:t>
                          </w:r>
                          <w:r>
                            <w:fldChar w:fldCharType="begin"/>
                          </w:r>
                          <w:r>
                            <w:instrText xml:space="preserve"> PAGE  \* MERGEFORMAT </w:instrText>
                          </w:r>
                          <w:r>
                            <w:fldChar w:fldCharType="separate"/>
                          </w:r>
                          <w:r>
                            <w:t>51</w:t>
                          </w:r>
                          <w:r>
                            <w:fldChar w:fldCharType="end"/>
                          </w:r>
                          <w:r>
                            <w:t xml:space="preserve"> 页 共 </w:t>
                          </w:r>
                          <w:r>
                            <w:fldChar w:fldCharType="begin"/>
                          </w:r>
                          <w:r>
                            <w:instrText xml:space="preserve"> NUMPAGES  \* MERGEFORMAT </w:instrText>
                          </w:r>
                          <w:r>
                            <w:fldChar w:fldCharType="separate"/>
                          </w:r>
                          <w:r>
                            <w:t>52</w:t>
                          </w:r>
                          <w:r>
                            <w:fldChar w:fldCharType="end"/>
                          </w:r>
                          <w:r>
                            <w:t xml:space="preserve"> 页</w:t>
                          </w:r>
                        </w:p>
                      </w:txbxContent>
                    </wps:txbx>
                    <wps:bodyPr wrap="none" lIns="0" tIns="0" rIns="0" bIns="0" upright="1">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&#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NJWO7QAAAABQEAAA8AAAAAAAAAAQAgAAAAIgAAAGRy&#10;cy9kb3ducmV2LnhtbFBLAQIUABQAAAAIAIdO4kCWVKYB1AEAAKQDAAAOAAAAAAAAAAEAIAAAAB8B&#10;AABkcnMvZTJvRG9jLnhtbFBLBQYAAAAABgAGAFkBAABlBQ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51</w:t>
                    </w:r>
                    <w:r>
                      <w:fldChar w:fldCharType="end"/>
                    </w:r>
                    <w:r>
                      <w:t xml:space="preserve"> 页 共 </w:t>
                    </w:r>
                    <w:r>
                      <w:fldChar w:fldCharType="begin"/>
                    </w:r>
                    <w:r>
                      <w:instrText xml:space="preserve"> NUMPAGES  \* MERGEFORMAT </w:instrText>
                    </w:r>
                    <w:r>
                      <w:fldChar w:fldCharType="separate"/>
                    </w:r>
                    <w:r>
                      <w:t>52</w:t>
                    </w:r>
                    <w:r>
                      <w:fldChar w:fldCharType="end"/>
                    </w:r>
                    <w:r>
                      <w:t xml:space="preserve"> 页</w:t>
                    </w:r>
                  </w:p>
                </w:txbxContent>
              </v:textbox>
            </v:shape>
          </w:pict>
        </mc:Fallback>
      </mc:AlternateContent>
    </w:r>
    <w:r>
      <w:rPr>
        <w:rFonts w:hint="eastAsia" w:ascii="宋体" w:hAnsi="宋体" w:cs="宋体"/>
      </w:rPr>
      <w:t>陕西万泽招标有限公司</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150"/>
        <w:tab w:val="right" w:pos="8420"/>
        <w:tab w:val="clear" w:pos="4153"/>
      </w:tabs>
      <w:rPr>
        <w:rFonts w:ascii="宋体"/>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7"/>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wps:txbx>
                    <wps:bodyPr wrap="none" lIns="0" tIns="0" rIns="0" bIns="0" upright="1">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DqJGV/TAQAApAMAAA4AAAAAAAAAAQAgAAAAHwEA&#10;AGRycy9lMm9Eb2MueG1sUEsFBgAAAAAGAAYAWQEAAGQFA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陕西万泽招标有限公司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right" w:pos="8426"/>
      </w:tabs>
      <w:rPr>
        <w:rFonts w:ascii="宋体" w:cs="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37lopNIBAACiAwAADgAAAAAAAAABACAAAAAfAQAA&#10;ZHJzL2Uyb0RvYy54bWxQSwUGAAAAAAYABgBZAQAAYwU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r>
      <w:rPr>
        <w:rFonts w:ascii="宋体" w:cs="宋体"/>
      </w:rPr>
      <w:tab/>
    </w:r>
    <w:r>
      <w:rPr>
        <w:rFonts w:ascii="宋体" w:cs="宋体"/>
      </w:rPr>
      <w:tab/>
    </w:r>
    <w:r>
      <w:rPr>
        <w:rFonts w:hint="eastAsia" w:ascii="宋体" w:hAnsi="宋体" w:cs="宋体"/>
      </w:rPr>
      <w:t>陕西万泽招标有限公司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rFonts w:ascii="宋体" w:cs="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7"/>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BXHhTDTAQAAogMAAA4AAAAAAAAAAQAgAAAAHwEA&#10;AGRycy9lMm9Eb2MueG1sUEsFBgAAAAAGAAYAWQEAAGQFA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r>
      <w:rPr>
        <w:rFonts w:hint="eastAsia" w:ascii="宋体" w:hAnsi="宋体" w:cs="宋体"/>
      </w:rPr>
      <w:t>陕西万泽招标有限公司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rFonts w:ascii="宋体" w:cs="宋体"/>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7"/>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wrap="none" lIns="0" tIns="0" rIns="0" bIns="0" upright="1">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HRtew3TAQAApAMAAA4AAAAAAAAAAQAgAAAAHwEA&#10;AGRycy9lMm9Eb2MueG1sUEsFBgAAAAAGAAYAWQEAAGQFA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r>
      <w:rPr>
        <w:rFonts w:hint="eastAsia" w:ascii="宋体" w:hAnsi="宋体" w:cs="宋体"/>
      </w:rPr>
      <w:t>陕西万泽招标有限公司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rFonts w:ascii="宋体" w:cs="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7"/>
                          </w:pPr>
                          <w:r>
                            <w:t xml:space="preserve">第 </w:t>
                          </w:r>
                          <w:r>
                            <w:fldChar w:fldCharType="begin"/>
                          </w:r>
                          <w:r>
                            <w:instrText xml:space="preserve"> PAGE  \* MERGEFORMAT </w:instrText>
                          </w:r>
                          <w:r>
                            <w:fldChar w:fldCharType="separate"/>
                          </w:r>
                          <w:r>
                            <w:t>15</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2PPyC9IBAACiAwAADgAAAAAAAAABACAAAAAfAQAA&#10;ZHJzL2Uyb0RvYy54bWxQSwUGAAAAAAYABgBZAQAAYwU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15</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r>
      <w:rPr>
        <w:rFonts w:hint="eastAsia" w:ascii="宋体" w:hAnsi="宋体" w:cs="宋体"/>
      </w:rPr>
      <w:t>陕西万泽招标有限公司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rFonts w:ascii="宋体" w:cs="宋体"/>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7"/>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CrAM+XTAQAAogMAAA4AAAAAAAAAAQAgAAAAHwEA&#10;AGRycy9lMm9Eb2MueG1sUEsFBgAAAAAGAAYAWQEAAGQFA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r>
      <w:rPr>
        <w:rFonts w:hint="eastAsia" w:ascii="宋体" w:hAnsi="宋体" w:cs="宋体"/>
      </w:rPr>
      <w:t>陕西万泽招标有限公司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rFonts w:ascii="宋体" w:cs="宋体"/>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7"/>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wrap="none" lIns="0" tIns="0" rIns="0" bIns="0" upright="1">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&#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FcbjfTTAQAAowMAAA4AAAAAAAAAAQAgAAAAHwEA&#10;AGRycy9lMm9Eb2MueG1sUEsFBgAAAAAGAAYAWQEAAGQFA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r>
      <w:rPr>
        <w:rFonts w:hint="eastAsia" w:ascii="宋体" w:hAnsi="宋体" w:cs="宋体"/>
      </w:rPr>
      <w:t>陕西万泽招标有限公司</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7"/>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wrap="none" lIns="0" tIns="0" rIns="0" bIns="0" upright="1">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XePSstIBAACjAwAADgAAAAAAAAABACAAAAAfAQAA&#10;ZHJzL2Uyb0RvYy54bWxQSwUGAAAAAAYABgBZAQAAYwU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7"/>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wrap="none" lIns="0" tIns="0" rIns="0" bIns="0" upright="1">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MNOw2zTAQAApAMAAA4AAAAAAAAAAQAgAAAAHwEA&#10;AGRycy9lMm9Eb2MueG1sUEsFBgAAAAAGAAYAWQEAAGQFA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ind w:right="-313" w:rightChars="-149"/>
      <w:jc w:val="left"/>
      <w:rPr>
        <w:rFonts w:hint="eastAsia" w:ascii="宋体" w:cs="宋体"/>
        <w:sz w:val="15"/>
        <w:szCs w:val="15"/>
        <w:u w:val="single"/>
      </w:rPr>
    </w:pPr>
    <w:r>
      <w:rPr>
        <w:rFonts w:hint="eastAsia" w:ascii="宋体" w:hAnsi="宋体" w:cs="宋体"/>
        <w:bCs/>
        <w:sz w:val="15"/>
        <w:szCs w:val="15"/>
        <w:u w:val="single"/>
      </w:rPr>
      <w:t>西安市食品药品检验所食品抽样租赁用车项目                                                     SXWZ2022ZB-SYJ-013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rPr>
    </w:pPr>
    <w:r>
      <w:rPr>
        <w:rFonts w:hint="eastAsia" w:ascii="宋体" w:hAnsi="宋体" w:cs="宋体"/>
        <w:bCs/>
        <w:sz w:val="15"/>
        <w:szCs w:val="15"/>
        <w:u w:val="single"/>
      </w:rPr>
      <w:t>西安市食品药品检验所食品抽样租赁用车项目SXWZ2022ZB-SYJ-013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ind w:left="-199" w:leftChars="-95" w:right="-313" w:rightChars="-149" w:firstLine="150" w:firstLineChars="100"/>
      <w:jc w:val="left"/>
      <w:rPr>
        <w:rFonts w:hint="eastAsia"/>
      </w:rPr>
    </w:pPr>
    <w:r>
      <w:rPr>
        <w:rFonts w:hint="eastAsia" w:ascii="宋体" w:hAnsi="宋体" w:cs="宋体"/>
        <w:bCs/>
        <w:sz w:val="15"/>
        <w:szCs w:val="15"/>
        <w:u w:val="single"/>
      </w:rPr>
      <w:t>西安市食品药品检验所食品抽样租赁用车项目                                     SXWZ2022ZB-SYJ-013</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left="900" w:right="720" w:hanging="900" w:hangingChars="600"/>
      <w:jc w:val="both"/>
      <w:rPr>
        <w:rFonts w:hint="eastAsia"/>
        <w:sz w:val="15"/>
        <w:szCs w:val="15"/>
        <w:lang w:eastAsia="zh-CN"/>
      </w:rPr>
    </w:pPr>
    <w:r>
      <w:rPr>
        <w:rFonts w:hint="eastAsia"/>
        <w:color w:val="000000"/>
        <w:sz w:val="15"/>
        <w:szCs w:val="15"/>
        <w:lang w:eastAsia="zh-CN"/>
      </w:rPr>
      <w:t>西安市食品药品检验所食品抽样租赁用车项目</w:t>
    </w:r>
    <w:r>
      <w:rPr>
        <w:rFonts w:hint="eastAsia"/>
        <w:color w:val="000000"/>
        <w:sz w:val="15"/>
        <w:szCs w:val="15"/>
      </w:rPr>
      <w:t xml:space="preserve">                   </w:t>
    </w:r>
    <w:r>
      <w:rPr>
        <w:rFonts w:hint="eastAsia" w:ascii="宋体" w:hAnsi="宋体" w:cs="宋体"/>
        <w:bCs/>
        <w:sz w:val="15"/>
        <w:szCs w:val="15"/>
        <w:lang w:eastAsia="zh-CN"/>
      </w:rPr>
      <w:t>SXWZ2022ZB-SYJ-013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left="450" w:hanging="450" w:hangingChars="300"/>
      <w:jc w:val="both"/>
      <w:rPr>
        <w:rFonts w:hint="eastAsia"/>
        <w:sz w:val="15"/>
        <w:szCs w:val="15"/>
        <w:lang w:eastAsia="zh-CN"/>
      </w:rPr>
    </w:pPr>
    <w:r>
      <w:rPr>
        <w:rFonts w:hint="eastAsia"/>
        <w:sz w:val="15"/>
        <w:szCs w:val="15"/>
        <w:lang w:eastAsia="zh-CN"/>
      </w:rPr>
      <w:t>西安市食品药品检验所食品抽样租赁用车项目</w:t>
    </w:r>
    <w:r>
      <w:rPr>
        <w:rFonts w:hint="eastAsia"/>
        <w:sz w:val="15"/>
        <w:szCs w:val="15"/>
      </w:rPr>
      <w:t xml:space="preserve">                               </w:t>
    </w:r>
    <w:r>
      <w:rPr>
        <w:rFonts w:hint="eastAsia" w:ascii="宋体" w:hAnsi="宋体" w:cs="宋体"/>
        <w:sz w:val="15"/>
        <w:szCs w:val="15"/>
        <w:lang w:eastAsia="zh-CN"/>
      </w:rPr>
      <w:t>SXWZ2022ZB-SYJ-013</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ascii="宋体"/>
        <w:sz w:val="15"/>
        <w:szCs w:val="15"/>
        <w:highlight w:val="yellow"/>
        <w:u w:val="single"/>
      </w:rPr>
    </w:pPr>
    <w:r>
      <w:rPr>
        <w:rFonts w:hint="eastAsia"/>
        <w:sz w:val="15"/>
        <w:szCs w:val="15"/>
        <w:u w:val="single"/>
      </w:rPr>
      <w:t>西安市食品药品检验所食品抽样租赁用车项目                  SXWZ2022ZB-SYJ-013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81F9C9"/>
    <w:multiLevelType w:val="singleLevel"/>
    <w:tmpl w:val="BD81F9C9"/>
    <w:lvl w:ilvl="0" w:tentative="0">
      <w:start w:val="1"/>
      <w:numFmt w:val="decimal"/>
      <w:suff w:val="nothing"/>
      <w:lvlText w:val="%1、"/>
      <w:lvlJc w:val="left"/>
    </w:lvl>
  </w:abstractNum>
  <w:abstractNum w:abstractNumId="1">
    <w:nsid w:val="CBE9AD97"/>
    <w:multiLevelType w:val="singleLevel"/>
    <w:tmpl w:val="CBE9AD97"/>
    <w:lvl w:ilvl="0" w:tentative="0">
      <w:start w:val="1"/>
      <w:numFmt w:val="bullet"/>
      <w:pStyle w:val="11"/>
      <w:lvlText w:val=""/>
      <w:lvlJc w:val="left"/>
      <w:pPr>
        <w:tabs>
          <w:tab w:val="left" w:pos="780"/>
        </w:tabs>
        <w:ind w:left="780" w:hanging="360"/>
      </w:pPr>
      <w:rPr>
        <w:rFonts w:hint="default" w:ascii="Wingdings" w:hAnsi="Wingdings"/>
      </w:rPr>
    </w:lvl>
  </w:abstractNum>
  <w:abstractNum w:abstractNumId="2">
    <w:nsid w:val="5530B97F"/>
    <w:multiLevelType w:val="singleLevel"/>
    <w:tmpl w:val="5530B97F"/>
    <w:lvl w:ilvl="0" w:tentative="0">
      <w:start w:val="1"/>
      <w:numFmt w:val="chineseCounting"/>
      <w:suff w:val="nothing"/>
      <w:lvlText w:val="%1、"/>
      <w:lvlJc w:val="left"/>
      <w:rPr>
        <w:rFonts w:cs="Times New Roman"/>
      </w:rPr>
    </w:lvl>
  </w:abstractNum>
  <w:abstractNum w:abstractNumId="3">
    <w:nsid w:val="559A3852"/>
    <w:multiLevelType w:val="singleLevel"/>
    <w:tmpl w:val="559A3852"/>
    <w:lvl w:ilvl="0" w:tentative="0">
      <w:start w:val="1"/>
      <w:numFmt w:val="decimal"/>
      <w:suff w:val="nothing"/>
      <w:lvlText w:val="（%1）"/>
      <w:lvlJc w:val="left"/>
      <w:pPr>
        <w:ind w:left="0" w:firstLine="400"/>
      </w:pPr>
      <w:rPr>
        <w:rFonts w:hint="default"/>
      </w:rPr>
    </w:lvl>
  </w:abstractNum>
  <w:abstractNum w:abstractNumId="4">
    <w:nsid w:val="58BE4A74"/>
    <w:multiLevelType w:val="singleLevel"/>
    <w:tmpl w:val="58BE4A74"/>
    <w:lvl w:ilvl="0" w:tentative="0">
      <w:start w:val="1"/>
      <w:numFmt w:val="chineseCounting"/>
      <w:suff w:val="nothing"/>
      <w:lvlText w:val="%1、"/>
      <w:lvlJc w:val="left"/>
      <w:pPr>
        <w:ind w:firstLine="420"/>
      </w:pPr>
      <w:rPr>
        <w:rFonts w:hint="eastAsia" w:cs="Times New Roman"/>
      </w:rPr>
    </w:lvl>
  </w:abstractNum>
  <w:abstractNum w:abstractNumId="5">
    <w:nsid w:val="58BE4ABA"/>
    <w:multiLevelType w:val="singleLevel"/>
    <w:tmpl w:val="58BE4ABA"/>
    <w:lvl w:ilvl="0" w:tentative="0">
      <w:start w:val="1"/>
      <w:numFmt w:val="decimal"/>
      <w:suff w:val="nothing"/>
      <w:lvlText w:val="%1、"/>
      <w:lvlJc w:val="left"/>
      <w:pPr>
        <w:ind w:firstLine="420"/>
      </w:pPr>
      <w:rPr>
        <w:rFonts w:hint="default" w:cs="Times New Roman"/>
      </w:rPr>
    </w:lvl>
  </w:abstractNum>
  <w:abstractNum w:abstractNumId="6">
    <w:nsid w:val="58BE4BC8"/>
    <w:multiLevelType w:val="singleLevel"/>
    <w:tmpl w:val="58BE4BC8"/>
    <w:lvl w:ilvl="0" w:tentative="0">
      <w:start w:val="1"/>
      <w:numFmt w:val="decimal"/>
      <w:suff w:val="nothing"/>
      <w:lvlText w:val="%1、"/>
      <w:lvlJc w:val="left"/>
      <w:pPr>
        <w:ind w:firstLine="420"/>
      </w:pPr>
      <w:rPr>
        <w:rFonts w:hint="default" w:cs="Times New Roman"/>
      </w:rPr>
    </w:lvl>
  </w:abstractNum>
  <w:abstractNum w:abstractNumId="7">
    <w:nsid w:val="58BE64F2"/>
    <w:multiLevelType w:val="singleLevel"/>
    <w:tmpl w:val="58BE64F2"/>
    <w:lvl w:ilvl="0" w:tentative="0">
      <w:start w:val="1"/>
      <w:numFmt w:val="decimal"/>
      <w:suff w:val="nothing"/>
      <w:lvlText w:val="%1、"/>
      <w:lvlJc w:val="left"/>
      <w:pPr>
        <w:ind w:firstLine="420"/>
      </w:pPr>
      <w:rPr>
        <w:rFonts w:hint="default" w:cs="Times New Roman"/>
      </w:rPr>
    </w:lvl>
  </w:abstractNum>
  <w:abstractNum w:abstractNumId="8">
    <w:nsid w:val="58BE6519"/>
    <w:multiLevelType w:val="singleLevel"/>
    <w:tmpl w:val="58BE6519"/>
    <w:lvl w:ilvl="0" w:tentative="0">
      <w:start w:val="1"/>
      <w:numFmt w:val="decimal"/>
      <w:suff w:val="nothing"/>
      <w:lvlText w:val="%1、"/>
      <w:lvlJc w:val="left"/>
      <w:pPr>
        <w:ind w:firstLine="420"/>
      </w:pPr>
      <w:rPr>
        <w:rFonts w:hint="default" w:cs="Times New Roman"/>
      </w:rPr>
    </w:lvl>
  </w:abstractNum>
  <w:abstractNum w:abstractNumId="9">
    <w:nsid w:val="58BE6CCA"/>
    <w:multiLevelType w:val="singleLevel"/>
    <w:tmpl w:val="58BE6CCA"/>
    <w:lvl w:ilvl="0" w:tentative="0">
      <w:start w:val="1"/>
      <w:numFmt w:val="decimal"/>
      <w:suff w:val="nothing"/>
      <w:lvlText w:val="%1、"/>
      <w:lvlJc w:val="left"/>
      <w:pPr>
        <w:ind w:firstLine="420"/>
      </w:pPr>
      <w:rPr>
        <w:rFonts w:hint="default" w:cs="Times New Roman"/>
      </w:rPr>
    </w:lvl>
  </w:abstractNum>
  <w:abstractNum w:abstractNumId="10">
    <w:nsid w:val="58BFC3B3"/>
    <w:multiLevelType w:val="singleLevel"/>
    <w:tmpl w:val="58BFC3B3"/>
    <w:lvl w:ilvl="0" w:tentative="0">
      <w:start w:val="1"/>
      <w:numFmt w:val="decimal"/>
      <w:suff w:val="nothing"/>
      <w:lvlText w:val="（%1）"/>
      <w:lvlJc w:val="left"/>
      <w:pPr>
        <w:ind w:firstLine="420"/>
      </w:pPr>
      <w:rPr>
        <w:rFonts w:hint="default" w:cs="Times New Roman"/>
      </w:rPr>
    </w:lvl>
  </w:abstractNum>
  <w:abstractNum w:abstractNumId="11">
    <w:nsid w:val="58BFC878"/>
    <w:multiLevelType w:val="singleLevel"/>
    <w:tmpl w:val="58BFC878"/>
    <w:lvl w:ilvl="0" w:tentative="0">
      <w:start w:val="1"/>
      <w:numFmt w:val="decimal"/>
      <w:suff w:val="nothing"/>
      <w:lvlText w:val="%1、"/>
      <w:lvlJc w:val="left"/>
      <w:pPr>
        <w:ind w:left="63" w:firstLine="420"/>
      </w:pPr>
      <w:rPr>
        <w:rFonts w:hint="default"/>
      </w:rPr>
    </w:lvl>
  </w:abstractNum>
  <w:abstractNum w:abstractNumId="12">
    <w:nsid w:val="58C0AD6D"/>
    <w:multiLevelType w:val="singleLevel"/>
    <w:tmpl w:val="58C0AD6D"/>
    <w:lvl w:ilvl="0" w:tentative="0">
      <w:start w:val="1"/>
      <w:numFmt w:val="decimal"/>
      <w:suff w:val="nothing"/>
      <w:lvlText w:val="（%1）"/>
      <w:lvlJc w:val="left"/>
      <w:pPr>
        <w:ind w:firstLine="420"/>
      </w:pPr>
      <w:rPr>
        <w:rFonts w:hint="default" w:cs="Times New Roman"/>
      </w:rPr>
    </w:lvl>
  </w:abstractNum>
  <w:abstractNum w:abstractNumId="13">
    <w:nsid w:val="59E578C5"/>
    <w:multiLevelType w:val="singleLevel"/>
    <w:tmpl w:val="59E578C5"/>
    <w:lvl w:ilvl="0" w:tentative="0">
      <w:start w:val="5"/>
      <w:numFmt w:val="chineseCounting"/>
      <w:suff w:val="nothing"/>
      <w:lvlText w:val="第%1部"/>
      <w:lvlJc w:val="left"/>
    </w:lvl>
  </w:abstractNum>
  <w:abstractNum w:abstractNumId="14">
    <w:nsid w:val="59F08E6A"/>
    <w:multiLevelType w:val="singleLevel"/>
    <w:tmpl w:val="59F08E6A"/>
    <w:lvl w:ilvl="0" w:tentative="0">
      <w:start w:val="1"/>
      <w:numFmt w:val="decimal"/>
      <w:suff w:val="nothing"/>
      <w:lvlText w:val="（%1）"/>
      <w:lvlJc w:val="left"/>
      <w:pPr>
        <w:ind w:left="0" w:firstLine="420"/>
      </w:pPr>
      <w:rPr>
        <w:rFonts w:hint="default"/>
      </w:rPr>
    </w:lvl>
  </w:abstractNum>
  <w:abstractNum w:abstractNumId="15">
    <w:nsid w:val="59F08EA7"/>
    <w:multiLevelType w:val="singleLevel"/>
    <w:tmpl w:val="59F08EA7"/>
    <w:lvl w:ilvl="0" w:tentative="0">
      <w:start w:val="1"/>
      <w:numFmt w:val="decimal"/>
      <w:suff w:val="nothing"/>
      <w:lvlText w:val="（%1）"/>
      <w:lvlJc w:val="left"/>
      <w:pPr>
        <w:ind w:left="0" w:firstLine="420"/>
      </w:pPr>
      <w:rPr>
        <w:rFonts w:hint="default"/>
      </w:rPr>
    </w:lvl>
  </w:abstractNum>
  <w:abstractNum w:abstractNumId="16">
    <w:nsid w:val="59F09AA5"/>
    <w:multiLevelType w:val="singleLevel"/>
    <w:tmpl w:val="59F09AA5"/>
    <w:lvl w:ilvl="0" w:tentative="0">
      <w:start w:val="1"/>
      <w:numFmt w:val="decimal"/>
      <w:suff w:val="nothing"/>
      <w:lvlText w:val="（%1）"/>
      <w:lvlJc w:val="left"/>
      <w:pPr>
        <w:ind w:left="0" w:firstLine="420"/>
      </w:pPr>
      <w:rPr>
        <w:rFonts w:hint="default"/>
      </w:rPr>
    </w:lvl>
  </w:abstractNum>
  <w:num w:numId="1">
    <w:abstractNumId w:val="1"/>
  </w:num>
  <w:num w:numId="2">
    <w:abstractNumId w:val="2"/>
  </w:num>
  <w:num w:numId="3">
    <w:abstractNumId w:val="11"/>
  </w:num>
  <w:num w:numId="4">
    <w:abstractNumId w:val="0"/>
  </w:num>
  <w:num w:numId="5">
    <w:abstractNumId w:val="4"/>
  </w:num>
  <w:num w:numId="6">
    <w:abstractNumId w:val="5"/>
  </w:num>
  <w:num w:numId="7">
    <w:abstractNumId w:val="3"/>
  </w:num>
  <w:num w:numId="8">
    <w:abstractNumId w:val="9"/>
  </w:num>
  <w:num w:numId="9">
    <w:abstractNumId w:val="12"/>
  </w:num>
  <w:num w:numId="10">
    <w:abstractNumId w:val="6"/>
  </w:num>
  <w:num w:numId="11">
    <w:abstractNumId w:val="10"/>
  </w:num>
  <w:num w:numId="12">
    <w:abstractNumId w:val="7"/>
  </w:num>
  <w:num w:numId="13">
    <w:abstractNumId w:val="8"/>
  </w:num>
  <w:num w:numId="14">
    <w:abstractNumId w:val="14"/>
  </w:num>
  <w:num w:numId="15">
    <w:abstractNumId w:val="15"/>
  </w:num>
  <w:num w:numId="16">
    <w:abstractNumId w:val="1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9"/>
  <w:drawingGridVerticalSpacing w:val="198"/>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27224F"/>
    <w:rsid w:val="00001425"/>
    <w:rsid w:val="0003590B"/>
    <w:rsid w:val="00056CD8"/>
    <w:rsid w:val="000601C4"/>
    <w:rsid w:val="00061B22"/>
    <w:rsid w:val="0009478A"/>
    <w:rsid w:val="000A2C3A"/>
    <w:rsid w:val="000B3FC4"/>
    <w:rsid w:val="000C0895"/>
    <w:rsid w:val="000E55ED"/>
    <w:rsid w:val="000E58A3"/>
    <w:rsid w:val="0011607E"/>
    <w:rsid w:val="001269B4"/>
    <w:rsid w:val="00135474"/>
    <w:rsid w:val="001468DD"/>
    <w:rsid w:val="00167A28"/>
    <w:rsid w:val="00184000"/>
    <w:rsid w:val="0018410D"/>
    <w:rsid w:val="0019682A"/>
    <w:rsid w:val="001A5110"/>
    <w:rsid w:val="001D4DEA"/>
    <w:rsid w:val="001F0785"/>
    <w:rsid w:val="00215613"/>
    <w:rsid w:val="002165BB"/>
    <w:rsid w:val="00241228"/>
    <w:rsid w:val="00241322"/>
    <w:rsid w:val="0025484D"/>
    <w:rsid w:val="00262E5C"/>
    <w:rsid w:val="0028240D"/>
    <w:rsid w:val="002878E9"/>
    <w:rsid w:val="00290FBC"/>
    <w:rsid w:val="00294733"/>
    <w:rsid w:val="002A2097"/>
    <w:rsid w:val="002C5052"/>
    <w:rsid w:val="002D236F"/>
    <w:rsid w:val="002D7A6D"/>
    <w:rsid w:val="002E07BF"/>
    <w:rsid w:val="002F6FCA"/>
    <w:rsid w:val="00316E46"/>
    <w:rsid w:val="00320919"/>
    <w:rsid w:val="00335711"/>
    <w:rsid w:val="00337601"/>
    <w:rsid w:val="00347BE2"/>
    <w:rsid w:val="0035067D"/>
    <w:rsid w:val="00353E76"/>
    <w:rsid w:val="00360C09"/>
    <w:rsid w:val="00386522"/>
    <w:rsid w:val="003A08AB"/>
    <w:rsid w:val="003A4426"/>
    <w:rsid w:val="003A5C89"/>
    <w:rsid w:val="003B7D87"/>
    <w:rsid w:val="003D2935"/>
    <w:rsid w:val="003D37C1"/>
    <w:rsid w:val="003E45DE"/>
    <w:rsid w:val="003E65D8"/>
    <w:rsid w:val="003E7B81"/>
    <w:rsid w:val="003F3D18"/>
    <w:rsid w:val="003F64A7"/>
    <w:rsid w:val="00421711"/>
    <w:rsid w:val="00430029"/>
    <w:rsid w:val="004313A1"/>
    <w:rsid w:val="004456E2"/>
    <w:rsid w:val="00446D16"/>
    <w:rsid w:val="00447862"/>
    <w:rsid w:val="00462D92"/>
    <w:rsid w:val="00467536"/>
    <w:rsid w:val="00482B14"/>
    <w:rsid w:val="00490EB6"/>
    <w:rsid w:val="004D70C5"/>
    <w:rsid w:val="004E0ADA"/>
    <w:rsid w:val="004F7E55"/>
    <w:rsid w:val="005044F7"/>
    <w:rsid w:val="00520C66"/>
    <w:rsid w:val="00522064"/>
    <w:rsid w:val="00524BC5"/>
    <w:rsid w:val="0053196F"/>
    <w:rsid w:val="00534DAB"/>
    <w:rsid w:val="00555169"/>
    <w:rsid w:val="005556EC"/>
    <w:rsid w:val="00560F51"/>
    <w:rsid w:val="005728D1"/>
    <w:rsid w:val="00583428"/>
    <w:rsid w:val="005918D7"/>
    <w:rsid w:val="005A1E74"/>
    <w:rsid w:val="005B3960"/>
    <w:rsid w:val="005B6B89"/>
    <w:rsid w:val="005D6622"/>
    <w:rsid w:val="005D72B3"/>
    <w:rsid w:val="005D7A12"/>
    <w:rsid w:val="005E03D4"/>
    <w:rsid w:val="005E2798"/>
    <w:rsid w:val="00603C33"/>
    <w:rsid w:val="006047D6"/>
    <w:rsid w:val="0061536E"/>
    <w:rsid w:val="0064069F"/>
    <w:rsid w:val="00645208"/>
    <w:rsid w:val="00652D89"/>
    <w:rsid w:val="00661C11"/>
    <w:rsid w:val="006657C9"/>
    <w:rsid w:val="006672C8"/>
    <w:rsid w:val="006705B8"/>
    <w:rsid w:val="00672D5F"/>
    <w:rsid w:val="00675143"/>
    <w:rsid w:val="00677970"/>
    <w:rsid w:val="0068282F"/>
    <w:rsid w:val="00696FBA"/>
    <w:rsid w:val="006A3734"/>
    <w:rsid w:val="006B3212"/>
    <w:rsid w:val="006B38D0"/>
    <w:rsid w:val="006B61EF"/>
    <w:rsid w:val="006B71CA"/>
    <w:rsid w:val="006D4400"/>
    <w:rsid w:val="006E46DF"/>
    <w:rsid w:val="006E5B1E"/>
    <w:rsid w:val="006F1FD6"/>
    <w:rsid w:val="006F623E"/>
    <w:rsid w:val="006F6CE7"/>
    <w:rsid w:val="006F7BDB"/>
    <w:rsid w:val="00743BB4"/>
    <w:rsid w:val="0074408D"/>
    <w:rsid w:val="007441D9"/>
    <w:rsid w:val="00792491"/>
    <w:rsid w:val="0079430B"/>
    <w:rsid w:val="007A44B6"/>
    <w:rsid w:val="007C0268"/>
    <w:rsid w:val="007D63C4"/>
    <w:rsid w:val="007E611F"/>
    <w:rsid w:val="007E7283"/>
    <w:rsid w:val="00803D85"/>
    <w:rsid w:val="00803F6A"/>
    <w:rsid w:val="008149F3"/>
    <w:rsid w:val="00833C56"/>
    <w:rsid w:val="00834688"/>
    <w:rsid w:val="00841916"/>
    <w:rsid w:val="00842F88"/>
    <w:rsid w:val="00856B4B"/>
    <w:rsid w:val="0086026F"/>
    <w:rsid w:val="00886168"/>
    <w:rsid w:val="008866C0"/>
    <w:rsid w:val="00891290"/>
    <w:rsid w:val="008962A7"/>
    <w:rsid w:val="00897D92"/>
    <w:rsid w:val="008A367A"/>
    <w:rsid w:val="008B7CA5"/>
    <w:rsid w:val="008C49CF"/>
    <w:rsid w:val="008C77DB"/>
    <w:rsid w:val="008C7BDF"/>
    <w:rsid w:val="008D56DD"/>
    <w:rsid w:val="008D70B9"/>
    <w:rsid w:val="008F6EFE"/>
    <w:rsid w:val="008F752D"/>
    <w:rsid w:val="00916046"/>
    <w:rsid w:val="009244FE"/>
    <w:rsid w:val="00931804"/>
    <w:rsid w:val="009366A8"/>
    <w:rsid w:val="00941AF3"/>
    <w:rsid w:val="00954CF1"/>
    <w:rsid w:val="0095596F"/>
    <w:rsid w:val="00973CE8"/>
    <w:rsid w:val="00992691"/>
    <w:rsid w:val="009972E6"/>
    <w:rsid w:val="009A4A76"/>
    <w:rsid w:val="009C1C62"/>
    <w:rsid w:val="009D6209"/>
    <w:rsid w:val="00A00F09"/>
    <w:rsid w:val="00A10123"/>
    <w:rsid w:val="00A1172A"/>
    <w:rsid w:val="00A1793C"/>
    <w:rsid w:val="00A24217"/>
    <w:rsid w:val="00A248F4"/>
    <w:rsid w:val="00A4619A"/>
    <w:rsid w:val="00A47085"/>
    <w:rsid w:val="00A63494"/>
    <w:rsid w:val="00A73F78"/>
    <w:rsid w:val="00A8343C"/>
    <w:rsid w:val="00A921BA"/>
    <w:rsid w:val="00AA0E04"/>
    <w:rsid w:val="00AB0730"/>
    <w:rsid w:val="00AC383D"/>
    <w:rsid w:val="00AC60A6"/>
    <w:rsid w:val="00AC7625"/>
    <w:rsid w:val="00AD72BC"/>
    <w:rsid w:val="00AF7587"/>
    <w:rsid w:val="00B32079"/>
    <w:rsid w:val="00B46D85"/>
    <w:rsid w:val="00B661E8"/>
    <w:rsid w:val="00B721AB"/>
    <w:rsid w:val="00B76DB3"/>
    <w:rsid w:val="00B926EC"/>
    <w:rsid w:val="00BA067C"/>
    <w:rsid w:val="00BC1AB3"/>
    <w:rsid w:val="00BC5837"/>
    <w:rsid w:val="00BC7715"/>
    <w:rsid w:val="00BD2877"/>
    <w:rsid w:val="00BE47C5"/>
    <w:rsid w:val="00C03E57"/>
    <w:rsid w:val="00C1147B"/>
    <w:rsid w:val="00C225C4"/>
    <w:rsid w:val="00C56CC2"/>
    <w:rsid w:val="00C57645"/>
    <w:rsid w:val="00C60F1E"/>
    <w:rsid w:val="00C66DC2"/>
    <w:rsid w:val="00C735E8"/>
    <w:rsid w:val="00C77720"/>
    <w:rsid w:val="00C84295"/>
    <w:rsid w:val="00C92784"/>
    <w:rsid w:val="00CA477A"/>
    <w:rsid w:val="00CF275C"/>
    <w:rsid w:val="00D01247"/>
    <w:rsid w:val="00D0394F"/>
    <w:rsid w:val="00D13F52"/>
    <w:rsid w:val="00D14A18"/>
    <w:rsid w:val="00D308DC"/>
    <w:rsid w:val="00D574E4"/>
    <w:rsid w:val="00D576EF"/>
    <w:rsid w:val="00D66260"/>
    <w:rsid w:val="00D723CA"/>
    <w:rsid w:val="00D73BD7"/>
    <w:rsid w:val="00D94744"/>
    <w:rsid w:val="00D95D73"/>
    <w:rsid w:val="00D9641E"/>
    <w:rsid w:val="00DA4229"/>
    <w:rsid w:val="00DB7E54"/>
    <w:rsid w:val="00DC1986"/>
    <w:rsid w:val="00DC7FB0"/>
    <w:rsid w:val="00E009D9"/>
    <w:rsid w:val="00E02384"/>
    <w:rsid w:val="00E04145"/>
    <w:rsid w:val="00E24AFE"/>
    <w:rsid w:val="00E40286"/>
    <w:rsid w:val="00E50591"/>
    <w:rsid w:val="00E55562"/>
    <w:rsid w:val="00E6619C"/>
    <w:rsid w:val="00E723EB"/>
    <w:rsid w:val="00E8261A"/>
    <w:rsid w:val="00E84BD2"/>
    <w:rsid w:val="00E9724B"/>
    <w:rsid w:val="00EA1ECE"/>
    <w:rsid w:val="00EB5A7D"/>
    <w:rsid w:val="00EC74B3"/>
    <w:rsid w:val="00EE46F3"/>
    <w:rsid w:val="00EE4819"/>
    <w:rsid w:val="00F00625"/>
    <w:rsid w:val="00F234ED"/>
    <w:rsid w:val="00F25511"/>
    <w:rsid w:val="00F33A67"/>
    <w:rsid w:val="00F61CF1"/>
    <w:rsid w:val="00F75245"/>
    <w:rsid w:val="00F9597D"/>
    <w:rsid w:val="00FC5BAE"/>
    <w:rsid w:val="00FD1D63"/>
    <w:rsid w:val="00FD62CF"/>
    <w:rsid w:val="00FF46C3"/>
    <w:rsid w:val="010A208B"/>
    <w:rsid w:val="011221F0"/>
    <w:rsid w:val="012A3FA6"/>
    <w:rsid w:val="013A223F"/>
    <w:rsid w:val="014F713A"/>
    <w:rsid w:val="01525A0A"/>
    <w:rsid w:val="016A454D"/>
    <w:rsid w:val="016E1781"/>
    <w:rsid w:val="017D3840"/>
    <w:rsid w:val="01920D21"/>
    <w:rsid w:val="01933365"/>
    <w:rsid w:val="019C7937"/>
    <w:rsid w:val="01AC2FBF"/>
    <w:rsid w:val="01B14BA6"/>
    <w:rsid w:val="01EB73A9"/>
    <w:rsid w:val="01F12F1C"/>
    <w:rsid w:val="01F90F7C"/>
    <w:rsid w:val="02064B47"/>
    <w:rsid w:val="02211D91"/>
    <w:rsid w:val="025252A5"/>
    <w:rsid w:val="026117A6"/>
    <w:rsid w:val="027B35DF"/>
    <w:rsid w:val="027C4FD4"/>
    <w:rsid w:val="02854F8C"/>
    <w:rsid w:val="0294379C"/>
    <w:rsid w:val="02B0247D"/>
    <w:rsid w:val="02B4543E"/>
    <w:rsid w:val="02C40641"/>
    <w:rsid w:val="02C467FF"/>
    <w:rsid w:val="02D56486"/>
    <w:rsid w:val="02DB0398"/>
    <w:rsid w:val="02E12484"/>
    <w:rsid w:val="02E638FA"/>
    <w:rsid w:val="02EB5261"/>
    <w:rsid w:val="02F47738"/>
    <w:rsid w:val="02F61685"/>
    <w:rsid w:val="02FA17E2"/>
    <w:rsid w:val="030A0C9E"/>
    <w:rsid w:val="031C5CB6"/>
    <w:rsid w:val="032C339E"/>
    <w:rsid w:val="0337790B"/>
    <w:rsid w:val="033958A2"/>
    <w:rsid w:val="034C725D"/>
    <w:rsid w:val="03541409"/>
    <w:rsid w:val="035B7692"/>
    <w:rsid w:val="03BB06E9"/>
    <w:rsid w:val="03BC71AC"/>
    <w:rsid w:val="03C10C9F"/>
    <w:rsid w:val="03C253BB"/>
    <w:rsid w:val="03C921C1"/>
    <w:rsid w:val="03CD78DC"/>
    <w:rsid w:val="03D02D9A"/>
    <w:rsid w:val="040370D2"/>
    <w:rsid w:val="04042A10"/>
    <w:rsid w:val="041415D9"/>
    <w:rsid w:val="04142979"/>
    <w:rsid w:val="042B497B"/>
    <w:rsid w:val="0469211E"/>
    <w:rsid w:val="046D004A"/>
    <w:rsid w:val="047345CF"/>
    <w:rsid w:val="048E6B38"/>
    <w:rsid w:val="04911718"/>
    <w:rsid w:val="04A57776"/>
    <w:rsid w:val="04AE70D3"/>
    <w:rsid w:val="04B450FC"/>
    <w:rsid w:val="04BA5D1A"/>
    <w:rsid w:val="04CA229A"/>
    <w:rsid w:val="04CD0688"/>
    <w:rsid w:val="04D502BA"/>
    <w:rsid w:val="04E552CD"/>
    <w:rsid w:val="04EA71A7"/>
    <w:rsid w:val="04ED70D5"/>
    <w:rsid w:val="04F00282"/>
    <w:rsid w:val="050438CD"/>
    <w:rsid w:val="051813BD"/>
    <w:rsid w:val="053A6E78"/>
    <w:rsid w:val="053C77D5"/>
    <w:rsid w:val="05402991"/>
    <w:rsid w:val="05470030"/>
    <w:rsid w:val="05490BAF"/>
    <w:rsid w:val="054E1CE0"/>
    <w:rsid w:val="055324E3"/>
    <w:rsid w:val="057A7F6E"/>
    <w:rsid w:val="058B6516"/>
    <w:rsid w:val="05AF2BAD"/>
    <w:rsid w:val="05F01957"/>
    <w:rsid w:val="05F7149D"/>
    <w:rsid w:val="05F75792"/>
    <w:rsid w:val="060454DB"/>
    <w:rsid w:val="060B64D8"/>
    <w:rsid w:val="06110D47"/>
    <w:rsid w:val="06226007"/>
    <w:rsid w:val="062E2E0F"/>
    <w:rsid w:val="06430EFD"/>
    <w:rsid w:val="06437522"/>
    <w:rsid w:val="06475ABC"/>
    <w:rsid w:val="066D1D57"/>
    <w:rsid w:val="066D1EB1"/>
    <w:rsid w:val="06700F66"/>
    <w:rsid w:val="06877BD3"/>
    <w:rsid w:val="0692755A"/>
    <w:rsid w:val="06AA32FE"/>
    <w:rsid w:val="06BE30D0"/>
    <w:rsid w:val="06C242A6"/>
    <w:rsid w:val="06C833A0"/>
    <w:rsid w:val="06CC2420"/>
    <w:rsid w:val="06E5268E"/>
    <w:rsid w:val="06E56C12"/>
    <w:rsid w:val="06EF2DB2"/>
    <w:rsid w:val="07070D60"/>
    <w:rsid w:val="07342154"/>
    <w:rsid w:val="073B368E"/>
    <w:rsid w:val="074860B9"/>
    <w:rsid w:val="07595118"/>
    <w:rsid w:val="07810D4D"/>
    <w:rsid w:val="079E2470"/>
    <w:rsid w:val="07CE3CE7"/>
    <w:rsid w:val="07E562BD"/>
    <w:rsid w:val="080506CD"/>
    <w:rsid w:val="081309F0"/>
    <w:rsid w:val="08227B5F"/>
    <w:rsid w:val="082974F3"/>
    <w:rsid w:val="082E3EA1"/>
    <w:rsid w:val="08385A0E"/>
    <w:rsid w:val="087D1536"/>
    <w:rsid w:val="087F4364"/>
    <w:rsid w:val="088C39B6"/>
    <w:rsid w:val="089B3D5B"/>
    <w:rsid w:val="08A13470"/>
    <w:rsid w:val="08A71472"/>
    <w:rsid w:val="08AB6DCE"/>
    <w:rsid w:val="08B16FB6"/>
    <w:rsid w:val="08B42E9D"/>
    <w:rsid w:val="08B62F1E"/>
    <w:rsid w:val="08BA4DBE"/>
    <w:rsid w:val="08CE74ED"/>
    <w:rsid w:val="08DE3932"/>
    <w:rsid w:val="08F079C6"/>
    <w:rsid w:val="09016E96"/>
    <w:rsid w:val="09052179"/>
    <w:rsid w:val="09071FFF"/>
    <w:rsid w:val="090A42F6"/>
    <w:rsid w:val="09271A18"/>
    <w:rsid w:val="0949327F"/>
    <w:rsid w:val="094C2962"/>
    <w:rsid w:val="095C4C77"/>
    <w:rsid w:val="09601498"/>
    <w:rsid w:val="0961677C"/>
    <w:rsid w:val="097A7578"/>
    <w:rsid w:val="09913C41"/>
    <w:rsid w:val="09CF78A6"/>
    <w:rsid w:val="09D92656"/>
    <w:rsid w:val="09EA213D"/>
    <w:rsid w:val="09F61DEB"/>
    <w:rsid w:val="09F82B45"/>
    <w:rsid w:val="09FA361B"/>
    <w:rsid w:val="0A0976BB"/>
    <w:rsid w:val="0A1251A0"/>
    <w:rsid w:val="0A1C3051"/>
    <w:rsid w:val="0A2B28F9"/>
    <w:rsid w:val="0A3719A3"/>
    <w:rsid w:val="0A3E3F88"/>
    <w:rsid w:val="0A672A35"/>
    <w:rsid w:val="0A6C160A"/>
    <w:rsid w:val="0A8C4DCE"/>
    <w:rsid w:val="0A992D3D"/>
    <w:rsid w:val="0AA7108E"/>
    <w:rsid w:val="0AD84DB2"/>
    <w:rsid w:val="0ADE0E35"/>
    <w:rsid w:val="0AE62833"/>
    <w:rsid w:val="0AE66DAD"/>
    <w:rsid w:val="0B157D22"/>
    <w:rsid w:val="0B3672C3"/>
    <w:rsid w:val="0B5568CA"/>
    <w:rsid w:val="0B5D1A85"/>
    <w:rsid w:val="0B612AD9"/>
    <w:rsid w:val="0B6628FD"/>
    <w:rsid w:val="0B7014D2"/>
    <w:rsid w:val="0B790DCF"/>
    <w:rsid w:val="0B8B0EC0"/>
    <w:rsid w:val="0BA1174D"/>
    <w:rsid w:val="0BB31A32"/>
    <w:rsid w:val="0BB5243F"/>
    <w:rsid w:val="0BDD543F"/>
    <w:rsid w:val="0BED1083"/>
    <w:rsid w:val="0BED26A5"/>
    <w:rsid w:val="0C4079CE"/>
    <w:rsid w:val="0C5B4150"/>
    <w:rsid w:val="0C651F42"/>
    <w:rsid w:val="0C6763E0"/>
    <w:rsid w:val="0C6E31C5"/>
    <w:rsid w:val="0C7A1753"/>
    <w:rsid w:val="0C7C28A8"/>
    <w:rsid w:val="0C965C32"/>
    <w:rsid w:val="0CB5191B"/>
    <w:rsid w:val="0CB6728F"/>
    <w:rsid w:val="0CC229E5"/>
    <w:rsid w:val="0CD12E5F"/>
    <w:rsid w:val="0CF371EF"/>
    <w:rsid w:val="0CFD25BD"/>
    <w:rsid w:val="0D1B06DA"/>
    <w:rsid w:val="0D276E81"/>
    <w:rsid w:val="0D452987"/>
    <w:rsid w:val="0D502F3E"/>
    <w:rsid w:val="0D6B3EA9"/>
    <w:rsid w:val="0D6D25BC"/>
    <w:rsid w:val="0D814866"/>
    <w:rsid w:val="0D8B4EFD"/>
    <w:rsid w:val="0D8C17BA"/>
    <w:rsid w:val="0D8D36AE"/>
    <w:rsid w:val="0D933F5C"/>
    <w:rsid w:val="0D9910EF"/>
    <w:rsid w:val="0D993EC7"/>
    <w:rsid w:val="0DA800E4"/>
    <w:rsid w:val="0DA90BA9"/>
    <w:rsid w:val="0DAB20F5"/>
    <w:rsid w:val="0DB10C85"/>
    <w:rsid w:val="0DCB4923"/>
    <w:rsid w:val="0DE65566"/>
    <w:rsid w:val="0DEA2D28"/>
    <w:rsid w:val="0DFC1B19"/>
    <w:rsid w:val="0E0729DB"/>
    <w:rsid w:val="0E0C42FA"/>
    <w:rsid w:val="0E381521"/>
    <w:rsid w:val="0E395E02"/>
    <w:rsid w:val="0E40513E"/>
    <w:rsid w:val="0E507C98"/>
    <w:rsid w:val="0E597398"/>
    <w:rsid w:val="0E5F67C0"/>
    <w:rsid w:val="0E640F62"/>
    <w:rsid w:val="0E735FE8"/>
    <w:rsid w:val="0E84603F"/>
    <w:rsid w:val="0E871431"/>
    <w:rsid w:val="0E8E7999"/>
    <w:rsid w:val="0EA146F4"/>
    <w:rsid w:val="0EA55CF9"/>
    <w:rsid w:val="0EA91CC7"/>
    <w:rsid w:val="0EB27F91"/>
    <w:rsid w:val="0EB62DA0"/>
    <w:rsid w:val="0EBD04EF"/>
    <w:rsid w:val="0EE62309"/>
    <w:rsid w:val="0F0B620A"/>
    <w:rsid w:val="0F0E50C1"/>
    <w:rsid w:val="0F1E276E"/>
    <w:rsid w:val="0F3B5837"/>
    <w:rsid w:val="0F490310"/>
    <w:rsid w:val="0F600D55"/>
    <w:rsid w:val="0F6E710D"/>
    <w:rsid w:val="0F703454"/>
    <w:rsid w:val="0F736A60"/>
    <w:rsid w:val="0F783704"/>
    <w:rsid w:val="0F837276"/>
    <w:rsid w:val="0F981CF5"/>
    <w:rsid w:val="0FC66DA3"/>
    <w:rsid w:val="0FE13E81"/>
    <w:rsid w:val="0FEA3255"/>
    <w:rsid w:val="0FEF3750"/>
    <w:rsid w:val="0FF0797A"/>
    <w:rsid w:val="0FF70A05"/>
    <w:rsid w:val="103966FB"/>
    <w:rsid w:val="107F445A"/>
    <w:rsid w:val="108C67D7"/>
    <w:rsid w:val="108C6E6C"/>
    <w:rsid w:val="108D7573"/>
    <w:rsid w:val="108E6DDE"/>
    <w:rsid w:val="10AA74DF"/>
    <w:rsid w:val="10BD339A"/>
    <w:rsid w:val="10C05539"/>
    <w:rsid w:val="10DA7E91"/>
    <w:rsid w:val="10E60CE0"/>
    <w:rsid w:val="10FE5BB0"/>
    <w:rsid w:val="10FF1E8F"/>
    <w:rsid w:val="11120E23"/>
    <w:rsid w:val="1129294F"/>
    <w:rsid w:val="11370066"/>
    <w:rsid w:val="113F584A"/>
    <w:rsid w:val="114B66BB"/>
    <w:rsid w:val="115413EC"/>
    <w:rsid w:val="115C70AA"/>
    <w:rsid w:val="11717863"/>
    <w:rsid w:val="11AC1DC2"/>
    <w:rsid w:val="11AE0170"/>
    <w:rsid w:val="11B361D3"/>
    <w:rsid w:val="11BB4D58"/>
    <w:rsid w:val="11BB7765"/>
    <w:rsid w:val="11DB1585"/>
    <w:rsid w:val="11F27A58"/>
    <w:rsid w:val="11F94249"/>
    <w:rsid w:val="11FF6DA1"/>
    <w:rsid w:val="1216183A"/>
    <w:rsid w:val="121E6BB4"/>
    <w:rsid w:val="122071D4"/>
    <w:rsid w:val="122A2558"/>
    <w:rsid w:val="123D010A"/>
    <w:rsid w:val="123F2B4E"/>
    <w:rsid w:val="12455DD6"/>
    <w:rsid w:val="124F572D"/>
    <w:rsid w:val="126F197A"/>
    <w:rsid w:val="12711C28"/>
    <w:rsid w:val="12793BBE"/>
    <w:rsid w:val="12844D15"/>
    <w:rsid w:val="128C33F4"/>
    <w:rsid w:val="129459E4"/>
    <w:rsid w:val="129D35E8"/>
    <w:rsid w:val="12C62A75"/>
    <w:rsid w:val="12C91B11"/>
    <w:rsid w:val="12E26B83"/>
    <w:rsid w:val="13162BC8"/>
    <w:rsid w:val="131829DD"/>
    <w:rsid w:val="131C06AC"/>
    <w:rsid w:val="133B485B"/>
    <w:rsid w:val="13487675"/>
    <w:rsid w:val="13527F9A"/>
    <w:rsid w:val="137447B2"/>
    <w:rsid w:val="138D11BC"/>
    <w:rsid w:val="13956857"/>
    <w:rsid w:val="139A492C"/>
    <w:rsid w:val="139D2FCC"/>
    <w:rsid w:val="13AB106E"/>
    <w:rsid w:val="13B44283"/>
    <w:rsid w:val="13B708E5"/>
    <w:rsid w:val="13C22D0E"/>
    <w:rsid w:val="13D01F9A"/>
    <w:rsid w:val="13D453EB"/>
    <w:rsid w:val="13D84C83"/>
    <w:rsid w:val="140C4EB0"/>
    <w:rsid w:val="141A1768"/>
    <w:rsid w:val="141B60D6"/>
    <w:rsid w:val="14295147"/>
    <w:rsid w:val="14612E51"/>
    <w:rsid w:val="1487342E"/>
    <w:rsid w:val="148B73A4"/>
    <w:rsid w:val="149C20CC"/>
    <w:rsid w:val="149E7F1E"/>
    <w:rsid w:val="14A12C55"/>
    <w:rsid w:val="14B62C8D"/>
    <w:rsid w:val="14B845A5"/>
    <w:rsid w:val="14BE3BD2"/>
    <w:rsid w:val="14C6210A"/>
    <w:rsid w:val="14ED76EE"/>
    <w:rsid w:val="14F67DB3"/>
    <w:rsid w:val="15273101"/>
    <w:rsid w:val="152B6CB1"/>
    <w:rsid w:val="15354B79"/>
    <w:rsid w:val="153A3BAB"/>
    <w:rsid w:val="153D21FC"/>
    <w:rsid w:val="15524029"/>
    <w:rsid w:val="15550B09"/>
    <w:rsid w:val="155550C1"/>
    <w:rsid w:val="155E1E86"/>
    <w:rsid w:val="15617709"/>
    <w:rsid w:val="15660356"/>
    <w:rsid w:val="15713DDA"/>
    <w:rsid w:val="15730A76"/>
    <w:rsid w:val="15761223"/>
    <w:rsid w:val="157C6A0D"/>
    <w:rsid w:val="159517A5"/>
    <w:rsid w:val="159E06BA"/>
    <w:rsid w:val="15A005F4"/>
    <w:rsid w:val="15B12A79"/>
    <w:rsid w:val="15E23CA8"/>
    <w:rsid w:val="15F35063"/>
    <w:rsid w:val="15F43279"/>
    <w:rsid w:val="160A3A04"/>
    <w:rsid w:val="16110AAB"/>
    <w:rsid w:val="163A4B06"/>
    <w:rsid w:val="164F318E"/>
    <w:rsid w:val="16640B43"/>
    <w:rsid w:val="166B3507"/>
    <w:rsid w:val="166C290E"/>
    <w:rsid w:val="167F6E20"/>
    <w:rsid w:val="16890A28"/>
    <w:rsid w:val="169306EC"/>
    <w:rsid w:val="16932EFD"/>
    <w:rsid w:val="16A3673B"/>
    <w:rsid w:val="16F22B0D"/>
    <w:rsid w:val="170705E0"/>
    <w:rsid w:val="17234F61"/>
    <w:rsid w:val="17252047"/>
    <w:rsid w:val="17261FE9"/>
    <w:rsid w:val="17304B16"/>
    <w:rsid w:val="1753024B"/>
    <w:rsid w:val="17575561"/>
    <w:rsid w:val="17610ABD"/>
    <w:rsid w:val="1782530A"/>
    <w:rsid w:val="17907B2D"/>
    <w:rsid w:val="17A06173"/>
    <w:rsid w:val="17B56054"/>
    <w:rsid w:val="17C01E12"/>
    <w:rsid w:val="17DD2FFD"/>
    <w:rsid w:val="17DF536C"/>
    <w:rsid w:val="17E5496E"/>
    <w:rsid w:val="180248FC"/>
    <w:rsid w:val="180966E4"/>
    <w:rsid w:val="180F3069"/>
    <w:rsid w:val="181C727D"/>
    <w:rsid w:val="182254AA"/>
    <w:rsid w:val="18260DAF"/>
    <w:rsid w:val="18265EA4"/>
    <w:rsid w:val="18344088"/>
    <w:rsid w:val="18360FBE"/>
    <w:rsid w:val="183D0E38"/>
    <w:rsid w:val="1841587E"/>
    <w:rsid w:val="186F1C22"/>
    <w:rsid w:val="186F3E63"/>
    <w:rsid w:val="187857E7"/>
    <w:rsid w:val="187B19AA"/>
    <w:rsid w:val="188321C6"/>
    <w:rsid w:val="18921717"/>
    <w:rsid w:val="189255FF"/>
    <w:rsid w:val="189D6D5D"/>
    <w:rsid w:val="18A8194B"/>
    <w:rsid w:val="18BA5456"/>
    <w:rsid w:val="18BF7702"/>
    <w:rsid w:val="18EA4A4C"/>
    <w:rsid w:val="1905759B"/>
    <w:rsid w:val="19243755"/>
    <w:rsid w:val="192632FB"/>
    <w:rsid w:val="192F739D"/>
    <w:rsid w:val="19364C76"/>
    <w:rsid w:val="19394B72"/>
    <w:rsid w:val="193A5AAC"/>
    <w:rsid w:val="194F0E46"/>
    <w:rsid w:val="195E2B1D"/>
    <w:rsid w:val="19626FF0"/>
    <w:rsid w:val="196F5D20"/>
    <w:rsid w:val="19930637"/>
    <w:rsid w:val="19955CD3"/>
    <w:rsid w:val="19A1355B"/>
    <w:rsid w:val="19A140B1"/>
    <w:rsid w:val="19BA6D87"/>
    <w:rsid w:val="1A054877"/>
    <w:rsid w:val="1A080F4B"/>
    <w:rsid w:val="1A157ACA"/>
    <w:rsid w:val="1A2B5646"/>
    <w:rsid w:val="1A313236"/>
    <w:rsid w:val="1A324F2D"/>
    <w:rsid w:val="1A462475"/>
    <w:rsid w:val="1A4D582F"/>
    <w:rsid w:val="1A4E58D7"/>
    <w:rsid w:val="1A503212"/>
    <w:rsid w:val="1A585222"/>
    <w:rsid w:val="1A5921BF"/>
    <w:rsid w:val="1A886D9D"/>
    <w:rsid w:val="1A8B79E4"/>
    <w:rsid w:val="1A8D1E64"/>
    <w:rsid w:val="1AAE56D6"/>
    <w:rsid w:val="1AB14814"/>
    <w:rsid w:val="1AB33C17"/>
    <w:rsid w:val="1ACB113C"/>
    <w:rsid w:val="1AD72BEF"/>
    <w:rsid w:val="1AD92090"/>
    <w:rsid w:val="1AD924A3"/>
    <w:rsid w:val="1AE27861"/>
    <w:rsid w:val="1AF11218"/>
    <w:rsid w:val="1AFA4D0C"/>
    <w:rsid w:val="1B055924"/>
    <w:rsid w:val="1B115D3C"/>
    <w:rsid w:val="1B190381"/>
    <w:rsid w:val="1B1E0896"/>
    <w:rsid w:val="1B2317D5"/>
    <w:rsid w:val="1B2F54E0"/>
    <w:rsid w:val="1B3D2F0D"/>
    <w:rsid w:val="1B565021"/>
    <w:rsid w:val="1B580986"/>
    <w:rsid w:val="1B67604D"/>
    <w:rsid w:val="1B6C76E2"/>
    <w:rsid w:val="1B807337"/>
    <w:rsid w:val="1B844153"/>
    <w:rsid w:val="1B874AA6"/>
    <w:rsid w:val="1BA47C58"/>
    <w:rsid w:val="1BA54AE5"/>
    <w:rsid w:val="1BA733F4"/>
    <w:rsid w:val="1BB80F43"/>
    <w:rsid w:val="1BC010BD"/>
    <w:rsid w:val="1BC170B5"/>
    <w:rsid w:val="1BC85289"/>
    <w:rsid w:val="1BD3178E"/>
    <w:rsid w:val="1BDC02C0"/>
    <w:rsid w:val="1BE45AAF"/>
    <w:rsid w:val="1BF0529D"/>
    <w:rsid w:val="1BFA3159"/>
    <w:rsid w:val="1C2A5BFF"/>
    <w:rsid w:val="1C2D16F9"/>
    <w:rsid w:val="1C5B1898"/>
    <w:rsid w:val="1C63596F"/>
    <w:rsid w:val="1C6C0ADC"/>
    <w:rsid w:val="1C8E4DE6"/>
    <w:rsid w:val="1CA71F0C"/>
    <w:rsid w:val="1CAD5170"/>
    <w:rsid w:val="1CB67774"/>
    <w:rsid w:val="1CBB50F6"/>
    <w:rsid w:val="1CCB0B08"/>
    <w:rsid w:val="1CE97E1E"/>
    <w:rsid w:val="1CEC51A2"/>
    <w:rsid w:val="1D1B5D73"/>
    <w:rsid w:val="1D2A4BB9"/>
    <w:rsid w:val="1D385997"/>
    <w:rsid w:val="1D407C45"/>
    <w:rsid w:val="1D585DEB"/>
    <w:rsid w:val="1D5C329D"/>
    <w:rsid w:val="1D5E49C0"/>
    <w:rsid w:val="1D63436C"/>
    <w:rsid w:val="1D6B0D1C"/>
    <w:rsid w:val="1D7B4AC4"/>
    <w:rsid w:val="1D8E52A2"/>
    <w:rsid w:val="1DBC582B"/>
    <w:rsid w:val="1DC64F3F"/>
    <w:rsid w:val="1DD06C77"/>
    <w:rsid w:val="1DE41549"/>
    <w:rsid w:val="1DED15BC"/>
    <w:rsid w:val="1DF97E9A"/>
    <w:rsid w:val="1E114322"/>
    <w:rsid w:val="1E121506"/>
    <w:rsid w:val="1E152B9F"/>
    <w:rsid w:val="1E225A10"/>
    <w:rsid w:val="1E2E522D"/>
    <w:rsid w:val="1E331288"/>
    <w:rsid w:val="1E36298C"/>
    <w:rsid w:val="1E397988"/>
    <w:rsid w:val="1E445B9E"/>
    <w:rsid w:val="1E554AD2"/>
    <w:rsid w:val="1E5E18A6"/>
    <w:rsid w:val="1E7B60D9"/>
    <w:rsid w:val="1E7F212C"/>
    <w:rsid w:val="1EBA5A8A"/>
    <w:rsid w:val="1ED86B99"/>
    <w:rsid w:val="1EE86F01"/>
    <w:rsid w:val="1EF609DE"/>
    <w:rsid w:val="1EFA3E2F"/>
    <w:rsid w:val="1EFD0D7B"/>
    <w:rsid w:val="1F206854"/>
    <w:rsid w:val="1F244EC9"/>
    <w:rsid w:val="1F32193A"/>
    <w:rsid w:val="1F3B6D4F"/>
    <w:rsid w:val="1F49098D"/>
    <w:rsid w:val="1F4C29B9"/>
    <w:rsid w:val="1F4E4783"/>
    <w:rsid w:val="1F525FD3"/>
    <w:rsid w:val="1F65543A"/>
    <w:rsid w:val="1F895E51"/>
    <w:rsid w:val="1FA073B6"/>
    <w:rsid w:val="1FB15AF7"/>
    <w:rsid w:val="1FB265E2"/>
    <w:rsid w:val="1FC44BDA"/>
    <w:rsid w:val="1FCD0309"/>
    <w:rsid w:val="1FD438E2"/>
    <w:rsid w:val="20025D99"/>
    <w:rsid w:val="200E41D7"/>
    <w:rsid w:val="20202142"/>
    <w:rsid w:val="202B4269"/>
    <w:rsid w:val="202F2BA9"/>
    <w:rsid w:val="20473B1E"/>
    <w:rsid w:val="2054435F"/>
    <w:rsid w:val="205777AC"/>
    <w:rsid w:val="20651516"/>
    <w:rsid w:val="20653FD9"/>
    <w:rsid w:val="206D3AEA"/>
    <w:rsid w:val="20A37E01"/>
    <w:rsid w:val="20AC7519"/>
    <w:rsid w:val="20C968BC"/>
    <w:rsid w:val="21167BF2"/>
    <w:rsid w:val="21210074"/>
    <w:rsid w:val="21374CE0"/>
    <w:rsid w:val="21380E53"/>
    <w:rsid w:val="213B1D6B"/>
    <w:rsid w:val="21430BAC"/>
    <w:rsid w:val="21470DD3"/>
    <w:rsid w:val="2149131F"/>
    <w:rsid w:val="2155261F"/>
    <w:rsid w:val="216E1E0A"/>
    <w:rsid w:val="217A7AE2"/>
    <w:rsid w:val="2193451C"/>
    <w:rsid w:val="219A6057"/>
    <w:rsid w:val="21A95596"/>
    <w:rsid w:val="21B50950"/>
    <w:rsid w:val="21B53414"/>
    <w:rsid w:val="21CA1928"/>
    <w:rsid w:val="21D13BBB"/>
    <w:rsid w:val="21E5038E"/>
    <w:rsid w:val="223E6CF8"/>
    <w:rsid w:val="22430AEF"/>
    <w:rsid w:val="22435CE5"/>
    <w:rsid w:val="225906DB"/>
    <w:rsid w:val="2268567C"/>
    <w:rsid w:val="227C1E95"/>
    <w:rsid w:val="228F73A6"/>
    <w:rsid w:val="22903070"/>
    <w:rsid w:val="22C677C0"/>
    <w:rsid w:val="22DC6591"/>
    <w:rsid w:val="22DD3C85"/>
    <w:rsid w:val="22DE33C9"/>
    <w:rsid w:val="22F64FA7"/>
    <w:rsid w:val="23110894"/>
    <w:rsid w:val="233A7E49"/>
    <w:rsid w:val="23470FFD"/>
    <w:rsid w:val="235F6103"/>
    <w:rsid w:val="23773046"/>
    <w:rsid w:val="237B37BB"/>
    <w:rsid w:val="23896C31"/>
    <w:rsid w:val="2390004C"/>
    <w:rsid w:val="23981997"/>
    <w:rsid w:val="23B42767"/>
    <w:rsid w:val="23D35362"/>
    <w:rsid w:val="23E303FA"/>
    <w:rsid w:val="23F41219"/>
    <w:rsid w:val="241974B9"/>
    <w:rsid w:val="241E4BDD"/>
    <w:rsid w:val="241E70B5"/>
    <w:rsid w:val="242D516F"/>
    <w:rsid w:val="24416074"/>
    <w:rsid w:val="24506376"/>
    <w:rsid w:val="245247ED"/>
    <w:rsid w:val="24575A93"/>
    <w:rsid w:val="2462216B"/>
    <w:rsid w:val="246B3227"/>
    <w:rsid w:val="24824629"/>
    <w:rsid w:val="24911F53"/>
    <w:rsid w:val="249267C4"/>
    <w:rsid w:val="249726D9"/>
    <w:rsid w:val="24CE5013"/>
    <w:rsid w:val="24CF0FCC"/>
    <w:rsid w:val="24EB1B9A"/>
    <w:rsid w:val="24ED782C"/>
    <w:rsid w:val="24F43D34"/>
    <w:rsid w:val="250659F4"/>
    <w:rsid w:val="252B0F16"/>
    <w:rsid w:val="252E1698"/>
    <w:rsid w:val="25352E48"/>
    <w:rsid w:val="255F7AD2"/>
    <w:rsid w:val="25673DE5"/>
    <w:rsid w:val="256D4FBD"/>
    <w:rsid w:val="2572551F"/>
    <w:rsid w:val="25892C61"/>
    <w:rsid w:val="2590731F"/>
    <w:rsid w:val="25AA58E4"/>
    <w:rsid w:val="25C0794D"/>
    <w:rsid w:val="25C2518C"/>
    <w:rsid w:val="25C37995"/>
    <w:rsid w:val="25DF4E66"/>
    <w:rsid w:val="25E522B6"/>
    <w:rsid w:val="25FE46E5"/>
    <w:rsid w:val="260D5598"/>
    <w:rsid w:val="2627224F"/>
    <w:rsid w:val="26582737"/>
    <w:rsid w:val="265B0A5D"/>
    <w:rsid w:val="266360FF"/>
    <w:rsid w:val="266B0640"/>
    <w:rsid w:val="266F46D8"/>
    <w:rsid w:val="267C4914"/>
    <w:rsid w:val="26966288"/>
    <w:rsid w:val="269F0FBB"/>
    <w:rsid w:val="26AA0022"/>
    <w:rsid w:val="26AA72EA"/>
    <w:rsid w:val="26CE50A1"/>
    <w:rsid w:val="26EF72E5"/>
    <w:rsid w:val="270B0E4A"/>
    <w:rsid w:val="271112DD"/>
    <w:rsid w:val="27180E6A"/>
    <w:rsid w:val="271E393C"/>
    <w:rsid w:val="271F446A"/>
    <w:rsid w:val="273E50FE"/>
    <w:rsid w:val="274023D4"/>
    <w:rsid w:val="274A2F77"/>
    <w:rsid w:val="275343C9"/>
    <w:rsid w:val="275D1C2F"/>
    <w:rsid w:val="27663E92"/>
    <w:rsid w:val="27863773"/>
    <w:rsid w:val="279624D1"/>
    <w:rsid w:val="279871E1"/>
    <w:rsid w:val="27B661D2"/>
    <w:rsid w:val="27D076D6"/>
    <w:rsid w:val="27D163B4"/>
    <w:rsid w:val="27D30F6B"/>
    <w:rsid w:val="27DB0656"/>
    <w:rsid w:val="27DE1FDE"/>
    <w:rsid w:val="27E62734"/>
    <w:rsid w:val="282B2E4E"/>
    <w:rsid w:val="282B36F9"/>
    <w:rsid w:val="2834442B"/>
    <w:rsid w:val="28347A19"/>
    <w:rsid w:val="2839352C"/>
    <w:rsid w:val="283B4018"/>
    <w:rsid w:val="284C0DE9"/>
    <w:rsid w:val="285B1794"/>
    <w:rsid w:val="286B7B25"/>
    <w:rsid w:val="287813D0"/>
    <w:rsid w:val="289C743B"/>
    <w:rsid w:val="28A20DA3"/>
    <w:rsid w:val="28A42CA6"/>
    <w:rsid w:val="28B92E20"/>
    <w:rsid w:val="28B93CEB"/>
    <w:rsid w:val="28C15D8C"/>
    <w:rsid w:val="28D5409B"/>
    <w:rsid w:val="28E1683E"/>
    <w:rsid w:val="28E6684D"/>
    <w:rsid w:val="28EA3FFC"/>
    <w:rsid w:val="28F6029D"/>
    <w:rsid w:val="28FA2F08"/>
    <w:rsid w:val="28FE7C55"/>
    <w:rsid w:val="290128AD"/>
    <w:rsid w:val="291839B5"/>
    <w:rsid w:val="292147C8"/>
    <w:rsid w:val="294D680F"/>
    <w:rsid w:val="295F2D87"/>
    <w:rsid w:val="297809E7"/>
    <w:rsid w:val="29894921"/>
    <w:rsid w:val="298B1C1A"/>
    <w:rsid w:val="29914386"/>
    <w:rsid w:val="29952549"/>
    <w:rsid w:val="299D08FE"/>
    <w:rsid w:val="29A25D23"/>
    <w:rsid w:val="29BC4707"/>
    <w:rsid w:val="29D10A88"/>
    <w:rsid w:val="29E66F57"/>
    <w:rsid w:val="2A217069"/>
    <w:rsid w:val="2A441BE1"/>
    <w:rsid w:val="2A4A0382"/>
    <w:rsid w:val="2A5E586B"/>
    <w:rsid w:val="2A60384A"/>
    <w:rsid w:val="2A652A4B"/>
    <w:rsid w:val="2A6B0D61"/>
    <w:rsid w:val="2A760D48"/>
    <w:rsid w:val="2A7F692B"/>
    <w:rsid w:val="2A8A0261"/>
    <w:rsid w:val="2A907C9A"/>
    <w:rsid w:val="2A913D63"/>
    <w:rsid w:val="2A93015F"/>
    <w:rsid w:val="2AA02867"/>
    <w:rsid w:val="2AB357E7"/>
    <w:rsid w:val="2AC9578D"/>
    <w:rsid w:val="2AD22F86"/>
    <w:rsid w:val="2AD82286"/>
    <w:rsid w:val="2AD879D3"/>
    <w:rsid w:val="2AE94914"/>
    <w:rsid w:val="2AEA5496"/>
    <w:rsid w:val="2B000827"/>
    <w:rsid w:val="2B057FF2"/>
    <w:rsid w:val="2B0C1089"/>
    <w:rsid w:val="2B147011"/>
    <w:rsid w:val="2B173FC9"/>
    <w:rsid w:val="2B416D8A"/>
    <w:rsid w:val="2B4A15D7"/>
    <w:rsid w:val="2B627D0F"/>
    <w:rsid w:val="2B6E34F9"/>
    <w:rsid w:val="2B7020DA"/>
    <w:rsid w:val="2B852522"/>
    <w:rsid w:val="2B955445"/>
    <w:rsid w:val="2BB23B01"/>
    <w:rsid w:val="2BBD71E9"/>
    <w:rsid w:val="2BBF46FE"/>
    <w:rsid w:val="2BC03769"/>
    <w:rsid w:val="2BC069D0"/>
    <w:rsid w:val="2BCB6E43"/>
    <w:rsid w:val="2BD765D3"/>
    <w:rsid w:val="2BDB3818"/>
    <w:rsid w:val="2BE56CD0"/>
    <w:rsid w:val="2C085BD9"/>
    <w:rsid w:val="2C2046D9"/>
    <w:rsid w:val="2C221D7F"/>
    <w:rsid w:val="2C2E58D0"/>
    <w:rsid w:val="2C321F86"/>
    <w:rsid w:val="2C37654D"/>
    <w:rsid w:val="2C411B6D"/>
    <w:rsid w:val="2C436C3A"/>
    <w:rsid w:val="2C4D1ADB"/>
    <w:rsid w:val="2C926CFE"/>
    <w:rsid w:val="2C9446A0"/>
    <w:rsid w:val="2CC63003"/>
    <w:rsid w:val="2CD0610E"/>
    <w:rsid w:val="2CD51C67"/>
    <w:rsid w:val="2CE9584D"/>
    <w:rsid w:val="2CF617E0"/>
    <w:rsid w:val="2CFC54E3"/>
    <w:rsid w:val="2CFF5BF3"/>
    <w:rsid w:val="2D16631A"/>
    <w:rsid w:val="2D187D38"/>
    <w:rsid w:val="2D2D4A73"/>
    <w:rsid w:val="2D3C40F0"/>
    <w:rsid w:val="2D3F1603"/>
    <w:rsid w:val="2D517D71"/>
    <w:rsid w:val="2D5A4743"/>
    <w:rsid w:val="2D774D62"/>
    <w:rsid w:val="2D8621F8"/>
    <w:rsid w:val="2D871654"/>
    <w:rsid w:val="2D9406EF"/>
    <w:rsid w:val="2D9909D8"/>
    <w:rsid w:val="2DA84E90"/>
    <w:rsid w:val="2DBB723B"/>
    <w:rsid w:val="2DBC620C"/>
    <w:rsid w:val="2DC15622"/>
    <w:rsid w:val="2DC37DF1"/>
    <w:rsid w:val="2DCF1769"/>
    <w:rsid w:val="2DE57B52"/>
    <w:rsid w:val="2DFD0954"/>
    <w:rsid w:val="2E0D173F"/>
    <w:rsid w:val="2E136BD4"/>
    <w:rsid w:val="2E1B3416"/>
    <w:rsid w:val="2E1E611B"/>
    <w:rsid w:val="2E2906D2"/>
    <w:rsid w:val="2E556251"/>
    <w:rsid w:val="2E666904"/>
    <w:rsid w:val="2E69796E"/>
    <w:rsid w:val="2E7C1FAB"/>
    <w:rsid w:val="2E81096B"/>
    <w:rsid w:val="2E9966CB"/>
    <w:rsid w:val="2EA748CD"/>
    <w:rsid w:val="2EB02C27"/>
    <w:rsid w:val="2EC5013A"/>
    <w:rsid w:val="2EE5733A"/>
    <w:rsid w:val="2EED66A4"/>
    <w:rsid w:val="2F2A3F14"/>
    <w:rsid w:val="2F307279"/>
    <w:rsid w:val="2F4D3B7A"/>
    <w:rsid w:val="2F5A788A"/>
    <w:rsid w:val="2F5F09F0"/>
    <w:rsid w:val="2F714BE9"/>
    <w:rsid w:val="2F7A6487"/>
    <w:rsid w:val="2F8169CE"/>
    <w:rsid w:val="2F984ABB"/>
    <w:rsid w:val="2FB3434C"/>
    <w:rsid w:val="2FBA7634"/>
    <w:rsid w:val="2FD07B5E"/>
    <w:rsid w:val="2FDA3087"/>
    <w:rsid w:val="2FE72627"/>
    <w:rsid w:val="3010178A"/>
    <w:rsid w:val="30205EEE"/>
    <w:rsid w:val="30264A77"/>
    <w:rsid w:val="302F4A4E"/>
    <w:rsid w:val="30333DB6"/>
    <w:rsid w:val="30386626"/>
    <w:rsid w:val="305168AB"/>
    <w:rsid w:val="305547BD"/>
    <w:rsid w:val="30561692"/>
    <w:rsid w:val="30635469"/>
    <w:rsid w:val="308B4B9A"/>
    <w:rsid w:val="30906CF1"/>
    <w:rsid w:val="30967674"/>
    <w:rsid w:val="30AA13BF"/>
    <w:rsid w:val="30B01389"/>
    <w:rsid w:val="30CD2E6A"/>
    <w:rsid w:val="30E40C7D"/>
    <w:rsid w:val="30E70FDA"/>
    <w:rsid w:val="30EF2137"/>
    <w:rsid w:val="30F45929"/>
    <w:rsid w:val="30FF21FA"/>
    <w:rsid w:val="310249E4"/>
    <w:rsid w:val="310929CF"/>
    <w:rsid w:val="310A5F4A"/>
    <w:rsid w:val="31195802"/>
    <w:rsid w:val="313E4759"/>
    <w:rsid w:val="31480FE8"/>
    <w:rsid w:val="315413C9"/>
    <w:rsid w:val="315B3FBD"/>
    <w:rsid w:val="315D7C21"/>
    <w:rsid w:val="3172478D"/>
    <w:rsid w:val="31857973"/>
    <w:rsid w:val="3191502C"/>
    <w:rsid w:val="31921939"/>
    <w:rsid w:val="31926D16"/>
    <w:rsid w:val="31B444D7"/>
    <w:rsid w:val="31B659B9"/>
    <w:rsid w:val="31D36D38"/>
    <w:rsid w:val="31F661C6"/>
    <w:rsid w:val="32167B83"/>
    <w:rsid w:val="32381E17"/>
    <w:rsid w:val="324D79E7"/>
    <w:rsid w:val="324E226E"/>
    <w:rsid w:val="32580786"/>
    <w:rsid w:val="325C7AA0"/>
    <w:rsid w:val="328664BD"/>
    <w:rsid w:val="32B87D44"/>
    <w:rsid w:val="32C52A38"/>
    <w:rsid w:val="32D4454C"/>
    <w:rsid w:val="32D54858"/>
    <w:rsid w:val="32E224E8"/>
    <w:rsid w:val="32F341BB"/>
    <w:rsid w:val="32FB15D5"/>
    <w:rsid w:val="330001A2"/>
    <w:rsid w:val="33104ADC"/>
    <w:rsid w:val="33284231"/>
    <w:rsid w:val="332C000E"/>
    <w:rsid w:val="333628C2"/>
    <w:rsid w:val="33434A04"/>
    <w:rsid w:val="334713E7"/>
    <w:rsid w:val="334D2CEC"/>
    <w:rsid w:val="334F1B3C"/>
    <w:rsid w:val="335C0F0C"/>
    <w:rsid w:val="337D680A"/>
    <w:rsid w:val="33833A62"/>
    <w:rsid w:val="33920133"/>
    <w:rsid w:val="339669A8"/>
    <w:rsid w:val="33A931C7"/>
    <w:rsid w:val="33BA13EB"/>
    <w:rsid w:val="33DB7AA1"/>
    <w:rsid w:val="33E03CF5"/>
    <w:rsid w:val="33E56A5F"/>
    <w:rsid w:val="33EA4F8B"/>
    <w:rsid w:val="33EB1603"/>
    <w:rsid w:val="33EC06C3"/>
    <w:rsid w:val="33F9679F"/>
    <w:rsid w:val="34040BAA"/>
    <w:rsid w:val="340E399D"/>
    <w:rsid w:val="341D6F6C"/>
    <w:rsid w:val="343D0DDD"/>
    <w:rsid w:val="344238A7"/>
    <w:rsid w:val="344855CD"/>
    <w:rsid w:val="344A5CAF"/>
    <w:rsid w:val="3458791D"/>
    <w:rsid w:val="34627E84"/>
    <w:rsid w:val="34761B3D"/>
    <w:rsid w:val="34953160"/>
    <w:rsid w:val="3496278E"/>
    <w:rsid w:val="34A019E3"/>
    <w:rsid w:val="34B54073"/>
    <w:rsid w:val="34ED2EF3"/>
    <w:rsid w:val="34FB6280"/>
    <w:rsid w:val="35222509"/>
    <w:rsid w:val="35287D49"/>
    <w:rsid w:val="35391B27"/>
    <w:rsid w:val="353D1B92"/>
    <w:rsid w:val="35576B13"/>
    <w:rsid w:val="356C7B85"/>
    <w:rsid w:val="3586596C"/>
    <w:rsid w:val="358B1967"/>
    <w:rsid w:val="3596630B"/>
    <w:rsid w:val="35A41C98"/>
    <w:rsid w:val="35AB1180"/>
    <w:rsid w:val="35BB35B7"/>
    <w:rsid w:val="35BE61A8"/>
    <w:rsid w:val="35CB01DF"/>
    <w:rsid w:val="3609005C"/>
    <w:rsid w:val="360B54D7"/>
    <w:rsid w:val="360E3D96"/>
    <w:rsid w:val="363D4A14"/>
    <w:rsid w:val="36467894"/>
    <w:rsid w:val="364B7FE4"/>
    <w:rsid w:val="365309B6"/>
    <w:rsid w:val="36767AD6"/>
    <w:rsid w:val="36846724"/>
    <w:rsid w:val="36887968"/>
    <w:rsid w:val="36897EB8"/>
    <w:rsid w:val="369F5F8F"/>
    <w:rsid w:val="36A1205A"/>
    <w:rsid w:val="36A46172"/>
    <w:rsid w:val="36AE2A35"/>
    <w:rsid w:val="36CD7058"/>
    <w:rsid w:val="36DE434B"/>
    <w:rsid w:val="36E863B2"/>
    <w:rsid w:val="36EC1C72"/>
    <w:rsid w:val="36F02D38"/>
    <w:rsid w:val="370666E5"/>
    <w:rsid w:val="37167FE7"/>
    <w:rsid w:val="371B483F"/>
    <w:rsid w:val="371D65C9"/>
    <w:rsid w:val="372712F5"/>
    <w:rsid w:val="37352EA6"/>
    <w:rsid w:val="373E0304"/>
    <w:rsid w:val="3742623A"/>
    <w:rsid w:val="37466A9F"/>
    <w:rsid w:val="3747208F"/>
    <w:rsid w:val="375111F8"/>
    <w:rsid w:val="376B43EB"/>
    <w:rsid w:val="37785578"/>
    <w:rsid w:val="37946112"/>
    <w:rsid w:val="379501B2"/>
    <w:rsid w:val="37993A3D"/>
    <w:rsid w:val="37A27CA0"/>
    <w:rsid w:val="37B824AC"/>
    <w:rsid w:val="37C360C1"/>
    <w:rsid w:val="38180A99"/>
    <w:rsid w:val="3818637F"/>
    <w:rsid w:val="38216E4B"/>
    <w:rsid w:val="38314825"/>
    <w:rsid w:val="3837248F"/>
    <w:rsid w:val="384652D9"/>
    <w:rsid w:val="385F1A9D"/>
    <w:rsid w:val="3883540B"/>
    <w:rsid w:val="388E23BE"/>
    <w:rsid w:val="389712F2"/>
    <w:rsid w:val="389B0A9E"/>
    <w:rsid w:val="38BB14A3"/>
    <w:rsid w:val="38BE76E1"/>
    <w:rsid w:val="38CB65C7"/>
    <w:rsid w:val="38CE3EF3"/>
    <w:rsid w:val="38D427F3"/>
    <w:rsid w:val="38DD3307"/>
    <w:rsid w:val="38E233B5"/>
    <w:rsid w:val="38EF35C3"/>
    <w:rsid w:val="38FE74BA"/>
    <w:rsid w:val="39032A5D"/>
    <w:rsid w:val="390A16A7"/>
    <w:rsid w:val="390F4EF5"/>
    <w:rsid w:val="39212DA8"/>
    <w:rsid w:val="3922614A"/>
    <w:rsid w:val="39293DB0"/>
    <w:rsid w:val="392A5DA4"/>
    <w:rsid w:val="3932357B"/>
    <w:rsid w:val="39372EBC"/>
    <w:rsid w:val="394A2300"/>
    <w:rsid w:val="394C7AC1"/>
    <w:rsid w:val="39565E5C"/>
    <w:rsid w:val="39576D20"/>
    <w:rsid w:val="3976015D"/>
    <w:rsid w:val="39767468"/>
    <w:rsid w:val="398106C2"/>
    <w:rsid w:val="398630C2"/>
    <w:rsid w:val="398C6DBF"/>
    <w:rsid w:val="39920BD7"/>
    <w:rsid w:val="399762E2"/>
    <w:rsid w:val="39A03524"/>
    <w:rsid w:val="39A30C9F"/>
    <w:rsid w:val="39AB7F90"/>
    <w:rsid w:val="39AC4E4C"/>
    <w:rsid w:val="39B13AE1"/>
    <w:rsid w:val="39B2465E"/>
    <w:rsid w:val="39CF3A9F"/>
    <w:rsid w:val="39D13BC9"/>
    <w:rsid w:val="39E901AB"/>
    <w:rsid w:val="39F63D01"/>
    <w:rsid w:val="39F837F4"/>
    <w:rsid w:val="3A0429E9"/>
    <w:rsid w:val="3A054EF3"/>
    <w:rsid w:val="3A1D7843"/>
    <w:rsid w:val="3A270613"/>
    <w:rsid w:val="3A3B35A8"/>
    <w:rsid w:val="3A3F7F63"/>
    <w:rsid w:val="3A4425F4"/>
    <w:rsid w:val="3A6A51A1"/>
    <w:rsid w:val="3A7A7D00"/>
    <w:rsid w:val="3A7D45DD"/>
    <w:rsid w:val="3A8D3267"/>
    <w:rsid w:val="3A9A5CC6"/>
    <w:rsid w:val="3AA505E9"/>
    <w:rsid w:val="3AA718F7"/>
    <w:rsid w:val="3AAC22ED"/>
    <w:rsid w:val="3AAD785A"/>
    <w:rsid w:val="3AB201FD"/>
    <w:rsid w:val="3AB71B36"/>
    <w:rsid w:val="3ABE6790"/>
    <w:rsid w:val="3AD30754"/>
    <w:rsid w:val="3AD31A4B"/>
    <w:rsid w:val="3AD74069"/>
    <w:rsid w:val="3AE10806"/>
    <w:rsid w:val="3AE14843"/>
    <w:rsid w:val="3B0028D7"/>
    <w:rsid w:val="3B1866F7"/>
    <w:rsid w:val="3B376687"/>
    <w:rsid w:val="3B3E48C2"/>
    <w:rsid w:val="3B3E6939"/>
    <w:rsid w:val="3B477A81"/>
    <w:rsid w:val="3B4873E0"/>
    <w:rsid w:val="3B4F12B2"/>
    <w:rsid w:val="3B5B6B98"/>
    <w:rsid w:val="3B730A2C"/>
    <w:rsid w:val="3B73373D"/>
    <w:rsid w:val="3B9248F5"/>
    <w:rsid w:val="3B936DF6"/>
    <w:rsid w:val="3BB22B57"/>
    <w:rsid w:val="3BBF0959"/>
    <w:rsid w:val="3BD33BB6"/>
    <w:rsid w:val="3BDA6BB8"/>
    <w:rsid w:val="3BF05F97"/>
    <w:rsid w:val="3C0A04BB"/>
    <w:rsid w:val="3C1213FC"/>
    <w:rsid w:val="3C3360EC"/>
    <w:rsid w:val="3C452831"/>
    <w:rsid w:val="3C68345E"/>
    <w:rsid w:val="3C7057AE"/>
    <w:rsid w:val="3C8D2B6B"/>
    <w:rsid w:val="3C923C9F"/>
    <w:rsid w:val="3C9755B2"/>
    <w:rsid w:val="3C9E5D1B"/>
    <w:rsid w:val="3CA53C3A"/>
    <w:rsid w:val="3CA97F92"/>
    <w:rsid w:val="3CBA7D19"/>
    <w:rsid w:val="3CC1259B"/>
    <w:rsid w:val="3CD17EF5"/>
    <w:rsid w:val="3CEA1C78"/>
    <w:rsid w:val="3CF92A3E"/>
    <w:rsid w:val="3CFA4794"/>
    <w:rsid w:val="3D2123DC"/>
    <w:rsid w:val="3D3529EB"/>
    <w:rsid w:val="3D4B442E"/>
    <w:rsid w:val="3D5368A9"/>
    <w:rsid w:val="3D5D6523"/>
    <w:rsid w:val="3D6437F6"/>
    <w:rsid w:val="3D6D69CE"/>
    <w:rsid w:val="3D7A7775"/>
    <w:rsid w:val="3DA93E71"/>
    <w:rsid w:val="3DAB2C2B"/>
    <w:rsid w:val="3DAF7D1C"/>
    <w:rsid w:val="3DB13B3B"/>
    <w:rsid w:val="3DB5004A"/>
    <w:rsid w:val="3DC56027"/>
    <w:rsid w:val="3DC70F93"/>
    <w:rsid w:val="3DD1027E"/>
    <w:rsid w:val="3DD22C69"/>
    <w:rsid w:val="3DDD1F1D"/>
    <w:rsid w:val="3DE050FC"/>
    <w:rsid w:val="3DFC7BC4"/>
    <w:rsid w:val="3E0169BD"/>
    <w:rsid w:val="3E051BD9"/>
    <w:rsid w:val="3E09754A"/>
    <w:rsid w:val="3E260217"/>
    <w:rsid w:val="3E2C62B6"/>
    <w:rsid w:val="3E5207BC"/>
    <w:rsid w:val="3E5313C9"/>
    <w:rsid w:val="3E5700F6"/>
    <w:rsid w:val="3E5A2FC6"/>
    <w:rsid w:val="3E5A54C2"/>
    <w:rsid w:val="3E68150B"/>
    <w:rsid w:val="3E6A11AF"/>
    <w:rsid w:val="3E783114"/>
    <w:rsid w:val="3E7E2CC0"/>
    <w:rsid w:val="3E863E02"/>
    <w:rsid w:val="3E92012A"/>
    <w:rsid w:val="3E952ED0"/>
    <w:rsid w:val="3EB721C8"/>
    <w:rsid w:val="3EC7628C"/>
    <w:rsid w:val="3EDA1646"/>
    <w:rsid w:val="3EDC2D84"/>
    <w:rsid w:val="3EDE7341"/>
    <w:rsid w:val="3EE42B23"/>
    <w:rsid w:val="3F1343EB"/>
    <w:rsid w:val="3F160A52"/>
    <w:rsid w:val="3F7D711C"/>
    <w:rsid w:val="3F9664B6"/>
    <w:rsid w:val="3F9A1DAD"/>
    <w:rsid w:val="3F9C33E1"/>
    <w:rsid w:val="3FA46EF8"/>
    <w:rsid w:val="3FAA3EF8"/>
    <w:rsid w:val="3FC754F1"/>
    <w:rsid w:val="3FCE6774"/>
    <w:rsid w:val="3FD5249C"/>
    <w:rsid w:val="3FE217D5"/>
    <w:rsid w:val="3FE4429D"/>
    <w:rsid w:val="40094CDE"/>
    <w:rsid w:val="400C3A1F"/>
    <w:rsid w:val="40173D62"/>
    <w:rsid w:val="403837C5"/>
    <w:rsid w:val="403F2F7C"/>
    <w:rsid w:val="40585922"/>
    <w:rsid w:val="407303A2"/>
    <w:rsid w:val="4086235B"/>
    <w:rsid w:val="40A66215"/>
    <w:rsid w:val="40B35057"/>
    <w:rsid w:val="40BC471D"/>
    <w:rsid w:val="40BD4DD1"/>
    <w:rsid w:val="40E93FEB"/>
    <w:rsid w:val="40F51D18"/>
    <w:rsid w:val="40FB13BF"/>
    <w:rsid w:val="40FC0054"/>
    <w:rsid w:val="40FF7534"/>
    <w:rsid w:val="41003E00"/>
    <w:rsid w:val="411E7D17"/>
    <w:rsid w:val="412D4550"/>
    <w:rsid w:val="41303C39"/>
    <w:rsid w:val="414A10F0"/>
    <w:rsid w:val="414A2651"/>
    <w:rsid w:val="414F74CB"/>
    <w:rsid w:val="41537DED"/>
    <w:rsid w:val="415B6654"/>
    <w:rsid w:val="4162111C"/>
    <w:rsid w:val="41662EBF"/>
    <w:rsid w:val="416745BC"/>
    <w:rsid w:val="416B75D8"/>
    <w:rsid w:val="417A7CF0"/>
    <w:rsid w:val="417C2EE6"/>
    <w:rsid w:val="418D5E18"/>
    <w:rsid w:val="41A92082"/>
    <w:rsid w:val="41AE5586"/>
    <w:rsid w:val="41BD712D"/>
    <w:rsid w:val="41C63978"/>
    <w:rsid w:val="41CB2D76"/>
    <w:rsid w:val="41CD442E"/>
    <w:rsid w:val="41D12A32"/>
    <w:rsid w:val="41D301C3"/>
    <w:rsid w:val="41D623AF"/>
    <w:rsid w:val="41E15D89"/>
    <w:rsid w:val="41EE163E"/>
    <w:rsid w:val="42073D43"/>
    <w:rsid w:val="420A1A22"/>
    <w:rsid w:val="420E27DB"/>
    <w:rsid w:val="420E3E38"/>
    <w:rsid w:val="4225035F"/>
    <w:rsid w:val="422D1756"/>
    <w:rsid w:val="422F49B3"/>
    <w:rsid w:val="42511895"/>
    <w:rsid w:val="4251344E"/>
    <w:rsid w:val="4266184F"/>
    <w:rsid w:val="42670D5D"/>
    <w:rsid w:val="426D063A"/>
    <w:rsid w:val="426E5264"/>
    <w:rsid w:val="427B5345"/>
    <w:rsid w:val="42802614"/>
    <w:rsid w:val="42887717"/>
    <w:rsid w:val="429310E0"/>
    <w:rsid w:val="42A504C8"/>
    <w:rsid w:val="42B01704"/>
    <w:rsid w:val="42B72784"/>
    <w:rsid w:val="42BE7A74"/>
    <w:rsid w:val="42BF6593"/>
    <w:rsid w:val="42CC4106"/>
    <w:rsid w:val="42CE4E28"/>
    <w:rsid w:val="430F4F87"/>
    <w:rsid w:val="431F1AE3"/>
    <w:rsid w:val="432E2785"/>
    <w:rsid w:val="433858A5"/>
    <w:rsid w:val="434009DA"/>
    <w:rsid w:val="435B2CBB"/>
    <w:rsid w:val="4365472B"/>
    <w:rsid w:val="436F612A"/>
    <w:rsid w:val="437732E7"/>
    <w:rsid w:val="437D645C"/>
    <w:rsid w:val="438753A5"/>
    <w:rsid w:val="43920E07"/>
    <w:rsid w:val="43951B04"/>
    <w:rsid w:val="439A3EE5"/>
    <w:rsid w:val="43B25454"/>
    <w:rsid w:val="43BB1E41"/>
    <w:rsid w:val="43D0275A"/>
    <w:rsid w:val="43D73830"/>
    <w:rsid w:val="43E72A56"/>
    <w:rsid w:val="43F715ED"/>
    <w:rsid w:val="43F723C5"/>
    <w:rsid w:val="440D5ECE"/>
    <w:rsid w:val="440F4468"/>
    <w:rsid w:val="442A56DD"/>
    <w:rsid w:val="44317675"/>
    <w:rsid w:val="44362DE4"/>
    <w:rsid w:val="443935EF"/>
    <w:rsid w:val="44655A6C"/>
    <w:rsid w:val="44701F88"/>
    <w:rsid w:val="44777437"/>
    <w:rsid w:val="447E37ED"/>
    <w:rsid w:val="448332EB"/>
    <w:rsid w:val="44984355"/>
    <w:rsid w:val="44A8226D"/>
    <w:rsid w:val="44AA08C6"/>
    <w:rsid w:val="44C534B8"/>
    <w:rsid w:val="44D66212"/>
    <w:rsid w:val="44E10504"/>
    <w:rsid w:val="44EF4A70"/>
    <w:rsid w:val="44F97D82"/>
    <w:rsid w:val="451C6129"/>
    <w:rsid w:val="451E6E63"/>
    <w:rsid w:val="45211A0E"/>
    <w:rsid w:val="45273FBC"/>
    <w:rsid w:val="45342FB5"/>
    <w:rsid w:val="4550153F"/>
    <w:rsid w:val="45591DA2"/>
    <w:rsid w:val="45660998"/>
    <w:rsid w:val="45665536"/>
    <w:rsid w:val="45754A0D"/>
    <w:rsid w:val="458B3F95"/>
    <w:rsid w:val="459415A3"/>
    <w:rsid w:val="45A62B00"/>
    <w:rsid w:val="45AA2F38"/>
    <w:rsid w:val="45AF3554"/>
    <w:rsid w:val="45D74215"/>
    <w:rsid w:val="45EB1CEB"/>
    <w:rsid w:val="4601483F"/>
    <w:rsid w:val="46025A85"/>
    <w:rsid w:val="46075783"/>
    <w:rsid w:val="460D0F15"/>
    <w:rsid w:val="460F09FC"/>
    <w:rsid w:val="461B1D4C"/>
    <w:rsid w:val="465530CB"/>
    <w:rsid w:val="465F51B0"/>
    <w:rsid w:val="466F7AB5"/>
    <w:rsid w:val="46760020"/>
    <w:rsid w:val="467E5A89"/>
    <w:rsid w:val="468E67A4"/>
    <w:rsid w:val="46A7659A"/>
    <w:rsid w:val="46B462BE"/>
    <w:rsid w:val="46BF240E"/>
    <w:rsid w:val="46D93CB5"/>
    <w:rsid w:val="46EF0F12"/>
    <w:rsid w:val="46F20FCA"/>
    <w:rsid w:val="47364B65"/>
    <w:rsid w:val="473D733B"/>
    <w:rsid w:val="475A2115"/>
    <w:rsid w:val="47630D4C"/>
    <w:rsid w:val="476752E5"/>
    <w:rsid w:val="476A5FE9"/>
    <w:rsid w:val="476C7D5D"/>
    <w:rsid w:val="476F4DD2"/>
    <w:rsid w:val="477E135C"/>
    <w:rsid w:val="47866F4E"/>
    <w:rsid w:val="478D3666"/>
    <w:rsid w:val="47943616"/>
    <w:rsid w:val="47944E8A"/>
    <w:rsid w:val="47A30A38"/>
    <w:rsid w:val="47C95785"/>
    <w:rsid w:val="47EB16E3"/>
    <w:rsid w:val="480446D8"/>
    <w:rsid w:val="482A2773"/>
    <w:rsid w:val="482F762F"/>
    <w:rsid w:val="48326A22"/>
    <w:rsid w:val="484E7F23"/>
    <w:rsid w:val="48612688"/>
    <w:rsid w:val="486C01CE"/>
    <w:rsid w:val="48D61CFA"/>
    <w:rsid w:val="48F40968"/>
    <w:rsid w:val="49001E86"/>
    <w:rsid w:val="49081412"/>
    <w:rsid w:val="490B04FB"/>
    <w:rsid w:val="490E3A2E"/>
    <w:rsid w:val="490F522C"/>
    <w:rsid w:val="49114885"/>
    <w:rsid w:val="491D202E"/>
    <w:rsid w:val="4920575D"/>
    <w:rsid w:val="49406A76"/>
    <w:rsid w:val="49417983"/>
    <w:rsid w:val="49565AB1"/>
    <w:rsid w:val="4958656A"/>
    <w:rsid w:val="49590AE9"/>
    <w:rsid w:val="496D50BB"/>
    <w:rsid w:val="497C543F"/>
    <w:rsid w:val="497D583B"/>
    <w:rsid w:val="49857B65"/>
    <w:rsid w:val="498B7080"/>
    <w:rsid w:val="498C3FA6"/>
    <w:rsid w:val="498F05E7"/>
    <w:rsid w:val="49C02221"/>
    <w:rsid w:val="49D14C7B"/>
    <w:rsid w:val="49F64E88"/>
    <w:rsid w:val="49F712AC"/>
    <w:rsid w:val="49FA5016"/>
    <w:rsid w:val="49FC70BE"/>
    <w:rsid w:val="4A0B4355"/>
    <w:rsid w:val="4A203214"/>
    <w:rsid w:val="4A4B3BE6"/>
    <w:rsid w:val="4A4C3C76"/>
    <w:rsid w:val="4A582F08"/>
    <w:rsid w:val="4A6340FE"/>
    <w:rsid w:val="4A6F3D21"/>
    <w:rsid w:val="4A7A315F"/>
    <w:rsid w:val="4AB12218"/>
    <w:rsid w:val="4AB30EDE"/>
    <w:rsid w:val="4AB344AE"/>
    <w:rsid w:val="4AC132B3"/>
    <w:rsid w:val="4ACE4E5A"/>
    <w:rsid w:val="4AE10105"/>
    <w:rsid w:val="4AE87797"/>
    <w:rsid w:val="4AEF6E6B"/>
    <w:rsid w:val="4AFD545B"/>
    <w:rsid w:val="4AFF5FDB"/>
    <w:rsid w:val="4B055D7D"/>
    <w:rsid w:val="4B341F77"/>
    <w:rsid w:val="4B3C3B24"/>
    <w:rsid w:val="4B462C83"/>
    <w:rsid w:val="4B4C0FEF"/>
    <w:rsid w:val="4B4E0A85"/>
    <w:rsid w:val="4B523FA7"/>
    <w:rsid w:val="4B5515CE"/>
    <w:rsid w:val="4B7D207A"/>
    <w:rsid w:val="4B7D2D66"/>
    <w:rsid w:val="4B875EB6"/>
    <w:rsid w:val="4B8D42B7"/>
    <w:rsid w:val="4BA663CD"/>
    <w:rsid w:val="4BA825CF"/>
    <w:rsid w:val="4BAD7D08"/>
    <w:rsid w:val="4BB621C1"/>
    <w:rsid w:val="4BB75184"/>
    <w:rsid w:val="4BCC5CC5"/>
    <w:rsid w:val="4BD548E3"/>
    <w:rsid w:val="4BDC2522"/>
    <w:rsid w:val="4BDE2E72"/>
    <w:rsid w:val="4BE62E4E"/>
    <w:rsid w:val="4C030296"/>
    <w:rsid w:val="4C091CD6"/>
    <w:rsid w:val="4C142D0A"/>
    <w:rsid w:val="4C1C3FF5"/>
    <w:rsid w:val="4C20405B"/>
    <w:rsid w:val="4C410418"/>
    <w:rsid w:val="4C4A608A"/>
    <w:rsid w:val="4C524673"/>
    <w:rsid w:val="4C524E46"/>
    <w:rsid w:val="4C5B2ECF"/>
    <w:rsid w:val="4C7D1FFD"/>
    <w:rsid w:val="4C920D99"/>
    <w:rsid w:val="4C963176"/>
    <w:rsid w:val="4C963344"/>
    <w:rsid w:val="4C99433E"/>
    <w:rsid w:val="4CAE11C9"/>
    <w:rsid w:val="4CB15698"/>
    <w:rsid w:val="4CC62DA4"/>
    <w:rsid w:val="4CD234A7"/>
    <w:rsid w:val="4CF5763E"/>
    <w:rsid w:val="4CFB71A3"/>
    <w:rsid w:val="4CFF2F8E"/>
    <w:rsid w:val="4D0A39C2"/>
    <w:rsid w:val="4D1E7969"/>
    <w:rsid w:val="4D3420BF"/>
    <w:rsid w:val="4D364936"/>
    <w:rsid w:val="4D3D0301"/>
    <w:rsid w:val="4D3F7CBF"/>
    <w:rsid w:val="4D46030D"/>
    <w:rsid w:val="4D4F1B2B"/>
    <w:rsid w:val="4D6110F6"/>
    <w:rsid w:val="4D6A7580"/>
    <w:rsid w:val="4D6D34A9"/>
    <w:rsid w:val="4D796B28"/>
    <w:rsid w:val="4D8C4093"/>
    <w:rsid w:val="4D8F6C25"/>
    <w:rsid w:val="4DB92821"/>
    <w:rsid w:val="4DC14928"/>
    <w:rsid w:val="4DC46301"/>
    <w:rsid w:val="4DF135C6"/>
    <w:rsid w:val="4DF671A8"/>
    <w:rsid w:val="4DFC1A53"/>
    <w:rsid w:val="4DFE3CC8"/>
    <w:rsid w:val="4E0638F0"/>
    <w:rsid w:val="4E08659C"/>
    <w:rsid w:val="4E0B19A2"/>
    <w:rsid w:val="4E1230AB"/>
    <w:rsid w:val="4E274480"/>
    <w:rsid w:val="4E4B592C"/>
    <w:rsid w:val="4E4E418E"/>
    <w:rsid w:val="4E5D50A6"/>
    <w:rsid w:val="4E887901"/>
    <w:rsid w:val="4EA45213"/>
    <w:rsid w:val="4EA902EC"/>
    <w:rsid w:val="4EB36B9F"/>
    <w:rsid w:val="4EBA7F49"/>
    <w:rsid w:val="4ECB6A4D"/>
    <w:rsid w:val="4EE06456"/>
    <w:rsid w:val="4EE64D75"/>
    <w:rsid w:val="4EF9556C"/>
    <w:rsid w:val="4F0A7123"/>
    <w:rsid w:val="4F1B1D6A"/>
    <w:rsid w:val="4F2151FA"/>
    <w:rsid w:val="4F2A3762"/>
    <w:rsid w:val="4F2E0DB1"/>
    <w:rsid w:val="4F39229A"/>
    <w:rsid w:val="4F3F1F47"/>
    <w:rsid w:val="4F486739"/>
    <w:rsid w:val="4F556652"/>
    <w:rsid w:val="4F5A286E"/>
    <w:rsid w:val="4F64555B"/>
    <w:rsid w:val="4F6B7828"/>
    <w:rsid w:val="4FAC2D12"/>
    <w:rsid w:val="4FC5001A"/>
    <w:rsid w:val="4FC6100F"/>
    <w:rsid w:val="4FCC12A9"/>
    <w:rsid w:val="4FD41C1D"/>
    <w:rsid w:val="4FE71594"/>
    <w:rsid w:val="4FEC47E5"/>
    <w:rsid w:val="4FED2322"/>
    <w:rsid w:val="4FF40E89"/>
    <w:rsid w:val="4FFD53C6"/>
    <w:rsid w:val="500A5461"/>
    <w:rsid w:val="50127778"/>
    <w:rsid w:val="503C0967"/>
    <w:rsid w:val="503D1B16"/>
    <w:rsid w:val="50473EDF"/>
    <w:rsid w:val="50560FFC"/>
    <w:rsid w:val="505A09AE"/>
    <w:rsid w:val="505E421E"/>
    <w:rsid w:val="508050D1"/>
    <w:rsid w:val="50842DBA"/>
    <w:rsid w:val="508E47DC"/>
    <w:rsid w:val="50AE3F83"/>
    <w:rsid w:val="50B040D8"/>
    <w:rsid w:val="50B04818"/>
    <w:rsid w:val="50B73A71"/>
    <w:rsid w:val="50BA71D8"/>
    <w:rsid w:val="50CF69B2"/>
    <w:rsid w:val="50CF7A4B"/>
    <w:rsid w:val="50D20D3B"/>
    <w:rsid w:val="50D44420"/>
    <w:rsid w:val="510E0322"/>
    <w:rsid w:val="511C6510"/>
    <w:rsid w:val="512B27EB"/>
    <w:rsid w:val="51367665"/>
    <w:rsid w:val="5137564E"/>
    <w:rsid w:val="513B748D"/>
    <w:rsid w:val="5145761A"/>
    <w:rsid w:val="514E0A72"/>
    <w:rsid w:val="51576FE4"/>
    <w:rsid w:val="51604084"/>
    <w:rsid w:val="516412FD"/>
    <w:rsid w:val="51876013"/>
    <w:rsid w:val="519F488C"/>
    <w:rsid w:val="51C64D21"/>
    <w:rsid w:val="51C71CEF"/>
    <w:rsid w:val="51DD69E8"/>
    <w:rsid w:val="51E00356"/>
    <w:rsid w:val="51EF6367"/>
    <w:rsid w:val="51F238FA"/>
    <w:rsid w:val="52060887"/>
    <w:rsid w:val="520713EF"/>
    <w:rsid w:val="520809AA"/>
    <w:rsid w:val="520923F4"/>
    <w:rsid w:val="5222282D"/>
    <w:rsid w:val="522923B9"/>
    <w:rsid w:val="522C14EF"/>
    <w:rsid w:val="52302A27"/>
    <w:rsid w:val="52417905"/>
    <w:rsid w:val="52450270"/>
    <w:rsid w:val="52457067"/>
    <w:rsid w:val="52547F54"/>
    <w:rsid w:val="526B5D33"/>
    <w:rsid w:val="526F2F3F"/>
    <w:rsid w:val="527E2D7C"/>
    <w:rsid w:val="527F45C4"/>
    <w:rsid w:val="527F56B3"/>
    <w:rsid w:val="52912B89"/>
    <w:rsid w:val="52956EEB"/>
    <w:rsid w:val="529A6813"/>
    <w:rsid w:val="529E08FC"/>
    <w:rsid w:val="529E7DC9"/>
    <w:rsid w:val="52A1157D"/>
    <w:rsid w:val="52A81022"/>
    <w:rsid w:val="52A8368D"/>
    <w:rsid w:val="52B26287"/>
    <w:rsid w:val="52B35094"/>
    <w:rsid w:val="52B46B08"/>
    <w:rsid w:val="52CC3474"/>
    <w:rsid w:val="52E2424D"/>
    <w:rsid w:val="52F02A03"/>
    <w:rsid w:val="52F06651"/>
    <w:rsid w:val="52FB1C92"/>
    <w:rsid w:val="52FC3289"/>
    <w:rsid w:val="531544F2"/>
    <w:rsid w:val="531600C3"/>
    <w:rsid w:val="53235EAD"/>
    <w:rsid w:val="532452B2"/>
    <w:rsid w:val="53305443"/>
    <w:rsid w:val="5339627B"/>
    <w:rsid w:val="534C3421"/>
    <w:rsid w:val="535B4CF0"/>
    <w:rsid w:val="535D132C"/>
    <w:rsid w:val="53634553"/>
    <w:rsid w:val="538B6878"/>
    <w:rsid w:val="5398746F"/>
    <w:rsid w:val="53B117CE"/>
    <w:rsid w:val="53BA08AE"/>
    <w:rsid w:val="53BC278B"/>
    <w:rsid w:val="53CD17ED"/>
    <w:rsid w:val="53EB6B3D"/>
    <w:rsid w:val="5400093A"/>
    <w:rsid w:val="540F33D1"/>
    <w:rsid w:val="54174152"/>
    <w:rsid w:val="543E150A"/>
    <w:rsid w:val="5441470A"/>
    <w:rsid w:val="544475A5"/>
    <w:rsid w:val="544C4264"/>
    <w:rsid w:val="54586A32"/>
    <w:rsid w:val="546C2139"/>
    <w:rsid w:val="547747B8"/>
    <w:rsid w:val="54792907"/>
    <w:rsid w:val="547F24EC"/>
    <w:rsid w:val="54805956"/>
    <w:rsid w:val="54834C53"/>
    <w:rsid w:val="54901540"/>
    <w:rsid w:val="54A07B99"/>
    <w:rsid w:val="54A81A59"/>
    <w:rsid w:val="54C73D61"/>
    <w:rsid w:val="54C765B4"/>
    <w:rsid w:val="54E164AC"/>
    <w:rsid w:val="54F93FF8"/>
    <w:rsid w:val="54FE154B"/>
    <w:rsid w:val="550D767C"/>
    <w:rsid w:val="55406298"/>
    <w:rsid w:val="55411377"/>
    <w:rsid w:val="55477E32"/>
    <w:rsid w:val="55496AED"/>
    <w:rsid w:val="556729AE"/>
    <w:rsid w:val="55733EF3"/>
    <w:rsid w:val="557B0851"/>
    <w:rsid w:val="55992746"/>
    <w:rsid w:val="55A729D4"/>
    <w:rsid w:val="55B51902"/>
    <w:rsid w:val="55D819D2"/>
    <w:rsid w:val="55DF1868"/>
    <w:rsid w:val="55E678D8"/>
    <w:rsid w:val="55F13D03"/>
    <w:rsid w:val="560D3E7C"/>
    <w:rsid w:val="561473EC"/>
    <w:rsid w:val="563D2AD2"/>
    <w:rsid w:val="56414F54"/>
    <w:rsid w:val="56466009"/>
    <w:rsid w:val="565503DF"/>
    <w:rsid w:val="565B2641"/>
    <w:rsid w:val="5687171A"/>
    <w:rsid w:val="56922748"/>
    <w:rsid w:val="569B59A6"/>
    <w:rsid w:val="569B7BE7"/>
    <w:rsid w:val="56A16A04"/>
    <w:rsid w:val="56B23F75"/>
    <w:rsid w:val="56B8399E"/>
    <w:rsid w:val="56B972C4"/>
    <w:rsid w:val="56EA0FB8"/>
    <w:rsid w:val="56F65C56"/>
    <w:rsid w:val="570339AB"/>
    <w:rsid w:val="570578B8"/>
    <w:rsid w:val="57132F95"/>
    <w:rsid w:val="572D4E3F"/>
    <w:rsid w:val="572D56F6"/>
    <w:rsid w:val="573179AE"/>
    <w:rsid w:val="5739781C"/>
    <w:rsid w:val="573D6A99"/>
    <w:rsid w:val="573F1670"/>
    <w:rsid w:val="57551AD9"/>
    <w:rsid w:val="575D0040"/>
    <w:rsid w:val="57606393"/>
    <w:rsid w:val="576C5FC1"/>
    <w:rsid w:val="577C3DB8"/>
    <w:rsid w:val="577F5DB3"/>
    <w:rsid w:val="57824BAC"/>
    <w:rsid w:val="57892510"/>
    <w:rsid w:val="579B63A9"/>
    <w:rsid w:val="57AD602B"/>
    <w:rsid w:val="57AE3E6A"/>
    <w:rsid w:val="57BB6F00"/>
    <w:rsid w:val="57C321F5"/>
    <w:rsid w:val="57C47384"/>
    <w:rsid w:val="57C63600"/>
    <w:rsid w:val="57CF0A12"/>
    <w:rsid w:val="57DD317C"/>
    <w:rsid w:val="57E8417C"/>
    <w:rsid w:val="58142531"/>
    <w:rsid w:val="58245989"/>
    <w:rsid w:val="582B34BB"/>
    <w:rsid w:val="58430210"/>
    <w:rsid w:val="585838C1"/>
    <w:rsid w:val="5863214C"/>
    <w:rsid w:val="586A2D62"/>
    <w:rsid w:val="586E282A"/>
    <w:rsid w:val="586E4FA9"/>
    <w:rsid w:val="58717162"/>
    <w:rsid w:val="58932A0B"/>
    <w:rsid w:val="589A52D5"/>
    <w:rsid w:val="589D1B0A"/>
    <w:rsid w:val="58A156FA"/>
    <w:rsid w:val="58AB14AC"/>
    <w:rsid w:val="58DD6E52"/>
    <w:rsid w:val="58E037FA"/>
    <w:rsid w:val="58F804B8"/>
    <w:rsid w:val="59040C40"/>
    <w:rsid w:val="59070777"/>
    <w:rsid w:val="59185078"/>
    <w:rsid w:val="59373972"/>
    <w:rsid w:val="593A5023"/>
    <w:rsid w:val="593E2FA4"/>
    <w:rsid w:val="59412FE1"/>
    <w:rsid w:val="598B7005"/>
    <w:rsid w:val="599D4457"/>
    <w:rsid w:val="59B25DDC"/>
    <w:rsid w:val="59B65FE0"/>
    <w:rsid w:val="59B73AE7"/>
    <w:rsid w:val="59DC43D8"/>
    <w:rsid w:val="59E70281"/>
    <w:rsid w:val="59FA21B2"/>
    <w:rsid w:val="5A1F1EAF"/>
    <w:rsid w:val="5A3B0823"/>
    <w:rsid w:val="5A3B7940"/>
    <w:rsid w:val="5A400973"/>
    <w:rsid w:val="5A9579D9"/>
    <w:rsid w:val="5AA549B2"/>
    <w:rsid w:val="5ACC3AB1"/>
    <w:rsid w:val="5AD00974"/>
    <w:rsid w:val="5AD603DB"/>
    <w:rsid w:val="5AD7093F"/>
    <w:rsid w:val="5ADC7386"/>
    <w:rsid w:val="5AE9537A"/>
    <w:rsid w:val="5AF25BD7"/>
    <w:rsid w:val="5B023163"/>
    <w:rsid w:val="5B0E6717"/>
    <w:rsid w:val="5B187B21"/>
    <w:rsid w:val="5B213C41"/>
    <w:rsid w:val="5B5104F9"/>
    <w:rsid w:val="5B512775"/>
    <w:rsid w:val="5B594284"/>
    <w:rsid w:val="5B5D0855"/>
    <w:rsid w:val="5B852AAE"/>
    <w:rsid w:val="5B965C92"/>
    <w:rsid w:val="5B9B040F"/>
    <w:rsid w:val="5BAC1152"/>
    <w:rsid w:val="5BAC4E3A"/>
    <w:rsid w:val="5BEA6826"/>
    <w:rsid w:val="5BF215EF"/>
    <w:rsid w:val="5C012B8C"/>
    <w:rsid w:val="5C1F7C1E"/>
    <w:rsid w:val="5C362AF4"/>
    <w:rsid w:val="5C3E4720"/>
    <w:rsid w:val="5C4335E0"/>
    <w:rsid w:val="5C4A6502"/>
    <w:rsid w:val="5C526BB4"/>
    <w:rsid w:val="5C5A16DE"/>
    <w:rsid w:val="5C710051"/>
    <w:rsid w:val="5C784327"/>
    <w:rsid w:val="5C9B09C7"/>
    <w:rsid w:val="5C9D2D1B"/>
    <w:rsid w:val="5CAA23C7"/>
    <w:rsid w:val="5CC0373E"/>
    <w:rsid w:val="5CC85BD5"/>
    <w:rsid w:val="5CDE0971"/>
    <w:rsid w:val="5CE018DD"/>
    <w:rsid w:val="5CE32EA9"/>
    <w:rsid w:val="5D2672C3"/>
    <w:rsid w:val="5D470913"/>
    <w:rsid w:val="5D4E4E28"/>
    <w:rsid w:val="5D7E69EB"/>
    <w:rsid w:val="5D907EC8"/>
    <w:rsid w:val="5DAA5D2C"/>
    <w:rsid w:val="5DBC5CA6"/>
    <w:rsid w:val="5DC31E6E"/>
    <w:rsid w:val="5DF30675"/>
    <w:rsid w:val="5E02595E"/>
    <w:rsid w:val="5E074110"/>
    <w:rsid w:val="5E152FAC"/>
    <w:rsid w:val="5E2B3A18"/>
    <w:rsid w:val="5E31172B"/>
    <w:rsid w:val="5E450E6E"/>
    <w:rsid w:val="5E4641D8"/>
    <w:rsid w:val="5E4B3CC5"/>
    <w:rsid w:val="5E5C7FAC"/>
    <w:rsid w:val="5E6875AA"/>
    <w:rsid w:val="5E872C01"/>
    <w:rsid w:val="5E8E1E7B"/>
    <w:rsid w:val="5E933865"/>
    <w:rsid w:val="5E947313"/>
    <w:rsid w:val="5E983210"/>
    <w:rsid w:val="5E990EEB"/>
    <w:rsid w:val="5E9A27FB"/>
    <w:rsid w:val="5E9D5D87"/>
    <w:rsid w:val="5E9E1433"/>
    <w:rsid w:val="5EB1181D"/>
    <w:rsid w:val="5EBD1987"/>
    <w:rsid w:val="5EC52109"/>
    <w:rsid w:val="5ECE103C"/>
    <w:rsid w:val="5EDC6635"/>
    <w:rsid w:val="5EDF242A"/>
    <w:rsid w:val="5EEC4CC9"/>
    <w:rsid w:val="5EF06445"/>
    <w:rsid w:val="5EFC424F"/>
    <w:rsid w:val="5EFD3193"/>
    <w:rsid w:val="5F2C5E7C"/>
    <w:rsid w:val="5F353F1D"/>
    <w:rsid w:val="5F387DD8"/>
    <w:rsid w:val="5F5B52DC"/>
    <w:rsid w:val="5F5D6311"/>
    <w:rsid w:val="5F610F9A"/>
    <w:rsid w:val="5F740BCA"/>
    <w:rsid w:val="5F8039B0"/>
    <w:rsid w:val="5FBE2806"/>
    <w:rsid w:val="5FC72CEE"/>
    <w:rsid w:val="5FD15188"/>
    <w:rsid w:val="600C100B"/>
    <w:rsid w:val="602505AE"/>
    <w:rsid w:val="602C20DD"/>
    <w:rsid w:val="6039132C"/>
    <w:rsid w:val="603F3938"/>
    <w:rsid w:val="60442474"/>
    <w:rsid w:val="60A236F7"/>
    <w:rsid w:val="60AF5CCB"/>
    <w:rsid w:val="60B12374"/>
    <w:rsid w:val="60B12B22"/>
    <w:rsid w:val="60BF65B9"/>
    <w:rsid w:val="60CB5CDD"/>
    <w:rsid w:val="60D95814"/>
    <w:rsid w:val="60DD7931"/>
    <w:rsid w:val="60DE5220"/>
    <w:rsid w:val="60E34685"/>
    <w:rsid w:val="610C4467"/>
    <w:rsid w:val="611C566B"/>
    <w:rsid w:val="61411A84"/>
    <w:rsid w:val="614C4594"/>
    <w:rsid w:val="614C74D5"/>
    <w:rsid w:val="615443E0"/>
    <w:rsid w:val="61681591"/>
    <w:rsid w:val="61682CDB"/>
    <w:rsid w:val="61925A2C"/>
    <w:rsid w:val="61A11202"/>
    <w:rsid w:val="61B42655"/>
    <w:rsid w:val="61B848A4"/>
    <w:rsid w:val="61D0667F"/>
    <w:rsid w:val="61E13FF1"/>
    <w:rsid w:val="61EB04E9"/>
    <w:rsid w:val="61EF1DDB"/>
    <w:rsid w:val="61F51A3D"/>
    <w:rsid w:val="6207688B"/>
    <w:rsid w:val="62292F18"/>
    <w:rsid w:val="622D1EAE"/>
    <w:rsid w:val="622F4266"/>
    <w:rsid w:val="623A2268"/>
    <w:rsid w:val="62457762"/>
    <w:rsid w:val="62462A72"/>
    <w:rsid w:val="62521B39"/>
    <w:rsid w:val="625D5649"/>
    <w:rsid w:val="62656BD2"/>
    <w:rsid w:val="62777B94"/>
    <w:rsid w:val="629B0689"/>
    <w:rsid w:val="62AB132C"/>
    <w:rsid w:val="62BE738E"/>
    <w:rsid w:val="62CE3A4C"/>
    <w:rsid w:val="62D97AC0"/>
    <w:rsid w:val="62DA5AA9"/>
    <w:rsid w:val="62E849C6"/>
    <w:rsid w:val="62EA6460"/>
    <w:rsid w:val="62FC70F7"/>
    <w:rsid w:val="63030F14"/>
    <w:rsid w:val="63271A67"/>
    <w:rsid w:val="6344286C"/>
    <w:rsid w:val="634C4857"/>
    <w:rsid w:val="636C0070"/>
    <w:rsid w:val="63806113"/>
    <w:rsid w:val="638A7B91"/>
    <w:rsid w:val="638B0660"/>
    <w:rsid w:val="639F31F2"/>
    <w:rsid w:val="63BB5D1B"/>
    <w:rsid w:val="63BD64AB"/>
    <w:rsid w:val="63C56A8D"/>
    <w:rsid w:val="63D158C9"/>
    <w:rsid w:val="63D803D8"/>
    <w:rsid w:val="63E82575"/>
    <w:rsid w:val="64056F81"/>
    <w:rsid w:val="6410098F"/>
    <w:rsid w:val="641E7B03"/>
    <w:rsid w:val="643B45CE"/>
    <w:rsid w:val="643E3B20"/>
    <w:rsid w:val="6453132F"/>
    <w:rsid w:val="645E04C8"/>
    <w:rsid w:val="646C727B"/>
    <w:rsid w:val="647210A5"/>
    <w:rsid w:val="647E3905"/>
    <w:rsid w:val="64A036C7"/>
    <w:rsid w:val="64A7639A"/>
    <w:rsid w:val="64B460B2"/>
    <w:rsid w:val="64C22BED"/>
    <w:rsid w:val="64CA22CD"/>
    <w:rsid w:val="64D05783"/>
    <w:rsid w:val="64D21925"/>
    <w:rsid w:val="64D91523"/>
    <w:rsid w:val="64DB2E27"/>
    <w:rsid w:val="64E10BC7"/>
    <w:rsid w:val="64EC5F80"/>
    <w:rsid w:val="64F20854"/>
    <w:rsid w:val="64F2292E"/>
    <w:rsid w:val="64F6489B"/>
    <w:rsid w:val="64F7798C"/>
    <w:rsid w:val="651264A6"/>
    <w:rsid w:val="65354DB0"/>
    <w:rsid w:val="65590675"/>
    <w:rsid w:val="657A7BD2"/>
    <w:rsid w:val="658E4B68"/>
    <w:rsid w:val="659339E5"/>
    <w:rsid w:val="659435D4"/>
    <w:rsid w:val="65A12770"/>
    <w:rsid w:val="65AD106A"/>
    <w:rsid w:val="65AF4F70"/>
    <w:rsid w:val="65B70B41"/>
    <w:rsid w:val="65BB78E4"/>
    <w:rsid w:val="65D44422"/>
    <w:rsid w:val="65D65610"/>
    <w:rsid w:val="65D97F92"/>
    <w:rsid w:val="65F32EED"/>
    <w:rsid w:val="65FA015C"/>
    <w:rsid w:val="65FF6711"/>
    <w:rsid w:val="66035B03"/>
    <w:rsid w:val="660E024C"/>
    <w:rsid w:val="661462F7"/>
    <w:rsid w:val="66150AEC"/>
    <w:rsid w:val="662F0CA7"/>
    <w:rsid w:val="66493BD7"/>
    <w:rsid w:val="666714C9"/>
    <w:rsid w:val="666A659A"/>
    <w:rsid w:val="66736727"/>
    <w:rsid w:val="668B5CC3"/>
    <w:rsid w:val="66AE2C16"/>
    <w:rsid w:val="66C919F0"/>
    <w:rsid w:val="66D115BE"/>
    <w:rsid w:val="66D13DA9"/>
    <w:rsid w:val="66D85757"/>
    <w:rsid w:val="66E30E48"/>
    <w:rsid w:val="67010AE3"/>
    <w:rsid w:val="67131A02"/>
    <w:rsid w:val="67136376"/>
    <w:rsid w:val="67251571"/>
    <w:rsid w:val="67322B5A"/>
    <w:rsid w:val="67424E78"/>
    <w:rsid w:val="6742643A"/>
    <w:rsid w:val="675D6494"/>
    <w:rsid w:val="67661F70"/>
    <w:rsid w:val="6767348A"/>
    <w:rsid w:val="67862889"/>
    <w:rsid w:val="6794124F"/>
    <w:rsid w:val="6795542A"/>
    <w:rsid w:val="67AA2F7E"/>
    <w:rsid w:val="67B825E5"/>
    <w:rsid w:val="67C373D8"/>
    <w:rsid w:val="67E4373A"/>
    <w:rsid w:val="68002120"/>
    <w:rsid w:val="6817019F"/>
    <w:rsid w:val="681A39B2"/>
    <w:rsid w:val="6839250D"/>
    <w:rsid w:val="683948E7"/>
    <w:rsid w:val="685E5B4D"/>
    <w:rsid w:val="686A7D3E"/>
    <w:rsid w:val="68762CDF"/>
    <w:rsid w:val="687968DC"/>
    <w:rsid w:val="687B2B4C"/>
    <w:rsid w:val="68853EBD"/>
    <w:rsid w:val="688D7DD5"/>
    <w:rsid w:val="689F47D3"/>
    <w:rsid w:val="68B5562D"/>
    <w:rsid w:val="68B67FDA"/>
    <w:rsid w:val="68CE612B"/>
    <w:rsid w:val="68D2013F"/>
    <w:rsid w:val="68E814B4"/>
    <w:rsid w:val="68F91EAB"/>
    <w:rsid w:val="68FA27D2"/>
    <w:rsid w:val="6907197E"/>
    <w:rsid w:val="690756E9"/>
    <w:rsid w:val="690D6969"/>
    <w:rsid w:val="6910731A"/>
    <w:rsid w:val="69121E3A"/>
    <w:rsid w:val="69154D60"/>
    <w:rsid w:val="691B43A2"/>
    <w:rsid w:val="691F4D9F"/>
    <w:rsid w:val="69267A4F"/>
    <w:rsid w:val="694A6DBA"/>
    <w:rsid w:val="695D7D0E"/>
    <w:rsid w:val="69601908"/>
    <w:rsid w:val="6962388C"/>
    <w:rsid w:val="69767E6B"/>
    <w:rsid w:val="69780312"/>
    <w:rsid w:val="69851805"/>
    <w:rsid w:val="69990E77"/>
    <w:rsid w:val="699954C4"/>
    <w:rsid w:val="69995A25"/>
    <w:rsid w:val="699A62E3"/>
    <w:rsid w:val="699D36D6"/>
    <w:rsid w:val="69A00D26"/>
    <w:rsid w:val="69B72EB5"/>
    <w:rsid w:val="69B779BF"/>
    <w:rsid w:val="69CD7FDE"/>
    <w:rsid w:val="69CF08EE"/>
    <w:rsid w:val="69D70F29"/>
    <w:rsid w:val="69ED56B6"/>
    <w:rsid w:val="69F32539"/>
    <w:rsid w:val="69F42AC2"/>
    <w:rsid w:val="69FB201D"/>
    <w:rsid w:val="6A07214F"/>
    <w:rsid w:val="6A1E150A"/>
    <w:rsid w:val="6A1E4DC1"/>
    <w:rsid w:val="6A1F25CE"/>
    <w:rsid w:val="6A2E01C9"/>
    <w:rsid w:val="6A3246BA"/>
    <w:rsid w:val="6A466859"/>
    <w:rsid w:val="6A560907"/>
    <w:rsid w:val="6A6F0C18"/>
    <w:rsid w:val="6A7B4CEF"/>
    <w:rsid w:val="6A897D7B"/>
    <w:rsid w:val="6A8D493E"/>
    <w:rsid w:val="6A9C7E3D"/>
    <w:rsid w:val="6AA135E4"/>
    <w:rsid w:val="6AA46627"/>
    <w:rsid w:val="6AB13C32"/>
    <w:rsid w:val="6AB75D2A"/>
    <w:rsid w:val="6ABE4147"/>
    <w:rsid w:val="6AC23A28"/>
    <w:rsid w:val="6ADD757B"/>
    <w:rsid w:val="6ADE785B"/>
    <w:rsid w:val="6AE2354A"/>
    <w:rsid w:val="6AEA5216"/>
    <w:rsid w:val="6AEB2698"/>
    <w:rsid w:val="6AEF3832"/>
    <w:rsid w:val="6AF8649D"/>
    <w:rsid w:val="6B1F10AD"/>
    <w:rsid w:val="6B22477C"/>
    <w:rsid w:val="6B255653"/>
    <w:rsid w:val="6B2E09B6"/>
    <w:rsid w:val="6B320A31"/>
    <w:rsid w:val="6B491DA4"/>
    <w:rsid w:val="6B4A7F71"/>
    <w:rsid w:val="6B4F0327"/>
    <w:rsid w:val="6B594672"/>
    <w:rsid w:val="6B5D28FD"/>
    <w:rsid w:val="6B5E4D2E"/>
    <w:rsid w:val="6B6E7C99"/>
    <w:rsid w:val="6B775DEA"/>
    <w:rsid w:val="6B831CA3"/>
    <w:rsid w:val="6B96511F"/>
    <w:rsid w:val="6BA47F2E"/>
    <w:rsid w:val="6BC43CA8"/>
    <w:rsid w:val="6BCE2423"/>
    <w:rsid w:val="6BD91B10"/>
    <w:rsid w:val="6BE116D3"/>
    <w:rsid w:val="6C013C84"/>
    <w:rsid w:val="6C153D23"/>
    <w:rsid w:val="6C262D9A"/>
    <w:rsid w:val="6C2A7865"/>
    <w:rsid w:val="6C59217D"/>
    <w:rsid w:val="6C620EF9"/>
    <w:rsid w:val="6C6A54FD"/>
    <w:rsid w:val="6C7550B4"/>
    <w:rsid w:val="6C801317"/>
    <w:rsid w:val="6CAA3EA4"/>
    <w:rsid w:val="6CB46518"/>
    <w:rsid w:val="6CBA151E"/>
    <w:rsid w:val="6CCD0DFB"/>
    <w:rsid w:val="6CF6746A"/>
    <w:rsid w:val="6CFA5A25"/>
    <w:rsid w:val="6D010215"/>
    <w:rsid w:val="6D026FD1"/>
    <w:rsid w:val="6D0F4CEB"/>
    <w:rsid w:val="6D2D03F9"/>
    <w:rsid w:val="6D3D281D"/>
    <w:rsid w:val="6D751BED"/>
    <w:rsid w:val="6D8B304C"/>
    <w:rsid w:val="6D916A0C"/>
    <w:rsid w:val="6D973ED7"/>
    <w:rsid w:val="6D9B44BA"/>
    <w:rsid w:val="6D9E588E"/>
    <w:rsid w:val="6DA94262"/>
    <w:rsid w:val="6DAE2A69"/>
    <w:rsid w:val="6DB70CB4"/>
    <w:rsid w:val="6DD83087"/>
    <w:rsid w:val="6DDB4C8B"/>
    <w:rsid w:val="6DE36788"/>
    <w:rsid w:val="6E02541D"/>
    <w:rsid w:val="6E094352"/>
    <w:rsid w:val="6E0A2C2C"/>
    <w:rsid w:val="6E432E65"/>
    <w:rsid w:val="6E54396E"/>
    <w:rsid w:val="6E652417"/>
    <w:rsid w:val="6E702256"/>
    <w:rsid w:val="6E737331"/>
    <w:rsid w:val="6E827CC9"/>
    <w:rsid w:val="6E894460"/>
    <w:rsid w:val="6E8E0846"/>
    <w:rsid w:val="6E92195E"/>
    <w:rsid w:val="6E945485"/>
    <w:rsid w:val="6E992E30"/>
    <w:rsid w:val="6EA857B7"/>
    <w:rsid w:val="6EB20D5A"/>
    <w:rsid w:val="6EC20982"/>
    <w:rsid w:val="6EC645B7"/>
    <w:rsid w:val="6EE15E4A"/>
    <w:rsid w:val="6EF36DDF"/>
    <w:rsid w:val="6F031BB8"/>
    <w:rsid w:val="6F0A13E3"/>
    <w:rsid w:val="6F3626B6"/>
    <w:rsid w:val="6F3F40AE"/>
    <w:rsid w:val="6F6338D8"/>
    <w:rsid w:val="6F6C0F57"/>
    <w:rsid w:val="6F6D06B3"/>
    <w:rsid w:val="6F815117"/>
    <w:rsid w:val="6FA40B61"/>
    <w:rsid w:val="6FC010C7"/>
    <w:rsid w:val="6FD60CD5"/>
    <w:rsid w:val="6FE0386A"/>
    <w:rsid w:val="700A1E44"/>
    <w:rsid w:val="702A2DF0"/>
    <w:rsid w:val="70395017"/>
    <w:rsid w:val="704F030D"/>
    <w:rsid w:val="70633544"/>
    <w:rsid w:val="70863E5A"/>
    <w:rsid w:val="70877FDA"/>
    <w:rsid w:val="708B0407"/>
    <w:rsid w:val="708C0C43"/>
    <w:rsid w:val="708F3F4F"/>
    <w:rsid w:val="70974C62"/>
    <w:rsid w:val="70A67D21"/>
    <w:rsid w:val="70B566C5"/>
    <w:rsid w:val="70CF0C0E"/>
    <w:rsid w:val="70D15D5E"/>
    <w:rsid w:val="70D37E0A"/>
    <w:rsid w:val="70F70D76"/>
    <w:rsid w:val="70FD7B86"/>
    <w:rsid w:val="71143D27"/>
    <w:rsid w:val="711A0DDC"/>
    <w:rsid w:val="71302D3F"/>
    <w:rsid w:val="713C58A4"/>
    <w:rsid w:val="7170308B"/>
    <w:rsid w:val="71811A37"/>
    <w:rsid w:val="718926B9"/>
    <w:rsid w:val="718A2459"/>
    <w:rsid w:val="719621CF"/>
    <w:rsid w:val="7198319C"/>
    <w:rsid w:val="719E503F"/>
    <w:rsid w:val="71A83C61"/>
    <w:rsid w:val="71AC3D91"/>
    <w:rsid w:val="71BE14CD"/>
    <w:rsid w:val="71E65261"/>
    <w:rsid w:val="71E879F4"/>
    <w:rsid w:val="71F56CCA"/>
    <w:rsid w:val="71FF0740"/>
    <w:rsid w:val="71FF0BB1"/>
    <w:rsid w:val="72364E53"/>
    <w:rsid w:val="724245AC"/>
    <w:rsid w:val="72896FE0"/>
    <w:rsid w:val="728E5F19"/>
    <w:rsid w:val="729E0789"/>
    <w:rsid w:val="72B324E3"/>
    <w:rsid w:val="72D8260B"/>
    <w:rsid w:val="72ED09D0"/>
    <w:rsid w:val="73013FCC"/>
    <w:rsid w:val="731A4B3E"/>
    <w:rsid w:val="73245D0B"/>
    <w:rsid w:val="734A59B2"/>
    <w:rsid w:val="73547991"/>
    <w:rsid w:val="73592A44"/>
    <w:rsid w:val="736938A6"/>
    <w:rsid w:val="737034B7"/>
    <w:rsid w:val="73734E93"/>
    <w:rsid w:val="738E6C88"/>
    <w:rsid w:val="739169F9"/>
    <w:rsid w:val="739A46DA"/>
    <w:rsid w:val="739E4909"/>
    <w:rsid w:val="73A05747"/>
    <w:rsid w:val="73A431FC"/>
    <w:rsid w:val="73A55B45"/>
    <w:rsid w:val="73D47531"/>
    <w:rsid w:val="74031DA5"/>
    <w:rsid w:val="740A7083"/>
    <w:rsid w:val="74226A95"/>
    <w:rsid w:val="7423063D"/>
    <w:rsid w:val="742D4234"/>
    <w:rsid w:val="743F4CBA"/>
    <w:rsid w:val="744F7236"/>
    <w:rsid w:val="745A1736"/>
    <w:rsid w:val="745E1EAA"/>
    <w:rsid w:val="746774A9"/>
    <w:rsid w:val="748A000B"/>
    <w:rsid w:val="74912CE1"/>
    <w:rsid w:val="74942EB6"/>
    <w:rsid w:val="749E119A"/>
    <w:rsid w:val="74A356E3"/>
    <w:rsid w:val="74CE466B"/>
    <w:rsid w:val="74D33EF6"/>
    <w:rsid w:val="74D81279"/>
    <w:rsid w:val="74D87D6A"/>
    <w:rsid w:val="74F31454"/>
    <w:rsid w:val="74F92C41"/>
    <w:rsid w:val="751B66A0"/>
    <w:rsid w:val="752859C1"/>
    <w:rsid w:val="7533161D"/>
    <w:rsid w:val="755749A8"/>
    <w:rsid w:val="75752D59"/>
    <w:rsid w:val="7579243F"/>
    <w:rsid w:val="7587293D"/>
    <w:rsid w:val="758C3DFB"/>
    <w:rsid w:val="75A17723"/>
    <w:rsid w:val="75A47883"/>
    <w:rsid w:val="75A94FB9"/>
    <w:rsid w:val="75B456A9"/>
    <w:rsid w:val="75BA77F7"/>
    <w:rsid w:val="75BC377B"/>
    <w:rsid w:val="75C50AA6"/>
    <w:rsid w:val="75CE3273"/>
    <w:rsid w:val="75D02F0B"/>
    <w:rsid w:val="75D94171"/>
    <w:rsid w:val="75E626A9"/>
    <w:rsid w:val="75EA51DF"/>
    <w:rsid w:val="75F93BCE"/>
    <w:rsid w:val="76273AA5"/>
    <w:rsid w:val="763F6BA9"/>
    <w:rsid w:val="76751F12"/>
    <w:rsid w:val="769D4442"/>
    <w:rsid w:val="76A558D1"/>
    <w:rsid w:val="76AF515A"/>
    <w:rsid w:val="76AF62E1"/>
    <w:rsid w:val="76B61F68"/>
    <w:rsid w:val="76B95599"/>
    <w:rsid w:val="76C57E80"/>
    <w:rsid w:val="76CC1292"/>
    <w:rsid w:val="77210231"/>
    <w:rsid w:val="773B637B"/>
    <w:rsid w:val="773D64AD"/>
    <w:rsid w:val="774560ED"/>
    <w:rsid w:val="774721F4"/>
    <w:rsid w:val="774F622A"/>
    <w:rsid w:val="7753271A"/>
    <w:rsid w:val="77533270"/>
    <w:rsid w:val="775C734A"/>
    <w:rsid w:val="775E1EE8"/>
    <w:rsid w:val="776F0744"/>
    <w:rsid w:val="777703EE"/>
    <w:rsid w:val="777F0ACA"/>
    <w:rsid w:val="779302B0"/>
    <w:rsid w:val="77953A0B"/>
    <w:rsid w:val="77A31E3D"/>
    <w:rsid w:val="77B82241"/>
    <w:rsid w:val="77BF7760"/>
    <w:rsid w:val="77D14534"/>
    <w:rsid w:val="77D416EF"/>
    <w:rsid w:val="77DB2827"/>
    <w:rsid w:val="77E2543A"/>
    <w:rsid w:val="77E67618"/>
    <w:rsid w:val="780059E8"/>
    <w:rsid w:val="780D7982"/>
    <w:rsid w:val="78203AD8"/>
    <w:rsid w:val="784B6720"/>
    <w:rsid w:val="78615D56"/>
    <w:rsid w:val="786404F8"/>
    <w:rsid w:val="78697706"/>
    <w:rsid w:val="78A15077"/>
    <w:rsid w:val="78C343BA"/>
    <w:rsid w:val="78C83AD2"/>
    <w:rsid w:val="78DD4E10"/>
    <w:rsid w:val="78E10CAC"/>
    <w:rsid w:val="78E50340"/>
    <w:rsid w:val="790C4639"/>
    <w:rsid w:val="79121892"/>
    <w:rsid w:val="791B11FD"/>
    <w:rsid w:val="7925799D"/>
    <w:rsid w:val="792E4DAF"/>
    <w:rsid w:val="79392B18"/>
    <w:rsid w:val="794F5012"/>
    <w:rsid w:val="79515893"/>
    <w:rsid w:val="79516F63"/>
    <w:rsid w:val="79565544"/>
    <w:rsid w:val="796E1666"/>
    <w:rsid w:val="797911D5"/>
    <w:rsid w:val="797A39C8"/>
    <w:rsid w:val="797E28A3"/>
    <w:rsid w:val="798A5C60"/>
    <w:rsid w:val="79A07515"/>
    <w:rsid w:val="79A3664E"/>
    <w:rsid w:val="79A9103A"/>
    <w:rsid w:val="79A9150E"/>
    <w:rsid w:val="79AB36F9"/>
    <w:rsid w:val="79B7737F"/>
    <w:rsid w:val="79C00A58"/>
    <w:rsid w:val="79D27333"/>
    <w:rsid w:val="79DD1D32"/>
    <w:rsid w:val="79EE044A"/>
    <w:rsid w:val="79EF06E6"/>
    <w:rsid w:val="79F54D12"/>
    <w:rsid w:val="7A00729F"/>
    <w:rsid w:val="7A2D68EF"/>
    <w:rsid w:val="7A302411"/>
    <w:rsid w:val="7A331745"/>
    <w:rsid w:val="7A3E4C96"/>
    <w:rsid w:val="7A402138"/>
    <w:rsid w:val="7A7C4F56"/>
    <w:rsid w:val="7A822FC1"/>
    <w:rsid w:val="7A864519"/>
    <w:rsid w:val="7A9102F8"/>
    <w:rsid w:val="7A937FB4"/>
    <w:rsid w:val="7A9F2462"/>
    <w:rsid w:val="7AC15EB2"/>
    <w:rsid w:val="7ACA4993"/>
    <w:rsid w:val="7ACA5466"/>
    <w:rsid w:val="7ACB7FEE"/>
    <w:rsid w:val="7AD45C10"/>
    <w:rsid w:val="7B0A6A9B"/>
    <w:rsid w:val="7B0D2818"/>
    <w:rsid w:val="7B123D44"/>
    <w:rsid w:val="7B381B1F"/>
    <w:rsid w:val="7B3B1D1C"/>
    <w:rsid w:val="7B444776"/>
    <w:rsid w:val="7B4D7F4F"/>
    <w:rsid w:val="7B531250"/>
    <w:rsid w:val="7B5F3C4D"/>
    <w:rsid w:val="7B670ADE"/>
    <w:rsid w:val="7B752E7A"/>
    <w:rsid w:val="7B947AED"/>
    <w:rsid w:val="7B994E29"/>
    <w:rsid w:val="7BA43E56"/>
    <w:rsid w:val="7BB96AF3"/>
    <w:rsid w:val="7BBF3362"/>
    <w:rsid w:val="7BC10FD1"/>
    <w:rsid w:val="7BD27848"/>
    <w:rsid w:val="7BDB468A"/>
    <w:rsid w:val="7C1654F0"/>
    <w:rsid w:val="7C3418A6"/>
    <w:rsid w:val="7C365871"/>
    <w:rsid w:val="7C451689"/>
    <w:rsid w:val="7C4955C2"/>
    <w:rsid w:val="7C4D1D81"/>
    <w:rsid w:val="7C552BD0"/>
    <w:rsid w:val="7C60651C"/>
    <w:rsid w:val="7C6336EB"/>
    <w:rsid w:val="7C68464B"/>
    <w:rsid w:val="7C6855B6"/>
    <w:rsid w:val="7C7B56C3"/>
    <w:rsid w:val="7C866DDF"/>
    <w:rsid w:val="7C8A57FB"/>
    <w:rsid w:val="7C9063E0"/>
    <w:rsid w:val="7CA33B0F"/>
    <w:rsid w:val="7CB82DCD"/>
    <w:rsid w:val="7CB90024"/>
    <w:rsid w:val="7CD12588"/>
    <w:rsid w:val="7CDD1E20"/>
    <w:rsid w:val="7CE57657"/>
    <w:rsid w:val="7CFF0770"/>
    <w:rsid w:val="7D3E0BCE"/>
    <w:rsid w:val="7D430709"/>
    <w:rsid w:val="7D4462A9"/>
    <w:rsid w:val="7D5770CD"/>
    <w:rsid w:val="7D807901"/>
    <w:rsid w:val="7D9A2209"/>
    <w:rsid w:val="7DA34382"/>
    <w:rsid w:val="7DA56900"/>
    <w:rsid w:val="7DA9460F"/>
    <w:rsid w:val="7DBD3851"/>
    <w:rsid w:val="7DC62908"/>
    <w:rsid w:val="7DC80B9A"/>
    <w:rsid w:val="7DE03DE0"/>
    <w:rsid w:val="7DE63DC0"/>
    <w:rsid w:val="7DE65FBE"/>
    <w:rsid w:val="7DE9040B"/>
    <w:rsid w:val="7DEC49D4"/>
    <w:rsid w:val="7DFF6F70"/>
    <w:rsid w:val="7E245068"/>
    <w:rsid w:val="7E2461C2"/>
    <w:rsid w:val="7E3B2283"/>
    <w:rsid w:val="7E480666"/>
    <w:rsid w:val="7E505E9E"/>
    <w:rsid w:val="7E69050F"/>
    <w:rsid w:val="7E7E3374"/>
    <w:rsid w:val="7E826950"/>
    <w:rsid w:val="7E904003"/>
    <w:rsid w:val="7E9064E4"/>
    <w:rsid w:val="7E926573"/>
    <w:rsid w:val="7EA71FE6"/>
    <w:rsid w:val="7EB76F44"/>
    <w:rsid w:val="7ECC0C66"/>
    <w:rsid w:val="7ED226F5"/>
    <w:rsid w:val="7ED4627F"/>
    <w:rsid w:val="7ED4747B"/>
    <w:rsid w:val="7EE4759A"/>
    <w:rsid w:val="7EF73EBA"/>
    <w:rsid w:val="7EFA4422"/>
    <w:rsid w:val="7EFF5CB3"/>
    <w:rsid w:val="7F1C60C1"/>
    <w:rsid w:val="7F2020EC"/>
    <w:rsid w:val="7F233968"/>
    <w:rsid w:val="7F354B4E"/>
    <w:rsid w:val="7F380338"/>
    <w:rsid w:val="7F3A7E3D"/>
    <w:rsid w:val="7F4543DB"/>
    <w:rsid w:val="7F564E49"/>
    <w:rsid w:val="7F57642A"/>
    <w:rsid w:val="7F6F1028"/>
    <w:rsid w:val="7F730597"/>
    <w:rsid w:val="7F7405C7"/>
    <w:rsid w:val="7F7F75D9"/>
    <w:rsid w:val="7F9212D9"/>
    <w:rsid w:val="7F9541FE"/>
    <w:rsid w:val="7F9B7217"/>
    <w:rsid w:val="7FA709E5"/>
    <w:rsid w:val="7FAF1288"/>
    <w:rsid w:val="7FDD28A7"/>
    <w:rsid w:val="7FFD7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iPriority="99" w:semiHidden="0"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42"/>
    <w:qFormat/>
    <w:uiPriority w:val="99"/>
    <w:pPr>
      <w:keepNext/>
      <w:keepLines/>
      <w:spacing w:line="576" w:lineRule="auto"/>
      <w:jc w:val="center"/>
      <w:outlineLvl w:val="0"/>
    </w:pPr>
    <w:rPr>
      <w:rFonts w:ascii="Times New Roman" w:hAnsi="Times New Roman"/>
      <w:b/>
      <w:kern w:val="44"/>
      <w:sz w:val="32"/>
      <w:szCs w:val="20"/>
    </w:rPr>
  </w:style>
  <w:style w:type="paragraph" w:styleId="4">
    <w:name w:val="heading 2"/>
    <w:basedOn w:val="1"/>
    <w:next w:val="1"/>
    <w:link w:val="43"/>
    <w:qFormat/>
    <w:uiPriority w:val="99"/>
    <w:pPr>
      <w:keepNext/>
      <w:keepLines/>
      <w:spacing w:line="413" w:lineRule="auto"/>
      <w:jc w:val="center"/>
      <w:outlineLvl w:val="1"/>
    </w:pPr>
    <w:rPr>
      <w:rFonts w:ascii="Cambria" w:hAnsi="Cambria"/>
      <w:b/>
      <w:bCs/>
      <w:kern w:val="0"/>
      <w:sz w:val="32"/>
      <w:szCs w:val="32"/>
    </w:rPr>
  </w:style>
  <w:style w:type="paragraph" w:styleId="5">
    <w:name w:val="heading 3"/>
    <w:basedOn w:val="1"/>
    <w:next w:val="1"/>
    <w:link w:val="44"/>
    <w:qFormat/>
    <w:uiPriority w:val="99"/>
    <w:pPr>
      <w:keepNext/>
      <w:keepLines/>
      <w:spacing w:line="413" w:lineRule="auto"/>
      <w:outlineLvl w:val="2"/>
    </w:pPr>
    <w:rPr>
      <w:b/>
      <w:bCs/>
      <w:kern w:val="0"/>
      <w:sz w:val="28"/>
      <w:szCs w:val="32"/>
    </w:rPr>
  </w:style>
  <w:style w:type="paragraph" w:styleId="6">
    <w:name w:val="heading 4"/>
    <w:basedOn w:val="1"/>
    <w:next w:val="1"/>
    <w:qFormat/>
    <w:uiPriority w:val="0"/>
    <w:pPr>
      <w:keepNext/>
      <w:keepLines/>
      <w:jc w:val="left"/>
      <w:outlineLvl w:val="3"/>
    </w:pPr>
    <w:rPr>
      <w:rFonts w:hint="eastAsia" w:ascii="Arial" w:hAnsi="Arial"/>
      <w:b/>
      <w:sz w:val="32"/>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cs="Arial"/>
      <w:sz w:val="24"/>
    </w:rPr>
  </w:style>
  <w:style w:type="paragraph" w:styleId="7">
    <w:name w:val="Normal Indent"/>
    <w:basedOn w:val="1"/>
    <w:qFormat/>
    <w:uiPriority w:val="99"/>
    <w:pPr>
      <w:ind w:firstLine="420"/>
    </w:pPr>
    <w:rPr>
      <w:szCs w:val="20"/>
    </w:rPr>
  </w:style>
  <w:style w:type="paragraph" w:styleId="8">
    <w:name w:val="annotation text"/>
    <w:basedOn w:val="1"/>
    <w:link w:val="45"/>
    <w:qFormat/>
    <w:uiPriority w:val="99"/>
    <w:pPr>
      <w:jc w:val="left"/>
    </w:pPr>
    <w:rPr>
      <w:rFonts w:ascii="宋体"/>
      <w:kern w:val="0"/>
      <w:sz w:val="22"/>
    </w:rPr>
  </w:style>
  <w:style w:type="paragraph" w:styleId="9">
    <w:name w:val="Body Text"/>
    <w:basedOn w:val="1"/>
    <w:next w:val="1"/>
    <w:link w:val="41"/>
    <w:qFormat/>
    <w:uiPriority w:val="99"/>
    <w:rPr>
      <w:kern w:val="0"/>
      <w:sz w:val="20"/>
      <w:szCs w:val="20"/>
    </w:rPr>
  </w:style>
  <w:style w:type="paragraph" w:styleId="10">
    <w:name w:val="Body Text Indent"/>
    <w:basedOn w:val="1"/>
    <w:next w:val="1"/>
    <w:unhideWhenUsed/>
    <w:qFormat/>
    <w:uiPriority w:val="99"/>
    <w:pPr>
      <w:ind w:left="420" w:leftChars="200"/>
    </w:pPr>
  </w:style>
  <w:style w:type="paragraph" w:styleId="11">
    <w:name w:val="List Bullet 2"/>
    <w:basedOn w:val="1"/>
    <w:unhideWhenUsed/>
    <w:qFormat/>
    <w:uiPriority w:val="99"/>
    <w:pPr>
      <w:numPr>
        <w:ilvl w:val="0"/>
        <w:numId w:val="1"/>
      </w:numPr>
    </w:pPr>
  </w:style>
  <w:style w:type="paragraph" w:styleId="12">
    <w:name w:val="toc 3"/>
    <w:basedOn w:val="1"/>
    <w:next w:val="1"/>
    <w:qFormat/>
    <w:uiPriority w:val="99"/>
    <w:pPr>
      <w:ind w:left="840" w:leftChars="400"/>
    </w:pPr>
  </w:style>
  <w:style w:type="paragraph" w:styleId="13">
    <w:name w:val="Plain Text"/>
    <w:basedOn w:val="1"/>
    <w:link w:val="46"/>
    <w:qFormat/>
    <w:uiPriority w:val="99"/>
    <w:pPr>
      <w:spacing w:line="324" w:lineRule="auto"/>
    </w:pPr>
    <w:rPr>
      <w:rFonts w:ascii="宋体" w:hAnsi="Courier New"/>
      <w:kern w:val="0"/>
      <w:szCs w:val="21"/>
    </w:rPr>
  </w:style>
  <w:style w:type="paragraph" w:styleId="14">
    <w:name w:val="Date"/>
    <w:basedOn w:val="1"/>
    <w:next w:val="1"/>
    <w:unhideWhenUsed/>
    <w:qFormat/>
    <w:uiPriority w:val="99"/>
    <w:rPr>
      <w:rFonts w:ascii="Copperplate Gothic Bold" w:hAnsi="Copperplate Gothic Bold"/>
      <w:sz w:val="32"/>
      <w:szCs w:val="20"/>
    </w:rPr>
  </w:style>
  <w:style w:type="paragraph" w:styleId="15">
    <w:name w:val="Body Text Indent 2"/>
    <w:basedOn w:val="1"/>
    <w:link w:val="47"/>
    <w:qFormat/>
    <w:uiPriority w:val="99"/>
    <w:pPr>
      <w:spacing w:after="120" w:line="480" w:lineRule="auto"/>
      <w:ind w:left="420" w:leftChars="200"/>
    </w:pPr>
    <w:rPr>
      <w:kern w:val="0"/>
      <w:sz w:val="20"/>
      <w:szCs w:val="20"/>
    </w:rPr>
  </w:style>
  <w:style w:type="paragraph" w:styleId="16">
    <w:name w:val="Balloon Text"/>
    <w:basedOn w:val="1"/>
    <w:link w:val="48"/>
    <w:qFormat/>
    <w:uiPriority w:val="99"/>
    <w:rPr>
      <w:sz w:val="18"/>
      <w:szCs w:val="18"/>
    </w:rPr>
  </w:style>
  <w:style w:type="paragraph" w:styleId="17">
    <w:name w:val="footer"/>
    <w:basedOn w:val="1"/>
    <w:link w:val="49"/>
    <w:qFormat/>
    <w:uiPriority w:val="99"/>
    <w:pPr>
      <w:tabs>
        <w:tab w:val="center" w:pos="4153"/>
        <w:tab w:val="right" w:pos="8306"/>
      </w:tabs>
      <w:snapToGrid w:val="0"/>
      <w:jc w:val="left"/>
    </w:pPr>
    <w:rPr>
      <w:kern w:val="0"/>
      <w:sz w:val="18"/>
      <w:szCs w:val="18"/>
    </w:rPr>
  </w:style>
  <w:style w:type="paragraph" w:styleId="18">
    <w:name w:val="header"/>
    <w:basedOn w:val="1"/>
    <w:link w:val="50"/>
    <w:qFormat/>
    <w:uiPriority w:val="99"/>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qFormat/>
    <w:uiPriority w:val="99"/>
  </w:style>
  <w:style w:type="paragraph" w:styleId="20">
    <w:name w:val="toc 2"/>
    <w:basedOn w:val="1"/>
    <w:next w:val="1"/>
    <w:qFormat/>
    <w:uiPriority w:val="99"/>
    <w:pPr>
      <w:ind w:left="420" w:leftChars="200"/>
    </w:pPr>
  </w:style>
  <w:style w:type="paragraph" w:styleId="21">
    <w:name w:val="Body Text 2"/>
    <w:basedOn w:val="1"/>
    <w:link w:val="51"/>
    <w:qFormat/>
    <w:uiPriority w:val="99"/>
    <w:pPr>
      <w:jc w:val="center"/>
    </w:pPr>
    <w:rPr>
      <w:kern w:val="0"/>
      <w:sz w:val="20"/>
      <w:szCs w:val="20"/>
    </w:rPr>
  </w:style>
  <w:style w:type="paragraph" w:styleId="22">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4">
    <w:name w:val="annotation subject"/>
    <w:basedOn w:val="8"/>
    <w:next w:val="8"/>
    <w:link w:val="52"/>
    <w:unhideWhenUsed/>
    <w:qFormat/>
    <w:uiPriority w:val="99"/>
    <w:rPr>
      <w:rFonts w:ascii="Calibri"/>
      <w:b/>
      <w:bCs/>
      <w:kern w:val="2"/>
      <w:sz w:val="21"/>
    </w:rPr>
  </w:style>
  <w:style w:type="paragraph" w:styleId="25">
    <w:name w:val="Body Text First Indent"/>
    <w:basedOn w:val="9"/>
    <w:unhideWhenUsed/>
    <w:qFormat/>
    <w:uiPriority w:val="99"/>
    <w:pPr>
      <w:ind w:firstLine="420" w:firstLineChars="100"/>
    </w:pPr>
    <w:rPr>
      <w:rFonts w:ascii="Times New Roman" w:hAnsi="Times New Roman"/>
      <w:sz w:val="18"/>
      <w:szCs w:val="18"/>
    </w:rPr>
  </w:style>
  <w:style w:type="paragraph" w:styleId="26">
    <w:name w:val="Body Text First Indent 2"/>
    <w:basedOn w:val="10"/>
    <w:next w:val="7"/>
    <w:qFormat/>
    <w:uiPriority w:val="0"/>
    <w:pPr>
      <w:ind w:firstLine="420"/>
    </w:p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99"/>
    <w:rPr>
      <w:rFonts w:cs="Times New Roman"/>
      <w:b/>
      <w:sz w:val="24"/>
      <w:szCs w:val="24"/>
    </w:rPr>
  </w:style>
  <w:style w:type="character" w:styleId="31">
    <w:name w:val="page number"/>
    <w:qFormat/>
    <w:uiPriority w:val="99"/>
    <w:rPr>
      <w:rFonts w:cs="Times New Roman"/>
    </w:rPr>
  </w:style>
  <w:style w:type="character" w:styleId="32">
    <w:name w:val="FollowedHyperlink"/>
    <w:unhideWhenUsed/>
    <w:qFormat/>
    <w:uiPriority w:val="99"/>
    <w:rPr>
      <w:rFonts w:hint="eastAsia" w:ascii="宋体" w:hAnsi="宋体" w:eastAsia="宋体" w:cs="宋体"/>
      <w:color w:val="000000"/>
      <w:sz w:val="18"/>
      <w:szCs w:val="18"/>
      <w:u w:val="none"/>
    </w:rPr>
  </w:style>
  <w:style w:type="character" w:styleId="33">
    <w:name w:val="Emphasis"/>
    <w:qFormat/>
    <w:uiPriority w:val="99"/>
    <w:rPr>
      <w:rFonts w:cs="Times New Roman"/>
      <w:i/>
      <w:iCs/>
    </w:rPr>
  </w:style>
  <w:style w:type="character" w:styleId="34">
    <w:name w:val="HTML Definition"/>
    <w:unhideWhenUsed/>
    <w:qFormat/>
    <w:uiPriority w:val="99"/>
    <w:rPr>
      <w:i/>
    </w:rPr>
  </w:style>
  <w:style w:type="character" w:styleId="35">
    <w:name w:val="Hyperlink"/>
    <w:qFormat/>
    <w:uiPriority w:val="99"/>
    <w:rPr>
      <w:rFonts w:cs="Times New Roman"/>
      <w:color w:val="0000FF"/>
      <w:u w:val="single"/>
    </w:rPr>
  </w:style>
  <w:style w:type="character" w:styleId="36">
    <w:name w:val="HTML Code"/>
    <w:unhideWhenUsed/>
    <w:qFormat/>
    <w:uiPriority w:val="99"/>
    <w:rPr>
      <w:rFonts w:hint="default" w:ascii="Consolas" w:hAnsi="Consolas" w:eastAsia="Consolas" w:cs="Consolas"/>
      <w:color w:val="C7254E"/>
      <w:sz w:val="21"/>
      <w:szCs w:val="21"/>
      <w:shd w:val="clear" w:color="auto" w:fill="F9F2F4"/>
    </w:rPr>
  </w:style>
  <w:style w:type="character" w:styleId="37">
    <w:name w:val="annotation reference"/>
    <w:qFormat/>
    <w:uiPriority w:val="99"/>
    <w:rPr>
      <w:rFonts w:cs="Times New Roman"/>
      <w:sz w:val="21"/>
    </w:rPr>
  </w:style>
  <w:style w:type="character" w:styleId="38">
    <w:name w:val="HTML Cite"/>
    <w:qFormat/>
    <w:uiPriority w:val="99"/>
    <w:rPr>
      <w:rFonts w:cs="Times New Roman"/>
      <w:sz w:val="24"/>
      <w:szCs w:val="24"/>
    </w:rPr>
  </w:style>
  <w:style w:type="character" w:styleId="39">
    <w:name w:val="HTML Keyboard"/>
    <w:unhideWhenUsed/>
    <w:qFormat/>
    <w:uiPriority w:val="99"/>
    <w:rPr>
      <w:rFonts w:ascii="Consolas" w:hAnsi="Consolas" w:eastAsia="Consolas" w:cs="Consolas"/>
      <w:color w:val="FFFFFF"/>
      <w:sz w:val="21"/>
      <w:szCs w:val="21"/>
      <w:shd w:val="clear" w:color="auto" w:fill="333333"/>
    </w:rPr>
  </w:style>
  <w:style w:type="character" w:styleId="40">
    <w:name w:val="HTML Sample"/>
    <w:unhideWhenUsed/>
    <w:qFormat/>
    <w:uiPriority w:val="99"/>
    <w:rPr>
      <w:rFonts w:hint="default" w:ascii="Consolas" w:hAnsi="Consolas" w:eastAsia="Consolas" w:cs="Consolas"/>
      <w:sz w:val="21"/>
      <w:szCs w:val="21"/>
    </w:rPr>
  </w:style>
  <w:style w:type="character" w:customStyle="1" w:styleId="41">
    <w:name w:val="正文文本 Char"/>
    <w:link w:val="9"/>
    <w:semiHidden/>
    <w:qFormat/>
    <w:uiPriority w:val="99"/>
    <w:rPr>
      <w:rFonts w:ascii="Calibri" w:hAnsi="Calibri" w:cs="Times New Roman"/>
    </w:rPr>
  </w:style>
  <w:style w:type="character" w:customStyle="1" w:styleId="42">
    <w:name w:val="标题 1 Char1"/>
    <w:link w:val="3"/>
    <w:qFormat/>
    <w:uiPriority w:val="99"/>
    <w:rPr>
      <w:rFonts w:ascii="Times New Roman" w:hAnsi="Times New Roman" w:eastAsia="宋体" w:cs="Times New Roman"/>
      <w:b/>
      <w:kern w:val="44"/>
      <w:sz w:val="32"/>
    </w:rPr>
  </w:style>
  <w:style w:type="character" w:customStyle="1" w:styleId="43">
    <w:name w:val="标题 2 Char"/>
    <w:link w:val="4"/>
    <w:semiHidden/>
    <w:qFormat/>
    <w:uiPriority w:val="99"/>
    <w:rPr>
      <w:rFonts w:ascii="Cambria" w:hAnsi="Cambria" w:eastAsia="宋体" w:cs="Times New Roman"/>
      <w:b/>
      <w:bCs/>
      <w:sz w:val="32"/>
      <w:szCs w:val="32"/>
    </w:rPr>
  </w:style>
  <w:style w:type="character" w:customStyle="1" w:styleId="44">
    <w:name w:val="标题 3 Char"/>
    <w:link w:val="5"/>
    <w:semiHidden/>
    <w:qFormat/>
    <w:uiPriority w:val="99"/>
    <w:rPr>
      <w:rFonts w:ascii="Calibri" w:hAnsi="Calibri" w:eastAsia="宋体" w:cs="Times New Roman"/>
      <w:b/>
      <w:bCs/>
      <w:sz w:val="28"/>
      <w:szCs w:val="32"/>
    </w:rPr>
  </w:style>
  <w:style w:type="character" w:customStyle="1" w:styleId="45">
    <w:name w:val="批注文字 Char"/>
    <w:link w:val="8"/>
    <w:qFormat/>
    <w:uiPriority w:val="99"/>
    <w:rPr>
      <w:rFonts w:ascii="宋体" w:hAnsi="Calibri" w:eastAsia="宋体" w:cs="Times New Roman"/>
      <w:sz w:val="22"/>
      <w:szCs w:val="22"/>
    </w:rPr>
  </w:style>
  <w:style w:type="character" w:customStyle="1" w:styleId="46">
    <w:name w:val="纯文本 Char"/>
    <w:link w:val="13"/>
    <w:semiHidden/>
    <w:qFormat/>
    <w:uiPriority w:val="99"/>
    <w:rPr>
      <w:rFonts w:ascii="宋体" w:hAnsi="Courier New" w:cs="Courier New"/>
      <w:sz w:val="21"/>
      <w:szCs w:val="21"/>
    </w:rPr>
  </w:style>
  <w:style w:type="character" w:customStyle="1" w:styleId="47">
    <w:name w:val="正文文本缩进 2 Char"/>
    <w:link w:val="15"/>
    <w:semiHidden/>
    <w:qFormat/>
    <w:uiPriority w:val="99"/>
    <w:rPr>
      <w:rFonts w:ascii="Calibri" w:hAnsi="Calibri" w:cs="Times New Roman"/>
    </w:rPr>
  </w:style>
  <w:style w:type="character" w:customStyle="1" w:styleId="48">
    <w:name w:val="批注框文本 Char"/>
    <w:link w:val="16"/>
    <w:qFormat/>
    <w:uiPriority w:val="99"/>
    <w:rPr>
      <w:rFonts w:ascii="Calibri" w:hAnsi="Calibri" w:eastAsia="宋体" w:cs="Times New Roman"/>
      <w:kern w:val="2"/>
      <w:sz w:val="18"/>
      <w:szCs w:val="18"/>
    </w:rPr>
  </w:style>
  <w:style w:type="character" w:customStyle="1" w:styleId="49">
    <w:name w:val="页脚 Char"/>
    <w:link w:val="17"/>
    <w:semiHidden/>
    <w:qFormat/>
    <w:uiPriority w:val="99"/>
    <w:rPr>
      <w:rFonts w:ascii="Calibri" w:hAnsi="Calibri" w:cs="Times New Roman"/>
      <w:sz w:val="18"/>
      <w:szCs w:val="18"/>
    </w:rPr>
  </w:style>
  <w:style w:type="character" w:customStyle="1" w:styleId="50">
    <w:name w:val="页眉 Char"/>
    <w:link w:val="18"/>
    <w:semiHidden/>
    <w:qFormat/>
    <w:uiPriority w:val="99"/>
    <w:rPr>
      <w:rFonts w:ascii="Calibri" w:hAnsi="Calibri" w:cs="Times New Roman"/>
      <w:sz w:val="18"/>
      <w:szCs w:val="18"/>
    </w:rPr>
  </w:style>
  <w:style w:type="character" w:customStyle="1" w:styleId="51">
    <w:name w:val="正文文本 2 Char"/>
    <w:link w:val="21"/>
    <w:semiHidden/>
    <w:qFormat/>
    <w:uiPriority w:val="99"/>
    <w:rPr>
      <w:rFonts w:ascii="Calibri" w:hAnsi="Calibri" w:cs="Times New Roman"/>
    </w:rPr>
  </w:style>
  <w:style w:type="character" w:customStyle="1" w:styleId="52">
    <w:name w:val="批注主题 Char"/>
    <w:link w:val="24"/>
    <w:semiHidden/>
    <w:qFormat/>
    <w:uiPriority w:val="99"/>
    <w:rPr>
      <w:rFonts w:ascii="Calibri" w:hAnsi="Calibri" w:eastAsia="宋体" w:cs="Times New Roman"/>
      <w:b/>
      <w:bCs/>
      <w:kern w:val="2"/>
      <w:sz w:val="21"/>
      <w:szCs w:val="22"/>
    </w:rPr>
  </w:style>
  <w:style w:type="character" w:customStyle="1" w:styleId="53">
    <w:name w:val="列出段落 Char"/>
    <w:link w:val="54"/>
    <w:qFormat/>
    <w:uiPriority w:val="34"/>
    <w:rPr>
      <w:rFonts w:ascii="Calibri" w:hAnsi="Calibri"/>
      <w:kern w:val="2"/>
      <w:sz w:val="21"/>
      <w:szCs w:val="22"/>
    </w:rPr>
  </w:style>
  <w:style w:type="paragraph" w:styleId="54">
    <w:name w:val="List Paragraph"/>
    <w:basedOn w:val="1"/>
    <w:link w:val="53"/>
    <w:qFormat/>
    <w:uiPriority w:val="34"/>
    <w:pPr>
      <w:ind w:firstLine="420" w:firstLineChars="200"/>
    </w:pPr>
  </w:style>
  <w:style w:type="character" w:customStyle="1" w:styleId="55">
    <w:name w:val="hour_pm"/>
    <w:qFormat/>
    <w:uiPriority w:val="0"/>
  </w:style>
  <w:style w:type="character" w:customStyle="1" w:styleId="56">
    <w:name w:val="font61"/>
    <w:qFormat/>
    <w:uiPriority w:val="0"/>
    <w:rPr>
      <w:rFonts w:hint="eastAsia" w:ascii="宋体" w:hAnsi="宋体" w:eastAsia="宋体" w:cs="宋体"/>
      <w:color w:val="000000"/>
      <w:sz w:val="22"/>
      <w:szCs w:val="22"/>
      <w:u w:val="none"/>
    </w:rPr>
  </w:style>
  <w:style w:type="character" w:customStyle="1" w:styleId="57">
    <w:name w:val="10"/>
    <w:qFormat/>
    <w:uiPriority w:val="99"/>
    <w:rPr>
      <w:rFonts w:ascii="Calibri" w:hAnsi="Calibri" w:cs="Times New Roman"/>
    </w:rPr>
  </w:style>
  <w:style w:type="character" w:customStyle="1" w:styleId="58">
    <w:name w:val="tmpztreemove_arrow"/>
    <w:qFormat/>
    <w:uiPriority w:val="0"/>
    <w:rPr>
      <w:shd w:val="clear" w:color="auto" w:fill="FFFFFF"/>
    </w:rPr>
  </w:style>
  <w:style w:type="character" w:customStyle="1" w:styleId="59">
    <w:name w:val="标题 1 Char"/>
    <w:qFormat/>
    <w:uiPriority w:val="99"/>
    <w:rPr>
      <w:rFonts w:ascii="Calibri" w:hAnsi="Calibri" w:cs="Times New Roman"/>
      <w:b/>
      <w:bCs/>
      <w:kern w:val="44"/>
      <w:sz w:val="44"/>
      <w:szCs w:val="44"/>
    </w:rPr>
  </w:style>
  <w:style w:type="character" w:customStyle="1" w:styleId="60">
    <w:name w:val="font11"/>
    <w:qFormat/>
    <w:uiPriority w:val="0"/>
    <w:rPr>
      <w:rFonts w:ascii="Arial" w:hAnsi="Arial" w:cs="Arial"/>
      <w:color w:val="000000"/>
      <w:sz w:val="22"/>
      <w:szCs w:val="22"/>
      <w:u w:val="none"/>
    </w:rPr>
  </w:style>
  <w:style w:type="character" w:customStyle="1" w:styleId="61">
    <w:name w:val="del2"/>
    <w:qFormat/>
    <w:uiPriority w:val="99"/>
    <w:rPr>
      <w:rFonts w:cs="Times New Roman"/>
      <w:vanish/>
    </w:rPr>
  </w:style>
  <w:style w:type="character" w:customStyle="1" w:styleId="62">
    <w:name w:val="font01"/>
    <w:qFormat/>
    <w:uiPriority w:val="0"/>
    <w:rPr>
      <w:rFonts w:hint="eastAsia" w:ascii="宋体" w:hAnsi="宋体" w:eastAsia="宋体" w:cs="宋体"/>
      <w:color w:val="000000"/>
      <w:sz w:val="22"/>
      <w:szCs w:val="22"/>
      <w:u w:val="none"/>
    </w:rPr>
  </w:style>
  <w:style w:type="character" w:customStyle="1" w:styleId="63">
    <w:name w:val="apple-style-span"/>
    <w:qFormat/>
    <w:uiPriority w:val="99"/>
  </w:style>
  <w:style w:type="character" w:customStyle="1" w:styleId="64">
    <w:name w:val="15"/>
    <w:qFormat/>
    <w:uiPriority w:val="99"/>
    <w:rPr>
      <w:rFonts w:ascii="Calibri" w:hAnsi="Calibri" w:cs="Times New Roman"/>
      <w:i/>
      <w:iCs/>
    </w:rPr>
  </w:style>
  <w:style w:type="character" w:customStyle="1" w:styleId="65">
    <w:name w:val="del"/>
    <w:qFormat/>
    <w:uiPriority w:val="99"/>
    <w:rPr>
      <w:rFonts w:cs="Times New Roman"/>
    </w:rPr>
  </w:style>
  <w:style w:type="character" w:customStyle="1" w:styleId="66">
    <w:name w:val="del1"/>
    <w:qFormat/>
    <w:uiPriority w:val="99"/>
    <w:rPr>
      <w:rFonts w:cs="Times New Roman"/>
      <w:vanish/>
      <w:color w:val="666666"/>
      <w:sz w:val="18"/>
      <w:szCs w:val="18"/>
      <w:u w:val="single"/>
    </w:rPr>
  </w:style>
  <w:style w:type="character" w:customStyle="1" w:styleId="67">
    <w:name w:val="del3"/>
    <w:qFormat/>
    <w:uiPriority w:val="99"/>
    <w:rPr>
      <w:rFonts w:cs="Times New Roman"/>
      <w:vanish/>
    </w:rPr>
  </w:style>
  <w:style w:type="character" w:customStyle="1" w:styleId="68">
    <w:name w:val="button"/>
    <w:qFormat/>
    <w:uiPriority w:val="0"/>
  </w:style>
  <w:style w:type="character" w:customStyle="1" w:styleId="69">
    <w:name w:val="old"/>
    <w:qFormat/>
    <w:uiPriority w:val="0"/>
    <w:rPr>
      <w:color w:val="999999"/>
    </w:rPr>
  </w:style>
  <w:style w:type="character" w:customStyle="1" w:styleId="70">
    <w:name w:val="hover3"/>
    <w:qFormat/>
    <w:uiPriority w:val="0"/>
    <w:rPr>
      <w:shd w:val="clear" w:color="auto" w:fill="EEEEEE"/>
    </w:rPr>
  </w:style>
  <w:style w:type="character" w:customStyle="1" w:styleId="71">
    <w:name w:val="hour_am"/>
    <w:qFormat/>
    <w:uiPriority w:val="0"/>
  </w:style>
  <w:style w:type="character" w:customStyle="1" w:styleId="72">
    <w:name w:val="glyphicon4"/>
    <w:qFormat/>
    <w:uiPriority w:val="0"/>
  </w:style>
  <w:style w:type="character" w:customStyle="1" w:styleId="73">
    <w:name w:val="indent"/>
    <w:qFormat/>
    <w:uiPriority w:val="0"/>
  </w:style>
  <w:style w:type="paragraph" w:customStyle="1" w:styleId="74">
    <w:name w:val="_正文段落"/>
    <w:basedOn w:val="1"/>
    <w:qFormat/>
    <w:uiPriority w:val="0"/>
    <w:pPr>
      <w:spacing w:beforeLines="15" w:afterLines="15"/>
      <w:ind w:firstLine="480" w:firstLineChars="200"/>
    </w:pPr>
  </w:style>
  <w:style w:type="paragraph" w:customStyle="1" w:styleId="75">
    <w:name w:val="pa-19"/>
    <w:basedOn w:val="1"/>
    <w:qFormat/>
    <w:uiPriority w:val="0"/>
    <w:pPr>
      <w:widowControl/>
      <w:spacing w:before="100" w:beforeAutospacing="1" w:after="100" w:afterAutospacing="1"/>
      <w:jc w:val="left"/>
    </w:pPr>
    <w:rPr>
      <w:rFonts w:ascii="宋体" w:hAnsi="宋体" w:cs="宋体"/>
      <w:kern w:val="0"/>
      <w:sz w:val="24"/>
    </w:rPr>
  </w:style>
  <w:style w:type="paragraph" w:customStyle="1" w:styleId="76">
    <w:name w:val="列表段落1"/>
    <w:basedOn w:val="1"/>
    <w:unhideWhenUsed/>
    <w:qFormat/>
    <w:uiPriority w:val="99"/>
    <w:pPr>
      <w:ind w:firstLine="420" w:firstLineChars="200"/>
    </w:pPr>
  </w:style>
  <w:style w:type="paragraph" w:customStyle="1" w:styleId="77">
    <w:name w:val="*正文"/>
    <w:basedOn w:val="1"/>
    <w:qFormat/>
    <w:uiPriority w:val="0"/>
    <w:pPr>
      <w:ind w:firstLine="200" w:firstLineChars="200"/>
      <w:jc w:val="left"/>
    </w:pPr>
    <w:rPr>
      <w:rFonts w:ascii="宋体" w:hAnsi="宋体"/>
      <w:kern w:val="0"/>
      <w:sz w:val="28"/>
      <w:szCs w:val="24"/>
    </w:rPr>
  </w:style>
  <w:style w:type="paragraph" w:customStyle="1" w:styleId="78">
    <w:name w:val="_Style 2"/>
    <w:basedOn w:val="1"/>
    <w:qFormat/>
    <w:uiPriority w:val="99"/>
    <w:pPr>
      <w:ind w:firstLine="420" w:firstLineChars="200"/>
    </w:pPr>
  </w:style>
  <w:style w:type="paragraph" w:customStyle="1" w:styleId="79">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样式6"/>
    <w:basedOn w:val="1"/>
    <w:qFormat/>
    <w:uiPriority w:val="99"/>
    <w:pPr>
      <w:topLinePunct/>
      <w:spacing w:before="160" w:after="60"/>
      <w:jc w:val="center"/>
    </w:pPr>
    <w:rPr>
      <w:rFonts w:ascii="Times New Roman" w:hAnsi="Times New Roman" w:eastAsia="黑体"/>
      <w:szCs w:val="21"/>
    </w:rPr>
  </w:style>
  <w:style w:type="paragraph" w:customStyle="1" w:styleId="81">
    <w:name w:val="正文缩进1"/>
    <w:basedOn w:val="1"/>
    <w:qFormat/>
    <w:uiPriority w:val="0"/>
    <w:pPr>
      <w:ind w:firstLine="420" w:firstLineChars="200"/>
    </w:pPr>
  </w:style>
  <w:style w:type="paragraph" w:customStyle="1" w:styleId="82">
    <w:name w:val="Default"/>
    <w:qFormat/>
    <w:uiPriority w:val="0"/>
    <w:pPr>
      <w:widowControl w:val="0"/>
      <w:autoSpaceDE w:val="0"/>
      <w:autoSpaceDN w:val="0"/>
      <w:adjustRightInd w:val="0"/>
    </w:pPr>
    <w:rPr>
      <w:rFonts w:ascii="Minion" w:hAnsi="Times New Roman" w:eastAsia="Minion" w:cs="Times New Roman"/>
      <w:color w:val="000000"/>
      <w:sz w:val="24"/>
      <w:lang w:val="en-US" w:eastAsia="zh-CN" w:bidi="ar-SA"/>
    </w:rPr>
  </w:style>
  <w:style w:type="paragraph" w:customStyle="1" w:styleId="83">
    <w:name w:val="列出段落2"/>
    <w:basedOn w:val="1"/>
    <w:qFormat/>
    <w:uiPriority w:val="99"/>
    <w:pPr>
      <w:ind w:firstLine="420" w:firstLineChars="200"/>
    </w:pPr>
  </w:style>
  <w:style w:type="paragraph" w:customStyle="1" w:styleId="84">
    <w:name w:val="Char2 Char Char Char"/>
    <w:basedOn w:val="1"/>
    <w:qFormat/>
    <w:uiPriority w:val="99"/>
    <w:rPr>
      <w:rFonts w:ascii="Tahoma" w:hAnsi="Tahoma"/>
      <w:sz w:val="24"/>
      <w:szCs w:val="20"/>
    </w:rPr>
  </w:style>
  <w:style w:type="paragraph" w:customStyle="1" w:styleId="85">
    <w:name w:val="_Style 4"/>
    <w:basedOn w:val="1"/>
    <w:qFormat/>
    <w:uiPriority w:val="99"/>
    <w:pPr>
      <w:ind w:firstLine="420" w:firstLineChars="200"/>
    </w:pPr>
  </w:style>
  <w:style w:type="paragraph" w:customStyle="1" w:styleId="86">
    <w:name w:val="Table Paragraph"/>
    <w:basedOn w:val="1"/>
    <w:qFormat/>
    <w:uiPriority w:val="1"/>
    <w:pPr>
      <w:autoSpaceDE w:val="0"/>
      <w:autoSpaceDN w:val="0"/>
      <w:adjustRightInd w:val="0"/>
      <w:jc w:val="left"/>
    </w:pPr>
    <w:rPr>
      <w:rFonts w:ascii="Times New Roman" w:hAnsi="Times New Roman"/>
      <w:kern w:val="0"/>
      <w:sz w:val="24"/>
      <w:szCs w:val="24"/>
    </w:rPr>
  </w:style>
  <w:style w:type="paragraph" w:customStyle="1" w:styleId="87">
    <w:name w:val="列出段落1"/>
    <w:basedOn w:val="1"/>
    <w:qFormat/>
    <w:uiPriority w:val="99"/>
    <w:pPr>
      <w:ind w:firstLine="420" w:firstLineChars="200"/>
    </w:pPr>
  </w:style>
  <w:style w:type="paragraph" w:customStyle="1" w:styleId="88">
    <w:name w:val="无间隔1"/>
    <w:qFormat/>
    <w:uiPriority w:val="1"/>
    <w:pPr>
      <w:widowControl w:val="0"/>
      <w:spacing w:line="300" w:lineRule="auto"/>
    </w:pPr>
    <w:rPr>
      <w:rFonts w:ascii="Times New Roman" w:hAnsi="Times New Roman" w:eastAsia="宋体" w:cs="黑体"/>
      <w:kern w:val="2"/>
      <w:sz w:val="21"/>
      <w:szCs w:val="22"/>
      <w:lang w:val="en-US" w:eastAsia="zh-CN" w:bidi="ar-SA"/>
    </w:rPr>
  </w:style>
  <w:style w:type="table" w:customStyle="1" w:styleId="89">
    <w:name w:val="网格型1"/>
    <w:basedOn w:val="2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0">
    <w:name w:val="文档表格标题行列型（绿盟科技）"/>
    <w:basedOn w:val="28"/>
    <w:qFormat/>
    <w:uiPriority w:val="0"/>
    <w:pPr>
      <w:widowControl w:val="0"/>
      <w:spacing w:line="300" w:lineRule="auto"/>
      <w:jc w:val="both"/>
    </w:pPr>
    <w:rPr>
      <w:rFonts w:ascii="Arial" w:hAnsi="Arial"/>
    </w:rPr>
    <w:tblP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
    <w:tblStylePr w:type="firstRow">
      <w:pPr>
        <w:jc w:val="center"/>
      </w:pPr>
      <w:rPr>
        <w:rFonts w:ascii="MS Mincho" w:hAnsi="MS Mincho" w:eastAsia="Arial"/>
        <w:b/>
        <w:i w:val="0"/>
      </w:rPr>
      <w:tcPr>
        <w:tcBorders>
          <w:top w:val="double" w:color="auto" w:sz="4" w:space="0"/>
          <w:left w:val="double" w:color="auto" w:sz="4" w:space="0"/>
          <w:bottom w:val="nil"/>
          <w:right w:val="double" w:color="auto" w:sz="4" w:space="0"/>
          <w:insideH w:val="nil"/>
          <w:insideV w:val="single" w:sz="6" w:space="0"/>
          <w:tl2br w:val="nil"/>
          <w:tr2bl w:val="nil"/>
        </w:tcBorders>
        <w:shd w:val="clear" w:color="auto" w:fill="D9D9D9"/>
        <w:vAlign w:val="center"/>
      </w:tcPr>
    </w:tblStylePr>
    <w:tblStylePr w:type="firstCol">
      <w:rPr>
        <w:b/>
      </w:rPr>
      <w:tcPr>
        <w:shd w:val="clear" w:color="auto" w:fill="E6E6E6"/>
      </w:tcPr>
    </w:tblStylePr>
  </w:style>
  <w:style w:type="paragraph" w:customStyle="1" w:styleId="91">
    <w:name w:val="列出段落11"/>
    <w:basedOn w:val="1"/>
    <w:qFormat/>
    <w:uiPriority w:val="0"/>
    <w:pPr>
      <w:ind w:firstLine="420" w:firstLineChars="200"/>
    </w:pPr>
    <w:rPr>
      <w:rFonts w:ascii="等线" w:hAnsi="等线" w:eastAsia="等线"/>
    </w:rPr>
  </w:style>
  <w:style w:type="paragraph" w:customStyle="1" w:styleId="92">
    <w:name w:val="表格"/>
    <w:basedOn w:val="1"/>
    <w:qFormat/>
    <w:uiPriority w:val="0"/>
    <w:pPr>
      <w:adjustRightInd w:val="0"/>
      <w:snapToGrid w:val="0"/>
      <w:spacing w:line="360" w:lineRule="auto"/>
      <w:jc w:val="center"/>
    </w:pPr>
    <w:rPr>
      <w:rFonts w:ascii="宋体" w:hAnsi="宋体" w:cs="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http://www.windows89.com</Company>
  <Pages>59</Pages>
  <Words>22842</Words>
  <Characters>24037</Characters>
  <Lines>202</Lines>
  <Paragraphs>57</Paragraphs>
  <TotalTime>0</TotalTime>
  <ScaleCrop>false</ScaleCrop>
  <LinksUpToDate>false</LinksUpToDate>
  <CharactersWithSpaces>25676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2021-05-27T01:29:00Z</dcterms:created>
  <dc:creator>Administrator</dc:creator>
  <cp:lastModifiedBy>鱼鱼鱼</cp:lastModifiedBy>
  <cp:lastPrinted>2022-03-11T06:13:00Z</cp:lastPrinted>
  <dcterms:modified xsi:type="dcterms:W3CDTF">2022-04-29T05:54:03Z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DB9BA482E0974289B12AB5391177E0EE</vt:lpwstr>
  </property>
  <property fmtid="{D5CDD505-2E9C-101B-9397-08002B2CF9AE}" pid="4" name="commondata">
    <vt:lpwstr>eyJoZGlkIjoiYjQ0NThjOWQ1YTdlYmRiZjExMTEwY2Q3YTRkNmI4YjIifQ==</vt:lpwstr>
  </property>
</Properties>
</file>