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30"/>
        </w:rPr>
      </w:pPr>
      <w:bookmarkStart w:id="0" w:name="OLE_LINK9"/>
      <w:r>
        <w:rPr>
          <w:rFonts w:hint="eastAsia" w:ascii="宋体" w:hAnsi="宋体" w:cs="宋体"/>
          <w:b/>
          <w:sz w:val="30"/>
        </w:rPr>
        <w:t>政府采购项目</w:t>
      </w:r>
    </w:p>
    <w:p>
      <w:pPr>
        <w:adjustRightInd w:val="0"/>
        <w:snapToGrid w:val="0"/>
        <w:spacing w:line="360" w:lineRule="auto"/>
        <w:jc w:val="left"/>
        <w:rPr>
          <w:rFonts w:hint="eastAsia" w:ascii="宋体" w:hAnsi="宋体" w:eastAsia="宋体" w:cs="宋体"/>
          <w:b/>
          <w:bCs/>
          <w:sz w:val="30"/>
          <w:lang w:eastAsia="zh-CN"/>
        </w:rPr>
      </w:pPr>
      <w:r>
        <w:rPr>
          <w:rFonts w:hint="eastAsia" w:ascii="宋体" w:hAnsi="宋体" w:cs="宋体"/>
          <w:b/>
          <w:sz w:val="30"/>
        </w:rPr>
        <w:t>项目编号：</w:t>
      </w:r>
      <w:r>
        <w:rPr>
          <w:rFonts w:hint="eastAsia" w:ascii="宋体" w:hAnsi="宋体" w:cs="宋体"/>
          <w:b/>
          <w:bCs/>
          <w:kern w:val="0"/>
          <w:sz w:val="24"/>
          <w:szCs w:val="24"/>
          <w:lang w:eastAsia="zh-CN"/>
        </w:rPr>
        <w:t>SXWZ2022ZB-SSJJ-046</w:t>
      </w:r>
    </w:p>
    <w:p>
      <w:pPr>
        <w:adjustRightInd w:val="0"/>
        <w:snapToGrid w:val="0"/>
        <w:spacing w:line="360" w:lineRule="auto"/>
        <w:rPr>
          <w:rFonts w:ascii="宋体" w:hAnsi="宋体" w:cs="宋体"/>
          <w:b/>
          <w:sz w:val="44"/>
          <w:szCs w:val="44"/>
        </w:rPr>
      </w:pPr>
    </w:p>
    <w:p>
      <w:pPr>
        <w:pStyle w:val="6"/>
        <w:jc w:val="center"/>
        <w:rPr>
          <w:rFonts w:hint="eastAsia" w:eastAsia="宋体"/>
          <w:lang w:eastAsia="zh-CN"/>
        </w:rPr>
      </w:pPr>
      <w:r>
        <w:rPr>
          <w:rFonts w:hint="eastAsia" w:ascii="宋体" w:hAnsi="宋体" w:cs="宋体"/>
          <w:b/>
          <w:sz w:val="44"/>
          <w:szCs w:val="44"/>
          <w:lang w:eastAsia="zh-CN"/>
        </w:rPr>
        <w:t xml:space="preserve">西安市审计局2022年上半年购买服务人员采购项目      </w:t>
      </w:r>
    </w:p>
    <w:p>
      <w:pPr>
        <w:pStyle w:val="6"/>
      </w:pPr>
    </w:p>
    <w:p>
      <w:pPr>
        <w:tabs>
          <w:tab w:val="left" w:pos="7161"/>
        </w:tabs>
        <w:adjustRightInd w:val="0"/>
        <w:snapToGrid w:val="0"/>
        <w:spacing w:line="360" w:lineRule="auto"/>
        <w:jc w:val="left"/>
        <w:rPr>
          <w:rFonts w:ascii="宋体" w:hAnsi="宋体" w:cs="宋体"/>
          <w:b/>
          <w:sz w:val="52"/>
          <w:szCs w:val="52"/>
        </w:rPr>
      </w:pPr>
      <w:r>
        <w:rPr>
          <w:rFonts w:hint="eastAsia" w:ascii="宋体" w:hAnsi="宋体" w:cs="宋体"/>
        </w:rPr>
        <w:drawing>
          <wp:anchor distT="0" distB="0" distL="114300" distR="114300" simplePos="0" relativeHeight="251659264" behindDoc="1" locked="0" layoutInCell="1" allowOverlap="1">
            <wp:simplePos x="0" y="0"/>
            <wp:positionH relativeFrom="column">
              <wp:posOffset>1568450</wp:posOffset>
            </wp:positionH>
            <wp:positionV relativeFrom="paragraph">
              <wp:posOffset>305435</wp:posOffset>
            </wp:positionV>
            <wp:extent cx="2312670" cy="1447800"/>
            <wp:effectExtent l="19050" t="0" r="0" b="0"/>
            <wp:wrapTight wrapText="bothSides">
              <wp:wrapPolygon>
                <wp:start x="-178" y="0"/>
                <wp:lineTo x="-178" y="21316"/>
                <wp:lineTo x="21529" y="21316"/>
                <wp:lineTo x="21529" y="0"/>
                <wp:lineTo x="-178" y="0"/>
              </wp:wrapPolygon>
            </wp:wrapTight>
            <wp:docPr id="6"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图标"/>
                    <pic:cNvPicPr>
                      <a:picLocks noChangeAspect="1" noChangeArrowheads="1"/>
                    </pic:cNvPicPr>
                  </pic:nvPicPr>
                  <pic:blipFill>
                    <a:blip r:embed="rId19" cstate="print"/>
                    <a:srcRect/>
                    <a:stretch>
                      <a:fillRect/>
                    </a:stretch>
                  </pic:blipFill>
                  <pic:spPr>
                    <a:xfrm>
                      <a:off x="0" y="0"/>
                      <a:ext cx="2312670" cy="1447800"/>
                    </a:xfrm>
                    <a:prstGeom prst="rect">
                      <a:avLst/>
                    </a:prstGeom>
                    <a:noFill/>
                    <a:ln w="9525" cmpd="sng">
                      <a:noFill/>
                      <a:miter lim="800000"/>
                      <a:headEnd/>
                      <a:tailEnd/>
                    </a:ln>
                  </pic:spPr>
                </pic:pic>
              </a:graphicData>
            </a:graphic>
          </wp:anchor>
        </w:drawing>
      </w:r>
      <w:r>
        <w:rPr>
          <w:rFonts w:hint="eastAsia" w:ascii="宋体" w:hAnsi="宋体" w:cs="宋体"/>
          <w:b/>
          <w:sz w:val="52"/>
          <w:szCs w:val="52"/>
          <w:lang w:eastAsia="zh-CN"/>
        </w:rPr>
        <w:tab/>
      </w:r>
    </w:p>
    <w:p>
      <w:pPr>
        <w:adjustRightInd w:val="0"/>
        <w:snapToGrid w:val="0"/>
        <w:spacing w:line="360" w:lineRule="auto"/>
        <w:jc w:val="left"/>
        <w:rPr>
          <w:rFonts w:ascii="宋体" w:hAnsi="宋体" w:cs="宋体"/>
          <w:b/>
          <w:sz w:val="52"/>
          <w:szCs w:val="52"/>
        </w:rPr>
      </w:pPr>
    </w:p>
    <w:p>
      <w:pPr>
        <w:adjustRightInd w:val="0"/>
        <w:snapToGrid w:val="0"/>
        <w:spacing w:line="360" w:lineRule="auto"/>
        <w:jc w:val="left"/>
        <w:rPr>
          <w:rFonts w:ascii="宋体" w:hAnsi="宋体" w:cs="宋体"/>
          <w:b/>
          <w:sz w:val="52"/>
          <w:szCs w:val="52"/>
        </w:rPr>
      </w:pPr>
    </w:p>
    <w:p>
      <w:pPr>
        <w:tabs>
          <w:tab w:val="left" w:pos="0"/>
        </w:tabs>
        <w:adjustRightInd w:val="0"/>
        <w:snapToGrid w:val="0"/>
        <w:spacing w:line="360" w:lineRule="auto"/>
        <w:jc w:val="center"/>
        <w:rPr>
          <w:rFonts w:ascii="宋体" w:hAnsi="宋体" w:cs="宋体"/>
          <w:b/>
          <w:szCs w:val="21"/>
        </w:rPr>
      </w:pPr>
    </w:p>
    <w:p>
      <w:pPr>
        <w:tabs>
          <w:tab w:val="left" w:pos="0"/>
        </w:tabs>
        <w:adjustRightInd w:val="0"/>
        <w:snapToGrid w:val="0"/>
        <w:spacing w:line="360" w:lineRule="auto"/>
        <w:jc w:val="center"/>
        <w:rPr>
          <w:rFonts w:ascii="宋体" w:hAnsi="宋体" w:cs="宋体"/>
          <w:b/>
          <w:szCs w:val="21"/>
        </w:rPr>
      </w:pPr>
    </w:p>
    <w:p>
      <w:pPr>
        <w:tabs>
          <w:tab w:val="left" w:pos="0"/>
        </w:tabs>
        <w:adjustRightInd w:val="0"/>
        <w:snapToGrid w:val="0"/>
        <w:spacing w:line="360" w:lineRule="auto"/>
        <w:jc w:val="center"/>
        <w:rPr>
          <w:rFonts w:ascii="宋体" w:hAnsi="宋体" w:cs="宋体"/>
          <w:b/>
          <w:sz w:val="30"/>
        </w:rPr>
      </w:pPr>
      <w:r>
        <w:rPr>
          <w:rFonts w:hint="eastAsia" w:ascii="宋体" w:hAnsi="宋体" w:cs="宋体"/>
          <w:b/>
          <w:sz w:val="72"/>
          <w:szCs w:val="72"/>
        </w:rPr>
        <w:t>竞争性磋商文件</w:t>
      </w:r>
    </w:p>
    <w:p>
      <w:pPr>
        <w:adjustRightInd w:val="0"/>
        <w:snapToGrid w:val="0"/>
        <w:spacing w:line="360" w:lineRule="auto"/>
        <w:jc w:val="left"/>
        <w:rPr>
          <w:rFonts w:ascii="宋体" w:hAnsi="宋体" w:cs="宋体"/>
          <w:b/>
          <w:sz w:val="30"/>
        </w:rPr>
      </w:pPr>
    </w:p>
    <w:p>
      <w:pPr>
        <w:adjustRightInd w:val="0"/>
        <w:snapToGrid w:val="0"/>
        <w:spacing w:line="360" w:lineRule="auto"/>
        <w:rPr>
          <w:rFonts w:ascii="宋体" w:hAnsi="宋体" w:cs="宋体"/>
          <w:b/>
          <w:sz w:val="30"/>
        </w:rPr>
      </w:pPr>
    </w:p>
    <w:p>
      <w:pPr>
        <w:adjustRightInd w:val="0"/>
        <w:snapToGrid w:val="0"/>
        <w:spacing w:line="360" w:lineRule="auto"/>
        <w:rPr>
          <w:rFonts w:ascii="宋体" w:hAnsi="宋体" w:cs="宋体"/>
          <w:b/>
          <w:sz w:val="30"/>
        </w:rPr>
      </w:pPr>
    </w:p>
    <w:p>
      <w:pPr>
        <w:adjustRightInd w:val="0"/>
        <w:snapToGrid w:val="0"/>
        <w:spacing w:line="360" w:lineRule="auto"/>
        <w:ind w:firstLine="1606" w:firstLineChars="500"/>
        <w:rPr>
          <w:rFonts w:hint="eastAsia" w:ascii="宋体" w:hAnsi="宋体" w:eastAsia="宋体" w:cs="宋体"/>
          <w:b/>
          <w:sz w:val="32"/>
          <w:szCs w:val="32"/>
          <w:lang w:eastAsia="zh-CN"/>
        </w:rPr>
      </w:pPr>
      <w:r>
        <w:rPr>
          <w:rFonts w:hint="eastAsia" w:ascii="宋体" w:hAnsi="宋体" w:cs="宋体"/>
          <w:b/>
          <w:sz w:val="32"/>
          <w:szCs w:val="32"/>
        </w:rPr>
        <w:t xml:space="preserve">采 </w:t>
      </w:r>
      <w:r>
        <w:rPr>
          <w:rFonts w:hint="eastAsia" w:ascii="宋体" w:hAnsi="宋体" w:cs="宋体"/>
          <w:b/>
          <w:sz w:val="32"/>
          <w:szCs w:val="32"/>
          <w:lang w:val="en-US" w:eastAsia="zh-CN"/>
        </w:rPr>
        <w:t xml:space="preserve"> </w:t>
      </w:r>
      <w:r>
        <w:rPr>
          <w:rFonts w:hint="eastAsia" w:ascii="宋体" w:hAnsi="宋体" w:cs="宋体"/>
          <w:b/>
          <w:sz w:val="32"/>
          <w:szCs w:val="32"/>
        </w:rPr>
        <w:t xml:space="preserve"> 购  </w:t>
      </w:r>
      <w:r>
        <w:rPr>
          <w:rFonts w:hint="eastAsia" w:ascii="宋体" w:hAnsi="宋体" w:cs="宋体"/>
          <w:b/>
          <w:sz w:val="32"/>
          <w:szCs w:val="32"/>
          <w:lang w:val="en-US" w:eastAsia="zh-CN"/>
        </w:rPr>
        <w:t xml:space="preserve"> </w:t>
      </w:r>
      <w:r>
        <w:rPr>
          <w:rFonts w:hint="eastAsia" w:ascii="宋体" w:hAnsi="宋体" w:cs="宋体"/>
          <w:b/>
          <w:sz w:val="32"/>
          <w:szCs w:val="32"/>
        </w:rPr>
        <w:t>人：</w:t>
      </w:r>
      <w:r>
        <w:rPr>
          <w:rFonts w:hint="eastAsia" w:ascii="宋体" w:hAnsi="宋体" w:cs="宋体"/>
          <w:b/>
          <w:sz w:val="32"/>
          <w:szCs w:val="32"/>
          <w:lang w:eastAsia="zh-CN"/>
        </w:rPr>
        <w:t>西安市审计局</w:t>
      </w:r>
    </w:p>
    <w:p>
      <w:pPr>
        <w:adjustRightInd w:val="0"/>
        <w:snapToGrid w:val="0"/>
        <w:spacing w:line="360" w:lineRule="auto"/>
        <w:jc w:val="center"/>
        <w:rPr>
          <w:rFonts w:ascii="宋体" w:hAnsi="宋体" w:cs="宋体"/>
          <w:b/>
          <w:sz w:val="32"/>
          <w:szCs w:val="32"/>
        </w:rPr>
      </w:pPr>
      <w:r>
        <w:rPr>
          <w:rFonts w:hint="eastAsia" w:ascii="宋体" w:hAnsi="宋体" w:cs="宋体"/>
          <w:b/>
          <w:sz w:val="32"/>
          <w:szCs w:val="32"/>
        </w:rPr>
        <w:t>采购代理机构：陕西万泽招标有限公司</w:t>
      </w:r>
    </w:p>
    <w:p>
      <w:pPr>
        <w:adjustRightInd w:val="0"/>
        <w:snapToGrid w:val="0"/>
        <w:spacing w:line="360" w:lineRule="auto"/>
        <w:jc w:val="center"/>
        <w:rPr>
          <w:rFonts w:ascii="宋体" w:hAnsi="宋体" w:cs="宋体"/>
          <w:b/>
          <w:color w:val="FF0000"/>
          <w:sz w:val="32"/>
          <w:szCs w:val="32"/>
        </w:rPr>
      </w:pPr>
      <w:r>
        <w:rPr>
          <w:rFonts w:hint="eastAsia" w:ascii="宋体" w:hAnsi="宋体" w:cs="宋体"/>
          <w:b/>
          <w:sz w:val="32"/>
          <w:szCs w:val="32"/>
        </w:rPr>
        <w:t>二〇二</w:t>
      </w:r>
      <w:r>
        <w:rPr>
          <w:rFonts w:hint="eastAsia" w:ascii="宋体" w:hAnsi="宋体" w:cs="宋体"/>
          <w:b/>
          <w:sz w:val="32"/>
          <w:szCs w:val="32"/>
          <w:lang w:eastAsia="zh-CN"/>
        </w:rPr>
        <w:t>二</w:t>
      </w:r>
      <w:r>
        <w:rPr>
          <w:rFonts w:hint="eastAsia" w:ascii="宋体" w:hAnsi="宋体" w:cs="宋体"/>
          <w:b/>
          <w:sz w:val="32"/>
          <w:szCs w:val="32"/>
        </w:rPr>
        <w:t>年</w:t>
      </w:r>
      <w:r>
        <w:rPr>
          <w:rFonts w:hint="eastAsia" w:ascii="宋体" w:hAnsi="宋体" w:cs="宋体"/>
          <w:b/>
          <w:sz w:val="32"/>
          <w:szCs w:val="32"/>
          <w:lang w:val="en-US" w:eastAsia="zh-CN"/>
        </w:rPr>
        <w:t>五</w:t>
      </w:r>
      <w:r>
        <w:rPr>
          <w:rFonts w:hint="eastAsia" w:ascii="宋体" w:hAnsi="宋体" w:cs="宋体"/>
          <w:b/>
          <w:sz w:val="32"/>
          <w:szCs w:val="32"/>
        </w:rPr>
        <w:t>月</w:t>
      </w:r>
    </w:p>
    <w:p>
      <w:pPr>
        <w:adjustRightInd w:val="0"/>
        <w:snapToGrid w:val="0"/>
        <w:spacing w:line="600" w:lineRule="auto"/>
        <w:rPr>
          <w:rFonts w:ascii="宋体" w:hAnsi="宋体" w:cs="宋体"/>
          <w:b/>
          <w:sz w:val="36"/>
          <w:szCs w:val="36"/>
        </w:rPr>
        <w:sectPr>
          <w:headerReference r:id="rId4" w:type="first"/>
          <w:footerReference r:id="rId6" w:type="first"/>
          <w:headerReference r:id="rId3" w:type="default"/>
          <w:footerReference r:id="rId5" w:type="default"/>
          <w:pgSz w:w="11906" w:h="16838"/>
          <w:pgMar w:top="1440" w:right="1486" w:bottom="1440" w:left="1800" w:header="851" w:footer="992" w:gutter="0"/>
          <w:pgNumType w:fmt="decimal" w:start="1"/>
          <w:cols w:space="720" w:num="1"/>
          <w:docGrid w:type="lines" w:linePitch="312" w:charSpace="0"/>
        </w:sectPr>
      </w:pPr>
    </w:p>
    <w:p>
      <w:pPr>
        <w:pStyle w:val="17"/>
        <w:tabs>
          <w:tab w:val="right" w:leader="dot" w:pos="8306"/>
        </w:tabs>
        <w:spacing w:line="360" w:lineRule="auto"/>
        <w:jc w:val="center"/>
        <w:rPr>
          <w:rFonts w:ascii="宋体" w:hAnsi="宋体" w:cs="宋体"/>
          <w:b/>
          <w:bCs/>
          <w:sz w:val="40"/>
          <w:szCs w:val="40"/>
        </w:rPr>
      </w:pPr>
      <w:r>
        <w:rPr>
          <w:rFonts w:hint="eastAsia" w:ascii="宋体" w:hAnsi="宋体" w:cs="宋体"/>
          <w:b/>
          <w:bCs/>
          <w:sz w:val="40"/>
          <w:szCs w:val="40"/>
        </w:rPr>
        <w:t>目  录</w:t>
      </w:r>
    </w:p>
    <w:p>
      <w:pPr>
        <w:pStyle w:val="17"/>
        <w:tabs>
          <w:tab w:val="right" w:leader="dot" w:pos="8306"/>
        </w:tabs>
      </w:pPr>
      <w:r>
        <w:rPr>
          <w:sz w:val="24"/>
          <w:szCs w:val="24"/>
        </w:rPr>
        <w:fldChar w:fldCharType="begin"/>
      </w:r>
      <w:r>
        <w:rPr>
          <w:sz w:val="24"/>
          <w:szCs w:val="24"/>
        </w:rPr>
        <w:instrText xml:space="preserve">TOC \o "1-2" \h \u </w:instrText>
      </w:r>
      <w:r>
        <w:rPr>
          <w:sz w:val="24"/>
          <w:szCs w:val="24"/>
        </w:rPr>
        <w:fldChar w:fldCharType="separate"/>
      </w:r>
      <w:r>
        <w:rPr>
          <w:szCs w:val="24"/>
        </w:rPr>
        <w:fldChar w:fldCharType="begin"/>
      </w:r>
      <w:r>
        <w:rPr>
          <w:szCs w:val="24"/>
        </w:rPr>
        <w:instrText xml:space="preserve"> HYPERLINK \l _Toc21085 </w:instrText>
      </w:r>
      <w:r>
        <w:rPr>
          <w:szCs w:val="24"/>
        </w:rPr>
        <w:fldChar w:fldCharType="separate"/>
      </w:r>
      <w:r>
        <w:rPr>
          <w:rFonts w:hint="eastAsia" w:ascii="宋体" w:hAnsi="宋体" w:cs="宋体"/>
        </w:rPr>
        <w:t>第一部分 竞争性磋商公告</w:t>
      </w:r>
      <w:r>
        <w:tab/>
      </w:r>
      <w:r>
        <w:fldChar w:fldCharType="begin"/>
      </w:r>
      <w:r>
        <w:instrText xml:space="preserve"> PAGEREF _Toc21085 </w:instrText>
      </w:r>
      <w:r>
        <w:fldChar w:fldCharType="separate"/>
      </w:r>
      <w:r>
        <w:t>3</w:t>
      </w:r>
      <w:r>
        <w:fldChar w:fldCharType="end"/>
      </w:r>
      <w:r>
        <w:rPr>
          <w:szCs w:val="24"/>
        </w:rPr>
        <w:fldChar w:fldCharType="end"/>
      </w:r>
    </w:p>
    <w:p>
      <w:pPr>
        <w:pStyle w:val="17"/>
        <w:tabs>
          <w:tab w:val="right" w:leader="dot" w:pos="8306"/>
        </w:tabs>
      </w:pPr>
      <w:r>
        <w:rPr>
          <w:szCs w:val="24"/>
        </w:rPr>
        <w:fldChar w:fldCharType="begin"/>
      </w:r>
      <w:r>
        <w:rPr>
          <w:szCs w:val="24"/>
        </w:rPr>
        <w:instrText xml:space="preserve"> HYPERLINK \l _Toc23346 </w:instrText>
      </w:r>
      <w:r>
        <w:rPr>
          <w:szCs w:val="24"/>
        </w:rPr>
        <w:fldChar w:fldCharType="separate"/>
      </w:r>
      <w:r>
        <w:rPr>
          <w:rFonts w:hint="eastAsia" w:ascii="宋体" w:hAnsi="宋体" w:cs="宋体"/>
        </w:rPr>
        <w:t>第二部分 供应商须知前附表</w:t>
      </w:r>
      <w:r>
        <w:tab/>
      </w:r>
      <w:r>
        <w:fldChar w:fldCharType="begin"/>
      </w:r>
      <w:r>
        <w:instrText xml:space="preserve"> PAGEREF _Toc23346 </w:instrText>
      </w:r>
      <w:r>
        <w:fldChar w:fldCharType="separate"/>
      </w:r>
      <w:r>
        <w:t>6</w:t>
      </w:r>
      <w:r>
        <w:fldChar w:fldCharType="end"/>
      </w:r>
      <w:r>
        <w:rPr>
          <w:szCs w:val="24"/>
        </w:rPr>
        <w:fldChar w:fldCharType="end"/>
      </w:r>
    </w:p>
    <w:p>
      <w:pPr>
        <w:pStyle w:val="17"/>
        <w:tabs>
          <w:tab w:val="right" w:leader="dot" w:pos="8306"/>
        </w:tabs>
      </w:pPr>
      <w:r>
        <w:rPr>
          <w:szCs w:val="24"/>
        </w:rPr>
        <w:fldChar w:fldCharType="begin"/>
      </w:r>
      <w:r>
        <w:rPr>
          <w:szCs w:val="24"/>
        </w:rPr>
        <w:instrText xml:space="preserve"> HYPERLINK \l _Toc7892 </w:instrText>
      </w:r>
      <w:r>
        <w:rPr>
          <w:szCs w:val="24"/>
        </w:rPr>
        <w:fldChar w:fldCharType="separate"/>
      </w:r>
      <w:r>
        <w:rPr>
          <w:rFonts w:hint="eastAsia" w:ascii="宋体" w:hAnsi="宋体" w:cs="宋体"/>
        </w:rPr>
        <w:t>第三部分 供应商须知</w:t>
      </w:r>
      <w:r>
        <w:tab/>
      </w:r>
      <w:r>
        <w:fldChar w:fldCharType="begin"/>
      </w:r>
      <w:r>
        <w:instrText xml:space="preserve"> PAGEREF _Toc7892 </w:instrText>
      </w:r>
      <w:r>
        <w:fldChar w:fldCharType="separate"/>
      </w:r>
      <w:r>
        <w:t>9</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_Toc702 </w:instrText>
      </w:r>
      <w:r>
        <w:rPr>
          <w:szCs w:val="24"/>
        </w:rPr>
        <w:fldChar w:fldCharType="separate"/>
      </w:r>
      <w:r>
        <w:rPr>
          <w:rFonts w:hint="eastAsia" w:ascii="宋体" w:hAnsi="宋体" w:cs="Times New Roman"/>
          <w:bCs/>
          <w:kern w:val="0"/>
          <w:szCs w:val="28"/>
        </w:rPr>
        <w:t xml:space="preserve">一、 </w:t>
      </w:r>
      <w:r>
        <w:rPr>
          <w:rFonts w:hint="eastAsia" w:ascii="宋体" w:hAnsi="宋体" w:cs="宋体"/>
          <w:bCs/>
          <w:kern w:val="0"/>
          <w:szCs w:val="28"/>
        </w:rPr>
        <w:t>总则</w:t>
      </w:r>
      <w:r>
        <w:tab/>
      </w:r>
      <w:r>
        <w:fldChar w:fldCharType="begin"/>
      </w:r>
      <w:r>
        <w:instrText xml:space="preserve"> PAGEREF _Toc702 </w:instrText>
      </w:r>
      <w:r>
        <w:fldChar w:fldCharType="separate"/>
      </w:r>
      <w:r>
        <w:t>9</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_Toc12035 </w:instrText>
      </w:r>
      <w:r>
        <w:rPr>
          <w:szCs w:val="24"/>
        </w:rPr>
        <w:fldChar w:fldCharType="separate"/>
      </w:r>
      <w:r>
        <w:rPr>
          <w:rFonts w:hint="eastAsia" w:ascii="宋体" w:hAnsi="宋体" w:cs="Times New Roman"/>
          <w:bCs/>
          <w:kern w:val="0"/>
          <w:szCs w:val="28"/>
        </w:rPr>
        <w:t xml:space="preserve">二、 </w:t>
      </w:r>
      <w:r>
        <w:rPr>
          <w:rFonts w:hint="eastAsia" w:ascii="宋体" w:hAnsi="宋体" w:cs="宋体"/>
          <w:bCs/>
          <w:kern w:val="0"/>
          <w:szCs w:val="28"/>
        </w:rPr>
        <w:t>竞争性磋商文件</w:t>
      </w:r>
      <w:r>
        <w:tab/>
      </w:r>
      <w:r>
        <w:fldChar w:fldCharType="begin"/>
      </w:r>
      <w:r>
        <w:instrText xml:space="preserve"> PAGEREF _Toc12035 </w:instrText>
      </w:r>
      <w:r>
        <w:fldChar w:fldCharType="separate"/>
      </w:r>
      <w:r>
        <w:t>12</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_Toc2925 </w:instrText>
      </w:r>
      <w:r>
        <w:rPr>
          <w:szCs w:val="24"/>
        </w:rPr>
        <w:fldChar w:fldCharType="separate"/>
      </w:r>
      <w:r>
        <w:rPr>
          <w:rFonts w:hint="eastAsia" w:ascii="宋体" w:hAnsi="宋体" w:cs="Times New Roman"/>
          <w:bCs/>
          <w:kern w:val="0"/>
          <w:szCs w:val="28"/>
        </w:rPr>
        <w:t xml:space="preserve">三、 </w:t>
      </w:r>
      <w:r>
        <w:rPr>
          <w:rFonts w:hint="eastAsia" w:ascii="宋体" w:hAnsi="宋体" w:cs="宋体"/>
          <w:bCs/>
          <w:kern w:val="0"/>
          <w:szCs w:val="28"/>
        </w:rPr>
        <w:t>磋商响应文件</w:t>
      </w:r>
      <w:r>
        <w:tab/>
      </w:r>
      <w:r>
        <w:fldChar w:fldCharType="begin"/>
      </w:r>
      <w:r>
        <w:instrText xml:space="preserve"> PAGEREF _Toc2925 </w:instrText>
      </w:r>
      <w:r>
        <w:fldChar w:fldCharType="separate"/>
      </w:r>
      <w:r>
        <w:t>14</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_Toc10812 </w:instrText>
      </w:r>
      <w:r>
        <w:rPr>
          <w:szCs w:val="24"/>
        </w:rPr>
        <w:fldChar w:fldCharType="separate"/>
      </w:r>
      <w:r>
        <w:rPr>
          <w:rFonts w:hint="eastAsia" w:ascii="宋体" w:hAnsi="宋体" w:cs="Times New Roman"/>
          <w:bCs/>
          <w:kern w:val="0"/>
          <w:szCs w:val="28"/>
        </w:rPr>
        <w:t xml:space="preserve">四、 </w:t>
      </w:r>
      <w:r>
        <w:rPr>
          <w:rFonts w:hint="eastAsia" w:ascii="宋体" w:hAnsi="宋体" w:cs="宋体"/>
          <w:bCs/>
          <w:kern w:val="0"/>
          <w:szCs w:val="28"/>
        </w:rPr>
        <w:t>磋商响应文件的递交</w:t>
      </w:r>
      <w:r>
        <w:tab/>
      </w:r>
      <w:r>
        <w:fldChar w:fldCharType="begin"/>
      </w:r>
      <w:r>
        <w:instrText xml:space="preserve"> PAGEREF _Toc10812 </w:instrText>
      </w:r>
      <w:r>
        <w:fldChar w:fldCharType="separate"/>
      </w:r>
      <w:r>
        <w:t>17</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_Toc5718 </w:instrText>
      </w:r>
      <w:r>
        <w:rPr>
          <w:szCs w:val="24"/>
        </w:rPr>
        <w:fldChar w:fldCharType="separate"/>
      </w:r>
      <w:r>
        <w:rPr>
          <w:rFonts w:hint="eastAsia" w:ascii="宋体" w:hAnsi="宋体" w:cs="Times New Roman"/>
          <w:bCs/>
          <w:kern w:val="0"/>
          <w:szCs w:val="28"/>
        </w:rPr>
        <w:t xml:space="preserve">五、 </w:t>
      </w:r>
      <w:r>
        <w:rPr>
          <w:rFonts w:hint="eastAsia" w:ascii="宋体" w:hAnsi="宋体" w:cs="宋体"/>
          <w:bCs/>
          <w:kern w:val="0"/>
          <w:szCs w:val="28"/>
        </w:rPr>
        <w:t>磋商、评审、定标</w:t>
      </w:r>
      <w:r>
        <w:tab/>
      </w:r>
      <w:r>
        <w:fldChar w:fldCharType="begin"/>
      </w:r>
      <w:r>
        <w:instrText xml:space="preserve"> PAGEREF _Toc5718 </w:instrText>
      </w:r>
      <w:r>
        <w:fldChar w:fldCharType="separate"/>
      </w:r>
      <w:r>
        <w:t>17</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_Toc18858 </w:instrText>
      </w:r>
      <w:r>
        <w:rPr>
          <w:szCs w:val="24"/>
        </w:rPr>
        <w:fldChar w:fldCharType="separate"/>
      </w:r>
      <w:r>
        <w:rPr>
          <w:rFonts w:hint="eastAsia" w:ascii="宋体" w:hAnsi="宋体" w:cs="Times New Roman"/>
          <w:bCs/>
          <w:kern w:val="0"/>
          <w:szCs w:val="28"/>
        </w:rPr>
        <w:t xml:space="preserve">六、 </w:t>
      </w:r>
      <w:r>
        <w:rPr>
          <w:rFonts w:hint="eastAsia" w:ascii="宋体" w:hAnsi="宋体" w:cs="宋体"/>
          <w:bCs/>
          <w:kern w:val="0"/>
          <w:szCs w:val="28"/>
        </w:rPr>
        <w:t>签订合同</w:t>
      </w:r>
      <w:r>
        <w:tab/>
      </w:r>
      <w:r>
        <w:fldChar w:fldCharType="begin"/>
      </w:r>
      <w:r>
        <w:instrText xml:space="preserve"> PAGEREF _Toc18858 </w:instrText>
      </w:r>
      <w:r>
        <w:fldChar w:fldCharType="separate"/>
      </w:r>
      <w:r>
        <w:t>21</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_Toc32754 </w:instrText>
      </w:r>
      <w:r>
        <w:rPr>
          <w:szCs w:val="24"/>
        </w:rPr>
        <w:fldChar w:fldCharType="separate"/>
      </w:r>
      <w:r>
        <w:rPr>
          <w:rFonts w:hint="eastAsia" w:ascii="宋体" w:hAnsi="宋体" w:cs="Times New Roman"/>
          <w:bCs/>
          <w:kern w:val="0"/>
          <w:szCs w:val="28"/>
        </w:rPr>
        <w:t xml:space="preserve">七、 </w:t>
      </w:r>
      <w:r>
        <w:rPr>
          <w:rFonts w:hint="eastAsia" w:ascii="宋体" w:hAnsi="宋体" w:cs="宋体"/>
          <w:bCs/>
          <w:kern w:val="0"/>
          <w:szCs w:val="28"/>
        </w:rPr>
        <w:t>代理服务费</w:t>
      </w:r>
      <w:r>
        <w:tab/>
      </w:r>
      <w:r>
        <w:fldChar w:fldCharType="begin"/>
      </w:r>
      <w:r>
        <w:instrText xml:space="preserve"> PAGEREF _Toc32754 </w:instrText>
      </w:r>
      <w:r>
        <w:fldChar w:fldCharType="separate"/>
      </w:r>
      <w:r>
        <w:t>21</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_Toc1728 </w:instrText>
      </w:r>
      <w:r>
        <w:rPr>
          <w:szCs w:val="24"/>
        </w:rPr>
        <w:fldChar w:fldCharType="separate"/>
      </w:r>
      <w:r>
        <w:rPr>
          <w:rFonts w:hint="eastAsia" w:ascii="宋体" w:hAnsi="宋体" w:cs="Times New Roman"/>
          <w:bCs/>
          <w:kern w:val="0"/>
          <w:szCs w:val="28"/>
        </w:rPr>
        <w:t xml:space="preserve">八、 </w:t>
      </w:r>
      <w:r>
        <w:rPr>
          <w:rFonts w:hint="eastAsia" w:ascii="宋体" w:hAnsi="宋体" w:cs="宋体"/>
          <w:bCs/>
          <w:kern w:val="0"/>
          <w:szCs w:val="28"/>
        </w:rPr>
        <w:t>质疑和投诉</w:t>
      </w:r>
      <w:r>
        <w:tab/>
      </w:r>
      <w:r>
        <w:fldChar w:fldCharType="begin"/>
      </w:r>
      <w:r>
        <w:instrText xml:space="preserve"> PAGEREF _Toc1728 </w:instrText>
      </w:r>
      <w:r>
        <w:fldChar w:fldCharType="separate"/>
      </w:r>
      <w:r>
        <w:t>21</w:t>
      </w:r>
      <w:r>
        <w:fldChar w:fldCharType="end"/>
      </w:r>
      <w:r>
        <w:rPr>
          <w:szCs w:val="24"/>
        </w:rPr>
        <w:fldChar w:fldCharType="end"/>
      </w:r>
    </w:p>
    <w:p>
      <w:pPr>
        <w:pStyle w:val="17"/>
        <w:tabs>
          <w:tab w:val="right" w:leader="dot" w:pos="8306"/>
        </w:tabs>
      </w:pPr>
      <w:r>
        <w:rPr>
          <w:szCs w:val="24"/>
        </w:rPr>
        <w:fldChar w:fldCharType="begin"/>
      </w:r>
      <w:r>
        <w:rPr>
          <w:szCs w:val="24"/>
        </w:rPr>
        <w:instrText xml:space="preserve"> HYPERLINK \l _Toc26136 </w:instrText>
      </w:r>
      <w:r>
        <w:rPr>
          <w:szCs w:val="24"/>
        </w:rPr>
        <w:fldChar w:fldCharType="separate"/>
      </w:r>
      <w:r>
        <w:rPr>
          <w:rFonts w:hint="eastAsia"/>
        </w:rPr>
        <w:t>第四部分 评审标准</w:t>
      </w:r>
      <w:r>
        <w:tab/>
      </w:r>
      <w:r>
        <w:fldChar w:fldCharType="begin"/>
      </w:r>
      <w:r>
        <w:instrText xml:space="preserve"> PAGEREF _Toc26136 </w:instrText>
      </w:r>
      <w:r>
        <w:fldChar w:fldCharType="separate"/>
      </w:r>
      <w:r>
        <w:t>23</w:t>
      </w:r>
      <w:r>
        <w:fldChar w:fldCharType="end"/>
      </w:r>
      <w:r>
        <w:rPr>
          <w:szCs w:val="24"/>
        </w:rPr>
        <w:fldChar w:fldCharType="end"/>
      </w:r>
    </w:p>
    <w:p>
      <w:pPr>
        <w:pStyle w:val="17"/>
        <w:tabs>
          <w:tab w:val="right" w:leader="dot" w:pos="8306"/>
        </w:tabs>
      </w:pPr>
      <w:r>
        <w:rPr>
          <w:szCs w:val="24"/>
        </w:rPr>
        <w:fldChar w:fldCharType="begin"/>
      </w:r>
      <w:r>
        <w:rPr>
          <w:szCs w:val="24"/>
        </w:rPr>
        <w:instrText xml:space="preserve"> HYPERLINK \l _Toc23224 </w:instrText>
      </w:r>
      <w:r>
        <w:rPr>
          <w:szCs w:val="24"/>
        </w:rPr>
        <w:fldChar w:fldCharType="separate"/>
      </w:r>
      <w:r>
        <w:rPr>
          <w:rFonts w:ascii="宋体" w:hAnsi="宋体" w:cs="宋体"/>
        </w:rPr>
        <w:t>第五部</w:t>
      </w:r>
      <w:r>
        <w:rPr>
          <w:rFonts w:hint="eastAsia" w:ascii="宋体" w:hAnsi="宋体" w:cs="宋体"/>
        </w:rPr>
        <w:t>分 采购要求</w:t>
      </w:r>
      <w:r>
        <w:tab/>
      </w:r>
      <w:r>
        <w:fldChar w:fldCharType="begin"/>
      </w:r>
      <w:r>
        <w:instrText xml:space="preserve"> PAGEREF _Toc23224 </w:instrText>
      </w:r>
      <w:r>
        <w:fldChar w:fldCharType="separate"/>
      </w:r>
      <w:r>
        <w:t>26</w:t>
      </w:r>
      <w:r>
        <w:fldChar w:fldCharType="end"/>
      </w:r>
      <w:r>
        <w:rPr>
          <w:szCs w:val="24"/>
        </w:rPr>
        <w:fldChar w:fldCharType="end"/>
      </w:r>
    </w:p>
    <w:p>
      <w:pPr>
        <w:pStyle w:val="17"/>
        <w:tabs>
          <w:tab w:val="right" w:leader="dot" w:pos="8306"/>
        </w:tabs>
      </w:pPr>
      <w:r>
        <w:rPr>
          <w:szCs w:val="24"/>
        </w:rPr>
        <w:fldChar w:fldCharType="begin"/>
      </w:r>
      <w:r>
        <w:rPr>
          <w:szCs w:val="24"/>
        </w:rPr>
        <w:instrText xml:space="preserve"> HYPERLINK \l _Toc15121 </w:instrText>
      </w:r>
      <w:r>
        <w:rPr>
          <w:szCs w:val="24"/>
        </w:rPr>
        <w:fldChar w:fldCharType="separate"/>
      </w:r>
      <w:r>
        <w:rPr>
          <w:rFonts w:hint="eastAsia"/>
        </w:rPr>
        <w:t xml:space="preserve">第六部分 </w:t>
      </w:r>
      <w:r>
        <w:t>合同</w:t>
      </w:r>
      <w:r>
        <w:rPr>
          <w:rFonts w:hint="eastAsia"/>
          <w:lang w:eastAsia="zh-CN"/>
        </w:rPr>
        <w:t>草案</w:t>
      </w:r>
      <w:r>
        <w:t>条款</w:t>
      </w:r>
      <w:r>
        <w:tab/>
      </w:r>
      <w:r>
        <w:fldChar w:fldCharType="begin"/>
      </w:r>
      <w:r>
        <w:instrText xml:space="preserve"> PAGEREF _Toc15121 </w:instrText>
      </w:r>
      <w:r>
        <w:fldChar w:fldCharType="separate"/>
      </w:r>
      <w:r>
        <w:t>27</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_Toc15562 </w:instrText>
      </w:r>
      <w:r>
        <w:rPr>
          <w:szCs w:val="24"/>
        </w:rPr>
        <w:fldChar w:fldCharType="separate"/>
      </w:r>
      <w:r>
        <w:rPr>
          <w:rFonts w:hint="eastAsia" w:ascii="宋体" w:hAnsi="宋体" w:eastAsia="宋体" w:cs="宋体"/>
          <w:szCs w:val="24"/>
        </w:rPr>
        <w:t>合同条款</w:t>
      </w:r>
      <w:r>
        <w:tab/>
      </w:r>
      <w:r>
        <w:fldChar w:fldCharType="begin"/>
      </w:r>
      <w:r>
        <w:instrText xml:space="preserve"> PAGEREF _Toc15562 </w:instrText>
      </w:r>
      <w:r>
        <w:fldChar w:fldCharType="separate"/>
      </w:r>
      <w:r>
        <w:t>27</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_Toc30461 </w:instrText>
      </w:r>
      <w:r>
        <w:rPr>
          <w:szCs w:val="24"/>
        </w:rPr>
        <w:fldChar w:fldCharType="separate"/>
      </w:r>
      <w:r>
        <w:rPr>
          <w:rFonts w:hint="eastAsia" w:ascii="宋体" w:hAnsi="宋体" w:eastAsia="宋体" w:cs="宋体"/>
          <w:szCs w:val="24"/>
        </w:rPr>
        <w:t>合同格式</w:t>
      </w:r>
      <w:r>
        <w:tab/>
      </w:r>
      <w:r>
        <w:fldChar w:fldCharType="begin"/>
      </w:r>
      <w:r>
        <w:instrText xml:space="preserve"> PAGEREF _Toc30461 </w:instrText>
      </w:r>
      <w:r>
        <w:fldChar w:fldCharType="separate"/>
      </w:r>
      <w:r>
        <w:t>33</w:t>
      </w:r>
      <w:r>
        <w:fldChar w:fldCharType="end"/>
      </w:r>
      <w:r>
        <w:rPr>
          <w:szCs w:val="24"/>
        </w:rPr>
        <w:fldChar w:fldCharType="end"/>
      </w:r>
    </w:p>
    <w:p>
      <w:pPr>
        <w:pStyle w:val="17"/>
        <w:tabs>
          <w:tab w:val="right" w:leader="dot" w:pos="8306"/>
        </w:tabs>
      </w:pPr>
      <w:r>
        <w:rPr>
          <w:szCs w:val="24"/>
        </w:rPr>
        <w:fldChar w:fldCharType="begin"/>
      </w:r>
      <w:r>
        <w:rPr>
          <w:szCs w:val="24"/>
        </w:rPr>
        <w:instrText xml:space="preserve"> HYPERLINK \l _Toc21308 </w:instrText>
      </w:r>
      <w:r>
        <w:rPr>
          <w:szCs w:val="24"/>
        </w:rPr>
        <w:fldChar w:fldCharType="separate"/>
      </w:r>
      <w:r>
        <w:rPr>
          <w:rFonts w:hint="eastAsia" w:ascii="宋体" w:hAnsi="宋体" w:cs="宋体"/>
        </w:rPr>
        <w:t>第七部分 磋商响应文件格式</w:t>
      </w:r>
      <w:r>
        <w:tab/>
      </w:r>
      <w:r>
        <w:fldChar w:fldCharType="begin"/>
      </w:r>
      <w:r>
        <w:instrText xml:space="preserve"> PAGEREF _Toc21308 </w:instrText>
      </w:r>
      <w:r>
        <w:fldChar w:fldCharType="separate"/>
      </w:r>
      <w:r>
        <w:t>35</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_Toc808 </w:instrText>
      </w:r>
      <w:r>
        <w:rPr>
          <w:szCs w:val="24"/>
        </w:rPr>
        <w:fldChar w:fldCharType="separate"/>
      </w:r>
      <w:r>
        <w:rPr>
          <w:rFonts w:hint="eastAsia"/>
        </w:rPr>
        <w:t>第一章  响应函</w:t>
      </w:r>
      <w:r>
        <w:tab/>
      </w:r>
      <w:r>
        <w:fldChar w:fldCharType="begin"/>
      </w:r>
      <w:r>
        <w:instrText xml:space="preserve"> PAGEREF _Toc808 </w:instrText>
      </w:r>
      <w:r>
        <w:fldChar w:fldCharType="separate"/>
      </w:r>
      <w:r>
        <w:t>37</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_Toc13783 </w:instrText>
      </w:r>
      <w:r>
        <w:rPr>
          <w:szCs w:val="24"/>
        </w:rPr>
        <w:fldChar w:fldCharType="separate"/>
      </w:r>
      <w:r>
        <w:rPr>
          <w:rFonts w:hint="eastAsia" w:ascii="宋体" w:hAnsi="宋体" w:cs="宋体"/>
        </w:rPr>
        <w:t>第二</w:t>
      </w:r>
      <w:r>
        <w:rPr>
          <w:rFonts w:hint="eastAsia"/>
        </w:rPr>
        <w:t xml:space="preserve">章  </w:t>
      </w:r>
      <w:r>
        <w:rPr>
          <w:rFonts w:hint="eastAsia" w:ascii="宋体" w:hAnsi="宋体" w:cs="宋体"/>
        </w:rPr>
        <w:t>磋商一览表</w:t>
      </w:r>
      <w:r>
        <w:tab/>
      </w:r>
      <w:r>
        <w:fldChar w:fldCharType="begin"/>
      </w:r>
      <w:r>
        <w:instrText xml:space="preserve"> PAGEREF _Toc13783 </w:instrText>
      </w:r>
      <w:r>
        <w:fldChar w:fldCharType="separate"/>
      </w:r>
      <w:r>
        <w:t>38</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_Toc25887 </w:instrText>
      </w:r>
      <w:r>
        <w:rPr>
          <w:szCs w:val="24"/>
        </w:rPr>
        <w:fldChar w:fldCharType="separate"/>
      </w:r>
      <w:r>
        <w:rPr>
          <w:rFonts w:hint="eastAsia" w:hAnsi="宋体" w:cs="宋体"/>
        </w:rPr>
        <w:t>第三章</w:t>
      </w:r>
      <w:r>
        <w:rPr>
          <w:rFonts w:hint="eastAsia"/>
        </w:rPr>
        <w:t xml:space="preserve">  </w:t>
      </w:r>
      <w:r>
        <w:rPr>
          <w:rFonts w:hint="eastAsia"/>
          <w:szCs w:val="36"/>
        </w:rPr>
        <w:t>分项报价表</w:t>
      </w:r>
      <w:r>
        <w:tab/>
      </w:r>
      <w:r>
        <w:fldChar w:fldCharType="begin"/>
      </w:r>
      <w:r>
        <w:instrText xml:space="preserve"> PAGEREF _Toc25887 </w:instrText>
      </w:r>
      <w:r>
        <w:fldChar w:fldCharType="separate"/>
      </w:r>
      <w:r>
        <w:t>39</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_Toc5436 </w:instrText>
      </w:r>
      <w:r>
        <w:rPr>
          <w:szCs w:val="24"/>
        </w:rPr>
        <w:fldChar w:fldCharType="separate"/>
      </w:r>
      <w:r>
        <w:rPr>
          <w:rFonts w:hint="eastAsia"/>
        </w:rPr>
        <w:t>第四章  供应商资质证明资料</w:t>
      </w:r>
      <w:r>
        <w:tab/>
      </w:r>
      <w:r>
        <w:fldChar w:fldCharType="begin"/>
      </w:r>
      <w:r>
        <w:instrText xml:space="preserve"> PAGEREF _Toc5436 </w:instrText>
      </w:r>
      <w:r>
        <w:fldChar w:fldCharType="separate"/>
      </w:r>
      <w:r>
        <w:t>40</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_Toc20283 </w:instrText>
      </w:r>
      <w:r>
        <w:rPr>
          <w:szCs w:val="24"/>
        </w:rPr>
        <w:fldChar w:fldCharType="separate"/>
      </w:r>
      <w:r>
        <w:rPr>
          <w:rFonts w:hint="eastAsia"/>
        </w:rPr>
        <w:t>第五章  商务和技术响应偏离表</w:t>
      </w:r>
      <w:r>
        <w:tab/>
      </w:r>
      <w:r>
        <w:fldChar w:fldCharType="begin"/>
      </w:r>
      <w:r>
        <w:instrText xml:space="preserve"> PAGEREF _Toc20283 </w:instrText>
      </w:r>
      <w:r>
        <w:fldChar w:fldCharType="separate"/>
      </w:r>
      <w:r>
        <w:t>47</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_Toc30123 </w:instrText>
      </w:r>
      <w:r>
        <w:rPr>
          <w:szCs w:val="24"/>
        </w:rPr>
        <w:fldChar w:fldCharType="separate"/>
      </w:r>
      <w:r>
        <w:rPr>
          <w:rFonts w:hint="eastAsia" w:ascii="宋体" w:hAnsi="宋体" w:cs="宋体"/>
          <w:szCs w:val="36"/>
        </w:rPr>
        <w:t>第六章  技术支持资料</w:t>
      </w:r>
      <w:r>
        <w:tab/>
      </w:r>
      <w:r>
        <w:fldChar w:fldCharType="begin"/>
      </w:r>
      <w:r>
        <w:instrText xml:space="preserve"> PAGEREF _Toc30123 </w:instrText>
      </w:r>
      <w:r>
        <w:fldChar w:fldCharType="separate"/>
      </w:r>
      <w:r>
        <w:t>49</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_Toc10945 </w:instrText>
      </w:r>
      <w:r>
        <w:rPr>
          <w:szCs w:val="24"/>
        </w:rPr>
        <w:fldChar w:fldCharType="separate"/>
      </w:r>
      <w:r>
        <w:rPr>
          <w:rFonts w:hint="eastAsia"/>
        </w:rPr>
        <w:t>第七章  供应商业绩一览表</w:t>
      </w:r>
      <w:r>
        <w:tab/>
      </w:r>
      <w:r>
        <w:fldChar w:fldCharType="begin"/>
      </w:r>
      <w:r>
        <w:instrText xml:space="preserve"> PAGEREF _Toc10945 </w:instrText>
      </w:r>
      <w:r>
        <w:fldChar w:fldCharType="separate"/>
      </w:r>
      <w:r>
        <w:t>50</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_Toc24892 </w:instrText>
      </w:r>
      <w:r>
        <w:rPr>
          <w:szCs w:val="24"/>
        </w:rPr>
        <w:fldChar w:fldCharType="separate"/>
      </w:r>
      <w:r>
        <w:rPr>
          <w:rFonts w:hint="eastAsia"/>
        </w:rPr>
        <w:t>第八章  供应商认为有必要说明的其他问题</w:t>
      </w:r>
      <w:r>
        <w:tab/>
      </w:r>
      <w:r>
        <w:fldChar w:fldCharType="begin"/>
      </w:r>
      <w:r>
        <w:instrText xml:space="preserve"> PAGEREF _Toc24892 </w:instrText>
      </w:r>
      <w:r>
        <w:fldChar w:fldCharType="separate"/>
      </w:r>
      <w:r>
        <w:t>51</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_Toc4041 </w:instrText>
      </w:r>
      <w:r>
        <w:rPr>
          <w:szCs w:val="24"/>
        </w:rPr>
        <w:fldChar w:fldCharType="separate"/>
      </w:r>
      <w:r>
        <w:rPr>
          <w:rFonts w:hint="eastAsia" w:ascii="宋体" w:hAnsi="宋体" w:cs="宋体"/>
        </w:rPr>
        <w:t xml:space="preserve">第九章  </w:t>
      </w:r>
      <w:r>
        <w:rPr>
          <w:rFonts w:hint="eastAsia"/>
          <w:szCs w:val="30"/>
        </w:rPr>
        <w:t>供应商承诺书</w:t>
      </w:r>
      <w:r>
        <w:tab/>
      </w:r>
      <w:r>
        <w:fldChar w:fldCharType="begin"/>
      </w:r>
      <w:r>
        <w:instrText xml:space="preserve"> PAGEREF _Toc4041 </w:instrText>
      </w:r>
      <w:r>
        <w:fldChar w:fldCharType="separate"/>
      </w:r>
      <w:r>
        <w:t>52</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_Toc21654 </w:instrText>
      </w:r>
      <w:r>
        <w:rPr>
          <w:szCs w:val="24"/>
        </w:rPr>
        <w:fldChar w:fldCharType="separate"/>
      </w:r>
      <w:r>
        <w:rPr>
          <w:rFonts w:hint="eastAsia" w:ascii="宋体" w:hAnsi="宋体" w:cs="宋体"/>
        </w:rPr>
        <w:t>附件一：封袋正面标识式样</w:t>
      </w:r>
      <w:r>
        <w:tab/>
      </w:r>
      <w:r>
        <w:fldChar w:fldCharType="begin"/>
      </w:r>
      <w:r>
        <w:instrText xml:space="preserve"> PAGEREF _Toc21654 </w:instrText>
      </w:r>
      <w:r>
        <w:fldChar w:fldCharType="separate"/>
      </w:r>
      <w:r>
        <w:t>55</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_Toc389 </w:instrText>
      </w:r>
      <w:r>
        <w:rPr>
          <w:szCs w:val="24"/>
        </w:rPr>
        <w:fldChar w:fldCharType="separate"/>
      </w:r>
      <w:r>
        <w:rPr>
          <w:rFonts w:hint="eastAsia" w:ascii="宋体" w:hAnsi="宋体" w:cs="宋体"/>
        </w:rPr>
        <w:t>附件二、中小企业申明</w:t>
      </w:r>
      <w:r>
        <w:tab/>
      </w:r>
      <w:r>
        <w:fldChar w:fldCharType="begin"/>
      </w:r>
      <w:r>
        <w:instrText xml:space="preserve"> PAGEREF _Toc389 </w:instrText>
      </w:r>
      <w:r>
        <w:fldChar w:fldCharType="separate"/>
      </w:r>
      <w:r>
        <w:t>57</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_Toc679 </w:instrText>
      </w:r>
      <w:r>
        <w:rPr>
          <w:szCs w:val="24"/>
        </w:rPr>
        <w:fldChar w:fldCharType="separate"/>
      </w:r>
      <w:r>
        <w:rPr>
          <w:rFonts w:hint="eastAsia"/>
        </w:rPr>
        <w:t>附件三、残疾人福利性单位声明</w:t>
      </w:r>
      <w:r>
        <w:tab/>
      </w:r>
      <w:r>
        <w:fldChar w:fldCharType="begin"/>
      </w:r>
      <w:r>
        <w:instrText xml:space="preserve"> PAGEREF _Toc679 </w:instrText>
      </w:r>
      <w:r>
        <w:fldChar w:fldCharType="separate"/>
      </w:r>
      <w:r>
        <w:t>57</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_Toc14755 </w:instrText>
      </w:r>
      <w:r>
        <w:rPr>
          <w:szCs w:val="24"/>
        </w:rPr>
        <w:fldChar w:fldCharType="separate"/>
      </w:r>
      <w:r>
        <w:rPr>
          <w:rFonts w:hint="eastAsia"/>
        </w:rPr>
        <w:t>附件四、监狱企业证明文件</w:t>
      </w:r>
      <w:r>
        <w:tab/>
      </w:r>
      <w:r>
        <w:fldChar w:fldCharType="begin"/>
      </w:r>
      <w:r>
        <w:instrText xml:space="preserve"> PAGEREF _Toc14755 </w:instrText>
      </w:r>
      <w:r>
        <w:fldChar w:fldCharType="separate"/>
      </w:r>
      <w:r>
        <w:t>59</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_Toc12021 </w:instrText>
      </w:r>
      <w:r>
        <w:rPr>
          <w:szCs w:val="24"/>
        </w:rPr>
        <w:fldChar w:fldCharType="separate"/>
      </w:r>
      <w:r>
        <w:rPr>
          <w:rFonts w:hint="eastAsia" w:ascii="宋体" w:hAnsi="宋体" w:cs="宋体"/>
        </w:rPr>
        <w:t>附件五、“节能产品”，“环境标志产品”证明材料</w:t>
      </w:r>
      <w:r>
        <w:tab/>
      </w:r>
      <w:r>
        <w:fldChar w:fldCharType="begin"/>
      </w:r>
      <w:r>
        <w:instrText xml:space="preserve"> PAGEREF _Toc12021 </w:instrText>
      </w:r>
      <w:r>
        <w:fldChar w:fldCharType="separate"/>
      </w:r>
      <w:r>
        <w:t>59</w:t>
      </w:r>
      <w:r>
        <w:fldChar w:fldCharType="end"/>
      </w:r>
      <w:r>
        <w:rPr>
          <w:szCs w:val="24"/>
        </w:rPr>
        <w:fldChar w:fldCharType="end"/>
      </w:r>
    </w:p>
    <w:p>
      <w:pPr>
        <w:pStyle w:val="18"/>
        <w:tabs>
          <w:tab w:val="right" w:leader="dot" w:pos="8306"/>
        </w:tabs>
      </w:pPr>
      <w:r>
        <w:rPr>
          <w:szCs w:val="24"/>
        </w:rPr>
        <w:fldChar w:fldCharType="begin"/>
      </w:r>
      <w:r>
        <w:rPr>
          <w:szCs w:val="24"/>
        </w:rPr>
        <w:instrText xml:space="preserve"> HYPERLINK \l _Toc25567 </w:instrText>
      </w:r>
      <w:r>
        <w:rPr>
          <w:szCs w:val="24"/>
        </w:rPr>
        <w:fldChar w:fldCharType="separate"/>
      </w:r>
      <w:r>
        <w:rPr>
          <w:rFonts w:hint="eastAsia"/>
        </w:rPr>
        <w:t>附件六、质疑函范本</w:t>
      </w:r>
      <w:r>
        <w:tab/>
      </w:r>
      <w:r>
        <w:fldChar w:fldCharType="begin"/>
      </w:r>
      <w:r>
        <w:instrText xml:space="preserve"> PAGEREF _Toc25567 </w:instrText>
      </w:r>
      <w:r>
        <w:fldChar w:fldCharType="separate"/>
      </w:r>
      <w:r>
        <w:t>60</w:t>
      </w:r>
      <w:r>
        <w:fldChar w:fldCharType="end"/>
      </w:r>
      <w:r>
        <w:rPr>
          <w:szCs w:val="24"/>
        </w:rPr>
        <w:fldChar w:fldCharType="end"/>
      </w:r>
    </w:p>
    <w:p>
      <w:pPr>
        <w:rPr>
          <w:sz w:val="24"/>
          <w:szCs w:val="24"/>
        </w:rPr>
        <w:sectPr>
          <w:footerReference r:id="rId7" w:type="default"/>
          <w:pgSz w:w="11906" w:h="16838"/>
          <w:pgMar w:top="1440" w:right="1800" w:bottom="1440" w:left="1800" w:header="851" w:footer="992" w:gutter="0"/>
          <w:pgNumType w:fmt="decimal"/>
          <w:cols w:space="720" w:num="1"/>
          <w:docGrid w:type="lines" w:linePitch="312" w:charSpace="0"/>
        </w:sectPr>
      </w:pPr>
      <w:r>
        <w:rPr>
          <w:szCs w:val="24"/>
        </w:rPr>
        <w:fldChar w:fldCharType="end"/>
      </w:r>
    </w:p>
    <w:p>
      <w:pPr>
        <w:pStyle w:val="3"/>
        <w:rPr>
          <w:rFonts w:ascii="宋体" w:hAnsi="宋体" w:cs="宋体"/>
        </w:rPr>
      </w:pPr>
      <w:bookmarkStart w:id="1" w:name="_Toc27511"/>
      <w:bookmarkStart w:id="2" w:name="_Toc26575"/>
      <w:bookmarkStart w:id="3" w:name="_Toc27507"/>
      <w:bookmarkStart w:id="4" w:name="_Toc21085"/>
      <w:r>
        <w:rPr>
          <w:rFonts w:hint="eastAsia" w:ascii="宋体" w:hAnsi="宋体" w:cs="宋体"/>
        </w:rPr>
        <w:t>第一部分 竞争性磋商公告</w:t>
      </w:r>
      <w:bookmarkEnd w:id="1"/>
      <w:bookmarkEnd w:id="2"/>
      <w:bookmarkEnd w:id="3"/>
      <w:bookmarkEnd w:id="4"/>
    </w:p>
    <w:p>
      <w:pPr>
        <w:widowControl/>
        <w:wordWrap w:val="0"/>
        <w:snapToGrid w:val="0"/>
        <w:spacing w:line="360" w:lineRule="auto"/>
        <w:ind w:firstLine="480" w:firstLineChars="200"/>
        <w:jc w:val="left"/>
        <w:rPr>
          <w:rFonts w:ascii="宋体" w:hAnsi="宋体" w:cs="宋体"/>
          <w:b/>
          <w:bCs/>
          <w:kern w:val="0"/>
          <w:sz w:val="24"/>
          <w:szCs w:val="24"/>
        </w:rPr>
      </w:pPr>
      <w:r>
        <w:rPr>
          <w:rFonts w:hint="eastAsia" w:ascii="宋体" w:hAnsi="宋体" w:cs="宋体"/>
          <w:kern w:val="0"/>
          <w:sz w:val="24"/>
          <w:szCs w:val="24"/>
        </w:rPr>
        <w:t>陕西万泽招标有限公司受</w:t>
      </w:r>
      <w:r>
        <w:rPr>
          <w:rFonts w:hint="eastAsia" w:ascii="宋体" w:hAnsi="宋体" w:cs="宋体"/>
          <w:kern w:val="0"/>
          <w:sz w:val="24"/>
          <w:szCs w:val="24"/>
          <w:lang w:eastAsia="zh-CN"/>
        </w:rPr>
        <w:t>西安市审计局</w:t>
      </w:r>
      <w:r>
        <w:rPr>
          <w:rFonts w:hint="eastAsia" w:ascii="宋体" w:hAnsi="宋体" w:cs="宋体"/>
          <w:kern w:val="0"/>
          <w:sz w:val="24"/>
          <w:szCs w:val="24"/>
        </w:rPr>
        <w:t>的委托，经政府采购管理部门批准，就</w:t>
      </w:r>
      <w:r>
        <w:rPr>
          <w:rFonts w:hint="eastAsia" w:ascii="宋体" w:hAnsi="宋体" w:cs="宋体"/>
          <w:kern w:val="0"/>
          <w:sz w:val="24"/>
          <w:szCs w:val="24"/>
          <w:lang w:eastAsia="zh-CN"/>
        </w:rPr>
        <w:t>西安市审计局2022年上半年购买服务人员采购项目</w:t>
      </w:r>
      <w:r>
        <w:rPr>
          <w:rFonts w:hint="eastAsia" w:ascii="宋体" w:hAnsi="宋体" w:cs="宋体"/>
          <w:kern w:val="0"/>
          <w:sz w:val="24"/>
          <w:szCs w:val="24"/>
        </w:rPr>
        <w:t>进行竞争性磋商，欢迎符合资格条件的、有能力提供本次项目所需货物和服务的</w:t>
      </w:r>
      <w:r>
        <w:rPr>
          <w:rFonts w:hint="eastAsia" w:ascii="宋体" w:hAnsi="宋体" w:cs="宋体"/>
          <w:kern w:val="0"/>
          <w:sz w:val="24"/>
          <w:szCs w:val="24"/>
          <w:lang w:val="en-US" w:eastAsia="zh-CN"/>
        </w:rPr>
        <w:t>供应</w:t>
      </w:r>
      <w:r>
        <w:rPr>
          <w:rFonts w:hint="eastAsia" w:ascii="宋体" w:hAnsi="宋体" w:cs="宋体"/>
          <w:kern w:val="0"/>
          <w:sz w:val="24"/>
          <w:szCs w:val="24"/>
        </w:rPr>
        <w:t>商参加磋商。</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项目名称：西安市审计局2022年上半年购买服务人员采购项目</w:t>
      </w:r>
      <w:r>
        <w:rPr>
          <w:rFonts w:hint="eastAsia" w:ascii="宋体" w:hAnsi="宋体" w:cs="宋体"/>
          <w:kern w:val="0"/>
          <w:sz w:val="24"/>
          <w:szCs w:val="24"/>
          <w:lang w:eastAsia="zh-CN"/>
        </w:rPr>
        <w:t xml:space="preserve">      </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项目编号：</w:t>
      </w:r>
      <w:r>
        <w:rPr>
          <w:rFonts w:hint="eastAsia" w:ascii="宋体" w:hAnsi="宋体" w:cs="宋体"/>
          <w:kern w:val="0"/>
          <w:sz w:val="24"/>
          <w:szCs w:val="24"/>
          <w:lang w:eastAsia="zh-CN"/>
        </w:rPr>
        <w:t>SXWZ2022ZB-SSJJ-046</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bookmarkStart w:id="5" w:name="OLE_LINK2"/>
      <w:r>
        <w:rPr>
          <w:rFonts w:hint="eastAsia" w:ascii="宋体" w:hAnsi="宋体" w:cs="宋体"/>
          <w:kern w:val="0"/>
          <w:sz w:val="24"/>
          <w:szCs w:val="24"/>
        </w:rPr>
        <w:t>采购人名称：</w:t>
      </w:r>
      <w:r>
        <w:rPr>
          <w:rFonts w:hint="eastAsia" w:ascii="宋体" w:hAnsi="宋体" w:cs="宋体"/>
          <w:kern w:val="0"/>
          <w:sz w:val="24"/>
          <w:szCs w:val="24"/>
          <w:lang w:eastAsia="zh-CN"/>
        </w:rPr>
        <w:t>西安市审计局</w:t>
      </w:r>
    </w:p>
    <w:p>
      <w:pPr>
        <w:widowControl/>
        <w:wordWrap w:val="0"/>
        <w:snapToGrid w:val="0"/>
        <w:spacing w:line="360" w:lineRule="auto"/>
        <w:ind w:firstLine="960" w:firstLineChars="400"/>
        <w:jc w:val="left"/>
        <w:rPr>
          <w:rFonts w:hint="eastAsia" w:ascii="宋体" w:hAnsi="宋体" w:cs="宋体"/>
          <w:kern w:val="0"/>
          <w:sz w:val="24"/>
          <w:szCs w:val="24"/>
        </w:rPr>
      </w:pPr>
      <w:r>
        <w:rPr>
          <w:rFonts w:hint="eastAsia" w:ascii="宋体" w:hAnsi="宋体" w:cs="宋体"/>
          <w:kern w:val="0"/>
          <w:sz w:val="24"/>
          <w:szCs w:val="24"/>
        </w:rPr>
        <w:t>地    址：西安市未央区凤城八路109号</w:t>
      </w:r>
    </w:p>
    <w:p>
      <w:pPr>
        <w:widowControl/>
        <w:numPr>
          <w:ilvl w:val="0"/>
          <w:numId w:val="0"/>
        </w:numPr>
        <w:wordWrap w:val="0"/>
        <w:snapToGrid w:val="0"/>
        <w:spacing w:line="360" w:lineRule="auto"/>
        <w:ind w:firstLine="960" w:firstLineChars="4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联系人：郑老师</w:t>
      </w:r>
    </w:p>
    <w:p>
      <w:pPr>
        <w:widowControl/>
        <w:numPr>
          <w:ilvl w:val="0"/>
          <w:numId w:val="0"/>
        </w:numPr>
        <w:wordWrap w:val="0"/>
        <w:snapToGrid w:val="0"/>
        <w:spacing w:line="360" w:lineRule="auto"/>
        <w:ind w:firstLine="960" w:firstLineChars="400"/>
        <w:jc w:val="left"/>
        <w:rPr>
          <w:rFonts w:hint="eastAsia" w:ascii="宋体" w:hAnsi="宋体" w:cs="宋体"/>
          <w:kern w:val="0"/>
          <w:sz w:val="24"/>
          <w:szCs w:val="24"/>
        </w:rPr>
      </w:pPr>
      <w:r>
        <w:rPr>
          <w:rFonts w:hint="eastAsia" w:ascii="宋体" w:hAnsi="宋体" w:cs="宋体"/>
          <w:kern w:val="0"/>
          <w:sz w:val="24"/>
          <w:szCs w:val="24"/>
        </w:rPr>
        <w:t>联系方式：029-</w:t>
      </w:r>
      <w:r>
        <w:rPr>
          <w:rFonts w:hint="eastAsia" w:ascii="宋体" w:hAnsi="宋体" w:cs="宋体"/>
          <w:kern w:val="0"/>
          <w:sz w:val="24"/>
          <w:szCs w:val="24"/>
          <w:lang w:val="en-US" w:eastAsia="zh-CN"/>
        </w:rPr>
        <w:t xml:space="preserve">86785515 </w:t>
      </w:r>
    </w:p>
    <w:bookmarkEnd w:id="5"/>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采购代理机构名称：陕西万泽招标有限公司</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地    址：西安市莲湖区西关正街英达大厦1507室</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联系方式：029-88319689</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采购内容和要求：</w:t>
      </w:r>
    </w:p>
    <w:p>
      <w:pPr>
        <w:pStyle w:val="6"/>
        <w:spacing w:line="360" w:lineRule="auto"/>
        <w:ind w:firstLine="960" w:firstLineChars="400"/>
        <w:rPr>
          <w:rFonts w:hint="eastAsia" w:ascii="宋体" w:hAnsi="宋体" w:cs="宋体"/>
          <w:kern w:val="0"/>
          <w:sz w:val="24"/>
          <w:szCs w:val="24"/>
        </w:rPr>
      </w:pPr>
      <w:r>
        <w:rPr>
          <w:rFonts w:hint="eastAsia" w:ascii="宋体" w:hAnsi="宋体" w:cs="宋体"/>
          <w:kern w:val="0"/>
          <w:sz w:val="24"/>
          <w:szCs w:val="24"/>
        </w:rPr>
        <w:t>采购内容：2022年上半年购买服务人员</w:t>
      </w:r>
    </w:p>
    <w:p>
      <w:pPr>
        <w:pStyle w:val="6"/>
        <w:spacing w:line="360" w:lineRule="auto"/>
        <w:ind w:firstLine="960" w:firstLineChars="400"/>
        <w:rPr>
          <w:rFonts w:ascii="宋体" w:hAnsi="宋体" w:cs="宋体"/>
          <w:sz w:val="24"/>
          <w:szCs w:val="24"/>
        </w:rPr>
      </w:pPr>
      <w:r>
        <w:rPr>
          <w:rFonts w:hint="eastAsia" w:ascii="宋体" w:hAnsi="宋体" w:cs="宋体"/>
          <w:kern w:val="0"/>
          <w:sz w:val="24"/>
          <w:szCs w:val="24"/>
        </w:rPr>
        <w:t>采购预算：</w:t>
      </w:r>
      <w:r>
        <w:rPr>
          <w:rFonts w:hint="eastAsia" w:ascii="宋体" w:hAnsi="宋体" w:cs="宋体"/>
          <w:kern w:val="0"/>
          <w:sz w:val="24"/>
          <w:szCs w:val="24"/>
          <w:lang w:val="en-US" w:eastAsia="zh-CN"/>
        </w:rPr>
        <w:t>980000.00</w:t>
      </w:r>
      <w:r>
        <w:rPr>
          <w:rFonts w:hint="eastAsia" w:ascii="宋体" w:hAnsi="宋体" w:cs="宋体"/>
          <w:kern w:val="0"/>
          <w:sz w:val="24"/>
          <w:szCs w:val="24"/>
        </w:rPr>
        <w:t>元</w:t>
      </w:r>
    </w:p>
    <w:p>
      <w:pPr>
        <w:pStyle w:val="6"/>
        <w:spacing w:line="360" w:lineRule="auto"/>
        <w:ind w:firstLine="960" w:firstLineChars="400"/>
        <w:rPr>
          <w:rFonts w:ascii="宋体" w:hAnsi="宋体" w:cs="宋体"/>
          <w:sz w:val="24"/>
          <w:szCs w:val="24"/>
        </w:rPr>
      </w:pPr>
      <w:r>
        <w:rPr>
          <w:rFonts w:hint="eastAsia" w:ascii="宋体" w:hAnsi="宋体" w:cs="宋体"/>
          <w:sz w:val="24"/>
          <w:szCs w:val="24"/>
        </w:rPr>
        <w:t>项目用途：自用</w:t>
      </w:r>
    </w:p>
    <w:p>
      <w:pPr>
        <w:pStyle w:val="6"/>
        <w:spacing w:line="360" w:lineRule="auto"/>
        <w:ind w:firstLine="960" w:firstLineChars="400"/>
        <w:rPr>
          <w:rFonts w:ascii="宋体" w:hAnsi="宋体" w:cs="宋体"/>
          <w:kern w:val="0"/>
          <w:sz w:val="24"/>
          <w:szCs w:val="24"/>
        </w:rPr>
      </w:pPr>
      <w:r>
        <w:rPr>
          <w:rFonts w:hint="eastAsia" w:ascii="宋体" w:hAnsi="宋体" w:cs="宋体"/>
          <w:sz w:val="24"/>
          <w:szCs w:val="24"/>
        </w:rPr>
        <w:t xml:space="preserve">项目性质：财政资金 </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供应商资质要求：</w:t>
      </w:r>
    </w:p>
    <w:p>
      <w:pPr>
        <w:snapToGrid w:val="0"/>
        <w:spacing w:line="300" w:lineRule="auto"/>
        <w:ind w:left="567"/>
        <w:jc w:val="left"/>
      </w:pPr>
      <w:r>
        <w:rPr>
          <w:rFonts w:hint="eastAsia" w:ascii="宋体" w:hAnsi="宋体" w:cs="宋体"/>
          <w:bCs/>
          <w:kern w:val="0"/>
          <w:sz w:val="24"/>
          <w:szCs w:val="24"/>
        </w:rPr>
        <w:t>符合《中华人民共和国政府采购法》第二十二条规定，并提供以下材料：</w:t>
      </w:r>
    </w:p>
    <w:p>
      <w:pPr>
        <w:numPr>
          <w:ilvl w:val="0"/>
          <w:numId w:val="2"/>
        </w:numPr>
        <w:snapToGrid w:val="0"/>
        <w:spacing w:line="360" w:lineRule="auto"/>
        <w:ind w:firstLine="567"/>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社会保障资金缴纳证明：</w:t>
      </w:r>
      <w:r>
        <w:rPr>
          <w:rFonts w:hint="eastAsia" w:ascii="宋体" w:hAnsi="宋体" w:cs="宋体"/>
          <w:bCs/>
          <w:kern w:val="0"/>
          <w:sz w:val="24"/>
          <w:szCs w:val="24"/>
          <w:highlight w:val="none"/>
        </w:rPr>
        <w:t>提供20</w:t>
      </w:r>
      <w:r>
        <w:rPr>
          <w:rFonts w:hint="eastAsia" w:ascii="宋体" w:hAnsi="宋体" w:cs="宋体"/>
          <w:bCs/>
          <w:kern w:val="0"/>
          <w:sz w:val="24"/>
          <w:szCs w:val="24"/>
          <w:highlight w:val="none"/>
          <w:lang w:val="en-US" w:eastAsia="zh-CN"/>
        </w:rPr>
        <w:t>21</w:t>
      </w:r>
      <w:r>
        <w:rPr>
          <w:rFonts w:hint="eastAsia" w:ascii="宋体" w:hAnsi="宋体" w:cs="宋体"/>
          <w:bCs/>
          <w:kern w:val="0"/>
          <w:sz w:val="24"/>
          <w:szCs w:val="24"/>
          <w:highlight w:val="none"/>
        </w:rPr>
        <w:t>年1月至今已缴存的至少</w:t>
      </w:r>
      <w:r>
        <w:rPr>
          <w:rFonts w:hint="eastAsia" w:ascii="宋体" w:hAnsi="宋体" w:cs="宋体"/>
          <w:bCs/>
          <w:kern w:val="0"/>
          <w:sz w:val="24"/>
          <w:szCs w:val="24"/>
          <w:highlight w:val="none"/>
          <w:lang w:val="en-US" w:eastAsia="zh-CN"/>
        </w:rPr>
        <w:t>一</w:t>
      </w:r>
      <w:r>
        <w:rPr>
          <w:rFonts w:hint="eastAsia" w:ascii="宋体" w:hAnsi="宋体" w:cs="宋体"/>
          <w:bCs/>
          <w:kern w:val="0"/>
          <w:sz w:val="24"/>
          <w:szCs w:val="24"/>
          <w:highlight w:val="none"/>
        </w:rPr>
        <w:t>个月的社会</w:t>
      </w:r>
      <w:r>
        <w:rPr>
          <w:rFonts w:hint="eastAsia" w:ascii="宋体" w:hAnsi="宋体" w:cs="宋体"/>
          <w:bCs/>
          <w:kern w:val="0"/>
          <w:sz w:val="24"/>
          <w:szCs w:val="24"/>
        </w:rPr>
        <w:t>保障资金缴存单据或社保机构开具的社会保险参保缴费情况证明，单据或证明上应有社保机构或代收机构的公章；依法不需要缴纳社会保障资金的供应商应提供相关文件证明；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税收缴纳证明：提供</w:t>
      </w:r>
      <w:r>
        <w:rPr>
          <w:rFonts w:hint="eastAsia" w:ascii="宋体" w:hAnsi="宋体" w:cs="宋体"/>
          <w:bCs/>
          <w:kern w:val="0"/>
          <w:sz w:val="24"/>
          <w:szCs w:val="24"/>
          <w:highlight w:val="none"/>
        </w:rPr>
        <w:t>20</w:t>
      </w:r>
      <w:r>
        <w:rPr>
          <w:rFonts w:hint="eastAsia" w:ascii="宋体" w:hAnsi="宋体" w:cs="宋体"/>
          <w:bCs/>
          <w:kern w:val="0"/>
          <w:sz w:val="24"/>
          <w:szCs w:val="24"/>
          <w:highlight w:val="none"/>
          <w:lang w:val="en-US" w:eastAsia="zh-CN"/>
        </w:rPr>
        <w:t>21</w:t>
      </w:r>
      <w:r>
        <w:rPr>
          <w:rFonts w:hint="eastAsia" w:ascii="宋体" w:hAnsi="宋体" w:cs="宋体"/>
          <w:bCs/>
          <w:kern w:val="0"/>
          <w:sz w:val="24"/>
          <w:szCs w:val="24"/>
          <w:highlight w:val="none"/>
        </w:rPr>
        <w:t>年1月至今已缴纳的至少</w:t>
      </w:r>
      <w:r>
        <w:rPr>
          <w:rFonts w:hint="eastAsia" w:ascii="宋体" w:hAnsi="宋体" w:cs="宋体"/>
          <w:bCs/>
          <w:kern w:val="0"/>
          <w:sz w:val="24"/>
          <w:szCs w:val="24"/>
          <w:highlight w:val="none"/>
          <w:lang w:val="en-US" w:eastAsia="zh-CN"/>
        </w:rPr>
        <w:t>一</w:t>
      </w:r>
      <w:r>
        <w:rPr>
          <w:rFonts w:hint="eastAsia" w:ascii="宋体" w:hAnsi="宋体" w:cs="宋体"/>
          <w:bCs/>
          <w:kern w:val="0"/>
          <w:sz w:val="24"/>
          <w:szCs w:val="24"/>
          <w:highlight w:val="none"/>
        </w:rPr>
        <w:t>个月的纳税证明或完</w:t>
      </w:r>
      <w:r>
        <w:rPr>
          <w:rFonts w:hint="eastAsia" w:ascii="宋体" w:hAnsi="宋体" w:cs="宋体"/>
          <w:bCs/>
          <w:kern w:val="0"/>
          <w:sz w:val="24"/>
          <w:szCs w:val="24"/>
        </w:rPr>
        <w:t>税证明；依法免税的单位应提供相关证明材料；</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w:t>
      </w:r>
      <w:r>
        <w:rPr>
          <w:rFonts w:hint="eastAsia" w:ascii="宋体" w:hAnsi="宋体" w:cs="宋体"/>
          <w:bCs/>
          <w:kern w:val="0"/>
          <w:sz w:val="24"/>
          <w:szCs w:val="24"/>
          <w:lang w:val="en-US" w:eastAsia="zh-CN"/>
        </w:rPr>
        <w:t>20</w:t>
      </w:r>
      <w:r>
        <w:rPr>
          <w:rFonts w:hint="eastAsia" w:ascii="宋体" w:hAnsi="宋体" w:cs="宋体"/>
          <w:bCs/>
          <w:kern w:val="0"/>
          <w:sz w:val="24"/>
          <w:szCs w:val="24"/>
        </w:rPr>
        <w:t>年或20</w:t>
      </w:r>
      <w:r>
        <w:rPr>
          <w:rFonts w:hint="eastAsia" w:ascii="宋体" w:hAnsi="宋体" w:cs="宋体"/>
          <w:bCs/>
          <w:kern w:val="0"/>
          <w:sz w:val="24"/>
          <w:szCs w:val="24"/>
          <w:lang w:val="en-US" w:eastAsia="zh-CN"/>
        </w:rPr>
        <w:t>21</w:t>
      </w:r>
      <w:r>
        <w:rPr>
          <w:rFonts w:hint="eastAsia" w:ascii="宋体" w:hAnsi="宋体" w:cs="宋体"/>
          <w:bCs/>
          <w:kern w:val="0"/>
          <w:sz w:val="24"/>
          <w:szCs w:val="24"/>
        </w:rPr>
        <w:t>年财务审计报告，或在开标日期前六个月内其基本开户银行出具的资信证明；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供应商信誉证明：提供在参加政府采购活动前3年内在经营活动中没有重大违法记录，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pStyle w:val="6"/>
        <w:numPr>
          <w:ilvl w:val="0"/>
          <w:numId w:val="2"/>
        </w:numPr>
        <w:spacing w:line="360" w:lineRule="auto"/>
        <w:ind w:left="0" w:leftChars="0" w:firstLine="567" w:firstLineChars="0"/>
        <w:rPr>
          <w:rFonts w:hint="eastAsia" w:ascii="宋体" w:hAnsi="宋体" w:cs="宋体"/>
          <w:bCs/>
          <w:kern w:val="0"/>
          <w:sz w:val="24"/>
          <w:szCs w:val="24"/>
        </w:rPr>
      </w:pPr>
      <w:r>
        <w:rPr>
          <w:rFonts w:hint="eastAsia" w:ascii="宋体" w:hAnsi="宋体" w:cs="宋体"/>
          <w:bCs/>
          <w:kern w:val="0"/>
          <w:sz w:val="24"/>
          <w:szCs w:val="24"/>
        </w:rPr>
        <w:t>非法定代表人参加</w:t>
      </w:r>
      <w:r>
        <w:rPr>
          <w:rFonts w:hint="eastAsia" w:ascii="宋体" w:hAnsi="宋体" w:cs="宋体"/>
          <w:bCs/>
          <w:kern w:val="0"/>
          <w:sz w:val="24"/>
          <w:szCs w:val="24"/>
          <w:lang w:val="en-US" w:eastAsia="zh-CN"/>
        </w:rPr>
        <w:t>磋商</w:t>
      </w:r>
      <w:r>
        <w:rPr>
          <w:rFonts w:hint="eastAsia" w:ascii="宋体" w:hAnsi="宋体" w:cs="宋体"/>
          <w:bCs/>
          <w:kern w:val="0"/>
          <w:sz w:val="24"/>
          <w:szCs w:val="24"/>
        </w:rPr>
        <w:t>的，须提供法定代表人授权委托书及被授权人身份证原件；法定代表人参加</w:t>
      </w:r>
      <w:r>
        <w:rPr>
          <w:rFonts w:hint="eastAsia" w:ascii="宋体" w:hAnsi="宋体" w:cs="宋体"/>
          <w:bCs/>
          <w:kern w:val="0"/>
          <w:sz w:val="24"/>
          <w:szCs w:val="24"/>
          <w:lang w:val="en-US" w:eastAsia="zh-CN"/>
        </w:rPr>
        <w:t>磋商</w:t>
      </w:r>
      <w:r>
        <w:rPr>
          <w:rFonts w:hint="eastAsia" w:ascii="宋体" w:hAnsi="宋体" w:cs="宋体"/>
          <w:bCs/>
          <w:kern w:val="0"/>
          <w:sz w:val="24"/>
          <w:szCs w:val="24"/>
        </w:rPr>
        <w:t>时,只须提供法定代表人身份证原件；</w:t>
      </w:r>
    </w:p>
    <w:p>
      <w:pPr>
        <w:pStyle w:val="6"/>
        <w:numPr>
          <w:ilvl w:val="0"/>
          <w:numId w:val="2"/>
        </w:numPr>
        <w:spacing w:line="360" w:lineRule="auto"/>
        <w:ind w:left="0" w:leftChars="0" w:firstLine="567" w:firstLineChars="0"/>
        <w:rPr>
          <w:rFonts w:hint="eastAsia" w:ascii="宋体" w:hAnsi="宋体" w:cs="宋体"/>
          <w:bCs/>
          <w:kern w:val="0"/>
          <w:sz w:val="24"/>
          <w:szCs w:val="24"/>
          <w:lang w:eastAsia="zh-CN"/>
        </w:rPr>
      </w:pPr>
      <w:r>
        <w:rPr>
          <w:rFonts w:hint="eastAsia" w:ascii="宋体" w:hAnsi="宋体" w:cs="宋体"/>
          <w:bCs/>
          <w:kern w:val="0"/>
          <w:sz w:val="24"/>
          <w:szCs w:val="24"/>
          <w:highlight w:val="none"/>
          <w:lang w:val="en-US" w:eastAsia="zh-CN"/>
        </w:rPr>
        <w:t>提供</w:t>
      </w:r>
      <w:r>
        <w:rPr>
          <w:rFonts w:hint="eastAsia" w:ascii="宋体" w:hAnsi="宋体" w:cs="宋体"/>
          <w:bCs/>
          <w:kern w:val="0"/>
          <w:sz w:val="24"/>
          <w:szCs w:val="24"/>
          <w:highlight w:val="none"/>
        </w:rPr>
        <w:t>合法有效的劳务派遣经营许可证及人力资源服务许可证</w:t>
      </w:r>
      <w:r>
        <w:rPr>
          <w:rFonts w:hint="eastAsia" w:ascii="宋体" w:hAnsi="宋体" w:cs="宋体"/>
          <w:bCs/>
          <w:kern w:val="0"/>
          <w:sz w:val="24"/>
          <w:szCs w:val="24"/>
          <w:lang w:eastAsia="zh-CN"/>
        </w:rPr>
        <w:t>；</w:t>
      </w:r>
    </w:p>
    <w:p>
      <w:pPr>
        <w:pStyle w:val="6"/>
        <w:numPr>
          <w:ilvl w:val="0"/>
          <w:numId w:val="2"/>
        </w:numPr>
        <w:spacing w:line="360" w:lineRule="auto"/>
        <w:ind w:left="0" w:leftChars="0" w:firstLine="567" w:firstLineChars="0"/>
        <w:rPr>
          <w:rFonts w:ascii="宋体" w:hAnsi="宋体" w:cs="宋体"/>
          <w:kern w:val="0"/>
          <w:sz w:val="24"/>
          <w:szCs w:val="24"/>
        </w:rPr>
      </w:pPr>
      <w:r>
        <w:rPr>
          <w:rFonts w:hint="eastAsia" w:ascii="宋体" w:hAnsi="宋体" w:cs="宋体"/>
          <w:bCs/>
          <w:kern w:val="0"/>
          <w:sz w:val="24"/>
          <w:szCs w:val="24"/>
          <w:lang w:eastAsia="zh-CN"/>
        </w:rPr>
        <w:t>本项目不接受联合体磋商。</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采购项目需要落实的政府采购政策：</w:t>
      </w:r>
    </w:p>
    <w:p>
      <w:pPr>
        <w:snapToGrid w:val="0"/>
        <w:spacing w:line="300" w:lineRule="auto"/>
        <w:ind w:firstLine="480" w:firstLineChars="200"/>
        <w:rPr>
          <w:rFonts w:ascii="宋体" w:hAnsi="宋体" w:cs="宋体"/>
          <w:sz w:val="24"/>
        </w:rPr>
      </w:pPr>
      <w:r>
        <w:rPr>
          <w:rFonts w:hint="eastAsia" w:ascii="宋体" w:hAnsi="宋体" w:cs="宋体"/>
          <w:sz w:val="24"/>
        </w:rPr>
        <w:t>依据</w:t>
      </w:r>
      <w:r>
        <w:rPr>
          <w:rFonts w:hint="eastAsia" w:ascii="宋体" w:hAnsi="宋体" w:cs="宋体"/>
          <w:bCs/>
          <w:kern w:val="0"/>
          <w:sz w:val="24"/>
          <w:szCs w:val="24"/>
        </w:rPr>
        <w:t>《中华人民共和国政府采购法》和《中华人民共和国政府采购</w:t>
      </w:r>
      <w:r>
        <w:rPr>
          <w:rFonts w:hint="eastAsia" w:ascii="宋体" w:hAnsi="宋体" w:cs="宋体"/>
          <w:bCs/>
          <w:kern w:val="0"/>
          <w:sz w:val="24"/>
          <w:szCs w:val="24"/>
          <w:lang w:eastAsia="zh-CN"/>
        </w:rPr>
        <w:t>法</w:t>
      </w:r>
      <w:r>
        <w:rPr>
          <w:rFonts w:hint="eastAsia" w:ascii="宋体" w:hAnsi="宋体" w:cs="宋体"/>
          <w:bCs/>
          <w:kern w:val="0"/>
          <w:sz w:val="24"/>
          <w:szCs w:val="24"/>
        </w:rPr>
        <w:t>实施条例》的有关规定，落实政府采购“优先购买节能环保产品、扶持小微企业、监狱企业、福利企业”等相关政</w:t>
      </w:r>
      <w:r>
        <w:rPr>
          <w:rFonts w:hint="eastAsia" w:ascii="宋体" w:hAnsi="宋体" w:cs="宋体"/>
          <w:sz w:val="24"/>
        </w:rPr>
        <w:t>策。</w:t>
      </w:r>
    </w:p>
    <w:p>
      <w:pPr>
        <w:snapToGrid w:val="0"/>
        <w:spacing w:line="300" w:lineRule="auto"/>
        <w:ind w:firstLine="480" w:firstLineChars="200"/>
        <w:rPr>
          <w:rFonts w:ascii="宋体" w:hAnsi="宋体" w:cs="宋体"/>
          <w:sz w:val="24"/>
        </w:rPr>
      </w:pPr>
      <w:r>
        <w:rPr>
          <w:rFonts w:hint="eastAsia" w:ascii="宋体" w:hAnsi="宋体" w:cs="宋体"/>
          <w:sz w:val="24"/>
        </w:rPr>
        <w:t>1、《政府采购促进中小企业发展管理办法》（财库〔2020〕46号）；</w:t>
      </w:r>
    </w:p>
    <w:p>
      <w:pPr>
        <w:snapToGrid w:val="0"/>
        <w:spacing w:line="300" w:lineRule="auto"/>
        <w:ind w:firstLine="480" w:firstLineChars="200"/>
        <w:rPr>
          <w:rFonts w:ascii="宋体" w:hAnsi="宋体" w:cs="宋体"/>
          <w:sz w:val="24"/>
        </w:rPr>
      </w:pPr>
      <w:r>
        <w:rPr>
          <w:rFonts w:hint="eastAsia" w:ascii="宋体" w:hAnsi="宋体" w:cs="宋体"/>
          <w:sz w:val="24"/>
        </w:rPr>
        <w:t>2、 《财政部司法部关于政府采购支持监狱企业发展有关问题的通知》（财库〔2014〕68号）；</w:t>
      </w:r>
    </w:p>
    <w:p>
      <w:pPr>
        <w:snapToGrid w:val="0"/>
        <w:spacing w:line="300" w:lineRule="auto"/>
        <w:ind w:firstLine="480" w:firstLineChars="200"/>
        <w:rPr>
          <w:rFonts w:ascii="宋体" w:hAnsi="宋体" w:cs="宋体"/>
          <w:sz w:val="24"/>
        </w:rPr>
      </w:pPr>
      <w:r>
        <w:rPr>
          <w:rFonts w:hint="eastAsia" w:ascii="宋体" w:hAnsi="宋体" w:cs="宋体"/>
          <w:sz w:val="24"/>
        </w:rPr>
        <w:t>3、《国务院办公厅关于建立政府强制采购节能产品制度的通知》（国办发〔2007〕51号）；</w:t>
      </w:r>
    </w:p>
    <w:p>
      <w:pPr>
        <w:snapToGrid w:val="0"/>
        <w:spacing w:line="300" w:lineRule="auto"/>
        <w:ind w:firstLine="480" w:firstLineChars="200"/>
        <w:rPr>
          <w:rFonts w:ascii="宋体" w:hAnsi="宋体" w:cs="宋体"/>
          <w:sz w:val="24"/>
        </w:rPr>
      </w:pPr>
      <w:r>
        <w:rPr>
          <w:rFonts w:hint="eastAsia" w:ascii="宋体" w:hAnsi="宋体" w:cs="宋体"/>
          <w:sz w:val="24"/>
        </w:rPr>
        <w:t>4、《节能产品政府采购实施意见》（财库[2004]185号）；</w:t>
      </w:r>
    </w:p>
    <w:p>
      <w:pPr>
        <w:snapToGrid w:val="0"/>
        <w:spacing w:line="300" w:lineRule="auto"/>
        <w:ind w:firstLine="480" w:firstLineChars="200"/>
        <w:rPr>
          <w:rFonts w:ascii="宋体" w:hAnsi="宋体" w:cs="宋体"/>
          <w:sz w:val="24"/>
        </w:rPr>
      </w:pPr>
      <w:r>
        <w:rPr>
          <w:rFonts w:hint="eastAsia" w:ascii="宋体" w:hAnsi="宋体" w:cs="宋体"/>
          <w:sz w:val="24"/>
        </w:rPr>
        <w:t>5、《环境标志产品政府采购实施的意见》（财库[2006]90号）；</w:t>
      </w:r>
    </w:p>
    <w:p>
      <w:pPr>
        <w:snapToGrid w:val="0"/>
        <w:spacing w:line="300" w:lineRule="auto"/>
        <w:ind w:firstLine="480" w:firstLineChars="200"/>
        <w:rPr>
          <w:rFonts w:hint="eastAsia" w:ascii="宋体" w:hAnsi="宋体" w:eastAsia="宋体" w:cs="宋体"/>
          <w:sz w:val="24"/>
          <w:lang w:eastAsia="zh-CN"/>
        </w:rPr>
      </w:pPr>
      <w:r>
        <w:rPr>
          <w:rFonts w:ascii="宋体" w:hAnsi="宋体" w:cs="宋体"/>
          <w:sz w:val="24"/>
        </w:rPr>
        <w:t>6</w:t>
      </w:r>
      <w:r>
        <w:rPr>
          <w:rFonts w:hint="eastAsia" w:ascii="宋体" w:hAnsi="宋体" w:cs="宋体"/>
          <w:sz w:val="24"/>
        </w:rPr>
        <w:t>、《三部门联合发布关于促进残疾人就业政府采购政策的通知》（财库〔2017〕141号）</w:t>
      </w:r>
      <w:r>
        <w:rPr>
          <w:rFonts w:hint="eastAsia" w:ascii="宋体" w:hAnsi="宋体" w:cs="宋体"/>
          <w:sz w:val="24"/>
          <w:lang w:eastAsia="zh-CN"/>
        </w:rPr>
        <w:t>；</w:t>
      </w:r>
    </w:p>
    <w:p>
      <w:pPr>
        <w:pStyle w:val="23"/>
        <w:rPr>
          <w:highlight w:val="none"/>
        </w:rPr>
      </w:pPr>
      <w:r>
        <w:rPr>
          <w:rFonts w:hint="eastAsia" w:asciiTheme="minorEastAsia" w:hAnsiTheme="minorEastAsia" w:cstheme="minorEastAsia"/>
          <w:color w:val="000000"/>
          <w:sz w:val="24"/>
          <w:szCs w:val="24"/>
          <w:highlight w:val="none"/>
          <w:lang w:val="en-US" w:eastAsia="zh-CN"/>
        </w:rPr>
        <w:t>7、</w:t>
      </w:r>
      <w:r>
        <w:rPr>
          <w:rFonts w:ascii="宋体" w:hAnsi="宋体" w:eastAsia="宋体" w:cs="宋体"/>
          <w:sz w:val="24"/>
          <w:szCs w:val="24"/>
        </w:rPr>
        <w:t>《西安市政府采购信用担保及信用融资工作实施方案（试行）》（市财发〔2014〕167）</w:t>
      </w:r>
      <w:r>
        <w:rPr>
          <w:rFonts w:hint="eastAsia" w:asciiTheme="minorEastAsia" w:hAnsiTheme="minorEastAsia" w:cstheme="minorEastAsia"/>
          <w:color w:val="000000"/>
          <w:sz w:val="24"/>
          <w:szCs w:val="24"/>
          <w:highlight w:val="none"/>
          <w:lang w:val="en-US" w:eastAsia="zh-CN"/>
        </w:rPr>
        <w:t>。</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竞争性磋商文件领取：</w:t>
      </w:r>
    </w:p>
    <w:p>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rPr>
        <w:t>1、领取</w:t>
      </w:r>
      <w:r>
        <w:rPr>
          <w:rFonts w:hint="eastAsia" w:ascii="宋体" w:hAnsi="宋体" w:cs="宋体"/>
          <w:sz w:val="24"/>
        </w:rPr>
        <w:t>时间：</w:t>
      </w:r>
      <w:r>
        <w:rPr>
          <w:rFonts w:hint="eastAsia" w:ascii="宋体" w:hAnsi="宋体" w:cs="宋体"/>
          <w:b/>
          <w:bCs/>
          <w:sz w:val="24"/>
          <w:highlight w:val="none"/>
        </w:rPr>
        <w:t>202</w:t>
      </w:r>
      <w:r>
        <w:rPr>
          <w:rFonts w:hint="eastAsia" w:ascii="宋体" w:hAnsi="宋体" w:cs="宋体"/>
          <w:b/>
          <w:bCs/>
          <w:sz w:val="24"/>
          <w:highlight w:val="none"/>
          <w:lang w:val="en-US" w:eastAsia="zh-CN"/>
        </w:rPr>
        <w:t>2</w:t>
      </w:r>
      <w:r>
        <w:rPr>
          <w:rFonts w:hint="eastAsia" w:ascii="宋体" w:hAnsi="宋体" w:cs="宋体"/>
          <w:b/>
          <w:bCs/>
          <w:sz w:val="24"/>
          <w:highlight w:val="none"/>
        </w:rPr>
        <w:t>年</w:t>
      </w:r>
      <w:r>
        <w:rPr>
          <w:rFonts w:hint="eastAsia" w:ascii="宋体" w:hAnsi="宋体" w:cs="宋体"/>
          <w:b/>
          <w:bCs/>
          <w:sz w:val="24"/>
          <w:highlight w:val="none"/>
          <w:lang w:val="en-US" w:eastAsia="zh-CN"/>
        </w:rPr>
        <w:t>05</w:t>
      </w:r>
      <w:r>
        <w:rPr>
          <w:rFonts w:hint="eastAsia" w:ascii="宋体" w:hAnsi="宋体" w:cs="宋体"/>
          <w:b/>
          <w:bCs/>
          <w:sz w:val="24"/>
          <w:highlight w:val="none"/>
        </w:rPr>
        <w:t>月</w:t>
      </w:r>
      <w:r>
        <w:rPr>
          <w:rFonts w:hint="eastAsia" w:ascii="宋体" w:hAnsi="宋体" w:cs="宋体"/>
          <w:b/>
          <w:bCs/>
          <w:sz w:val="24"/>
          <w:highlight w:val="none"/>
          <w:lang w:val="en-US" w:eastAsia="zh-CN"/>
        </w:rPr>
        <w:t>12</w:t>
      </w:r>
      <w:r>
        <w:rPr>
          <w:rFonts w:hint="eastAsia" w:ascii="宋体" w:hAnsi="宋体" w:cs="宋体"/>
          <w:b/>
          <w:bCs/>
          <w:sz w:val="24"/>
          <w:highlight w:val="none"/>
        </w:rPr>
        <w:t>至202</w:t>
      </w:r>
      <w:r>
        <w:rPr>
          <w:rFonts w:hint="eastAsia" w:ascii="宋体" w:hAnsi="宋体" w:cs="宋体"/>
          <w:b/>
          <w:bCs/>
          <w:sz w:val="24"/>
          <w:highlight w:val="none"/>
          <w:lang w:val="en-US" w:eastAsia="zh-CN"/>
        </w:rPr>
        <w:t>2</w:t>
      </w:r>
      <w:r>
        <w:rPr>
          <w:rFonts w:hint="eastAsia" w:ascii="宋体" w:hAnsi="宋体" w:cs="宋体"/>
          <w:b/>
          <w:bCs/>
          <w:sz w:val="24"/>
          <w:highlight w:val="none"/>
        </w:rPr>
        <w:t>年</w:t>
      </w:r>
      <w:r>
        <w:rPr>
          <w:rFonts w:hint="eastAsia" w:ascii="宋体" w:hAnsi="宋体" w:cs="宋体"/>
          <w:b/>
          <w:bCs/>
          <w:sz w:val="24"/>
          <w:highlight w:val="none"/>
          <w:lang w:val="en-US" w:eastAsia="zh-CN"/>
        </w:rPr>
        <w:t>05</w:t>
      </w:r>
      <w:r>
        <w:rPr>
          <w:rFonts w:hint="eastAsia" w:ascii="宋体" w:hAnsi="宋体" w:cs="宋体"/>
          <w:b/>
          <w:bCs/>
          <w:sz w:val="24"/>
          <w:highlight w:val="none"/>
        </w:rPr>
        <w:t>月</w:t>
      </w:r>
      <w:r>
        <w:rPr>
          <w:rFonts w:hint="eastAsia" w:ascii="宋体" w:hAnsi="宋体" w:cs="宋体"/>
          <w:b/>
          <w:bCs/>
          <w:sz w:val="24"/>
          <w:highlight w:val="none"/>
          <w:lang w:val="en-US" w:eastAsia="zh-CN"/>
        </w:rPr>
        <w:t>19</w:t>
      </w:r>
      <w:r>
        <w:rPr>
          <w:rFonts w:hint="eastAsia" w:ascii="宋体" w:hAnsi="宋体" w:cs="宋体"/>
          <w:b/>
          <w:bCs/>
          <w:sz w:val="24"/>
          <w:highlight w:val="none"/>
        </w:rPr>
        <w:t>日</w:t>
      </w:r>
      <w:r>
        <w:rPr>
          <w:rFonts w:hint="eastAsia" w:ascii="宋体" w:hAnsi="宋体" w:cs="宋体"/>
          <w:sz w:val="24"/>
          <w:highlight w:val="none"/>
        </w:rPr>
        <w:t>止</w:t>
      </w:r>
      <w:r>
        <w:rPr>
          <w:rFonts w:hint="eastAsia" w:ascii="宋体" w:hAnsi="宋体" w:cs="宋体"/>
          <w:sz w:val="24"/>
          <w:szCs w:val="24"/>
          <w:highlight w:val="none"/>
        </w:rPr>
        <w:t>。</w:t>
      </w:r>
    </w:p>
    <w:p>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（上午09:00～12:00，下午14:00～17:00发售,法定节假日除外）。</w:t>
      </w:r>
    </w:p>
    <w:p>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2、领取地点：西安市莲湖区西关正街英达大厦1507室。</w:t>
      </w:r>
    </w:p>
    <w:p>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3、文件售价：¥0元/套，谢绝邮寄。</w:t>
      </w:r>
    </w:p>
    <w:p>
      <w:pPr>
        <w:widowControl/>
        <w:wordWrap w:val="0"/>
        <w:snapToGrid w:val="0"/>
        <w:spacing w:line="300" w:lineRule="auto"/>
        <w:ind w:right="-199" w:rightChars="-95"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注：（1）供应商领取磋商文件时，请携带单位介绍信及经办人身份证原件及复印件加盖公章；（2）提示：请供应商按照陕西省财政厅关于政府采购供应商注册登记有关事项的通知中的要求，通过陕西省政府采购网（http://www.ccgp-shaanxi.gov.cn/）注册登记加入陕西省政府采购供应商库。</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磋商响应文件递交截止时间及磋商时间和地点：</w:t>
      </w:r>
    </w:p>
    <w:p>
      <w:pPr>
        <w:widowControl/>
        <w:tabs>
          <w:tab w:val="left" w:pos="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1、磋商响应文件递交截止时间：</w:t>
      </w:r>
      <w:r>
        <w:rPr>
          <w:rFonts w:hint="eastAsia" w:ascii="宋体" w:hAnsi="宋体" w:cs="宋体"/>
          <w:b/>
          <w:bCs/>
          <w:kern w:val="0"/>
          <w:sz w:val="24"/>
          <w:szCs w:val="24"/>
          <w:highlight w:val="none"/>
        </w:rPr>
        <w:t>202</w:t>
      </w:r>
      <w:r>
        <w:rPr>
          <w:rFonts w:hint="eastAsia" w:ascii="宋体" w:hAnsi="宋体" w:cs="宋体"/>
          <w:b/>
          <w:bCs/>
          <w:kern w:val="0"/>
          <w:sz w:val="24"/>
          <w:szCs w:val="24"/>
          <w:highlight w:val="none"/>
          <w:lang w:val="en-US" w:eastAsia="zh-CN"/>
        </w:rPr>
        <w:t>2</w:t>
      </w:r>
      <w:r>
        <w:rPr>
          <w:rFonts w:hint="eastAsia" w:ascii="宋体" w:hAnsi="宋体" w:cs="宋体"/>
          <w:b/>
          <w:bCs/>
          <w:kern w:val="0"/>
          <w:sz w:val="24"/>
          <w:szCs w:val="24"/>
          <w:highlight w:val="none"/>
        </w:rPr>
        <w:t>年</w:t>
      </w:r>
      <w:r>
        <w:rPr>
          <w:rFonts w:hint="eastAsia" w:ascii="宋体" w:hAnsi="宋体" w:cs="宋体"/>
          <w:b/>
          <w:bCs/>
          <w:sz w:val="24"/>
          <w:szCs w:val="24"/>
          <w:highlight w:val="none"/>
          <w:lang w:val="en-US" w:eastAsia="zh-CN"/>
        </w:rPr>
        <w:t>05</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25</w:t>
      </w:r>
      <w:r>
        <w:rPr>
          <w:rFonts w:hint="eastAsia" w:ascii="宋体" w:hAnsi="宋体" w:cs="宋体"/>
          <w:b/>
          <w:bCs/>
          <w:kern w:val="0"/>
          <w:sz w:val="24"/>
          <w:szCs w:val="24"/>
          <w:highlight w:val="none"/>
        </w:rPr>
        <w:t>日</w:t>
      </w:r>
      <w:r>
        <w:rPr>
          <w:rFonts w:hint="eastAsia" w:ascii="宋体" w:hAnsi="宋体" w:cs="宋体"/>
          <w:b/>
          <w:bCs/>
          <w:kern w:val="0"/>
          <w:sz w:val="24"/>
          <w:szCs w:val="24"/>
          <w:highlight w:val="none"/>
          <w:lang w:val="en-US" w:eastAsia="zh-CN"/>
        </w:rPr>
        <w:t>14</w:t>
      </w:r>
      <w:r>
        <w:rPr>
          <w:rFonts w:hint="eastAsia" w:ascii="宋体" w:hAnsi="宋体" w:cs="宋体"/>
          <w:b/>
          <w:bCs/>
          <w:sz w:val="24"/>
          <w:szCs w:val="24"/>
          <w:highlight w:val="none"/>
        </w:rPr>
        <w:t>:30</w:t>
      </w:r>
    </w:p>
    <w:p>
      <w:pPr>
        <w:widowControl/>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2、磋商时间：</w:t>
      </w:r>
      <w:r>
        <w:rPr>
          <w:rFonts w:hint="eastAsia" w:ascii="宋体" w:hAnsi="宋体" w:cs="宋体"/>
          <w:b/>
          <w:bCs/>
          <w:kern w:val="0"/>
          <w:sz w:val="24"/>
          <w:szCs w:val="24"/>
          <w:highlight w:val="none"/>
        </w:rPr>
        <w:t>202</w:t>
      </w:r>
      <w:r>
        <w:rPr>
          <w:rFonts w:hint="eastAsia" w:ascii="宋体" w:hAnsi="宋体" w:cs="宋体"/>
          <w:b/>
          <w:bCs/>
          <w:kern w:val="0"/>
          <w:sz w:val="24"/>
          <w:szCs w:val="24"/>
          <w:highlight w:val="none"/>
          <w:lang w:val="en-US" w:eastAsia="zh-CN"/>
        </w:rPr>
        <w:t>2</w:t>
      </w:r>
      <w:r>
        <w:rPr>
          <w:rFonts w:hint="eastAsia" w:ascii="宋体" w:hAnsi="宋体" w:cs="宋体"/>
          <w:b/>
          <w:bCs/>
          <w:kern w:val="0"/>
          <w:sz w:val="24"/>
          <w:szCs w:val="24"/>
          <w:highlight w:val="none"/>
        </w:rPr>
        <w:t>年</w:t>
      </w:r>
      <w:r>
        <w:rPr>
          <w:rFonts w:hint="eastAsia" w:ascii="宋体" w:hAnsi="宋体" w:cs="宋体"/>
          <w:b/>
          <w:bCs/>
          <w:kern w:val="0"/>
          <w:sz w:val="24"/>
          <w:szCs w:val="24"/>
          <w:highlight w:val="none"/>
          <w:lang w:val="en-US" w:eastAsia="zh-CN"/>
        </w:rPr>
        <w:t>05</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25</w:t>
      </w:r>
      <w:r>
        <w:rPr>
          <w:rFonts w:hint="eastAsia" w:ascii="宋体" w:hAnsi="宋体" w:cs="宋体"/>
          <w:b/>
          <w:bCs/>
          <w:kern w:val="0"/>
          <w:sz w:val="24"/>
          <w:szCs w:val="24"/>
          <w:highlight w:val="none"/>
        </w:rPr>
        <w:t>日</w:t>
      </w:r>
      <w:r>
        <w:rPr>
          <w:rFonts w:hint="eastAsia" w:ascii="宋体" w:hAnsi="宋体" w:cs="宋体"/>
          <w:b/>
          <w:bCs/>
          <w:kern w:val="0"/>
          <w:sz w:val="24"/>
          <w:szCs w:val="24"/>
          <w:highlight w:val="none"/>
          <w:lang w:val="en-US" w:eastAsia="zh-CN"/>
        </w:rPr>
        <w:t>14</w:t>
      </w:r>
      <w:r>
        <w:rPr>
          <w:rFonts w:hint="eastAsia" w:ascii="宋体" w:hAnsi="宋体" w:cs="宋体"/>
          <w:b/>
          <w:bCs/>
          <w:kern w:val="0"/>
          <w:sz w:val="24"/>
          <w:szCs w:val="24"/>
          <w:highlight w:val="none"/>
        </w:rPr>
        <w:t>:30</w:t>
      </w:r>
    </w:p>
    <w:p>
      <w:pPr>
        <w:widowControl/>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3、磋商地点：西安市莲湖区西关正街英达大厦1503会议室。</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其它应说明的事项： </w:t>
      </w:r>
    </w:p>
    <w:p>
      <w:pPr>
        <w:widowControl/>
        <w:wordWrap w:val="0"/>
        <w:snapToGrid w:val="0"/>
        <w:spacing w:line="30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 xml:space="preserve">1、采购项目联系人：崔方明 </w:t>
      </w:r>
      <w:r>
        <w:rPr>
          <w:rFonts w:hint="eastAsia" w:ascii="宋体" w:hAnsi="宋体" w:cs="宋体"/>
          <w:kern w:val="0"/>
          <w:sz w:val="24"/>
          <w:szCs w:val="24"/>
          <w:highlight w:val="none"/>
          <w:lang w:val="en-US" w:eastAsia="zh-CN"/>
        </w:rPr>
        <w:t xml:space="preserve"> 刘嘉辉</w:t>
      </w:r>
    </w:p>
    <w:p>
      <w:pPr>
        <w:widowControl/>
        <w:wordWrap w:val="0"/>
        <w:snapToGrid w:val="0"/>
        <w:spacing w:line="300" w:lineRule="auto"/>
        <w:ind w:firstLine="840" w:firstLineChars="350"/>
        <w:jc w:val="left"/>
        <w:rPr>
          <w:rFonts w:ascii="宋体" w:hAnsi="宋体" w:cs="宋体"/>
          <w:kern w:val="0"/>
          <w:sz w:val="24"/>
          <w:szCs w:val="24"/>
          <w:highlight w:val="none"/>
        </w:rPr>
      </w:pPr>
      <w:r>
        <w:rPr>
          <w:rFonts w:hint="eastAsia" w:ascii="宋体" w:hAnsi="宋体" w:cs="宋体"/>
          <w:kern w:val="0"/>
          <w:sz w:val="24"/>
          <w:szCs w:val="24"/>
          <w:highlight w:val="none"/>
        </w:rPr>
        <w:t>联系方式（电话/传真）：029-88319689-804/029-88319689-811</w:t>
      </w:r>
    </w:p>
    <w:p>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2、采购代理机构开户名称：陕西万泽招标有限公司</w:t>
      </w:r>
    </w:p>
    <w:p>
      <w:pPr>
        <w:widowControl/>
        <w:wordWrap w:val="0"/>
        <w:snapToGrid w:val="0"/>
        <w:spacing w:line="300" w:lineRule="auto"/>
        <w:ind w:firstLine="840" w:firstLineChars="350"/>
        <w:jc w:val="left"/>
        <w:rPr>
          <w:rFonts w:ascii="宋体" w:hAnsi="宋体" w:cs="宋体"/>
          <w:kern w:val="0"/>
          <w:sz w:val="24"/>
          <w:szCs w:val="24"/>
          <w:highlight w:val="none"/>
        </w:rPr>
      </w:pPr>
      <w:r>
        <w:rPr>
          <w:rFonts w:hint="eastAsia" w:ascii="宋体" w:hAnsi="宋体" w:cs="宋体"/>
          <w:kern w:val="0"/>
          <w:sz w:val="24"/>
          <w:szCs w:val="24"/>
          <w:highlight w:val="none"/>
        </w:rPr>
        <w:t xml:space="preserve">开户行名称：西安银行朝阳门支行 </w:t>
      </w:r>
    </w:p>
    <w:p>
      <w:pPr>
        <w:widowControl/>
        <w:tabs>
          <w:tab w:val="left" w:pos="0"/>
        </w:tabs>
        <w:wordWrap w:val="0"/>
        <w:snapToGrid w:val="0"/>
        <w:spacing w:line="300" w:lineRule="auto"/>
        <w:ind w:firstLine="840" w:firstLineChars="350"/>
        <w:jc w:val="left"/>
        <w:rPr>
          <w:rFonts w:ascii="宋体" w:hAnsi="宋体" w:cs="宋体"/>
          <w:kern w:val="0"/>
          <w:sz w:val="24"/>
          <w:szCs w:val="24"/>
          <w:highlight w:val="none"/>
        </w:rPr>
      </w:pPr>
      <w:r>
        <w:rPr>
          <w:rFonts w:hint="eastAsia" w:ascii="宋体" w:hAnsi="宋体" w:cs="宋体"/>
          <w:kern w:val="0"/>
          <w:sz w:val="24"/>
          <w:szCs w:val="24"/>
          <w:highlight w:val="none"/>
        </w:rPr>
        <w:t>账      号：211011580000015489</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竞争性磋商公告的公告期限为3个工作日。</w:t>
      </w:r>
    </w:p>
    <w:p>
      <w:pPr>
        <w:rPr>
          <w:highlight w:val="none"/>
        </w:rPr>
      </w:pPr>
    </w:p>
    <w:p>
      <w:pPr>
        <w:widowControl/>
        <w:tabs>
          <w:tab w:val="left" w:pos="1620"/>
        </w:tabs>
        <w:snapToGrid w:val="0"/>
        <w:spacing w:line="300" w:lineRule="auto"/>
        <w:ind w:firstLine="420" w:firstLineChars="175"/>
        <w:jc w:val="right"/>
        <w:rPr>
          <w:rFonts w:ascii="宋体" w:hAnsi="宋体" w:cs="宋体"/>
          <w:kern w:val="0"/>
          <w:sz w:val="24"/>
          <w:szCs w:val="24"/>
          <w:highlight w:val="none"/>
        </w:rPr>
      </w:pPr>
      <w:r>
        <w:rPr>
          <w:rFonts w:hint="eastAsia" w:ascii="宋体" w:hAnsi="宋体" w:cs="宋体"/>
          <w:kern w:val="0"/>
          <w:sz w:val="24"/>
          <w:szCs w:val="24"/>
          <w:highlight w:val="none"/>
        </w:rPr>
        <w:t>陕西万泽招标有限公司</w:t>
      </w:r>
    </w:p>
    <w:p>
      <w:pPr>
        <w:widowControl/>
        <w:tabs>
          <w:tab w:val="left" w:pos="1620"/>
        </w:tabs>
        <w:snapToGrid w:val="0"/>
        <w:spacing w:line="300" w:lineRule="auto"/>
        <w:ind w:firstLine="420" w:firstLineChars="175"/>
        <w:jc w:val="right"/>
        <w:rPr>
          <w:rFonts w:ascii="宋体" w:hAnsi="宋体" w:cs="宋体"/>
          <w:kern w:val="0"/>
          <w:sz w:val="24"/>
          <w:szCs w:val="24"/>
          <w:highlight w:val="yellow"/>
        </w:rPr>
      </w:pPr>
      <w:r>
        <w:rPr>
          <w:rFonts w:hint="eastAsia" w:ascii="宋体" w:hAnsi="宋体" w:cs="宋体"/>
          <w:kern w:val="0"/>
          <w:sz w:val="24"/>
          <w:szCs w:val="24"/>
          <w:highlight w:val="none"/>
        </w:rPr>
        <w:t xml:space="preserve"> 202</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25</w:t>
      </w:r>
      <w:r>
        <w:rPr>
          <w:rFonts w:hint="eastAsia" w:ascii="宋体" w:hAnsi="宋体" w:cs="宋体"/>
          <w:kern w:val="0"/>
          <w:sz w:val="24"/>
          <w:szCs w:val="24"/>
          <w:highlight w:val="none"/>
        </w:rPr>
        <w:t>日</w:t>
      </w:r>
    </w:p>
    <w:p>
      <w:pPr>
        <w:pStyle w:val="3"/>
        <w:keepLines w:val="0"/>
        <w:spacing w:line="312" w:lineRule="auto"/>
        <w:ind w:firstLine="562" w:firstLineChars="175"/>
        <w:rPr>
          <w:rFonts w:ascii="宋体" w:hAnsi="宋体" w:cs="宋体"/>
          <w:highlight w:val="yellow"/>
        </w:rPr>
        <w:sectPr>
          <w:footerReference r:id="rId8" w:type="default"/>
          <w:pgSz w:w="11906" w:h="16838"/>
          <w:pgMar w:top="1440" w:right="1286" w:bottom="1440" w:left="1800" w:header="851" w:footer="992" w:gutter="0"/>
          <w:pgNumType w:fmt="decimal"/>
          <w:cols w:space="720" w:num="1"/>
          <w:docGrid w:type="lines" w:linePitch="312" w:charSpace="0"/>
        </w:sectPr>
      </w:pPr>
    </w:p>
    <w:p>
      <w:pPr>
        <w:pStyle w:val="3"/>
        <w:rPr>
          <w:rFonts w:ascii="宋体" w:hAnsi="宋体" w:cs="宋体"/>
        </w:rPr>
      </w:pPr>
      <w:bookmarkStart w:id="6" w:name="_Toc30089"/>
      <w:bookmarkStart w:id="7" w:name="_Toc438048787"/>
      <w:bookmarkStart w:id="8" w:name="_Toc2880"/>
      <w:bookmarkStart w:id="9" w:name="_Toc23346"/>
      <w:bookmarkStart w:id="10" w:name="_Toc31083"/>
      <w:r>
        <w:rPr>
          <w:rFonts w:hint="eastAsia" w:ascii="宋体" w:hAnsi="宋体" w:cs="宋体"/>
        </w:rPr>
        <w:t>第二部分 供应商须知前附表</w:t>
      </w:r>
      <w:bookmarkEnd w:id="6"/>
      <w:bookmarkEnd w:id="7"/>
      <w:bookmarkEnd w:id="8"/>
      <w:bookmarkEnd w:id="9"/>
      <w:bookmarkEnd w:id="10"/>
    </w:p>
    <w:tbl>
      <w:tblPr>
        <w:tblStyle w:val="24"/>
        <w:tblpPr w:leftFromText="180" w:rightFromText="180" w:vertAnchor="text" w:horzAnchor="page" w:tblpX="1582" w:tblpY="309"/>
        <w:tblOverlap w:val="never"/>
        <w:tblW w:w="89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99"/>
        <w:gridCol w:w="780"/>
        <w:gridCol w:w="76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2" w:hRule="atLeast"/>
        </w:trPr>
        <w:tc>
          <w:tcPr>
            <w:tcW w:w="499" w:type="dxa"/>
          </w:tcPr>
          <w:p>
            <w:pPr>
              <w:spacing w:beforeLines="50"/>
              <w:jc w:val="center"/>
              <w:rPr>
                <w:rFonts w:ascii="宋体" w:hAnsi="宋体" w:cs="宋体"/>
                <w:b/>
                <w:szCs w:val="21"/>
              </w:rPr>
            </w:pPr>
            <w:r>
              <w:rPr>
                <w:rFonts w:hint="eastAsia" w:ascii="宋体" w:hAnsi="宋体" w:cs="宋体"/>
                <w:b/>
                <w:szCs w:val="21"/>
              </w:rPr>
              <w:t>序号</w:t>
            </w:r>
          </w:p>
        </w:tc>
        <w:tc>
          <w:tcPr>
            <w:tcW w:w="780" w:type="dxa"/>
            <w:vAlign w:val="center"/>
          </w:tcPr>
          <w:p>
            <w:pPr>
              <w:spacing w:beforeLines="50"/>
              <w:jc w:val="center"/>
              <w:rPr>
                <w:rFonts w:ascii="宋体" w:hAnsi="宋体" w:cs="宋体"/>
                <w:b/>
                <w:szCs w:val="21"/>
              </w:rPr>
            </w:pPr>
            <w:r>
              <w:rPr>
                <w:rFonts w:hint="eastAsia" w:ascii="宋体" w:hAnsi="宋体" w:cs="宋体"/>
                <w:b/>
                <w:szCs w:val="21"/>
              </w:rPr>
              <w:t>条款</w:t>
            </w:r>
          </w:p>
        </w:tc>
        <w:tc>
          <w:tcPr>
            <w:tcW w:w="7641" w:type="dxa"/>
          </w:tcPr>
          <w:p>
            <w:pPr>
              <w:spacing w:beforeLines="50"/>
              <w:jc w:val="center"/>
              <w:rPr>
                <w:rFonts w:ascii="宋体" w:hAnsi="宋体" w:cs="宋体"/>
                <w:b/>
                <w:szCs w:val="21"/>
              </w:rPr>
            </w:pPr>
            <w:r>
              <w:rPr>
                <w:rFonts w:hint="eastAsia" w:ascii="宋体" w:hAnsi="宋体" w:cs="宋体"/>
                <w:b/>
                <w:szCs w:val="21"/>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1" w:hRule="atLeast"/>
        </w:trPr>
        <w:tc>
          <w:tcPr>
            <w:tcW w:w="499" w:type="dxa"/>
          </w:tcPr>
          <w:p>
            <w:pPr>
              <w:spacing w:beforeLines="50"/>
              <w:jc w:val="center"/>
              <w:rPr>
                <w:rFonts w:ascii="宋体" w:hAnsi="宋体" w:cs="宋体"/>
                <w:b/>
                <w:szCs w:val="21"/>
              </w:rPr>
            </w:pPr>
            <w:r>
              <w:rPr>
                <w:rFonts w:hint="eastAsia" w:ascii="宋体" w:hAnsi="宋体" w:cs="宋体"/>
                <w:b/>
                <w:szCs w:val="21"/>
              </w:rPr>
              <w:t>1</w:t>
            </w:r>
          </w:p>
        </w:tc>
        <w:tc>
          <w:tcPr>
            <w:tcW w:w="780" w:type="dxa"/>
            <w:vAlign w:val="center"/>
          </w:tcPr>
          <w:p>
            <w:pPr>
              <w:spacing w:line="360" w:lineRule="auto"/>
              <w:rPr>
                <w:rFonts w:ascii="宋体" w:hAnsi="宋体" w:cs="宋体"/>
                <w:szCs w:val="21"/>
              </w:rPr>
            </w:pPr>
            <w:r>
              <w:rPr>
                <w:rFonts w:hint="eastAsia" w:ascii="宋体" w:hAnsi="宋体" w:cs="宋体"/>
                <w:szCs w:val="21"/>
              </w:rPr>
              <w:t>项 目</w:t>
            </w:r>
          </w:p>
          <w:p>
            <w:pPr>
              <w:spacing w:line="360" w:lineRule="auto"/>
              <w:rPr>
                <w:rFonts w:ascii="宋体" w:hAnsi="宋体" w:cs="宋体"/>
                <w:szCs w:val="21"/>
              </w:rPr>
            </w:pPr>
            <w:r>
              <w:rPr>
                <w:rFonts w:hint="eastAsia" w:ascii="宋体" w:hAnsi="宋体" w:cs="宋体"/>
                <w:szCs w:val="21"/>
              </w:rPr>
              <w:t>名 称</w:t>
            </w:r>
          </w:p>
        </w:tc>
        <w:tc>
          <w:tcPr>
            <w:tcW w:w="7641"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 xml:space="preserve">西安市审计局2022年上半年购买服务人员采购项目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8" w:hRule="atLeast"/>
        </w:trPr>
        <w:tc>
          <w:tcPr>
            <w:tcW w:w="499" w:type="dxa"/>
          </w:tcPr>
          <w:p>
            <w:pPr>
              <w:spacing w:beforeLines="50"/>
              <w:jc w:val="center"/>
              <w:rPr>
                <w:rFonts w:ascii="宋体" w:hAnsi="宋体" w:cs="宋体"/>
                <w:b/>
                <w:szCs w:val="21"/>
              </w:rPr>
            </w:pPr>
            <w:r>
              <w:rPr>
                <w:rFonts w:hint="eastAsia" w:ascii="宋体" w:hAnsi="宋体" w:cs="宋体"/>
                <w:b/>
                <w:szCs w:val="21"/>
              </w:rPr>
              <w:t>2</w:t>
            </w:r>
          </w:p>
        </w:tc>
        <w:tc>
          <w:tcPr>
            <w:tcW w:w="780" w:type="dxa"/>
            <w:vAlign w:val="center"/>
          </w:tcPr>
          <w:p>
            <w:pPr>
              <w:widowControl/>
              <w:wordWrap w:val="0"/>
              <w:spacing w:line="360" w:lineRule="auto"/>
              <w:jc w:val="left"/>
              <w:rPr>
                <w:rFonts w:ascii="宋体" w:hAnsi="宋体" w:cs="宋体"/>
                <w:szCs w:val="21"/>
              </w:rPr>
            </w:pPr>
            <w:r>
              <w:rPr>
                <w:rFonts w:hint="eastAsia" w:ascii="宋体" w:hAnsi="宋体" w:cs="宋体"/>
                <w:szCs w:val="21"/>
              </w:rPr>
              <w:t>采 购人</w:t>
            </w:r>
          </w:p>
        </w:tc>
        <w:tc>
          <w:tcPr>
            <w:tcW w:w="7641" w:type="dxa"/>
            <w:vAlign w:val="center"/>
          </w:tcPr>
          <w:p>
            <w:pPr>
              <w:widowControl/>
              <w:wordWrap w:val="0"/>
              <w:spacing w:line="360" w:lineRule="auto"/>
              <w:jc w:val="left"/>
              <w:rPr>
                <w:rFonts w:hint="eastAsia" w:ascii="宋体" w:hAnsi="宋体" w:eastAsia="宋体" w:cs="宋体"/>
                <w:szCs w:val="21"/>
                <w:lang w:eastAsia="zh-CN"/>
              </w:rPr>
            </w:pPr>
            <w:r>
              <w:rPr>
                <w:rFonts w:hint="eastAsia" w:ascii="宋体" w:hAnsi="宋体" w:cs="宋体"/>
                <w:szCs w:val="21"/>
              </w:rPr>
              <w:t>采购人名称：</w:t>
            </w:r>
            <w:r>
              <w:rPr>
                <w:rFonts w:hint="eastAsia" w:ascii="宋体" w:hAnsi="宋体" w:cs="宋体"/>
                <w:szCs w:val="21"/>
                <w:lang w:eastAsia="zh-CN"/>
              </w:rPr>
              <w:t>西安市审计局</w:t>
            </w:r>
          </w:p>
          <w:p>
            <w:pPr>
              <w:widowControl/>
              <w:wordWrap w:val="0"/>
              <w:spacing w:line="360" w:lineRule="auto"/>
              <w:jc w:val="left"/>
              <w:rPr>
                <w:rFonts w:ascii="宋体" w:hAnsi="宋体" w:cs="宋体"/>
                <w:szCs w:val="21"/>
              </w:rPr>
            </w:pPr>
            <w:r>
              <w:rPr>
                <w:rFonts w:hint="eastAsia" w:ascii="宋体" w:hAnsi="宋体" w:cs="宋体"/>
                <w:szCs w:val="21"/>
              </w:rPr>
              <w:t>地    址：西安市未央区凤城八路109号</w:t>
            </w:r>
          </w:p>
          <w:p>
            <w:pPr>
              <w:widowControl/>
              <w:wordWrap w:val="0"/>
              <w:spacing w:line="360" w:lineRule="auto"/>
              <w:jc w:val="left"/>
              <w:rPr>
                <w:rFonts w:hint="eastAsia" w:ascii="宋体" w:hAnsi="宋体" w:eastAsia="宋体" w:cs="宋体"/>
                <w:szCs w:val="21"/>
                <w:lang w:eastAsia="zh-CN"/>
              </w:rPr>
            </w:pPr>
            <w:r>
              <w:rPr>
                <w:rFonts w:hint="eastAsia" w:ascii="宋体" w:hAnsi="宋体" w:cs="宋体"/>
                <w:szCs w:val="21"/>
                <w:lang w:eastAsia="zh-CN"/>
              </w:rPr>
              <w:t>联系人：</w:t>
            </w:r>
            <w:r>
              <w:rPr>
                <w:rFonts w:hint="eastAsia" w:ascii="宋体" w:hAnsi="宋体" w:cs="宋体"/>
                <w:szCs w:val="21"/>
                <w:lang w:val="en-US" w:eastAsia="zh-CN"/>
              </w:rPr>
              <w:t xml:space="preserve">  </w:t>
            </w:r>
            <w:r>
              <w:rPr>
                <w:rFonts w:hint="eastAsia" w:ascii="宋体" w:hAnsi="宋体" w:cs="宋体"/>
                <w:szCs w:val="21"/>
                <w:highlight w:val="none"/>
                <w:lang w:val="en-US" w:eastAsia="zh-CN"/>
              </w:rPr>
              <w:t>郑老师</w:t>
            </w:r>
          </w:p>
          <w:p>
            <w:pPr>
              <w:widowControl/>
              <w:wordWrap w:val="0"/>
              <w:spacing w:line="360" w:lineRule="auto"/>
              <w:jc w:val="left"/>
              <w:rPr>
                <w:rFonts w:hint="default" w:ascii="宋体" w:hAnsi="宋体" w:eastAsia="宋体" w:cs="宋体"/>
                <w:szCs w:val="21"/>
                <w:lang w:val="en-US" w:eastAsia="zh-CN"/>
              </w:rPr>
            </w:pPr>
            <w:r>
              <w:rPr>
                <w:rFonts w:hint="eastAsia" w:ascii="宋体" w:hAnsi="宋体" w:cs="宋体"/>
                <w:szCs w:val="21"/>
              </w:rPr>
              <w:t>联系方式：029-</w:t>
            </w:r>
            <w:r>
              <w:rPr>
                <w:rFonts w:hint="eastAsia" w:ascii="宋体" w:hAnsi="宋体" w:cs="宋体"/>
                <w:szCs w:val="21"/>
                <w:lang w:val="en-US" w:eastAsia="zh-CN"/>
              </w:rPr>
              <w:t xml:space="preserve">86785515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5" w:hRule="atLeast"/>
        </w:trPr>
        <w:tc>
          <w:tcPr>
            <w:tcW w:w="499" w:type="dxa"/>
            <w:tcBorders>
              <w:top w:val="single" w:color="auto" w:sz="4" w:space="0"/>
            </w:tcBorders>
          </w:tcPr>
          <w:p>
            <w:pPr>
              <w:spacing w:beforeLines="50"/>
              <w:jc w:val="center"/>
              <w:rPr>
                <w:rFonts w:ascii="宋体" w:hAnsi="宋体" w:cs="宋体"/>
                <w:b/>
                <w:szCs w:val="21"/>
              </w:rPr>
            </w:pPr>
            <w:r>
              <w:rPr>
                <w:rFonts w:hint="eastAsia" w:ascii="宋体" w:hAnsi="宋体" w:cs="宋体"/>
                <w:b/>
                <w:szCs w:val="21"/>
              </w:rPr>
              <w:t>3</w:t>
            </w:r>
          </w:p>
        </w:tc>
        <w:tc>
          <w:tcPr>
            <w:tcW w:w="780" w:type="dxa"/>
            <w:tcBorders>
              <w:top w:val="single" w:color="auto" w:sz="4" w:space="0"/>
            </w:tcBorders>
            <w:vAlign w:val="center"/>
          </w:tcPr>
          <w:p>
            <w:pPr>
              <w:spacing w:line="360" w:lineRule="auto"/>
              <w:rPr>
                <w:rFonts w:ascii="宋体" w:hAnsi="宋体" w:cs="宋体"/>
                <w:szCs w:val="21"/>
              </w:rPr>
            </w:pPr>
            <w:r>
              <w:rPr>
                <w:rFonts w:hint="eastAsia" w:ascii="宋体" w:hAnsi="宋体" w:cs="宋体"/>
                <w:szCs w:val="21"/>
              </w:rPr>
              <w:t>采 购</w:t>
            </w:r>
          </w:p>
          <w:p>
            <w:pPr>
              <w:spacing w:line="360" w:lineRule="auto"/>
              <w:rPr>
                <w:rFonts w:ascii="宋体" w:hAnsi="宋体" w:cs="宋体"/>
                <w:szCs w:val="21"/>
              </w:rPr>
            </w:pPr>
            <w:r>
              <w:rPr>
                <w:rFonts w:hint="eastAsia" w:ascii="宋体" w:hAnsi="宋体" w:cs="宋体"/>
                <w:szCs w:val="21"/>
              </w:rPr>
              <w:t>代理机 构</w:t>
            </w:r>
          </w:p>
        </w:tc>
        <w:tc>
          <w:tcPr>
            <w:tcW w:w="7641" w:type="dxa"/>
            <w:tcBorders>
              <w:top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采购代理机构：陕西万泽招标有限公司</w:t>
            </w:r>
          </w:p>
          <w:p>
            <w:pPr>
              <w:spacing w:line="360" w:lineRule="auto"/>
              <w:jc w:val="left"/>
              <w:rPr>
                <w:rFonts w:ascii="宋体" w:hAnsi="宋体" w:cs="宋体"/>
                <w:szCs w:val="21"/>
              </w:rPr>
            </w:pPr>
            <w:r>
              <w:rPr>
                <w:rFonts w:hint="eastAsia" w:ascii="宋体" w:hAnsi="宋体" w:cs="宋体"/>
                <w:szCs w:val="21"/>
              </w:rPr>
              <w:t>地        址：西安市莲湖区西关正街英达大厦1507室</w:t>
            </w:r>
          </w:p>
          <w:p>
            <w:pPr>
              <w:spacing w:line="360" w:lineRule="auto"/>
              <w:jc w:val="left"/>
              <w:rPr>
                <w:rFonts w:hint="default" w:ascii="宋体" w:hAnsi="宋体" w:eastAsia="宋体" w:cs="宋体"/>
                <w:szCs w:val="21"/>
                <w:lang w:val="en-US" w:eastAsia="zh-CN"/>
              </w:rPr>
            </w:pPr>
            <w:r>
              <w:rPr>
                <w:rFonts w:hint="eastAsia" w:ascii="宋体" w:hAnsi="宋体" w:cs="宋体"/>
                <w:szCs w:val="21"/>
              </w:rPr>
              <w:t xml:space="preserve">联   系   人：崔方明 </w:t>
            </w:r>
            <w:r>
              <w:rPr>
                <w:rFonts w:hint="eastAsia" w:ascii="宋体" w:hAnsi="宋体" w:cs="宋体"/>
                <w:szCs w:val="21"/>
                <w:lang w:val="en-US" w:eastAsia="zh-CN"/>
              </w:rPr>
              <w:t xml:space="preserve">   刘嘉辉</w:t>
            </w:r>
          </w:p>
          <w:p>
            <w:pPr>
              <w:spacing w:line="360" w:lineRule="auto"/>
              <w:jc w:val="left"/>
              <w:rPr>
                <w:rFonts w:hint="default" w:ascii="宋体" w:hAnsi="宋体" w:eastAsia="宋体" w:cs="宋体"/>
                <w:szCs w:val="21"/>
                <w:lang w:val="en-US" w:eastAsia="zh-CN"/>
              </w:rPr>
            </w:pPr>
            <w:r>
              <w:rPr>
                <w:rFonts w:hint="eastAsia" w:ascii="宋体" w:hAnsi="宋体" w:cs="宋体"/>
                <w:szCs w:val="21"/>
              </w:rPr>
              <w:t>电        话：029-88319689-8</w:t>
            </w:r>
            <w:r>
              <w:rPr>
                <w:rFonts w:hint="eastAsia" w:ascii="宋体" w:hAnsi="宋体" w:cs="宋体"/>
                <w:szCs w:val="21"/>
                <w:lang w:val="en-US" w:eastAsia="zh-CN"/>
              </w:rPr>
              <w:t>04/811</w:t>
            </w:r>
          </w:p>
          <w:p>
            <w:pPr>
              <w:spacing w:line="360" w:lineRule="auto"/>
              <w:jc w:val="left"/>
              <w:rPr>
                <w:rFonts w:ascii="宋体" w:hAnsi="宋体" w:cs="宋体"/>
                <w:szCs w:val="21"/>
              </w:rPr>
            </w:pPr>
            <w:r>
              <w:rPr>
                <w:rFonts w:hint="eastAsia" w:ascii="宋体" w:hAnsi="宋体" w:cs="宋体"/>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0" w:hRule="atLeast"/>
        </w:trPr>
        <w:tc>
          <w:tcPr>
            <w:tcW w:w="499" w:type="dxa"/>
            <w:vAlign w:val="center"/>
          </w:tcPr>
          <w:p>
            <w:pPr>
              <w:jc w:val="center"/>
              <w:rPr>
                <w:rFonts w:ascii="宋体" w:hAnsi="宋体" w:cs="宋体"/>
                <w:szCs w:val="21"/>
              </w:rPr>
            </w:pPr>
            <w:r>
              <w:rPr>
                <w:rFonts w:hint="eastAsia" w:ascii="宋体" w:hAnsi="宋体" w:cs="宋体"/>
                <w:szCs w:val="21"/>
              </w:rPr>
              <w:t>4</w:t>
            </w:r>
          </w:p>
        </w:tc>
        <w:tc>
          <w:tcPr>
            <w:tcW w:w="780" w:type="dxa"/>
            <w:vAlign w:val="center"/>
          </w:tcPr>
          <w:p>
            <w:pPr>
              <w:spacing w:line="360" w:lineRule="auto"/>
              <w:rPr>
                <w:rFonts w:ascii="宋体" w:hAnsi="宋体" w:cs="宋体"/>
                <w:szCs w:val="21"/>
              </w:rPr>
            </w:pPr>
            <w:r>
              <w:rPr>
                <w:rFonts w:hint="eastAsia" w:ascii="宋体" w:hAnsi="宋体" w:cs="宋体"/>
                <w:szCs w:val="21"/>
              </w:rPr>
              <w:t>联合体形式</w:t>
            </w:r>
          </w:p>
        </w:tc>
        <w:tc>
          <w:tcPr>
            <w:tcW w:w="7641" w:type="dxa"/>
            <w:vAlign w:val="center"/>
          </w:tcPr>
          <w:p>
            <w:pPr>
              <w:spacing w:line="360" w:lineRule="auto"/>
              <w:jc w:val="left"/>
              <w:rPr>
                <w:rFonts w:ascii="宋体" w:hAnsi="宋体" w:cs="宋体"/>
                <w:szCs w:val="21"/>
              </w:rPr>
            </w:pPr>
            <w:r>
              <w:rPr>
                <w:rFonts w:hint="eastAsia" w:ascii="宋体" w:hAnsi="宋体" w:cs="宋体"/>
                <w:szCs w:val="21"/>
              </w:rPr>
              <w:t xml:space="preserve">不接受联合体磋商。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0" w:hRule="atLeast"/>
        </w:trPr>
        <w:tc>
          <w:tcPr>
            <w:tcW w:w="499" w:type="dxa"/>
            <w:vAlign w:val="center"/>
          </w:tcPr>
          <w:p>
            <w:pPr>
              <w:jc w:val="center"/>
              <w:rPr>
                <w:rFonts w:ascii="宋体" w:hAnsi="宋体" w:cs="宋体"/>
                <w:szCs w:val="21"/>
              </w:rPr>
            </w:pPr>
            <w:r>
              <w:rPr>
                <w:rFonts w:hint="eastAsia" w:ascii="宋体" w:hAnsi="宋体" w:cs="宋体"/>
                <w:szCs w:val="21"/>
              </w:rPr>
              <w:t>5</w:t>
            </w:r>
          </w:p>
        </w:tc>
        <w:tc>
          <w:tcPr>
            <w:tcW w:w="780" w:type="dxa"/>
            <w:vAlign w:val="center"/>
          </w:tcPr>
          <w:p>
            <w:pPr>
              <w:spacing w:line="360" w:lineRule="auto"/>
              <w:rPr>
                <w:rFonts w:ascii="宋体" w:hAnsi="宋体" w:cs="宋体"/>
                <w:szCs w:val="21"/>
              </w:rPr>
            </w:pPr>
            <w:r>
              <w:rPr>
                <w:rFonts w:hint="eastAsia" w:ascii="宋体" w:hAnsi="宋体" w:cs="宋体"/>
                <w:szCs w:val="21"/>
              </w:rPr>
              <w:t>备 选</w:t>
            </w:r>
          </w:p>
          <w:p>
            <w:pPr>
              <w:spacing w:line="360" w:lineRule="auto"/>
              <w:rPr>
                <w:rFonts w:ascii="宋体" w:hAnsi="宋体" w:cs="宋体"/>
                <w:szCs w:val="21"/>
              </w:rPr>
            </w:pPr>
            <w:r>
              <w:rPr>
                <w:rFonts w:hint="eastAsia" w:ascii="宋体" w:hAnsi="宋体" w:cs="宋体"/>
                <w:szCs w:val="21"/>
              </w:rPr>
              <w:t>方 案</w:t>
            </w:r>
          </w:p>
        </w:tc>
        <w:tc>
          <w:tcPr>
            <w:tcW w:w="7641" w:type="dxa"/>
            <w:vAlign w:val="center"/>
          </w:tcPr>
          <w:p>
            <w:pPr>
              <w:spacing w:line="360" w:lineRule="auto"/>
              <w:jc w:val="left"/>
              <w:rPr>
                <w:rFonts w:ascii="宋体" w:hAnsi="宋体" w:cs="宋体"/>
                <w:szCs w:val="21"/>
              </w:rPr>
            </w:pPr>
            <w:r>
              <w:rPr>
                <w:rFonts w:hint="eastAsia" w:ascii="宋体" w:hAnsi="宋体" w:cs="宋体"/>
                <w:szCs w:val="21"/>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8" w:hRule="atLeast"/>
        </w:trPr>
        <w:tc>
          <w:tcPr>
            <w:tcW w:w="499" w:type="dxa"/>
            <w:vAlign w:val="center"/>
          </w:tcPr>
          <w:p>
            <w:pPr>
              <w:jc w:val="center"/>
              <w:rPr>
                <w:rFonts w:ascii="宋体" w:hAnsi="宋体" w:cs="宋体"/>
                <w:szCs w:val="21"/>
              </w:rPr>
            </w:pPr>
            <w:r>
              <w:rPr>
                <w:rFonts w:hint="eastAsia" w:ascii="宋体" w:hAnsi="宋体" w:cs="宋体"/>
                <w:szCs w:val="21"/>
              </w:rPr>
              <w:t>6</w:t>
            </w:r>
          </w:p>
        </w:tc>
        <w:tc>
          <w:tcPr>
            <w:tcW w:w="780" w:type="dxa"/>
            <w:vAlign w:val="center"/>
          </w:tcPr>
          <w:p>
            <w:pPr>
              <w:spacing w:line="360" w:lineRule="auto"/>
              <w:rPr>
                <w:rFonts w:ascii="宋体" w:hAnsi="宋体" w:cs="宋体"/>
                <w:szCs w:val="21"/>
              </w:rPr>
            </w:pPr>
            <w:r>
              <w:rPr>
                <w:rFonts w:hint="eastAsia" w:ascii="宋体" w:hAnsi="宋体" w:cs="宋体"/>
                <w:szCs w:val="21"/>
              </w:rPr>
              <w:t>打 包</w:t>
            </w:r>
          </w:p>
        </w:tc>
        <w:tc>
          <w:tcPr>
            <w:tcW w:w="7641" w:type="dxa"/>
            <w:vAlign w:val="center"/>
          </w:tcPr>
          <w:p>
            <w:pPr>
              <w:spacing w:line="360" w:lineRule="auto"/>
              <w:jc w:val="left"/>
              <w:rPr>
                <w:rFonts w:ascii="宋体" w:hAnsi="宋体" w:cs="宋体"/>
                <w:szCs w:val="21"/>
              </w:rPr>
            </w:pPr>
            <w:r>
              <w:rPr>
                <w:rFonts w:hint="eastAsia" w:ascii="宋体" w:hAnsi="宋体" w:cs="宋体"/>
                <w:szCs w:val="21"/>
              </w:rPr>
              <w:t>本次采购不分包，供应商可根据自身的资质情况和经营范围对本项目进行磋商，不得自行分解或只对本次项目中的品目进行不完全磋商，任何不完全的磋商将按无效磋商处理。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0" w:hRule="atLeast"/>
        </w:trPr>
        <w:tc>
          <w:tcPr>
            <w:tcW w:w="499" w:type="dxa"/>
            <w:vAlign w:val="center"/>
          </w:tcPr>
          <w:p>
            <w:pPr>
              <w:jc w:val="center"/>
              <w:rPr>
                <w:rFonts w:ascii="宋体" w:hAnsi="宋体" w:cs="宋体"/>
                <w:szCs w:val="21"/>
              </w:rPr>
            </w:pPr>
            <w:r>
              <w:rPr>
                <w:rFonts w:hint="eastAsia" w:ascii="宋体" w:hAnsi="宋体" w:cs="宋体"/>
                <w:szCs w:val="21"/>
              </w:rPr>
              <w:t>7</w:t>
            </w:r>
          </w:p>
        </w:tc>
        <w:tc>
          <w:tcPr>
            <w:tcW w:w="780" w:type="dxa"/>
            <w:vAlign w:val="center"/>
          </w:tcPr>
          <w:p>
            <w:pPr>
              <w:spacing w:line="360" w:lineRule="auto"/>
              <w:rPr>
                <w:rFonts w:ascii="宋体" w:hAnsi="宋体" w:cs="宋体"/>
                <w:szCs w:val="21"/>
              </w:rPr>
            </w:pPr>
            <w:r>
              <w:rPr>
                <w:rFonts w:hint="eastAsia" w:ascii="宋体" w:hAnsi="宋体" w:cs="宋体"/>
                <w:szCs w:val="21"/>
              </w:rPr>
              <w:t>磋 商</w:t>
            </w:r>
          </w:p>
          <w:p>
            <w:pPr>
              <w:spacing w:line="360" w:lineRule="auto"/>
              <w:rPr>
                <w:rFonts w:ascii="宋体" w:hAnsi="宋体" w:cs="宋体"/>
                <w:szCs w:val="21"/>
              </w:rPr>
            </w:pPr>
            <w:r>
              <w:rPr>
                <w:rFonts w:hint="eastAsia" w:ascii="宋体" w:hAnsi="宋体" w:cs="宋体"/>
                <w:szCs w:val="21"/>
              </w:rPr>
              <w:t>有效期</w:t>
            </w:r>
          </w:p>
        </w:tc>
        <w:tc>
          <w:tcPr>
            <w:tcW w:w="7641"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自磋商响应文件递交截止之日起</w:t>
            </w:r>
            <w:r>
              <w:rPr>
                <w:rFonts w:hint="eastAsia" w:ascii="宋体" w:hAnsi="宋体" w:cs="宋体"/>
                <w:szCs w:val="21"/>
                <w:highlight w:val="none"/>
                <w:lang w:val="en-US" w:eastAsia="zh-CN"/>
              </w:rPr>
              <w:t>90</w:t>
            </w:r>
            <w:r>
              <w:rPr>
                <w:rFonts w:hint="eastAsia" w:ascii="宋体" w:hAnsi="宋体" w:cs="宋体"/>
                <w:szCs w:val="21"/>
              </w:rPr>
              <w:t>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68" w:hRule="atLeast"/>
        </w:trPr>
        <w:tc>
          <w:tcPr>
            <w:tcW w:w="499" w:type="dxa"/>
            <w:vAlign w:val="center"/>
          </w:tcPr>
          <w:p>
            <w:pPr>
              <w:jc w:val="center"/>
              <w:rPr>
                <w:rFonts w:ascii="宋体" w:hAnsi="宋体" w:cs="宋体"/>
                <w:szCs w:val="21"/>
              </w:rPr>
            </w:pPr>
            <w:r>
              <w:rPr>
                <w:rFonts w:hint="eastAsia" w:ascii="宋体" w:hAnsi="宋体" w:cs="宋体"/>
                <w:szCs w:val="21"/>
              </w:rPr>
              <w:t>8</w:t>
            </w:r>
          </w:p>
        </w:tc>
        <w:tc>
          <w:tcPr>
            <w:tcW w:w="780" w:type="dxa"/>
            <w:vAlign w:val="center"/>
          </w:tcPr>
          <w:p>
            <w:pPr>
              <w:jc w:val="center"/>
              <w:rPr>
                <w:rFonts w:ascii="宋体" w:hAnsi="宋体" w:cs="宋体"/>
                <w:szCs w:val="21"/>
              </w:rPr>
            </w:pPr>
            <w:r>
              <w:rPr>
                <w:rFonts w:hint="eastAsia" w:ascii="宋体" w:hAnsi="宋体" w:cs="宋体"/>
                <w:szCs w:val="21"/>
              </w:rPr>
              <w:t>资 格</w:t>
            </w:r>
          </w:p>
          <w:p>
            <w:pPr>
              <w:jc w:val="center"/>
              <w:rPr>
                <w:rFonts w:ascii="宋体" w:hAnsi="宋体" w:cs="宋体"/>
                <w:szCs w:val="21"/>
              </w:rPr>
            </w:pPr>
            <w:r>
              <w:rPr>
                <w:rFonts w:hint="eastAsia" w:ascii="宋体" w:hAnsi="宋体" w:cs="宋体"/>
                <w:szCs w:val="21"/>
              </w:rPr>
              <w:t>要 求</w:t>
            </w:r>
          </w:p>
        </w:tc>
        <w:tc>
          <w:tcPr>
            <w:tcW w:w="7641" w:type="dxa"/>
          </w:tcPr>
          <w:p>
            <w:pPr>
              <w:spacing w:line="360" w:lineRule="auto"/>
              <w:jc w:val="left"/>
              <w:rPr>
                <w:szCs w:val="21"/>
              </w:rPr>
            </w:pPr>
            <w:r>
              <w:rPr>
                <w:rFonts w:hint="eastAsia"/>
              </w:rPr>
              <w:t>符</w:t>
            </w:r>
            <w:r>
              <w:rPr>
                <w:rFonts w:hint="eastAsia" w:ascii="宋体" w:hAnsi="宋体" w:cs="宋体"/>
                <w:szCs w:val="21"/>
              </w:rPr>
              <w:t>合《</w:t>
            </w:r>
            <w:r>
              <w:rPr>
                <w:rFonts w:hint="eastAsia"/>
                <w:szCs w:val="21"/>
              </w:rPr>
              <w:t>中华人民共和国政府采购法》第二十二条规定，并提供以下材料：</w:t>
            </w:r>
          </w:p>
          <w:p>
            <w:pPr>
              <w:snapToGrid w:val="0"/>
              <w:spacing w:line="360" w:lineRule="auto"/>
              <w:ind w:firstLine="420" w:firstLineChars="200"/>
              <w:jc w:val="left"/>
              <w:rPr>
                <w:rFonts w:ascii="宋体" w:cs="宋体"/>
                <w:bCs/>
                <w:kern w:val="0"/>
                <w:szCs w:val="21"/>
              </w:rPr>
            </w:pPr>
            <w:r>
              <w:rPr>
                <w:rFonts w:hint="eastAsia" w:ascii="宋体" w:hAnsi="宋体" w:cs="宋体"/>
                <w:bCs/>
                <w:kern w:val="0"/>
                <w:szCs w:val="21"/>
              </w:rPr>
              <w:t>1、提供合格</w:t>
            </w:r>
            <w:r>
              <w:rPr>
                <w:rFonts w:hint="eastAsia"/>
                <w:szCs w:val="21"/>
              </w:rPr>
              <w:t>有效的法人或其他组织的营业执照等证明文件，自然人参与的提供其身份证原件；</w:t>
            </w:r>
            <w:r>
              <w:rPr>
                <w:rFonts w:hint="eastAsia"/>
                <w:b/>
                <w:bCs/>
                <w:szCs w:val="21"/>
              </w:rPr>
              <w:t>证明文件提供复印件加盖供应商鲜章。</w:t>
            </w:r>
            <w:r>
              <w:rPr>
                <w:rFonts w:ascii="宋体" w:hAnsi="宋体" w:cs="宋体"/>
                <w:bCs/>
                <w:kern w:val="0"/>
                <w:szCs w:val="21"/>
              </w:rPr>
              <w:t xml:space="preserve"> </w:t>
            </w:r>
          </w:p>
          <w:p>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2、社会保障资金缴纳证明：提供20</w:t>
            </w:r>
            <w:r>
              <w:rPr>
                <w:rFonts w:hint="eastAsia" w:ascii="宋体" w:hAnsi="宋体" w:cs="宋体"/>
                <w:bCs/>
                <w:kern w:val="0"/>
                <w:szCs w:val="21"/>
                <w:lang w:val="en-US" w:eastAsia="zh-CN"/>
              </w:rPr>
              <w:t>21</w:t>
            </w:r>
            <w:r>
              <w:rPr>
                <w:rFonts w:hint="eastAsia" w:ascii="宋体" w:hAnsi="宋体" w:cs="宋体"/>
                <w:bCs/>
                <w:kern w:val="0"/>
                <w:szCs w:val="21"/>
              </w:rPr>
              <w:t>年1月至今已缴存的至少</w:t>
            </w:r>
            <w:r>
              <w:rPr>
                <w:rFonts w:hint="eastAsia" w:ascii="宋体" w:hAnsi="宋体" w:cs="宋体"/>
                <w:bCs/>
                <w:kern w:val="0"/>
                <w:szCs w:val="21"/>
                <w:lang w:val="en-US" w:eastAsia="zh-CN"/>
              </w:rPr>
              <w:t>一</w:t>
            </w:r>
            <w:r>
              <w:rPr>
                <w:rFonts w:hint="eastAsia" w:ascii="宋体" w:hAnsi="宋体" w:cs="宋体"/>
                <w:bCs/>
                <w:kern w:val="0"/>
                <w:szCs w:val="21"/>
              </w:rPr>
              <w:t>个月的社会保障资金缴存单据或社保机构开具的社会保险参保缴费情况证明，单据或证明上应有社保机构或代收机构的公章；依法不需要缴纳社会保障资金的供应商应提供相关文件证明；</w:t>
            </w:r>
            <w:r>
              <w:rPr>
                <w:rFonts w:hint="eastAsia"/>
                <w:b/>
                <w:bCs/>
                <w:szCs w:val="21"/>
              </w:rPr>
              <w:t>提供复印件加盖供应商鲜章。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3、税收缴纳证明：提供20</w:t>
            </w:r>
            <w:r>
              <w:rPr>
                <w:rFonts w:hint="eastAsia" w:ascii="宋体" w:hAnsi="宋体" w:cs="宋体"/>
                <w:bCs/>
                <w:kern w:val="0"/>
                <w:szCs w:val="21"/>
                <w:lang w:val="en-US" w:eastAsia="zh-CN"/>
              </w:rPr>
              <w:t>21</w:t>
            </w:r>
            <w:r>
              <w:rPr>
                <w:rFonts w:hint="eastAsia" w:ascii="宋体" w:hAnsi="宋体" w:cs="宋体"/>
                <w:bCs/>
                <w:kern w:val="0"/>
                <w:szCs w:val="21"/>
              </w:rPr>
              <w:t>年1月至今已缴纳的至少</w:t>
            </w:r>
            <w:r>
              <w:rPr>
                <w:rFonts w:hint="eastAsia" w:ascii="宋体" w:hAnsi="宋体" w:cs="宋体"/>
                <w:bCs/>
                <w:kern w:val="0"/>
                <w:szCs w:val="21"/>
                <w:lang w:val="en-US" w:eastAsia="zh-CN"/>
              </w:rPr>
              <w:t>一</w:t>
            </w:r>
            <w:r>
              <w:rPr>
                <w:rFonts w:hint="eastAsia" w:ascii="宋体" w:hAnsi="宋体" w:cs="宋体"/>
                <w:bCs/>
                <w:kern w:val="0"/>
                <w:szCs w:val="21"/>
              </w:rPr>
              <w:t>个月的纳税证明或完税证明；依法免税的单位应提供相关证明材料；</w:t>
            </w:r>
            <w:r>
              <w:rPr>
                <w:rFonts w:hint="eastAsia"/>
                <w:b/>
                <w:bCs/>
                <w:szCs w:val="21"/>
              </w:rPr>
              <w:t>提供复印件加盖供应商鲜章。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4、财务状况证明：提供经会计师事务所审计的20</w:t>
            </w:r>
            <w:r>
              <w:rPr>
                <w:rFonts w:hint="eastAsia" w:ascii="宋体" w:hAnsi="宋体" w:cs="宋体"/>
                <w:bCs/>
                <w:kern w:val="0"/>
                <w:szCs w:val="21"/>
                <w:lang w:val="en-US" w:eastAsia="zh-CN"/>
              </w:rPr>
              <w:t>20</w:t>
            </w:r>
            <w:r>
              <w:rPr>
                <w:rFonts w:hint="eastAsia" w:ascii="宋体" w:hAnsi="宋体" w:cs="宋体"/>
                <w:bCs/>
                <w:kern w:val="0"/>
                <w:szCs w:val="21"/>
              </w:rPr>
              <w:t>年或20</w:t>
            </w:r>
            <w:r>
              <w:rPr>
                <w:rFonts w:hint="eastAsia" w:ascii="宋体" w:hAnsi="宋体" w:cs="宋体"/>
                <w:bCs/>
                <w:kern w:val="0"/>
                <w:szCs w:val="21"/>
                <w:lang w:val="en-US" w:eastAsia="zh-CN"/>
              </w:rPr>
              <w:t>21</w:t>
            </w:r>
            <w:r>
              <w:rPr>
                <w:rFonts w:hint="eastAsia" w:ascii="宋体" w:hAnsi="宋体" w:cs="宋体"/>
                <w:bCs/>
                <w:kern w:val="0"/>
                <w:szCs w:val="21"/>
              </w:rPr>
              <w:t>年财务审计报告，或在开标日期前六个月内其基本开户银行出具的资信证明；</w:t>
            </w:r>
            <w:r>
              <w:rPr>
                <w:rFonts w:hint="eastAsia"/>
                <w:b/>
                <w:bCs/>
                <w:szCs w:val="21"/>
              </w:rPr>
              <w:t>提供复印件加盖供应商鲜章。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5、供应商信誉证明：提供在参加政府采购活动前3年内在经营活动中没有重大违法记录，</w:t>
            </w:r>
            <w:r>
              <w:rPr>
                <w:rFonts w:hint="eastAsia" w:ascii="宋体" w:hAnsi="宋体" w:cs="宋体"/>
                <w:kern w:val="0"/>
                <w:szCs w:val="21"/>
              </w:rPr>
              <w:t>未被信用中国网（www.creditchina.gov.cn）列入失信被执行人、重大税收违法案件当事人名单，未被中国政府采购网（www.ccgp.gov.cn）列入政府采购严重违法失信行为记录名单的书面声明；</w:t>
            </w:r>
            <w:r>
              <w:rPr>
                <w:rFonts w:hint="eastAsia"/>
                <w:b/>
                <w:bCs/>
                <w:szCs w:val="21"/>
              </w:rPr>
              <w:t xml:space="preserve"> 提供声明原件，格式可参考</w:t>
            </w:r>
            <w:r>
              <w:rPr>
                <w:rFonts w:hint="eastAsia"/>
                <w:b/>
                <w:bCs/>
                <w:szCs w:val="21"/>
                <w:lang w:val="en-US" w:eastAsia="zh-CN"/>
              </w:rPr>
              <w:t>磋商</w:t>
            </w:r>
            <w:r>
              <w:rPr>
                <w:rFonts w:hint="eastAsia"/>
                <w:b/>
                <w:bCs/>
                <w:szCs w:val="21"/>
              </w:rPr>
              <w:t>文件第七部分。</w:t>
            </w:r>
          </w:p>
          <w:p>
            <w:pPr>
              <w:widowControl/>
              <w:tabs>
                <w:tab w:val="left" w:pos="1620"/>
              </w:tabs>
              <w:wordWrap w:val="0"/>
              <w:snapToGrid w:val="0"/>
              <w:spacing w:line="300" w:lineRule="auto"/>
              <w:ind w:firstLine="420" w:firstLineChars="200"/>
              <w:jc w:val="left"/>
              <w:rPr>
                <w:rFonts w:ascii="宋体" w:hAnsi="宋体" w:cs="宋体"/>
                <w:bCs/>
                <w:kern w:val="0"/>
                <w:szCs w:val="21"/>
              </w:rPr>
            </w:pPr>
            <w:r>
              <w:rPr>
                <w:rFonts w:hint="eastAsia" w:ascii="宋体" w:hAnsi="宋体" w:cs="宋体"/>
                <w:bCs/>
                <w:kern w:val="0"/>
                <w:szCs w:val="21"/>
              </w:rPr>
              <w:t>6、非法定代表人参加</w:t>
            </w:r>
            <w:r>
              <w:rPr>
                <w:rFonts w:hint="eastAsia" w:ascii="宋体" w:hAnsi="宋体" w:cs="宋体"/>
                <w:bCs/>
                <w:kern w:val="0"/>
                <w:szCs w:val="21"/>
                <w:lang w:val="en-US" w:eastAsia="zh-CN"/>
              </w:rPr>
              <w:t>磋商</w:t>
            </w:r>
            <w:r>
              <w:rPr>
                <w:rFonts w:hint="eastAsia" w:ascii="宋体" w:hAnsi="宋体" w:cs="宋体"/>
                <w:bCs/>
                <w:kern w:val="0"/>
                <w:szCs w:val="21"/>
              </w:rPr>
              <w:t>的，须提供法定代表人授权委托书及被授权人身份证原件；法定代表人参加</w:t>
            </w:r>
            <w:r>
              <w:rPr>
                <w:rFonts w:hint="eastAsia" w:ascii="宋体" w:hAnsi="宋体" w:cs="宋体"/>
                <w:bCs/>
                <w:kern w:val="0"/>
                <w:szCs w:val="21"/>
                <w:lang w:val="en-US" w:eastAsia="zh-CN"/>
              </w:rPr>
              <w:t>磋商</w:t>
            </w:r>
            <w:r>
              <w:rPr>
                <w:rFonts w:hint="eastAsia" w:ascii="宋体" w:hAnsi="宋体" w:cs="宋体"/>
                <w:bCs/>
                <w:kern w:val="0"/>
                <w:szCs w:val="21"/>
              </w:rPr>
              <w:t>时,只须提供法定代表人身份证原件；</w:t>
            </w:r>
          </w:p>
          <w:p>
            <w:pPr>
              <w:widowControl/>
              <w:tabs>
                <w:tab w:val="left" w:pos="1620"/>
              </w:tabs>
              <w:wordWrap w:val="0"/>
              <w:snapToGrid w:val="0"/>
              <w:spacing w:line="300" w:lineRule="auto"/>
              <w:jc w:val="left"/>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 xml:space="preserve">    7、</w:t>
            </w:r>
            <w:r>
              <w:rPr>
                <w:rFonts w:hint="eastAsia" w:ascii="宋体" w:hAnsi="宋体" w:cs="宋体"/>
                <w:bCs/>
                <w:kern w:val="0"/>
                <w:szCs w:val="21"/>
                <w:highlight w:val="none"/>
                <w:lang w:val="en-US" w:eastAsia="zh-CN"/>
              </w:rPr>
              <w:t>提供合法有效的劳务派遣经营许可证及人力资源服务许可证</w:t>
            </w:r>
            <w:r>
              <w:rPr>
                <w:rFonts w:hint="eastAsia" w:ascii="宋体" w:hAnsi="宋体" w:cs="宋体"/>
                <w:bCs/>
                <w:kern w:val="0"/>
                <w:szCs w:val="21"/>
                <w:lang w:val="en-US" w:eastAsia="zh-CN"/>
              </w:rPr>
              <w:t>；</w:t>
            </w:r>
            <w:r>
              <w:rPr>
                <w:rFonts w:hint="eastAsia"/>
                <w:b/>
                <w:bCs/>
                <w:szCs w:val="21"/>
              </w:rPr>
              <w:t>提供复印件加盖供应商鲜章。</w:t>
            </w:r>
          </w:p>
          <w:p>
            <w:pPr>
              <w:widowControl/>
              <w:tabs>
                <w:tab w:val="left" w:pos="1620"/>
              </w:tabs>
              <w:wordWrap w:val="0"/>
              <w:snapToGrid w:val="0"/>
              <w:spacing w:line="300" w:lineRule="auto"/>
              <w:ind w:firstLine="420" w:firstLineChars="200"/>
              <w:jc w:val="left"/>
              <w:rPr>
                <w:rFonts w:ascii="宋体" w:hAnsi="宋体" w:cs="宋体"/>
                <w:kern w:val="0"/>
                <w:szCs w:val="21"/>
              </w:rPr>
            </w:pPr>
            <w:r>
              <w:rPr>
                <w:rFonts w:hint="eastAsia" w:ascii="宋体" w:hAnsi="宋体" w:cs="宋体"/>
                <w:bCs/>
                <w:kern w:val="0"/>
                <w:szCs w:val="21"/>
                <w:lang w:val="en-US" w:eastAsia="zh-CN"/>
              </w:rPr>
              <w:t>8、</w:t>
            </w:r>
            <w:r>
              <w:rPr>
                <w:rFonts w:hint="eastAsia" w:ascii="宋体" w:hAnsi="宋体" w:cs="宋体"/>
                <w:bCs/>
                <w:kern w:val="0"/>
                <w:szCs w:val="21"/>
              </w:rPr>
              <w:t xml:space="preserve">本项目不接受联合体磋商。 </w:t>
            </w:r>
          </w:p>
          <w:p>
            <w:pPr>
              <w:adjustRightInd w:val="0"/>
              <w:snapToGrid w:val="0"/>
              <w:spacing w:line="360" w:lineRule="auto"/>
              <w:rPr>
                <w:rFonts w:ascii="宋体" w:hAnsi="宋体" w:cs="宋体"/>
                <w:b/>
                <w:bCs/>
                <w:szCs w:val="21"/>
              </w:rPr>
            </w:pPr>
            <w:r>
              <w:rPr>
                <w:rFonts w:hint="eastAsia" w:ascii="宋体" w:hAnsi="宋体"/>
                <w:b/>
                <w:bCs/>
                <w:sz w:val="22"/>
              </w:rPr>
              <w:t>注</w:t>
            </w:r>
            <w:r>
              <w:rPr>
                <w:rFonts w:hint="eastAsia" w:ascii="宋体" w:hAnsi="宋体" w:cs="宋体"/>
                <w:b/>
                <w:bCs/>
                <w:szCs w:val="21"/>
              </w:rPr>
              <w:t>：</w:t>
            </w:r>
          </w:p>
          <w:p>
            <w:pPr>
              <w:pStyle w:val="6"/>
              <w:spacing w:line="360" w:lineRule="auto"/>
              <w:ind w:firstLine="422" w:firstLineChars="200"/>
              <w:rPr>
                <w:rFonts w:ascii="宋体" w:hAnsi="宋体" w:cs="宋体"/>
                <w:b/>
                <w:bCs/>
                <w:szCs w:val="21"/>
              </w:rPr>
            </w:pPr>
            <w:r>
              <w:rPr>
                <w:rFonts w:cs="Calibri"/>
                <w:b/>
                <w:bCs/>
                <w:szCs w:val="21"/>
              </w:rPr>
              <w:t>①</w:t>
            </w:r>
            <w:r>
              <w:rPr>
                <w:rFonts w:hint="eastAsia" w:ascii="宋体" w:hAnsi="宋体" w:cs="宋体"/>
                <w:b/>
                <w:bCs/>
                <w:szCs w:val="21"/>
              </w:rPr>
              <w:t>供应商应在响应文件正本中附按照上述要求须提供的资格证明文件（身份证原件除外），作为资格审查的依据，资审时凡有一项不合格者，均按无效磋商处理。</w:t>
            </w:r>
          </w:p>
          <w:p>
            <w:pPr>
              <w:pStyle w:val="6"/>
              <w:spacing w:line="360" w:lineRule="auto"/>
              <w:ind w:firstLine="422" w:firstLineChars="200"/>
            </w:pPr>
            <w:r>
              <w:rPr>
                <w:rFonts w:cs="Calibri"/>
                <w:b/>
                <w:bCs/>
                <w:szCs w:val="21"/>
              </w:rPr>
              <w:t>②</w:t>
            </w:r>
            <w:r>
              <w:rPr>
                <w:rFonts w:hint="eastAsia" w:ascii="宋体" w:hAnsi="宋体" w:cs="宋体"/>
                <w:b/>
                <w:bCs/>
                <w:szCs w:val="21"/>
              </w:rPr>
              <w:t>供应商自行承担所提供原件及其复印件的真实性、合法性及有效性，由于供应商未在响应文件中提供或所提供证明材料不合格的，将按无效响应处理。（如供应商的各类证书原件正在变更、年检中的，须有相应的行业管理部门出具书面证明，并提供相应的证书复印件加盖供应商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499" w:type="dxa"/>
            <w:vAlign w:val="center"/>
          </w:tcPr>
          <w:p>
            <w:pPr>
              <w:jc w:val="center"/>
              <w:rPr>
                <w:rFonts w:ascii="宋体" w:hAnsi="宋体" w:cs="宋体"/>
                <w:szCs w:val="21"/>
              </w:rPr>
            </w:pPr>
            <w:r>
              <w:rPr>
                <w:rFonts w:hint="eastAsia" w:ascii="宋体" w:hAnsi="宋体" w:cs="宋体"/>
                <w:szCs w:val="21"/>
              </w:rPr>
              <w:t>9</w:t>
            </w:r>
          </w:p>
        </w:tc>
        <w:tc>
          <w:tcPr>
            <w:tcW w:w="780" w:type="dxa"/>
            <w:vAlign w:val="center"/>
          </w:tcPr>
          <w:p>
            <w:pPr>
              <w:jc w:val="center"/>
              <w:rPr>
                <w:rFonts w:ascii="宋体" w:hAnsi="宋体" w:cs="宋体"/>
                <w:color w:val="000000"/>
                <w:szCs w:val="21"/>
              </w:rPr>
            </w:pPr>
            <w:r>
              <w:rPr>
                <w:rFonts w:hint="eastAsia" w:ascii="宋体" w:hAnsi="宋体" w:cs="宋体"/>
                <w:color w:val="000000"/>
                <w:szCs w:val="21"/>
              </w:rPr>
              <w:t>磋商</w:t>
            </w:r>
          </w:p>
          <w:p>
            <w:pPr>
              <w:jc w:val="center"/>
              <w:rPr>
                <w:rFonts w:ascii="宋体" w:hAnsi="宋体" w:cs="宋体"/>
                <w:szCs w:val="21"/>
              </w:rPr>
            </w:pPr>
            <w:r>
              <w:rPr>
                <w:rFonts w:hint="eastAsia" w:ascii="宋体" w:hAnsi="宋体" w:cs="宋体"/>
                <w:color w:val="000000"/>
                <w:szCs w:val="21"/>
              </w:rPr>
              <w:t>保证金</w:t>
            </w:r>
          </w:p>
        </w:tc>
        <w:tc>
          <w:tcPr>
            <w:tcW w:w="7641" w:type="dxa"/>
          </w:tcPr>
          <w:p>
            <w:pPr>
              <w:spacing w:line="500" w:lineRule="exact"/>
              <w:jc w:val="left"/>
              <w:rPr>
                <w:rFonts w:ascii="宋体" w:hAnsi="宋体" w:cs="宋体"/>
                <w:szCs w:val="21"/>
              </w:rPr>
            </w:pPr>
            <w:r>
              <w:rPr>
                <w:rFonts w:hint="eastAsia" w:ascii="宋体" w:hAnsi="宋体" w:cs="宋体"/>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99" w:type="dxa"/>
            <w:vAlign w:val="center"/>
          </w:tcPr>
          <w:p>
            <w:pPr>
              <w:jc w:val="center"/>
              <w:rPr>
                <w:rFonts w:ascii="宋体" w:hAnsi="宋体" w:cs="宋体"/>
                <w:szCs w:val="21"/>
              </w:rPr>
            </w:pPr>
            <w:r>
              <w:rPr>
                <w:rFonts w:hint="eastAsia" w:ascii="宋体" w:hAnsi="宋体" w:cs="宋体"/>
                <w:szCs w:val="21"/>
              </w:rPr>
              <w:t>10</w:t>
            </w:r>
          </w:p>
        </w:tc>
        <w:tc>
          <w:tcPr>
            <w:tcW w:w="780" w:type="dxa"/>
            <w:vAlign w:val="center"/>
          </w:tcPr>
          <w:p>
            <w:pPr>
              <w:jc w:val="center"/>
              <w:rPr>
                <w:rFonts w:ascii="宋体" w:hAnsi="宋体" w:cs="宋体"/>
                <w:szCs w:val="21"/>
              </w:rPr>
            </w:pPr>
            <w:r>
              <w:rPr>
                <w:rFonts w:hint="eastAsia" w:ascii="宋体" w:hAnsi="宋体" w:cs="宋体"/>
                <w:szCs w:val="21"/>
              </w:rPr>
              <w:t>磋商</w:t>
            </w:r>
          </w:p>
          <w:p>
            <w:pPr>
              <w:jc w:val="center"/>
              <w:rPr>
                <w:rFonts w:ascii="宋体" w:hAnsi="宋体" w:cs="宋体"/>
                <w:szCs w:val="21"/>
              </w:rPr>
            </w:pPr>
            <w:r>
              <w:rPr>
                <w:rFonts w:hint="eastAsia" w:ascii="宋体" w:hAnsi="宋体" w:cs="宋体"/>
                <w:szCs w:val="21"/>
              </w:rPr>
              <w:t>响应</w:t>
            </w:r>
          </w:p>
          <w:p>
            <w:pPr>
              <w:jc w:val="center"/>
              <w:rPr>
                <w:rFonts w:ascii="宋体" w:hAnsi="宋体" w:cs="宋体"/>
                <w:szCs w:val="21"/>
              </w:rPr>
            </w:pPr>
            <w:r>
              <w:rPr>
                <w:rFonts w:hint="eastAsia" w:ascii="宋体" w:hAnsi="宋体" w:cs="宋体"/>
                <w:szCs w:val="21"/>
              </w:rPr>
              <w:t>文件</w:t>
            </w:r>
          </w:p>
        </w:tc>
        <w:tc>
          <w:tcPr>
            <w:tcW w:w="7641"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磋商响应文件</w:t>
            </w:r>
            <w:r>
              <w:rPr>
                <w:rFonts w:hint="eastAsia" w:ascii="宋体" w:hAnsi="宋体" w:cs="宋体"/>
                <w:b/>
                <w:bCs/>
                <w:szCs w:val="21"/>
              </w:rPr>
              <w:t>正本壹份、副本叁份</w:t>
            </w:r>
            <w:r>
              <w:rPr>
                <w:rFonts w:hint="eastAsia" w:ascii="宋体" w:hAnsi="宋体" w:cs="宋体"/>
                <w:szCs w:val="21"/>
              </w:rPr>
              <w:t>，分别胶装装订成册，且封面须清楚地标明“正本”或“副本”；若正本和副本不符，以正本书面文件为准；</w:t>
            </w:r>
            <w:r>
              <w:rPr>
                <w:rFonts w:hint="eastAsia" w:ascii="宋体" w:hAnsi="宋体"/>
                <w:szCs w:val="21"/>
              </w:rPr>
              <w:t>同时提供与正本内容一致的电子版（</w:t>
            </w:r>
            <w:r>
              <w:rPr>
                <w:rFonts w:ascii="宋体" w:hAnsi="宋体"/>
                <w:b/>
                <w:bCs/>
                <w:szCs w:val="21"/>
              </w:rPr>
              <w:t>U</w:t>
            </w:r>
            <w:r>
              <w:rPr>
                <w:rFonts w:hint="eastAsia" w:ascii="宋体" w:hAnsi="宋体"/>
                <w:b/>
                <w:bCs/>
                <w:szCs w:val="21"/>
              </w:rPr>
              <w:t>盘</w:t>
            </w:r>
            <w:r>
              <w:rPr>
                <w:rFonts w:hint="eastAsia" w:ascii="宋体" w:hAnsi="宋体"/>
                <w:szCs w:val="21"/>
              </w:rPr>
              <w:t>、</w:t>
            </w:r>
            <w:r>
              <w:rPr>
                <w:rFonts w:hint="eastAsia" w:ascii="宋体" w:hAnsi="宋体" w:cs="宋体"/>
                <w:b/>
                <w:bCs/>
                <w:szCs w:val="21"/>
              </w:rPr>
              <w:t>电子文档应为</w:t>
            </w:r>
            <w:r>
              <w:rPr>
                <w:rFonts w:ascii="宋体" w:hAnsi="宋体" w:cs="宋体"/>
                <w:b/>
                <w:bCs/>
                <w:szCs w:val="21"/>
              </w:rPr>
              <w:t>PDF</w:t>
            </w:r>
            <w:r>
              <w:rPr>
                <w:rFonts w:hint="eastAsia" w:ascii="宋体" w:hAnsi="宋体" w:cs="宋体"/>
                <w:b/>
                <w:bCs/>
                <w:szCs w:val="21"/>
              </w:rPr>
              <w:t>格式WORD格式各一份</w:t>
            </w:r>
            <w:r>
              <w:rPr>
                <w:rFonts w:hint="eastAsia" w:ascii="宋体" w:hAnsi="宋体"/>
                <w:szCs w:val="21"/>
              </w:rPr>
              <w:t>）、磋商一览表壹份</w:t>
            </w:r>
            <w:r>
              <w:rPr>
                <w:rFonts w:hint="eastAsia" w:ascii="宋体" w:hAnsi="宋体" w:cs="宋体"/>
                <w:b/>
                <w:bCs/>
                <w:szCs w:val="21"/>
              </w:rPr>
              <w:t>（</w:t>
            </w:r>
            <w:r>
              <w:rPr>
                <w:rFonts w:hint="eastAsia" w:ascii="宋体" w:hAnsi="宋体" w:cs="宋体"/>
                <w:szCs w:val="21"/>
              </w:rPr>
              <w:t>用于磋商唱标单独提交的“磋商一览表”应为原件</w:t>
            </w:r>
            <w:r>
              <w:rPr>
                <w:rFonts w:hint="eastAsia" w:ascii="宋体" w:hAnsi="宋体" w:cs="宋体"/>
                <w:b/>
                <w:bCs/>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9" w:hRule="atLeast"/>
        </w:trPr>
        <w:tc>
          <w:tcPr>
            <w:tcW w:w="499" w:type="dxa"/>
            <w:vAlign w:val="center"/>
          </w:tcPr>
          <w:p>
            <w:pPr>
              <w:jc w:val="center"/>
              <w:rPr>
                <w:rFonts w:ascii="宋体" w:hAnsi="宋体" w:cs="宋体"/>
                <w:szCs w:val="21"/>
              </w:rPr>
            </w:pPr>
            <w:r>
              <w:rPr>
                <w:rFonts w:hint="eastAsia" w:ascii="宋体" w:hAnsi="宋体" w:cs="宋体"/>
                <w:szCs w:val="21"/>
              </w:rPr>
              <w:t>11</w:t>
            </w:r>
          </w:p>
        </w:tc>
        <w:tc>
          <w:tcPr>
            <w:tcW w:w="780" w:type="dxa"/>
            <w:vAlign w:val="center"/>
          </w:tcPr>
          <w:p>
            <w:pPr>
              <w:jc w:val="center"/>
              <w:rPr>
                <w:rFonts w:ascii="宋体" w:hAnsi="宋体" w:cs="宋体"/>
                <w:szCs w:val="21"/>
              </w:rPr>
            </w:pPr>
            <w:r>
              <w:rPr>
                <w:rFonts w:hint="eastAsia" w:ascii="宋体" w:hAnsi="宋体" w:cs="宋体"/>
                <w:szCs w:val="21"/>
              </w:rPr>
              <w:t>包装</w:t>
            </w:r>
          </w:p>
          <w:p>
            <w:pPr>
              <w:jc w:val="center"/>
              <w:rPr>
                <w:rFonts w:ascii="宋体" w:hAnsi="宋体" w:cs="宋体"/>
                <w:szCs w:val="21"/>
              </w:rPr>
            </w:pPr>
            <w:r>
              <w:rPr>
                <w:rFonts w:hint="eastAsia" w:ascii="宋体" w:hAnsi="宋体" w:cs="宋体"/>
                <w:szCs w:val="21"/>
              </w:rPr>
              <w:t>密封</w:t>
            </w:r>
          </w:p>
        </w:tc>
        <w:tc>
          <w:tcPr>
            <w:tcW w:w="7641" w:type="dxa"/>
            <w:vAlign w:val="center"/>
          </w:tcPr>
          <w:p>
            <w:pPr>
              <w:spacing w:line="360" w:lineRule="auto"/>
              <w:ind w:firstLine="420" w:firstLineChars="200"/>
              <w:jc w:val="left"/>
              <w:rPr>
                <w:rFonts w:ascii="宋体" w:hAnsi="宋体" w:cs="宋体"/>
                <w:kern w:val="0"/>
                <w:szCs w:val="21"/>
              </w:rPr>
            </w:pPr>
            <w:r>
              <w:rPr>
                <w:rFonts w:hint="eastAsia" w:ascii="宋体" w:hAnsi="宋体" w:cs="宋体"/>
                <w:szCs w:val="21"/>
              </w:rPr>
              <w:t>磋商响应文件正本、所有的副本、电子版、磋商一览表需分开密封装在单独的封袋中（封袋不得有破损），且在封袋正面标明“正本”“副本”“电子版”“磋商一览表”字样。封袋应密封，并在封线处加盖供应商鲜章，封袋正面要粘贴供应商全称、项目名称、编号、包号等标识、且</w:t>
            </w:r>
            <w:r>
              <w:rPr>
                <w:rFonts w:hint="eastAsia" w:ascii="宋体" w:hAnsi="宋体" w:cs="宋体"/>
                <w:kern w:val="0"/>
                <w:szCs w:val="21"/>
              </w:rPr>
              <w:t>磋商响应文件袋上应加盖供应商公章（</w:t>
            </w:r>
            <w:r>
              <w:rPr>
                <w:rFonts w:hint="eastAsia" w:ascii="宋体" w:hAnsi="宋体" w:cs="宋体"/>
                <w:szCs w:val="21"/>
              </w:rPr>
              <w:t>封面标识见竞争性磋商文件</w:t>
            </w:r>
            <w:r>
              <w:rPr>
                <w:rFonts w:hint="eastAsia" w:ascii="宋体" w:hAnsi="宋体" w:cs="宋体"/>
                <w:b/>
                <w:bCs/>
                <w:szCs w:val="21"/>
              </w:rPr>
              <w:t>附件一</w:t>
            </w:r>
            <w:r>
              <w:rPr>
                <w:rFonts w:hint="eastAsia" w:ascii="宋体" w:hAnsi="宋体" w:cs="宋体"/>
                <w:szCs w:val="21"/>
              </w:rPr>
              <w:t>）</w:t>
            </w:r>
            <w:r>
              <w:rPr>
                <w:rFonts w:hint="eastAsia" w:ascii="宋体" w:hAnsi="宋体" w:cs="宋体"/>
                <w:kern w:val="0"/>
                <w:szCs w:val="21"/>
              </w:rPr>
              <w:t>如果未按上述规定进行密封，供应商的磋商响应文件有权被拒绝</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如果供应商未按上述要求密封及加写标记，误投或过早启封的磋商响应文件，将自行承担其磋商响应文件被视为无效磋商响应文件的风险。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9" w:hRule="atLeast"/>
        </w:trPr>
        <w:tc>
          <w:tcPr>
            <w:tcW w:w="499" w:type="dxa"/>
            <w:vAlign w:val="center"/>
          </w:tcPr>
          <w:p>
            <w:pPr>
              <w:jc w:val="center"/>
              <w:rPr>
                <w:rFonts w:ascii="宋体" w:hAnsi="宋体" w:cs="宋体"/>
                <w:szCs w:val="21"/>
              </w:rPr>
            </w:pPr>
            <w:r>
              <w:rPr>
                <w:rFonts w:hint="eastAsia" w:ascii="宋体" w:hAnsi="宋体" w:cs="宋体"/>
                <w:szCs w:val="21"/>
              </w:rPr>
              <w:t>12</w:t>
            </w:r>
          </w:p>
        </w:tc>
        <w:tc>
          <w:tcPr>
            <w:tcW w:w="780" w:type="dxa"/>
            <w:vAlign w:val="center"/>
          </w:tcPr>
          <w:p>
            <w:pPr>
              <w:jc w:val="center"/>
              <w:rPr>
                <w:rFonts w:ascii="宋体" w:hAnsi="宋体" w:cs="宋体"/>
                <w:color w:val="000000"/>
                <w:szCs w:val="21"/>
              </w:rPr>
            </w:pPr>
            <w:r>
              <w:rPr>
                <w:rFonts w:hint="eastAsia" w:ascii="宋体" w:hAnsi="宋体" w:cs="宋体"/>
                <w:color w:val="000000"/>
                <w:szCs w:val="21"/>
              </w:rPr>
              <w:t>评分</w:t>
            </w:r>
          </w:p>
          <w:p>
            <w:pPr>
              <w:jc w:val="center"/>
              <w:rPr>
                <w:rFonts w:ascii="宋体" w:hAnsi="宋体" w:cs="宋体"/>
                <w:szCs w:val="21"/>
              </w:rPr>
            </w:pPr>
            <w:r>
              <w:rPr>
                <w:rFonts w:hint="eastAsia" w:ascii="宋体" w:hAnsi="宋体" w:cs="宋体"/>
                <w:color w:val="000000"/>
                <w:szCs w:val="21"/>
              </w:rPr>
              <w:t>标准</w:t>
            </w:r>
          </w:p>
        </w:tc>
        <w:tc>
          <w:tcPr>
            <w:tcW w:w="7641" w:type="dxa"/>
            <w:vAlign w:val="center"/>
          </w:tcPr>
          <w:p>
            <w:pPr>
              <w:ind w:firstLine="420" w:firstLineChars="200"/>
              <w:jc w:val="left"/>
              <w:rPr>
                <w:rFonts w:ascii="宋体" w:hAnsi="宋体" w:cs="宋体"/>
                <w:b/>
                <w:bCs/>
                <w:color w:val="000000"/>
                <w:szCs w:val="21"/>
              </w:rPr>
            </w:pPr>
            <w:r>
              <w:rPr>
                <w:rFonts w:hint="eastAsia" w:ascii="宋体" w:hAnsi="宋体" w:cs="宋体"/>
                <w:szCs w:val="21"/>
              </w:rPr>
              <w:t>磋商多轮报价，综合评分（详见第四部分）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9" w:hRule="atLeast"/>
        </w:trPr>
        <w:tc>
          <w:tcPr>
            <w:tcW w:w="499" w:type="dxa"/>
            <w:vAlign w:val="center"/>
          </w:tcPr>
          <w:p>
            <w:pPr>
              <w:spacing w:line="360" w:lineRule="auto"/>
              <w:jc w:val="center"/>
              <w:rPr>
                <w:rFonts w:hint="eastAsia" w:ascii="宋体" w:hAnsi="宋体" w:cs="宋体"/>
                <w:szCs w:val="21"/>
              </w:rPr>
            </w:pPr>
            <w:r>
              <w:rPr>
                <w:rFonts w:hint="eastAsia" w:asciiTheme="minorEastAsia" w:hAnsiTheme="minorEastAsia" w:cstheme="minorEastAsia"/>
                <w:szCs w:val="21"/>
                <w:lang w:val="en-US" w:eastAsia="zh-CN"/>
              </w:rPr>
              <w:t>12</w:t>
            </w:r>
          </w:p>
        </w:tc>
        <w:tc>
          <w:tcPr>
            <w:tcW w:w="780" w:type="dxa"/>
            <w:vAlign w:val="center"/>
          </w:tcPr>
          <w:p>
            <w:pPr>
              <w:spacing w:line="360" w:lineRule="auto"/>
              <w:jc w:val="center"/>
              <w:rPr>
                <w:rFonts w:hint="eastAsia" w:ascii="宋体" w:hAnsi="宋体" w:cs="宋体"/>
                <w:color w:val="000000"/>
                <w:szCs w:val="21"/>
              </w:rPr>
            </w:pPr>
            <w:r>
              <w:rPr>
                <w:rFonts w:hint="eastAsia" w:asciiTheme="minorEastAsia" w:hAnsiTheme="minorEastAsia" w:cstheme="minorEastAsia"/>
                <w:color w:val="000000"/>
                <w:szCs w:val="21"/>
                <w:lang w:eastAsia="zh-CN"/>
              </w:rPr>
              <w:t>履约保证金</w:t>
            </w:r>
          </w:p>
        </w:tc>
        <w:tc>
          <w:tcPr>
            <w:tcW w:w="7641" w:type="dxa"/>
            <w:vAlign w:val="center"/>
          </w:tcPr>
          <w:p>
            <w:pPr>
              <w:spacing w:line="360" w:lineRule="auto"/>
              <w:ind w:firstLine="420" w:firstLineChars="200"/>
              <w:jc w:val="both"/>
              <w:rPr>
                <w:rFonts w:hint="eastAsia" w:ascii="宋体" w:hAnsi="宋体" w:cs="宋体"/>
                <w:szCs w:val="21"/>
              </w:rPr>
            </w:pPr>
            <w:r>
              <w:rPr>
                <w:rFonts w:hint="eastAsia" w:asciiTheme="minorEastAsia" w:hAnsiTheme="minorEastAsia" w:cstheme="minorEastAsia"/>
                <w:szCs w:val="21"/>
                <w:lang w:eastAsia="zh-CN"/>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9" w:hRule="atLeast"/>
        </w:trPr>
        <w:tc>
          <w:tcPr>
            <w:tcW w:w="499" w:type="dxa"/>
            <w:vAlign w:val="center"/>
          </w:tcPr>
          <w:p>
            <w:pPr>
              <w:spacing w:line="360" w:lineRule="auto"/>
              <w:jc w:val="center"/>
              <w:rPr>
                <w:rFonts w:hint="eastAsia" w:ascii="宋体" w:hAnsi="宋体" w:cs="宋体"/>
                <w:szCs w:val="21"/>
              </w:rPr>
            </w:pPr>
            <w:r>
              <w:rPr>
                <w:rFonts w:hint="eastAsia" w:asciiTheme="minorEastAsia" w:hAnsiTheme="minorEastAsia" w:cstheme="minorEastAsia"/>
                <w:szCs w:val="21"/>
                <w:lang w:val="en-US" w:eastAsia="zh-CN"/>
              </w:rPr>
              <w:t>13</w:t>
            </w:r>
          </w:p>
        </w:tc>
        <w:tc>
          <w:tcPr>
            <w:tcW w:w="780" w:type="dxa"/>
            <w:vAlign w:val="center"/>
          </w:tcPr>
          <w:p>
            <w:pPr>
              <w:spacing w:line="360" w:lineRule="auto"/>
              <w:jc w:val="center"/>
              <w:rPr>
                <w:rFonts w:hint="eastAsia" w:ascii="宋体" w:hAnsi="宋体" w:cs="宋体"/>
                <w:color w:val="000000"/>
                <w:szCs w:val="21"/>
              </w:rPr>
            </w:pPr>
            <w:r>
              <w:rPr>
                <w:rFonts w:hint="eastAsia" w:asciiTheme="minorEastAsia" w:hAnsiTheme="minorEastAsia" w:cstheme="minorEastAsia"/>
                <w:color w:val="000000"/>
                <w:szCs w:val="21"/>
                <w:lang w:eastAsia="zh-CN"/>
              </w:rPr>
              <w:t>履约验收</w:t>
            </w:r>
          </w:p>
        </w:tc>
        <w:tc>
          <w:tcPr>
            <w:tcW w:w="7641" w:type="dxa"/>
            <w:vAlign w:val="center"/>
          </w:tcPr>
          <w:p>
            <w:pPr>
              <w:spacing w:line="360" w:lineRule="auto"/>
              <w:ind w:firstLine="420" w:firstLineChars="200"/>
              <w:jc w:val="both"/>
              <w:rPr>
                <w:rFonts w:hint="eastAsia" w:ascii="宋体" w:hAnsi="宋体" w:cs="宋体"/>
                <w:szCs w:val="21"/>
              </w:rPr>
            </w:pPr>
            <w:r>
              <w:rPr>
                <w:rFonts w:hint="eastAsia" w:asciiTheme="minorEastAsia" w:hAnsiTheme="minorEastAsia" w:eastAsiaTheme="minorEastAsia" w:cstheme="minorEastAsia"/>
                <w:szCs w:val="21"/>
                <w:lang w:eastAsia="zh-CN"/>
              </w:rPr>
              <w:t>是否委托采购代理机构组织履约验收：否。</w:t>
            </w:r>
          </w:p>
        </w:tc>
      </w:tr>
    </w:tbl>
    <w:p>
      <w:pPr>
        <w:pStyle w:val="3"/>
        <w:keepLines w:val="0"/>
        <w:jc w:val="both"/>
        <w:rPr>
          <w:rFonts w:ascii="宋体" w:hAnsi="宋体" w:cs="宋体"/>
        </w:rPr>
        <w:sectPr>
          <w:footerReference r:id="rId9" w:type="default"/>
          <w:pgSz w:w="11906" w:h="16838"/>
          <w:pgMar w:top="1440" w:right="1706" w:bottom="1440" w:left="1800" w:header="851" w:footer="992" w:gutter="0"/>
          <w:pgNumType w:fmt="decimal"/>
          <w:cols w:space="720" w:num="1"/>
          <w:docGrid w:type="lines" w:linePitch="312" w:charSpace="0"/>
        </w:sectPr>
      </w:pPr>
    </w:p>
    <w:p>
      <w:pPr>
        <w:pStyle w:val="3"/>
        <w:keepLines w:val="0"/>
        <w:ind w:firstLine="643" w:firstLineChars="200"/>
        <w:rPr>
          <w:rFonts w:ascii="宋体" w:hAnsi="宋体" w:cs="宋体"/>
        </w:rPr>
      </w:pPr>
      <w:bookmarkStart w:id="11" w:name="_Toc7892"/>
      <w:bookmarkStart w:id="12" w:name="_Toc26164"/>
      <w:bookmarkStart w:id="13" w:name="_Toc25094"/>
      <w:bookmarkStart w:id="14" w:name="_Toc19272"/>
      <w:r>
        <w:rPr>
          <w:rFonts w:hint="eastAsia" w:ascii="宋体" w:hAnsi="宋体" w:cs="宋体"/>
        </w:rPr>
        <w:t>第三部分 供应商须知</w:t>
      </w:r>
      <w:bookmarkEnd w:id="11"/>
      <w:bookmarkEnd w:id="12"/>
      <w:bookmarkEnd w:id="13"/>
      <w:bookmarkEnd w:id="14"/>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15" w:name="_Toc702"/>
      <w:bookmarkStart w:id="16" w:name="_Toc12064"/>
      <w:bookmarkStart w:id="17" w:name="_Toc10909"/>
      <w:bookmarkStart w:id="18" w:name="_Toc26739"/>
      <w:r>
        <w:rPr>
          <w:rFonts w:hint="eastAsia" w:ascii="宋体" w:hAnsi="宋体" w:cs="宋体"/>
          <w:b/>
          <w:bCs/>
          <w:kern w:val="0"/>
          <w:sz w:val="32"/>
          <w:szCs w:val="28"/>
        </w:rPr>
        <w:t>总则</w:t>
      </w:r>
      <w:bookmarkEnd w:id="15"/>
      <w:bookmarkEnd w:id="16"/>
      <w:bookmarkEnd w:id="17"/>
      <w:bookmarkEnd w:id="18"/>
    </w:p>
    <w:p>
      <w:pPr>
        <w:pStyle w:val="5"/>
        <w:numPr>
          <w:ilvl w:val="0"/>
          <w:numId w:val="4"/>
        </w:numPr>
        <w:ind w:firstLine="562" w:firstLineChars="200"/>
        <w:rPr>
          <w:rFonts w:ascii="宋体" w:hAnsi="宋体" w:cs="宋体"/>
        </w:rPr>
      </w:pPr>
      <w:bookmarkStart w:id="19" w:name="_Toc380336725"/>
      <w:bookmarkStart w:id="20" w:name="_Toc6742"/>
      <w:bookmarkStart w:id="21" w:name="_Toc9257"/>
      <w:bookmarkStart w:id="22" w:name="_Toc358364319"/>
      <w:r>
        <w:rPr>
          <w:rFonts w:hint="eastAsia" w:ascii="宋体" w:hAnsi="宋体" w:cs="宋体"/>
        </w:rPr>
        <w:t>适用范围</w:t>
      </w:r>
      <w:bookmarkEnd w:id="19"/>
      <w:bookmarkEnd w:id="20"/>
      <w:bookmarkEnd w:id="21"/>
      <w:bookmarkEnd w:id="22"/>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本磋商文件适用于本次采购活动的全过程。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本次采购属政府采购，采购人、采购代理机构、供应商、磋商小组的相关行为均受《中华人民共和国政府采购法》及实施条例、财政部规章及政府采购项目所在地有关法规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4"/>
        </w:numPr>
        <w:ind w:firstLine="562" w:firstLineChars="200"/>
        <w:rPr>
          <w:rFonts w:ascii="宋体" w:hAnsi="宋体" w:cs="宋体"/>
        </w:rPr>
      </w:pPr>
      <w:bookmarkStart w:id="23" w:name="_Toc358364320"/>
      <w:bookmarkStart w:id="24" w:name="_Toc7922"/>
      <w:bookmarkStart w:id="25" w:name="_Toc11287"/>
      <w:bookmarkStart w:id="26" w:name="_Toc380336726"/>
      <w:r>
        <w:rPr>
          <w:rFonts w:hint="eastAsia" w:ascii="宋体" w:hAnsi="宋体" w:cs="宋体"/>
        </w:rPr>
        <w:t>定义</w:t>
      </w:r>
      <w:bookmarkEnd w:id="23"/>
      <w:bookmarkEnd w:id="24"/>
      <w:bookmarkEnd w:id="25"/>
      <w:bookmarkEnd w:id="26"/>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2.1 “采购人”是指依法进行政府采购的国家机关、事业单位、团体组织。本次政府采购的采购人名称、地址、电话见供应商须知前附表。</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2.2 “采购代理机构”是指接受采购人委托，代理采购项目的集中采购机构和其他采购代理机构。本次采购代理机构名称、地址、电话见供应商须知前附表。</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2.3 “供应商”是</w:t>
      </w:r>
      <w:r>
        <w:rPr>
          <w:rFonts w:hint="eastAsia" w:ascii="宋体" w:hAnsi="宋体" w:cs="宋体"/>
          <w:sz w:val="24"/>
          <w:szCs w:val="24"/>
        </w:rPr>
        <w:t>参与本项目磋商活动的</w:t>
      </w:r>
      <w:r>
        <w:rPr>
          <w:rFonts w:hint="eastAsia" w:ascii="宋体" w:hAnsi="宋体" w:cs="宋体"/>
          <w:color w:val="000000"/>
          <w:sz w:val="24"/>
          <w:szCs w:val="24"/>
        </w:rPr>
        <w:t>法人、其他组织或自然人</w:t>
      </w:r>
      <w:r>
        <w:rPr>
          <w:rFonts w:hint="eastAsia" w:ascii="宋体" w:hAnsi="宋体" w:cs="宋体"/>
          <w:kern w:val="0"/>
          <w:sz w:val="24"/>
          <w:szCs w:val="24"/>
        </w:rPr>
        <w:t>。</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2.4 “货物” 是指各种形态和种类的物品，包括原材料、燃料、产品等。按照财政部《政府采购进口产品管理办法》（财库[2007]119号）的有关规定，本磋商文件涉及的所有采购内容除特别标注为“可接受进口产品”外，均必须采购国产产品。进口产品特指“通过中国海关报关验放进入中国境内且产自关境外的产品”。</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2.5 “服务”指除了货物和工程外的其他政府采购对象。包含除货物以外规定由供应商承担的与货物有关的辅助服务。</w:t>
      </w:r>
    </w:p>
    <w:p>
      <w:pPr>
        <w:pStyle w:val="5"/>
        <w:numPr>
          <w:ilvl w:val="0"/>
          <w:numId w:val="4"/>
        </w:numPr>
        <w:spacing w:line="500" w:lineRule="exact"/>
        <w:ind w:firstLine="562" w:firstLineChars="200"/>
        <w:rPr>
          <w:rFonts w:ascii="宋体" w:hAnsi="宋体" w:cs="宋体"/>
          <w:szCs w:val="28"/>
        </w:rPr>
      </w:pPr>
      <w:bookmarkStart w:id="27" w:name="_Toc358364321"/>
      <w:bookmarkStart w:id="28" w:name="_Toc380336727"/>
      <w:bookmarkStart w:id="29" w:name="_Toc17676"/>
      <w:bookmarkStart w:id="30" w:name="_Toc23781"/>
      <w:r>
        <w:rPr>
          <w:rFonts w:hint="eastAsia" w:ascii="宋体" w:hAnsi="宋体" w:cs="宋体"/>
          <w:szCs w:val="28"/>
        </w:rPr>
        <w:t>合格的</w:t>
      </w:r>
      <w:bookmarkEnd w:id="27"/>
      <w:bookmarkEnd w:id="28"/>
      <w:bookmarkEnd w:id="29"/>
      <w:bookmarkEnd w:id="30"/>
      <w:r>
        <w:rPr>
          <w:rFonts w:hint="eastAsia" w:ascii="宋体" w:hAnsi="宋体" w:cs="宋体"/>
          <w:szCs w:val="28"/>
        </w:rPr>
        <w:t>供应商</w:t>
      </w:r>
    </w:p>
    <w:p>
      <w:pPr>
        <w:tabs>
          <w:tab w:val="left" w:pos="0"/>
        </w:tabs>
        <w:spacing w:line="500" w:lineRule="exact"/>
        <w:ind w:left="6" w:firstLine="499" w:firstLineChars="208"/>
        <w:jc w:val="left"/>
        <w:rPr>
          <w:rFonts w:ascii="宋体" w:hAnsi="宋体" w:cs="宋体"/>
          <w:sz w:val="24"/>
          <w:szCs w:val="24"/>
        </w:rPr>
      </w:pPr>
      <w:r>
        <w:rPr>
          <w:rFonts w:hint="eastAsia" w:ascii="宋体" w:hAnsi="宋体" w:cs="宋体"/>
          <w:sz w:val="24"/>
          <w:szCs w:val="24"/>
        </w:rPr>
        <w:t>3.1具有本项目生产、制造、加工、供应或实施能力，符合、承认并承诺履行本磋商文件各项规定的国内供应商。</w:t>
      </w:r>
    </w:p>
    <w:p>
      <w:pPr>
        <w:tabs>
          <w:tab w:val="left" w:pos="0"/>
        </w:tabs>
        <w:spacing w:line="500" w:lineRule="exact"/>
        <w:ind w:left="6" w:firstLine="499" w:firstLineChars="208"/>
        <w:jc w:val="left"/>
        <w:rPr>
          <w:rFonts w:ascii="宋体" w:hAnsi="宋体" w:cs="宋体"/>
          <w:sz w:val="24"/>
          <w:szCs w:val="24"/>
        </w:rPr>
      </w:pPr>
      <w:r>
        <w:rPr>
          <w:rFonts w:hint="eastAsia" w:ascii="宋体" w:hAnsi="宋体" w:cs="宋体"/>
          <w:sz w:val="24"/>
          <w:szCs w:val="24"/>
        </w:rPr>
        <w:t>3.2供应商应遵守有关的国家法律、法规和条例，具备《中华人民共和国政府采购法》和本文件中规定的条件：</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具有履行合同所必需的产品和专业技术能力；</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left="6" w:firstLine="499" w:firstLineChars="208"/>
        <w:rPr>
          <w:rFonts w:ascii="宋体" w:hAnsi="宋体" w:cs="宋体"/>
          <w:sz w:val="24"/>
          <w:szCs w:val="24"/>
        </w:rPr>
      </w:pPr>
      <w:r>
        <w:rPr>
          <w:rFonts w:hint="eastAsia" w:ascii="宋体" w:hAnsi="宋体" w:cs="宋体"/>
          <w:sz w:val="24"/>
          <w:szCs w:val="24"/>
        </w:rPr>
        <w:t>3.3供应商购买磋商文件时应登记备案，并提供有效联系方式。</w:t>
      </w:r>
    </w:p>
    <w:p>
      <w:pPr>
        <w:tabs>
          <w:tab w:val="left" w:pos="0"/>
        </w:tabs>
        <w:spacing w:line="500" w:lineRule="exact"/>
        <w:ind w:left="5" w:firstLine="518" w:firstLineChars="216"/>
        <w:rPr>
          <w:rFonts w:ascii="宋体" w:hAnsi="宋体" w:cs="宋体"/>
          <w:sz w:val="24"/>
          <w:szCs w:val="24"/>
        </w:rPr>
      </w:pPr>
      <w:r>
        <w:rPr>
          <w:rFonts w:hint="eastAsia" w:ascii="宋体" w:hAnsi="宋体" w:cs="宋体"/>
          <w:sz w:val="24"/>
          <w:szCs w:val="24"/>
        </w:rPr>
        <w:t>3.4如供应商代表不是法定代表人，须持有《法定代表人授权委托书》 (按磋商文件提供的格式填写)。</w:t>
      </w:r>
    </w:p>
    <w:p>
      <w:pPr>
        <w:tabs>
          <w:tab w:val="left" w:pos="0"/>
        </w:tabs>
        <w:spacing w:line="500" w:lineRule="exact"/>
        <w:ind w:left="5" w:firstLine="518" w:firstLineChars="216"/>
        <w:rPr>
          <w:rFonts w:ascii="宋体" w:hAnsi="宋体" w:cs="宋体"/>
          <w:kern w:val="0"/>
          <w:sz w:val="24"/>
          <w:szCs w:val="24"/>
        </w:rPr>
      </w:pPr>
      <w:r>
        <w:rPr>
          <w:rFonts w:hint="eastAsia" w:ascii="宋体" w:hAnsi="宋体" w:cs="宋体"/>
          <w:sz w:val="24"/>
          <w:szCs w:val="24"/>
        </w:rPr>
        <w:t>3.5供应商应独立于采购人，不得直接或间接地与采购人为本次采购的货物进行设计、编制技术规格和其它文件所委托的咨询公司或其附属机构有任何关联。</w:t>
      </w:r>
    </w:p>
    <w:p>
      <w:pPr>
        <w:tabs>
          <w:tab w:val="left" w:pos="0"/>
        </w:tabs>
        <w:spacing w:line="500" w:lineRule="exact"/>
        <w:ind w:left="5" w:firstLine="518" w:firstLineChars="216"/>
        <w:rPr>
          <w:rFonts w:ascii="宋体" w:hAnsi="宋体" w:cs="宋体"/>
          <w:kern w:val="0"/>
          <w:sz w:val="24"/>
          <w:szCs w:val="24"/>
        </w:rPr>
      </w:pPr>
      <w:r>
        <w:rPr>
          <w:rFonts w:hint="eastAsia" w:ascii="宋体" w:hAnsi="宋体" w:cs="宋体"/>
          <w:kern w:val="0"/>
          <w:sz w:val="24"/>
          <w:szCs w:val="24"/>
        </w:rPr>
        <w:t>3.6供应商不得存在下列情形之一</w:t>
      </w:r>
      <w:r>
        <w:rPr>
          <w:rFonts w:hint="eastAsia" w:ascii="宋体" w:hAnsi="宋体" w:cs="宋体"/>
          <w:sz w:val="24"/>
          <w:szCs w:val="24"/>
        </w:rPr>
        <w:t>：</w:t>
      </w:r>
    </w:p>
    <w:p>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（1）与采购人或采购代理机构存在隶属关系或者其他利害关系；</w:t>
      </w:r>
    </w:p>
    <w:p>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（2）与其他供应商的法定代表人（或者负责人）为同一人，或者与其他供应商存在直接控股、管理关系；</w:t>
      </w:r>
    </w:p>
    <w:p>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3）受到刑事处罚，或者受到三万元以上罚款，责令停产停业、在一年至三年内禁止参加政府采购活动、暂扣或吊销许可证、暂扣或吊销执照等情形之一的行政处罚，或者存在财政部门认定的其他重大违法记录。</w:t>
      </w:r>
    </w:p>
    <w:p>
      <w:pPr>
        <w:tabs>
          <w:tab w:val="left" w:pos="0"/>
        </w:tabs>
        <w:spacing w:line="500" w:lineRule="exact"/>
        <w:ind w:left="5" w:firstLine="444" w:firstLineChars="185"/>
        <w:rPr>
          <w:rFonts w:ascii="宋体" w:hAnsi="宋体" w:cs="宋体"/>
          <w:b/>
          <w:bCs/>
          <w:kern w:val="0"/>
          <w:sz w:val="24"/>
          <w:szCs w:val="24"/>
        </w:rPr>
      </w:pPr>
      <w:r>
        <w:rPr>
          <w:rFonts w:hint="eastAsia" w:ascii="宋体" w:hAnsi="宋体" w:cs="宋体"/>
          <w:kern w:val="0"/>
          <w:sz w:val="24"/>
          <w:szCs w:val="24"/>
        </w:rPr>
        <w:t>（4）</w:t>
      </w:r>
      <w:r>
        <w:rPr>
          <w:rFonts w:hint="eastAsia" w:ascii="宋体" w:hAnsi="宋体" w:cs="宋体"/>
          <w:b/>
          <w:bCs/>
          <w:kern w:val="0"/>
          <w:sz w:val="24"/>
          <w:szCs w:val="24"/>
        </w:rPr>
        <w:t>在投标截止日前被列入失信被执行人、重大税收违法案件当事人名单、政府采购严重违法失信行为记录名单（处罚期限届满的除外）（以信用中国网（</w:t>
      </w:r>
      <w:r>
        <w:rPr>
          <w:rFonts w:hint="eastAsia" w:ascii="宋体" w:hAnsi="宋体" w:cs="宋体"/>
          <w:b/>
          <w:bCs/>
          <w:kern w:val="0"/>
          <w:sz w:val="24"/>
          <w:szCs w:val="24"/>
        </w:rPr>
        <w:drawing>
          <wp:inline distT="0" distB="0" distL="0" distR="0">
            <wp:extent cx="190500" cy="142875"/>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20" cstate="print"/>
                    <a:srcRect/>
                    <a:stretch>
                      <a:fillRect/>
                    </a:stretch>
                  </pic:blipFill>
                  <pic:spPr>
                    <a:xfrm>
                      <a:off x="0" y="0"/>
                      <a:ext cx="190500" cy="142875"/>
                    </a:xfrm>
                    <a:prstGeom prst="rect">
                      <a:avLst/>
                    </a:prstGeom>
                    <a:noFill/>
                    <a:ln w="9525" cmpd="sng">
                      <a:noFill/>
                      <a:miter lim="800000"/>
                      <a:headEnd/>
                      <a:tailEnd/>
                    </a:ln>
                  </pic:spPr>
                </pic:pic>
              </a:graphicData>
            </a:graphic>
          </wp:inline>
        </w:drawing>
      </w:r>
      <w:r>
        <w:rPr>
          <w:rFonts w:hint="eastAsia" w:ascii="宋体" w:hAnsi="宋体" w:cs="宋体"/>
          <w:b/>
          <w:bCs/>
          <w:kern w:val="0"/>
          <w:sz w:val="24"/>
          <w:szCs w:val="24"/>
        </w:rPr>
        <w:t>www.creditchina.gov.cn）、中国政府采购网（</w:t>
      </w:r>
      <w:r>
        <w:rPr>
          <w:rFonts w:hint="eastAsia" w:ascii="宋体" w:hAnsi="宋体" w:cs="宋体"/>
          <w:b/>
          <w:bCs/>
          <w:kern w:val="0"/>
          <w:sz w:val="24"/>
          <w:szCs w:val="24"/>
        </w:rPr>
        <w:drawing>
          <wp:inline distT="0" distB="0" distL="0" distR="0">
            <wp:extent cx="190500" cy="142875"/>
            <wp:effectExtent l="1905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noChangeArrowheads="1"/>
                    </pic:cNvPicPr>
                  </pic:nvPicPr>
                  <pic:blipFill>
                    <a:blip r:embed="rId20" cstate="print"/>
                    <a:srcRect/>
                    <a:stretch>
                      <a:fillRect/>
                    </a:stretch>
                  </pic:blipFill>
                  <pic:spPr>
                    <a:xfrm>
                      <a:off x="0" y="0"/>
                      <a:ext cx="190500" cy="142875"/>
                    </a:xfrm>
                    <a:prstGeom prst="rect">
                      <a:avLst/>
                    </a:prstGeom>
                    <a:noFill/>
                    <a:ln w="9525" cmpd="sng">
                      <a:noFill/>
                      <a:miter lim="800000"/>
                      <a:headEnd/>
                      <a:tailEnd/>
                    </a:ln>
                  </pic:spPr>
                </pic:pic>
              </a:graphicData>
            </a:graphic>
          </wp:inline>
        </w:drawing>
      </w:r>
      <w:r>
        <w:rPr>
          <w:rFonts w:hint="eastAsia" w:ascii="宋体" w:hAnsi="宋体" w:cs="宋体"/>
          <w:b/>
          <w:bCs/>
          <w:kern w:val="0"/>
          <w:sz w:val="24"/>
          <w:szCs w:val="24"/>
        </w:rPr>
        <w:t>www.ccgp.gov.cn）查询结果为准、如相关失信记录已失效，供应商需提供相关证明资料）。</w:t>
      </w:r>
    </w:p>
    <w:p>
      <w:pPr>
        <w:pStyle w:val="5"/>
        <w:numPr>
          <w:ilvl w:val="0"/>
          <w:numId w:val="4"/>
        </w:numPr>
        <w:spacing w:line="500" w:lineRule="exact"/>
        <w:ind w:firstLine="562" w:firstLineChars="200"/>
        <w:rPr>
          <w:rFonts w:ascii="宋体" w:hAnsi="宋体" w:cs="宋体"/>
          <w:szCs w:val="28"/>
        </w:rPr>
      </w:pPr>
      <w:bookmarkStart w:id="31" w:name="_Toc358364322"/>
      <w:bookmarkStart w:id="32" w:name="_Toc540"/>
      <w:bookmarkStart w:id="33" w:name="_Toc22444"/>
      <w:bookmarkStart w:id="34" w:name="_Toc380336728"/>
      <w:r>
        <w:rPr>
          <w:rFonts w:hint="eastAsia" w:ascii="宋体" w:hAnsi="宋体" w:cs="宋体"/>
          <w:szCs w:val="28"/>
        </w:rPr>
        <w:t>费用</w:t>
      </w:r>
      <w:bookmarkEnd w:id="31"/>
      <w:bookmarkEnd w:id="32"/>
      <w:bookmarkEnd w:id="33"/>
      <w:bookmarkEnd w:id="34"/>
    </w:p>
    <w:p>
      <w:pPr>
        <w:widowControl/>
        <w:wordWrap w:val="0"/>
        <w:snapToGrid w:val="0"/>
        <w:spacing w:beforeLines="50" w:line="360" w:lineRule="auto"/>
        <w:ind w:right="-90" w:rightChars="-43" w:firstLine="480" w:firstLineChars="200"/>
        <w:jc w:val="left"/>
        <w:rPr>
          <w:rFonts w:ascii="宋体" w:hAnsi="宋体" w:cs="宋体"/>
          <w:kern w:val="0"/>
          <w:sz w:val="24"/>
          <w:szCs w:val="24"/>
        </w:rPr>
      </w:pPr>
      <w:r>
        <w:rPr>
          <w:rFonts w:hint="eastAsia" w:ascii="宋体" w:hAnsi="宋体" w:cs="宋体"/>
          <w:kern w:val="0"/>
          <w:sz w:val="24"/>
          <w:szCs w:val="24"/>
        </w:rPr>
        <w:t>供应商应承担所有与准备和参加</w:t>
      </w:r>
      <w:r>
        <w:rPr>
          <w:rFonts w:hint="eastAsia" w:ascii="宋体" w:hAnsi="宋体" w:cs="宋体"/>
          <w:kern w:val="0"/>
          <w:sz w:val="24"/>
          <w:szCs w:val="24"/>
          <w:lang w:val="en-US" w:eastAsia="zh-CN"/>
        </w:rPr>
        <w:t>磋商</w:t>
      </w:r>
      <w:r>
        <w:rPr>
          <w:rFonts w:hint="eastAsia" w:ascii="宋体" w:hAnsi="宋体" w:cs="宋体"/>
          <w:kern w:val="0"/>
          <w:sz w:val="24"/>
          <w:szCs w:val="24"/>
        </w:rPr>
        <w:t>有关的费用，采购代理机构（或采购人)在任何情况下均无义务和责任承担这些费用。</w:t>
      </w:r>
    </w:p>
    <w:p>
      <w:pPr>
        <w:pStyle w:val="5"/>
        <w:numPr>
          <w:ilvl w:val="0"/>
          <w:numId w:val="4"/>
        </w:numPr>
        <w:spacing w:line="500" w:lineRule="exact"/>
        <w:ind w:firstLine="562" w:firstLineChars="200"/>
        <w:rPr>
          <w:rFonts w:ascii="宋体" w:hAnsi="宋体" w:cs="宋体"/>
          <w:szCs w:val="28"/>
        </w:rPr>
      </w:pPr>
      <w:r>
        <w:rPr>
          <w:rFonts w:hint="eastAsia" w:ascii="宋体" w:hAnsi="宋体" w:cs="宋体"/>
          <w:szCs w:val="28"/>
        </w:rPr>
        <w:t>采购进口产品</w:t>
      </w:r>
    </w:p>
    <w:p>
      <w:pPr>
        <w:widowControl/>
        <w:wordWrap w:val="0"/>
        <w:snapToGrid w:val="0"/>
        <w:spacing w:beforeLines="50" w:line="360" w:lineRule="auto"/>
        <w:ind w:right="-90" w:rightChars="-43" w:firstLine="480" w:firstLineChars="200"/>
        <w:jc w:val="left"/>
        <w:rPr>
          <w:rFonts w:ascii="宋体" w:hAnsi="宋体" w:cs="宋体"/>
          <w:sz w:val="24"/>
          <w:szCs w:val="24"/>
        </w:rPr>
      </w:pPr>
      <w:r>
        <w:rPr>
          <w:rFonts w:hint="eastAsia" w:ascii="宋体" w:hAnsi="宋体" w:cs="宋体"/>
          <w:sz w:val="24"/>
          <w:szCs w:val="24"/>
        </w:rPr>
        <w:t>5.1 除公告或第五部分采购要求标明允许采购进口产品外，本项目拒绝进口产品参加采购活动。</w:t>
      </w:r>
    </w:p>
    <w:p>
      <w:pPr>
        <w:widowControl/>
        <w:wordWrap w:val="0"/>
        <w:snapToGrid w:val="0"/>
        <w:spacing w:line="360" w:lineRule="auto"/>
        <w:ind w:right="-92" w:rightChars="-44" w:firstLine="480" w:firstLineChars="200"/>
        <w:jc w:val="left"/>
        <w:rPr>
          <w:rFonts w:ascii="宋体" w:hAnsi="宋体" w:cs="宋体"/>
          <w:sz w:val="24"/>
          <w:szCs w:val="24"/>
        </w:rPr>
      </w:pPr>
      <w:r>
        <w:rPr>
          <w:rFonts w:hint="eastAsia" w:ascii="宋体" w:hAnsi="宋体" w:cs="宋体"/>
          <w:sz w:val="24"/>
          <w:szCs w:val="24"/>
        </w:rPr>
        <w:t>5.2 本项目第五部分采购要求中同意购买进口产品的，采购活动不限制满足磋商文件要求的国产产品参与本次采购。</w:t>
      </w:r>
    </w:p>
    <w:p>
      <w:pPr>
        <w:pStyle w:val="5"/>
        <w:numPr>
          <w:ilvl w:val="0"/>
          <w:numId w:val="4"/>
        </w:numPr>
        <w:spacing w:afterLines="100" w:line="500" w:lineRule="exact"/>
        <w:ind w:firstLine="562" w:firstLineChars="200"/>
        <w:rPr>
          <w:rFonts w:ascii="宋体" w:hAnsi="宋体" w:cs="宋体"/>
          <w:szCs w:val="28"/>
        </w:rPr>
      </w:pPr>
      <w:r>
        <w:rPr>
          <w:rFonts w:hint="eastAsia" w:ascii="宋体" w:hAnsi="宋体" w:cs="宋体"/>
          <w:szCs w:val="28"/>
        </w:rPr>
        <w:t>政府采购政策支持</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 xml:space="preserve">6.1 对列入财政部、国家发改委发布的《节能产品政府采购清单》且属于应当“强制采购的节能产品”，按照规定实行强制采购。 </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6.2 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92" w:rightChars="-44" w:firstLine="480" w:firstLineChars="200"/>
        <w:jc w:val="left"/>
        <w:rPr>
          <w:rFonts w:hint="eastAsia" w:ascii="宋体" w:hAnsi="宋体" w:cs="宋体"/>
          <w:kern w:val="0"/>
          <w:sz w:val="24"/>
          <w:szCs w:val="24"/>
        </w:rPr>
      </w:pPr>
      <w:r>
        <w:rPr>
          <w:rFonts w:hint="eastAsia" w:ascii="宋体" w:hAnsi="宋体" w:cs="宋体"/>
          <w:kern w:val="0"/>
          <w:sz w:val="24"/>
          <w:szCs w:val="24"/>
        </w:rPr>
        <w:t>6.3 产品同时属于“非强制采购节能产品”、环境标志产品的，评审时只有其中一项能享受优先待遇（供应商自行选择，并在报价文件中填写相关信息及数据）。</w:t>
      </w:r>
    </w:p>
    <w:p>
      <w:pPr>
        <w:widowControl/>
        <w:wordWrap w:val="0"/>
        <w:snapToGrid w:val="0"/>
        <w:spacing w:line="360" w:lineRule="auto"/>
        <w:ind w:right="-92" w:rightChars="-44"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6.4</w:t>
      </w:r>
      <w:r>
        <w:rPr>
          <w:rFonts w:hint="eastAsia" w:ascii="宋体" w:hAnsi="宋体" w:eastAsia="宋体" w:cs="宋体"/>
          <w:kern w:val="0"/>
          <w:sz w:val="24"/>
          <w:szCs w:val="24"/>
        </w:rPr>
        <w:t>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具体名单见网址：</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HYPERLINK "http://www.xaczj.gov.cn/info/6/27730.htm中《西安市财政局关于进一步做好政府采购信用担保及信用融资工作有关事宜的通知》）。"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http://xaczj.xa.gov.cn/zfcg/cgfg/5db9054565cbd804f69e97e0.html中《西安市财政局关于进一步做好政府采购信用担保及信用融资工作有关事宜的通知》）。</w:t>
      </w:r>
      <w:r>
        <w:rPr>
          <w:rFonts w:hint="eastAsia" w:ascii="宋体" w:hAnsi="宋体" w:eastAsia="宋体" w:cs="宋体"/>
          <w:kern w:val="0"/>
          <w:sz w:val="24"/>
          <w:szCs w:val="24"/>
        </w:rPr>
        <w:fldChar w:fldCharType="end"/>
      </w:r>
    </w:p>
    <w:p>
      <w:pPr>
        <w:widowControl/>
        <w:wordWrap w:val="0"/>
        <w:snapToGrid w:val="0"/>
        <w:spacing w:line="360" w:lineRule="auto"/>
        <w:ind w:right="-92" w:rightChars="-44" w:firstLine="480" w:firstLineChars="200"/>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供应商在缴纳投标保证金及中标供应商缴纳履约保证金时可自愿选择通过担保机构保函的形式缴纳；中标供应商如果需要融资贷款服务的，可凭中标通知书、政府采购合同等相关资料，按照实施方案规定的程序申请办理，具体规定可登陆西安市财政局网站(http://xaczj.xa.gov.cn)政府采购专栏</w:t>
      </w:r>
      <w:r>
        <w:rPr>
          <w:rFonts w:hint="eastAsia" w:ascii="宋体" w:hAnsi="宋体" w:eastAsia="宋体" w:cs="宋体"/>
          <w:kern w:val="0"/>
          <w:sz w:val="24"/>
          <w:szCs w:val="24"/>
          <w:lang w:val="en-US" w:eastAsia="zh-CN" w:bidi="ar-SA"/>
        </w:rPr>
        <w:t>中查询了解。</w:t>
      </w:r>
    </w:p>
    <w:p>
      <w:pPr>
        <w:widowControl/>
        <w:wordWrap w:val="0"/>
        <w:snapToGrid w:val="0"/>
        <w:spacing w:line="360" w:lineRule="auto"/>
        <w:ind w:right="-92" w:rightChars="-44" w:firstLine="480" w:firstLineChars="200"/>
        <w:jc w:val="left"/>
        <w:rPr>
          <w:rFonts w:ascii="宋体" w:hAnsi="宋体" w:cs="宋体"/>
          <w:kern w:val="0"/>
          <w:sz w:val="24"/>
          <w:szCs w:val="24"/>
        </w:rPr>
      </w:pPr>
    </w:p>
    <w:p>
      <w:pPr>
        <w:widowControl/>
        <w:wordWrap w:val="0"/>
        <w:snapToGrid w:val="0"/>
        <w:spacing w:line="360" w:lineRule="auto"/>
        <w:ind w:right="-90" w:rightChars="-43" w:firstLine="480" w:firstLineChars="200"/>
        <w:jc w:val="left"/>
        <w:rPr>
          <w:rFonts w:ascii="宋体" w:hAnsi="宋体" w:cs="宋体"/>
          <w:kern w:val="0"/>
          <w:sz w:val="24"/>
          <w:szCs w:val="24"/>
        </w:rPr>
      </w:pPr>
    </w:p>
    <w:p>
      <w:pPr>
        <w:widowControl/>
        <w:spacing w:line="360" w:lineRule="auto"/>
        <w:outlineLvl w:val="1"/>
        <w:rPr>
          <w:rFonts w:ascii="宋体" w:hAnsi="宋体" w:cs="宋体"/>
          <w:b/>
          <w:bCs/>
          <w:kern w:val="0"/>
          <w:sz w:val="32"/>
          <w:szCs w:val="28"/>
        </w:rPr>
        <w:sectPr>
          <w:pgSz w:w="11906" w:h="16838"/>
          <w:pgMar w:top="1440" w:right="1706" w:bottom="1440" w:left="1800" w:header="851" w:footer="992" w:gutter="0"/>
          <w:pgNumType w:fmt="decimal"/>
          <w:cols w:space="720" w:num="1"/>
          <w:docGrid w:type="lines" w:linePitch="312" w:charSpace="0"/>
        </w:sectPr>
      </w:pP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35" w:name="_Toc12035"/>
      <w:bookmarkStart w:id="36" w:name="_Toc1811"/>
      <w:bookmarkStart w:id="37" w:name="_Toc24962"/>
      <w:r>
        <w:rPr>
          <w:rFonts w:hint="eastAsia" w:ascii="宋体" w:hAnsi="宋体" w:cs="宋体"/>
          <w:b/>
          <w:bCs/>
          <w:kern w:val="0"/>
          <w:sz w:val="32"/>
          <w:szCs w:val="28"/>
        </w:rPr>
        <w:t>竞争性磋商文件</w:t>
      </w:r>
      <w:bookmarkEnd w:id="35"/>
      <w:bookmarkEnd w:id="36"/>
      <w:bookmarkEnd w:id="37"/>
    </w:p>
    <w:p>
      <w:pPr>
        <w:pStyle w:val="5"/>
        <w:numPr>
          <w:ilvl w:val="0"/>
          <w:numId w:val="6"/>
        </w:numPr>
        <w:rPr>
          <w:rFonts w:ascii="宋体" w:hAnsi="宋体" w:cs="宋体"/>
        </w:rPr>
      </w:pPr>
      <w:bookmarkStart w:id="38" w:name="_Toc5801"/>
      <w:r>
        <w:rPr>
          <w:rFonts w:hint="eastAsia" w:ascii="宋体" w:hAnsi="宋体" w:cs="宋体"/>
        </w:rPr>
        <w:t>竞争性磋商文件的构成</w:t>
      </w:r>
      <w:bookmarkEnd w:id="38"/>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竞争性磋商文件是供应商准备磋商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竞争性磋商公告；</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供应商须知前附表；</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评审标准；</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采购要求；</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合同条款；</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磋商响应文件格式。</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rPr>
        <w:t>供应商应认真阅读和充分理解竞争性磋商文件中所有的事项、格式条款和规范要求。供应商没有对竞争性磋商文件全面做出实质性响应是供应商的风险。没有按照竞争性磋商文件要求作出实质性响应的磋商响应文件将被拒绝。</w:t>
      </w:r>
    </w:p>
    <w:p>
      <w:pPr>
        <w:pStyle w:val="5"/>
        <w:numPr>
          <w:ilvl w:val="0"/>
          <w:numId w:val="6"/>
        </w:numPr>
        <w:rPr>
          <w:rFonts w:ascii="宋体" w:hAnsi="宋体" w:cs="宋体"/>
        </w:rPr>
      </w:pPr>
      <w:bookmarkStart w:id="39" w:name="_Toc19797"/>
      <w:r>
        <w:rPr>
          <w:rFonts w:hint="eastAsia" w:ascii="宋体" w:hAnsi="宋体" w:cs="宋体"/>
        </w:rPr>
        <w:t>竞争性磋商文件的澄清</w:t>
      </w:r>
      <w:bookmarkEnd w:id="39"/>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 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2.2任何对竞争性磋商文件进行询问或要求进行澄清的供应商，均应在收到竞争性磋商文件后二日内按竞争性磋商文件中的通讯地址以书面形式递交代理机构，采购人或代理机构对收到的任何询问或澄清要求将在三个工作日内作出书面答复。</w:t>
      </w:r>
    </w:p>
    <w:p>
      <w:pPr>
        <w:pStyle w:val="5"/>
        <w:numPr>
          <w:ilvl w:val="0"/>
          <w:numId w:val="6"/>
        </w:numPr>
        <w:rPr>
          <w:rFonts w:ascii="宋体" w:hAnsi="宋体" w:cs="宋体"/>
        </w:rPr>
      </w:pPr>
      <w:bookmarkStart w:id="40" w:name="_Toc6390"/>
      <w:r>
        <w:rPr>
          <w:rFonts w:hint="eastAsia" w:ascii="宋体" w:hAnsi="宋体" w:cs="宋体"/>
        </w:rPr>
        <w:t>竞争性磋商文件的修改</w:t>
      </w:r>
      <w:bookmarkEnd w:id="40"/>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3.1 在磋商截止时间五日前，无论出于何种原因，代理机构可主动地或在解答供应商提出的澄清问题时，对竞争性磋商文件进行修改。竞争性磋商文件的澄清和修改将以书面形式通知所有供应商，并作为竞争性磋商文件的补充，与其具有同等法律效力。</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3.2 为方便供应商对竞争性磋商文件修改或澄清内容有充分的时间进行补充修改，代理机构可适当延长磋商截止时间和磋商时间，在竞争性磋商文件要求提交磋商响应文件的截止期三日前，将变更时间书面通知所有购买竞争性磋商文件的供应商。</w:t>
      </w:r>
    </w:p>
    <w:p>
      <w:pPr>
        <w:pStyle w:val="5"/>
        <w:numPr>
          <w:ilvl w:val="0"/>
          <w:numId w:val="6"/>
        </w:numPr>
        <w:rPr>
          <w:rFonts w:ascii="宋体" w:hAnsi="宋体" w:cs="宋体"/>
        </w:rPr>
      </w:pPr>
      <w:bookmarkStart w:id="41" w:name="_Toc31188"/>
      <w:r>
        <w:rPr>
          <w:rFonts w:hint="eastAsia" w:ascii="宋体" w:hAnsi="宋体" w:cs="宋体"/>
        </w:rPr>
        <w:t>竞争性磋商文件的获取</w:t>
      </w:r>
      <w:bookmarkEnd w:id="41"/>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供应商必须从代理机构购买竞争性磋商文件，供应商自行转让或复制竞争性磋商文件视为无效。竞争性磋商文件一经售出，一律不退，仅作为本次竞争性磋商使用。</w:t>
      </w:r>
    </w:p>
    <w:p>
      <w:pPr>
        <w:pStyle w:val="5"/>
        <w:numPr>
          <w:ilvl w:val="0"/>
          <w:numId w:val="6"/>
        </w:numPr>
        <w:rPr>
          <w:rFonts w:ascii="宋体" w:hAnsi="宋体" w:cs="宋体"/>
        </w:rPr>
      </w:pPr>
      <w:bookmarkStart w:id="42" w:name="_Toc5095"/>
      <w:r>
        <w:rPr>
          <w:rFonts w:hint="eastAsia" w:ascii="宋体" w:hAnsi="宋体" w:cs="宋体"/>
        </w:rPr>
        <w:t>竞争性磋商文件的解释权归代理机构。</w:t>
      </w:r>
      <w:bookmarkEnd w:id="42"/>
    </w:p>
    <w:p>
      <w:pPr>
        <w:widowControl/>
        <w:numPr>
          <w:ilvl w:val="0"/>
          <w:numId w:val="3"/>
        </w:numPr>
        <w:spacing w:line="360" w:lineRule="auto"/>
        <w:ind w:firstLine="643" w:firstLineChars="200"/>
        <w:jc w:val="center"/>
        <w:outlineLvl w:val="1"/>
        <w:rPr>
          <w:rFonts w:ascii="宋体" w:hAnsi="宋体" w:cs="宋体"/>
          <w:b/>
          <w:bCs/>
          <w:kern w:val="0"/>
          <w:sz w:val="32"/>
          <w:szCs w:val="28"/>
        </w:rPr>
        <w:sectPr>
          <w:pgSz w:w="11906" w:h="16838"/>
          <w:pgMar w:top="1440" w:right="1706" w:bottom="1440" w:left="1800" w:header="851" w:footer="992" w:gutter="0"/>
          <w:pgNumType w:fmt="decimal"/>
          <w:cols w:space="720" w:num="1"/>
          <w:docGrid w:type="lines" w:linePitch="312" w:charSpace="0"/>
        </w:sectPr>
      </w:pP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43" w:name="_Toc2925"/>
      <w:bookmarkStart w:id="44" w:name="_Toc25919"/>
      <w:bookmarkStart w:id="45" w:name="_Toc23299"/>
      <w:r>
        <w:rPr>
          <w:rFonts w:hint="eastAsia" w:ascii="宋体" w:hAnsi="宋体" w:cs="宋体"/>
          <w:b/>
          <w:bCs/>
          <w:kern w:val="0"/>
          <w:sz w:val="32"/>
          <w:szCs w:val="28"/>
        </w:rPr>
        <w:t>磋商响应文件</w:t>
      </w:r>
      <w:bookmarkEnd w:id="43"/>
      <w:bookmarkEnd w:id="44"/>
      <w:bookmarkEnd w:id="45"/>
    </w:p>
    <w:p>
      <w:pPr>
        <w:pStyle w:val="5"/>
        <w:numPr>
          <w:ilvl w:val="0"/>
          <w:numId w:val="8"/>
        </w:numPr>
        <w:rPr>
          <w:rFonts w:ascii="宋体" w:hAnsi="宋体" w:cs="宋体"/>
        </w:rPr>
      </w:pPr>
      <w:bookmarkStart w:id="46" w:name="_Toc17549"/>
      <w:r>
        <w:rPr>
          <w:rFonts w:hint="eastAsia" w:ascii="宋体" w:hAnsi="宋体" w:cs="宋体"/>
        </w:rPr>
        <w:t>磋商响应文件的编制</w:t>
      </w:r>
      <w:bookmarkEnd w:id="46"/>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磋商响应文件必须根据代理机构发售的竞争性磋商文件格式和顺序认真编制。具体内容包括：</w:t>
      </w:r>
    </w:p>
    <w:p>
      <w:pPr>
        <w:pStyle w:val="11"/>
        <w:snapToGrid w:val="0"/>
        <w:spacing w:line="360" w:lineRule="auto"/>
        <w:ind w:firstLine="480" w:firstLineChars="200"/>
        <w:jc w:val="left"/>
        <w:rPr>
          <w:rFonts w:hAnsi="宋体" w:cs="宋体"/>
          <w:sz w:val="24"/>
          <w:szCs w:val="24"/>
        </w:rPr>
      </w:pPr>
      <w:r>
        <w:rPr>
          <w:rFonts w:hint="eastAsia" w:hAnsi="宋体" w:cs="宋体"/>
          <w:sz w:val="24"/>
          <w:szCs w:val="24"/>
        </w:rPr>
        <w:t>（1）响应函</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（2）磋商一览表</w:t>
      </w:r>
    </w:p>
    <w:p>
      <w:pPr>
        <w:pStyle w:val="11"/>
        <w:snapToGrid w:val="0"/>
        <w:spacing w:line="360" w:lineRule="auto"/>
        <w:ind w:firstLine="480" w:firstLineChars="200"/>
        <w:jc w:val="left"/>
        <w:rPr>
          <w:rFonts w:hAnsi="宋体" w:cs="宋体"/>
          <w:sz w:val="24"/>
          <w:szCs w:val="24"/>
        </w:rPr>
      </w:pPr>
      <w:r>
        <w:rPr>
          <w:rFonts w:hint="eastAsia" w:hAnsi="宋体" w:cs="宋体"/>
          <w:sz w:val="24"/>
          <w:szCs w:val="24"/>
        </w:rPr>
        <w:t>（3）分项报价表</w:t>
      </w:r>
    </w:p>
    <w:p>
      <w:pPr>
        <w:pStyle w:val="11"/>
        <w:snapToGrid w:val="0"/>
        <w:spacing w:line="360" w:lineRule="auto"/>
        <w:ind w:firstLine="480" w:firstLineChars="200"/>
        <w:jc w:val="left"/>
        <w:rPr>
          <w:rFonts w:hAnsi="宋体" w:cs="宋体"/>
          <w:sz w:val="24"/>
          <w:szCs w:val="24"/>
        </w:rPr>
      </w:pPr>
      <w:r>
        <w:rPr>
          <w:rFonts w:hint="eastAsia" w:hAnsi="宋体" w:cs="宋体"/>
          <w:sz w:val="24"/>
          <w:szCs w:val="24"/>
        </w:rPr>
        <w:t>（4）供应商资质证明资料</w:t>
      </w:r>
    </w:p>
    <w:p>
      <w:pPr>
        <w:pStyle w:val="11"/>
        <w:snapToGrid w:val="0"/>
        <w:spacing w:line="360" w:lineRule="auto"/>
        <w:ind w:firstLine="480" w:firstLineChars="200"/>
        <w:jc w:val="left"/>
        <w:rPr>
          <w:rFonts w:hAnsi="宋体" w:cs="宋体"/>
          <w:sz w:val="24"/>
          <w:szCs w:val="24"/>
        </w:rPr>
      </w:pPr>
      <w:r>
        <w:rPr>
          <w:rFonts w:hint="eastAsia" w:hAnsi="宋体" w:cs="宋体"/>
          <w:sz w:val="24"/>
          <w:szCs w:val="24"/>
        </w:rPr>
        <w:t>（5）商务和技术响应偏离表</w:t>
      </w:r>
    </w:p>
    <w:p>
      <w:pPr>
        <w:pStyle w:val="11"/>
        <w:snapToGrid w:val="0"/>
        <w:spacing w:line="360" w:lineRule="auto"/>
        <w:ind w:firstLine="480" w:firstLineChars="200"/>
        <w:jc w:val="left"/>
        <w:rPr>
          <w:rFonts w:hAnsi="宋体" w:cs="宋体"/>
          <w:sz w:val="24"/>
          <w:szCs w:val="24"/>
        </w:rPr>
      </w:pPr>
      <w:r>
        <w:rPr>
          <w:rFonts w:hint="eastAsia" w:hAnsi="宋体" w:cs="宋体"/>
          <w:sz w:val="24"/>
          <w:szCs w:val="24"/>
        </w:rPr>
        <w:t>（6）技术支持资料</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（7）供应商业绩一览表</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（8）供应商认为有必要说明的其他问题</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（9）供应商承诺书</w:t>
      </w:r>
    </w:p>
    <w:p>
      <w:pPr>
        <w:pStyle w:val="5"/>
        <w:numPr>
          <w:ilvl w:val="0"/>
          <w:numId w:val="8"/>
        </w:numPr>
        <w:rPr>
          <w:rFonts w:ascii="宋体" w:hAnsi="宋体" w:cs="宋体"/>
        </w:rPr>
      </w:pPr>
      <w:r>
        <w:rPr>
          <w:rFonts w:hint="eastAsia" w:ascii="宋体" w:hAnsi="宋体" w:cs="宋体"/>
        </w:rPr>
        <w:t>响应报价</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2.1供应商应在响应报价表中标明本次</w:t>
      </w:r>
      <w:r>
        <w:rPr>
          <w:rFonts w:hint="eastAsia" w:ascii="宋体" w:hAnsi="宋体" w:cs="宋体"/>
          <w:sz w:val="24"/>
          <w:szCs w:val="24"/>
          <w:lang w:val="en-US" w:eastAsia="zh-CN"/>
        </w:rPr>
        <w:t>采购</w:t>
      </w:r>
      <w:r>
        <w:rPr>
          <w:rFonts w:hint="eastAsia" w:ascii="宋体" w:hAnsi="宋体" w:cs="宋体"/>
          <w:sz w:val="24"/>
          <w:szCs w:val="24"/>
        </w:rPr>
        <w:t>所要求的货物、工程、服务且验收合格的所有费用，包括总报价、货物服务报价、技术培训费（如果有）、检测费、人工费、税金及进口产品（如果有）国家按现行税收政策征收的一切税费等。在合同实施期间，响应报价表中标明本项目所需的总价，不受市场价变化的影响，不受实际数量变化的影响。任何有选择的报价将不予接受，否则按无效响应处理。</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2.2供应商成交后承担服务过程中发生的安全事故产生的所有法律及经济责任。</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2.3响应报价表成交的价格，在合同执行过程中，不得以任何理由变更。</w:t>
      </w:r>
    </w:p>
    <w:p>
      <w:pPr>
        <w:tabs>
          <w:tab w:val="left" w:pos="0"/>
        </w:tabs>
        <w:adjustRightInd w:val="0"/>
        <w:snapToGrid w:val="0"/>
        <w:spacing w:line="440" w:lineRule="exact"/>
        <w:ind w:firstLine="480" w:firstLineChars="200"/>
        <w:jc w:val="left"/>
        <w:rPr>
          <w:rFonts w:ascii="宋体" w:hAnsi="宋体" w:cs="宋体"/>
          <w:color w:val="0000FF"/>
          <w:sz w:val="24"/>
          <w:szCs w:val="24"/>
        </w:rPr>
      </w:pPr>
      <w:r>
        <w:rPr>
          <w:rFonts w:hint="eastAsia" w:ascii="宋体" w:hAnsi="宋体" w:cs="宋体"/>
          <w:sz w:val="24"/>
          <w:szCs w:val="24"/>
        </w:rPr>
        <w:t>2.4供应商应在磋商响应文件中的磋商一览表上，标明总报价、服务期等磋商文件要求的其他内容；任何有选择的报价不予接受。</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2.5最低报价不是成交的唯一依据。</w:t>
      </w:r>
    </w:p>
    <w:p>
      <w:pPr>
        <w:pStyle w:val="5"/>
        <w:numPr>
          <w:ilvl w:val="0"/>
          <w:numId w:val="8"/>
        </w:numPr>
        <w:rPr>
          <w:rFonts w:ascii="宋体" w:hAnsi="宋体" w:cs="宋体"/>
        </w:rPr>
      </w:pPr>
      <w:bookmarkStart w:id="47" w:name="_Toc29200"/>
      <w:r>
        <w:rPr>
          <w:rFonts w:hint="eastAsia" w:ascii="宋体" w:hAnsi="宋体" w:cs="宋体"/>
        </w:rPr>
        <w:t>磋商货币</w:t>
      </w:r>
      <w:bookmarkEnd w:id="47"/>
    </w:p>
    <w:p>
      <w:pPr>
        <w:widowControl/>
        <w:spacing w:line="360" w:lineRule="auto"/>
        <w:ind w:firstLine="480" w:firstLineChars="200"/>
        <w:rPr>
          <w:rFonts w:ascii="宋体" w:hAnsi="宋体" w:cs="宋体"/>
          <w:kern w:val="0"/>
          <w:sz w:val="24"/>
        </w:rPr>
      </w:pPr>
      <w:r>
        <w:rPr>
          <w:rFonts w:hint="eastAsia" w:ascii="宋体" w:hAnsi="宋体" w:cs="宋体"/>
          <w:kern w:val="0"/>
          <w:sz w:val="24"/>
        </w:rPr>
        <w:t>采购人只接受人民币作为唯一磋商货币。</w:t>
      </w:r>
    </w:p>
    <w:p>
      <w:pPr>
        <w:tabs>
          <w:tab w:val="left" w:pos="0"/>
        </w:tabs>
        <w:adjustRightInd w:val="0"/>
        <w:snapToGrid w:val="0"/>
        <w:spacing w:line="360" w:lineRule="auto"/>
        <w:ind w:firstLine="480" w:firstLineChars="200"/>
        <w:rPr>
          <w:rFonts w:ascii="宋体" w:hAnsi="宋体" w:cs="宋体"/>
          <w:sz w:val="24"/>
          <w:szCs w:val="24"/>
        </w:rPr>
      </w:pPr>
    </w:p>
    <w:p>
      <w:pPr>
        <w:pStyle w:val="5"/>
        <w:numPr>
          <w:ilvl w:val="0"/>
          <w:numId w:val="8"/>
        </w:numPr>
        <w:rPr>
          <w:rFonts w:ascii="宋体" w:hAnsi="宋体" w:cs="宋体"/>
        </w:rPr>
      </w:pPr>
      <w:bookmarkStart w:id="48" w:name="_Toc19668"/>
      <w:r>
        <w:rPr>
          <w:rFonts w:hint="eastAsia" w:ascii="宋体" w:hAnsi="宋体" w:cs="宋体"/>
        </w:rPr>
        <w:t>磋商有效期</w:t>
      </w:r>
      <w:bookmarkEnd w:id="48"/>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磋商有效期见供应商须知前附表，磋商有效期短于此规定期限的磋商响应文件，视为无效文件，其磋商响应文件将被拒绝。成交单位的磋商响应文件有效期延长至合同执行完毕。</w:t>
      </w:r>
    </w:p>
    <w:p>
      <w:pPr>
        <w:pStyle w:val="5"/>
        <w:numPr>
          <w:ilvl w:val="0"/>
          <w:numId w:val="8"/>
        </w:numPr>
        <w:rPr>
          <w:rFonts w:ascii="宋体" w:hAnsi="宋体" w:cs="宋体"/>
          <w:szCs w:val="32"/>
        </w:rPr>
      </w:pPr>
      <w:bookmarkStart w:id="49" w:name="_Toc24827"/>
      <w:r>
        <w:rPr>
          <w:rFonts w:hint="eastAsia" w:ascii="宋体" w:hAnsi="宋体" w:cs="宋体"/>
        </w:rPr>
        <w:t>磋商响应文件的格式、装订、密封和签署</w:t>
      </w:r>
      <w:bookmarkEnd w:id="49"/>
    </w:p>
    <w:p>
      <w:pPr>
        <w:tabs>
          <w:tab w:val="left" w:pos="0"/>
        </w:tabs>
        <w:spacing w:line="360" w:lineRule="auto"/>
        <w:ind w:right="-90" w:rightChars="-43" w:firstLine="480" w:firstLineChars="200"/>
        <w:rPr>
          <w:rFonts w:ascii="宋体" w:hAnsi="宋体" w:cs="宋体"/>
          <w:sz w:val="24"/>
          <w:szCs w:val="24"/>
        </w:rPr>
      </w:pPr>
      <w:r>
        <w:rPr>
          <w:rFonts w:hint="eastAsia" w:ascii="宋体" w:hAnsi="宋体" w:cs="宋体"/>
          <w:sz w:val="24"/>
          <w:szCs w:val="24"/>
        </w:rPr>
        <w:t>5.1供应商须依据竞争性磋商文件内容和磋商响应文件格式的要求编制磋商响应文件；</w:t>
      </w:r>
    </w:p>
    <w:p>
      <w:pPr>
        <w:tabs>
          <w:tab w:val="left" w:pos="0"/>
        </w:tabs>
        <w:spacing w:line="360" w:lineRule="auto"/>
        <w:ind w:right="-90" w:rightChars="-43" w:firstLine="480" w:firstLineChars="200"/>
        <w:rPr>
          <w:rFonts w:ascii="宋体" w:hAnsi="宋体" w:cs="宋体"/>
          <w:sz w:val="24"/>
          <w:szCs w:val="24"/>
        </w:rPr>
      </w:pPr>
      <w:r>
        <w:rPr>
          <w:rFonts w:hint="eastAsia" w:ascii="宋体" w:hAnsi="宋体" w:cs="宋体"/>
          <w:sz w:val="24"/>
          <w:szCs w:val="24"/>
        </w:rPr>
        <w:t>磋商响应文件的正本须打印或用不褪色蓝（黑）墨水（汁）书写，磋商响应文件的打印（</w:t>
      </w:r>
      <w:r>
        <w:rPr>
          <w:rFonts w:hint="eastAsia" w:ascii="宋体" w:hAnsi="宋体" w:cs="宋体"/>
          <w:b/>
          <w:bCs/>
          <w:sz w:val="24"/>
          <w:szCs w:val="24"/>
        </w:rPr>
        <w:t>建议双面打印</w:t>
      </w:r>
      <w:r>
        <w:rPr>
          <w:rFonts w:hint="eastAsia" w:ascii="宋体" w:hAnsi="宋体" w:cs="宋体"/>
          <w:sz w:val="24"/>
          <w:szCs w:val="24"/>
        </w:rPr>
        <w:t>）和书写应清楚工整，任何行间插字、涂改和增删，必须由供应商的法定代表人或其授权代表签字或加盖个人印章，字迹潦草或表达不清或可能导致非唯一理解的磋商响应文件可能视为无效文件；所有的副本可以为正本的复印件，并在每一页的正下方清楚标明第几页、共几页等字样。</w:t>
      </w:r>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5.2磋商响应文件的装订</w:t>
      </w:r>
    </w:p>
    <w:p>
      <w:pPr>
        <w:tabs>
          <w:tab w:val="left" w:pos="0"/>
        </w:tabs>
        <w:spacing w:line="360" w:lineRule="auto"/>
        <w:ind w:firstLine="480" w:firstLineChars="200"/>
        <w:rPr>
          <w:rFonts w:ascii="宋体" w:hAnsi="宋体" w:cs="宋体"/>
          <w:b/>
          <w:bCs/>
          <w:sz w:val="24"/>
          <w:szCs w:val="24"/>
        </w:rPr>
      </w:pPr>
      <w:r>
        <w:rPr>
          <w:rFonts w:hint="eastAsia" w:ascii="宋体" w:hAnsi="宋体" w:cs="宋体"/>
          <w:sz w:val="24"/>
          <w:szCs w:val="24"/>
        </w:rPr>
        <w:t>磋商响应文件</w:t>
      </w:r>
      <w:r>
        <w:rPr>
          <w:rFonts w:hint="eastAsia" w:ascii="宋体" w:hAnsi="宋体" w:cs="宋体"/>
          <w:b/>
          <w:bCs/>
          <w:sz w:val="24"/>
          <w:szCs w:val="24"/>
        </w:rPr>
        <w:t>正本壹份、副本叁份</w:t>
      </w:r>
      <w:r>
        <w:rPr>
          <w:rFonts w:hint="eastAsia" w:ascii="宋体" w:hAnsi="宋体" w:cs="宋体"/>
          <w:sz w:val="24"/>
          <w:szCs w:val="24"/>
        </w:rPr>
        <w:t>，分别胶装装订成册（散页无效），且封面须清楚地标明“正本”或“副本”；若正本和副本不符，以正本书面文件为准；同时提供与正本内容一致的</w:t>
      </w:r>
      <w:bookmarkStart w:id="50" w:name="OLE_LINK13"/>
      <w:r>
        <w:rPr>
          <w:rFonts w:hint="eastAsia" w:ascii="宋体" w:hAnsi="宋体" w:cs="宋体"/>
          <w:sz w:val="24"/>
          <w:szCs w:val="24"/>
        </w:rPr>
        <w:t>电子版</w:t>
      </w:r>
      <w:bookmarkEnd w:id="50"/>
      <w:r>
        <w:rPr>
          <w:rFonts w:hint="eastAsia" w:ascii="宋体" w:hAnsi="宋体" w:cs="宋体"/>
          <w:sz w:val="24"/>
          <w:szCs w:val="24"/>
        </w:rPr>
        <w:t>（</w:t>
      </w:r>
      <w:r>
        <w:rPr>
          <w:rFonts w:hint="eastAsia" w:ascii="宋体" w:hAnsi="宋体" w:cs="宋体"/>
          <w:b/>
          <w:bCs/>
          <w:sz w:val="24"/>
          <w:szCs w:val="24"/>
        </w:rPr>
        <w:t>U盘</w:t>
      </w:r>
      <w:r>
        <w:rPr>
          <w:rFonts w:hint="eastAsia" w:ascii="宋体" w:hAnsi="宋体" w:cs="宋体"/>
          <w:sz w:val="24"/>
          <w:szCs w:val="24"/>
        </w:rPr>
        <w:t>、</w:t>
      </w:r>
      <w:r>
        <w:rPr>
          <w:rFonts w:hint="eastAsia" w:ascii="宋体" w:hAnsi="宋体" w:cs="宋体"/>
          <w:b/>
          <w:bCs/>
          <w:sz w:val="24"/>
          <w:szCs w:val="24"/>
        </w:rPr>
        <w:t>电子文档应为PDF与WORD格式各一份</w:t>
      </w:r>
      <w:r>
        <w:rPr>
          <w:rFonts w:hint="eastAsia" w:ascii="宋体" w:hAnsi="宋体" w:cs="宋体"/>
          <w:sz w:val="24"/>
          <w:szCs w:val="24"/>
        </w:rPr>
        <w:t>）、磋商一览表壹份</w:t>
      </w:r>
      <w:r>
        <w:rPr>
          <w:rFonts w:hint="eastAsia" w:ascii="宋体" w:hAnsi="宋体" w:cs="宋体"/>
          <w:b/>
          <w:bCs/>
          <w:sz w:val="24"/>
          <w:szCs w:val="24"/>
        </w:rPr>
        <w:t>（</w:t>
      </w:r>
      <w:r>
        <w:rPr>
          <w:rFonts w:hint="eastAsia" w:ascii="宋体" w:hAnsi="宋体" w:cs="宋体"/>
          <w:sz w:val="24"/>
          <w:szCs w:val="24"/>
        </w:rPr>
        <w:t>单独提交的“磋商一览表”应为原件</w:t>
      </w:r>
      <w:r>
        <w:rPr>
          <w:rFonts w:hint="eastAsia" w:ascii="宋体" w:hAnsi="宋体" w:cs="宋体"/>
          <w:b/>
          <w:bCs/>
          <w:sz w:val="24"/>
          <w:szCs w:val="24"/>
        </w:rPr>
        <w:t>）。</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5.3磋商响应文件的签署</w:t>
      </w:r>
    </w:p>
    <w:p>
      <w:pPr>
        <w:numPr>
          <w:ilvl w:val="0"/>
          <w:numId w:val="9"/>
        </w:numPr>
        <w:spacing w:line="360" w:lineRule="auto"/>
        <w:jc w:val="left"/>
        <w:rPr>
          <w:rFonts w:ascii="宋体" w:hAnsi="宋体" w:cs="宋体"/>
          <w:sz w:val="24"/>
          <w:szCs w:val="24"/>
        </w:rPr>
      </w:pPr>
      <w:r>
        <w:rPr>
          <w:rFonts w:hint="eastAsia" w:ascii="宋体" w:hAnsi="宋体" w:cs="宋体"/>
          <w:sz w:val="24"/>
          <w:szCs w:val="24"/>
        </w:rPr>
        <w:t>供应商在磋商响应文件中指定的页面的落款处，按竞争性磋商文件要求由供应商的法定代表人或其授权代表在规定的签章处签字或盖章。</w:t>
      </w:r>
    </w:p>
    <w:p>
      <w:pPr>
        <w:numPr>
          <w:ilvl w:val="0"/>
          <w:numId w:val="9"/>
        </w:numPr>
        <w:spacing w:line="360" w:lineRule="auto"/>
        <w:jc w:val="left"/>
        <w:rPr>
          <w:rFonts w:ascii="宋体" w:hAnsi="宋体" w:cs="宋体"/>
          <w:sz w:val="24"/>
          <w:szCs w:val="24"/>
        </w:rPr>
      </w:pPr>
      <w:r>
        <w:rPr>
          <w:rFonts w:hint="eastAsia" w:ascii="宋体" w:hAnsi="宋体" w:cs="宋体"/>
          <w:sz w:val="24"/>
          <w:szCs w:val="24"/>
        </w:rPr>
        <w:t>供应商应按照磋商文件要求，在每一份磋商响应文件的正本和副本封面下方以及其他磋商文件要求的位置填写供应商全称并加盖公章。</w:t>
      </w:r>
    </w:p>
    <w:p>
      <w:pPr>
        <w:numPr>
          <w:ilvl w:val="0"/>
          <w:numId w:val="9"/>
        </w:numPr>
        <w:spacing w:line="360" w:lineRule="auto"/>
        <w:jc w:val="left"/>
        <w:rPr>
          <w:rFonts w:ascii="宋体" w:hAnsi="宋体" w:cs="宋体"/>
          <w:sz w:val="24"/>
          <w:szCs w:val="24"/>
        </w:rPr>
      </w:pPr>
      <w:r>
        <w:rPr>
          <w:rFonts w:hint="eastAsia" w:ascii="宋体" w:hAnsi="宋体" w:cs="宋体"/>
          <w:sz w:val="24"/>
          <w:szCs w:val="24"/>
        </w:rPr>
        <w:t>磋商响应文件应字迹清楚、内容齐全、不得涂改或增删。如有修改和增删，必须有供应商公章及法定代表人或其授权代表签字。</w:t>
      </w:r>
    </w:p>
    <w:p>
      <w:pPr>
        <w:numPr>
          <w:ilvl w:val="0"/>
          <w:numId w:val="9"/>
        </w:numPr>
        <w:spacing w:line="360" w:lineRule="auto"/>
        <w:jc w:val="left"/>
        <w:rPr>
          <w:rFonts w:ascii="宋体" w:hAnsi="宋体" w:cs="宋体"/>
          <w:sz w:val="24"/>
          <w:szCs w:val="24"/>
        </w:rPr>
      </w:pPr>
      <w:r>
        <w:rPr>
          <w:rFonts w:hint="eastAsia" w:ascii="宋体" w:hAnsi="宋体" w:cs="宋体"/>
          <w:sz w:val="24"/>
          <w:szCs w:val="24"/>
        </w:rPr>
        <w:t>因磋商响应文件字迹潦草或表达不清所引起的不利后果由供应商承担。</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5.4磋商响应文件的密封</w:t>
      </w:r>
    </w:p>
    <w:p>
      <w:pPr>
        <w:spacing w:line="360" w:lineRule="auto"/>
        <w:ind w:firstLine="480" w:firstLineChars="200"/>
        <w:jc w:val="left"/>
        <w:rPr>
          <w:rFonts w:ascii="宋体" w:hAnsi="宋体" w:cs="宋体"/>
          <w:kern w:val="0"/>
          <w:sz w:val="24"/>
        </w:rPr>
      </w:pPr>
      <w:r>
        <w:rPr>
          <w:rFonts w:hint="eastAsia" w:ascii="宋体" w:hAnsi="宋体" w:cs="宋体"/>
          <w:sz w:val="24"/>
          <w:szCs w:val="24"/>
        </w:rPr>
        <w:t>磋商响应文件正本、所有的副本、电子版、磋商一览表需分开密封装在单独的封袋中（封袋不得有破损），且在封袋正面标明“正本”“副本”“电子版”“磋商一览表”字样。封袋应密封，并在封线处加盖供应商鲜章，封袋正面要粘贴供应商全称、项目名称、编号、包号等标识、且</w:t>
      </w:r>
      <w:r>
        <w:rPr>
          <w:rFonts w:hint="eastAsia" w:ascii="宋体" w:hAnsi="宋体" w:cs="宋体"/>
          <w:kern w:val="0"/>
          <w:sz w:val="24"/>
        </w:rPr>
        <w:t>磋商响应文件袋上应加盖供应商公章（</w:t>
      </w:r>
      <w:r>
        <w:rPr>
          <w:rFonts w:hint="eastAsia" w:ascii="宋体" w:hAnsi="宋体" w:cs="宋体"/>
          <w:sz w:val="24"/>
          <w:szCs w:val="24"/>
        </w:rPr>
        <w:t>封面标识见竞争性磋商文件</w:t>
      </w:r>
      <w:r>
        <w:rPr>
          <w:rFonts w:hint="eastAsia" w:ascii="宋体" w:hAnsi="宋体" w:cs="宋体"/>
          <w:b/>
          <w:bCs/>
          <w:sz w:val="24"/>
          <w:szCs w:val="24"/>
        </w:rPr>
        <w:t>附件一</w:t>
      </w:r>
      <w:r>
        <w:rPr>
          <w:rFonts w:hint="eastAsia" w:ascii="宋体" w:hAnsi="宋体" w:cs="宋体"/>
          <w:sz w:val="24"/>
          <w:szCs w:val="24"/>
        </w:rPr>
        <w:t>）</w:t>
      </w:r>
      <w:r>
        <w:rPr>
          <w:rFonts w:hint="eastAsia" w:ascii="宋体" w:hAnsi="宋体" w:cs="宋体"/>
          <w:kern w:val="0"/>
          <w:sz w:val="24"/>
        </w:rPr>
        <w:t>如果未按上述规定进行密封，供应商的磋商响应文件有权被拒绝</w:t>
      </w:r>
      <w:r>
        <w:rPr>
          <w:rFonts w:hint="eastAsia" w:ascii="宋体" w:hAnsi="宋体" w:cs="宋体"/>
          <w:sz w:val="24"/>
          <w:szCs w:val="24"/>
        </w:rPr>
        <w:t>。</w:t>
      </w:r>
    </w:p>
    <w:p>
      <w:pPr>
        <w:spacing w:line="360" w:lineRule="auto"/>
        <w:ind w:firstLine="480" w:firstLineChars="200"/>
        <w:jc w:val="left"/>
        <w:rPr>
          <w:rFonts w:ascii="宋体" w:hAnsi="宋体" w:cs="宋体"/>
          <w:kern w:val="0"/>
          <w:sz w:val="24"/>
        </w:rPr>
      </w:pPr>
      <w:r>
        <w:rPr>
          <w:rFonts w:hint="eastAsia" w:ascii="宋体" w:hAnsi="宋体" w:cs="宋体"/>
          <w:sz w:val="24"/>
          <w:szCs w:val="24"/>
        </w:rPr>
        <w:t>如果供应商未按上述要求密封及加写标记，误投或过早启封的磋商响应文件，将自行承担其磋商响应文件被视为无效磋商响应文件的风险。</w:t>
      </w:r>
    </w:p>
    <w:p>
      <w:pPr>
        <w:spacing w:line="360" w:lineRule="auto"/>
        <w:ind w:firstLine="480" w:firstLineChars="200"/>
        <w:rPr>
          <w:rFonts w:ascii="宋体" w:hAnsi="宋体" w:cs="宋体"/>
          <w:sz w:val="24"/>
          <w:szCs w:val="24"/>
        </w:rPr>
      </w:pPr>
      <w:r>
        <w:rPr>
          <w:rFonts w:hint="eastAsia" w:ascii="宋体" w:hAnsi="宋体" w:cs="宋体"/>
          <w:sz w:val="24"/>
          <w:szCs w:val="24"/>
        </w:rPr>
        <w:t>5.5本次磋商只接受简体中文文字的磋商响应文件；如磋商响应文件中出现外文资料，必须配以中文译文。否则，由此引发的一切责任由供应商自负。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5.6拒绝接受以电话、传真、电子邮件形式的磋商。</w:t>
      </w:r>
    </w:p>
    <w:p>
      <w:pPr>
        <w:pStyle w:val="5"/>
        <w:numPr>
          <w:ilvl w:val="0"/>
          <w:numId w:val="8"/>
        </w:numPr>
        <w:rPr>
          <w:rFonts w:ascii="宋体" w:hAnsi="宋体" w:cs="宋体"/>
        </w:rPr>
      </w:pPr>
      <w:bookmarkStart w:id="51" w:name="_Toc22752"/>
      <w:r>
        <w:rPr>
          <w:rFonts w:hint="eastAsia" w:ascii="宋体" w:hAnsi="宋体" w:cs="宋体"/>
        </w:rPr>
        <w:t>知识产权</w:t>
      </w:r>
      <w:bookmarkEnd w:id="51"/>
    </w:p>
    <w:p>
      <w:pPr>
        <w:spacing w:line="360" w:lineRule="auto"/>
        <w:ind w:firstLine="480" w:firstLineChars="200"/>
        <w:jc w:val="left"/>
        <w:rPr>
          <w:rFonts w:ascii="宋体" w:hAnsi="宋体" w:cs="宋体"/>
          <w:sz w:val="24"/>
          <w:szCs w:val="24"/>
        </w:rPr>
      </w:pPr>
      <w:r>
        <w:rPr>
          <w:rFonts w:hint="eastAsia" w:ascii="宋体" w:hAnsi="宋体" w:cs="宋体"/>
          <w:sz w:val="24"/>
          <w:szCs w:val="24"/>
        </w:rPr>
        <w:t>6.1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6.2采购人享有本项目在实施过程中产生的知识成果及知识产权。</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6.3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6.4如供应商所不拥有的知识产权，则在响应报价中必须包括合法获取该知识产权的相关费用。</w:t>
      </w:r>
    </w:p>
    <w:p>
      <w:pPr>
        <w:widowControl/>
        <w:numPr>
          <w:ilvl w:val="0"/>
          <w:numId w:val="3"/>
        </w:numPr>
        <w:spacing w:line="360" w:lineRule="auto"/>
        <w:ind w:firstLine="643" w:firstLineChars="200"/>
        <w:jc w:val="center"/>
        <w:outlineLvl w:val="1"/>
        <w:rPr>
          <w:rFonts w:ascii="宋体" w:hAnsi="宋体" w:cs="宋体"/>
          <w:b/>
          <w:bCs/>
          <w:kern w:val="0"/>
          <w:sz w:val="32"/>
          <w:szCs w:val="28"/>
        </w:rPr>
        <w:sectPr>
          <w:pgSz w:w="11906" w:h="16838"/>
          <w:pgMar w:top="1440" w:right="1706" w:bottom="1440" w:left="1800" w:header="851" w:footer="992" w:gutter="0"/>
          <w:pgNumType w:fmt="decimal"/>
          <w:cols w:space="720" w:num="1"/>
          <w:docGrid w:type="lines" w:linePitch="312" w:charSpace="0"/>
        </w:sectPr>
      </w:pPr>
      <w:bookmarkStart w:id="52" w:name="_Toc3736"/>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53" w:name="_Toc7624"/>
      <w:bookmarkStart w:id="54" w:name="_Toc10812"/>
      <w:bookmarkStart w:id="55" w:name="_Toc2312"/>
      <w:bookmarkStart w:id="56" w:name="_Toc3565"/>
      <w:r>
        <w:rPr>
          <w:rFonts w:hint="eastAsia" w:ascii="宋体" w:hAnsi="宋体" w:cs="宋体"/>
          <w:b/>
          <w:bCs/>
          <w:kern w:val="0"/>
          <w:sz w:val="32"/>
          <w:szCs w:val="28"/>
        </w:rPr>
        <w:t>磋商响应文件的递交</w:t>
      </w:r>
      <w:bookmarkEnd w:id="53"/>
      <w:bookmarkEnd w:id="54"/>
      <w:bookmarkEnd w:id="55"/>
      <w:bookmarkEnd w:id="56"/>
    </w:p>
    <w:bookmarkEnd w:id="52"/>
    <w:p>
      <w:pPr>
        <w:pStyle w:val="5"/>
        <w:numPr>
          <w:ilvl w:val="0"/>
          <w:numId w:val="10"/>
        </w:numPr>
        <w:ind w:firstLine="562" w:firstLineChars="200"/>
        <w:rPr>
          <w:rFonts w:ascii="宋体" w:hAnsi="宋体" w:cs="宋体"/>
        </w:rPr>
      </w:pPr>
      <w:bookmarkStart w:id="57" w:name="_Toc3685"/>
      <w:r>
        <w:rPr>
          <w:rFonts w:hint="eastAsia" w:ascii="宋体" w:hAnsi="宋体" w:cs="宋体"/>
        </w:rPr>
        <w:t>磋商响应文件递交</w:t>
      </w:r>
      <w:bookmarkEnd w:id="57"/>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1.1供应商必须在竞争性磋商文件规定的磋商响应文件递交截止时间之前，将全部磋商响应文件递交至代理机构项目工作人员；代理机构项目承办人在竞争性磋商文件规定的磋商响应文件递交截止时间前，只负责磋商响应文件的接收、清点、造册登记工作，并请供应商代表签字确认，对其有效性不负任何责任。</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1.2代理机构在宣布递交磋商响应文件时间截止之后，拒绝接收任何人送达、递交的磋商响应文件；</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1.3代理机构不接受邮寄的磋商响应文件；</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1.4无论供应商成交与否，其磋商响应文件恕不退还。</w:t>
      </w:r>
    </w:p>
    <w:p>
      <w:pPr>
        <w:pStyle w:val="5"/>
        <w:numPr>
          <w:ilvl w:val="0"/>
          <w:numId w:val="10"/>
        </w:numPr>
        <w:ind w:firstLine="562" w:firstLineChars="200"/>
        <w:rPr>
          <w:rFonts w:ascii="宋体" w:hAnsi="宋体" w:cs="宋体"/>
        </w:rPr>
      </w:pPr>
      <w:bookmarkStart w:id="58" w:name="_Toc12741"/>
      <w:r>
        <w:rPr>
          <w:rFonts w:hint="eastAsia" w:ascii="宋体" w:hAnsi="宋体" w:cs="宋体"/>
        </w:rPr>
        <w:t>磋商响应文件的修改和撤回</w:t>
      </w:r>
      <w:bookmarkEnd w:id="58"/>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在磋商截止时间之后，供应商不得对其递交的磋商响应文件做任何修改或撤回。</w:t>
      </w: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59" w:name="_Toc27066"/>
      <w:bookmarkStart w:id="60" w:name="_Toc5718"/>
      <w:bookmarkStart w:id="61" w:name="_Toc27217"/>
      <w:bookmarkStart w:id="62" w:name="_Toc30333"/>
      <w:bookmarkStart w:id="63" w:name="_Toc14415"/>
      <w:r>
        <w:rPr>
          <w:rFonts w:hint="eastAsia" w:ascii="宋体" w:hAnsi="宋体" w:cs="宋体"/>
          <w:b/>
          <w:bCs/>
          <w:kern w:val="0"/>
          <w:sz w:val="32"/>
          <w:szCs w:val="28"/>
        </w:rPr>
        <w:t>磋商、评审、定标</w:t>
      </w:r>
      <w:bookmarkEnd w:id="59"/>
      <w:bookmarkEnd w:id="60"/>
      <w:bookmarkEnd w:id="61"/>
      <w:bookmarkEnd w:id="62"/>
      <w:bookmarkEnd w:id="63"/>
    </w:p>
    <w:p>
      <w:pPr>
        <w:pStyle w:val="5"/>
        <w:numPr>
          <w:ilvl w:val="0"/>
          <w:numId w:val="11"/>
        </w:numPr>
        <w:ind w:firstLine="562" w:firstLineChars="200"/>
        <w:rPr>
          <w:rFonts w:ascii="宋体" w:hAnsi="宋体" w:cs="宋体"/>
        </w:rPr>
      </w:pPr>
      <w:r>
        <w:rPr>
          <w:rFonts w:hint="eastAsia" w:ascii="宋体" w:hAnsi="宋体" w:cs="宋体"/>
        </w:rPr>
        <w:t>磋商</w:t>
      </w:r>
    </w:p>
    <w:p>
      <w:pPr>
        <w:widowControl/>
        <w:tabs>
          <w:tab w:val="left" w:pos="0"/>
        </w:tabs>
        <w:spacing w:line="500" w:lineRule="exact"/>
        <w:ind w:firstLine="480" w:firstLineChars="200"/>
        <w:jc w:val="left"/>
        <w:rPr>
          <w:rFonts w:ascii="宋体"/>
          <w:sz w:val="24"/>
          <w:szCs w:val="24"/>
        </w:rPr>
      </w:pPr>
      <w:r>
        <w:rPr>
          <w:rFonts w:hint="eastAsia" w:ascii="宋体" w:hAnsi="宋体" w:cs="宋体"/>
          <w:sz w:val="24"/>
          <w:szCs w:val="24"/>
        </w:rPr>
        <w:t>1.1采购代理机构按磋商公告中规定的时间和地点接收供应商递交的响应文件，主持磋商会议，邀请供应商代表参加。</w:t>
      </w:r>
    </w:p>
    <w:p>
      <w:pPr>
        <w:widowControl/>
        <w:tabs>
          <w:tab w:val="left" w:pos="0"/>
        </w:tabs>
        <w:spacing w:line="500" w:lineRule="exact"/>
        <w:ind w:firstLine="480" w:firstLineChars="200"/>
        <w:jc w:val="left"/>
        <w:rPr>
          <w:rFonts w:ascii="宋体" w:hAnsi="宋体" w:cs="宋体"/>
          <w:color w:val="000000"/>
          <w:sz w:val="24"/>
        </w:rPr>
      </w:pPr>
      <w:r>
        <w:rPr>
          <w:rFonts w:ascii="宋体" w:hAnsi="宋体" w:cs="宋体"/>
          <w:sz w:val="24"/>
          <w:szCs w:val="24"/>
        </w:rPr>
        <w:t xml:space="preserve">1.2 </w:t>
      </w:r>
      <w:r>
        <w:rPr>
          <w:rFonts w:hint="eastAsia" w:ascii="宋体" w:hAnsi="宋体" w:cs="宋体"/>
          <w:sz w:val="24"/>
          <w:szCs w:val="24"/>
        </w:rPr>
        <w:t>磋商时，由供应商或者其推选的代表检查响应文件的密封情况；经确认无误后，由采购代理机构工作人员拆封。代理机构指定专人负责将供应商的名称、项目名称、响应价格等进行记录，并存档备案。</w:t>
      </w:r>
    </w:p>
    <w:p>
      <w:pPr>
        <w:tabs>
          <w:tab w:val="left" w:pos="0"/>
        </w:tabs>
        <w:spacing w:line="360" w:lineRule="auto"/>
        <w:ind w:firstLine="480" w:firstLineChars="200"/>
        <w:jc w:val="left"/>
        <w:rPr>
          <w:rFonts w:ascii="宋体" w:hAnsi="宋体" w:cs="宋体"/>
          <w:kern w:val="0"/>
          <w:sz w:val="24"/>
        </w:rPr>
      </w:pPr>
      <w:r>
        <w:rPr>
          <w:rFonts w:hint="eastAsia" w:ascii="宋体" w:hAnsi="宋体" w:cs="宋体"/>
          <w:kern w:val="0"/>
          <w:sz w:val="24"/>
        </w:rPr>
        <w:t>1.3磋商时，磋商响应文件中出现下列情况，修正原则为：</w:t>
      </w:r>
    </w:p>
    <w:p>
      <w:pPr>
        <w:widowControl/>
        <w:numPr>
          <w:ilvl w:val="0"/>
          <w:numId w:val="12"/>
        </w:numPr>
        <w:tabs>
          <w:tab w:val="left" w:pos="0"/>
        </w:tabs>
        <w:spacing w:line="500" w:lineRule="exact"/>
        <w:jc w:val="left"/>
        <w:rPr>
          <w:rFonts w:ascii="宋体" w:hAnsi="宋体" w:cs="宋体"/>
          <w:sz w:val="24"/>
          <w:szCs w:val="24"/>
        </w:rPr>
      </w:pPr>
      <w:r>
        <w:rPr>
          <w:rFonts w:hint="eastAsia" w:ascii="宋体" w:hAnsi="宋体" w:cs="宋体"/>
          <w:sz w:val="24"/>
          <w:szCs w:val="24"/>
        </w:rPr>
        <w:t>磋商文件中磋商一览表（报价表）内容与响应文件中相应内容不一致的，以磋商一览表（报价表）为准；报价精确到小数点后两位，不进行四舍五入；</w:t>
      </w:r>
    </w:p>
    <w:p>
      <w:pPr>
        <w:widowControl/>
        <w:numPr>
          <w:ilvl w:val="0"/>
          <w:numId w:val="12"/>
        </w:numPr>
        <w:tabs>
          <w:tab w:val="left" w:pos="0"/>
        </w:tabs>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widowControl/>
        <w:numPr>
          <w:ilvl w:val="0"/>
          <w:numId w:val="12"/>
        </w:numPr>
        <w:tabs>
          <w:tab w:val="left" w:pos="0"/>
        </w:tabs>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单价金额小数点或者百分比有明显错位的，以磋商一览表的总价为准，并修改单价；</w:t>
      </w:r>
    </w:p>
    <w:p>
      <w:pPr>
        <w:widowControl/>
        <w:numPr>
          <w:ilvl w:val="0"/>
          <w:numId w:val="12"/>
        </w:numPr>
        <w:tabs>
          <w:tab w:val="left" w:pos="0"/>
        </w:tabs>
        <w:spacing w:line="500" w:lineRule="exact"/>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 </w:t>
      </w:r>
    </w:p>
    <w:p>
      <w:pPr>
        <w:widowControl/>
        <w:numPr>
          <w:ilvl w:val="0"/>
          <w:numId w:val="12"/>
        </w:numPr>
        <w:tabs>
          <w:tab w:val="left" w:pos="0"/>
        </w:tabs>
        <w:spacing w:line="500" w:lineRule="exact"/>
        <w:jc w:val="left"/>
        <w:rPr>
          <w:rFonts w:ascii="宋体" w:hAnsi="宋体" w:cs="宋体"/>
          <w:sz w:val="24"/>
          <w:szCs w:val="24"/>
        </w:rPr>
      </w:pPr>
      <w:r>
        <w:rPr>
          <w:rFonts w:hint="eastAsia" w:ascii="宋体" w:hAnsi="宋体" w:cs="宋体"/>
          <w:sz w:val="24"/>
          <w:szCs w:val="24"/>
        </w:rPr>
        <w:t>响应文件正本与副本不一致的，以正本为准；</w:t>
      </w:r>
    </w:p>
    <w:p>
      <w:pPr>
        <w:widowControl/>
        <w:numPr>
          <w:ilvl w:val="0"/>
          <w:numId w:val="12"/>
        </w:numPr>
        <w:tabs>
          <w:tab w:val="left" w:pos="0"/>
        </w:tabs>
        <w:spacing w:line="500" w:lineRule="exact"/>
        <w:jc w:val="left"/>
        <w:rPr>
          <w:rFonts w:ascii="宋体" w:hAnsi="宋体" w:cs="宋体"/>
          <w:sz w:val="24"/>
          <w:szCs w:val="24"/>
        </w:rPr>
      </w:pPr>
      <w:r>
        <w:rPr>
          <w:rFonts w:hint="eastAsia" w:ascii="宋体" w:hAnsi="宋体" w:cs="宋体"/>
          <w:sz w:val="24"/>
          <w:szCs w:val="24"/>
        </w:rPr>
        <w:t>磋商响应文件中单独密封递交的磋商一览表内容与磋商响应文件中明细表内容与正本不一致的，以单独密封递交的磋商一览表为准。</w:t>
      </w:r>
    </w:p>
    <w:p>
      <w:pPr>
        <w:spacing w:line="500" w:lineRule="exact"/>
        <w:ind w:firstLine="480" w:firstLineChars="200"/>
        <w:jc w:val="left"/>
        <w:rPr>
          <w:rFonts w:ascii="宋体" w:hAnsi="宋体" w:cs="宋体"/>
          <w:sz w:val="24"/>
          <w:szCs w:val="24"/>
        </w:rPr>
      </w:pPr>
      <w:r>
        <w:rPr>
          <w:rFonts w:hint="eastAsia" w:ascii="宋体" w:hAnsi="宋体" w:cs="宋体"/>
          <w:kern w:val="0"/>
          <w:sz w:val="24"/>
          <w:szCs w:val="24"/>
        </w:rPr>
        <w:t>同时出现两种以上不一致的，按照前款规定的顺序修正。修正后的报价按照</w:t>
      </w:r>
      <w:r>
        <w:rPr>
          <w:rFonts w:hint="eastAsia" w:ascii="宋体" w:hAnsi="宋体" w:cs="宋体"/>
          <w:sz w:val="24"/>
        </w:rPr>
        <w:t>《政府采购竞争性磋商采购方式管理暂行办法》</w:t>
      </w:r>
      <w:r>
        <w:rPr>
          <w:rFonts w:hint="eastAsia" w:ascii="宋体" w:hAnsi="宋体" w:cs="宋体"/>
          <w:kern w:val="0"/>
          <w:sz w:val="24"/>
          <w:szCs w:val="24"/>
        </w:rPr>
        <w:t>的规定经供应商确认后产生约束力，供应商不确认的，其响应无效。</w:t>
      </w:r>
    </w:p>
    <w:p>
      <w:pPr>
        <w:pStyle w:val="5"/>
        <w:numPr>
          <w:ilvl w:val="0"/>
          <w:numId w:val="11"/>
        </w:numPr>
        <w:rPr>
          <w:rFonts w:ascii="宋体" w:hAnsi="宋体" w:cs="宋体"/>
        </w:rPr>
      </w:pPr>
      <w:r>
        <w:rPr>
          <w:rFonts w:hint="eastAsia" w:ascii="宋体" w:hAnsi="宋体" w:cs="宋体"/>
        </w:rPr>
        <w:t>磋商小组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2.1采购人将根据本次采购项目的特点，参照《中华人民共和国政府采购法》及</w:t>
      </w:r>
      <w:r>
        <w:rPr>
          <w:rFonts w:hint="eastAsia" w:ascii="宋体" w:hAnsi="宋体" w:cs="宋体"/>
          <w:sz w:val="24"/>
        </w:rPr>
        <w:t>《政府采购竞争性磋商采购方式管理暂行办法》</w:t>
      </w:r>
      <w:r>
        <w:rPr>
          <w:rFonts w:hint="eastAsia" w:ascii="宋体" w:hAnsi="宋体" w:cs="宋体"/>
          <w:kern w:val="0"/>
          <w:sz w:val="24"/>
        </w:rPr>
        <w:t>等有关规定组建磋商小组。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2.2磋商小组由采购人代表和有关技术、经济等方面的专家组成，磋商小组产生方式符合国家和地方有关评审专家产生方式的规定。磋商小组负责评审活动。</w:t>
      </w:r>
    </w:p>
    <w:p>
      <w:pPr>
        <w:widowControl/>
        <w:spacing w:line="360" w:lineRule="auto"/>
        <w:ind w:firstLine="480" w:firstLineChars="200"/>
        <w:rPr>
          <w:rFonts w:ascii="宋体" w:hAnsi="宋体" w:cs="宋体"/>
          <w:b/>
          <w:sz w:val="24"/>
          <w:szCs w:val="24"/>
        </w:rPr>
      </w:pPr>
      <w:r>
        <w:rPr>
          <w:rFonts w:hint="eastAsia" w:ascii="宋体" w:hAnsi="宋体" w:cs="宋体"/>
          <w:kern w:val="0"/>
          <w:sz w:val="24"/>
        </w:rPr>
        <w:t>2.3磋商小组对各供应商的磋商响应文件进行审查、评估和比较，并推荐出成交候选人。</w:t>
      </w:r>
    </w:p>
    <w:p>
      <w:pPr>
        <w:pStyle w:val="5"/>
        <w:numPr>
          <w:ilvl w:val="0"/>
          <w:numId w:val="11"/>
        </w:numPr>
        <w:rPr>
          <w:rFonts w:ascii="宋体" w:hAnsi="宋体" w:cs="宋体"/>
        </w:rPr>
      </w:pPr>
      <w:bookmarkStart w:id="64" w:name="_Toc28085"/>
      <w:bookmarkStart w:id="65" w:name="_Toc386129876"/>
      <w:bookmarkStart w:id="66" w:name="_Toc385958808"/>
      <w:bookmarkStart w:id="67" w:name="_Toc27940"/>
      <w:r>
        <w:rPr>
          <w:rFonts w:hint="eastAsia" w:ascii="宋体" w:hAnsi="宋体" w:cs="宋体"/>
        </w:rPr>
        <w:t>磋商响应文件初审</w:t>
      </w:r>
      <w:bookmarkEnd w:id="64"/>
      <w:bookmarkEnd w:id="65"/>
      <w:bookmarkEnd w:id="66"/>
      <w:bookmarkEnd w:id="67"/>
    </w:p>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3.1磋商响应文件的资格性审查</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rPr>
        <w:t>依据法律法规和竞争性磋商文件的规定，资格审查由磋商小组对响应文件中的资格证明文件等进行审查，</w:t>
      </w:r>
      <w:r>
        <w:rPr>
          <w:rFonts w:hint="eastAsia" w:ascii="宋体" w:hAnsi="宋体" w:cs="宋体"/>
          <w:b/>
          <w:bCs/>
          <w:kern w:val="0"/>
          <w:sz w:val="24"/>
          <w:szCs w:val="24"/>
        </w:rPr>
        <w:t>供应商应按照磋商文件第二部分供应商须知前附表8、资格要求提交资格证明材料，以确保供应商是否具备相应资格。</w:t>
      </w:r>
      <w:r>
        <w:rPr>
          <w:rFonts w:hint="eastAsia" w:ascii="宋体" w:hAnsi="宋体" w:cs="宋体"/>
          <w:kern w:val="0"/>
          <w:sz w:val="24"/>
          <w:szCs w:val="24"/>
        </w:rPr>
        <w:t>未通过资格审查的供应商不得进入评审，其响应将被认定为无效。</w:t>
      </w:r>
    </w:p>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3.2磋商响应文件符合性审查 </w:t>
      </w:r>
    </w:p>
    <w:p>
      <w:pPr>
        <w:overflowPunct w:val="0"/>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依据竞争性磋商文件的规定，从磋商响应文件的有效性、完整性和对竞争性磋商文件的响应程度进行审查，以确定是否对竞争性磋商文件的实质性内容作出响应，下列情况有一项不</w:t>
      </w:r>
      <w:r>
        <w:rPr>
          <w:rFonts w:hint="eastAsia" w:ascii="宋体" w:hAnsi="宋体" w:cs="宋体"/>
          <w:kern w:val="0"/>
          <w:sz w:val="24"/>
          <w:szCs w:val="24"/>
        </w:rPr>
        <w:t>满足者（但不限于）不得进入下一轮评审：</w:t>
      </w:r>
    </w:p>
    <w:tbl>
      <w:tblPr>
        <w:tblStyle w:val="25"/>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367"/>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restart"/>
            <w:vAlign w:val="center"/>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符合性</w:t>
            </w:r>
          </w:p>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审查</w:t>
            </w: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1</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供应商名称是否与营业执照、资质证书一致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2</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响应报价是否超过预算或最高限价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3</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响应文件签字、盖章、装订是否满足</w:t>
            </w:r>
            <w:r>
              <w:rPr>
                <w:rFonts w:hint="eastAsia" w:ascii="宋体" w:hAnsi="宋体" w:cs="宋体"/>
                <w:kern w:val="0"/>
                <w:szCs w:val="21"/>
                <w:lang w:val="en-US" w:eastAsia="zh-CN"/>
              </w:rPr>
              <w:t>磋商</w:t>
            </w:r>
            <w:r>
              <w:rPr>
                <w:rFonts w:hint="eastAsia" w:ascii="宋体" w:hAnsi="宋体" w:cs="宋体"/>
                <w:kern w:val="0"/>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4</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磋商有效期是否满足磋商文件要求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5</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szCs w:val="21"/>
                <w:lang w:eastAsia="zh-CN"/>
              </w:rPr>
              <w:t>无</w:t>
            </w:r>
            <w:r>
              <w:rPr>
                <w:rFonts w:hint="eastAsia" w:ascii="宋体" w:hAnsi="宋体" w:cs="宋体"/>
                <w:szCs w:val="21"/>
              </w:rPr>
              <w:t>磋商文件商务要求条款不一致或增加了采购人难以接受的条款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6</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是否符合法律法规和磋商文件规定的其他实质性要求</w:t>
            </w:r>
          </w:p>
        </w:tc>
      </w:tr>
    </w:tbl>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3.3经过对供应商及磋商响应文件审查，出现下列情况者（但不限于），视为未响应磋商文件实质性条款，其响应文件按无效处理。</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供应商的响应报价超过采购预算或最高限价；</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供应商未经过正常渠道购买竞争性磋商文件，或供应商名称与购买竞争性磋商文件时登记的供应商名称不符的；</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磋商响应文件的装订、签署、盖章不符合竞争性磋商文件要求；无磋商有效期或有效期达不到竞争性磋商文件要求的；</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供应商针对同一项目递交两份或多份内容不同的磋商响应文件，未书面声明哪一份是有效的或出现选择性报价的；</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供应商未按竞争性磋商文件要求提供产品的技术参数及产品供货渠道不明确的；</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响应报价出现漏项或货物数量与要求不符的；</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经磋商小组一致认定响应产品的技术参数、性能指标与竞争性磋商文件要求出现重大负偏差的；或者提供虚假证明（包括第三方的虚假证明），除按无效文件处理外，还将按照政府采购法的有关规定进行处罚；</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磋商响应文件在商务响应方面（付款方式、</w:t>
      </w:r>
      <w:r>
        <w:rPr>
          <w:rFonts w:hint="eastAsia" w:ascii="宋体" w:hAnsi="宋体" w:cs="宋体"/>
          <w:sz w:val="24"/>
          <w:lang w:val="en-US" w:eastAsia="zh-CN"/>
        </w:rPr>
        <w:t>服务期</w:t>
      </w:r>
      <w:r>
        <w:rPr>
          <w:rFonts w:hint="eastAsia" w:ascii="宋体" w:hAnsi="宋体" w:cs="宋体"/>
          <w:sz w:val="24"/>
        </w:rPr>
        <w:t>、服务承诺、验收条件等）与竞争性磋商文件要求不一致或附加了采购单位难以接受的条件或条款的；</w:t>
      </w:r>
    </w:p>
    <w:p>
      <w:pPr>
        <w:numPr>
          <w:ilvl w:val="0"/>
          <w:numId w:val="13"/>
        </w:numPr>
        <w:spacing w:line="360" w:lineRule="auto"/>
        <w:ind w:firstLine="480" w:firstLineChars="200"/>
        <w:rPr>
          <w:rFonts w:ascii="宋体" w:hAnsi="宋体" w:cs="宋体"/>
          <w:kern w:val="0"/>
          <w:sz w:val="24"/>
        </w:rPr>
      </w:pPr>
      <w:r>
        <w:rPr>
          <w:rFonts w:hint="eastAsia" w:ascii="宋体" w:hAnsi="宋体" w:cs="宋体"/>
          <w:sz w:val="24"/>
        </w:rPr>
        <w:t>如澄清、补正、说明的内容与磋商响应文件内容有重大相悖或矛盾，将被认定为无效磋商。</w:t>
      </w:r>
    </w:p>
    <w:p>
      <w:pPr>
        <w:pStyle w:val="5"/>
        <w:numPr>
          <w:ilvl w:val="0"/>
          <w:numId w:val="11"/>
        </w:numPr>
        <w:rPr>
          <w:rFonts w:ascii="宋体" w:hAnsi="宋体" w:cs="宋体"/>
        </w:rPr>
      </w:pPr>
      <w:bookmarkStart w:id="68" w:name="_Toc17705"/>
      <w:r>
        <w:rPr>
          <w:rFonts w:hint="eastAsia" w:ascii="宋体" w:hAnsi="宋体" w:cs="宋体"/>
        </w:rPr>
        <w:t>磋商响应文件澄清</w:t>
      </w:r>
      <w:bookmarkEnd w:id="68"/>
    </w:p>
    <w:p>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szCs w:val="24"/>
        </w:rPr>
        <w:t>4.1在评审期间,采购代理机构可根据磋商小组对其磋商响应文件有疑义不清楚的内容，要求供应商对其磋商响应文件进行澄清，有关澄清的要求和答复应以书面形式</w:t>
      </w:r>
      <w:r>
        <w:rPr>
          <w:rFonts w:hint="eastAsia" w:ascii="宋体" w:hAnsi="宋体" w:cs="宋体"/>
          <w:sz w:val="24"/>
        </w:rPr>
        <w:t>提交，</w:t>
      </w:r>
      <w:r>
        <w:rPr>
          <w:rFonts w:hint="eastAsia" w:ascii="宋体" w:hAnsi="宋体" w:cs="宋体"/>
          <w:sz w:val="24"/>
          <w:szCs w:val="24"/>
        </w:rPr>
        <w:t>如磋商小组未变动实质性采购需求，供应商</w:t>
      </w:r>
      <w:r>
        <w:rPr>
          <w:rFonts w:hint="eastAsia" w:ascii="宋体" w:hAnsi="宋体" w:cs="宋体"/>
          <w:sz w:val="24"/>
        </w:rPr>
        <w:t>不得对实质性内容进行变动。</w:t>
      </w:r>
    </w:p>
    <w:p>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4.2供应商应采用书面形式进行澄清或说明，但不得超出磋商响应文件的范围或改变磋商响应文件的实质性内容。</w:t>
      </w:r>
    </w:p>
    <w:p>
      <w:pPr>
        <w:pStyle w:val="5"/>
        <w:numPr>
          <w:ilvl w:val="0"/>
          <w:numId w:val="11"/>
        </w:numPr>
        <w:rPr>
          <w:rFonts w:ascii="宋体" w:hAnsi="宋体" w:cs="宋体"/>
        </w:rPr>
      </w:pPr>
      <w:r>
        <w:rPr>
          <w:rFonts w:hint="eastAsia" w:ascii="宋体" w:hAnsi="宋体" w:cs="宋体"/>
        </w:rPr>
        <w:t>评审</w:t>
      </w:r>
    </w:p>
    <w:p>
      <w:pPr>
        <w:spacing w:line="360" w:lineRule="auto"/>
        <w:ind w:firstLine="480" w:firstLineChars="200"/>
        <w:rPr>
          <w:rFonts w:ascii="宋体" w:hAnsi="宋体" w:cs="宋体"/>
          <w:sz w:val="24"/>
        </w:rPr>
      </w:pPr>
      <w:bookmarkStart w:id="69" w:name="_Toc12947"/>
      <w:r>
        <w:rPr>
          <w:rFonts w:hint="eastAsia" w:ascii="宋体" w:hAnsi="宋体" w:cs="宋体"/>
          <w:sz w:val="24"/>
        </w:rPr>
        <w:t xml:space="preserve">5.1磋商小组有权对在磋商、评审过程中出现的一切问题，根据《中华人民共和国政府采购法》和《政府采购竞争性磋商采购方式管理暂行办法》的条款，本着公开、公平、公正的原则进行处理。 </w:t>
      </w:r>
    </w:p>
    <w:p>
      <w:pPr>
        <w:spacing w:line="360" w:lineRule="auto"/>
        <w:ind w:firstLine="480" w:firstLineChars="200"/>
        <w:rPr>
          <w:rFonts w:ascii="宋体" w:hAnsi="宋体" w:cs="宋体"/>
          <w:sz w:val="24"/>
        </w:rPr>
      </w:pPr>
      <w:r>
        <w:rPr>
          <w:rFonts w:hint="eastAsia" w:ascii="宋体" w:hAnsi="宋体" w:cs="宋体"/>
          <w:sz w:val="24"/>
        </w:rPr>
        <w:t>5.2磋商流程</w:t>
      </w:r>
    </w:p>
    <w:p>
      <w:pPr>
        <w:numPr>
          <w:ilvl w:val="0"/>
          <w:numId w:val="14"/>
        </w:numPr>
        <w:spacing w:line="360" w:lineRule="auto"/>
        <w:rPr>
          <w:rFonts w:ascii="宋体" w:hAnsi="宋体" w:cs="宋体"/>
          <w:sz w:val="24"/>
        </w:rPr>
      </w:pPr>
      <w:r>
        <w:rPr>
          <w:rFonts w:hint="eastAsia" w:ascii="宋体" w:hAnsi="宋体" w:cs="宋体"/>
          <w:sz w:val="24"/>
        </w:rPr>
        <w:t>磋商小组先对供应商作资格性/符合性审查，只有通过资格性/符合性审查的供应商，才能进入第二阶段的磋商，否则被淘汰。</w:t>
      </w:r>
    </w:p>
    <w:p>
      <w:pPr>
        <w:numPr>
          <w:ilvl w:val="0"/>
          <w:numId w:val="14"/>
        </w:numPr>
        <w:spacing w:line="360" w:lineRule="auto"/>
        <w:rPr>
          <w:rFonts w:ascii="宋体" w:hAnsi="宋体" w:cs="宋体"/>
          <w:sz w:val="24"/>
        </w:rPr>
      </w:pPr>
      <w:r>
        <w:rPr>
          <w:rFonts w:hint="eastAsia" w:ascii="宋体" w:hAnsi="宋体" w:cs="宋体"/>
          <w:sz w:val="24"/>
        </w:rPr>
        <w:t>磋商小组所有成员集中与单一供应商分别进行磋商（磋商轮次为二轮），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pPr>
        <w:numPr>
          <w:ilvl w:val="0"/>
          <w:numId w:val="14"/>
        </w:numPr>
        <w:spacing w:line="360" w:lineRule="auto"/>
        <w:rPr>
          <w:rFonts w:ascii="宋体" w:hAnsi="宋体" w:cs="宋体"/>
          <w:sz w:val="24"/>
        </w:rPr>
      </w:pPr>
      <w:r>
        <w:rPr>
          <w:rFonts w:hint="eastAsia" w:ascii="宋体" w:hAnsi="宋体" w:cs="宋体"/>
          <w:kern w:val="0"/>
          <w:sz w:val="24"/>
          <w:szCs w:val="24"/>
        </w:rPr>
        <w:t>如磋商小组一致认为某个供应商的报价明显不合理，有降低质量、不能诚信履行的可能时，磋商小组有权决定是否通知供应商限期进行书面解释或提供相关证明材料。若已要求，而该供应商在规定期限内未做出解释、做出的解释不合理或不能提供证明材料的，磋商小组有权拒绝该</w:t>
      </w:r>
      <w:r>
        <w:rPr>
          <w:rFonts w:hint="eastAsia" w:ascii="宋体" w:hAnsi="宋体" w:cs="宋体"/>
          <w:kern w:val="0"/>
          <w:sz w:val="24"/>
          <w:szCs w:val="24"/>
          <w:lang w:val="en-US" w:eastAsia="zh-CN"/>
        </w:rPr>
        <w:t>磋商</w:t>
      </w:r>
      <w:r>
        <w:rPr>
          <w:rFonts w:hint="eastAsia" w:ascii="宋体" w:hAnsi="宋体" w:cs="宋体"/>
          <w:kern w:val="0"/>
          <w:sz w:val="24"/>
          <w:szCs w:val="24"/>
        </w:rPr>
        <w:t>。</w:t>
      </w:r>
    </w:p>
    <w:p>
      <w:pPr>
        <w:numPr>
          <w:ilvl w:val="0"/>
          <w:numId w:val="14"/>
        </w:numPr>
        <w:spacing w:line="360" w:lineRule="auto"/>
        <w:rPr>
          <w:rFonts w:ascii="宋体" w:hAnsi="宋体" w:cs="宋体"/>
          <w:sz w:val="24"/>
        </w:rPr>
      </w:pPr>
      <w:r>
        <w:rPr>
          <w:rFonts w:hint="eastAsia" w:ascii="宋体" w:hAnsi="宋体" w:cs="宋体"/>
          <w:sz w:val="24"/>
        </w:rPr>
        <w:t>对磋商文件作出的实质性变动是磋商文件的有效组成部分，磋商小组应当及时以书面形式同时通知所有参加磋商的供应商。</w:t>
      </w:r>
    </w:p>
    <w:p>
      <w:pPr>
        <w:numPr>
          <w:ilvl w:val="0"/>
          <w:numId w:val="14"/>
        </w:numPr>
        <w:spacing w:line="360" w:lineRule="auto"/>
        <w:rPr>
          <w:rFonts w:ascii="宋体" w:hAnsi="宋体" w:cs="宋体"/>
          <w:sz w:val="24"/>
          <w:shd w:val="clear" w:color="FFFFFF" w:fill="D9D9D9"/>
        </w:rPr>
      </w:pPr>
      <w:r>
        <w:rPr>
          <w:rFonts w:hint="eastAsia" w:ascii="宋体" w:hAnsi="宋体" w:cs="宋体"/>
          <w:sz w:val="24"/>
        </w:rPr>
        <w:t>磋商结束后，磋商小组要求参加磋商的各供应商在规定的时间内集中提交最终报价。</w:t>
      </w:r>
    </w:p>
    <w:p>
      <w:pPr>
        <w:widowControl/>
        <w:numPr>
          <w:ilvl w:val="0"/>
          <w:numId w:val="14"/>
        </w:numPr>
        <w:spacing w:line="360" w:lineRule="auto"/>
        <w:jc w:val="left"/>
        <w:rPr>
          <w:rFonts w:ascii="宋体" w:hAnsi="宋体" w:cs="宋体"/>
          <w:sz w:val="24"/>
        </w:rPr>
      </w:pPr>
      <w:r>
        <w:rPr>
          <w:rFonts w:hint="eastAsia" w:ascii="宋体" w:hAnsi="宋体" w:cs="宋体"/>
          <w:sz w:val="24"/>
          <w:szCs w:val="24"/>
        </w:rPr>
        <w:t>在确定最终采购需求和提交最后报价的供应商后，由磋商小组采用综合评分法对提交最后报价的供应商进行综合评分。</w:t>
      </w:r>
      <w:r>
        <w:rPr>
          <w:rFonts w:hint="eastAsia" w:ascii="宋体" w:hAnsi="宋体" w:cs="宋体"/>
          <w:sz w:val="24"/>
        </w:rPr>
        <w:t>磋商小组第四部分评分标准规定的各项因素进行比较、自主打分、综合评审。磋商小组将评审得分汇总后，按评审总得分由高到低汇总排序，推荐1～3名成交候选人；</w:t>
      </w:r>
      <w:r>
        <w:rPr>
          <w:rFonts w:hint="eastAsia" w:ascii="宋体" w:hAnsi="宋体" w:cs="宋体"/>
          <w:sz w:val="24"/>
          <w:szCs w:val="24"/>
        </w:rPr>
        <w:t>评审得分相同的，按照最后报价由低到高的顺序推荐。评审得分且最后报价相同的，按照技术指标优劣顺序推荐。</w:t>
      </w:r>
    </w:p>
    <w:p>
      <w:pPr>
        <w:pStyle w:val="5"/>
        <w:numPr>
          <w:ilvl w:val="0"/>
          <w:numId w:val="11"/>
        </w:numPr>
        <w:rPr>
          <w:rFonts w:ascii="宋体" w:hAnsi="宋体" w:cs="宋体"/>
        </w:rPr>
      </w:pPr>
      <w:r>
        <w:rPr>
          <w:rFonts w:hint="eastAsia" w:ascii="宋体" w:hAnsi="宋体" w:cs="宋体"/>
        </w:rPr>
        <w:t>定标</w:t>
      </w:r>
      <w:bookmarkEnd w:id="69"/>
    </w:p>
    <w:p>
      <w:pPr>
        <w:spacing w:line="360" w:lineRule="auto"/>
        <w:ind w:left="420"/>
        <w:jc w:val="left"/>
        <w:rPr>
          <w:rFonts w:ascii="宋体" w:hAnsi="宋体" w:cs="宋体"/>
          <w:sz w:val="24"/>
        </w:rPr>
      </w:pPr>
      <w:r>
        <w:rPr>
          <w:rFonts w:hint="eastAsia" w:ascii="宋体" w:hAnsi="宋体" w:cs="宋体"/>
          <w:sz w:val="24"/>
        </w:rPr>
        <w:t>6.1代理机构在评审结束后</w:t>
      </w:r>
      <w:r>
        <w:rPr>
          <w:rFonts w:hint="eastAsia" w:ascii="宋体" w:hAnsi="宋体" w:cs="宋体"/>
          <w:sz w:val="24"/>
          <w:highlight w:val="none"/>
          <w:lang w:val="en-US" w:eastAsia="zh-CN"/>
        </w:rPr>
        <w:t>1</w:t>
      </w:r>
      <w:r>
        <w:rPr>
          <w:rFonts w:hint="eastAsia" w:ascii="宋体" w:hAnsi="宋体" w:cs="宋体"/>
          <w:sz w:val="24"/>
        </w:rPr>
        <w:t>个工作日内将评审报告送达采购单位，采购单</w:t>
      </w:r>
    </w:p>
    <w:p>
      <w:pPr>
        <w:spacing w:line="360" w:lineRule="auto"/>
        <w:jc w:val="left"/>
        <w:rPr>
          <w:rFonts w:ascii="宋体" w:hAnsi="宋体" w:cs="宋体"/>
          <w:sz w:val="24"/>
        </w:rPr>
      </w:pPr>
      <w:r>
        <w:rPr>
          <w:rFonts w:hint="eastAsia" w:ascii="宋体" w:hAnsi="宋体" w:cs="宋体"/>
          <w:sz w:val="24"/>
        </w:rPr>
        <w:t>位在收到评审报告后</w:t>
      </w:r>
      <w:r>
        <w:rPr>
          <w:rFonts w:hint="eastAsia" w:ascii="宋体" w:hAnsi="宋体" w:cs="宋体"/>
          <w:sz w:val="24"/>
          <w:highlight w:val="none"/>
          <w:lang w:val="en-US" w:eastAsia="zh-CN"/>
        </w:rPr>
        <w:t>4</w:t>
      </w:r>
      <w:r>
        <w:rPr>
          <w:rFonts w:hint="eastAsia" w:ascii="宋体" w:hAnsi="宋体" w:cs="宋体"/>
          <w:sz w:val="24"/>
        </w:rPr>
        <w:t>个工作日内，按照评审报告中推荐的成交候选人顺序确认第一成交候选人为成交单位，同时书面复函代理机构；</w:t>
      </w:r>
    </w:p>
    <w:p>
      <w:pPr>
        <w:spacing w:line="360" w:lineRule="auto"/>
        <w:ind w:firstLine="420" w:firstLineChars="175"/>
        <w:rPr>
          <w:rFonts w:ascii="宋体" w:hAnsi="宋体" w:cs="宋体"/>
          <w:sz w:val="24"/>
        </w:rPr>
      </w:pPr>
      <w:r>
        <w:rPr>
          <w:rFonts w:hint="eastAsia" w:ascii="宋体" w:hAnsi="宋体" w:cs="宋体"/>
          <w:sz w:val="24"/>
        </w:rPr>
        <w:t>6.2代理机构收到采购单位“成交复函”后</w:t>
      </w:r>
      <w:r>
        <w:rPr>
          <w:rFonts w:hint="eastAsia" w:ascii="宋体" w:hAnsi="宋体" w:cs="宋体"/>
          <w:sz w:val="24"/>
          <w:highlight w:val="none"/>
          <w:lang w:val="en-US" w:eastAsia="zh-CN"/>
        </w:rPr>
        <w:t>1</w:t>
      </w:r>
      <w:r>
        <w:rPr>
          <w:rFonts w:hint="eastAsia" w:ascii="宋体" w:hAnsi="宋体" w:cs="宋体"/>
          <w:sz w:val="24"/>
        </w:rPr>
        <w:t>个工作日内，在财政部门指定的政府采购信息媒体上发布公告，并向成交供应商发出“成交通知书”。</w:t>
      </w: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70" w:name="_Toc18858"/>
      <w:bookmarkStart w:id="71" w:name="_Toc25308"/>
      <w:bookmarkStart w:id="72" w:name="_Toc740"/>
      <w:bookmarkStart w:id="73" w:name="_Toc794"/>
      <w:bookmarkStart w:id="74" w:name="_Toc19972"/>
      <w:r>
        <w:rPr>
          <w:rFonts w:hint="eastAsia" w:ascii="宋体" w:hAnsi="宋体" w:cs="宋体"/>
          <w:b/>
          <w:bCs/>
          <w:kern w:val="0"/>
          <w:sz w:val="32"/>
          <w:szCs w:val="28"/>
        </w:rPr>
        <w:t>签订合同</w:t>
      </w:r>
      <w:bookmarkEnd w:id="70"/>
      <w:bookmarkEnd w:id="71"/>
      <w:bookmarkEnd w:id="72"/>
      <w:bookmarkEnd w:id="73"/>
      <w:bookmarkEnd w:id="74"/>
    </w:p>
    <w:p>
      <w:pPr>
        <w:spacing w:line="360" w:lineRule="auto"/>
        <w:ind w:firstLine="480" w:firstLineChars="200"/>
        <w:jc w:val="left"/>
        <w:rPr>
          <w:rFonts w:ascii="宋体" w:hAnsi="宋体" w:cs="宋体"/>
          <w:sz w:val="24"/>
        </w:rPr>
      </w:pPr>
      <w:r>
        <w:rPr>
          <w:rFonts w:hint="eastAsia" w:ascii="宋体" w:hAnsi="宋体" w:cs="宋体"/>
          <w:sz w:val="24"/>
        </w:rPr>
        <w:t>1、成交后，成交供应商与采购人洽谈合同条款，并签订供货合同，同时送</w:t>
      </w:r>
    </w:p>
    <w:p>
      <w:pPr>
        <w:spacing w:line="360" w:lineRule="auto"/>
        <w:jc w:val="left"/>
        <w:rPr>
          <w:rFonts w:ascii="宋体" w:hAnsi="宋体" w:cs="宋体"/>
          <w:sz w:val="24"/>
        </w:rPr>
      </w:pPr>
      <w:r>
        <w:rPr>
          <w:rFonts w:hint="eastAsia" w:ascii="宋体" w:hAnsi="宋体" w:cs="宋体"/>
          <w:sz w:val="24"/>
        </w:rPr>
        <w:t>代理机构归档，竞争性磋商文件及成交供应商的磋商响应文件均作为合同的组成部分。</w:t>
      </w:r>
    </w:p>
    <w:p>
      <w:pPr>
        <w:spacing w:line="360" w:lineRule="auto"/>
        <w:ind w:firstLine="480" w:firstLineChars="200"/>
        <w:jc w:val="left"/>
        <w:rPr>
          <w:rFonts w:ascii="宋体" w:hAnsi="宋体" w:cs="宋体"/>
          <w:sz w:val="24"/>
        </w:rPr>
      </w:pPr>
      <w:r>
        <w:rPr>
          <w:rFonts w:hint="eastAsia" w:ascii="宋体" w:hAnsi="宋体" w:cs="宋体"/>
          <w:sz w:val="24"/>
        </w:rPr>
        <w:t>2、根据需要，代理机构应协助采购人监督、协调和处理履约过程中出现的</w:t>
      </w:r>
    </w:p>
    <w:p>
      <w:pPr>
        <w:spacing w:line="360" w:lineRule="auto"/>
        <w:jc w:val="left"/>
        <w:rPr>
          <w:rFonts w:ascii="宋体" w:hAnsi="宋体" w:cs="宋体"/>
          <w:sz w:val="24"/>
        </w:rPr>
      </w:pPr>
      <w:r>
        <w:rPr>
          <w:rFonts w:hint="eastAsia" w:ascii="宋体" w:hAnsi="宋体" w:cs="宋体"/>
          <w:sz w:val="24"/>
        </w:rPr>
        <w:t>问题。</w:t>
      </w:r>
    </w:p>
    <w:p>
      <w:pPr>
        <w:spacing w:line="360" w:lineRule="auto"/>
        <w:ind w:firstLine="480" w:firstLineChars="200"/>
        <w:jc w:val="left"/>
        <w:rPr>
          <w:rFonts w:ascii="宋体" w:hAnsi="宋体" w:cs="宋体"/>
          <w:sz w:val="24"/>
        </w:rPr>
      </w:pPr>
      <w:r>
        <w:rPr>
          <w:rFonts w:hint="eastAsia" w:ascii="宋体" w:hAnsi="宋体" w:cs="宋体"/>
          <w:sz w:val="24"/>
        </w:rPr>
        <w:t>3、财政部门在合同履行期间以及履行期后，可以随时检查项目的执行情况，对采购标准、采购内容进行调查核实，并对发现的问题进行处理。</w:t>
      </w: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75" w:name="_Toc28110"/>
      <w:bookmarkStart w:id="76" w:name="_Toc6476"/>
      <w:bookmarkStart w:id="77" w:name="_Toc26132"/>
      <w:bookmarkStart w:id="78" w:name="_Toc32754"/>
      <w:bookmarkStart w:id="79" w:name="_Toc28603"/>
      <w:r>
        <w:rPr>
          <w:rFonts w:hint="eastAsia" w:ascii="宋体" w:hAnsi="宋体" w:cs="宋体"/>
          <w:b/>
          <w:bCs/>
          <w:kern w:val="0"/>
          <w:sz w:val="32"/>
          <w:szCs w:val="28"/>
        </w:rPr>
        <w:t>代理服务费</w:t>
      </w:r>
      <w:bookmarkEnd w:id="75"/>
      <w:bookmarkEnd w:id="76"/>
      <w:bookmarkEnd w:id="77"/>
      <w:bookmarkEnd w:id="78"/>
      <w:bookmarkEnd w:id="79"/>
    </w:p>
    <w:p>
      <w:pPr>
        <w:spacing w:line="560" w:lineRule="exact"/>
        <w:ind w:firstLine="480" w:firstLineChars="200"/>
        <w:jc w:val="left"/>
        <w:rPr>
          <w:rFonts w:ascii="宋体" w:hAnsi="宋体" w:cs="宋体"/>
          <w:sz w:val="24"/>
          <w:szCs w:val="24"/>
        </w:rPr>
      </w:pPr>
      <w:r>
        <w:rPr>
          <w:rFonts w:hint="eastAsia" w:ascii="宋体" w:hAnsi="宋体" w:cs="宋体"/>
          <w:sz w:val="24"/>
          <w:szCs w:val="24"/>
        </w:rPr>
        <w:t>1、以本采购项目成交价为基数，参照国家计委关于印发《招标代理服务收费管理暂行办法》的通知（计价格[2002]1980号）和发改办价格[2003]857号规定</w:t>
      </w:r>
      <w:r>
        <w:rPr>
          <w:rFonts w:hint="eastAsia" w:ascii="宋体" w:hAnsi="宋体" w:cs="宋体"/>
          <w:b w:val="0"/>
          <w:bCs w:val="0"/>
          <w:sz w:val="24"/>
          <w:szCs w:val="24"/>
          <w:lang w:val="en-US" w:eastAsia="zh-CN"/>
        </w:rPr>
        <w:t>收取成交服务费</w:t>
      </w:r>
      <w:r>
        <w:rPr>
          <w:rFonts w:hint="eastAsia" w:ascii="宋体" w:hAnsi="宋体" w:cs="宋体"/>
          <w:sz w:val="24"/>
          <w:szCs w:val="24"/>
          <w:lang w:val="en-US" w:eastAsia="zh-CN"/>
        </w:rPr>
        <w:t>。</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2、供应商将招标代理服务费计入投标报价但不单独列明，成交单位在领取成交通知书前，须向采购代理机构一次性支付招标代理服务费；代理服务费以转账、电汇或现金等形式交纳。</w:t>
      </w: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80" w:name="_Toc13048"/>
      <w:bookmarkStart w:id="81" w:name="_Toc1728"/>
      <w:bookmarkStart w:id="82" w:name="_Toc14280"/>
      <w:bookmarkStart w:id="83" w:name="_Toc11862"/>
      <w:bookmarkStart w:id="84" w:name="_Toc13674"/>
      <w:r>
        <w:rPr>
          <w:rFonts w:hint="eastAsia" w:ascii="宋体" w:hAnsi="宋体" w:cs="宋体"/>
          <w:b/>
          <w:bCs/>
          <w:kern w:val="0"/>
          <w:sz w:val="32"/>
          <w:szCs w:val="28"/>
        </w:rPr>
        <w:t>质疑和投诉</w:t>
      </w:r>
      <w:bookmarkEnd w:id="80"/>
      <w:bookmarkEnd w:id="81"/>
      <w:bookmarkEnd w:id="82"/>
      <w:bookmarkEnd w:id="83"/>
      <w:bookmarkEnd w:id="84"/>
    </w:p>
    <w:p>
      <w:pPr>
        <w:spacing w:line="360" w:lineRule="auto"/>
        <w:ind w:firstLine="480" w:firstLineChars="200"/>
        <w:rPr>
          <w:rFonts w:ascii="宋体" w:hAnsi="宋体" w:cs="宋体"/>
          <w:sz w:val="24"/>
          <w:szCs w:val="24"/>
        </w:rPr>
      </w:pPr>
      <w:r>
        <w:rPr>
          <w:rFonts w:hint="eastAsia" w:ascii="宋体" w:hAnsi="宋体" w:cs="宋体"/>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ascii="宋体" w:hAnsi="宋体" w:cs="宋体"/>
          <w:sz w:val="24"/>
          <w:szCs w:val="24"/>
        </w:rPr>
      </w:pPr>
      <w:r>
        <w:rPr>
          <w:rFonts w:hint="eastAsia" w:ascii="宋体" w:hAnsi="宋体" w:cs="宋体"/>
          <w:sz w:val="24"/>
          <w:szCs w:val="24"/>
        </w:rPr>
        <w:t>8.1供应商认为招标文件、采购过程和中标结果使自己的权益受到损害的，可以在知道或者应知其权益受到损害之日起七个工作日内，以书面原件形式向采购人或采购代理机构提出质疑，</w:t>
      </w:r>
      <w:r>
        <w:rPr>
          <w:rFonts w:hint="eastAsia" w:ascii="宋体" w:hAnsi="宋体" w:cs="宋体"/>
          <w:color w:val="333333"/>
          <w:sz w:val="24"/>
          <w:szCs w:val="24"/>
          <w:shd w:val="clear" w:color="auto" w:fill="FFFFFF"/>
        </w:rPr>
        <w:t>供应商应该在法定质疑期内一次性提出针对同一采购程序环节的质疑，</w:t>
      </w:r>
      <w:r>
        <w:rPr>
          <w:rFonts w:hint="eastAsia" w:ascii="宋体" w:hAnsi="宋体" w:cs="宋体"/>
          <w:sz w:val="24"/>
          <w:szCs w:val="24"/>
        </w:rPr>
        <w:t>逾期质疑无效。</w:t>
      </w:r>
    </w:p>
    <w:p>
      <w:pPr>
        <w:spacing w:line="360" w:lineRule="auto"/>
        <w:ind w:firstLine="480" w:firstLineChars="200"/>
        <w:rPr>
          <w:rFonts w:ascii="宋体" w:hAnsi="宋体" w:cs="宋体"/>
          <w:sz w:val="24"/>
          <w:szCs w:val="24"/>
        </w:rPr>
      </w:pPr>
      <w:r>
        <w:rPr>
          <w:rFonts w:hint="eastAsia" w:ascii="宋体" w:hAnsi="宋体" w:cs="宋体"/>
          <w:sz w:val="24"/>
          <w:szCs w:val="24"/>
        </w:rPr>
        <w:t>8.2 质疑文件应当包括下列主要内容：</w:t>
      </w:r>
    </w:p>
    <w:p>
      <w:pPr>
        <w:spacing w:line="360" w:lineRule="auto"/>
        <w:ind w:firstLine="480" w:firstLineChars="200"/>
        <w:rPr>
          <w:rFonts w:ascii="宋体" w:hAnsi="宋体" w:cs="宋体"/>
          <w:sz w:val="24"/>
          <w:szCs w:val="24"/>
        </w:rPr>
      </w:pPr>
      <w:r>
        <w:rPr>
          <w:rFonts w:hint="eastAsia" w:ascii="宋体" w:hAnsi="宋体" w:cs="宋体"/>
          <w:sz w:val="24"/>
          <w:szCs w:val="24"/>
        </w:rPr>
        <w:t>1）质疑供应商和相关供应商的名称、地址、联系人及联系电话等；</w:t>
      </w:r>
    </w:p>
    <w:p>
      <w:pPr>
        <w:spacing w:line="360" w:lineRule="auto"/>
        <w:ind w:firstLine="480" w:firstLineChars="200"/>
        <w:rPr>
          <w:rFonts w:ascii="宋体" w:hAnsi="宋体" w:cs="宋体"/>
          <w:sz w:val="24"/>
          <w:szCs w:val="24"/>
        </w:rPr>
      </w:pPr>
      <w:r>
        <w:rPr>
          <w:rFonts w:hint="eastAsia" w:ascii="宋体" w:hAnsi="宋体" w:cs="宋体"/>
          <w:sz w:val="24"/>
          <w:szCs w:val="24"/>
        </w:rPr>
        <w:t>2）质疑项目及编号、质疑事项；</w:t>
      </w:r>
    </w:p>
    <w:p>
      <w:pPr>
        <w:spacing w:line="360" w:lineRule="auto"/>
        <w:ind w:firstLine="480" w:firstLineChars="200"/>
        <w:rPr>
          <w:rFonts w:ascii="宋体" w:hAnsi="宋体" w:cs="宋体"/>
          <w:sz w:val="24"/>
          <w:szCs w:val="24"/>
        </w:rPr>
      </w:pPr>
      <w:r>
        <w:rPr>
          <w:rFonts w:hint="eastAsia" w:ascii="宋体" w:hAnsi="宋体" w:cs="宋体"/>
          <w:sz w:val="24"/>
          <w:szCs w:val="24"/>
        </w:rPr>
        <w:t>3）认为采购文件、采购过程、中标和成交结果使自己的合法权益受到损害的法律依据、事实依据、相关证明材料及证据来源；</w:t>
      </w:r>
    </w:p>
    <w:p>
      <w:pPr>
        <w:spacing w:line="360" w:lineRule="auto"/>
        <w:ind w:firstLine="480" w:firstLineChars="200"/>
        <w:rPr>
          <w:rFonts w:ascii="宋体" w:hAnsi="宋体" w:cs="宋体"/>
          <w:sz w:val="24"/>
          <w:szCs w:val="24"/>
        </w:rPr>
      </w:pPr>
      <w:r>
        <w:rPr>
          <w:rFonts w:hint="eastAsia" w:ascii="宋体" w:hAnsi="宋体" w:cs="宋体"/>
          <w:sz w:val="24"/>
          <w:szCs w:val="24"/>
        </w:rPr>
        <w:t>4）提出质疑的日期。</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8.3 质疑函应当署名。质疑供应商为自然人的，应当由本人签字；质疑供应商为法人或者其他组织的，应当由法定代表人或者主要负责人签字盖章并加盖公章。</w:t>
      </w:r>
    </w:p>
    <w:p>
      <w:pPr>
        <w:spacing w:line="360" w:lineRule="auto"/>
        <w:ind w:firstLine="482" w:firstLineChars="200"/>
        <w:rPr>
          <w:rFonts w:ascii="宋体" w:hAnsi="宋体" w:cs="宋体"/>
          <w:sz w:val="24"/>
          <w:szCs w:val="24"/>
        </w:rPr>
      </w:pPr>
      <w:r>
        <w:rPr>
          <w:rFonts w:hint="eastAsia" w:ascii="宋体" w:hAnsi="宋体" w:cs="宋体"/>
          <w:b/>
          <w:bCs/>
          <w:sz w:val="24"/>
          <w:szCs w:val="24"/>
        </w:rPr>
        <w:t>8.4 供应商质疑应当有明确的请求和必要的证明材料。</w:t>
      </w:r>
      <w:r>
        <w:rPr>
          <w:rFonts w:hint="eastAsia" w:ascii="宋体" w:hAnsi="宋体" w:cs="宋体"/>
          <w:sz w:val="24"/>
          <w:szCs w:val="24"/>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spacing w:line="360" w:lineRule="auto"/>
        <w:ind w:firstLine="482" w:firstLineChars="200"/>
        <w:rPr>
          <w:rFonts w:ascii="宋体" w:hAnsi="宋体" w:cs="宋体"/>
          <w:sz w:val="24"/>
          <w:szCs w:val="24"/>
        </w:rPr>
      </w:pPr>
      <w:r>
        <w:rPr>
          <w:rFonts w:hint="eastAsia" w:ascii="宋体" w:hAnsi="宋体" w:cs="宋体"/>
          <w:b/>
          <w:bCs/>
          <w:sz w:val="24"/>
          <w:szCs w:val="24"/>
        </w:rPr>
        <w:t>8.5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spacing w:line="360" w:lineRule="auto"/>
        <w:ind w:firstLine="480" w:firstLineChars="200"/>
        <w:rPr>
          <w:rFonts w:ascii="宋体" w:hAnsi="宋体" w:cs="宋体"/>
          <w:sz w:val="24"/>
          <w:szCs w:val="24"/>
        </w:rPr>
      </w:pPr>
      <w:r>
        <w:rPr>
          <w:rFonts w:hint="eastAsia" w:ascii="宋体" w:hAnsi="宋体" w:cs="宋体"/>
          <w:sz w:val="24"/>
          <w:szCs w:val="24"/>
        </w:rPr>
        <w:t>8.6质疑供应商对采购人、采购代理机构的质疑答复不满意，或者采购人、采购代理机构未在规定期限内作出答复的，可以在答复期满后15个工作日内向采购人的同级政府采购监督管理部门提起投诉。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宋体" w:hAnsi="宋体" w:cs="宋体"/>
          <w:sz w:val="24"/>
          <w:szCs w:val="24"/>
        </w:rPr>
      </w:pPr>
      <w:r>
        <w:rPr>
          <w:rFonts w:hint="eastAsia" w:ascii="宋体" w:hAnsi="宋体" w:cs="宋体"/>
          <w:sz w:val="24"/>
          <w:szCs w:val="24"/>
        </w:rPr>
        <w:t>8.7 质疑受理部门：陕西万泽招标有限公司。</w:t>
      </w:r>
    </w:p>
    <w:p>
      <w:pPr>
        <w:spacing w:line="360" w:lineRule="auto"/>
        <w:ind w:firstLine="480" w:firstLineChars="200"/>
        <w:rPr>
          <w:rFonts w:ascii="宋体" w:hAnsi="宋体" w:cs="宋体"/>
          <w:sz w:val="24"/>
          <w:szCs w:val="24"/>
        </w:rPr>
      </w:pPr>
      <w:r>
        <w:rPr>
          <w:rFonts w:hint="eastAsia" w:ascii="宋体" w:hAnsi="宋体" w:cs="宋体"/>
          <w:sz w:val="24"/>
          <w:szCs w:val="24"/>
        </w:rPr>
        <w:t>8.8 提交质疑文件地点：西安市西关正街英达大厦1507室。</w:t>
      </w:r>
    </w:p>
    <w:p>
      <w:pPr>
        <w:spacing w:line="360" w:lineRule="auto"/>
        <w:ind w:right="-319" w:rightChars="-152" w:firstLine="480" w:firstLineChars="200"/>
        <w:rPr>
          <w:rFonts w:ascii="宋体" w:hAnsi="宋体" w:cs="宋体"/>
          <w:sz w:val="24"/>
          <w:szCs w:val="24"/>
        </w:rPr>
      </w:pPr>
      <w:r>
        <w:rPr>
          <w:rFonts w:hint="eastAsia" w:ascii="宋体" w:hAnsi="宋体" w:cs="宋体"/>
          <w:sz w:val="24"/>
          <w:szCs w:val="24"/>
        </w:rPr>
        <w:t>8.9 本次采购活动中，采购代理机构对质疑回复等文件的送达方式为现场取件。</w:t>
      </w:r>
    </w:p>
    <w:p>
      <w:pPr>
        <w:spacing w:line="360" w:lineRule="auto"/>
        <w:ind w:firstLine="480" w:firstLineChars="200"/>
        <w:rPr>
          <w:rFonts w:ascii="宋体" w:hAnsi="宋体" w:cs="宋体"/>
          <w:sz w:val="24"/>
          <w:szCs w:val="24"/>
        </w:rPr>
      </w:pPr>
      <w:r>
        <w:rPr>
          <w:rFonts w:hint="eastAsia" w:ascii="宋体" w:hAnsi="宋体" w:cs="宋体"/>
          <w:sz w:val="24"/>
          <w:szCs w:val="24"/>
        </w:rPr>
        <w:t>8.10 质疑函应当使用中文。质疑函范本详见财政部制定的范本即竞争性磋商文件附件六。</w:t>
      </w:r>
    </w:p>
    <w:p>
      <w:bookmarkStart w:id="85" w:name="_Toc10430"/>
      <w:bookmarkStart w:id="86" w:name="_Toc8030"/>
      <w:bookmarkStart w:id="87" w:name="_Toc19588"/>
      <w:r>
        <w:rPr>
          <w:rFonts w:hint="eastAsia"/>
        </w:rPr>
        <w:br w:type="page"/>
      </w:r>
    </w:p>
    <w:p>
      <w:pPr>
        <w:pStyle w:val="3"/>
        <w:keepLines w:val="0"/>
        <w:ind w:firstLine="643" w:firstLineChars="200"/>
      </w:pPr>
      <w:bookmarkStart w:id="88" w:name="_Toc26136"/>
      <w:r>
        <w:rPr>
          <w:rFonts w:hint="eastAsia"/>
        </w:rPr>
        <w:t>第四部分 评审标准</w:t>
      </w:r>
      <w:bookmarkEnd w:id="85"/>
      <w:bookmarkEnd w:id="86"/>
      <w:bookmarkEnd w:id="87"/>
      <w:bookmarkEnd w:id="88"/>
    </w:p>
    <w:p>
      <w:pPr>
        <w:spacing w:line="500" w:lineRule="exact"/>
        <w:ind w:firstLine="480" w:firstLineChars="200"/>
        <w:rPr>
          <w:rFonts w:ascii="宋体" w:hAnsi="宋体" w:cs="宋体"/>
          <w:sz w:val="24"/>
          <w:szCs w:val="24"/>
        </w:rPr>
      </w:pPr>
      <w:r>
        <w:rPr>
          <w:rFonts w:hint="eastAsia" w:ascii="宋体" w:hAnsi="宋体" w:cs="宋体"/>
          <w:sz w:val="24"/>
          <w:szCs w:val="24"/>
        </w:rPr>
        <w:t>本次评标采用综合评分法，综合评分因素的主要因素为价格、技术、业绩、服务等以及对竞争性磋商文件的响应程度。每一供应商的最终得分为所有评委评分的算数平均值。</w:t>
      </w:r>
    </w:p>
    <w:p>
      <w:pPr>
        <w:pStyle w:val="6"/>
      </w:pPr>
    </w:p>
    <w:tbl>
      <w:tblPr>
        <w:tblStyle w:val="24"/>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608"/>
        <w:gridCol w:w="1349"/>
        <w:gridCol w:w="5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内容</w:t>
            </w:r>
          </w:p>
        </w:tc>
        <w:tc>
          <w:tcPr>
            <w:tcW w:w="6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13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571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宋体" w:hAnsi="宋体" w:eastAsia="宋体" w:cs="宋体"/>
                <w:sz w:val="21"/>
                <w:szCs w:val="21"/>
              </w:rPr>
            </w:pPr>
            <w:r>
              <w:rPr>
                <w:rFonts w:hint="eastAsia" w:ascii="宋体" w:hAnsi="宋体" w:eastAsia="宋体" w:cs="宋体"/>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响应报价</w:t>
            </w:r>
          </w:p>
          <w:p>
            <w:pPr>
              <w:jc w:val="center"/>
              <w:rPr>
                <w:rFonts w:hint="eastAsia" w:ascii="宋体" w:hAnsi="宋体" w:eastAsia="宋体" w:cs="宋体"/>
                <w:sz w:val="21"/>
                <w:szCs w:val="21"/>
              </w:rPr>
            </w:pPr>
          </w:p>
        </w:tc>
        <w:tc>
          <w:tcPr>
            <w:tcW w:w="6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10分</w:t>
            </w:r>
          </w:p>
        </w:tc>
        <w:tc>
          <w:tcPr>
            <w:tcW w:w="13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评审价格（10分）</w:t>
            </w:r>
          </w:p>
        </w:tc>
        <w:tc>
          <w:tcPr>
            <w:tcW w:w="571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1"/>
                <w:szCs w:val="21"/>
              </w:rPr>
            </w:pPr>
            <w:r>
              <w:rPr>
                <w:rFonts w:hint="eastAsia" w:ascii="宋体" w:hAnsi="宋体" w:eastAsia="宋体" w:cs="宋体"/>
                <w:sz w:val="21"/>
                <w:szCs w:val="21"/>
              </w:rPr>
              <w:t>经初审合格的供应商，其最后提交的磋商响应报价为有效响应报价。</w:t>
            </w:r>
          </w:p>
          <w:p>
            <w:pPr>
              <w:jc w:val="both"/>
              <w:rPr>
                <w:rFonts w:hint="eastAsia" w:ascii="宋体" w:hAnsi="宋体" w:eastAsia="宋体" w:cs="宋体"/>
                <w:sz w:val="21"/>
                <w:szCs w:val="21"/>
              </w:rPr>
            </w:pPr>
            <w:r>
              <w:rPr>
                <w:rFonts w:hint="eastAsia" w:ascii="宋体" w:hAnsi="宋体" w:eastAsia="宋体" w:cs="宋体"/>
                <w:sz w:val="21"/>
                <w:szCs w:val="21"/>
              </w:rPr>
              <w:t>评审基准价：即满足磋商文件要求且价格最低的响应报价为评审基准价。</w:t>
            </w:r>
          </w:p>
          <w:p>
            <w:pPr>
              <w:jc w:val="both"/>
              <w:rPr>
                <w:rFonts w:hint="eastAsia" w:ascii="宋体" w:hAnsi="宋体" w:eastAsia="宋体" w:cs="宋体"/>
                <w:sz w:val="21"/>
                <w:szCs w:val="21"/>
              </w:rPr>
            </w:pPr>
            <w:r>
              <w:rPr>
                <w:rFonts w:hint="eastAsia" w:ascii="宋体" w:hAnsi="宋体" w:eastAsia="宋体" w:cs="宋体"/>
                <w:sz w:val="21"/>
                <w:szCs w:val="21"/>
              </w:rPr>
              <w:t>其他供应商的价格分统一按照下列公式计算。</w:t>
            </w:r>
          </w:p>
          <w:p>
            <w:pPr>
              <w:jc w:val="both"/>
              <w:rPr>
                <w:rFonts w:hint="eastAsia" w:ascii="宋体" w:hAnsi="宋体" w:eastAsia="宋体" w:cs="宋体"/>
                <w:sz w:val="21"/>
                <w:szCs w:val="21"/>
              </w:rPr>
            </w:pPr>
            <w:r>
              <w:rPr>
                <w:rFonts w:hint="eastAsia" w:ascii="宋体" w:hAnsi="宋体" w:eastAsia="宋体" w:cs="宋体"/>
                <w:sz w:val="21"/>
                <w:szCs w:val="21"/>
              </w:rPr>
              <w:t>响应报价得分=(评审基准价／响应报价)×</w:t>
            </w:r>
            <w:r>
              <w:rPr>
                <w:rFonts w:hint="eastAsia" w:ascii="宋体" w:hAnsi="宋体" w:eastAsia="宋体" w:cs="宋体"/>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49" w:type="dxa"/>
            <w:vMerge w:val="restart"/>
            <w:tcBorders>
              <w:top w:val="single" w:color="auto" w:sz="4" w:space="0"/>
              <w:left w:val="single" w:color="auto" w:sz="4" w:space="0"/>
              <w:right w:val="single" w:color="auto" w:sz="4" w:space="0"/>
            </w:tcBorders>
            <w:vAlign w:val="center"/>
          </w:tcPr>
          <w:p>
            <w:pPr>
              <w:ind w:firstLine="480"/>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技术部分</w:t>
            </w:r>
          </w:p>
        </w:tc>
        <w:tc>
          <w:tcPr>
            <w:tcW w:w="608"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lang w:val="en-US" w:eastAsia="zh-CN"/>
              </w:rPr>
              <w:t>70</w:t>
            </w:r>
            <w:r>
              <w:rPr>
                <w:rFonts w:hint="eastAsia" w:ascii="宋体" w:hAnsi="宋体" w:eastAsia="宋体" w:cs="宋体"/>
                <w:sz w:val="21"/>
                <w:szCs w:val="21"/>
              </w:rPr>
              <w:t>分</w:t>
            </w:r>
          </w:p>
        </w:tc>
        <w:tc>
          <w:tcPr>
            <w:tcW w:w="13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服务方案</w:t>
            </w:r>
            <w:r>
              <w:rPr>
                <w:rFonts w:hint="eastAsia" w:ascii="宋体" w:hAnsi="宋体" w:eastAsia="宋体" w:cs="宋体"/>
                <w:sz w:val="21"/>
                <w:szCs w:val="21"/>
              </w:rPr>
              <w:t>（</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tc>
        <w:tc>
          <w:tcPr>
            <w:tcW w:w="5713" w:type="dxa"/>
            <w:tcBorders>
              <w:top w:val="single" w:color="auto" w:sz="4" w:space="0"/>
              <w:left w:val="single" w:color="auto" w:sz="4" w:space="0"/>
              <w:bottom w:val="single" w:color="auto" w:sz="4" w:space="0"/>
              <w:right w:val="single" w:color="auto" w:sz="4" w:space="0"/>
            </w:tcBorders>
            <w:vAlign w:val="center"/>
          </w:tcPr>
          <w:p>
            <w:pPr>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rPr>
              <w:t>供应商根据磋商文件内容及要求做出具体响应内容、列出具体服务方案，服务方案细致具体可操作性强贴近项目情况得</w:t>
            </w:r>
            <w:r>
              <w:rPr>
                <w:rFonts w:hint="eastAsia" w:ascii="宋体" w:hAnsi="宋体" w:eastAsia="宋体" w:cs="宋体"/>
                <w:sz w:val="21"/>
                <w:szCs w:val="21"/>
                <w:lang w:eastAsia="zh-CN"/>
              </w:rPr>
              <w:t>，</w:t>
            </w:r>
            <w:r>
              <w:rPr>
                <w:rFonts w:hint="eastAsia" w:ascii="宋体" w:hAnsi="宋体" w:eastAsia="宋体" w:cs="宋体"/>
                <w:sz w:val="21"/>
                <w:szCs w:val="21"/>
              </w:rPr>
              <w:t>10</w:t>
            </w:r>
            <w:r>
              <w:rPr>
                <w:rFonts w:hint="eastAsia" w:ascii="宋体" w:hAnsi="宋体" w:eastAsia="宋体" w:cs="宋体"/>
                <w:sz w:val="21"/>
                <w:szCs w:val="21"/>
                <w:lang w:val="en-US" w:eastAsia="zh-CN"/>
              </w:rPr>
              <w:t>.1</w:t>
            </w:r>
            <w:r>
              <w:rPr>
                <w:rFonts w:hint="eastAsia" w:ascii="宋体" w:hAnsi="宋体" w:eastAsia="宋体" w:cs="宋体"/>
                <w:sz w:val="21"/>
                <w:szCs w:val="21"/>
              </w:rPr>
              <w:t>-15分，供应商根据磋商文件内容及要求做出部分响应，具有服务方案可操作性一般得</w:t>
            </w:r>
            <w:r>
              <w:rPr>
                <w:rFonts w:hint="eastAsia" w:ascii="宋体" w:hAnsi="宋体" w:eastAsia="宋体" w:cs="宋体"/>
                <w:sz w:val="21"/>
                <w:szCs w:val="21"/>
                <w:lang w:eastAsia="zh-CN"/>
              </w:rPr>
              <w:t>，</w:t>
            </w:r>
            <w:r>
              <w:rPr>
                <w:rFonts w:hint="eastAsia" w:ascii="宋体" w:hAnsi="宋体" w:eastAsia="宋体" w:cs="宋体"/>
                <w:sz w:val="21"/>
                <w:szCs w:val="21"/>
              </w:rPr>
              <w:t>5</w:t>
            </w:r>
            <w:r>
              <w:rPr>
                <w:rFonts w:hint="eastAsia" w:ascii="宋体" w:hAnsi="宋体" w:eastAsia="宋体" w:cs="宋体"/>
                <w:sz w:val="21"/>
                <w:szCs w:val="21"/>
                <w:lang w:val="en-US" w:eastAsia="zh-CN"/>
              </w:rPr>
              <w:t>.1</w:t>
            </w:r>
            <w:r>
              <w:rPr>
                <w:rFonts w:hint="eastAsia" w:ascii="宋体" w:hAnsi="宋体" w:eastAsia="宋体" w:cs="宋体"/>
                <w:sz w:val="21"/>
                <w:szCs w:val="21"/>
              </w:rPr>
              <w:t>-10分，供应商对</w:t>
            </w:r>
            <w:r>
              <w:rPr>
                <w:rFonts w:hint="eastAsia" w:ascii="宋体" w:hAnsi="宋体" w:cs="宋体"/>
                <w:sz w:val="21"/>
                <w:szCs w:val="21"/>
                <w:lang w:val="en-US" w:eastAsia="zh-CN"/>
              </w:rPr>
              <w:t>磋商</w:t>
            </w:r>
            <w:r>
              <w:rPr>
                <w:rFonts w:hint="eastAsia" w:ascii="宋体" w:hAnsi="宋体" w:eastAsia="宋体" w:cs="宋体"/>
                <w:sz w:val="21"/>
                <w:szCs w:val="21"/>
              </w:rPr>
              <w:t>文件内容做出部分响应，服务方案不具备可操作性得</w:t>
            </w:r>
            <w:r>
              <w:rPr>
                <w:rFonts w:hint="eastAsia" w:ascii="宋体" w:hAnsi="宋体" w:eastAsia="宋体" w:cs="宋体"/>
                <w:sz w:val="21"/>
                <w:szCs w:val="21"/>
                <w:lang w:eastAsia="zh-CN"/>
              </w:rPr>
              <w:t>，</w:t>
            </w:r>
            <w:r>
              <w:rPr>
                <w:rFonts w:hint="eastAsia" w:ascii="宋体" w:hAnsi="宋体" w:eastAsia="宋体" w:cs="宋体"/>
                <w:sz w:val="21"/>
                <w:szCs w:val="21"/>
              </w:rPr>
              <w:t>1-5分</w:t>
            </w:r>
            <w:r>
              <w:rPr>
                <w:rFonts w:hint="eastAsia" w:ascii="宋体" w:hAnsi="宋体" w:eastAsia="宋体" w:cs="宋体"/>
                <w:sz w:val="21"/>
                <w:szCs w:val="21"/>
                <w:lang w:eastAsia="zh-CN"/>
              </w:rPr>
              <w:t>。</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未响应文件要求或未提供服务方案不得分。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49" w:type="dxa"/>
            <w:vMerge w:val="continue"/>
            <w:tcBorders>
              <w:left w:val="single" w:color="auto" w:sz="4" w:space="0"/>
              <w:right w:val="single" w:color="auto" w:sz="4" w:space="0"/>
            </w:tcBorders>
            <w:vAlign w:val="center"/>
          </w:tcPr>
          <w:p>
            <w:pPr>
              <w:jc w:val="center"/>
              <w:rPr>
                <w:rFonts w:hint="eastAsia" w:ascii="宋体" w:hAnsi="宋体" w:eastAsia="宋体" w:cs="宋体"/>
                <w:sz w:val="21"/>
                <w:szCs w:val="21"/>
              </w:rPr>
            </w:pPr>
          </w:p>
        </w:tc>
        <w:tc>
          <w:tcPr>
            <w:tcW w:w="608" w:type="dxa"/>
            <w:vMerge w:val="continue"/>
            <w:tcBorders>
              <w:left w:val="single" w:color="auto" w:sz="4" w:space="0"/>
              <w:right w:val="single" w:color="auto" w:sz="4" w:space="0"/>
            </w:tcBorders>
            <w:vAlign w:val="center"/>
          </w:tcPr>
          <w:p>
            <w:pPr>
              <w:ind w:firstLine="480"/>
              <w:jc w:val="center"/>
              <w:rPr>
                <w:rFonts w:hint="eastAsia" w:ascii="宋体" w:hAnsi="宋体" w:eastAsia="宋体" w:cs="宋体"/>
                <w:sz w:val="21"/>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应急方案</w:t>
            </w:r>
          </w:p>
          <w:p>
            <w:pPr>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p>
        </w:tc>
        <w:tc>
          <w:tcPr>
            <w:tcW w:w="5713" w:type="dxa"/>
            <w:tcBorders>
              <w:top w:val="single" w:color="auto" w:sz="4" w:space="0"/>
              <w:left w:val="single" w:color="auto" w:sz="4" w:space="0"/>
              <w:bottom w:val="single" w:color="auto" w:sz="4" w:space="0"/>
              <w:right w:val="single" w:color="auto" w:sz="4" w:space="0"/>
            </w:tcBorders>
            <w:vAlign w:val="center"/>
          </w:tcPr>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对服务范围内订制应急处置方案，要评估可能发生的突然状况，具有可行完善的突发事件处理预案措施，措施细致可操作性强得10</w:t>
            </w:r>
            <w:r>
              <w:rPr>
                <w:rFonts w:hint="eastAsia" w:ascii="宋体" w:hAnsi="宋体" w:eastAsia="宋体" w:cs="宋体"/>
                <w:sz w:val="21"/>
                <w:szCs w:val="21"/>
                <w:lang w:val="en-US" w:eastAsia="zh-CN"/>
              </w:rPr>
              <w:t>.1</w:t>
            </w:r>
            <w:r>
              <w:rPr>
                <w:rFonts w:hint="eastAsia" w:ascii="宋体" w:hAnsi="宋体" w:eastAsia="宋体" w:cs="宋体"/>
                <w:sz w:val="21"/>
                <w:szCs w:val="21"/>
              </w:rPr>
              <w:t>-15分，提供突发事件处理预案措施，措施没有注重细节可行性一般得</w:t>
            </w:r>
            <w:r>
              <w:rPr>
                <w:rFonts w:hint="eastAsia" w:ascii="宋体" w:hAnsi="宋体" w:eastAsia="宋体" w:cs="宋体"/>
                <w:sz w:val="21"/>
                <w:szCs w:val="21"/>
                <w:lang w:eastAsia="zh-CN"/>
              </w:rPr>
              <w:t>，</w:t>
            </w:r>
            <w:r>
              <w:rPr>
                <w:rFonts w:hint="eastAsia" w:ascii="宋体" w:hAnsi="宋体" w:eastAsia="宋体" w:cs="宋体"/>
                <w:sz w:val="21"/>
                <w:szCs w:val="21"/>
              </w:rPr>
              <w:t>5</w:t>
            </w:r>
            <w:r>
              <w:rPr>
                <w:rFonts w:hint="eastAsia" w:ascii="宋体" w:hAnsi="宋体" w:eastAsia="宋体" w:cs="宋体"/>
                <w:sz w:val="21"/>
                <w:szCs w:val="21"/>
                <w:lang w:val="en-US" w:eastAsia="zh-CN"/>
              </w:rPr>
              <w:t>.1</w:t>
            </w:r>
            <w:r>
              <w:rPr>
                <w:rFonts w:hint="eastAsia" w:ascii="宋体" w:hAnsi="宋体" w:eastAsia="宋体" w:cs="宋体"/>
                <w:sz w:val="21"/>
                <w:szCs w:val="21"/>
              </w:rPr>
              <w:t>-10分；提供突发事件处理预案措施，措施宽泛未贴合实际可操作性不强得</w:t>
            </w:r>
            <w:r>
              <w:rPr>
                <w:rFonts w:hint="eastAsia" w:ascii="宋体" w:hAnsi="宋体" w:eastAsia="宋体" w:cs="宋体"/>
                <w:sz w:val="21"/>
                <w:szCs w:val="21"/>
                <w:lang w:eastAsia="zh-CN"/>
              </w:rPr>
              <w:t>，</w:t>
            </w:r>
            <w:r>
              <w:rPr>
                <w:rFonts w:hint="eastAsia" w:ascii="宋体" w:hAnsi="宋体" w:eastAsia="宋体" w:cs="宋体"/>
                <w:sz w:val="21"/>
                <w:szCs w:val="21"/>
              </w:rPr>
              <w:t>1-5分。</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未提供突发事件处理预案措施的不得分。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tcBorders>
              <w:left w:val="single" w:color="auto" w:sz="4" w:space="0"/>
              <w:right w:val="single" w:color="auto" w:sz="4" w:space="0"/>
            </w:tcBorders>
            <w:vAlign w:val="center"/>
          </w:tcPr>
          <w:p>
            <w:pPr>
              <w:jc w:val="center"/>
              <w:rPr>
                <w:rFonts w:hint="eastAsia" w:ascii="宋体" w:hAnsi="宋体" w:eastAsia="宋体" w:cs="宋体"/>
                <w:sz w:val="21"/>
                <w:szCs w:val="21"/>
              </w:rPr>
            </w:pPr>
          </w:p>
        </w:tc>
        <w:tc>
          <w:tcPr>
            <w:tcW w:w="608" w:type="dxa"/>
            <w:vMerge w:val="continue"/>
            <w:tcBorders>
              <w:left w:val="single" w:color="auto" w:sz="4" w:space="0"/>
              <w:right w:val="single" w:color="auto" w:sz="4" w:space="0"/>
            </w:tcBorders>
            <w:vAlign w:val="center"/>
          </w:tcPr>
          <w:p>
            <w:pPr>
              <w:ind w:firstLine="480"/>
              <w:jc w:val="center"/>
              <w:rPr>
                <w:rFonts w:hint="eastAsia" w:ascii="宋体" w:hAnsi="宋体" w:eastAsia="宋体" w:cs="宋体"/>
                <w:sz w:val="21"/>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人员培训</w:t>
            </w: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5713" w:type="dxa"/>
            <w:tcBorders>
              <w:top w:val="single" w:color="auto" w:sz="4" w:space="0"/>
              <w:left w:val="single" w:color="auto" w:sz="4" w:space="0"/>
              <w:bottom w:val="single" w:color="auto" w:sz="4" w:space="0"/>
              <w:right w:val="single" w:color="auto" w:sz="4" w:space="0"/>
            </w:tcBorders>
            <w:vAlign w:val="center"/>
          </w:tcPr>
          <w:p>
            <w:pPr>
              <w:pStyle w:val="67"/>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针对本项目情况及采购人要求，对投入本项目服务人员进行岗位培训，方案完整、可行性强得</w:t>
            </w:r>
            <w:r>
              <w:rPr>
                <w:rFonts w:hint="eastAsia" w:ascii="宋体" w:hAnsi="宋体" w:eastAsia="宋体" w:cs="宋体"/>
                <w:sz w:val="21"/>
                <w:szCs w:val="21"/>
                <w:lang w:eastAsia="zh-CN"/>
              </w:rPr>
              <w:t>，</w:t>
            </w:r>
            <w:r>
              <w:rPr>
                <w:rFonts w:hint="eastAsia" w:ascii="宋体" w:hAnsi="宋体" w:eastAsia="宋体" w:cs="宋体"/>
                <w:sz w:val="21"/>
                <w:szCs w:val="21"/>
              </w:rPr>
              <w:t>10</w:t>
            </w:r>
            <w:r>
              <w:rPr>
                <w:rFonts w:hint="eastAsia" w:ascii="宋体" w:hAnsi="宋体" w:eastAsia="宋体" w:cs="宋体"/>
                <w:sz w:val="21"/>
                <w:szCs w:val="21"/>
                <w:lang w:val="en-US" w:eastAsia="zh-CN"/>
              </w:rPr>
              <w:t>.1</w:t>
            </w:r>
            <w:r>
              <w:rPr>
                <w:rFonts w:hint="eastAsia" w:ascii="宋体" w:hAnsi="宋体" w:eastAsia="宋体" w:cs="宋体"/>
                <w:sz w:val="21"/>
                <w:szCs w:val="21"/>
              </w:rPr>
              <w:t>-15分；有提供岗位培训方案，但方案可行性一般得</w:t>
            </w:r>
            <w:r>
              <w:rPr>
                <w:rFonts w:hint="eastAsia" w:ascii="宋体" w:hAnsi="宋体" w:eastAsia="宋体" w:cs="宋体"/>
                <w:sz w:val="21"/>
                <w:szCs w:val="21"/>
                <w:lang w:eastAsia="zh-CN"/>
              </w:rPr>
              <w:t>，</w:t>
            </w:r>
            <w:r>
              <w:rPr>
                <w:rFonts w:hint="eastAsia" w:ascii="宋体" w:hAnsi="宋体" w:eastAsia="宋体" w:cs="宋体"/>
                <w:sz w:val="21"/>
                <w:szCs w:val="21"/>
              </w:rPr>
              <w:t>5</w:t>
            </w:r>
            <w:r>
              <w:rPr>
                <w:rFonts w:hint="eastAsia" w:ascii="宋体" w:hAnsi="宋体" w:eastAsia="宋体" w:cs="宋体"/>
                <w:sz w:val="21"/>
                <w:szCs w:val="21"/>
                <w:lang w:val="en-US" w:eastAsia="zh-CN"/>
              </w:rPr>
              <w:t>.1</w:t>
            </w:r>
            <w:r>
              <w:rPr>
                <w:rFonts w:hint="eastAsia" w:ascii="宋体" w:hAnsi="宋体" w:eastAsia="宋体" w:cs="宋体"/>
                <w:sz w:val="21"/>
                <w:szCs w:val="21"/>
              </w:rPr>
              <w:t>-10分；提供基本的岗位培训，不能保证服务人员服务水平得</w:t>
            </w:r>
            <w:r>
              <w:rPr>
                <w:rFonts w:hint="eastAsia" w:ascii="宋体" w:hAnsi="宋体" w:eastAsia="宋体" w:cs="宋体"/>
                <w:sz w:val="21"/>
                <w:szCs w:val="21"/>
                <w:lang w:eastAsia="zh-CN"/>
              </w:rPr>
              <w:t>，</w:t>
            </w:r>
            <w:r>
              <w:rPr>
                <w:rFonts w:hint="eastAsia" w:ascii="宋体" w:hAnsi="宋体" w:eastAsia="宋体" w:cs="宋体"/>
                <w:sz w:val="21"/>
                <w:szCs w:val="21"/>
              </w:rPr>
              <w:t>1-5分。</w:t>
            </w:r>
          </w:p>
          <w:p>
            <w:pPr>
              <w:pStyle w:val="67"/>
              <w:ind w:left="11"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未提供人员培训方案的不得分。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9" w:type="dxa"/>
            <w:vMerge w:val="continue"/>
            <w:tcBorders>
              <w:left w:val="single" w:color="auto" w:sz="4" w:space="0"/>
              <w:right w:val="single" w:color="auto" w:sz="4" w:space="0"/>
            </w:tcBorders>
            <w:vAlign w:val="center"/>
          </w:tcPr>
          <w:p>
            <w:pPr>
              <w:jc w:val="center"/>
              <w:rPr>
                <w:rFonts w:hint="eastAsia" w:ascii="宋体" w:hAnsi="宋体" w:eastAsia="宋体" w:cs="宋体"/>
                <w:sz w:val="21"/>
                <w:szCs w:val="21"/>
              </w:rPr>
            </w:pPr>
          </w:p>
        </w:tc>
        <w:tc>
          <w:tcPr>
            <w:tcW w:w="608" w:type="dxa"/>
            <w:vMerge w:val="continue"/>
            <w:tcBorders>
              <w:left w:val="single" w:color="auto" w:sz="4" w:space="0"/>
              <w:right w:val="single" w:color="auto" w:sz="4" w:space="0"/>
            </w:tcBorders>
            <w:vAlign w:val="center"/>
          </w:tcPr>
          <w:p>
            <w:pPr>
              <w:jc w:val="center"/>
              <w:rPr>
                <w:rFonts w:hint="eastAsia" w:ascii="宋体" w:hAnsi="宋体" w:eastAsia="宋体" w:cs="宋体"/>
                <w:sz w:val="21"/>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lang w:eastAsia="zh-CN"/>
              </w:rPr>
              <w:t>人员配备（</w:t>
            </w:r>
            <w:r>
              <w:rPr>
                <w:rFonts w:hint="eastAsia" w:ascii="宋体" w:hAnsi="宋体" w:eastAsia="宋体" w:cs="宋体"/>
                <w:sz w:val="21"/>
                <w:szCs w:val="21"/>
                <w:highlight w:val="none"/>
                <w:lang w:val="en-US" w:eastAsia="zh-CN"/>
              </w:rPr>
              <w:t>15分</w:t>
            </w:r>
            <w:r>
              <w:rPr>
                <w:rFonts w:hint="eastAsia" w:ascii="宋体" w:hAnsi="宋体" w:eastAsia="宋体" w:cs="宋体"/>
                <w:sz w:val="21"/>
                <w:szCs w:val="21"/>
                <w:highlight w:val="none"/>
                <w:lang w:eastAsia="zh-CN"/>
              </w:rPr>
              <w:t>）</w:t>
            </w:r>
          </w:p>
        </w:tc>
        <w:tc>
          <w:tcPr>
            <w:tcW w:w="571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供应商提供的人员配备根据项目人员配置投入情况，从结构、专业配套、工作经历等方面评审</w:t>
            </w:r>
            <w:r>
              <w:rPr>
                <w:rFonts w:hint="eastAsia" w:ascii="宋体" w:hAnsi="宋体" w:eastAsia="宋体" w:cs="宋体"/>
                <w:sz w:val="21"/>
                <w:szCs w:val="21"/>
                <w:lang w:eastAsia="zh-CN"/>
              </w:rPr>
              <w:t>，得</w:t>
            </w:r>
            <w:r>
              <w:rPr>
                <w:rFonts w:hint="eastAsia" w:ascii="宋体" w:hAnsi="宋体" w:eastAsia="宋体" w:cs="宋体"/>
                <w:sz w:val="21"/>
                <w:szCs w:val="21"/>
              </w:rPr>
              <w:t>1-</w:t>
            </w:r>
            <w:r>
              <w:rPr>
                <w:rFonts w:hint="eastAsia" w:ascii="宋体" w:hAnsi="宋体" w:eastAsia="宋体"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sz w:val="21"/>
                <w:szCs w:val="21"/>
                <w:lang w:val="en-US" w:eastAsia="zh-CN"/>
              </w:rPr>
              <w:t>未提供不得分。</w:t>
            </w:r>
          </w:p>
          <w:p>
            <w:pPr>
              <w:numPr>
                <w:ilvl w:val="0"/>
                <w:numId w:val="15"/>
              </w:numPr>
              <w:jc w:val="both"/>
              <w:rPr>
                <w:rFonts w:hint="eastAsia" w:ascii="宋体" w:hAnsi="宋体" w:eastAsia="宋体" w:cs="宋体"/>
                <w:sz w:val="21"/>
                <w:szCs w:val="21"/>
                <w:lang w:eastAsia="zh-CN"/>
              </w:rPr>
            </w:pPr>
            <w:r>
              <w:rPr>
                <w:rFonts w:hint="eastAsia" w:ascii="宋体" w:hAnsi="宋体" w:eastAsia="宋体" w:cs="宋体"/>
                <w:sz w:val="21"/>
                <w:szCs w:val="21"/>
              </w:rPr>
              <w:t>项目管理方案完善合理、可行详细，供应商拟投入本项目的人员，安排合理、分工明确评审</w:t>
            </w:r>
            <w:r>
              <w:rPr>
                <w:rFonts w:hint="eastAsia" w:ascii="宋体" w:hAnsi="宋体" w:eastAsia="宋体" w:cs="宋体"/>
                <w:sz w:val="21"/>
                <w:szCs w:val="21"/>
                <w:lang w:eastAsia="zh-CN"/>
              </w:rPr>
              <w:t>，得</w:t>
            </w:r>
            <w:r>
              <w:rPr>
                <w:rFonts w:hint="eastAsia" w:ascii="宋体" w:hAnsi="宋体" w:eastAsia="宋体" w:cs="宋体"/>
                <w:sz w:val="21"/>
                <w:szCs w:val="21"/>
              </w:rPr>
              <w:t>1-5分</w:t>
            </w:r>
            <w:r>
              <w:rPr>
                <w:rFonts w:hint="eastAsia" w:ascii="宋体" w:hAnsi="宋体" w:eastAsia="宋体" w:cs="宋体"/>
                <w:sz w:val="21"/>
                <w:szCs w:val="21"/>
                <w:lang w:eastAsia="zh-CN"/>
              </w:rPr>
              <w:t>；未提供不得分。</w:t>
            </w:r>
          </w:p>
          <w:p>
            <w:pPr>
              <w:pStyle w:val="23"/>
              <w:numPr>
                <w:ilvl w:val="0"/>
                <w:numId w:val="0"/>
              </w:numPr>
              <w:ind w:firstLine="210" w:firstLineChars="100"/>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49"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608"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资料管理</w:t>
            </w: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c>
          <w:tcPr>
            <w:tcW w:w="5713" w:type="dxa"/>
            <w:tcBorders>
              <w:top w:val="single" w:color="auto" w:sz="4" w:space="0"/>
              <w:left w:val="single" w:color="auto" w:sz="4" w:space="0"/>
              <w:bottom w:val="single" w:color="auto" w:sz="4" w:space="0"/>
              <w:right w:val="single" w:color="auto" w:sz="4" w:space="0"/>
            </w:tcBorders>
            <w:vAlign w:val="center"/>
          </w:tcPr>
          <w:p>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rPr>
              <w:t>具有完善的档案资料管理和移交工作制度，制度可操作性强具体细致得</w:t>
            </w:r>
            <w:r>
              <w:rPr>
                <w:rFonts w:hint="eastAsia" w:ascii="宋体" w:hAnsi="宋体" w:eastAsia="宋体" w:cs="宋体"/>
                <w:sz w:val="21"/>
                <w:szCs w:val="21"/>
                <w:lang w:eastAsia="zh-CN"/>
              </w:rPr>
              <w:t>，</w:t>
            </w:r>
            <w:r>
              <w:rPr>
                <w:rFonts w:hint="eastAsia" w:ascii="宋体" w:hAnsi="宋体" w:eastAsia="宋体" w:cs="宋体"/>
                <w:sz w:val="21"/>
                <w:szCs w:val="21"/>
              </w:rPr>
              <w:t>5</w:t>
            </w:r>
            <w:r>
              <w:rPr>
                <w:rFonts w:hint="eastAsia" w:ascii="宋体" w:hAnsi="宋体" w:eastAsia="宋体" w:cs="宋体"/>
                <w:sz w:val="21"/>
                <w:szCs w:val="21"/>
                <w:lang w:val="en-US" w:eastAsia="zh-CN"/>
              </w:rPr>
              <w:t>.1</w:t>
            </w:r>
            <w:r>
              <w:rPr>
                <w:rFonts w:hint="eastAsia" w:ascii="宋体" w:hAnsi="宋体" w:eastAsia="宋体" w:cs="宋体"/>
                <w:sz w:val="21"/>
                <w:szCs w:val="21"/>
              </w:rPr>
              <w:t>-10分，具有档案资料管理和移交工作制度，内容宽泛未贴合实际得</w:t>
            </w:r>
            <w:r>
              <w:rPr>
                <w:rFonts w:hint="eastAsia" w:ascii="宋体" w:hAnsi="宋体" w:eastAsia="宋体" w:cs="宋体"/>
                <w:sz w:val="21"/>
                <w:szCs w:val="21"/>
                <w:lang w:eastAsia="zh-CN"/>
              </w:rPr>
              <w:t>，</w:t>
            </w:r>
            <w:r>
              <w:rPr>
                <w:rFonts w:hint="eastAsia" w:ascii="宋体" w:hAnsi="宋体" w:eastAsia="宋体" w:cs="宋体"/>
                <w:sz w:val="21"/>
                <w:szCs w:val="21"/>
              </w:rPr>
              <w:t>1-5分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未提供档案资料管理和移交工作制度不得分。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4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服务措施</w:t>
            </w:r>
          </w:p>
        </w:tc>
        <w:tc>
          <w:tcPr>
            <w:tcW w:w="608"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c>
          <w:tcPr>
            <w:tcW w:w="13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highlight w:val="yellow"/>
              </w:rPr>
            </w:pPr>
            <w:r>
              <w:rPr>
                <w:rFonts w:hint="eastAsia" w:ascii="宋体" w:hAnsi="宋体" w:eastAsia="宋体" w:cs="宋体"/>
                <w:sz w:val="21"/>
                <w:szCs w:val="21"/>
                <w:lang w:eastAsia="zh-CN"/>
              </w:rPr>
              <w:t>服务措施</w:t>
            </w: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c>
          <w:tcPr>
            <w:tcW w:w="5713" w:type="dxa"/>
            <w:tcBorders>
              <w:top w:val="single" w:color="auto" w:sz="4" w:space="0"/>
              <w:left w:val="single" w:color="auto" w:sz="4" w:space="0"/>
              <w:bottom w:val="single" w:color="auto" w:sz="4" w:space="0"/>
              <w:right w:val="single" w:color="auto" w:sz="4" w:space="0"/>
            </w:tcBorders>
            <w:vAlign w:val="center"/>
          </w:tcPr>
          <w:p>
            <w:pPr>
              <w:bidi w:val="0"/>
              <w:rPr>
                <w:rFonts w:hint="eastAsia" w:ascii="宋体" w:hAnsi="宋体" w:eastAsia="宋体" w:cs="宋体"/>
                <w:sz w:val="21"/>
                <w:szCs w:val="21"/>
              </w:rPr>
            </w:pPr>
            <w:r>
              <w:rPr>
                <w:rFonts w:hint="eastAsia" w:ascii="宋体" w:hAnsi="宋体" w:eastAsia="宋体" w:cs="宋体"/>
                <w:sz w:val="21"/>
                <w:szCs w:val="21"/>
              </w:rPr>
              <w:t>服务措施切实可行，能够考虑并满足服务的多种需求，向采购人提出合理化建议。能够接受采购人对服务的监督、批评和建议。</w:t>
            </w:r>
          </w:p>
          <w:p>
            <w:pPr>
              <w:bidi w:val="0"/>
              <w:rPr>
                <w:rFonts w:hint="eastAsia" w:ascii="宋体" w:hAnsi="宋体" w:eastAsia="宋体" w:cs="宋体"/>
                <w:sz w:val="21"/>
                <w:szCs w:val="21"/>
              </w:rPr>
            </w:pPr>
            <w:r>
              <w:rPr>
                <w:rFonts w:hint="eastAsia" w:ascii="宋体" w:hAnsi="宋体" w:eastAsia="宋体" w:cs="宋体"/>
                <w:sz w:val="21"/>
                <w:szCs w:val="21"/>
              </w:rPr>
              <w:t>服务措施详尽、全面、有效、合理，可实施性强，得</w:t>
            </w:r>
            <w:r>
              <w:rPr>
                <w:rFonts w:hint="eastAsia" w:ascii="宋体" w:hAnsi="宋体" w:cs="宋体"/>
                <w:sz w:val="21"/>
                <w:szCs w:val="21"/>
                <w:lang w:val="en-US" w:eastAsia="zh-CN"/>
              </w:rPr>
              <w:t>6.1</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pPr>
              <w:bidi w:val="0"/>
              <w:rPr>
                <w:rFonts w:hint="eastAsia" w:ascii="宋体" w:hAnsi="宋体" w:eastAsia="宋体" w:cs="宋体"/>
                <w:sz w:val="21"/>
                <w:szCs w:val="21"/>
              </w:rPr>
            </w:pPr>
            <w:r>
              <w:rPr>
                <w:rFonts w:hint="eastAsia" w:ascii="宋体" w:hAnsi="宋体" w:eastAsia="宋体" w:cs="宋体"/>
                <w:sz w:val="21"/>
                <w:szCs w:val="21"/>
              </w:rPr>
              <w:t>服务措施有效、合理，具有一定实施性，得</w:t>
            </w:r>
            <w:r>
              <w:rPr>
                <w:rFonts w:hint="eastAsia" w:ascii="宋体" w:hAnsi="宋体" w:cs="宋体"/>
                <w:sz w:val="21"/>
                <w:szCs w:val="21"/>
                <w:lang w:val="en-US" w:eastAsia="zh-CN"/>
              </w:rPr>
              <w:t>3.1</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pPr>
              <w:bidi w:val="0"/>
              <w:rPr>
                <w:rFonts w:hint="eastAsia" w:ascii="宋体" w:hAnsi="宋体" w:eastAsia="宋体" w:cs="宋体"/>
                <w:sz w:val="21"/>
                <w:szCs w:val="21"/>
                <w:lang w:eastAsia="zh-CN"/>
              </w:rPr>
            </w:pPr>
            <w:r>
              <w:rPr>
                <w:rFonts w:hint="eastAsia" w:ascii="宋体" w:hAnsi="宋体" w:eastAsia="宋体" w:cs="宋体"/>
                <w:sz w:val="21"/>
                <w:szCs w:val="21"/>
              </w:rPr>
              <w:t>服务措施简单、不具有实施性，得</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w:t>
            </w:r>
          </w:p>
          <w:p>
            <w:pPr>
              <w:bidi w:val="0"/>
              <w:rPr>
                <w:rFonts w:hint="eastAsia" w:ascii="宋体" w:hAnsi="宋体" w:eastAsia="宋体" w:cs="宋体"/>
                <w:sz w:val="21"/>
                <w:szCs w:val="21"/>
              </w:rPr>
            </w:pPr>
            <w:r>
              <w:rPr>
                <w:rFonts w:hint="eastAsia" w:ascii="宋体" w:hAnsi="宋体" w:eastAsia="宋体" w:cs="宋体"/>
                <w:sz w:val="21"/>
                <w:szCs w:val="21"/>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商务部分</w:t>
            </w:r>
          </w:p>
        </w:tc>
        <w:tc>
          <w:tcPr>
            <w:tcW w:w="60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1"/>
                <w:szCs w:val="21"/>
              </w:rPr>
            </w:pPr>
            <w:r>
              <w:rPr>
                <w:rFonts w:hint="eastAsia" w:ascii="宋体" w:hAnsi="宋体" w:eastAsia="宋体" w:cs="宋体"/>
                <w:sz w:val="21"/>
                <w:szCs w:val="21"/>
              </w:rPr>
              <w:t>10分</w:t>
            </w:r>
          </w:p>
        </w:tc>
        <w:tc>
          <w:tcPr>
            <w:tcW w:w="1349" w:type="dxa"/>
            <w:tcBorders>
              <w:top w:val="single" w:color="auto" w:sz="4" w:space="0"/>
              <w:left w:val="single" w:color="auto" w:sz="4" w:space="0"/>
              <w:bottom w:val="single" w:color="auto" w:sz="4" w:space="0"/>
              <w:right w:val="single" w:color="auto" w:sz="4" w:space="0"/>
            </w:tcBorders>
            <w:vAlign w:val="center"/>
          </w:tcPr>
          <w:p>
            <w:pPr>
              <w:ind w:firstLine="210" w:firstLineChars="100"/>
              <w:jc w:val="both"/>
              <w:rPr>
                <w:rFonts w:hint="eastAsia" w:ascii="宋体" w:hAnsi="宋体" w:eastAsia="宋体" w:cs="宋体"/>
                <w:sz w:val="21"/>
                <w:szCs w:val="21"/>
              </w:rPr>
            </w:pPr>
            <w:r>
              <w:rPr>
                <w:rFonts w:hint="eastAsia" w:ascii="宋体" w:hAnsi="宋体" w:eastAsia="宋体" w:cs="宋体"/>
                <w:sz w:val="21"/>
                <w:szCs w:val="21"/>
              </w:rPr>
              <w:t>业绩</w:t>
            </w:r>
          </w:p>
          <w:p>
            <w:pPr>
              <w:jc w:val="both"/>
              <w:rPr>
                <w:rFonts w:hint="eastAsia" w:ascii="宋体" w:hAnsi="宋体" w:eastAsia="宋体" w:cs="宋体"/>
                <w:sz w:val="21"/>
                <w:szCs w:val="21"/>
              </w:rPr>
            </w:pPr>
            <w:r>
              <w:rPr>
                <w:rFonts w:hint="eastAsia" w:ascii="宋体" w:hAnsi="宋体" w:eastAsia="宋体" w:cs="宋体"/>
                <w:sz w:val="21"/>
                <w:szCs w:val="21"/>
              </w:rPr>
              <w:t>（10分）</w:t>
            </w:r>
          </w:p>
        </w:tc>
        <w:tc>
          <w:tcPr>
            <w:tcW w:w="571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宋体"/>
                <w:sz w:val="21"/>
                <w:szCs w:val="21"/>
                <w:lang w:eastAsia="zh-CN"/>
              </w:rPr>
            </w:pPr>
            <w:r>
              <w:rPr>
                <w:rFonts w:hint="eastAsia" w:ascii="宋体" w:hAnsi="宋体" w:eastAsia="宋体" w:cs="宋体"/>
                <w:sz w:val="21"/>
                <w:szCs w:val="21"/>
              </w:rPr>
              <w:t>供应商须提供</w:t>
            </w:r>
            <w:r>
              <w:rPr>
                <w:rFonts w:hint="eastAsia" w:ascii="宋体" w:hAnsi="宋体" w:cs="宋体"/>
                <w:sz w:val="21"/>
                <w:szCs w:val="21"/>
                <w:lang w:val="en-US" w:eastAsia="zh-CN"/>
              </w:rPr>
              <w:t>2019年1月1日至今</w:t>
            </w:r>
            <w:r>
              <w:rPr>
                <w:rFonts w:hint="eastAsia" w:ascii="宋体" w:hAnsi="宋体" w:eastAsia="宋体" w:cs="宋体"/>
                <w:sz w:val="21"/>
                <w:szCs w:val="21"/>
              </w:rPr>
              <w:t>类似项目的劳务合作协议书或劳务派遣协议书，每提供一份得</w:t>
            </w:r>
            <w:r>
              <w:rPr>
                <w:rFonts w:hint="eastAsia" w:ascii="宋体" w:hAnsi="宋体" w:eastAsia="宋体" w:cs="宋体"/>
                <w:sz w:val="21"/>
                <w:szCs w:val="21"/>
                <w:lang w:val="en-US" w:eastAsia="zh-CN"/>
              </w:rPr>
              <w:t>2</w:t>
            </w:r>
            <w:r>
              <w:rPr>
                <w:rFonts w:hint="eastAsia" w:ascii="宋体" w:hAnsi="宋体" w:eastAsia="宋体" w:cs="宋体"/>
                <w:sz w:val="21"/>
                <w:szCs w:val="21"/>
              </w:rPr>
              <w:t>分，满分</w:t>
            </w:r>
            <w:r>
              <w:rPr>
                <w:rFonts w:hint="eastAsia" w:ascii="宋体" w:hAnsi="宋体" w:eastAsia="宋体" w:cs="宋体"/>
                <w:sz w:val="21"/>
                <w:szCs w:val="21"/>
                <w:lang w:val="en-US" w:eastAsia="zh-CN"/>
              </w:rPr>
              <w:t>10</w:t>
            </w:r>
            <w:r>
              <w:rPr>
                <w:rFonts w:hint="eastAsia" w:ascii="宋体" w:hAnsi="宋体" w:eastAsia="宋体" w:cs="宋体"/>
                <w:sz w:val="21"/>
                <w:szCs w:val="21"/>
              </w:rPr>
              <w:t>分</w:t>
            </w:r>
            <w:r>
              <w:rPr>
                <w:rFonts w:hint="eastAsia" w:ascii="宋体" w:hAnsi="宋体" w:cs="宋体"/>
                <w:sz w:val="21"/>
                <w:szCs w:val="21"/>
                <w:lang w:eastAsia="zh-CN"/>
              </w:rPr>
              <w:t>。</w:t>
            </w:r>
          </w:p>
          <w:p>
            <w:pPr>
              <w:jc w:val="both"/>
              <w:rPr>
                <w:rFonts w:hint="eastAsia" w:ascii="宋体" w:hAnsi="宋体" w:eastAsia="宋体" w:cs="宋体"/>
                <w:sz w:val="21"/>
                <w:szCs w:val="21"/>
              </w:rPr>
            </w:pPr>
            <w:r>
              <w:rPr>
                <w:rFonts w:hint="eastAsia" w:ascii="宋体" w:hAnsi="宋体" w:eastAsia="宋体" w:cs="宋体"/>
                <w:b/>
                <w:bCs/>
                <w:sz w:val="21"/>
                <w:szCs w:val="21"/>
              </w:rPr>
              <w:t>评审依据：</w:t>
            </w:r>
            <w:r>
              <w:rPr>
                <w:rFonts w:hint="eastAsia" w:ascii="宋体" w:hAnsi="宋体" w:eastAsia="宋体" w:cs="宋体"/>
                <w:sz w:val="21"/>
                <w:szCs w:val="21"/>
              </w:rPr>
              <w:t>合同提供不全或未提供的证明文件在计分时不予认可。（合同复印件加盖单位公章）</w:t>
            </w:r>
          </w:p>
          <w:p>
            <w:pPr>
              <w:jc w:val="both"/>
              <w:rPr>
                <w:rFonts w:hint="eastAsia" w:ascii="宋体" w:hAnsi="宋体" w:eastAsia="宋体" w:cs="宋体"/>
                <w:sz w:val="21"/>
                <w:szCs w:val="21"/>
              </w:rPr>
            </w:pPr>
          </w:p>
        </w:tc>
      </w:tr>
    </w:tbl>
    <w:p>
      <w:r>
        <w:rPr>
          <w:rFonts w:hint="eastAsia" w:ascii="宋体" w:hAnsi="宋体" w:cs="宋体"/>
          <w:b/>
          <w:bCs/>
          <w:sz w:val="24"/>
        </w:rPr>
        <w:t>备注：</w:t>
      </w:r>
    </w:p>
    <w:p>
      <w:pPr>
        <w:spacing w:line="360" w:lineRule="auto"/>
        <w:ind w:firstLine="241" w:firstLineChars="100"/>
        <w:rPr>
          <w:rFonts w:ascii="宋体" w:cs="宋体"/>
          <w:b/>
          <w:bCs/>
          <w:sz w:val="24"/>
          <w:szCs w:val="24"/>
        </w:rPr>
      </w:pPr>
      <w:r>
        <w:rPr>
          <w:rFonts w:hint="eastAsia" w:ascii="宋体" w:hAnsi="宋体" w:cs="宋体"/>
          <w:b/>
          <w:bCs/>
          <w:sz w:val="24"/>
          <w:szCs w:val="24"/>
        </w:rPr>
        <w:t>（一）对小型或微型企业参加政府采购投标的扶持：</w:t>
      </w:r>
    </w:p>
    <w:p>
      <w:pPr>
        <w:spacing w:line="360" w:lineRule="auto"/>
        <w:ind w:firstLine="480" w:firstLineChars="200"/>
        <w:rPr>
          <w:rFonts w:ascii="宋体" w:eastAsia="宋体" w:cs="宋体"/>
          <w:sz w:val="24"/>
          <w:szCs w:val="24"/>
        </w:rPr>
      </w:pPr>
      <w:r>
        <w:rPr>
          <w:rFonts w:hint="eastAsia" w:ascii="宋体" w:hAnsi="宋体" w:cs="宋体"/>
          <w:sz w:val="24"/>
          <w:szCs w:val="24"/>
        </w:rPr>
        <w:t>根据</w:t>
      </w:r>
      <w:r>
        <w:rPr>
          <w:rFonts w:hint="eastAsia" w:asciiTheme="minorEastAsia" w:hAnsiTheme="minorEastAsia" w:cstheme="minorEastAsia"/>
          <w:color w:val="000000"/>
          <w:sz w:val="24"/>
          <w:szCs w:val="24"/>
        </w:rPr>
        <w:t>《政府采购促进中小企业发展管理办法》（财库〔2020〕46号</w:t>
      </w:r>
      <w:r>
        <w:rPr>
          <w:rFonts w:hint="eastAsia" w:asciiTheme="minorEastAsia" w:hAnsiTheme="minorEastAsia" w:cstheme="minorEastAsia"/>
          <w:color w:val="000000"/>
          <w:sz w:val="24"/>
          <w:szCs w:val="24"/>
          <w:lang w:eastAsia="zh-CN"/>
        </w:rPr>
        <w:t>）</w:t>
      </w:r>
      <w:r>
        <w:rPr>
          <w:rFonts w:hint="eastAsia" w:ascii="宋体" w:hAnsi="宋体" w:cs="宋体"/>
          <w:sz w:val="24"/>
          <w:szCs w:val="24"/>
        </w:rPr>
        <w:t>的规定，对于非专门面向中小企业的项目，对小型和微型企业产品的价格给予</w:t>
      </w:r>
      <w:r>
        <w:rPr>
          <w:rFonts w:ascii="宋体" w:hAnsi="宋体" w:cs="宋体"/>
          <w:sz w:val="24"/>
          <w:szCs w:val="24"/>
        </w:rPr>
        <w:t>6%</w:t>
      </w:r>
      <w:r>
        <w:rPr>
          <w:rFonts w:hint="eastAsia" w:ascii="宋体" w:hAnsi="宋体" w:cs="宋体"/>
          <w:sz w:val="24"/>
          <w:szCs w:val="24"/>
        </w:rPr>
        <w:t>的扣除，用扣除后的价格参与评审；供应商可在投标文件中提供小型和微型企业声明，具体格式详见附件。</w:t>
      </w:r>
    </w:p>
    <w:p>
      <w:pPr>
        <w:spacing w:line="360" w:lineRule="auto"/>
        <w:ind w:firstLine="482" w:firstLineChars="200"/>
        <w:rPr>
          <w:rFonts w:ascii="宋体" w:eastAsia="宋体" w:cs="宋体"/>
          <w:b/>
          <w:bCs/>
          <w:sz w:val="24"/>
          <w:szCs w:val="24"/>
        </w:rPr>
      </w:pPr>
      <w:r>
        <w:rPr>
          <w:rFonts w:hint="eastAsia" w:ascii="宋体" w:eastAsia="宋体" w:cs="宋体"/>
          <w:b/>
          <w:bCs/>
          <w:sz w:val="24"/>
          <w:szCs w:val="24"/>
        </w:rPr>
        <w:t>（二）对监狱企业、残疾人福利企业的扶持</w:t>
      </w:r>
    </w:p>
    <w:p>
      <w:pPr>
        <w:spacing w:line="360" w:lineRule="auto"/>
        <w:ind w:firstLine="480" w:firstLineChars="200"/>
        <w:rPr>
          <w:rFonts w:ascii="宋体" w:hAnsi="宋体" w:cs="宋体"/>
          <w:sz w:val="24"/>
          <w:szCs w:val="24"/>
        </w:rPr>
      </w:pPr>
      <w:r>
        <w:rPr>
          <w:rFonts w:hint="eastAsia" w:ascii="宋体" w:cs="宋体"/>
          <w:sz w:val="24"/>
          <w:szCs w:val="24"/>
        </w:rPr>
        <w:t>根据</w:t>
      </w:r>
      <w:r>
        <w:rPr>
          <w:rFonts w:hint="eastAsia" w:ascii="宋体" w:eastAsia="宋体" w:cs="宋体"/>
          <w:sz w:val="24"/>
          <w:szCs w:val="24"/>
        </w:rPr>
        <w:t>《关于政府采购支持监狱企业发展有关问题的通知》（财库[2014]68号）</w:t>
      </w:r>
      <w:r>
        <w:rPr>
          <w:rFonts w:hint="eastAsia" w:ascii="宋体" w:hAnsi="宋体" w:cs="宋体"/>
          <w:sz w:val="24"/>
          <w:szCs w:val="24"/>
        </w:rPr>
        <w:t xml:space="preserve">（提供由省级以上监狱管理局、戒毒管理局（含新疆生产建设兵团）出具的属于监狱企业的证明文件）、《三部门联合发布关于促进残疾人就业政府采购政策的通知》（财库〔2017〕141号）的规定，对监狱企业、残疾人福利企业给予6%的价格扣除，用扣除后的价格参与评审。 </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（三）对同时属于小微企业、监狱企业或残疾人福利性单位的， 不重复享受政策。</w:t>
      </w:r>
    </w:p>
    <w:p>
      <w:pPr>
        <w:spacing w:line="360" w:lineRule="auto"/>
        <w:ind w:firstLine="482" w:firstLineChars="200"/>
        <w:rPr>
          <w:rFonts w:ascii="宋体" w:eastAsia="宋体" w:cs="宋体"/>
          <w:b/>
          <w:bCs/>
          <w:sz w:val="24"/>
          <w:szCs w:val="24"/>
        </w:rPr>
      </w:pPr>
      <w:r>
        <w:rPr>
          <w:rFonts w:hint="eastAsia" w:ascii="宋体" w:hAnsi="宋体" w:cs="宋体"/>
          <w:b/>
          <w:bCs/>
          <w:sz w:val="24"/>
          <w:szCs w:val="24"/>
        </w:rPr>
        <w:t>（四）对节能、环保政策的支持</w:t>
      </w:r>
    </w:p>
    <w:p>
      <w:pPr>
        <w:spacing w:line="360" w:lineRule="auto"/>
        <w:ind w:firstLine="480" w:firstLineChars="200"/>
        <w:rPr>
          <w:rFonts w:ascii="宋体" w:eastAsia="宋体" w:cs="Times New Roman"/>
          <w:sz w:val="24"/>
          <w:szCs w:val="24"/>
        </w:rPr>
      </w:pPr>
      <w:r>
        <w:rPr>
          <w:rFonts w:hint="eastAsia" w:ascii="宋体" w:hAnsi="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spacing w:line="360" w:lineRule="auto"/>
        <w:ind w:firstLine="480" w:firstLineChars="200"/>
        <w:rPr>
          <w:sz w:val="24"/>
          <w:szCs w:val="24"/>
        </w:rPr>
        <w:sectPr>
          <w:pgSz w:w="11900" w:h="16840"/>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sz w:val="24"/>
          <w:szCs w:val="24"/>
        </w:rPr>
        <w:t>3、产品同时属于“非强制采购节能产品”、环境标志产品的，评审时只有其中一项能享受优先待遇（供应商自行选择，并在报价文件中填写相关信息及数据）。</w:t>
      </w:r>
    </w:p>
    <w:p>
      <w:pPr>
        <w:pStyle w:val="3"/>
        <w:pageBreakBefore/>
        <w:numPr>
          <w:ilvl w:val="0"/>
          <w:numId w:val="16"/>
        </w:numPr>
        <w:rPr>
          <w:rFonts w:ascii="宋体" w:hAnsi="宋体" w:cs="宋体"/>
        </w:rPr>
      </w:pPr>
      <w:bookmarkStart w:id="89" w:name="_Toc262"/>
      <w:bookmarkStart w:id="90" w:name="_Toc26757"/>
      <w:bookmarkStart w:id="91" w:name="_Toc23224"/>
      <w:bookmarkStart w:id="92" w:name="_Toc3021"/>
      <w:r>
        <w:rPr>
          <w:rFonts w:hint="eastAsia" w:ascii="宋体" w:hAnsi="宋体" w:cs="宋体"/>
        </w:rPr>
        <w:t>分</w:t>
      </w:r>
      <w:bookmarkEnd w:id="89"/>
      <w:bookmarkStart w:id="93" w:name="_Toc15647"/>
      <w:bookmarkStart w:id="94" w:name="_Toc6835"/>
      <w:r>
        <w:rPr>
          <w:rFonts w:hint="eastAsia" w:ascii="宋体" w:hAnsi="宋体" w:cs="宋体"/>
        </w:rPr>
        <w:t xml:space="preserve"> 采购要求</w:t>
      </w:r>
      <w:bookmarkEnd w:id="90"/>
      <w:bookmarkEnd w:id="91"/>
      <w:bookmarkEnd w:id="92"/>
    </w:p>
    <w:p>
      <w:pPr>
        <w:spacing w:line="360" w:lineRule="auto"/>
        <w:rPr>
          <w:rFonts w:ascii="宋体" w:hAnsi="宋体" w:cs="宋体"/>
          <w:b/>
          <w:sz w:val="24"/>
          <w:szCs w:val="24"/>
        </w:rPr>
      </w:pPr>
      <w:r>
        <w:rPr>
          <w:rFonts w:hint="eastAsia" w:ascii="宋体" w:hAnsi="宋体" w:cs="宋体"/>
          <w:b/>
          <w:sz w:val="24"/>
          <w:szCs w:val="24"/>
        </w:rPr>
        <w:t>一、商务要求</w:t>
      </w:r>
    </w:p>
    <w:p>
      <w:pPr>
        <w:tabs>
          <w:tab w:val="left" w:pos="420"/>
        </w:tabs>
        <w:spacing w:line="360" w:lineRule="auto"/>
        <w:ind w:firstLine="480" w:firstLineChars="200"/>
        <w:rPr>
          <w:rFonts w:hint="eastAsia" w:ascii="宋体" w:hAnsi="宋体" w:eastAsia="宋体" w:cs="宋体"/>
          <w:sz w:val="24"/>
          <w:szCs w:val="24"/>
          <w:lang w:eastAsia="zh-CN"/>
        </w:rPr>
      </w:pPr>
      <w:r>
        <w:rPr>
          <w:rFonts w:hint="eastAsia" w:ascii="宋体" w:hAnsi="宋体" w:cs="宋体"/>
          <w:bCs/>
          <w:sz w:val="24"/>
          <w:szCs w:val="24"/>
        </w:rPr>
        <w:t>1</w:t>
      </w:r>
      <w:r>
        <w:rPr>
          <w:rFonts w:hint="eastAsia" w:ascii="宋体" w:hAnsi="宋体" w:cs="宋体"/>
          <w:sz w:val="24"/>
          <w:szCs w:val="24"/>
        </w:rPr>
        <w:t>、项目名称：</w:t>
      </w:r>
      <w:r>
        <w:rPr>
          <w:rFonts w:hint="eastAsia" w:ascii="宋体" w:hAnsi="宋体" w:cs="宋体"/>
          <w:sz w:val="24"/>
          <w:szCs w:val="24"/>
          <w:lang w:eastAsia="zh-CN"/>
        </w:rPr>
        <w:t xml:space="preserve">西安市审计局2022年上半年购买服务人员采购项目      </w:t>
      </w:r>
    </w:p>
    <w:p>
      <w:pPr>
        <w:tabs>
          <w:tab w:val="left" w:pos="420"/>
        </w:tabs>
        <w:spacing w:line="360" w:lineRule="auto"/>
        <w:ind w:right="-319" w:rightChars="-152"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highlight w:val="none"/>
        </w:rPr>
        <w:t>服务期：自合同签订之日起1年</w:t>
      </w:r>
    </w:p>
    <w:p>
      <w:pPr>
        <w:tabs>
          <w:tab w:val="left" w:pos="420"/>
        </w:tabs>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、其他商务要求：详见第六部分合同条款</w:t>
      </w:r>
    </w:p>
    <w:p>
      <w:r>
        <w:rPr>
          <w:rFonts w:hint="eastAsia" w:ascii="宋体" w:hAnsi="宋体" w:cs="宋体"/>
          <w:b/>
          <w:sz w:val="24"/>
          <w:szCs w:val="24"/>
        </w:rPr>
        <w:t>二、采购内容及数量</w:t>
      </w:r>
    </w:p>
    <w:tbl>
      <w:tblPr>
        <w:tblStyle w:val="25"/>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010"/>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246" w:type="dxa"/>
            <w:vAlign w:val="center"/>
          </w:tcPr>
          <w:p>
            <w:pPr>
              <w:jc w:val="center"/>
            </w:pPr>
            <w:bookmarkStart w:id="95" w:name="_Toc22598"/>
            <w:bookmarkStart w:id="96" w:name="_Toc1655"/>
            <w:r>
              <w:rPr>
                <w:rFonts w:hint="eastAsia"/>
              </w:rPr>
              <w:t>采购内容</w:t>
            </w:r>
            <w:bookmarkEnd w:id="95"/>
            <w:bookmarkEnd w:id="96"/>
          </w:p>
        </w:tc>
        <w:tc>
          <w:tcPr>
            <w:tcW w:w="2010" w:type="dxa"/>
            <w:vAlign w:val="center"/>
          </w:tcPr>
          <w:p>
            <w:pPr>
              <w:jc w:val="center"/>
              <w:rPr>
                <w:rFonts w:hint="eastAsia" w:eastAsia="宋体"/>
                <w:lang w:eastAsia="zh-CN"/>
              </w:rPr>
            </w:pPr>
            <w:r>
              <w:rPr>
                <w:rFonts w:hint="eastAsia"/>
                <w:lang w:val="en-US" w:eastAsia="zh-CN"/>
              </w:rPr>
              <w:t>数量</w:t>
            </w:r>
          </w:p>
        </w:tc>
        <w:tc>
          <w:tcPr>
            <w:tcW w:w="3270" w:type="dxa"/>
            <w:vAlign w:val="center"/>
          </w:tcPr>
          <w:p>
            <w:pPr>
              <w:jc w:val="center"/>
            </w:pPr>
            <w:r>
              <w:rPr>
                <w:rFonts w:hint="eastAsia"/>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246" w:type="dxa"/>
            <w:vAlign w:val="center"/>
          </w:tcPr>
          <w:p>
            <w:pPr>
              <w:jc w:val="center"/>
              <w:rPr>
                <w:rFonts w:hint="eastAsia" w:ascii="宋体" w:hAnsi="宋体" w:eastAsia="宋体" w:cs="宋体"/>
              </w:rPr>
            </w:pPr>
            <w:r>
              <w:rPr>
                <w:rFonts w:hint="eastAsia"/>
                <w:color w:val="000000"/>
                <w:lang w:eastAsia="zh-CN"/>
              </w:rPr>
              <w:t>2022年上半年购买服务人员采购项目</w:t>
            </w:r>
          </w:p>
        </w:tc>
        <w:tc>
          <w:tcPr>
            <w:tcW w:w="2010" w:type="dxa"/>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项</w:t>
            </w:r>
          </w:p>
        </w:tc>
        <w:tc>
          <w:tcPr>
            <w:tcW w:w="3270" w:type="dxa"/>
            <w:vAlign w:val="center"/>
          </w:tcPr>
          <w:p>
            <w:pPr>
              <w:jc w:val="center"/>
            </w:pPr>
            <w:r>
              <w:rPr>
                <w:rFonts w:hint="eastAsia" w:ascii="宋体" w:hAnsi="宋体" w:eastAsia="宋体" w:cs="宋体"/>
              </w:rPr>
              <w:t>98</w:t>
            </w:r>
            <w:r>
              <w:rPr>
                <w:rFonts w:hint="eastAsia" w:ascii="宋体" w:hAnsi="宋体" w:cs="宋体"/>
                <w:lang w:val="en-US" w:eastAsia="zh-CN"/>
              </w:rPr>
              <w:t>0</w:t>
            </w:r>
            <w:r>
              <w:rPr>
                <w:rFonts w:hint="eastAsia" w:ascii="宋体" w:hAnsi="宋体" w:eastAsia="宋体" w:cs="宋体"/>
              </w:rPr>
              <w:t>000</w:t>
            </w:r>
          </w:p>
        </w:tc>
      </w:tr>
    </w:tbl>
    <w:p>
      <w:pPr>
        <w:pStyle w:val="67"/>
        <w:spacing w:line="360" w:lineRule="auto"/>
        <w:ind w:firstLine="0" w:firstLineChars="0"/>
        <w:rPr>
          <w:rFonts w:ascii="宋体" w:hAnsi="宋体" w:cs="宋体"/>
          <w:sz w:val="24"/>
          <w:szCs w:val="24"/>
        </w:rPr>
      </w:pPr>
      <w:r>
        <w:rPr>
          <w:rFonts w:hint="eastAsia" w:ascii="宋体" w:hAnsi="宋体" w:cs="宋体"/>
          <w:b/>
          <w:bCs/>
          <w:sz w:val="24"/>
          <w:szCs w:val="24"/>
        </w:rPr>
        <w:t>三、技术要求：</w:t>
      </w:r>
    </w:p>
    <w:bookmarkEnd w:id="93"/>
    <w:bookmarkEnd w:id="94"/>
    <w:p>
      <w:pPr>
        <w:bidi w:val="0"/>
        <w:spacing w:line="360" w:lineRule="auto"/>
        <w:rPr>
          <w:rFonts w:hint="eastAsia" w:ascii="宋体" w:hAnsi="宋体" w:eastAsia="宋体" w:cs="宋体"/>
          <w:sz w:val="24"/>
          <w:szCs w:val="24"/>
        </w:rPr>
      </w:pPr>
      <w:bookmarkStart w:id="97" w:name="OLE_LINK285"/>
      <w:bookmarkStart w:id="98" w:name="OLE_LINK286"/>
      <w:bookmarkStart w:id="99" w:name="_Toc23741"/>
      <w:bookmarkStart w:id="100" w:name="_Toc26312"/>
      <w:bookmarkStart w:id="101" w:name="_Toc2234"/>
      <w:r>
        <w:rPr>
          <w:rFonts w:hint="eastAsia" w:ascii="宋体" w:hAnsi="宋体" w:eastAsia="宋体" w:cs="宋体"/>
          <w:sz w:val="24"/>
          <w:szCs w:val="24"/>
        </w:rPr>
        <w:t>一、购买</w:t>
      </w:r>
      <w:r>
        <w:rPr>
          <w:rFonts w:hint="eastAsia" w:ascii="宋体" w:hAnsi="宋体" w:cs="宋体"/>
          <w:sz w:val="24"/>
          <w:szCs w:val="24"/>
          <w:lang w:val="en-US" w:eastAsia="zh-CN"/>
        </w:rPr>
        <w:t>第三方服务的</w:t>
      </w:r>
      <w:r>
        <w:rPr>
          <w:rFonts w:hint="eastAsia" w:ascii="宋体" w:hAnsi="宋体" w:eastAsia="宋体" w:cs="宋体"/>
          <w:sz w:val="24"/>
          <w:szCs w:val="24"/>
        </w:rPr>
        <w:t>相关专业人员</w:t>
      </w:r>
      <w:r>
        <w:rPr>
          <w:rFonts w:hint="eastAsia" w:ascii="宋体" w:hAnsi="宋体" w:cs="宋体"/>
          <w:sz w:val="24"/>
          <w:szCs w:val="24"/>
          <w:lang w:val="en-US" w:eastAsia="zh-CN"/>
        </w:rPr>
        <w:t>12</w:t>
      </w:r>
      <w:r>
        <w:rPr>
          <w:rFonts w:hint="eastAsia" w:ascii="宋体" w:hAnsi="宋体" w:eastAsia="宋体" w:cs="宋体"/>
          <w:sz w:val="24"/>
          <w:szCs w:val="24"/>
        </w:rPr>
        <w:t>名</w:t>
      </w:r>
      <w:r>
        <w:rPr>
          <w:rFonts w:hint="eastAsia" w:ascii="宋体" w:hAnsi="宋体" w:cs="宋体"/>
          <w:sz w:val="24"/>
          <w:szCs w:val="24"/>
          <w:lang w:eastAsia="zh-CN"/>
        </w:rPr>
        <w:t>（</w:t>
      </w:r>
      <w:r>
        <w:rPr>
          <w:rFonts w:hint="eastAsia" w:ascii="宋体" w:hAnsi="宋体" w:cs="宋体"/>
          <w:sz w:val="24"/>
          <w:szCs w:val="24"/>
          <w:lang w:val="en-US" w:eastAsia="zh-CN"/>
        </w:rPr>
        <w:t>含</w:t>
      </w:r>
      <w:r>
        <w:rPr>
          <w:rFonts w:hint="eastAsia" w:ascii="宋体" w:hAnsi="宋体" w:eastAsia="宋体" w:cs="宋体"/>
          <w:sz w:val="24"/>
          <w:szCs w:val="24"/>
        </w:rPr>
        <w:t>审计、财务、法律、文秘等</w:t>
      </w:r>
      <w:r>
        <w:rPr>
          <w:rFonts w:hint="eastAsia" w:ascii="宋体" w:hAnsi="宋体" w:cs="宋体"/>
          <w:sz w:val="24"/>
          <w:szCs w:val="24"/>
          <w:lang w:eastAsia="zh-CN"/>
        </w:rPr>
        <w:t>）。</w:t>
      </w:r>
      <w:r>
        <w:rPr>
          <w:rFonts w:hint="eastAsia" w:ascii="宋体" w:hAnsi="宋体" w:cs="宋体"/>
          <w:sz w:val="24"/>
          <w:szCs w:val="24"/>
          <w:lang w:val="en-US" w:eastAsia="zh-CN"/>
        </w:rPr>
        <w:t>成交价格含人员工资、养老保险、失业保险、医疗保险、工伤保险、生育保险、大病补充、降温费、取暖费和服务费等所有费用</w:t>
      </w:r>
      <w:r>
        <w:rPr>
          <w:rFonts w:hint="eastAsia" w:ascii="宋体" w:hAnsi="宋体" w:eastAsia="宋体" w:cs="宋体"/>
          <w:sz w:val="24"/>
          <w:szCs w:val="24"/>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二、购买服务人员基本条件</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1.具有中华人民共和国国籍，拥护中国共产党的领导，拥护党的路线、方针、政策、遵守国家法律、法规及规章；</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2.具有良好的品德和职业道德，无违法犯罪记录；</w:t>
      </w:r>
    </w:p>
    <w:p>
      <w:pPr>
        <w:bidi w:val="0"/>
        <w:spacing w:line="360" w:lineRule="auto"/>
        <w:ind w:firstLine="480" w:firstLineChars="200"/>
        <w:rPr>
          <w:rFonts w:hint="eastAsia" w:ascii="宋体" w:hAnsi="宋体" w:eastAsia="宋体" w:cs="宋体"/>
          <w:sz w:val="24"/>
          <w:szCs w:val="24"/>
          <w:highlight w:val="red"/>
        </w:rPr>
      </w:pPr>
      <w:r>
        <w:rPr>
          <w:rFonts w:hint="eastAsia" w:ascii="宋体" w:hAnsi="宋体" w:eastAsia="宋体" w:cs="宋体"/>
          <w:sz w:val="24"/>
          <w:szCs w:val="24"/>
          <w:highlight w:val="none"/>
        </w:rPr>
        <w:t>3.身体健康，年龄在</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5周岁以下（时间截止202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热爱审计工作，具备较强的团队合作精神，服从工作安排。</w:t>
      </w:r>
    </w:p>
    <w:p>
      <w:r>
        <w:rPr>
          <w:rFonts w:hint="eastAsia"/>
        </w:rPr>
        <w:br w:type="page"/>
      </w:r>
    </w:p>
    <w:p>
      <w:pPr>
        <w:pStyle w:val="3"/>
        <w:numPr>
          <w:ilvl w:val="0"/>
          <w:numId w:val="17"/>
        </w:numPr>
      </w:pPr>
      <w:r>
        <w:rPr>
          <w:rFonts w:hint="eastAsia"/>
        </w:rPr>
        <w:t xml:space="preserve"> </w:t>
      </w:r>
      <w:bookmarkStart w:id="102" w:name="_Toc15121"/>
      <w:r>
        <w:t>合同</w:t>
      </w:r>
      <w:r>
        <w:rPr>
          <w:rFonts w:hint="eastAsia"/>
          <w:lang w:eastAsia="zh-CN"/>
        </w:rPr>
        <w:t>草案</w:t>
      </w:r>
      <w:r>
        <w:t>条款</w:t>
      </w:r>
      <w:bookmarkEnd w:id="97"/>
      <w:bookmarkEnd w:id="98"/>
      <w:bookmarkEnd w:id="102"/>
      <w:r>
        <w:rPr>
          <w:rFonts w:hint="eastAsia"/>
          <w:lang w:eastAsia="zh-CN"/>
        </w:rPr>
        <w:t>（参考合同）</w:t>
      </w:r>
    </w:p>
    <w:p>
      <w:pPr>
        <w:pStyle w:val="4"/>
        <w:adjustRightInd w:val="0"/>
        <w:snapToGrid w:val="0"/>
        <w:spacing w:before="0" w:after="0" w:line="240" w:lineRule="auto"/>
        <w:jc w:val="left"/>
        <w:rPr>
          <w:rFonts w:hint="eastAsia" w:ascii="宋体" w:hAnsi="宋体" w:eastAsia="宋体" w:cs="宋体"/>
          <w:sz w:val="24"/>
          <w:szCs w:val="24"/>
        </w:rPr>
      </w:pPr>
      <w:bookmarkStart w:id="103" w:name="_Toc23704_WPSOffice_Level1"/>
      <w:bookmarkStart w:id="104" w:name="_Toc15562"/>
      <w:r>
        <w:rPr>
          <w:rFonts w:hint="eastAsia" w:ascii="宋体" w:hAnsi="宋体" w:eastAsia="宋体" w:cs="宋体"/>
          <w:sz w:val="24"/>
          <w:szCs w:val="24"/>
        </w:rPr>
        <w:t>合同条款</w:t>
      </w:r>
      <w:bookmarkEnd w:id="103"/>
      <w:bookmarkEnd w:id="104"/>
      <w:r>
        <w:rPr>
          <w:rFonts w:hint="eastAsia" w:ascii="宋体" w:hAnsi="宋体" w:eastAsia="宋体" w:cs="宋体"/>
          <w:sz w:val="24"/>
          <w:szCs w:val="24"/>
        </w:rPr>
        <w:t xml:space="preserve">                    </w:t>
      </w:r>
    </w:p>
    <w:p>
      <w:pPr>
        <w:spacing w:before="319" w:beforeLines="100" w:after="319" w:afterLines="100" w:line="480" w:lineRule="exact"/>
        <w:jc w:val="center"/>
        <w:rPr>
          <w:rFonts w:hint="eastAsia" w:ascii="宋体" w:hAnsi="宋体" w:eastAsia="宋体" w:cs="宋体"/>
          <w:b/>
          <w:sz w:val="24"/>
          <w:szCs w:val="24"/>
        </w:rPr>
      </w:pPr>
      <w:bookmarkStart w:id="105" w:name="_Toc30224_WPSOffice_Level1"/>
      <w:r>
        <w:rPr>
          <w:rFonts w:hint="eastAsia" w:ascii="宋体" w:hAnsi="宋体" w:eastAsia="宋体" w:cs="宋体"/>
          <w:b/>
          <w:sz w:val="24"/>
          <w:szCs w:val="24"/>
        </w:rPr>
        <w:t>政府采购合同条款</w:t>
      </w:r>
      <w:bookmarkEnd w:id="105"/>
    </w:p>
    <w:p>
      <w:pPr>
        <w:rPr>
          <w:rFonts w:hint="eastAsia" w:ascii="宋体" w:hAnsi="宋体" w:eastAsia="宋体" w:cs="宋体"/>
          <w:sz w:val="24"/>
          <w:szCs w:val="24"/>
        </w:rPr>
      </w:pPr>
    </w:p>
    <w:p>
      <w:pPr>
        <w:numPr>
          <w:ilvl w:val="0"/>
          <w:numId w:val="18"/>
        </w:numPr>
        <w:adjustRightInd w:val="0"/>
        <w:snapToGrid w:val="0"/>
        <w:spacing w:line="360" w:lineRule="auto"/>
        <w:rPr>
          <w:rFonts w:hint="eastAsia" w:ascii="宋体" w:hAnsi="宋体" w:eastAsia="宋体" w:cs="宋体"/>
          <w:b/>
          <w:sz w:val="24"/>
          <w:szCs w:val="24"/>
        </w:rPr>
      </w:pPr>
      <w:bookmarkStart w:id="106" w:name="_Toc10297_WPSOffice_Level2"/>
      <w:r>
        <w:rPr>
          <w:rFonts w:hint="eastAsia" w:ascii="宋体" w:hAnsi="宋体" w:eastAsia="宋体" w:cs="宋体"/>
          <w:b/>
          <w:sz w:val="24"/>
          <w:szCs w:val="24"/>
        </w:rPr>
        <w:t>术语定义</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本政府采购合同下列术语应解释为：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1“政府采购合同”指供需双方依照政府采购程序、按照招标文件投标文件确定的事项所达成的协议，包括附件、附录和上述文件所提到的构成政府采购合同的所有文件。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2 “政府采购合同价”指根据合同约定供方在正确地完全履行政府采购合同义务后需方应支付给供方的价格。</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3 “服务”指政府采购合同服务清单（同投标文件中开标一览表及其附表，下同）所约定的服务内容。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5 “需方”指项目基本内容及要求中所述取得产品和服务的采购单位。</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6 “供方”指项目基本内容及要求中所述提供产品和服务的中标供应商。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7 “检验”指需方按照政府采购合同约定的标准对供方所提供服务进行的检测和查验。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8 “验收书”指采购单位或采购代理机构根据合同履约验收意见书形成反映采购单位和组织验收机构意见的文件。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1.9“天”指日历天数（如无特别说明）。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10“第三人”是指本政府采购合同双方以外的任何中国境内外的自然人、法人或其它经济组织。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11“法律、法规”是指由中国各级政府及有关部门制定的法律、行政法规、地方性法规、规章及其它规范性文件的有关规定。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12“招标文件”指采购人或采购代理机构发布的招标文件。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13“投标文件”指供方按照采购代理机构招标文件的要求编制和递交，并最终被评标委员会接受的投标文件。</w:t>
      </w:r>
    </w:p>
    <w:p>
      <w:pPr>
        <w:adjustRightInd w:val="0"/>
        <w:snapToGrid w:val="0"/>
        <w:spacing w:line="360" w:lineRule="auto"/>
        <w:ind w:firstLine="479" w:firstLineChars="199"/>
        <w:rPr>
          <w:rFonts w:hint="eastAsia" w:ascii="宋体" w:hAnsi="宋体" w:eastAsia="宋体" w:cs="宋体"/>
          <w:b/>
          <w:sz w:val="24"/>
          <w:szCs w:val="24"/>
        </w:rPr>
      </w:pPr>
      <w:r>
        <w:rPr>
          <w:rFonts w:hint="eastAsia" w:ascii="宋体" w:hAnsi="宋体" w:eastAsia="宋体" w:cs="宋体"/>
          <w:b/>
          <w:sz w:val="24"/>
          <w:szCs w:val="24"/>
        </w:rPr>
        <w:t>2.技术规范与服务内容</w:t>
      </w:r>
    </w:p>
    <w:p>
      <w:pPr>
        <w:adjustRightInd w:val="0"/>
        <w:snapToGrid w:val="0"/>
        <w:spacing w:line="360" w:lineRule="auto"/>
        <w:ind w:firstLine="477" w:firstLineChars="199"/>
        <w:rPr>
          <w:rFonts w:hint="eastAsia" w:ascii="宋体" w:hAnsi="宋体" w:eastAsia="宋体" w:cs="宋体"/>
          <w:sz w:val="24"/>
          <w:szCs w:val="24"/>
        </w:rPr>
      </w:pPr>
      <w:r>
        <w:rPr>
          <w:rFonts w:hint="eastAsia" w:ascii="宋体" w:hAnsi="宋体" w:eastAsia="宋体" w:cs="宋体"/>
          <w:sz w:val="24"/>
          <w:szCs w:val="24"/>
        </w:rPr>
        <w:t>2.1投标服务的技术规范应与招标文件规定的技术规范（如果有的话）相一致。若无相应说明，则以国家有关部门最新颁布的相应标识及规范为准。</w:t>
      </w:r>
    </w:p>
    <w:p>
      <w:pPr>
        <w:adjustRightInd w:val="0"/>
        <w:snapToGrid w:val="0"/>
        <w:spacing w:line="360" w:lineRule="auto"/>
        <w:ind w:firstLine="477" w:firstLineChars="199"/>
        <w:rPr>
          <w:rFonts w:hint="eastAsia" w:ascii="宋体" w:hAnsi="宋体" w:eastAsia="宋体" w:cs="宋体"/>
          <w:sz w:val="24"/>
          <w:szCs w:val="24"/>
        </w:rPr>
      </w:pPr>
      <w:r>
        <w:rPr>
          <w:rFonts w:hint="eastAsia" w:ascii="宋体" w:hAnsi="宋体" w:eastAsia="宋体" w:cs="宋体"/>
          <w:sz w:val="24"/>
          <w:szCs w:val="24"/>
        </w:rPr>
        <w:t>2.2 投标服务的服务内容应与招标文件规定服务内容及投标文件中的项目要求及投标响应表一致。</w:t>
      </w:r>
    </w:p>
    <w:p>
      <w:pPr>
        <w:adjustRightInd w:val="0"/>
        <w:snapToGrid w:val="0"/>
        <w:spacing w:line="360" w:lineRule="auto"/>
        <w:ind w:firstLine="479" w:firstLineChars="199"/>
        <w:rPr>
          <w:rFonts w:hint="eastAsia" w:ascii="宋体" w:hAnsi="宋体" w:eastAsia="宋体" w:cs="宋体"/>
          <w:b/>
          <w:sz w:val="24"/>
          <w:szCs w:val="24"/>
        </w:rPr>
      </w:pPr>
      <w:r>
        <w:rPr>
          <w:rFonts w:hint="eastAsia" w:ascii="宋体" w:hAnsi="宋体" w:eastAsia="宋体" w:cs="宋体"/>
          <w:b/>
          <w:sz w:val="24"/>
          <w:szCs w:val="24"/>
        </w:rPr>
        <w:t>3.知识产权</w:t>
      </w:r>
    </w:p>
    <w:p>
      <w:pPr>
        <w:adjustRightInd w:val="0"/>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pPr>
        <w:adjustRightInd w:val="0"/>
        <w:snapToGrid w:val="0"/>
        <w:spacing w:line="360" w:lineRule="auto"/>
        <w:ind w:firstLine="470" w:firstLineChars="196"/>
        <w:jc w:val="left"/>
        <w:rPr>
          <w:rFonts w:hint="eastAsia" w:ascii="宋体" w:hAnsi="宋体" w:eastAsia="宋体" w:cs="宋体"/>
          <w:sz w:val="24"/>
          <w:szCs w:val="24"/>
        </w:rPr>
      </w:pPr>
      <w:r>
        <w:rPr>
          <w:rFonts w:hint="eastAsia" w:ascii="宋体" w:hAnsi="宋体" w:eastAsia="宋体" w:cs="宋体"/>
          <w:sz w:val="24"/>
          <w:szCs w:val="24"/>
        </w:rPr>
        <w:t>3.2供方应保证所供服务符合国家的有关规定。</w:t>
      </w:r>
    </w:p>
    <w:p>
      <w:pPr>
        <w:tabs>
          <w:tab w:val="left" w:pos="360"/>
        </w:tabs>
        <w:adjustRightInd w:val="0"/>
        <w:snapToGrid w:val="0"/>
        <w:spacing w:line="360" w:lineRule="auto"/>
        <w:ind w:firstLine="477" w:firstLineChars="199"/>
        <w:rPr>
          <w:rFonts w:hint="eastAsia" w:ascii="宋体" w:hAnsi="宋体" w:eastAsia="宋体" w:cs="宋体"/>
          <w:sz w:val="24"/>
          <w:szCs w:val="24"/>
        </w:rPr>
      </w:pPr>
      <w:r>
        <w:rPr>
          <w:rFonts w:hint="eastAsia" w:ascii="宋体" w:hAnsi="宋体" w:eastAsia="宋体" w:cs="宋体"/>
          <w:sz w:val="24"/>
          <w:szCs w:val="24"/>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pPr>
        <w:adjustRightInd w:val="0"/>
        <w:snapToGrid w:val="0"/>
        <w:spacing w:line="360" w:lineRule="auto"/>
        <w:ind w:firstLine="479" w:firstLineChars="199"/>
        <w:rPr>
          <w:rFonts w:hint="eastAsia" w:ascii="宋体" w:hAnsi="宋体" w:eastAsia="宋体" w:cs="宋体"/>
          <w:b/>
          <w:sz w:val="24"/>
          <w:szCs w:val="24"/>
        </w:rPr>
      </w:pPr>
      <w:r>
        <w:rPr>
          <w:rFonts w:hint="eastAsia" w:ascii="宋体" w:hAnsi="宋体" w:eastAsia="宋体" w:cs="宋体"/>
          <w:b/>
          <w:sz w:val="24"/>
          <w:szCs w:val="24"/>
        </w:rPr>
        <w:t>4.完成方式</w:t>
      </w:r>
    </w:p>
    <w:p>
      <w:pPr>
        <w:adjustRightInd w:val="0"/>
        <w:snapToGrid w:val="0"/>
        <w:spacing w:line="360" w:lineRule="auto"/>
        <w:ind w:firstLine="477" w:firstLineChars="199"/>
        <w:rPr>
          <w:rFonts w:hint="eastAsia" w:ascii="宋体" w:hAnsi="宋体" w:eastAsia="宋体" w:cs="宋体"/>
          <w:sz w:val="24"/>
          <w:szCs w:val="24"/>
        </w:rPr>
      </w:pPr>
      <w:r>
        <w:rPr>
          <w:rFonts w:hint="eastAsia" w:ascii="宋体" w:hAnsi="宋体" w:eastAsia="宋体" w:cs="宋体"/>
          <w:sz w:val="24"/>
          <w:szCs w:val="24"/>
        </w:rPr>
        <w:t>供方按照合同约定的时间、地点完成服务。</w:t>
      </w:r>
    </w:p>
    <w:p>
      <w:pPr>
        <w:adjustRightInd w:val="0"/>
        <w:snapToGrid w:val="0"/>
        <w:spacing w:line="360" w:lineRule="auto"/>
        <w:ind w:firstLine="479" w:firstLineChars="199"/>
        <w:rPr>
          <w:rFonts w:hint="eastAsia" w:ascii="宋体" w:hAnsi="宋体" w:eastAsia="宋体" w:cs="宋体"/>
          <w:b/>
          <w:sz w:val="24"/>
          <w:szCs w:val="24"/>
        </w:rPr>
      </w:pPr>
      <w:r>
        <w:rPr>
          <w:rFonts w:hint="eastAsia" w:ascii="宋体" w:hAnsi="宋体" w:eastAsia="宋体" w:cs="宋体"/>
          <w:b/>
          <w:sz w:val="24"/>
          <w:szCs w:val="24"/>
        </w:rPr>
        <w:t>5.付款</w:t>
      </w:r>
    </w:p>
    <w:p>
      <w:pPr>
        <w:adjustRightInd w:val="0"/>
        <w:snapToGrid w:val="0"/>
        <w:spacing w:line="360" w:lineRule="auto"/>
        <w:ind w:firstLine="477" w:firstLineChars="199"/>
        <w:rPr>
          <w:rFonts w:hint="eastAsia" w:ascii="宋体" w:hAnsi="宋体" w:eastAsia="宋体" w:cs="宋体"/>
          <w:sz w:val="24"/>
          <w:szCs w:val="24"/>
        </w:rPr>
      </w:pPr>
      <w:r>
        <w:rPr>
          <w:rFonts w:hint="eastAsia" w:ascii="宋体" w:hAnsi="宋体" w:eastAsia="宋体" w:cs="宋体"/>
          <w:sz w:val="24"/>
          <w:szCs w:val="24"/>
        </w:rPr>
        <w:t>5.1政府采购合同以人民币付款。</w:t>
      </w:r>
    </w:p>
    <w:p>
      <w:pPr>
        <w:adjustRightInd w:val="0"/>
        <w:snapToGrid w:val="0"/>
        <w:spacing w:line="360" w:lineRule="auto"/>
        <w:ind w:firstLine="477" w:firstLineChars="199"/>
        <w:rPr>
          <w:rFonts w:hint="eastAsia" w:ascii="宋体" w:hAnsi="宋体" w:eastAsia="宋体" w:cs="宋体"/>
          <w:sz w:val="24"/>
          <w:szCs w:val="24"/>
        </w:rPr>
      </w:pPr>
      <w:r>
        <w:rPr>
          <w:rFonts w:hint="eastAsia" w:ascii="宋体" w:hAnsi="宋体" w:eastAsia="宋体" w:cs="宋体"/>
          <w:sz w:val="24"/>
          <w:szCs w:val="24"/>
        </w:rPr>
        <w:t>5.2在供方按照政府采购合同的规定履行服务后，需方按照合同约定的方式和条件付款。</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6.服务质量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6.1供方应保证政府采购合同项下所供服务是由供方提供的，并完全符合强制性的国家技术质量规范和政府采购合同规定的质量、性能和技术规范等要求。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6.2供方提供的服务质量应满足行业一般标准，符合合同约定。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6.3需方有权对供方的服务质量进行监督，发现服务存在不符合合同标准的情形的，可以要求供方改正服务方式、替换服务人员等补救方式，供方应按需方要求改正，并赔偿需方实际损失。</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pPr>
        <w:adjustRightInd w:val="0"/>
        <w:snapToGrid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7.技术服务和保修责任</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7.1本条适用于委托开发等最终以产品形式交付需方使用的服务。</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7.2供方对交付的产品的保修期，以招标文件中的规定为准，如果投标文件中的承诺优于招标文件规定，则以投标文件为准。</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7.3投标人应按如下内容提供售后服务承诺书：</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7.2.1产品经过试运行期，所有性能指标达到技术规范书的要求时，可按招标文件、投标文件内容进行初验。在试运行期间，由于产品质量等造成某些指标达不到要求，供方须更换或进行修复，试运行期重新计算。</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7.2.2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7.2.3保修期间供方要保修除消耗品以外的所有产品。如果系统、设备等发生故障，供方要调查故障原因并修复直至满足最终验收指标和性能的要求，或者修理、更换整个或部分有缺陷的材料。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7.2.4保修期内，供方提供电话、电子邮件、Web、现场服务等方式的技术支持，对用户的现场服务要求，供方必须按投标文件做出的承诺进行响应。</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7.2.5保修期内，供方应对出现故障无法修复的产品或无法正常运行的系统，提供替代产品以保证系统的正常工作。</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7.2.6保修期内，供方应投标时的承诺提供相关服务。</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7.2.7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7.2.8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7.2.9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质尚未支付的政府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77" w:firstLineChars="199"/>
        <w:rPr>
          <w:rFonts w:hint="eastAsia" w:ascii="宋体" w:hAnsi="宋体" w:eastAsia="宋体" w:cs="宋体"/>
          <w:sz w:val="24"/>
          <w:szCs w:val="24"/>
        </w:rPr>
      </w:pPr>
      <w:r>
        <w:rPr>
          <w:rFonts w:hint="eastAsia" w:ascii="宋体" w:hAnsi="宋体" w:eastAsia="宋体" w:cs="宋体"/>
          <w:sz w:val="24"/>
          <w:szCs w:val="24"/>
        </w:rPr>
        <w:t>7.2.10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79" w:firstLineChars="199"/>
        <w:rPr>
          <w:rFonts w:hint="eastAsia" w:ascii="宋体" w:hAnsi="宋体" w:eastAsia="宋体" w:cs="宋体"/>
          <w:b/>
          <w:sz w:val="24"/>
          <w:szCs w:val="24"/>
        </w:rPr>
      </w:pPr>
      <w:r>
        <w:rPr>
          <w:rFonts w:hint="eastAsia" w:ascii="宋体" w:hAnsi="宋体" w:eastAsia="宋体" w:cs="宋体"/>
          <w:b/>
          <w:sz w:val="24"/>
          <w:szCs w:val="24"/>
        </w:rPr>
        <w:t>8.检验和验收</w:t>
      </w:r>
    </w:p>
    <w:p>
      <w:pPr>
        <w:adjustRightInd w:val="0"/>
        <w:snapToGrid w:val="0"/>
        <w:spacing w:line="360" w:lineRule="auto"/>
        <w:ind w:firstLine="477" w:firstLineChars="199"/>
        <w:rPr>
          <w:rFonts w:hint="eastAsia" w:ascii="宋体" w:hAnsi="宋体" w:eastAsia="宋体" w:cs="宋体"/>
          <w:sz w:val="24"/>
          <w:szCs w:val="24"/>
        </w:rPr>
      </w:pPr>
      <w:r>
        <w:rPr>
          <w:rFonts w:hint="eastAsia" w:ascii="宋体" w:hAnsi="宋体" w:eastAsia="宋体" w:cs="宋体"/>
          <w:sz w:val="24"/>
          <w:szCs w:val="24"/>
        </w:rPr>
        <w:t>8.1完成服务后，需方或采购代理机构（由具体项目决定）应在政府采购合同规定的时间内组织验收，并在“验收书”上签字。“验收书”将作为申请付款文件的一部分。</w:t>
      </w:r>
    </w:p>
    <w:p>
      <w:pPr>
        <w:adjustRightInd w:val="0"/>
        <w:snapToGrid w:val="0"/>
        <w:spacing w:line="360" w:lineRule="auto"/>
        <w:ind w:firstLine="477" w:firstLineChars="199"/>
        <w:rPr>
          <w:rFonts w:hint="eastAsia" w:ascii="宋体" w:hAnsi="宋体" w:eastAsia="宋体" w:cs="宋体"/>
          <w:sz w:val="24"/>
          <w:szCs w:val="24"/>
        </w:rPr>
      </w:pPr>
      <w:r>
        <w:rPr>
          <w:rFonts w:hint="eastAsia" w:ascii="宋体" w:hAnsi="宋体" w:eastAsia="宋体" w:cs="宋体"/>
          <w:sz w:val="24"/>
          <w:szCs w:val="24"/>
        </w:rPr>
        <w:t>8.2对于委托开发等最终以产品形式交付需方使用的服务，保修期自验收书签署之日起计算。</w:t>
      </w:r>
    </w:p>
    <w:p>
      <w:pPr>
        <w:tabs>
          <w:tab w:val="left" w:pos="360"/>
        </w:tabs>
        <w:adjustRightInd w:val="0"/>
        <w:snapToGrid w:val="0"/>
        <w:spacing w:line="360" w:lineRule="auto"/>
        <w:ind w:firstLine="525" w:firstLineChars="218"/>
        <w:rPr>
          <w:rFonts w:hint="eastAsia" w:ascii="宋体" w:hAnsi="宋体" w:eastAsia="宋体" w:cs="宋体"/>
          <w:b/>
          <w:sz w:val="24"/>
          <w:szCs w:val="24"/>
        </w:rPr>
      </w:pPr>
      <w:r>
        <w:rPr>
          <w:rFonts w:hint="eastAsia" w:ascii="宋体" w:hAnsi="宋体" w:eastAsia="宋体" w:cs="宋体"/>
          <w:b/>
          <w:sz w:val="24"/>
          <w:szCs w:val="24"/>
        </w:rPr>
        <w:t>9.违约责任</w:t>
      </w:r>
    </w:p>
    <w:p>
      <w:pPr>
        <w:adjustRightInd w:val="0"/>
        <w:snapToGrid w:val="0"/>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rPr>
        <w:t>9.1如果供方未按照政府采购合同规定的要求提供服务；或供方未能履行政府采购合同规定的任何其它义务时，需方有权向供方发出违约通知书，供方应按照需方选择的下列一种或多种方式承担赔偿责任：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9.1.1在需方同意延长的期限内提供服务并承担由此给需方造成的一切损失；</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9.1.2在需方规定的时间内，用符合政府采购合同规定的服务以达到政府采购合同规定的要求，供方应承担由此发生的一切费用和风险。此时，相关服务的期限也应相应延长；</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9.1.3需方有权部分或全部解除政府采购合同并要求供方赔偿由此造成的损失。此时需方可采取必要的补救措施，相关费用由供方承担。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9.3延期服务的违约责任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9.4以上各项交付的违约金并不影响违约方履行政府采购合同的各项义务。</w:t>
      </w:r>
    </w:p>
    <w:p>
      <w:pPr>
        <w:adjustRightInd w:val="0"/>
        <w:snapToGrid w:val="0"/>
        <w:spacing w:line="360" w:lineRule="auto"/>
        <w:ind w:left="420"/>
        <w:rPr>
          <w:rFonts w:hint="eastAsia" w:ascii="宋体" w:hAnsi="宋体" w:eastAsia="宋体" w:cs="宋体"/>
          <w:b/>
          <w:sz w:val="24"/>
          <w:szCs w:val="24"/>
        </w:rPr>
      </w:pPr>
      <w:r>
        <w:rPr>
          <w:rFonts w:hint="eastAsia" w:ascii="宋体" w:hAnsi="宋体" w:eastAsia="宋体" w:cs="宋体"/>
          <w:b/>
          <w:sz w:val="24"/>
          <w:szCs w:val="24"/>
        </w:rPr>
        <w:t>10.不可抗力</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10.2本条所述的“不可抗力”系指那些双方无法控制，不可预见的事件，但不包括双方的违约或疏忽。这些事件包括但不限于：战争、严重火灾、洪水、台风、地震。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11.争端的解决</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11.1需方和供方应通过友好协商，解决在执行本政府采购合同过程中所发生的或与本政府采购合同有关的一切争端。</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11.2如果协商不成，双方中的任何一方可向需方所在地的人民法院提起诉讼。</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11.3因政府采购合同部分履行引发诉讼的，在诉讼期间，除正在进行诉讼的部分外，本政府采购合同的其它部分应继续执行。</w:t>
      </w:r>
    </w:p>
    <w:p>
      <w:pPr>
        <w:adjustRightInd w:val="0"/>
        <w:snapToGrid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12.违约终止政府采购合同</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12.1在需方因供方违约而按政府采购合同约定采取的任何补救措施不起作用的情况下，需方可在下列情况下向供方发出书面通知，提出终止部分或全部政府采购合同。</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12.1.1如果供方未能在政府采购合同规定的限期或需方同意延长的限期内提供部分或全部服务；</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12.1.2如果供方未能履行政府采购合同规定的其它任何义务。</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12.1.3未经需方事先书面同意，供方部分转让和分包或全部转让和分包其应履行的政府采购合同义务。</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pPr>
        <w:adjustRightInd w:val="0"/>
        <w:snapToGrid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13.政府采购法对政府采购合同变更终止的规定</w:t>
      </w:r>
    </w:p>
    <w:p>
      <w:pPr>
        <w:adjustRightInd w:val="0"/>
        <w:snapToGrid w:val="0"/>
        <w:spacing w:line="360" w:lineRule="auto"/>
        <w:ind w:firstLine="470" w:firstLineChars="196"/>
        <w:rPr>
          <w:rFonts w:hint="eastAsia" w:ascii="宋体" w:hAnsi="宋体" w:eastAsia="宋体" w:cs="宋体"/>
          <w:b/>
          <w:sz w:val="24"/>
          <w:szCs w:val="24"/>
        </w:rPr>
      </w:pPr>
      <w:r>
        <w:rPr>
          <w:rFonts w:hint="eastAsia" w:ascii="宋体" w:hAnsi="宋体" w:eastAsia="宋体" w:cs="宋体"/>
          <w:sz w:val="24"/>
          <w:szCs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pPr>
        <w:adjustRightInd w:val="0"/>
        <w:snapToGrid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14.政府采购合同转让和分包</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除招标文件规定,并经需方事先书面同意外，供方不得部分转让和分包或全部转让和分包其应履行的政府采购合同义务。</w:t>
      </w:r>
    </w:p>
    <w:p>
      <w:pPr>
        <w:adjustRightInd w:val="0"/>
        <w:snapToGrid w:val="0"/>
        <w:spacing w:line="360" w:lineRule="auto"/>
        <w:ind w:firstLine="472" w:firstLineChars="196"/>
        <w:rPr>
          <w:rFonts w:hint="eastAsia" w:ascii="宋体" w:hAnsi="宋体" w:eastAsia="宋体" w:cs="宋体"/>
          <w:sz w:val="24"/>
          <w:szCs w:val="24"/>
        </w:rPr>
      </w:pPr>
      <w:r>
        <w:rPr>
          <w:rFonts w:hint="eastAsia" w:ascii="宋体" w:hAnsi="宋体" w:eastAsia="宋体" w:cs="宋体"/>
          <w:b/>
          <w:sz w:val="24"/>
          <w:szCs w:val="24"/>
        </w:rPr>
        <w:t>15.适用法律：</w:t>
      </w:r>
      <w:r>
        <w:rPr>
          <w:rFonts w:hint="eastAsia" w:ascii="宋体" w:hAnsi="宋体" w:eastAsia="宋体" w:cs="宋体"/>
          <w:sz w:val="24"/>
          <w:szCs w:val="24"/>
        </w:rPr>
        <w:t>本政府采购合同按照中华人民共和国的现行法律进行解释。</w:t>
      </w:r>
    </w:p>
    <w:p>
      <w:pPr>
        <w:adjustRightInd w:val="0"/>
        <w:snapToGrid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16.政府采购合同生效</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16.1本政府采购合同在工序双方法定代表人或其授权代理人签字和加盖公章后生效。</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 xml:space="preserve">16.2本政府采购合同一式五份，需方执二份，供方、采购代理机构、财政部门各执一份。 </w:t>
      </w:r>
    </w:p>
    <w:p>
      <w:pPr>
        <w:adjustRightInd w:val="0"/>
        <w:snapToGrid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17.政府采购合同附件</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下列文件构成本政府采购合同不可分割的组成部分，与本政府采购合同具有同等法律效力：</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17.1招标文件；</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17.2招标文件的更正公告、变更公告；</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17.3中标供应商提交的投标文件；        </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17.4政府采购合同条款；</w:t>
      </w:r>
    </w:p>
    <w:p>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17.5中标通知书；</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17.6政府采购合同的其它附件。</w:t>
      </w:r>
      <w:bookmarkEnd w:id="106"/>
    </w:p>
    <w:p>
      <w:pPr>
        <w:rPr>
          <w:rFonts w:hint="eastAsia" w:ascii="宋体" w:hAnsi="宋体" w:eastAsia="宋体" w:cs="宋体"/>
          <w:sz w:val="24"/>
          <w:szCs w:val="24"/>
        </w:rPr>
      </w:pPr>
    </w:p>
    <w:p>
      <w:pPr>
        <w:pStyle w:val="4"/>
        <w:adjustRightInd w:val="0"/>
        <w:snapToGrid w:val="0"/>
        <w:spacing w:before="0" w:after="0" w:line="240" w:lineRule="auto"/>
        <w:jc w:val="left"/>
        <w:rPr>
          <w:rFonts w:hint="eastAsia" w:ascii="宋体" w:hAnsi="宋体" w:eastAsia="宋体" w:cs="宋体"/>
          <w:sz w:val="24"/>
          <w:szCs w:val="24"/>
        </w:rPr>
      </w:pPr>
      <w:bookmarkStart w:id="107" w:name="_Toc30461"/>
      <w:bookmarkStart w:id="108" w:name="_Toc3044_WPSOffice_Level1"/>
      <w:bookmarkStart w:id="109" w:name="_Toc372_WPSOffice_Level1"/>
      <w:bookmarkStart w:id="110" w:name="_Toc7342_WPSOffice_Level1"/>
      <w:r>
        <w:rPr>
          <w:rFonts w:hint="eastAsia" w:ascii="宋体" w:hAnsi="宋体" w:eastAsia="宋体" w:cs="宋体"/>
          <w:sz w:val="24"/>
          <w:szCs w:val="24"/>
        </w:rPr>
        <w:t>合同格式</w:t>
      </w:r>
      <w:bookmarkEnd w:id="107"/>
      <w:bookmarkEnd w:id="108"/>
      <w:bookmarkEnd w:id="109"/>
      <w:bookmarkEnd w:id="110"/>
      <w:r>
        <w:rPr>
          <w:rFonts w:hint="eastAsia" w:ascii="宋体" w:hAnsi="宋体" w:eastAsia="宋体" w:cs="宋体"/>
          <w:sz w:val="24"/>
          <w:szCs w:val="24"/>
        </w:rPr>
        <w:t xml:space="preserve">   </w:t>
      </w:r>
    </w:p>
    <w:p>
      <w:pPr>
        <w:adjustRightInd w:val="0"/>
        <w:snapToGrid w:val="0"/>
        <w:spacing w:line="360" w:lineRule="auto"/>
        <w:jc w:val="center"/>
        <w:rPr>
          <w:rFonts w:hint="eastAsia" w:ascii="宋体" w:hAnsi="宋体" w:eastAsia="宋体" w:cs="宋体"/>
          <w:b/>
          <w:bCs/>
          <w:sz w:val="24"/>
          <w:szCs w:val="24"/>
        </w:rPr>
      </w:pPr>
      <w:bookmarkStart w:id="111" w:name="_Toc11644_WPSOffice_Level1"/>
      <w:bookmarkStart w:id="112" w:name="_Toc7832_WPSOffice_Level1"/>
      <w:r>
        <w:rPr>
          <w:rFonts w:hint="eastAsia" w:ascii="宋体" w:hAnsi="宋体" w:eastAsia="宋体" w:cs="宋体"/>
          <w:b/>
          <w:bCs/>
          <w:sz w:val="24"/>
          <w:szCs w:val="24"/>
        </w:rPr>
        <w:t>政府采购合同格式</w:t>
      </w:r>
      <w:bookmarkEnd w:id="111"/>
      <w:bookmarkEnd w:id="112"/>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政府采购合同编号：</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签订地点：</w:t>
      </w:r>
    </w:p>
    <w:p>
      <w:pPr>
        <w:adjustRightInd w:val="0"/>
        <w:snapToGrid w:val="0"/>
        <w:spacing w:line="360" w:lineRule="auto"/>
        <w:ind w:firstLine="640"/>
        <w:jc w:val="left"/>
        <w:rPr>
          <w:rFonts w:hint="eastAsia" w:ascii="宋体" w:hAnsi="宋体" w:eastAsia="宋体" w:cs="宋体"/>
          <w:sz w:val="24"/>
          <w:szCs w:val="24"/>
        </w:rPr>
      </w:pPr>
      <w:r>
        <w:rPr>
          <w:rFonts w:hint="eastAsia" w:ascii="宋体" w:hAnsi="宋体" w:eastAsia="宋体" w:cs="宋体"/>
          <w:sz w:val="24"/>
          <w:szCs w:val="24"/>
          <w:u w:val="single"/>
        </w:rPr>
        <w:t xml:space="preserve">    (需方名称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（以下简称需方）和</w:t>
      </w:r>
      <w:r>
        <w:rPr>
          <w:rFonts w:hint="eastAsia" w:ascii="宋体" w:hAnsi="宋体" w:eastAsia="宋体" w:cs="宋体"/>
          <w:sz w:val="24"/>
          <w:szCs w:val="24"/>
          <w:u w:val="single"/>
        </w:rPr>
        <w:t xml:space="preserve">   (供方名称)    </w:t>
      </w:r>
      <w:r>
        <w:rPr>
          <w:rFonts w:hint="eastAsia" w:ascii="宋体" w:hAnsi="宋体" w:eastAsia="宋体" w:cs="宋体"/>
          <w:sz w:val="24"/>
          <w:szCs w:val="24"/>
        </w:rPr>
        <w:t xml:space="preserve"> （以下简称供方）根据《中华人民共和国合同法》和有关法律法规，遵循平等、自愿、公平和诚实信用原则，同意按照下面的条款和条件订立本政府采购合同，共同信守。</w:t>
      </w: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　　一、政府采购合同文件</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本政府采购合同所附下列文件是构成本政府采购合同不可分割的部分：</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1.招标文件（招标文件编号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2.招标文件的更正公告、变更公告；</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3.中标供应商提交的投标文件；</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4.政府采购合同条款；</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5.中标通知书；</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6.政府采购合同的其它附件。</w:t>
      </w: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　　二、政府采购合同范围和条件</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本政府采购合同的范围和条件与上述政府采购合同文件的规定相一致。</w:t>
      </w: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　　三、政府采购合同标的</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本政府采购合同的标的为政府采购合同服务清单(同投标文件中投标服务价格明细表)中所列相关服务。</w:t>
      </w: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　　四、政府采购合同金额</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根据上述政府采购合同文件要求，政府采购合同的总金额为人民币</w:t>
      </w:r>
      <w:r>
        <w:rPr>
          <w:rFonts w:hint="eastAsia" w:ascii="宋体" w:hAnsi="宋体" w:eastAsia="宋体" w:cs="宋体"/>
          <w:sz w:val="24"/>
          <w:szCs w:val="24"/>
          <w:u w:val="single"/>
        </w:rPr>
        <w:t xml:space="preserve">  （大写）                </w:t>
      </w:r>
      <w:r>
        <w:rPr>
          <w:rFonts w:hint="eastAsia" w:ascii="宋体" w:hAnsi="宋体" w:eastAsia="宋体" w:cs="宋体"/>
          <w:sz w:val="24"/>
          <w:szCs w:val="24"/>
        </w:rPr>
        <w:t xml:space="preserve"> 元。</w:t>
      </w: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　  五、付款方式及条件</w:t>
      </w:r>
    </w:p>
    <w:p>
      <w:pPr>
        <w:adjustRightInd w:val="0"/>
        <w:snapToGrid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 xml:space="preserve">    1.付款时间：</w:t>
      </w:r>
      <w:r>
        <w:rPr>
          <w:rFonts w:hint="eastAsia" w:ascii="宋体" w:hAnsi="宋体" w:eastAsia="宋体" w:cs="宋体"/>
          <w:sz w:val="24"/>
          <w:szCs w:val="24"/>
          <w:u w:val="single"/>
        </w:rPr>
        <w:t xml:space="preserve">        </w:t>
      </w:r>
    </w:p>
    <w:p>
      <w:pPr>
        <w:adjustRightInd w:val="0"/>
        <w:snapToGrid w:val="0"/>
        <w:spacing w:line="360" w:lineRule="auto"/>
        <w:jc w:val="left"/>
        <w:rPr>
          <w:rFonts w:hint="default" w:ascii="宋体" w:hAnsi="宋体" w:eastAsia="宋体" w:cs="宋体"/>
          <w:sz w:val="24"/>
          <w:szCs w:val="24"/>
          <w:u w:val="single"/>
          <w:lang w:val="en-US" w:eastAsia="zh-CN"/>
        </w:rPr>
      </w:pPr>
      <w:r>
        <w:rPr>
          <w:rFonts w:hint="eastAsia" w:ascii="宋体" w:hAnsi="宋体" w:eastAsia="宋体" w:cs="宋体"/>
          <w:sz w:val="24"/>
          <w:szCs w:val="24"/>
        </w:rPr>
        <w:t xml:space="preserve">    2.付款方式：</w:t>
      </w:r>
      <w:bookmarkStart w:id="214" w:name="_GoBack"/>
      <w:r>
        <w:rPr>
          <w:rFonts w:hint="eastAsia" w:ascii="宋体" w:hAnsi="宋体" w:cs="宋体"/>
          <w:sz w:val="24"/>
          <w:szCs w:val="24"/>
          <w:highlight w:val="none"/>
          <w:u w:val="single"/>
          <w:lang w:val="en-US" w:eastAsia="zh-CN"/>
        </w:rPr>
        <w:t>成交供应商与采购人协商确定。</w:t>
      </w:r>
      <w:bookmarkEnd w:id="214"/>
    </w:p>
    <w:p>
      <w:pPr>
        <w:adjustRightInd w:val="0"/>
        <w:snapToGrid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 xml:space="preserve">    3.付款条件：</w:t>
      </w:r>
      <w:r>
        <w:rPr>
          <w:rFonts w:hint="eastAsia" w:ascii="宋体" w:hAnsi="宋体" w:eastAsia="宋体" w:cs="宋体"/>
          <w:sz w:val="24"/>
          <w:szCs w:val="24"/>
          <w:u w:val="single"/>
        </w:rPr>
        <w:t xml:space="preserve">        </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　　六、服务时间和服务地点</w:t>
      </w:r>
      <w:r>
        <w:rPr>
          <w:rFonts w:hint="eastAsia" w:ascii="宋体" w:hAnsi="宋体" w:eastAsia="宋体" w:cs="宋体"/>
          <w:sz w:val="24"/>
          <w:szCs w:val="24"/>
        </w:rPr>
        <w:t xml:space="preserve">   </w:t>
      </w:r>
    </w:p>
    <w:p>
      <w:pPr>
        <w:adjustRightInd w:val="0"/>
        <w:snapToGrid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 xml:space="preserve">    1.服务时间：</w:t>
      </w:r>
      <w:r>
        <w:rPr>
          <w:rFonts w:hint="eastAsia" w:ascii="宋体" w:hAnsi="宋体" w:eastAsia="宋体" w:cs="宋体"/>
          <w:sz w:val="24"/>
          <w:szCs w:val="24"/>
          <w:u w:val="single"/>
        </w:rPr>
        <w:t xml:space="preserve">        </w:t>
      </w:r>
    </w:p>
    <w:p>
      <w:pPr>
        <w:adjustRightInd w:val="0"/>
        <w:snapToGrid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 xml:space="preserve">    2.服务地点：</w:t>
      </w:r>
      <w:r>
        <w:rPr>
          <w:rFonts w:hint="eastAsia" w:ascii="宋体" w:hAnsi="宋体" w:eastAsia="宋体" w:cs="宋体"/>
          <w:sz w:val="24"/>
          <w:szCs w:val="24"/>
          <w:u w:val="single"/>
        </w:rPr>
        <w:t xml:space="preserve">        </w:t>
      </w: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　　七、验收要求</w:t>
      </w:r>
    </w:p>
    <w:p>
      <w:pPr>
        <w:adjustRightInd w:val="0"/>
        <w:snapToGrid w:val="0"/>
        <w:spacing w:line="360" w:lineRule="auto"/>
        <w:jc w:val="left"/>
        <w:rPr>
          <w:rFonts w:hint="eastAsia" w:ascii="宋体" w:hAnsi="宋体" w:eastAsia="宋体" w:cs="宋体"/>
          <w:sz w:val="24"/>
          <w:szCs w:val="24"/>
          <w:u w:val="single"/>
        </w:rPr>
      </w:pPr>
      <w:r>
        <w:rPr>
          <w:rFonts w:hint="eastAsia" w:ascii="宋体" w:hAnsi="宋体" w:eastAsia="宋体" w:cs="宋体"/>
          <w:b/>
          <w:sz w:val="24"/>
          <w:szCs w:val="24"/>
        </w:rPr>
        <w:t xml:space="preserve">    </w:t>
      </w:r>
      <w:r>
        <w:rPr>
          <w:rFonts w:hint="eastAsia" w:ascii="宋体" w:hAnsi="宋体" w:eastAsia="宋体" w:cs="宋体"/>
          <w:sz w:val="24"/>
          <w:szCs w:val="24"/>
        </w:rPr>
        <w:t>供方完全履行合同义务后，需方或需方的最终用户按照上述政府采购合同文件列明的标准进行验收，验收不合格的，供方需按照第八条的约定承担相应违约责任。</w:t>
      </w: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 xml:space="preserve">    八、违约责任</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1.供方逾期提供服务的，每逾期一天向需方支付合同金额</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%的违约金，逾期</w:t>
      </w:r>
      <w:r>
        <w:rPr>
          <w:rFonts w:hint="eastAsia" w:ascii="宋体" w:hAnsi="宋体" w:eastAsia="宋体" w:cs="宋体"/>
          <w:sz w:val="24"/>
          <w:szCs w:val="24"/>
          <w:u w:val="single"/>
        </w:rPr>
        <w:t xml:space="preserve">  </w:t>
      </w:r>
      <w:r>
        <w:rPr>
          <w:rFonts w:hint="eastAsia" w:ascii="宋体" w:hAnsi="宋体" w:eastAsia="宋体" w:cs="宋体"/>
          <w:sz w:val="24"/>
          <w:szCs w:val="24"/>
        </w:rPr>
        <w:t>日的，需方有权单方面解除本协议。</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2.供方提供的服务不符合约定的，需方有权向供方书面提出整改意见，供方需无条件整改至符合约定，自需方向供方提出书面意见之日起</w:t>
      </w:r>
      <w:r>
        <w:rPr>
          <w:rFonts w:hint="eastAsia" w:ascii="宋体" w:hAnsi="宋体" w:eastAsia="宋体" w:cs="宋体"/>
          <w:sz w:val="24"/>
          <w:szCs w:val="24"/>
          <w:u w:val="single"/>
        </w:rPr>
        <w:t xml:space="preserve">  </w:t>
      </w:r>
      <w:r>
        <w:rPr>
          <w:rFonts w:hint="eastAsia" w:ascii="宋体" w:hAnsi="宋体" w:eastAsia="宋体" w:cs="宋体"/>
          <w:sz w:val="24"/>
          <w:szCs w:val="24"/>
        </w:rPr>
        <w:t>日内，供方仍未整改或整改后服务仍不符合约定的，需方有权单方面解除本协议。</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3.需方逾期付款的，每逾期一天向供方支付逾期金额</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%的违约金，逾期</w:t>
      </w:r>
      <w:r>
        <w:rPr>
          <w:rFonts w:hint="eastAsia" w:ascii="宋体" w:hAnsi="宋体" w:eastAsia="宋体" w:cs="宋体"/>
          <w:sz w:val="24"/>
          <w:szCs w:val="24"/>
          <w:u w:val="single"/>
        </w:rPr>
        <w:t xml:space="preserve">  </w:t>
      </w:r>
      <w:r>
        <w:rPr>
          <w:rFonts w:hint="eastAsia" w:ascii="宋体" w:hAnsi="宋体" w:eastAsia="宋体" w:cs="宋体"/>
          <w:sz w:val="24"/>
          <w:szCs w:val="24"/>
        </w:rPr>
        <w:t>日的，供方有权单方面解除本协议。</w:t>
      </w: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 xml:space="preserve">    九、争议解决</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双方因履行本协议而产生的争议，应友好协商解决，协商不成的，任何一方可向需方所在地的人民法院提起诉讼。</w:t>
      </w: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 xml:space="preserve">    十、合同生效</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本政府采购合同经双方授权代表签字盖章后生效。</w:t>
      </w:r>
    </w:p>
    <w:p>
      <w:pPr>
        <w:adjustRightInd w:val="0"/>
        <w:snapToGrid w:val="0"/>
        <w:spacing w:line="360" w:lineRule="auto"/>
        <w:ind w:firstLine="480" w:firstLineChars="200"/>
        <w:jc w:val="left"/>
        <w:rPr>
          <w:rFonts w:hint="eastAsia" w:ascii="宋体" w:hAnsi="宋体" w:eastAsia="宋体" w:cs="宋体"/>
          <w:sz w:val="24"/>
          <w:szCs w:val="24"/>
        </w:rPr>
      </w:pPr>
    </w:p>
    <w:p>
      <w:pPr>
        <w:adjustRightInd w:val="0"/>
        <w:snapToGrid w:val="0"/>
        <w:spacing w:line="360" w:lineRule="auto"/>
        <w:ind w:firstLine="480" w:firstLineChars="200"/>
        <w:jc w:val="left"/>
        <w:rPr>
          <w:rFonts w:hint="eastAsia" w:ascii="宋体" w:hAnsi="宋体" w:eastAsia="宋体" w:cs="宋体"/>
          <w:sz w:val="24"/>
          <w:szCs w:val="24"/>
        </w:rPr>
      </w:pP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需方（公章）:                       供方(公章):</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法定代表人或授权代表人(签字):       法定代表人或授权代表人(签字):</w:t>
      </w: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联系人：</w:t>
      </w:r>
      <w:r>
        <w:rPr>
          <w:rFonts w:hint="eastAsia" w:ascii="宋体" w:hAnsi="宋体" w:eastAsia="宋体" w:cs="宋体"/>
          <w:sz w:val="24"/>
          <w:szCs w:val="24"/>
          <w:u w:val="single"/>
        </w:rPr>
        <w:t xml:space="preserve">                        </w:t>
      </w: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邮编：</w:t>
      </w:r>
      <w:r>
        <w:rPr>
          <w:rFonts w:hint="eastAsia" w:ascii="宋体" w:hAnsi="宋体" w:eastAsia="宋体" w:cs="宋体"/>
          <w:sz w:val="24"/>
          <w:szCs w:val="24"/>
          <w:u w:val="single"/>
        </w:rPr>
        <w:t xml:space="preserve">                          </w:t>
      </w: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年      月      日</w:t>
      </w: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年      月     日</w:t>
      </w:r>
    </w:p>
    <w:p>
      <w:pPr>
        <w:pStyle w:val="3"/>
        <w:keepNext w:val="0"/>
        <w:pageBreakBefore/>
        <w:rPr>
          <w:rFonts w:ascii="宋体" w:hAnsi="宋体" w:cs="宋体"/>
        </w:rPr>
      </w:pPr>
      <w:bookmarkStart w:id="113" w:name="_Toc21308"/>
      <w:r>
        <w:rPr>
          <w:rFonts w:hint="eastAsia" w:ascii="宋体" w:hAnsi="宋体" w:cs="宋体"/>
        </w:rPr>
        <w:t>第七部分 磋商响应文件格式</w:t>
      </w:r>
      <w:bookmarkEnd w:id="99"/>
      <w:bookmarkEnd w:id="100"/>
      <w:bookmarkEnd w:id="101"/>
      <w:bookmarkEnd w:id="113"/>
    </w:p>
    <w:p>
      <w:pPr>
        <w:adjustRightInd w:val="0"/>
        <w:snapToGrid w:val="0"/>
        <w:spacing w:line="400" w:lineRule="exact"/>
        <w:jc w:val="left"/>
        <w:rPr>
          <w:rFonts w:ascii="宋体" w:hAnsi="宋体" w:cs="宋体"/>
          <w:b/>
          <w:w w:val="120"/>
          <w:sz w:val="28"/>
          <w:szCs w:val="28"/>
        </w:rPr>
      </w:pPr>
      <w:bookmarkStart w:id="114" w:name="_Toc24239"/>
      <w:bookmarkStart w:id="115" w:name="_Toc7459"/>
      <w:r>
        <w:rPr>
          <w:rFonts w:hint="eastAsia" w:ascii="宋体" w:hAnsi="宋体" w:cs="宋体"/>
          <w:b/>
          <w:w w:val="120"/>
          <w:sz w:val="28"/>
          <w:szCs w:val="28"/>
        </w:rPr>
        <w:t>项目编号：</w:t>
      </w:r>
      <w:r>
        <w:rPr>
          <w:rFonts w:hint="eastAsia" w:ascii="宋体" w:hAnsi="宋体" w:cs="宋体"/>
          <w:b/>
          <w:w w:val="120"/>
          <w:sz w:val="28"/>
          <w:szCs w:val="28"/>
          <w:lang w:eastAsia="zh-CN"/>
        </w:rPr>
        <w:t>SXWZ2022ZB-SSJJ-046</w:t>
      </w:r>
      <w:r>
        <w:rPr>
          <w:rFonts w:hint="eastAsia" w:ascii="宋体" w:hAnsi="宋体" w:cs="宋体"/>
          <w:b/>
          <w:w w:val="120"/>
          <w:sz w:val="28"/>
          <w:szCs w:val="28"/>
        </w:rPr>
        <w:t xml:space="preserve">     （正本或副本）</w:t>
      </w:r>
    </w:p>
    <w:p>
      <w:pPr>
        <w:adjustRightInd w:val="0"/>
        <w:snapToGrid w:val="0"/>
        <w:spacing w:line="480" w:lineRule="auto"/>
        <w:rPr>
          <w:rFonts w:ascii="宋体" w:hAnsi="宋体" w:cs="宋体"/>
          <w:b/>
          <w:sz w:val="44"/>
          <w:szCs w:val="44"/>
        </w:rPr>
      </w:pPr>
    </w:p>
    <w:p>
      <w:pPr>
        <w:adjustRightInd w:val="0"/>
        <w:snapToGrid w:val="0"/>
        <w:spacing w:line="480" w:lineRule="auto"/>
        <w:jc w:val="center"/>
        <w:rPr>
          <w:rFonts w:ascii="宋体" w:hAnsi="宋体" w:cs="宋体"/>
          <w:b/>
          <w:sz w:val="40"/>
          <w:szCs w:val="40"/>
        </w:rPr>
      </w:pPr>
      <w:r>
        <w:rPr>
          <w:rFonts w:hint="eastAsia" w:ascii="宋体" w:hAnsi="宋体" w:cs="宋体"/>
          <w:b/>
          <w:sz w:val="44"/>
          <w:szCs w:val="44"/>
          <w:lang w:eastAsia="zh-CN"/>
        </w:rPr>
        <w:t>西安市审计局2022年上半年购买服务人员采购项目</w:t>
      </w:r>
      <w:r>
        <w:rPr>
          <w:rFonts w:hint="eastAsia" w:ascii="宋体" w:hAnsi="宋体" w:cs="宋体"/>
          <w:b/>
          <w:sz w:val="40"/>
          <w:szCs w:val="40"/>
          <w:lang w:eastAsia="zh-CN"/>
        </w:rPr>
        <w:t xml:space="preserve">      </w:t>
      </w:r>
    </w:p>
    <w:p>
      <w:pPr>
        <w:adjustRightInd w:val="0"/>
        <w:snapToGrid w:val="0"/>
        <w:spacing w:line="480" w:lineRule="auto"/>
        <w:jc w:val="center"/>
        <w:rPr>
          <w:rFonts w:ascii="宋体" w:hAnsi="宋体" w:cs="宋体"/>
          <w:b/>
          <w:sz w:val="52"/>
          <w:szCs w:val="52"/>
        </w:rPr>
      </w:pPr>
      <w:r>
        <w:rPr>
          <w:rFonts w:hint="eastAsia" w:ascii="宋体" w:hAnsi="宋体" w:cs="宋体"/>
          <w:b/>
          <w:sz w:val="52"/>
          <w:szCs w:val="52"/>
        </w:rPr>
        <w:t>响</w:t>
      </w:r>
    </w:p>
    <w:p>
      <w:pPr>
        <w:adjustRightInd w:val="0"/>
        <w:snapToGrid w:val="0"/>
        <w:spacing w:line="480" w:lineRule="auto"/>
        <w:jc w:val="center"/>
        <w:rPr>
          <w:rFonts w:ascii="宋体" w:hAnsi="宋体" w:cs="宋体"/>
          <w:b/>
          <w:sz w:val="52"/>
          <w:szCs w:val="52"/>
        </w:rPr>
      </w:pPr>
      <w:r>
        <w:rPr>
          <w:rFonts w:hint="eastAsia" w:ascii="宋体" w:hAnsi="宋体" w:cs="宋体"/>
          <w:b/>
          <w:sz w:val="52"/>
          <w:szCs w:val="52"/>
        </w:rPr>
        <w:t>应</w:t>
      </w:r>
    </w:p>
    <w:p>
      <w:pPr>
        <w:adjustRightInd w:val="0"/>
        <w:snapToGrid w:val="0"/>
        <w:spacing w:line="480" w:lineRule="auto"/>
        <w:jc w:val="center"/>
        <w:rPr>
          <w:rFonts w:ascii="宋体" w:hAnsi="宋体" w:cs="宋体"/>
          <w:b/>
          <w:sz w:val="52"/>
          <w:szCs w:val="52"/>
        </w:rPr>
      </w:pPr>
      <w:r>
        <w:rPr>
          <w:rFonts w:hint="eastAsia" w:ascii="宋体" w:hAnsi="宋体" w:cs="宋体"/>
          <w:b/>
          <w:sz w:val="52"/>
          <w:szCs w:val="52"/>
        </w:rPr>
        <w:t>文</w:t>
      </w:r>
    </w:p>
    <w:p>
      <w:pPr>
        <w:adjustRightInd w:val="0"/>
        <w:snapToGrid w:val="0"/>
        <w:spacing w:line="480" w:lineRule="auto"/>
        <w:jc w:val="center"/>
        <w:rPr>
          <w:rFonts w:ascii="宋体" w:hAnsi="宋体" w:cs="宋体"/>
          <w:sz w:val="52"/>
          <w:szCs w:val="52"/>
        </w:rPr>
      </w:pPr>
      <w:r>
        <w:rPr>
          <w:rFonts w:hint="eastAsia" w:ascii="宋体" w:hAnsi="宋体" w:cs="宋体"/>
          <w:b/>
          <w:sz w:val="52"/>
          <w:szCs w:val="52"/>
        </w:rPr>
        <w:t>件</w:t>
      </w:r>
    </w:p>
    <w:p>
      <w:pPr>
        <w:snapToGrid w:val="0"/>
        <w:spacing w:line="480" w:lineRule="auto"/>
        <w:ind w:firstLine="640" w:firstLineChars="200"/>
        <w:jc w:val="left"/>
        <w:rPr>
          <w:rFonts w:ascii="宋体" w:hAnsi="宋体" w:cs="宋体"/>
          <w:sz w:val="32"/>
          <w:szCs w:val="32"/>
          <w:lang w:val="zh-CN"/>
        </w:rPr>
      </w:pPr>
    </w:p>
    <w:p>
      <w:pPr>
        <w:snapToGrid w:val="0"/>
        <w:spacing w:line="480" w:lineRule="auto"/>
        <w:ind w:firstLine="640" w:firstLineChars="200"/>
        <w:jc w:val="left"/>
        <w:rPr>
          <w:rFonts w:ascii="宋体" w:hAnsi="宋体" w:cs="宋体"/>
          <w:sz w:val="32"/>
          <w:szCs w:val="32"/>
          <w:lang w:val="zh-CN"/>
        </w:rPr>
      </w:pPr>
    </w:p>
    <w:p>
      <w:pPr>
        <w:snapToGrid w:val="0"/>
        <w:spacing w:line="480" w:lineRule="auto"/>
        <w:ind w:firstLine="640" w:firstLineChars="200"/>
        <w:jc w:val="left"/>
        <w:rPr>
          <w:rFonts w:ascii="宋体" w:hAnsi="宋体" w:cs="宋体"/>
          <w:sz w:val="32"/>
          <w:szCs w:val="32"/>
          <w:u w:val="single"/>
        </w:rPr>
      </w:pPr>
      <w:r>
        <w:rPr>
          <w:rFonts w:hint="eastAsia" w:ascii="宋体" w:hAnsi="宋体" w:cs="宋体"/>
          <w:sz w:val="32"/>
          <w:szCs w:val="32"/>
          <w:lang w:val="zh-CN"/>
        </w:rPr>
        <w:t>供应商（单位名称及公章）：</w:t>
      </w:r>
    </w:p>
    <w:p>
      <w:pPr>
        <w:snapToGrid w:val="0"/>
        <w:spacing w:line="480" w:lineRule="auto"/>
        <w:ind w:left="638" w:leftChars="304"/>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p>
    <w:p>
      <w:pPr>
        <w:pageBreakBefore/>
        <w:ind w:firstLine="1004" w:firstLineChars="200"/>
        <w:jc w:val="center"/>
        <w:rPr>
          <w:rFonts w:ascii="宋体" w:cs="宋体"/>
          <w:b/>
          <w:color w:val="000000"/>
          <w:sz w:val="50"/>
        </w:rPr>
      </w:pPr>
      <w:bookmarkStart w:id="116" w:name="_Toc17527_WPSOffice_Level1"/>
      <w:r>
        <w:rPr>
          <w:rFonts w:hint="eastAsia" w:ascii="宋体" w:hAnsi="宋体" w:cs="宋体"/>
          <w:b/>
          <w:color w:val="000000"/>
          <w:sz w:val="50"/>
        </w:rPr>
        <w:t>目录</w:t>
      </w:r>
      <w:bookmarkEnd w:id="116"/>
    </w:p>
    <w:p>
      <w:pPr>
        <w:ind w:firstLine="1004" w:firstLineChars="200"/>
        <w:jc w:val="left"/>
        <w:rPr>
          <w:rFonts w:ascii="宋体" w:cs="宋体"/>
          <w:b/>
          <w:color w:val="000000"/>
          <w:sz w:val="50"/>
        </w:rPr>
      </w:pPr>
    </w:p>
    <w:p>
      <w:pPr>
        <w:pStyle w:val="11"/>
        <w:snapToGrid w:val="0"/>
        <w:spacing w:line="480" w:lineRule="auto"/>
        <w:ind w:firstLine="562" w:firstLineChars="200"/>
        <w:jc w:val="left"/>
        <w:rPr>
          <w:rFonts w:hAnsi="宋体" w:cs="宋体"/>
          <w:b/>
          <w:bCs/>
          <w:color w:val="000000"/>
          <w:sz w:val="28"/>
          <w:szCs w:val="28"/>
        </w:rPr>
      </w:pPr>
      <w:bookmarkStart w:id="117" w:name="_Toc3727_WPSOffice_Level1"/>
      <w:bookmarkStart w:id="118" w:name="_Toc2536"/>
      <w:bookmarkStart w:id="119" w:name="_Toc27653"/>
      <w:bookmarkStart w:id="120" w:name="_Toc2272"/>
      <w:r>
        <w:rPr>
          <w:rFonts w:hint="eastAsia" w:hAnsi="宋体" w:cs="宋体"/>
          <w:b/>
          <w:bCs/>
          <w:color w:val="000000"/>
          <w:sz w:val="28"/>
          <w:szCs w:val="28"/>
        </w:rPr>
        <w:t>第一章  响应函</w:t>
      </w:r>
      <w:bookmarkEnd w:id="117"/>
    </w:p>
    <w:p>
      <w:pPr>
        <w:snapToGrid w:val="0"/>
        <w:spacing w:line="480" w:lineRule="auto"/>
        <w:ind w:firstLine="562" w:firstLineChars="200"/>
        <w:jc w:val="left"/>
        <w:rPr>
          <w:rFonts w:hAnsi="宋体" w:cs="宋体"/>
          <w:b/>
          <w:color w:val="000000"/>
          <w:sz w:val="28"/>
          <w:szCs w:val="28"/>
        </w:rPr>
      </w:pPr>
      <w:bookmarkStart w:id="121" w:name="_Toc23436_WPSOffice_Level1"/>
      <w:r>
        <w:rPr>
          <w:rFonts w:hint="eastAsia" w:ascii="宋体" w:hAnsi="宋体" w:cs="宋体"/>
          <w:b/>
          <w:color w:val="000000"/>
          <w:sz w:val="28"/>
          <w:szCs w:val="28"/>
        </w:rPr>
        <w:t>第二</w:t>
      </w:r>
      <w:r>
        <w:rPr>
          <w:rFonts w:hint="eastAsia" w:hAnsi="宋体" w:cs="宋体"/>
          <w:b/>
          <w:bCs/>
          <w:color w:val="000000"/>
          <w:sz w:val="28"/>
          <w:szCs w:val="28"/>
        </w:rPr>
        <w:t xml:space="preserve">章  </w:t>
      </w:r>
      <w:r>
        <w:rPr>
          <w:rFonts w:hint="eastAsia" w:ascii="宋体" w:hAnsi="宋体" w:cs="宋体"/>
          <w:b/>
          <w:color w:val="000000"/>
          <w:sz w:val="28"/>
          <w:szCs w:val="28"/>
        </w:rPr>
        <w:t>磋商一览表</w:t>
      </w:r>
      <w:bookmarkEnd w:id="121"/>
    </w:p>
    <w:p>
      <w:pPr>
        <w:pStyle w:val="11"/>
        <w:snapToGrid w:val="0"/>
        <w:spacing w:line="480" w:lineRule="auto"/>
        <w:ind w:firstLine="562" w:firstLineChars="200"/>
        <w:jc w:val="left"/>
        <w:rPr>
          <w:rFonts w:hAnsi="宋体" w:cs="宋体"/>
          <w:b/>
          <w:color w:val="000000"/>
          <w:kern w:val="0"/>
          <w:sz w:val="28"/>
          <w:szCs w:val="28"/>
        </w:rPr>
      </w:pPr>
      <w:bookmarkStart w:id="122" w:name="_Toc11444_WPSOffice_Level1"/>
      <w:r>
        <w:rPr>
          <w:rFonts w:hint="eastAsia" w:hAnsi="宋体" w:cs="宋体"/>
          <w:b/>
          <w:color w:val="000000"/>
          <w:sz w:val="28"/>
          <w:szCs w:val="28"/>
        </w:rPr>
        <w:t>第三</w:t>
      </w:r>
      <w:r>
        <w:rPr>
          <w:rFonts w:hint="eastAsia" w:hAnsi="宋体" w:cs="宋体"/>
          <w:b/>
          <w:bCs/>
          <w:color w:val="000000"/>
          <w:sz w:val="28"/>
          <w:szCs w:val="28"/>
        </w:rPr>
        <w:t>章  分项报价表</w:t>
      </w:r>
      <w:bookmarkEnd w:id="122"/>
    </w:p>
    <w:p>
      <w:pPr>
        <w:pStyle w:val="11"/>
        <w:snapToGrid w:val="0"/>
        <w:spacing w:line="480" w:lineRule="auto"/>
        <w:ind w:firstLine="562" w:firstLineChars="200"/>
        <w:jc w:val="left"/>
        <w:rPr>
          <w:rFonts w:hAnsi="宋体" w:cs="宋体"/>
          <w:b/>
          <w:color w:val="000000"/>
          <w:kern w:val="0"/>
          <w:sz w:val="28"/>
          <w:szCs w:val="28"/>
        </w:rPr>
      </w:pPr>
      <w:r>
        <w:rPr>
          <w:rFonts w:hint="eastAsia" w:hAnsi="宋体" w:cs="宋体"/>
          <w:b/>
          <w:color w:val="000000"/>
          <w:sz w:val="28"/>
          <w:szCs w:val="28"/>
        </w:rPr>
        <w:t>第四</w:t>
      </w:r>
      <w:r>
        <w:rPr>
          <w:rFonts w:hint="eastAsia" w:hAnsi="宋体" w:cs="宋体"/>
          <w:b/>
          <w:bCs/>
          <w:color w:val="000000"/>
          <w:sz w:val="28"/>
          <w:szCs w:val="28"/>
        </w:rPr>
        <w:t xml:space="preserve">章  </w:t>
      </w:r>
      <w:r>
        <w:rPr>
          <w:rFonts w:hint="eastAsia" w:hAnsi="宋体" w:cs="宋体"/>
          <w:b/>
          <w:color w:val="000000"/>
          <w:kern w:val="0"/>
          <w:sz w:val="28"/>
          <w:szCs w:val="28"/>
        </w:rPr>
        <w:t>供应商资质证明资料</w:t>
      </w:r>
    </w:p>
    <w:p>
      <w:pPr>
        <w:pStyle w:val="11"/>
        <w:snapToGrid w:val="0"/>
        <w:spacing w:line="480" w:lineRule="auto"/>
        <w:ind w:firstLine="562" w:firstLineChars="200"/>
        <w:jc w:val="left"/>
        <w:rPr>
          <w:rFonts w:hAnsi="宋体" w:cs="宋体"/>
          <w:b/>
          <w:bCs/>
          <w:color w:val="000000"/>
          <w:sz w:val="28"/>
          <w:szCs w:val="28"/>
        </w:rPr>
      </w:pPr>
      <w:bookmarkStart w:id="123" w:name="_Toc5905_WPSOffice_Level1"/>
      <w:r>
        <w:rPr>
          <w:rFonts w:hint="eastAsia" w:hAnsi="宋体" w:cs="宋体"/>
          <w:b/>
          <w:color w:val="000000"/>
          <w:sz w:val="28"/>
          <w:szCs w:val="28"/>
        </w:rPr>
        <w:t>第五</w:t>
      </w:r>
      <w:r>
        <w:rPr>
          <w:rFonts w:hint="eastAsia" w:hAnsi="宋体" w:cs="宋体"/>
          <w:b/>
          <w:bCs/>
          <w:color w:val="000000"/>
          <w:sz w:val="28"/>
          <w:szCs w:val="28"/>
        </w:rPr>
        <w:t>章  商务和技术响应偏离表</w:t>
      </w:r>
    </w:p>
    <w:p>
      <w:pPr>
        <w:pStyle w:val="11"/>
        <w:snapToGrid w:val="0"/>
        <w:spacing w:line="480" w:lineRule="auto"/>
        <w:ind w:firstLine="562" w:firstLineChars="200"/>
        <w:jc w:val="left"/>
        <w:rPr>
          <w:rFonts w:hAnsi="宋体" w:cs="宋体"/>
          <w:b/>
          <w:color w:val="000000"/>
          <w:sz w:val="28"/>
          <w:szCs w:val="28"/>
        </w:rPr>
      </w:pPr>
      <w:r>
        <w:rPr>
          <w:rFonts w:hint="eastAsia" w:hAnsi="宋体" w:cs="宋体"/>
          <w:b/>
          <w:color w:val="000000"/>
          <w:sz w:val="28"/>
          <w:szCs w:val="28"/>
        </w:rPr>
        <w:t>第</w:t>
      </w:r>
      <w:bookmarkEnd w:id="123"/>
      <w:r>
        <w:rPr>
          <w:rFonts w:hint="eastAsia" w:hAnsi="宋体" w:cs="宋体"/>
          <w:b/>
          <w:color w:val="000000"/>
          <w:sz w:val="28"/>
          <w:szCs w:val="28"/>
        </w:rPr>
        <w:t>六</w:t>
      </w:r>
      <w:r>
        <w:rPr>
          <w:rFonts w:hint="eastAsia" w:hAnsi="宋体" w:cs="宋体"/>
          <w:b/>
          <w:bCs/>
          <w:color w:val="000000"/>
          <w:sz w:val="28"/>
          <w:szCs w:val="28"/>
        </w:rPr>
        <w:t xml:space="preserve">章  </w:t>
      </w:r>
      <w:r>
        <w:rPr>
          <w:rFonts w:hint="eastAsia" w:hAnsi="宋体" w:cs="宋体"/>
          <w:b/>
          <w:color w:val="000000"/>
          <w:sz w:val="28"/>
          <w:szCs w:val="28"/>
        </w:rPr>
        <w:t>技术支持资料</w:t>
      </w:r>
    </w:p>
    <w:p>
      <w:pPr>
        <w:snapToGrid w:val="0"/>
        <w:spacing w:line="480" w:lineRule="auto"/>
        <w:ind w:firstLine="562" w:firstLineChars="200"/>
        <w:jc w:val="left"/>
        <w:rPr>
          <w:rFonts w:ascii="宋体" w:cs="宋体"/>
          <w:b/>
          <w:bCs/>
          <w:color w:val="000000"/>
          <w:sz w:val="28"/>
          <w:szCs w:val="28"/>
        </w:rPr>
      </w:pPr>
      <w:bookmarkStart w:id="124" w:name="_Toc1523_WPSOffice_Level1"/>
      <w:r>
        <w:rPr>
          <w:rFonts w:hint="eastAsia" w:ascii="宋体" w:hAnsi="宋体" w:cs="宋体"/>
          <w:b/>
          <w:bCs/>
          <w:color w:val="000000"/>
          <w:sz w:val="28"/>
          <w:szCs w:val="28"/>
        </w:rPr>
        <w:t>第七</w:t>
      </w:r>
      <w:r>
        <w:rPr>
          <w:rFonts w:hint="eastAsia" w:hAnsi="宋体" w:cs="宋体"/>
          <w:b/>
          <w:bCs/>
          <w:color w:val="000000"/>
          <w:sz w:val="28"/>
          <w:szCs w:val="28"/>
        </w:rPr>
        <w:t xml:space="preserve">章  </w:t>
      </w:r>
      <w:r>
        <w:rPr>
          <w:rFonts w:hint="eastAsia" w:ascii="宋体" w:hAnsi="宋体" w:cs="宋体"/>
          <w:b/>
          <w:bCs/>
          <w:color w:val="000000"/>
          <w:sz w:val="28"/>
          <w:szCs w:val="28"/>
        </w:rPr>
        <w:t>供应商业绩一览表</w:t>
      </w:r>
      <w:bookmarkEnd w:id="124"/>
    </w:p>
    <w:p>
      <w:pPr>
        <w:snapToGrid w:val="0"/>
        <w:spacing w:line="480" w:lineRule="auto"/>
        <w:ind w:firstLine="562" w:firstLineChars="200"/>
        <w:jc w:val="left"/>
        <w:rPr>
          <w:rFonts w:ascii="宋体" w:cs="宋体"/>
          <w:b/>
          <w:bCs/>
          <w:color w:val="000000"/>
          <w:sz w:val="28"/>
          <w:szCs w:val="28"/>
        </w:rPr>
      </w:pPr>
      <w:bookmarkStart w:id="125" w:name="_Toc13214_WPSOffice_Level1"/>
      <w:r>
        <w:rPr>
          <w:rFonts w:hint="eastAsia" w:ascii="宋体" w:hAnsi="宋体" w:cs="宋体"/>
          <w:b/>
          <w:bCs/>
          <w:color w:val="000000"/>
          <w:sz w:val="28"/>
          <w:szCs w:val="28"/>
        </w:rPr>
        <w:t>第八</w:t>
      </w:r>
      <w:r>
        <w:rPr>
          <w:rFonts w:hint="eastAsia" w:hAnsi="宋体" w:cs="宋体"/>
          <w:b/>
          <w:bCs/>
          <w:color w:val="000000"/>
          <w:sz w:val="28"/>
          <w:szCs w:val="28"/>
        </w:rPr>
        <w:t xml:space="preserve">章  </w:t>
      </w:r>
      <w:r>
        <w:rPr>
          <w:rFonts w:hint="eastAsia" w:ascii="宋体" w:hAnsi="宋体" w:cs="宋体"/>
          <w:b/>
          <w:bCs/>
          <w:color w:val="000000"/>
          <w:sz w:val="28"/>
          <w:szCs w:val="28"/>
        </w:rPr>
        <w:t>供应商认为有必要说明的其他问题</w:t>
      </w:r>
      <w:bookmarkEnd w:id="125"/>
    </w:p>
    <w:p>
      <w:pPr>
        <w:snapToGrid w:val="0"/>
        <w:spacing w:line="480" w:lineRule="auto"/>
        <w:ind w:firstLine="562" w:firstLineChars="200"/>
        <w:jc w:val="left"/>
        <w:rPr>
          <w:rFonts w:ascii="宋体" w:cs="宋体"/>
          <w:b/>
          <w:bCs/>
          <w:color w:val="000000"/>
          <w:sz w:val="28"/>
          <w:szCs w:val="28"/>
        </w:rPr>
      </w:pPr>
      <w:bookmarkStart w:id="126" w:name="_Toc1621_WPSOffice_Level1"/>
      <w:r>
        <w:rPr>
          <w:rFonts w:hint="eastAsia" w:ascii="宋体" w:hAnsi="宋体" w:cs="宋体"/>
          <w:b/>
          <w:bCs/>
          <w:color w:val="000000"/>
          <w:sz w:val="28"/>
          <w:szCs w:val="28"/>
        </w:rPr>
        <w:t>第九</w:t>
      </w:r>
      <w:r>
        <w:rPr>
          <w:rFonts w:hint="eastAsia" w:hAnsi="宋体" w:cs="宋体"/>
          <w:b/>
          <w:bCs/>
          <w:color w:val="000000"/>
          <w:sz w:val="28"/>
          <w:szCs w:val="28"/>
        </w:rPr>
        <w:t xml:space="preserve">章  </w:t>
      </w:r>
      <w:r>
        <w:rPr>
          <w:rFonts w:hint="eastAsia" w:ascii="宋体" w:hAnsi="宋体" w:cs="宋体"/>
          <w:b/>
          <w:bCs/>
          <w:color w:val="000000"/>
          <w:sz w:val="28"/>
          <w:szCs w:val="28"/>
        </w:rPr>
        <w:t>供应商承诺书</w:t>
      </w:r>
      <w:bookmarkEnd w:id="126"/>
    </w:p>
    <w:p>
      <w:pPr>
        <w:pStyle w:val="4"/>
        <w:rPr>
          <w:color w:val="000000"/>
        </w:rPr>
      </w:pPr>
      <w:bookmarkStart w:id="127" w:name="_Toc4950"/>
      <w:bookmarkStart w:id="128" w:name="_Toc31486"/>
      <w:bookmarkStart w:id="129" w:name="_Toc27215"/>
      <w:bookmarkStart w:id="130" w:name="_Toc25438"/>
      <w:bookmarkStart w:id="131" w:name="_Toc32244"/>
      <w:r>
        <w:rPr>
          <w:rFonts w:hint="eastAsia"/>
          <w:color w:val="000000"/>
        </w:rPr>
        <w:br w:type="page"/>
      </w:r>
      <w:bookmarkStart w:id="132" w:name="_Toc14707"/>
      <w:bookmarkStart w:id="133" w:name="_Toc808"/>
      <w:r>
        <w:rPr>
          <w:rFonts w:hint="eastAsia"/>
          <w:color w:val="000000"/>
        </w:rPr>
        <w:t>第一</w:t>
      </w:r>
      <w:bookmarkEnd w:id="118"/>
      <w:r>
        <w:rPr>
          <w:rFonts w:hint="eastAsia"/>
          <w:color w:val="000000"/>
        </w:rPr>
        <w:t>章  响应函</w:t>
      </w:r>
      <w:bookmarkEnd w:id="119"/>
      <w:bookmarkEnd w:id="120"/>
      <w:bookmarkEnd w:id="127"/>
      <w:bookmarkEnd w:id="128"/>
      <w:bookmarkEnd w:id="129"/>
      <w:bookmarkEnd w:id="130"/>
      <w:bookmarkEnd w:id="131"/>
      <w:bookmarkEnd w:id="132"/>
      <w:bookmarkEnd w:id="133"/>
    </w:p>
    <w:p>
      <w:pPr>
        <w:adjustRightInd w:val="0"/>
        <w:snapToGrid w:val="0"/>
        <w:spacing w:line="276" w:lineRule="auto"/>
        <w:jc w:val="left"/>
        <w:rPr>
          <w:rFonts w:ascii="宋体" w:cs="宋体"/>
          <w:bCs/>
          <w:color w:val="000000"/>
          <w:sz w:val="32"/>
          <w:szCs w:val="32"/>
        </w:rPr>
      </w:pPr>
      <w:r>
        <w:rPr>
          <w:rFonts w:hint="eastAsia" w:ascii="宋体" w:hAnsi="宋体" w:cs="宋体"/>
          <w:b/>
          <w:bCs/>
          <w:color w:val="000000"/>
          <w:sz w:val="28"/>
          <w:szCs w:val="28"/>
        </w:rPr>
        <w:t>陕西万泽招标有限公司</w:t>
      </w:r>
      <w:r>
        <w:rPr>
          <w:rFonts w:hint="eastAsia" w:ascii="宋体" w:hAnsi="宋体" w:cs="宋体"/>
          <w:bCs/>
          <w:color w:val="000000"/>
          <w:sz w:val="32"/>
          <w:szCs w:val="32"/>
        </w:rPr>
        <w:t>：</w:t>
      </w:r>
    </w:p>
    <w:p>
      <w:pPr>
        <w:adjustRightInd w:val="0"/>
        <w:snapToGrid w:val="0"/>
        <w:spacing w:line="360" w:lineRule="auto"/>
        <w:ind w:firstLine="480" w:firstLineChars="200"/>
        <w:jc w:val="left"/>
        <w:rPr>
          <w:rFonts w:ascii="宋体" w:cs="宋体"/>
          <w:color w:val="000000"/>
          <w:sz w:val="24"/>
        </w:rPr>
      </w:pPr>
      <w:r>
        <w:rPr>
          <w:rFonts w:hint="eastAsia" w:ascii="宋体" w:hAnsi="宋体" w:cs="宋体"/>
          <w:color w:val="000000"/>
          <w:sz w:val="24"/>
        </w:rPr>
        <w:t>我单位收到项目名称</w:t>
      </w:r>
      <w:r>
        <w:rPr>
          <w:rFonts w:hint="eastAsia" w:ascii="宋体" w:hAnsi="宋体" w:cs="宋体"/>
          <w:color w:val="000000"/>
          <w:sz w:val="24"/>
          <w:u w:val="single"/>
        </w:rPr>
        <w:t xml:space="preserve">：    </w:t>
      </w:r>
      <w:r>
        <w:rPr>
          <w:rFonts w:hint="eastAsia" w:ascii="宋体" w:hAnsi="宋体" w:cs="宋体"/>
          <w:color w:val="000000"/>
          <w:sz w:val="24"/>
        </w:rPr>
        <w:t>编号为</w:t>
      </w:r>
      <w:r>
        <w:rPr>
          <w:rFonts w:hint="eastAsia" w:ascii="宋体" w:hAnsi="宋体" w:cs="宋体"/>
          <w:color w:val="000000"/>
          <w:sz w:val="24"/>
          <w:u w:val="single"/>
        </w:rPr>
        <w:t xml:space="preserve">    ：</w:t>
      </w:r>
      <w:r>
        <w:rPr>
          <w:rFonts w:hint="eastAsia" w:ascii="宋体" w:hAnsi="宋体" w:cs="宋体"/>
          <w:color w:val="000000"/>
          <w:sz w:val="24"/>
        </w:rPr>
        <w:t>的竞争性磋商文件，经详细研究，我公司决定参加本次磋商活动。为此，我方郑重承诺以下诸点，并负法律责任。</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1</w:t>
      </w:r>
      <w:r>
        <w:rPr>
          <w:rFonts w:hint="eastAsia" w:ascii="宋体" w:hAnsi="宋体" w:cs="宋体"/>
          <w:color w:val="000000"/>
          <w:sz w:val="24"/>
        </w:rPr>
        <w:t>、愿意按照竞争性磋商文件中的全部要求，提供合格的产品及完善的技术服务，履行合同的责任和义务。</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2</w:t>
      </w:r>
      <w:r>
        <w:rPr>
          <w:rFonts w:hint="eastAsia" w:ascii="宋体" w:hAnsi="宋体" w:cs="宋体"/>
          <w:color w:val="000000"/>
          <w:sz w:val="24"/>
        </w:rPr>
        <w:t>、按照竞争性磋商文件的规定，我公司的响应总报价为：</w:t>
      </w:r>
    </w:p>
    <w:p>
      <w:pPr>
        <w:adjustRightInd w:val="0"/>
        <w:snapToGrid w:val="0"/>
        <w:spacing w:line="360" w:lineRule="auto"/>
        <w:ind w:firstLine="480" w:firstLineChars="200"/>
        <w:jc w:val="left"/>
        <w:rPr>
          <w:rFonts w:ascii="宋体" w:cs="宋体"/>
          <w:color w:val="000000"/>
          <w:sz w:val="24"/>
          <w:szCs w:val="24"/>
        </w:rPr>
      </w:pPr>
      <w:r>
        <w:rPr>
          <w:rFonts w:hint="eastAsia" w:ascii="宋体" w:hAnsi="宋体" w:cs="宋体"/>
          <w:color w:val="000000"/>
          <w:sz w:val="24"/>
        </w:rPr>
        <w:t>人民币（大</w:t>
      </w:r>
      <w:r>
        <w:rPr>
          <w:rFonts w:hint="eastAsia" w:ascii="宋体" w:hAnsi="宋体" w:cs="宋体"/>
          <w:color w:val="000000"/>
          <w:sz w:val="24"/>
          <w:szCs w:val="24"/>
        </w:rPr>
        <w:t>写）</w:t>
      </w:r>
      <w:r>
        <w:rPr>
          <w:rFonts w:hint="eastAsia" w:ascii="宋体" w:hAnsi="宋体" w:cs="宋体"/>
          <w:color w:val="000000"/>
          <w:sz w:val="24"/>
          <w:szCs w:val="24"/>
          <w:u w:val="single"/>
        </w:rPr>
        <w:t>：    元</w:t>
      </w:r>
      <w:r>
        <w:rPr>
          <w:rFonts w:hint="eastAsia" w:ascii="宋体" w:hAnsi="宋体" w:cs="宋体"/>
          <w:color w:val="000000"/>
          <w:sz w:val="24"/>
          <w:szCs w:val="24"/>
        </w:rPr>
        <w:t>；（小写）</w:t>
      </w:r>
      <w:r>
        <w:rPr>
          <w:rFonts w:hint="eastAsia" w:ascii="宋体" w:cs="宋体"/>
          <w:color w:val="000000"/>
          <w:sz w:val="24"/>
          <w:szCs w:val="24"/>
        </w:rPr>
        <w:t>￥</w:t>
      </w:r>
      <w:r>
        <w:rPr>
          <w:rFonts w:hint="eastAsia" w:ascii="宋体" w:hAnsi="宋体" w:cs="宋体"/>
          <w:color w:val="000000"/>
          <w:sz w:val="24"/>
          <w:szCs w:val="24"/>
          <w:u w:val="single"/>
        </w:rPr>
        <w:t>：     元</w:t>
      </w:r>
      <w:r>
        <w:rPr>
          <w:rFonts w:hint="eastAsia" w:ascii="宋体" w:hAnsi="宋体" w:cs="宋体"/>
          <w:color w:val="000000"/>
          <w:sz w:val="24"/>
          <w:szCs w:val="24"/>
        </w:rPr>
        <w:t>；</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3</w:t>
      </w:r>
      <w:r>
        <w:rPr>
          <w:rFonts w:hint="eastAsia" w:ascii="宋体" w:hAnsi="宋体" w:cs="宋体"/>
          <w:color w:val="000000"/>
          <w:sz w:val="24"/>
        </w:rPr>
        <w:t>、我方提交的磋商响应文件正本壹份、副本叁份，电子文档壹份、</w:t>
      </w:r>
      <w:r>
        <w:rPr>
          <w:rFonts w:hint="eastAsia" w:ascii="宋体" w:hAnsi="宋体" w:cs="宋体"/>
          <w:color w:val="000000"/>
          <w:sz w:val="24"/>
          <w:szCs w:val="24"/>
        </w:rPr>
        <w:t>磋商一览表壹份</w:t>
      </w:r>
      <w:r>
        <w:rPr>
          <w:rFonts w:hint="eastAsia" w:ascii="宋体" w:hAnsi="宋体" w:cs="宋体"/>
          <w:color w:val="000000"/>
          <w:sz w:val="24"/>
        </w:rPr>
        <w:t>。</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4</w:t>
      </w:r>
      <w:r>
        <w:rPr>
          <w:rFonts w:hint="eastAsia" w:ascii="宋体" w:hAnsi="宋体" w:cs="宋体"/>
          <w:color w:val="000000"/>
          <w:sz w:val="24"/>
        </w:rPr>
        <w:t>、我们已详细阅读了竞争性磋商文件，完全理解并同意放弃提出含糊不清和误解问题的权力。</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5</w:t>
      </w:r>
      <w:r>
        <w:rPr>
          <w:rFonts w:hint="eastAsia" w:ascii="宋体" w:hAnsi="宋体" w:cs="宋体"/>
          <w:color w:val="000000"/>
          <w:sz w:val="24"/>
        </w:rPr>
        <w:t>、如果我方在磋商后到规定的磋商有效期内撤回磋商响应文件及承诺，我们的保证金将被对方没收。</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6</w:t>
      </w:r>
      <w:r>
        <w:rPr>
          <w:rFonts w:hint="eastAsia" w:ascii="宋体" w:hAnsi="宋体" w:cs="宋体"/>
          <w:color w:val="000000"/>
          <w:sz w:val="24"/>
        </w:rPr>
        <w:t>、同意向贵方提供贵方可能要求的、与本次磋商有关的任何证据资料。</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7</w:t>
      </w:r>
      <w:r>
        <w:rPr>
          <w:rFonts w:hint="eastAsia" w:ascii="宋体" w:hAnsi="宋体" w:cs="宋体"/>
          <w:color w:val="000000"/>
          <w:sz w:val="24"/>
        </w:rPr>
        <w:t>、我方承诺磋商有效期为磋商后</w:t>
      </w:r>
      <w:r>
        <w:rPr>
          <w:rFonts w:ascii="宋体" w:hAnsi="宋体" w:cs="宋体"/>
          <w:color w:val="000000"/>
          <w:sz w:val="24"/>
          <w:u w:val="single"/>
        </w:rPr>
        <w:t xml:space="preserve">   </w:t>
      </w:r>
      <w:r>
        <w:rPr>
          <w:rFonts w:hint="eastAsia" w:ascii="宋体" w:hAnsi="宋体" w:cs="宋体"/>
          <w:color w:val="000000"/>
          <w:sz w:val="24"/>
          <w:u w:val="single"/>
          <w:lang w:val="en-US" w:eastAsia="zh-CN"/>
        </w:rPr>
        <w:t>90</w:t>
      </w:r>
      <w:r>
        <w:rPr>
          <w:rFonts w:ascii="宋体" w:hAnsi="宋体" w:cs="宋体"/>
          <w:color w:val="000000"/>
          <w:sz w:val="24"/>
          <w:u w:val="single"/>
        </w:rPr>
        <w:t xml:space="preserve">   </w:t>
      </w:r>
      <w:r>
        <w:rPr>
          <w:rFonts w:hint="eastAsia" w:ascii="宋体" w:hAnsi="宋体" w:cs="宋体"/>
          <w:color w:val="000000"/>
          <w:sz w:val="24"/>
        </w:rPr>
        <w:t>日历日内有效。</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8</w:t>
      </w:r>
      <w:r>
        <w:rPr>
          <w:rFonts w:hint="eastAsia" w:ascii="宋体" w:hAnsi="宋体" w:cs="宋体"/>
          <w:color w:val="000000"/>
          <w:sz w:val="24"/>
        </w:rPr>
        <w:t>、所有关于本次磋商的函电，请按下列地址联系：</w:t>
      </w:r>
    </w:p>
    <w:p>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供应商（单位名称及公章）：</w:t>
      </w:r>
    </w:p>
    <w:p>
      <w:pPr>
        <w:adjustRightInd w:val="0"/>
        <w:snapToGrid w:val="0"/>
        <w:spacing w:line="360" w:lineRule="auto"/>
        <w:ind w:firstLine="480" w:firstLineChars="200"/>
        <w:rPr>
          <w:rFonts w:ascii="宋体" w:cs="宋体"/>
          <w:color w:val="000000"/>
          <w:sz w:val="24"/>
        </w:rPr>
      </w:pP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被授权人（签字或盖章）：</w:t>
      </w:r>
    </w:p>
    <w:p>
      <w:pPr>
        <w:adjustRightInd w:val="0"/>
        <w:snapToGrid w:val="0"/>
        <w:spacing w:line="360" w:lineRule="auto"/>
        <w:ind w:firstLine="480" w:firstLineChars="200"/>
        <w:jc w:val="left"/>
        <w:rPr>
          <w:rFonts w:ascii="宋体" w:cs="宋体"/>
          <w:color w:val="000000"/>
          <w:sz w:val="24"/>
        </w:rPr>
      </w:pPr>
      <w:r>
        <w:rPr>
          <w:rFonts w:hint="eastAsia" w:ascii="宋体" w:hAnsi="宋体" w:cs="宋体"/>
          <w:color w:val="000000"/>
          <w:sz w:val="24"/>
        </w:rPr>
        <w:t>地址：</w:t>
      </w:r>
    </w:p>
    <w:p>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开户银行：</w:t>
      </w:r>
    </w:p>
    <w:p>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帐号：</w:t>
      </w:r>
    </w:p>
    <w:p>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电话：</w:t>
      </w:r>
    </w:p>
    <w:p>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传真：</w:t>
      </w:r>
    </w:p>
    <w:p>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邮编：</w:t>
      </w:r>
    </w:p>
    <w:p>
      <w:pPr>
        <w:adjustRightInd w:val="0"/>
        <w:snapToGrid w:val="0"/>
        <w:spacing w:line="360" w:lineRule="auto"/>
        <w:ind w:firstLine="480" w:firstLineChars="200"/>
        <w:rPr>
          <w:rFonts w:ascii="宋体" w:cs="宋体"/>
          <w:color w:val="000000"/>
          <w:sz w:val="24"/>
        </w:rPr>
      </w:pPr>
      <w:r>
        <w:rPr>
          <w:rFonts w:hint="eastAsia" w:ascii="宋体" w:hAnsi="宋体" w:cs="宋体"/>
          <w:color w:val="000000"/>
          <w:sz w:val="24"/>
        </w:rPr>
        <w:t>日期：年</w:t>
      </w:r>
      <w:r>
        <w:rPr>
          <w:rFonts w:hint="eastAsia" w:ascii="宋体" w:hAnsi="宋体" w:cs="宋体"/>
          <w:color w:val="000000"/>
          <w:sz w:val="24"/>
          <w:lang w:val="en-US" w:eastAsia="zh-CN"/>
        </w:rPr>
        <w:t xml:space="preserve"> </w:t>
      </w:r>
      <w:r>
        <w:rPr>
          <w:rFonts w:hint="eastAsia" w:ascii="宋体" w:hAnsi="宋体" w:cs="宋体"/>
          <w:color w:val="000000"/>
          <w:sz w:val="24"/>
        </w:rPr>
        <w:t>月</w:t>
      </w:r>
      <w:r>
        <w:rPr>
          <w:rFonts w:hint="eastAsia" w:ascii="宋体" w:hAnsi="宋体" w:cs="宋体"/>
          <w:color w:val="000000"/>
          <w:sz w:val="24"/>
          <w:lang w:val="en-US" w:eastAsia="zh-CN"/>
        </w:rPr>
        <w:t xml:space="preserve"> </w:t>
      </w:r>
      <w:r>
        <w:rPr>
          <w:rFonts w:hint="eastAsia" w:ascii="宋体" w:hAnsi="宋体" w:cs="宋体"/>
          <w:color w:val="000000"/>
          <w:sz w:val="24"/>
        </w:rPr>
        <w:t>日</w:t>
      </w:r>
    </w:p>
    <w:p>
      <w:pPr>
        <w:widowControl/>
        <w:spacing w:line="460" w:lineRule="exact"/>
        <w:ind w:firstLine="720" w:firstLineChars="200"/>
        <w:jc w:val="left"/>
        <w:rPr>
          <w:rFonts w:ascii="宋体" w:cs="宋体"/>
          <w:color w:val="000000"/>
          <w:sz w:val="36"/>
          <w:szCs w:val="36"/>
          <w:u w:val="single"/>
        </w:rPr>
      </w:pPr>
    </w:p>
    <w:p>
      <w:pPr>
        <w:widowControl/>
        <w:spacing w:line="460" w:lineRule="exact"/>
        <w:ind w:firstLine="720" w:firstLineChars="200"/>
        <w:jc w:val="left"/>
        <w:rPr>
          <w:rFonts w:ascii="宋体" w:cs="宋体"/>
          <w:color w:val="000000"/>
          <w:sz w:val="36"/>
          <w:szCs w:val="36"/>
          <w:u w:val="single"/>
        </w:rPr>
      </w:pPr>
    </w:p>
    <w:p>
      <w:pPr>
        <w:pStyle w:val="4"/>
        <w:rPr>
          <w:rFonts w:ascii="宋体" w:cs="宋体"/>
          <w:color w:val="000000"/>
        </w:rPr>
        <w:sectPr>
          <w:headerReference r:id="rId10" w:type="default"/>
          <w:footerReference r:id="rId11" w:type="default"/>
          <w:pgSz w:w="11906" w:h="16838"/>
          <w:pgMar w:top="1440" w:right="1803" w:bottom="1440" w:left="1803" w:header="851" w:footer="992" w:gutter="0"/>
          <w:pgNumType w:fmt="decimal"/>
          <w:cols w:space="720" w:num="1"/>
          <w:docGrid w:type="lines" w:linePitch="319" w:charSpace="0"/>
        </w:sectPr>
      </w:pPr>
      <w:bookmarkStart w:id="134" w:name="_Toc28494"/>
    </w:p>
    <w:p>
      <w:pPr>
        <w:pStyle w:val="4"/>
        <w:rPr>
          <w:rFonts w:ascii="宋体" w:cs="宋体"/>
          <w:color w:val="000000"/>
        </w:rPr>
      </w:pPr>
      <w:bookmarkStart w:id="135" w:name="_Toc6333"/>
      <w:bookmarkStart w:id="136" w:name="_Toc23678"/>
      <w:bookmarkStart w:id="137" w:name="_Toc31150"/>
      <w:bookmarkStart w:id="138" w:name="_Toc13783"/>
      <w:bookmarkStart w:id="139" w:name="_Toc23295"/>
      <w:bookmarkStart w:id="140" w:name="_Toc26259"/>
      <w:bookmarkStart w:id="141" w:name="_Toc19624"/>
      <w:bookmarkStart w:id="142" w:name="_Toc25695"/>
      <w:bookmarkStart w:id="143" w:name="_Toc26486"/>
      <w:r>
        <w:rPr>
          <w:rFonts w:hint="eastAsia" w:ascii="宋体" w:hAnsi="宋体" w:cs="宋体"/>
          <w:color w:val="000000"/>
        </w:rPr>
        <w:t>第二</w:t>
      </w:r>
      <w:bookmarkEnd w:id="134"/>
      <w:r>
        <w:rPr>
          <w:rFonts w:hint="eastAsia"/>
          <w:color w:val="000000"/>
        </w:rPr>
        <w:t xml:space="preserve">章  </w:t>
      </w:r>
      <w:r>
        <w:rPr>
          <w:rFonts w:hint="eastAsia" w:ascii="宋体" w:hAnsi="宋体" w:cs="宋体"/>
          <w:color w:val="000000"/>
        </w:rPr>
        <w:t>磋商一览表</w:t>
      </w:r>
      <w:bookmarkEnd w:id="135"/>
      <w:bookmarkEnd w:id="136"/>
      <w:bookmarkEnd w:id="137"/>
      <w:bookmarkEnd w:id="138"/>
      <w:bookmarkEnd w:id="139"/>
      <w:bookmarkEnd w:id="140"/>
      <w:bookmarkEnd w:id="141"/>
      <w:bookmarkEnd w:id="142"/>
      <w:bookmarkEnd w:id="143"/>
    </w:p>
    <w:p>
      <w:pPr>
        <w:widowControl/>
        <w:wordWrap w:val="0"/>
        <w:spacing w:line="360" w:lineRule="auto"/>
        <w:jc w:val="left"/>
        <w:rPr>
          <w:rFonts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w:t>
      </w:r>
      <w:r>
        <w:rPr>
          <w:rFonts w:hint="eastAsia" w:ascii="宋体" w:hAnsi="宋体" w:cs="宋体"/>
          <w:color w:val="000000"/>
          <w:sz w:val="24"/>
          <w:u w:val="single"/>
          <w:lang w:eastAsia="zh-CN"/>
        </w:rPr>
        <w:t xml:space="preserve">西安市审计局2022年上半年购买服务人员采购项目      </w:t>
      </w:r>
      <w:r>
        <w:rPr>
          <w:rFonts w:hint="eastAsia" w:ascii="宋体" w:hAnsi="宋体" w:cs="宋体"/>
          <w:color w:val="000000"/>
          <w:sz w:val="24"/>
          <w:u w:val="single"/>
        </w:rPr>
        <w:t xml:space="preserve"> </w:t>
      </w:r>
    </w:p>
    <w:p>
      <w:pPr>
        <w:pStyle w:val="6"/>
        <w:ind w:firstLine="0"/>
        <w:rPr>
          <w:rFonts w:hint="eastAsia" w:ascii="宋体" w:eastAsia="宋体" w:cs="宋体"/>
          <w:color w:val="000000"/>
          <w:sz w:val="24"/>
          <w:u w:val="single"/>
          <w:lang w:eastAsia="zh-CN"/>
        </w:rPr>
      </w:pPr>
      <w:r>
        <w:rPr>
          <w:rFonts w:hint="eastAsia" w:ascii="宋体" w:hAnsi="宋体" w:cs="宋体"/>
          <w:color w:val="000000"/>
          <w:sz w:val="24"/>
        </w:rPr>
        <w:t>项目编号：</w:t>
      </w:r>
      <w:r>
        <w:rPr>
          <w:rFonts w:hint="eastAsia" w:ascii="宋体" w:hAnsi="宋体" w:cs="宋体"/>
          <w:color w:val="000000"/>
          <w:sz w:val="24"/>
          <w:u w:val="single"/>
          <w:lang w:eastAsia="zh-CN"/>
        </w:rPr>
        <w:t>SXWZ2022ZB-SSJJ-046</w:t>
      </w:r>
    </w:p>
    <w:p>
      <w:pPr>
        <w:kinsoku w:val="0"/>
        <w:spacing w:line="360" w:lineRule="auto"/>
        <w:jc w:val="left"/>
        <w:rPr>
          <w:rFonts w:ascii="宋体" w:cs="宋体"/>
          <w:color w:val="000000"/>
          <w:sz w:val="24"/>
        </w:rPr>
      </w:pPr>
      <w:r>
        <w:rPr>
          <w:rFonts w:hint="eastAsia" w:ascii="宋体" w:hAnsi="宋体" w:cs="宋体"/>
          <w:color w:val="000000"/>
          <w:sz w:val="24"/>
        </w:rPr>
        <w:t>单位：</w:t>
      </w:r>
      <w:r>
        <w:rPr>
          <w:rFonts w:hint="eastAsia" w:ascii="宋体" w:hAnsi="宋体" w:cs="宋体"/>
          <w:color w:val="000000"/>
          <w:sz w:val="24"/>
          <w:szCs w:val="24"/>
        </w:rPr>
        <w:t>元</w:t>
      </w:r>
    </w:p>
    <w:tbl>
      <w:tblPr>
        <w:tblStyle w:val="24"/>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2673"/>
        <w:gridCol w:w="3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2326" w:type="dxa"/>
            <w:tcBorders>
              <w:tl2br w:val="single" w:color="auto" w:sz="4" w:space="0"/>
            </w:tcBorders>
          </w:tcPr>
          <w:p>
            <w:pPr>
              <w:kinsoku w:val="0"/>
              <w:spacing w:line="480" w:lineRule="auto"/>
              <w:ind w:firstLine="1050" w:firstLineChars="500"/>
              <w:jc w:val="left"/>
              <w:rPr>
                <w:rFonts w:ascii="宋体" w:cs="宋体"/>
                <w:color w:val="000000"/>
                <w:szCs w:val="21"/>
              </w:rPr>
            </w:pPr>
            <w:r>
              <w:rPr>
                <w:rFonts w:hint="eastAsia" w:ascii="宋体" w:hAnsi="宋体" w:cs="宋体"/>
                <w:color w:val="000000"/>
                <w:szCs w:val="21"/>
              </w:rPr>
              <w:t>报价内容</w:t>
            </w:r>
          </w:p>
          <w:p>
            <w:pPr>
              <w:kinsoku w:val="0"/>
              <w:spacing w:line="480" w:lineRule="auto"/>
              <w:jc w:val="left"/>
              <w:rPr>
                <w:rFonts w:ascii="宋体" w:cs="宋体"/>
                <w:color w:val="000000"/>
                <w:szCs w:val="21"/>
              </w:rPr>
            </w:pPr>
            <w:r>
              <w:rPr>
                <w:rFonts w:hint="eastAsia" w:ascii="宋体" w:hAnsi="宋体" w:cs="宋体"/>
                <w:color w:val="000000"/>
                <w:szCs w:val="21"/>
              </w:rPr>
              <w:t>响应内容</w:t>
            </w:r>
          </w:p>
        </w:tc>
        <w:tc>
          <w:tcPr>
            <w:tcW w:w="2673" w:type="dxa"/>
            <w:vAlign w:val="bottom"/>
          </w:tcPr>
          <w:p>
            <w:pPr>
              <w:kinsoku w:val="0"/>
              <w:spacing w:line="480" w:lineRule="auto"/>
              <w:jc w:val="center"/>
              <w:rPr>
                <w:rFonts w:ascii="宋体" w:cs="宋体"/>
                <w:color w:val="000000"/>
                <w:szCs w:val="21"/>
              </w:rPr>
            </w:pPr>
            <w:r>
              <w:rPr>
                <w:rFonts w:hint="eastAsia" w:ascii="宋体" w:hAnsi="宋体" w:cs="宋体"/>
                <w:color w:val="000000"/>
                <w:szCs w:val="21"/>
              </w:rPr>
              <w:t>磋商总报价（元 ）</w:t>
            </w:r>
          </w:p>
          <w:p>
            <w:pPr>
              <w:kinsoku w:val="0"/>
              <w:jc w:val="center"/>
              <w:rPr>
                <w:rFonts w:ascii="宋体" w:cs="宋体"/>
                <w:color w:val="000000"/>
                <w:szCs w:val="21"/>
              </w:rPr>
            </w:pPr>
          </w:p>
        </w:tc>
        <w:tc>
          <w:tcPr>
            <w:tcW w:w="3499" w:type="dxa"/>
            <w:vAlign w:val="center"/>
          </w:tcPr>
          <w:p>
            <w:pPr>
              <w:kinsoku w:val="0"/>
              <w:ind w:firstLine="1260" w:firstLineChars="600"/>
              <w:rPr>
                <w:rFonts w:ascii="宋体" w:hAnsi="宋体" w:cs="宋体"/>
                <w:color w:val="000000"/>
                <w:szCs w:val="21"/>
              </w:rPr>
            </w:pPr>
            <w:r>
              <w:rPr>
                <w:rFonts w:hint="eastAsia" w:ascii="宋体" w:hAnsi="宋体" w:cs="宋体"/>
                <w:color w:val="000000"/>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2326" w:type="dxa"/>
            <w:vAlign w:val="center"/>
          </w:tcPr>
          <w:p>
            <w:pPr>
              <w:pStyle w:val="6"/>
              <w:ind w:firstLine="0"/>
              <w:jc w:val="center"/>
              <w:rPr>
                <w:color w:val="000000"/>
              </w:rPr>
            </w:pPr>
            <w:r>
              <w:rPr>
                <w:rFonts w:hint="eastAsia"/>
                <w:color w:val="000000"/>
                <w:lang w:eastAsia="zh-CN"/>
              </w:rPr>
              <w:t xml:space="preserve">西安市审计局2022年上半年购买服务人员采购项目      </w:t>
            </w:r>
            <w:r>
              <w:rPr>
                <w:rFonts w:hint="eastAsia"/>
                <w:color w:val="000000"/>
              </w:rPr>
              <w:t xml:space="preserve"> </w:t>
            </w:r>
          </w:p>
        </w:tc>
        <w:tc>
          <w:tcPr>
            <w:tcW w:w="2673" w:type="dxa"/>
            <w:vAlign w:val="center"/>
          </w:tcPr>
          <w:p>
            <w:pPr>
              <w:kinsoku w:val="0"/>
              <w:spacing w:line="480" w:lineRule="auto"/>
              <w:ind w:firstLine="420" w:firstLineChars="200"/>
              <w:jc w:val="left"/>
              <w:rPr>
                <w:rFonts w:ascii="宋体" w:cs="宋体"/>
                <w:color w:val="000000"/>
                <w:szCs w:val="21"/>
              </w:rPr>
            </w:pPr>
          </w:p>
        </w:tc>
        <w:tc>
          <w:tcPr>
            <w:tcW w:w="3499" w:type="dxa"/>
            <w:vAlign w:val="center"/>
          </w:tcPr>
          <w:p>
            <w:pPr>
              <w:kinsoku w:val="0"/>
              <w:spacing w:line="480" w:lineRule="auto"/>
              <w:ind w:firstLine="420" w:firstLineChars="200"/>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98" w:type="dxa"/>
            <w:gridSpan w:val="3"/>
            <w:vAlign w:val="center"/>
          </w:tcPr>
          <w:p>
            <w:pPr>
              <w:kinsoku w:val="0"/>
              <w:spacing w:line="480" w:lineRule="auto"/>
              <w:ind w:firstLine="420" w:firstLineChars="200"/>
              <w:jc w:val="left"/>
              <w:rPr>
                <w:rFonts w:ascii="宋体" w:hAnsi="宋体" w:cs="宋体"/>
                <w:color w:val="000000"/>
                <w:szCs w:val="21"/>
              </w:rPr>
            </w:pPr>
            <w:r>
              <w:rPr>
                <w:rFonts w:hint="eastAsia" w:ascii="宋体" w:hAnsi="宋体" w:cs="宋体"/>
                <w:color w:val="000000"/>
                <w:szCs w:val="21"/>
              </w:rPr>
              <w:t>总报价：人民币（大写）</w:t>
            </w:r>
            <w:r>
              <w:rPr>
                <w:rFonts w:hint="eastAsia" w:ascii="宋体" w:hAnsi="宋体" w:cs="宋体"/>
                <w:color w:val="000000"/>
                <w:szCs w:val="21"/>
                <w:lang w:eastAsia="zh-CN"/>
              </w:rPr>
              <w:t>，</w:t>
            </w:r>
            <w:r>
              <w:rPr>
                <w:rFonts w:hint="eastAsia" w:ascii="宋体" w:hAnsi="宋体" w:cs="宋体"/>
                <w:color w:val="000000"/>
                <w:szCs w:val="2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498" w:type="dxa"/>
            <w:gridSpan w:val="3"/>
            <w:vAlign w:val="center"/>
          </w:tcPr>
          <w:p>
            <w:pPr>
              <w:kinsoku w:val="0"/>
              <w:spacing w:line="480" w:lineRule="auto"/>
              <w:ind w:firstLine="420" w:firstLineChars="200"/>
              <w:jc w:val="left"/>
              <w:rPr>
                <w:rFonts w:ascii="宋体" w:cs="宋体"/>
                <w:color w:val="000000"/>
                <w:szCs w:val="21"/>
              </w:rPr>
            </w:pPr>
            <w:r>
              <w:rPr>
                <w:rFonts w:hint="eastAsia" w:ascii="宋体" w:hAnsi="宋体" w:cs="宋体"/>
                <w:color w:val="000000"/>
                <w:szCs w:val="21"/>
              </w:rPr>
              <w:t>备注：</w:t>
            </w:r>
            <w:r>
              <w:rPr>
                <w:rFonts w:ascii="宋体" w:hAnsi="宋体" w:cs="宋体"/>
                <w:color w:val="000000"/>
                <w:szCs w:val="21"/>
              </w:rPr>
              <w:t>1.</w:t>
            </w:r>
            <w:r>
              <w:rPr>
                <w:rFonts w:hint="eastAsia" w:ascii="宋体" w:hAnsi="宋体" w:cs="宋体"/>
                <w:color w:val="000000"/>
                <w:szCs w:val="21"/>
              </w:rPr>
              <w:t>表内报价内容以元为单位，精确到小数点后两位；</w:t>
            </w:r>
          </w:p>
          <w:p>
            <w:pPr>
              <w:kinsoku w:val="0"/>
              <w:spacing w:line="480" w:lineRule="auto"/>
              <w:ind w:firstLine="1050" w:firstLineChars="500"/>
              <w:jc w:val="left"/>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服务期详见第五部分采购要求。</w:t>
            </w:r>
          </w:p>
        </w:tc>
      </w:tr>
    </w:tbl>
    <w:p>
      <w:pPr>
        <w:kinsoku w:val="0"/>
        <w:spacing w:line="360" w:lineRule="auto"/>
        <w:jc w:val="left"/>
        <w:rPr>
          <w:rFonts w:ascii="宋体" w:cs="宋体"/>
          <w:b/>
          <w:bCs/>
          <w:color w:val="000000"/>
          <w:sz w:val="28"/>
          <w:szCs w:val="24"/>
        </w:rPr>
      </w:pPr>
      <w:r>
        <w:rPr>
          <w:rFonts w:hint="eastAsia" w:ascii="宋体" w:hAnsi="宋体" w:cs="宋体"/>
          <w:b/>
          <w:bCs/>
          <w:color w:val="000000"/>
          <w:sz w:val="28"/>
          <w:szCs w:val="24"/>
        </w:rPr>
        <w:t>此表应再制作一份，单独密封递交。</w:t>
      </w:r>
    </w:p>
    <w:p>
      <w:pPr>
        <w:adjustRightInd w:val="0"/>
        <w:snapToGrid w:val="0"/>
        <w:spacing w:line="480" w:lineRule="auto"/>
        <w:jc w:val="left"/>
        <w:rPr>
          <w:rFonts w:ascii="宋体" w:cs="宋体"/>
          <w:color w:val="000000"/>
          <w:sz w:val="24"/>
        </w:rPr>
      </w:pPr>
    </w:p>
    <w:p>
      <w:pPr>
        <w:adjustRightInd w:val="0"/>
        <w:snapToGrid w:val="0"/>
        <w:spacing w:line="480" w:lineRule="auto"/>
        <w:jc w:val="left"/>
        <w:rPr>
          <w:rFonts w:ascii="宋体" w:cs="宋体"/>
          <w:color w:val="000000"/>
          <w:sz w:val="24"/>
          <w:u w:val="single"/>
        </w:rPr>
      </w:pPr>
      <w:r>
        <w:rPr>
          <w:rFonts w:hint="eastAsia" w:ascii="宋体" w:hAnsi="宋体" w:cs="宋体"/>
          <w:color w:val="000000"/>
          <w:sz w:val="24"/>
        </w:rPr>
        <w:t>供应商（单位名称及公章）：</w:t>
      </w:r>
    </w:p>
    <w:p>
      <w:pPr>
        <w:adjustRightInd w:val="0"/>
        <w:snapToGrid w:val="0"/>
        <w:spacing w:line="480" w:lineRule="auto"/>
        <w:rPr>
          <w:rFonts w:ascii="宋体" w:cs="宋体"/>
          <w:color w:val="000000"/>
          <w:sz w:val="24"/>
        </w:rPr>
      </w:pP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被授权人（签字或盖章）：</w:t>
      </w:r>
    </w:p>
    <w:p>
      <w:pPr>
        <w:adjustRightInd w:val="0"/>
        <w:snapToGrid w:val="0"/>
        <w:spacing w:line="480" w:lineRule="auto"/>
        <w:rPr>
          <w:rFonts w:ascii="宋体" w:cs="宋体"/>
          <w:color w:val="000000"/>
          <w:sz w:val="24"/>
        </w:rPr>
      </w:pPr>
      <w:r>
        <w:rPr>
          <w:rFonts w:hint="eastAsia" w:ascii="宋体" w:hAnsi="宋体" w:cs="宋体"/>
          <w:color w:val="000000"/>
          <w:sz w:val="24"/>
        </w:rPr>
        <w:t>日期：年</w:t>
      </w:r>
      <w:r>
        <w:rPr>
          <w:rFonts w:hint="eastAsia" w:ascii="宋体" w:hAnsi="宋体" w:cs="宋体"/>
          <w:color w:val="000000"/>
          <w:sz w:val="24"/>
          <w:lang w:val="en-US" w:eastAsia="zh-CN"/>
        </w:rPr>
        <w:t xml:space="preserve"> </w:t>
      </w:r>
      <w:r>
        <w:rPr>
          <w:rFonts w:hint="eastAsia" w:ascii="宋体" w:hAnsi="宋体" w:cs="宋体"/>
          <w:color w:val="000000"/>
          <w:sz w:val="24"/>
        </w:rPr>
        <w:t>月</w:t>
      </w:r>
      <w:r>
        <w:rPr>
          <w:rFonts w:hint="eastAsia" w:ascii="宋体" w:hAnsi="宋体" w:cs="宋体"/>
          <w:color w:val="000000"/>
          <w:sz w:val="24"/>
          <w:lang w:val="en-US" w:eastAsia="zh-CN"/>
        </w:rPr>
        <w:t xml:space="preserve"> </w:t>
      </w:r>
      <w:r>
        <w:rPr>
          <w:rFonts w:hint="eastAsia" w:ascii="宋体" w:hAnsi="宋体" w:cs="宋体"/>
          <w:color w:val="000000"/>
          <w:sz w:val="24"/>
        </w:rPr>
        <w:t>日</w:t>
      </w:r>
    </w:p>
    <w:p>
      <w:pPr>
        <w:kinsoku w:val="0"/>
        <w:spacing w:line="480" w:lineRule="auto"/>
        <w:jc w:val="left"/>
        <w:rPr>
          <w:rFonts w:ascii="宋体" w:cs="宋体"/>
          <w:color w:val="000000"/>
          <w:sz w:val="24"/>
        </w:rPr>
      </w:pPr>
    </w:p>
    <w:p>
      <w:pPr>
        <w:pStyle w:val="4"/>
        <w:rPr>
          <w:color w:val="000000"/>
          <w:sz w:val="36"/>
          <w:szCs w:val="36"/>
        </w:rPr>
      </w:pPr>
      <w:r>
        <w:rPr>
          <w:rFonts w:hAnsi="宋体" w:cs="宋体"/>
          <w:color w:val="000000"/>
          <w:sz w:val="32"/>
        </w:rPr>
        <w:br w:type="page"/>
      </w:r>
      <w:bookmarkStart w:id="144" w:name="_Toc25887"/>
      <w:bookmarkStart w:id="145" w:name="_Toc27277"/>
      <w:bookmarkStart w:id="146" w:name="_Toc25886"/>
      <w:bookmarkStart w:id="147" w:name="_Toc9868"/>
      <w:bookmarkStart w:id="148" w:name="_Toc20625"/>
      <w:bookmarkStart w:id="149" w:name="_Toc1789"/>
      <w:bookmarkStart w:id="150" w:name="_Toc10234"/>
      <w:bookmarkStart w:id="151" w:name="_Toc17641"/>
      <w:bookmarkStart w:id="152" w:name="_Toc10126"/>
      <w:bookmarkStart w:id="153" w:name="_Toc6753"/>
      <w:bookmarkStart w:id="154" w:name="_Toc9863"/>
      <w:bookmarkStart w:id="155" w:name="_Toc9034"/>
      <w:r>
        <w:rPr>
          <w:rFonts w:hint="eastAsia" w:hAnsi="宋体" w:cs="宋体"/>
          <w:color w:val="000000"/>
          <w:sz w:val="32"/>
        </w:rPr>
        <w:t>第三章</w:t>
      </w:r>
      <w:r>
        <w:rPr>
          <w:rFonts w:hint="eastAsia"/>
          <w:color w:val="000000"/>
        </w:rPr>
        <w:t xml:space="preserve">  </w:t>
      </w:r>
      <w:r>
        <w:rPr>
          <w:rFonts w:hint="eastAsia"/>
          <w:color w:val="000000"/>
          <w:sz w:val="36"/>
          <w:szCs w:val="36"/>
        </w:rPr>
        <w:t>分项报价表</w:t>
      </w:r>
      <w:bookmarkEnd w:id="144"/>
      <w:bookmarkEnd w:id="145"/>
      <w:bookmarkEnd w:id="146"/>
      <w:bookmarkEnd w:id="147"/>
      <w:bookmarkEnd w:id="148"/>
      <w:bookmarkEnd w:id="149"/>
      <w:bookmarkEnd w:id="150"/>
    </w:p>
    <w:p>
      <w:pPr>
        <w:pStyle w:val="6"/>
        <w:ind w:firstLine="0"/>
        <w:rPr>
          <w:color w:val="000000"/>
        </w:rPr>
      </w:pPr>
    </w:p>
    <w:p>
      <w:pPr>
        <w:widowControl/>
        <w:wordWrap w:val="0"/>
        <w:spacing w:line="360" w:lineRule="auto"/>
        <w:jc w:val="left"/>
        <w:rPr>
          <w:rFonts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lang w:eastAsia="zh-CN"/>
        </w:rPr>
        <w:t xml:space="preserve">西安市审计局2022年上半年购买服务人员采购项目      </w:t>
      </w:r>
      <w:r>
        <w:rPr>
          <w:rFonts w:hint="eastAsia" w:ascii="宋体" w:hAnsi="宋体" w:cs="宋体"/>
          <w:color w:val="000000"/>
          <w:sz w:val="24"/>
        </w:rPr>
        <w:t xml:space="preserve"> </w:t>
      </w:r>
    </w:p>
    <w:p>
      <w:pPr>
        <w:pStyle w:val="6"/>
        <w:ind w:firstLine="0"/>
        <w:rPr>
          <w:rFonts w:hint="eastAsia" w:ascii="宋体" w:eastAsia="宋体" w:cs="宋体"/>
          <w:color w:val="000000"/>
          <w:sz w:val="24"/>
          <w:u w:val="single"/>
          <w:lang w:eastAsia="zh-CN"/>
        </w:rPr>
      </w:pPr>
      <w:r>
        <w:rPr>
          <w:rFonts w:hint="eastAsia" w:ascii="宋体" w:hAnsi="宋体" w:cs="宋体"/>
          <w:color w:val="000000"/>
          <w:sz w:val="24"/>
        </w:rPr>
        <w:t>项目编号：</w:t>
      </w:r>
      <w:r>
        <w:rPr>
          <w:rFonts w:hint="eastAsia" w:ascii="宋体" w:hAnsi="宋体" w:cs="宋体"/>
          <w:color w:val="000000"/>
          <w:sz w:val="24"/>
          <w:u w:val="single"/>
          <w:lang w:eastAsia="zh-CN"/>
        </w:rPr>
        <w:t>SXWZ2022ZB-SSJJ-046</w:t>
      </w:r>
    </w:p>
    <w:p>
      <w:pPr>
        <w:widowControl/>
        <w:wordWrap w:val="0"/>
        <w:spacing w:line="360" w:lineRule="auto"/>
        <w:jc w:val="left"/>
        <w:rPr>
          <w:rFonts w:ascii="宋体" w:cs="宋体"/>
          <w:b/>
          <w:color w:val="000000"/>
          <w:sz w:val="36"/>
          <w:szCs w:val="36"/>
        </w:rPr>
      </w:pPr>
      <w:r>
        <w:rPr>
          <w:rFonts w:hint="eastAsia" w:ascii="宋体" w:hAnsi="宋体" w:cs="宋体"/>
          <w:color w:val="000000"/>
          <w:sz w:val="24"/>
        </w:rPr>
        <w:t>共  页，第  页</w:t>
      </w:r>
    </w:p>
    <w:tbl>
      <w:tblPr>
        <w:tblStyle w:val="24"/>
        <w:tblpPr w:leftFromText="180" w:rightFromText="180" w:vertAnchor="text" w:horzAnchor="page" w:tblpX="1534" w:tblpY="373"/>
        <w:tblOverlap w:val="never"/>
        <w:tblW w:w="8940" w:type="dxa"/>
        <w:tblInd w:w="0" w:type="dxa"/>
        <w:tblLayout w:type="fixed"/>
        <w:tblCellMar>
          <w:top w:w="0" w:type="dxa"/>
          <w:left w:w="28" w:type="dxa"/>
          <w:bottom w:w="0" w:type="dxa"/>
          <w:right w:w="28" w:type="dxa"/>
        </w:tblCellMar>
      </w:tblPr>
      <w:tblGrid>
        <w:gridCol w:w="1133"/>
        <w:gridCol w:w="523"/>
        <w:gridCol w:w="778"/>
        <w:gridCol w:w="1531"/>
        <w:gridCol w:w="1549"/>
        <w:gridCol w:w="1115"/>
        <w:gridCol w:w="1173"/>
        <w:gridCol w:w="1138"/>
      </w:tblGrid>
      <w:tr>
        <w:tblPrEx>
          <w:tblCellMar>
            <w:top w:w="0" w:type="dxa"/>
            <w:left w:w="28" w:type="dxa"/>
            <w:bottom w:w="0" w:type="dxa"/>
            <w:right w:w="28" w:type="dxa"/>
          </w:tblCellMar>
        </w:tblPrEx>
        <w:trPr>
          <w:trHeight w:val="832" w:hRule="atLeast"/>
        </w:trPr>
        <w:tc>
          <w:tcPr>
            <w:tcW w:w="1133" w:type="dxa"/>
            <w:vMerge w:val="restart"/>
            <w:tcBorders>
              <w:top w:val="single" w:color="auto" w:sz="6" w:space="0"/>
              <w:left w:val="single" w:color="auto" w:sz="6" w:space="0"/>
              <w:right w:val="single" w:color="auto" w:sz="4" w:space="0"/>
            </w:tcBorders>
            <w:vAlign w:val="center"/>
          </w:tcPr>
          <w:p>
            <w:pPr>
              <w:jc w:val="left"/>
              <w:rPr>
                <w:rFonts w:ascii="宋体"/>
                <w:sz w:val="22"/>
              </w:rPr>
            </w:pPr>
            <w:r>
              <w:rPr>
                <w:rFonts w:hint="eastAsia" w:ascii="宋体" w:hAnsi="宋体"/>
                <w:sz w:val="22"/>
              </w:rPr>
              <w:t>服务费用</w:t>
            </w:r>
          </w:p>
        </w:tc>
        <w:tc>
          <w:tcPr>
            <w:tcW w:w="523" w:type="dxa"/>
            <w:tcBorders>
              <w:top w:val="single" w:color="auto" w:sz="6" w:space="0"/>
              <w:left w:val="single" w:color="auto" w:sz="4" w:space="0"/>
              <w:bottom w:val="single" w:color="auto" w:sz="6" w:space="0"/>
            </w:tcBorders>
            <w:vAlign w:val="center"/>
          </w:tcPr>
          <w:p>
            <w:pPr>
              <w:spacing w:after="120"/>
              <w:jc w:val="center"/>
              <w:rPr>
                <w:rFonts w:ascii="宋体"/>
                <w:sz w:val="22"/>
              </w:rPr>
            </w:pPr>
            <w:r>
              <w:rPr>
                <w:rFonts w:hint="eastAsia" w:ascii="宋体" w:hAnsi="宋体"/>
                <w:sz w:val="22"/>
              </w:rPr>
              <w:t>序号</w:t>
            </w:r>
          </w:p>
        </w:tc>
        <w:tc>
          <w:tcPr>
            <w:tcW w:w="77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sz w:val="22"/>
              </w:rPr>
            </w:pPr>
            <w:r>
              <w:rPr>
                <w:rFonts w:hint="eastAsia" w:ascii="宋体" w:hAnsi="宋体"/>
                <w:sz w:val="22"/>
              </w:rPr>
              <w:t>名称</w:t>
            </w:r>
          </w:p>
        </w:tc>
        <w:tc>
          <w:tcPr>
            <w:tcW w:w="153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sz w:val="22"/>
              </w:rPr>
            </w:pPr>
            <w:r>
              <w:rPr>
                <w:rFonts w:hint="eastAsia" w:ascii="宋体" w:hAnsi="宋体"/>
                <w:sz w:val="22"/>
              </w:rPr>
              <w:t>服务</w:t>
            </w:r>
            <w:r>
              <w:rPr>
                <w:rFonts w:ascii="宋体" w:hAnsi="宋体"/>
                <w:sz w:val="22"/>
              </w:rPr>
              <w:t>/</w:t>
            </w:r>
            <w:r>
              <w:rPr>
                <w:rFonts w:hint="eastAsia" w:ascii="宋体" w:hAnsi="宋体"/>
                <w:sz w:val="22"/>
              </w:rPr>
              <w:t>费用类型</w:t>
            </w:r>
          </w:p>
        </w:tc>
        <w:tc>
          <w:tcPr>
            <w:tcW w:w="1549" w:type="dxa"/>
            <w:tcBorders>
              <w:top w:val="single" w:color="auto" w:sz="6" w:space="0"/>
              <w:left w:val="single" w:color="auto" w:sz="6" w:space="0"/>
              <w:bottom w:val="single" w:color="auto" w:sz="6" w:space="0"/>
              <w:right w:val="single" w:color="auto" w:sz="6" w:space="0"/>
            </w:tcBorders>
            <w:vAlign w:val="center"/>
          </w:tcPr>
          <w:p>
            <w:pPr>
              <w:spacing w:beforeLines="50" w:after="120"/>
              <w:ind w:firstLine="440" w:firstLineChars="200"/>
              <w:rPr>
                <w:rFonts w:ascii="宋体"/>
                <w:sz w:val="22"/>
              </w:rPr>
            </w:pPr>
            <w:r>
              <w:rPr>
                <w:rFonts w:hint="eastAsia" w:ascii="宋体" w:hAnsi="宋体"/>
                <w:sz w:val="22"/>
              </w:rPr>
              <w:t>服务商</w:t>
            </w:r>
          </w:p>
        </w:tc>
        <w:tc>
          <w:tcPr>
            <w:tcW w:w="111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sz w:val="22"/>
              </w:rPr>
            </w:pPr>
            <w:r>
              <w:rPr>
                <w:rFonts w:hint="eastAsia" w:ascii="宋体" w:hAnsi="宋体"/>
                <w:sz w:val="22"/>
              </w:rPr>
              <w:t>数量/单位</w:t>
            </w:r>
          </w:p>
        </w:tc>
        <w:tc>
          <w:tcPr>
            <w:tcW w:w="117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sz w:val="22"/>
              </w:rPr>
            </w:pPr>
            <w:r>
              <w:rPr>
                <w:rFonts w:hint="eastAsia" w:ascii="宋体" w:hAnsi="宋体"/>
                <w:sz w:val="22"/>
              </w:rPr>
              <w:t>单价</w:t>
            </w:r>
          </w:p>
          <w:p>
            <w:pPr>
              <w:spacing w:after="120"/>
              <w:jc w:val="center"/>
              <w:rPr>
                <w:rFonts w:ascii="宋体"/>
                <w:bCs/>
                <w:sz w:val="22"/>
              </w:rPr>
            </w:pPr>
            <w:r>
              <w:rPr>
                <w:rFonts w:hint="eastAsia" w:ascii="宋体" w:hAnsi="宋体"/>
                <w:sz w:val="22"/>
              </w:rPr>
              <w:t>（元）</w:t>
            </w:r>
          </w:p>
        </w:tc>
        <w:tc>
          <w:tcPr>
            <w:tcW w:w="113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bCs/>
                <w:sz w:val="22"/>
              </w:rPr>
            </w:pPr>
            <w:r>
              <w:rPr>
                <w:rFonts w:hint="eastAsia" w:ascii="宋体" w:hAnsi="宋体"/>
                <w:bCs/>
                <w:sz w:val="22"/>
              </w:rPr>
              <w:t>总价</w:t>
            </w:r>
          </w:p>
          <w:p>
            <w:pPr>
              <w:spacing w:after="120"/>
              <w:jc w:val="center"/>
              <w:rPr>
                <w:rFonts w:ascii="宋体"/>
                <w:bCs/>
                <w:sz w:val="22"/>
              </w:rPr>
            </w:pPr>
            <w:r>
              <w:rPr>
                <w:rFonts w:hint="eastAsia" w:ascii="宋体" w:hAnsi="宋体"/>
                <w:bCs/>
                <w:sz w:val="22"/>
              </w:rPr>
              <w:t>（元）</w:t>
            </w:r>
          </w:p>
        </w:tc>
      </w:tr>
      <w:tr>
        <w:tblPrEx>
          <w:tblCellMar>
            <w:top w:w="0" w:type="dxa"/>
            <w:left w:w="28" w:type="dxa"/>
            <w:bottom w:w="0" w:type="dxa"/>
            <w:right w:w="28" w:type="dxa"/>
          </w:tblCellMar>
        </w:tblPrEx>
        <w:trPr>
          <w:trHeight w:val="696" w:hRule="atLeast"/>
        </w:trPr>
        <w:tc>
          <w:tcPr>
            <w:tcW w:w="1133" w:type="dxa"/>
            <w:vMerge w:val="continue"/>
            <w:tcBorders>
              <w:left w:val="single" w:color="auto" w:sz="6" w:space="0"/>
              <w:right w:val="single" w:color="auto" w:sz="4" w:space="0"/>
            </w:tcBorders>
            <w:vAlign w:val="center"/>
          </w:tcPr>
          <w:p>
            <w:pPr>
              <w:spacing w:beforeLines="100"/>
              <w:jc w:val="center"/>
              <w:rPr>
                <w:rFonts w:ascii="宋体"/>
                <w:sz w:val="22"/>
              </w:rPr>
            </w:pPr>
          </w:p>
        </w:tc>
        <w:tc>
          <w:tcPr>
            <w:tcW w:w="523" w:type="dxa"/>
            <w:tcBorders>
              <w:top w:val="single" w:color="auto" w:sz="6" w:space="0"/>
              <w:left w:val="single" w:color="auto" w:sz="4" w:space="0"/>
              <w:bottom w:val="single" w:color="auto" w:sz="4" w:space="0"/>
            </w:tcBorders>
            <w:vAlign w:val="center"/>
          </w:tcPr>
          <w:p>
            <w:pPr>
              <w:spacing w:beforeLines="100"/>
              <w:jc w:val="center"/>
              <w:rPr>
                <w:rFonts w:ascii="宋体"/>
                <w:sz w:val="22"/>
              </w:rPr>
            </w:pPr>
            <w:r>
              <w:rPr>
                <w:rFonts w:ascii="宋体" w:hAnsi="宋体"/>
                <w:sz w:val="22"/>
              </w:rPr>
              <w:t>1</w:t>
            </w:r>
          </w:p>
        </w:tc>
        <w:tc>
          <w:tcPr>
            <w:tcW w:w="778"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sz w:val="22"/>
              </w:rPr>
            </w:pPr>
          </w:p>
        </w:tc>
        <w:tc>
          <w:tcPr>
            <w:tcW w:w="1531" w:type="dxa"/>
            <w:tcBorders>
              <w:top w:val="single" w:color="auto" w:sz="6" w:space="0"/>
              <w:left w:val="single" w:color="auto" w:sz="6" w:space="0"/>
              <w:bottom w:val="single" w:color="auto" w:sz="4" w:space="0"/>
              <w:right w:val="single" w:color="auto" w:sz="6" w:space="0"/>
            </w:tcBorders>
            <w:vAlign w:val="center"/>
          </w:tcPr>
          <w:p>
            <w:pPr>
              <w:jc w:val="center"/>
              <w:rPr>
                <w:rFonts w:ascii="宋体"/>
                <w:sz w:val="22"/>
              </w:rPr>
            </w:pPr>
          </w:p>
        </w:tc>
        <w:tc>
          <w:tcPr>
            <w:tcW w:w="1549"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sz w:val="22"/>
              </w:rPr>
            </w:pPr>
          </w:p>
        </w:tc>
        <w:tc>
          <w:tcPr>
            <w:tcW w:w="1115"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sz w:val="22"/>
              </w:rPr>
            </w:pPr>
          </w:p>
        </w:tc>
        <w:tc>
          <w:tcPr>
            <w:tcW w:w="117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sz w:val="22"/>
              </w:rPr>
            </w:pPr>
          </w:p>
        </w:tc>
        <w:tc>
          <w:tcPr>
            <w:tcW w:w="1138"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sz w:val="22"/>
              </w:rPr>
            </w:pPr>
          </w:p>
        </w:tc>
      </w:tr>
      <w:tr>
        <w:tblPrEx>
          <w:tblCellMar>
            <w:top w:w="0" w:type="dxa"/>
            <w:left w:w="28" w:type="dxa"/>
            <w:bottom w:w="0" w:type="dxa"/>
            <w:right w:w="28" w:type="dxa"/>
          </w:tblCellMar>
        </w:tblPrEx>
        <w:trPr>
          <w:trHeight w:val="691" w:hRule="atLeast"/>
        </w:trPr>
        <w:tc>
          <w:tcPr>
            <w:tcW w:w="1133" w:type="dxa"/>
            <w:vMerge w:val="continue"/>
            <w:tcBorders>
              <w:left w:val="single" w:color="auto" w:sz="6" w:space="0"/>
              <w:right w:val="single" w:color="auto" w:sz="4" w:space="0"/>
            </w:tcBorders>
            <w:vAlign w:val="center"/>
          </w:tcPr>
          <w:p>
            <w:pPr>
              <w:spacing w:beforeLines="100"/>
              <w:jc w:val="center"/>
              <w:rPr>
                <w:rFonts w:ascii="宋体"/>
                <w:sz w:val="22"/>
              </w:rPr>
            </w:pPr>
          </w:p>
        </w:tc>
        <w:tc>
          <w:tcPr>
            <w:tcW w:w="523" w:type="dxa"/>
            <w:tcBorders>
              <w:top w:val="single" w:color="auto" w:sz="4" w:space="0"/>
              <w:left w:val="single" w:color="auto" w:sz="4" w:space="0"/>
              <w:bottom w:val="single" w:color="auto" w:sz="6" w:space="0"/>
            </w:tcBorders>
            <w:vAlign w:val="center"/>
          </w:tcPr>
          <w:p>
            <w:pPr>
              <w:spacing w:beforeLines="100"/>
              <w:jc w:val="center"/>
              <w:rPr>
                <w:rFonts w:ascii="宋体"/>
                <w:sz w:val="22"/>
              </w:rPr>
            </w:pPr>
            <w:r>
              <w:rPr>
                <w:rFonts w:ascii="宋体" w:hAnsi="宋体"/>
                <w:sz w:val="22"/>
              </w:rPr>
              <w:t>2</w:t>
            </w:r>
          </w:p>
        </w:tc>
        <w:tc>
          <w:tcPr>
            <w:tcW w:w="778"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sz w:val="22"/>
              </w:rPr>
            </w:pPr>
          </w:p>
        </w:tc>
        <w:tc>
          <w:tcPr>
            <w:tcW w:w="1531" w:type="dxa"/>
            <w:tcBorders>
              <w:top w:val="single" w:color="auto" w:sz="4" w:space="0"/>
              <w:left w:val="single" w:color="auto" w:sz="6" w:space="0"/>
              <w:bottom w:val="single" w:color="auto" w:sz="6" w:space="0"/>
              <w:right w:val="single" w:color="auto" w:sz="6" w:space="0"/>
            </w:tcBorders>
            <w:vAlign w:val="center"/>
          </w:tcPr>
          <w:p>
            <w:pPr>
              <w:jc w:val="center"/>
              <w:rPr>
                <w:rFonts w:ascii="宋体"/>
                <w:sz w:val="22"/>
              </w:rPr>
            </w:pPr>
          </w:p>
        </w:tc>
        <w:tc>
          <w:tcPr>
            <w:tcW w:w="1549"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c>
          <w:tcPr>
            <w:tcW w:w="111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c>
          <w:tcPr>
            <w:tcW w:w="117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c>
          <w:tcPr>
            <w:tcW w:w="113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r>
      <w:tr>
        <w:tblPrEx>
          <w:tblCellMar>
            <w:top w:w="0" w:type="dxa"/>
            <w:left w:w="28" w:type="dxa"/>
            <w:bottom w:w="0" w:type="dxa"/>
            <w:right w:w="28" w:type="dxa"/>
          </w:tblCellMar>
        </w:tblPrEx>
        <w:trPr>
          <w:trHeight w:val="696" w:hRule="atLeast"/>
        </w:trPr>
        <w:tc>
          <w:tcPr>
            <w:tcW w:w="1133" w:type="dxa"/>
            <w:vMerge w:val="continue"/>
            <w:tcBorders>
              <w:left w:val="single" w:color="auto" w:sz="6" w:space="0"/>
              <w:right w:val="single" w:color="auto" w:sz="4" w:space="0"/>
            </w:tcBorders>
            <w:vAlign w:val="center"/>
          </w:tcPr>
          <w:p>
            <w:pPr>
              <w:spacing w:beforeLines="100"/>
              <w:jc w:val="center"/>
              <w:rPr>
                <w:rFonts w:ascii="宋体"/>
                <w:sz w:val="22"/>
              </w:rPr>
            </w:pPr>
          </w:p>
        </w:tc>
        <w:tc>
          <w:tcPr>
            <w:tcW w:w="523" w:type="dxa"/>
            <w:tcBorders>
              <w:top w:val="single" w:color="auto" w:sz="4" w:space="0"/>
              <w:left w:val="single" w:color="auto" w:sz="4" w:space="0"/>
              <w:bottom w:val="single" w:color="auto" w:sz="6" w:space="0"/>
            </w:tcBorders>
            <w:vAlign w:val="center"/>
          </w:tcPr>
          <w:p>
            <w:pPr>
              <w:spacing w:beforeLines="100"/>
              <w:jc w:val="center"/>
              <w:rPr>
                <w:rFonts w:ascii="宋体"/>
                <w:sz w:val="22"/>
              </w:rPr>
            </w:pPr>
            <w:r>
              <w:rPr>
                <w:rFonts w:ascii="宋体" w:hAnsi="宋体"/>
                <w:sz w:val="22"/>
              </w:rPr>
              <w:t>3</w:t>
            </w:r>
          </w:p>
        </w:tc>
        <w:tc>
          <w:tcPr>
            <w:tcW w:w="778"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sz w:val="22"/>
              </w:rPr>
            </w:pPr>
          </w:p>
        </w:tc>
        <w:tc>
          <w:tcPr>
            <w:tcW w:w="1531" w:type="dxa"/>
            <w:tcBorders>
              <w:top w:val="single" w:color="auto" w:sz="4" w:space="0"/>
              <w:left w:val="single" w:color="auto" w:sz="6" w:space="0"/>
              <w:bottom w:val="single" w:color="auto" w:sz="6" w:space="0"/>
              <w:right w:val="single" w:color="auto" w:sz="6" w:space="0"/>
            </w:tcBorders>
            <w:vAlign w:val="center"/>
          </w:tcPr>
          <w:p>
            <w:pPr>
              <w:jc w:val="center"/>
              <w:rPr>
                <w:rFonts w:ascii="宋体"/>
                <w:sz w:val="22"/>
              </w:rPr>
            </w:pPr>
          </w:p>
        </w:tc>
        <w:tc>
          <w:tcPr>
            <w:tcW w:w="1549"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c>
          <w:tcPr>
            <w:tcW w:w="111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c>
          <w:tcPr>
            <w:tcW w:w="117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c>
          <w:tcPr>
            <w:tcW w:w="113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r>
      <w:tr>
        <w:tblPrEx>
          <w:tblCellMar>
            <w:top w:w="0" w:type="dxa"/>
            <w:left w:w="28" w:type="dxa"/>
            <w:bottom w:w="0" w:type="dxa"/>
            <w:right w:w="28" w:type="dxa"/>
          </w:tblCellMar>
        </w:tblPrEx>
        <w:trPr>
          <w:trHeight w:val="894" w:hRule="atLeast"/>
        </w:trPr>
        <w:tc>
          <w:tcPr>
            <w:tcW w:w="1133" w:type="dxa"/>
            <w:vMerge w:val="continue"/>
            <w:tcBorders>
              <w:left w:val="single" w:color="auto" w:sz="6" w:space="0"/>
              <w:right w:val="single" w:color="auto" w:sz="4" w:space="0"/>
            </w:tcBorders>
            <w:vAlign w:val="center"/>
          </w:tcPr>
          <w:p>
            <w:pPr>
              <w:spacing w:beforeLines="100"/>
              <w:jc w:val="center"/>
              <w:rPr>
                <w:rFonts w:ascii="宋体"/>
                <w:sz w:val="22"/>
              </w:rPr>
            </w:pPr>
          </w:p>
        </w:tc>
        <w:tc>
          <w:tcPr>
            <w:tcW w:w="523" w:type="dxa"/>
            <w:tcBorders>
              <w:top w:val="single" w:color="auto" w:sz="4" w:space="0"/>
              <w:left w:val="single" w:color="auto" w:sz="4" w:space="0"/>
              <w:bottom w:val="single" w:color="auto" w:sz="6" w:space="0"/>
            </w:tcBorders>
            <w:vAlign w:val="center"/>
          </w:tcPr>
          <w:p>
            <w:pPr>
              <w:spacing w:beforeLines="100"/>
              <w:jc w:val="center"/>
              <w:rPr>
                <w:rFonts w:ascii="宋体"/>
                <w:sz w:val="22"/>
              </w:rPr>
            </w:pPr>
            <w:r>
              <w:rPr>
                <w:rFonts w:ascii="宋体" w:hAnsi="宋体"/>
                <w:sz w:val="22"/>
              </w:rPr>
              <w:t>4</w:t>
            </w:r>
          </w:p>
        </w:tc>
        <w:tc>
          <w:tcPr>
            <w:tcW w:w="77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c>
          <w:tcPr>
            <w:tcW w:w="1531" w:type="dxa"/>
            <w:tcBorders>
              <w:top w:val="single" w:color="auto" w:sz="4" w:space="0"/>
              <w:left w:val="single" w:color="auto" w:sz="6" w:space="0"/>
              <w:bottom w:val="single" w:color="auto" w:sz="6" w:space="0"/>
              <w:right w:val="single" w:color="auto" w:sz="6" w:space="0"/>
            </w:tcBorders>
            <w:vAlign w:val="center"/>
          </w:tcPr>
          <w:p>
            <w:pPr>
              <w:jc w:val="center"/>
              <w:rPr>
                <w:rFonts w:ascii="宋体"/>
                <w:sz w:val="22"/>
              </w:rPr>
            </w:pPr>
          </w:p>
        </w:tc>
        <w:tc>
          <w:tcPr>
            <w:tcW w:w="1549"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c>
          <w:tcPr>
            <w:tcW w:w="111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c>
          <w:tcPr>
            <w:tcW w:w="117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c>
          <w:tcPr>
            <w:tcW w:w="113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r>
      <w:tr>
        <w:tblPrEx>
          <w:tblCellMar>
            <w:top w:w="0" w:type="dxa"/>
            <w:left w:w="28" w:type="dxa"/>
            <w:bottom w:w="0" w:type="dxa"/>
            <w:right w:w="28" w:type="dxa"/>
          </w:tblCellMar>
        </w:tblPrEx>
        <w:trPr>
          <w:trHeight w:val="894" w:hRule="atLeast"/>
        </w:trPr>
        <w:tc>
          <w:tcPr>
            <w:tcW w:w="1133" w:type="dxa"/>
            <w:vMerge w:val="continue"/>
            <w:tcBorders>
              <w:left w:val="single" w:color="auto" w:sz="6" w:space="0"/>
              <w:bottom w:val="single" w:color="auto" w:sz="6" w:space="0"/>
              <w:right w:val="single" w:color="auto" w:sz="4" w:space="0"/>
            </w:tcBorders>
            <w:vAlign w:val="center"/>
          </w:tcPr>
          <w:p>
            <w:pPr>
              <w:spacing w:beforeLines="100"/>
              <w:jc w:val="center"/>
              <w:rPr>
                <w:rFonts w:ascii="宋体"/>
                <w:sz w:val="22"/>
              </w:rPr>
            </w:pPr>
          </w:p>
        </w:tc>
        <w:tc>
          <w:tcPr>
            <w:tcW w:w="523" w:type="dxa"/>
            <w:tcBorders>
              <w:top w:val="single" w:color="auto" w:sz="4" w:space="0"/>
              <w:left w:val="single" w:color="auto" w:sz="4" w:space="0"/>
              <w:bottom w:val="single" w:color="auto" w:sz="6" w:space="0"/>
            </w:tcBorders>
            <w:vAlign w:val="center"/>
          </w:tcPr>
          <w:p>
            <w:pPr>
              <w:spacing w:beforeLines="100"/>
              <w:jc w:val="center"/>
              <w:rPr>
                <w:rFonts w:ascii="宋体"/>
                <w:sz w:val="22"/>
              </w:rPr>
            </w:pPr>
            <w:r>
              <w:rPr>
                <w:rFonts w:hint="eastAsia" w:ascii="宋体" w:hAnsi="宋体"/>
                <w:sz w:val="22"/>
              </w:rPr>
              <w:t>……</w:t>
            </w:r>
          </w:p>
        </w:tc>
        <w:tc>
          <w:tcPr>
            <w:tcW w:w="77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r>
              <w:rPr>
                <w:rFonts w:ascii="宋体" w:hAnsi="宋体"/>
                <w:sz w:val="22"/>
              </w:rPr>
              <w:t xml:space="preserve"> </w:t>
            </w:r>
          </w:p>
        </w:tc>
        <w:tc>
          <w:tcPr>
            <w:tcW w:w="1531" w:type="dxa"/>
            <w:tcBorders>
              <w:top w:val="single" w:color="auto" w:sz="4" w:space="0"/>
              <w:left w:val="single" w:color="auto" w:sz="6" w:space="0"/>
              <w:bottom w:val="single" w:color="auto" w:sz="6" w:space="0"/>
              <w:right w:val="single" w:color="auto" w:sz="6" w:space="0"/>
            </w:tcBorders>
            <w:vAlign w:val="center"/>
          </w:tcPr>
          <w:p>
            <w:pPr>
              <w:jc w:val="center"/>
              <w:rPr>
                <w:rFonts w:ascii="微软雅黑" w:eastAsia="微软雅黑" w:cs="宋体"/>
                <w:sz w:val="24"/>
                <w:szCs w:val="24"/>
              </w:rPr>
            </w:pPr>
            <w:r>
              <w:rPr>
                <w:rFonts w:hint="eastAsia" w:ascii="宋体" w:hAnsi="宋体"/>
                <w:sz w:val="22"/>
              </w:rPr>
              <w:t>……</w:t>
            </w:r>
          </w:p>
        </w:tc>
        <w:tc>
          <w:tcPr>
            <w:tcW w:w="1549"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c>
          <w:tcPr>
            <w:tcW w:w="111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c>
          <w:tcPr>
            <w:tcW w:w="117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c>
          <w:tcPr>
            <w:tcW w:w="113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p>
        </w:tc>
      </w:tr>
      <w:tr>
        <w:tblPrEx>
          <w:tblCellMar>
            <w:top w:w="0" w:type="dxa"/>
            <w:left w:w="28" w:type="dxa"/>
            <w:bottom w:w="0" w:type="dxa"/>
            <w:right w:w="28" w:type="dxa"/>
          </w:tblCellMar>
        </w:tblPrEx>
        <w:trPr>
          <w:trHeight w:val="565" w:hRule="atLeast"/>
        </w:trPr>
        <w:tc>
          <w:tcPr>
            <w:tcW w:w="2434"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sz w:val="22"/>
              </w:rPr>
            </w:pPr>
            <w:r>
              <w:rPr>
                <w:rFonts w:hint="eastAsia" w:ascii="宋体" w:hAnsi="宋体"/>
                <w:sz w:val="22"/>
              </w:rPr>
              <w:t>其他费用</w:t>
            </w:r>
          </w:p>
        </w:tc>
        <w:tc>
          <w:tcPr>
            <w:tcW w:w="1531" w:type="dxa"/>
            <w:tcBorders>
              <w:top w:val="single" w:color="auto" w:sz="4" w:space="0"/>
              <w:left w:val="single" w:color="auto" w:sz="6" w:space="0"/>
              <w:bottom w:val="single" w:color="auto" w:sz="6" w:space="0"/>
              <w:right w:val="single" w:color="auto" w:sz="6" w:space="0"/>
            </w:tcBorders>
            <w:vAlign w:val="center"/>
          </w:tcPr>
          <w:p>
            <w:pPr>
              <w:jc w:val="center"/>
              <w:rPr>
                <w:rFonts w:ascii="宋体"/>
                <w:sz w:val="22"/>
              </w:rPr>
            </w:pPr>
          </w:p>
        </w:tc>
        <w:tc>
          <w:tcPr>
            <w:tcW w:w="4975" w:type="dxa"/>
            <w:gridSpan w:val="4"/>
            <w:tcBorders>
              <w:top w:val="single" w:color="auto" w:sz="4" w:space="0"/>
              <w:left w:val="single" w:color="auto" w:sz="6" w:space="0"/>
              <w:bottom w:val="single" w:color="auto" w:sz="6" w:space="0"/>
              <w:right w:val="single" w:color="auto" w:sz="6" w:space="0"/>
            </w:tcBorders>
            <w:vAlign w:val="center"/>
          </w:tcPr>
          <w:p>
            <w:pPr>
              <w:jc w:val="center"/>
            </w:pPr>
          </w:p>
        </w:tc>
      </w:tr>
      <w:tr>
        <w:tblPrEx>
          <w:tblCellMar>
            <w:top w:w="0" w:type="dxa"/>
            <w:left w:w="28" w:type="dxa"/>
            <w:bottom w:w="0" w:type="dxa"/>
            <w:right w:w="28" w:type="dxa"/>
          </w:tblCellMar>
        </w:tblPrEx>
        <w:trPr>
          <w:trHeight w:val="565" w:hRule="atLeast"/>
        </w:trPr>
        <w:tc>
          <w:tcPr>
            <w:tcW w:w="1656" w:type="dxa"/>
            <w:gridSpan w:val="2"/>
            <w:tcBorders>
              <w:top w:val="single" w:color="auto" w:sz="4" w:space="0"/>
              <w:left w:val="single" w:color="auto" w:sz="6" w:space="0"/>
              <w:bottom w:val="single" w:color="auto" w:sz="6" w:space="0"/>
            </w:tcBorders>
            <w:vAlign w:val="center"/>
          </w:tcPr>
          <w:p>
            <w:pPr>
              <w:rPr>
                <w:rFonts w:ascii="宋体"/>
                <w:sz w:val="22"/>
              </w:rPr>
            </w:pPr>
            <w:r>
              <w:rPr>
                <w:rFonts w:hint="eastAsia" w:ascii="宋体" w:hAnsi="宋体"/>
                <w:sz w:val="22"/>
              </w:rPr>
              <w:t>总报价</w:t>
            </w:r>
          </w:p>
        </w:tc>
        <w:tc>
          <w:tcPr>
            <w:tcW w:w="778" w:type="dxa"/>
            <w:tcBorders>
              <w:top w:val="single" w:color="auto" w:sz="4" w:space="0"/>
              <w:left w:val="single" w:color="auto" w:sz="6" w:space="0"/>
              <w:bottom w:val="single" w:color="auto" w:sz="6" w:space="0"/>
              <w:right w:val="single" w:color="auto" w:sz="6" w:space="0"/>
            </w:tcBorders>
            <w:vAlign w:val="center"/>
          </w:tcPr>
          <w:p>
            <w:pPr>
              <w:spacing w:beforeLines="50"/>
              <w:jc w:val="left"/>
              <w:rPr>
                <w:rFonts w:ascii="宋体"/>
                <w:sz w:val="22"/>
              </w:rPr>
            </w:pPr>
            <w:r>
              <w:rPr>
                <w:rFonts w:hint="eastAsia" w:ascii="宋体" w:hAnsi="宋体"/>
                <w:sz w:val="22"/>
              </w:rPr>
              <w:t>大写：</w:t>
            </w:r>
            <w:r>
              <w:rPr>
                <w:rFonts w:ascii="宋体" w:hAnsi="宋体"/>
                <w:sz w:val="22"/>
              </w:rPr>
              <w:t xml:space="preserve">                       </w:t>
            </w:r>
            <w:r>
              <w:rPr>
                <w:rFonts w:hint="eastAsia" w:ascii="宋体" w:hAnsi="宋体"/>
                <w:sz w:val="22"/>
              </w:rPr>
              <w:t>小写：元</w:t>
            </w:r>
          </w:p>
        </w:tc>
        <w:tc>
          <w:tcPr>
            <w:tcW w:w="6506" w:type="dxa"/>
            <w:gridSpan w:val="5"/>
            <w:tcBorders>
              <w:top w:val="single" w:color="auto" w:sz="4" w:space="0"/>
              <w:left w:val="single" w:color="auto" w:sz="6" w:space="0"/>
              <w:bottom w:val="single" w:color="auto" w:sz="6" w:space="0"/>
              <w:right w:val="single" w:color="auto" w:sz="6" w:space="0"/>
            </w:tcBorders>
            <w:vAlign w:val="center"/>
          </w:tcPr>
          <w:p>
            <w:pPr>
              <w:spacing w:beforeLines="50"/>
              <w:jc w:val="left"/>
            </w:pPr>
          </w:p>
        </w:tc>
      </w:tr>
      <w:tr>
        <w:tblPrEx>
          <w:tblCellMar>
            <w:top w:w="0" w:type="dxa"/>
            <w:left w:w="28" w:type="dxa"/>
            <w:bottom w:w="0" w:type="dxa"/>
            <w:right w:w="28" w:type="dxa"/>
          </w:tblCellMar>
        </w:tblPrEx>
        <w:trPr>
          <w:trHeight w:val="647" w:hRule="atLeast"/>
        </w:trPr>
        <w:tc>
          <w:tcPr>
            <w:tcW w:w="1656" w:type="dxa"/>
            <w:gridSpan w:val="2"/>
            <w:tcBorders>
              <w:top w:val="single" w:color="auto" w:sz="4" w:space="0"/>
              <w:left w:val="single" w:color="auto" w:sz="6" w:space="0"/>
              <w:bottom w:val="single" w:color="auto" w:sz="6" w:space="0"/>
            </w:tcBorders>
            <w:vAlign w:val="center"/>
          </w:tcPr>
          <w:p>
            <w:pPr>
              <w:jc w:val="center"/>
              <w:rPr>
                <w:rFonts w:ascii="宋体"/>
                <w:sz w:val="22"/>
              </w:rPr>
            </w:pPr>
            <w:r>
              <w:rPr>
                <w:rFonts w:hint="eastAsia" w:ascii="宋体" w:hAnsi="宋体"/>
                <w:sz w:val="22"/>
              </w:rPr>
              <w:t>备注</w:t>
            </w:r>
          </w:p>
        </w:tc>
        <w:tc>
          <w:tcPr>
            <w:tcW w:w="7284" w:type="dxa"/>
            <w:gridSpan w:val="6"/>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sz w:val="22"/>
              </w:rPr>
            </w:pPr>
            <w:r>
              <w:rPr>
                <w:rFonts w:hint="eastAsia" w:ascii="宋体" w:hAnsi="宋体"/>
                <w:spacing w:val="-6"/>
                <w:sz w:val="22"/>
              </w:rPr>
              <w:t>保留小数点后两位。</w:t>
            </w:r>
          </w:p>
        </w:tc>
      </w:tr>
    </w:tbl>
    <w:p>
      <w:pPr>
        <w:widowControl/>
        <w:wordWrap w:val="0"/>
        <w:spacing w:line="360" w:lineRule="auto"/>
        <w:jc w:val="left"/>
        <w:rPr>
          <w:rFonts w:ascii="宋体" w:cs="宋体"/>
          <w:b/>
          <w:color w:val="000000"/>
          <w:sz w:val="36"/>
          <w:szCs w:val="36"/>
        </w:rPr>
      </w:pPr>
    </w:p>
    <w:p>
      <w:pPr>
        <w:adjustRightInd w:val="0"/>
        <w:snapToGrid w:val="0"/>
        <w:spacing w:line="480" w:lineRule="auto"/>
        <w:rPr>
          <w:rFonts w:ascii="宋体"/>
          <w:color w:val="000000"/>
          <w:sz w:val="24"/>
          <w:szCs w:val="24"/>
        </w:rPr>
      </w:pPr>
      <w:r>
        <w:rPr>
          <w:rFonts w:hint="eastAsia" w:ascii="宋体" w:hAnsi="宋体"/>
          <w:color w:val="000000"/>
          <w:sz w:val="24"/>
          <w:szCs w:val="24"/>
        </w:rPr>
        <w:t>供应商（单位名称及公章）：</w:t>
      </w:r>
    </w:p>
    <w:p>
      <w:pPr>
        <w:adjustRightInd w:val="0"/>
        <w:snapToGrid w:val="0"/>
        <w:spacing w:line="480" w:lineRule="auto"/>
        <w:rPr>
          <w:rFonts w:ascii="宋体"/>
          <w:color w:val="000000"/>
          <w:sz w:val="24"/>
          <w:szCs w:val="24"/>
        </w:rPr>
      </w:pPr>
      <w:r>
        <w:rPr>
          <w:rFonts w:hint="eastAsia" w:ascii="宋体" w:hAnsi="宋体"/>
          <w:color w:val="000000"/>
          <w:sz w:val="24"/>
          <w:szCs w:val="24"/>
        </w:rPr>
        <w:t>法定代表人</w:t>
      </w:r>
      <w:r>
        <w:rPr>
          <w:rFonts w:ascii="宋体" w:hAnsi="宋体"/>
          <w:color w:val="000000"/>
          <w:sz w:val="24"/>
          <w:szCs w:val="24"/>
        </w:rPr>
        <w:t>/</w:t>
      </w:r>
      <w:r>
        <w:rPr>
          <w:rFonts w:hint="eastAsia" w:ascii="宋体" w:hAnsi="宋体"/>
          <w:color w:val="000000"/>
          <w:sz w:val="24"/>
          <w:szCs w:val="24"/>
        </w:rPr>
        <w:t>被授权人（签字或盖章）：</w:t>
      </w:r>
    </w:p>
    <w:p>
      <w:pPr>
        <w:adjustRightInd w:val="0"/>
        <w:snapToGrid w:val="0"/>
        <w:spacing w:line="480" w:lineRule="auto"/>
        <w:rPr>
          <w:color w:val="000000"/>
          <w:sz w:val="36"/>
          <w:szCs w:val="36"/>
        </w:rPr>
        <w:sectPr>
          <w:pgSz w:w="11906" w:h="16838"/>
          <w:pgMar w:top="1440" w:right="1803" w:bottom="1440" w:left="1803" w:header="851" w:footer="992" w:gutter="0"/>
          <w:pgNumType w:fmt="decimal"/>
          <w:cols w:space="720" w:num="1"/>
          <w:docGrid w:type="lines" w:linePitch="319" w:charSpace="0"/>
        </w:sectPr>
      </w:pPr>
      <w:r>
        <w:rPr>
          <w:rFonts w:hint="eastAsia" w:ascii="宋体" w:hAnsi="宋体"/>
          <w:color w:val="000000"/>
          <w:sz w:val="24"/>
          <w:szCs w:val="24"/>
        </w:rPr>
        <w:t>日期：年  月  日</w:t>
      </w:r>
    </w:p>
    <w:bookmarkEnd w:id="151"/>
    <w:bookmarkEnd w:id="152"/>
    <w:bookmarkEnd w:id="153"/>
    <w:bookmarkEnd w:id="154"/>
    <w:bookmarkEnd w:id="155"/>
    <w:p>
      <w:pPr>
        <w:pStyle w:val="4"/>
        <w:rPr>
          <w:color w:val="000000"/>
        </w:rPr>
      </w:pPr>
      <w:bookmarkStart w:id="156" w:name="_Toc5436"/>
      <w:bookmarkStart w:id="157" w:name="_Toc3301"/>
      <w:bookmarkStart w:id="158" w:name="_Toc25889"/>
      <w:bookmarkStart w:id="159" w:name="_Toc23078"/>
      <w:bookmarkStart w:id="160" w:name="_Toc32440"/>
      <w:r>
        <w:rPr>
          <w:rFonts w:hint="eastAsia"/>
          <w:color w:val="000000"/>
        </w:rPr>
        <w:t>第四章  供应商资质证明资料</w:t>
      </w:r>
      <w:bookmarkEnd w:id="156"/>
      <w:bookmarkEnd w:id="157"/>
      <w:bookmarkEnd w:id="158"/>
    </w:p>
    <w:p>
      <w:pPr>
        <w:pStyle w:val="6"/>
        <w:rPr>
          <w:rFonts w:ascii="宋体" w:hAnsi="宋体" w:cs="宋体"/>
          <w:b/>
          <w:bCs/>
          <w:color w:val="000000"/>
          <w:sz w:val="28"/>
          <w:szCs w:val="24"/>
        </w:rPr>
      </w:pPr>
    </w:p>
    <w:p>
      <w:pPr>
        <w:pStyle w:val="6"/>
        <w:rPr>
          <w:rFonts w:ascii="宋体" w:hAnsi="宋体" w:cs="宋体"/>
          <w:b/>
          <w:bCs/>
          <w:color w:val="000000"/>
          <w:sz w:val="28"/>
          <w:szCs w:val="24"/>
        </w:rPr>
      </w:pPr>
    </w:p>
    <w:p>
      <w:pPr>
        <w:pStyle w:val="6"/>
        <w:rPr>
          <w:rFonts w:ascii="宋体" w:hAnsi="宋体" w:cs="宋体"/>
          <w:b/>
          <w:bCs/>
          <w:color w:val="000000"/>
          <w:sz w:val="28"/>
          <w:szCs w:val="24"/>
        </w:rPr>
      </w:pPr>
    </w:p>
    <w:p>
      <w:pPr>
        <w:pStyle w:val="6"/>
        <w:rPr>
          <w:rFonts w:ascii="宋体" w:hAnsi="宋体" w:cs="宋体"/>
          <w:b/>
          <w:bCs/>
          <w:color w:val="000000"/>
          <w:sz w:val="28"/>
          <w:szCs w:val="24"/>
        </w:rPr>
      </w:pPr>
    </w:p>
    <w:p>
      <w:pPr>
        <w:pStyle w:val="6"/>
        <w:rPr>
          <w:b/>
          <w:bCs/>
          <w:color w:val="000000"/>
          <w:sz w:val="28"/>
          <w:szCs w:val="24"/>
        </w:rPr>
      </w:pPr>
      <w:r>
        <w:rPr>
          <w:rFonts w:hint="eastAsia" w:ascii="宋体" w:hAnsi="宋体" w:cs="宋体"/>
          <w:b/>
          <w:bCs/>
          <w:color w:val="000000"/>
          <w:sz w:val="28"/>
          <w:szCs w:val="24"/>
        </w:rPr>
        <w:t>供应商需在此页附磋商公告或磋商文件中要求的资质证明文件，响应文件附资质复印件或扫描件加盖供应商公章。格式参考见下页。</w:t>
      </w:r>
    </w:p>
    <w:p>
      <w:pPr>
        <w:rPr>
          <w:color w:val="000000"/>
        </w:rPr>
      </w:pPr>
    </w:p>
    <w:p>
      <w:pPr>
        <w:pStyle w:val="6"/>
        <w:rPr>
          <w:color w:val="000000"/>
          <w:sz w:val="24"/>
          <w:szCs w:val="24"/>
        </w:rPr>
      </w:pPr>
    </w:p>
    <w:p>
      <w:pPr>
        <w:pStyle w:val="6"/>
        <w:ind w:firstLine="0"/>
        <w:rPr>
          <w:b/>
          <w:bCs/>
          <w:color w:val="000000"/>
          <w:sz w:val="28"/>
          <w:szCs w:val="28"/>
        </w:rPr>
        <w:sectPr>
          <w:pgSz w:w="11906" w:h="16838"/>
          <w:pgMar w:top="1440" w:right="1803" w:bottom="1440" w:left="1803" w:header="851" w:footer="992" w:gutter="0"/>
          <w:pgNumType w:fmt="decimal"/>
          <w:cols w:space="720" w:num="1"/>
          <w:docGrid w:type="lines" w:linePitch="319" w:charSpace="0"/>
        </w:sectPr>
      </w:pPr>
    </w:p>
    <w:p>
      <w:pPr>
        <w:pStyle w:val="6"/>
        <w:ind w:firstLine="0"/>
        <w:rPr>
          <w:b/>
          <w:bCs/>
          <w:color w:val="000000"/>
          <w:sz w:val="32"/>
          <w:szCs w:val="28"/>
        </w:rPr>
      </w:pPr>
      <w:r>
        <w:rPr>
          <w:rFonts w:hint="eastAsia"/>
          <w:b/>
          <w:bCs/>
          <w:color w:val="000000"/>
          <w:sz w:val="32"/>
          <w:szCs w:val="28"/>
        </w:rPr>
        <w:t>附：资质证明文件格式：</w:t>
      </w:r>
    </w:p>
    <w:p>
      <w:pPr>
        <w:rPr>
          <w:rFonts w:ascii="宋体"/>
          <w:color w:val="000000"/>
        </w:rPr>
      </w:pPr>
      <w:r>
        <w:rPr>
          <w:rFonts w:hint="eastAsia" w:ascii="宋体" w:hAnsi="宋体" w:cs="宋体"/>
          <w:color w:val="000000"/>
          <w:sz w:val="24"/>
          <w:szCs w:val="24"/>
        </w:rPr>
        <w:t>1、供应商符合《</w:t>
      </w:r>
      <w:r>
        <w:rPr>
          <w:rFonts w:hint="eastAsia" w:ascii="宋体" w:hAnsi="宋体" w:cs="宋体"/>
          <w:color w:val="000000"/>
          <w:sz w:val="24"/>
          <w:szCs w:val="24"/>
          <w:lang w:val="en-US" w:eastAsia="zh-CN"/>
        </w:rPr>
        <w:t>中华人民共和国</w:t>
      </w:r>
      <w:r>
        <w:rPr>
          <w:rFonts w:hint="eastAsia" w:ascii="宋体" w:hAnsi="宋体" w:cs="宋体"/>
          <w:color w:val="000000"/>
          <w:sz w:val="24"/>
          <w:szCs w:val="24"/>
        </w:rPr>
        <w:t>政府采购法》第二十二条规定条件的承诺函</w:t>
      </w:r>
    </w:p>
    <w:p>
      <w:pPr>
        <w:pStyle w:val="9"/>
        <w:spacing w:line="360" w:lineRule="auto"/>
        <w:ind w:left="0" w:leftChars="0"/>
        <w:rPr>
          <w:rFonts w:ascii="宋体"/>
          <w:color w:val="000000"/>
          <w:sz w:val="24"/>
          <w:szCs w:val="24"/>
        </w:rPr>
      </w:pPr>
      <w:r>
        <w:rPr>
          <w:rFonts w:hint="eastAsia" w:ascii="宋体" w:hAnsi="宋体" w:cs="宋体"/>
          <w:color w:val="000000"/>
          <w:sz w:val="24"/>
          <w:szCs w:val="24"/>
        </w:rPr>
        <w:t>致陕西万泽招标有限公司：</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本公司</w:t>
      </w:r>
      <w:r>
        <w:rPr>
          <w:rFonts w:hint="eastAsia" w:ascii="宋体" w:hAnsi="宋体" w:cs="宋体"/>
          <w:color w:val="000000"/>
          <w:sz w:val="24"/>
          <w:szCs w:val="24"/>
          <w:u w:val="single"/>
        </w:rPr>
        <w:t>（公司名称）</w:t>
      </w:r>
      <w:r>
        <w:rPr>
          <w:rFonts w:hint="eastAsia" w:ascii="宋体" w:hAnsi="宋体" w:cs="宋体"/>
          <w:color w:val="000000"/>
          <w:sz w:val="24"/>
          <w:szCs w:val="24"/>
        </w:rPr>
        <w:t>参加的</w:t>
      </w:r>
      <w:r>
        <w:rPr>
          <w:rFonts w:hint="eastAsia" w:ascii="宋体" w:hAnsi="宋体" w:cs="宋体"/>
          <w:color w:val="000000"/>
          <w:sz w:val="24"/>
          <w:szCs w:val="24"/>
          <w:lang w:val="en-US" w:eastAsia="zh-CN"/>
        </w:rPr>
        <w:t>竞争性磋商</w:t>
      </w:r>
      <w:r>
        <w:rPr>
          <w:rFonts w:hint="eastAsia" w:ascii="宋体" w:hAnsi="宋体" w:cs="宋体"/>
          <w:color w:val="000000"/>
          <w:sz w:val="24"/>
          <w:szCs w:val="24"/>
        </w:rPr>
        <w:t>活动，现承诺：</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我公司满足政府采购法第二十二条关于供应商的资格要求：</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（一）具有独立承担民事责任的能力；</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（二）具有良好的商业信誉和健全的财务会计制度；</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（三）具有履行合同所必需的设备和专业技术能力；</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（四）有依法缴纳税收的良好记录；</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（五）参加政府采购活动前三年内，在经营活动中没有重大违法记录；</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（六）法律、行政法规规定的其他条件。</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同时也满足本项目法律法规规章规定关于供应商的其他资格性条件，未参与本采购项目前期咨询论证，不属于禁止参加投标的供应商。</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如违反以上承诺，本公司愿承担一切法律责任。</w:t>
      </w:r>
    </w:p>
    <w:p>
      <w:pPr>
        <w:pStyle w:val="9"/>
        <w:spacing w:line="360" w:lineRule="auto"/>
        <w:ind w:left="0" w:leftChars="0"/>
        <w:rPr>
          <w:rFonts w:ascii="宋体"/>
          <w:color w:val="000000"/>
          <w:sz w:val="24"/>
          <w:szCs w:val="24"/>
        </w:rPr>
      </w:pPr>
    </w:p>
    <w:p>
      <w:pPr>
        <w:spacing w:line="360" w:lineRule="auto"/>
        <w:rPr>
          <w:rFonts w:ascii="宋体"/>
          <w:color w:val="000000"/>
          <w:sz w:val="24"/>
          <w:szCs w:val="24"/>
          <w:u w:val="single"/>
        </w:rPr>
      </w:pPr>
      <w:r>
        <w:rPr>
          <w:rFonts w:hint="eastAsia" w:ascii="宋体" w:hAnsi="宋体" w:cs="宋体"/>
          <w:color w:val="000000"/>
          <w:sz w:val="24"/>
          <w:szCs w:val="24"/>
        </w:rPr>
        <w:t>供应商名称：</w:t>
      </w:r>
      <w:r>
        <w:rPr>
          <w:rFonts w:hint="eastAsia" w:ascii="宋体" w:hAnsi="宋体" w:cs="宋体"/>
          <w:color w:val="000000"/>
          <w:sz w:val="24"/>
          <w:szCs w:val="24"/>
          <w:u w:val="single"/>
        </w:rPr>
        <w:t>（名称及盖章）</w:t>
      </w:r>
    </w:p>
    <w:p>
      <w:pPr>
        <w:spacing w:line="360" w:lineRule="auto"/>
        <w:rPr>
          <w:rFonts w:ascii="宋体"/>
          <w:color w:val="000000"/>
          <w:sz w:val="24"/>
          <w:szCs w:val="24"/>
        </w:rPr>
      </w:pPr>
    </w:p>
    <w:p>
      <w:pPr>
        <w:spacing w:line="360" w:lineRule="auto"/>
        <w:rPr>
          <w:rFonts w:ascii="宋体"/>
          <w:color w:val="000000"/>
          <w:sz w:val="24"/>
          <w:szCs w:val="24"/>
        </w:rPr>
      </w:pPr>
      <w:r>
        <w:rPr>
          <w:rFonts w:hint="eastAsia" w:ascii="宋体" w:hAnsi="宋体" w:cs="宋体"/>
          <w:color w:val="000000"/>
          <w:sz w:val="24"/>
          <w:szCs w:val="24"/>
        </w:rPr>
        <w:t>法定代表人或委托代理人（签字或盖章）：</w:t>
      </w:r>
    </w:p>
    <w:p>
      <w:pPr>
        <w:spacing w:line="360" w:lineRule="auto"/>
        <w:rPr>
          <w:rFonts w:ascii="宋体"/>
          <w:color w:val="000000"/>
          <w:sz w:val="24"/>
          <w:szCs w:val="24"/>
        </w:rPr>
      </w:pPr>
    </w:p>
    <w:p>
      <w:pPr>
        <w:spacing w:line="360" w:lineRule="auto"/>
        <w:rPr>
          <w:rFonts w:ascii="宋体"/>
          <w:color w:val="000000"/>
          <w:sz w:val="24"/>
          <w:szCs w:val="24"/>
        </w:rPr>
      </w:pPr>
      <w:r>
        <w:rPr>
          <w:rFonts w:hint="eastAsia" w:ascii="宋体" w:hAnsi="宋体" w:cs="宋体"/>
          <w:color w:val="000000"/>
          <w:sz w:val="24"/>
          <w:szCs w:val="24"/>
        </w:rPr>
        <w:t>日期：</w:t>
      </w:r>
    </w:p>
    <w:p>
      <w:pPr>
        <w:pStyle w:val="6"/>
        <w:ind w:firstLine="0"/>
        <w:rPr>
          <w:color w:val="000000"/>
        </w:rPr>
      </w:pPr>
    </w:p>
    <w:p>
      <w:pPr>
        <w:rPr>
          <w:color w:val="000000"/>
        </w:rPr>
      </w:pPr>
      <w:bookmarkStart w:id="161" w:name="_Toc1408"/>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sectPr>
          <w:pgSz w:w="11906" w:h="16838"/>
          <w:pgMar w:top="1440" w:right="1803" w:bottom="1440" w:left="1803" w:header="851" w:footer="992" w:gutter="0"/>
          <w:pgNumType w:fmt="decimal"/>
          <w:cols w:space="720" w:num="1"/>
          <w:docGrid w:type="lines" w:linePitch="319" w:charSpace="0"/>
        </w:sectPr>
      </w:pPr>
    </w:p>
    <w:p>
      <w:pPr>
        <w:ind w:firstLine="2240" w:firstLineChars="700"/>
        <w:rPr>
          <w:color w:val="000000"/>
          <w:sz w:val="32"/>
          <w:szCs w:val="36"/>
        </w:rPr>
      </w:pPr>
      <w:r>
        <w:rPr>
          <w:rFonts w:hint="eastAsia"/>
          <w:color w:val="000000"/>
          <w:sz w:val="32"/>
          <w:szCs w:val="36"/>
        </w:rPr>
        <w:t>2、供应商基本情况一览表</w:t>
      </w:r>
    </w:p>
    <w:p>
      <w:pPr>
        <w:rPr>
          <w:color w:val="000000"/>
          <w:sz w:val="28"/>
          <w:szCs w:val="32"/>
        </w:rPr>
      </w:pPr>
      <w:r>
        <w:rPr>
          <w:rFonts w:hint="eastAsia"/>
          <w:color w:val="000000"/>
          <w:sz w:val="24"/>
          <w:szCs w:val="28"/>
        </w:rPr>
        <w:t>2-1供应商基本情况一览表</w:t>
      </w:r>
    </w:p>
    <w:tbl>
      <w:tblPr>
        <w:tblStyle w:val="24"/>
        <w:tblW w:w="8839"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37"/>
        <w:gridCol w:w="1029"/>
        <w:gridCol w:w="1333"/>
        <w:gridCol w:w="1343"/>
        <w:gridCol w:w="1420"/>
        <w:gridCol w:w="170"/>
        <w:gridCol w:w="744"/>
        <w:gridCol w:w="116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1637" w:type="dxa"/>
            <w:vAlign w:val="center"/>
          </w:tcPr>
          <w:p>
            <w:pPr>
              <w:rPr>
                <w:color w:val="000000"/>
              </w:rPr>
            </w:pPr>
            <w:r>
              <w:rPr>
                <w:rFonts w:hint="eastAsia"/>
                <w:color w:val="000000"/>
              </w:rPr>
              <w:t>供应商名称</w:t>
            </w:r>
          </w:p>
        </w:tc>
        <w:tc>
          <w:tcPr>
            <w:tcW w:w="7202" w:type="dxa"/>
            <w:gridSpan w:val="7"/>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4" w:hRule="atLeast"/>
        </w:trPr>
        <w:tc>
          <w:tcPr>
            <w:tcW w:w="1637" w:type="dxa"/>
            <w:vAlign w:val="center"/>
          </w:tcPr>
          <w:p>
            <w:pPr>
              <w:rPr>
                <w:color w:val="000000"/>
              </w:rPr>
            </w:pPr>
            <w:r>
              <w:rPr>
                <w:rFonts w:hint="eastAsia"/>
                <w:color w:val="000000"/>
              </w:rPr>
              <w:t>注册地址</w:t>
            </w:r>
          </w:p>
        </w:tc>
        <w:tc>
          <w:tcPr>
            <w:tcW w:w="3705" w:type="dxa"/>
            <w:gridSpan w:val="3"/>
            <w:vAlign w:val="center"/>
          </w:tcPr>
          <w:p>
            <w:pPr>
              <w:rPr>
                <w:color w:val="000000"/>
              </w:rPr>
            </w:pPr>
          </w:p>
        </w:tc>
        <w:tc>
          <w:tcPr>
            <w:tcW w:w="1420" w:type="dxa"/>
            <w:vAlign w:val="center"/>
          </w:tcPr>
          <w:p>
            <w:pPr>
              <w:rPr>
                <w:color w:val="000000"/>
              </w:rPr>
            </w:pPr>
            <w:r>
              <w:rPr>
                <w:rFonts w:hint="eastAsia"/>
                <w:color w:val="000000"/>
              </w:rPr>
              <w:t>邮政编码</w:t>
            </w:r>
          </w:p>
        </w:tc>
        <w:tc>
          <w:tcPr>
            <w:tcW w:w="2077" w:type="dxa"/>
            <w:gridSpan w:val="3"/>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1" w:hRule="atLeast"/>
        </w:trPr>
        <w:tc>
          <w:tcPr>
            <w:tcW w:w="1637" w:type="dxa"/>
            <w:vAlign w:val="center"/>
          </w:tcPr>
          <w:p>
            <w:pPr>
              <w:rPr>
                <w:color w:val="000000"/>
              </w:rPr>
            </w:pPr>
            <w:r>
              <w:rPr>
                <w:rFonts w:hint="eastAsia"/>
                <w:color w:val="000000"/>
              </w:rPr>
              <w:t>联系方式</w:t>
            </w:r>
          </w:p>
        </w:tc>
        <w:tc>
          <w:tcPr>
            <w:tcW w:w="1029" w:type="dxa"/>
            <w:vAlign w:val="center"/>
          </w:tcPr>
          <w:p>
            <w:pPr>
              <w:rPr>
                <w:color w:val="000000"/>
              </w:rPr>
            </w:pPr>
            <w:r>
              <w:rPr>
                <w:rFonts w:hint="eastAsia"/>
                <w:color w:val="000000"/>
              </w:rPr>
              <w:t>联系人</w:t>
            </w:r>
          </w:p>
        </w:tc>
        <w:tc>
          <w:tcPr>
            <w:tcW w:w="2676" w:type="dxa"/>
            <w:gridSpan w:val="2"/>
            <w:vAlign w:val="center"/>
          </w:tcPr>
          <w:p>
            <w:pPr>
              <w:rPr>
                <w:color w:val="000000"/>
              </w:rPr>
            </w:pPr>
          </w:p>
        </w:tc>
        <w:tc>
          <w:tcPr>
            <w:tcW w:w="1420" w:type="dxa"/>
            <w:vAlign w:val="center"/>
          </w:tcPr>
          <w:p>
            <w:pPr>
              <w:rPr>
                <w:color w:val="000000"/>
              </w:rPr>
            </w:pPr>
            <w:r>
              <w:rPr>
                <w:rFonts w:hint="eastAsia"/>
                <w:color w:val="000000"/>
              </w:rPr>
              <w:t>电话</w:t>
            </w:r>
          </w:p>
        </w:tc>
        <w:tc>
          <w:tcPr>
            <w:tcW w:w="2077" w:type="dxa"/>
            <w:gridSpan w:val="3"/>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1637" w:type="dxa"/>
            <w:vAlign w:val="center"/>
          </w:tcPr>
          <w:p>
            <w:pPr>
              <w:rPr>
                <w:color w:val="000000"/>
              </w:rPr>
            </w:pPr>
            <w:r>
              <w:rPr>
                <w:rFonts w:hint="eastAsia"/>
                <w:color w:val="000000"/>
              </w:rPr>
              <w:t>法定代表人</w:t>
            </w:r>
          </w:p>
        </w:tc>
        <w:tc>
          <w:tcPr>
            <w:tcW w:w="1029" w:type="dxa"/>
            <w:vAlign w:val="center"/>
          </w:tcPr>
          <w:p>
            <w:pPr>
              <w:rPr>
                <w:color w:val="000000"/>
              </w:rPr>
            </w:pPr>
            <w:r>
              <w:rPr>
                <w:rFonts w:hint="eastAsia"/>
                <w:color w:val="000000"/>
              </w:rPr>
              <w:t>姓名</w:t>
            </w:r>
          </w:p>
        </w:tc>
        <w:tc>
          <w:tcPr>
            <w:tcW w:w="1333" w:type="dxa"/>
            <w:vAlign w:val="center"/>
          </w:tcPr>
          <w:p>
            <w:pPr>
              <w:rPr>
                <w:color w:val="000000"/>
              </w:rPr>
            </w:pPr>
          </w:p>
        </w:tc>
        <w:tc>
          <w:tcPr>
            <w:tcW w:w="1343" w:type="dxa"/>
            <w:vAlign w:val="center"/>
          </w:tcPr>
          <w:p>
            <w:pPr>
              <w:rPr>
                <w:color w:val="000000"/>
              </w:rPr>
            </w:pPr>
            <w:r>
              <w:rPr>
                <w:rFonts w:hint="eastAsia"/>
                <w:color w:val="000000"/>
              </w:rPr>
              <w:t>技术职称</w:t>
            </w:r>
          </w:p>
        </w:tc>
        <w:tc>
          <w:tcPr>
            <w:tcW w:w="1420" w:type="dxa"/>
            <w:vAlign w:val="center"/>
          </w:tcPr>
          <w:p>
            <w:pPr>
              <w:rPr>
                <w:color w:val="000000"/>
              </w:rPr>
            </w:pPr>
          </w:p>
        </w:tc>
        <w:tc>
          <w:tcPr>
            <w:tcW w:w="914" w:type="dxa"/>
            <w:gridSpan w:val="2"/>
            <w:vAlign w:val="center"/>
          </w:tcPr>
          <w:p>
            <w:pPr>
              <w:rPr>
                <w:color w:val="000000"/>
              </w:rPr>
            </w:pPr>
            <w:r>
              <w:rPr>
                <w:rFonts w:hint="eastAsia"/>
                <w:color w:val="000000"/>
              </w:rPr>
              <w:t>电话</w:t>
            </w:r>
          </w:p>
        </w:tc>
        <w:tc>
          <w:tcPr>
            <w:tcW w:w="1163" w:type="dxa"/>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1637" w:type="dxa"/>
            <w:vAlign w:val="center"/>
          </w:tcPr>
          <w:p>
            <w:pPr>
              <w:rPr>
                <w:color w:val="000000"/>
              </w:rPr>
            </w:pPr>
            <w:r>
              <w:rPr>
                <w:rFonts w:hint="eastAsia"/>
                <w:color w:val="000000"/>
              </w:rPr>
              <w:t>技术负责人</w:t>
            </w:r>
          </w:p>
        </w:tc>
        <w:tc>
          <w:tcPr>
            <w:tcW w:w="1029" w:type="dxa"/>
            <w:vAlign w:val="center"/>
          </w:tcPr>
          <w:p>
            <w:pPr>
              <w:rPr>
                <w:color w:val="000000"/>
              </w:rPr>
            </w:pPr>
            <w:r>
              <w:rPr>
                <w:rFonts w:hint="eastAsia"/>
                <w:color w:val="000000"/>
              </w:rPr>
              <w:t>姓名</w:t>
            </w:r>
          </w:p>
        </w:tc>
        <w:tc>
          <w:tcPr>
            <w:tcW w:w="1333" w:type="dxa"/>
            <w:vAlign w:val="center"/>
          </w:tcPr>
          <w:p>
            <w:pPr>
              <w:rPr>
                <w:color w:val="000000"/>
              </w:rPr>
            </w:pPr>
          </w:p>
        </w:tc>
        <w:tc>
          <w:tcPr>
            <w:tcW w:w="1343" w:type="dxa"/>
            <w:vAlign w:val="center"/>
          </w:tcPr>
          <w:p>
            <w:pPr>
              <w:rPr>
                <w:color w:val="000000"/>
              </w:rPr>
            </w:pPr>
            <w:r>
              <w:rPr>
                <w:rFonts w:hint="eastAsia"/>
                <w:color w:val="000000"/>
              </w:rPr>
              <w:t>技术职称</w:t>
            </w:r>
          </w:p>
        </w:tc>
        <w:tc>
          <w:tcPr>
            <w:tcW w:w="1420" w:type="dxa"/>
            <w:vAlign w:val="center"/>
          </w:tcPr>
          <w:p>
            <w:pPr>
              <w:rPr>
                <w:color w:val="000000"/>
              </w:rPr>
            </w:pPr>
          </w:p>
        </w:tc>
        <w:tc>
          <w:tcPr>
            <w:tcW w:w="914" w:type="dxa"/>
            <w:gridSpan w:val="2"/>
            <w:vAlign w:val="center"/>
          </w:tcPr>
          <w:p>
            <w:pPr>
              <w:rPr>
                <w:color w:val="000000"/>
              </w:rPr>
            </w:pPr>
            <w:r>
              <w:rPr>
                <w:rFonts w:hint="eastAsia"/>
                <w:color w:val="000000"/>
              </w:rPr>
              <w:t>电话</w:t>
            </w:r>
          </w:p>
        </w:tc>
        <w:tc>
          <w:tcPr>
            <w:tcW w:w="1163" w:type="dxa"/>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1" w:hRule="atLeast"/>
        </w:trPr>
        <w:tc>
          <w:tcPr>
            <w:tcW w:w="1637" w:type="dxa"/>
            <w:vAlign w:val="center"/>
          </w:tcPr>
          <w:p>
            <w:pPr>
              <w:rPr>
                <w:color w:val="000000"/>
              </w:rPr>
            </w:pPr>
            <w:r>
              <w:rPr>
                <w:rFonts w:hint="eastAsia"/>
                <w:color w:val="000000"/>
              </w:rPr>
              <w:t>成立时间</w:t>
            </w:r>
          </w:p>
        </w:tc>
        <w:tc>
          <w:tcPr>
            <w:tcW w:w="2362" w:type="dxa"/>
            <w:gridSpan w:val="2"/>
            <w:vAlign w:val="center"/>
          </w:tcPr>
          <w:p>
            <w:pPr>
              <w:rPr>
                <w:color w:val="000000"/>
              </w:rPr>
            </w:pPr>
          </w:p>
        </w:tc>
        <w:tc>
          <w:tcPr>
            <w:tcW w:w="4840" w:type="dxa"/>
            <w:gridSpan w:val="5"/>
            <w:vAlign w:val="center"/>
          </w:tcPr>
          <w:p>
            <w:pPr>
              <w:rPr>
                <w:color w:val="000000"/>
              </w:rPr>
            </w:pPr>
            <w:r>
              <w:rPr>
                <w:rFonts w:hint="eastAsia"/>
                <w:color w:val="000000"/>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37" w:type="dxa"/>
            <w:vAlign w:val="center"/>
          </w:tcPr>
          <w:p>
            <w:pPr>
              <w:rPr>
                <w:color w:val="000000"/>
              </w:rPr>
            </w:pPr>
            <w:r>
              <w:rPr>
                <w:rFonts w:hint="eastAsia"/>
                <w:color w:val="000000"/>
              </w:rPr>
              <w:t>营业执照号</w:t>
            </w:r>
          </w:p>
        </w:tc>
        <w:tc>
          <w:tcPr>
            <w:tcW w:w="2362" w:type="dxa"/>
            <w:gridSpan w:val="2"/>
            <w:vAlign w:val="center"/>
          </w:tcPr>
          <w:p>
            <w:pPr>
              <w:rPr>
                <w:color w:val="000000"/>
              </w:rPr>
            </w:pPr>
          </w:p>
        </w:tc>
        <w:tc>
          <w:tcPr>
            <w:tcW w:w="1343" w:type="dxa"/>
            <w:vMerge w:val="restart"/>
            <w:vAlign w:val="center"/>
          </w:tcPr>
          <w:p>
            <w:pPr>
              <w:rPr>
                <w:color w:val="000000"/>
              </w:rPr>
            </w:pPr>
            <w:r>
              <w:rPr>
                <w:rFonts w:hint="eastAsia"/>
                <w:color w:val="000000"/>
              </w:rPr>
              <w:t>其中</w:t>
            </w:r>
          </w:p>
        </w:tc>
        <w:tc>
          <w:tcPr>
            <w:tcW w:w="1590" w:type="dxa"/>
            <w:gridSpan w:val="2"/>
            <w:vAlign w:val="center"/>
          </w:tcPr>
          <w:p>
            <w:pPr>
              <w:rPr>
                <w:color w:val="000000"/>
              </w:rPr>
            </w:pPr>
            <w:r>
              <w:rPr>
                <w:rFonts w:hint="eastAsia"/>
                <w:color w:val="000000"/>
              </w:rPr>
              <w:t>高级职称人员</w:t>
            </w:r>
          </w:p>
        </w:tc>
        <w:tc>
          <w:tcPr>
            <w:tcW w:w="1907" w:type="dxa"/>
            <w:gridSpan w:val="2"/>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37" w:type="dxa"/>
            <w:vAlign w:val="center"/>
          </w:tcPr>
          <w:p>
            <w:pPr>
              <w:rPr>
                <w:color w:val="000000"/>
              </w:rPr>
            </w:pPr>
            <w:r>
              <w:rPr>
                <w:rFonts w:hint="eastAsia"/>
                <w:color w:val="000000"/>
              </w:rPr>
              <w:t>注册资金</w:t>
            </w:r>
          </w:p>
        </w:tc>
        <w:tc>
          <w:tcPr>
            <w:tcW w:w="2362" w:type="dxa"/>
            <w:gridSpan w:val="2"/>
            <w:vAlign w:val="center"/>
          </w:tcPr>
          <w:p>
            <w:pPr>
              <w:rPr>
                <w:color w:val="000000"/>
              </w:rPr>
            </w:pPr>
          </w:p>
        </w:tc>
        <w:tc>
          <w:tcPr>
            <w:tcW w:w="1343" w:type="dxa"/>
            <w:vMerge w:val="continue"/>
            <w:vAlign w:val="center"/>
          </w:tcPr>
          <w:p>
            <w:pPr>
              <w:rPr>
                <w:color w:val="000000"/>
              </w:rPr>
            </w:pPr>
          </w:p>
        </w:tc>
        <w:tc>
          <w:tcPr>
            <w:tcW w:w="1590" w:type="dxa"/>
            <w:gridSpan w:val="2"/>
            <w:vAlign w:val="center"/>
          </w:tcPr>
          <w:p>
            <w:pPr>
              <w:rPr>
                <w:color w:val="000000"/>
              </w:rPr>
            </w:pPr>
            <w:r>
              <w:rPr>
                <w:rFonts w:hint="eastAsia"/>
                <w:color w:val="000000"/>
              </w:rPr>
              <w:t>中级职称人员</w:t>
            </w:r>
          </w:p>
        </w:tc>
        <w:tc>
          <w:tcPr>
            <w:tcW w:w="1907" w:type="dxa"/>
            <w:gridSpan w:val="2"/>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37" w:type="dxa"/>
            <w:vAlign w:val="center"/>
          </w:tcPr>
          <w:p>
            <w:pPr>
              <w:rPr>
                <w:color w:val="000000"/>
              </w:rPr>
            </w:pPr>
            <w:r>
              <w:rPr>
                <w:rFonts w:hint="eastAsia"/>
                <w:color w:val="000000"/>
              </w:rPr>
              <w:t>开户银行</w:t>
            </w:r>
          </w:p>
        </w:tc>
        <w:tc>
          <w:tcPr>
            <w:tcW w:w="2362" w:type="dxa"/>
            <w:gridSpan w:val="2"/>
            <w:vAlign w:val="center"/>
          </w:tcPr>
          <w:p>
            <w:pPr>
              <w:rPr>
                <w:color w:val="000000"/>
              </w:rPr>
            </w:pPr>
          </w:p>
        </w:tc>
        <w:tc>
          <w:tcPr>
            <w:tcW w:w="1343" w:type="dxa"/>
            <w:vMerge w:val="continue"/>
            <w:vAlign w:val="center"/>
          </w:tcPr>
          <w:p>
            <w:pPr>
              <w:rPr>
                <w:color w:val="000000"/>
              </w:rPr>
            </w:pPr>
          </w:p>
        </w:tc>
        <w:tc>
          <w:tcPr>
            <w:tcW w:w="1590" w:type="dxa"/>
            <w:gridSpan w:val="2"/>
            <w:vAlign w:val="center"/>
          </w:tcPr>
          <w:p>
            <w:pPr>
              <w:rPr>
                <w:color w:val="000000"/>
              </w:rPr>
            </w:pPr>
            <w:r>
              <w:rPr>
                <w:rFonts w:hint="eastAsia"/>
                <w:color w:val="000000"/>
              </w:rPr>
              <w:t>初级职称人员</w:t>
            </w:r>
          </w:p>
        </w:tc>
        <w:tc>
          <w:tcPr>
            <w:tcW w:w="1907" w:type="dxa"/>
            <w:gridSpan w:val="2"/>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637" w:type="dxa"/>
            <w:vAlign w:val="center"/>
          </w:tcPr>
          <w:p>
            <w:pPr>
              <w:rPr>
                <w:color w:val="000000"/>
              </w:rPr>
            </w:pPr>
            <w:r>
              <w:rPr>
                <w:rFonts w:hint="eastAsia"/>
                <w:color w:val="000000"/>
              </w:rPr>
              <w:t>账号</w:t>
            </w:r>
          </w:p>
        </w:tc>
        <w:tc>
          <w:tcPr>
            <w:tcW w:w="2362" w:type="dxa"/>
            <w:gridSpan w:val="2"/>
            <w:vAlign w:val="center"/>
          </w:tcPr>
          <w:p>
            <w:pPr>
              <w:rPr>
                <w:color w:val="000000"/>
              </w:rPr>
            </w:pPr>
          </w:p>
        </w:tc>
        <w:tc>
          <w:tcPr>
            <w:tcW w:w="1343" w:type="dxa"/>
            <w:vMerge w:val="continue"/>
            <w:vAlign w:val="center"/>
          </w:tcPr>
          <w:p>
            <w:pPr>
              <w:rPr>
                <w:color w:val="000000"/>
              </w:rPr>
            </w:pPr>
          </w:p>
        </w:tc>
        <w:tc>
          <w:tcPr>
            <w:tcW w:w="1590" w:type="dxa"/>
            <w:gridSpan w:val="2"/>
            <w:vAlign w:val="center"/>
          </w:tcPr>
          <w:p>
            <w:pPr>
              <w:rPr>
                <w:color w:val="000000"/>
              </w:rPr>
            </w:pPr>
            <w:r>
              <w:rPr>
                <w:rFonts w:hint="eastAsia"/>
                <w:color w:val="000000"/>
              </w:rPr>
              <w:t>技工</w:t>
            </w:r>
          </w:p>
        </w:tc>
        <w:tc>
          <w:tcPr>
            <w:tcW w:w="1907" w:type="dxa"/>
            <w:gridSpan w:val="2"/>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0" w:hRule="atLeast"/>
        </w:trPr>
        <w:tc>
          <w:tcPr>
            <w:tcW w:w="1637" w:type="dxa"/>
            <w:vAlign w:val="center"/>
          </w:tcPr>
          <w:p>
            <w:pPr>
              <w:rPr>
                <w:color w:val="000000"/>
              </w:rPr>
            </w:pPr>
            <w:r>
              <w:rPr>
                <w:rFonts w:hint="eastAsia"/>
                <w:color w:val="000000"/>
              </w:rPr>
              <w:t>经营范围</w:t>
            </w:r>
          </w:p>
        </w:tc>
        <w:tc>
          <w:tcPr>
            <w:tcW w:w="7202" w:type="dxa"/>
            <w:gridSpan w:val="7"/>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9" w:hRule="atLeast"/>
        </w:trPr>
        <w:tc>
          <w:tcPr>
            <w:tcW w:w="1637" w:type="dxa"/>
          </w:tcPr>
          <w:p>
            <w:pPr>
              <w:rPr>
                <w:color w:val="000000"/>
              </w:rPr>
            </w:pPr>
            <w:r>
              <w:rPr>
                <w:rFonts w:hint="eastAsia"/>
                <w:color w:val="000000"/>
              </w:rPr>
              <w:t>备注</w:t>
            </w:r>
          </w:p>
        </w:tc>
        <w:tc>
          <w:tcPr>
            <w:tcW w:w="7202" w:type="dxa"/>
            <w:gridSpan w:val="7"/>
          </w:tcPr>
          <w:p>
            <w:pPr>
              <w:rPr>
                <w:color w:val="000000"/>
              </w:rPr>
            </w:pPr>
          </w:p>
        </w:tc>
      </w:tr>
    </w:tbl>
    <w:p>
      <w:pPr>
        <w:rPr>
          <w:color w:val="000000"/>
        </w:rPr>
      </w:pPr>
    </w:p>
    <w:p>
      <w:pPr>
        <w:spacing w:line="360" w:lineRule="auto"/>
        <w:rPr>
          <w:rFonts w:ascii="宋体" w:hAnsi="宋体" w:cs="宋体"/>
          <w:color w:val="000000"/>
          <w:sz w:val="24"/>
          <w:szCs w:val="24"/>
        </w:rPr>
      </w:pPr>
    </w:p>
    <w:p>
      <w:pPr>
        <w:spacing w:line="360" w:lineRule="auto"/>
        <w:rPr>
          <w:rFonts w:hAnsi="宋体"/>
          <w:color w:val="000000"/>
          <w:sz w:val="24"/>
          <w:szCs w:val="24"/>
          <w:u w:val="single"/>
        </w:rPr>
      </w:pPr>
    </w:p>
    <w:p>
      <w:pPr>
        <w:spacing w:line="360" w:lineRule="auto"/>
        <w:rPr>
          <w:b/>
          <w:bCs/>
          <w:color w:val="000000"/>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b/>
          <w:bCs/>
          <w:color w:val="000000"/>
          <w:sz w:val="24"/>
          <w:szCs w:val="24"/>
        </w:rPr>
        <w:t>2-2供应商营业执照等资质证明材料</w:t>
      </w:r>
      <w:r>
        <w:rPr>
          <w:rFonts w:hint="eastAsia"/>
          <w:b/>
          <w:bCs/>
          <w:color w:val="000000"/>
        </w:rPr>
        <w:t>。</w:t>
      </w:r>
    </w:p>
    <w:p>
      <w:pPr>
        <w:rPr>
          <w:color w:val="000000"/>
          <w:sz w:val="32"/>
          <w:szCs w:val="36"/>
        </w:rPr>
      </w:pPr>
      <w:r>
        <w:rPr>
          <w:rFonts w:hint="eastAsia"/>
          <w:color w:val="000000"/>
          <w:sz w:val="32"/>
          <w:szCs w:val="36"/>
        </w:rPr>
        <w:t>3、法定代表人证明书及法定代表人授权书</w:t>
      </w:r>
    </w:p>
    <w:p>
      <w:pPr>
        <w:rPr>
          <w:color w:val="000000"/>
          <w:sz w:val="28"/>
          <w:szCs w:val="32"/>
        </w:rPr>
      </w:pPr>
      <w:r>
        <w:rPr>
          <w:rFonts w:hint="eastAsia"/>
          <w:color w:val="000000"/>
          <w:sz w:val="28"/>
          <w:szCs w:val="32"/>
        </w:rPr>
        <w:t>3-1法定代表人证明书</w:t>
      </w:r>
    </w:p>
    <w:tbl>
      <w:tblPr>
        <w:tblStyle w:val="24"/>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930"/>
        <w:gridCol w:w="1851"/>
        <w:gridCol w:w="215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940" w:type="dxa"/>
            <w:gridSpan w:val="5"/>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1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企业法人</w:t>
            </w: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5696" w:type="dxa"/>
            <w:gridSpan w:val="3"/>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1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5696" w:type="dxa"/>
            <w:gridSpan w:val="3"/>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1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注册资金</w:t>
            </w:r>
          </w:p>
        </w:tc>
        <w:tc>
          <w:tcPr>
            <w:tcW w:w="5696" w:type="dxa"/>
            <w:gridSpan w:val="3"/>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1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5696" w:type="dxa"/>
            <w:gridSpan w:val="3"/>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1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5696" w:type="dxa"/>
            <w:gridSpan w:val="3"/>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1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法定代表人</w:t>
            </w: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1851"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w:t>
            </w:r>
          </w:p>
        </w:tc>
        <w:tc>
          <w:tcPr>
            <w:tcW w:w="2157"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1688"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1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1851" w:type="dxa"/>
            <w:vAlign w:val="center"/>
          </w:tcPr>
          <w:p>
            <w:pPr>
              <w:tabs>
                <w:tab w:val="left" w:pos="210"/>
              </w:tabs>
              <w:spacing w:line="360" w:lineRule="auto"/>
              <w:jc w:val="left"/>
              <w:rPr>
                <w:rFonts w:ascii="宋体" w:hAnsi="宋体" w:cs="宋体"/>
                <w:kern w:val="0"/>
                <w:szCs w:val="21"/>
              </w:rPr>
            </w:pPr>
          </w:p>
        </w:tc>
        <w:tc>
          <w:tcPr>
            <w:tcW w:w="2157"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1688"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1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5696" w:type="dxa"/>
            <w:gridSpan w:val="3"/>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131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法定代表人身份证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3781"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3845" w:type="dxa"/>
            <w:gridSpan w:val="2"/>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131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3781"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3845" w:type="dxa"/>
            <w:gridSpan w:val="2"/>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（供应商公章）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年  月 日</w:t>
            </w:r>
          </w:p>
        </w:tc>
      </w:tr>
    </w:tbl>
    <w:p>
      <w:pPr>
        <w:pStyle w:val="2"/>
        <w:rPr>
          <w:rFonts w:hint="default"/>
          <w:color w:val="000000"/>
        </w:rPr>
        <w:sectPr>
          <w:pgSz w:w="11906" w:h="16838"/>
          <w:pgMar w:top="1440" w:right="1803" w:bottom="1440" w:left="1803" w:header="851" w:footer="992" w:gutter="0"/>
          <w:pgNumType w:fmt="decimal"/>
          <w:cols w:space="720" w:num="1"/>
          <w:docGrid w:type="lines" w:linePitch="319" w:charSpace="0"/>
        </w:sectPr>
      </w:pPr>
    </w:p>
    <w:p>
      <w:pPr>
        <w:pageBreakBefore/>
        <w:tabs>
          <w:tab w:val="left" w:pos="210"/>
        </w:tabs>
        <w:spacing w:line="320" w:lineRule="exact"/>
        <w:rPr>
          <w:rFonts w:ascii="宋体" w:hAnsi="宋体" w:cs="宋体"/>
          <w:b/>
          <w:color w:val="000000"/>
          <w:kern w:val="0"/>
          <w:sz w:val="24"/>
          <w:szCs w:val="24"/>
        </w:rPr>
      </w:pPr>
      <w:r>
        <w:rPr>
          <w:rFonts w:hint="eastAsia" w:ascii="宋体" w:hAnsi="宋体" w:cs="宋体"/>
          <w:b/>
          <w:color w:val="000000"/>
          <w:kern w:val="0"/>
          <w:sz w:val="24"/>
          <w:szCs w:val="24"/>
        </w:rPr>
        <w:t>3-2法定代表人授权书</w:t>
      </w:r>
    </w:p>
    <w:p>
      <w:pPr>
        <w:pStyle w:val="11"/>
        <w:spacing w:line="500" w:lineRule="exact"/>
        <w:jc w:val="center"/>
        <w:rPr>
          <w:rFonts w:hAnsi="宋体" w:cs="宋体"/>
          <w:sz w:val="24"/>
          <w:szCs w:val="24"/>
        </w:rPr>
      </w:pPr>
      <w:r>
        <w:rPr>
          <w:rFonts w:hint="eastAsia" w:hAnsi="宋体" w:cs="宋体"/>
          <w:b/>
          <w:kern w:val="0"/>
          <w:sz w:val="24"/>
          <w:szCs w:val="24"/>
        </w:rPr>
        <w:t>法定代表人授权委托书</w:t>
      </w:r>
    </w:p>
    <w:p>
      <w:pPr>
        <w:pStyle w:val="11"/>
        <w:spacing w:line="500" w:lineRule="exact"/>
        <w:jc w:val="left"/>
        <w:rPr>
          <w:rFonts w:hAnsi="宋体" w:cs="宋体"/>
          <w:sz w:val="24"/>
          <w:szCs w:val="24"/>
        </w:rPr>
      </w:pPr>
      <w:r>
        <w:rPr>
          <w:rFonts w:hint="eastAsia" w:hAnsi="宋体" w:cs="宋体"/>
          <w:sz w:val="24"/>
          <w:szCs w:val="24"/>
        </w:rPr>
        <w:t>陕西万泽招标有限公司：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的法定代表人，现代表公司授权下面签字的</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（项目名称）</w:t>
      </w:r>
      <w:r>
        <w:rPr>
          <w:rFonts w:hint="eastAsia" w:ascii="宋体" w:hAnsi="宋体" w:cs="宋体"/>
          <w:sz w:val="24"/>
          <w:u w:val="single"/>
        </w:rPr>
        <w:t xml:space="preserve"> </w:t>
      </w:r>
      <w:r>
        <w:rPr>
          <w:rFonts w:hint="eastAsia" w:ascii="宋体" w:hAnsi="宋体" w:cs="宋体"/>
          <w:sz w:val="24"/>
        </w:rPr>
        <w:t>采购项目编号</w:t>
      </w:r>
      <w:r>
        <w:rPr>
          <w:rFonts w:hint="eastAsia" w:ascii="宋体" w:hAnsi="宋体" w:cs="宋体"/>
          <w:sz w:val="24"/>
          <w:u w:val="single"/>
        </w:rPr>
        <w:t>为      的</w:t>
      </w:r>
      <w:r>
        <w:rPr>
          <w:rFonts w:hint="eastAsia" w:ascii="宋体" w:hAnsi="宋体" w:cs="宋体"/>
          <w:sz w:val="24"/>
        </w:rPr>
        <w:t>采购活动。以我方名义全权处理该项目有关</w:t>
      </w:r>
      <w:r>
        <w:rPr>
          <w:rFonts w:hint="eastAsia" w:ascii="宋体" w:hAnsi="宋体" w:cs="宋体"/>
          <w:sz w:val="24"/>
          <w:lang w:val="en-US" w:eastAsia="zh-CN"/>
        </w:rPr>
        <w:t>磋商</w:t>
      </w:r>
      <w:r>
        <w:rPr>
          <w:rFonts w:hint="eastAsia" w:ascii="宋体" w:hAnsi="宋体" w:cs="宋体"/>
          <w:sz w:val="24"/>
        </w:rPr>
        <w:t>、签订合同以及执行合同等一切事宜。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本授权书有效期自</w:t>
      </w:r>
      <w:r>
        <w:rPr>
          <w:rFonts w:hint="eastAsia" w:ascii="宋体" w:hAnsi="宋体" w:cs="宋体"/>
          <w:sz w:val="24"/>
          <w:lang w:val="en-US" w:eastAsia="zh-CN"/>
        </w:rPr>
        <w:t>磋商响应</w:t>
      </w:r>
      <w:r>
        <w:rPr>
          <w:rFonts w:hint="eastAsia" w:ascii="宋体" w:hAnsi="宋体" w:cs="宋体"/>
          <w:sz w:val="24"/>
        </w:rPr>
        <w:t>文件递交截止之日</w:t>
      </w:r>
      <w:r>
        <w:rPr>
          <w:rFonts w:hint="eastAsia" w:ascii="宋体" w:hAnsi="宋体" w:cs="宋体"/>
          <w:sz w:val="24"/>
          <w:u w:val="single"/>
        </w:rPr>
        <w:t xml:space="preserve">起 </w:t>
      </w:r>
      <w:r>
        <w:rPr>
          <w:rFonts w:hint="eastAsia" w:ascii="宋体" w:hAnsi="宋体" w:cs="宋体"/>
          <w:sz w:val="24"/>
          <w:u w:val="single"/>
          <w:lang w:val="en-US" w:eastAsia="zh-CN"/>
        </w:rPr>
        <w:t>90</w:t>
      </w:r>
      <w:r>
        <w:rPr>
          <w:rFonts w:hint="eastAsia" w:ascii="宋体" w:hAnsi="宋体" w:cs="宋体"/>
          <w:sz w:val="24"/>
          <w:u w:val="single"/>
        </w:rPr>
        <w:t xml:space="preserve"> 日历天</w:t>
      </w:r>
      <w:r>
        <w:rPr>
          <w:rFonts w:hint="eastAsia" w:ascii="宋体" w:hAnsi="宋体" w:cs="宋体"/>
          <w:sz w:val="24"/>
        </w:rPr>
        <w:t>，特此声明。</w:t>
      </w:r>
    </w:p>
    <w:p>
      <w:pPr>
        <w:pStyle w:val="11"/>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single"/>
        </w:rPr>
        <w:t xml:space="preserve">：        </w:t>
      </w:r>
      <w:r>
        <w:rPr>
          <w:rFonts w:hint="eastAsia" w:hAnsi="宋体" w:cs="宋体"/>
          <w:sz w:val="24"/>
          <w:szCs w:val="24"/>
        </w:rPr>
        <w:t xml:space="preserve">  </w:t>
      </w:r>
    </w:p>
    <w:p>
      <w:pPr>
        <w:pStyle w:val="11"/>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u w:val="single"/>
        </w:rPr>
      </w:pPr>
      <w:r>
        <w:rPr>
          <w:rFonts w:hint="eastAsia" w:hAnsi="宋体" w:cs="宋体"/>
          <w:sz w:val="24"/>
          <w:szCs w:val="24"/>
        </w:rPr>
        <w:t>被授权人（签字或盖章）</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pStyle w:val="11"/>
        <w:spacing w:line="500" w:lineRule="exact"/>
        <w:ind w:firstLine="480" w:firstLineChars="200"/>
        <w:jc w:val="left"/>
        <w:rPr>
          <w:rFonts w:hint="eastAsia" w:hAnsi="宋体" w:cs="宋体"/>
          <w:sz w:val="24"/>
          <w:szCs w:val="24"/>
          <w:u w:val="single"/>
        </w:rPr>
      </w:pPr>
      <w:r>
        <w:rPr>
          <w:rFonts w:hint="eastAsia" w:hAnsi="宋体" w:cs="宋体"/>
          <w:sz w:val="24"/>
          <w:szCs w:val="24"/>
        </w:rPr>
        <w:t>被授权人身份证号码</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rPr>
      </w:pPr>
      <w:r>
        <w:rPr>
          <w:rFonts w:hint="eastAsia" w:hAnsi="宋体" w:cs="宋体"/>
          <w:sz w:val="24"/>
          <w:szCs w:val="24"/>
        </w:rPr>
        <w:t>附：法定代表人及被授权人身份证复印件</w:t>
      </w:r>
    </w:p>
    <w:tbl>
      <w:tblPr>
        <w:tblStyle w:val="24"/>
        <w:tblW w:w="792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9"/>
        <w:gridCol w:w="3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6" w:hRule="atLeast"/>
        </w:trPr>
        <w:tc>
          <w:tcPr>
            <w:tcW w:w="4139" w:type="dxa"/>
            <w:shd w:val="clear" w:color="auto" w:fill="D9D9D9"/>
            <w:vAlign w:val="center"/>
          </w:tcPr>
          <w:p>
            <w:pPr>
              <w:pStyle w:val="11"/>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法定代表人身份证复印件（正/反面）</w:t>
            </w:r>
          </w:p>
        </w:tc>
        <w:tc>
          <w:tcPr>
            <w:tcW w:w="3781" w:type="dxa"/>
            <w:shd w:val="clear" w:color="auto" w:fill="D9D9D9"/>
            <w:vAlign w:val="center"/>
          </w:tcPr>
          <w:p>
            <w:pPr>
              <w:pStyle w:val="11"/>
              <w:spacing w:line="500" w:lineRule="exact"/>
              <w:jc w:val="left"/>
              <w:rPr>
                <w:rFonts w:hAnsi="宋体" w:cs="宋体"/>
                <w:sz w:val="24"/>
                <w:szCs w:val="24"/>
                <w:shd w:val="pct10" w:color="auto" w:fill="FFFFFF"/>
              </w:rPr>
            </w:pPr>
            <w:r>
              <w:rPr>
                <w:rFonts w:hint="eastAsia" w:hAnsi="宋体" w:cs="宋体"/>
                <w:sz w:val="24"/>
                <w:szCs w:val="24"/>
                <w:shd w:val="pct10" w:color="auto" w:fill="FFFFFF"/>
              </w:rPr>
              <w:t>被授权人身份证复印件（正/反面）</w:t>
            </w:r>
          </w:p>
        </w:tc>
      </w:tr>
    </w:tbl>
    <w:p>
      <w:pPr>
        <w:pStyle w:val="11"/>
        <w:spacing w:line="500" w:lineRule="exact"/>
        <w:jc w:val="left"/>
        <w:rPr>
          <w:rFonts w:hAnsi="宋体" w:cs="宋体"/>
          <w:sz w:val="24"/>
          <w:szCs w:val="24"/>
        </w:rPr>
      </w:pPr>
      <w:r>
        <w:rPr>
          <w:rFonts w:hint="eastAsia" w:hAnsi="宋体" w:cs="宋体"/>
          <w:sz w:val="24"/>
          <w:szCs w:val="24"/>
        </w:rPr>
        <w:t>说明：</w:t>
      </w:r>
    </w:p>
    <w:p>
      <w:pPr>
        <w:pStyle w:val="11"/>
        <w:spacing w:line="500" w:lineRule="exact"/>
        <w:jc w:val="left"/>
        <w:rPr>
          <w:rFonts w:hAnsi="宋体" w:cs="宋体"/>
          <w:sz w:val="24"/>
          <w:szCs w:val="24"/>
        </w:rPr>
      </w:pPr>
      <w:r>
        <w:rPr>
          <w:rFonts w:hint="eastAsia" w:hAnsi="宋体" w:cs="宋体"/>
          <w:sz w:val="24"/>
          <w:szCs w:val="24"/>
        </w:rPr>
        <w:t>1．本授权书有效期自开标会议之日计算不得少于</w:t>
      </w:r>
      <w:r>
        <w:rPr>
          <w:rFonts w:hint="eastAsia" w:hAnsi="宋体" w:cs="宋体"/>
          <w:sz w:val="24"/>
          <w:szCs w:val="24"/>
          <w:lang w:val="en-US" w:eastAsia="zh-CN"/>
        </w:rPr>
        <w:t>90</w:t>
      </w:r>
      <w:r>
        <w:rPr>
          <w:rFonts w:hint="eastAsia" w:hAnsi="宋体" w:cs="宋体"/>
          <w:sz w:val="24"/>
          <w:szCs w:val="24"/>
        </w:rPr>
        <w:t>日历日。</w:t>
      </w:r>
    </w:p>
    <w:p>
      <w:pPr>
        <w:rPr>
          <w:color w:val="000000"/>
        </w:rPr>
        <w:sectPr>
          <w:pgSz w:w="11906" w:h="16838"/>
          <w:pgMar w:top="1440" w:right="1803" w:bottom="1440" w:left="1803" w:header="851" w:footer="992" w:gutter="0"/>
          <w:pgNumType w:fmt="decimal"/>
          <w:cols w:space="720" w:num="1"/>
          <w:docGrid w:type="lines" w:linePitch="319" w:charSpace="0"/>
        </w:sectPr>
      </w:pPr>
      <w:r>
        <w:rPr>
          <w:rFonts w:hint="eastAsia" w:hAnsi="宋体" w:cs="宋体"/>
          <w:sz w:val="24"/>
          <w:szCs w:val="24"/>
        </w:rPr>
        <w:t>2．授权书内容填写要明确，文字要工整清楚，涂改无效。</w:t>
      </w:r>
    </w:p>
    <w:p>
      <w:pPr>
        <w:rPr>
          <w:color w:val="000000"/>
          <w:sz w:val="24"/>
          <w:szCs w:val="28"/>
        </w:rPr>
      </w:pPr>
      <w:r>
        <w:rPr>
          <w:rFonts w:hint="eastAsia"/>
          <w:color w:val="000000"/>
          <w:sz w:val="24"/>
          <w:szCs w:val="28"/>
        </w:rPr>
        <w:t>4、无重大违法记录声明</w:t>
      </w:r>
    </w:p>
    <w:p>
      <w:pPr>
        <w:widowControl/>
        <w:snapToGrid w:val="0"/>
        <w:spacing w:line="480" w:lineRule="auto"/>
        <w:ind w:firstLine="480" w:firstLineChars="200"/>
        <w:jc w:val="left"/>
        <w:rPr>
          <w:rFonts w:ascii="宋体" w:hAnsi="宋体" w:cs="宋体"/>
          <w:color w:val="000000"/>
          <w:kern w:val="0"/>
          <w:sz w:val="24"/>
        </w:rPr>
      </w:pPr>
    </w:p>
    <w:p>
      <w:pPr>
        <w:widowControl/>
        <w:snapToGrid w:val="0"/>
        <w:spacing w:line="48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我单位参与</w:t>
      </w:r>
      <w:r>
        <w:rPr>
          <w:rFonts w:hint="eastAsia" w:ascii="宋体" w:hAnsi="宋体" w:cs="宋体"/>
          <w:color w:val="000000"/>
          <w:kern w:val="0"/>
          <w:sz w:val="24"/>
          <w:u w:val="single"/>
        </w:rPr>
        <w:t xml:space="preserve">陕西万泽招标有限公司 </w:t>
      </w:r>
      <w:r>
        <w:rPr>
          <w:rFonts w:hint="eastAsia" w:ascii="宋体" w:hAnsi="宋体" w:cs="宋体"/>
          <w:color w:val="000000"/>
          <w:kern w:val="0"/>
          <w:sz w:val="24"/>
        </w:rPr>
        <w:t>组织的</w:t>
      </w:r>
      <w:r>
        <w:rPr>
          <w:rFonts w:hint="eastAsia" w:ascii="宋体" w:hAnsi="宋体" w:cs="宋体"/>
          <w:color w:val="000000"/>
          <w:kern w:val="0"/>
          <w:sz w:val="24"/>
          <w:u w:val="single"/>
        </w:rPr>
        <w:t xml:space="preserve">             （项目名称）              </w:t>
      </w:r>
      <w:r>
        <w:rPr>
          <w:rFonts w:hint="eastAsia" w:ascii="宋体" w:hAnsi="宋体" w:cs="宋体"/>
          <w:color w:val="000000"/>
          <w:kern w:val="0"/>
          <w:sz w:val="24"/>
        </w:rPr>
        <w:t>竞争性磋商，我单位郑重声明：我方参加本项目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特此声明。</w:t>
      </w:r>
    </w:p>
    <w:p>
      <w:pPr>
        <w:widowControl/>
        <w:spacing w:line="460" w:lineRule="exact"/>
        <w:ind w:firstLine="480" w:firstLineChars="200"/>
        <w:jc w:val="left"/>
        <w:rPr>
          <w:rFonts w:ascii="宋体" w:hAnsi="宋体" w:cs="宋体"/>
          <w:color w:val="000000"/>
          <w:kern w:val="0"/>
          <w:sz w:val="24"/>
        </w:rPr>
      </w:pPr>
    </w:p>
    <w:p>
      <w:pPr>
        <w:pStyle w:val="11"/>
        <w:spacing w:line="480" w:lineRule="auto"/>
        <w:jc w:val="left"/>
        <w:rPr>
          <w:rFonts w:hint="eastAsia" w:hAnsi="宋体" w:eastAsia="宋体" w:cs="宋体"/>
          <w:color w:val="000000"/>
          <w:kern w:val="0"/>
          <w:sz w:val="24"/>
          <w:lang w:eastAsia="zh-CN"/>
        </w:rPr>
      </w:pPr>
    </w:p>
    <w:p>
      <w:pPr>
        <w:pStyle w:val="11"/>
        <w:spacing w:line="480" w:lineRule="auto"/>
        <w:jc w:val="left"/>
        <w:rPr>
          <w:rFonts w:hAnsi="宋体" w:cs="宋体"/>
          <w:color w:val="000000"/>
          <w:kern w:val="0"/>
          <w:sz w:val="24"/>
        </w:rPr>
      </w:pPr>
      <w:r>
        <w:rPr>
          <w:rFonts w:hint="eastAsia" w:hAnsi="宋体" w:cs="宋体"/>
          <w:color w:val="000000"/>
          <w:kern w:val="0"/>
          <w:sz w:val="24"/>
        </w:rPr>
        <w:t>供应商（单位名称及公章）：</w:t>
      </w:r>
    </w:p>
    <w:p>
      <w:pPr>
        <w:pStyle w:val="11"/>
        <w:spacing w:line="480" w:lineRule="auto"/>
        <w:jc w:val="left"/>
        <w:rPr>
          <w:rFonts w:hAnsi="宋体" w:cs="宋体"/>
          <w:color w:val="000000"/>
          <w:kern w:val="0"/>
          <w:sz w:val="24"/>
        </w:rPr>
      </w:pPr>
      <w:r>
        <w:rPr>
          <w:rFonts w:hint="eastAsia" w:hAnsi="宋体" w:cs="宋体"/>
          <w:color w:val="000000"/>
          <w:kern w:val="0"/>
          <w:sz w:val="24"/>
        </w:rPr>
        <w:t>法定代表人/被授权人（签字或盖章）：</w:t>
      </w:r>
    </w:p>
    <w:p>
      <w:pPr>
        <w:spacing w:line="600" w:lineRule="auto"/>
        <w:rPr>
          <w:rFonts w:hint="eastAsia" w:hAnsi="宋体" w:eastAsia="宋体" w:cs="宋体"/>
          <w:color w:val="000000"/>
          <w:kern w:val="0"/>
          <w:sz w:val="24"/>
          <w:u w:val="single"/>
          <w:lang w:eastAsia="zh-CN"/>
        </w:rPr>
      </w:pPr>
      <w:r>
        <w:rPr>
          <w:rFonts w:hint="eastAsia" w:hAnsi="宋体" w:cs="宋体"/>
          <w:color w:val="000000"/>
          <w:kern w:val="0"/>
          <w:sz w:val="24"/>
        </w:rPr>
        <w:t>日    期</w:t>
      </w:r>
      <w:r>
        <w:rPr>
          <w:rFonts w:hint="eastAsia" w:hAnsi="宋体" w:cs="宋体"/>
          <w:color w:val="000000"/>
          <w:kern w:val="0"/>
          <w:sz w:val="24"/>
          <w:u w:val="single"/>
        </w:rPr>
        <w:t xml:space="preserve">：             </w:t>
      </w:r>
    </w:p>
    <w:p>
      <w:pPr>
        <w:pStyle w:val="2"/>
        <w:rPr>
          <w:rFonts w:hint="eastAsia"/>
          <w:lang w:eastAsia="zh-CN"/>
        </w:rPr>
        <w:sectPr>
          <w:pgSz w:w="11906" w:h="16838"/>
          <w:pgMar w:top="1440" w:right="1803" w:bottom="1440" w:left="1803" w:header="851" w:footer="992" w:gutter="0"/>
          <w:pgNumType w:fmt="decimal"/>
          <w:cols w:space="720" w:num="1"/>
          <w:docGrid w:type="lines" w:linePitch="319" w:charSpace="0"/>
        </w:sectPr>
      </w:pPr>
    </w:p>
    <w:p>
      <w:pPr>
        <w:spacing w:line="600" w:lineRule="auto"/>
        <w:rPr>
          <w:sz w:val="24"/>
          <w:szCs w:val="28"/>
        </w:rPr>
      </w:pPr>
      <w:r>
        <w:rPr>
          <w:rFonts w:hint="eastAsia"/>
          <w:sz w:val="24"/>
          <w:szCs w:val="28"/>
        </w:rPr>
        <w:t>5、社保资金缴纳证明材料</w:t>
      </w:r>
    </w:p>
    <w:p>
      <w:pPr>
        <w:spacing w:line="600" w:lineRule="auto"/>
        <w:rPr>
          <w:sz w:val="24"/>
          <w:szCs w:val="28"/>
        </w:rPr>
      </w:pPr>
      <w:r>
        <w:rPr>
          <w:rFonts w:hint="eastAsia"/>
          <w:sz w:val="24"/>
          <w:szCs w:val="28"/>
        </w:rPr>
        <w:t xml:space="preserve">6、税收缴纳证明材料： </w:t>
      </w:r>
    </w:p>
    <w:p>
      <w:pPr>
        <w:spacing w:line="600" w:lineRule="auto"/>
        <w:rPr>
          <w:sz w:val="24"/>
          <w:szCs w:val="28"/>
        </w:rPr>
      </w:pPr>
      <w:r>
        <w:rPr>
          <w:rFonts w:hint="eastAsia"/>
          <w:sz w:val="24"/>
          <w:szCs w:val="28"/>
        </w:rPr>
        <w:t xml:space="preserve">7、财务状况证明材料： </w:t>
      </w:r>
    </w:p>
    <w:p>
      <w:pPr>
        <w:spacing w:line="600" w:lineRule="auto"/>
        <w:rPr>
          <w:color w:val="000000"/>
          <w:sz w:val="24"/>
          <w:szCs w:val="28"/>
        </w:rPr>
        <w:sectPr>
          <w:pgSz w:w="11906" w:h="16838"/>
          <w:pgMar w:top="1440" w:right="1803" w:bottom="1440" w:left="1803" w:header="851" w:footer="992" w:gutter="0"/>
          <w:pgNumType w:fmt="decimal"/>
          <w:cols w:space="720" w:num="1"/>
          <w:docGrid w:type="lines" w:linePitch="319" w:charSpace="0"/>
        </w:sectPr>
      </w:pPr>
      <w:r>
        <w:rPr>
          <w:rFonts w:hint="eastAsia"/>
          <w:sz w:val="24"/>
          <w:szCs w:val="28"/>
        </w:rPr>
        <w:t>8、供应商认为应该提交的其他证明材料；</w:t>
      </w:r>
    </w:p>
    <w:bookmarkEnd w:id="161"/>
    <w:p>
      <w:pPr>
        <w:pStyle w:val="4"/>
        <w:rPr>
          <w:color w:val="000000"/>
        </w:rPr>
      </w:pPr>
      <w:bookmarkStart w:id="162" w:name="_Toc20283"/>
      <w:bookmarkStart w:id="163" w:name="_Toc28294"/>
      <w:bookmarkStart w:id="164" w:name="_Toc30568"/>
      <w:r>
        <w:rPr>
          <w:rFonts w:hint="eastAsia"/>
          <w:color w:val="000000"/>
        </w:rPr>
        <w:t>第五章  商务和技术响应偏离表</w:t>
      </w:r>
      <w:bookmarkEnd w:id="162"/>
      <w:bookmarkEnd w:id="163"/>
      <w:bookmarkEnd w:id="164"/>
    </w:p>
    <w:p>
      <w:pPr>
        <w:kinsoku w:val="0"/>
        <w:spacing w:line="480" w:lineRule="auto"/>
        <w:ind w:left="1232" w:hanging="1232" w:hangingChars="440"/>
        <w:jc w:val="left"/>
        <w:rPr>
          <w:rFonts w:ascii="宋体" w:hAnsi="宋体" w:cs="宋体"/>
          <w:color w:val="000000"/>
          <w:sz w:val="28"/>
          <w:szCs w:val="28"/>
        </w:rPr>
      </w:pPr>
      <w:r>
        <w:rPr>
          <w:rFonts w:hint="eastAsia" w:ascii="宋体" w:hAnsi="宋体" w:cs="宋体"/>
          <w:color w:val="000000"/>
          <w:sz w:val="28"/>
          <w:szCs w:val="28"/>
        </w:rPr>
        <w:t>表1、商务响应偏差表</w:t>
      </w:r>
    </w:p>
    <w:tbl>
      <w:tblPr>
        <w:tblStyle w:val="24"/>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020"/>
        <w:gridCol w:w="2944"/>
        <w:gridCol w:w="2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077" w:type="dxa"/>
            <w:vAlign w:val="center"/>
          </w:tcPr>
          <w:p>
            <w:pPr>
              <w:pStyle w:val="11"/>
              <w:spacing w:line="480" w:lineRule="auto"/>
              <w:jc w:val="center"/>
              <w:rPr>
                <w:rFonts w:hAnsi="宋体" w:cs="宋体"/>
                <w:color w:val="000000"/>
                <w:sz w:val="24"/>
                <w:szCs w:val="24"/>
              </w:rPr>
            </w:pPr>
            <w:r>
              <w:rPr>
                <w:rFonts w:hint="eastAsia" w:hAnsi="宋体" w:cs="宋体"/>
                <w:color w:val="000000"/>
              </w:rPr>
              <w:t xml:space="preserve"> 序号</w:t>
            </w:r>
          </w:p>
        </w:tc>
        <w:tc>
          <w:tcPr>
            <w:tcW w:w="2020" w:type="dxa"/>
            <w:vAlign w:val="center"/>
          </w:tcPr>
          <w:p>
            <w:pPr>
              <w:pStyle w:val="11"/>
              <w:spacing w:line="480" w:lineRule="auto"/>
              <w:jc w:val="left"/>
              <w:rPr>
                <w:rFonts w:hAnsi="宋体" w:cs="宋体"/>
                <w:color w:val="000000"/>
                <w:sz w:val="24"/>
                <w:szCs w:val="24"/>
              </w:rPr>
            </w:pPr>
            <w:r>
              <w:rPr>
                <w:rFonts w:hint="eastAsia" w:hAnsi="宋体" w:cs="宋体"/>
                <w:color w:val="000000"/>
              </w:rPr>
              <w:t>商务要求内容</w:t>
            </w:r>
          </w:p>
        </w:tc>
        <w:tc>
          <w:tcPr>
            <w:tcW w:w="2944" w:type="dxa"/>
            <w:vAlign w:val="center"/>
          </w:tcPr>
          <w:p>
            <w:pPr>
              <w:pStyle w:val="11"/>
              <w:spacing w:line="480" w:lineRule="auto"/>
              <w:rPr>
                <w:rFonts w:hAnsi="宋体" w:cs="宋体"/>
                <w:color w:val="000000"/>
                <w:sz w:val="24"/>
                <w:szCs w:val="24"/>
              </w:rPr>
            </w:pPr>
            <w:r>
              <w:rPr>
                <w:rFonts w:hint="eastAsia" w:hAnsi="宋体" w:cs="宋体"/>
                <w:color w:val="000000"/>
              </w:rPr>
              <w:t>响应文件响应商务内容</w:t>
            </w:r>
          </w:p>
        </w:tc>
        <w:tc>
          <w:tcPr>
            <w:tcW w:w="2456" w:type="dxa"/>
            <w:vAlign w:val="center"/>
          </w:tcPr>
          <w:p>
            <w:pPr>
              <w:pStyle w:val="11"/>
              <w:spacing w:line="480" w:lineRule="auto"/>
              <w:jc w:val="center"/>
              <w:rPr>
                <w:rFonts w:hAnsi="宋体" w:cs="宋体"/>
                <w:color w:val="000000"/>
                <w:sz w:val="24"/>
                <w:szCs w:val="24"/>
              </w:rPr>
            </w:pPr>
            <w:r>
              <w:rPr>
                <w:rFonts w:hint="eastAsia" w:hAnsi="宋体" w:cs="宋体"/>
                <w:color w:val="00000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77" w:type="dxa"/>
          </w:tcPr>
          <w:p>
            <w:pPr>
              <w:pStyle w:val="11"/>
              <w:spacing w:line="480" w:lineRule="auto"/>
              <w:ind w:firstLine="480" w:firstLineChars="200"/>
              <w:jc w:val="left"/>
              <w:rPr>
                <w:rFonts w:hAnsi="宋体" w:cs="宋体"/>
                <w:color w:val="000000"/>
                <w:sz w:val="24"/>
                <w:szCs w:val="24"/>
              </w:rPr>
            </w:pPr>
          </w:p>
        </w:tc>
        <w:tc>
          <w:tcPr>
            <w:tcW w:w="2020" w:type="dxa"/>
            <w:vAlign w:val="center"/>
          </w:tcPr>
          <w:p>
            <w:pPr>
              <w:pStyle w:val="11"/>
              <w:spacing w:line="480" w:lineRule="auto"/>
              <w:ind w:firstLine="480" w:firstLineChars="200"/>
              <w:jc w:val="left"/>
              <w:rPr>
                <w:rFonts w:hAnsi="宋体" w:cs="宋体"/>
                <w:color w:val="000000"/>
                <w:sz w:val="24"/>
                <w:szCs w:val="24"/>
              </w:rPr>
            </w:pPr>
          </w:p>
        </w:tc>
        <w:tc>
          <w:tcPr>
            <w:tcW w:w="2944" w:type="dxa"/>
            <w:vAlign w:val="center"/>
          </w:tcPr>
          <w:p>
            <w:pPr>
              <w:pStyle w:val="11"/>
              <w:spacing w:line="480" w:lineRule="auto"/>
              <w:ind w:firstLine="480" w:firstLineChars="200"/>
              <w:jc w:val="left"/>
              <w:rPr>
                <w:rFonts w:hAnsi="宋体" w:cs="宋体"/>
                <w:color w:val="000000"/>
                <w:sz w:val="24"/>
                <w:szCs w:val="24"/>
              </w:rPr>
            </w:pPr>
          </w:p>
        </w:tc>
        <w:tc>
          <w:tcPr>
            <w:tcW w:w="2456" w:type="dxa"/>
            <w:vAlign w:val="center"/>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77" w:type="dxa"/>
          </w:tcPr>
          <w:p>
            <w:pPr>
              <w:pStyle w:val="11"/>
              <w:spacing w:line="480" w:lineRule="auto"/>
              <w:ind w:firstLine="480" w:firstLineChars="200"/>
              <w:jc w:val="left"/>
              <w:rPr>
                <w:rFonts w:hAnsi="宋体" w:cs="宋体"/>
                <w:color w:val="000000"/>
                <w:sz w:val="24"/>
                <w:szCs w:val="24"/>
              </w:rPr>
            </w:pPr>
          </w:p>
        </w:tc>
        <w:tc>
          <w:tcPr>
            <w:tcW w:w="2020" w:type="dxa"/>
          </w:tcPr>
          <w:p>
            <w:pPr>
              <w:pStyle w:val="11"/>
              <w:spacing w:line="480" w:lineRule="auto"/>
              <w:ind w:firstLine="480" w:firstLineChars="200"/>
              <w:jc w:val="left"/>
              <w:rPr>
                <w:rFonts w:hAnsi="宋体" w:cs="宋体"/>
                <w:color w:val="000000"/>
                <w:sz w:val="24"/>
                <w:szCs w:val="24"/>
              </w:rPr>
            </w:pPr>
          </w:p>
        </w:tc>
        <w:tc>
          <w:tcPr>
            <w:tcW w:w="2944" w:type="dxa"/>
          </w:tcPr>
          <w:p>
            <w:pPr>
              <w:pStyle w:val="11"/>
              <w:spacing w:line="480" w:lineRule="auto"/>
              <w:ind w:firstLine="480" w:firstLineChars="200"/>
              <w:jc w:val="left"/>
              <w:rPr>
                <w:rFonts w:hAnsi="宋体" w:cs="宋体"/>
                <w:color w:val="000000"/>
                <w:sz w:val="24"/>
                <w:szCs w:val="24"/>
              </w:rPr>
            </w:pPr>
          </w:p>
        </w:tc>
        <w:tc>
          <w:tcPr>
            <w:tcW w:w="2456"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77" w:type="dxa"/>
          </w:tcPr>
          <w:p>
            <w:pPr>
              <w:pStyle w:val="11"/>
              <w:spacing w:line="480" w:lineRule="auto"/>
              <w:ind w:firstLine="480" w:firstLineChars="200"/>
              <w:jc w:val="left"/>
              <w:rPr>
                <w:rFonts w:hAnsi="宋体" w:cs="宋体"/>
                <w:color w:val="000000"/>
                <w:sz w:val="24"/>
                <w:szCs w:val="24"/>
              </w:rPr>
            </w:pPr>
          </w:p>
        </w:tc>
        <w:tc>
          <w:tcPr>
            <w:tcW w:w="2020" w:type="dxa"/>
          </w:tcPr>
          <w:p>
            <w:pPr>
              <w:pStyle w:val="11"/>
              <w:spacing w:line="480" w:lineRule="auto"/>
              <w:ind w:firstLine="480" w:firstLineChars="200"/>
              <w:jc w:val="left"/>
              <w:rPr>
                <w:rFonts w:hAnsi="宋体" w:cs="宋体"/>
                <w:color w:val="000000"/>
                <w:sz w:val="24"/>
                <w:szCs w:val="24"/>
              </w:rPr>
            </w:pPr>
          </w:p>
        </w:tc>
        <w:tc>
          <w:tcPr>
            <w:tcW w:w="2944" w:type="dxa"/>
          </w:tcPr>
          <w:p>
            <w:pPr>
              <w:pStyle w:val="11"/>
              <w:spacing w:line="480" w:lineRule="auto"/>
              <w:ind w:firstLine="480" w:firstLineChars="200"/>
              <w:jc w:val="left"/>
              <w:rPr>
                <w:rFonts w:hAnsi="宋体" w:cs="宋体"/>
                <w:color w:val="000000"/>
                <w:sz w:val="24"/>
                <w:szCs w:val="24"/>
              </w:rPr>
            </w:pPr>
          </w:p>
        </w:tc>
        <w:tc>
          <w:tcPr>
            <w:tcW w:w="2456"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77" w:type="dxa"/>
          </w:tcPr>
          <w:p>
            <w:pPr>
              <w:pStyle w:val="11"/>
              <w:spacing w:line="480" w:lineRule="auto"/>
              <w:ind w:firstLine="480" w:firstLineChars="200"/>
              <w:jc w:val="left"/>
              <w:rPr>
                <w:rFonts w:hAnsi="宋体" w:cs="宋体"/>
                <w:color w:val="000000"/>
                <w:sz w:val="24"/>
                <w:szCs w:val="24"/>
              </w:rPr>
            </w:pPr>
          </w:p>
        </w:tc>
        <w:tc>
          <w:tcPr>
            <w:tcW w:w="2020" w:type="dxa"/>
          </w:tcPr>
          <w:p>
            <w:pPr>
              <w:pStyle w:val="11"/>
              <w:spacing w:line="480" w:lineRule="auto"/>
              <w:ind w:firstLine="480" w:firstLineChars="200"/>
              <w:jc w:val="left"/>
              <w:rPr>
                <w:rFonts w:hAnsi="宋体" w:cs="宋体"/>
                <w:color w:val="000000"/>
                <w:sz w:val="24"/>
                <w:szCs w:val="24"/>
              </w:rPr>
            </w:pPr>
          </w:p>
        </w:tc>
        <w:tc>
          <w:tcPr>
            <w:tcW w:w="2944" w:type="dxa"/>
          </w:tcPr>
          <w:p>
            <w:pPr>
              <w:pStyle w:val="11"/>
              <w:spacing w:line="480" w:lineRule="auto"/>
              <w:ind w:firstLine="480" w:firstLineChars="200"/>
              <w:jc w:val="left"/>
              <w:rPr>
                <w:rFonts w:hAnsi="宋体" w:cs="宋体"/>
                <w:color w:val="000000"/>
                <w:sz w:val="24"/>
                <w:szCs w:val="24"/>
              </w:rPr>
            </w:pPr>
          </w:p>
        </w:tc>
        <w:tc>
          <w:tcPr>
            <w:tcW w:w="2456"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77" w:type="dxa"/>
          </w:tcPr>
          <w:p>
            <w:pPr>
              <w:pStyle w:val="11"/>
              <w:spacing w:line="480" w:lineRule="auto"/>
              <w:ind w:firstLine="480" w:firstLineChars="200"/>
              <w:jc w:val="left"/>
              <w:rPr>
                <w:rFonts w:hAnsi="宋体" w:cs="宋体"/>
                <w:color w:val="000000"/>
                <w:sz w:val="24"/>
                <w:szCs w:val="24"/>
              </w:rPr>
            </w:pPr>
          </w:p>
        </w:tc>
        <w:tc>
          <w:tcPr>
            <w:tcW w:w="2020" w:type="dxa"/>
          </w:tcPr>
          <w:p>
            <w:pPr>
              <w:pStyle w:val="11"/>
              <w:spacing w:line="480" w:lineRule="auto"/>
              <w:ind w:firstLine="480" w:firstLineChars="200"/>
              <w:jc w:val="left"/>
              <w:rPr>
                <w:rFonts w:hAnsi="宋体" w:cs="宋体"/>
                <w:color w:val="000000"/>
                <w:sz w:val="24"/>
                <w:szCs w:val="24"/>
              </w:rPr>
            </w:pPr>
          </w:p>
        </w:tc>
        <w:tc>
          <w:tcPr>
            <w:tcW w:w="2944" w:type="dxa"/>
          </w:tcPr>
          <w:p>
            <w:pPr>
              <w:pStyle w:val="11"/>
              <w:spacing w:line="480" w:lineRule="auto"/>
              <w:ind w:firstLine="480" w:firstLineChars="200"/>
              <w:jc w:val="left"/>
              <w:rPr>
                <w:rFonts w:hAnsi="宋体" w:cs="宋体"/>
                <w:color w:val="000000"/>
                <w:sz w:val="24"/>
                <w:szCs w:val="24"/>
              </w:rPr>
            </w:pPr>
          </w:p>
        </w:tc>
        <w:tc>
          <w:tcPr>
            <w:tcW w:w="2456"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77" w:type="dxa"/>
          </w:tcPr>
          <w:p>
            <w:pPr>
              <w:pStyle w:val="11"/>
              <w:spacing w:line="480" w:lineRule="auto"/>
              <w:ind w:firstLine="480" w:firstLineChars="200"/>
              <w:jc w:val="left"/>
              <w:rPr>
                <w:rFonts w:hAnsi="宋体" w:cs="宋体"/>
                <w:color w:val="000000"/>
                <w:sz w:val="24"/>
                <w:szCs w:val="24"/>
              </w:rPr>
            </w:pPr>
          </w:p>
        </w:tc>
        <w:tc>
          <w:tcPr>
            <w:tcW w:w="2020" w:type="dxa"/>
          </w:tcPr>
          <w:p>
            <w:pPr>
              <w:pStyle w:val="11"/>
              <w:spacing w:line="480" w:lineRule="auto"/>
              <w:ind w:firstLine="480" w:firstLineChars="200"/>
              <w:jc w:val="left"/>
              <w:rPr>
                <w:rFonts w:hAnsi="宋体" w:cs="宋体"/>
                <w:color w:val="000000"/>
                <w:sz w:val="24"/>
                <w:szCs w:val="24"/>
              </w:rPr>
            </w:pPr>
          </w:p>
        </w:tc>
        <w:tc>
          <w:tcPr>
            <w:tcW w:w="2944" w:type="dxa"/>
          </w:tcPr>
          <w:p>
            <w:pPr>
              <w:pStyle w:val="11"/>
              <w:spacing w:line="480" w:lineRule="auto"/>
              <w:ind w:firstLine="480" w:firstLineChars="200"/>
              <w:jc w:val="left"/>
              <w:rPr>
                <w:rFonts w:hAnsi="宋体" w:cs="宋体"/>
                <w:color w:val="000000"/>
                <w:sz w:val="24"/>
                <w:szCs w:val="24"/>
              </w:rPr>
            </w:pPr>
          </w:p>
        </w:tc>
        <w:tc>
          <w:tcPr>
            <w:tcW w:w="2456"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77" w:type="dxa"/>
          </w:tcPr>
          <w:p>
            <w:pPr>
              <w:pStyle w:val="11"/>
              <w:spacing w:line="480" w:lineRule="auto"/>
              <w:ind w:firstLine="480" w:firstLineChars="200"/>
              <w:jc w:val="left"/>
              <w:rPr>
                <w:rFonts w:hAnsi="宋体" w:cs="宋体"/>
                <w:color w:val="000000"/>
                <w:sz w:val="24"/>
                <w:szCs w:val="24"/>
              </w:rPr>
            </w:pPr>
          </w:p>
        </w:tc>
        <w:tc>
          <w:tcPr>
            <w:tcW w:w="2020" w:type="dxa"/>
          </w:tcPr>
          <w:p>
            <w:pPr>
              <w:pStyle w:val="11"/>
              <w:spacing w:line="480" w:lineRule="auto"/>
              <w:ind w:firstLine="480" w:firstLineChars="200"/>
              <w:jc w:val="left"/>
              <w:rPr>
                <w:rFonts w:hAnsi="宋体" w:cs="宋体"/>
                <w:color w:val="000000"/>
                <w:sz w:val="24"/>
                <w:szCs w:val="24"/>
              </w:rPr>
            </w:pPr>
          </w:p>
        </w:tc>
        <w:tc>
          <w:tcPr>
            <w:tcW w:w="2944" w:type="dxa"/>
          </w:tcPr>
          <w:p>
            <w:pPr>
              <w:pStyle w:val="11"/>
              <w:spacing w:line="480" w:lineRule="auto"/>
              <w:ind w:firstLine="480" w:firstLineChars="200"/>
              <w:jc w:val="left"/>
              <w:rPr>
                <w:rFonts w:hAnsi="宋体" w:cs="宋体"/>
                <w:color w:val="000000"/>
                <w:sz w:val="24"/>
                <w:szCs w:val="24"/>
              </w:rPr>
            </w:pPr>
          </w:p>
        </w:tc>
        <w:tc>
          <w:tcPr>
            <w:tcW w:w="2456" w:type="dxa"/>
          </w:tcPr>
          <w:p>
            <w:pPr>
              <w:pStyle w:val="11"/>
              <w:spacing w:line="480" w:lineRule="auto"/>
              <w:ind w:firstLine="480" w:firstLineChars="200"/>
              <w:jc w:val="left"/>
              <w:rPr>
                <w:rFonts w:hAnsi="宋体" w:cs="宋体"/>
                <w:color w:val="000000"/>
                <w:sz w:val="24"/>
                <w:szCs w:val="24"/>
              </w:rPr>
            </w:pPr>
          </w:p>
        </w:tc>
      </w:tr>
    </w:tbl>
    <w:p>
      <w:pPr>
        <w:pStyle w:val="6"/>
        <w:ind w:firstLine="0"/>
        <w:rPr>
          <w:rFonts w:ascii="宋体" w:hAnsi="宋体"/>
          <w:b/>
          <w:bCs/>
          <w:color w:val="000000"/>
          <w:sz w:val="28"/>
          <w:szCs w:val="28"/>
        </w:rPr>
      </w:pPr>
      <w:r>
        <w:rPr>
          <w:rFonts w:hint="eastAsia" w:ascii="宋体" w:hAnsi="宋体"/>
          <w:b/>
          <w:bCs/>
          <w:color w:val="000000"/>
          <w:sz w:val="28"/>
          <w:szCs w:val="28"/>
        </w:rPr>
        <w:t>填写说明：供应商对本项目付款、</w:t>
      </w:r>
      <w:r>
        <w:rPr>
          <w:rFonts w:hint="eastAsia" w:ascii="宋体" w:hAnsi="宋体"/>
          <w:b/>
          <w:bCs/>
          <w:color w:val="000000"/>
          <w:sz w:val="28"/>
          <w:szCs w:val="28"/>
          <w:lang w:val="en-US" w:eastAsia="zh-CN"/>
        </w:rPr>
        <w:t>服务期</w:t>
      </w:r>
      <w:r>
        <w:rPr>
          <w:rFonts w:hint="eastAsia" w:ascii="宋体" w:hAnsi="宋体"/>
          <w:b/>
          <w:bCs/>
          <w:color w:val="000000"/>
          <w:sz w:val="28"/>
          <w:szCs w:val="28"/>
        </w:rPr>
        <w:t>、履约验收等商务方面进行响应说明，并保证响应的真实性。</w:t>
      </w:r>
    </w:p>
    <w:p>
      <w:pPr>
        <w:pStyle w:val="6"/>
        <w:ind w:firstLine="0"/>
        <w:rPr>
          <w:rFonts w:ascii="宋体" w:hAnsi="宋体"/>
          <w:b/>
          <w:bCs/>
          <w:color w:val="000000"/>
          <w:sz w:val="28"/>
          <w:szCs w:val="28"/>
        </w:rPr>
      </w:pPr>
      <w:r>
        <w:rPr>
          <w:rFonts w:hint="eastAsia" w:ascii="宋体" w:hAnsi="宋体"/>
          <w:b/>
          <w:bCs/>
          <w:color w:val="000000"/>
          <w:sz w:val="28"/>
          <w:szCs w:val="28"/>
        </w:rPr>
        <w:t>偏差说明填写：正偏离（标明正偏离内容）、符合。</w:t>
      </w:r>
    </w:p>
    <w:p>
      <w:pPr>
        <w:pStyle w:val="6"/>
        <w:ind w:firstLine="0"/>
        <w:rPr>
          <w:rFonts w:ascii="宋体" w:hAnsi="宋体"/>
          <w:color w:val="000000"/>
          <w:sz w:val="28"/>
          <w:szCs w:val="28"/>
        </w:rPr>
      </w:pPr>
      <w:r>
        <w:rPr>
          <w:rFonts w:hint="eastAsia" w:ascii="宋体" w:hAnsi="宋体"/>
          <w:b/>
          <w:bCs/>
          <w:color w:val="000000"/>
          <w:sz w:val="28"/>
          <w:szCs w:val="28"/>
        </w:rPr>
        <w:t>商务条款不允许负偏离；</w:t>
      </w:r>
    </w:p>
    <w:p>
      <w:pPr>
        <w:adjustRightInd w:val="0"/>
        <w:snapToGrid w:val="0"/>
        <w:spacing w:line="480" w:lineRule="auto"/>
        <w:jc w:val="left"/>
        <w:rPr>
          <w:rFonts w:ascii="宋体" w:hAnsi="宋体" w:cs="宋体"/>
          <w:color w:val="000000"/>
          <w:sz w:val="28"/>
          <w:szCs w:val="28"/>
        </w:rPr>
      </w:pPr>
    </w:p>
    <w:p>
      <w:pPr>
        <w:adjustRightInd w:val="0"/>
        <w:snapToGrid w:val="0"/>
        <w:spacing w:line="480" w:lineRule="auto"/>
        <w:jc w:val="left"/>
        <w:rPr>
          <w:rFonts w:ascii="宋体" w:hAnsi="宋体" w:cs="宋体"/>
          <w:color w:val="000000"/>
          <w:sz w:val="28"/>
          <w:szCs w:val="28"/>
          <w:u w:val="single"/>
        </w:rPr>
      </w:pPr>
      <w:r>
        <w:rPr>
          <w:rFonts w:hint="eastAsia" w:ascii="宋体" w:hAnsi="宋体" w:cs="宋体"/>
          <w:color w:val="000000"/>
          <w:sz w:val="28"/>
          <w:szCs w:val="28"/>
        </w:rPr>
        <w:t>供应商（单位名称及公章）：</w:t>
      </w:r>
    </w:p>
    <w:p>
      <w:pPr>
        <w:adjustRightInd w:val="0"/>
        <w:snapToGrid w:val="0"/>
        <w:spacing w:line="480" w:lineRule="auto"/>
        <w:rPr>
          <w:rFonts w:ascii="宋体" w:hAnsi="宋体" w:cs="宋体"/>
          <w:color w:val="000000"/>
          <w:sz w:val="28"/>
          <w:szCs w:val="28"/>
        </w:rPr>
      </w:pPr>
      <w:r>
        <w:rPr>
          <w:rFonts w:hint="eastAsia" w:ascii="宋体" w:hAnsi="宋体" w:cs="宋体"/>
          <w:color w:val="000000"/>
          <w:sz w:val="28"/>
          <w:szCs w:val="28"/>
        </w:rPr>
        <w:t>法定代表人/被授权人（签字或盖章）：</w:t>
      </w:r>
    </w:p>
    <w:p>
      <w:pPr>
        <w:adjustRightInd w:val="0"/>
        <w:snapToGrid w:val="0"/>
        <w:spacing w:line="480" w:lineRule="auto"/>
        <w:rPr>
          <w:rFonts w:ascii="宋体" w:hAnsi="宋体"/>
          <w:color w:val="000000"/>
          <w:sz w:val="28"/>
          <w:szCs w:val="28"/>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z w:val="28"/>
          <w:szCs w:val="28"/>
        </w:rPr>
        <w:t>日    期：年</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月</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日</w:t>
      </w:r>
    </w:p>
    <w:p>
      <w:pPr>
        <w:pStyle w:val="22"/>
        <w:ind w:firstLine="280"/>
        <w:rPr>
          <w:rFonts w:ascii="宋体" w:hAnsi="宋体" w:cs="宋体"/>
          <w:color w:val="000000"/>
          <w:sz w:val="28"/>
          <w:szCs w:val="28"/>
        </w:rPr>
      </w:pPr>
      <w:r>
        <w:rPr>
          <w:rFonts w:hint="eastAsia" w:ascii="宋体" w:hAnsi="宋体" w:cs="宋体"/>
          <w:color w:val="000000"/>
          <w:sz w:val="28"/>
          <w:szCs w:val="28"/>
        </w:rPr>
        <w:t>表2、技术响应偏差表</w:t>
      </w:r>
    </w:p>
    <w:tbl>
      <w:tblPr>
        <w:tblStyle w:val="2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64"/>
        <w:gridCol w:w="2443"/>
        <w:gridCol w:w="1621"/>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38" w:type="dxa"/>
            <w:vAlign w:val="center"/>
          </w:tcPr>
          <w:p>
            <w:pPr>
              <w:pStyle w:val="11"/>
              <w:spacing w:line="480" w:lineRule="auto"/>
              <w:jc w:val="center"/>
              <w:rPr>
                <w:rFonts w:hAnsi="宋体" w:cs="宋体"/>
                <w:color w:val="000000"/>
                <w:sz w:val="24"/>
                <w:szCs w:val="24"/>
              </w:rPr>
            </w:pPr>
            <w:r>
              <w:rPr>
                <w:rFonts w:hint="eastAsia" w:hAnsi="宋体" w:cs="宋体"/>
                <w:color w:val="000000"/>
                <w:sz w:val="24"/>
                <w:szCs w:val="24"/>
              </w:rPr>
              <w:t>序号</w:t>
            </w:r>
          </w:p>
        </w:tc>
        <w:tc>
          <w:tcPr>
            <w:tcW w:w="2864" w:type="dxa"/>
            <w:vAlign w:val="center"/>
          </w:tcPr>
          <w:p>
            <w:pPr>
              <w:pStyle w:val="11"/>
              <w:spacing w:line="480" w:lineRule="auto"/>
              <w:ind w:firstLine="480" w:firstLineChars="200"/>
              <w:jc w:val="left"/>
              <w:rPr>
                <w:rFonts w:hAnsi="宋体" w:cs="宋体"/>
                <w:color w:val="000000"/>
                <w:sz w:val="24"/>
                <w:szCs w:val="24"/>
              </w:rPr>
            </w:pPr>
            <w:r>
              <w:rPr>
                <w:rFonts w:hint="eastAsia" w:hAnsi="宋体" w:cs="宋体"/>
                <w:color w:val="000000"/>
                <w:sz w:val="24"/>
                <w:szCs w:val="24"/>
              </w:rPr>
              <w:t>磋商文件要求</w:t>
            </w:r>
          </w:p>
          <w:p>
            <w:pPr>
              <w:pStyle w:val="11"/>
              <w:spacing w:line="480" w:lineRule="auto"/>
              <w:ind w:firstLine="480" w:firstLineChars="200"/>
              <w:jc w:val="left"/>
              <w:rPr>
                <w:rFonts w:hAnsi="宋体" w:cs="宋体"/>
                <w:color w:val="000000"/>
                <w:sz w:val="24"/>
                <w:szCs w:val="24"/>
              </w:rPr>
            </w:pPr>
            <w:r>
              <w:rPr>
                <w:rFonts w:hint="eastAsia" w:hAnsi="宋体" w:cs="宋体"/>
                <w:color w:val="000000"/>
                <w:sz w:val="24"/>
                <w:szCs w:val="24"/>
              </w:rPr>
              <w:t xml:space="preserve"> 服务要求</w:t>
            </w:r>
          </w:p>
        </w:tc>
        <w:tc>
          <w:tcPr>
            <w:tcW w:w="2443" w:type="dxa"/>
            <w:vAlign w:val="center"/>
          </w:tcPr>
          <w:p>
            <w:pPr>
              <w:pStyle w:val="11"/>
              <w:spacing w:line="480" w:lineRule="auto"/>
              <w:ind w:firstLine="480" w:firstLineChars="200"/>
              <w:rPr>
                <w:rFonts w:hAnsi="宋体" w:cs="宋体"/>
                <w:color w:val="000000"/>
                <w:sz w:val="24"/>
                <w:szCs w:val="24"/>
              </w:rPr>
            </w:pPr>
            <w:r>
              <w:rPr>
                <w:rFonts w:hint="eastAsia" w:hAnsi="宋体" w:cs="宋体"/>
                <w:color w:val="000000"/>
                <w:sz w:val="24"/>
                <w:szCs w:val="24"/>
              </w:rPr>
              <w:t>响应文件</w:t>
            </w:r>
          </w:p>
          <w:p>
            <w:pPr>
              <w:pStyle w:val="11"/>
              <w:spacing w:line="480" w:lineRule="auto"/>
              <w:ind w:firstLine="480" w:firstLineChars="200"/>
              <w:rPr>
                <w:rFonts w:hAnsi="宋体" w:cs="宋体"/>
                <w:color w:val="000000"/>
                <w:sz w:val="24"/>
                <w:szCs w:val="24"/>
              </w:rPr>
            </w:pPr>
            <w:r>
              <w:rPr>
                <w:rFonts w:hint="eastAsia" w:hAnsi="宋体" w:cs="宋体"/>
                <w:color w:val="000000"/>
                <w:sz w:val="24"/>
                <w:szCs w:val="24"/>
              </w:rPr>
              <w:t>服务内容</w:t>
            </w:r>
          </w:p>
        </w:tc>
        <w:tc>
          <w:tcPr>
            <w:tcW w:w="1621" w:type="dxa"/>
            <w:vAlign w:val="center"/>
          </w:tcPr>
          <w:p>
            <w:pPr>
              <w:pStyle w:val="11"/>
              <w:spacing w:line="480" w:lineRule="auto"/>
              <w:jc w:val="center"/>
              <w:rPr>
                <w:rFonts w:hAnsi="宋体" w:cs="宋体"/>
                <w:color w:val="000000"/>
                <w:sz w:val="24"/>
                <w:szCs w:val="24"/>
              </w:rPr>
            </w:pPr>
            <w:r>
              <w:rPr>
                <w:rFonts w:hint="eastAsia" w:hAnsi="宋体" w:cs="宋体"/>
                <w:color w:val="000000"/>
                <w:sz w:val="24"/>
                <w:szCs w:val="24"/>
              </w:rPr>
              <w:t>偏差说明</w:t>
            </w:r>
          </w:p>
        </w:tc>
        <w:tc>
          <w:tcPr>
            <w:tcW w:w="1614" w:type="dxa"/>
            <w:vAlign w:val="center"/>
          </w:tcPr>
          <w:p>
            <w:pPr>
              <w:pStyle w:val="11"/>
              <w:spacing w:line="480" w:lineRule="auto"/>
              <w:jc w:val="center"/>
              <w:rPr>
                <w:rFonts w:hAnsi="宋体" w:cs="宋体"/>
                <w:color w:val="000000"/>
                <w:sz w:val="24"/>
                <w:szCs w:val="24"/>
              </w:rPr>
            </w:pPr>
            <w:r>
              <w:rPr>
                <w:rFonts w:hint="eastAsia"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vAlign w:val="center"/>
          </w:tcPr>
          <w:p>
            <w:pPr>
              <w:pStyle w:val="11"/>
              <w:spacing w:line="480" w:lineRule="auto"/>
              <w:ind w:firstLine="480" w:firstLineChars="200"/>
              <w:jc w:val="left"/>
              <w:rPr>
                <w:rFonts w:hAnsi="宋体" w:cs="宋体"/>
                <w:color w:val="000000"/>
                <w:sz w:val="24"/>
                <w:szCs w:val="24"/>
              </w:rPr>
            </w:pPr>
          </w:p>
        </w:tc>
        <w:tc>
          <w:tcPr>
            <w:tcW w:w="2443" w:type="dxa"/>
            <w:vAlign w:val="center"/>
          </w:tcPr>
          <w:p>
            <w:pPr>
              <w:pStyle w:val="11"/>
              <w:spacing w:line="480" w:lineRule="auto"/>
              <w:ind w:firstLine="480" w:firstLineChars="200"/>
              <w:jc w:val="left"/>
              <w:rPr>
                <w:rFonts w:hAnsi="宋体" w:cs="宋体"/>
                <w:color w:val="000000"/>
                <w:sz w:val="24"/>
                <w:szCs w:val="24"/>
              </w:rPr>
            </w:pPr>
          </w:p>
        </w:tc>
        <w:tc>
          <w:tcPr>
            <w:tcW w:w="1621" w:type="dxa"/>
            <w:vAlign w:val="center"/>
          </w:tcPr>
          <w:p>
            <w:pPr>
              <w:pStyle w:val="11"/>
              <w:spacing w:line="480" w:lineRule="auto"/>
              <w:ind w:firstLine="480" w:firstLineChars="200"/>
              <w:jc w:val="left"/>
              <w:rPr>
                <w:rFonts w:hAnsi="宋体" w:cs="宋体"/>
                <w:color w:val="000000"/>
                <w:sz w:val="24"/>
                <w:szCs w:val="24"/>
              </w:rPr>
            </w:pPr>
          </w:p>
        </w:tc>
        <w:tc>
          <w:tcPr>
            <w:tcW w:w="1614" w:type="dxa"/>
            <w:vAlign w:val="center"/>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bl>
    <w:p>
      <w:pPr>
        <w:pStyle w:val="11"/>
        <w:ind w:firstLine="562" w:firstLineChars="200"/>
        <w:jc w:val="left"/>
        <w:rPr>
          <w:rFonts w:hAnsi="宋体" w:cs="宋体"/>
          <w:color w:val="000000"/>
          <w:sz w:val="28"/>
          <w:szCs w:val="28"/>
        </w:rPr>
      </w:pPr>
      <w:r>
        <w:rPr>
          <w:rFonts w:hint="eastAsia" w:hAnsi="宋体" w:cs="宋体"/>
          <w:b/>
          <w:color w:val="000000"/>
          <w:sz w:val="28"/>
          <w:szCs w:val="28"/>
        </w:rPr>
        <w:t>填写说明：</w:t>
      </w:r>
      <w:r>
        <w:rPr>
          <w:rFonts w:hint="eastAsia" w:hAnsi="宋体" w:cs="宋体"/>
          <w:color w:val="000000"/>
          <w:sz w:val="28"/>
          <w:szCs w:val="28"/>
        </w:rPr>
        <w:t>请按磋商文件要求的实际服务要求，逐条对应响应文件的“采购要求”中的服务要求认真填写本表。偏差说明填写：正偏离（标明正偏离内容及正偏离的证明材料的页码）、符合（标明主要技术参数证明材料页码）或负偏离。</w:t>
      </w:r>
    </w:p>
    <w:p>
      <w:pPr>
        <w:adjustRightInd w:val="0"/>
        <w:snapToGrid w:val="0"/>
        <w:spacing w:line="480" w:lineRule="auto"/>
        <w:jc w:val="left"/>
        <w:rPr>
          <w:rFonts w:ascii="宋体" w:hAnsi="宋体" w:cs="宋体"/>
          <w:color w:val="000000"/>
          <w:sz w:val="28"/>
          <w:szCs w:val="28"/>
        </w:rPr>
      </w:pPr>
    </w:p>
    <w:p>
      <w:pPr>
        <w:adjustRightInd w:val="0"/>
        <w:snapToGrid w:val="0"/>
        <w:spacing w:line="480" w:lineRule="auto"/>
        <w:jc w:val="left"/>
        <w:rPr>
          <w:rFonts w:ascii="宋体" w:hAnsi="宋体" w:cs="宋体"/>
          <w:color w:val="000000"/>
          <w:sz w:val="28"/>
          <w:szCs w:val="28"/>
          <w:u w:val="single"/>
        </w:rPr>
      </w:pPr>
      <w:r>
        <w:rPr>
          <w:rFonts w:hint="eastAsia" w:ascii="宋体" w:hAnsi="宋体" w:cs="宋体"/>
          <w:color w:val="000000"/>
          <w:sz w:val="28"/>
          <w:szCs w:val="28"/>
        </w:rPr>
        <w:t>供应商（单位名称及公章）：</w:t>
      </w:r>
    </w:p>
    <w:p>
      <w:pPr>
        <w:adjustRightInd w:val="0"/>
        <w:snapToGrid w:val="0"/>
        <w:spacing w:line="480" w:lineRule="auto"/>
        <w:rPr>
          <w:rFonts w:ascii="宋体" w:hAnsi="宋体" w:cs="宋体"/>
          <w:color w:val="000000"/>
          <w:sz w:val="28"/>
          <w:szCs w:val="28"/>
        </w:rPr>
      </w:pPr>
      <w:r>
        <w:rPr>
          <w:rFonts w:hint="eastAsia" w:ascii="宋体" w:hAnsi="宋体" w:cs="宋体"/>
          <w:color w:val="000000"/>
          <w:sz w:val="28"/>
          <w:szCs w:val="28"/>
        </w:rPr>
        <w:t>法定代表人/被授权人（签字或盖章）：</w:t>
      </w:r>
    </w:p>
    <w:p>
      <w:pPr>
        <w:adjustRightInd w:val="0"/>
        <w:snapToGrid w:val="0"/>
        <w:spacing w:line="480" w:lineRule="auto"/>
        <w:rPr>
          <w:rFonts w:ascii="宋体" w:hAnsi="宋体" w:cs="宋体"/>
          <w:color w:val="000000"/>
          <w:sz w:val="28"/>
          <w:szCs w:val="28"/>
        </w:rPr>
        <w:sectPr>
          <w:pgSz w:w="11906" w:h="16838"/>
          <w:pgMar w:top="1440" w:right="1304" w:bottom="1440" w:left="1304" w:header="851" w:footer="992" w:gutter="0"/>
          <w:pgNumType w:fmt="decimal"/>
          <w:cols w:space="720" w:num="1"/>
          <w:docGrid w:type="lines" w:linePitch="325" w:charSpace="0"/>
        </w:sectPr>
      </w:pPr>
      <w:r>
        <w:rPr>
          <w:rFonts w:hint="eastAsia" w:ascii="宋体" w:hAnsi="宋体" w:cs="宋体"/>
          <w:color w:val="000000"/>
          <w:sz w:val="28"/>
          <w:szCs w:val="28"/>
        </w:rPr>
        <w:t>日    期：年</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月</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日</w:t>
      </w:r>
    </w:p>
    <w:p>
      <w:pPr>
        <w:pStyle w:val="4"/>
        <w:spacing w:beforeLines="100" w:afterLines="150" w:line="500" w:lineRule="exact"/>
        <w:rPr>
          <w:rFonts w:ascii="宋体" w:hAnsi="宋体" w:cs="宋体"/>
          <w:color w:val="000000"/>
          <w:sz w:val="36"/>
          <w:szCs w:val="36"/>
        </w:rPr>
      </w:pPr>
      <w:bookmarkStart w:id="165" w:name="_Toc18357"/>
      <w:bookmarkStart w:id="166" w:name="_Toc8786"/>
      <w:bookmarkStart w:id="167" w:name="_Toc31024"/>
      <w:bookmarkStart w:id="168" w:name="_Toc30123"/>
      <w:r>
        <w:rPr>
          <w:rFonts w:hint="eastAsia" w:ascii="宋体" w:hAnsi="宋体" w:cs="宋体"/>
          <w:color w:val="000000"/>
          <w:sz w:val="36"/>
          <w:szCs w:val="36"/>
        </w:rPr>
        <w:t>第六章</w:t>
      </w:r>
      <w:bookmarkEnd w:id="165"/>
      <w:r>
        <w:rPr>
          <w:rFonts w:hint="eastAsia" w:ascii="宋体" w:hAnsi="宋体" w:cs="宋体"/>
          <w:color w:val="000000"/>
          <w:sz w:val="36"/>
          <w:szCs w:val="36"/>
        </w:rPr>
        <w:t xml:space="preserve">  技术支持资料</w:t>
      </w:r>
      <w:bookmarkEnd w:id="166"/>
      <w:bookmarkEnd w:id="167"/>
      <w:bookmarkEnd w:id="168"/>
    </w:p>
    <w:p>
      <w:pPr>
        <w:spacing w:line="480" w:lineRule="auto"/>
        <w:rPr>
          <w:b/>
          <w:bCs/>
          <w:color w:val="000000"/>
          <w:sz w:val="36"/>
          <w:szCs w:val="36"/>
        </w:rPr>
      </w:pPr>
      <w:r>
        <w:rPr>
          <w:rFonts w:hint="eastAsia"/>
          <w:b/>
          <w:bCs/>
          <w:color w:val="000000"/>
          <w:sz w:val="36"/>
          <w:szCs w:val="36"/>
        </w:rPr>
        <w:t>供应商可根据评审办法自行编写，格式不限：</w:t>
      </w:r>
    </w:p>
    <w:p>
      <w:pPr>
        <w:rPr>
          <w:color w:val="000000"/>
        </w:rPr>
      </w:pPr>
    </w:p>
    <w:p>
      <w:pPr>
        <w:pStyle w:val="4"/>
        <w:rPr>
          <w:color w:val="000000"/>
        </w:rPr>
        <w:sectPr>
          <w:pgSz w:w="11906" w:h="16838"/>
          <w:pgMar w:top="1440" w:right="1304" w:bottom="1440" w:left="1304" w:header="851" w:footer="992" w:gutter="0"/>
          <w:pgNumType w:fmt="decimal"/>
          <w:cols w:space="720" w:num="1"/>
          <w:docGrid w:type="lines" w:linePitch="325" w:charSpace="0"/>
        </w:sectPr>
      </w:pPr>
    </w:p>
    <w:p>
      <w:pPr>
        <w:pStyle w:val="4"/>
        <w:rPr>
          <w:color w:val="000000"/>
        </w:rPr>
      </w:pPr>
      <w:bookmarkStart w:id="169" w:name="_Toc10945"/>
      <w:bookmarkStart w:id="170" w:name="_Toc11540"/>
      <w:bookmarkStart w:id="171" w:name="_Toc24882"/>
      <w:r>
        <w:rPr>
          <w:rFonts w:hint="eastAsia"/>
          <w:color w:val="000000"/>
        </w:rPr>
        <w:t>第七章  供应商业绩一览表</w:t>
      </w:r>
      <w:bookmarkEnd w:id="169"/>
      <w:bookmarkEnd w:id="170"/>
      <w:bookmarkEnd w:id="171"/>
    </w:p>
    <w:p>
      <w:pPr>
        <w:rPr>
          <w:rFonts w:ascii="宋体" w:hAnsi="宋体" w:cs="宋体"/>
          <w:color w:val="000000"/>
        </w:rPr>
      </w:pPr>
    </w:p>
    <w:tbl>
      <w:tblPr>
        <w:tblStyle w:val="24"/>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宋体" w:hAnsi="宋体" w:cs="宋体"/>
                <w:bCs/>
                <w:color w:val="000000"/>
                <w:szCs w:val="21"/>
              </w:rPr>
            </w:pPr>
            <w:r>
              <w:rPr>
                <w:rFonts w:hint="eastAsia" w:ascii="宋体" w:hAnsi="宋体" w:cs="宋体"/>
                <w:bCs/>
                <w:color w:val="000000"/>
                <w:szCs w:val="21"/>
              </w:rPr>
              <w:t>年份</w:t>
            </w:r>
          </w:p>
        </w:tc>
        <w:tc>
          <w:tcPr>
            <w:tcW w:w="1508" w:type="dxa"/>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用户名称</w:t>
            </w:r>
          </w:p>
        </w:tc>
        <w:tc>
          <w:tcPr>
            <w:tcW w:w="1382" w:type="dxa"/>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项目名称</w:t>
            </w:r>
          </w:p>
        </w:tc>
        <w:tc>
          <w:tcPr>
            <w:tcW w:w="1399" w:type="dxa"/>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完成时间</w:t>
            </w:r>
          </w:p>
        </w:tc>
        <w:tc>
          <w:tcPr>
            <w:tcW w:w="1485" w:type="dxa"/>
            <w:vAlign w:val="center"/>
          </w:tcPr>
          <w:p>
            <w:pPr>
              <w:spacing w:line="400" w:lineRule="exact"/>
              <w:ind w:firstLine="105" w:firstLineChars="50"/>
              <w:rPr>
                <w:rFonts w:ascii="宋体" w:hAnsi="宋体" w:cs="宋体"/>
                <w:bCs/>
                <w:color w:val="000000"/>
                <w:szCs w:val="21"/>
              </w:rPr>
            </w:pPr>
            <w:r>
              <w:rPr>
                <w:rFonts w:hint="eastAsia" w:ascii="宋体" w:hAnsi="宋体" w:cs="宋体"/>
                <w:bCs/>
                <w:color w:val="000000"/>
                <w:szCs w:val="21"/>
              </w:rPr>
              <w:t>合同金额</w:t>
            </w:r>
          </w:p>
        </w:tc>
        <w:tc>
          <w:tcPr>
            <w:tcW w:w="1576" w:type="dxa"/>
            <w:tcBorders>
              <w:right w:val="single" w:color="auto" w:sz="4" w:space="0"/>
            </w:tcBorders>
            <w:vAlign w:val="center"/>
          </w:tcPr>
          <w:p>
            <w:pPr>
              <w:spacing w:line="400" w:lineRule="exact"/>
              <w:ind w:left="204" w:hanging="203" w:hangingChars="97"/>
              <w:rPr>
                <w:rFonts w:ascii="宋体" w:hAnsi="宋体" w:cs="宋体"/>
                <w:bCs/>
                <w:color w:val="000000"/>
                <w:szCs w:val="21"/>
              </w:rPr>
            </w:pPr>
            <w:r>
              <w:rPr>
                <w:rFonts w:hint="eastAsia" w:ascii="宋体" w:hAnsi="宋体" w:cs="宋体"/>
                <w:bCs/>
                <w:color w:val="000000"/>
                <w:szCs w:val="21"/>
              </w:rPr>
              <w:t>完成项目质量</w:t>
            </w:r>
          </w:p>
        </w:tc>
        <w:tc>
          <w:tcPr>
            <w:tcW w:w="1096" w:type="dxa"/>
            <w:tcBorders>
              <w:left w:val="single" w:color="auto" w:sz="4" w:space="0"/>
            </w:tcBorders>
            <w:vAlign w:val="center"/>
          </w:tcPr>
          <w:p>
            <w:pPr>
              <w:spacing w:line="400" w:lineRule="exact"/>
              <w:rPr>
                <w:rFonts w:ascii="宋体" w:hAnsi="宋体" w:cs="宋体"/>
                <w:bCs/>
                <w:color w:val="000000"/>
                <w:szCs w:val="21"/>
              </w:rPr>
            </w:pPr>
            <w:r>
              <w:rPr>
                <w:rFonts w:hint="eastAsia" w:ascii="宋体" w:hAnsi="宋体" w:cs="宋体"/>
                <w:bCs/>
                <w:color w:val="000000"/>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color w:val="000000"/>
                <w:szCs w:val="21"/>
              </w:rPr>
            </w:pPr>
          </w:p>
        </w:tc>
        <w:tc>
          <w:tcPr>
            <w:tcW w:w="1508" w:type="dxa"/>
            <w:vAlign w:val="center"/>
          </w:tcPr>
          <w:p>
            <w:pPr>
              <w:spacing w:line="400" w:lineRule="exact"/>
              <w:jc w:val="center"/>
              <w:rPr>
                <w:rFonts w:ascii="宋体" w:hAnsi="宋体" w:cs="宋体"/>
                <w:bCs/>
                <w:color w:val="000000"/>
                <w:szCs w:val="21"/>
              </w:rPr>
            </w:pPr>
          </w:p>
        </w:tc>
        <w:tc>
          <w:tcPr>
            <w:tcW w:w="1382" w:type="dxa"/>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vAlign w:val="center"/>
          </w:tcPr>
          <w:p>
            <w:pPr>
              <w:spacing w:line="400" w:lineRule="exact"/>
              <w:jc w:val="center"/>
              <w:rPr>
                <w:rFonts w:ascii="宋体" w:hAnsi="宋体" w:cs="宋体"/>
                <w:bCs/>
                <w:color w:val="000000"/>
                <w:szCs w:val="21"/>
              </w:rPr>
            </w:pPr>
          </w:p>
        </w:tc>
        <w:tc>
          <w:tcPr>
            <w:tcW w:w="1576" w:type="dxa"/>
            <w:tcBorders>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color w:val="000000"/>
                <w:szCs w:val="21"/>
              </w:rPr>
            </w:pPr>
          </w:p>
        </w:tc>
        <w:tc>
          <w:tcPr>
            <w:tcW w:w="1508" w:type="dxa"/>
            <w:vAlign w:val="center"/>
          </w:tcPr>
          <w:p>
            <w:pPr>
              <w:spacing w:line="400" w:lineRule="exact"/>
              <w:jc w:val="center"/>
              <w:rPr>
                <w:rFonts w:ascii="宋体" w:hAnsi="宋体" w:cs="宋体"/>
                <w:bCs/>
                <w:color w:val="000000"/>
                <w:szCs w:val="21"/>
              </w:rPr>
            </w:pPr>
          </w:p>
        </w:tc>
        <w:tc>
          <w:tcPr>
            <w:tcW w:w="1382" w:type="dxa"/>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vAlign w:val="center"/>
          </w:tcPr>
          <w:p>
            <w:pPr>
              <w:spacing w:line="400" w:lineRule="exact"/>
              <w:jc w:val="center"/>
              <w:rPr>
                <w:rFonts w:ascii="宋体" w:hAnsi="宋体" w:cs="宋体"/>
                <w:bCs/>
                <w:color w:val="000000"/>
                <w:szCs w:val="21"/>
              </w:rPr>
            </w:pPr>
          </w:p>
        </w:tc>
        <w:tc>
          <w:tcPr>
            <w:tcW w:w="1576" w:type="dxa"/>
            <w:tcBorders>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color w:val="000000"/>
                <w:szCs w:val="21"/>
              </w:rPr>
            </w:pPr>
          </w:p>
        </w:tc>
        <w:tc>
          <w:tcPr>
            <w:tcW w:w="1508" w:type="dxa"/>
            <w:vAlign w:val="center"/>
          </w:tcPr>
          <w:p>
            <w:pPr>
              <w:spacing w:line="400" w:lineRule="exact"/>
              <w:jc w:val="center"/>
              <w:rPr>
                <w:rFonts w:ascii="宋体" w:hAnsi="宋体" w:cs="宋体"/>
                <w:bCs/>
                <w:color w:val="000000"/>
                <w:szCs w:val="21"/>
              </w:rPr>
            </w:pPr>
          </w:p>
        </w:tc>
        <w:tc>
          <w:tcPr>
            <w:tcW w:w="1382" w:type="dxa"/>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vAlign w:val="center"/>
          </w:tcPr>
          <w:p>
            <w:pPr>
              <w:spacing w:line="400" w:lineRule="exact"/>
              <w:jc w:val="center"/>
              <w:rPr>
                <w:rFonts w:ascii="宋体" w:hAnsi="宋体" w:cs="宋体"/>
                <w:bCs/>
                <w:color w:val="000000"/>
                <w:szCs w:val="21"/>
              </w:rPr>
            </w:pPr>
          </w:p>
        </w:tc>
        <w:tc>
          <w:tcPr>
            <w:tcW w:w="1576" w:type="dxa"/>
            <w:tcBorders>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color w:val="000000"/>
                <w:szCs w:val="21"/>
              </w:rPr>
            </w:pPr>
          </w:p>
        </w:tc>
        <w:tc>
          <w:tcPr>
            <w:tcW w:w="1508" w:type="dxa"/>
            <w:tcBorders>
              <w:right w:val="single" w:color="auto" w:sz="4" w:space="0"/>
            </w:tcBorders>
            <w:vAlign w:val="center"/>
          </w:tcPr>
          <w:p>
            <w:pPr>
              <w:spacing w:line="400" w:lineRule="exact"/>
              <w:jc w:val="center"/>
              <w:rPr>
                <w:rFonts w:ascii="宋体" w:hAnsi="宋体" w:cs="宋体"/>
                <w:bCs/>
                <w:color w:val="000000"/>
                <w:szCs w:val="21"/>
              </w:rPr>
            </w:pPr>
          </w:p>
        </w:tc>
        <w:tc>
          <w:tcPr>
            <w:tcW w:w="1382" w:type="dxa"/>
            <w:tcBorders>
              <w:left w:val="single" w:color="auto" w:sz="4" w:space="0"/>
            </w:tcBorders>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vAlign w:val="center"/>
          </w:tcPr>
          <w:p>
            <w:pPr>
              <w:spacing w:line="400" w:lineRule="exact"/>
              <w:jc w:val="center"/>
              <w:rPr>
                <w:rFonts w:ascii="宋体" w:hAnsi="宋体" w:cs="宋体"/>
                <w:bCs/>
                <w:color w:val="000000"/>
                <w:szCs w:val="21"/>
              </w:rPr>
            </w:pPr>
          </w:p>
        </w:tc>
        <w:tc>
          <w:tcPr>
            <w:tcW w:w="1576" w:type="dxa"/>
            <w:tcBorders>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宋体" w:hAnsi="宋体" w:cs="宋体"/>
                <w:bCs/>
                <w:color w:val="000000"/>
                <w:szCs w:val="21"/>
              </w:rPr>
            </w:pPr>
          </w:p>
        </w:tc>
        <w:tc>
          <w:tcPr>
            <w:tcW w:w="1508"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382"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399"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485"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576"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096" w:type="dxa"/>
            <w:tcBorders>
              <w:left w:val="single" w:color="auto" w:sz="4" w:space="0"/>
            </w:tcBorders>
            <w:vAlign w:val="center"/>
          </w:tcPr>
          <w:p>
            <w:pPr>
              <w:spacing w:line="400" w:lineRule="exact"/>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宋体" w:hAnsi="宋体" w:cs="宋体"/>
                <w:bCs/>
                <w:color w:val="000000"/>
                <w:szCs w:val="21"/>
              </w:rPr>
            </w:pPr>
          </w:p>
        </w:tc>
        <w:tc>
          <w:tcPr>
            <w:tcW w:w="1508" w:type="dxa"/>
            <w:vAlign w:val="center"/>
          </w:tcPr>
          <w:p>
            <w:pPr>
              <w:spacing w:line="400" w:lineRule="exact"/>
              <w:rPr>
                <w:rFonts w:ascii="宋体" w:hAnsi="宋体" w:cs="宋体"/>
                <w:bCs/>
                <w:color w:val="000000"/>
                <w:szCs w:val="21"/>
              </w:rPr>
            </w:pPr>
          </w:p>
        </w:tc>
        <w:tc>
          <w:tcPr>
            <w:tcW w:w="1382" w:type="dxa"/>
            <w:vAlign w:val="center"/>
          </w:tcPr>
          <w:p>
            <w:pPr>
              <w:spacing w:line="400" w:lineRule="exact"/>
              <w:rPr>
                <w:rFonts w:ascii="宋体" w:hAnsi="宋体" w:cs="宋体"/>
                <w:bCs/>
                <w:color w:val="000000"/>
                <w:szCs w:val="21"/>
              </w:rPr>
            </w:pPr>
          </w:p>
        </w:tc>
        <w:tc>
          <w:tcPr>
            <w:tcW w:w="1399" w:type="dxa"/>
            <w:vAlign w:val="center"/>
          </w:tcPr>
          <w:p>
            <w:pPr>
              <w:spacing w:line="400" w:lineRule="exact"/>
              <w:rPr>
                <w:rFonts w:ascii="宋体" w:hAnsi="宋体" w:cs="宋体"/>
                <w:bCs/>
                <w:color w:val="000000"/>
                <w:szCs w:val="21"/>
              </w:rPr>
            </w:pPr>
          </w:p>
        </w:tc>
        <w:tc>
          <w:tcPr>
            <w:tcW w:w="1485" w:type="dxa"/>
            <w:tcBorders>
              <w:right w:val="single" w:color="auto" w:sz="4" w:space="0"/>
            </w:tcBorders>
            <w:vAlign w:val="center"/>
          </w:tcPr>
          <w:p>
            <w:pPr>
              <w:spacing w:line="400" w:lineRule="exact"/>
              <w:rPr>
                <w:rFonts w:ascii="宋体" w:hAnsi="宋体" w:cs="宋体"/>
                <w:bCs/>
                <w:color w:val="000000"/>
                <w:szCs w:val="21"/>
              </w:rPr>
            </w:pPr>
          </w:p>
        </w:tc>
        <w:tc>
          <w:tcPr>
            <w:tcW w:w="1576"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096" w:type="dxa"/>
            <w:tcBorders>
              <w:left w:val="single" w:color="auto" w:sz="4" w:space="0"/>
            </w:tcBorders>
            <w:vAlign w:val="center"/>
          </w:tcPr>
          <w:p>
            <w:pPr>
              <w:spacing w:line="400" w:lineRule="exact"/>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宋体" w:hAnsi="宋体" w:cs="宋体"/>
                <w:bCs/>
                <w:color w:val="000000"/>
                <w:szCs w:val="21"/>
              </w:rPr>
            </w:pPr>
          </w:p>
        </w:tc>
        <w:tc>
          <w:tcPr>
            <w:tcW w:w="1508" w:type="dxa"/>
            <w:vAlign w:val="center"/>
          </w:tcPr>
          <w:p>
            <w:pPr>
              <w:spacing w:line="400" w:lineRule="exact"/>
              <w:jc w:val="center"/>
              <w:rPr>
                <w:rFonts w:ascii="宋体" w:hAnsi="宋体" w:cs="宋体"/>
                <w:bCs/>
                <w:color w:val="000000"/>
                <w:szCs w:val="21"/>
              </w:rPr>
            </w:pPr>
          </w:p>
        </w:tc>
        <w:tc>
          <w:tcPr>
            <w:tcW w:w="1382" w:type="dxa"/>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tcBorders>
              <w:right w:val="single" w:color="auto" w:sz="4" w:space="0"/>
            </w:tcBorders>
            <w:vAlign w:val="center"/>
          </w:tcPr>
          <w:p>
            <w:pPr>
              <w:spacing w:line="400" w:lineRule="exact"/>
              <w:jc w:val="center"/>
              <w:rPr>
                <w:rFonts w:ascii="宋体" w:hAnsi="宋体" w:cs="宋体"/>
                <w:bCs/>
                <w:color w:val="000000"/>
                <w:szCs w:val="21"/>
              </w:rPr>
            </w:pPr>
          </w:p>
        </w:tc>
        <w:tc>
          <w:tcPr>
            <w:tcW w:w="1576" w:type="dxa"/>
            <w:tcBorders>
              <w:left w:val="single" w:color="auto" w:sz="4" w:space="0"/>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hAnsi="宋体" w:cs="宋体"/>
          <w:color w:val="000000"/>
          <w:sz w:val="24"/>
          <w:szCs w:val="24"/>
        </w:rPr>
      </w:pPr>
      <w:r>
        <w:rPr>
          <w:rFonts w:hint="eastAsia" w:ascii="宋体" w:hAnsi="宋体" w:cs="宋体"/>
          <w:color w:val="000000"/>
          <w:sz w:val="24"/>
          <w:szCs w:val="24"/>
        </w:rPr>
        <w:t xml:space="preserve"> 注：供应商（仅限于供应商自己实施的）以上业绩需提供采购合同复印件加盖公章。</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宋体" w:hAnsi="宋体" w:cs="宋体"/>
          <w:color w:val="000000"/>
          <w:sz w:val="24"/>
          <w:szCs w:val="24"/>
        </w:rPr>
      </w:pPr>
    </w:p>
    <w:p>
      <w:pPr>
        <w:spacing w:line="360" w:lineRule="auto"/>
        <w:ind w:left="360"/>
        <w:jc w:val="center"/>
        <w:rPr>
          <w:rFonts w:ascii="宋体" w:hAnsi="宋体" w:cs="宋体"/>
          <w:color w:val="000000"/>
          <w:sz w:val="24"/>
          <w:szCs w:val="24"/>
        </w:rPr>
      </w:pPr>
    </w:p>
    <w:p>
      <w:pPr>
        <w:adjustRightInd w:val="0"/>
        <w:spacing w:line="360" w:lineRule="auto"/>
        <w:ind w:firstLine="420" w:firstLineChars="175"/>
        <w:jc w:val="left"/>
        <w:rPr>
          <w:rFonts w:ascii="宋体" w:hAnsi="宋体" w:cs="宋体"/>
          <w:bCs/>
          <w:color w:val="000000"/>
          <w:sz w:val="24"/>
          <w:szCs w:val="24"/>
          <w:u w:val="single"/>
        </w:rPr>
      </w:pPr>
      <w:r>
        <w:rPr>
          <w:rFonts w:hint="eastAsia" w:ascii="宋体" w:hAnsi="宋体" w:cs="宋体"/>
          <w:bCs/>
          <w:color w:val="000000"/>
          <w:sz w:val="24"/>
          <w:szCs w:val="24"/>
        </w:rPr>
        <w:t>供应商名称：</w:t>
      </w:r>
      <w:r>
        <w:rPr>
          <w:rFonts w:hint="eastAsia" w:ascii="宋体" w:hAnsi="宋体" w:cs="宋体"/>
          <w:bCs/>
          <w:color w:val="000000"/>
          <w:sz w:val="24"/>
          <w:szCs w:val="24"/>
          <w:u w:val="single"/>
        </w:rPr>
        <w:t xml:space="preserve">              （全称及公章）</w:t>
      </w:r>
    </w:p>
    <w:p>
      <w:pPr>
        <w:adjustRightInd w:val="0"/>
        <w:spacing w:line="360" w:lineRule="auto"/>
        <w:ind w:firstLine="420" w:firstLineChars="175"/>
        <w:jc w:val="left"/>
        <w:rPr>
          <w:rFonts w:ascii="宋体" w:hAnsi="宋体" w:cs="宋体"/>
          <w:bCs/>
          <w:color w:val="000000"/>
          <w:sz w:val="24"/>
          <w:szCs w:val="24"/>
          <w:u w:val="single"/>
        </w:rPr>
      </w:pPr>
      <w:r>
        <w:rPr>
          <w:rFonts w:hint="eastAsia" w:ascii="宋体" w:hAnsi="宋体" w:cs="宋体"/>
          <w:bCs/>
          <w:color w:val="000000"/>
          <w:sz w:val="24"/>
          <w:szCs w:val="24"/>
        </w:rPr>
        <w:t>法定代表人或委托代理人（签字或盖章）：</w:t>
      </w:r>
    </w:p>
    <w:p>
      <w:pPr>
        <w:adjustRightInd w:val="0"/>
        <w:spacing w:line="360" w:lineRule="auto"/>
        <w:ind w:firstLine="420" w:firstLineChars="175"/>
        <w:jc w:val="left"/>
        <w:rPr>
          <w:rFonts w:ascii="宋体" w:hAnsi="宋体" w:cs="宋体"/>
          <w:color w:val="000000"/>
          <w:sz w:val="24"/>
          <w:szCs w:val="24"/>
        </w:rPr>
      </w:pPr>
      <w:r>
        <w:rPr>
          <w:rFonts w:hint="eastAsia" w:ascii="宋体" w:hAnsi="宋体" w:cs="宋体"/>
          <w:bCs/>
          <w:color w:val="000000"/>
          <w:sz w:val="24"/>
          <w:szCs w:val="24"/>
        </w:rPr>
        <w:t xml:space="preserve">日    </w:t>
      </w:r>
      <w:r>
        <w:rPr>
          <w:rFonts w:hint="eastAsia" w:ascii="宋体" w:hAnsi="宋体" w:cs="宋体"/>
          <w:color w:val="000000"/>
          <w:sz w:val="24"/>
          <w:szCs w:val="24"/>
        </w:rPr>
        <w:t xml:space="preserve">期:                       </w:t>
      </w:r>
    </w:p>
    <w:p>
      <w:pPr>
        <w:adjustRightInd w:val="0"/>
        <w:spacing w:line="360" w:lineRule="auto"/>
        <w:ind w:firstLine="420" w:firstLineChars="175"/>
        <w:jc w:val="left"/>
        <w:rPr>
          <w:rFonts w:ascii="宋体" w:hAnsi="宋体" w:cs="宋体"/>
          <w:bCs/>
          <w:color w:val="000000"/>
          <w:sz w:val="24"/>
          <w:szCs w:val="24"/>
          <w:u w:val="single"/>
        </w:rPr>
      </w:pPr>
    </w:p>
    <w:p>
      <w:pPr>
        <w:adjustRightInd w:val="0"/>
        <w:spacing w:line="360" w:lineRule="auto"/>
        <w:ind w:firstLine="420" w:firstLineChars="175"/>
        <w:jc w:val="left"/>
        <w:rPr>
          <w:rFonts w:ascii="宋体" w:hAnsi="宋体" w:cs="宋体"/>
          <w:bCs/>
          <w:color w:val="000000"/>
          <w:sz w:val="24"/>
          <w:szCs w:val="24"/>
          <w:u w:val="single"/>
        </w:rPr>
      </w:pPr>
    </w:p>
    <w:p>
      <w:pPr>
        <w:adjustRightInd w:val="0"/>
        <w:spacing w:line="360" w:lineRule="auto"/>
        <w:ind w:firstLine="420" w:firstLineChars="175"/>
        <w:jc w:val="left"/>
        <w:rPr>
          <w:rFonts w:ascii="宋体" w:hAnsi="宋体" w:cs="宋体"/>
          <w:bCs/>
          <w:color w:val="000000"/>
          <w:sz w:val="24"/>
          <w:szCs w:val="24"/>
          <w:u w:val="single"/>
        </w:rPr>
      </w:pPr>
    </w:p>
    <w:p>
      <w:pPr>
        <w:adjustRightInd w:val="0"/>
        <w:spacing w:line="360" w:lineRule="auto"/>
        <w:ind w:firstLine="420" w:firstLineChars="175"/>
        <w:jc w:val="left"/>
        <w:rPr>
          <w:rFonts w:ascii="宋体" w:hAnsi="宋体" w:cs="宋体"/>
          <w:bCs/>
          <w:color w:val="000000"/>
          <w:sz w:val="24"/>
          <w:szCs w:val="24"/>
          <w:u w:val="single"/>
        </w:rPr>
      </w:pPr>
    </w:p>
    <w:p>
      <w:pPr>
        <w:adjustRightInd w:val="0"/>
        <w:spacing w:line="360" w:lineRule="auto"/>
        <w:ind w:firstLine="420" w:firstLineChars="175"/>
        <w:jc w:val="left"/>
        <w:rPr>
          <w:rFonts w:ascii="宋体" w:hAnsi="宋体" w:cs="宋体"/>
          <w:bCs/>
          <w:color w:val="000000"/>
          <w:sz w:val="24"/>
          <w:szCs w:val="24"/>
          <w:u w:val="single"/>
        </w:rPr>
      </w:pPr>
    </w:p>
    <w:p>
      <w:pPr>
        <w:adjustRightInd w:val="0"/>
        <w:spacing w:line="360" w:lineRule="auto"/>
        <w:ind w:firstLine="420" w:firstLineChars="175"/>
        <w:jc w:val="left"/>
        <w:rPr>
          <w:rFonts w:ascii="宋体" w:hAnsi="宋体" w:cs="宋体"/>
          <w:bCs/>
          <w:color w:val="000000"/>
          <w:sz w:val="24"/>
          <w:szCs w:val="24"/>
          <w:u w:val="single"/>
        </w:rPr>
      </w:pPr>
    </w:p>
    <w:p>
      <w:pPr>
        <w:adjustRightInd w:val="0"/>
        <w:spacing w:line="360" w:lineRule="auto"/>
        <w:ind w:firstLine="420" w:firstLineChars="175"/>
        <w:jc w:val="left"/>
        <w:rPr>
          <w:rFonts w:ascii="宋体" w:hAnsi="宋体" w:cs="宋体"/>
          <w:bCs/>
          <w:color w:val="000000"/>
          <w:sz w:val="24"/>
          <w:szCs w:val="24"/>
          <w:u w:val="single"/>
        </w:rPr>
      </w:pPr>
    </w:p>
    <w:p>
      <w:pPr>
        <w:adjustRightInd w:val="0"/>
        <w:spacing w:line="360" w:lineRule="auto"/>
        <w:ind w:firstLine="420" w:firstLineChars="175"/>
        <w:jc w:val="left"/>
        <w:rPr>
          <w:rFonts w:ascii="宋体" w:hAnsi="宋体" w:cs="宋体"/>
          <w:bCs/>
          <w:color w:val="000000"/>
          <w:sz w:val="24"/>
          <w:szCs w:val="24"/>
          <w:u w:val="single"/>
        </w:rPr>
      </w:pPr>
    </w:p>
    <w:p>
      <w:pPr>
        <w:pStyle w:val="4"/>
        <w:rPr>
          <w:color w:val="000000"/>
        </w:rPr>
      </w:pPr>
      <w:bookmarkStart w:id="172" w:name="_Toc24892"/>
      <w:bookmarkStart w:id="173" w:name="_Toc23432"/>
      <w:bookmarkStart w:id="174" w:name="_Toc18894"/>
      <w:bookmarkStart w:id="175" w:name="_Toc29034"/>
      <w:r>
        <w:rPr>
          <w:rFonts w:hint="eastAsia"/>
          <w:color w:val="000000"/>
        </w:rPr>
        <w:t>第八章  供应商认为有必要说明的其他问题</w:t>
      </w:r>
      <w:bookmarkEnd w:id="172"/>
      <w:bookmarkEnd w:id="173"/>
      <w:bookmarkEnd w:id="174"/>
      <w:bookmarkEnd w:id="175"/>
    </w:p>
    <w:p>
      <w:pPr>
        <w:rPr>
          <w:rFonts w:ascii="宋体" w:hAnsi="宋体" w:cs="宋体"/>
          <w:color w:val="000000"/>
          <w:sz w:val="24"/>
        </w:rPr>
      </w:pPr>
      <w:r>
        <w:rPr>
          <w:rFonts w:hint="eastAsia" w:ascii="宋体" w:hAnsi="宋体" w:cs="宋体"/>
          <w:color w:val="000000"/>
          <w:sz w:val="24"/>
        </w:rPr>
        <w:t xml:space="preserve"> 供应商认为有必要提供的其他证明文件</w:t>
      </w:r>
    </w:p>
    <w:p>
      <w:pPr>
        <w:pStyle w:val="6"/>
        <w:rPr>
          <w:color w:val="000000"/>
        </w:rPr>
      </w:pPr>
    </w:p>
    <w:p>
      <w:pPr>
        <w:rPr>
          <w:b/>
          <w:bCs/>
          <w:color w:val="000000"/>
          <w:sz w:val="44"/>
          <w:szCs w:val="48"/>
        </w:rPr>
      </w:pPr>
      <w:r>
        <w:rPr>
          <w:rFonts w:hint="eastAsia"/>
          <w:b/>
          <w:bCs/>
          <w:color w:val="000000"/>
          <w:sz w:val="44"/>
          <w:szCs w:val="48"/>
        </w:rPr>
        <w:t>供应商可在此处附附件二至附件五的证明材料，如没有提供，视为无。</w:t>
      </w:r>
    </w:p>
    <w:p>
      <w:pPr>
        <w:rPr>
          <w:rFonts w:ascii="宋体" w:hAnsi="宋体" w:cs="宋体"/>
          <w:color w:val="000000"/>
        </w:rPr>
      </w:pPr>
      <w:bookmarkStart w:id="176" w:name="_Toc9761"/>
      <w:r>
        <w:rPr>
          <w:rFonts w:hint="eastAsia" w:ascii="宋体" w:hAnsi="宋体" w:cs="宋体"/>
          <w:color w:val="000000"/>
        </w:rPr>
        <w:br w:type="page"/>
      </w:r>
    </w:p>
    <w:p>
      <w:pPr>
        <w:pStyle w:val="4"/>
        <w:rPr>
          <w:rFonts w:ascii="宋体" w:hAnsi="宋体" w:cs="宋体"/>
        </w:rPr>
      </w:pPr>
      <w:bookmarkStart w:id="177" w:name="_Toc4041"/>
      <w:r>
        <w:rPr>
          <w:rFonts w:hint="eastAsia" w:ascii="宋体" w:hAnsi="宋体" w:cs="宋体"/>
          <w:color w:val="000000"/>
        </w:rPr>
        <w:t xml:space="preserve">第九章  </w:t>
      </w:r>
      <w:r>
        <w:rPr>
          <w:rFonts w:hint="eastAsia"/>
          <w:color w:val="000000"/>
          <w:sz w:val="30"/>
          <w:szCs w:val="30"/>
        </w:rPr>
        <w:t>供应商承诺书</w:t>
      </w:r>
      <w:bookmarkEnd w:id="159"/>
      <w:bookmarkEnd w:id="160"/>
      <w:bookmarkEnd w:id="176"/>
      <w:bookmarkEnd w:id="177"/>
    </w:p>
    <w:p>
      <w:pPr>
        <w:pStyle w:val="11"/>
        <w:ind w:firstLine="562" w:firstLineChars="200"/>
        <w:jc w:val="left"/>
        <w:rPr>
          <w:rFonts w:hAnsi="宋体" w:cs="宋体"/>
          <w:b/>
          <w:bCs/>
          <w:sz w:val="28"/>
          <w:szCs w:val="28"/>
        </w:rPr>
      </w:pPr>
      <w:r>
        <w:rPr>
          <w:rFonts w:hint="eastAsia" w:hAnsi="宋体" w:cs="宋体"/>
          <w:b/>
          <w:bCs/>
          <w:sz w:val="28"/>
          <w:szCs w:val="28"/>
        </w:rPr>
        <w:t>陕西省政府采购供货商拒绝政府采购领域商业贿赂承诺书Ⅰ</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为响应党中央、国务院关于治理政府采购领域商业贿赂行为的号召，我公司在此庄严承诺：</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2、不向政府采购人、代理机构和政府采购评审专家进行任何形式的商业贿赂以谋取交易机会。</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3、不向政府代理机构和采购人提供虚假资质文件或采用虚假应标方式参与政府采购市场竞争并谋取成交。</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5、不采取不正当手段诋毁、排挤其它供货商。</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6、不在提供商品和服务时“偷梁换柱、以次充好”损害采购人的合法权益。</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7、不与采购人、代理机构政府采购评审专家或其它供货商恶意串通，进行质疑和投诉，维护政府采购市场秩序。</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8、尊重和接受政府采购监督管理部门的监督和政府代理机构招标采购要求，承担因违约行为给采购人造成的损失。</w:t>
      </w:r>
    </w:p>
    <w:p>
      <w:pPr>
        <w:spacing w:line="480" w:lineRule="auto"/>
        <w:ind w:firstLine="480" w:firstLineChars="200"/>
        <w:jc w:val="left"/>
        <w:rPr>
          <w:rFonts w:ascii="宋体" w:hAnsi="宋体" w:cs="宋体"/>
          <w:sz w:val="24"/>
          <w:szCs w:val="28"/>
        </w:rPr>
      </w:pPr>
      <w:r>
        <w:rPr>
          <w:rFonts w:hint="eastAsia" w:ascii="宋体" w:hAnsi="宋体" w:cs="宋体"/>
          <w:sz w:val="24"/>
          <w:szCs w:val="28"/>
        </w:rPr>
        <w:t>9、不发生其它有悖于政府采购公开、公平、公正和诚信原则的行为。</w:t>
      </w:r>
    </w:p>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供应商（单位名称及公章）：</w:t>
      </w:r>
    </w:p>
    <w:p>
      <w:pPr>
        <w:snapToGrid w:val="0"/>
        <w:spacing w:line="360" w:lineRule="auto"/>
        <w:ind w:firstLine="480" w:firstLineChars="200"/>
        <w:jc w:val="left"/>
        <w:rPr>
          <w:rFonts w:ascii="宋体" w:hAnsi="宋体" w:cs="宋体"/>
          <w:sz w:val="24"/>
        </w:rPr>
      </w:pPr>
      <w:r>
        <w:rPr>
          <w:rFonts w:hint="eastAsia" w:ascii="宋体" w:hAnsi="宋体" w:cs="宋体"/>
          <w:sz w:val="24"/>
        </w:rPr>
        <w:t>法定代表人/被授权人（签字或盖章）：</w:t>
      </w:r>
    </w:p>
    <w:p>
      <w:pPr>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邮编：</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地址：</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电话：</w:t>
      </w:r>
    </w:p>
    <w:p>
      <w:pPr>
        <w:spacing w:line="360" w:lineRule="auto"/>
        <w:ind w:firstLine="480" w:firstLineChars="200"/>
        <w:jc w:val="left"/>
        <w:rPr>
          <w:rFonts w:ascii="宋体" w:hAnsi="宋体" w:cs="宋体"/>
          <w:sz w:val="24"/>
          <w:szCs w:val="28"/>
          <w:u w:val="single"/>
        </w:rPr>
      </w:pPr>
      <w:r>
        <w:rPr>
          <w:rFonts w:hint="eastAsia" w:ascii="宋体" w:hAnsi="宋体" w:cs="宋体"/>
          <w:sz w:val="24"/>
          <w:szCs w:val="28"/>
        </w:rPr>
        <w:t xml:space="preserve">时间： </w:t>
      </w:r>
      <w:r>
        <w:rPr>
          <w:rFonts w:hint="eastAsia" w:ascii="宋体" w:hAnsi="宋体" w:cs="宋体"/>
          <w:sz w:val="24"/>
          <w:szCs w:val="28"/>
          <w:u w:val="single"/>
        </w:rPr>
        <w:t xml:space="preserve">    年   月    日</w:t>
      </w:r>
    </w:p>
    <w:p>
      <w:pPr>
        <w:pageBreakBefore/>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承诺书Ⅱ</w:t>
      </w:r>
    </w:p>
    <w:tbl>
      <w:tblPr>
        <w:tblStyle w:val="24"/>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ascii="宋体" w:hAnsi="宋体" w:cs="宋体"/>
                <w:szCs w:val="21"/>
              </w:rPr>
            </w:pPr>
            <w:r>
              <w:rPr>
                <w:rFonts w:hint="eastAsia" w:ascii="宋体" w:hAnsi="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20" w:firstLineChars="200"/>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lang w:eastAsia="zh-CN"/>
              </w:rPr>
              <w:t xml:space="preserve">西安市审计局2022年上半年购买服务人员采购项目      </w:t>
            </w:r>
            <w:r>
              <w:rPr>
                <w:rFonts w:hint="eastAsia" w:ascii="宋体" w:hAnsi="宋体" w:cs="宋体"/>
                <w:szCs w:val="21"/>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供应商</w:t>
            </w:r>
          </w:p>
        </w:tc>
        <w:tc>
          <w:tcPr>
            <w:tcW w:w="3474"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法定代表人/被授权人</w:t>
            </w:r>
          </w:p>
        </w:tc>
        <w:tc>
          <w:tcPr>
            <w:tcW w:w="2376"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（公章）</w:t>
            </w:r>
          </w:p>
        </w:tc>
        <w:tc>
          <w:tcPr>
            <w:tcW w:w="3474"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 xml:space="preserve">（签字或盖章） </w:t>
            </w:r>
          </w:p>
        </w:tc>
        <w:tc>
          <w:tcPr>
            <w:tcW w:w="2376" w:type="dxa"/>
            <w:vAlign w:val="center"/>
          </w:tcPr>
          <w:p>
            <w:pPr>
              <w:spacing w:line="360" w:lineRule="atLeast"/>
              <w:jc w:val="left"/>
              <w:rPr>
                <w:rFonts w:ascii="宋体" w:hAnsi="宋体" w:cs="宋体"/>
                <w:szCs w:val="21"/>
              </w:rPr>
            </w:pPr>
            <w:r>
              <w:rPr>
                <w:rFonts w:hint="eastAsia" w:ascii="宋体" w:hAnsi="宋体" w:cs="宋体"/>
                <w:szCs w:val="21"/>
              </w:rPr>
              <w:t>年月日</w:t>
            </w:r>
          </w:p>
        </w:tc>
      </w:tr>
    </w:tbl>
    <w:p>
      <w:pPr>
        <w:spacing w:line="360" w:lineRule="atLeast"/>
        <w:ind w:firstLine="843" w:firstLineChars="200"/>
        <w:jc w:val="left"/>
        <w:rPr>
          <w:rFonts w:ascii="宋体" w:hAnsi="宋体" w:cs="宋体"/>
          <w:b/>
          <w:sz w:val="42"/>
          <w:szCs w:val="42"/>
        </w:rPr>
      </w:pPr>
    </w:p>
    <w:p>
      <w:pPr>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承诺书Ⅲ</w:t>
      </w:r>
    </w:p>
    <w:tbl>
      <w:tblPr>
        <w:tblStyle w:val="2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ascii="宋体" w:hAnsi="宋体" w:cs="宋体"/>
                <w:szCs w:val="21"/>
              </w:rPr>
            </w:pPr>
            <w:r>
              <w:rPr>
                <w:rFonts w:hint="eastAsia" w:ascii="宋体" w:hAnsi="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20" w:firstLineChars="200"/>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lang w:eastAsia="zh-CN"/>
              </w:rPr>
              <w:t xml:space="preserve">西安市审计局2022年上半年购买服务人员采购项目      </w:t>
            </w:r>
            <w:r>
              <w:rPr>
                <w:rFonts w:hint="eastAsia" w:ascii="宋体" w:hAnsi="宋体" w:cs="宋体"/>
                <w:szCs w:val="21"/>
              </w:rPr>
              <w:t>的供应商，本公司郑重申告并承诺：近三年受到有关行政主管部门的行政处理、不良行为记录为</w:t>
            </w:r>
            <w:r>
              <w:rPr>
                <w:rFonts w:hint="eastAsia" w:ascii="宋体" w:hAnsi="宋体" w:cs="宋体"/>
                <w:szCs w:val="21"/>
                <w:u w:val="single"/>
                <w:lang w:val="en-US" w:eastAsia="zh-CN"/>
              </w:rPr>
              <w:t xml:space="preserve">   </w:t>
            </w:r>
            <w:r>
              <w:rPr>
                <w:rFonts w:hint="eastAsia" w:ascii="宋体" w:hAnsi="宋体" w:cs="宋体"/>
                <w:szCs w:val="21"/>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供应商</w:t>
            </w:r>
          </w:p>
        </w:tc>
        <w:tc>
          <w:tcPr>
            <w:tcW w:w="348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法定代表人/被授权人</w:t>
            </w:r>
          </w:p>
        </w:tc>
        <w:tc>
          <w:tcPr>
            <w:tcW w:w="2387"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（公章）</w:t>
            </w:r>
          </w:p>
        </w:tc>
        <w:tc>
          <w:tcPr>
            <w:tcW w:w="348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（签字或盖章）</w:t>
            </w:r>
          </w:p>
        </w:tc>
        <w:tc>
          <w:tcPr>
            <w:tcW w:w="2387" w:type="dxa"/>
            <w:vAlign w:val="center"/>
          </w:tcPr>
          <w:p>
            <w:pPr>
              <w:spacing w:line="360" w:lineRule="atLeast"/>
              <w:jc w:val="left"/>
              <w:rPr>
                <w:rFonts w:ascii="宋体" w:hAnsi="宋体" w:cs="宋体"/>
                <w:szCs w:val="21"/>
              </w:rPr>
            </w:pPr>
            <w:r>
              <w:rPr>
                <w:rFonts w:hint="eastAsia" w:ascii="宋体" w:hAnsi="宋体" w:cs="宋体"/>
                <w:szCs w:val="21"/>
              </w:rPr>
              <w:t>年月日</w:t>
            </w:r>
          </w:p>
        </w:tc>
      </w:tr>
    </w:tbl>
    <w:p>
      <w:pPr>
        <w:pageBreakBefore/>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承诺书Ⅳ</w:t>
      </w:r>
    </w:p>
    <w:tbl>
      <w:tblPr>
        <w:tblStyle w:val="24"/>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ascii="宋体" w:hAnsi="宋体" w:cs="宋体"/>
                <w:szCs w:val="21"/>
              </w:rPr>
            </w:pPr>
            <w:r>
              <w:rPr>
                <w:rFonts w:hint="eastAsia" w:ascii="宋体" w:hAnsi="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9120" w:type="dxa"/>
            <w:gridSpan w:val="3"/>
            <w:vAlign w:val="center"/>
          </w:tcPr>
          <w:p>
            <w:pPr>
              <w:spacing w:line="360" w:lineRule="atLeast"/>
              <w:ind w:firstLine="420" w:firstLineChars="200"/>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lang w:eastAsia="zh-CN"/>
              </w:rPr>
              <w:t xml:space="preserve">西安市审计局2022年上半年购买服务人员采购项目      </w:t>
            </w:r>
            <w:r>
              <w:rPr>
                <w:rFonts w:hint="eastAsia" w:ascii="宋体" w:hAnsi="宋体" w:cs="宋体"/>
                <w:szCs w:val="21"/>
              </w:rPr>
              <w:t>的供应商，本公司郑重申告：近三年因产品供货问题（水货、替代品、次品、翻新品等）的不法行为记录为</w:t>
            </w:r>
            <w:r>
              <w:rPr>
                <w:rFonts w:hint="eastAsia" w:ascii="宋体" w:hAnsi="宋体" w:cs="宋体"/>
                <w:szCs w:val="21"/>
                <w:u w:val="single"/>
                <w:lang w:val="en-US" w:eastAsia="zh-CN"/>
              </w:rPr>
              <w:t xml:space="preserve">  </w:t>
            </w:r>
            <w:r>
              <w:rPr>
                <w:rFonts w:hint="eastAsia" w:ascii="宋体" w:hAnsi="宋体" w:cs="宋体"/>
                <w:szCs w:val="21"/>
              </w:rPr>
              <w:t>次（没有填零），如有隐瞒实情，愿承担一切责任及后果。</w:t>
            </w:r>
          </w:p>
          <w:p>
            <w:pPr>
              <w:spacing w:line="360" w:lineRule="atLeast"/>
              <w:ind w:firstLine="420" w:firstLineChars="200"/>
              <w:jc w:val="left"/>
              <w:rPr>
                <w:rFonts w:ascii="宋体" w:hAnsi="宋体" w:cs="宋体"/>
                <w:szCs w:val="21"/>
              </w:rPr>
            </w:pPr>
            <w:r>
              <w:rPr>
                <w:rFonts w:hint="eastAsia" w:ascii="宋体" w:hAnsi="宋体" w:cs="宋体"/>
                <w:szCs w:val="21"/>
              </w:rPr>
              <w:t>本公司承诺：本次响应产品为正品行货。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供应商</w:t>
            </w:r>
          </w:p>
        </w:tc>
        <w:tc>
          <w:tcPr>
            <w:tcW w:w="3466"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法定代表人/被授权人</w:t>
            </w:r>
          </w:p>
        </w:tc>
        <w:tc>
          <w:tcPr>
            <w:tcW w:w="2371"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（公章）</w:t>
            </w:r>
          </w:p>
        </w:tc>
        <w:tc>
          <w:tcPr>
            <w:tcW w:w="3466"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（签字或盖章）</w:t>
            </w:r>
          </w:p>
        </w:tc>
        <w:tc>
          <w:tcPr>
            <w:tcW w:w="2371" w:type="dxa"/>
            <w:vAlign w:val="center"/>
          </w:tcPr>
          <w:p>
            <w:pPr>
              <w:spacing w:line="360" w:lineRule="atLeast"/>
              <w:jc w:val="left"/>
              <w:rPr>
                <w:rFonts w:ascii="宋体" w:hAnsi="宋体" w:cs="宋体"/>
                <w:szCs w:val="21"/>
              </w:rPr>
            </w:pPr>
            <w:r>
              <w:rPr>
                <w:rFonts w:hint="eastAsia" w:ascii="宋体" w:hAnsi="宋体" w:cs="宋体"/>
                <w:szCs w:val="21"/>
              </w:rPr>
              <w:t>年月日</w:t>
            </w:r>
          </w:p>
        </w:tc>
      </w:tr>
    </w:tbl>
    <w:p>
      <w:pPr>
        <w:spacing w:line="360" w:lineRule="auto"/>
        <w:ind w:firstLine="480" w:firstLineChars="200"/>
        <w:jc w:val="left"/>
        <w:rPr>
          <w:rFonts w:ascii="宋体" w:hAnsi="宋体" w:cs="宋体"/>
          <w:sz w:val="24"/>
          <w:szCs w:val="28"/>
        </w:rPr>
      </w:pPr>
    </w:p>
    <w:p>
      <w:pPr>
        <w:spacing w:line="360" w:lineRule="atLeast"/>
        <w:ind w:firstLine="482" w:firstLineChars="200"/>
        <w:jc w:val="center"/>
        <w:rPr>
          <w:rFonts w:ascii="宋体" w:hAnsi="宋体" w:cs="宋体"/>
          <w:b/>
          <w:sz w:val="32"/>
          <w:szCs w:val="32"/>
        </w:rPr>
      </w:pPr>
      <w:r>
        <w:rPr>
          <w:rFonts w:hint="eastAsia" w:ascii="宋体" w:hAnsi="宋体" w:cs="宋体"/>
          <w:b/>
          <w:sz w:val="24"/>
          <w:szCs w:val="24"/>
        </w:rPr>
        <w:t>承诺书</w:t>
      </w:r>
      <w:r>
        <w:rPr>
          <w:rFonts w:hint="eastAsia" w:ascii="宋体" w:hAnsi="宋体" w:cs="宋体"/>
          <w:b/>
          <w:sz w:val="24"/>
          <w:szCs w:val="24"/>
        </w:rPr>
        <w:fldChar w:fldCharType="begin"/>
      </w:r>
      <w:r>
        <w:rPr>
          <w:rFonts w:hint="eastAsia" w:ascii="宋体" w:hAnsi="宋体" w:cs="宋体"/>
          <w:b/>
          <w:sz w:val="24"/>
          <w:szCs w:val="24"/>
        </w:rPr>
        <w:instrText xml:space="preserve"> = 5 \* ROMAN </w:instrText>
      </w:r>
      <w:r>
        <w:rPr>
          <w:rFonts w:hint="eastAsia" w:ascii="宋体" w:hAnsi="宋体" w:cs="宋体"/>
          <w:b/>
          <w:sz w:val="24"/>
          <w:szCs w:val="24"/>
        </w:rPr>
        <w:fldChar w:fldCharType="separate"/>
      </w:r>
      <w:r>
        <w:rPr>
          <w:rFonts w:hint="eastAsia" w:ascii="宋体" w:hAnsi="宋体" w:cs="宋体"/>
          <w:b/>
          <w:sz w:val="24"/>
          <w:szCs w:val="24"/>
          <w:lang w:val="zh-CN"/>
        </w:rPr>
        <w:t>V</w:t>
      </w:r>
      <w:r>
        <w:rPr>
          <w:rFonts w:hint="eastAsia" w:ascii="宋体" w:hAnsi="宋体" w:cs="宋体"/>
          <w:b/>
          <w:sz w:val="24"/>
          <w:szCs w:val="24"/>
        </w:rPr>
        <w:fldChar w:fldCharType="end"/>
      </w:r>
    </w:p>
    <w:tbl>
      <w:tblPr>
        <w:tblStyle w:val="24"/>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ascii="宋体" w:hAnsi="宋体" w:cs="宋体"/>
                <w:szCs w:val="21"/>
              </w:rPr>
            </w:pPr>
            <w:r>
              <w:rPr>
                <w:rFonts w:hint="eastAsia" w:ascii="宋体" w:hAnsi="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20" w:firstLineChars="200"/>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lang w:eastAsia="zh-CN"/>
              </w:rPr>
              <w:t xml:space="preserve">西安市审计局2022年上半年购买服务人员采购项目      </w:t>
            </w:r>
            <w:r>
              <w:rPr>
                <w:rFonts w:hint="eastAsia" w:ascii="宋体" w:hAnsi="宋体" w:cs="宋体"/>
                <w:szCs w:val="21"/>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供应商</w:t>
            </w:r>
          </w:p>
        </w:tc>
        <w:tc>
          <w:tcPr>
            <w:tcW w:w="3534"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法定代表人/被授权人</w:t>
            </w:r>
          </w:p>
        </w:tc>
        <w:tc>
          <w:tcPr>
            <w:tcW w:w="241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（公章）</w:t>
            </w:r>
          </w:p>
        </w:tc>
        <w:tc>
          <w:tcPr>
            <w:tcW w:w="3534"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（签字或盖章）</w:t>
            </w:r>
          </w:p>
        </w:tc>
        <w:tc>
          <w:tcPr>
            <w:tcW w:w="2418" w:type="dxa"/>
            <w:vAlign w:val="center"/>
          </w:tcPr>
          <w:p>
            <w:pPr>
              <w:spacing w:line="360" w:lineRule="atLeast"/>
              <w:jc w:val="left"/>
              <w:rPr>
                <w:rFonts w:ascii="宋体" w:hAnsi="宋体" w:cs="宋体"/>
                <w:szCs w:val="21"/>
              </w:rPr>
            </w:pPr>
            <w:r>
              <w:rPr>
                <w:rFonts w:hint="eastAsia" w:ascii="宋体" w:hAnsi="宋体" w:cs="宋体"/>
                <w:szCs w:val="21"/>
              </w:rPr>
              <w:t>年月日</w:t>
            </w:r>
          </w:p>
        </w:tc>
      </w:tr>
    </w:tbl>
    <w:p>
      <w:pPr>
        <w:adjustRightInd w:val="0"/>
        <w:snapToGrid w:val="0"/>
        <w:ind w:firstLine="720" w:firstLineChars="200"/>
        <w:jc w:val="left"/>
        <w:rPr>
          <w:rFonts w:ascii="宋体" w:hAnsi="宋体" w:cs="宋体"/>
          <w:bCs/>
          <w:sz w:val="36"/>
          <w:szCs w:val="36"/>
        </w:rPr>
      </w:pPr>
    </w:p>
    <w:p>
      <w:pPr>
        <w:widowControl/>
        <w:spacing w:line="460" w:lineRule="exact"/>
        <w:ind w:firstLine="480" w:firstLineChars="200"/>
        <w:jc w:val="left"/>
        <w:rPr>
          <w:rFonts w:ascii="宋体" w:hAnsi="宋体" w:cs="宋体"/>
          <w:sz w:val="24"/>
          <w:szCs w:val="28"/>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178" w:name="_Toc21654"/>
      <w:r>
        <w:rPr>
          <w:rFonts w:hint="eastAsia" w:ascii="宋体" w:hAnsi="宋体" w:cs="宋体"/>
        </w:rPr>
        <w:t>附件一：封袋正面标识式样</w:t>
      </w:r>
      <w:bookmarkEnd w:id="114"/>
      <w:bookmarkEnd w:id="115"/>
      <w:bookmarkEnd w:id="178"/>
    </w:p>
    <w:p>
      <w:pPr>
        <w:spacing w:line="460" w:lineRule="exact"/>
        <w:ind w:firstLine="482" w:firstLineChars="200"/>
        <w:jc w:val="center"/>
        <w:rPr>
          <w:rFonts w:ascii="宋体" w:hAnsi="宋体" w:cs="宋体"/>
          <w:b/>
          <w:sz w:val="24"/>
        </w:rPr>
      </w:pPr>
      <w:r>
        <w:rPr>
          <w:rFonts w:hint="eastAsia" w:ascii="宋体" w:hAnsi="宋体" w:cs="宋体"/>
          <w:b/>
          <w:sz w:val="24"/>
        </w:rPr>
        <w:t>磋商响应文件正本封袋正面标识式样</w:t>
      </w:r>
    </w:p>
    <w:p>
      <w:pPr>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113030</wp:posOffset>
                </wp:positionV>
                <wp:extent cx="5781040" cy="2795270"/>
                <wp:effectExtent l="4445" t="4445" r="5715" b="19685"/>
                <wp:wrapNone/>
                <wp:docPr id="13" name="Text Box 3"/>
                <wp:cNvGraphicFramePr/>
                <a:graphic xmlns:a="http://schemas.openxmlformats.org/drawingml/2006/main">
                  <a:graphicData uri="http://schemas.microsoft.com/office/word/2010/wordprocessingShape">
                    <wps:wsp>
                      <wps:cNvSpPr txBox="1"/>
                      <wps:spPr>
                        <a:xfrm>
                          <a:off x="0" y="0"/>
                          <a:ext cx="5781040" cy="30086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致：陕西万泽招标有限公司      项目编号：</w:t>
                            </w:r>
                            <w:r>
                              <w:rPr>
                                <w:rFonts w:hint="eastAsia"/>
                                <w:sz w:val="28"/>
                                <w:szCs w:val="28"/>
                                <w:lang w:eastAsia="zh-CN"/>
                              </w:rPr>
                              <w:t>SXWZ2022ZB-SSJJ-046</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西安市审计局2022年上半年购买服务人员采购项目      </w:t>
                            </w:r>
                          </w:p>
                          <w:p>
                            <w:pPr>
                              <w:jc w:val="center"/>
                              <w:rPr>
                                <w:b/>
                                <w:sz w:val="44"/>
                                <w:szCs w:val="44"/>
                              </w:rPr>
                            </w:pPr>
                            <w:r>
                              <w:rPr>
                                <w:rFonts w:hint="eastAsia"/>
                                <w:b/>
                                <w:sz w:val="44"/>
                                <w:szCs w:val="44"/>
                              </w:rPr>
                              <w:t>磋商响应文件（正本）</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wps:txbx>
                      <wps:bodyPr upright="1"/>
                    </wps:wsp>
                  </a:graphicData>
                </a:graphic>
              </wp:anchor>
            </w:drawing>
          </mc:Choice>
          <mc:Fallback>
            <w:pict>
              <v:shape id="Text Box 3" o:spid="_x0000_s1026" o:spt="202" type="#_x0000_t202" style="position:absolute;left:0pt;margin-left:-27.55pt;margin-top:8.9pt;height:220.1pt;width:455.2pt;z-index:251660288;mso-width-relative:page;mso-height-relative:page;" fillcolor="#FFFFFF" filled="t" stroked="t" coordsize="21600,21600" o:gfxdata="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P8D82QAAAAoBAAAPAAAAAAAAAAEAIAAAACIAAABkcnMvZG93bnJldi54bWxQSwECFAAUAAAACACH&#10;TuJAtOCILeoBAAD3AwAADgAAAAAAAAABACAAAAAoAQAAZHJzL2Uyb0RvYy54bWxQSwUGAAAAAAYA&#10;BgBZAQAAhAU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致：陕西万泽招标有限公司      项目编号：</w:t>
                      </w:r>
                      <w:r>
                        <w:rPr>
                          <w:rFonts w:hint="eastAsia"/>
                          <w:sz w:val="28"/>
                          <w:szCs w:val="28"/>
                          <w:lang w:eastAsia="zh-CN"/>
                        </w:rPr>
                        <w:t>SXWZ2022ZB-SSJJ-046</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西安市审计局2022年上半年购买服务人员采购项目      </w:t>
                      </w:r>
                    </w:p>
                    <w:p>
                      <w:pPr>
                        <w:jc w:val="center"/>
                        <w:rPr>
                          <w:b/>
                          <w:sz w:val="44"/>
                          <w:szCs w:val="44"/>
                        </w:rPr>
                      </w:pPr>
                      <w:r>
                        <w:rPr>
                          <w:rFonts w:hint="eastAsia"/>
                          <w:b/>
                          <w:sz w:val="44"/>
                          <w:szCs w:val="44"/>
                        </w:rPr>
                        <w:t>磋商响应文件（正本）</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pStyle w:val="6"/>
      </w:pPr>
    </w:p>
    <w:p>
      <w:pPr>
        <w:spacing w:line="460" w:lineRule="exact"/>
        <w:ind w:firstLine="482" w:firstLineChars="200"/>
        <w:jc w:val="center"/>
        <w:rPr>
          <w:rFonts w:ascii="宋体" w:hAnsi="宋体" w:cs="宋体"/>
          <w:b/>
          <w:sz w:val="24"/>
        </w:rPr>
      </w:pPr>
      <w:r>
        <w:rPr>
          <w:rFonts w:hint="eastAsia" w:ascii="宋体" w:hAnsi="宋体" w:cs="宋体"/>
          <w:b/>
          <w:sz w:val="24"/>
        </w:rPr>
        <w:t>磋商响应文件副本封袋正面标识式样</w:t>
      </w:r>
    </w:p>
    <w:p>
      <w:pPr>
        <w:ind w:firstLine="420" w:firstLineChars="200"/>
        <w:jc w:val="center"/>
        <w:rPr>
          <w:rFonts w:ascii="宋体" w:hAnsi="宋体" w:cs="宋体"/>
        </w:rPr>
      </w:pPr>
    </w:p>
    <w:p>
      <w:pPr>
        <w:ind w:firstLine="420" w:firstLineChars="200"/>
        <w:jc w:val="center"/>
        <w:rPr>
          <w:rFonts w:ascii="宋体" w:hAnsi="宋体" w:cs="宋体"/>
        </w:rPr>
      </w:pP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-314325</wp:posOffset>
                </wp:positionH>
                <wp:positionV relativeFrom="paragraph">
                  <wp:posOffset>100330</wp:posOffset>
                </wp:positionV>
                <wp:extent cx="5825490" cy="3180715"/>
                <wp:effectExtent l="4445" t="4445" r="18415" b="15240"/>
                <wp:wrapNone/>
                <wp:docPr id="3" name="Text Box 4"/>
                <wp:cNvGraphicFramePr/>
                <a:graphic xmlns:a="http://schemas.openxmlformats.org/drawingml/2006/main">
                  <a:graphicData uri="http://schemas.microsoft.com/office/word/2010/wordprocessingShape">
                    <wps:wsp>
                      <wps:cNvSpPr txBox="1"/>
                      <wps:spPr>
                        <a:xfrm>
                          <a:off x="0" y="0"/>
                          <a:ext cx="5825490" cy="3180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highlight w:val="yellow"/>
                                <w:lang w:eastAsia="zh-CN"/>
                              </w:rPr>
                            </w:pPr>
                            <w:r>
                              <w:rPr>
                                <w:rFonts w:hint="eastAsia"/>
                                <w:sz w:val="28"/>
                                <w:szCs w:val="28"/>
                              </w:rPr>
                              <w:t>致：陕西万泽招标有限公司       项目编号：</w:t>
                            </w:r>
                            <w:r>
                              <w:rPr>
                                <w:rFonts w:hint="eastAsia"/>
                                <w:sz w:val="28"/>
                                <w:szCs w:val="28"/>
                                <w:lang w:eastAsia="zh-CN"/>
                              </w:rPr>
                              <w:t>SXWZ2022ZB-SSJJ-046</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西安市审计局2022年上半年购买服务人员采购项目      </w:t>
                            </w:r>
                          </w:p>
                          <w:p>
                            <w:pPr>
                              <w:jc w:val="center"/>
                              <w:rPr>
                                <w:b/>
                                <w:sz w:val="44"/>
                                <w:szCs w:val="44"/>
                              </w:rPr>
                            </w:pPr>
                            <w:r>
                              <w:rPr>
                                <w:rFonts w:hint="eastAsia"/>
                                <w:b/>
                                <w:sz w:val="44"/>
                                <w:szCs w:val="44"/>
                              </w:rPr>
                              <w:t>磋商响应文件（副本）</w:t>
                            </w:r>
                          </w:p>
                          <w:p>
                            <w:pPr>
                              <w:jc w:val="center"/>
                              <w:rPr>
                                <w:sz w:val="28"/>
                                <w:szCs w:val="28"/>
                              </w:rPr>
                            </w:pPr>
                            <w:r>
                              <w:rPr>
                                <w:rFonts w:hint="eastAsia"/>
                                <w:sz w:val="28"/>
                                <w:szCs w:val="28"/>
                              </w:rPr>
                              <w:t>（非磋商会议不得启封）</w:t>
                            </w:r>
                          </w:p>
                          <w:p>
                            <w:pPr>
                              <w:pStyle w:val="6"/>
                              <w:ind w:firstLine="0"/>
                            </w:pP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wps:txbx>
                      <wps:bodyPr upright="1"/>
                    </wps:wsp>
                  </a:graphicData>
                </a:graphic>
              </wp:anchor>
            </w:drawing>
          </mc:Choice>
          <mc:Fallback>
            <w:pict>
              <v:shape id="Text Box 4" o:spid="_x0000_s1026" o:spt="202" type="#_x0000_t202" style="position:absolute;left:0pt;margin-left:-24.75pt;margin-top:7.9pt;height:250.45pt;width:458.7pt;z-index:251661312;mso-width-relative:page;mso-height-relative:page;" fillcolor="#FFFFFF" filled="t" stroked="t" coordsize="21600,21600" o:gfxdata="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n/lgDY&#10;AAAACgEAAA8AAAAAAAAAAQAgAAAAIgAAAGRycy9kb3ducmV2LnhtbFBLAQIUABQAAAAIAIdO4kCw&#10;iVyx5wEAAPYDAAAOAAAAAAAAAAEAIAAAACcBAABkcnMvZTJvRG9jLnhtbFBLBQYAAAAABgAGAFkB&#10;AACABQAAAAA=&#10;">
                <v:fill on="t" focussize="0,0"/>
                <v:stroke color="#000000" joinstyle="miter"/>
                <v:imagedata o:title=""/>
                <o:lock v:ext="edit" aspectratio="f"/>
                <v:textbox>
                  <w:txbxContent>
                    <w:p>
                      <w:pPr>
                        <w:rPr>
                          <w:rFonts w:hint="eastAsia" w:eastAsia="宋体"/>
                          <w:sz w:val="28"/>
                          <w:szCs w:val="28"/>
                          <w:highlight w:val="yellow"/>
                          <w:lang w:eastAsia="zh-CN"/>
                        </w:rPr>
                      </w:pPr>
                      <w:r>
                        <w:rPr>
                          <w:rFonts w:hint="eastAsia"/>
                          <w:sz w:val="28"/>
                          <w:szCs w:val="28"/>
                        </w:rPr>
                        <w:t>致：陕西万泽招标有限公司       项目编号：</w:t>
                      </w:r>
                      <w:r>
                        <w:rPr>
                          <w:rFonts w:hint="eastAsia"/>
                          <w:sz w:val="28"/>
                          <w:szCs w:val="28"/>
                          <w:lang w:eastAsia="zh-CN"/>
                        </w:rPr>
                        <w:t>SXWZ2022ZB-SSJJ-046</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西安市审计局2022年上半年购买服务人员采购项目      </w:t>
                      </w:r>
                    </w:p>
                    <w:p>
                      <w:pPr>
                        <w:jc w:val="center"/>
                        <w:rPr>
                          <w:b/>
                          <w:sz w:val="44"/>
                          <w:szCs w:val="44"/>
                        </w:rPr>
                      </w:pPr>
                      <w:r>
                        <w:rPr>
                          <w:rFonts w:hint="eastAsia"/>
                          <w:b/>
                          <w:sz w:val="44"/>
                          <w:szCs w:val="44"/>
                        </w:rPr>
                        <w:t>磋商响应文件（副本）</w:t>
                      </w:r>
                    </w:p>
                    <w:p>
                      <w:pPr>
                        <w:jc w:val="center"/>
                        <w:rPr>
                          <w:sz w:val="28"/>
                          <w:szCs w:val="28"/>
                        </w:rPr>
                      </w:pPr>
                      <w:r>
                        <w:rPr>
                          <w:rFonts w:hint="eastAsia"/>
                          <w:sz w:val="28"/>
                          <w:szCs w:val="28"/>
                        </w:rPr>
                        <w:t>（非磋商会议不得启封）</w:t>
                      </w:r>
                    </w:p>
                    <w:p>
                      <w:pPr>
                        <w:pStyle w:val="6"/>
                        <w:ind w:firstLine="0"/>
                      </w:pP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widowControl/>
        <w:spacing w:line="460" w:lineRule="exact"/>
        <w:ind w:firstLine="480" w:firstLineChars="200"/>
        <w:jc w:val="center"/>
        <w:rPr>
          <w:rFonts w:ascii="宋体" w:hAnsi="宋体" w:cs="宋体"/>
          <w:sz w:val="24"/>
          <w:szCs w:val="28"/>
        </w:rPr>
        <w:sectPr>
          <w:footerReference r:id="rId12" w:type="default"/>
          <w:pgSz w:w="11906" w:h="16838"/>
          <w:pgMar w:top="1440" w:right="1800" w:bottom="1440" w:left="1800" w:header="851" w:footer="992" w:gutter="0"/>
          <w:pgNumType w:fmt="decimal"/>
          <w:cols w:space="720" w:num="1"/>
          <w:docGrid w:type="lines" w:linePitch="312" w:charSpace="0"/>
        </w:sectPr>
      </w:pPr>
    </w:p>
    <w:p>
      <w:pPr>
        <w:spacing w:line="460" w:lineRule="exact"/>
        <w:ind w:firstLine="482" w:firstLineChars="200"/>
        <w:jc w:val="center"/>
        <w:rPr>
          <w:rFonts w:ascii="宋体" w:hAnsi="宋体" w:cs="宋体"/>
          <w:b/>
          <w:sz w:val="24"/>
        </w:rPr>
      </w:pPr>
      <w:r>
        <w:rPr>
          <w:rFonts w:hint="eastAsia" w:ascii="宋体" w:hAnsi="宋体" w:cs="宋体"/>
          <w:b/>
          <w:sz w:val="24"/>
        </w:rPr>
        <w:t>磋商一览表封袋正面标识式样</w:t>
      </w:r>
    </w:p>
    <w:p>
      <w:pPr>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191135</wp:posOffset>
                </wp:positionV>
                <wp:extent cx="5706745" cy="2788285"/>
                <wp:effectExtent l="4445" t="4445" r="22860" b="7620"/>
                <wp:wrapNone/>
                <wp:docPr id="11" name="Text Box 3"/>
                <wp:cNvGraphicFramePr/>
                <a:graphic xmlns:a="http://schemas.openxmlformats.org/drawingml/2006/main">
                  <a:graphicData uri="http://schemas.microsoft.com/office/word/2010/wordprocessingShape">
                    <wps:wsp>
                      <wps:cNvSpPr txBox="1"/>
                      <wps:spPr>
                        <a:xfrm>
                          <a:off x="0" y="0"/>
                          <a:ext cx="5706745" cy="3060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highlight w:val="yellow"/>
                                <w:lang w:eastAsia="zh-CN"/>
                              </w:rPr>
                            </w:pPr>
                            <w:r>
                              <w:rPr>
                                <w:rFonts w:hint="eastAsia"/>
                                <w:sz w:val="28"/>
                                <w:szCs w:val="28"/>
                              </w:rPr>
                              <w:t>致：陕西万泽招标有限公司          项目编号：</w:t>
                            </w:r>
                            <w:r>
                              <w:rPr>
                                <w:rFonts w:hint="eastAsia"/>
                                <w:sz w:val="28"/>
                                <w:szCs w:val="28"/>
                                <w:lang w:eastAsia="zh-CN"/>
                              </w:rPr>
                              <w:t>SXWZ2022ZB-SSJJ-046</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西安市审计局2022年上半年购买服务人员采购项目      </w:t>
                            </w:r>
                          </w:p>
                          <w:p>
                            <w:pPr>
                              <w:jc w:val="center"/>
                              <w:rPr>
                                <w:b/>
                                <w:sz w:val="44"/>
                                <w:szCs w:val="44"/>
                              </w:rPr>
                            </w:pPr>
                            <w:r>
                              <w:rPr>
                                <w:rFonts w:hint="eastAsia"/>
                                <w:b/>
                                <w:sz w:val="44"/>
                                <w:szCs w:val="44"/>
                              </w:rPr>
                              <w:t>磋商一览表</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wps:txbx>
                      <wps:bodyPr upright="1"/>
                    </wps:wsp>
                  </a:graphicData>
                </a:graphic>
              </wp:anchor>
            </w:drawing>
          </mc:Choice>
          <mc:Fallback>
            <w:pict>
              <v:shape id="Text Box 3" o:spid="_x0000_s1026" o:spt="202" type="#_x0000_t202" style="position:absolute;left:0pt;margin-left:-25.65pt;margin-top:15.05pt;height:219.55pt;width:449.35pt;z-index:251661312;mso-width-relative:page;mso-height-relative:page;" fillcolor="#FFFFFF" filled="t" stroked="t" coordsize="21600,21600" o:gfxdata="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E&#10;TH0H2gAAAAoBAAAPAAAAAAAAAAEAIAAAACIAAABkcnMvZG93bnJldi54bWxQSwECFAAUAAAACACH&#10;TuJAk1QfUukBAAD3AwAADgAAAAAAAAABACAAAAApAQAAZHJzL2Uyb0RvYy54bWxQSwUGAAAAAAYA&#10;BgBZAQAAhAUAAAAA&#10;">
                <v:fill on="t" focussize="0,0"/>
                <v:stroke color="#000000" joinstyle="miter"/>
                <v:imagedata o:title=""/>
                <o:lock v:ext="edit" aspectratio="f"/>
                <v:textbox>
                  <w:txbxContent>
                    <w:p>
                      <w:pPr>
                        <w:rPr>
                          <w:rFonts w:hint="eastAsia" w:eastAsia="宋体"/>
                          <w:sz w:val="28"/>
                          <w:szCs w:val="28"/>
                          <w:highlight w:val="yellow"/>
                          <w:lang w:eastAsia="zh-CN"/>
                        </w:rPr>
                      </w:pPr>
                      <w:r>
                        <w:rPr>
                          <w:rFonts w:hint="eastAsia"/>
                          <w:sz w:val="28"/>
                          <w:szCs w:val="28"/>
                        </w:rPr>
                        <w:t>致：陕西万泽招标有限公司          项目编号：</w:t>
                      </w:r>
                      <w:r>
                        <w:rPr>
                          <w:rFonts w:hint="eastAsia"/>
                          <w:sz w:val="28"/>
                          <w:szCs w:val="28"/>
                          <w:lang w:eastAsia="zh-CN"/>
                        </w:rPr>
                        <w:t>SXWZ2022ZB-SSJJ-046</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西安市审计局2022年上半年购买服务人员采购项目      </w:t>
                      </w:r>
                    </w:p>
                    <w:p>
                      <w:pPr>
                        <w:jc w:val="center"/>
                        <w:rPr>
                          <w:b/>
                          <w:sz w:val="44"/>
                          <w:szCs w:val="44"/>
                        </w:rPr>
                      </w:pPr>
                      <w:r>
                        <w:rPr>
                          <w:rFonts w:hint="eastAsia"/>
                          <w:b/>
                          <w:sz w:val="44"/>
                          <w:szCs w:val="44"/>
                        </w:rPr>
                        <w:t>磋商一览表</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-331470</wp:posOffset>
                </wp:positionH>
                <wp:positionV relativeFrom="paragraph">
                  <wp:posOffset>142240</wp:posOffset>
                </wp:positionV>
                <wp:extent cx="5750560" cy="2899410"/>
                <wp:effectExtent l="4445" t="4445" r="17145" b="10795"/>
                <wp:wrapNone/>
                <wp:docPr id="10" name="Text Box 3"/>
                <wp:cNvGraphicFramePr/>
                <a:graphic xmlns:a="http://schemas.openxmlformats.org/drawingml/2006/main">
                  <a:graphicData uri="http://schemas.microsoft.com/office/word/2010/wordprocessingShape">
                    <wps:wsp>
                      <wps:cNvSpPr txBox="1"/>
                      <wps:spPr>
                        <a:xfrm>
                          <a:off x="0" y="0"/>
                          <a:ext cx="5750560" cy="2899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highlight w:val="yellow"/>
                                <w:lang w:eastAsia="zh-CN"/>
                              </w:rPr>
                            </w:pPr>
                            <w:r>
                              <w:rPr>
                                <w:rFonts w:hint="eastAsia"/>
                                <w:sz w:val="28"/>
                                <w:szCs w:val="28"/>
                              </w:rPr>
                              <w:t>致：陕西万泽招标有限公司        项目编号：</w:t>
                            </w:r>
                            <w:r>
                              <w:rPr>
                                <w:rFonts w:hint="eastAsia"/>
                                <w:sz w:val="28"/>
                                <w:szCs w:val="28"/>
                                <w:lang w:eastAsia="zh-CN"/>
                              </w:rPr>
                              <w:t>SXWZ2022ZB-SSJJ-046</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西安市审计局2022年上半年购买服务人员采购项目      </w:t>
                            </w: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upright="1"/>
                    </wps:wsp>
                  </a:graphicData>
                </a:graphic>
              </wp:anchor>
            </w:drawing>
          </mc:Choice>
          <mc:Fallback>
            <w:pict>
              <v:shape id="Text Box 3" o:spid="_x0000_s1026" o:spt="202" type="#_x0000_t202" style="position:absolute;left:0pt;margin-left:-26.1pt;margin-top:11.2pt;height:228.3pt;width:452.8pt;z-index:251662336;mso-width-relative:page;mso-height-relative:page;" fillcolor="#FFFFFF" filled="t" stroked="t" coordsize="21600,21600" o:gfxdata="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d7&#10;m8TbAAAACgEAAA8AAAAAAAAAAQAgAAAAIgAAAGRycy9kb3ducmV2LnhtbFBLAQIUABQAAAAIAIdO&#10;4kDk5Nqd5wEAAPcDAAAOAAAAAAAAAAEAIAAAACoBAABkcnMvZTJvRG9jLnhtbFBLBQYAAAAABgAG&#10;AFkBAACDBQAAAAA=&#10;">
                <v:fill on="t" focussize="0,0"/>
                <v:stroke color="#000000" joinstyle="miter"/>
                <v:imagedata o:title=""/>
                <o:lock v:ext="edit" aspectratio="f"/>
                <v:textbox>
                  <w:txbxContent>
                    <w:p>
                      <w:pPr>
                        <w:rPr>
                          <w:rFonts w:hint="eastAsia" w:eastAsia="宋体"/>
                          <w:sz w:val="28"/>
                          <w:szCs w:val="28"/>
                          <w:highlight w:val="yellow"/>
                          <w:lang w:eastAsia="zh-CN"/>
                        </w:rPr>
                      </w:pPr>
                      <w:r>
                        <w:rPr>
                          <w:rFonts w:hint="eastAsia"/>
                          <w:sz w:val="28"/>
                          <w:szCs w:val="28"/>
                        </w:rPr>
                        <w:t>致：陕西万泽招标有限公司        项目编号：</w:t>
                      </w:r>
                      <w:r>
                        <w:rPr>
                          <w:rFonts w:hint="eastAsia"/>
                          <w:sz w:val="28"/>
                          <w:szCs w:val="28"/>
                          <w:lang w:eastAsia="zh-CN"/>
                        </w:rPr>
                        <w:t>SXWZ2022ZB-SSJJ-046</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西安市审计局2022年上半年购买服务人员采购项目      </w:t>
                      </w: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pageBreakBefore/>
        <w:spacing w:line="420" w:lineRule="auto"/>
        <w:jc w:val="center"/>
        <w:rPr>
          <w:rFonts w:ascii="宋体" w:hAnsi="宋体" w:cs="宋体"/>
          <w:b/>
          <w:bCs/>
          <w:sz w:val="36"/>
          <w:szCs w:val="36"/>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179" w:name="_Toc11632"/>
      <w:bookmarkStart w:id="180" w:name="_Toc389"/>
      <w:bookmarkStart w:id="181" w:name="_Toc3008"/>
      <w:bookmarkStart w:id="182" w:name="_Toc2630"/>
      <w:bookmarkStart w:id="183" w:name="_Toc1641"/>
      <w:bookmarkStart w:id="184" w:name="_Toc30485"/>
      <w:bookmarkStart w:id="185" w:name="_Toc20374"/>
      <w:bookmarkStart w:id="186" w:name="_Toc8177"/>
      <w:bookmarkStart w:id="187" w:name="_Toc18633"/>
      <w:bookmarkStart w:id="188" w:name="_Toc30870"/>
      <w:bookmarkStart w:id="189" w:name="_Toc30536"/>
      <w:bookmarkStart w:id="190" w:name="_Toc15467"/>
      <w:r>
        <w:rPr>
          <w:rFonts w:hint="eastAsia" w:ascii="宋体" w:hAnsi="宋体" w:cs="宋体"/>
        </w:rPr>
        <w:t>附件二、中小企业申明</w:t>
      </w:r>
      <w:bookmarkEnd w:id="179"/>
      <w:bookmarkEnd w:id="180"/>
      <w:bookmarkEnd w:id="181"/>
      <w:bookmarkEnd w:id="182"/>
      <w:bookmarkEnd w:id="183"/>
      <w:bookmarkEnd w:id="184"/>
      <w:bookmarkEnd w:id="185"/>
      <w:bookmarkEnd w:id="186"/>
      <w:bookmarkEnd w:id="187"/>
    </w:p>
    <w:p>
      <w:pPr>
        <w:spacing w:line="588" w:lineRule="exact"/>
        <w:ind w:firstLine="520" w:firstLineChars="200"/>
        <w:rPr>
          <w:rFonts w:ascii="宋体" w:hAnsi="宋体"/>
          <w:spacing w:val="6"/>
          <w:sz w:val="24"/>
        </w:rPr>
      </w:pPr>
      <w:bookmarkStart w:id="191" w:name="_Toc11896"/>
      <w:bookmarkStart w:id="192" w:name="_Toc10807"/>
      <w:bookmarkStart w:id="193" w:name="_Toc6022"/>
      <w:bookmarkStart w:id="194" w:name="_Toc12531"/>
      <w:bookmarkStart w:id="195" w:name="_Toc32438"/>
      <w:bookmarkStart w:id="196" w:name="_Toc5814"/>
      <w:r>
        <w:rPr>
          <w:rFonts w:hint="eastAsia" w:ascii="宋体" w:hAnsi="宋体"/>
          <w:spacing w:val="6"/>
          <w:sz w:val="24"/>
        </w:rPr>
        <w:t>根据《</w:t>
      </w:r>
      <w:r>
        <w:rPr>
          <w:rFonts w:hint="eastAsia" w:ascii="宋体" w:hAnsi="宋体"/>
          <w:spacing w:val="6"/>
          <w:sz w:val="24"/>
          <w:lang w:eastAsia="zh-CN"/>
        </w:rPr>
        <w:t>政府采购促进中小企业发展管理办法</w:t>
      </w:r>
      <w:r>
        <w:rPr>
          <w:rFonts w:hint="eastAsia" w:ascii="宋体" w:hAnsi="宋体"/>
          <w:spacing w:val="6"/>
          <w:sz w:val="24"/>
        </w:rPr>
        <w:t>》（</w:t>
      </w:r>
      <w:r>
        <w:rPr>
          <w:rFonts w:hint="eastAsia" w:ascii="宋体" w:hAnsi="宋体"/>
          <w:spacing w:val="6"/>
          <w:sz w:val="24"/>
          <w:lang w:eastAsia="zh-CN"/>
        </w:rPr>
        <w:t>财库[2020]46号</w:t>
      </w:r>
      <w:r>
        <w:rPr>
          <w:rFonts w:hint="eastAsia" w:ascii="宋体" w:hAnsi="宋体"/>
          <w:spacing w:val="6"/>
          <w:sz w:val="24"/>
        </w:rPr>
        <w:t>）的规定，由</w:t>
      </w:r>
      <w:r>
        <w:rPr>
          <w:rFonts w:hint="eastAsia" w:ascii="宋体" w:hAnsi="宋体"/>
          <w:spacing w:val="6"/>
          <w:sz w:val="24"/>
          <w:lang w:eastAsia="zh-CN"/>
        </w:rPr>
        <w:t>供应商</w:t>
      </w:r>
      <w:r>
        <w:rPr>
          <w:rFonts w:hint="eastAsia" w:ascii="宋体" w:hAnsi="宋体"/>
          <w:spacing w:val="6"/>
          <w:sz w:val="24"/>
        </w:rPr>
        <w:t>自行声明并对真实性负责。如有虚假，将依法承担相应责任。</w:t>
      </w:r>
    </w:p>
    <w:p>
      <w:pPr>
        <w:spacing w:line="312" w:lineRule="auto"/>
        <w:jc w:val="center"/>
        <w:outlineLvl w:val="9"/>
        <w:rPr>
          <w:rFonts w:ascii="仿宋_GB2312" w:eastAsia="仿宋_GB2312"/>
          <w:b/>
          <w:color w:val="000000"/>
          <w:spacing w:val="6"/>
          <w:sz w:val="24"/>
          <w:szCs w:val="24"/>
        </w:rPr>
      </w:pPr>
      <w:bookmarkStart w:id="197" w:name="_Toc679"/>
      <w:r>
        <w:rPr>
          <w:rFonts w:hint="eastAsia" w:ascii="宋体" w:hAnsi="宋体"/>
          <w:b/>
          <w:color w:val="000000"/>
          <w:spacing w:val="6"/>
          <w:sz w:val="24"/>
          <w:szCs w:val="24"/>
        </w:rPr>
        <w:t>中小企业声明函</w:t>
      </w:r>
    </w:p>
    <w:p>
      <w:pPr>
        <w:pStyle w:val="20"/>
        <w:shd w:val="clear" w:color="auto" w:fill="FCFCFC"/>
        <w:spacing w:before="0" w:beforeAutospacing="0" w:after="0" w:afterAutospacing="0" w:line="510" w:lineRule="atLeast"/>
        <w:ind w:firstLine="480"/>
        <w:outlineLvl w:val="9"/>
        <w:rPr>
          <w:rFonts w:hint="eastAsia"/>
          <w:color w:val="333333"/>
          <w:spacing w:val="8"/>
        </w:rPr>
      </w:pPr>
      <w:r>
        <w:rPr>
          <w:rFonts w:hint="eastAsia"/>
          <w:color w:val="333333"/>
          <w:spacing w:val="8"/>
        </w:rPr>
        <w:t>本公司郑重声明，根据《政府采购促进中小企业发展管理办法》（财库﹝2020﹞46 号）的规定，本公司参加</w:t>
      </w:r>
      <w:r>
        <w:rPr>
          <w:rFonts w:hint="eastAsia"/>
          <w:color w:val="333333"/>
          <w:spacing w:val="8"/>
          <w:u w:val="single"/>
        </w:rPr>
        <w:t>（单位名称）</w:t>
      </w:r>
      <w:r>
        <w:rPr>
          <w:rFonts w:hint="eastAsia"/>
          <w:color w:val="333333"/>
          <w:spacing w:val="8"/>
        </w:rPr>
        <w:t>的</w:t>
      </w:r>
      <w:r>
        <w:rPr>
          <w:rFonts w:hint="eastAsia"/>
          <w:color w:val="333333"/>
          <w:spacing w:val="8"/>
          <w:u w:val="single"/>
        </w:rPr>
        <w:t>（项目名称）</w:t>
      </w:r>
      <w:r>
        <w:rPr>
          <w:rFonts w:hint="eastAsia"/>
          <w:color w:val="333333"/>
          <w:spacing w:val="8"/>
        </w:rPr>
        <w:t>采购活动，服务全部由符合政策要求的中小企业承接。相关企业的具体情况如下：</w:t>
      </w:r>
    </w:p>
    <w:p>
      <w:pPr>
        <w:pStyle w:val="20"/>
        <w:shd w:val="clear" w:color="auto" w:fill="FCFCFC"/>
        <w:spacing w:before="0" w:beforeAutospacing="0" w:after="0" w:afterAutospacing="0" w:line="510" w:lineRule="atLeast"/>
        <w:ind w:firstLine="480"/>
        <w:outlineLvl w:val="9"/>
        <w:rPr>
          <w:rFonts w:hint="eastAsia"/>
          <w:color w:val="333333"/>
          <w:spacing w:val="8"/>
        </w:rPr>
      </w:pPr>
      <w:r>
        <w:rPr>
          <w:rFonts w:hint="eastAsia"/>
          <w:color w:val="333333"/>
          <w:spacing w:val="8"/>
        </w:rPr>
        <w:t>1.</w:t>
      </w:r>
      <w:r>
        <w:rPr>
          <w:rFonts w:hint="eastAsia"/>
          <w:color w:val="333333"/>
          <w:spacing w:val="8"/>
          <w:u w:val="single"/>
        </w:rPr>
        <w:t>（标的名称）</w:t>
      </w:r>
      <w:r>
        <w:rPr>
          <w:rFonts w:hint="eastAsia"/>
          <w:color w:val="333333"/>
          <w:spacing w:val="8"/>
        </w:rPr>
        <w:t> ，属于</w:t>
      </w:r>
      <w:r>
        <w:rPr>
          <w:rFonts w:hint="eastAsia"/>
          <w:color w:val="333333"/>
          <w:spacing w:val="8"/>
          <w:u w:val="single"/>
        </w:rPr>
        <w:t>（采购内容所属行业）</w:t>
      </w:r>
      <w:r>
        <w:rPr>
          <w:rFonts w:hint="eastAsia"/>
          <w:color w:val="333333"/>
          <w:spacing w:val="8"/>
        </w:rPr>
        <w:t>；承接企业为</w:t>
      </w:r>
      <w:r>
        <w:rPr>
          <w:rFonts w:hint="eastAsia"/>
          <w:color w:val="333333"/>
          <w:spacing w:val="8"/>
          <w:u w:val="single"/>
        </w:rPr>
        <w:t>（企业名称）</w:t>
      </w:r>
      <w:r>
        <w:rPr>
          <w:rFonts w:hint="eastAsia"/>
          <w:color w:val="333333"/>
          <w:spacing w:val="8"/>
        </w:rPr>
        <w:t>，从业人员</w:t>
      </w:r>
      <w:r>
        <w:rPr>
          <w:rFonts w:hint="eastAsia"/>
          <w:color w:val="333333"/>
          <w:spacing w:val="8"/>
          <w:u w:val="single"/>
        </w:rPr>
        <w:t xml:space="preserve">   </w:t>
      </w:r>
      <w:r>
        <w:rPr>
          <w:rFonts w:hint="eastAsia"/>
          <w:color w:val="333333"/>
          <w:spacing w:val="8"/>
        </w:rPr>
        <w:t>人，营业收入为</w:t>
      </w:r>
      <w:r>
        <w:rPr>
          <w:rFonts w:hint="eastAsia"/>
          <w:color w:val="333333"/>
          <w:spacing w:val="8"/>
          <w:u w:val="single"/>
        </w:rPr>
        <w:t xml:space="preserve">   </w:t>
      </w:r>
      <w:r>
        <w:rPr>
          <w:rFonts w:hint="eastAsia"/>
          <w:color w:val="333333"/>
          <w:spacing w:val="8"/>
        </w:rPr>
        <w:t>万元，资产总额为</w:t>
      </w:r>
      <w:r>
        <w:rPr>
          <w:rFonts w:hint="eastAsia"/>
          <w:color w:val="333333"/>
          <w:spacing w:val="8"/>
          <w:u w:val="single"/>
        </w:rPr>
        <w:t xml:space="preserve">   </w:t>
      </w:r>
      <w:r>
        <w:rPr>
          <w:rFonts w:hint="eastAsia"/>
          <w:color w:val="333333"/>
          <w:spacing w:val="8"/>
        </w:rPr>
        <w:t>万元，属于</w:t>
      </w:r>
      <w:r>
        <w:rPr>
          <w:rFonts w:hint="eastAsia"/>
          <w:color w:val="333333"/>
          <w:spacing w:val="8"/>
          <w:u w:val="single"/>
        </w:rPr>
        <w:t>（中型企业、小型企业、微型企业）</w:t>
      </w:r>
      <w:r>
        <w:rPr>
          <w:rFonts w:hint="eastAsia"/>
          <w:color w:val="333333"/>
          <w:spacing w:val="8"/>
        </w:rPr>
        <w:t>；</w:t>
      </w:r>
    </w:p>
    <w:p>
      <w:pPr>
        <w:pStyle w:val="20"/>
        <w:shd w:val="clear" w:color="auto" w:fill="FCFCFC"/>
        <w:spacing w:before="0" w:beforeAutospacing="0" w:after="0" w:afterAutospacing="0" w:line="510" w:lineRule="atLeast"/>
        <w:ind w:firstLine="480"/>
        <w:outlineLvl w:val="9"/>
        <w:rPr>
          <w:rFonts w:hint="eastAsia"/>
          <w:color w:val="333333"/>
          <w:spacing w:val="8"/>
        </w:rPr>
      </w:pPr>
      <w:r>
        <w:rPr>
          <w:rFonts w:hint="eastAsia"/>
          <w:color w:val="333333"/>
          <w:spacing w:val="8"/>
        </w:rPr>
        <w:t>2.</w:t>
      </w:r>
      <w:r>
        <w:rPr>
          <w:rFonts w:hint="eastAsia"/>
          <w:color w:val="333333"/>
          <w:spacing w:val="8"/>
          <w:u w:val="single"/>
        </w:rPr>
        <w:t>（标的名称）</w:t>
      </w:r>
      <w:r>
        <w:rPr>
          <w:rFonts w:hint="eastAsia"/>
          <w:color w:val="333333"/>
          <w:spacing w:val="8"/>
        </w:rPr>
        <w:t> ，属于</w:t>
      </w:r>
      <w:r>
        <w:rPr>
          <w:rFonts w:hint="eastAsia"/>
          <w:color w:val="333333"/>
          <w:spacing w:val="8"/>
          <w:u w:val="single"/>
        </w:rPr>
        <w:t>（采购内容所属行业）</w:t>
      </w:r>
      <w:r>
        <w:rPr>
          <w:rFonts w:hint="eastAsia"/>
          <w:color w:val="333333"/>
          <w:spacing w:val="8"/>
        </w:rPr>
        <w:t>；承建（承接）企业为</w:t>
      </w:r>
      <w:r>
        <w:rPr>
          <w:rFonts w:hint="eastAsia"/>
          <w:color w:val="333333"/>
          <w:spacing w:val="8"/>
          <w:u w:val="single"/>
        </w:rPr>
        <w:t>（企业名称）</w:t>
      </w:r>
      <w:r>
        <w:rPr>
          <w:rFonts w:hint="eastAsia"/>
          <w:color w:val="333333"/>
          <w:spacing w:val="8"/>
        </w:rPr>
        <w:t>，从业人员人，营业收入为万元，资产总额为万元，属于</w:t>
      </w:r>
      <w:r>
        <w:rPr>
          <w:rFonts w:hint="eastAsia"/>
          <w:color w:val="333333"/>
          <w:spacing w:val="8"/>
          <w:u w:val="single"/>
        </w:rPr>
        <w:t>（中型企业、小型企业、微型企业）</w:t>
      </w:r>
      <w:r>
        <w:rPr>
          <w:rFonts w:hint="eastAsia"/>
          <w:color w:val="333333"/>
          <w:spacing w:val="8"/>
        </w:rPr>
        <w:t>；</w:t>
      </w:r>
    </w:p>
    <w:p>
      <w:pPr>
        <w:pStyle w:val="20"/>
        <w:shd w:val="clear" w:color="auto" w:fill="FCFCFC"/>
        <w:spacing w:before="0" w:beforeAutospacing="0" w:after="0" w:afterAutospacing="0" w:line="510" w:lineRule="atLeast"/>
        <w:ind w:firstLine="480"/>
        <w:outlineLvl w:val="9"/>
        <w:rPr>
          <w:rFonts w:hint="eastAsia"/>
          <w:color w:val="333333"/>
          <w:spacing w:val="8"/>
        </w:rPr>
      </w:pPr>
      <w:r>
        <w:rPr>
          <w:rFonts w:hint="eastAsia"/>
          <w:color w:val="333333"/>
          <w:spacing w:val="8"/>
        </w:rPr>
        <w:t>……</w:t>
      </w:r>
    </w:p>
    <w:p>
      <w:pPr>
        <w:pStyle w:val="20"/>
        <w:shd w:val="clear" w:color="auto" w:fill="FCFCFC"/>
        <w:spacing w:before="0" w:beforeAutospacing="0" w:after="0" w:afterAutospacing="0" w:line="510" w:lineRule="atLeast"/>
        <w:ind w:firstLine="480"/>
        <w:outlineLvl w:val="9"/>
        <w:rPr>
          <w:rFonts w:hint="eastAsia"/>
          <w:color w:val="333333"/>
          <w:spacing w:val="8"/>
        </w:rPr>
      </w:pPr>
      <w:r>
        <w:rPr>
          <w:rFonts w:hint="eastAsia"/>
          <w:color w:val="333333"/>
          <w:spacing w:val="8"/>
        </w:rPr>
        <w:t>以上企业，不属于大企业的分支机构，不存在控股股东为大企业的情形，也不存在与大企业的负责人为同一人的情形。</w:t>
      </w:r>
    </w:p>
    <w:p>
      <w:pPr>
        <w:pStyle w:val="20"/>
        <w:shd w:val="clear" w:color="auto" w:fill="FCFCFC"/>
        <w:spacing w:before="0" w:beforeAutospacing="0" w:after="0" w:afterAutospacing="0" w:line="510" w:lineRule="atLeast"/>
        <w:ind w:firstLine="480"/>
        <w:outlineLvl w:val="9"/>
        <w:rPr>
          <w:rFonts w:hint="eastAsia"/>
          <w:color w:val="333333"/>
          <w:spacing w:val="8"/>
        </w:rPr>
      </w:pPr>
      <w:r>
        <w:rPr>
          <w:rFonts w:hint="eastAsia"/>
          <w:color w:val="333333"/>
          <w:spacing w:val="8"/>
        </w:rPr>
        <w:t>本企业对上述声明内容的真实性负责。如有虚假，将依法承担相应责任。</w:t>
      </w:r>
    </w:p>
    <w:p>
      <w:pPr>
        <w:pStyle w:val="8"/>
        <w:spacing w:line="312" w:lineRule="auto"/>
        <w:ind w:right="372" w:firstLine="645"/>
        <w:outlineLvl w:val="9"/>
        <w:rPr>
          <w:rFonts w:ascii="宋体" w:hAnsi="宋体"/>
          <w:color w:val="000000"/>
          <w:spacing w:val="6"/>
          <w:sz w:val="24"/>
        </w:rPr>
      </w:pPr>
    </w:p>
    <w:p>
      <w:pPr>
        <w:spacing w:line="312" w:lineRule="auto"/>
        <w:jc w:val="left"/>
        <w:outlineLvl w:val="9"/>
        <w:rPr>
          <w:rFonts w:ascii="宋体" w:hAnsi="宋体"/>
          <w:color w:val="000000"/>
          <w:spacing w:val="6"/>
          <w:sz w:val="24"/>
        </w:rPr>
      </w:pPr>
      <w:r>
        <w:rPr>
          <w:rFonts w:hint="eastAsia" w:ascii="宋体" w:hAnsi="宋体"/>
          <w:color w:val="000000"/>
          <w:spacing w:val="6"/>
          <w:sz w:val="24"/>
        </w:rPr>
        <w:t>企业名称（盖章）：</w:t>
      </w:r>
    </w:p>
    <w:p>
      <w:pPr>
        <w:spacing w:line="312" w:lineRule="auto"/>
        <w:outlineLvl w:val="9"/>
        <w:rPr>
          <w:rFonts w:ascii="宋体" w:hAnsi="宋体" w:cs="宋体"/>
          <w:spacing w:val="6"/>
          <w:sz w:val="24"/>
          <w:szCs w:val="24"/>
        </w:rPr>
        <w:sectPr>
          <w:footerReference r:id="rId15" w:type="first"/>
          <w:headerReference r:id="rId13" w:type="default"/>
          <w:footerReference r:id="rId14" w:type="default"/>
          <w:pgSz w:w="11906" w:h="16838"/>
          <w:pgMar w:top="1440" w:right="1803" w:bottom="1440" w:left="1803" w:header="850" w:footer="992" w:gutter="0"/>
          <w:pgNumType w:fmt="decimal" w:start="57"/>
          <w:cols w:space="0" w:num="1"/>
          <w:titlePg/>
          <w:docGrid w:type="linesAndChars" w:linePitch="395" w:charSpace="1724"/>
        </w:sectPr>
      </w:pPr>
      <w:r>
        <w:rPr>
          <w:rFonts w:hint="eastAsia" w:ascii="宋体" w:hAnsi="宋体"/>
          <w:color w:val="000000"/>
          <w:spacing w:val="6"/>
          <w:sz w:val="24"/>
        </w:rPr>
        <w:t>日期：</w:t>
      </w:r>
    </w:p>
    <w:p>
      <w:pPr>
        <w:pStyle w:val="4"/>
      </w:pPr>
      <w:r>
        <w:rPr>
          <w:rFonts w:hint="eastAsia"/>
        </w:rPr>
        <w:t>附件三、残疾人福利性单位声明</w:t>
      </w:r>
      <w:bookmarkEnd w:id="191"/>
      <w:bookmarkEnd w:id="192"/>
      <w:bookmarkEnd w:id="193"/>
      <w:bookmarkEnd w:id="194"/>
      <w:bookmarkEnd w:id="195"/>
      <w:bookmarkEnd w:id="196"/>
      <w:bookmarkEnd w:id="197"/>
    </w:p>
    <w:p>
      <w:pPr>
        <w:spacing w:line="588" w:lineRule="exact"/>
        <w:ind w:firstLine="504" w:firstLineChars="200"/>
        <w:rPr>
          <w:rFonts w:ascii="宋体" w:hAnsi="宋体"/>
          <w:spacing w:val="6"/>
          <w:sz w:val="24"/>
        </w:rPr>
      </w:pPr>
      <w:r>
        <w:rPr>
          <w:rFonts w:hint="eastAsia" w:ascii="宋体" w:hAnsi="宋体"/>
          <w:spacing w:val="6"/>
          <w:sz w:val="24"/>
        </w:rPr>
        <w:t>根据《三部门联合发布关于促进残疾人就业政府采购政策的通知》（财库〔2017〕141号）的规定，由供应商自行申明，并对申明真实性负责。如有虚假，将依法承担相应责任。</w:t>
      </w:r>
    </w:p>
    <w:p/>
    <w:p>
      <w:pPr>
        <w:spacing w:line="588" w:lineRule="exact"/>
        <w:jc w:val="center"/>
        <w:rPr>
          <w:rFonts w:ascii="宋体" w:hAnsi="宋体" w:cs="宋体"/>
          <w:b/>
          <w:spacing w:val="6"/>
          <w:sz w:val="24"/>
          <w:szCs w:val="24"/>
        </w:rPr>
      </w:pPr>
      <w:bookmarkStart w:id="198" w:name="OLE_LINK14"/>
      <w:r>
        <w:rPr>
          <w:rFonts w:hint="eastAsia" w:ascii="宋体" w:hAnsi="宋体" w:cs="宋体"/>
          <w:b/>
          <w:spacing w:val="6"/>
          <w:sz w:val="24"/>
          <w:szCs w:val="24"/>
        </w:rPr>
        <w:t>残疾人福利性单位声明函</w:t>
      </w:r>
      <w:bookmarkEnd w:id="198"/>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360" w:lineRule="auto"/>
        <w:ind w:firstLine="444" w:firstLineChars="200"/>
        <w:rPr>
          <w:rFonts w:ascii="宋体" w:hAnsi="宋体"/>
          <w:spacing w:val="6"/>
          <w:szCs w:val="21"/>
        </w:rPr>
      </w:pPr>
    </w:p>
    <w:tbl>
      <w:tblPr>
        <w:tblStyle w:val="2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058"/>
        <w:gridCol w:w="1258"/>
        <w:gridCol w:w="1439"/>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序号</w:t>
            </w:r>
          </w:p>
        </w:tc>
        <w:tc>
          <w:tcPr>
            <w:tcW w:w="3058" w:type="dxa"/>
            <w:vAlign w:val="center"/>
          </w:tcPr>
          <w:p>
            <w:pPr>
              <w:spacing w:line="360" w:lineRule="auto"/>
              <w:jc w:val="center"/>
              <w:rPr>
                <w:rFonts w:ascii="宋体" w:hAnsi="宋体"/>
                <w:spacing w:val="6"/>
                <w:szCs w:val="21"/>
              </w:rPr>
            </w:pPr>
            <w:r>
              <w:rPr>
                <w:rFonts w:hint="eastAsia" w:ascii="宋体" w:hAnsi="宋体"/>
                <w:spacing w:val="6"/>
                <w:szCs w:val="21"/>
              </w:rPr>
              <w:t>产品类型</w:t>
            </w:r>
          </w:p>
        </w:tc>
        <w:tc>
          <w:tcPr>
            <w:tcW w:w="1258" w:type="dxa"/>
            <w:vAlign w:val="center"/>
          </w:tcPr>
          <w:p>
            <w:pPr>
              <w:spacing w:line="360" w:lineRule="auto"/>
              <w:jc w:val="center"/>
              <w:rPr>
                <w:rFonts w:ascii="宋体" w:hAnsi="宋体"/>
                <w:spacing w:val="6"/>
                <w:szCs w:val="21"/>
              </w:rPr>
            </w:pPr>
            <w:r>
              <w:rPr>
                <w:rFonts w:hint="eastAsia" w:ascii="宋体" w:hAnsi="宋体"/>
                <w:spacing w:val="6"/>
                <w:szCs w:val="21"/>
              </w:rPr>
              <w:t>产品名称</w:t>
            </w:r>
          </w:p>
        </w:tc>
        <w:tc>
          <w:tcPr>
            <w:tcW w:w="1439" w:type="dxa"/>
            <w:vAlign w:val="center"/>
          </w:tcPr>
          <w:p>
            <w:pPr>
              <w:spacing w:line="360" w:lineRule="auto"/>
              <w:jc w:val="center"/>
              <w:rPr>
                <w:rFonts w:ascii="宋体" w:hAnsi="宋体"/>
                <w:spacing w:val="6"/>
                <w:szCs w:val="21"/>
              </w:rPr>
            </w:pPr>
            <w:r>
              <w:rPr>
                <w:rFonts w:hint="eastAsia" w:ascii="宋体" w:hAnsi="宋体"/>
                <w:spacing w:val="6"/>
                <w:szCs w:val="21"/>
              </w:rPr>
              <w:t>制造商</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金额（元）</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1</w:t>
            </w:r>
          </w:p>
        </w:tc>
        <w:tc>
          <w:tcPr>
            <w:tcW w:w="3058" w:type="dxa"/>
            <w:vAlign w:val="center"/>
          </w:tcPr>
          <w:p>
            <w:pPr>
              <w:spacing w:line="360" w:lineRule="auto"/>
              <w:rPr>
                <w:rFonts w:ascii="宋体" w:hAnsi="宋体"/>
                <w:spacing w:val="6"/>
                <w:szCs w:val="21"/>
              </w:rPr>
            </w:pPr>
            <w:r>
              <w:rPr>
                <w:rFonts w:hint="eastAsia" w:ascii="宋体" w:hAnsi="宋体"/>
                <w:spacing w:val="6"/>
                <w:szCs w:val="21"/>
              </w:rPr>
              <w:t>本企业制造的货物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2</w:t>
            </w:r>
          </w:p>
        </w:tc>
        <w:tc>
          <w:tcPr>
            <w:tcW w:w="3058" w:type="dxa"/>
            <w:vAlign w:val="center"/>
          </w:tcPr>
          <w:p>
            <w:pPr>
              <w:spacing w:line="360" w:lineRule="auto"/>
              <w:rPr>
                <w:rFonts w:ascii="宋体" w:hAnsi="宋体"/>
                <w:spacing w:val="6"/>
                <w:szCs w:val="21"/>
              </w:rPr>
            </w:pPr>
            <w:r>
              <w:rPr>
                <w:rFonts w:hint="eastAsia" w:ascii="宋体" w:hAnsi="宋体"/>
                <w:spacing w:val="6"/>
                <w:szCs w:val="21"/>
              </w:rPr>
              <w:t>其他残疾人福利性单位制造的货物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bl>
    <w:p/>
    <w:p>
      <w:pPr>
        <w:tabs>
          <w:tab w:val="left" w:pos="4860"/>
        </w:tabs>
        <w:spacing w:line="360" w:lineRule="auto"/>
        <w:ind w:right="1560" w:firstLine="444" w:firstLineChars="200"/>
        <w:rPr>
          <w:rFonts w:ascii="宋体" w:hAnsi="宋体"/>
          <w:spacing w:val="6"/>
          <w:szCs w:val="21"/>
        </w:rPr>
      </w:pPr>
      <w:r>
        <w:rPr>
          <w:rFonts w:hint="eastAsia" w:ascii="宋体" w:hAnsi="宋体"/>
          <w:spacing w:val="6"/>
          <w:szCs w:val="21"/>
        </w:rPr>
        <w:t>注：1、本声明函对残疾人福利性单位参与政府采购活动时适用。</w:t>
      </w:r>
    </w:p>
    <w:p>
      <w:pPr>
        <w:tabs>
          <w:tab w:val="left" w:pos="4860"/>
        </w:tabs>
        <w:spacing w:line="360" w:lineRule="auto"/>
        <w:ind w:firstLine="444" w:firstLineChars="200"/>
        <w:rPr>
          <w:rFonts w:ascii="宋体" w:hAnsi="宋体" w:cs="宋体"/>
          <w:spacing w:val="6"/>
          <w:sz w:val="24"/>
          <w:szCs w:val="24"/>
        </w:rPr>
      </w:pPr>
      <w:r>
        <w:rPr>
          <w:rFonts w:hint="eastAsia" w:ascii="宋体" w:hAnsi="宋体"/>
          <w:spacing w:val="6"/>
          <w:szCs w:val="21"/>
        </w:rPr>
        <w:t>2、如提供其他残疾人福利性单位的货物须按此格式附其他中小企业的《中小企业声明函》</w:t>
      </w:r>
    </w:p>
    <w:p>
      <w:pPr>
        <w:tabs>
          <w:tab w:val="left" w:pos="4860"/>
        </w:tabs>
        <w:spacing w:line="588" w:lineRule="exact"/>
        <w:ind w:right="1560" w:firstLine="504" w:firstLineChars="200"/>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jc w:val="left"/>
        <w:rPr>
          <w:rFonts w:ascii="宋体" w:hAnsi="宋体" w:cs="宋体"/>
          <w:spacing w:val="6"/>
          <w:sz w:val="24"/>
          <w:szCs w:val="24"/>
        </w:rPr>
      </w:pPr>
      <w:r>
        <w:rPr>
          <w:rFonts w:hint="eastAsia" w:ascii="宋体" w:hAnsi="宋体" w:cs="宋体"/>
          <w:spacing w:val="6"/>
          <w:sz w:val="24"/>
          <w:szCs w:val="24"/>
        </w:rPr>
        <w:t>日  期：</w:t>
      </w:r>
    </w:p>
    <w:p>
      <w:pPr>
        <w:pStyle w:val="4"/>
        <w:rPr>
          <w:rFonts w:hint="eastAsia"/>
        </w:rPr>
        <w:sectPr>
          <w:footerReference r:id="rId16" w:type="default"/>
          <w:pgSz w:w="11906" w:h="16838"/>
          <w:pgMar w:top="1440" w:right="1803" w:bottom="1440" w:left="1803" w:header="851" w:footer="992" w:gutter="0"/>
          <w:pgNumType w:fmt="decimal"/>
          <w:cols w:space="720" w:num="1"/>
          <w:docGrid w:type="lines" w:linePitch="319" w:charSpace="0"/>
        </w:sectPr>
      </w:pPr>
      <w:bookmarkStart w:id="199" w:name="_Toc3053"/>
      <w:bookmarkStart w:id="200" w:name="_Toc14755"/>
    </w:p>
    <w:p>
      <w:pPr>
        <w:pStyle w:val="4"/>
        <w:rPr>
          <w:rFonts w:ascii="宋体" w:hAnsi="宋体" w:cs="宋体"/>
        </w:rPr>
      </w:pPr>
      <w:r>
        <w:rPr>
          <w:rFonts w:hint="eastAsia"/>
        </w:rPr>
        <w:t>附件四、监狱企业证明文件</w:t>
      </w:r>
      <w:bookmarkEnd w:id="188"/>
      <w:bookmarkEnd w:id="189"/>
      <w:bookmarkEnd w:id="190"/>
      <w:bookmarkEnd w:id="199"/>
      <w:bookmarkEnd w:id="200"/>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201" w:name="_Toc13122"/>
      <w:bookmarkStart w:id="202" w:name="_Toc2126"/>
      <w:bookmarkStart w:id="203" w:name="_Toc11969"/>
      <w:bookmarkStart w:id="204" w:name="_Toc12021"/>
      <w:bookmarkStart w:id="205" w:name="_Toc563"/>
      <w:bookmarkStart w:id="206" w:name="_Toc13303"/>
      <w:r>
        <w:rPr>
          <w:rFonts w:hint="eastAsia" w:ascii="宋体" w:hAnsi="宋体" w:cs="宋体"/>
        </w:rPr>
        <w:t>附件五、“节能产品”，“环境标志产品”证明材料</w:t>
      </w:r>
      <w:bookmarkEnd w:id="201"/>
      <w:bookmarkEnd w:id="202"/>
      <w:bookmarkEnd w:id="203"/>
      <w:bookmarkEnd w:id="204"/>
      <w:bookmarkEnd w:id="205"/>
      <w:bookmarkEnd w:id="206"/>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说明：</w:t>
      </w:r>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供应商提供的产品属于下列情形，应按照招标文件第三部分供应商须知总则第六款规定提供产品列入“节能产品”，“环境标志产品”所在页的复印件（该页包含制造商或企业名称或申请单位名称、规格型号、有效期截止日期等内容），并加盖供应商单位章。</w:t>
      </w:r>
    </w:p>
    <w:p>
      <w:pPr>
        <w:widowControl/>
        <w:numPr>
          <w:ilvl w:val="0"/>
          <w:numId w:val="19"/>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财政部、环境保护部发布的《节能产品政府采购清单》中标记的“强制采购节能产品”。</w:t>
      </w:r>
    </w:p>
    <w:p>
      <w:pPr>
        <w:widowControl/>
        <w:numPr>
          <w:ilvl w:val="0"/>
          <w:numId w:val="19"/>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财政部、环境保护部发布的《环境标志产品政府采购清单》中标记的的“环境标志产品”。</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2、未按照上述要求提供的，评审时不予以考虑。 </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7" w:type="default"/>
          <w:pgSz w:w="11906" w:h="16838"/>
          <w:pgMar w:top="1440" w:right="1803" w:bottom="1440" w:left="1803" w:header="851" w:footer="992" w:gutter="0"/>
          <w:pgNumType w:fmt="decimal"/>
          <w:cols w:space="720" w:num="1"/>
          <w:docGrid w:type="lines" w:linePitch="319" w:charSpace="0"/>
        </w:sectPr>
      </w:pPr>
    </w:p>
    <w:p>
      <w:pPr>
        <w:pStyle w:val="4"/>
      </w:pPr>
      <w:bookmarkStart w:id="207" w:name="_Toc23799"/>
      <w:bookmarkStart w:id="208" w:name="_Toc4414"/>
      <w:bookmarkStart w:id="209" w:name="_Toc25567"/>
      <w:bookmarkStart w:id="210" w:name="_Toc26351"/>
      <w:bookmarkStart w:id="211" w:name="_Toc11924"/>
      <w:bookmarkStart w:id="212" w:name="_Toc5338"/>
      <w:bookmarkStart w:id="213" w:name="_Toc10027"/>
      <w:r>
        <w:rPr>
          <w:rFonts w:hint="eastAsia"/>
        </w:rPr>
        <w:t>附件六、质疑函范本</w:t>
      </w:r>
      <w:bookmarkEnd w:id="207"/>
      <w:bookmarkEnd w:id="208"/>
      <w:bookmarkEnd w:id="209"/>
      <w:bookmarkEnd w:id="210"/>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4"/>
        <w:adjustRightInd w:val="0"/>
        <w:spacing w:line="416" w:lineRule="atLeast"/>
        <w:jc w:val="both"/>
        <w:textAlignment w:val="baseline"/>
        <w:rPr>
          <w:rFonts w:ascii="宋体" w:hAnsi="宋体" w:cs="宋体"/>
        </w:rPr>
        <w:sectPr>
          <w:pgSz w:w="11906" w:h="16838"/>
          <w:pgMar w:top="1440" w:right="1803" w:bottom="1440" w:left="1803" w:header="851" w:footer="992" w:gutter="0"/>
          <w:pgNumType w:fmt="decimal"/>
          <w:cols w:space="720" w:num="1"/>
          <w:docGrid w:type="lines" w:linePitch="319" w:charSpace="0"/>
        </w:sectPr>
      </w:pPr>
    </w:p>
    <w:bookmarkEnd w:id="211"/>
    <w:bookmarkEnd w:id="212"/>
    <w:bookmarkEnd w:id="213"/>
    <w:p>
      <w:pPr>
        <w:jc w:val="left"/>
        <w:rPr>
          <w:rFonts w:ascii="宋体" w:hAnsi="宋体" w:cs="宋体"/>
          <w:sz w:val="72"/>
          <w:szCs w:val="72"/>
        </w:rPr>
      </w:pPr>
      <w:r>
        <w:rPr>
          <w:rFonts w:hint="eastAsia" w:ascii="宋体" w:hAnsi="宋体" w:cs="宋体"/>
          <w:b/>
          <w:spacing w:val="48"/>
          <w:sz w:val="72"/>
          <w:szCs w:val="72"/>
        </w:rPr>
        <w:t>公平</w:t>
      </w:r>
    </w:p>
    <w:p>
      <w:pPr>
        <w:tabs>
          <w:tab w:val="left" w:pos="3810"/>
        </w:tabs>
        <w:jc w:val="left"/>
        <w:rPr>
          <w:rFonts w:ascii="宋体" w:hAnsi="宋体" w:cs="宋体"/>
          <w:sz w:val="72"/>
          <w:szCs w:val="72"/>
        </w:rPr>
      </w:pPr>
    </w:p>
    <w:p>
      <w:pPr>
        <w:jc w:val="left"/>
        <w:rPr>
          <w:rFonts w:ascii="宋体" w:hAnsi="宋体" w:cs="宋体"/>
          <w:sz w:val="72"/>
          <w:szCs w:val="72"/>
        </w:rPr>
      </w:pPr>
    </w:p>
    <w:p>
      <w:pPr>
        <w:jc w:val="left"/>
        <w:rPr>
          <w:rFonts w:ascii="宋体" w:hAnsi="宋体" w:cs="宋体"/>
          <w:sz w:val="72"/>
          <w:szCs w:val="72"/>
        </w:rPr>
      </w:pPr>
    </w:p>
    <w:p>
      <w:pPr>
        <w:jc w:val="center"/>
        <w:rPr>
          <w:rFonts w:ascii="宋体" w:hAnsi="宋体" w:cs="宋体"/>
          <w:b/>
          <w:spacing w:val="48"/>
          <w:sz w:val="72"/>
          <w:szCs w:val="72"/>
        </w:rPr>
      </w:pPr>
    </w:p>
    <w:p>
      <w:pPr>
        <w:jc w:val="center"/>
        <w:rPr>
          <w:rFonts w:ascii="宋体" w:hAnsi="宋体" w:cs="宋体"/>
          <w:b/>
          <w:spacing w:val="48"/>
          <w:sz w:val="72"/>
          <w:szCs w:val="72"/>
        </w:rPr>
      </w:pPr>
      <w:r>
        <w:rPr>
          <w:rFonts w:hint="eastAsia" w:ascii="宋体" w:hAnsi="宋体" w:cs="宋体"/>
          <w:b/>
          <w:spacing w:val="48"/>
          <w:sz w:val="72"/>
          <w:szCs w:val="72"/>
        </w:rPr>
        <w:t>公正</w:t>
      </w:r>
    </w:p>
    <w:p>
      <w:pPr>
        <w:jc w:val="left"/>
        <w:rPr>
          <w:rFonts w:ascii="宋体" w:hAnsi="宋体" w:cs="宋体"/>
          <w:b/>
          <w:spacing w:val="48"/>
          <w:sz w:val="72"/>
          <w:szCs w:val="72"/>
        </w:rPr>
      </w:pPr>
    </w:p>
    <w:p>
      <w:pPr>
        <w:jc w:val="left"/>
        <w:rPr>
          <w:rFonts w:ascii="宋体" w:hAnsi="宋体" w:cs="宋体"/>
          <w:b/>
          <w:spacing w:val="48"/>
          <w:sz w:val="72"/>
          <w:szCs w:val="72"/>
        </w:rPr>
      </w:pPr>
    </w:p>
    <w:p>
      <w:pPr>
        <w:jc w:val="left"/>
        <w:rPr>
          <w:rFonts w:ascii="宋体" w:hAnsi="宋体" w:cs="宋体"/>
          <w:b/>
          <w:spacing w:val="48"/>
          <w:sz w:val="72"/>
          <w:szCs w:val="72"/>
        </w:rPr>
      </w:pPr>
    </w:p>
    <w:p>
      <w:pPr>
        <w:jc w:val="right"/>
        <w:rPr>
          <w:rFonts w:ascii="宋体" w:hAnsi="宋体" w:cs="宋体"/>
          <w:b/>
          <w:spacing w:val="48"/>
          <w:sz w:val="72"/>
          <w:szCs w:val="72"/>
        </w:rPr>
      </w:pPr>
    </w:p>
    <w:p>
      <w:pPr>
        <w:jc w:val="right"/>
        <w:rPr>
          <w:rFonts w:ascii="宋体" w:hAnsi="宋体" w:cs="宋体"/>
          <w:b/>
          <w:spacing w:val="48"/>
          <w:sz w:val="72"/>
          <w:szCs w:val="72"/>
        </w:rPr>
      </w:pPr>
      <w:r>
        <w:rPr>
          <w:rFonts w:hint="eastAsia" w:ascii="宋体" w:hAnsi="宋体" w:cs="宋体"/>
          <w:b/>
          <w:spacing w:val="48"/>
          <w:sz w:val="72"/>
          <w:szCs w:val="72"/>
        </w:rPr>
        <w:t>公开</w:t>
      </w:r>
    </w:p>
    <w:bookmarkEnd w:id="0"/>
    <w:p>
      <w:pPr>
        <w:rPr>
          <w:rFonts w:ascii="宋体" w:hAnsi="宋体" w:cs="宋体"/>
          <w:b/>
          <w:sz w:val="30"/>
          <w:szCs w:val="30"/>
        </w:rPr>
      </w:pPr>
      <w:r>
        <w:rPr>
          <w:rFonts w:hint="eastAsia" w:ascii="宋体" w:hAnsi="宋体" w:cs="宋体"/>
          <w:b/>
          <w:sz w:val="30"/>
          <w:szCs w:val="30"/>
        </w:rPr>
        <w:t>企业名称：陕西万泽招标有限公司</w:t>
      </w:r>
    </w:p>
    <w:p>
      <w:pPr>
        <w:rPr>
          <w:rFonts w:ascii="宋体" w:hAnsi="宋体" w:cs="宋体"/>
          <w:b/>
          <w:sz w:val="30"/>
          <w:szCs w:val="30"/>
        </w:rPr>
      </w:pPr>
      <w:r>
        <w:rPr>
          <w:rFonts w:hint="eastAsia" w:ascii="宋体" w:hAnsi="宋体" w:cs="宋体"/>
          <w:b/>
          <w:sz w:val="30"/>
          <w:szCs w:val="30"/>
        </w:rPr>
        <w:t>地址：西安市西关正街英达大厦1507室</w:t>
      </w:r>
    </w:p>
    <w:p>
      <w:pPr>
        <w:rPr>
          <w:rFonts w:ascii="宋体" w:hAnsi="宋体" w:cs="宋体"/>
          <w:b/>
          <w:sz w:val="30"/>
          <w:szCs w:val="30"/>
        </w:rPr>
      </w:pPr>
      <w:r>
        <w:rPr>
          <w:rFonts w:hint="eastAsia" w:ascii="宋体" w:hAnsi="宋体" w:cs="宋体"/>
          <w:b/>
          <w:sz w:val="30"/>
          <w:szCs w:val="30"/>
        </w:rPr>
        <w:t>邮政编码：710082</w:t>
      </w:r>
    </w:p>
    <w:p>
      <w:pPr>
        <w:rPr>
          <w:rFonts w:ascii="宋体" w:hAnsi="宋体" w:cs="宋体"/>
          <w:b/>
          <w:sz w:val="30"/>
          <w:szCs w:val="30"/>
        </w:rPr>
      </w:pPr>
      <w:r>
        <w:rPr>
          <w:rFonts w:hint="eastAsia" w:ascii="宋体" w:hAnsi="宋体" w:cs="宋体"/>
          <w:b/>
          <w:sz w:val="30"/>
          <w:szCs w:val="30"/>
        </w:rPr>
        <w:t>电话：029-88319689</w:t>
      </w:r>
    </w:p>
    <w:p>
      <w:pPr>
        <w:rPr>
          <w:rFonts w:ascii="宋体" w:hAnsi="宋体" w:cs="宋体"/>
        </w:rPr>
      </w:pPr>
      <w:r>
        <w:rPr>
          <w:rFonts w:hint="eastAsia" w:ascii="宋体" w:hAnsi="宋体" w:cs="宋体"/>
          <w:b/>
          <w:sz w:val="30"/>
          <w:szCs w:val="30"/>
        </w:rPr>
        <w:t>传真：029-88319689</w:t>
      </w:r>
    </w:p>
    <w:sectPr>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Consolas">
    <w:panose1 w:val="020B0609020204030204"/>
    <w:charset w:val="00"/>
    <w:family w:val="modern"/>
    <w:pitch w:val="default"/>
    <w:sig w:usb0="E10002FF" w:usb1="4000FCFF" w:usb2="00000009" w:usb3="00000000" w:csb0="6000019F" w:csb1="DFD70000"/>
  </w:font>
  <w:font w:name="Minion">
    <w:altName w:val="新宋体"/>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310"/>
        <w:tab w:val="right" w:pos="8740"/>
      </w:tabs>
      <w:jc w:val="left"/>
      <w:rPr>
        <w:rFonts w:ascii="宋体" w:cs="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v:textbox>
            </v:shape>
          </w:pict>
        </mc:Fallback>
      </mc:AlternateContent>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rPr>
      <w:t>陕西万泽招标有限公司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kJgQ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hZCYEEwIAABU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8426"/>
      </w:tabs>
      <w:rPr>
        <w:rFonts w:ascii="宋体" w:cs="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OpA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S+OpA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WrX8VAgAAFQQAAA4AAABkcnMvZTJvRG9jLnhtbK1Ty47TMBTdI/EP&#10;lvc0aVFH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15Pc1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YWrX8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v:textbox>
            </v:shape>
          </w:pict>
        </mc:Fallback>
      </mc:AlternateContent>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ZJQVAgAAFQQAAA4AAABkcnMvZTJvRG9jLnhtbK1Ty47TMBTdI/EP&#10;lvc0adF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2+vsl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HoZJQ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v:textbox>
            </v:shape>
          </w:pict>
        </mc:Fallback>
      </mc:AlternateContent>
    </w:r>
    <w:r>
      <w:rPr>
        <w:rFonts w:hint="eastAsia" w:ascii="宋体" w:hAnsi="宋体" w:cs="宋体"/>
      </w:rPr>
      <w:t>陕西万泽招标有限公司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A83sVAgAAFQQAAA4AAABkcnMvZTJvRG9jLnhtbK1Ty47TMBTdI/EP&#10;lvc0adE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NA83s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v:textbox>
            </v:shape>
          </w:pict>
        </mc:Fallback>
      </mc:AlternateContent>
    </w:r>
    <w:r>
      <w:rPr>
        <w:rFonts w:hint="eastAsia" w:ascii="宋体" w:hAnsi="宋体" w:cs="宋体"/>
      </w:rPr>
      <w:t>陕西万泽招标有限公司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I/4k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r99ip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pI/4k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v:textbox>
            </v:shape>
          </w:pict>
        </mc:Fallback>
      </mc:AlternateContent>
    </w:r>
    <w:r>
      <w:rPr>
        <w:rFonts w:hint="eastAsia" w:ascii="宋体" w:hAnsi="宋体" w:cs="宋体"/>
      </w:rPr>
      <w:t>陕西万泽招标有限公司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t xml:space="preserve">第 </w:t>
                          </w:r>
                          <w:r>
                            <w:rPr>
                              <w:rFonts w:hint="eastAsia"/>
                              <w:lang w:val="en-US" w:eastAsia="zh-CN"/>
                            </w:rPr>
                            <w:t>57</w:t>
                          </w:r>
                          <w:r>
                            <w:rPr>
                              <w:rFonts w:hint="eastAsia"/>
                              <w:lang w:eastAsia="zh-CN"/>
                            </w:rPr>
                            <w:t xml:space="preserve">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val="en-US" w:eastAsia="zh-CN"/>
                      </w:rPr>
                      <w:t>57</w:t>
                    </w:r>
                    <w:r>
                      <w:rPr>
                        <w:rFonts w:hint="eastAsia"/>
                        <w:lang w:eastAsia="zh-CN"/>
                      </w:rPr>
                      <w:t xml:space="preserve">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v:textbox>
            </v:shape>
          </w:pict>
        </mc:Fallback>
      </mc:AlternateContent>
    </w:r>
    <w:r>
      <w:rPr>
        <w:rFonts w:hint="eastAsia" w:ascii="宋体" w:hAnsi="宋体" w:cs="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99" w:leftChars="-95" w:right="-313" w:rightChars="-149" w:firstLine="180" w:firstLineChars="100"/>
      <w:rPr>
        <w:rFonts w:hint="eastAsia" w:ascii="宋体" w:eastAsia="宋体" w:cs="宋体"/>
        <w:u w:val="single"/>
        <w:lang w:eastAsia="zh-CN"/>
      </w:rPr>
    </w:pPr>
    <w:r>
      <w:rPr>
        <w:rFonts w:hint="eastAsia" w:ascii="宋体" w:hAnsi="宋体" w:cs="宋体"/>
        <w:bCs/>
        <w:sz w:val="18"/>
        <w:szCs w:val="18"/>
        <w:u w:val="single"/>
        <w:lang w:eastAsia="zh-CN"/>
      </w:rPr>
      <w:t xml:space="preserve">西安市审计局2022年上半年购买服务人员采购项目  </w:t>
    </w:r>
    <w:r>
      <w:rPr>
        <w:rFonts w:hint="eastAsia" w:ascii="宋体" w:hAnsi="宋体" w:cs="宋体"/>
        <w:bCs/>
        <w:sz w:val="18"/>
        <w:szCs w:val="18"/>
        <w:u w:val="single"/>
        <w:lang w:val="en-US" w:eastAsia="zh-CN"/>
      </w:rPr>
      <w:t xml:space="preserve">                          SXWZ2022ZB-SSJJ-046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cs="宋体"/>
        <w:sz w:val="18"/>
        <w:szCs w:val="18"/>
        <w:u w:val="single"/>
        <w:lang w:eastAsia="zh-CN"/>
      </w:rPr>
      <w:t xml:space="preserve">西安市审计局2022年上半年购买服务人员采购项目  </w:t>
    </w:r>
    <w:r>
      <w:rPr>
        <w:rFonts w:hint="eastAsia" w:ascii="宋体" w:cs="宋体"/>
        <w:sz w:val="18"/>
        <w:szCs w:val="18"/>
        <w:u w:val="single"/>
        <w:lang w:val="en-US" w:eastAsia="zh-CN"/>
      </w:rPr>
      <w:t xml:space="preserve">                      </w:t>
    </w:r>
    <w:r>
      <w:rPr>
        <w:rFonts w:hint="eastAsia" w:ascii="宋体" w:cs="宋体"/>
        <w:sz w:val="18"/>
        <w:szCs w:val="18"/>
        <w:u w:val="single"/>
        <w:lang w:eastAsia="zh-CN"/>
      </w:rPr>
      <w:t>SXWZ2022ZB-SSJJ-046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900" w:right="720" w:hanging="900" w:hangingChars="500"/>
      <w:jc w:val="left"/>
      <w:rPr>
        <w:rFonts w:hint="eastAsia" w:eastAsia="宋体"/>
        <w:lang w:eastAsia="zh-CN"/>
      </w:rPr>
    </w:pPr>
    <w:r>
      <w:rPr>
        <w:rFonts w:hint="eastAsia"/>
        <w:color w:val="000000"/>
        <w:lang w:eastAsia="zh-CN"/>
      </w:rPr>
      <w:t xml:space="preserve">西安市审计局2022年上半年购买服务人员采购项目  </w:t>
    </w:r>
    <w:r>
      <w:rPr>
        <w:rFonts w:hint="eastAsia"/>
        <w:color w:val="000000"/>
        <w:lang w:val="en-US" w:eastAsia="zh-CN"/>
      </w:rPr>
      <w:t xml:space="preserve">              SXWZ2022ZB-SSJJ-046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r>
      <w:rPr>
        <w:rFonts w:hint="eastAsia" w:ascii="宋体" w:cs="宋体"/>
        <w:sz w:val="18"/>
        <w:szCs w:val="18"/>
        <w:u w:val="single"/>
        <w:lang w:eastAsia="zh-CN"/>
      </w:rPr>
      <w:t xml:space="preserve">西安市审计局2022年上半年购买服务人员采购项目  </w:t>
    </w:r>
    <w:r>
      <w:rPr>
        <w:rFonts w:hint="eastAsia" w:ascii="宋体" w:cs="宋体"/>
        <w:sz w:val="18"/>
        <w:szCs w:val="18"/>
        <w:u w:val="single"/>
        <w:lang w:val="en-US" w:eastAsia="zh-CN"/>
      </w:rPr>
      <w:t xml:space="preserve">                      </w:t>
    </w:r>
    <w:r>
      <w:rPr>
        <w:rFonts w:hint="eastAsia" w:ascii="宋体" w:cs="宋体"/>
        <w:sz w:val="18"/>
        <w:szCs w:val="18"/>
        <w:u w:val="single"/>
        <w:lang w:eastAsia="zh-CN"/>
      </w:rPr>
      <w:t>SXWZ2022ZB-SSJJ-046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6A145"/>
    <w:multiLevelType w:val="singleLevel"/>
    <w:tmpl w:val="8F46A145"/>
    <w:lvl w:ilvl="0" w:tentative="0">
      <w:start w:val="2"/>
      <w:numFmt w:val="decimal"/>
      <w:suff w:val="nothing"/>
      <w:lvlText w:val="（%1）"/>
      <w:lvlJc w:val="left"/>
    </w:lvl>
  </w:abstractNum>
  <w:abstractNum w:abstractNumId="1">
    <w:nsid w:val="33324B14"/>
    <w:multiLevelType w:val="singleLevel"/>
    <w:tmpl w:val="33324B14"/>
    <w:lvl w:ilvl="0" w:tentative="0">
      <w:start w:val="6"/>
      <w:numFmt w:val="chineseCounting"/>
      <w:suff w:val="space"/>
      <w:lvlText w:val="第%1部分"/>
      <w:lvlJc w:val="left"/>
      <w:rPr>
        <w:rFonts w:hint="eastAsia"/>
      </w:rPr>
    </w:lvl>
  </w:abstractNum>
  <w:abstractNum w:abstractNumId="2">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3">
    <w:nsid w:val="5530B97F"/>
    <w:multiLevelType w:val="singleLevel"/>
    <w:tmpl w:val="5530B97F"/>
    <w:lvl w:ilvl="0" w:tentative="0">
      <w:start w:val="1"/>
      <w:numFmt w:val="chineseCounting"/>
      <w:suff w:val="nothing"/>
      <w:lvlText w:val="%1、"/>
      <w:lvlJc w:val="left"/>
      <w:rPr>
        <w:rFonts w:cs="Times New Roman"/>
      </w:rPr>
    </w:lvl>
  </w:abstractNum>
  <w:abstractNum w:abstractNumId="4">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5">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6">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7">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8">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9">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0">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1">
    <w:nsid w:val="58BFC878"/>
    <w:multiLevelType w:val="singleLevel"/>
    <w:tmpl w:val="58BFC878"/>
    <w:lvl w:ilvl="0" w:tentative="0">
      <w:start w:val="1"/>
      <w:numFmt w:val="decimal"/>
      <w:suff w:val="nothing"/>
      <w:lvlText w:val="%1、"/>
      <w:lvlJc w:val="left"/>
      <w:pPr>
        <w:ind w:left="0" w:firstLine="420"/>
      </w:pPr>
      <w:rPr>
        <w:rFonts w:hint="default"/>
      </w:rPr>
    </w:lvl>
  </w:abstractNum>
  <w:abstractNum w:abstractNumId="12">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3">
    <w:nsid w:val="58E5EC48"/>
    <w:multiLevelType w:val="singleLevel"/>
    <w:tmpl w:val="58E5EC48"/>
    <w:lvl w:ilvl="0" w:tentative="0">
      <w:start w:val="1"/>
      <w:numFmt w:val="decimal"/>
      <w:suff w:val="nothing"/>
      <w:lvlText w:val="（%1）"/>
      <w:lvlJc w:val="left"/>
    </w:lvl>
  </w:abstractNum>
  <w:abstractNum w:abstractNumId="14">
    <w:nsid w:val="59E578C5"/>
    <w:multiLevelType w:val="singleLevel"/>
    <w:tmpl w:val="59E578C5"/>
    <w:lvl w:ilvl="0" w:tentative="0">
      <w:start w:val="5"/>
      <w:numFmt w:val="chineseCounting"/>
      <w:suff w:val="nothing"/>
      <w:lvlText w:val="第%1部"/>
      <w:lvlJc w:val="left"/>
    </w:lvl>
  </w:abstractNum>
  <w:abstractNum w:abstractNumId="15">
    <w:nsid w:val="59F08E6A"/>
    <w:multiLevelType w:val="singleLevel"/>
    <w:tmpl w:val="59F08E6A"/>
    <w:lvl w:ilvl="0" w:tentative="0">
      <w:start w:val="1"/>
      <w:numFmt w:val="decimal"/>
      <w:suff w:val="nothing"/>
      <w:lvlText w:val="（%1）"/>
      <w:lvlJc w:val="left"/>
      <w:pPr>
        <w:ind w:left="0" w:firstLine="420"/>
      </w:pPr>
      <w:rPr>
        <w:rFonts w:hint="default"/>
      </w:rPr>
    </w:lvl>
  </w:abstractNum>
  <w:abstractNum w:abstractNumId="16">
    <w:nsid w:val="59F08EA7"/>
    <w:multiLevelType w:val="singleLevel"/>
    <w:tmpl w:val="59F08EA7"/>
    <w:lvl w:ilvl="0" w:tentative="0">
      <w:start w:val="1"/>
      <w:numFmt w:val="decimal"/>
      <w:suff w:val="nothing"/>
      <w:lvlText w:val="（%1）"/>
      <w:lvlJc w:val="left"/>
      <w:pPr>
        <w:ind w:left="0" w:firstLine="420"/>
      </w:pPr>
      <w:rPr>
        <w:rFonts w:hint="default"/>
      </w:rPr>
    </w:lvl>
  </w:abstractNum>
  <w:abstractNum w:abstractNumId="17">
    <w:nsid w:val="59F099C9"/>
    <w:multiLevelType w:val="singleLevel"/>
    <w:tmpl w:val="59F099C9"/>
    <w:lvl w:ilvl="0" w:tentative="0">
      <w:start w:val="1"/>
      <w:numFmt w:val="decimal"/>
      <w:suff w:val="nothing"/>
      <w:lvlText w:val="（%1）"/>
      <w:lvlJc w:val="left"/>
      <w:pPr>
        <w:ind w:left="0" w:firstLine="420"/>
      </w:pPr>
      <w:rPr>
        <w:rFonts w:hint="default"/>
      </w:rPr>
    </w:lvl>
  </w:abstractNum>
  <w:abstractNum w:abstractNumId="18">
    <w:nsid w:val="59F09AA5"/>
    <w:multiLevelType w:val="singleLevel"/>
    <w:tmpl w:val="59F09AA5"/>
    <w:lvl w:ilvl="0" w:tentative="0">
      <w:start w:val="1"/>
      <w:numFmt w:val="decimal"/>
      <w:suff w:val="nothing"/>
      <w:lvlText w:val="（%1）"/>
      <w:lvlJc w:val="left"/>
      <w:pPr>
        <w:ind w:left="0" w:firstLine="420"/>
      </w:pPr>
      <w:rPr>
        <w:rFonts w:hint="default"/>
      </w:rPr>
    </w:lvl>
  </w:abstractNum>
  <w:num w:numId="1">
    <w:abstractNumId w:val="3"/>
  </w:num>
  <w:num w:numId="2">
    <w:abstractNumId w:val="11"/>
  </w:num>
  <w:num w:numId="3">
    <w:abstractNumId w:val="5"/>
  </w:num>
  <w:num w:numId="4">
    <w:abstractNumId w:val="6"/>
  </w:num>
  <w:num w:numId="5">
    <w:abstractNumId w:val="4"/>
  </w:num>
  <w:num w:numId="6">
    <w:abstractNumId w:val="10"/>
  </w:num>
  <w:num w:numId="7">
    <w:abstractNumId w:val="12"/>
  </w:num>
  <w:num w:numId="8">
    <w:abstractNumId w:val="7"/>
  </w:num>
  <w:num w:numId="9">
    <w:abstractNumId w:val="17"/>
  </w:num>
  <w:num w:numId="10">
    <w:abstractNumId w:val="8"/>
  </w:num>
  <w:num w:numId="11">
    <w:abstractNumId w:val="9"/>
  </w:num>
  <w:num w:numId="12">
    <w:abstractNumId w:val="15"/>
  </w:num>
  <w:num w:numId="13">
    <w:abstractNumId w:val="16"/>
  </w:num>
  <w:num w:numId="14">
    <w:abstractNumId w:val="18"/>
  </w:num>
  <w:num w:numId="15">
    <w:abstractNumId w:val="0"/>
  </w:num>
  <w:num w:numId="16">
    <w:abstractNumId w:val="14"/>
  </w:num>
  <w:num w:numId="17">
    <w:abstractNumId w:val="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OWIwYjUyYWRkZDIxNzRkYTcwZTc4ODlkMDBhNmUifQ=="/>
  </w:docVars>
  <w:rsids>
    <w:rsidRoot w:val="2627224F"/>
    <w:rsid w:val="00001425"/>
    <w:rsid w:val="00056CD8"/>
    <w:rsid w:val="00061B22"/>
    <w:rsid w:val="000A2C3A"/>
    <w:rsid w:val="000B3FC4"/>
    <w:rsid w:val="000C0895"/>
    <w:rsid w:val="000E55ED"/>
    <w:rsid w:val="000E58A3"/>
    <w:rsid w:val="0011607E"/>
    <w:rsid w:val="001269B4"/>
    <w:rsid w:val="00135474"/>
    <w:rsid w:val="00167A28"/>
    <w:rsid w:val="0018410D"/>
    <w:rsid w:val="001F0785"/>
    <w:rsid w:val="002165BB"/>
    <w:rsid w:val="00241322"/>
    <w:rsid w:val="0025484D"/>
    <w:rsid w:val="00262E5C"/>
    <w:rsid w:val="0028240D"/>
    <w:rsid w:val="002878E9"/>
    <w:rsid w:val="00290FBC"/>
    <w:rsid w:val="002A2097"/>
    <w:rsid w:val="002C5052"/>
    <w:rsid w:val="002D7A6D"/>
    <w:rsid w:val="002E07BF"/>
    <w:rsid w:val="002F6FCA"/>
    <w:rsid w:val="00316E46"/>
    <w:rsid w:val="00337601"/>
    <w:rsid w:val="00347BE2"/>
    <w:rsid w:val="0035067D"/>
    <w:rsid w:val="00360C09"/>
    <w:rsid w:val="00386522"/>
    <w:rsid w:val="003A5C89"/>
    <w:rsid w:val="003D37C1"/>
    <w:rsid w:val="003E45DE"/>
    <w:rsid w:val="003E65D8"/>
    <w:rsid w:val="003E7B81"/>
    <w:rsid w:val="003F3D18"/>
    <w:rsid w:val="003F64A7"/>
    <w:rsid w:val="00421711"/>
    <w:rsid w:val="004313A1"/>
    <w:rsid w:val="004456E2"/>
    <w:rsid w:val="00447862"/>
    <w:rsid w:val="00462D92"/>
    <w:rsid w:val="00467536"/>
    <w:rsid w:val="00482B14"/>
    <w:rsid w:val="00490EB6"/>
    <w:rsid w:val="004D70C5"/>
    <w:rsid w:val="005044F7"/>
    <w:rsid w:val="00520C66"/>
    <w:rsid w:val="00522064"/>
    <w:rsid w:val="00524BC5"/>
    <w:rsid w:val="00534DAB"/>
    <w:rsid w:val="005556EC"/>
    <w:rsid w:val="00560F51"/>
    <w:rsid w:val="005728D1"/>
    <w:rsid w:val="005918D7"/>
    <w:rsid w:val="005A1E74"/>
    <w:rsid w:val="005B2FA3"/>
    <w:rsid w:val="005B3960"/>
    <w:rsid w:val="005D7A12"/>
    <w:rsid w:val="005E096D"/>
    <w:rsid w:val="005E2798"/>
    <w:rsid w:val="00603C33"/>
    <w:rsid w:val="0064069F"/>
    <w:rsid w:val="00645208"/>
    <w:rsid w:val="00652D89"/>
    <w:rsid w:val="00661C11"/>
    <w:rsid w:val="006657C9"/>
    <w:rsid w:val="0068282F"/>
    <w:rsid w:val="00696FBA"/>
    <w:rsid w:val="006A3734"/>
    <w:rsid w:val="006B3212"/>
    <w:rsid w:val="006B38D0"/>
    <w:rsid w:val="006B71CA"/>
    <w:rsid w:val="006D4400"/>
    <w:rsid w:val="006D6797"/>
    <w:rsid w:val="006E46DF"/>
    <w:rsid w:val="006F1FD6"/>
    <w:rsid w:val="006F623E"/>
    <w:rsid w:val="006F6CE7"/>
    <w:rsid w:val="00726A88"/>
    <w:rsid w:val="00743BB4"/>
    <w:rsid w:val="007441D9"/>
    <w:rsid w:val="00792491"/>
    <w:rsid w:val="007A44B6"/>
    <w:rsid w:val="007D63C4"/>
    <w:rsid w:val="00803D85"/>
    <w:rsid w:val="00803F6A"/>
    <w:rsid w:val="00841916"/>
    <w:rsid w:val="00842F88"/>
    <w:rsid w:val="0086026F"/>
    <w:rsid w:val="00886168"/>
    <w:rsid w:val="008866C0"/>
    <w:rsid w:val="00890141"/>
    <w:rsid w:val="00891290"/>
    <w:rsid w:val="008962A7"/>
    <w:rsid w:val="00897D92"/>
    <w:rsid w:val="008A367A"/>
    <w:rsid w:val="008B7CA5"/>
    <w:rsid w:val="008C49CF"/>
    <w:rsid w:val="008D56DD"/>
    <w:rsid w:val="008F3B5F"/>
    <w:rsid w:val="008F6EFE"/>
    <w:rsid w:val="008F752D"/>
    <w:rsid w:val="00916046"/>
    <w:rsid w:val="00924D75"/>
    <w:rsid w:val="00931804"/>
    <w:rsid w:val="009366A8"/>
    <w:rsid w:val="00941AF3"/>
    <w:rsid w:val="00954CF1"/>
    <w:rsid w:val="0095596F"/>
    <w:rsid w:val="00973CE8"/>
    <w:rsid w:val="00992691"/>
    <w:rsid w:val="009A4A76"/>
    <w:rsid w:val="009D1F2D"/>
    <w:rsid w:val="009D6209"/>
    <w:rsid w:val="00A10123"/>
    <w:rsid w:val="00A1793C"/>
    <w:rsid w:val="00A24217"/>
    <w:rsid w:val="00A248F4"/>
    <w:rsid w:val="00A4619A"/>
    <w:rsid w:val="00A60725"/>
    <w:rsid w:val="00A63494"/>
    <w:rsid w:val="00A73F78"/>
    <w:rsid w:val="00A8343C"/>
    <w:rsid w:val="00A921BA"/>
    <w:rsid w:val="00AB0730"/>
    <w:rsid w:val="00AC60A6"/>
    <w:rsid w:val="00AC7625"/>
    <w:rsid w:val="00AD72BC"/>
    <w:rsid w:val="00AF7587"/>
    <w:rsid w:val="00B32079"/>
    <w:rsid w:val="00B661E8"/>
    <w:rsid w:val="00B71A30"/>
    <w:rsid w:val="00B721AB"/>
    <w:rsid w:val="00B76DB3"/>
    <w:rsid w:val="00B926EC"/>
    <w:rsid w:val="00BA067C"/>
    <w:rsid w:val="00BC1AB3"/>
    <w:rsid w:val="00BC7715"/>
    <w:rsid w:val="00BD2877"/>
    <w:rsid w:val="00BE47C5"/>
    <w:rsid w:val="00C1147B"/>
    <w:rsid w:val="00C225C4"/>
    <w:rsid w:val="00C56CC2"/>
    <w:rsid w:val="00C60F1E"/>
    <w:rsid w:val="00C72271"/>
    <w:rsid w:val="00C735E8"/>
    <w:rsid w:val="00C76E5C"/>
    <w:rsid w:val="00C77720"/>
    <w:rsid w:val="00C92784"/>
    <w:rsid w:val="00CA477A"/>
    <w:rsid w:val="00CF275C"/>
    <w:rsid w:val="00D01247"/>
    <w:rsid w:val="00D0394F"/>
    <w:rsid w:val="00D574E4"/>
    <w:rsid w:val="00D576EF"/>
    <w:rsid w:val="00D66260"/>
    <w:rsid w:val="00D723CA"/>
    <w:rsid w:val="00D8764E"/>
    <w:rsid w:val="00D95D73"/>
    <w:rsid w:val="00D9641E"/>
    <w:rsid w:val="00DA4229"/>
    <w:rsid w:val="00DC1986"/>
    <w:rsid w:val="00DC7FB0"/>
    <w:rsid w:val="00DE0D8C"/>
    <w:rsid w:val="00E04145"/>
    <w:rsid w:val="00E24AFE"/>
    <w:rsid w:val="00E40286"/>
    <w:rsid w:val="00E55562"/>
    <w:rsid w:val="00E6619C"/>
    <w:rsid w:val="00E723EB"/>
    <w:rsid w:val="00E8261A"/>
    <w:rsid w:val="00E84BD2"/>
    <w:rsid w:val="00E86851"/>
    <w:rsid w:val="00E9724B"/>
    <w:rsid w:val="00EA1ECE"/>
    <w:rsid w:val="00F00625"/>
    <w:rsid w:val="00F234ED"/>
    <w:rsid w:val="00F25511"/>
    <w:rsid w:val="00F672FE"/>
    <w:rsid w:val="00F75245"/>
    <w:rsid w:val="00FC5BAE"/>
    <w:rsid w:val="00FD62CF"/>
    <w:rsid w:val="00FF46C3"/>
    <w:rsid w:val="011221F0"/>
    <w:rsid w:val="013A223F"/>
    <w:rsid w:val="01525A0A"/>
    <w:rsid w:val="016A454D"/>
    <w:rsid w:val="016E1781"/>
    <w:rsid w:val="017D3840"/>
    <w:rsid w:val="01920D21"/>
    <w:rsid w:val="019C7937"/>
    <w:rsid w:val="01AC2FBF"/>
    <w:rsid w:val="01B14BA6"/>
    <w:rsid w:val="01EB73A9"/>
    <w:rsid w:val="01F12F1C"/>
    <w:rsid w:val="01F90F7C"/>
    <w:rsid w:val="02064B47"/>
    <w:rsid w:val="02211D91"/>
    <w:rsid w:val="026117A6"/>
    <w:rsid w:val="02776D90"/>
    <w:rsid w:val="027B35DF"/>
    <w:rsid w:val="027C4FD4"/>
    <w:rsid w:val="02854F8C"/>
    <w:rsid w:val="0294379C"/>
    <w:rsid w:val="02C40641"/>
    <w:rsid w:val="02E638FA"/>
    <w:rsid w:val="02F47738"/>
    <w:rsid w:val="02F61685"/>
    <w:rsid w:val="02FA17E2"/>
    <w:rsid w:val="030A0C9E"/>
    <w:rsid w:val="031C5CB6"/>
    <w:rsid w:val="034C725D"/>
    <w:rsid w:val="03541409"/>
    <w:rsid w:val="035B7692"/>
    <w:rsid w:val="03BC71AC"/>
    <w:rsid w:val="03C10C9F"/>
    <w:rsid w:val="03C921C1"/>
    <w:rsid w:val="03CD78DC"/>
    <w:rsid w:val="03D02D9A"/>
    <w:rsid w:val="042B497B"/>
    <w:rsid w:val="046D004A"/>
    <w:rsid w:val="047612A4"/>
    <w:rsid w:val="04A57776"/>
    <w:rsid w:val="04B03562"/>
    <w:rsid w:val="04CD0688"/>
    <w:rsid w:val="04D502BA"/>
    <w:rsid w:val="04E552CD"/>
    <w:rsid w:val="04ED70D5"/>
    <w:rsid w:val="050438CD"/>
    <w:rsid w:val="053C77D5"/>
    <w:rsid w:val="05402991"/>
    <w:rsid w:val="054E1CE0"/>
    <w:rsid w:val="055324E3"/>
    <w:rsid w:val="057A7F6E"/>
    <w:rsid w:val="05AF2BAD"/>
    <w:rsid w:val="05F7149D"/>
    <w:rsid w:val="05F75792"/>
    <w:rsid w:val="060454DB"/>
    <w:rsid w:val="06110D47"/>
    <w:rsid w:val="06475ABC"/>
    <w:rsid w:val="065C7B56"/>
    <w:rsid w:val="066D1D57"/>
    <w:rsid w:val="066D1EB1"/>
    <w:rsid w:val="06700F66"/>
    <w:rsid w:val="06AA32FE"/>
    <w:rsid w:val="06BE30D0"/>
    <w:rsid w:val="06C242A6"/>
    <w:rsid w:val="06C833A0"/>
    <w:rsid w:val="06CC2420"/>
    <w:rsid w:val="06E5268E"/>
    <w:rsid w:val="06E56C12"/>
    <w:rsid w:val="06EF2DB2"/>
    <w:rsid w:val="07062BC7"/>
    <w:rsid w:val="07377876"/>
    <w:rsid w:val="074860B9"/>
    <w:rsid w:val="07810D4D"/>
    <w:rsid w:val="079E2470"/>
    <w:rsid w:val="07E562BD"/>
    <w:rsid w:val="08227B5F"/>
    <w:rsid w:val="082974F3"/>
    <w:rsid w:val="08385A0E"/>
    <w:rsid w:val="087D1536"/>
    <w:rsid w:val="088C39B6"/>
    <w:rsid w:val="08A13470"/>
    <w:rsid w:val="08AB6DCE"/>
    <w:rsid w:val="08B16FB6"/>
    <w:rsid w:val="08B42E9D"/>
    <w:rsid w:val="08B62F1E"/>
    <w:rsid w:val="08BA4DBE"/>
    <w:rsid w:val="08CE74ED"/>
    <w:rsid w:val="08DE3932"/>
    <w:rsid w:val="09052179"/>
    <w:rsid w:val="090A42F6"/>
    <w:rsid w:val="09271A18"/>
    <w:rsid w:val="09442F7B"/>
    <w:rsid w:val="0949327F"/>
    <w:rsid w:val="09601498"/>
    <w:rsid w:val="097A7578"/>
    <w:rsid w:val="09913C41"/>
    <w:rsid w:val="09B94E31"/>
    <w:rsid w:val="09EA213D"/>
    <w:rsid w:val="09F35593"/>
    <w:rsid w:val="09F61DEB"/>
    <w:rsid w:val="09F82B45"/>
    <w:rsid w:val="0A0976BB"/>
    <w:rsid w:val="0A1251A0"/>
    <w:rsid w:val="0A260165"/>
    <w:rsid w:val="0A2B28F9"/>
    <w:rsid w:val="0A3E3F88"/>
    <w:rsid w:val="0A672A35"/>
    <w:rsid w:val="0A8C4DCE"/>
    <w:rsid w:val="0AA1659C"/>
    <w:rsid w:val="0ABD08F7"/>
    <w:rsid w:val="0ADE0E35"/>
    <w:rsid w:val="0AE62833"/>
    <w:rsid w:val="0B157D22"/>
    <w:rsid w:val="0B461D1C"/>
    <w:rsid w:val="0B5D1A85"/>
    <w:rsid w:val="0B612AD9"/>
    <w:rsid w:val="0B790DCF"/>
    <w:rsid w:val="0B956C90"/>
    <w:rsid w:val="0BA1174D"/>
    <w:rsid w:val="0BB31A32"/>
    <w:rsid w:val="0BB5243F"/>
    <w:rsid w:val="0BDD543F"/>
    <w:rsid w:val="0BED26A5"/>
    <w:rsid w:val="0C5A5438"/>
    <w:rsid w:val="0C5B4150"/>
    <w:rsid w:val="0C651F42"/>
    <w:rsid w:val="0C6E31C5"/>
    <w:rsid w:val="0CB5191B"/>
    <w:rsid w:val="0CB6728F"/>
    <w:rsid w:val="0CE44184"/>
    <w:rsid w:val="0CFD25BD"/>
    <w:rsid w:val="0D276E81"/>
    <w:rsid w:val="0D452987"/>
    <w:rsid w:val="0D6D25BC"/>
    <w:rsid w:val="0D8B4EFD"/>
    <w:rsid w:val="0D933F5C"/>
    <w:rsid w:val="0DA61D4F"/>
    <w:rsid w:val="0DA800E4"/>
    <w:rsid w:val="0DAB20F5"/>
    <w:rsid w:val="0DE65566"/>
    <w:rsid w:val="0E0C42FA"/>
    <w:rsid w:val="0E381521"/>
    <w:rsid w:val="0E507C98"/>
    <w:rsid w:val="0E597398"/>
    <w:rsid w:val="0E735FE8"/>
    <w:rsid w:val="0E814CEC"/>
    <w:rsid w:val="0E84603F"/>
    <w:rsid w:val="0E871431"/>
    <w:rsid w:val="0E8E7999"/>
    <w:rsid w:val="0EA55CF9"/>
    <w:rsid w:val="0EA91CC7"/>
    <w:rsid w:val="0EB27F91"/>
    <w:rsid w:val="0F0B620A"/>
    <w:rsid w:val="0F1B236C"/>
    <w:rsid w:val="0F3B5837"/>
    <w:rsid w:val="0F490310"/>
    <w:rsid w:val="0F600D55"/>
    <w:rsid w:val="0F7E299A"/>
    <w:rsid w:val="0FC66DA3"/>
    <w:rsid w:val="0FEA3255"/>
    <w:rsid w:val="0FF70A05"/>
    <w:rsid w:val="103966FB"/>
    <w:rsid w:val="108D7573"/>
    <w:rsid w:val="108E6DDE"/>
    <w:rsid w:val="10BD339A"/>
    <w:rsid w:val="10C05539"/>
    <w:rsid w:val="10E60CE0"/>
    <w:rsid w:val="10FF1E8F"/>
    <w:rsid w:val="10FF3715"/>
    <w:rsid w:val="1129294F"/>
    <w:rsid w:val="112F1549"/>
    <w:rsid w:val="113F584A"/>
    <w:rsid w:val="114B66BB"/>
    <w:rsid w:val="115413EC"/>
    <w:rsid w:val="115C70AA"/>
    <w:rsid w:val="11717863"/>
    <w:rsid w:val="119A14F8"/>
    <w:rsid w:val="11AC1DC2"/>
    <w:rsid w:val="11B361D3"/>
    <w:rsid w:val="11BB4D58"/>
    <w:rsid w:val="11CF715C"/>
    <w:rsid w:val="11DB1585"/>
    <w:rsid w:val="11F27A58"/>
    <w:rsid w:val="11F8477A"/>
    <w:rsid w:val="122071D4"/>
    <w:rsid w:val="123D010A"/>
    <w:rsid w:val="12455DD6"/>
    <w:rsid w:val="127935F2"/>
    <w:rsid w:val="12793BBE"/>
    <w:rsid w:val="128C33F4"/>
    <w:rsid w:val="129D35E8"/>
    <w:rsid w:val="12C62A75"/>
    <w:rsid w:val="131C06AC"/>
    <w:rsid w:val="133B485B"/>
    <w:rsid w:val="13487675"/>
    <w:rsid w:val="135D1CEE"/>
    <w:rsid w:val="136960F3"/>
    <w:rsid w:val="137447B2"/>
    <w:rsid w:val="138D11BC"/>
    <w:rsid w:val="139A492C"/>
    <w:rsid w:val="139D2FCC"/>
    <w:rsid w:val="13B44283"/>
    <w:rsid w:val="13B708E5"/>
    <w:rsid w:val="13C22D0E"/>
    <w:rsid w:val="13D01F9A"/>
    <w:rsid w:val="13D84C83"/>
    <w:rsid w:val="140C4EB0"/>
    <w:rsid w:val="14500A04"/>
    <w:rsid w:val="14612E51"/>
    <w:rsid w:val="149C20CC"/>
    <w:rsid w:val="14A12C55"/>
    <w:rsid w:val="14B845A5"/>
    <w:rsid w:val="14BE3BD2"/>
    <w:rsid w:val="14ED76EE"/>
    <w:rsid w:val="15273101"/>
    <w:rsid w:val="152B6CB1"/>
    <w:rsid w:val="153A3BAB"/>
    <w:rsid w:val="15524029"/>
    <w:rsid w:val="15545981"/>
    <w:rsid w:val="15550B09"/>
    <w:rsid w:val="155550C1"/>
    <w:rsid w:val="15730A76"/>
    <w:rsid w:val="15761223"/>
    <w:rsid w:val="159517A5"/>
    <w:rsid w:val="159E06BA"/>
    <w:rsid w:val="15A005F4"/>
    <w:rsid w:val="15B12A79"/>
    <w:rsid w:val="15E23CA8"/>
    <w:rsid w:val="15F43279"/>
    <w:rsid w:val="160A3A04"/>
    <w:rsid w:val="16110AAB"/>
    <w:rsid w:val="162C5965"/>
    <w:rsid w:val="163A4B06"/>
    <w:rsid w:val="164F318E"/>
    <w:rsid w:val="1651663B"/>
    <w:rsid w:val="166B3507"/>
    <w:rsid w:val="16736C6E"/>
    <w:rsid w:val="167F6E20"/>
    <w:rsid w:val="16890A28"/>
    <w:rsid w:val="170705E0"/>
    <w:rsid w:val="17304B16"/>
    <w:rsid w:val="17575561"/>
    <w:rsid w:val="176F2156"/>
    <w:rsid w:val="17907B2D"/>
    <w:rsid w:val="17A06173"/>
    <w:rsid w:val="17B56054"/>
    <w:rsid w:val="17C01E12"/>
    <w:rsid w:val="17DF536C"/>
    <w:rsid w:val="17E5496E"/>
    <w:rsid w:val="182254AA"/>
    <w:rsid w:val="18265EA4"/>
    <w:rsid w:val="183D0E38"/>
    <w:rsid w:val="1841587E"/>
    <w:rsid w:val="186F1C22"/>
    <w:rsid w:val="186F3E63"/>
    <w:rsid w:val="187857E7"/>
    <w:rsid w:val="187B19AA"/>
    <w:rsid w:val="188321C6"/>
    <w:rsid w:val="18921717"/>
    <w:rsid w:val="189255FF"/>
    <w:rsid w:val="18BF7702"/>
    <w:rsid w:val="19072014"/>
    <w:rsid w:val="192F739D"/>
    <w:rsid w:val="19394B72"/>
    <w:rsid w:val="193A5AAC"/>
    <w:rsid w:val="19626FF0"/>
    <w:rsid w:val="19930637"/>
    <w:rsid w:val="19BA6D87"/>
    <w:rsid w:val="1A080F4B"/>
    <w:rsid w:val="1A157ACA"/>
    <w:rsid w:val="1A324F2D"/>
    <w:rsid w:val="1A462475"/>
    <w:rsid w:val="1A4D582F"/>
    <w:rsid w:val="1A503212"/>
    <w:rsid w:val="1A5921BF"/>
    <w:rsid w:val="1A886D9D"/>
    <w:rsid w:val="1A8D1E64"/>
    <w:rsid w:val="1AD72BEF"/>
    <w:rsid w:val="1AD924A3"/>
    <w:rsid w:val="1AF11218"/>
    <w:rsid w:val="1AFA4D0C"/>
    <w:rsid w:val="1B055924"/>
    <w:rsid w:val="1B115D3C"/>
    <w:rsid w:val="1B190381"/>
    <w:rsid w:val="1B1E0896"/>
    <w:rsid w:val="1B2317D5"/>
    <w:rsid w:val="1B2F54E0"/>
    <w:rsid w:val="1B3D2F0D"/>
    <w:rsid w:val="1B67604D"/>
    <w:rsid w:val="1B6C76E2"/>
    <w:rsid w:val="1B807337"/>
    <w:rsid w:val="1B844153"/>
    <w:rsid w:val="1BA14CAF"/>
    <w:rsid w:val="1BA47C58"/>
    <w:rsid w:val="1BA733F4"/>
    <w:rsid w:val="1BB80F43"/>
    <w:rsid w:val="1BC010BD"/>
    <w:rsid w:val="1BC170B5"/>
    <w:rsid w:val="1BC85289"/>
    <w:rsid w:val="1BD3178E"/>
    <w:rsid w:val="1BDC02C0"/>
    <w:rsid w:val="1BF0529D"/>
    <w:rsid w:val="1C1A2DF4"/>
    <w:rsid w:val="1C216352"/>
    <w:rsid w:val="1C2D16F9"/>
    <w:rsid w:val="1C63596F"/>
    <w:rsid w:val="1C6C0ADC"/>
    <w:rsid w:val="1C793AAA"/>
    <w:rsid w:val="1C8E4DE6"/>
    <w:rsid w:val="1CAD5170"/>
    <w:rsid w:val="1CBB50F6"/>
    <w:rsid w:val="1CCB0B08"/>
    <w:rsid w:val="1CEC51A2"/>
    <w:rsid w:val="1CFE6AA8"/>
    <w:rsid w:val="1D1B5D73"/>
    <w:rsid w:val="1D2A4BB9"/>
    <w:rsid w:val="1D385997"/>
    <w:rsid w:val="1D6B0D1C"/>
    <w:rsid w:val="1D8E52A2"/>
    <w:rsid w:val="1DAF3E36"/>
    <w:rsid w:val="1DC64F3F"/>
    <w:rsid w:val="1DD06C77"/>
    <w:rsid w:val="1DF97E9A"/>
    <w:rsid w:val="1DFF133F"/>
    <w:rsid w:val="1E03709C"/>
    <w:rsid w:val="1E225A10"/>
    <w:rsid w:val="1E36298C"/>
    <w:rsid w:val="1E397988"/>
    <w:rsid w:val="1E3C510A"/>
    <w:rsid w:val="1E445B9E"/>
    <w:rsid w:val="1E5E18A6"/>
    <w:rsid w:val="1E620244"/>
    <w:rsid w:val="1E7B60D9"/>
    <w:rsid w:val="1E7F212C"/>
    <w:rsid w:val="1EAF7D75"/>
    <w:rsid w:val="1EBA5A8A"/>
    <w:rsid w:val="1ED84A20"/>
    <w:rsid w:val="1EE86F01"/>
    <w:rsid w:val="1EF609DE"/>
    <w:rsid w:val="1EFA3E2F"/>
    <w:rsid w:val="1F1C0499"/>
    <w:rsid w:val="1F206854"/>
    <w:rsid w:val="1F244EC9"/>
    <w:rsid w:val="1F49098D"/>
    <w:rsid w:val="1F4C29B9"/>
    <w:rsid w:val="1F4E4783"/>
    <w:rsid w:val="1F5D6212"/>
    <w:rsid w:val="1F65543A"/>
    <w:rsid w:val="1F664B5A"/>
    <w:rsid w:val="1F6D3F34"/>
    <w:rsid w:val="1F895E51"/>
    <w:rsid w:val="1FA073B6"/>
    <w:rsid w:val="1FCD0309"/>
    <w:rsid w:val="1FD438E2"/>
    <w:rsid w:val="20007E89"/>
    <w:rsid w:val="20025D99"/>
    <w:rsid w:val="20202142"/>
    <w:rsid w:val="202B4269"/>
    <w:rsid w:val="202F2BA9"/>
    <w:rsid w:val="2054435F"/>
    <w:rsid w:val="206D3AEA"/>
    <w:rsid w:val="20A37E01"/>
    <w:rsid w:val="20F44E80"/>
    <w:rsid w:val="21167BF2"/>
    <w:rsid w:val="21380E53"/>
    <w:rsid w:val="2149131F"/>
    <w:rsid w:val="217A7AE2"/>
    <w:rsid w:val="2193451C"/>
    <w:rsid w:val="21AD1AC2"/>
    <w:rsid w:val="21B53414"/>
    <w:rsid w:val="21D13BBB"/>
    <w:rsid w:val="21E5038E"/>
    <w:rsid w:val="223E6CF8"/>
    <w:rsid w:val="22430AEF"/>
    <w:rsid w:val="22435CE5"/>
    <w:rsid w:val="225906DB"/>
    <w:rsid w:val="2268567C"/>
    <w:rsid w:val="227C1E95"/>
    <w:rsid w:val="228F73A6"/>
    <w:rsid w:val="22C677C0"/>
    <w:rsid w:val="22DC6591"/>
    <w:rsid w:val="22DD3C85"/>
    <w:rsid w:val="22DE33C9"/>
    <w:rsid w:val="22F64FA7"/>
    <w:rsid w:val="230842AA"/>
    <w:rsid w:val="23110894"/>
    <w:rsid w:val="23773046"/>
    <w:rsid w:val="237C6F1C"/>
    <w:rsid w:val="23981997"/>
    <w:rsid w:val="23B42767"/>
    <w:rsid w:val="23E303FA"/>
    <w:rsid w:val="241E70B5"/>
    <w:rsid w:val="242D516F"/>
    <w:rsid w:val="243B3BD2"/>
    <w:rsid w:val="24506376"/>
    <w:rsid w:val="245247ED"/>
    <w:rsid w:val="24575A93"/>
    <w:rsid w:val="24824629"/>
    <w:rsid w:val="24A6136A"/>
    <w:rsid w:val="24CF0FCC"/>
    <w:rsid w:val="24ED782C"/>
    <w:rsid w:val="24F43D34"/>
    <w:rsid w:val="252E1698"/>
    <w:rsid w:val="25352E48"/>
    <w:rsid w:val="255F7AD2"/>
    <w:rsid w:val="256D4FBD"/>
    <w:rsid w:val="25892C61"/>
    <w:rsid w:val="2590731F"/>
    <w:rsid w:val="25AA58E4"/>
    <w:rsid w:val="25C37995"/>
    <w:rsid w:val="25DF4E66"/>
    <w:rsid w:val="25FE46E5"/>
    <w:rsid w:val="26232286"/>
    <w:rsid w:val="2627224F"/>
    <w:rsid w:val="265B0A5D"/>
    <w:rsid w:val="266360FF"/>
    <w:rsid w:val="266B0640"/>
    <w:rsid w:val="266F46D8"/>
    <w:rsid w:val="269F0FBB"/>
    <w:rsid w:val="26AA0022"/>
    <w:rsid w:val="26AA2D6E"/>
    <w:rsid w:val="26AA72EA"/>
    <w:rsid w:val="26C22E30"/>
    <w:rsid w:val="26EF72E5"/>
    <w:rsid w:val="270B0E4A"/>
    <w:rsid w:val="27180E6A"/>
    <w:rsid w:val="271E393C"/>
    <w:rsid w:val="271F446A"/>
    <w:rsid w:val="273E50FE"/>
    <w:rsid w:val="274023D4"/>
    <w:rsid w:val="274A2F77"/>
    <w:rsid w:val="275343C9"/>
    <w:rsid w:val="275D1C2F"/>
    <w:rsid w:val="27663E92"/>
    <w:rsid w:val="27B661D2"/>
    <w:rsid w:val="27D076D6"/>
    <w:rsid w:val="27D163B4"/>
    <w:rsid w:val="27D30F6B"/>
    <w:rsid w:val="27DB0656"/>
    <w:rsid w:val="27DE1FDE"/>
    <w:rsid w:val="282B2E4E"/>
    <w:rsid w:val="282B36F9"/>
    <w:rsid w:val="2834442B"/>
    <w:rsid w:val="2839352C"/>
    <w:rsid w:val="283B4018"/>
    <w:rsid w:val="287813D0"/>
    <w:rsid w:val="28A42CA6"/>
    <w:rsid w:val="28B92E20"/>
    <w:rsid w:val="28B93CEB"/>
    <w:rsid w:val="28C15D8C"/>
    <w:rsid w:val="28D1123D"/>
    <w:rsid w:val="28E1683E"/>
    <w:rsid w:val="28E6684D"/>
    <w:rsid w:val="28EA3FFC"/>
    <w:rsid w:val="291839B5"/>
    <w:rsid w:val="29642F2A"/>
    <w:rsid w:val="29894921"/>
    <w:rsid w:val="298B1C1A"/>
    <w:rsid w:val="29952549"/>
    <w:rsid w:val="299D08FE"/>
    <w:rsid w:val="29A25D23"/>
    <w:rsid w:val="29D10A88"/>
    <w:rsid w:val="2A082F42"/>
    <w:rsid w:val="2A217069"/>
    <w:rsid w:val="2A220B44"/>
    <w:rsid w:val="2A441BE1"/>
    <w:rsid w:val="2A4A0382"/>
    <w:rsid w:val="2A535D7F"/>
    <w:rsid w:val="2A652A4B"/>
    <w:rsid w:val="2A6B0D61"/>
    <w:rsid w:val="2A8A3CCC"/>
    <w:rsid w:val="2A913D63"/>
    <w:rsid w:val="2A93015F"/>
    <w:rsid w:val="2A9C2D7D"/>
    <w:rsid w:val="2AA02867"/>
    <w:rsid w:val="2AB357E7"/>
    <w:rsid w:val="2AC85A2D"/>
    <w:rsid w:val="2AC9578D"/>
    <w:rsid w:val="2AD34F77"/>
    <w:rsid w:val="2AD82286"/>
    <w:rsid w:val="2AD879D3"/>
    <w:rsid w:val="2AE94914"/>
    <w:rsid w:val="2B000827"/>
    <w:rsid w:val="2B057FF2"/>
    <w:rsid w:val="2B0A6EC3"/>
    <w:rsid w:val="2B627D0F"/>
    <w:rsid w:val="2B6E34F9"/>
    <w:rsid w:val="2B8F2586"/>
    <w:rsid w:val="2B955445"/>
    <w:rsid w:val="2BB23B01"/>
    <w:rsid w:val="2BBD71E9"/>
    <w:rsid w:val="2BC069D0"/>
    <w:rsid w:val="2BD828D4"/>
    <w:rsid w:val="2BE45ADE"/>
    <w:rsid w:val="2C2046D9"/>
    <w:rsid w:val="2C221D7F"/>
    <w:rsid w:val="2C2E58D0"/>
    <w:rsid w:val="2C321F86"/>
    <w:rsid w:val="2C37654D"/>
    <w:rsid w:val="2C436C3A"/>
    <w:rsid w:val="2C926CFE"/>
    <w:rsid w:val="2C9446A0"/>
    <w:rsid w:val="2CA6723A"/>
    <w:rsid w:val="2CD0610E"/>
    <w:rsid w:val="2CD51C67"/>
    <w:rsid w:val="2CDD27A9"/>
    <w:rsid w:val="2CE13172"/>
    <w:rsid w:val="2CF353C0"/>
    <w:rsid w:val="2CF617E0"/>
    <w:rsid w:val="2CFF5BF3"/>
    <w:rsid w:val="2D162F19"/>
    <w:rsid w:val="2D16631A"/>
    <w:rsid w:val="2D3C40F0"/>
    <w:rsid w:val="2D517D71"/>
    <w:rsid w:val="2D5A4743"/>
    <w:rsid w:val="2D774D62"/>
    <w:rsid w:val="2D8621F8"/>
    <w:rsid w:val="2D871654"/>
    <w:rsid w:val="2D9406EF"/>
    <w:rsid w:val="2D940747"/>
    <w:rsid w:val="2DBB723B"/>
    <w:rsid w:val="2DBC620C"/>
    <w:rsid w:val="2DC15622"/>
    <w:rsid w:val="2DC37DF1"/>
    <w:rsid w:val="2DE57B52"/>
    <w:rsid w:val="2E0D173F"/>
    <w:rsid w:val="2E0F45CD"/>
    <w:rsid w:val="2E1B3416"/>
    <w:rsid w:val="2E1E611B"/>
    <w:rsid w:val="2E2906D2"/>
    <w:rsid w:val="2E531D51"/>
    <w:rsid w:val="2E556251"/>
    <w:rsid w:val="2E666904"/>
    <w:rsid w:val="2E7C1FAB"/>
    <w:rsid w:val="2EA748CD"/>
    <w:rsid w:val="2EC5013A"/>
    <w:rsid w:val="2EEF7014"/>
    <w:rsid w:val="2F4D3B7A"/>
    <w:rsid w:val="2F5A788A"/>
    <w:rsid w:val="2F8169CE"/>
    <w:rsid w:val="2F96565F"/>
    <w:rsid w:val="2F984ABB"/>
    <w:rsid w:val="2FB3434C"/>
    <w:rsid w:val="2FDA3087"/>
    <w:rsid w:val="302F4A4E"/>
    <w:rsid w:val="30333DB6"/>
    <w:rsid w:val="305168AB"/>
    <w:rsid w:val="30561692"/>
    <w:rsid w:val="30635469"/>
    <w:rsid w:val="308B4B9A"/>
    <w:rsid w:val="30906CF1"/>
    <w:rsid w:val="30AA13BF"/>
    <w:rsid w:val="30B01389"/>
    <w:rsid w:val="30CD2E6A"/>
    <w:rsid w:val="30EF2137"/>
    <w:rsid w:val="310249E4"/>
    <w:rsid w:val="310929CF"/>
    <w:rsid w:val="31195802"/>
    <w:rsid w:val="313E4759"/>
    <w:rsid w:val="315413C9"/>
    <w:rsid w:val="315D7C21"/>
    <w:rsid w:val="316A753F"/>
    <w:rsid w:val="3172478D"/>
    <w:rsid w:val="31857973"/>
    <w:rsid w:val="31921939"/>
    <w:rsid w:val="31926D16"/>
    <w:rsid w:val="31B444D7"/>
    <w:rsid w:val="31D36D38"/>
    <w:rsid w:val="31DB5758"/>
    <w:rsid w:val="31E03390"/>
    <w:rsid w:val="32381E17"/>
    <w:rsid w:val="324E226E"/>
    <w:rsid w:val="32B87D44"/>
    <w:rsid w:val="32C52A38"/>
    <w:rsid w:val="32D4454C"/>
    <w:rsid w:val="32DF59F0"/>
    <w:rsid w:val="32F165AF"/>
    <w:rsid w:val="32F341BB"/>
    <w:rsid w:val="330001A2"/>
    <w:rsid w:val="333628C2"/>
    <w:rsid w:val="33434A04"/>
    <w:rsid w:val="334713E7"/>
    <w:rsid w:val="334D2CEC"/>
    <w:rsid w:val="335C0F0C"/>
    <w:rsid w:val="33864F68"/>
    <w:rsid w:val="33920133"/>
    <w:rsid w:val="33BA13EB"/>
    <w:rsid w:val="33EA4F8B"/>
    <w:rsid w:val="33F941B6"/>
    <w:rsid w:val="33F9679F"/>
    <w:rsid w:val="34040BAA"/>
    <w:rsid w:val="340E399D"/>
    <w:rsid w:val="341D6F6C"/>
    <w:rsid w:val="343D0DDD"/>
    <w:rsid w:val="344238A7"/>
    <w:rsid w:val="344A5CAF"/>
    <w:rsid w:val="34627E84"/>
    <w:rsid w:val="34761B3D"/>
    <w:rsid w:val="34A019E3"/>
    <w:rsid w:val="34B54073"/>
    <w:rsid w:val="34ED2EF3"/>
    <w:rsid w:val="34FB6280"/>
    <w:rsid w:val="35225C18"/>
    <w:rsid w:val="353D1B92"/>
    <w:rsid w:val="35482E35"/>
    <w:rsid w:val="358B1967"/>
    <w:rsid w:val="35A41C98"/>
    <w:rsid w:val="35A7016F"/>
    <w:rsid w:val="35BE61A8"/>
    <w:rsid w:val="35C13B9B"/>
    <w:rsid w:val="3609005C"/>
    <w:rsid w:val="360B54D7"/>
    <w:rsid w:val="360E3D96"/>
    <w:rsid w:val="363E3678"/>
    <w:rsid w:val="365309B6"/>
    <w:rsid w:val="36797098"/>
    <w:rsid w:val="36897EB8"/>
    <w:rsid w:val="368B020D"/>
    <w:rsid w:val="369F5F8F"/>
    <w:rsid w:val="36A1205A"/>
    <w:rsid w:val="36A124ED"/>
    <w:rsid w:val="36A46172"/>
    <w:rsid w:val="36CD7058"/>
    <w:rsid w:val="36DE434B"/>
    <w:rsid w:val="36E863B2"/>
    <w:rsid w:val="36EC1C72"/>
    <w:rsid w:val="370666E5"/>
    <w:rsid w:val="371B483F"/>
    <w:rsid w:val="371D65C9"/>
    <w:rsid w:val="37352EA6"/>
    <w:rsid w:val="373E0304"/>
    <w:rsid w:val="3742623A"/>
    <w:rsid w:val="37466A9F"/>
    <w:rsid w:val="375111F8"/>
    <w:rsid w:val="37785578"/>
    <w:rsid w:val="379501B2"/>
    <w:rsid w:val="37993A3D"/>
    <w:rsid w:val="3818637F"/>
    <w:rsid w:val="38216E4B"/>
    <w:rsid w:val="3837248F"/>
    <w:rsid w:val="385F1A9D"/>
    <w:rsid w:val="386F4FF1"/>
    <w:rsid w:val="3883540B"/>
    <w:rsid w:val="388E23BE"/>
    <w:rsid w:val="389712F2"/>
    <w:rsid w:val="38BD01BB"/>
    <w:rsid w:val="38BE76E1"/>
    <w:rsid w:val="38CB65C7"/>
    <w:rsid w:val="38CE3EF3"/>
    <w:rsid w:val="38D427F3"/>
    <w:rsid w:val="38DD3307"/>
    <w:rsid w:val="39032A5D"/>
    <w:rsid w:val="39212DA8"/>
    <w:rsid w:val="39293DB0"/>
    <w:rsid w:val="3931471C"/>
    <w:rsid w:val="3932357B"/>
    <w:rsid w:val="39372EBC"/>
    <w:rsid w:val="393C68A5"/>
    <w:rsid w:val="394372A3"/>
    <w:rsid w:val="394C7AC1"/>
    <w:rsid w:val="39701ADB"/>
    <w:rsid w:val="3976015D"/>
    <w:rsid w:val="39767468"/>
    <w:rsid w:val="398106C2"/>
    <w:rsid w:val="398630C2"/>
    <w:rsid w:val="398C6DBF"/>
    <w:rsid w:val="39920BD7"/>
    <w:rsid w:val="399762E2"/>
    <w:rsid w:val="39A03524"/>
    <w:rsid w:val="39AB7F90"/>
    <w:rsid w:val="39B13AE1"/>
    <w:rsid w:val="39B2465E"/>
    <w:rsid w:val="39CF3A9F"/>
    <w:rsid w:val="39D268E4"/>
    <w:rsid w:val="39E901AB"/>
    <w:rsid w:val="39F63D01"/>
    <w:rsid w:val="3A0429E9"/>
    <w:rsid w:val="3A054EF3"/>
    <w:rsid w:val="3A270613"/>
    <w:rsid w:val="3A3B35A8"/>
    <w:rsid w:val="3A6A51A1"/>
    <w:rsid w:val="3A8864AA"/>
    <w:rsid w:val="3A8D3267"/>
    <w:rsid w:val="3A8F1E5D"/>
    <w:rsid w:val="3AA505E9"/>
    <w:rsid w:val="3AB201FD"/>
    <w:rsid w:val="3ABE6790"/>
    <w:rsid w:val="3AD30754"/>
    <w:rsid w:val="3AD31A4B"/>
    <w:rsid w:val="3AD74069"/>
    <w:rsid w:val="3B1866F7"/>
    <w:rsid w:val="3B376687"/>
    <w:rsid w:val="3B3E6939"/>
    <w:rsid w:val="3B4873E0"/>
    <w:rsid w:val="3B4F12B2"/>
    <w:rsid w:val="3B5B6B98"/>
    <w:rsid w:val="3B730A2C"/>
    <w:rsid w:val="3B73373D"/>
    <w:rsid w:val="3B9248F5"/>
    <w:rsid w:val="3BB22B57"/>
    <w:rsid w:val="3BBF0959"/>
    <w:rsid w:val="3BC00ACD"/>
    <w:rsid w:val="3BD911DD"/>
    <w:rsid w:val="3BDA6BB8"/>
    <w:rsid w:val="3C0A04BB"/>
    <w:rsid w:val="3C115C62"/>
    <w:rsid w:val="3C3360EC"/>
    <w:rsid w:val="3C452831"/>
    <w:rsid w:val="3C5A6990"/>
    <w:rsid w:val="3C5F5DEF"/>
    <w:rsid w:val="3C68604C"/>
    <w:rsid w:val="3C7057AE"/>
    <w:rsid w:val="3C8D2B6B"/>
    <w:rsid w:val="3C9755B2"/>
    <w:rsid w:val="3C9E5D1B"/>
    <w:rsid w:val="3CA53C3A"/>
    <w:rsid w:val="3CA97F92"/>
    <w:rsid w:val="3CBA7D19"/>
    <w:rsid w:val="3CC1259B"/>
    <w:rsid w:val="3CD17EF5"/>
    <w:rsid w:val="3CEA1C78"/>
    <w:rsid w:val="3CF92A3E"/>
    <w:rsid w:val="3D2123DC"/>
    <w:rsid w:val="3D3529EB"/>
    <w:rsid w:val="3D4B442E"/>
    <w:rsid w:val="3D5368A9"/>
    <w:rsid w:val="3D6437F6"/>
    <w:rsid w:val="3D6D69CE"/>
    <w:rsid w:val="3D7A7775"/>
    <w:rsid w:val="3DA93E71"/>
    <w:rsid w:val="3DAB2C2B"/>
    <w:rsid w:val="3DAF7D1C"/>
    <w:rsid w:val="3DB13B3B"/>
    <w:rsid w:val="3DC56027"/>
    <w:rsid w:val="3DC70F93"/>
    <w:rsid w:val="3DE050FC"/>
    <w:rsid w:val="3DE87682"/>
    <w:rsid w:val="3DFC7BC4"/>
    <w:rsid w:val="3E0169BD"/>
    <w:rsid w:val="3E0850D4"/>
    <w:rsid w:val="3E09754A"/>
    <w:rsid w:val="3E260217"/>
    <w:rsid w:val="3E2C62B6"/>
    <w:rsid w:val="3E5313C9"/>
    <w:rsid w:val="3E5700F6"/>
    <w:rsid w:val="3E6A11AF"/>
    <w:rsid w:val="3E7E2CC0"/>
    <w:rsid w:val="3E92012A"/>
    <w:rsid w:val="3EB721C8"/>
    <w:rsid w:val="3EC7628C"/>
    <w:rsid w:val="3EDE7341"/>
    <w:rsid w:val="3EE42B23"/>
    <w:rsid w:val="3F1343EB"/>
    <w:rsid w:val="3F160A52"/>
    <w:rsid w:val="3F9664B6"/>
    <w:rsid w:val="3F9A1DAD"/>
    <w:rsid w:val="3FA46EF8"/>
    <w:rsid w:val="3FBF5A9B"/>
    <w:rsid w:val="3FC754F1"/>
    <w:rsid w:val="3FE217D5"/>
    <w:rsid w:val="400C3A1F"/>
    <w:rsid w:val="40173D62"/>
    <w:rsid w:val="40585922"/>
    <w:rsid w:val="407303A2"/>
    <w:rsid w:val="40805D09"/>
    <w:rsid w:val="4086235B"/>
    <w:rsid w:val="40A46801"/>
    <w:rsid w:val="40B35057"/>
    <w:rsid w:val="40BC471D"/>
    <w:rsid w:val="40BD4DD1"/>
    <w:rsid w:val="40E93FEB"/>
    <w:rsid w:val="40F51D18"/>
    <w:rsid w:val="40F76812"/>
    <w:rsid w:val="41003E00"/>
    <w:rsid w:val="411E7D17"/>
    <w:rsid w:val="412D4550"/>
    <w:rsid w:val="41303C39"/>
    <w:rsid w:val="414F74CB"/>
    <w:rsid w:val="415B6654"/>
    <w:rsid w:val="4162111C"/>
    <w:rsid w:val="41662EBF"/>
    <w:rsid w:val="416745BC"/>
    <w:rsid w:val="416B75D8"/>
    <w:rsid w:val="417C2EE6"/>
    <w:rsid w:val="41BD712D"/>
    <w:rsid w:val="41D12A32"/>
    <w:rsid w:val="41D301C3"/>
    <w:rsid w:val="41D623AF"/>
    <w:rsid w:val="420A1A22"/>
    <w:rsid w:val="42140E97"/>
    <w:rsid w:val="422D1756"/>
    <w:rsid w:val="422F49B3"/>
    <w:rsid w:val="424E5A21"/>
    <w:rsid w:val="4251344E"/>
    <w:rsid w:val="4266184F"/>
    <w:rsid w:val="42670D5D"/>
    <w:rsid w:val="42802614"/>
    <w:rsid w:val="42847498"/>
    <w:rsid w:val="429310E0"/>
    <w:rsid w:val="429E39BC"/>
    <w:rsid w:val="42B01704"/>
    <w:rsid w:val="42B72784"/>
    <w:rsid w:val="42BF6593"/>
    <w:rsid w:val="42CC4106"/>
    <w:rsid w:val="42CF7107"/>
    <w:rsid w:val="431F1AE3"/>
    <w:rsid w:val="433858A5"/>
    <w:rsid w:val="435B2CBB"/>
    <w:rsid w:val="4365472B"/>
    <w:rsid w:val="436F612A"/>
    <w:rsid w:val="438753A5"/>
    <w:rsid w:val="43920E07"/>
    <w:rsid w:val="43951B04"/>
    <w:rsid w:val="43BB1E41"/>
    <w:rsid w:val="43DC75AB"/>
    <w:rsid w:val="43E72A56"/>
    <w:rsid w:val="43F715ED"/>
    <w:rsid w:val="43F723C5"/>
    <w:rsid w:val="442A56DD"/>
    <w:rsid w:val="443935EF"/>
    <w:rsid w:val="44655A6C"/>
    <w:rsid w:val="44701F88"/>
    <w:rsid w:val="448332EB"/>
    <w:rsid w:val="44984355"/>
    <w:rsid w:val="44A8226D"/>
    <w:rsid w:val="44A92584"/>
    <w:rsid w:val="44AA08C6"/>
    <w:rsid w:val="44E10504"/>
    <w:rsid w:val="44EF4A70"/>
    <w:rsid w:val="44F201BB"/>
    <w:rsid w:val="44F97D82"/>
    <w:rsid w:val="450117F8"/>
    <w:rsid w:val="451C6129"/>
    <w:rsid w:val="451E6E63"/>
    <w:rsid w:val="45211A0E"/>
    <w:rsid w:val="45342FB5"/>
    <w:rsid w:val="4550153F"/>
    <w:rsid w:val="45591DA2"/>
    <w:rsid w:val="45660998"/>
    <w:rsid w:val="45665536"/>
    <w:rsid w:val="458B3F95"/>
    <w:rsid w:val="45A62B00"/>
    <w:rsid w:val="45AA2F38"/>
    <w:rsid w:val="45AF3554"/>
    <w:rsid w:val="45B72493"/>
    <w:rsid w:val="45EB1CEB"/>
    <w:rsid w:val="4601483F"/>
    <w:rsid w:val="46025A85"/>
    <w:rsid w:val="46075783"/>
    <w:rsid w:val="460F09FC"/>
    <w:rsid w:val="461B1D4C"/>
    <w:rsid w:val="465530CB"/>
    <w:rsid w:val="466F7AB5"/>
    <w:rsid w:val="467511C8"/>
    <w:rsid w:val="46760020"/>
    <w:rsid w:val="467E5A89"/>
    <w:rsid w:val="468E67A4"/>
    <w:rsid w:val="46A7659A"/>
    <w:rsid w:val="46B462BE"/>
    <w:rsid w:val="46CC55A3"/>
    <w:rsid w:val="46D345C4"/>
    <w:rsid w:val="46D93CB5"/>
    <w:rsid w:val="46F03FC6"/>
    <w:rsid w:val="46F20FCA"/>
    <w:rsid w:val="473D733B"/>
    <w:rsid w:val="475A2115"/>
    <w:rsid w:val="47630D4C"/>
    <w:rsid w:val="476A5FE9"/>
    <w:rsid w:val="476C58D8"/>
    <w:rsid w:val="476F4DD2"/>
    <w:rsid w:val="478D3666"/>
    <w:rsid w:val="47A30A38"/>
    <w:rsid w:val="47C95785"/>
    <w:rsid w:val="47F412C9"/>
    <w:rsid w:val="47F5042E"/>
    <w:rsid w:val="482A2773"/>
    <w:rsid w:val="482F762F"/>
    <w:rsid w:val="484422CF"/>
    <w:rsid w:val="48987CCA"/>
    <w:rsid w:val="49001E86"/>
    <w:rsid w:val="49081412"/>
    <w:rsid w:val="490E3A2E"/>
    <w:rsid w:val="490F522C"/>
    <w:rsid w:val="49114885"/>
    <w:rsid w:val="491D202E"/>
    <w:rsid w:val="4920575D"/>
    <w:rsid w:val="49417983"/>
    <w:rsid w:val="49565AB1"/>
    <w:rsid w:val="4958656A"/>
    <w:rsid w:val="496D50BB"/>
    <w:rsid w:val="497C543F"/>
    <w:rsid w:val="498C3FA6"/>
    <w:rsid w:val="49D14C7B"/>
    <w:rsid w:val="49F64E88"/>
    <w:rsid w:val="49F712AC"/>
    <w:rsid w:val="4A0B4355"/>
    <w:rsid w:val="4A4C3C76"/>
    <w:rsid w:val="4A582F08"/>
    <w:rsid w:val="4A6F3D21"/>
    <w:rsid w:val="4AB30EDE"/>
    <w:rsid w:val="4AB344AE"/>
    <w:rsid w:val="4ACE4E5A"/>
    <w:rsid w:val="4AE87797"/>
    <w:rsid w:val="4AFD545B"/>
    <w:rsid w:val="4B055D7D"/>
    <w:rsid w:val="4B341F77"/>
    <w:rsid w:val="4B483AE1"/>
    <w:rsid w:val="4B4C0FEF"/>
    <w:rsid w:val="4B5515CE"/>
    <w:rsid w:val="4B7D207A"/>
    <w:rsid w:val="4B7D2D66"/>
    <w:rsid w:val="4B875EB6"/>
    <w:rsid w:val="4B8D42B7"/>
    <w:rsid w:val="4BA663CD"/>
    <w:rsid w:val="4BAD7D08"/>
    <w:rsid w:val="4BDE2E72"/>
    <w:rsid w:val="4BE62E4E"/>
    <w:rsid w:val="4C1C3FF5"/>
    <w:rsid w:val="4C410418"/>
    <w:rsid w:val="4C524673"/>
    <w:rsid w:val="4C7D1FFD"/>
    <w:rsid w:val="4C920D99"/>
    <w:rsid w:val="4C963176"/>
    <w:rsid w:val="4CAE11C9"/>
    <w:rsid w:val="4CF5763E"/>
    <w:rsid w:val="4CFB71A3"/>
    <w:rsid w:val="4CFF2F8E"/>
    <w:rsid w:val="4D0A39C2"/>
    <w:rsid w:val="4D1E7969"/>
    <w:rsid w:val="4D3D0301"/>
    <w:rsid w:val="4D3F7CBF"/>
    <w:rsid w:val="4D46030D"/>
    <w:rsid w:val="4D6D34A9"/>
    <w:rsid w:val="4D757884"/>
    <w:rsid w:val="4D796B28"/>
    <w:rsid w:val="4D8C4093"/>
    <w:rsid w:val="4DB92821"/>
    <w:rsid w:val="4DC14928"/>
    <w:rsid w:val="4DC46301"/>
    <w:rsid w:val="4DF671A8"/>
    <w:rsid w:val="4DFC1A53"/>
    <w:rsid w:val="4DFE3CC8"/>
    <w:rsid w:val="4E1230AB"/>
    <w:rsid w:val="4E274480"/>
    <w:rsid w:val="4E4E418E"/>
    <w:rsid w:val="4E7F6A84"/>
    <w:rsid w:val="4E887901"/>
    <w:rsid w:val="4EA45213"/>
    <w:rsid w:val="4EA902EC"/>
    <w:rsid w:val="4EE64D75"/>
    <w:rsid w:val="4F0A7123"/>
    <w:rsid w:val="4F2151FA"/>
    <w:rsid w:val="4F2A3762"/>
    <w:rsid w:val="4F2E0DB1"/>
    <w:rsid w:val="4F377F25"/>
    <w:rsid w:val="4F3F1F47"/>
    <w:rsid w:val="4F486739"/>
    <w:rsid w:val="4F556652"/>
    <w:rsid w:val="4F5A286E"/>
    <w:rsid w:val="4FC5001A"/>
    <w:rsid w:val="4FCC12A9"/>
    <w:rsid w:val="4FD41C1D"/>
    <w:rsid w:val="4FE71594"/>
    <w:rsid w:val="4FED2322"/>
    <w:rsid w:val="4FFD53C6"/>
    <w:rsid w:val="503C0967"/>
    <w:rsid w:val="503D1B16"/>
    <w:rsid w:val="505A09AE"/>
    <w:rsid w:val="508E47DC"/>
    <w:rsid w:val="50AE3F83"/>
    <w:rsid w:val="50B04818"/>
    <w:rsid w:val="50CF69B2"/>
    <w:rsid w:val="50CF7A4B"/>
    <w:rsid w:val="50D44420"/>
    <w:rsid w:val="50DF3CCA"/>
    <w:rsid w:val="50EC175B"/>
    <w:rsid w:val="5137564E"/>
    <w:rsid w:val="514E0A72"/>
    <w:rsid w:val="51576FE4"/>
    <w:rsid w:val="519F488C"/>
    <w:rsid w:val="51C64D21"/>
    <w:rsid w:val="51DD69E8"/>
    <w:rsid w:val="51E00356"/>
    <w:rsid w:val="51EF6367"/>
    <w:rsid w:val="520713EF"/>
    <w:rsid w:val="520923F4"/>
    <w:rsid w:val="5222282D"/>
    <w:rsid w:val="522C14EF"/>
    <w:rsid w:val="52302A27"/>
    <w:rsid w:val="52417905"/>
    <w:rsid w:val="52445EFE"/>
    <w:rsid w:val="52450270"/>
    <w:rsid w:val="52547F54"/>
    <w:rsid w:val="525775BB"/>
    <w:rsid w:val="525A0127"/>
    <w:rsid w:val="526B5D33"/>
    <w:rsid w:val="527F45C4"/>
    <w:rsid w:val="52912B89"/>
    <w:rsid w:val="52956EEB"/>
    <w:rsid w:val="529E08FC"/>
    <w:rsid w:val="529E7DC9"/>
    <w:rsid w:val="52A1157D"/>
    <w:rsid w:val="52B46B08"/>
    <w:rsid w:val="52CC3474"/>
    <w:rsid w:val="52E2424D"/>
    <w:rsid w:val="52F02A03"/>
    <w:rsid w:val="52F06651"/>
    <w:rsid w:val="52F81690"/>
    <w:rsid w:val="52FC3289"/>
    <w:rsid w:val="531600C3"/>
    <w:rsid w:val="532452B2"/>
    <w:rsid w:val="53305443"/>
    <w:rsid w:val="533C7E74"/>
    <w:rsid w:val="534C3421"/>
    <w:rsid w:val="535B4CF0"/>
    <w:rsid w:val="535D132C"/>
    <w:rsid w:val="538B6878"/>
    <w:rsid w:val="5398746F"/>
    <w:rsid w:val="53B117CE"/>
    <w:rsid w:val="53BA08AE"/>
    <w:rsid w:val="53BC278B"/>
    <w:rsid w:val="53EB6B3D"/>
    <w:rsid w:val="53EF33EA"/>
    <w:rsid w:val="5400093A"/>
    <w:rsid w:val="540F33D1"/>
    <w:rsid w:val="541A71EA"/>
    <w:rsid w:val="54304A82"/>
    <w:rsid w:val="543E150A"/>
    <w:rsid w:val="544475A5"/>
    <w:rsid w:val="544948CA"/>
    <w:rsid w:val="544C4264"/>
    <w:rsid w:val="547747B8"/>
    <w:rsid w:val="54792907"/>
    <w:rsid w:val="547F24EC"/>
    <w:rsid w:val="54901540"/>
    <w:rsid w:val="54A81A59"/>
    <w:rsid w:val="54C73D61"/>
    <w:rsid w:val="54E164AC"/>
    <w:rsid w:val="550D767C"/>
    <w:rsid w:val="55406298"/>
    <w:rsid w:val="55411377"/>
    <w:rsid w:val="55496AED"/>
    <w:rsid w:val="55733EF3"/>
    <w:rsid w:val="55816758"/>
    <w:rsid w:val="55992746"/>
    <w:rsid w:val="559F36B4"/>
    <w:rsid w:val="55B51902"/>
    <w:rsid w:val="55E678D8"/>
    <w:rsid w:val="55F13D03"/>
    <w:rsid w:val="560D3E7C"/>
    <w:rsid w:val="563D2AD2"/>
    <w:rsid w:val="56414F54"/>
    <w:rsid w:val="56466009"/>
    <w:rsid w:val="565503DF"/>
    <w:rsid w:val="565B2641"/>
    <w:rsid w:val="566F46F0"/>
    <w:rsid w:val="569B59A6"/>
    <w:rsid w:val="56A16A04"/>
    <w:rsid w:val="56B8399E"/>
    <w:rsid w:val="56EA0FB8"/>
    <w:rsid w:val="570578B8"/>
    <w:rsid w:val="57132F95"/>
    <w:rsid w:val="572D4E3F"/>
    <w:rsid w:val="572D56F6"/>
    <w:rsid w:val="573179AE"/>
    <w:rsid w:val="573F1670"/>
    <w:rsid w:val="57551AD9"/>
    <w:rsid w:val="575D0040"/>
    <w:rsid w:val="57606393"/>
    <w:rsid w:val="576C5FC1"/>
    <w:rsid w:val="577F5DB3"/>
    <w:rsid w:val="57824BAC"/>
    <w:rsid w:val="57892510"/>
    <w:rsid w:val="57AD602B"/>
    <w:rsid w:val="57AE3E6A"/>
    <w:rsid w:val="57C63600"/>
    <w:rsid w:val="57CF0A12"/>
    <w:rsid w:val="57E8417C"/>
    <w:rsid w:val="58142531"/>
    <w:rsid w:val="58332729"/>
    <w:rsid w:val="58430210"/>
    <w:rsid w:val="585838C1"/>
    <w:rsid w:val="5863214C"/>
    <w:rsid w:val="586E45E1"/>
    <w:rsid w:val="58717162"/>
    <w:rsid w:val="587F7A2B"/>
    <w:rsid w:val="58A156FA"/>
    <w:rsid w:val="58DD6E52"/>
    <w:rsid w:val="58E037FA"/>
    <w:rsid w:val="58F028E3"/>
    <w:rsid w:val="59070777"/>
    <w:rsid w:val="590C1CF8"/>
    <w:rsid w:val="59185078"/>
    <w:rsid w:val="59373972"/>
    <w:rsid w:val="593A5023"/>
    <w:rsid w:val="59623A53"/>
    <w:rsid w:val="599D4457"/>
    <w:rsid w:val="59B25DDC"/>
    <w:rsid w:val="59B73AE7"/>
    <w:rsid w:val="59DC43D8"/>
    <w:rsid w:val="59E70281"/>
    <w:rsid w:val="59FA21B2"/>
    <w:rsid w:val="5A3B7940"/>
    <w:rsid w:val="5A400973"/>
    <w:rsid w:val="5AA549B2"/>
    <w:rsid w:val="5ACC3AB1"/>
    <w:rsid w:val="5AD00974"/>
    <w:rsid w:val="5ADC7386"/>
    <w:rsid w:val="5AE9537A"/>
    <w:rsid w:val="5AFA6B0F"/>
    <w:rsid w:val="5B412DDA"/>
    <w:rsid w:val="5B4F4FBF"/>
    <w:rsid w:val="5B5104F9"/>
    <w:rsid w:val="5B512775"/>
    <w:rsid w:val="5B594284"/>
    <w:rsid w:val="5B5D0855"/>
    <w:rsid w:val="5B620B14"/>
    <w:rsid w:val="5B852AAE"/>
    <w:rsid w:val="5BAC4E3A"/>
    <w:rsid w:val="5BCE29BA"/>
    <w:rsid w:val="5BD47431"/>
    <w:rsid w:val="5BF215EF"/>
    <w:rsid w:val="5C001D67"/>
    <w:rsid w:val="5C012B8C"/>
    <w:rsid w:val="5C362AF4"/>
    <w:rsid w:val="5C3E4720"/>
    <w:rsid w:val="5C4A6502"/>
    <w:rsid w:val="5C526BB4"/>
    <w:rsid w:val="5C5A16DE"/>
    <w:rsid w:val="5C710051"/>
    <w:rsid w:val="5C784327"/>
    <w:rsid w:val="5C7D3654"/>
    <w:rsid w:val="5C9B09C7"/>
    <w:rsid w:val="5C9D2D1B"/>
    <w:rsid w:val="5CC0373E"/>
    <w:rsid w:val="5CC85BD5"/>
    <w:rsid w:val="5CE018DD"/>
    <w:rsid w:val="5CE32EA9"/>
    <w:rsid w:val="5CF0236C"/>
    <w:rsid w:val="5D470913"/>
    <w:rsid w:val="5D79062E"/>
    <w:rsid w:val="5D7E69EB"/>
    <w:rsid w:val="5D8C0201"/>
    <w:rsid w:val="5DC31E6E"/>
    <w:rsid w:val="5DF30675"/>
    <w:rsid w:val="5E074110"/>
    <w:rsid w:val="5E2B3A18"/>
    <w:rsid w:val="5E31172B"/>
    <w:rsid w:val="5E4641D8"/>
    <w:rsid w:val="5E4B3CC5"/>
    <w:rsid w:val="5E5C7FAC"/>
    <w:rsid w:val="5E5E1D0E"/>
    <w:rsid w:val="5E872C01"/>
    <w:rsid w:val="5E8E1E7B"/>
    <w:rsid w:val="5E933865"/>
    <w:rsid w:val="5E983210"/>
    <w:rsid w:val="5E9A27FB"/>
    <w:rsid w:val="5E9D5D87"/>
    <w:rsid w:val="5EB1181D"/>
    <w:rsid w:val="5EC52109"/>
    <w:rsid w:val="5ECE103C"/>
    <w:rsid w:val="5EDC6635"/>
    <w:rsid w:val="5EDF15E6"/>
    <w:rsid w:val="5EDF242A"/>
    <w:rsid w:val="5EEC4CC9"/>
    <w:rsid w:val="5EFC424F"/>
    <w:rsid w:val="5F353F1D"/>
    <w:rsid w:val="5F387DD8"/>
    <w:rsid w:val="5F5B52DC"/>
    <w:rsid w:val="5F5D6311"/>
    <w:rsid w:val="5F610F9A"/>
    <w:rsid w:val="5FC72CEE"/>
    <w:rsid w:val="5FD15188"/>
    <w:rsid w:val="600C100B"/>
    <w:rsid w:val="602C20DD"/>
    <w:rsid w:val="603F3938"/>
    <w:rsid w:val="60442474"/>
    <w:rsid w:val="607C6049"/>
    <w:rsid w:val="60AF5CCB"/>
    <w:rsid w:val="60B12374"/>
    <w:rsid w:val="60B12B22"/>
    <w:rsid w:val="60CB5CDD"/>
    <w:rsid w:val="60DD7931"/>
    <w:rsid w:val="60DE5220"/>
    <w:rsid w:val="614C4594"/>
    <w:rsid w:val="614C74D5"/>
    <w:rsid w:val="615407FA"/>
    <w:rsid w:val="61681591"/>
    <w:rsid w:val="61B42655"/>
    <w:rsid w:val="61E13FF1"/>
    <w:rsid w:val="61EB04E9"/>
    <w:rsid w:val="622D1EAE"/>
    <w:rsid w:val="622F4266"/>
    <w:rsid w:val="623A2268"/>
    <w:rsid w:val="62457762"/>
    <w:rsid w:val="62462A72"/>
    <w:rsid w:val="62777B94"/>
    <w:rsid w:val="62AB132C"/>
    <w:rsid w:val="62BE738E"/>
    <w:rsid w:val="62D97AC0"/>
    <w:rsid w:val="62DA5AA9"/>
    <w:rsid w:val="62DC6FCC"/>
    <w:rsid w:val="62E849C6"/>
    <w:rsid w:val="62EA6460"/>
    <w:rsid w:val="62F76875"/>
    <w:rsid w:val="6300696C"/>
    <w:rsid w:val="63030F14"/>
    <w:rsid w:val="630E34E0"/>
    <w:rsid w:val="631B6AE5"/>
    <w:rsid w:val="6344286C"/>
    <w:rsid w:val="634C4857"/>
    <w:rsid w:val="63583492"/>
    <w:rsid w:val="63660DC1"/>
    <w:rsid w:val="636C0070"/>
    <w:rsid w:val="63806113"/>
    <w:rsid w:val="638B0660"/>
    <w:rsid w:val="63BB5D1B"/>
    <w:rsid w:val="63C56A8D"/>
    <w:rsid w:val="63D158C9"/>
    <w:rsid w:val="63E82575"/>
    <w:rsid w:val="641E7B03"/>
    <w:rsid w:val="6453132F"/>
    <w:rsid w:val="645E04C8"/>
    <w:rsid w:val="646C727B"/>
    <w:rsid w:val="647E3905"/>
    <w:rsid w:val="64A036C7"/>
    <w:rsid w:val="64A7639A"/>
    <w:rsid w:val="64A863EB"/>
    <w:rsid w:val="64C22BED"/>
    <w:rsid w:val="64D05783"/>
    <w:rsid w:val="64D21925"/>
    <w:rsid w:val="64D91523"/>
    <w:rsid w:val="64DB2E27"/>
    <w:rsid w:val="64EC5F80"/>
    <w:rsid w:val="64F20854"/>
    <w:rsid w:val="64F2292E"/>
    <w:rsid w:val="64F7798C"/>
    <w:rsid w:val="651264A6"/>
    <w:rsid w:val="65590675"/>
    <w:rsid w:val="658E4B68"/>
    <w:rsid w:val="659339E5"/>
    <w:rsid w:val="659D4E02"/>
    <w:rsid w:val="65A12770"/>
    <w:rsid w:val="65AD106A"/>
    <w:rsid w:val="65AF4F70"/>
    <w:rsid w:val="65BB78E4"/>
    <w:rsid w:val="65C62121"/>
    <w:rsid w:val="65D44422"/>
    <w:rsid w:val="65D65610"/>
    <w:rsid w:val="65FA015C"/>
    <w:rsid w:val="65FF6711"/>
    <w:rsid w:val="66035B03"/>
    <w:rsid w:val="661462F7"/>
    <w:rsid w:val="66150AEC"/>
    <w:rsid w:val="666714C9"/>
    <w:rsid w:val="668B5CC3"/>
    <w:rsid w:val="66944D1E"/>
    <w:rsid w:val="66B6335A"/>
    <w:rsid w:val="66C919F0"/>
    <w:rsid w:val="66D115BE"/>
    <w:rsid w:val="66D13DA9"/>
    <w:rsid w:val="66D85757"/>
    <w:rsid w:val="66E30E48"/>
    <w:rsid w:val="67010AE3"/>
    <w:rsid w:val="670B1865"/>
    <w:rsid w:val="670C483F"/>
    <w:rsid w:val="67136376"/>
    <w:rsid w:val="67251571"/>
    <w:rsid w:val="67322B5A"/>
    <w:rsid w:val="673E3D72"/>
    <w:rsid w:val="6742643A"/>
    <w:rsid w:val="679021B2"/>
    <w:rsid w:val="6794124F"/>
    <w:rsid w:val="679A0727"/>
    <w:rsid w:val="67AA2F7E"/>
    <w:rsid w:val="67C373D8"/>
    <w:rsid w:val="67E4373A"/>
    <w:rsid w:val="68002120"/>
    <w:rsid w:val="680C6E0B"/>
    <w:rsid w:val="680F158B"/>
    <w:rsid w:val="681A39B2"/>
    <w:rsid w:val="681E2037"/>
    <w:rsid w:val="6839250D"/>
    <w:rsid w:val="683948E7"/>
    <w:rsid w:val="68762CDF"/>
    <w:rsid w:val="68764F42"/>
    <w:rsid w:val="687B2B4C"/>
    <w:rsid w:val="68853EBD"/>
    <w:rsid w:val="688D7DD5"/>
    <w:rsid w:val="689F47D3"/>
    <w:rsid w:val="68B67FDA"/>
    <w:rsid w:val="68CE612B"/>
    <w:rsid w:val="68D2013F"/>
    <w:rsid w:val="68E814B4"/>
    <w:rsid w:val="68F91EAB"/>
    <w:rsid w:val="68FA27D2"/>
    <w:rsid w:val="6907197E"/>
    <w:rsid w:val="690D6969"/>
    <w:rsid w:val="69121E3A"/>
    <w:rsid w:val="69154D60"/>
    <w:rsid w:val="691B43A2"/>
    <w:rsid w:val="691F4D9F"/>
    <w:rsid w:val="694A6DBA"/>
    <w:rsid w:val="695D7D0E"/>
    <w:rsid w:val="69601908"/>
    <w:rsid w:val="69767E6B"/>
    <w:rsid w:val="69780312"/>
    <w:rsid w:val="69851805"/>
    <w:rsid w:val="699954C4"/>
    <w:rsid w:val="699A62E3"/>
    <w:rsid w:val="699D36D6"/>
    <w:rsid w:val="69A00D26"/>
    <w:rsid w:val="69A460E2"/>
    <w:rsid w:val="69B779BF"/>
    <w:rsid w:val="69CD7FDE"/>
    <w:rsid w:val="69CF08EE"/>
    <w:rsid w:val="69D70F29"/>
    <w:rsid w:val="69ED56B6"/>
    <w:rsid w:val="69FB201D"/>
    <w:rsid w:val="6A07214F"/>
    <w:rsid w:val="6A1E150A"/>
    <w:rsid w:val="6A1F25CE"/>
    <w:rsid w:val="6A307103"/>
    <w:rsid w:val="6A3246BA"/>
    <w:rsid w:val="6A560907"/>
    <w:rsid w:val="6A7B4CEF"/>
    <w:rsid w:val="6A8D493E"/>
    <w:rsid w:val="6A9C7E3D"/>
    <w:rsid w:val="6AB13C32"/>
    <w:rsid w:val="6ABE4147"/>
    <w:rsid w:val="6AC23A28"/>
    <w:rsid w:val="6ACD1443"/>
    <w:rsid w:val="6ADE785B"/>
    <w:rsid w:val="6AE2354A"/>
    <w:rsid w:val="6AEA5216"/>
    <w:rsid w:val="6AF8649D"/>
    <w:rsid w:val="6B1F10AD"/>
    <w:rsid w:val="6B22477C"/>
    <w:rsid w:val="6B320A31"/>
    <w:rsid w:val="6B491DA4"/>
    <w:rsid w:val="6B4A7F71"/>
    <w:rsid w:val="6B594672"/>
    <w:rsid w:val="6B5D28FD"/>
    <w:rsid w:val="6B5E4D2E"/>
    <w:rsid w:val="6B775DEA"/>
    <w:rsid w:val="6B831CA3"/>
    <w:rsid w:val="6B96511F"/>
    <w:rsid w:val="6BA47F2E"/>
    <w:rsid w:val="6BC43CA8"/>
    <w:rsid w:val="6BD91B10"/>
    <w:rsid w:val="6BE116D3"/>
    <w:rsid w:val="6BF877B1"/>
    <w:rsid w:val="6C013C84"/>
    <w:rsid w:val="6C153D23"/>
    <w:rsid w:val="6C262D9A"/>
    <w:rsid w:val="6C2A7865"/>
    <w:rsid w:val="6C59217D"/>
    <w:rsid w:val="6C620EF9"/>
    <w:rsid w:val="6C6A54FD"/>
    <w:rsid w:val="6C801317"/>
    <w:rsid w:val="6CAA3EA4"/>
    <w:rsid w:val="6CBA151E"/>
    <w:rsid w:val="6CF6746A"/>
    <w:rsid w:val="6D026FD1"/>
    <w:rsid w:val="6D0F4CEB"/>
    <w:rsid w:val="6D2D03F9"/>
    <w:rsid w:val="6D751BED"/>
    <w:rsid w:val="6D8B304C"/>
    <w:rsid w:val="6D916A0C"/>
    <w:rsid w:val="6D973ED7"/>
    <w:rsid w:val="6D9E588E"/>
    <w:rsid w:val="6DA94262"/>
    <w:rsid w:val="6DAD0DE5"/>
    <w:rsid w:val="6DAE2A69"/>
    <w:rsid w:val="6DB70CB4"/>
    <w:rsid w:val="6DD83087"/>
    <w:rsid w:val="6DDB4C8B"/>
    <w:rsid w:val="6DE36788"/>
    <w:rsid w:val="6E094352"/>
    <w:rsid w:val="6E0A2C2C"/>
    <w:rsid w:val="6E652417"/>
    <w:rsid w:val="6E827CC9"/>
    <w:rsid w:val="6E894460"/>
    <w:rsid w:val="6E92195E"/>
    <w:rsid w:val="6E992E30"/>
    <w:rsid w:val="6EA857B7"/>
    <w:rsid w:val="6EB20D5A"/>
    <w:rsid w:val="6EC20982"/>
    <w:rsid w:val="6EF36DDF"/>
    <w:rsid w:val="6F031BB8"/>
    <w:rsid w:val="6F147E5D"/>
    <w:rsid w:val="6F3626B6"/>
    <w:rsid w:val="6F3F40AE"/>
    <w:rsid w:val="6F815117"/>
    <w:rsid w:val="6FA40B61"/>
    <w:rsid w:val="6FC010C7"/>
    <w:rsid w:val="6FE0386A"/>
    <w:rsid w:val="700433F8"/>
    <w:rsid w:val="700A1E44"/>
    <w:rsid w:val="702A2DF0"/>
    <w:rsid w:val="70863E5A"/>
    <w:rsid w:val="708B0407"/>
    <w:rsid w:val="708F3F4F"/>
    <w:rsid w:val="70A80024"/>
    <w:rsid w:val="70CF0C0E"/>
    <w:rsid w:val="70D15D5E"/>
    <w:rsid w:val="70D7294B"/>
    <w:rsid w:val="70F70D76"/>
    <w:rsid w:val="71082A1D"/>
    <w:rsid w:val="71143D27"/>
    <w:rsid w:val="711A0DDC"/>
    <w:rsid w:val="71302D3F"/>
    <w:rsid w:val="713B5454"/>
    <w:rsid w:val="7170308B"/>
    <w:rsid w:val="718926B9"/>
    <w:rsid w:val="718A2459"/>
    <w:rsid w:val="7198319C"/>
    <w:rsid w:val="719E503F"/>
    <w:rsid w:val="71AC3D91"/>
    <w:rsid w:val="71B06BD0"/>
    <w:rsid w:val="71E65261"/>
    <w:rsid w:val="71F56CCA"/>
    <w:rsid w:val="71FF0740"/>
    <w:rsid w:val="71FF0BB1"/>
    <w:rsid w:val="72364E53"/>
    <w:rsid w:val="724245AC"/>
    <w:rsid w:val="72896FE0"/>
    <w:rsid w:val="728E5F19"/>
    <w:rsid w:val="72B324E3"/>
    <w:rsid w:val="72BA170C"/>
    <w:rsid w:val="72D8260B"/>
    <w:rsid w:val="73013FCC"/>
    <w:rsid w:val="731A4B3E"/>
    <w:rsid w:val="73245D0B"/>
    <w:rsid w:val="734A59B2"/>
    <w:rsid w:val="73547991"/>
    <w:rsid w:val="736938A6"/>
    <w:rsid w:val="737034B7"/>
    <w:rsid w:val="738E6C88"/>
    <w:rsid w:val="739169F9"/>
    <w:rsid w:val="739A46DA"/>
    <w:rsid w:val="73D47531"/>
    <w:rsid w:val="74031DA5"/>
    <w:rsid w:val="740A7083"/>
    <w:rsid w:val="74226A95"/>
    <w:rsid w:val="74275A42"/>
    <w:rsid w:val="742D4234"/>
    <w:rsid w:val="743F4CBA"/>
    <w:rsid w:val="745E1EAA"/>
    <w:rsid w:val="746774A9"/>
    <w:rsid w:val="748A000B"/>
    <w:rsid w:val="748C0BDC"/>
    <w:rsid w:val="74912CE1"/>
    <w:rsid w:val="74942EB6"/>
    <w:rsid w:val="749E119A"/>
    <w:rsid w:val="74A356E3"/>
    <w:rsid w:val="74D33EF6"/>
    <w:rsid w:val="74D81279"/>
    <w:rsid w:val="7564358D"/>
    <w:rsid w:val="7579243F"/>
    <w:rsid w:val="7587293D"/>
    <w:rsid w:val="75A17723"/>
    <w:rsid w:val="75A47883"/>
    <w:rsid w:val="75A6234A"/>
    <w:rsid w:val="75A94FB9"/>
    <w:rsid w:val="75B456A9"/>
    <w:rsid w:val="75BA77F7"/>
    <w:rsid w:val="75BC377B"/>
    <w:rsid w:val="75C50AA6"/>
    <w:rsid w:val="75CE3273"/>
    <w:rsid w:val="75D94171"/>
    <w:rsid w:val="75E626A9"/>
    <w:rsid w:val="75EA51DF"/>
    <w:rsid w:val="75F93BCE"/>
    <w:rsid w:val="762C077C"/>
    <w:rsid w:val="763F6BA9"/>
    <w:rsid w:val="7663411F"/>
    <w:rsid w:val="769D4442"/>
    <w:rsid w:val="76AF515A"/>
    <w:rsid w:val="76B61F68"/>
    <w:rsid w:val="76C57E80"/>
    <w:rsid w:val="76CC1292"/>
    <w:rsid w:val="76CD3A4B"/>
    <w:rsid w:val="76DA54EC"/>
    <w:rsid w:val="77210231"/>
    <w:rsid w:val="773B637B"/>
    <w:rsid w:val="773D64AD"/>
    <w:rsid w:val="77533270"/>
    <w:rsid w:val="777703EE"/>
    <w:rsid w:val="779302B0"/>
    <w:rsid w:val="77A31E3D"/>
    <w:rsid w:val="77BF7760"/>
    <w:rsid w:val="77C46964"/>
    <w:rsid w:val="77D05683"/>
    <w:rsid w:val="77D14534"/>
    <w:rsid w:val="77DB2827"/>
    <w:rsid w:val="77E2543A"/>
    <w:rsid w:val="77E67618"/>
    <w:rsid w:val="78203AD8"/>
    <w:rsid w:val="78615D56"/>
    <w:rsid w:val="786404F8"/>
    <w:rsid w:val="78697706"/>
    <w:rsid w:val="78A15077"/>
    <w:rsid w:val="78C83AD2"/>
    <w:rsid w:val="78DD4E10"/>
    <w:rsid w:val="790B233B"/>
    <w:rsid w:val="790C4639"/>
    <w:rsid w:val="79121892"/>
    <w:rsid w:val="791466FC"/>
    <w:rsid w:val="791B11FD"/>
    <w:rsid w:val="7925799D"/>
    <w:rsid w:val="79392B18"/>
    <w:rsid w:val="794F5012"/>
    <w:rsid w:val="79516F63"/>
    <w:rsid w:val="79565544"/>
    <w:rsid w:val="796E1666"/>
    <w:rsid w:val="797911D5"/>
    <w:rsid w:val="797A39C8"/>
    <w:rsid w:val="798A5C60"/>
    <w:rsid w:val="79A07515"/>
    <w:rsid w:val="79A3664E"/>
    <w:rsid w:val="79A9103A"/>
    <w:rsid w:val="79A9150E"/>
    <w:rsid w:val="79AB36F9"/>
    <w:rsid w:val="79B33496"/>
    <w:rsid w:val="79C00A58"/>
    <w:rsid w:val="79D27333"/>
    <w:rsid w:val="79DD1D32"/>
    <w:rsid w:val="79EF06E6"/>
    <w:rsid w:val="7A00729F"/>
    <w:rsid w:val="7A1651D1"/>
    <w:rsid w:val="7A302411"/>
    <w:rsid w:val="7A402138"/>
    <w:rsid w:val="7A7C4F56"/>
    <w:rsid w:val="7A864519"/>
    <w:rsid w:val="7A9102F8"/>
    <w:rsid w:val="7AC15EB2"/>
    <w:rsid w:val="7ACA5466"/>
    <w:rsid w:val="7AD45C10"/>
    <w:rsid w:val="7B0A6A9B"/>
    <w:rsid w:val="7B0D2818"/>
    <w:rsid w:val="7B123D44"/>
    <w:rsid w:val="7B381B1F"/>
    <w:rsid w:val="7B444776"/>
    <w:rsid w:val="7B4D7F4F"/>
    <w:rsid w:val="7B531250"/>
    <w:rsid w:val="7B752E7A"/>
    <w:rsid w:val="7B947AED"/>
    <w:rsid w:val="7B994E29"/>
    <w:rsid w:val="7BA43E56"/>
    <w:rsid w:val="7BBF3362"/>
    <w:rsid w:val="7BC10FD1"/>
    <w:rsid w:val="7BCA3062"/>
    <w:rsid w:val="7C1654F0"/>
    <w:rsid w:val="7C3351E9"/>
    <w:rsid w:val="7C365871"/>
    <w:rsid w:val="7C533858"/>
    <w:rsid w:val="7C552BD0"/>
    <w:rsid w:val="7C60651C"/>
    <w:rsid w:val="7C68464B"/>
    <w:rsid w:val="7C6855B6"/>
    <w:rsid w:val="7C7B56C3"/>
    <w:rsid w:val="7C866DDF"/>
    <w:rsid w:val="7C8A57FB"/>
    <w:rsid w:val="7C916683"/>
    <w:rsid w:val="7CA33B0F"/>
    <w:rsid w:val="7CB55BA5"/>
    <w:rsid w:val="7CB82DCD"/>
    <w:rsid w:val="7CB90024"/>
    <w:rsid w:val="7CDD1E20"/>
    <w:rsid w:val="7CE57657"/>
    <w:rsid w:val="7D3E0BCE"/>
    <w:rsid w:val="7D430709"/>
    <w:rsid w:val="7D5770CD"/>
    <w:rsid w:val="7D9A2209"/>
    <w:rsid w:val="7DA56900"/>
    <w:rsid w:val="7DA9460F"/>
    <w:rsid w:val="7DBD3851"/>
    <w:rsid w:val="7DC80B9A"/>
    <w:rsid w:val="7DE03DE0"/>
    <w:rsid w:val="7DE65FBE"/>
    <w:rsid w:val="7DFF6F70"/>
    <w:rsid w:val="7E2461C2"/>
    <w:rsid w:val="7E3B2283"/>
    <w:rsid w:val="7E7E3374"/>
    <w:rsid w:val="7E826950"/>
    <w:rsid w:val="7E904003"/>
    <w:rsid w:val="7E9064E4"/>
    <w:rsid w:val="7EB76F44"/>
    <w:rsid w:val="7ED4627F"/>
    <w:rsid w:val="7EE258DC"/>
    <w:rsid w:val="7EE4759A"/>
    <w:rsid w:val="7EF73EBA"/>
    <w:rsid w:val="7EFA4422"/>
    <w:rsid w:val="7EFF5CB3"/>
    <w:rsid w:val="7F1C60C1"/>
    <w:rsid w:val="7F233968"/>
    <w:rsid w:val="7F380338"/>
    <w:rsid w:val="7F564E49"/>
    <w:rsid w:val="7F730597"/>
    <w:rsid w:val="7F7405C7"/>
    <w:rsid w:val="7F7F75D9"/>
    <w:rsid w:val="7F9541FE"/>
    <w:rsid w:val="7F9B7217"/>
    <w:rsid w:val="7FA709E5"/>
    <w:rsid w:val="7FDD28A7"/>
    <w:rsid w:val="7FFD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5"/>
    <w:qFormat/>
    <w:uiPriority w:val="99"/>
    <w:pPr>
      <w:keepNext/>
      <w:keepLines/>
      <w:spacing w:line="576" w:lineRule="auto"/>
      <w:jc w:val="center"/>
      <w:outlineLvl w:val="0"/>
    </w:pPr>
    <w:rPr>
      <w:rFonts w:ascii="Times New Roman" w:hAnsi="Times New Roman"/>
      <w:b/>
      <w:kern w:val="44"/>
      <w:sz w:val="32"/>
    </w:rPr>
  </w:style>
  <w:style w:type="paragraph" w:styleId="4">
    <w:name w:val="heading 2"/>
    <w:basedOn w:val="1"/>
    <w:next w:val="1"/>
    <w:link w:val="38"/>
    <w:qFormat/>
    <w:uiPriority w:val="99"/>
    <w:pPr>
      <w:keepNext/>
      <w:keepLines/>
      <w:spacing w:line="413" w:lineRule="auto"/>
      <w:jc w:val="center"/>
      <w:outlineLvl w:val="1"/>
    </w:pPr>
    <w:rPr>
      <w:rFonts w:ascii="Arial" w:hAnsi="Arial"/>
      <w:b/>
      <w:sz w:val="28"/>
    </w:rPr>
  </w:style>
  <w:style w:type="paragraph" w:styleId="5">
    <w:name w:val="heading 3"/>
    <w:basedOn w:val="1"/>
    <w:next w:val="1"/>
    <w:link w:val="50"/>
    <w:qFormat/>
    <w:uiPriority w:val="99"/>
    <w:pPr>
      <w:keepNext/>
      <w:keepLines/>
      <w:spacing w:line="413" w:lineRule="auto"/>
      <w:outlineLvl w:val="2"/>
    </w:pPr>
    <w:rPr>
      <w:b/>
      <w:sz w:val="28"/>
    </w:rPr>
  </w:style>
  <w:style w:type="paragraph" w:styleId="2">
    <w:name w:val="heading 4"/>
    <w:basedOn w:val="1"/>
    <w:next w:val="1"/>
    <w:qFormat/>
    <w:locked/>
    <w:uiPriority w:val="0"/>
    <w:pPr>
      <w:keepNext/>
      <w:keepLines/>
      <w:jc w:val="left"/>
      <w:outlineLvl w:val="3"/>
    </w:pPr>
    <w:rPr>
      <w:rFonts w:hint="eastAsia" w:ascii="Arial" w:hAnsi="Arial"/>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7">
    <w:name w:val="annotation text"/>
    <w:basedOn w:val="1"/>
    <w:link w:val="44"/>
    <w:qFormat/>
    <w:uiPriority w:val="99"/>
    <w:pPr>
      <w:jc w:val="left"/>
    </w:pPr>
    <w:rPr>
      <w:rFonts w:ascii="宋体"/>
      <w:kern w:val="0"/>
      <w:sz w:val="34"/>
    </w:rPr>
  </w:style>
  <w:style w:type="paragraph" w:styleId="8">
    <w:name w:val="Body Text"/>
    <w:basedOn w:val="1"/>
    <w:next w:val="1"/>
    <w:link w:val="57"/>
    <w:qFormat/>
    <w:uiPriority w:val="99"/>
  </w:style>
  <w:style w:type="paragraph" w:styleId="9">
    <w:name w:val="Body Text Indent"/>
    <w:basedOn w:val="1"/>
    <w:unhideWhenUsed/>
    <w:qFormat/>
    <w:uiPriority w:val="99"/>
    <w:pPr>
      <w:ind w:left="420" w:leftChars="200"/>
    </w:pPr>
  </w:style>
  <w:style w:type="paragraph" w:styleId="10">
    <w:name w:val="toc 3"/>
    <w:basedOn w:val="1"/>
    <w:next w:val="1"/>
    <w:qFormat/>
    <w:uiPriority w:val="99"/>
    <w:pPr>
      <w:ind w:left="840" w:leftChars="400"/>
    </w:pPr>
  </w:style>
  <w:style w:type="paragraph" w:styleId="11">
    <w:name w:val="Plain Text"/>
    <w:basedOn w:val="1"/>
    <w:link w:val="58"/>
    <w:qFormat/>
    <w:uiPriority w:val="99"/>
    <w:pPr>
      <w:spacing w:line="324" w:lineRule="auto"/>
    </w:pPr>
    <w:rPr>
      <w:rFonts w:ascii="宋体" w:hAnsi="Courier New" w:cs="Courier New"/>
      <w:szCs w:val="21"/>
    </w:rPr>
  </w:style>
  <w:style w:type="paragraph" w:styleId="12">
    <w:name w:val="Date"/>
    <w:basedOn w:val="1"/>
    <w:next w:val="1"/>
    <w:unhideWhenUsed/>
    <w:qFormat/>
    <w:uiPriority w:val="99"/>
    <w:rPr>
      <w:rFonts w:ascii="Copperplate Gothic Bold" w:hAnsi="Copperplate Gothic Bold"/>
      <w:sz w:val="32"/>
      <w:szCs w:val="20"/>
    </w:rPr>
  </w:style>
  <w:style w:type="paragraph" w:styleId="13">
    <w:name w:val="Body Text Indent 2"/>
    <w:basedOn w:val="1"/>
    <w:link w:val="59"/>
    <w:qFormat/>
    <w:uiPriority w:val="99"/>
    <w:pPr>
      <w:spacing w:after="120" w:line="480" w:lineRule="auto"/>
      <w:ind w:left="420" w:leftChars="200"/>
    </w:pPr>
  </w:style>
  <w:style w:type="paragraph" w:styleId="14">
    <w:name w:val="Balloon Text"/>
    <w:basedOn w:val="1"/>
    <w:link w:val="40"/>
    <w:qFormat/>
    <w:uiPriority w:val="99"/>
    <w:rPr>
      <w:sz w:val="18"/>
      <w:szCs w:val="18"/>
    </w:rPr>
  </w:style>
  <w:style w:type="paragraph" w:styleId="15">
    <w:name w:val="footer"/>
    <w:basedOn w:val="1"/>
    <w:link w:val="60"/>
    <w:qFormat/>
    <w:uiPriority w:val="99"/>
    <w:pPr>
      <w:tabs>
        <w:tab w:val="center" w:pos="4153"/>
        <w:tab w:val="right" w:pos="8306"/>
      </w:tabs>
      <w:snapToGrid w:val="0"/>
      <w:jc w:val="left"/>
    </w:pPr>
    <w:rPr>
      <w:sz w:val="18"/>
      <w:szCs w:val="18"/>
    </w:rPr>
  </w:style>
  <w:style w:type="paragraph" w:styleId="16">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style>
  <w:style w:type="paragraph" w:styleId="18">
    <w:name w:val="toc 2"/>
    <w:basedOn w:val="1"/>
    <w:next w:val="1"/>
    <w:qFormat/>
    <w:uiPriority w:val="99"/>
    <w:pPr>
      <w:ind w:left="420" w:leftChars="200"/>
    </w:pPr>
  </w:style>
  <w:style w:type="paragraph" w:styleId="19">
    <w:name w:val="Body Text 2"/>
    <w:basedOn w:val="1"/>
    <w:link w:val="62"/>
    <w:qFormat/>
    <w:uiPriority w:val="99"/>
    <w:pPr>
      <w:jc w:val="center"/>
    </w:pPr>
    <w:rPr>
      <w:b/>
      <w:spacing w:val="-20"/>
      <w:w w:val="130"/>
      <w:sz w:val="48"/>
      <w:szCs w:val="20"/>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7"/>
    <w:next w:val="7"/>
    <w:link w:val="47"/>
    <w:unhideWhenUsed/>
    <w:qFormat/>
    <w:uiPriority w:val="99"/>
    <w:rPr>
      <w:rFonts w:ascii="Calibri"/>
      <w:b/>
      <w:bCs/>
      <w:kern w:val="2"/>
      <w:sz w:val="21"/>
    </w:rPr>
  </w:style>
  <w:style w:type="paragraph" w:styleId="22">
    <w:name w:val="Body Text First Indent"/>
    <w:basedOn w:val="8"/>
    <w:unhideWhenUsed/>
    <w:qFormat/>
    <w:uiPriority w:val="99"/>
    <w:pPr>
      <w:ind w:firstLine="420" w:firstLineChars="100"/>
    </w:pPr>
    <w:rPr>
      <w:rFonts w:ascii="Times New Roman" w:hAnsi="Times New Roman"/>
      <w:sz w:val="18"/>
      <w:szCs w:val="18"/>
    </w:rPr>
  </w:style>
  <w:style w:type="paragraph" w:styleId="23">
    <w:name w:val="Body Text First Indent 2"/>
    <w:basedOn w:val="9"/>
    <w:qFormat/>
    <w:uiPriority w:val="99"/>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99"/>
    <w:rPr>
      <w:rFonts w:cs="Times New Roman"/>
      <w:b/>
      <w:sz w:val="24"/>
      <w:szCs w:val="24"/>
    </w:rPr>
  </w:style>
  <w:style w:type="character" w:styleId="28">
    <w:name w:val="page number"/>
    <w:basedOn w:val="26"/>
    <w:qFormat/>
    <w:uiPriority w:val="99"/>
    <w:rPr>
      <w:rFonts w:cs="Times New Roman"/>
    </w:rPr>
  </w:style>
  <w:style w:type="character" w:styleId="29">
    <w:name w:val="FollowedHyperlink"/>
    <w:basedOn w:val="26"/>
    <w:unhideWhenUsed/>
    <w:qFormat/>
    <w:uiPriority w:val="99"/>
    <w:rPr>
      <w:rFonts w:hint="eastAsia" w:ascii="宋体" w:hAnsi="宋体" w:eastAsia="宋体" w:cs="宋体"/>
      <w:color w:val="000000"/>
      <w:sz w:val="18"/>
      <w:szCs w:val="18"/>
      <w:u w:val="none"/>
    </w:rPr>
  </w:style>
  <w:style w:type="character" w:styleId="30">
    <w:name w:val="Emphasis"/>
    <w:basedOn w:val="26"/>
    <w:qFormat/>
    <w:uiPriority w:val="99"/>
    <w:rPr>
      <w:rFonts w:cs="Times New Roman"/>
      <w:i/>
      <w:iCs/>
    </w:rPr>
  </w:style>
  <w:style w:type="character" w:styleId="31">
    <w:name w:val="HTML Definition"/>
    <w:basedOn w:val="26"/>
    <w:unhideWhenUsed/>
    <w:qFormat/>
    <w:uiPriority w:val="99"/>
    <w:rPr>
      <w:i/>
      <w:iCs/>
    </w:rPr>
  </w:style>
  <w:style w:type="character" w:styleId="32">
    <w:name w:val="Hyperlink"/>
    <w:basedOn w:val="26"/>
    <w:qFormat/>
    <w:uiPriority w:val="99"/>
    <w:rPr>
      <w:rFonts w:cs="Times New Roman"/>
      <w:color w:val="0000FF"/>
      <w:u w:val="single"/>
    </w:rPr>
  </w:style>
  <w:style w:type="character" w:styleId="33">
    <w:name w:val="HTML Code"/>
    <w:basedOn w:val="26"/>
    <w:unhideWhenUsed/>
    <w:qFormat/>
    <w:uiPriority w:val="99"/>
    <w:rPr>
      <w:rFonts w:hint="default" w:ascii="Consolas" w:hAnsi="Consolas" w:eastAsia="Consolas" w:cs="Consolas"/>
      <w:color w:val="C7254E"/>
      <w:sz w:val="21"/>
      <w:szCs w:val="21"/>
      <w:shd w:val="clear" w:color="auto" w:fill="F9F2F4"/>
    </w:rPr>
  </w:style>
  <w:style w:type="character" w:styleId="34">
    <w:name w:val="annotation reference"/>
    <w:basedOn w:val="26"/>
    <w:qFormat/>
    <w:uiPriority w:val="99"/>
    <w:rPr>
      <w:rFonts w:cs="Times New Roman"/>
      <w:sz w:val="21"/>
    </w:rPr>
  </w:style>
  <w:style w:type="character" w:styleId="35">
    <w:name w:val="HTML Cite"/>
    <w:basedOn w:val="26"/>
    <w:qFormat/>
    <w:uiPriority w:val="99"/>
    <w:rPr>
      <w:rFonts w:cs="Times New Roman"/>
      <w:sz w:val="24"/>
      <w:szCs w:val="24"/>
    </w:rPr>
  </w:style>
  <w:style w:type="character" w:styleId="36">
    <w:name w:val="HTML Keyboard"/>
    <w:basedOn w:val="26"/>
    <w:unhideWhenUsed/>
    <w:qFormat/>
    <w:uiPriority w:val="99"/>
    <w:rPr>
      <w:rFonts w:ascii="Consolas" w:hAnsi="Consolas" w:eastAsia="Consolas" w:cs="Consolas"/>
      <w:color w:val="FFFFFF"/>
      <w:sz w:val="21"/>
      <w:szCs w:val="21"/>
      <w:shd w:val="clear" w:color="auto" w:fill="333333"/>
    </w:rPr>
  </w:style>
  <w:style w:type="character" w:styleId="37">
    <w:name w:val="HTML Sample"/>
    <w:basedOn w:val="26"/>
    <w:unhideWhenUsed/>
    <w:qFormat/>
    <w:uiPriority w:val="99"/>
    <w:rPr>
      <w:rFonts w:hint="default" w:ascii="Consolas" w:hAnsi="Consolas" w:eastAsia="Consolas" w:cs="Consolas"/>
      <w:sz w:val="21"/>
      <w:szCs w:val="21"/>
    </w:rPr>
  </w:style>
  <w:style w:type="character" w:customStyle="1" w:styleId="38">
    <w:name w:val="标题 2 Char"/>
    <w:basedOn w:val="26"/>
    <w:link w:val="4"/>
    <w:semiHidden/>
    <w:qFormat/>
    <w:locked/>
    <w:uiPriority w:val="99"/>
    <w:rPr>
      <w:rFonts w:ascii="Cambria" w:hAnsi="Cambria" w:eastAsia="宋体" w:cs="Times New Roman"/>
      <w:b/>
      <w:bCs/>
      <w:sz w:val="32"/>
      <w:szCs w:val="32"/>
    </w:rPr>
  </w:style>
  <w:style w:type="character" w:customStyle="1" w:styleId="39">
    <w:name w:val="del1"/>
    <w:basedOn w:val="26"/>
    <w:qFormat/>
    <w:uiPriority w:val="99"/>
    <w:rPr>
      <w:rFonts w:cs="Times New Roman"/>
      <w:vanish/>
      <w:color w:val="666666"/>
      <w:sz w:val="18"/>
      <w:szCs w:val="18"/>
      <w:u w:val="single"/>
    </w:rPr>
  </w:style>
  <w:style w:type="character" w:customStyle="1" w:styleId="40">
    <w:name w:val="批注框文本 Char"/>
    <w:basedOn w:val="26"/>
    <w:link w:val="14"/>
    <w:qFormat/>
    <w:locked/>
    <w:uiPriority w:val="99"/>
    <w:rPr>
      <w:rFonts w:ascii="Calibri" w:hAnsi="Calibri" w:eastAsia="宋体" w:cs="Times New Roman"/>
      <w:kern w:val="2"/>
      <w:sz w:val="18"/>
      <w:szCs w:val="18"/>
    </w:rPr>
  </w:style>
  <w:style w:type="character" w:customStyle="1" w:styleId="41">
    <w:name w:val="10"/>
    <w:basedOn w:val="26"/>
    <w:qFormat/>
    <w:uiPriority w:val="99"/>
    <w:rPr>
      <w:rFonts w:ascii="Calibri" w:hAnsi="Calibri" w:cs="Times New Roman"/>
    </w:rPr>
  </w:style>
  <w:style w:type="character" w:customStyle="1" w:styleId="42">
    <w:name w:val="del3"/>
    <w:basedOn w:val="26"/>
    <w:qFormat/>
    <w:uiPriority w:val="99"/>
    <w:rPr>
      <w:rFonts w:cs="Times New Roman"/>
      <w:vanish/>
    </w:rPr>
  </w:style>
  <w:style w:type="character" w:customStyle="1" w:styleId="43">
    <w:name w:val="apple-style-span"/>
    <w:qFormat/>
    <w:uiPriority w:val="99"/>
  </w:style>
  <w:style w:type="character" w:customStyle="1" w:styleId="44">
    <w:name w:val="批注文字 Char"/>
    <w:basedOn w:val="26"/>
    <w:link w:val="7"/>
    <w:qFormat/>
    <w:locked/>
    <w:uiPriority w:val="99"/>
    <w:rPr>
      <w:rFonts w:ascii="宋体" w:hAnsi="Calibri" w:eastAsia="宋体" w:cs="Times New Roman"/>
      <w:sz w:val="22"/>
      <w:szCs w:val="22"/>
    </w:rPr>
  </w:style>
  <w:style w:type="character" w:customStyle="1" w:styleId="45">
    <w:name w:val="页眉 Char"/>
    <w:basedOn w:val="26"/>
    <w:link w:val="16"/>
    <w:semiHidden/>
    <w:qFormat/>
    <w:locked/>
    <w:uiPriority w:val="99"/>
    <w:rPr>
      <w:rFonts w:ascii="Calibri" w:hAnsi="Calibri" w:cs="Times New Roman"/>
      <w:sz w:val="18"/>
      <w:szCs w:val="18"/>
    </w:rPr>
  </w:style>
  <w:style w:type="character" w:customStyle="1" w:styleId="46">
    <w:name w:val="15"/>
    <w:basedOn w:val="26"/>
    <w:qFormat/>
    <w:uiPriority w:val="99"/>
    <w:rPr>
      <w:rFonts w:ascii="Calibri" w:hAnsi="Calibri" w:cs="Times New Roman"/>
      <w:i/>
      <w:iCs/>
    </w:rPr>
  </w:style>
  <w:style w:type="character" w:customStyle="1" w:styleId="47">
    <w:name w:val="批注主题 Char"/>
    <w:basedOn w:val="44"/>
    <w:link w:val="21"/>
    <w:semiHidden/>
    <w:qFormat/>
    <w:uiPriority w:val="99"/>
    <w:rPr>
      <w:rFonts w:ascii="Calibri" w:hAnsi="Calibri" w:eastAsia="宋体" w:cs="Times New Roman"/>
      <w:b/>
      <w:bCs/>
      <w:kern w:val="2"/>
      <w:sz w:val="21"/>
      <w:szCs w:val="22"/>
    </w:rPr>
  </w:style>
  <w:style w:type="character" w:customStyle="1" w:styleId="48">
    <w:name w:val="hour_am"/>
    <w:basedOn w:val="26"/>
    <w:qFormat/>
    <w:uiPriority w:val="0"/>
  </w:style>
  <w:style w:type="character" w:customStyle="1" w:styleId="49">
    <w:name w:val="标题 1 Char"/>
    <w:basedOn w:val="26"/>
    <w:link w:val="3"/>
    <w:qFormat/>
    <w:locked/>
    <w:uiPriority w:val="99"/>
    <w:rPr>
      <w:rFonts w:ascii="Calibri" w:hAnsi="Calibri" w:cs="Times New Roman"/>
      <w:b/>
      <w:bCs/>
      <w:kern w:val="44"/>
      <w:sz w:val="44"/>
      <w:szCs w:val="44"/>
    </w:rPr>
  </w:style>
  <w:style w:type="character" w:customStyle="1" w:styleId="50">
    <w:name w:val="标题 3 Char"/>
    <w:basedOn w:val="26"/>
    <w:link w:val="5"/>
    <w:semiHidden/>
    <w:qFormat/>
    <w:locked/>
    <w:uiPriority w:val="99"/>
    <w:rPr>
      <w:rFonts w:ascii="Calibri" w:hAnsi="Calibri" w:eastAsia="宋体" w:cs="Times New Roman"/>
      <w:b/>
      <w:bCs/>
      <w:sz w:val="28"/>
      <w:szCs w:val="32"/>
    </w:rPr>
  </w:style>
  <w:style w:type="character" w:customStyle="1" w:styleId="51">
    <w:name w:val="font11"/>
    <w:basedOn w:val="26"/>
    <w:qFormat/>
    <w:uiPriority w:val="0"/>
    <w:rPr>
      <w:rFonts w:ascii="Arial" w:hAnsi="Arial" w:cs="Arial"/>
      <w:color w:val="000000"/>
      <w:sz w:val="22"/>
      <w:szCs w:val="22"/>
      <w:u w:val="none"/>
    </w:rPr>
  </w:style>
  <w:style w:type="character" w:customStyle="1" w:styleId="52">
    <w:name w:val="hour_pm"/>
    <w:basedOn w:val="26"/>
    <w:qFormat/>
    <w:uiPriority w:val="0"/>
  </w:style>
  <w:style w:type="character" w:customStyle="1" w:styleId="53">
    <w:name w:val="button"/>
    <w:basedOn w:val="26"/>
    <w:qFormat/>
    <w:uiPriority w:val="0"/>
  </w:style>
  <w:style w:type="character" w:customStyle="1" w:styleId="54">
    <w:name w:val="hover3"/>
    <w:basedOn w:val="26"/>
    <w:qFormat/>
    <w:uiPriority w:val="0"/>
    <w:rPr>
      <w:shd w:val="clear" w:color="auto" w:fill="EEEEEE"/>
    </w:rPr>
  </w:style>
  <w:style w:type="character" w:customStyle="1" w:styleId="55">
    <w:name w:val="标题 1 Char1"/>
    <w:basedOn w:val="26"/>
    <w:link w:val="3"/>
    <w:qFormat/>
    <w:locked/>
    <w:uiPriority w:val="99"/>
    <w:rPr>
      <w:rFonts w:ascii="Times New Roman" w:hAnsi="Times New Roman" w:eastAsia="宋体" w:cs="Times New Roman"/>
      <w:b/>
      <w:kern w:val="44"/>
      <w:sz w:val="32"/>
    </w:rPr>
  </w:style>
  <w:style w:type="character" w:customStyle="1" w:styleId="56">
    <w:name w:val="font01"/>
    <w:basedOn w:val="26"/>
    <w:qFormat/>
    <w:uiPriority w:val="0"/>
    <w:rPr>
      <w:rFonts w:hint="eastAsia" w:ascii="宋体" w:hAnsi="宋体" w:eastAsia="宋体" w:cs="宋体"/>
      <w:color w:val="000000"/>
      <w:sz w:val="22"/>
      <w:szCs w:val="22"/>
      <w:u w:val="none"/>
    </w:rPr>
  </w:style>
  <w:style w:type="character" w:customStyle="1" w:styleId="57">
    <w:name w:val="正文文本 Char"/>
    <w:basedOn w:val="26"/>
    <w:link w:val="8"/>
    <w:semiHidden/>
    <w:qFormat/>
    <w:locked/>
    <w:uiPriority w:val="99"/>
    <w:rPr>
      <w:rFonts w:ascii="Calibri" w:hAnsi="Calibri" w:cs="Times New Roman"/>
    </w:rPr>
  </w:style>
  <w:style w:type="character" w:customStyle="1" w:styleId="58">
    <w:name w:val="纯文本 Char"/>
    <w:basedOn w:val="26"/>
    <w:link w:val="11"/>
    <w:semiHidden/>
    <w:qFormat/>
    <w:locked/>
    <w:uiPriority w:val="99"/>
    <w:rPr>
      <w:rFonts w:ascii="宋体" w:hAnsi="Courier New" w:cs="Courier New"/>
      <w:sz w:val="21"/>
      <w:szCs w:val="21"/>
    </w:rPr>
  </w:style>
  <w:style w:type="character" w:customStyle="1" w:styleId="59">
    <w:name w:val="正文文本缩进 2 Char"/>
    <w:basedOn w:val="26"/>
    <w:link w:val="13"/>
    <w:semiHidden/>
    <w:qFormat/>
    <w:locked/>
    <w:uiPriority w:val="99"/>
    <w:rPr>
      <w:rFonts w:ascii="Calibri" w:hAnsi="Calibri" w:cs="Times New Roman"/>
    </w:rPr>
  </w:style>
  <w:style w:type="character" w:customStyle="1" w:styleId="60">
    <w:name w:val="页脚 Char"/>
    <w:basedOn w:val="26"/>
    <w:link w:val="15"/>
    <w:semiHidden/>
    <w:qFormat/>
    <w:locked/>
    <w:uiPriority w:val="99"/>
    <w:rPr>
      <w:rFonts w:ascii="Calibri" w:hAnsi="Calibri" w:cs="Times New Roman"/>
      <w:sz w:val="18"/>
      <w:szCs w:val="18"/>
    </w:rPr>
  </w:style>
  <w:style w:type="character" w:customStyle="1" w:styleId="61">
    <w:name w:val="del"/>
    <w:basedOn w:val="26"/>
    <w:qFormat/>
    <w:uiPriority w:val="99"/>
    <w:rPr>
      <w:rFonts w:cs="Times New Roman"/>
    </w:rPr>
  </w:style>
  <w:style w:type="character" w:customStyle="1" w:styleId="62">
    <w:name w:val="正文文本 2 Char"/>
    <w:basedOn w:val="26"/>
    <w:link w:val="19"/>
    <w:semiHidden/>
    <w:qFormat/>
    <w:locked/>
    <w:uiPriority w:val="99"/>
    <w:rPr>
      <w:rFonts w:ascii="Calibri" w:hAnsi="Calibri" w:cs="Times New Roman"/>
    </w:rPr>
  </w:style>
  <w:style w:type="character" w:customStyle="1" w:styleId="63">
    <w:name w:val="del2"/>
    <w:basedOn w:val="26"/>
    <w:qFormat/>
    <w:uiPriority w:val="99"/>
    <w:rPr>
      <w:rFonts w:cs="Times New Roman"/>
      <w:vanish/>
    </w:rPr>
  </w:style>
  <w:style w:type="character" w:customStyle="1" w:styleId="64">
    <w:name w:val="tmpztreemove_arrow"/>
    <w:basedOn w:val="26"/>
    <w:qFormat/>
    <w:uiPriority w:val="0"/>
    <w:rPr>
      <w:shd w:val="clear" w:color="auto" w:fill="FFFFFF"/>
    </w:rPr>
  </w:style>
  <w:style w:type="character" w:customStyle="1" w:styleId="65">
    <w:name w:val="old"/>
    <w:basedOn w:val="26"/>
    <w:qFormat/>
    <w:uiPriority w:val="0"/>
    <w:rPr>
      <w:color w:val="999999"/>
    </w:rPr>
  </w:style>
  <w:style w:type="character" w:customStyle="1" w:styleId="66">
    <w:name w:val="glyphicon4"/>
    <w:basedOn w:val="26"/>
    <w:qFormat/>
    <w:uiPriority w:val="0"/>
  </w:style>
  <w:style w:type="paragraph" w:styleId="67">
    <w:name w:val="List Paragraph"/>
    <w:basedOn w:val="1"/>
    <w:qFormat/>
    <w:uiPriority w:val="99"/>
    <w:pPr>
      <w:ind w:firstLine="420" w:firstLineChars="200"/>
    </w:pPr>
  </w:style>
  <w:style w:type="paragraph" w:customStyle="1" w:styleId="68">
    <w:name w:val="正文缩进1"/>
    <w:basedOn w:val="1"/>
    <w:qFormat/>
    <w:uiPriority w:val="0"/>
    <w:pPr>
      <w:ind w:firstLine="420" w:firstLineChars="200"/>
    </w:pPr>
  </w:style>
  <w:style w:type="paragraph" w:customStyle="1" w:styleId="69">
    <w:name w:val="Default"/>
    <w:qFormat/>
    <w:uiPriority w:val="0"/>
    <w:pPr>
      <w:widowControl w:val="0"/>
      <w:autoSpaceDE w:val="0"/>
      <w:autoSpaceDN w:val="0"/>
      <w:adjustRightInd w:val="0"/>
    </w:pPr>
    <w:rPr>
      <w:rFonts w:ascii="Minion" w:hAnsi="Times New Roman" w:eastAsia="Minion" w:cs="Times New Roman"/>
      <w:color w:val="000000"/>
      <w:sz w:val="24"/>
      <w:lang w:val="en-US" w:eastAsia="zh-CN" w:bidi="ar-SA"/>
    </w:rPr>
  </w:style>
  <w:style w:type="paragraph" w:customStyle="1" w:styleId="70">
    <w:name w:val="列出段落2"/>
    <w:basedOn w:val="1"/>
    <w:qFormat/>
    <w:uiPriority w:val="99"/>
    <w:pPr>
      <w:ind w:firstLine="420" w:firstLineChars="200"/>
    </w:pPr>
  </w:style>
  <w:style w:type="paragraph" w:customStyle="1" w:styleId="71">
    <w:name w:val="无间隔1"/>
    <w:qFormat/>
    <w:uiPriority w:val="1"/>
    <w:pPr>
      <w:widowControl w:val="0"/>
      <w:spacing w:line="300" w:lineRule="auto"/>
    </w:pPr>
    <w:rPr>
      <w:rFonts w:ascii="Times New Roman" w:hAnsi="Times New Roman" w:eastAsia="宋体" w:cs="黑体"/>
      <w:kern w:val="2"/>
      <w:sz w:val="21"/>
      <w:szCs w:val="22"/>
      <w:lang w:val="en-US" w:eastAsia="zh-CN" w:bidi="ar-SA"/>
    </w:rPr>
  </w:style>
  <w:style w:type="paragraph" w:customStyle="1" w:styleId="72">
    <w:name w:val="Char2 Char Char Char"/>
    <w:basedOn w:val="1"/>
    <w:qFormat/>
    <w:uiPriority w:val="99"/>
    <w:rPr>
      <w:rFonts w:ascii="Tahoma" w:hAnsi="Tahoma"/>
      <w:sz w:val="24"/>
      <w:szCs w:val="20"/>
    </w:rPr>
  </w:style>
  <w:style w:type="paragraph" w:customStyle="1" w:styleId="73">
    <w:name w:val="列出段落1"/>
    <w:basedOn w:val="1"/>
    <w:qFormat/>
    <w:uiPriority w:val="99"/>
    <w:pPr>
      <w:ind w:firstLine="420" w:firstLineChars="200"/>
    </w:pPr>
  </w:style>
  <w:style w:type="paragraph" w:customStyle="1" w:styleId="74">
    <w:name w:val="_Style 4"/>
    <w:basedOn w:val="1"/>
    <w:qFormat/>
    <w:uiPriority w:val="99"/>
    <w:pPr>
      <w:ind w:firstLine="420" w:firstLineChars="200"/>
    </w:pPr>
  </w:style>
  <w:style w:type="paragraph" w:customStyle="1" w:styleId="75">
    <w:name w:val="_Style 2"/>
    <w:basedOn w:val="1"/>
    <w:qFormat/>
    <w:uiPriority w:val="99"/>
    <w:pPr>
      <w:ind w:firstLine="420" w:firstLineChars="200"/>
    </w:pPr>
  </w:style>
  <w:style w:type="paragraph" w:customStyle="1" w:styleId="76">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正文"/>
    <w:qFormat/>
    <w:uiPriority w:val="0"/>
    <w:pPr>
      <w:ind w:firstLine="560" w:firstLineChars="200"/>
    </w:pPr>
    <w:rPr>
      <w:rFonts w:ascii="仿宋_GB2312" w:hAnsi="Calibri" w:eastAsia="仿宋_GB2312" w:cs="Times New Roman"/>
      <w:kern w:val="2"/>
      <w:sz w:val="28"/>
      <w:szCs w:val="28"/>
      <w:lang w:val="en-US" w:eastAsia="zh-CN" w:bidi="ar-SA"/>
    </w:rPr>
  </w:style>
  <w:style w:type="paragraph" w:customStyle="1" w:styleId="78">
    <w:name w:val="Table Paragraph"/>
    <w:basedOn w:val="1"/>
    <w:qFormat/>
    <w:uiPriority w:val="1"/>
    <w:pPr>
      <w:autoSpaceDE w:val="0"/>
      <w:autoSpaceDN w:val="0"/>
      <w:adjustRightInd w:val="0"/>
      <w:jc w:val="left"/>
    </w:pPr>
    <w:rPr>
      <w:rFonts w:ascii="Times New Roman" w:hAnsi="Times New Roman"/>
      <w:kern w:val="0"/>
      <w:sz w:val="24"/>
      <w:szCs w:val="24"/>
    </w:rPr>
  </w:style>
  <w:style w:type="table" w:customStyle="1" w:styleId="79">
    <w:name w:val="网格型1"/>
    <w:basedOn w:val="2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0">
    <w:name w:val="indent"/>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25085</Words>
  <Characters>26389</Characters>
  <Lines>233</Lines>
  <Paragraphs>65</Paragraphs>
  <TotalTime>45</TotalTime>
  <ScaleCrop>false</ScaleCrop>
  <LinksUpToDate>false</LinksUpToDate>
  <CharactersWithSpaces>28353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2020-08-19T01:53:00Z</dcterms:created>
  <dc:creator>Administrator</dc:creator>
  <cp:lastModifiedBy>十五</cp:lastModifiedBy>
  <cp:lastPrinted>2021-05-24T10:00:00Z</cp:lastPrinted>
  <dcterms:modified xsi:type="dcterms:W3CDTF">2022-05-13T08:37:06Z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B65A1DB95885472288D6441582773B3E</vt:lpwstr>
  </property>
  <property fmtid="{D5CDD505-2E9C-101B-9397-08002B2CF9AE}" pid="4" name="commondata">
    <vt:lpwstr>eyJoZGlkIjoiZDE3OWIwYjUyYWRkZDIxNzRkYTcwZTc4ODlkMDBhNmUifQ==</vt:lpwstr>
  </property>
</Properties>
</file>