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360" w:lineRule="auto"/>
        <w:ind w:firstLine="141" w:firstLineChars="50"/>
        <w:rPr>
          <w:rFonts w:hint="default" w:ascii="仿宋" w:hAnsi="仿宋" w:eastAsia="仿宋" w:cs="仿宋"/>
          <w:b/>
          <w:color w:val="auto"/>
          <w:sz w:val="28"/>
          <w:szCs w:val="28"/>
          <w:highlight w:val="none"/>
          <w:lang w:val="en-US" w:eastAsia="zh-CN"/>
        </w:rPr>
      </w:pPr>
      <w:bookmarkStart w:id="0" w:name="_Toc519156735"/>
      <w:bookmarkStart w:id="1" w:name="_Toc21955"/>
      <w:bookmarkStart w:id="2" w:name="_Toc495908398"/>
      <w:bookmarkStart w:id="3" w:name="_Toc268"/>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none"/>
          <w:lang w:eastAsia="zh-CN"/>
        </w:rPr>
        <w:t>DRZB2022-ZC-142</w:t>
      </w:r>
    </w:p>
    <w:p>
      <w:pPr>
        <w:tabs>
          <w:tab w:val="left" w:pos="5145"/>
        </w:tabs>
        <w:spacing w:line="360" w:lineRule="auto"/>
        <w:jc w:val="center"/>
        <w:rPr>
          <w:rFonts w:hint="eastAsia" w:ascii="仿宋" w:hAnsi="仿宋" w:eastAsia="仿宋" w:cs="仿宋"/>
          <w:b/>
          <w:bCs/>
          <w:color w:val="auto"/>
          <w:sz w:val="52"/>
          <w:szCs w:val="52"/>
          <w:highlight w:val="none"/>
          <w:u w:val="none"/>
          <w:lang w:val="en-US" w:eastAsia="zh-CN"/>
        </w:rPr>
      </w:pPr>
    </w:p>
    <w:p>
      <w:pPr>
        <w:pStyle w:val="8"/>
        <w:rPr>
          <w:rFonts w:hint="eastAsia" w:ascii="仿宋" w:hAnsi="仿宋" w:eastAsia="仿宋" w:cs="仿宋"/>
          <w:b/>
          <w:bCs/>
          <w:color w:val="auto"/>
          <w:sz w:val="52"/>
          <w:szCs w:val="52"/>
          <w:highlight w:val="none"/>
          <w:u w:val="none"/>
          <w:lang w:val="en-US" w:eastAsia="zh-CN"/>
        </w:rPr>
      </w:pPr>
    </w:p>
    <w:p>
      <w:pPr>
        <w:pStyle w:val="8"/>
        <w:rPr>
          <w:rFonts w:hint="eastAsia" w:ascii="仿宋" w:hAnsi="仿宋" w:eastAsia="仿宋" w:cs="仿宋"/>
          <w:b/>
          <w:bCs/>
          <w:color w:val="auto"/>
          <w:sz w:val="52"/>
          <w:szCs w:val="52"/>
          <w:highlight w:val="none"/>
          <w:u w:val="none"/>
          <w:lang w:val="en-US" w:eastAsia="zh-CN"/>
        </w:rPr>
      </w:pPr>
    </w:p>
    <w:p>
      <w:pPr>
        <w:jc w:val="center"/>
        <w:rPr>
          <w:rFonts w:hint="eastAsia" w:ascii="仿宋" w:hAnsi="仿宋" w:eastAsia="仿宋" w:cs="仿宋"/>
          <w:b/>
          <w:bCs/>
          <w:color w:val="auto"/>
          <w:sz w:val="52"/>
          <w:szCs w:val="52"/>
          <w:highlight w:val="none"/>
          <w:u w:val="none"/>
          <w:lang w:val="en-US" w:eastAsia="zh-CN"/>
        </w:rPr>
      </w:pPr>
      <w:r>
        <w:rPr>
          <w:rFonts w:hint="eastAsia" w:ascii="仿宋" w:hAnsi="仿宋" w:eastAsia="仿宋" w:cs="仿宋"/>
          <w:b/>
          <w:bCs/>
          <w:color w:val="auto"/>
          <w:sz w:val="52"/>
          <w:szCs w:val="52"/>
          <w:highlight w:val="none"/>
          <w:u w:val="none"/>
          <w:lang w:val="en-US" w:eastAsia="zh-CN"/>
        </w:rPr>
        <w:t>西安市未央区人民法院集约送达</w:t>
      </w:r>
    </w:p>
    <w:p>
      <w:pPr>
        <w:jc w:val="center"/>
        <w:rPr>
          <w:rFonts w:hint="eastAsia" w:ascii="仿宋" w:hAnsi="仿宋" w:eastAsia="仿宋" w:cs="仿宋"/>
          <w:color w:val="auto"/>
          <w:sz w:val="22"/>
          <w:szCs w:val="28"/>
          <w:highlight w:val="none"/>
        </w:rPr>
      </w:pPr>
      <w:r>
        <w:rPr>
          <w:rFonts w:hint="eastAsia" w:ascii="仿宋" w:hAnsi="仿宋" w:eastAsia="仿宋" w:cs="仿宋"/>
          <w:b/>
          <w:bCs/>
          <w:color w:val="auto"/>
          <w:sz w:val="52"/>
          <w:szCs w:val="52"/>
          <w:highlight w:val="none"/>
          <w:u w:val="none"/>
          <w:lang w:val="en-US" w:eastAsia="zh-CN"/>
        </w:rPr>
        <w:t>服务项目</w:t>
      </w:r>
    </w:p>
    <w:p>
      <w:pPr>
        <w:pStyle w:val="3"/>
        <w:rPr>
          <w:rFonts w:hint="eastAsia" w:ascii="仿宋" w:hAnsi="仿宋" w:eastAsia="仿宋" w:cs="仿宋"/>
          <w:color w:val="auto"/>
          <w:sz w:val="28"/>
          <w:szCs w:val="28"/>
          <w:highlight w:val="none"/>
        </w:rPr>
      </w:pPr>
    </w:p>
    <w:p>
      <w:pPr>
        <w:rPr>
          <w:rFonts w:hint="eastAsia" w:ascii="仿宋" w:hAnsi="仿宋" w:eastAsia="仿宋" w:cs="仿宋"/>
          <w:sz w:val="22"/>
          <w:szCs w:val="28"/>
          <w:highlight w:val="none"/>
        </w:rPr>
      </w:pPr>
    </w:p>
    <w:p>
      <w:pPr>
        <w:rPr>
          <w:rFonts w:hint="eastAsia" w:ascii="仿宋" w:hAnsi="仿宋" w:eastAsia="仿宋" w:cs="仿宋"/>
          <w:color w:val="auto"/>
          <w:sz w:val="22"/>
          <w:szCs w:val="28"/>
          <w:highlight w:val="none"/>
        </w:rPr>
      </w:pPr>
    </w:p>
    <w:p>
      <w:pPr>
        <w:pStyle w:val="7"/>
        <w:jc w:val="both"/>
        <w:rPr>
          <w:rFonts w:hint="eastAsia" w:ascii="仿宋" w:hAnsi="仿宋" w:eastAsia="仿宋" w:cs="仿宋"/>
          <w:color w:val="auto"/>
          <w:sz w:val="32"/>
          <w:szCs w:val="36"/>
          <w:highlight w:val="none"/>
        </w:rPr>
      </w:pPr>
    </w:p>
    <w:p>
      <w:pPr>
        <w:tabs>
          <w:tab w:val="left" w:pos="5145"/>
        </w:tabs>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pPr>
        <w:tabs>
          <w:tab w:val="left" w:pos="5145"/>
        </w:tabs>
        <w:spacing w:line="360" w:lineRule="auto"/>
        <w:jc w:val="center"/>
        <w:rPr>
          <w:rFonts w:hint="eastAsia" w:ascii="仿宋" w:hAnsi="仿宋" w:eastAsia="仿宋" w:cs="仿宋"/>
          <w:color w:val="auto"/>
          <w:sz w:val="28"/>
          <w:szCs w:val="28"/>
          <w:highlight w:val="none"/>
        </w:rPr>
      </w:pPr>
    </w:p>
    <w:p>
      <w:pPr>
        <w:pStyle w:val="7"/>
        <w:rPr>
          <w:rFonts w:hint="eastAsia" w:ascii="仿宋" w:hAnsi="仿宋" w:eastAsia="仿宋" w:cs="仿宋"/>
          <w:color w:val="auto"/>
          <w:sz w:val="32"/>
          <w:szCs w:val="36"/>
          <w:highlight w:val="none"/>
        </w:rPr>
      </w:pPr>
    </w:p>
    <w:p>
      <w:pPr>
        <w:pStyle w:val="8"/>
        <w:rPr>
          <w:rFonts w:hint="eastAsia"/>
          <w:highlight w:val="none"/>
        </w:rPr>
      </w:pPr>
    </w:p>
    <w:p>
      <w:pPr>
        <w:tabs>
          <w:tab w:val="left" w:pos="5145"/>
        </w:tabs>
        <w:spacing w:line="360" w:lineRule="auto"/>
        <w:jc w:val="center"/>
        <w:rPr>
          <w:rFonts w:hint="eastAsia" w:ascii="仿宋" w:hAnsi="仿宋" w:eastAsia="仿宋" w:cs="仿宋"/>
          <w:b/>
          <w:color w:val="auto"/>
          <w:sz w:val="32"/>
          <w:szCs w:val="32"/>
          <w:highlight w:val="none"/>
        </w:rPr>
      </w:pPr>
    </w:p>
    <w:p>
      <w:pPr>
        <w:tabs>
          <w:tab w:val="left" w:pos="5145"/>
        </w:tabs>
        <w:spacing w:line="360" w:lineRule="auto"/>
        <w:jc w:val="center"/>
        <w:rPr>
          <w:rFonts w:hint="eastAsia" w:ascii="仿宋" w:hAnsi="仿宋" w:eastAsia="仿宋" w:cs="仿宋"/>
          <w:b/>
          <w:color w:val="auto"/>
          <w:sz w:val="32"/>
          <w:szCs w:val="32"/>
          <w:highlight w:val="none"/>
        </w:rPr>
      </w:pPr>
    </w:p>
    <w:p>
      <w:pPr>
        <w:pStyle w:val="3"/>
        <w:rPr>
          <w:rFonts w:hint="eastAsia" w:ascii="仿宋" w:hAnsi="仿宋" w:eastAsia="仿宋" w:cs="仿宋"/>
          <w:sz w:val="28"/>
          <w:szCs w:val="28"/>
          <w:highlight w:val="none"/>
        </w:rPr>
      </w:pPr>
    </w:p>
    <w:p>
      <w:pPr>
        <w:spacing w:line="800" w:lineRule="exact"/>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陕西德仁招标有限公司</w:t>
      </w:r>
    </w:p>
    <w:p>
      <w:pPr>
        <w:spacing w:line="800" w:lineRule="exact"/>
        <w:jc w:val="center"/>
        <w:rPr>
          <w:rFonts w:hint="eastAsia" w:ascii="仿宋" w:hAnsi="仿宋" w:eastAsia="仿宋" w:cs="仿宋"/>
          <w:b/>
          <w:color w:val="auto"/>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color w:val="auto"/>
          <w:sz w:val="36"/>
          <w:szCs w:val="36"/>
          <w:highlight w:val="none"/>
        </w:rPr>
        <w:t>二</w:t>
      </w:r>
      <w:r>
        <w:rPr>
          <w:rFonts w:hint="eastAsia" w:ascii="仿宋" w:hAnsi="仿宋" w:eastAsia="仿宋" w:cs="仿宋"/>
          <w:b/>
          <w:bCs/>
          <w:color w:val="auto"/>
          <w:sz w:val="36"/>
          <w:szCs w:val="36"/>
          <w:highlight w:val="none"/>
          <w:lang w:val="en-US" w:eastAsia="zh-CN"/>
        </w:rPr>
        <w:t>〇</w:t>
      </w:r>
      <w:r>
        <w:rPr>
          <w:rFonts w:hint="eastAsia" w:ascii="仿宋" w:hAnsi="仿宋" w:eastAsia="仿宋" w:cs="仿宋"/>
          <w:b/>
          <w:bCs/>
          <w:color w:val="auto"/>
          <w:sz w:val="36"/>
          <w:szCs w:val="36"/>
          <w:highlight w:val="none"/>
        </w:rPr>
        <w:t>二</w:t>
      </w:r>
      <w:r>
        <w:rPr>
          <w:rFonts w:hint="eastAsia" w:ascii="仿宋" w:hAnsi="仿宋" w:eastAsia="仿宋" w:cs="仿宋"/>
          <w:b/>
          <w:bCs/>
          <w:color w:val="auto"/>
          <w:sz w:val="36"/>
          <w:szCs w:val="36"/>
          <w:highlight w:val="none"/>
          <w:lang w:val="en-US" w:eastAsia="zh-CN"/>
        </w:rPr>
        <w:t>二</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六</w:t>
      </w:r>
      <w:r>
        <w:rPr>
          <w:rFonts w:hint="eastAsia" w:ascii="仿宋" w:hAnsi="仿宋" w:eastAsia="仿宋" w:cs="仿宋"/>
          <w:b/>
          <w:bCs/>
          <w:color w:val="auto"/>
          <w:sz w:val="36"/>
          <w:szCs w:val="36"/>
          <w:highlight w:val="none"/>
        </w:rPr>
        <w:t>月</w:t>
      </w:r>
    </w:p>
    <w:p>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pPr>
        <w:pStyle w:val="19"/>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_Toc26036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_Toc26036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_Toc30927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第二章  磋商供应商须知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_Toc2152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名词解释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_Toc2152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_Toc25299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磋商供应商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_Toc25299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_Toc19484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_Toc19484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- 14 -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_Toc10771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_Toc10771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_Toc30826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磋商响应文件封装、递交</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- 18 -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_Toc29603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val="en-US" w:eastAsia="zh-CN"/>
        </w:rPr>
        <w:t>与评审</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_Toc29603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- 20 -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_Toc12908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确定成交人、成交通知与签约</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_Toc12908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- 21 -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_Toc31527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八、其他事项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_Toc31527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- 21 -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_Toc3681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九</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成交服务费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_Toc3681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_Toc22117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_Toc22117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_Toc23409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第三章  磋商要求及说明</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_Toc23409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_Toc20085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第四章  商务及合同主要条款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_Toc20085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_Toc25245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第五章  评审办法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_Toc25245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- 36 -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9"/>
        <w:keepNext w:val="0"/>
        <w:keepLines w:val="0"/>
        <w:pageBreakBefore w:val="0"/>
        <w:widowControl w:val="0"/>
        <w:tabs>
          <w:tab w:val="right" w:leader="dot" w:pos="8902"/>
        </w:tabs>
        <w:kinsoku/>
        <w:wordWrap/>
        <w:overflowPunct/>
        <w:topLinePunct w:val="0"/>
        <w:autoSpaceDE/>
        <w:autoSpaceDN/>
        <w:bidi w:val="0"/>
        <w:adjustRightInd/>
        <w:snapToGrid/>
        <w:spacing w:line="480" w:lineRule="auto"/>
        <w:textAlignment w:val="auto"/>
        <w:rPr>
          <w:rFonts w:hint="eastAsia" w:ascii="仿宋" w:hAnsi="仿宋" w:eastAsia="仿宋" w:cs="仿宋"/>
          <w:sz w:val="22"/>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_Toc17274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lang w:val="en-US" w:eastAsia="zh-CN" w:bidi="ar-SA"/>
        </w:rPr>
        <w:t>第六章  竞争性磋商响应文件格式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_Toc17274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- 45 -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2"/>
        <w:keepNext w:val="0"/>
        <w:keepLines w:val="0"/>
        <w:pageBreakBefore w:val="0"/>
        <w:widowControl w:val="0"/>
        <w:tabs>
          <w:tab w:val="right" w:leader="hyphen" w:pos="9016"/>
        </w:tabs>
        <w:kinsoku/>
        <w:wordWrap/>
        <w:overflowPunct/>
        <w:topLinePunct w:val="0"/>
        <w:autoSpaceDE/>
        <w:autoSpaceDN/>
        <w:bidi w:val="0"/>
        <w:adjustRightInd/>
        <w:snapToGrid/>
        <w:spacing w:line="480" w:lineRule="auto"/>
        <w:ind w:left="0" w:leftChars="0"/>
        <w:jc w:val="center"/>
        <w:textAlignment w:val="auto"/>
        <w:rPr>
          <w:rFonts w:hint="eastAsia" w:ascii="仿宋" w:hAnsi="仿宋" w:eastAsia="仿宋" w:cs="仿宋"/>
          <w:sz w:val="32"/>
          <w:szCs w:val="32"/>
          <w:highlight w:val="none"/>
        </w:rPr>
      </w:pPr>
      <w:r>
        <w:rPr>
          <w:rFonts w:hint="eastAsia" w:ascii="仿宋" w:hAnsi="仿宋" w:eastAsia="仿宋" w:cs="仿宋"/>
          <w:sz w:val="22"/>
          <w:szCs w:val="32"/>
          <w:highlight w:val="none"/>
        </w:rPr>
        <w:fldChar w:fldCharType="end"/>
      </w:r>
    </w:p>
    <w:p>
      <w:pPr>
        <w:rPr>
          <w:rFonts w:hint="eastAsia" w:ascii="仿宋" w:hAnsi="仿宋" w:eastAsia="仿宋" w:cs="仿宋"/>
          <w:sz w:val="22"/>
          <w:szCs w:val="28"/>
          <w:highlight w:val="none"/>
        </w:rPr>
      </w:pPr>
    </w:p>
    <w:p>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pPr>
        <w:jc w:val="center"/>
        <w:outlineLvl w:val="0"/>
        <w:rPr>
          <w:rFonts w:hint="eastAsia" w:ascii="仿宋" w:hAnsi="仿宋" w:eastAsia="仿宋" w:cs="仿宋"/>
          <w:b/>
          <w:bCs/>
          <w:color w:val="auto"/>
          <w:kern w:val="2"/>
          <w:sz w:val="36"/>
          <w:szCs w:val="36"/>
          <w:highlight w:val="none"/>
          <w:lang w:val="en-US" w:eastAsia="zh-CN" w:bidi="ar-SA"/>
        </w:rPr>
      </w:pPr>
      <w:bookmarkStart w:id="4" w:name="_Toc26036"/>
      <w:bookmarkStart w:id="5" w:name="_Toc519156736"/>
      <w:bookmarkStart w:id="6" w:name="_Toc26933"/>
      <w:bookmarkStart w:id="7" w:name="_Toc28842"/>
      <w:bookmarkStart w:id="8" w:name="_Toc8474"/>
      <w:bookmarkStart w:id="9" w:name="_Toc495908399"/>
      <w:bookmarkStart w:id="10" w:name="_Toc2990"/>
      <w:r>
        <w:rPr>
          <w:rFonts w:hint="eastAsia" w:ascii="仿宋" w:hAnsi="仿宋" w:eastAsia="仿宋" w:cs="仿宋"/>
          <w:b/>
          <w:bCs/>
          <w:color w:val="auto"/>
          <w:kern w:val="2"/>
          <w:sz w:val="36"/>
          <w:szCs w:val="36"/>
          <w:highlight w:val="none"/>
          <w:lang w:val="en-US" w:eastAsia="zh-CN" w:bidi="ar-SA"/>
        </w:rPr>
        <w:t>第一章  竞争性磋商公告</w:t>
      </w:r>
      <w:bookmarkEnd w:id="4"/>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仿宋" w:hAnsi="仿宋" w:eastAsia="仿宋" w:cs="仿宋"/>
          <w:b/>
          <w:bCs/>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lang w:val="en-US" w:eastAsia="zh-CN" w:bidi="ar"/>
        </w:rPr>
        <w:t>西安市未央区人民法院集约送达服务项目竞争性磋商公告</w:t>
      </w:r>
    </w:p>
    <w:p>
      <w:pPr>
        <w:pStyle w:val="11"/>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项目概况</w:t>
      </w:r>
    </w:p>
    <w:p>
      <w:pPr>
        <w:pStyle w:val="24"/>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eastAsia="zh-CN"/>
        </w:rPr>
        <w:t>西安市未央区人民法院集约送达服务项目</w:t>
      </w:r>
      <w:r>
        <w:rPr>
          <w:rFonts w:hint="eastAsia" w:ascii="仿宋" w:hAnsi="仿宋" w:eastAsia="仿宋" w:cs="仿宋"/>
          <w:i w:val="0"/>
          <w:iCs w:val="0"/>
          <w:caps w:val="0"/>
          <w:color w:val="auto"/>
          <w:spacing w:val="0"/>
          <w:sz w:val="24"/>
          <w:szCs w:val="24"/>
          <w:highlight w:val="none"/>
        </w:rPr>
        <w:t>采购项目的潜在供应商应在西安市高新区沣惠南路20号华晶商务广场B座2301室获取采购文件，并于 2022年</w:t>
      </w:r>
      <w:r>
        <w:rPr>
          <w:rFonts w:hint="eastAsia" w:ascii="仿宋" w:hAnsi="仿宋" w:eastAsia="仿宋" w:cs="仿宋"/>
          <w:i w:val="0"/>
          <w:iCs w:val="0"/>
          <w:caps w:val="0"/>
          <w:color w:val="auto"/>
          <w:spacing w:val="0"/>
          <w:sz w:val="24"/>
          <w:szCs w:val="24"/>
          <w:highlight w:val="none"/>
          <w:lang w:val="en-US" w:eastAsia="zh-CN"/>
        </w:rPr>
        <w:t>06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24</w:t>
      </w:r>
      <w:r>
        <w:rPr>
          <w:rFonts w:hint="eastAsia" w:ascii="仿宋" w:hAnsi="仿宋" w:eastAsia="仿宋" w:cs="仿宋"/>
          <w:i w:val="0"/>
          <w:iCs w:val="0"/>
          <w:caps w:val="0"/>
          <w:color w:val="auto"/>
          <w:spacing w:val="0"/>
          <w:sz w:val="24"/>
          <w:szCs w:val="24"/>
          <w:highlight w:val="none"/>
        </w:rPr>
        <w:t xml:space="preserve">日 </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0分（北京时间）前提交响应文件。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一、项目基本情况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DRZB2022-ZC-142</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西安市未央区人民法院集约送达服务项目</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采购方式：竞争性磋商</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预算金额：</w:t>
      </w:r>
      <w:r>
        <w:rPr>
          <w:rFonts w:hint="eastAsia" w:ascii="仿宋" w:hAnsi="仿宋" w:eastAsia="仿宋" w:cs="仿宋"/>
          <w:i w:val="0"/>
          <w:iCs w:val="0"/>
          <w:caps w:val="0"/>
          <w:color w:val="auto"/>
          <w:spacing w:val="0"/>
          <w:sz w:val="24"/>
          <w:szCs w:val="24"/>
          <w:highlight w:val="none"/>
          <w:lang w:val="en-US" w:eastAsia="zh-CN"/>
        </w:rPr>
        <w:t>800</w:t>
      </w:r>
      <w:r>
        <w:rPr>
          <w:rFonts w:hint="eastAsia" w:ascii="仿宋" w:hAnsi="仿宋" w:eastAsia="仿宋" w:cs="仿宋"/>
          <w:i w:val="0"/>
          <w:iCs w:val="0"/>
          <w:caps w:val="0"/>
          <w:color w:val="auto"/>
          <w:spacing w:val="0"/>
          <w:sz w:val="24"/>
          <w:szCs w:val="24"/>
          <w:highlight w:val="none"/>
        </w:rPr>
        <w:t>,000.00元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西安市未央区人民法院集约送达服务项目</w:t>
      </w:r>
      <w:r>
        <w:rPr>
          <w:rFonts w:hint="eastAsia" w:ascii="仿宋" w:hAnsi="仿宋" w:eastAsia="仿宋" w:cs="仿宋"/>
          <w:i w:val="0"/>
          <w:iCs w:val="0"/>
          <w:caps w:val="0"/>
          <w:color w:val="auto"/>
          <w:spacing w:val="0"/>
          <w:sz w:val="24"/>
          <w:szCs w:val="24"/>
          <w:highlight w:val="none"/>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合同包预算金额：</w:t>
      </w:r>
      <w:r>
        <w:rPr>
          <w:rFonts w:hint="eastAsia" w:ascii="仿宋" w:hAnsi="仿宋" w:eastAsia="仿宋" w:cs="仿宋"/>
          <w:i w:val="0"/>
          <w:iCs w:val="0"/>
          <w:caps w:val="0"/>
          <w:color w:val="auto"/>
          <w:spacing w:val="0"/>
          <w:sz w:val="24"/>
          <w:szCs w:val="24"/>
          <w:highlight w:val="none"/>
          <w:lang w:val="en-US" w:eastAsia="zh-CN"/>
        </w:rPr>
        <w:t>800</w:t>
      </w:r>
      <w:r>
        <w:rPr>
          <w:rFonts w:hint="eastAsia" w:ascii="仿宋" w:hAnsi="仿宋" w:eastAsia="仿宋" w:cs="仿宋"/>
          <w:i w:val="0"/>
          <w:iCs w:val="0"/>
          <w:caps w:val="0"/>
          <w:color w:val="auto"/>
          <w:spacing w:val="0"/>
          <w:sz w:val="24"/>
          <w:szCs w:val="24"/>
          <w:highlight w:val="none"/>
        </w:rPr>
        <w:t>,000.00元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合同包最高限价：</w:t>
      </w:r>
      <w:r>
        <w:rPr>
          <w:rFonts w:hint="eastAsia" w:ascii="仿宋" w:hAnsi="仿宋" w:eastAsia="仿宋" w:cs="仿宋"/>
          <w:i w:val="0"/>
          <w:iCs w:val="0"/>
          <w:caps w:val="0"/>
          <w:color w:val="auto"/>
          <w:spacing w:val="0"/>
          <w:sz w:val="24"/>
          <w:szCs w:val="24"/>
          <w:highlight w:val="none"/>
          <w:lang w:val="en-US" w:eastAsia="zh-CN"/>
        </w:rPr>
        <w:t>800</w:t>
      </w:r>
      <w:r>
        <w:rPr>
          <w:rFonts w:hint="eastAsia" w:ascii="仿宋" w:hAnsi="仿宋" w:eastAsia="仿宋" w:cs="仿宋"/>
          <w:i w:val="0"/>
          <w:iCs w:val="0"/>
          <w:caps w:val="0"/>
          <w:color w:val="auto"/>
          <w:spacing w:val="0"/>
          <w:sz w:val="24"/>
          <w:szCs w:val="24"/>
          <w:highlight w:val="none"/>
        </w:rPr>
        <w:t>,000.00元</w:t>
      </w:r>
    </w:p>
    <w:tbl>
      <w:tblPr>
        <w:tblStyle w:val="26"/>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2"/>
        <w:gridCol w:w="1048"/>
        <w:gridCol w:w="2657"/>
        <w:gridCol w:w="722"/>
        <w:gridCol w:w="1036"/>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4" w:hRule="atLeast"/>
          <w:tblHeader/>
          <w:jc w:val="center"/>
        </w:trPr>
        <w:tc>
          <w:tcPr>
            <w:tcW w:w="5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6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3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6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3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8" w:hRule="atLeast"/>
          <w:jc w:val="center"/>
        </w:trPr>
        <w:tc>
          <w:tcPr>
            <w:tcW w:w="5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6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其他专业技术服务</w:t>
            </w:r>
          </w:p>
        </w:tc>
        <w:tc>
          <w:tcPr>
            <w:tcW w:w="1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800000.00</w:t>
            </w:r>
          </w:p>
        </w:tc>
        <w:tc>
          <w:tcPr>
            <w:tcW w:w="3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6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800,000.00</w:t>
            </w:r>
          </w:p>
        </w:tc>
        <w:tc>
          <w:tcPr>
            <w:tcW w:w="3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800,000.00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合同履行期限：</w:t>
      </w:r>
      <w:r>
        <w:rPr>
          <w:rFonts w:hint="eastAsia" w:ascii="仿宋" w:hAnsi="仿宋" w:eastAsia="仿宋" w:cs="仿宋"/>
          <w:i w:val="0"/>
          <w:iCs w:val="0"/>
          <w:caps w:val="0"/>
          <w:color w:val="auto"/>
          <w:spacing w:val="0"/>
          <w:sz w:val="24"/>
          <w:szCs w:val="24"/>
          <w:highlight w:val="none"/>
          <w:lang w:val="en-US" w:eastAsia="zh-CN"/>
        </w:rPr>
        <w:t>1年</w:t>
      </w:r>
      <w:r>
        <w:rPr>
          <w:rFonts w:hint="eastAsia" w:ascii="仿宋" w:hAnsi="仿宋" w:eastAsia="仿宋" w:cs="仿宋"/>
          <w:kern w:val="0"/>
          <w:sz w:val="24"/>
          <w:szCs w:val="24"/>
          <w:highlight w:val="none"/>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二、申请人的资格要求：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1.满足《中华人民共和国政府釆购法》第二十二条规定;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2.落实政府采购政策需满足的资格要求：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西安市未央区人民法院集约送达服务项目</w:t>
      </w:r>
      <w:r>
        <w:rPr>
          <w:rFonts w:hint="eastAsia" w:ascii="仿宋" w:hAnsi="仿宋" w:eastAsia="仿宋" w:cs="仿宋"/>
          <w:i w:val="0"/>
          <w:iCs w:val="0"/>
          <w:caps w:val="0"/>
          <w:color w:val="auto"/>
          <w:spacing w:val="0"/>
          <w:sz w:val="24"/>
          <w:szCs w:val="24"/>
          <w:highlight w:val="none"/>
        </w:rPr>
        <w:t>)落实政府采购政策需满足的资格要求如下: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财政部 农业农村部 国家乡村振兴局关于运用政府采购政策支持乡村产业振兴的通知》（财库〔2021〕19号）；（9）《市场监督总局关于发布参与实施政府采购节能产品、环境标志产品认证机构名录的公告》—2019年第16号；（10）《政府采购促进中小企业发展管办法》（财库〔2020〕46号）；（11）其他需要落实的政府采购政策。</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3.本项目的特定资格要求：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西安市未央区人民法院集约送达服务项目</w:t>
      </w:r>
      <w:r>
        <w:rPr>
          <w:rFonts w:hint="eastAsia" w:ascii="仿宋" w:hAnsi="仿宋" w:eastAsia="仿宋" w:cs="仿宋"/>
          <w:i w:val="0"/>
          <w:iCs w:val="0"/>
          <w:caps w:val="0"/>
          <w:color w:val="auto"/>
          <w:spacing w:val="0"/>
          <w:sz w:val="24"/>
          <w:szCs w:val="24"/>
          <w:highlight w:val="none"/>
        </w:rPr>
        <w:t>)特定资格要求如下:</w:t>
      </w:r>
    </w:p>
    <w:p>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法定代表人直接参加磋商的，须出具法人身份证；法定代表人授权代表参加磋商的，须出具法定代表人授权书及授权代表身份证；（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kern w:val="2"/>
          <w:sz w:val="24"/>
          <w:szCs w:val="24"/>
          <w:highlight w:val="none"/>
          <w:shd w:val="clear" w:color="auto" w:fill="FFFFFF"/>
          <w:lang w:val="en-US" w:eastAsia="zh-CN" w:bidi="ar-SA"/>
        </w:rPr>
        <w:t>本项目为专门面向中小企业采购项目，供应商应出具中小企业声明函；</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）本项目不接受联合体磋商</w:t>
      </w:r>
      <w:r>
        <w:rPr>
          <w:rFonts w:hint="eastAsia" w:ascii="仿宋" w:hAnsi="仿宋" w:eastAsia="仿宋" w:cs="仿宋"/>
          <w:i w:val="0"/>
          <w:iCs w:val="0"/>
          <w:caps w:val="0"/>
          <w:color w:val="auto"/>
          <w:spacing w:val="0"/>
          <w:sz w:val="24"/>
          <w:szCs w:val="24"/>
          <w:highlight w:val="none"/>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三、获取采购文件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时间： 2022年</w:t>
      </w:r>
      <w:r>
        <w:rPr>
          <w:rFonts w:hint="eastAsia" w:ascii="仿宋" w:hAnsi="仿宋" w:eastAsia="仿宋" w:cs="仿宋"/>
          <w:i w:val="0"/>
          <w:iCs w:val="0"/>
          <w:caps w:val="0"/>
          <w:color w:val="auto"/>
          <w:spacing w:val="0"/>
          <w:sz w:val="24"/>
          <w:szCs w:val="24"/>
          <w:highlight w:val="none"/>
          <w:lang w:val="en-US" w:eastAsia="zh-CN"/>
        </w:rPr>
        <w:t>06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13</w:t>
      </w:r>
      <w:r>
        <w:rPr>
          <w:rFonts w:hint="eastAsia" w:ascii="仿宋" w:hAnsi="仿宋" w:eastAsia="仿宋" w:cs="仿宋"/>
          <w:i w:val="0"/>
          <w:iCs w:val="0"/>
          <w:caps w:val="0"/>
          <w:color w:val="auto"/>
          <w:spacing w:val="0"/>
          <w:sz w:val="24"/>
          <w:szCs w:val="24"/>
          <w:highlight w:val="none"/>
        </w:rPr>
        <w:t>日 至 2022年</w:t>
      </w:r>
      <w:r>
        <w:rPr>
          <w:rFonts w:hint="eastAsia" w:ascii="仿宋" w:hAnsi="仿宋" w:eastAsia="仿宋" w:cs="仿宋"/>
          <w:i w:val="0"/>
          <w:iCs w:val="0"/>
          <w:caps w:val="0"/>
          <w:color w:val="auto"/>
          <w:spacing w:val="0"/>
          <w:sz w:val="24"/>
          <w:szCs w:val="24"/>
          <w:highlight w:val="none"/>
          <w:lang w:val="en-US" w:eastAsia="zh-CN"/>
        </w:rPr>
        <w:t>06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20</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地点：西安市高新区沣惠南路20号华晶商务广场B座2301室</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方式：现场获取</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售价： 免费获取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四、响应文件提交</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截止时间： 2022年</w:t>
      </w:r>
      <w:r>
        <w:rPr>
          <w:rFonts w:hint="eastAsia" w:ascii="仿宋" w:hAnsi="仿宋" w:eastAsia="仿宋" w:cs="仿宋"/>
          <w:i w:val="0"/>
          <w:iCs w:val="0"/>
          <w:caps w:val="0"/>
          <w:color w:val="auto"/>
          <w:spacing w:val="0"/>
          <w:sz w:val="24"/>
          <w:szCs w:val="24"/>
          <w:highlight w:val="none"/>
          <w:lang w:val="en-US" w:eastAsia="zh-CN"/>
        </w:rPr>
        <w:t>06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24</w:t>
      </w:r>
      <w:r>
        <w:rPr>
          <w:rFonts w:hint="eastAsia" w:ascii="仿宋" w:hAnsi="仿宋" w:eastAsia="仿宋" w:cs="仿宋"/>
          <w:i w:val="0"/>
          <w:iCs w:val="0"/>
          <w:caps w:val="0"/>
          <w:color w:val="auto"/>
          <w:spacing w:val="0"/>
          <w:sz w:val="24"/>
          <w:szCs w:val="24"/>
          <w:highlight w:val="none"/>
        </w:rPr>
        <w:t xml:space="preserve">日 </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0分00秒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地点：西安市高新区沣惠南路20号华晶商务广场B座2301室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五、开启</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时间：  2022年</w:t>
      </w:r>
      <w:r>
        <w:rPr>
          <w:rFonts w:hint="eastAsia" w:ascii="仿宋" w:hAnsi="仿宋" w:eastAsia="仿宋" w:cs="仿宋"/>
          <w:i w:val="0"/>
          <w:iCs w:val="0"/>
          <w:caps w:val="0"/>
          <w:color w:val="auto"/>
          <w:spacing w:val="0"/>
          <w:sz w:val="24"/>
          <w:szCs w:val="24"/>
          <w:highlight w:val="none"/>
          <w:lang w:val="en-US" w:eastAsia="zh-CN"/>
        </w:rPr>
        <w:t>06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24</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0分00秒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地点：西安市高新区沣惠南路20号华晶商务广场B座2301室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六、公告期限</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自本公告发布之日起3个工作日。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七、其他补充事宜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b/>
          <w:bCs/>
          <w:i w:val="0"/>
          <w:iCs w:val="0"/>
          <w:caps w:val="0"/>
          <w:color w:val="auto"/>
          <w:spacing w:val="0"/>
          <w:sz w:val="24"/>
          <w:szCs w:val="24"/>
          <w:highlight w:val="none"/>
          <w:shd w:val="clear" w:fill="FFFFFF"/>
        </w:rPr>
        <w:t>1、购买采购文件时需携带经办人单位介绍信、身份证原件及复印件加盖公章，上午：9:00-12:00，下午14:00-17:00，节假日休息</w:t>
      </w:r>
      <w:r>
        <w:rPr>
          <w:rFonts w:hint="eastAsia" w:ascii="仿宋" w:hAnsi="仿宋" w:eastAsia="仿宋" w:cs="仿宋"/>
          <w:b/>
          <w:bCs/>
          <w:i w:val="0"/>
          <w:iCs w:val="0"/>
          <w:caps w:val="0"/>
          <w:color w:val="auto"/>
          <w:spacing w:val="0"/>
          <w:sz w:val="24"/>
          <w:szCs w:val="24"/>
          <w:highlight w:val="none"/>
          <w:shd w:val="clear" w:fill="FFFFFF"/>
          <w:lang w:eastAsia="zh-CN"/>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2、请供应商按照陕西省财政厅关于政府采购供应商注册登记有关事项的通知中的要求，通过陕西省政府采购网注册登记入库。</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rPr>
        <w:t>八、凡对本次采购提出询问，请按以下方式联系。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1.釆购人信息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名称：</w:t>
      </w:r>
      <w:r>
        <w:rPr>
          <w:rFonts w:hint="eastAsia" w:ascii="仿宋" w:hAnsi="仿宋" w:eastAsia="仿宋" w:cs="仿宋"/>
          <w:i w:val="0"/>
          <w:iCs w:val="0"/>
          <w:caps w:val="0"/>
          <w:color w:val="333333"/>
          <w:spacing w:val="0"/>
          <w:sz w:val="24"/>
          <w:szCs w:val="24"/>
          <w:highlight w:val="none"/>
          <w:shd w:val="clear" w:color="auto" w:fill="FFFFFF"/>
          <w:lang w:eastAsia="zh-CN"/>
        </w:rPr>
        <w:t>西安市未央区人民法院</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rPr>
        <w:t>地址：</w:t>
      </w:r>
      <w:r>
        <w:rPr>
          <w:rFonts w:hint="eastAsia" w:ascii="仿宋" w:hAnsi="仿宋" w:eastAsia="仿宋" w:cs="仿宋"/>
          <w:color w:val="000000"/>
          <w:kern w:val="2"/>
          <w:sz w:val="24"/>
          <w:szCs w:val="24"/>
          <w:highlight w:val="none"/>
          <w:lang w:val="en-US" w:eastAsia="zh-CN" w:bidi="ar-SA"/>
        </w:rPr>
        <w:t>西安市未央区浐灞大道2331号</w:t>
      </w:r>
      <w:bookmarkStart w:id="198" w:name="_GoBack"/>
      <w:bookmarkEnd w:id="198"/>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t>029-88010008</w:t>
      </w:r>
      <w:r>
        <w:rPr>
          <w:rFonts w:hint="eastAsia" w:ascii="仿宋" w:hAnsi="仿宋" w:eastAsia="仿宋" w:cs="仿宋"/>
          <w:i w:val="0"/>
          <w:iCs w:val="0"/>
          <w:caps w:val="0"/>
          <w:color w:val="auto"/>
          <w:spacing w:val="0"/>
          <w:sz w:val="24"/>
          <w:szCs w:val="24"/>
          <w:highlight w:val="none"/>
          <w:lang w:val="en-US" w:eastAsia="zh-CN"/>
        </w:rPr>
        <w:t xml:space="preserve">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2.釆购代理机构信息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名称：陕西德仁招标有限公司</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地址：西安市高新区沣惠南路20号华晶商务广场B座2301室</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333333"/>
          <w:spacing w:val="0"/>
          <w:sz w:val="24"/>
          <w:szCs w:val="24"/>
          <w:highlight w:val="none"/>
          <w:shd w:val="clear" w:color="auto" w:fill="FFFFFF"/>
        </w:rPr>
        <w:t>029-85565073</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3.项目联系方式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项目联系人：</w:t>
      </w:r>
      <w:r>
        <w:rPr>
          <w:rFonts w:hint="eastAsia" w:ascii="仿宋" w:hAnsi="仿宋" w:eastAsia="仿宋" w:cs="仿宋"/>
          <w:i w:val="0"/>
          <w:iCs w:val="0"/>
          <w:caps w:val="0"/>
          <w:color w:val="auto"/>
          <w:spacing w:val="0"/>
          <w:sz w:val="24"/>
          <w:szCs w:val="24"/>
          <w:highlight w:val="none"/>
          <w:lang w:val="en-US" w:eastAsia="zh-CN"/>
        </w:rPr>
        <w:t>胡晓均、张涛</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电话：</w:t>
      </w:r>
      <w:r>
        <w:rPr>
          <w:rFonts w:hint="eastAsia" w:ascii="仿宋" w:hAnsi="仿宋" w:eastAsia="仿宋" w:cs="仿宋"/>
          <w:i w:val="0"/>
          <w:iCs w:val="0"/>
          <w:caps w:val="0"/>
          <w:color w:val="333333"/>
          <w:spacing w:val="0"/>
          <w:sz w:val="24"/>
          <w:szCs w:val="24"/>
          <w:highlight w:val="none"/>
          <w:shd w:val="clear" w:color="auto" w:fill="FFFFFF"/>
        </w:rPr>
        <w:t>029-85565073</w:t>
      </w:r>
    </w:p>
    <w:p>
      <w:pPr>
        <w:rPr>
          <w:rFonts w:hint="eastAsia" w:ascii="仿宋" w:hAnsi="仿宋" w:eastAsia="仿宋" w:cs="仿宋"/>
          <w:b/>
          <w:bCs/>
          <w:color w:val="auto"/>
          <w:kern w:val="2"/>
          <w:sz w:val="36"/>
          <w:szCs w:val="36"/>
          <w:highlight w:val="none"/>
          <w:lang w:val="en-US" w:eastAsia="zh-CN" w:bidi="ar-SA"/>
        </w:rPr>
      </w:pPr>
      <w:bookmarkStart w:id="11" w:name="_Toc30927"/>
      <w:r>
        <w:rPr>
          <w:rFonts w:hint="eastAsia" w:ascii="仿宋" w:hAnsi="仿宋" w:eastAsia="仿宋" w:cs="仿宋"/>
          <w:b/>
          <w:bCs/>
          <w:color w:val="auto"/>
          <w:kern w:val="2"/>
          <w:sz w:val="36"/>
          <w:szCs w:val="36"/>
          <w:highlight w:val="none"/>
          <w:lang w:val="en-US" w:eastAsia="zh-CN" w:bidi="ar-SA"/>
        </w:rPr>
        <w:br w:type="page"/>
      </w:r>
    </w:p>
    <w:p>
      <w:pPr>
        <w:jc w:val="center"/>
        <w:outlineLvl w:val="0"/>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第二章  磋商供应商须知</w:t>
      </w:r>
      <w:bookmarkEnd w:id="5"/>
      <w:bookmarkEnd w:id="6"/>
      <w:bookmarkEnd w:id="7"/>
      <w:bookmarkEnd w:id="8"/>
      <w:bookmarkEnd w:id="9"/>
      <w:bookmarkEnd w:id="10"/>
      <w:bookmarkEnd w:id="11"/>
    </w:p>
    <w:p>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6"/>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7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981"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981" w:type="dxa"/>
            <w:vAlign w:val="center"/>
          </w:tcPr>
          <w:p>
            <w:pPr>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kern w:val="0"/>
                <w:sz w:val="24"/>
                <w:szCs w:val="24"/>
                <w:highlight w:val="none"/>
                <w:lang w:eastAsia="zh-CN"/>
              </w:rPr>
              <w:t>西安市未央区人民法院</w:t>
            </w:r>
          </w:p>
          <w:p>
            <w:pPr>
              <w:pStyle w:val="24"/>
              <w:shd w:val="clear" w:color="auto" w:fill="FFFFFF"/>
              <w:spacing w:before="0" w:beforeAutospacing="0" w:after="0" w:afterAutospacing="0" w:line="510" w:lineRule="atLeas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地  址：</w:t>
            </w:r>
            <w:r>
              <w:rPr>
                <w:rFonts w:hint="eastAsia" w:ascii="仿宋" w:hAnsi="仿宋" w:eastAsia="仿宋" w:cs="仿宋"/>
                <w:color w:val="000000"/>
                <w:kern w:val="2"/>
                <w:sz w:val="24"/>
                <w:szCs w:val="24"/>
                <w:highlight w:val="none"/>
                <w:lang w:val="en-US" w:eastAsia="zh-CN" w:bidi="ar-SA"/>
              </w:rPr>
              <w:t>西安市未央区浐灞大道2331号</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李</w:t>
            </w:r>
            <w:r>
              <w:rPr>
                <w:rFonts w:hint="eastAsia" w:ascii="仿宋" w:hAnsi="仿宋" w:eastAsia="仿宋" w:cs="仿宋"/>
                <w:sz w:val="24"/>
                <w:szCs w:val="24"/>
                <w:highlight w:val="none"/>
                <w:lang w:eastAsia="zh-CN"/>
              </w:rPr>
              <w:t>老师</w:t>
            </w:r>
          </w:p>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eastAsia="zh-CN"/>
              </w:rPr>
              <w:t>029-88010008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981" w:type="dxa"/>
            <w:vAlign w:val="center"/>
          </w:tcPr>
          <w:p>
            <w:pPr>
              <w:spacing w:line="396"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名  称：陕西德仁招标有限公司</w:t>
            </w:r>
          </w:p>
          <w:p>
            <w:pPr>
              <w:spacing w:line="396"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地  址：西安市高新区沣惠南路20号华晶商务广场B座1幢2301室</w:t>
            </w:r>
          </w:p>
          <w:p>
            <w:pPr>
              <w:spacing w:line="396"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联系人：胡晓均、张涛、赵璐</w:t>
            </w:r>
          </w:p>
          <w:p>
            <w:pPr>
              <w:spacing w:line="396"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电  话：029-85565073</w:t>
            </w:r>
          </w:p>
          <w:p>
            <w:pPr>
              <w:pStyle w:val="2"/>
              <w:ind w:left="0" w:leftChars="0" w:firstLine="0" w:firstLineChars="0"/>
              <w:rPr>
                <w:rFonts w:hint="default"/>
                <w:highlight w:val="none"/>
                <w:lang w:val="en-US" w:eastAsia="zh-CN"/>
              </w:rPr>
            </w:pPr>
            <w:r>
              <w:rPr>
                <w:rFonts w:hint="eastAsia" w:ascii="仿宋" w:hAnsi="仿宋" w:eastAsia="仿宋" w:cs="仿宋"/>
                <w:color w:val="000000"/>
                <w:kern w:val="2"/>
                <w:sz w:val="24"/>
                <w:szCs w:val="24"/>
                <w:highlight w:val="none"/>
                <w:lang w:val="en-US" w:eastAsia="zh-CN" w:bidi="ar-SA"/>
              </w:rPr>
              <w:t>邮箱：huxiaojun@sxdrzb.cn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3</w:t>
            </w:r>
          </w:p>
        </w:tc>
        <w:tc>
          <w:tcPr>
            <w:tcW w:w="2173" w:type="dxa"/>
            <w:vAlign w:val="center"/>
          </w:tcPr>
          <w:p>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项目属性</w:t>
            </w:r>
          </w:p>
        </w:tc>
        <w:tc>
          <w:tcPr>
            <w:tcW w:w="6981" w:type="dxa"/>
            <w:vAlign w:val="center"/>
          </w:tcPr>
          <w:p>
            <w:pPr>
              <w:pStyle w:val="24"/>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kern w:val="2"/>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4</w:t>
            </w:r>
          </w:p>
        </w:tc>
        <w:tc>
          <w:tcPr>
            <w:tcW w:w="2173" w:type="dxa"/>
            <w:vAlign w:val="center"/>
          </w:tcPr>
          <w:p>
            <w:pPr>
              <w:pStyle w:val="14"/>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采购标的所属行业</w:t>
            </w:r>
          </w:p>
        </w:tc>
        <w:tc>
          <w:tcPr>
            <w:tcW w:w="6981" w:type="dxa"/>
            <w:vAlign w:val="center"/>
          </w:tcPr>
          <w:p>
            <w:pPr>
              <w:pStyle w:val="24"/>
              <w:spacing w:before="0" w:beforeAutospacing="0" w:after="0" w:afterAutospacing="0"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5</w:t>
            </w:r>
          </w:p>
        </w:tc>
        <w:tc>
          <w:tcPr>
            <w:tcW w:w="2173" w:type="dxa"/>
            <w:vAlign w:val="center"/>
          </w:tcPr>
          <w:p>
            <w:pPr>
              <w:pStyle w:val="14"/>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是否为专门面向中小企业采购</w:t>
            </w:r>
          </w:p>
        </w:tc>
        <w:tc>
          <w:tcPr>
            <w:tcW w:w="6981" w:type="dxa"/>
            <w:vAlign w:val="center"/>
          </w:tcPr>
          <w:p>
            <w:pPr>
              <w:pStyle w:val="14"/>
              <w:spacing w:line="50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6</w:t>
            </w:r>
          </w:p>
        </w:tc>
        <w:tc>
          <w:tcPr>
            <w:tcW w:w="2173" w:type="dxa"/>
            <w:vAlign w:val="center"/>
          </w:tcPr>
          <w:p>
            <w:pPr>
              <w:pStyle w:val="14"/>
              <w:spacing w:line="50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中小企业信用融资</w:t>
            </w:r>
          </w:p>
        </w:tc>
        <w:tc>
          <w:tcPr>
            <w:tcW w:w="6981" w:type="dxa"/>
            <w:vAlign w:val="center"/>
          </w:tcPr>
          <w:p>
            <w:pPr>
              <w:spacing w:line="5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1、陕西省财政厅关于加快推进我省中小企业政府采购信用融资工作的通知-陕财办采〔2020〕15 号</w:t>
            </w:r>
          </w:p>
          <w:p>
            <w:pPr>
              <w:spacing w:line="5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2、陕西省财政厅关于印发《陕西省中小企业政府采购信用融资办法》（陕财办采〔2018〕23号）</w:t>
            </w:r>
          </w:p>
          <w:p>
            <w:pPr>
              <w:pStyle w:val="14"/>
              <w:spacing w:line="500" w:lineRule="exac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具体情况，可登录“陕西省政府采购网-陕西省政府采购信用融资平台”查看详情。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2173" w:type="dxa"/>
            <w:vAlign w:val="center"/>
          </w:tcPr>
          <w:p>
            <w:pPr>
              <w:pageBreakBefore w:val="0"/>
              <w:kinsoku/>
              <w:wordWrap/>
              <w:overflowPunct/>
              <w:topLinePunct w:val="0"/>
              <w:bidi w:val="0"/>
              <w:snapToGrid/>
              <w:spacing w:line="5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资金来源</w:t>
            </w:r>
          </w:p>
        </w:tc>
        <w:tc>
          <w:tcPr>
            <w:tcW w:w="6981" w:type="dxa"/>
            <w:vAlign w:val="center"/>
          </w:tcPr>
          <w:p>
            <w:pPr>
              <w:pageBreakBefore w:val="0"/>
              <w:kinsoku/>
              <w:wordWrap/>
              <w:overflowPunct/>
              <w:topLinePunct w:val="0"/>
              <w:bidi w:val="0"/>
              <w:snapToGrid/>
              <w:spacing w:line="50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2173" w:type="dxa"/>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资金落实情况</w:t>
            </w:r>
          </w:p>
        </w:tc>
        <w:tc>
          <w:tcPr>
            <w:tcW w:w="6981"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2173" w:type="dxa"/>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采购内容</w:t>
            </w:r>
          </w:p>
        </w:tc>
        <w:tc>
          <w:tcPr>
            <w:tcW w:w="6981" w:type="dxa"/>
            <w:vAlign w:val="center"/>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预算金额：80万元</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bidi="ar-SA"/>
              </w:rPr>
              <w:t>详见竞争性磋商文件第三部分磋商要求及说明。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10</w:t>
            </w:r>
          </w:p>
        </w:tc>
        <w:tc>
          <w:tcPr>
            <w:tcW w:w="2173" w:type="dxa"/>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服务期</w:t>
            </w:r>
          </w:p>
        </w:tc>
        <w:tc>
          <w:tcPr>
            <w:tcW w:w="6981"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质量标准</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u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2173" w:type="dxa"/>
            <w:vAlign w:val="center"/>
          </w:tcPr>
          <w:p>
            <w:pPr>
              <w:pStyle w:val="14"/>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现场踏勘</w:t>
            </w:r>
          </w:p>
        </w:tc>
        <w:tc>
          <w:tcPr>
            <w:tcW w:w="6981" w:type="dxa"/>
            <w:vAlign w:val="center"/>
          </w:tcPr>
          <w:p>
            <w:pPr>
              <w:pStyle w:val="14"/>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val="en-US" w:eastAsia="zh-CN"/>
              </w:rPr>
              <w:t>/转包</w:t>
            </w:r>
          </w:p>
        </w:tc>
        <w:tc>
          <w:tcPr>
            <w:tcW w:w="6981" w:type="dxa"/>
            <w:vAlign w:val="center"/>
          </w:tcPr>
          <w:p>
            <w:pPr>
              <w:spacing w:line="396" w:lineRule="exact"/>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14</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采购资金的支付方式和时间</w:t>
            </w:r>
          </w:p>
        </w:tc>
        <w:tc>
          <w:tcPr>
            <w:tcW w:w="6981"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1)结算单位：银行转账，由采购人负责结算。在付款前，供应商必须开具与合同金额相应的发票给采购人，附详细清</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w:t>
            </w:r>
          </w:p>
          <w:p>
            <w:pPr>
              <w:pStyle w:val="1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pPr>
              <w:pStyle w:val="12"/>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合同签订后，乙方开具合同总金额50%的发票，甲方于10日内支付作为首付款。后续费用据实结算，直至合同履行完毕。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15</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p>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val="en-US" w:eastAsia="zh-CN"/>
              </w:rPr>
              <w:t>证明资料</w:t>
            </w:r>
          </w:p>
        </w:tc>
        <w:tc>
          <w:tcPr>
            <w:tcW w:w="6981" w:type="dxa"/>
            <w:vAlign w:val="center"/>
          </w:tcPr>
          <w:p>
            <w:pPr>
              <w:pStyle w:val="24"/>
              <w:pageBreakBefore w:val="0"/>
              <w:shd w:val="clear" w:color="auto" w:fill="FFFFFF"/>
              <w:kinsoku/>
              <w:wordWrap/>
              <w:overflowPunct/>
              <w:topLinePunct w:val="0"/>
              <w:bidi w:val="0"/>
              <w:snapToGrid/>
              <w:spacing w:beforeAutospacing="0" w:afterAutospacing="0" w:line="5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2、财务状况报告：提供具有财务审计资质单位出具的</w:t>
            </w:r>
            <w:r>
              <w:rPr>
                <w:rFonts w:hint="eastAsia" w:ascii="仿宋" w:hAnsi="仿宋" w:eastAsia="仿宋" w:cs="仿宋"/>
                <w:highlight w:val="none"/>
                <w:lang w:eastAsia="zh-CN"/>
              </w:rPr>
              <w:t>（2020 年或 2021年）</w:t>
            </w:r>
            <w:r>
              <w:rPr>
                <w:rFonts w:hint="eastAsia" w:ascii="仿宋" w:hAnsi="仿宋" w:eastAsia="仿宋" w:cs="仿宋"/>
                <w:highlight w:val="none"/>
              </w:rPr>
              <w:t>年度财务报告或</w:t>
            </w:r>
            <w:r>
              <w:rPr>
                <w:rFonts w:hint="eastAsia" w:ascii="仿宋" w:hAnsi="仿宋" w:eastAsia="仿宋" w:cs="仿宋"/>
                <w:highlight w:val="none"/>
                <w:lang w:eastAsia="zh-CN"/>
              </w:rPr>
              <w:t>磋商</w:t>
            </w:r>
            <w:r>
              <w:rPr>
                <w:rFonts w:hint="eastAsia" w:ascii="仿宋" w:hAnsi="仿宋" w:eastAsia="仿宋" w:cs="仿宋"/>
                <w:highlight w:val="none"/>
                <w:lang w:val="en-US" w:eastAsia="zh-CN"/>
              </w:rPr>
              <w:t>截止时间</w:t>
            </w:r>
            <w:r>
              <w:rPr>
                <w:rFonts w:hint="eastAsia" w:ascii="仿宋" w:hAnsi="仿宋" w:eastAsia="仿宋" w:cs="仿宋"/>
                <w:highlight w:val="none"/>
                <w:lang w:eastAsia="zh-CN"/>
              </w:rPr>
              <w:t>前</w:t>
            </w:r>
            <w:r>
              <w:rPr>
                <w:rFonts w:hint="eastAsia" w:ascii="仿宋" w:hAnsi="仿宋" w:eastAsia="仿宋" w:cs="仿宋"/>
                <w:highlight w:val="none"/>
              </w:rPr>
              <w:t xml:space="preserve">六个月内其基本账户银行出具的资信证明;其他组织和自然人提供银行出具的资信证明或财务报表；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3、社会保障资金缴纳证明：提供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截止时间前六个月内已缴存的任意</w:t>
            </w:r>
            <w:r>
              <w:rPr>
                <w:rFonts w:hint="eastAsia" w:ascii="仿宋" w:hAnsi="仿宋" w:eastAsia="仿宋" w:cs="仿宋"/>
                <w:highlight w:val="none"/>
                <w:lang w:val="en-US" w:eastAsia="zh-CN"/>
              </w:rPr>
              <w:t>一个月</w:t>
            </w:r>
            <w:r>
              <w:rPr>
                <w:rFonts w:hint="eastAsia" w:ascii="仿宋" w:hAnsi="仿宋" w:eastAsia="仿宋" w:cs="仿宋"/>
                <w:highlight w:val="none"/>
              </w:rPr>
              <w:t xml:space="preserve">的社会保障资金缴存单据或社保机构开具的社会保险参保缴费情况证明；依法不需要缴纳社会保障资金的应提供相关文件证明；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4、税收缴纳证明：提供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截止时间前六个月内已缴纳任意</w:t>
            </w:r>
            <w:r>
              <w:rPr>
                <w:rFonts w:hint="eastAsia" w:ascii="仿宋" w:hAnsi="仿宋" w:eastAsia="仿宋" w:cs="仿宋"/>
                <w:highlight w:val="none"/>
                <w:lang w:val="en-US" w:eastAsia="zh-CN"/>
              </w:rPr>
              <w:t>一个月</w:t>
            </w:r>
            <w:r>
              <w:rPr>
                <w:rFonts w:hint="eastAsia" w:ascii="仿宋" w:hAnsi="仿宋" w:eastAsia="仿宋" w:cs="仿宋"/>
                <w:highlight w:val="none"/>
              </w:rPr>
              <w:t>完税凭证或税务机关开具的完税证明（任意税种）；其他组织提供</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截止时间前六个月内缴纳税收的凭据；依法免税的应提供相关文件证明；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5、提供具有履行本合同所必需的专业技术能力的声明；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6、参加本次政府采购活动前3年内在经营活动中没有重大违纪，以及未被列入失信被执行人、重大税收违法案件当事人名单、政府采购严重违法失信行为记录名单的书面声明；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rPr>
              <w:t>的，须出具法人身份证,并与营业执照上信息一致；法定代表人授权代表参加</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的，须出具法定代表人授权书及授权代表身份证；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以代理机构现场查询为准</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9、</w:t>
            </w:r>
            <w:r>
              <w:rPr>
                <w:rFonts w:hint="eastAsia" w:ascii="仿宋" w:hAnsi="仿宋" w:eastAsia="仿宋" w:cs="仿宋"/>
                <w:kern w:val="2"/>
                <w:sz w:val="24"/>
                <w:szCs w:val="24"/>
                <w:highlight w:val="none"/>
                <w:shd w:val="clear" w:color="auto" w:fill="FFFFFF"/>
                <w:lang w:val="en-US" w:eastAsia="zh-CN" w:bidi="ar-SA"/>
              </w:rPr>
              <w:t>本项目为专门面向中小企业采购项目，供应商应出具中小企业声明函。</w:t>
            </w: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pStyle w:val="24"/>
              <w:pageBreakBefore w:val="0"/>
              <w:shd w:val="clear" w:color="auto" w:fill="FFFFFF"/>
              <w:kinsoku/>
              <w:wordWrap/>
              <w:overflowPunct/>
              <w:topLinePunct w:val="0"/>
              <w:bidi w:val="0"/>
              <w:snapToGrid/>
              <w:spacing w:beforeAutospacing="0" w:afterAutospacing="0" w:line="500" w:lineRule="exact"/>
              <w:textAlignment w:val="auto"/>
              <w:rPr>
                <w:rFonts w:hint="eastAsia" w:eastAsia="楷体_GB2312"/>
                <w:highlight w:val="none"/>
                <w:lang w:val="en-US" w:eastAsia="zh-CN"/>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16</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联合体竞争性</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p>
        </w:tc>
        <w:tc>
          <w:tcPr>
            <w:tcW w:w="6981"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17</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前答疑会</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18</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供应商提出询问和质疑的时间</w:t>
            </w:r>
          </w:p>
        </w:tc>
        <w:tc>
          <w:tcPr>
            <w:tcW w:w="6981" w:type="dxa"/>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已经购买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文件的供应商对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文件有询问或者质疑的，可以在知道或者知其权益受到损害之日起七个工作日内，以书面形式向采购人、采购代理机构提出。在此之后提出的询问和质疑均为无效，采购代理机构不予受理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供应商应当在法定质疑期内一次性提出针对同一采购程序环节的质疑。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19</w:t>
            </w:r>
          </w:p>
        </w:tc>
        <w:tc>
          <w:tcPr>
            <w:tcW w:w="2173"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采购代理机构答疑的时间</w:t>
            </w:r>
          </w:p>
        </w:tc>
        <w:tc>
          <w:tcPr>
            <w:tcW w:w="6981"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对于供应商在规定时间内依法提出的询问和质疑，采购代理机构将在三个工作日内答复询问，七个工作日内答复质疑。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20</w:t>
            </w:r>
          </w:p>
        </w:tc>
        <w:tc>
          <w:tcPr>
            <w:tcW w:w="2173"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磋商有效期</w:t>
            </w:r>
          </w:p>
        </w:tc>
        <w:tc>
          <w:tcPr>
            <w:tcW w:w="6981" w:type="dxa"/>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90日历天（自磋商截止之日算起）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21</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报价要求</w:t>
            </w:r>
          </w:p>
        </w:tc>
        <w:tc>
          <w:tcPr>
            <w:tcW w:w="6981" w:type="dxa"/>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总价及分项报价</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1）报价应包含完成该项目工作所发生的全部费用以及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必须对所投项目全部内容进行完整报价，并列出明细及价格组成。采购人不接受（将拒绝）只对项目部分内容进行报价的</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22</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备选</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方案</w:t>
            </w:r>
          </w:p>
        </w:tc>
        <w:tc>
          <w:tcPr>
            <w:tcW w:w="6981" w:type="dxa"/>
            <w:vAlign w:val="center"/>
          </w:tcPr>
          <w:p>
            <w:pPr>
              <w:pageBreakBefore w:val="0"/>
              <w:kinsoku/>
              <w:wordWrap/>
              <w:overflowPunct/>
              <w:topLinePunct w:val="0"/>
              <w:bidi w:val="0"/>
              <w:snapToGrid/>
              <w:spacing w:line="500" w:lineRule="exact"/>
              <w:ind w:left="360" w:leftChars="0" w:hanging="360" w:hangingChars="15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履约保证金</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24</w:t>
            </w:r>
          </w:p>
        </w:tc>
        <w:tc>
          <w:tcPr>
            <w:tcW w:w="2173" w:type="dxa"/>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磋商保证金</w:t>
            </w:r>
          </w:p>
        </w:tc>
        <w:tc>
          <w:tcPr>
            <w:tcW w:w="6981" w:type="dxa"/>
            <w:vAlign w:val="center"/>
          </w:tcPr>
          <w:p>
            <w:pPr>
              <w:pStyle w:val="82"/>
              <w:ind w:left="0" w:leftChars="0" w:firstLine="0" w:firstLineChars="0"/>
              <w:rPr>
                <w:rFonts w:hint="default" w:ascii="仿宋" w:hAnsi="仿宋" w:eastAsia="仿宋" w:cs="仿宋"/>
                <w:kern w:val="0"/>
                <w:sz w:val="24"/>
                <w:szCs w:val="24"/>
                <w:highlight w:val="none"/>
                <w:lang w:val="en-US" w:eastAsia="zh-CN"/>
              </w:rPr>
            </w:pPr>
            <w:r>
              <w:rPr>
                <w:rFonts w:hint="eastAsia" w:ascii="仿宋" w:hAnsi="仿宋" w:cs="仿宋"/>
                <w:kern w:val="0"/>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25</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信用查询</w:t>
            </w:r>
          </w:p>
        </w:tc>
        <w:tc>
          <w:tcPr>
            <w:tcW w:w="6981" w:type="dxa"/>
            <w:vAlign w:val="top"/>
          </w:tcPr>
          <w:p>
            <w:pPr>
              <w:pStyle w:val="14"/>
              <w:pageBreakBefore w:val="0"/>
              <w:kinsoku/>
              <w:wordWrap/>
              <w:overflowPunct/>
              <w:topLinePunct w:val="0"/>
              <w:bidi w:val="0"/>
              <w:snapToGrid/>
              <w:spacing w:line="5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color w:val="auto"/>
                <w:kern w:val="2"/>
                <w:sz w:val="24"/>
                <w:szCs w:val="24"/>
                <w:highlight w:val="none"/>
                <w:lang w:val="en-US" w:eastAsia="zh-CN" w:bidi="ar-SA"/>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26</w:t>
            </w:r>
          </w:p>
        </w:tc>
        <w:tc>
          <w:tcPr>
            <w:tcW w:w="2173" w:type="dxa"/>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投标人失信行为</w:t>
            </w:r>
          </w:p>
        </w:tc>
        <w:tc>
          <w:tcPr>
            <w:tcW w:w="6981" w:type="dxa"/>
            <w:vAlign w:val="center"/>
          </w:tcPr>
          <w:p>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27</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签字或盖章要求</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磋商响应文件中要求盖章签字的地方，</w:t>
            </w:r>
            <w:r>
              <w:rPr>
                <w:rFonts w:hint="eastAsia" w:ascii="仿宋" w:hAnsi="仿宋" w:eastAsia="仿宋" w:cs="仿宋"/>
                <w:sz w:val="24"/>
                <w:highlight w:val="none"/>
              </w:rPr>
              <w:t>均应按</w:t>
            </w:r>
            <w:r>
              <w:rPr>
                <w:rFonts w:hint="eastAsia" w:ascii="仿宋" w:hAnsi="仿宋" w:eastAsia="仿宋" w:cs="仿宋"/>
                <w:sz w:val="24"/>
                <w:highlight w:val="none"/>
                <w:lang w:val="en-US" w:eastAsia="zh-CN"/>
              </w:rPr>
              <w:t>竞争性磋商</w:t>
            </w:r>
            <w:r>
              <w:rPr>
                <w:rFonts w:hint="eastAsia" w:ascii="仿宋" w:hAnsi="仿宋" w:eastAsia="仿宋" w:cs="仿宋"/>
                <w:sz w:val="24"/>
                <w:highlight w:val="none"/>
              </w:rPr>
              <w:t>文件要求签字或盖章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副本可以为正本的复印件。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文件份数</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正本壹份，副本贰份，电子版（U盘）壹份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电子版</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要求</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格式和载体要求： </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bCs w:val="0"/>
                <w:color w:val="auto"/>
                <w:sz w:val="24"/>
                <w:szCs w:val="24"/>
                <w:highlight w:val="none"/>
                <w:u w:val="none"/>
              </w:rPr>
              <w:t>供应商须另行提供与纸质</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color w:val="auto"/>
                <w:sz w:val="24"/>
                <w:szCs w:val="24"/>
                <w:highlight w:val="none"/>
                <w:u w:val="none"/>
              </w:rPr>
              <w:t>文件正本一致的Word格式</w:t>
            </w:r>
            <w:r>
              <w:rPr>
                <w:rFonts w:hint="eastAsia" w:ascii="仿宋" w:hAnsi="仿宋" w:eastAsia="仿宋" w:cs="仿宋"/>
                <w:b w:val="0"/>
                <w:bCs w:val="0"/>
                <w:color w:val="auto"/>
                <w:sz w:val="24"/>
                <w:szCs w:val="24"/>
                <w:highlight w:val="none"/>
                <w:u w:val="none"/>
                <w:lang w:val="en-US" w:eastAsia="zh-CN"/>
              </w:rPr>
              <w:t>及</w:t>
            </w:r>
            <w:r>
              <w:rPr>
                <w:rFonts w:hint="eastAsia" w:ascii="仿宋" w:hAnsi="仿宋" w:eastAsia="仿宋" w:cs="仿宋"/>
                <w:b/>
                <w:bCs/>
                <w:color w:val="auto"/>
                <w:sz w:val="24"/>
                <w:szCs w:val="24"/>
                <w:highlight w:val="none"/>
                <w:u w:val="none"/>
              </w:rPr>
              <w:t>PDF版本</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盖章签字必须清楚</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的电子版</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color w:val="auto"/>
                <w:sz w:val="24"/>
                <w:szCs w:val="24"/>
                <w:highlight w:val="none"/>
                <w:u w:val="none"/>
              </w:rPr>
              <w:t>文件</w:t>
            </w:r>
            <w:r>
              <w:rPr>
                <w:rFonts w:hint="eastAsia" w:ascii="仿宋" w:hAnsi="仿宋" w:eastAsia="仿宋" w:cs="仿宋"/>
                <w:b w:val="0"/>
                <w:bCs w:val="0"/>
                <w:color w:val="auto"/>
                <w:sz w:val="24"/>
                <w:szCs w:val="24"/>
                <w:highlight w:val="none"/>
                <w:u w:val="none"/>
                <w:lang w:val="en-US" w:eastAsia="zh-CN"/>
              </w:rPr>
              <w:t>,电子文本与纸质不一致已纸质为准</w:t>
            </w:r>
            <w:r>
              <w:rPr>
                <w:rFonts w:hint="eastAsia" w:ascii="仿宋" w:hAnsi="仿宋" w:eastAsia="仿宋" w:cs="仿宋"/>
                <w:b w:val="0"/>
                <w:bCs w:val="0"/>
                <w:color w:val="auto"/>
                <w:sz w:val="24"/>
                <w:szCs w:val="24"/>
                <w:highlight w:val="none"/>
                <w:u w:val="none"/>
              </w:rPr>
              <w:t>；</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须保证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文件的纸质文件与电子文档保持一致；</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U盘</w:t>
            </w:r>
            <w:r>
              <w:rPr>
                <w:rFonts w:hint="eastAsia" w:ascii="仿宋" w:hAnsi="仿宋" w:eastAsia="仿宋" w:cs="仿宋"/>
                <w:color w:val="auto"/>
                <w:sz w:val="24"/>
                <w:szCs w:val="24"/>
                <w:highlight w:val="none"/>
              </w:rPr>
              <w:t>表面需标明项目编号、</w:t>
            </w:r>
            <w:r>
              <w:rPr>
                <w:rFonts w:hint="eastAsia" w:ascii="仿宋" w:hAnsi="仿宋" w:eastAsia="仿宋" w:cs="仿宋"/>
                <w:color w:val="auto"/>
                <w:sz w:val="24"/>
                <w:szCs w:val="24"/>
                <w:highlight w:val="none"/>
                <w:lang w:val="en-US" w:eastAsia="zh-CN"/>
              </w:rPr>
              <w:t>供应商简称</w:t>
            </w:r>
            <w:r>
              <w:rPr>
                <w:rFonts w:hint="eastAsia" w:ascii="仿宋" w:hAnsi="仿宋" w:eastAsia="仿宋" w:cs="仿宋"/>
                <w:color w:val="auto"/>
                <w:sz w:val="24"/>
                <w:szCs w:val="24"/>
                <w:highlight w:val="none"/>
              </w:rPr>
              <w:t>等信息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便于与其他供应商U盘区分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ind w:left="315"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1）文件正、副本应分别装订成册，装订应牢固、不易拆散和换页，不得采用活页装订。</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2）密封包装方式（共3包）：</w:t>
            </w:r>
          </w:p>
          <w:p>
            <w:pPr>
              <w:pageBreakBefore w:val="0"/>
              <w:kinsoku/>
              <w:wordWrap/>
              <w:overflowPunct/>
              <w:topLinePunct w:val="0"/>
              <w:bidi w:val="0"/>
              <w:snapToGrid/>
              <w:spacing w:line="500" w:lineRule="exact"/>
              <w:ind w:left="634" w:leftChars="114"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文件正本一包密封。</w:t>
            </w:r>
          </w:p>
          <w:p>
            <w:pPr>
              <w:pageBreakBefore w:val="0"/>
              <w:kinsoku/>
              <w:wordWrap/>
              <w:overflowPunct/>
              <w:topLinePunct w:val="0"/>
              <w:bidi w:val="0"/>
              <w:snapToGrid/>
              <w:spacing w:line="500" w:lineRule="exact"/>
              <w:ind w:left="634" w:leftChars="114"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文件副本一包密封。</w:t>
            </w:r>
          </w:p>
          <w:p>
            <w:pPr>
              <w:pageBreakBefore w:val="0"/>
              <w:kinsoku/>
              <w:wordWrap/>
              <w:overflowPunct/>
              <w:topLinePunct w:val="0"/>
              <w:bidi w:val="0"/>
              <w:snapToGrid/>
              <w:spacing w:line="500" w:lineRule="exact"/>
              <w:ind w:left="634" w:leftChars="114" w:hanging="360" w:hanging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文件电子版一包密封。</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3）封套上应写明：</w:t>
            </w:r>
          </w:p>
          <w:p>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                       正</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/副</w:t>
            </w:r>
            <w:r>
              <w:rPr>
                <w:rFonts w:hint="eastAsia" w:ascii="仿宋" w:hAnsi="仿宋" w:eastAsia="仿宋" w:cs="仿宋"/>
                <w:color w:val="auto"/>
                <w:sz w:val="24"/>
                <w:szCs w:val="24"/>
                <w:highlight w:val="none"/>
                <w:lang w:val="en-US" w:eastAsia="zh-CN"/>
              </w:rPr>
              <w:t>本/电子版</w:t>
            </w:r>
          </w:p>
          <w:p>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ageBreakBefore w:val="0"/>
              <w:kinsoku/>
              <w:wordWrap/>
              <w:overflowPunct/>
              <w:topLinePunct w:val="0"/>
              <w:bidi w:val="0"/>
              <w:snapToGrid/>
              <w:spacing w:line="500" w:lineRule="exact"/>
              <w:ind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w:t>
            </w:r>
          </w:p>
          <w:p>
            <w:pPr>
              <w:pageBreakBefore w:val="0"/>
              <w:kinsoku/>
              <w:wordWrap/>
              <w:overflowPunct/>
              <w:topLinePunct w:val="0"/>
              <w:bidi w:val="0"/>
              <w:snapToGrid/>
              <w:spacing w:line="5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在    年  月  日 时  分前</w:t>
            </w:r>
            <w:r>
              <w:rPr>
                <w:rFonts w:hint="eastAsia" w:ascii="仿宋" w:hAnsi="仿宋" w:eastAsia="仿宋" w:cs="仿宋"/>
                <w:color w:val="auto"/>
                <w:sz w:val="24"/>
                <w:szCs w:val="24"/>
                <w:highlight w:val="none"/>
              </w:rPr>
              <w:t>不得开启</w:t>
            </w:r>
          </w:p>
          <w:p>
            <w:pPr>
              <w:pageBreakBefore w:val="0"/>
              <w:kinsoku/>
              <w:wordWrap/>
              <w:overflowPunct/>
              <w:topLinePunct w:val="0"/>
              <w:bidi w:val="0"/>
              <w:snapToGrid/>
              <w:spacing w:line="5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（公章）</w:t>
            </w:r>
          </w:p>
          <w:p>
            <w:pPr>
              <w:pageBreakBefore w:val="0"/>
              <w:kinsoku/>
              <w:wordWrap/>
              <w:overflowPunct/>
              <w:topLinePunct w:val="0"/>
              <w:bidi w:val="0"/>
              <w:snapToGrid/>
              <w:spacing w:line="500" w:lineRule="exact"/>
              <w:ind w:left="511" w:leftChars="213" w:firstLine="268" w:firstLineChars="112"/>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法定代表人或授权代表：</w:t>
            </w:r>
            <w:r>
              <w:rPr>
                <w:rFonts w:hint="eastAsia" w:ascii="仿宋" w:hAnsi="仿宋" w:eastAsia="仿宋" w:cs="仿宋"/>
                <w:color w:val="auto"/>
                <w:sz w:val="24"/>
                <w:szCs w:val="24"/>
                <w:highlight w:val="none"/>
                <w:u w:val="singl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文件递交</w:t>
            </w: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w:t>
            </w:r>
          </w:p>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eastAsia="zh-CN"/>
              </w:rPr>
              <w:t>西安市高新区沣惠南路20号华晶商务广场B座2301室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w:t>
            </w:r>
          </w:p>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eastAsia="zh-CN"/>
              </w:rPr>
              <w:t>西安市高新区沣惠南路20号华晶商务广场B座2301室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是否退还磋商响应</w:t>
            </w:r>
          </w:p>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文件</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小组</w:t>
            </w:r>
            <w:r>
              <w:rPr>
                <w:rFonts w:hint="eastAsia" w:ascii="仿宋" w:hAnsi="仿宋" w:eastAsia="仿宋" w:cs="仿宋"/>
                <w:color w:val="auto"/>
                <w:sz w:val="24"/>
                <w:szCs w:val="24"/>
                <w:highlight w:val="none"/>
              </w:rPr>
              <w:t>的组建</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磋商小组构成：3人，其中项目采购人代表1人，专家2人；</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专家确定方式：从</w:t>
            </w:r>
            <w:r>
              <w:rPr>
                <w:rFonts w:hint="eastAsia" w:ascii="仿宋" w:hAnsi="仿宋" w:eastAsia="仿宋" w:cs="仿宋"/>
                <w:color w:val="auto"/>
                <w:sz w:val="24"/>
                <w:szCs w:val="24"/>
                <w:highlight w:val="none"/>
                <w:lang w:val="en-US" w:eastAsia="zh-CN"/>
              </w:rPr>
              <w:t>陕西省财政厅政府采购</w:t>
            </w:r>
            <w:r>
              <w:rPr>
                <w:rFonts w:hint="eastAsia" w:ascii="仿宋" w:hAnsi="仿宋" w:eastAsia="仿宋" w:cs="仿宋"/>
                <w:color w:val="auto"/>
                <w:sz w:val="24"/>
                <w:szCs w:val="24"/>
                <w:highlight w:val="none"/>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36</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本次磋商采用二次报价。</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磋商程序为：</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1.磋商小组对所有提交的响应文件进行评审；</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2.磋商小组所有成员集中与单一供应商分别进行磋商；</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3.供应商按照要求提交二次报价；</w:t>
            </w:r>
          </w:p>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4.磋商小组评审、推荐成交候选人。</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银行户名：陕西德仁招标有限公司</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开户银行：招商银行股份有限公司西安城南支行</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账    号：1299 0904 6810 901</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 xml:space="preserve">联系人：苏会计  </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联系电话：029-89588150</w:t>
            </w:r>
          </w:p>
          <w:p>
            <w:pPr>
              <w:pStyle w:val="75"/>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邮箱：yangmengna@sxdrzb.cn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bookmarkStart w:id="12" w:name="_Toc32045"/>
            <w:bookmarkStart w:id="13" w:name="_Toc519156737"/>
            <w:bookmarkStart w:id="14" w:name="_Toc32286"/>
            <w:r>
              <w:rPr>
                <w:rFonts w:hint="eastAsia" w:ascii="仿宋" w:hAnsi="仿宋" w:eastAsia="仿宋" w:cs="仿宋"/>
                <w:i w:val="0"/>
                <w:iCs w:val="0"/>
                <w:color w:val="000000"/>
                <w:kern w:val="0"/>
                <w:sz w:val="22"/>
                <w:szCs w:val="22"/>
                <w:highlight w:val="none"/>
                <w:u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特别说明</w:t>
            </w:r>
          </w:p>
        </w:tc>
        <w:tc>
          <w:tcPr>
            <w:tcW w:w="6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根据西安市财政局（市财函〔2021〕431号）文件要求：</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登记免费领取采购文件的，如不参加项目投标，应在递交投标（或响应）文件截止时间前一日以书面形式告知采购代理机构，否则，采购代理机构，可以向财政部门反应情况并提供相应的佐证。供应商一年累计出现三次该情形，将被监管部门记录为失信行为。</w:t>
            </w:r>
          </w:p>
        </w:tc>
      </w:tr>
    </w:tbl>
    <w:p>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22"/>
          <w:szCs w:val="22"/>
          <w:highlight w:val="none"/>
        </w:rPr>
        <w:t>注：</w:t>
      </w:r>
      <w:r>
        <w:rPr>
          <w:rFonts w:hint="eastAsia" w:ascii="仿宋" w:hAnsi="仿宋" w:eastAsia="仿宋" w:cs="仿宋"/>
          <w:b/>
          <w:color w:val="auto"/>
          <w:sz w:val="22"/>
          <w:szCs w:val="22"/>
          <w:highlight w:val="none"/>
          <w:lang w:val="en-US" w:eastAsia="zh-CN"/>
        </w:rPr>
        <w:t>供应商</w:t>
      </w:r>
      <w:r>
        <w:rPr>
          <w:rFonts w:hint="eastAsia" w:ascii="仿宋" w:hAnsi="仿宋" w:eastAsia="仿宋" w:cs="仿宋"/>
          <w:b/>
          <w:color w:val="auto"/>
          <w:sz w:val="22"/>
          <w:szCs w:val="22"/>
          <w:highlight w:val="none"/>
        </w:rPr>
        <w:t>须知前附表与</w:t>
      </w:r>
      <w:r>
        <w:rPr>
          <w:rFonts w:hint="eastAsia" w:ascii="仿宋" w:hAnsi="仿宋" w:eastAsia="仿宋" w:cs="仿宋"/>
          <w:b/>
          <w:color w:val="auto"/>
          <w:sz w:val="22"/>
          <w:szCs w:val="22"/>
          <w:highlight w:val="none"/>
          <w:lang w:val="en-US" w:eastAsia="zh-CN"/>
        </w:rPr>
        <w:t>采购</w:t>
      </w:r>
      <w:r>
        <w:rPr>
          <w:rFonts w:hint="eastAsia" w:ascii="仿宋" w:hAnsi="仿宋" w:eastAsia="仿宋" w:cs="仿宋"/>
          <w:b/>
          <w:color w:val="auto"/>
          <w:sz w:val="22"/>
          <w:szCs w:val="22"/>
          <w:highlight w:val="none"/>
        </w:rPr>
        <w:t>文件正文对同一事项描述不一致的，以</w:t>
      </w:r>
      <w:r>
        <w:rPr>
          <w:rFonts w:hint="eastAsia" w:ascii="仿宋" w:hAnsi="仿宋" w:eastAsia="仿宋" w:cs="仿宋"/>
          <w:b/>
          <w:color w:val="auto"/>
          <w:sz w:val="22"/>
          <w:szCs w:val="22"/>
          <w:highlight w:val="none"/>
          <w:lang w:val="en-US" w:eastAsia="zh-CN"/>
        </w:rPr>
        <w:t>供应商</w:t>
      </w:r>
      <w:r>
        <w:rPr>
          <w:rFonts w:hint="eastAsia" w:ascii="仿宋" w:hAnsi="仿宋" w:eastAsia="仿宋" w:cs="仿宋"/>
          <w:b/>
          <w:color w:val="auto"/>
          <w:sz w:val="22"/>
          <w:szCs w:val="22"/>
          <w:highlight w:val="none"/>
        </w:rPr>
        <w:t>须知前附表为准</w:t>
      </w:r>
      <w:r>
        <w:rPr>
          <w:rFonts w:hint="eastAsia" w:ascii="仿宋" w:hAnsi="仿宋" w:eastAsia="仿宋" w:cs="仿宋"/>
          <w:b/>
          <w:color w:val="auto"/>
          <w:sz w:val="28"/>
          <w:szCs w:val="28"/>
          <w:highlight w:val="none"/>
        </w:rPr>
        <w:t>。</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pPr>
        <w:pStyle w:val="7"/>
        <w:bidi w:val="0"/>
        <w:rPr>
          <w:rFonts w:hint="eastAsia" w:ascii="仿宋" w:hAnsi="仿宋" w:eastAsia="仿宋" w:cs="仿宋"/>
          <w:color w:val="auto"/>
          <w:sz w:val="32"/>
          <w:szCs w:val="36"/>
          <w:highlight w:val="none"/>
        </w:rPr>
      </w:pPr>
      <w:bookmarkStart w:id="15" w:name="_Toc2152"/>
      <w:bookmarkStart w:id="16" w:name="_Toc10488"/>
      <w:bookmarkStart w:id="17" w:name="_Toc29597"/>
      <w:bookmarkStart w:id="18" w:name="_Toc519156746"/>
      <w:bookmarkStart w:id="19" w:name="_Toc26143"/>
      <w:r>
        <w:rPr>
          <w:rFonts w:hint="eastAsia" w:ascii="仿宋" w:hAnsi="仿宋" w:eastAsia="仿宋" w:cs="仿宋"/>
          <w:color w:val="auto"/>
          <w:sz w:val="32"/>
          <w:szCs w:val="36"/>
          <w:highlight w:val="none"/>
        </w:rPr>
        <w:t>一</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名词解释</w:t>
      </w:r>
      <w:bookmarkEnd w:id="15"/>
      <w:bookmarkEnd w:id="16"/>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西安市未央区人民法院</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监督机构：政府采购监督管理部门及监察部门</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eastAsia="zh-CN"/>
        </w:rPr>
        <w:t>陕西德仁招标有限公司</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磋商供应商：满足本次磋商要求具有相应资质和完成项目能力的供应商</w:t>
      </w:r>
    </w:p>
    <w:p>
      <w:pPr>
        <w:keepNext w:val="0"/>
        <w:keepLines w:val="0"/>
        <w:pageBreakBefore w:val="0"/>
        <w:widowControl w:val="0"/>
        <w:numPr>
          <w:ilvl w:val="0"/>
          <w:numId w:val="3"/>
        </w:numPr>
        <w:tabs>
          <w:tab w:val="left" w:pos="240"/>
          <w:tab w:val="clear" w:pos="840"/>
        </w:tabs>
        <w:kinsoku/>
        <w:wordWrap/>
        <w:overflowPunct/>
        <w:topLinePunct w:val="0"/>
        <w:autoSpaceDE/>
        <w:autoSpaceDN/>
        <w:bidi w:val="0"/>
        <w:adjustRightInd/>
        <w:snapToGrid/>
        <w:spacing w:line="460" w:lineRule="exact"/>
        <w:ind w:left="-137" w:leftChars="-57"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成交供应商：由磋商小组推荐经采购人确认的磋商供应商</w:t>
      </w:r>
    </w:p>
    <w:p>
      <w:pPr>
        <w:pStyle w:val="7"/>
        <w:bidi w:val="0"/>
        <w:rPr>
          <w:rFonts w:hint="eastAsia" w:ascii="仿宋" w:hAnsi="仿宋" w:eastAsia="仿宋" w:cs="仿宋"/>
          <w:color w:val="auto"/>
          <w:sz w:val="32"/>
          <w:szCs w:val="36"/>
          <w:highlight w:val="none"/>
        </w:rPr>
      </w:pPr>
      <w:bookmarkStart w:id="20" w:name="_Toc25299"/>
      <w:bookmarkStart w:id="21" w:name="_Toc12414"/>
      <w:bookmarkStart w:id="22" w:name="_Toc13421"/>
      <w:bookmarkStart w:id="23" w:name="_Toc7253"/>
      <w:bookmarkStart w:id="24" w:name="_Toc12298"/>
      <w:bookmarkStart w:id="25" w:name="_Toc519156738"/>
      <w:r>
        <w:rPr>
          <w:rFonts w:hint="eastAsia" w:ascii="仿宋" w:hAnsi="仿宋" w:eastAsia="仿宋" w:cs="仿宋"/>
          <w:color w:val="auto"/>
          <w:sz w:val="32"/>
          <w:szCs w:val="36"/>
          <w:highlight w:val="none"/>
        </w:rPr>
        <w:t>二</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磋商供应商</w:t>
      </w:r>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1.合格磋商供应商</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3）具有履行合同所必需的专业技术能力</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60" w:lineRule="exact"/>
        <w:ind w:left="1130" w:leftChars="172" w:hanging="717" w:hangingChars="2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6）法律、行政法规规定的其它条件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1.1单位负责人为同一人或者存在直接控股、管理关系的不同供应商，不得参加本项目同一合同项下的磋商响应。如果磋商供应商在磋商响应中隐瞒了上述关系，则该磋商响应无效。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1.2为本采购项目提供整体设计、规范编制或者项目管理、监理、检测等服务的供应商，不得再参加本采购项目的磋商响应</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如果磋商供应商在磋商响应中隐瞒了上述事实，则该磋商响应无效。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1.3磋商供应商不得直接或间接地与招标采购单位（包括采购代理机构、采购人及用户）有任何关联，亦不得是招标采购单位的附属机构。如果磋商供应商在磋商响应中隐瞒了上述关系，则该磋商响应无效。</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2.磋商委托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如磋商供应商代表不是法定代表人，须持有《法定代表人授权书》（原件）。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3.磋商响应文件内容的真实性</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保证其磋商响应文件中所提供的所有有关磋商响应的资料、信息是真实的，并且来源于合法的渠道。因磋商响应文件中所提供的有关磋商响应的资料、信息不真实，或者其来源不合法而导致的所有法律责任，由磋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自行承担。</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无论磋商结果如何，磋商供应商自行承担参加磋商相关的全部费用。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5.联合体形式</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本项目是否接受联合体参与及相关要求见磋商须知前附表。</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供应商为联合体形式的，应同时遵守以下规定：</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(1)联合体各方必须签订联合体协议书，明确联合体牵头人和各方权利、义务及分工、合同工作量比例；</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(2)联合体各方均应当符合</w:t>
      </w:r>
      <w:r>
        <w:rPr>
          <w:rFonts w:hint="eastAsia" w:ascii="仿宋" w:hAnsi="仿宋" w:eastAsia="仿宋" w:cs="仿宋"/>
          <w:color w:val="auto"/>
          <w:sz w:val="24"/>
          <w:szCs w:val="24"/>
          <w:highlight w:val="none"/>
          <w:lang w:val="en-US" w:eastAsia="zh-CN"/>
        </w:rPr>
        <w:t>供应商须知前附表</w:t>
      </w:r>
      <w:r>
        <w:rPr>
          <w:rFonts w:hint="eastAsia" w:ascii="仿宋" w:hAnsi="仿宋" w:eastAsia="仿宋" w:cs="仿宋"/>
          <w:color w:val="auto"/>
          <w:sz w:val="24"/>
          <w:szCs w:val="24"/>
          <w:highlight w:val="none"/>
        </w:rPr>
        <w:t>的供应商基本资格条件；</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(3)除磋商须知前附表中另有规定，联合体各方中至少有一方应当符</w:t>
      </w:r>
      <w:r>
        <w:rPr>
          <w:rFonts w:hint="eastAsia" w:ascii="仿宋" w:hAnsi="仿宋" w:eastAsia="仿宋" w:cs="仿宋"/>
          <w:color w:val="auto"/>
          <w:sz w:val="24"/>
          <w:szCs w:val="24"/>
          <w:highlight w:val="none"/>
          <w:lang w:val="en-US" w:eastAsia="zh-CN"/>
        </w:rPr>
        <w:t>合供应商须知前附表的供应商特定资格条件；</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(4)联合体中有同类资质的供应商按照联合体分工承担相同工作的，应当按照资质等级较低的供应商确定资质等级；</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(5)联合体各方不得再单独或与其他供应商组成新的联合体参加同一项目的采购活动。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6.项目现场踏勘</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本项目是否组织现场踏勘见磋商须知前附表。</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供应商应按磋商须知前附表中规定对采购项目现场和周围环境进行踏勘。供应商未在指定时间进行踏勘的，其踏勘将被拒绝。</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踏勘现场的费用由供应商自己承担，踏勘期间所发生的人身伤害及财产损失由供应商自己负责。</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采购人不对供应商据现场踏勘而做出的推论、理解和结论负责。一旦成交，供应商不得以任何借口，提出额外补偿，或延长合同期限的要求。</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7.采购进口产品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购买服务项目不适用</w:t>
      </w:r>
      <w:r>
        <w:rPr>
          <w:rFonts w:hint="eastAsia" w:ascii="仿宋" w:hAnsi="仿宋" w:eastAsia="仿宋" w:cs="仿宋"/>
          <w:b/>
          <w:color w:val="auto"/>
          <w:sz w:val="24"/>
          <w:szCs w:val="24"/>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本项目是否采购进口产品及相关要求见磋商须知前附表。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8.政府采购政策支持与其他规定</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26" w:name="_Toc27408"/>
      <w:bookmarkStart w:id="27" w:name="_Toc519156739"/>
      <w:bookmarkStart w:id="28" w:name="_Toc4528"/>
      <w:r>
        <w:rPr>
          <w:rFonts w:hint="eastAsia" w:ascii="仿宋" w:hAnsi="仿宋" w:eastAsia="仿宋" w:cs="仿宋"/>
          <w:color w:val="auto"/>
          <w:sz w:val="24"/>
          <w:szCs w:val="24"/>
          <w:highlight w:val="none"/>
        </w:rPr>
        <w:t>8.1　产品属于政府强制采购节能产品范围，必须将是否列入最新一期节能清单作为采购产品的资格条件。本项目的详细要求见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对列入最新一期节能清单(非强制类)、环保清单内的产品，应分别予以相应的加分或价格扣除；对于同时列入“两个清单”的产品，应当优先于只获得其中一项认证的产品。本项目的详细要求见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供应商享受支持中小企业发展政策优惠的，可用扣除后的最后报价参与价格比较。本项目价格扣除比例及相关要求见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　监狱企业视同小型、微型企业，享受促进中小企业发展政策优惠，可用扣除后的最后报价参与价格比较。本项目价格扣除比例及相关要求</w:t>
      </w:r>
      <w:r>
        <w:rPr>
          <w:rFonts w:hint="eastAsia" w:ascii="仿宋" w:hAnsi="仿宋" w:eastAsia="仿宋" w:cs="仿宋"/>
          <w:color w:val="auto"/>
          <w:sz w:val="24"/>
          <w:szCs w:val="24"/>
          <w:highlight w:val="none"/>
          <w:lang w:val="en-US" w:eastAsia="zh-CN"/>
        </w:rPr>
        <w:t>详</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其他法律法规强制性规定。本项目的详细要求见</w:t>
      </w:r>
      <w:r>
        <w:rPr>
          <w:rFonts w:hint="eastAsia" w:ascii="仿宋" w:hAnsi="仿宋" w:eastAsia="仿宋" w:cs="仿宋"/>
          <w:color w:val="auto"/>
          <w:sz w:val="24"/>
          <w:szCs w:val="24"/>
          <w:highlight w:val="none"/>
          <w:lang w:val="en-US" w:eastAsia="zh-CN"/>
        </w:rPr>
        <w:t>评审办法</w:t>
      </w:r>
      <w:r>
        <w:rPr>
          <w:rFonts w:hint="eastAsia" w:ascii="仿宋" w:hAnsi="仿宋" w:eastAsia="仿宋" w:cs="仿宋"/>
          <w:color w:val="auto"/>
          <w:sz w:val="24"/>
          <w:szCs w:val="24"/>
          <w:highlight w:val="none"/>
        </w:rPr>
        <w:t>。</w:t>
      </w:r>
    </w:p>
    <w:p>
      <w:pPr>
        <w:pStyle w:val="7"/>
        <w:bidi w:val="0"/>
        <w:rPr>
          <w:rFonts w:hint="eastAsia" w:ascii="仿宋" w:hAnsi="仿宋" w:eastAsia="仿宋" w:cs="仿宋"/>
          <w:color w:val="auto"/>
          <w:sz w:val="32"/>
          <w:szCs w:val="36"/>
          <w:highlight w:val="none"/>
        </w:rPr>
      </w:pPr>
      <w:bookmarkStart w:id="29" w:name="_Toc25030"/>
      <w:bookmarkStart w:id="30" w:name="_Toc19484"/>
      <w:bookmarkStart w:id="31" w:name="_Toc2653"/>
      <w:r>
        <w:rPr>
          <w:rFonts w:hint="eastAsia" w:ascii="仿宋" w:hAnsi="仿宋" w:eastAsia="仿宋" w:cs="仿宋"/>
          <w:color w:val="auto"/>
          <w:sz w:val="32"/>
          <w:szCs w:val="36"/>
          <w:highlight w:val="none"/>
        </w:rPr>
        <w:t>三</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磋商文件</w:t>
      </w:r>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9.磋商文件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9.1 磋商文件要求提供的货物及服务，磋商程序和合同条件在磋商文件中均有说明。磋商文件共六章，内容如下：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第一章 竞争性磋商公告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 磋商供应商须知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磋商要求及说明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第四章 商务及合同主要条款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第五章 评审办法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第六章 竞争性磋商响应文件格式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10．磋商文件的澄清修改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仿宋" w:hAnsi="仿宋" w:eastAsia="仿宋" w:cs="仿宋"/>
          <w:b/>
          <w:color w:val="auto"/>
          <w:sz w:val="24"/>
          <w:szCs w:val="24"/>
          <w:highlight w:val="none"/>
        </w:rPr>
        <w:t>对磋商文件中有难以理解或参数有疑义的内容，须在规定时间内提交书面资料，否则</w:t>
      </w:r>
      <w:r>
        <w:rPr>
          <w:rFonts w:hint="eastAsia" w:ascii="仿宋" w:hAnsi="仿宋" w:eastAsia="仿宋" w:cs="仿宋"/>
          <w:b/>
          <w:bCs/>
          <w:color w:val="auto"/>
          <w:sz w:val="24"/>
          <w:szCs w:val="24"/>
          <w:highlight w:val="none"/>
        </w:rPr>
        <w:t>视为对磋商文件再无疑义，因此带来的一切不利后果由磋商供应商自负。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供应商在收到上述通知后，应立即向招标代理机构回函确认。</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11.磋商文件的购买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磋商供应商必须从采购代理机构购买磋商文件，磋商供应商自行转让或复制的磋商文件视为无效文件；磋商文件一经售出，一律不退，仅作为本次磋商使用。</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12.磋商的处理依据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根据《中华人民共和国政府采购法》和《政府采购竞争性磋商采购方式管理暂行办法》的条款，本着公开、公平、公正的原则进行处理。</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13.解释权归属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本次磋商文件的解释权归采购代理机构。</w:t>
      </w:r>
    </w:p>
    <w:p>
      <w:pPr>
        <w:pStyle w:val="7"/>
        <w:bidi w:val="0"/>
        <w:rPr>
          <w:rFonts w:hint="eastAsia" w:ascii="仿宋" w:hAnsi="仿宋" w:eastAsia="仿宋" w:cs="仿宋"/>
          <w:color w:val="auto"/>
          <w:sz w:val="32"/>
          <w:szCs w:val="36"/>
          <w:highlight w:val="none"/>
        </w:rPr>
      </w:pPr>
      <w:bookmarkStart w:id="32" w:name="_Toc18132"/>
      <w:bookmarkStart w:id="33" w:name="_Toc16846"/>
      <w:bookmarkStart w:id="34" w:name="_Toc1168"/>
      <w:bookmarkStart w:id="35" w:name="_Toc10771"/>
      <w:bookmarkStart w:id="36" w:name="_Toc8808"/>
      <w:r>
        <w:rPr>
          <w:rFonts w:hint="eastAsia" w:ascii="仿宋" w:hAnsi="仿宋" w:eastAsia="仿宋" w:cs="仿宋"/>
          <w:color w:val="auto"/>
          <w:sz w:val="32"/>
          <w:szCs w:val="36"/>
          <w:highlight w:val="none"/>
        </w:rPr>
        <w:t>四</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磋商要求</w:t>
      </w:r>
      <w:bookmarkEnd w:id="32"/>
      <w:bookmarkEnd w:id="33"/>
      <w:bookmarkEnd w:id="34"/>
      <w:bookmarkEnd w:id="35"/>
      <w:bookmarkEnd w:id="36"/>
    </w:p>
    <w:p>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bookmarkStart w:id="37" w:name="_Toc519156741"/>
      <w:bookmarkStart w:id="38" w:name="_Toc24973"/>
      <w:r>
        <w:rPr>
          <w:rFonts w:hint="eastAsia" w:ascii="仿宋" w:hAnsi="仿宋" w:eastAsia="仿宋" w:cs="仿宋"/>
          <w:b/>
          <w:color w:val="auto"/>
          <w:sz w:val="24"/>
          <w:szCs w:val="24"/>
          <w:highlight w:val="none"/>
        </w:rPr>
        <w:t>14.磋商语言和磋商货币</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14.1供应商提交的磋商响应文件以及供应商与招标代理机构就有关磋商的所有来往函电均应使用中文。</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14.2磋商报价应以人民币报价，任何包含非人民币报价的磋商将按无效磋商处理</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本项目不接受联合体磋商。</w:t>
      </w:r>
    </w:p>
    <w:p>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15.磋商响应文件的构成</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15.1供应商提交的磋商响应文件应包括下列部分的内容：</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一、磋商函</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三、法人授权委托书</w:t>
      </w:r>
    </w:p>
    <w:p>
      <w:pPr>
        <w:keepNext w:val="0"/>
        <w:keepLines w:val="0"/>
        <w:pageBreakBefore w:val="0"/>
        <w:widowControl w:val="0"/>
        <w:kinsoku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四、报价表</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sz w:val="24"/>
          <w:szCs w:val="24"/>
          <w:highlight w:val="none"/>
        </w:rPr>
        <w:t>近年承接的类似项目情况表</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sz w:val="24"/>
          <w:szCs w:val="24"/>
          <w:highlight w:val="none"/>
          <w:lang w:val="en-US" w:eastAsia="zh-CN"/>
        </w:rPr>
        <w:t>项目实施</w:t>
      </w:r>
      <w:r>
        <w:rPr>
          <w:rFonts w:hint="eastAsia" w:ascii="仿宋" w:hAnsi="仿宋" w:eastAsia="仿宋" w:cs="仿宋"/>
          <w:sz w:val="24"/>
          <w:szCs w:val="24"/>
          <w:highlight w:val="none"/>
        </w:rPr>
        <w:t>方案</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响应说明</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、资格证明文件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、其他资料</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如果在磋商文件中没有允许提供备选方案，则每个供应商只允许提交一个磋商方案，否则，将按无效响磋商处理。</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16.磋商报价</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16.1磋商报价是指项目达到正常使用条件下的所有费用，包括包括人</w:t>
      </w:r>
      <w:r>
        <w:rPr>
          <w:rFonts w:hint="eastAsia" w:ascii="仿宋" w:hAnsi="仿宋" w:eastAsia="仿宋" w:cs="仿宋"/>
          <w:color w:val="auto"/>
          <w:sz w:val="24"/>
          <w:szCs w:val="24"/>
          <w:highlight w:val="none"/>
          <w:lang w:val="en-US" w:eastAsia="zh-CN"/>
        </w:rPr>
        <w:t>工费</w:t>
      </w:r>
      <w:r>
        <w:rPr>
          <w:rFonts w:hint="eastAsia" w:ascii="仿宋" w:hAnsi="仿宋" w:eastAsia="仿宋" w:cs="仿宋"/>
          <w:color w:val="auto"/>
          <w:sz w:val="24"/>
          <w:szCs w:val="24"/>
          <w:highlight w:val="none"/>
        </w:rPr>
        <w:t>、服务费、设备费、税费等一切相关费用，以磋商文件的内容和要求作为依据；</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16.2磋商供应商应在磋商响应文件中的响应报价表上，标明费用组成；任何有选择的报价不予接受；</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16.3磋商货币：人民币；单位：元（精确到小数点后两位）；</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16.4响应报价表应有法定代表人或被授权人的签字；</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16.5合同价格：经磋商小组确认的某一磋商供应商的最终报价，在合同执行过程中是固定不变的，不受外汇汇率及市场价格变化的影响；</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16.6凡因磋商供应商对磋商文件阅读不深、理解不透、误解、疏漏、或因市场行情了解不清造成的后果和风险均由磋商供应商自负；</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17.证明供应商合格的资格证明文件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17.1供应商应按照磋商文件“供应商须知前附表”的要求，在磋商响应文件中提交合格的资格证明文件。如果资格证明文件不全或不合格的，将按无效磋商处理。</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18.证明标的物的合格性和符合磋商文件规定的文件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18.1供应商应在磋商响应文件中提供</w:t>
      </w:r>
      <w:r>
        <w:rPr>
          <w:rFonts w:hint="eastAsia" w:ascii="仿宋" w:hAnsi="仿宋" w:eastAsia="仿宋" w:cs="仿宋"/>
          <w:color w:val="auto"/>
          <w:sz w:val="24"/>
          <w:szCs w:val="24"/>
          <w:highlight w:val="none"/>
          <w:lang w:val="en-US" w:eastAsia="zh-CN"/>
        </w:rPr>
        <w:t>货物及</w:t>
      </w:r>
      <w:r>
        <w:rPr>
          <w:rFonts w:hint="eastAsia" w:ascii="仿宋" w:hAnsi="仿宋" w:eastAsia="仿宋" w:cs="仿宋"/>
          <w:color w:val="auto"/>
          <w:sz w:val="24"/>
          <w:szCs w:val="24"/>
          <w:highlight w:val="none"/>
        </w:rPr>
        <w:t>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18.2上述证明文件可以是文字资料、图纸、图片和数据，它包括：</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18.2.1</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、付款方式等方面的详细说明；</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18.2.2 逐条对磋商文件提出的技术要求和商务要求进行应答，说明所提供的</w:t>
      </w:r>
      <w:r>
        <w:rPr>
          <w:rFonts w:hint="eastAsia" w:ascii="仿宋" w:hAnsi="仿宋" w:eastAsia="仿宋" w:cs="仿宋"/>
          <w:color w:val="auto"/>
          <w:sz w:val="24"/>
          <w:szCs w:val="24"/>
          <w:highlight w:val="none"/>
          <w:lang w:val="en-US" w:eastAsia="zh-CN"/>
        </w:rPr>
        <w:t>货物及</w:t>
      </w:r>
      <w:r>
        <w:rPr>
          <w:rFonts w:hint="eastAsia" w:ascii="仿宋" w:hAnsi="仿宋" w:eastAsia="仿宋" w:cs="仿宋"/>
          <w:color w:val="auto"/>
          <w:sz w:val="24"/>
          <w:szCs w:val="24"/>
          <w:highlight w:val="none"/>
        </w:rPr>
        <w:t>服务对磋商的技术和商务要求是否做出了实质性响应并提供支持文件。</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19.磋商保证金</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本项目不收取磋商保证金</w:t>
      </w:r>
      <w:r>
        <w:rPr>
          <w:rFonts w:hint="eastAsia" w:ascii="仿宋" w:hAnsi="仿宋" w:eastAsia="仿宋" w:cs="仿宋"/>
          <w:b/>
          <w:color w:val="auto"/>
          <w:sz w:val="24"/>
          <w:szCs w:val="24"/>
          <w:highlight w:val="none"/>
          <w:lang w:eastAsia="zh-CN"/>
        </w:rPr>
        <w:t>）</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19.1保证金是用于保护本次磋商免受磋商供应商的行为而引起的风险。</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19.2磋商保证金由磋商供应商通过银行转账、电汇、保函等非现金形式缴纳。</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19.3未交纳、未足额交纳或未按规定时间交纳保证金的，将被视为自动放弃磋商权利。</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19.4提交保证金后，各磋商供应商须将其交纳保证金凭证复印件加盖供应商红章附在磋商响应文件中，否则视为无效响应文件。</w:t>
      </w:r>
    </w:p>
    <w:p>
      <w:pPr>
        <w:keepNext w:val="0"/>
        <w:keepLines w:val="0"/>
        <w:pageBreakBefore w:val="0"/>
        <w:widowControl w:val="0"/>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19.5磋商保证金退还:</w:t>
      </w:r>
    </w:p>
    <w:p>
      <w:pPr>
        <w:keepNext w:val="0"/>
        <w:keepLines w:val="0"/>
        <w:pageBreakBefore w:val="0"/>
        <w:widowControl w:val="0"/>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A. 未成交供应商：成交通知书发放后5个工作日</w:t>
      </w:r>
      <w:r>
        <w:rPr>
          <w:rFonts w:hint="eastAsia" w:ascii="仿宋" w:hAnsi="仿宋" w:eastAsia="仿宋" w:cs="仿宋"/>
          <w:b/>
          <w:color w:val="auto"/>
          <w:sz w:val="24"/>
          <w:szCs w:val="24"/>
          <w:highlight w:val="none"/>
          <w:lang w:val="en-US" w:eastAsia="zh-CN"/>
        </w:rPr>
        <w:t>内</w:t>
      </w:r>
      <w:r>
        <w:rPr>
          <w:rFonts w:hint="eastAsia" w:ascii="仿宋" w:hAnsi="仿宋" w:eastAsia="仿宋" w:cs="仿宋"/>
          <w:b/>
          <w:color w:val="auto"/>
          <w:sz w:val="24"/>
          <w:szCs w:val="24"/>
          <w:highlight w:val="none"/>
        </w:rPr>
        <w:t xml:space="preserve">退还； </w:t>
      </w:r>
    </w:p>
    <w:p>
      <w:pPr>
        <w:keepNext w:val="0"/>
        <w:keepLines w:val="0"/>
        <w:pageBreakBefore w:val="0"/>
        <w:widowControl w:val="0"/>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B. 成交供应商：成交供应商与采购单位签订合同并缴纳足额成交服务费后退还；（退还时，须向代理机构提供开户许可证复印件及合同原件壹份并加盖供应商公章）；</w:t>
      </w:r>
    </w:p>
    <w:p>
      <w:pPr>
        <w:keepNext w:val="0"/>
        <w:keepLines w:val="0"/>
        <w:pageBreakBefore w:val="0"/>
        <w:widowControl w:val="0"/>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以上供应商自身原因导致无法退还的除外。</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供应商以担保机构保函形式交纳磋商保证金的，磋商结束之后供应商用收据原件在代理机构财务室换取担保机构保函原件（退还保证金参照19.5条款）</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19.7发生下列情况之一，磋商保证金将不予退还：</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19.7.1供应商在递交磋商响应文件截止时间后，撤回磋商响应文件的或者擅自退出磋商活动的。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19.7.2供应商成交后放弃成交或未能按规定签订合同、无正当理由不与采购人签订合同的或未能按规定交纳招标代理服务费或由于供应商的原因导致成交无效的。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19.7.3将成交项目转让给他人，或者在磋商响应文件中未说明，且未经采购人和招标代理机构同意，将成交项目分包给他人的。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19.7.4供应商在磋商响应文件中提供伪造、套改、虚假资料参与磋商的。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19.7.5供应商不按法定程序进行质疑和投诉,捏造事实，查无实据，造成恶劣影响，导致采购活动无法正常进行的;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19.7.6供应商在磋商响应文件中提供虚假材料的；</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19.7.7磋商文件规定的其他情形。</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19.8联合磋商的，可以由联合体中的主体提交磋商保证金，以一方名义提交磋商保证金，对联合体各方均具有约束力；</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20.磋商响应文件的有效期</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pPr>
        <w:keepNext w:val="0"/>
        <w:keepLines w:val="0"/>
        <w:pageBreakBefore w:val="0"/>
        <w:widowControl w:val="0"/>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21、磋商响应文件的签署及规定</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21.1磋商供应商须依据磋商文件内容和磋商响应文件格式的要求编制磋商响应文件；</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21.2磋商响应文件的正本和所有的副本均需打印或用不褪色的蓝（黑）墨水填写，注明“正本”“副本”字样。统一胶装、编码，在每一页的正下方清楚标明页码等字样；</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磋商响应文件份数，本次磋商需提交磋商响应文件共肆份，其中正本壹份，副本贰份，电子版磋商响应文件（U盘或移动硬盘，谢绝光盘）壹份；在封面标明“正本”、“副本”及“电子版磋商响应文件”字样；</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21.4磋商供应商在磋商响应文件中指定的页面落款处，必须按磋商文件要求加盖印章或签字；</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21.5磋商供应商名称应填写全称，同时加盖公章；</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21.6磋商响应文件的任何行间插字、涂改和增删，必须由法定代表人或被授权人在改动处旁签字方为有效；</w:t>
      </w:r>
    </w:p>
    <w:p>
      <w:pPr>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21.7磋商响应文件因字迹潦草或表达不清所引起的后果由磋商供应商负责。</w:t>
      </w:r>
    </w:p>
    <w:p>
      <w:pPr>
        <w:pStyle w:val="3"/>
        <w:keepNext w:val="0"/>
        <w:keepLines w:val="0"/>
        <w:pageBreakBefore w:val="0"/>
        <w:widowControl w:val="0"/>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21.8</w:t>
      </w:r>
      <w:r>
        <w:rPr>
          <w:rFonts w:hint="eastAsia" w:ascii="仿宋" w:hAnsi="仿宋" w:eastAsia="仿宋" w:cs="仿宋"/>
          <w:b/>
          <w:bCs/>
          <w:color w:val="auto"/>
          <w:sz w:val="24"/>
          <w:szCs w:val="24"/>
          <w:highlight w:val="none"/>
        </w:rPr>
        <w:t>为响应国家环保号召，磋商响应文件建议采用双面打印。</w:t>
      </w:r>
    </w:p>
    <w:p>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22.文字要求</w:t>
      </w:r>
    </w:p>
    <w:p>
      <w:pPr>
        <w:keepNext w:val="0"/>
        <w:keepLines w:val="0"/>
        <w:pageBreakBefore w:val="0"/>
        <w:widowControl w:val="0"/>
        <w:wordWrap/>
        <w:overflowPunct/>
        <w:topLinePunct w:val="0"/>
        <w:autoSpaceDE/>
        <w:autoSpaceDN/>
        <w:bidi w:val="0"/>
        <w:adjustRightInd/>
        <w:snapToGrid/>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本次磋商只接受简体中文文字的磋商响应文件。</w:t>
      </w:r>
    </w:p>
    <w:p>
      <w:pPr>
        <w:pStyle w:val="7"/>
        <w:bidi w:val="0"/>
        <w:rPr>
          <w:rFonts w:hint="eastAsia" w:ascii="仿宋" w:hAnsi="仿宋" w:eastAsia="仿宋" w:cs="仿宋"/>
          <w:color w:val="auto"/>
          <w:sz w:val="32"/>
          <w:szCs w:val="36"/>
          <w:highlight w:val="none"/>
        </w:rPr>
      </w:pPr>
      <w:bookmarkStart w:id="39" w:name="_Toc30826"/>
      <w:bookmarkStart w:id="40" w:name="_Toc16723"/>
      <w:bookmarkStart w:id="41" w:name="_Toc31661"/>
      <w:r>
        <w:rPr>
          <w:rFonts w:hint="eastAsia" w:ascii="仿宋" w:hAnsi="仿宋" w:eastAsia="仿宋" w:cs="仿宋"/>
          <w:color w:val="auto"/>
          <w:sz w:val="32"/>
          <w:szCs w:val="36"/>
          <w:highlight w:val="none"/>
        </w:rPr>
        <w:t>五</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磋商响应文件封装、递交</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23.磋商响应文件的封装及标记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pacing w:val="6"/>
          <w:sz w:val="24"/>
          <w:szCs w:val="24"/>
          <w:highlight w:val="none"/>
        </w:rPr>
        <w:t>磋商</w:t>
      </w:r>
      <w:r>
        <w:rPr>
          <w:rFonts w:hint="eastAsia" w:ascii="仿宋" w:hAnsi="仿宋" w:eastAsia="仿宋" w:cs="仿宋"/>
          <w:color w:val="auto"/>
          <w:sz w:val="24"/>
          <w:szCs w:val="24"/>
          <w:highlight w:val="none"/>
        </w:rPr>
        <w:t>响应</w:t>
      </w:r>
      <w:r>
        <w:rPr>
          <w:rFonts w:hint="eastAsia" w:ascii="仿宋" w:hAnsi="仿宋" w:eastAsia="仿宋" w:cs="仿宋"/>
          <w:color w:val="auto"/>
          <w:spacing w:val="6"/>
          <w:sz w:val="24"/>
          <w:szCs w:val="24"/>
          <w:highlight w:val="none"/>
        </w:rPr>
        <w:t>文件</w:t>
      </w:r>
      <w:r>
        <w:rPr>
          <w:rFonts w:hint="eastAsia" w:ascii="仿宋" w:hAnsi="仿宋" w:eastAsia="仿宋" w:cs="仿宋"/>
          <w:color w:val="auto"/>
          <w:sz w:val="24"/>
          <w:szCs w:val="24"/>
          <w:highlight w:val="none"/>
        </w:rPr>
        <w:t>应按以下要求封装：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23.1.1</w:t>
      </w:r>
      <w:r>
        <w:rPr>
          <w:rFonts w:hint="eastAsia" w:ascii="仿宋" w:hAnsi="仿宋" w:eastAsia="仿宋" w:cs="仿宋"/>
          <w:color w:val="auto"/>
          <w:spacing w:val="6"/>
          <w:sz w:val="24"/>
          <w:szCs w:val="24"/>
          <w:highlight w:val="none"/>
        </w:rPr>
        <w:t>磋商供应商</w:t>
      </w:r>
      <w:r>
        <w:rPr>
          <w:rFonts w:hint="eastAsia" w:ascii="仿宋" w:hAnsi="仿宋" w:eastAsia="仿宋" w:cs="仿宋"/>
          <w:color w:val="auto"/>
          <w:sz w:val="24"/>
          <w:szCs w:val="24"/>
          <w:highlight w:val="none"/>
        </w:rPr>
        <w:t>应将</w:t>
      </w:r>
      <w:r>
        <w:rPr>
          <w:rFonts w:hint="eastAsia" w:ascii="仿宋" w:hAnsi="仿宋" w:eastAsia="仿宋" w:cs="仿宋"/>
          <w:color w:val="auto"/>
          <w:spacing w:val="6"/>
          <w:sz w:val="24"/>
          <w:szCs w:val="24"/>
          <w:highlight w:val="none"/>
        </w:rPr>
        <w:t>磋商响应文件</w:t>
      </w:r>
      <w:r>
        <w:rPr>
          <w:rFonts w:hint="eastAsia" w:ascii="仿宋" w:hAnsi="仿宋" w:eastAsia="仿宋" w:cs="仿宋"/>
          <w:color w:val="auto"/>
          <w:sz w:val="24"/>
          <w:szCs w:val="24"/>
          <w:highlight w:val="none"/>
        </w:rPr>
        <w:t>的正本、副本、电子版标书（U盘），</w:t>
      </w:r>
      <w:r>
        <w:rPr>
          <w:rFonts w:hint="eastAsia" w:ascii="仿宋" w:hAnsi="仿宋" w:eastAsia="仿宋" w:cs="仿宋"/>
          <w:b/>
          <w:bCs/>
          <w:color w:val="auto"/>
          <w:sz w:val="24"/>
          <w:szCs w:val="24"/>
          <w:highlight w:val="none"/>
        </w:rPr>
        <w:t>用单独的封袋分装密封</w:t>
      </w:r>
      <w:r>
        <w:rPr>
          <w:rFonts w:hint="eastAsia" w:ascii="仿宋" w:hAnsi="仿宋" w:eastAsia="仿宋" w:cs="仿宋"/>
          <w:color w:val="auto"/>
          <w:sz w:val="24"/>
          <w:szCs w:val="24"/>
          <w:highlight w:val="none"/>
        </w:rPr>
        <w:t>（封袋不得有破损），在封袋上标明“正本”或“副本”及“电子版”字样，封线处加盖</w:t>
      </w:r>
      <w:r>
        <w:rPr>
          <w:rFonts w:hint="eastAsia" w:ascii="仿宋" w:hAnsi="仿宋" w:eastAsia="仿宋" w:cs="仿宋"/>
          <w:color w:val="auto"/>
          <w:spacing w:val="6"/>
          <w:sz w:val="24"/>
          <w:szCs w:val="24"/>
          <w:highlight w:val="none"/>
        </w:rPr>
        <w:t>磋商供应商</w:t>
      </w:r>
      <w:r>
        <w:rPr>
          <w:rFonts w:hint="eastAsia" w:ascii="仿宋" w:hAnsi="仿宋" w:eastAsia="仿宋" w:cs="仿宋"/>
          <w:color w:val="auto"/>
          <w:sz w:val="24"/>
          <w:szCs w:val="24"/>
          <w:highlight w:val="none"/>
        </w:rPr>
        <w:t>公章，封袋正面要粘贴标识。磋商响应文件中资质证明文件为复印件加盖磋商供应商公章；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23.2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24.磋商响应文件递交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24.1磋商供应商必须在磋商文件规定的时间和地点，将全部磋商响应文件递交至采购代理机构项目承办人；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24.2采购代理机构项目承办人在磋商文件规定的磋商响应文件递交截止时间前，只负责磋商响应文件的接收、清点、造册登记工作，并请法定代表人或被授权人签字确认，对其有效性不负任何责任；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24.3采购代理机构在宣布递交磋商响应文件时间截止之后，拒绝接收任何人送达、递交的磋商响应文件；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24.4以邮寄方式递交磋商响应文件的，其磋商响应文件将按照无效处理。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24.5无论磋商供应商成交与否或者废标，其磋商响应文件恕不退还。</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25.磋商响应文件递交截止时间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25.1磋商供应商</w:t>
      </w:r>
      <w:r>
        <w:rPr>
          <w:rFonts w:hint="eastAsia" w:ascii="仿宋" w:hAnsi="仿宋" w:eastAsia="仿宋" w:cs="仿宋"/>
          <w:color w:val="auto"/>
          <w:spacing w:val="6"/>
          <w:sz w:val="24"/>
          <w:szCs w:val="24"/>
          <w:highlight w:val="none"/>
        </w:rPr>
        <w:t>必须在磋商文件规定的递交截止时间之前递交磋商响应文件，</w:t>
      </w:r>
      <w:r>
        <w:rPr>
          <w:rFonts w:hint="eastAsia" w:ascii="仿宋" w:hAnsi="仿宋" w:eastAsia="仿宋" w:cs="仿宋"/>
          <w:color w:val="auto"/>
          <w:sz w:val="24"/>
          <w:szCs w:val="24"/>
          <w:highlight w:val="none"/>
        </w:rPr>
        <w:t>采购代理机构在截止时间后拒绝接收任何磋商响应文件。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25.2采购代理机构因采购人推迟磋商截止时间时，应以书面的形式，通知所有磋商供应商；在这种情况下，采购代理机构和磋商供应商的权利和义务将受到新的截止期的约束。</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26.磋商响应文件的修改和撤回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26.1磋商响应文件递交后，如果磋商供应商提出书面修改和撤回磋商响应文件要求，在磋商截止时间前以书面形式送达采购代理机构；</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26.2磋商供应商修改磋商响应文件的书面材料，须密封送达采购代理机构，修改或补充的内容应按磋商文件要求签署、盖章、密封、标记，并作为磋商响应文件的组成部分；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26.4在磋商截止时间后到磋商文件规定的磋商有效期满之间的这段时间内，磋商供应商不得撤回其磋商响应文件；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26.5磋商供应商在磋商响应文件递交截止时间后，不得对其磋商响应文件做任何修改。</w:t>
      </w:r>
    </w:p>
    <w:p>
      <w:pPr>
        <w:pStyle w:val="7"/>
        <w:bidi w:val="0"/>
        <w:rPr>
          <w:rFonts w:hint="eastAsia" w:ascii="仿宋" w:hAnsi="仿宋" w:eastAsia="仿宋" w:cs="仿宋"/>
          <w:color w:val="auto"/>
          <w:sz w:val="32"/>
          <w:szCs w:val="36"/>
          <w:highlight w:val="none"/>
          <w:lang w:val="en-US" w:eastAsia="zh-CN"/>
        </w:rPr>
      </w:pPr>
      <w:bookmarkStart w:id="42" w:name="_Toc519156742"/>
      <w:bookmarkStart w:id="43" w:name="_Toc29321"/>
      <w:bookmarkStart w:id="44" w:name="_Toc32447"/>
      <w:bookmarkStart w:id="45" w:name="_Toc4585"/>
      <w:bookmarkStart w:id="46" w:name="_Toc1285"/>
      <w:bookmarkStart w:id="47" w:name="_Toc29603"/>
      <w:r>
        <w:rPr>
          <w:rFonts w:hint="eastAsia" w:ascii="仿宋" w:hAnsi="仿宋" w:eastAsia="仿宋" w:cs="仿宋"/>
          <w:color w:val="auto"/>
          <w:sz w:val="32"/>
          <w:szCs w:val="36"/>
          <w:highlight w:val="none"/>
        </w:rPr>
        <w:t>六</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磋商</w:t>
      </w:r>
      <w:bookmarkEnd w:id="42"/>
      <w:bookmarkEnd w:id="43"/>
      <w:bookmarkEnd w:id="44"/>
      <w:r>
        <w:rPr>
          <w:rFonts w:hint="eastAsia" w:ascii="仿宋" w:hAnsi="仿宋" w:eastAsia="仿宋" w:cs="仿宋"/>
          <w:color w:val="auto"/>
          <w:sz w:val="32"/>
          <w:szCs w:val="36"/>
          <w:highlight w:val="none"/>
          <w:lang w:val="en-US" w:eastAsia="zh-CN"/>
        </w:rPr>
        <w:t>与评审</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27.磋商小组和磋商评审原则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27.1按照《</w:t>
      </w:r>
      <w:r>
        <w:rPr>
          <w:rFonts w:hint="eastAsia" w:ascii="仿宋" w:hAnsi="仿宋" w:eastAsia="仿宋" w:cs="仿宋"/>
          <w:color w:val="auto"/>
          <w:sz w:val="24"/>
          <w:szCs w:val="24"/>
          <w:highlight w:val="none"/>
        </w:rPr>
        <w:t>中华人民共和国</w:t>
      </w:r>
      <w:r>
        <w:rPr>
          <w:rFonts w:hint="eastAsia" w:ascii="仿宋" w:hAnsi="仿宋" w:eastAsia="仿宋" w:cs="仿宋"/>
          <w:bCs/>
          <w:color w:val="auto"/>
          <w:sz w:val="24"/>
          <w:szCs w:val="24"/>
          <w:highlight w:val="none"/>
        </w:rPr>
        <w:t>政府采购法》、《中华人民共和国政府采购法实施条例》和《政府采购竞争性磋商采购方式管理暂行办法》的规定，采购机构将依法组建竞争性磋商小组，依法进行磋商和评审工作。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27.2磋商文件和供应商的响应文件是评审的依据。</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.磋商及评审程序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.1采购代理</w:t>
      </w:r>
      <w:r>
        <w:rPr>
          <w:rFonts w:hint="eastAsia" w:ascii="仿宋" w:hAnsi="仿宋" w:eastAsia="仿宋" w:cs="仿宋"/>
          <w:color w:val="auto"/>
          <w:sz w:val="24"/>
          <w:szCs w:val="24"/>
          <w:highlight w:val="none"/>
        </w:rPr>
        <w:t>机构</w:t>
      </w:r>
      <w:r>
        <w:rPr>
          <w:rFonts w:hint="eastAsia" w:ascii="仿宋" w:hAnsi="仿宋" w:eastAsia="仿宋" w:cs="仿宋"/>
          <w:bCs/>
          <w:color w:val="auto"/>
          <w:sz w:val="24"/>
          <w:szCs w:val="24"/>
          <w:highlight w:val="none"/>
        </w:rPr>
        <w:t>在规定的时间和地点组织磋商。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.2本次磋商的报价次数、磋商程序和最终报价的产生原则见“磋商须知前附表”的规定。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.4磋商小组所有成员集中与单一供应商分别进行磋商，并给予所有参加磋商的供应商平等的磋商机会。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Cs w:val="28"/>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磋商结束后，磋商小组要求所有继续参加磋商的供应商在规定时间内提交最后报价，最后报价是供应商响应文件的有效组成部分。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已提交响应文件的供应商，在提交最后报价之前，可以根据磋商情况退出磋商。采购机构将退还退出磋商的供应商的保证金。</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.评审过程的保密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.1竞争性</w:t>
      </w:r>
      <w:r>
        <w:rPr>
          <w:rFonts w:hint="eastAsia" w:ascii="仿宋" w:hAnsi="仿宋" w:eastAsia="仿宋" w:cs="仿宋"/>
          <w:color w:val="auto"/>
          <w:sz w:val="24"/>
          <w:szCs w:val="24"/>
          <w:highlight w:val="none"/>
        </w:rPr>
        <w:t>磋商</w:t>
      </w:r>
      <w:r>
        <w:rPr>
          <w:rFonts w:hint="eastAsia" w:ascii="仿宋" w:hAnsi="仿宋" w:eastAsia="仿宋" w:cs="仿宋"/>
          <w:bCs/>
          <w:color w:val="auto"/>
          <w:sz w:val="24"/>
          <w:szCs w:val="24"/>
          <w:highlight w:val="none"/>
        </w:rPr>
        <w:t>小组成员和与评审活动有关的工作人员不得泄露有关磋商响应文件的评审和比较、成交候选人的推荐以及与评审有关的其他情况。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.2在评审过程中，如果磋商供应商试图在磋商响应文件的评审和比较、成交候选人的推荐以及与评审有关的其他方面，向磋商小组、采购人和采购代理机构施加任何影响，其磋商响应文件将按照无效处理。</w:t>
      </w:r>
    </w:p>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30</w:t>
      </w:r>
      <w:r>
        <w:rPr>
          <w:rFonts w:hint="eastAsia" w:ascii="仿宋" w:hAnsi="仿宋" w:eastAsia="仿宋" w:cs="仿宋"/>
          <w:b/>
          <w:color w:val="auto"/>
          <w:sz w:val="24"/>
          <w:szCs w:val="24"/>
          <w:highlight w:val="none"/>
        </w:rPr>
        <w:t>．评审方法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.1按照</w:t>
      </w:r>
      <w:r>
        <w:rPr>
          <w:rFonts w:hint="eastAsia" w:ascii="仿宋" w:hAnsi="仿宋" w:eastAsia="仿宋" w:cs="仿宋"/>
          <w:color w:val="auto"/>
          <w:sz w:val="24"/>
          <w:szCs w:val="24"/>
          <w:highlight w:val="none"/>
        </w:rPr>
        <w:t>中华人民共和国</w:t>
      </w:r>
      <w:r>
        <w:rPr>
          <w:rFonts w:hint="eastAsia" w:ascii="仿宋" w:hAnsi="仿宋" w:eastAsia="仿宋" w:cs="仿宋"/>
          <w:bCs/>
          <w:color w:val="auto"/>
          <w:sz w:val="24"/>
          <w:szCs w:val="24"/>
          <w:highlight w:val="none"/>
        </w:rPr>
        <w:t>财政部财库[2014]214号《政府采购竞争性磋商采购方式管理暂行办法》的规定，磋商小组根据综合评分情况，按照评审得分由高到低顺序推荐3名成交候选供应商。</w:t>
      </w:r>
    </w:p>
    <w:p>
      <w:pPr>
        <w:pStyle w:val="7"/>
        <w:bidi w:val="0"/>
        <w:rPr>
          <w:rFonts w:hint="eastAsia" w:ascii="仿宋" w:hAnsi="仿宋" w:eastAsia="仿宋" w:cs="仿宋"/>
          <w:color w:val="auto"/>
          <w:sz w:val="32"/>
          <w:szCs w:val="36"/>
          <w:highlight w:val="none"/>
        </w:rPr>
      </w:pPr>
      <w:bookmarkStart w:id="48" w:name="_Toc12908"/>
      <w:bookmarkStart w:id="49" w:name="_Toc6759"/>
      <w:bookmarkStart w:id="50" w:name="_Toc519156743"/>
      <w:bookmarkStart w:id="51" w:name="_Toc13700"/>
      <w:bookmarkStart w:id="52" w:name="_Toc21838"/>
      <w:bookmarkStart w:id="53" w:name="_Toc12452"/>
      <w:r>
        <w:rPr>
          <w:rFonts w:hint="eastAsia" w:ascii="仿宋" w:hAnsi="仿宋" w:eastAsia="仿宋" w:cs="仿宋"/>
          <w:color w:val="auto"/>
          <w:sz w:val="32"/>
          <w:szCs w:val="36"/>
          <w:highlight w:val="none"/>
        </w:rPr>
        <w:t>七</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确定成交人、成交通知与签约</w:t>
      </w:r>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bookmarkStart w:id="54" w:name="_Toc519156744"/>
      <w:bookmarkStart w:id="55" w:name="_Toc19721"/>
      <w:bookmarkStart w:id="56" w:name="_Toc23113"/>
      <w:r>
        <w:rPr>
          <w:rFonts w:hint="eastAsia" w:ascii="仿宋" w:hAnsi="仿宋" w:eastAsia="仿宋" w:cs="仿宋"/>
          <w:b/>
          <w:color w:val="auto"/>
          <w:sz w:val="24"/>
          <w:szCs w:val="24"/>
          <w:highlight w:val="none"/>
        </w:rPr>
        <w:t>31．确定成交人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31.1采购代理机构应在评审结束之日起2个工作日内将评审报告送采购人确认。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31.2采购人应当在收到评审报告之日起5个工作日内，从评审报告提出的成交候选供应商中，按照排序由高到低的原则确定成交供应商。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32．成交通知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32.1 成交供应商确定之后，代理公司将发出《成交通知书》。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32.2成交通知书对采购人和成交供应商具有同等法律效力。成交通知书发出之后，采购人改变成交结果，或者成交供应商放弃成交，应当承担相应的法律责任。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33．签订合同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33.1磋商文件、成交供应商响应文件及补充文件等均为签订政府采购合同依据。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33.2成交供应商应在成交通知书发出之日起30日内与采购人签订政府采购合同。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33.3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33.4自政府采购合同签订之日起2个工作日内，本项目政府采购合同在磋商须知前附表规定的媒体上公告，但政府采购合同中涉及国家秘密、商业秘密的内容除外。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34．成交合同的履约验收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采购人按照政府采购合同规定的技术、服务、安全标准组织对供应商履约情况进行验收，并出具验收书。验收书应当包括每一项技术、服务、安全标准的履约情况。</w:t>
      </w:r>
    </w:p>
    <w:p>
      <w:pPr>
        <w:pStyle w:val="7"/>
        <w:bidi w:val="0"/>
        <w:rPr>
          <w:rFonts w:hint="eastAsia" w:ascii="仿宋" w:hAnsi="仿宋" w:eastAsia="仿宋" w:cs="仿宋"/>
          <w:color w:val="auto"/>
          <w:sz w:val="32"/>
          <w:szCs w:val="36"/>
          <w:highlight w:val="none"/>
        </w:rPr>
      </w:pPr>
      <w:bookmarkStart w:id="57" w:name="_Toc26927"/>
      <w:bookmarkStart w:id="58" w:name="_Toc31527"/>
      <w:bookmarkStart w:id="59" w:name="_Toc12773"/>
      <w:r>
        <w:rPr>
          <w:rFonts w:hint="eastAsia" w:ascii="仿宋" w:hAnsi="仿宋" w:eastAsia="仿宋" w:cs="仿宋"/>
          <w:color w:val="auto"/>
          <w:sz w:val="32"/>
          <w:szCs w:val="36"/>
          <w:highlight w:val="none"/>
        </w:rPr>
        <w:t>八、其他事项</w:t>
      </w:r>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35.竞争性磋商项目实行二轮报价</w:t>
      </w:r>
      <w:r>
        <w:rPr>
          <w:rFonts w:hint="eastAsia" w:ascii="仿宋" w:hAnsi="仿宋" w:eastAsia="仿宋" w:cs="仿宋"/>
          <w:color w:val="auto"/>
          <w:sz w:val="24"/>
          <w:szCs w:val="24"/>
          <w:highlight w:val="none"/>
        </w:rPr>
        <w:t>，第一次报价后，磋商小组可以变更采购需求中的技术、服务要求以及合同草案条款，二轮报价为最终报价。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36.磋商开始后，出现下列情形之一的，采购代理机构将终止竞争性磋商采购活动，发布项目终止公告并说明原因，重新开展采购活动：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（三）在采购过程中符合要求的供应商不足3家的 （不包含政府购买服务项目）；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（四）报价未超过采购预算的供应商不足3家的。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37. 提交最后报价的供应商为2家时，可以继续进行磋商的情形：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（一）市场竞争不充分的科研项目，以及需要扶持的科技成果转化项目；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（二）政府购买服务项目（含政府和社会资本项目）。</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38.最后报价应按报价的格式内容填写</w:t>
      </w:r>
      <w:r>
        <w:rPr>
          <w:rFonts w:hint="eastAsia" w:ascii="仿宋" w:hAnsi="仿宋" w:eastAsia="仿宋" w:cs="仿宋"/>
          <w:color w:val="auto"/>
          <w:sz w:val="24"/>
          <w:szCs w:val="24"/>
          <w:highlight w:val="none"/>
        </w:rPr>
        <w:t>，并且同时提交最后响应报价表、最后报价明细表等内容（最后响应报价表、最后报价明细表等内容不用装订在响应文件中，填写表格内容字体使用仿宋字清晰的填写，如因字迹不清造成的磋商小组对供应商的评审有误，后果由填表人自己负责，与采购人、磋商小组及采购代理机构无任何关系），且由法定代表人或授权代表人签字</w:t>
      </w:r>
      <w:r>
        <w:rPr>
          <w:rFonts w:hint="eastAsia" w:ascii="仿宋" w:hAnsi="仿宋" w:eastAsia="仿宋" w:cs="仿宋"/>
          <w:color w:val="auto"/>
          <w:sz w:val="24"/>
          <w:szCs w:val="24"/>
          <w:highlight w:val="none"/>
          <w:lang w:eastAsia="zh-CN"/>
        </w:rPr>
        <w:t>。</w:t>
      </w:r>
    </w:p>
    <w:p>
      <w:pPr>
        <w:pStyle w:val="17"/>
        <w:rPr>
          <w:rFonts w:hint="eastAsia" w:ascii="仿宋" w:hAnsi="仿宋" w:eastAsia="仿宋" w:cs="仿宋"/>
          <w:color w:val="auto"/>
          <w:sz w:val="20"/>
          <w:szCs w:val="20"/>
          <w:highlight w:val="none"/>
        </w:rPr>
      </w:pPr>
    </w:p>
    <w:p>
      <w:pPr>
        <w:pStyle w:val="7"/>
        <w:bidi w:val="0"/>
        <w:rPr>
          <w:rFonts w:hint="eastAsia" w:ascii="仿宋" w:hAnsi="仿宋" w:eastAsia="仿宋" w:cs="仿宋"/>
          <w:color w:val="auto"/>
          <w:sz w:val="32"/>
          <w:szCs w:val="36"/>
          <w:highlight w:val="none"/>
        </w:rPr>
      </w:pPr>
      <w:bookmarkStart w:id="60" w:name="_Toc23647"/>
      <w:bookmarkStart w:id="61" w:name="_Toc23716"/>
      <w:bookmarkStart w:id="62" w:name="_Toc23884"/>
      <w:bookmarkStart w:id="63" w:name="_Toc3681"/>
      <w:bookmarkStart w:id="64" w:name="_Toc519156745"/>
      <w:bookmarkStart w:id="65" w:name="_Toc30935"/>
      <w:bookmarkStart w:id="66" w:name="_Toc5011"/>
      <w:r>
        <w:rPr>
          <w:rFonts w:hint="eastAsia" w:ascii="仿宋" w:hAnsi="仿宋" w:eastAsia="仿宋" w:cs="仿宋"/>
          <w:color w:val="auto"/>
          <w:sz w:val="32"/>
          <w:szCs w:val="36"/>
          <w:highlight w:val="none"/>
        </w:rPr>
        <w:t>九</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成交服务费</w:t>
      </w:r>
      <w:bookmarkEnd w:id="60"/>
      <w:bookmarkEnd w:id="61"/>
      <w:bookmarkEnd w:id="62"/>
      <w:bookmarkEnd w:id="63"/>
      <w:bookmarkEnd w:id="64"/>
      <w:bookmarkEnd w:id="65"/>
      <w:bookmarkEnd w:id="66"/>
    </w:p>
    <w:p>
      <w:pPr>
        <w:snapToGrid w:val="0"/>
        <w:spacing w:line="42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39</w:t>
      </w:r>
      <w:r>
        <w:rPr>
          <w:rFonts w:hint="eastAsia" w:ascii="仿宋" w:hAnsi="仿宋" w:eastAsia="仿宋" w:cs="仿宋"/>
          <w:b/>
          <w:bCs/>
          <w:color w:val="auto"/>
          <w:sz w:val="24"/>
          <w:szCs w:val="24"/>
          <w:highlight w:val="none"/>
        </w:rPr>
        <w:t>.招标代理服务费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银行户名：陕西德仁招标有限公司</w:t>
      </w:r>
    </w:p>
    <w:p>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kern w:val="0"/>
          <w:sz w:val="24"/>
          <w:szCs w:val="24"/>
          <w:highlight w:val="none"/>
        </w:rPr>
        <w:t>招商银行股份有限公司西安城南支行</w:t>
      </w:r>
    </w:p>
    <w:p>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号：1299 0904 6810 901</w:t>
      </w:r>
    </w:p>
    <w:p>
      <w:pPr>
        <w:spacing w:line="42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联系人：</w:t>
      </w:r>
      <w:r>
        <w:rPr>
          <w:rFonts w:hint="eastAsia" w:ascii="仿宋" w:hAnsi="仿宋" w:eastAsia="仿宋" w:cs="仿宋"/>
          <w:b/>
          <w:bCs/>
          <w:color w:val="auto"/>
          <w:sz w:val="24"/>
          <w:szCs w:val="24"/>
          <w:highlight w:val="none"/>
          <w:lang w:val="en-US" w:eastAsia="zh-CN"/>
        </w:rPr>
        <w:t>苏</w:t>
      </w:r>
      <w:r>
        <w:rPr>
          <w:rFonts w:hint="eastAsia" w:ascii="仿宋" w:hAnsi="仿宋" w:eastAsia="仿宋" w:cs="仿宋"/>
          <w:b/>
          <w:bCs/>
          <w:color w:val="auto"/>
          <w:sz w:val="24"/>
          <w:szCs w:val="24"/>
          <w:highlight w:val="none"/>
        </w:rPr>
        <w:t>会计  联系电话：8</w:t>
      </w:r>
      <w:r>
        <w:rPr>
          <w:rFonts w:hint="eastAsia" w:ascii="仿宋" w:hAnsi="仿宋" w:eastAsia="仿宋" w:cs="仿宋"/>
          <w:b/>
          <w:bCs/>
          <w:color w:val="auto"/>
          <w:sz w:val="24"/>
          <w:szCs w:val="24"/>
          <w:highlight w:val="none"/>
          <w:lang w:val="en-US" w:eastAsia="zh-CN"/>
        </w:rPr>
        <w:t>9588150</w:t>
      </w:r>
    </w:p>
    <w:p>
      <w:pPr>
        <w:spacing w:line="42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邮箱：yangmengna@sxdrzb.cn</w:t>
      </w:r>
    </w:p>
    <w:p>
      <w:pPr>
        <w:pStyle w:val="7"/>
        <w:bidi w:val="0"/>
        <w:rPr>
          <w:rFonts w:hint="eastAsia" w:ascii="仿宋" w:hAnsi="仿宋" w:eastAsia="仿宋" w:cs="仿宋"/>
          <w:color w:val="auto"/>
          <w:sz w:val="32"/>
          <w:szCs w:val="36"/>
          <w:highlight w:val="none"/>
        </w:rPr>
      </w:pPr>
      <w:bookmarkStart w:id="67" w:name="_Toc22117"/>
      <w:bookmarkStart w:id="68" w:name="_Toc32429"/>
      <w:bookmarkStart w:id="69" w:name="_Toc10336"/>
      <w:bookmarkStart w:id="70" w:name="_Toc5878"/>
      <w:r>
        <w:rPr>
          <w:rFonts w:hint="eastAsia" w:ascii="仿宋" w:hAnsi="仿宋" w:eastAsia="仿宋" w:cs="仿宋"/>
          <w:color w:val="auto"/>
          <w:sz w:val="32"/>
          <w:szCs w:val="36"/>
          <w:highlight w:val="none"/>
        </w:rPr>
        <w:t>十</w:t>
      </w:r>
      <w:r>
        <w:rPr>
          <w:rFonts w:hint="eastAsia" w:ascii="仿宋" w:hAnsi="仿宋" w:eastAsia="仿宋" w:cs="仿宋"/>
          <w:color w:val="auto"/>
          <w:sz w:val="32"/>
          <w:szCs w:val="36"/>
          <w:highlight w:val="none"/>
          <w:lang w:eastAsia="zh-CN"/>
        </w:rPr>
        <w:t>、</w:t>
      </w:r>
      <w:r>
        <w:rPr>
          <w:rFonts w:hint="eastAsia" w:ascii="仿宋" w:hAnsi="仿宋" w:eastAsia="仿宋" w:cs="仿宋"/>
          <w:color w:val="auto"/>
          <w:sz w:val="32"/>
          <w:szCs w:val="36"/>
          <w:highlight w:val="none"/>
        </w:rPr>
        <w:t>质疑</w:t>
      </w:r>
      <w:bookmarkEnd w:id="67"/>
      <w:bookmarkEnd w:id="68"/>
      <w:bookmarkEnd w:id="69"/>
      <w:bookmarkEnd w:id="70"/>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.质疑</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.1供应商对本次磋商采购活动有疑问的，应当按照《中华人民共和国政府采购法实施条例》的有关规定办理。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 质疑函应当包括下列内容：</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（1）供应商的姓名或者名称、地址、邮编、联系人及联系电话；</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供应商为自然人的，应当由本人签字；供应商为法人或者其他组织的，应当由法定代表人、主要负责人，或者其授权代表（附法人代表授权书）签字或者盖章（鲜章），并加盖公章（鲜章）。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接收质疑函的方式：书面形式；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联系部门：陕西德仁招标有限公司；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胡晓均、张涛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029-85565073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通讯地址：西安市高新区沣惠南路华晶商务广场B座2301室。</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质疑函范本格式在中国政府采购网站（http://www.ccgp.gov.cn/）自行下载。</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有下列情形之一的，属于无效质疑，采购代理机构和采购人不予受理：</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质疑供应商不是参与所质疑项目采购活动的供应商；</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未在法定质疑期内发出质疑的；</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质疑未以书面形式提出；</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质疑函没有合法有效的签字、盖章或授权的；</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以非法手段取得证据、材料的；</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质疑答复后，同一质疑人就同一事项再次提出质疑的；</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460" w:lineRule="exact"/>
        <w:ind w:left="845" w:leftChars="0" w:hanging="425"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不符合法律、法规、规章和政府采购监管机构规定的其他条件的。</w:t>
      </w:r>
    </w:p>
    <w:p>
      <w:pPr>
        <w:pStyle w:val="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采购代理机构或采购人将在收到书面质疑后7个工作日内做出答复，并以书面形式通知质疑人和其他有关供应商。</w:t>
      </w:r>
    </w:p>
    <w:p>
      <w:pPr>
        <w:pStyle w:val="3"/>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.其他规定</w:t>
      </w:r>
    </w:p>
    <w:p>
      <w:pPr>
        <w:pStyle w:val="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磋商文件的其他规定见磋商须知前附表。</w:t>
      </w:r>
    </w:p>
    <w:p>
      <w:pPr>
        <w:pStyle w:val="3"/>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.未尽事宜</w:t>
      </w:r>
    </w:p>
    <w:p>
      <w:pPr>
        <w:pStyle w:val="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其他未尽事宜按政府采购法律法规的规定执行。</w:t>
      </w:r>
    </w:p>
    <w:p>
      <w:pPr>
        <w:pStyle w:val="3"/>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.文件解释权</w:t>
      </w:r>
    </w:p>
    <w:p>
      <w:pPr>
        <w:pStyle w:val="14"/>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本磋商文件的解释权归采购代理机构所有。</w:t>
      </w:r>
    </w:p>
    <w:p>
      <w:pPr>
        <w:pStyle w:val="14"/>
        <w:spacing w:line="420" w:lineRule="exact"/>
        <w:ind w:firstLine="560" w:firstLineChars="200"/>
        <w:rPr>
          <w:rFonts w:hint="eastAsia" w:ascii="仿宋" w:hAnsi="仿宋" w:eastAsia="仿宋" w:cs="仿宋"/>
          <w:sz w:val="28"/>
          <w:szCs w:val="28"/>
          <w:highlight w:val="none"/>
        </w:rPr>
      </w:pPr>
    </w:p>
    <w:p>
      <w:pPr>
        <w:pStyle w:val="14"/>
        <w:spacing w:line="420" w:lineRule="exact"/>
        <w:ind w:firstLine="560" w:firstLineChars="200"/>
        <w:rPr>
          <w:rFonts w:hint="eastAsia" w:ascii="仿宋" w:hAnsi="仿宋" w:eastAsia="仿宋" w:cs="仿宋"/>
          <w:sz w:val="28"/>
          <w:szCs w:val="28"/>
          <w:highlight w:val="none"/>
        </w:rPr>
        <w:sectPr>
          <w:headerReference r:id="rId9" w:type="first"/>
          <w:footerReference r:id="rId10" w:type="default"/>
          <w:footerReference r:id="rId11" w:type="even"/>
          <w:pgSz w:w="11906" w:h="16838"/>
          <w:pgMar w:top="1440" w:right="1417" w:bottom="1440" w:left="1587" w:header="850" w:footer="992" w:gutter="0"/>
          <w:pgNumType w:fmt="numberInDash"/>
          <w:cols w:space="0" w:num="1"/>
          <w:docGrid w:type="lines" w:linePitch="312" w:charSpace="0"/>
        </w:sectPr>
      </w:pPr>
    </w:p>
    <w:p>
      <w:pPr>
        <w:numPr>
          <w:ilvl w:val="0"/>
          <w:numId w:val="5"/>
        </w:numPr>
        <w:jc w:val="center"/>
        <w:outlineLvl w:val="0"/>
        <w:rPr>
          <w:rFonts w:hint="eastAsia" w:ascii="仿宋" w:hAnsi="仿宋" w:eastAsia="仿宋" w:cs="仿宋"/>
          <w:b/>
          <w:bCs/>
          <w:color w:val="auto"/>
          <w:kern w:val="2"/>
          <w:sz w:val="36"/>
          <w:szCs w:val="36"/>
          <w:highlight w:val="none"/>
          <w:lang w:val="en-US" w:eastAsia="zh-CN" w:bidi="ar-SA"/>
        </w:rPr>
      </w:pPr>
      <w:bookmarkStart w:id="71" w:name="_Toc23409"/>
      <w:bookmarkStart w:id="72" w:name="_Toc18268"/>
      <w:bookmarkStart w:id="73" w:name="_Toc31900"/>
      <w:r>
        <w:rPr>
          <w:rFonts w:hint="eastAsia" w:ascii="仿宋" w:hAnsi="仿宋" w:eastAsia="仿宋" w:cs="仿宋"/>
          <w:b/>
          <w:bCs/>
          <w:color w:val="auto"/>
          <w:kern w:val="2"/>
          <w:sz w:val="36"/>
          <w:szCs w:val="36"/>
          <w:highlight w:val="none"/>
          <w:lang w:val="en-US" w:eastAsia="zh-CN" w:bidi="ar-SA"/>
        </w:rPr>
        <w:t xml:space="preserve"> 磋商要求及说明</w:t>
      </w:r>
      <w:bookmarkEnd w:id="17"/>
      <w:bookmarkEnd w:id="18"/>
      <w:bookmarkEnd w:id="19"/>
      <w:bookmarkEnd w:id="71"/>
      <w:bookmarkEnd w:id="72"/>
      <w:bookmarkEnd w:id="73"/>
      <w:bookmarkStart w:id="74" w:name="_Toc12426"/>
      <w:bookmarkStart w:id="75" w:name="_Toc13278"/>
      <w:bookmarkStart w:id="76" w:name="_Toc519156757"/>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bookmarkStart w:id="77" w:name="_Toc20085"/>
      <w:r>
        <w:rPr>
          <w:rFonts w:hint="eastAsia" w:ascii="仿宋" w:hAnsi="仿宋" w:eastAsia="仿宋" w:cs="仿宋"/>
          <w:b/>
          <w:color w:val="000000" w:themeColor="text1"/>
          <w:sz w:val="24"/>
          <w:szCs w:val="24"/>
          <w:highlight w:val="none"/>
          <w14:textFill>
            <w14:solidFill>
              <w14:schemeClr w14:val="tx1"/>
            </w14:solidFill>
          </w14:textFill>
        </w:rPr>
        <w:t>1、服务内容</w:t>
      </w:r>
    </w:p>
    <w:p>
      <w:pPr>
        <w:pStyle w:val="17"/>
        <w:spacing w:line="360" w:lineRule="auto"/>
        <w:ind w:firstLine="482"/>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司法辅助送达服务技术参数要求</w:t>
      </w:r>
    </w:p>
    <w:tbl>
      <w:tblPr>
        <w:tblStyle w:val="26"/>
        <w:tblW w:w="8641" w:type="dxa"/>
        <w:jc w:val="center"/>
        <w:tblLayout w:type="fixed"/>
        <w:tblCellMar>
          <w:top w:w="0" w:type="dxa"/>
          <w:left w:w="108" w:type="dxa"/>
          <w:bottom w:w="0" w:type="dxa"/>
          <w:right w:w="108" w:type="dxa"/>
        </w:tblCellMar>
      </w:tblPr>
      <w:tblGrid>
        <w:gridCol w:w="704"/>
        <w:gridCol w:w="774"/>
        <w:gridCol w:w="5243"/>
        <w:gridCol w:w="787"/>
        <w:gridCol w:w="1133"/>
      </w:tblGrid>
      <w:tr>
        <w:tblPrEx>
          <w:tblCellMar>
            <w:top w:w="0" w:type="dxa"/>
            <w:left w:w="108" w:type="dxa"/>
            <w:bottom w:w="0" w:type="dxa"/>
            <w:right w:w="108" w:type="dxa"/>
          </w:tblCellMar>
        </w:tblPrEx>
        <w:trPr>
          <w:trHeight w:val="699"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60" w:lineRule="auto"/>
              <w:jc w:val="center"/>
              <w:textAlignment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774"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auto"/>
              <w:jc w:val="center"/>
              <w:textAlignment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名称</w:t>
            </w:r>
          </w:p>
        </w:tc>
        <w:tc>
          <w:tcPr>
            <w:tcW w:w="5243"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auto"/>
              <w:jc w:val="center"/>
              <w:textAlignment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内容</w:t>
            </w:r>
          </w:p>
        </w:tc>
        <w:tc>
          <w:tcPr>
            <w:tcW w:w="787"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auto"/>
              <w:jc w:val="center"/>
              <w:textAlignment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服务期限</w:t>
            </w:r>
          </w:p>
        </w:tc>
        <w:tc>
          <w:tcPr>
            <w:tcW w:w="1133"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auto"/>
              <w:jc w:val="center"/>
              <w:textAlignment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数量</w:t>
            </w:r>
          </w:p>
        </w:tc>
      </w:tr>
      <w:tr>
        <w:tblPrEx>
          <w:tblCellMar>
            <w:top w:w="0" w:type="dxa"/>
            <w:left w:w="108" w:type="dxa"/>
            <w:bottom w:w="0" w:type="dxa"/>
            <w:right w:w="108" w:type="dxa"/>
          </w:tblCellMar>
        </w:tblPrEx>
        <w:trPr>
          <w:trHeight w:val="773"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774" w:type="dxa"/>
            <w:tcBorders>
              <w:top w:val="single" w:color="auto" w:sz="4" w:space="0"/>
              <w:left w:val="nil"/>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硬件</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部署</w:t>
            </w:r>
          </w:p>
        </w:tc>
        <w:tc>
          <w:tcPr>
            <w:tcW w:w="5243" w:type="dxa"/>
            <w:tcBorders>
              <w:top w:val="single" w:color="auto" w:sz="4" w:space="0"/>
              <w:left w:val="nil"/>
              <w:bottom w:val="single" w:color="auto" w:sz="4" w:space="0"/>
              <w:right w:val="single" w:color="auto" w:sz="4" w:space="0"/>
            </w:tcBorders>
            <w:shd w:val="clear" w:color="000000" w:fill="auto"/>
            <w:vAlign w:val="center"/>
          </w:tcPr>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1、提供统一的电话送达号码，实施电话送达；</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2、司法专邮打印机1部；</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3、高拍仪1部；</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上述硬件所有权归乙方，甲方作为场地提供方负有保管责任，乙方负责部署安装及调试工作。</w:t>
            </w:r>
          </w:p>
        </w:tc>
        <w:tc>
          <w:tcPr>
            <w:tcW w:w="787" w:type="dxa"/>
            <w:vMerge w:val="restart"/>
            <w:tcBorders>
              <w:top w:val="single" w:color="auto" w:sz="4" w:space="0"/>
              <w:left w:val="nil"/>
              <w:right w:val="single" w:color="auto" w:sz="4" w:space="0"/>
            </w:tcBorders>
            <w:shd w:val="clear" w:color="000000" w:fill="auto"/>
            <w:vAlign w:val="center"/>
          </w:tcPr>
          <w:p>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1年</w:t>
            </w:r>
          </w:p>
        </w:tc>
        <w:tc>
          <w:tcPr>
            <w:tcW w:w="1133" w:type="dxa"/>
            <w:vMerge w:val="restart"/>
            <w:tcBorders>
              <w:top w:val="single" w:color="auto" w:sz="4" w:space="0"/>
              <w:left w:val="nil"/>
              <w:right w:val="single" w:color="auto" w:sz="4" w:space="0"/>
            </w:tcBorders>
            <w:shd w:val="clear" w:color="000000" w:fill="auto"/>
            <w:vAlign w:val="center"/>
          </w:tcPr>
          <w:p>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支持不超过</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39800</w:t>
            </w:r>
            <w:r>
              <w:rPr>
                <w:rFonts w:hint="eastAsia" w:ascii="仿宋" w:hAnsi="仿宋" w:eastAsia="仿宋" w:cs="仿宋"/>
                <w:bCs/>
                <w:color w:val="000000" w:themeColor="text1"/>
                <w:sz w:val="24"/>
                <w:szCs w:val="24"/>
                <w:highlight w:val="none"/>
                <w14:textFill>
                  <w14:solidFill>
                    <w14:schemeClr w14:val="tx1"/>
                  </w14:solidFill>
                </w14:textFill>
              </w:rPr>
              <w:t>案件量</w:t>
            </w:r>
          </w:p>
        </w:tc>
      </w:tr>
      <w:tr>
        <w:tblPrEx>
          <w:tblCellMar>
            <w:top w:w="0" w:type="dxa"/>
            <w:left w:w="108" w:type="dxa"/>
            <w:bottom w:w="0" w:type="dxa"/>
            <w:right w:w="108" w:type="dxa"/>
          </w:tblCellMar>
        </w:tblPrEx>
        <w:trPr>
          <w:trHeight w:val="773"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774" w:type="dxa"/>
            <w:tcBorders>
              <w:top w:val="single" w:color="auto" w:sz="4" w:space="0"/>
              <w:left w:val="nil"/>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集约送达业务支撑系统</w:t>
            </w:r>
          </w:p>
        </w:tc>
        <w:tc>
          <w:tcPr>
            <w:tcW w:w="5243" w:type="dxa"/>
            <w:tcBorders>
              <w:top w:val="single" w:color="auto" w:sz="4" w:space="0"/>
              <w:left w:val="nil"/>
              <w:bottom w:val="single" w:color="auto" w:sz="4" w:space="0"/>
              <w:right w:val="single" w:color="auto" w:sz="4" w:space="0"/>
            </w:tcBorders>
            <w:shd w:val="clear" w:color="000000" w:fill="auto"/>
            <w:vAlign w:val="center"/>
          </w:tcPr>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1、送达模块：包含电子送达、电话送达、邮政送达、外出送达、公告送达等子模块服务；</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2、支持从办案系统推送、纸质卷宗两种方式交案</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3、当事人端：提供PC端、手机、</w:t>
            </w:r>
            <w:r>
              <w:rPr>
                <w:rFonts w:hint="eastAsia" w:ascii="仿宋" w:hAnsi="仿宋" w:eastAsia="仿宋" w:cs="仿宋"/>
                <w:bCs/>
                <w:color w:val="000000" w:themeColor="text1"/>
                <w:sz w:val="24"/>
                <w:szCs w:val="24"/>
                <w:highlight w:val="none"/>
                <w:lang w:val="en-US" w:eastAsia="zh-Hans"/>
                <w14:textFill>
                  <w14:solidFill>
                    <w14:schemeClr w14:val="tx1"/>
                  </w14:solidFill>
                </w14:textFill>
              </w:rPr>
              <w:t>PC端</w:t>
            </w:r>
            <w:r>
              <w:rPr>
                <w:rFonts w:hint="eastAsia" w:ascii="仿宋" w:hAnsi="仿宋" w:eastAsia="仿宋" w:cs="仿宋"/>
                <w:bCs/>
                <w:color w:val="000000" w:themeColor="text1"/>
                <w:sz w:val="24"/>
                <w:szCs w:val="24"/>
                <w:highlight w:val="none"/>
                <w14:textFill>
                  <w14:solidFill>
                    <w14:schemeClr w14:val="tx1"/>
                  </w14:solidFill>
                </w14:textFill>
              </w:rPr>
              <w:t>三个端登录、查看、下载文书功能；</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4、法官\书记员端：提供微信公众号实时查询送达进度和结果；</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5、辅助功能：送达案件管理、送达回证管理、送达数据统计；</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6、实现与全国统一送达平台对接，可向最高院质效平台上报送达数据。</w:t>
            </w:r>
          </w:p>
        </w:tc>
        <w:tc>
          <w:tcPr>
            <w:tcW w:w="787" w:type="dxa"/>
            <w:vMerge w:val="continue"/>
            <w:tcBorders>
              <w:left w:val="nil"/>
              <w:right w:val="single" w:color="auto" w:sz="4" w:space="0"/>
            </w:tcBorders>
            <w:shd w:val="clear" w:color="000000" w:fill="auto"/>
            <w:vAlign w:val="center"/>
          </w:tcPr>
          <w:p>
            <w:p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33" w:type="dxa"/>
            <w:vMerge w:val="continue"/>
            <w:tcBorders>
              <w:left w:val="nil"/>
              <w:right w:val="single" w:color="auto" w:sz="4" w:space="0"/>
            </w:tcBorders>
            <w:shd w:val="clear" w:color="000000" w:fill="auto"/>
            <w:vAlign w:val="center"/>
          </w:tcPr>
          <w:p>
            <w:p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73"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p>
        </w:tc>
        <w:tc>
          <w:tcPr>
            <w:tcW w:w="774" w:type="dxa"/>
            <w:tcBorders>
              <w:top w:val="single" w:color="auto" w:sz="4" w:space="0"/>
              <w:left w:val="nil"/>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人员</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配置</w:t>
            </w:r>
          </w:p>
        </w:tc>
        <w:tc>
          <w:tcPr>
            <w:tcW w:w="5243" w:type="dxa"/>
            <w:tcBorders>
              <w:top w:val="single" w:color="auto" w:sz="4" w:space="0"/>
              <w:left w:val="nil"/>
              <w:bottom w:val="single" w:color="auto" w:sz="4" w:space="0"/>
              <w:right w:val="single" w:color="auto" w:sz="4" w:space="0"/>
            </w:tcBorders>
            <w:shd w:val="clear" w:color="000000" w:fill="auto"/>
            <w:vAlign w:val="center"/>
          </w:tcPr>
          <w:p>
            <w:pPr>
              <w:numPr>
                <w:ilvl w:val="0"/>
                <w:numId w:val="6"/>
              </w:num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乙方在甲方指定场所配置不少于6名专业驻场人员，对接法官团队送达需求，协同后台送达中心完成电子、电话送达，接待上门自取、执行邮寄送达、协助完成公告送达，将送达回证返回给法官团队，提供送达数据报告等。</w:t>
            </w:r>
          </w:p>
          <w:p>
            <w:pPr>
              <w:numPr>
                <w:ilvl w:val="0"/>
                <w:numId w:val="6"/>
              </w:num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乙方视甲方送达服务量，配置合理数量的电话送达服务人员，提供专业规范的电话、电子送达服务，保证送达时效。</w:t>
            </w:r>
          </w:p>
        </w:tc>
        <w:tc>
          <w:tcPr>
            <w:tcW w:w="787" w:type="dxa"/>
            <w:vMerge w:val="continue"/>
            <w:tcBorders>
              <w:left w:val="nil"/>
              <w:right w:val="single" w:color="auto" w:sz="4" w:space="0"/>
            </w:tcBorders>
            <w:shd w:val="clear" w:color="000000" w:fill="auto"/>
            <w:vAlign w:val="center"/>
          </w:tcPr>
          <w:p>
            <w:pPr>
              <w:numPr>
                <w:ilvl w:val="0"/>
                <w:numId w:val="6"/>
              </w:num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33" w:type="dxa"/>
            <w:vMerge w:val="continue"/>
            <w:tcBorders>
              <w:left w:val="nil"/>
              <w:right w:val="single" w:color="auto" w:sz="4" w:space="0"/>
            </w:tcBorders>
            <w:shd w:val="clear" w:color="000000" w:fill="auto"/>
            <w:vAlign w:val="center"/>
          </w:tcPr>
          <w:p>
            <w:pPr>
              <w:numPr>
                <w:ilvl w:val="0"/>
                <w:numId w:val="6"/>
              </w:num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73"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w:t>
            </w:r>
          </w:p>
        </w:tc>
        <w:tc>
          <w:tcPr>
            <w:tcW w:w="774" w:type="dxa"/>
            <w:tcBorders>
              <w:top w:val="single" w:color="auto" w:sz="4" w:space="0"/>
              <w:left w:val="nil"/>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服务</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导入</w:t>
            </w:r>
          </w:p>
        </w:tc>
        <w:tc>
          <w:tcPr>
            <w:tcW w:w="5243" w:type="dxa"/>
            <w:tcBorders>
              <w:top w:val="single" w:color="auto" w:sz="4" w:space="0"/>
              <w:left w:val="nil"/>
              <w:bottom w:val="single" w:color="auto" w:sz="4" w:space="0"/>
              <w:right w:val="single" w:color="auto" w:sz="4" w:space="0"/>
            </w:tcBorders>
            <w:shd w:val="clear" w:color="000000" w:fill="auto"/>
            <w:vAlign w:val="center"/>
          </w:tcPr>
          <w:p>
            <w:pPr>
              <w:numPr>
                <w:ilvl w:val="255"/>
                <w:numId w:val="0"/>
              </w:num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乙方提供专业的实施顾问进行现场导入服务，内容包括集约化送达流程梳理、电子送达规则确认、系统安装配置、法官\书记员操作培训、硬件部署等工作。协同前端工作人员完成集约化送达流程试运行，有序开展集约化送达工作。</w:t>
            </w:r>
          </w:p>
        </w:tc>
        <w:tc>
          <w:tcPr>
            <w:tcW w:w="787" w:type="dxa"/>
            <w:vMerge w:val="continue"/>
            <w:tcBorders>
              <w:left w:val="nil"/>
              <w:right w:val="single" w:color="auto" w:sz="4" w:space="0"/>
            </w:tcBorders>
            <w:shd w:val="clear" w:color="000000" w:fill="auto"/>
            <w:vAlign w:val="center"/>
          </w:tcPr>
          <w:p>
            <w:pPr>
              <w:numPr>
                <w:ilvl w:val="255"/>
                <w:numId w:val="0"/>
              </w:num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33" w:type="dxa"/>
            <w:vMerge w:val="continue"/>
            <w:tcBorders>
              <w:left w:val="nil"/>
              <w:right w:val="single" w:color="auto" w:sz="4" w:space="0"/>
            </w:tcBorders>
            <w:shd w:val="clear" w:color="000000" w:fill="auto"/>
            <w:vAlign w:val="center"/>
          </w:tcPr>
          <w:p>
            <w:pPr>
              <w:numPr>
                <w:ilvl w:val="255"/>
                <w:numId w:val="0"/>
              </w:num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73"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w:t>
            </w:r>
          </w:p>
        </w:tc>
        <w:tc>
          <w:tcPr>
            <w:tcW w:w="774" w:type="dxa"/>
            <w:tcBorders>
              <w:top w:val="single" w:color="auto" w:sz="4" w:space="0"/>
              <w:left w:val="nil"/>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业务</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流程</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管理</w:t>
            </w:r>
          </w:p>
        </w:tc>
        <w:tc>
          <w:tcPr>
            <w:tcW w:w="5243" w:type="dxa"/>
            <w:tcBorders>
              <w:top w:val="single" w:color="auto" w:sz="4" w:space="0"/>
              <w:left w:val="nil"/>
              <w:bottom w:val="single" w:color="auto" w:sz="4" w:space="0"/>
              <w:right w:val="single" w:color="auto" w:sz="4" w:space="0"/>
            </w:tcBorders>
            <w:shd w:val="clear" w:color="000000" w:fill="auto"/>
            <w:vAlign w:val="center"/>
          </w:tcPr>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配合法院制定集约送达管理制度系列文件，如《集约送达暂行管理办法》、《送达立卷作业规范》、《电话送达话术规范及话务技巧》、《送达辅助系统操作指南》、《数据报表统计与制作规范》、《硬件设备操作与维护指南》、《驻场工作信息保密制度》等等，确保送达服务合规性，不断完善驻场人员管理，保障集约化送达工作实现持续有效的规范运作。</w:t>
            </w:r>
          </w:p>
        </w:tc>
        <w:tc>
          <w:tcPr>
            <w:tcW w:w="787" w:type="dxa"/>
            <w:vMerge w:val="continue"/>
            <w:tcBorders>
              <w:left w:val="nil"/>
              <w:right w:val="single" w:color="auto" w:sz="4" w:space="0"/>
            </w:tcBorders>
            <w:shd w:val="clear" w:color="000000" w:fill="auto"/>
            <w:vAlign w:val="center"/>
          </w:tcPr>
          <w:p>
            <w:p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33" w:type="dxa"/>
            <w:vMerge w:val="continue"/>
            <w:tcBorders>
              <w:left w:val="nil"/>
              <w:right w:val="single" w:color="auto" w:sz="4" w:space="0"/>
            </w:tcBorders>
            <w:shd w:val="clear" w:color="000000" w:fill="auto"/>
            <w:vAlign w:val="center"/>
          </w:tcPr>
          <w:p>
            <w:p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773"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w:t>
            </w:r>
          </w:p>
        </w:tc>
        <w:tc>
          <w:tcPr>
            <w:tcW w:w="774" w:type="dxa"/>
            <w:tcBorders>
              <w:top w:val="single" w:color="auto" w:sz="4" w:space="0"/>
              <w:left w:val="nil"/>
              <w:bottom w:val="single" w:color="auto" w:sz="4" w:space="0"/>
              <w:right w:val="single" w:color="auto" w:sz="4" w:space="0"/>
            </w:tcBorders>
            <w:shd w:val="clear" w:color="000000" w:fill="auto"/>
            <w:vAlign w:val="center"/>
          </w:tcPr>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案件</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送达</w:t>
            </w:r>
          </w:p>
          <w:p>
            <w:pPr>
              <w:spacing w:before="180" w:beforeLines="50"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服务</w:t>
            </w:r>
          </w:p>
        </w:tc>
        <w:tc>
          <w:tcPr>
            <w:tcW w:w="5243" w:type="dxa"/>
            <w:tcBorders>
              <w:top w:val="single" w:color="auto" w:sz="4" w:space="0"/>
              <w:left w:val="nil"/>
              <w:bottom w:val="single" w:color="auto" w:sz="4" w:space="0"/>
              <w:right w:val="single" w:color="auto" w:sz="4" w:space="0"/>
            </w:tcBorders>
            <w:shd w:val="clear" w:color="000000" w:fill="auto"/>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电子电话送达成功率不低于60%；</w:t>
            </w:r>
          </w:p>
          <w:p>
            <w:pPr>
              <w:pStyle w:val="17"/>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7日内完成送达任务占比80%</w:t>
            </w:r>
          </w:p>
        </w:tc>
        <w:tc>
          <w:tcPr>
            <w:tcW w:w="787" w:type="dxa"/>
            <w:tcBorders>
              <w:left w:val="nil"/>
              <w:bottom w:val="single" w:color="auto" w:sz="4" w:space="0"/>
              <w:right w:val="single" w:color="auto" w:sz="4" w:space="0"/>
            </w:tcBorders>
            <w:shd w:val="clear" w:color="000000" w:fill="auto"/>
            <w:vAlign w:val="center"/>
          </w:tcPr>
          <w:p>
            <w:p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33" w:type="dxa"/>
            <w:tcBorders>
              <w:left w:val="nil"/>
              <w:bottom w:val="single" w:color="auto" w:sz="4" w:space="0"/>
              <w:right w:val="single" w:color="auto" w:sz="4" w:space="0"/>
            </w:tcBorders>
            <w:shd w:val="clear" w:color="000000" w:fill="auto"/>
            <w:vAlign w:val="center"/>
          </w:tcPr>
          <w:p>
            <w:pPr>
              <w:spacing w:line="360" w:lineRule="auto"/>
              <w:ind w:right="4545" w:rightChars="1811"/>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1.统一送达平台对接</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1.1应支持与全国统一送达平台对接，应支持法官从四级法院专网办案系统发起送达任务，并可以实现两个系统无需切换账户的登录功能，可以便利地进行案件任务的推送和案件结果的查询。</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1.2通过送达业务系统执行送达的案件数据可同步传送至最高院质效平台。支持送达任务完成之后可以返回到统一送达平台，支持法官从四级法院专网登录进行查看和下载。</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2.集约化送达业务系统</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2.1集约化送达平台功能包括：电话送达功能、电子送达功能、邮政送达功能、直接送达功能、公告送达功能等子模块服务功能以及相关送达查询功能和管理功能。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支持从办案系统推送、纸质卷宗两种方式交案</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2.3系统支持将法官推送的案件进行批量立卷的操作，可以通过统一送达平台进行送达案件信息文书的推送，在业务系统完成全流程的送达工作。</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系统可以实现文书从办案系统推送、本地上传、文书在线制作等功能，实现一次送达任务挂接多份送达文书的功能，方便法官文书的创建；系统应将每次送达进行任务式管理，支持任务的增删改查，支持对多个被送达人同时送达、多次送达。</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2.5系统可实现法官、书记员按送达进度进行已提交送达案件的进度跟踪功能，可以查询全部送达任务情况；送达任务分为待审核、送达中和已完成三种阶段；待</w:t>
      </w:r>
      <w:r>
        <w:rPr>
          <w:rFonts w:hint="eastAsia" w:ascii="仿宋" w:hAnsi="仿宋" w:eastAsia="仿宋" w:cs="仿宋"/>
          <w:color w:val="000000" w:themeColor="text1"/>
          <w:sz w:val="24"/>
          <w:szCs w:val="24"/>
          <w:highlight w:val="none"/>
          <w:lang w:val="en-US" w:eastAsia="zh-Hans"/>
          <w14:textFill>
            <w14:solidFill>
              <w14:schemeClr w14:val="tx1"/>
            </w14:solidFill>
          </w14:textFill>
        </w:rPr>
        <w:t>审核</w:t>
      </w:r>
      <w:r>
        <w:rPr>
          <w:rFonts w:hint="eastAsia" w:ascii="仿宋" w:hAnsi="仿宋" w:eastAsia="仿宋" w:cs="仿宋"/>
          <w:color w:val="000000" w:themeColor="text1"/>
          <w:sz w:val="24"/>
          <w:szCs w:val="24"/>
          <w:highlight w:val="none"/>
          <w14:textFill>
            <w14:solidFill>
              <w14:schemeClr w14:val="tx1"/>
            </w14:solidFill>
          </w14:textFill>
        </w:rPr>
        <w:t>即为已发送给送达专员，专员还未审核通过的送达任务；送达中即为送达专员已检查通过，正在处理中的送达任务；</w:t>
      </w:r>
      <w:r>
        <w:rPr>
          <w:rFonts w:hint="eastAsia" w:ascii="仿宋" w:hAnsi="仿宋" w:eastAsia="仿宋" w:cs="仿宋"/>
          <w:color w:val="000000" w:themeColor="text1"/>
          <w:sz w:val="24"/>
          <w:szCs w:val="24"/>
          <w:highlight w:val="none"/>
          <w:lang w:val="en-US" w:eastAsia="zh-Hans"/>
          <w14:textFill>
            <w14:solidFill>
              <w14:schemeClr w14:val="tx1"/>
            </w14:solidFill>
          </w14:textFill>
        </w:rPr>
        <w:t>已完成</w:t>
      </w:r>
      <w:r>
        <w:rPr>
          <w:rFonts w:hint="eastAsia" w:ascii="仿宋" w:hAnsi="仿宋" w:eastAsia="仿宋" w:cs="仿宋"/>
          <w:color w:val="000000" w:themeColor="text1"/>
          <w:sz w:val="24"/>
          <w:szCs w:val="24"/>
          <w:highlight w:val="none"/>
          <w14:textFill>
            <w14:solidFill>
              <w14:schemeClr w14:val="tx1"/>
            </w14:solidFill>
          </w14:textFill>
        </w:rPr>
        <w:t>即为已经成功送达给当事人的送达任务；另外，还能看到当前任务的处理过程详情，包括操作人、操作时间节点、操作结果、回证生成情况等，选择回证文件可以进行送达报告生成操作，提供本案所有送达的报告书，可以将报告文件进行下载操作，将文件保存在本地电脑。</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2.6数据统计功能：可自动出具全院报表、各庭报表；以及包括针对辅助送达人员每日、每月完成的送达情况进行及时的汇总和统计，包括案件数量、送达次数、送达文书、平均送达耗时、电子送达、电话送达、邮寄送达、上门送达、公告送达等，各种送达方式和渠道的成功率等报表，为法院评估辅助送达服务给予全方位数据纬度参考。 </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2.7权限管理功能：领导可以查询管辖权限内所有法院文书的送达数据统计，法院送达监管部门可对全院正在进行流转的文书和已办结的文书进行列表查看和送达详情查阅操作。</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在线格式化文书制作功能：自动化抽取文书基本标签信息，实现一键文书生成的功能，并与电子签章系统进行对接，实现在线的加盖电子签章。送达报告书中应包含本案当事人送达过程中电话通知记录、短信发送记录、向受送达人发送的短信记录截图，包括短信发送时间、发送状态、短信内容；邮寄送达的物流投递记录、邮寄状态、签收状态等。外出送达包括外出送达的记录、上传拍照以及定位显示等记录；公告送达包含公告发布的截图和发布地址等详细内容。</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3.大数据平台对接</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3.1提供与统一送达平台大数据分析功能的对接。</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3.2要求实现送达专员可对法官创建的送达任务中的信息进行核实的功能，信息缺失或者当事人失联的情况下，送达专员可协助制作协查函根据具体情况进行修改或者到最高院人口信息库进行比对查询。</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3.3要求</w:t>
      </w:r>
      <w:r>
        <w:rPr>
          <w:rFonts w:hint="eastAsia" w:ascii="仿宋" w:hAnsi="仿宋" w:eastAsia="仿宋" w:cs="仿宋"/>
          <w:color w:val="000000" w:themeColor="text1"/>
          <w:sz w:val="24"/>
          <w:szCs w:val="24"/>
          <w:highlight w:val="none"/>
          <w:lang w:val="en-US" w:eastAsia="zh-Hans"/>
          <w14:textFill>
            <w14:solidFill>
              <w14:schemeClr w14:val="tx1"/>
            </w14:solidFill>
          </w14:textFill>
        </w:rPr>
        <w:t>支持</w:t>
      </w:r>
      <w:r>
        <w:rPr>
          <w:rFonts w:hint="eastAsia" w:ascii="仿宋" w:hAnsi="仿宋" w:eastAsia="仿宋" w:cs="仿宋"/>
          <w:color w:val="000000" w:themeColor="text1"/>
          <w:sz w:val="24"/>
          <w:szCs w:val="24"/>
          <w:highlight w:val="none"/>
          <w14:textFill>
            <w14:solidFill>
              <w14:schemeClr w14:val="tx1"/>
            </w14:solidFill>
          </w14:textFill>
        </w:rPr>
        <w:t>电话送达专员</w:t>
      </w:r>
      <w:r>
        <w:rPr>
          <w:rFonts w:hint="eastAsia" w:ascii="仿宋" w:hAnsi="仿宋" w:eastAsia="仿宋" w:cs="仿宋"/>
          <w:color w:val="000000" w:themeColor="text1"/>
          <w:sz w:val="24"/>
          <w:szCs w:val="24"/>
          <w:highlight w:val="none"/>
          <w:lang w:val="en-US" w:eastAsia="zh-Hans"/>
          <w14:textFill>
            <w14:solidFill>
              <w14:schemeClr w14:val="tx1"/>
            </w14:solidFill>
          </w14:textFill>
        </w:rPr>
        <w:t>根据</w:t>
      </w:r>
      <w:r>
        <w:rPr>
          <w:rFonts w:hint="eastAsia" w:ascii="仿宋" w:hAnsi="仿宋" w:eastAsia="仿宋" w:cs="仿宋"/>
          <w:color w:val="000000" w:themeColor="text1"/>
          <w:sz w:val="24"/>
          <w:szCs w:val="24"/>
          <w:highlight w:val="none"/>
          <w14:textFill>
            <w14:solidFill>
              <w14:schemeClr w14:val="tx1"/>
            </w14:solidFill>
          </w14:textFill>
        </w:rPr>
        <w:t>与当事人的沟通情况</w:t>
      </w:r>
      <w:r>
        <w:rPr>
          <w:rFonts w:hint="eastAsia" w:ascii="仿宋" w:hAnsi="仿宋" w:eastAsia="仿宋" w:cs="仿宋"/>
          <w:color w:val="000000" w:themeColor="text1"/>
          <w:sz w:val="24"/>
          <w:szCs w:val="24"/>
          <w:highlight w:val="none"/>
          <w:lang w:val="en-US" w:eastAsia="zh-Hans"/>
          <w14:textFill>
            <w14:solidFill>
              <w14:schemeClr w14:val="tx1"/>
            </w14:solidFill>
          </w14:textFill>
        </w:rPr>
        <w:t>变更文书送达方式</w:t>
      </w:r>
      <w:r>
        <w:rPr>
          <w:rFonts w:hint="eastAsia" w:ascii="仿宋" w:hAnsi="仿宋" w:eastAsia="仿宋" w:cs="仿宋"/>
          <w:color w:val="000000" w:themeColor="text1"/>
          <w:sz w:val="24"/>
          <w:szCs w:val="24"/>
          <w:highlight w:val="none"/>
          <w:lang w:eastAsia="zh-Hans"/>
          <w14:textFill>
            <w14:solidFill>
              <w14:schemeClr w14:val="tx1"/>
            </w14:solidFill>
          </w14:textFill>
        </w:rPr>
        <w:t>，</w:t>
      </w:r>
      <w:r>
        <w:rPr>
          <w:rFonts w:hint="eastAsia" w:ascii="仿宋" w:hAnsi="仿宋" w:eastAsia="仿宋" w:cs="仿宋"/>
          <w:color w:val="000000" w:themeColor="text1"/>
          <w:sz w:val="24"/>
          <w:szCs w:val="24"/>
          <w:highlight w:val="none"/>
          <w:lang w:val="en-US" w:eastAsia="zh-Hans"/>
          <w14:textFill>
            <w14:solidFill>
              <w14:schemeClr w14:val="tx1"/>
            </w14:solidFill>
          </w14:textFill>
        </w:rPr>
        <w:t>实现</w:t>
      </w:r>
      <w:r>
        <w:rPr>
          <w:rFonts w:hint="eastAsia" w:ascii="仿宋" w:hAnsi="仿宋" w:eastAsia="仿宋" w:cs="仿宋"/>
          <w:color w:val="000000" w:themeColor="text1"/>
          <w:sz w:val="24"/>
          <w:szCs w:val="24"/>
          <w:highlight w:val="none"/>
          <w14:textFill>
            <w14:solidFill>
              <w14:schemeClr w14:val="tx1"/>
            </w14:solidFill>
          </w14:textFill>
        </w:rPr>
        <w:t>送达过程跟踪、送达结果登记，支持人工干预送达过程。根据跟当事人沟通的结果，记录当事人正确的送达信息和地址，任务成功后自动生成报告书，并返回到四级法院专网供法官团队进行下载、归档。</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4.电话送达</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4.1送达系统平台支持提供电话通知，可以在线播放、下载送达过程中与受送达人电话沟通的录音，辅助人员针对当事人已清楚、完整地听取电话内容的，通话结束后支持进行工作通话标签记录。</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4.2电话送达专员与当事人首次沟通应包含如下信息：</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1）确认通话对方身份是否为本人；</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2）告知当事人案件的承办法官以及书记员的姓名、联系电话；</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3）要求当事人确认送达地址和送达方式，尽量引导其使用电子送达的方式；</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4）告知领取起诉状副本、出庭传票等诉讼文书的时间、地点，告知起诉状、答辩状的主要内容，告知开庭时间、地点；</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5）告知通话已被录音，不到庭参加诉讼的法律后果；</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电话沟通当事人如遇不能一次拨通的情形，应于3日内拨打该号码不少于4次；如遇到关机情况，一天内必须上下午不少于2次；在电话沟通中如果当事人同意电子送达时，还应主动与当事人核实裁判文书的有效邮寄送达地址。录音的标注要包含：有效录音同意电子送达、同意上门领取、同意邮寄送达；无效录音包括无人接听、接听非本人、如有关机、停机、空号、暂停服务等应标注。</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系统应对通话内容自动录音并形成录音转录文字版本，并与送达报告书一同回传至四级法院专网统一送达平台。电话沟通结束后，系统自动记录电话全程录音并以WAV的文件格式关联到该电话送达任务中，录音文件可在线打开或保存下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4.4提送到电话呼叫中心的工单必须设置加密传输和隐藏号码的信息保护机制。</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5.电子送达</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5.1电子送达的渠道主要包含：手机短信、电子邮箱、</w:t>
      </w:r>
      <w:r>
        <w:rPr>
          <w:rFonts w:hint="eastAsia" w:ascii="仿宋" w:hAnsi="仿宋" w:eastAsia="仿宋" w:cs="仿宋"/>
          <w:color w:val="000000" w:themeColor="text1"/>
          <w:sz w:val="24"/>
          <w:szCs w:val="24"/>
          <w:highlight w:val="none"/>
          <w:lang w:val="en-US" w:eastAsia="zh-Hans"/>
          <w14:textFill>
            <w14:solidFill>
              <w14:schemeClr w14:val="tx1"/>
            </w14:solidFill>
          </w14:textFill>
        </w:rPr>
        <w:t>PC</w:t>
      </w:r>
      <w:r>
        <w:rPr>
          <w:rFonts w:hint="eastAsia" w:ascii="仿宋" w:hAnsi="仿宋" w:eastAsia="仿宋" w:cs="仿宋"/>
          <w:color w:val="000000" w:themeColor="text1"/>
          <w:sz w:val="24"/>
          <w:szCs w:val="24"/>
          <w:highlight w:val="none"/>
          <w14:textFill>
            <w14:solidFill>
              <w14:schemeClr w14:val="tx1"/>
            </w14:solidFill>
          </w14:textFill>
        </w:rPr>
        <w:t>端等，当事人可以分别通过手机、电子邮箱和</w:t>
      </w:r>
      <w:r>
        <w:rPr>
          <w:rFonts w:hint="eastAsia" w:ascii="仿宋" w:hAnsi="仿宋" w:eastAsia="仿宋" w:cs="仿宋"/>
          <w:color w:val="000000" w:themeColor="text1"/>
          <w:sz w:val="24"/>
          <w:szCs w:val="24"/>
          <w:highlight w:val="none"/>
          <w:lang w:val="en-US" w:eastAsia="zh-Hans"/>
          <w14:textFill>
            <w14:solidFill>
              <w14:schemeClr w14:val="tx1"/>
            </w14:solidFill>
          </w14:textFill>
        </w:rPr>
        <w:t>PC</w:t>
      </w:r>
      <w:r>
        <w:rPr>
          <w:rFonts w:hint="eastAsia" w:ascii="仿宋" w:hAnsi="仿宋" w:eastAsia="仿宋" w:cs="仿宋"/>
          <w:color w:val="000000" w:themeColor="text1"/>
          <w:sz w:val="24"/>
          <w:szCs w:val="24"/>
          <w:highlight w:val="none"/>
          <w14:textFill>
            <w14:solidFill>
              <w14:schemeClr w14:val="tx1"/>
            </w14:solidFill>
          </w14:textFill>
        </w:rPr>
        <w:t>端查看接收和下载文书。</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5.2选择需要送达的当事人的电子送达联系方式进行送达，经过弹窗确认后，会看到发送成功的提示，该案件对所选当事人的电子送达发送成功。</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5.3电子送达发送成功后可以支持针对发送的页面进行截图，记录发送的当事人、发送渠道、发送文书、发送时间等记录。</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5.4系统自动将同一案件的关联文书送达情况进行统计归纳，法官可迅速了解承办案件的送达整体情况；</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5.5电子送达发送成功之后，会给当事人发送短信提醒“【电子送达平台】XXX，XXX人民法院向您发送了（2019）***民初11号案件相关文书，请点击：**链接 查看您的文书，逾期视为送达。也可登录电子送达平台官网查看并下载文书，查询验证码为:XXXXXX。”当事人点击查看，会自动生成电子送达回证。</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案号管理：可以查询到每个案号对应的文书，每份文书对应的签收记录；系统具备文书管理功能，可以查询到每份文书的名称及对应的签收记录；系统具备送达记录查看功能，可查看每份文书，发送记录及签收情况，方便查阅；对于已发送短信提醒的电子文书，进行记录，记录发送时间、接收人、接收号码、发送状态等信息。</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5.8电子送达回证要求标注案件基本信息、当事人信息、送达渠道、点击查看记录和电话沟通的简要记录。</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6.通知、接待上门自取</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6.1当案件从四级法院专网办案系统推送到送达系统后台时，若经电话沟通，当事人不同意电子送达，要求上门自取，则系统应将该任务标记为“上门自取”。</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6.2系统自动判别身份</w:t>
      </w:r>
      <w:r>
        <w:rPr>
          <w:rFonts w:hint="eastAsia" w:ascii="仿宋" w:hAnsi="仿宋" w:eastAsia="仿宋" w:cs="仿宋"/>
          <w:color w:val="000000" w:themeColor="text1"/>
          <w:sz w:val="24"/>
          <w:szCs w:val="24"/>
          <w:highlight w:val="none"/>
          <w:lang w:val="en-US" w:eastAsia="zh-Hans"/>
          <w14:textFill>
            <w14:solidFill>
              <w14:schemeClr w14:val="tx1"/>
            </w14:solidFill>
          </w14:textFill>
        </w:rPr>
        <w:t>证</w:t>
      </w:r>
      <w:r>
        <w:rPr>
          <w:rFonts w:hint="eastAsia" w:ascii="仿宋" w:hAnsi="仿宋" w:eastAsia="仿宋" w:cs="仿宋"/>
          <w:color w:val="000000" w:themeColor="text1"/>
          <w:sz w:val="24"/>
          <w:szCs w:val="24"/>
          <w:highlight w:val="none"/>
          <w14:textFill>
            <w14:solidFill>
              <w14:schemeClr w14:val="tx1"/>
            </w14:solidFill>
          </w14:textFill>
        </w:rPr>
        <w:t>号</w:t>
      </w:r>
      <w:r>
        <w:rPr>
          <w:rFonts w:hint="eastAsia" w:ascii="仿宋" w:hAnsi="仿宋" w:eastAsia="仿宋" w:cs="仿宋"/>
          <w:color w:val="000000" w:themeColor="text1"/>
          <w:sz w:val="24"/>
          <w:szCs w:val="24"/>
          <w:highlight w:val="none"/>
          <w:lang w:val="en-US" w:eastAsia="zh-Hans"/>
          <w14:textFill>
            <w14:solidFill>
              <w14:schemeClr w14:val="tx1"/>
            </w14:solidFill>
          </w14:textFill>
        </w:rPr>
        <w:t>码</w:t>
      </w:r>
      <w:r>
        <w:rPr>
          <w:rFonts w:hint="eastAsia" w:ascii="仿宋" w:hAnsi="仿宋" w:eastAsia="仿宋" w:cs="仿宋"/>
          <w:color w:val="000000" w:themeColor="text1"/>
          <w:sz w:val="24"/>
          <w:szCs w:val="24"/>
          <w:highlight w:val="none"/>
          <w:lang w:eastAsia="zh-Hans"/>
          <w14:textFill>
            <w14:solidFill>
              <w14:schemeClr w14:val="tx1"/>
            </w14:solidFill>
          </w14:textFill>
        </w:rPr>
        <w:t>，</w:t>
      </w:r>
      <w:r>
        <w:rPr>
          <w:rFonts w:hint="eastAsia" w:ascii="仿宋" w:hAnsi="仿宋" w:eastAsia="仿宋" w:cs="仿宋"/>
          <w:color w:val="000000" w:themeColor="text1"/>
          <w:sz w:val="24"/>
          <w:szCs w:val="24"/>
          <w:highlight w:val="none"/>
          <w:lang w:val="en-US" w:eastAsia="zh-Hans"/>
          <w14:textFill>
            <w14:solidFill>
              <w14:schemeClr w14:val="tx1"/>
            </w14:solidFill>
          </w14:textFill>
        </w:rPr>
        <w:t>查询对应当事人的</w:t>
      </w:r>
      <w:r>
        <w:rPr>
          <w:rFonts w:hint="eastAsia" w:ascii="仿宋" w:hAnsi="仿宋" w:eastAsia="仿宋" w:cs="仿宋"/>
          <w:color w:val="000000" w:themeColor="text1"/>
          <w:sz w:val="24"/>
          <w:szCs w:val="24"/>
          <w:highlight w:val="none"/>
          <w14:textFill>
            <w14:solidFill>
              <w14:schemeClr w14:val="tx1"/>
            </w14:solidFill>
          </w14:textFill>
        </w:rPr>
        <w:t>上门自取记录，并支持当事人上门自取的功能，包括送达材料打印、送达身份证明和送达回证上传等；</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驻场人员接待当事人上门自取的工作，应包括当事人的身份信息核实、材料核对打印和交接、引导当事人填写送达回证，并将身份证明和送达回证扫描上传至系统，并将上门自取的过程全程记录同步到送达报告书中。</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7.集中邮寄送达</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系统应具有以法院为单位的集中邮寄送达服务，支持将每次邮寄送达进行任务式管理，支持任务的增删修查；具备送达专员根据邮寄任务进行邮寄面单批量集中打印处理的功能，可以实现对受送达人信息修改和调整的功能等。</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系统可实现邮寄信息的回填处理功能，以及通过登记邮寄单号，自动获取物流信息交换到四级法院专网平台提供给的承办团队查阅的功能。以及包括邮政工单任务建立、邮政快递面单打印、邮政回执上传、物流快递记录查询、邮政任务管理在内的功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邮寄送达模块需提供配套的工具系统，可以支持批量的文书打印、法院专递面单套打功能；并具有合并邮寄功能，实现对多封文书或多个案件，同一当事人的邮寄合并处理功能；支持系统与EMS物流系统对接，自动显示邮寄状态、签收状态等。自定义逾期时间查询在途邮寄任务；另外，系统应与司法专递EMS物流系统对接，法官及送达人均可查询正在邮寄文书的去向，法官和书记员可以通过微信端实时查看邮寄状态、签收状态、签收异常提醒等。</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支持多个受送达人同时送达和多个送达任务同步进行；支持确认进行邮寄送达后，各类送达文书、送达回单的在线生成和打印功能；支持手动录入快递单号等信息的功能；要求提供送达地址比对功能，对部分原告无法提供有效送达地址或送达地址比较模糊的受送达人，辅助人员可利用该功能，按人员的姓名及身份证号自动与最高院的人口信息库进行对接获取身份证地址信息和历史涉案地址等进行邮寄送达。</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8.直接送达系统</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8.1要求该系统具备发起线下送达的功能，以便法官书记员团队自行上门，或第三方上门团队使用其自行研发的上门送达产品时可将送达过程和结果进行上传。</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8.2外出送达功能必须包含上门拍照、录像、录入结果等功能，完成送达任务后可自动形成报告书，可以支持将报告书直接返回四级法院专网供法官团队进行下载。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直接送达模块应该包含驻场人员、法院管理员和送达专员使用的功能和权限，驻场专员可以协助法官进行外出送达地址的确认、任务执行的下达；送达管理员可以对外出送达任务进行指派；送达人员可以领取自己送达的任务，执行送达后可以在进行任务单查询和检索。</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8.4支持系统自动筛选和锁定直接上门送达的任务和地址；</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8.5要求具备微信端执行送达任务的功能，支持任务接收、自动导航、送达现场拍照、录像实时上传、载有见证人签字的符合要求的工作记录、送达任务反馈、当事人评价、地理位置标记等功能支持。</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8.6要求将每次送达进行任务式管理，支持送达管理员可以重新进行指派，支持任务的增删修查，支持对所有送达任务的状态跟踪、送达结果的反馈、回证自动生成及下载；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8.7支持人工干预送达方式，可转成邮寄送达、外出送达公告送达等其他送达方式；支持送达回证在线下载；系统自动将同一案件的关联文书送达情况进行统计归纳，法官可迅速了解承办案件的送达整体情况.</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9.公告送达</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9.1要求支持法官</w:t>
      </w:r>
      <w:r>
        <w:rPr>
          <w:rFonts w:hint="eastAsia" w:ascii="仿宋" w:hAnsi="仿宋" w:eastAsia="仿宋" w:cs="仿宋"/>
          <w:color w:val="000000" w:themeColor="text1"/>
          <w:sz w:val="24"/>
          <w:szCs w:val="24"/>
          <w:highlight w:val="none"/>
          <w:lang w:val="en-US" w:eastAsia="zh-Hans"/>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四级法院专网创建公告送达任务的功能，可根据案件类型、案号自动关联案件相关基础信息，自动提取案件的案由、审判团队等信息。</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9.2要求提供《人民法院报》线上发布公告的渠道和功能，可以实现在线发布、在线缴费、公告排期和公告发布，并将刊登情况自动推送回送达系统。</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9.3要求提供省级以上互联网媒体公告平台资源并提供公告发布的功能，并将刊登情况自动推送回送达系统。</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9.4要求实现公告送达文书草稿管理功能，实现文书送达成功、文书送达失败、文书送达任务跟进等功能。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9.5可对所有公告发布状态及详情进行查询和展示，提供公告的查询、截图和下载功能。支持公告送达发布之后对申请人发送短信通知提醒的功能。</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10.系统配置及管理</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10.1要求支持法官团队从四级法院专网办案系统推送案件相关信息，并可根据文书送达实际情况对相应信息进行编辑存储。</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10.2要求对审判字号进行管理，方便法官创建任务。具备高级送达管理功能，系统管理员可使用该功能对全部送达任务进行检索、编辑、送达处理等操作。</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10.3实现单独用户管理、用户组管理、系统角色管理等功能，并采用用户分级管理的方式。</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10.4实现严格的用户权限管理，设定不同用户、用户组、角色的操作权限和操作范围。权限管理可以对用户在平台中操作许可范围进行定义，通过对用户、用户组和角色的操作权限设置，对各项操作行为进行严格定义，确保送达平台的安全使用。系统支持用户权限细颗粒度定义，可以为功能菜单、按钮等元素设置不同的操作权限，并且支持权限的交叉定义和设置。</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10.5为了实现保护系统安全，系统记录所有用户的关键操作（如增加、修改、删除等）。日志管理一方面可以记录所有操作，做到有据可查，另一方面可以根据需要通过多种方式对记录的操作日志进行检索和查询，进一步分析生成统计信息。</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11.当事人端</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11.1提供手机短信、电子邮件</w:t>
      </w:r>
      <w:r>
        <w:rPr>
          <w:rFonts w:hint="eastAsia" w:ascii="仿宋" w:hAnsi="仿宋" w:eastAsia="仿宋" w:cs="仿宋"/>
          <w:color w:val="000000" w:themeColor="text1"/>
          <w:sz w:val="24"/>
          <w:szCs w:val="24"/>
          <w:highlight w:val="none"/>
          <w:lang w:val="en-US" w:eastAsia="zh-Hans"/>
          <w14:textFill>
            <w14:solidFill>
              <w14:schemeClr w14:val="tx1"/>
            </w14:solidFill>
          </w14:textFill>
        </w:rPr>
        <w:t>和</w:t>
      </w:r>
      <w:r>
        <w:rPr>
          <w:rFonts w:hint="eastAsia" w:ascii="仿宋" w:hAnsi="仿宋" w:eastAsia="仿宋" w:cs="仿宋"/>
          <w:color w:val="000000" w:themeColor="text1"/>
          <w:sz w:val="24"/>
          <w:szCs w:val="24"/>
          <w:highlight w:val="none"/>
          <w14:textFill>
            <w14:solidFill>
              <w14:schemeClr w14:val="tx1"/>
            </w14:solidFill>
          </w14:textFill>
        </w:rPr>
        <w:t>PC端、三个端均具备登录、查看、下载文书功能；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11.2收到送达平台通知短信后，可通过手机</w:t>
      </w:r>
      <w:r>
        <w:rPr>
          <w:rFonts w:hint="eastAsia" w:ascii="仿宋" w:hAnsi="仿宋" w:eastAsia="仿宋" w:cs="仿宋"/>
          <w:color w:val="000000" w:themeColor="text1"/>
          <w:sz w:val="24"/>
          <w:szCs w:val="24"/>
          <w:highlight w:val="none"/>
          <w:lang w:val="en-US" w:eastAsia="zh-Hans"/>
          <w14:textFill>
            <w14:solidFill>
              <w14:schemeClr w14:val="tx1"/>
            </w14:solidFill>
          </w14:textFill>
        </w:rPr>
        <w:t>短信中的</w:t>
      </w:r>
      <w:r>
        <w:rPr>
          <w:rFonts w:hint="eastAsia" w:ascii="仿宋" w:hAnsi="仿宋" w:eastAsia="仿宋" w:cs="仿宋"/>
          <w:color w:val="000000" w:themeColor="text1"/>
          <w:sz w:val="24"/>
          <w:szCs w:val="24"/>
          <w:highlight w:val="none"/>
          <w14:textFill>
            <w14:solidFill>
              <w14:schemeClr w14:val="tx1"/>
            </w14:solidFill>
          </w14:textFill>
        </w:rPr>
        <w:t>链接自动访问司法文书送达门户</w:t>
      </w:r>
      <w:r>
        <w:rPr>
          <w:rFonts w:hint="eastAsia" w:ascii="仿宋" w:hAnsi="仿宋" w:eastAsia="仿宋" w:cs="仿宋"/>
          <w:color w:val="000000" w:themeColor="text1"/>
          <w:sz w:val="24"/>
          <w:szCs w:val="24"/>
          <w:highlight w:val="none"/>
          <w:lang w:val="en-US" w:eastAsia="zh-Hans"/>
          <w14:textFill>
            <w14:solidFill>
              <w14:schemeClr w14:val="tx1"/>
            </w14:solidFill>
          </w14:textFill>
        </w:rPr>
        <w:t>网站</w:t>
      </w:r>
      <w:r>
        <w:rPr>
          <w:rFonts w:hint="eastAsia" w:ascii="仿宋" w:hAnsi="仿宋" w:eastAsia="仿宋" w:cs="仿宋"/>
          <w:color w:val="000000" w:themeColor="text1"/>
          <w:sz w:val="24"/>
          <w:szCs w:val="24"/>
          <w:highlight w:val="none"/>
          <w14:textFill>
            <w14:solidFill>
              <w14:schemeClr w14:val="tx1"/>
            </w14:solidFill>
          </w14:textFill>
        </w:rPr>
        <w:t>进行登录、查阅、签收；</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11.3收到平台通知短信后，可登录PC端输入短信链接网址进行查看、下载和签收；</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11.4提供电子邮件签收功能，可通过电子邮件进行消息推送，并提供查看、下载和签收功能。</w:t>
      </w:r>
    </w:p>
    <w:p>
      <w:pPr>
        <w:spacing w:line="360" w:lineRule="auto"/>
        <w:ind w:firstLine="50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12.法官、书记员案件查询端</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12.1为法官团队提供微信公众号实时查询送达进度和结果的功能；</w:t>
      </w:r>
    </w:p>
    <w:p>
      <w:pPr>
        <w:spacing w:line="360" w:lineRule="auto"/>
        <w:ind w:firstLine="50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12.2法官团队</w:t>
      </w:r>
      <w:r>
        <w:rPr>
          <w:rFonts w:hint="eastAsia" w:ascii="仿宋" w:hAnsi="仿宋" w:eastAsia="仿宋" w:cs="仿宋"/>
          <w:color w:val="000000" w:themeColor="text1"/>
          <w:sz w:val="24"/>
          <w:szCs w:val="24"/>
          <w:highlight w:val="none"/>
          <w:lang w:val="en-US" w:eastAsia="zh-Hans"/>
          <w14:textFill>
            <w14:solidFill>
              <w14:schemeClr w14:val="tx1"/>
            </w14:solidFill>
          </w14:textFill>
        </w:rPr>
        <w:t>登录</w:t>
      </w:r>
      <w:r>
        <w:rPr>
          <w:rFonts w:hint="eastAsia" w:ascii="仿宋" w:hAnsi="仿宋" w:eastAsia="仿宋" w:cs="仿宋"/>
          <w:color w:val="000000" w:themeColor="text1"/>
          <w:sz w:val="24"/>
          <w:szCs w:val="24"/>
          <w:highlight w:val="none"/>
          <w14:textFill>
            <w14:solidFill>
              <w14:schemeClr w14:val="tx1"/>
            </w14:solidFill>
          </w14:textFill>
        </w:rPr>
        <w:t>后，不需要输入案件号，直接可以同步查看已委托的送达案件送达进展的情况，包括当前的送达状态、送达节点、送达时长、是否完成送达等信息。</w:t>
      </w:r>
    </w:p>
    <w:p>
      <w:pPr>
        <w:tabs>
          <w:tab w:val="left" w:pos="3060"/>
        </w:tabs>
        <w:spacing w:line="360" w:lineRule="auto"/>
        <w:ind w:left="502" w:left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w:t>
      </w:r>
      <w:r>
        <w:rPr>
          <w:rFonts w:hint="eastAsia" w:ascii="仿宋" w:hAnsi="仿宋" w:eastAsia="仿宋" w:cs="仿宋"/>
          <w:color w:val="000000" w:themeColor="text1"/>
          <w:sz w:val="24"/>
          <w:szCs w:val="24"/>
          <w:highlight w:val="none"/>
          <w:lang w:val="en-US" w:eastAsia="zh-Hans"/>
          <w14:textFill>
            <w14:solidFill>
              <w14:schemeClr w14:val="tx1"/>
            </w14:solidFill>
          </w14:textFill>
        </w:rPr>
        <w:t>送达任务完成后</w:t>
      </w:r>
      <w:r>
        <w:rPr>
          <w:rFonts w:hint="eastAsia" w:ascii="仿宋" w:hAnsi="仿宋" w:eastAsia="仿宋" w:cs="仿宋"/>
          <w:color w:val="000000" w:themeColor="text1"/>
          <w:sz w:val="24"/>
          <w:szCs w:val="24"/>
          <w:highlight w:val="none"/>
          <w14:textFill>
            <w14:solidFill>
              <w14:schemeClr w14:val="tx1"/>
            </w14:solidFill>
          </w14:textFill>
        </w:rPr>
        <w:t>可以自动给法官团队推送信息，提醒法官团队登录四级法院专网进行查看和下载。</w:t>
      </w:r>
    </w:p>
    <w:p>
      <w:pPr>
        <w:tabs>
          <w:tab w:val="left" w:pos="3060"/>
        </w:tabs>
        <w:spacing w:line="360" w:lineRule="auto"/>
        <w:ind w:left="502" w:left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13.硬件部署和技术运维服务</w:t>
      </w:r>
    </w:p>
    <w:p>
      <w:pPr>
        <w:tabs>
          <w:tab w:val="left" w:pos="3060"/>
        </w:tabs>
        <w:spacing w:line="360" w:lineRule="auto"/>
        <w:ind w:firstLine="50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13.1提供统一电话送达专属号码实施电话送达；</w:t>
      </w:r>
    </w:p>
    <w:p>
      <w:pPr>
        <w:tabs>
          <w:tab w:val="left" w:pos="3060"/>
        </w:tabs>
        <w:spacing w:line="360" w:lineRule="auto"/>
        <w:ind w:firstLine="50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13.2司法专邮打印机1部、高拍仪1部，负责部署安装及调试工作。</w:t>
      </w:r>
    </w:p>
    <w:p>
      <w:pPr>
        <w:tabs>
          <w:tab w:val="left" w:pos="3060"/>
        </w:tabs>
        <w:spacing w:line="360" w:lineRule="auto"/>
        <w:ind w:firstLine="502"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13.3结合功能使用的实际情况，不定期升级和完善系统功能，针对迭代后的产品功能进行软件升级服务等。</w:t>
      </w:r>
    </w:p>
    <w:p>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13.4提供系统平台统一的5*8小时的客服电话，并随时通过QQ群、微信群咨询，客服提供平台使用指导和问题解决，不能及时解决的问题，在24小时内反馈解决方案。</w:t>
      </w:r>
      <w:r>
        <w:rPr>
          <w:rFonts w:hint="eastAsia" w:ascii="仿宋" w:hAnsi="仿宋" w:eastAsia="仿宋" w:cs="仿宋"/>
          <w:b/>
          <w:bCs/>
          <w:color w:val="auto"/>
          <w:kern w:val="2"/>
          <w:sz w:val="24"/>
          <w:szCs w:val="24"/>
          <w:highlight w:val="none"/>
          <w:lang w:val="en-US" w:eastAsia="zh-CN" w:bidi="ar-SA"/>
        </w:rPr>
        <w:br w:type="page"/>
      </w:r>
    </w:p>
    <w:p>
      <w:pPr>
        <w:widowControl/>
        <w:spacing w:line="360" w:lineRule="auto"/>
        <w:ind w:firstLine="742" w:firstLineChars="200"/>
        <w:jc w:val="center"/>
        <w:outlineLvl w:val="0"/>
        <w:rPr>
          <w:rFonts w:hint="eastAsia" w:ascii="仿宋" w:hAnsi="仿宋" w:eastAsia="仿宋" w:cs="仿宋"/>
          <w:sz w:val="36"/>
          <w:szCs w:val="36"/>
          <w:highlight w:val="none"/>
        </w:rPr>
      </w:pPr>
      <w:r>
        <w:rPr>
          <w:rFonts w:hint="eastAsia" w:ascii="仿宋" w:hAnsi="仿宋" w:eastAsia="仿宋" w:cs="仿宋"/>
          <w:b/>
          <w:bCs/>
          <w:color w:val="auto"/>
          <w:kern w:val="2"/>
          <w:sz w:val="36"/>
          <w:szCs w:val="36"/>
          <w:highlight w:val="none"/>
          <w:lang w:val="en-US" w:eastAsia="zh-CN" w:bidi="ar-SA"/>
        </w:rPr>
        <w:t>第四章  商务及合同主要条款</w:t>
      </w:r>
      <w:bookmarkEnd w:id="77"/>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本表是对合同条款的具体补充和修改，如有矛盾，应以本资料表为准。</w:t>
      </w:r>
    </w:p>
    <w:tbl>
      <w:tblPr>
        <w:tblStyle w:val="26"/>
        <w:tblW w:w="95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5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8555" w:type="dxa"/>
            <w:vAlign w:val="center"/>
          </w:tcPr>
          <w:p>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555" w:type="dxa"/>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lang w:eastAsia="zh-CN"/>
              </w:rPr>
              <w:t>西安市未央区人民法院</w:t>
            </w:r>
          </w:p>
          <w:p>
            <w:pPr>
              <w:pStyle w:val="24"/>
              <w:shd w:val="clear" w:color="auto" w:fill="FFFFFF"/>
              <w:spacing w:before="0" w:beforeAutospacing="0" w:after="0" w:afterAutospacing="0" w:line="510" w:lineRule="atLeas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color w:val="000000"/>
                <w:kern w:val="2"/>
                <w:sz w:val="24"/>
                <w:szCs w:val="24"/>
                <w:highlight w:val="none"/>
                <w:lang w:val="en-US" w:eastAsia="zh-CN" w:bidi="ar-SA"/>
              </w:rPr>
              <w:t>西安市未央区浐灞大道2331号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8555"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供应商（乙方）：</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555" w:type="dxa"/>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w:t>
            </w:r>
            <w:r>
              <w:rPr>
                <w:rFonts w:hint="eastAsia" w:ascii="仿宋" w:hAnsi="仿宋" w:eastAsia="仿宋" w:cs="仿宋"/>
                <w:kern w:val="0"/>
                <w:sz w:val="24"/>
                <w:szCs w:val="24"/>
                <w:highlight w:val="none"/>
                <w:lang w:val="en-US" w:eastAsia="zh-CN" w:bidi="ar-SA"/>
              </w:rPr>
              <w:t>1年</w:t>
            </w:r>
            <w:r>
              <w:rPr>
                <w:rFonts w:hint="eastAsia" w:ascii="仿宋" w:hAnsi="仿宋" w:eastAsia="仿宋" w:cs="仿宋"/>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8555"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付款程序及付款方式：</w:t>
            </w:r>
          </w:p>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总价即成交价，供应商在磋商报价中标明完成本次磋商所要求的技术服务且验收合格的所有费用。其中包括日常维护费、运杂费（含保险费）、人工费、备品备件、安装费、配合调试运行费、培训费、风险、税金、等所有费用。</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（2）结算单位：采购人,在付款前必须开具发票给采购人。</w:t>
            </w:r>
          </w:p>
          <w:p>
            <w:pPr>
              <w:spacing w:line="360" w:lineRule="auto"/>
              <w:ind w:firstLine="502" w:firstLineChars="200"/>
              <w:rPr>
                <w:rFonts w:hint="default"/>
                <w:highlight w:val="none"/>
                <w:lang w:val="en-US"/>
              </w:rPr>
            </w:pPr>
            <w:r>
              <w:rPr>
                <w:rFonts w:hint="eastAsia" w:ascii="仿宋" w:hAnsi="仿宋" w:eastAsia="仿宋" w:cs="仿宋"/>
                <w:sz w:val="24"/>
                <w:szCs w:val="24"/>
                <w:highlight w:val="none"/>
                <w:lang w:val="en-US" w:eastAsia="zh-CN"/>
              </w:rPr>
              <w:t>（3）付款方式:合同签订后，乙方开具合同总金额50%的发票，甲方于10日内支付作为首付款。后续费用据实结算，直至合同履行完毕。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555" w:type="dxa"/>
            <w:vAlign w:val="center"/>
          </w:tcPr>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质保及维保服务：</w:t>
            </w:r>
          </w:p>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（1）提供统一电话送达专属号码实施电话送达；</w:t>
            </w:r>
          </w:p>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（2）司法专邮打印机1部、高拍仪1部，负责部署安装及调试工作。</w:t>
            </w:r>
          </w:p>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（3）结合功能使用的实际情况，不定期升级和完善系统功能，针对迭代后的产品功能进行软件升级服务等。</w:t>
            </w:r>
          </w:p>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（4）提供系统平台统一的5*8小时的客服电话，并随时通过QQ群、微信群咨询，客服提供平台使用指导和问题解决，不能及时解决的问题，在24小时内反馈解决方案。</w:t>
            </w:r>
          </w:p>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乙方在甲方指定场所配置不少于6名专业驻场人员，对接法官团队送达需求，协同后台送达中心完成电子、电话送达，接待上门自取、执行邮寄送达、协助完成公告送达，将送达回证返回给法官团队，提供送达数据报告等。</w:t>
            </w:r>
          </w:p>
          <w:p>
            <w:pPr>
              <w:spacing w:line="360" w:lineRule="auto"/>
              <w:ind w:firstLine="502"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（6）乙方视甲方送达服务量，配置合理数量的电话送达服务人员，提供专业规范的电话、电子送达服务，保证送达时效。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jc w:val="center"/>
        </w:trPr>
        <w:tc>
          <w:tcPr>
            <w:tcW w:w="1016" w:type="dxa"/>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555" w:type="dxa"/>
            <w:vAlign w:val="center"/>
          </w:tcPr>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知识产权：</w:t>
            </w:r>
          </w:p>
          <w:p>
            <w:pPr>
              <w:spacing w:line="360" w:lineRule="auto"/>
              <w:ind w:firstLine="502"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成交单位应保证响应产品及服务不会出现因第三方提出侵犯其专利权、商标权或其它知识产权而引发法律或经济纠纷，否则由成交单位承担全部责任。任何被成交单位用于未经授权的商业目的行为所造成的违约或侵权责任由成交单位承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jc w:val="center"/>
        </w:trPr>
        <w:tc>
          <w:tcPr>
            <w:tcW w:w="1016"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7</w:t>
            </w:r>
          </w:p>
        </w:tc>
        <w:tc>
          <w:tcPr>
            <w:tcW w:w="8555" w:type="dxa"/>
            <w:vAlign w:val="center"/>
          </w:tcPr>
          <w:p>
            <w:pPr>
              <w:spacing w:line="360" w:lineRule="auto"/>
              <w:ind w:firstLine="50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违约责任：</w:t>
            </w:r>
          </w:p>
          <w:p>
            <w:pPr>
              <w:spacing w:line="360" w:lineRule="auto"/>
              <w:ind w:firstLine="502"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（1）按《</w:t>
            </w:r>
            <w:r>
              <w:rPr>
                <w:rFonts w:hint="eastAsia" w:ascii="仿宋" w:hAnsi="仿宋" w:eastAsia="仿宋" w:cs="仿宋"/>
                <w:sz w:val="24"/>
                <w:szCs w:val="24"/>
                <w:highlight w:val="none"/>
                <w:lang w:val="en-US" w:eastAsia="zh-CN"/>
              </w:rPr>
              <w:t>中华人民共和国民法典</w:t>
            </w:r>
            <w:r>
              <w:rPr>
                <w:rFonts w:hint="eastAsia" w:ascii="仿宋" w:hAnsi="仿宋" w:eastAsia="仿宋" w:cs="仿宋"/>
                <w:sz w:val="24"/>
                <w:szCs w:val="24"/>
                <w:highlight w:val="none"/>
                <w:lang w:val="zh-CN" w:eastAsia="zh-CN"/>
              </w:rPr>
              <w:t>》中的相关条款执行。</w:t>
            </w:r>
          </w:p>
          <w:p>
            <w:pPr>
              <w:spacing w:line="360" w:lineRule="auto"/>
              <w:ind w:firstLine="502"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（2）未按合同要求提供的服务，采购人会同招标组织机构有权终止合同和对供应商的违约行为进行追究。</w:t>
            </w:r>
          </w:p>
          <w:p>
            <w:pPr>
              <w:spacing w:line="360" w:lineRule="auto"/>
              <w:ind w:firstLine="502"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（3）乙方不能按期完成工作任务，乙方须按甲方已支付金额的双倍金额，返还于甲方，作为赔偿。</w:t>
            </w:r>
          </w:p>
          <w:p>
            <w:pPr>
              <w:spacing w:line="360" w:lineRule="auto"/>
              <w:ind w:firstLine="502" w:firstLineChars="200"/>
              <w:rPr>
                <w:rFonts w:hint="eastAsia"/>
                <w:highlight w:val="none"/>
                <w:lang w:val="en-US" w:eastAsia="zh-CN"/>
              </w:rPr>
            </w:pPr>
            <w:r>
              <w:rPr>
                <w:rFonts w:hint="eastAsia" w:ascii="仿宋" w:hAnsi="仿宋" w:eastAsia="仿宋" w:cs="仿宋"/>
                <w:sz w:val="24"/>
                <w:szCs w:val="24"/>
                <w:highlight w:val="none"/>
                <w:lang w:val="en-US" w:eastAsia="zh-CN"/>
              </w:rPr>
              <w:t>4）乙方在人员配备、系统功能、硬件设施，以及案件送达的标准、数量等方面未达到合同要求的，甲方可要求乙方限期整改。期限内未整改到位的，甲方可根据受影响的案件数量，及其占合同总案件数量的比例和金额，在尚未支付的款项里予以扣除。”</w:t>
            </w:r>
          </w:p>
        </w:tc>
      </w:tr>
    </w:tbl>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rPr>
          <w:rFonts w:hint="eastAsia" w:ascii="仿宋" w:hAnsi="仿宋" w:eastAsia="仿宋" w:cs="仿宋"/>
          <w:sz w:val="22"/>
          <w:szCs w:val="28"/>
          <w:highlight w:val="none"/>
        </w:rPr>
      </w:pPr>
    </w:p>
    <w:p>
      <w:p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政府采购合同                        合同编号：</w:t>
      </w:r>
    </w:p>
    <w:p>
      <w:pPr>
        <w:pStyle w:val="3"/>
        <w:rPr>
          <w:rFonts w:hint="eastAsia" w:ascii="仿宋" w:hAnsi="仿宋" w:eastAsia="仿宋" w:cs="仿宋"/>
          <w:b/>
          <w:bCs/>
          <w:color w:val="auto"/>
          <w:sz w:val="32"/>
          <w:szCs w:val="32"/>
          <w:highlight w:val="none"/>
          <w:lang w:val="en-US" w:eastAsia="zh-CN"/>
        </w:rPr>
      </w:pPr>
    </w:p>
    <w:p>
      <w:pPr>
        <w:pStyle w:val="3"/>
        <w:rPr>
          <w:rFonts w:hint="eastAsia" w:ascii="仿宋" w:hAnsi="仿宋" w:eastAsia="仿宋" w:cs="仿宋"/>
          <w:b/>
          <w:bCs/>
          <w:color w:val="auto"/>
          <w:sz w:val="32"/>
          <w:szCs w:val="32"/>
          <w:highlight w:val="none"/>
          <w:lang w:val="en-US" w:eastAsia="zh-CN"/>
        </w:rPr>
      </w:pPr>
    </w:p>
    <w:p>
      <w:pPr>
        <w:pStyle w:val="3"/>
        <w:rPr>
          <w:rFonts w:hint="eastAsia" w:ascii="仿宋" w:hAnsi="仿宋" w:eastAsia="仿宋" w:cs="仿宋"/>
          <w:color w:val="auto"/>
          <w:sz w:val="28"/>
          <w:szCs w:val="28"/>
          <w:highlight w:val="none"/>
        </w:rPr>
      </w:pPr>
    </w:p>
    <w:p>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lang w:val="en-US" w:eastAsia="zh-CN"/>
        </w:rPr>
        <w:t xml:space="preserve">                           </w:t>
      </w:r>
      <w:r>
        <w:rPr>
          <w:rFonts w:hint="eastAsia" w:ascii="仿宋" w:hAnsi="仿宋" w:eastAsia="仿宋" w:cs="仿宋"/>
          <w:b/>
          <w:bCs/>
          <w:color w:val="auto"/>
          <w:sz w:val="48"/>
          <w:szCs w:val="48"/>
          <w:highlight w:val="none"/>
          <w:u w:val="none"/>
          <w:lang w:val="en-US" w:eastAsia="zh-CN"/>
        </w:rPr>
        <w:t>采购</w:t>
      </w:r>
      <w:r>
        <w:rPr>
          <w:rFonts w:hint="eastAsia" w:ascii="仿宋" w:hAnsi="仿宋" w:eastAsia="仿宋" w:cs="仿宋"/>
          <w:b/>
          <w:bCs/>
          <w:color w:val="auto"/>
          <w:sz w:val="48"/>
          <w:szCs w:val="48"/>
          <w:highlight w:val="none"/>
        </w:rPr>
        <w:t>项目</w:t>
      </w:r>
    </w:p>
    <w:p>
      <w:pPr>
        <w:rPr>
          <w:rFonts w:hint="eastAsia" w:ascii="仿宋" w:hAnsi="仿宋" w:eastAsia="仿宋" w:cs="仿宋"/>
          <w:color w:val="auto"/>
          <w:sz w:val="22"/>
          <w:szCs w:val="28"/>
          <w:highlight w:val="none"/>
        </w:rPr>
      </w:pPr>
    </w:p>
    <w:p>
      <w:pPr>
        <w:rPr>
          <w:rFonts w:hint="eastAsia" w:ascii="仿宋" w:hAnsi="仿宋" w:eastAsia="仿宋" w:cs="仿宋"/>
          <w:color w:val="auto"/>
          <w:sz w:val="22"/>
          <w:szCs w:val="28"/>
          <w:highlight w:val="none"/>
        </w:rPr>
      </w:pPr>
    </w:p>
    <w:p>
      <w:pPr>
        <w:pStyle w:val="3"/>
        <w:rPr>
          <w:rFonts w:hint="eastAsia" w:ascii="仿宋" w:hAnsi="仿宋" w:eastAsia="仿宋" w:cs="仿宋"/>
          <w:color w:val="auto"/>
          <w:sz w:val="28"/>
          <w:szCs w:val="28"/>
          <w:highlight w:val="none"/>
        </w:rPr>
      </w:pPr>
    </w:p>
    <w:p>
      <w:pPr>
        <w:rPr>
          <w:rFonts w:hint="eastAsia" w:ascii="仿宋" w:hAnsi="仿宋" w:eastAsia="仿宋" w:cs="仿宋"/>
          <w:color w:val="auto"/>
          <w:sz w:val="22"/>
          <w:szCs w:val="28"/>
          <w:highlight w:val="none"/>
        </w:rPr>
      </w:pPr>
    </w:p>
    <w:p>
      <w:pPr>
        <w:rPr>
          <w:rFonts w:hint="eastAsia" w:ascii="仿宋" w:hAnsi="仿宋" w:eastAsia="仿宋" w:cs="仿宋"/>
          <w:color w:val="auto"/>
          <w:sz w:val="22"/>
          <w:szCs w:val="28"/>
          <w:highlight w:val="none"/>
        </w:rPr>
      </w:pPr>
    </w:p>
    <w:p>
      <w:pPr>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（示范文本</w:t>
      </w:r>
      <w:r>
        <w:rPr>
          <w:rFonts w:hint="eastAsia" w:ascii="仿宋" w:hAnsi="仿宋" w:eastAsia="仿宋" w:cs="仿宋"/>
          <w:b/>
          <w:color w:val="auto"/>
          <w:sz w:val="40"/>
          <w:szCs w:val="40"/>
          <w:highlight w:val="none"/>
          <w:lang w:val="en-US" w:eastAsia="zh-CN"/>
        </w:rPr>
        <w:t>仅供参考</w:t>
      </w:r>
      <w:r>
        <w:rPr>
          <w:rFonts w:hint="eastAsia" w:ascii="仿宋" w:hAnsi="仿宋" w:eastAsia="仿宋" w:cs="仿宋"/>
          <w:b/>
          <w:color w:val="auto"/>
          <w:sz w:val="40"/>
          <w:szCs w:val="40"/>
          <w:highlight w:val="none"/>
        </w:rPr>
        <w:t>）</w:t>
      </w:r>
    </w:p>
    <w:p>
      <w:pPr>
        <w:jc w:val="center"/>
        <w:rPr>
          <w:rFonts w:hint="eastAsia" w:ascii="仿宋" w:hAnsi="仿宋" w:eastAsia="仿宋" w:cs="仿宋"/>
          <w:b/>
          <w:color w:val="auto"/>
          <w:sz w:val="40"/>
          <w:szCs w:val="40"/>
          <w:highlight w:val="none"/>
        </w:rPr>
      </w:pPr>
    </w:p>
    <w:p>
      <w:pPr>
        <w:jc w:val="center"/>
        <w:rPr>
          <w:rFonts w:hint="eastAsia" w:ascii="仿宋" w:hAnsi="仿宋" w:eastAsia="仿宋" w:cs="仿宋"/>
          <w:b/>
          <w:color w:val="auto"/>
          <w:sz w:val="40"/>
          <w:szCs w:val="40"/>
          <w:highlight w:val="none"/>
        </w:rPr>
      </w:pPr>
    </w:p>
    <w:p>
      <w:pPr>
        <w:jc w:val="center"/>
        <w:rPr>
          <w:rFonts w:hint="eastAsia" w:ascii="仿宋" w:hAnsi="仿宋" w:eastAsia="仿宋" w:cs="仿宋"/>
          <w:b/>
          <w:color w:val="auto"/>
          <w:sz w:val="40"/>
          <w:szCs w:val="40"/>
          <w:highlight w:val="none"/>
        </w:rPr>
      </w:pPr>
    </w:p>
    <w:p>
      <w:pPr>
        <w:spacing w:before="163" w:beforeLines="50" w:line="360" w:lineRule="auto"/>
        <w:rPr>
          <w:rFonts w:hint="eastAsia" w:ascii="仿宋" w:hAnsi="仿宋" w:eastAsia="仿宋" w:cs="仿宋"/>
          <w:bCs/>
          <w:color w:val="auto"/>
          <w:sz w:val="52"/>
          <w:szCs w:val="52"/>
          <w:highlight w:val="none"/>
        </w:rPr>
      </w:pPr>
    </w:p>
    <w:p>
      <w:pPr>
        <w:spacing w:before="163" w:beforeLines="50" w:line="360" w:lineRule="auto"/>
        <w:ind w:left="0" w:leftChars="0" w:firstLine="1828" w:firstLineChars="493"/>
        <w:jc w:val="left"/>
        <w:rPr>
          <w:rFonts w:hint="eastAsia" w:ascii="仿宋" w:hAnsi="仿宋" w:eastAsia="仿宋" w:cs="仿宋"/>
          <w:b w:val="0"/>
          <w:bCs w:val="0"/>
          <w:color w:val="auto"/>
          <w:sz w:val="36"/>
          <w:szCs w:val="36"/>
          <w:highlight w:val="none"/>
          <w:u w:val="single"/>
          <w:lang w:val="en-US" w:eastAsia="zh-CN"/>
        </w:rPr>
      </w:pPr>
      <w:r>
        <w:rPr>
          <w:rFonts w:hint="eastAsia" w:ascii="仿宋" w:hAnsi="仿宋" w:eastAsia="仿宋" w:cs="仿宋"/>
          <w:b/>
          <w:bCs/>
          <w:color w:val="auto"/>
          <w:sz w:val="36"/>
          <w:szCs w:val="36"/>
          <w:highlight w:val="none"/>
          <w:lang w:val="en-US" w:eastAsia="zh-CN"/>
        </w:rPr>
        <w:t>采购人：</w:t>
      </w:r>
      <w:r>
        <w:rPr>
          <w:rFonts w:hint="eastAsia" w:ascii="仿宋" w:hAnsi="仿宋" w:eastAsia="仿宋" w:cs="仿宋"/>
          <w:b w:val="0"/>
          <w:bCs w:val="0"/>
          <w:color w:val="auto"/>
          <w:sz w:val="36"/>
          <w:szCs w:val="36"/>
          <w:highlight w:val="none"/>
          <w:u w:val="single"/>
          <w:lang w:val="en-US" w:eastAsia="zh-CN"/>
        </w:rPr>
        <w:t xml:space="preserve">                     </w:t>
      </w:r>
    </w:p>
    <w:p>
      <w:pPr>
        <w:spacing w:before="163" w:beforeLines="50" w:line="360" w:lineRule="auto"/>
        <w:ind w:left="0" w:leftChars="0" w:firstLine="1828" w:firstLineChars="493"/>
        <w:jc w:val="left"/>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供应商：</w:t>
      </w:r>
      <w:r>
        <w:rPr>
          <w:rFonts w:hint="eastAsia" w:ascii="仿宋" w:hAnsi="仿宋" w:eastAsia="仿宋" w:cs="仿宋"/>
          <w:b w:val="0"/>
          <w:bCs w:val="0"/>
          <w:color w:val="auto"/>
          <w:sz w:val="36"/>
          <w:szCs w:val="36"/>
          <w:highlight w:val="none"/>
          <w:u w:val="single"/>
          <w:lang w:val="en-US" w:eastAsia="zh-CN"/>
        </w:rPr>
        <w:t xml:space="preserve">                     </w:t>
      </w:r>
      <w:r>
        <w:rPr>
          <w:rFonts w:hint="eastAsia" w:ascii="仿宋" w:hAnsi="仿宋" w:eastAsia="仿宋" w:cs="仿宋"/>
          <w:b w:val="0"/>
          <w:bCs w:val="0"/>
          <w:color w:val="auto"/>
          <w:sz w:val="36"/>
          <w:szCs w:val="36"/>
          <w:highlight w:val="none"/>
          <w:lang w:val="en-US" w:eastAsia="zh-CN"/>
        </w:rPr>
        <w:t xml:space="preserve">  </w:t>
      </w:r>
      <w:r>
        <w:rPr>
          <w:rFonts w:hint="eastAsia" w:ascii="仿宋" w:hAnsi="仿宋" w:eastAsia="仿宋" w:cs="仿宋"/>
          <w:b/>
          <w:bCs/>
          <w:color w:val="auto"/>
          <w:sz w:val="36"/>
          <w:szCs w:val="36"/>
          <w:highlight w:val="none"/>
          <w:lang w:val="en-US" w:eastAsia="zh-CN"/>
        </w:rPr>
        <w:t xml:space="preserve">        </w:t>
      </w:r>
    </w:p>
    <w:p>
      <w:pPr>
        <w:pStyle w:val="3"/>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36"/>
          <w:szCs w:val="36"/>
          <w:highlight w:val="none"/>
          <w:lang w:val="en-US" w:eastAsia="zh-CN"/>
        </w:rPr>
        <w:t>二〇二二年六月</w:t>
      </w:r>
      <w:r>
        <w:rPr>
          <w:rFonts w:hint="eastAsia" w:ascii="仿宋" w:hAnsi="仿宋" w:eastAsia="仿宋" w:cs="仿宋"/>
          <w:b/>
          <w:bCs/>
          <w:color w:val="auto"/>
          <w:sz w:val="40"/>
          <w:szCs w:val="40"/>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 w:hAnsi="仿宋" w:eastAsia="仿宋" w:cs="仿宋"/>
          <w:b/>
          <w:sz w:val="24"/>
          <w:highlight w:val="none"/>
          <w:u w:val="single"/>
        </w:rPr>
      </w:pPr>
      <w:bookmarkStart w:id="78" w:name="_Toc26893"/>
      <w:bookmarkStart w:id="79" w:name="_Toc24356"/>
      <w:bookmarkStart w:id="80" w:name="_Toc32018"/>
      <w:bookmarkStart w:id="81" w:name="_Toc11252"/>
      <w:bookmarkStart w:id="82" w:name="_Toc23166"/>
      <w:bookmarkStart w:id="83" w:name="_Toc27511"/>
      <w:r>
        <w:rPr>
          <w:rFonts w:hint="eastAsia" w:ascii="仿宋" w:hAnsi="仿宋" w:eastAsia="仿宋" w:cs="仿宋"/>
          <w:b/>
          <w:sz w:val="24"/>
          <w:highlight w:val="none"/>
          <w:u w:val="single"/>
        </w:rPr>
        <w:t>注：本合同仅为合同的参考文本，合同签订双方可根据项目的具体要求进行修订。</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hint="eastAsia" w:ascii="仿宋" w:hAnsi="仿宋" w:eastAsia="仿宋" w:cs="仿宋"/>
          <w:b/>
          <w:sz w:val="24"/>
          <w:highlight w:val="none"/>
        </w:rPr>
      </w:pPr>
    </w:p>
    <w:p>
      <w:pPr>
        <w:spacing w:line="360" w:lineRule="auto"/>
        <w:jc w:val="center"/>
        <w:outlineLvl w:val="9"/>
        <w:rPr>
          <w:rFonts w:hint="eastAsia" w:ascii="仿宋" w:hAnsi="仿宋" w:eastAsia="仿宋" w:cs="仿宋"/>
          <w:sz w:val="32"/>
          <w:szCs w:val="32"/>
          <w:highlight w:val="none"/>
        </w:rPr>
      </w:pPr>
      <w:bookmarkStart w:id="84" w:name="_Toc484353362"/>
      <w:bookmarkStart w:id="85" w:name="_Toc24645"/>
      <w:bookmarkStart w:id="86" w:name="_Toc17018"/>
      <w:bookmarkStart w:id="87" w:name="_Toc25256"/>
      <w:bookmarkStart w:id="88" w:name="_Toc23240"/>
      <w:bookmarkStart w:id="89" w:name="_Toc483349426"/>
      <w:bookmarkStart w:id="90" w:name="_Toc24759"/>
      <w:r>
        <w:rPr>
          <w:rFonts w:hint="eastAsia" w:ascii="仿宋" w:hAnsi="仿宋" w:eastAsia="仿宋" w:cs="仿宋"/>
          <w:b/>
          <w:bCs/>
          <w:sz w:val="32"/>
          <w:szCs w:val="32"/>
          <w:highlight w:val="none"/>
        </w:rPr>
        <w:t>政府采购合同</w:t>
      </w:r>
      <w:bookmarkEnd w:id="84"/>
      <w:bookmarkEnd w:id="85"/>
      <w:bookmarkEnd w:id="86"/>
      <w:bookmarkEnd w:id="87"/>
      <w:bookmarkEnd w:id="88"/>
      <w:bookmarkEnd w:id="89"/>
      <w:bookmarkEnd w:id="90"/>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eastAsia="zh-CN"/>
        </w:rPr>
        <w:t>（采购人）</w:t>
      </w:r>
      <w:r>
        <w:rPr>
          <w:rFonts w:hint="eastAsia" w:ascii="仿宋" w:hAnsi="仿宋" w:eastAsia="仿宋" w:cs="仿宋"/>
          <w:sz w:val="24"/>
          <w:szCs w:val="24"/>
          <w:highlight w:val="none"/>
        </w:rPr>
        <w:t>（以下简称“甲方”）以</w:t>
      </w:r>
      <w:r>
        <w:rPr>
          <w:rFonts w:hint="eastAsia" w:ascii="仿宋" w:hAnsi="仿宋" w:eastAsia="仿宋" w:cs="仿宋"/>
          <w:sz w:val="24"/>
          <w:szCs w:val="24"/>
          <w:highlight w:val="none"/>
          <w:u w:val="single"/>
          <w:lang w:val="en-US" w:eastAsia="zh-CN"/>
        </w:rPr>
        <w:t>公开招标</w:t>
      </w:r>
      <w:r>
        <w:rPr>
          <w:rFonts w:hint="eastAsia" w:ascii="仿宋" w:hAnsi="仿宋" w:eastAsia="仿宋" w:cs="仿宋"/>
          <w:sz w:val="24"/>
          <w:szCs w:val="24"/>
          <w:highlight w:val="none"/>
        </w:rPr>
        <w:t>的方式对</w:t>
      </w:r>
      <w:r>
        <w:rPr>
          <w:rFonts w:hint="eastAsia" w:ascii="仿宋" w:hAnsi="仿宋" w:eastAsia="仿宋" w:cs="仿宋"/>
          <w:sz w:val="24"/>
          <w:szCs w:val="24"/>
          <w:highlight w:val="none"/>
          <w:u w:val="single"/>
        </w:rPr>
        <w:t>“</w:t>
      </w:r>
      <w:r>
        <w:rPr>
          <w:rFonts w:hint="eastAsia" w:ascii="仿宋" w:hAnsi="仿宋" w:eastAsia="仿宋" w:cs="仿宋"/>
          <w:sz w:val="24"/>
          <w:highlight w:val="none"/>
          <w:u w:val="single"/>
          <w:lang w:eastAsia="zh-CN"/>
        </w:rPr>
        <w:t>（</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）进行了采购，</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中标</w:t>
      </w:r>
      <w:r>
        <w:rPr>
          <w:rFonts w:hint="eastAsia" w:ascii="仿宋" w:hAnsi="仿宋" w:eastAsia="仿宋" w:cs="仿宋"/>
          <w:sz w:val="24"/>
          <w:szCs w:val="24"/>
          <w:highlight w:val="none"/>
          <w:u w:val="single"/>
        </w:rPr>
        <w:t xml:space="preserve">供应商名称） </w:t>
      </w:r>
      <w:r>
        <w:rPr>
          <w:rFonts w:hint="eastAsia" w:ascii="仿宋" w:hAnsi="仿宋" w:eastAsia="仿宋" w:cs="仿宋"/>
          <w:sz w:val="24"/>
          <w:szCs w:val="24"/>
          <w:highlight w:val="none"/>
        </w:rPr>
        <w:t>（以下简称“乙方”）为该项目</w:t>
      </w:r>
      <w:r>
        <w:rPr>
          <w:rFonts w:hint="eastAsia" w:ascii="仿宋" w:hAnsi="仿宋" w:eastAsia="仿宋" w:cs="仿宋"/>
          <w:sz w:val="24"/>
          <w:szCs w:val="24"/>
          <w:highlight w:val="none"/>
          <w:lang w:eastAsia="zh-CN"/>
        </w:rPr>
        <w:t>中标单位</w:t>
      </w:r>
      <w:r>
        <w:rPr>
          <w:rFonts w:hint="eastAsia" w:ascii="仿宋" w:hAnsi="仿宋" w:eastAsia="仿宋" w:cs="仿宋"/>
          <w:sz w:val="24"/>
          <w:szCs w:val="24"/>
          <w:highlight w:val="none"/>
        </w:rPr>
        <w:t>。现于</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通知书发出之日起三十日内，按照采购文件确定的事项签订本合同。</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根据《中华人民共和国</w:t>
      </w:r>
      <w:r>
        <w:rPr>
          <w:rFonts w:hint="eastAsia" w:ascii="仿宋" w:hAnsi="仿宋" w:eastAsia="仿宋" w:cs="仿宋"/>
          <w:sz w:val="24"/>
          <w:szCs w:val="24"/>
          <w:highlight w:val="none"/>
          <w:lang w:val="en-US" w:eastAsia="zh-CN"/>
        </w:rPr>
        <w:t>民法典</w:t>
      </w:r>
      <w:r>
        <w:rPr>
          <w:rFonts w:hint="eastAsia" w:ascii="仿宋" w:hAnsi="仿宋" w:eastAsia="仿宋" w:cs="仿宋"/>
          <w:sz w:val="24"/>
          <w:szCs w:val="24"/>
          <w:highlight w:val="none"/>
          <w:lang w:val="zh-CN"/>
        </w:rPr>
        <w:t>》、《中华人民共和国政府采购法》等相关法律法规之规定，按照平等、自愿、公平和诚实信用的原则，经甲方和乙方协商一致，约定以下合同</w:t>
      </w:r>
      <w:r>
        <w:rPr>
          <w:rFonts w:hint="eastAsia" w:ascii="仿宋" w:hAnsi="仿宋" w:eastAsia="仿宋" w:cs="仿宋"/>
          <w:sz w:val="24"/>
          <w:szCs w:val="24"/>
          <w:highlight w:val="none"/>
        </w:rPr>
        <w:t>条款，以兹共同遵守、全面履行。</w:t>
      </w:r>
    </w:p>
    <w:p>
      <w:pPr>
        <w:spacing w:line="360" w:lineRule="auto"/>
        <w:ind w:firstLine="502" w:firstLineChars="200"/>
        <w:outlineLvl w:val="9"/>
        <w:rPr>
          <w:rFonts w:hint="eastAsia" w:ascii="仿宋" w:hAnsi="仿宋" w:eastAsia="仿宋" w:cs="仿宋"/>
          <w:sz w:val="24"/>
          <w:szCs w:val="24"/>
          <w:highlight w:val="none"/>
        </w:rPr>
      </w:pPr>
      <w:bookmarkStart w:id="91" w:name="_Toc28855"/>
      <w:bookmarkStart w:id="92" w:name="_Toc9470"/>
      <w:bookmarkStart w:id="93" w:name="_Toc15367"/>
      <w:bookmarkStart w:id="94" w:name="_Toc26482"/>
      <w:bookmarkStart w:id="95" w:name="_Toc20421"/>
      <w:bookmarkStart w:id="96" w:name="_Toc22967"/>
      <w:bookmarkStart w:id="97" w:name="_Toc6601"/>
      <w:bookmarkStart w:id="98" w:name="_Toc19273"/>
      <w:r>
        <w:rPr>
          <w:rFonts w:hint="eastAsia" w:ascii="仿宋" w:hAnsi="仿宋" w:eastAsia="仿宋" w:cs="仿宋"/>
          <w:b/>
          <w:sz w:val="24"/>
          <w:szCs w:val="24"/>
          <w:highlight w:val="none"/>
        </w:rPr>
        <w:t>1.1合同组成部分</w:t>
      </w:r>
      <w:bookmarkEnd w:id="91"/>
      <w:bookmarkEnd w:id="92"/>
      <w:bookmarkEnd w:id="93"/>
      <w:bookmarkEnd w:id="94"/>
      <w:bookmarkEnd w:id="95"/>
      <w:bookmarkEnd w:id="96"/>
      <w:bookmarkEnd w:id="97"/>
      <w:bookmarkEnd w:id="98"/>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1.1.1本合同及其补充合同、变更协议；</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通知书；</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w:t>
      </w:r>
      <w:r>
        <w:rPr>
          <w:rFonts w:hint="eastAsia" w:ascii="仿宋" w:hAnsi="仿宋" w:eastAsia="仿宋" w:cs="仿宋"/>
          <w:sz w:val="24"/>
          <w:szCs w:val="24"/>
          <w:highlight w:val="none"/>
          <w:lang w:val="en-US" w:eastAsia="zh-CN"/>
        </w:rPr>
        <w:t>磋商响应</w:t>
      </w:r>
      <w:r>
        <w:rPr>
          <w:rFonts w:hint="eastAsia" w:ascii="仿宋" w:hAnsi="仿宋" w:eastAsia="仿宋" w:cs="仿宋"/>
          <w:sz w:val="24"/>
          <w:szCs w:val="24"/>
          <w:highlight w:val="none"/>
        </w:rPr>
        <w:t>文件（含澄清或者说明文件）；</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（含澄清或者修改文件）；</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1.1.5其他相关采购文件。</w:t>
      </w:r>
    </w:p>
    <w:p>
      <w:pPr>
        <w:spacing w:line="360" w:lineRule="auto"/>
        <w:ind w:firstLine="502" w:firstLineChars="200"/>
        <w:outlineLvl w:val="9"/>
        <w:rPr>
          <w:rFonts w:hint="eastAsia" w:ascii="仿宋" w:hAnsi="仿宋" w:eastAsia="仿宋" w:cs="仿宋"/>
          <w:b/>
          <w:sz w:val="24"/>
          <w:szCs w:val="24"/>
          <w:highlight w:val="none"/>
        </w:rPr>
      </w:pPr>
      <w:bookmarkStart w:id="99" w:name="_Toc2918"/>
      <w:bookmarkStart w:id="100" w:name="_Toc18585"/>
      <w:bookmarkStart w:id="101" w:name="_Toc18557"/>
      <w:bookmarkStart w:id="102" w:name="_Toc16407"/>
      <w:bookmarkStart w:id="103" w:name="_Toc6773"/>
      <w:bookmarkStart w:id="104" w:name="_Toc22185"/>
      <w:bookmarkStart w:id="105" w:name="_Toc30141"/>
      <w:bookmarkStart w:id="106" w:name="_Toc6311"/>
      <w:r>
        <w:rPr>
          <w:rFonts w:hint="eastAsia" w:ascii="仿宋" w:hAnsi="仿宋" w:eastAsia="仿宋" w:cs="仿宋"/>
          <w:b/>
          <w:sz w:val="24"/>
          <w:szCs w:val="24"/>
          <w:highlight w:val="none"/>
        </w:rPr>
        <w:t>1.2标的</w:t>
      </w:r>
      <w:bookmarkEnd w:id="99"/>
      <w:bookmarkEnd w:id="100"/>
      <w:bookmarkEnd w:id="101"/>
      <w:bookmarkEnd w:id="102"/>
      <w:bookmarkEnd w:id="103"/>
      <w:bookmarkEnd w:id="104"/>
      <w:bookmarkEnd w:id="105"/>
      <w:bookmarkEnd w:id="106"/>
    </w:p>
    <w:p>
      <w:pPr>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1.2.1标的名称：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1.2.2标的数量：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1.2.3标的质量：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360" w:lineRule="auto"/>
        <w:ind w:firstLine="502" w:firstLineChars="200"/>
        <w:outlineLvl w:val="9"/>
        <w:rPr>
          <w:rFonts w:hint="eastAsia" w:ascii="仿宋" w:hAnsi="仿宋" w:eastAsia="仿宋" w:cs="仿宋"/>
          <w:b/>
          <w:sz w:val="24"/>
          <w:szCs w:val="24"/>
          <w:highlight w:val="none"/>
        </w:rPr>
      </w:pPr>
      <w:bookmarkStart w:id="107" w:name="_Toc21782"/>
      <w:bookmarkStart w:id="108" w:name="_Toc1386"/>
      <w:bookmarkStart w:id="109" w:name="_Toc4929"/>
      <w:bookmarkStart w:id="110" w:name="_Toc6409"/>
      <w:bookmarkStart w:id="111" w:name="_Toc5635"/>
      <w:bookmarkStart w:id="112" w:name="_Toc20141"/>
      <w:bookmarkStart w:id="113" w:name="_Toc13918"/>
      <w:bookmarkStart w:id="114" w:name="_Toc21124"/>
      <w:r>
        <w:rPr>
          <w:rFonts w:hint="eastAsia" w:ascii="仿宋" w:hAnsi="仿宋" w:eastAsia="仿宋" w:cs="仿宋"/>
          <w:b/>
          <w:sz w:val="24"/>
          <w:szCs w:val="24"/>
          <w:highlight w:val="none"/>
        </w:rPr>
        <w:t>1.3价款</w:t>
      </w:r>
      <w:bookmarkEnd w:id="107"/>
      <w:bookmarkEnd w:id="108"/>
      <w:bookmarkEnd w:id="109"/>
      <w:bookmarkEnd w:id="110"/>
      <w:bookmarkEnd w:id="111"/>
      <w:bookmarkEnd w:id="112"/>
      <w:bookmarkEnd w:id="113"/>
      <w:bookmarkEnd w:id="114"/>
    </w:p>
    <w:p>
      <w:pPr>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本合同总价为：￥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元人民币）。</w:t>
      </w:r>
    </w:p>
    <w:p>
      <w:pPr>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分项价格：</w:t>
      </w:r>
    </w:p>
    <w:tbl>
      <w:tblPr>
        <w:tblStyle w:val="26"/>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870"/>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6" w:type="dxa"/>
            <w:vAlign w:val="center"/>
          </w:tcPr>
          <w:p>
            <w:pPr>
              <w:pStyle w:val="86"/>
              <w:spacing w:line="360" w:lineRule="auto"/>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870" w:type="dxa"/>
            <w:vAlign w:val="center"/>
          </w:tcPr>
          <w:p>
            <w:pPr>
              <w:pStyle w:val="86"/>
              <w:spacing w:line="360" w:lineRule="auto"/>
              <w:ind w:firstLine="200"/>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903" w:type="dxa"/>
            <w:vAlign w:val="center"/>
          </w:tcPr>
          <w:p>
            <w:pPr>
              <w:pStyle w:val="86"/>
              <w:spacing w:line="360" w:lineRule="auto"/>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6"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3870"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2903"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6"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3870"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2903"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6"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3870"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2903"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6"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3870"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c>
          <w:tcPr>
            <w:tcW w:w="2903"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236" w:type="dxa"/>
            <w:gridSpan w:val="2"/>
            <w:vAlign w:val="center"/>
          </w:tcPr>
          <w:p>
            <w:pPr>
              <w:pStyle w:val="86"/>
              <w:spacing w:line="360" w:lineRule="auto"/>
              <w:ind w:firstLine="200"/>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903" w:type="dxa"/>
            <w:vAlign w:val="center"/>
          </w:tcPr>
          <w:p>
            <w:pPr>
              <w:pStyle w:val="86"/>
              <w:spacing w:line="360" w:lineRule="auto"/>
              <w:ind w:firstLine="200"/>
              <w:jc w:val="center"/>
              <w:outlineLvl w:val="9"/>
              <w:rPr>
                <w:rFonts w:hint="eastAsia" w:ascii="仿宋" w:hAnsi="仿宋" w:eastAsia="仿宋" w:cs="仿宋"/>
                <w:sz w:val="24"/>
                <w:szCs w:val="24"/>
                <w:highlight w:val="none"/>
              </w:rPr>
            </w:pPr>
          </w:p>
        </w:tc>
      </w:tr>
    </w:tbl>
    <w:p>
      <w:pPr>
        <w:spacing w:line="360" w:lineRule="auto"/>
        <w:ind w:firstLine="502" w:firstLineChars="200"/>
        <w:outlineLvl w:val="9"/>
        <w:rPr>
          <w:rFonts w:hint="eastAsia" w:ascii="仿宋" w:hAnsi="仿宋" w:eastAsia="仿宋" w:cs="仿宋"/>
          <w:b/>
          <w:sz w:val="24"/>
          <w:szCs w:val="24"/>
          <w:highlight w:val="none"/>
        </w:rPr>
      </w:pPr>
      <w:bookmarkStart w:id="115" w:name="_Toc14993"/>
      <w:bookmarkStart w:id="116" w:name="_Toc13113"/>
      <w:bookmarkStart w:id="117" w:name="_Toc30506"/>
      <w:bookmarkStart w:id="118" w:name="_Toc30158"/>
      <w:bookmarkStart w:id="119" w:name="_Toc26916"/>
      <w:bookmarkStart w:id="120" w:name="_Toc15617"/>
      <w:bookmarkStart w:id="121" w:name="_Toc17639"/>
      <w:bookmarkStart w:id="122" w:name="_Toc3654"/>
      <w:r>
        <w:rPr>
          <w:rFonts w:hint="eastAsia" w:ascii="仿宋" w:hAnsi="仿宋" w:eastAsia="仿宋" w:cs="仿宋"/>
          <w:b/>
          <w:sz w:val="24"/>
          <w:szCs w:val="24"/>
          <w:highlight w:val="none"/>
        </w:rPr>
        <w:t>1.4付款方式</w:t>
      </w:r>
      <w:bookmarkEnd w:id="115"/>
      <w:bookmarkEnd w:id="116"/>
      <w:bookmarkEnd w:id="117"/>
      <w:bookmarkEnd w:id="118"/>
      <w:bookmarkEnd w:id="119"/>
      <w:bookmarkEnd w:id="120"/>
      <w:bookmarkEnd w:id="121"/>
      <w:bookmarkEnd w:id="122"/>
    </w:p>
    <w:p>
      <w:pPr>
        <w:spacing w:line="360" w:lineRule="auto"/>
        <w:ind w:firstLine="502" w:firstLineChars="200"/>
        <w:outlineLvl w:val="9"/>
        <w:rPr>
          <w:rFonts w:hint="eastAsia" w:ascii="仿宋" w:hAnsi="仿宋" w:eastAsia="仿宋" w:cs="仿宋"/>
          <w:sz w:val="24"/>
          <w:szCs w:val="24"/>
          <w:highlight w:val="none"/>
          <w:lang w:val="en-US" w:eastAsia="zh-CN"/>
        </w:rPr>
      </w:pPr>
      <w:bookmarkStart w:id="123" w:name="_Toc11108"/>
      <w:bookmarkStart w:id="124" w:name="_Toc18630"/>
      <w:bookmarkStart w:id="125" w:name="_Toc31421"/>
      <w:bookmarkStart w:id="126" w:name="_Toc17784"/>
      <w:bookmarkStart w:id="127" w:name="_Toc4760"/>
      <w:bookmarkStart w:id="128" w:name="_Toc3625"/>
      <w:bookmarkStart w:id="129" w:name="_Toc19039"/>
      <w:bookmarkStart w:id="130" w:name="_Toc8772"/>
      <w:r>
        <w:rPr>
          <w:rFonts w:hint="eastAsia" w:ascii="仿宋" w:hAnsi="仿宋" w:eastAsia="仿宋" w:cs="仿宋"/>
          <w:sz w:val="24"/>
          <w:szCs w:val="24"/>
          <w:highlight w:val="none"/>
          <w:lang w:val="en-US" w:eastAsia="zh-CN"/>
        </w:rPr>
        <w:t>付款方式:合同签订后，乙方开具合同总金额50%的发票，甲方于10日内支付作为首付款。后续费用据实结算，直至合同履行完毕。</w:t>
      </w:r>
    </w:p>
    <w:p>
      <w:pPr>
        <w:spacing w:line="360" w:lineRule="auto"/>
        <w:ind w:firstLine="50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1.5</w:t>
      </w:r>
      <w:r>
        <w:rPr>
          <w:rFonts w:hint="eastAsia" w:ascii="仿宋" w:hAnsi="仿宋" w:eastAsia="仿宋" w:cs="仿宋"/>
          <w:b/>
          <w:sz w:val="24"/>
          <w:szCs w:val="24"/>
          <w:highlight w:val="none"/>
          <w:lang w:eastAsia="zh-CN"/>
        </w:rPr>
        <w:t>服务期限</w:t>
      </w:r>
      <w:r>
        <w:rPr>
          <w:rFonts w:hint="eastAsia" w:ascii="仿宋" w:hAnsi="仿宋" w:eastAsia="仿宋" w:cs="仿宋"/>
          <w:b/>
          <w:sz w:val="24"/>
          <w:szCs w:val="24"/>
          <w:highlight w:val="none"/>
        </w:rPr>
        <w:t>、地点和方式</w:t>
      </w:r>
      <w:bookmarkEnd w:id="123"/>
      <w:bookmarkEnd w:id="124"/>
      <w:bookmarkEnd w:id="125"/>
      <w:bookmarkEnd w:id="126"/>
      <w:bookmarkEnd w:id="127"/>
      <w:bookmarkEnd w:id="128"/>
      <w:bookmarkEnd w:id="129"/>
      <w:bookmarkEnd w:id="130"/>
    </w:p>
    <w:p>
      <w:pPr>
        <w:spacing w:line="360" w:lineRule="auto"/>
        <w:ind w:firstLine="502" w:firstLineChars="200"/>
        <w:outlineLvl w:val="9"/>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1.5.1</w:t>
      </w:r>
      <w:r>
        <w:rPr>
          <w:rFonts w:hint="eastAsia" w:ascii="仿宋" w:hAnsi="仿宋" w:eastAsia="仿宋" w:cs="仿宋"/>
          <w:sz w:val="24"/>
          <w:szCs w:val="24"/>
          <w:highlight w:val="none"/>
          <w:lang w:eastAsia="zh-CN"/>
        </w:rPr>
        <w:t>服务</w:t>
      </w:r>
      <w:r>
        <w:rPr>
          <w:rFonts w:hint="eastAsia" w:ascii="仿宋" w:hAnsi="仿宋" w:eastAsia="仿宋" w:cs="仿宋"/>
          <w:sz w:val="24"/>
          <w:szCs w:val="24"/>
          <w:highlight w:val="none"/>
        </w:rPr>
        <w:t>期：</w:t>
      </w:r>
      <w:r>
        <w:rPr>
          <w:rFonts w:hint="eastAsia" w:ascii="仿宋" w:hAnsi="仿宋" w:eastAsia="仿宋" w:cs="仿宋"/>
          <w:sz w:val="24"/>
          <w:szCs w:val="24"/>
          <w:highlight w:val="none"/>
          <w:lang w:val="en-US" w:eastAsia="zh-CN"/>
        </w:rPr>
        <w:t>1年；</w:t>
      </w:r>
    </w:p>
    <w:p>
      <w:pPr>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1.5.2</w:t>
      </w:r>
      <w:r>
        <w:rPr>
          <w:rFonts w:hint="eastAsia" w:ascii="仿宋" w:hAnsi="仿宋" w:eastAsia="仿宋" w:cs="仿宋"/>
          <w:sz w:val="24"/>
          <w:szCs w:val="24"/>
          <w:highlight w:val="none"/>
          <w:lang w:eastAsia="zh-CN"/>
        </w:rPr>
        <w:t>服务</w:t>
      </w: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采购人指定地点</w:t>
      </w:r>
      <w:r>
        <w:rPr>
          <w:rFonts w:hint="eastAsia" w:ascii="仿宋" w:hAnsi="仿宋" w:eastAsia="仿宋" w:cs="仿宋"/>
          <w:sz w:val="24"/>
          <w:szCs w:val="24"/>
          <w:highlight w:val="none"/>
        </w:rPr>
        <w:t>。</w:t>
      </w:r>
    </w:p>
    <w:p>
      <w:pPr>
        <w:spacing w:line="360" w:lineRule="auto"/>
        <w:ind w:firstLine="502" w:firstLineChars="200"/>
        <w:outlineLvl w:val="9"/>
        <w:rPr>
          <w:rFonts w:hint="eastAsia" w:ascii="仿宋" w:hAnsi="仿宋" w:eastAsia="仿宋" w:cs="仿宋"/>
          <w:sz w:val="24"/>
          <w:szCs w:val="24"/>
          <w:highlight w:val="none"/>
          <w:u w:val="single"/>
        </w:rPr>
      </w:pPr>
      <w:bookmarkStart w:id="131" w:name="_Toc24662"/>
      <w:bookmarkStart w:id="132" w:name="_Toc3232"/>
      <w:bookmarkStart w:id="133" w:name="_Toc2375"/>
      <w:bookmarkStart w:id="134" w:name="_Toc18097"/>
      <w:bookmarkStart w:id="135" w:name="_Toc15869"/>
      <w:bookmarkStart w:id="136" w:name="_Toc3079"/>
      <w:bookmarkStart w:id="137" w:name="_Toc8586"/>
      <w:bookmarkStart w:id="138" w:name="_Toc5698"/>
      <w:r>
        <w:rPr>
          <w:rFonts w:hint="eastAsia" w:ascii="仿宋" w:hAnsi="仿宋" w:eastAsia="仿宋" w:cs="仿宋"/>
          <w:b/>
          <w:sz w:val="24"/>
          <w:szCs w:val="24"/>
          <w:highlight w:val="none"/>
        </w:rPr>
        <w:t>1.6违约责任</w:t>
      </w:r>
      <w:bookmarkEnd w:id="131"/>
      <w:bookmarkEnd w:id="132"/>
      <w:bookmarkEnd w:id="133"/>
      <w:bookmarkEnd w:id="134"/>
      <w:bookmarkEnd w:id="135"/>
      <w:bookmarkEnd w:id="136"/>
      <w:bookmarkEnd w:id="137"/>
      <w:bookmarkEnd w:id="138"/>
    </w:p>
    <w:p>
      <w:pPr>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highlight w:val="none"/>
          <w:u w:val="single"/>
        </w:rPr>
        <w:t>0.5</w:t>
      </w:r>
      <w:r>
        <w:rPr>
          <w:rFonts w:hint="eastAsia" w:ascii="仿宋" w:hAnsi="仿宋" w:eastAsia="仿宋" w:cs="仿宋"/>
          <w:sz w:val="24"/>
          <w:szCs w:val="24"/>
          <w:highlight w:val="none"/>
        </w:rPr>
        <w:t>%计算，最高限额为本合同总价的</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%；迟延履行的违约金计算数额达到前述最高限额之日起，甲方有权在要求乙方支付违约金的同时，书面通知乙方解除本合同；</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highlight w:val="none"/>
          <w:u w:val="single"/>
        </w:rPr>
        <w:t>0.5</w:t>
      </w:r>
      <w:r>
        <w:rPr>
          <w:rFonts w:hint="eastAsia" w:ascii="仿宋" w:hAnsi="仿宋" w:eastAsia="仿宋" w:cs="仿宋"/>
          <w:sz w:val="24"/>
          <w:szCs w:val="24"/>
          <w:highlight w:val="none"/>
        </w:rPr>
        <w:t>%计算，最高限额为本合同总价的</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%；迟延付款的违约金计算数额达到前述最高限额之日起，乙方有权在要求甲方支付违约金的同时，书面通知甲方解除本合同；</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0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1.6.6如果出现政府采购监督管理部门在处理投诉事项期间，书面通知甲方暂停采购活动的情形，或者询问或质疑事项可能影响</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结果的，导致甲方中止履行合同的情形，均不视为甲方违约。</w:t>
      </w:r>
    </w:p>
    <w:p>
      <w:pPr>
        <w:spacing w:line="360" w:lineRule="auto"/>
        <w:ind w:firstLine="502" w:firstLineChars="200"/>
        <w:outlineLvl w:val="9"/>
        <w:rPr>
          <w:rFonts w:hint="eastAsia" w:ascii="仿宋" w:hAnsi="仿宋" w:eastAsia="仿宋" w:cs="仿宋"/>
          <w:b/>
          <w:sz w:val="24"/>
          <w:szCs w:val="24"/>
          <w:highlight w:val="none"/>
        </w:rPr>
      </w:pPr>
      <w:bookmarkStart w:id="139" w:name="_Toc32454"/>
      <w:bookmarkStart w:id="140" w:name="_Toc26807"/>
      <w:bookmarkStart w:id="141" w:name="_Toc18683"/>
      <w:bookmarkStart w:id="142" w:name="_Toc14686"/>
      <w:bookmarkStart w:id="143" w:name="_Toc9497"/>
      <w:bookmarkStart w:id="144" w:name="_Toc30329"/>
      <w:bookmarkStart w:id="145" w:name="_Toc29170"/>
      <w:bookmarkStart w:id="146" w:name="_Toc14537"/>
      <w:r>
        <w:rPr>
          <w:rFonts w:hint="eastAsia" w:ascii="仿宋" w:hAnsi="仿宋" w:eastAsia="仿宋" w:cs="仿宋"/>
          <w:b/>
          <w:sz w:val="24"/>
          <w:szCs w:val="24"/>
          <w:highlight w:val="none"/>
        </w:rPr>
        <w:t>1.7合同争议的解决</w:t>
      </w:r>
      <w:bookmarkEnd w:id="139"/>
      <w:bookmarkEnd w:id="140"/>
      <w:bookmarkEnd w:id="141"/>
      <w:bookmarkEnd w:id="142"/>
      <w:bookmarkEnd w:id="143"/>
      <w:bookmarkEnd w:id="144"/>
      <w:bookmarkEnd w:id="145"/>
      <w:bookmarkEnd w:id="146"/>
    </w:p>
    <w:p>
      <w:pPr>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highlight w:val="none"/>
          <w:u w:val="single"/>
        </w:rPr>
        <w:t>1.7.2款</w:t>
      </w:r>
      <w:r>
        <w:rPr>
          <w:rFonts w:hint="eastAsia" w:ascii="仿宋" w:hAnsi="仿宋" w:eastAsia="仿宋" w:cs="仿宋"/>
          <w:sz w:val="24"/>
          <w:szCs w:val="24"/>
          <w:highlight w:val="none"/>
        </w:rPr>
        <w:t>方式解决：</w:t>
      </w:r>
    </w:p>
    <w:p>
      <w:pPr>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1.7.1将争议提交</w:t>
      </w:r>
      <w:r>
        <w:rPr>
          <w:rFonts w:hint="eastAsia" w:ascii="仿宋" w:hAnsi="仿宋" w:eastAsia="仿宋" w:cs="仿宋"/>
          <w:sz w:val="24"/>
          <w:szCs w:val="24"/>
          <w:highlight w:val="none"/>
          <w:u w:val="single"/>
        </w:rPr>
        <w:t xml:space="preserve">   合同签订地   </w:t>
      </w:r>
      <w:r>
        <w:rPr>
          <w:rFonts w:hint="eastAsia" w:ascii="仿宋" w:hAnsi="仿宋" w:eastAsia="仿宋" w:cs="仿宋"/>
          <w:sz w:val="24"/>
          <w:szCs w:val="24"/>
          <w:highlight w:val="none"/>
        </w:rPr>
        <w:t>仲裁委员会依申请仲裁时其现行有效的仲裁规则裁决；</w:t>
      </w:r>
    </w:p>
    <w:p>
      <w:pPr>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1.7.2向</w:t>
      </w:r>
      <w:r>
        <w:rPr>
          <w:rFonts w:hint="eastAsia" w:ascii="仿宋" w:hAnsi="仿宋" w:eastAsia="仿宋" w:cs="仿宋"/>
          <w:sz w:val="24"/>
          <w:szCs w:val="24"/>
          <w:highlight w:val="none"/>
          <w:u w:val="single"/>
        </w:rPr>
        <w:t xml:space="preserve">   合同签订地   </w:t>
      </w:r>
      <w:r>
        <w:rPr>
          <w:rFonts w:hint="eastAsia" w:ascii="仿宋" w:hAnsi="仿宋" w:eastAsia="仿宋" w:cs="仿宋"/>
          <w:sz w:val="24"/>
          <w:szCs w:val="24"/>
          <w:highlight w:val="none"/>
        </w:rPr>
        <w:t>人民法院起诉。</w:t>
      </w:r>
    </w:p>
    <w:p>
      <w:pPr>
        <w:spacing w:line="360" w:lineRule="auto"/>
        <w:ind w:firstLine="502" w:firstLineChars="200"/>
        <w:outlineLvl w:val="9"/>
        <w:rPr>
          <w:rFonts w:hint="eastAsia" w:ascii="仿宋" w:hAnsi="仿宋" w:eastAsia="仿宋" w:cs="仿宋"/>
          <w:b/>
          <w:sz w:val="24"/>
          <w:szCs w:val="24"/>
          <w:highlight w:val="none"/>
        </w:rPr>
      </w:pPr>
      <w:bookmarkStart w:id="147" w:name="_Toc12273"/>
      <w:bookmarkStart w:id="148" w:name="_Toc15827"/>
      <w:bookmarkStart w:id="149" w:name="_Toc58"/>
      <w:bookmarkStart w:id="150" w:name="_Toc16417"/>
      <w:bookmarkStart w:id="151" w:name="_Toc26227"/>
      <w:bookmarkStart w:id="152" w:name="_Toc17829"/>
      <w:bookmarkStart w:id="153" w:name="_Toc23784"/>
      <w:bookmarkStart w:id="154" w:name="_Toc15436"/>
      <w:r>
        <w:rPr>
          <w:rFonts w:hint="eastAsia" w:ascii="仿宋" w:hAnsi="仿宋" w:eastAsia="仿宋" w:cs="仿宋"/>
          <w:b/>
          <w:sz w:val="24"/>
          <w:szCs w:val="24"/>
          <w:highlight w:val="none"/>
        </w:rPr>
        <w:t>1.8合同生效</w:t>
      </w:r>
      <w:bookmarkEnd w:id="147"/>
      <w:bookmarkEnd w:id="148"/>
      <w:bookmarkEnd w:id="149"/>
      <w:bookmarkEnd w:id="150"/>
      <w:bookmarkEnd w:id="151"/>
      <w:bookmarkEnd w:id="152"/>
      <w:bookmarkEnd w:id="153"/>
      <w:bookmarkEnd w:id="154"/>
    </w:p>
    <w:p>
      <w:pPr>
        <w:keepNext w:val="0"/>
        <w:keepLines w:val="0"/>
        <w:pageBreakBefore w:val="0"/>
        <w:widowControl/>
        <w:kinsoku/>
        <w:wordWrap/>
        <w:overflowPunct/>
        <w:topLinePunct w:val="0"/>
        <w:autoSpaceDE/>
        <w:autoSpaceDN/>
        <w:bidi w:val="0"/>
        <w:spacing w:line="440" w:lineRule="exact"/>
        <w:ind w:firstLine="562" w:firstLineChars="200"/>
        <w:jc w:val="left"/>
        <w:textAlignment w:val="auto"/>
        <w:outlineLvl w:val="9"/>
        <w:rPr>
          <w:rFonts w:hint="eastAsia" w:ascii="仿宋" w:hAnsi="仿宋" w:eastAsia="仿宋" w:cs="仿宋"/>
          <w:spacing w:val="15"/>
          <w:kern w:val="0"/>
          <w:sz w:val="24"/>
          <w:szCs w:val="24"/>
          <w:highlight w:val="none"/>
          <w:lang w:eastAsia="zh-CN"/>
        </w:rPr>
      </w:pPr>
      <w:r>
        <w:rPr>
          <w:rFonts w:hint="eastAsia" w:ascii="仿宋" w:hAnsi="仿宋" w:eastAsia="仿宋" w:cs="仿宋"/>
          <w:spacing w:val="15"/>
          <w:kern w:val="0"/>
          <w:sz w:val="24"/>
          <w:szCs w:val="24"/>
          <w:highlight w:val="none"/>
          <w:lang w:eastAsia="zh-CN"/>
        </w:rPr>
        <w:t>1</w:t>
      </w:r>
      <w:r>
        <w:rPr>
          <w:rFonts w:hint="eastAsia" w:ascii="仿宋" w:hAnsi="仿宋" w:eastAsia="仿宋" w:cs="仿宋"/>
          <w:spacing w:val="15"/>
          <w:kern w:val="0"/>
          <w:sz w:val="24"/>
          <w:szCs w:val="24"/>
          <w:highlight w:val="none"/>
          <w:lang w:val="en-US" w:eastAsia="zh-CN"/>
        </w:rPr>
        <w:t>.</w:t>
      </w:r>
      <w:r>
        <w:rPr>
          <w:rFonts w:hint="eastAsia" w:ascii="仿宋" w:hAnsi="仿宋" w:eastAsia="仿宋" w:cs="仿宋"/>
          <w:spacing w:val="15"/>
          <w:kern w:val="0"/>
          <w:sz w:val="24"/>
          <w:szCs w:val="24"/>
          <w:highlight w:val="none"/>
          <w:lang w:eastAsia="zh-CN"/>
        </w:rPr>
        <w:t>本合同经双方代表签字加盖公章后生效。</w:t>
      </w:r>
    </w:p>
    <w:p>
      <w:pPr>
        <w:keepNext w:val="0"/>
        <w:keepLines w:val="0"/>
        <w:pageBreakBefore w:val="0"/>
        <w:widowControl/>
        <w:kinsoku/>
        <w:wordWrap/>
        <w:overflowPunct/>
        <w:topLinePunct w:val="0"/>
        <w:autoSpaceDE/>
        <w:autoSpaceDN/>
        <w:bidi w:val="0"/>
        <w:spacing w:line="440" w:lineRule="exact"/>
        <w:ind w:firstLine="562" w:firstLineChars="200"/>
        <w:jc w:val="left"/>
        <w:textAlignment w:val="auto"/>
        <w:outlineLvl w:val="9"/>
        <w:rPr>
          <w:rFonts w:hint="eastAsia" w:ascii="仿宋" w:hAnsi="仿宋" w:eastAsia="仿宋" w:cs="仿宋"/>
          <w:spacing w:val="15"/>
          <w:kern w:val="0"/>
          <w:sz w:val="24"/>
          <w:szCs w:val="24"/>
          <w:highlight w:val="none"/>
          <w:lang w:eastAsia="zh-CN"/>
        </w:rPr>
      </w:pPr>
      <w:r>
        <w:rPr>
          <w:rFonts w:hint="eastAsia" w:ascii="仿宋" w:hAnsi="仿宋" w:eastAsia="仿宋" w:cs="仿宋"/>
          <w:spacing w:val="15"/>
          <w:kern w:val="0"/>
          <w:sz w:val="24"/>
          <w:szCs w:val="24"/>
          <w:highlight w:val="none"/>
          <w:lang w:eastAsia="zh-CN"/>
        </w:rPr>
        <w:t>2</w:t>
      </w:r>
      <w:r>
        <w:rPr>
          <w:rFonts w:hint="eastAsia" w:ascii="仿宋" w:hAnsi="仿宋" w:eastAsia="仿宋" w:cs="仿宋"/>
          <w:spacing w:val="15"/>
          <w:kern w:val="0"/>
          <w:sz w:val="24"/>
          <w:szCs w:val="24"/>
          <w:highlight w:val="none"/>
          <w:lang w:val="en-US" w:eastAsia="zh-CN"/>
        </w:rPr>
        <w:t>.</w:t>
      </w:r>
      <w:r>
        <w:rPr>
          <w:rFonts w:hint="eastAsia" w:ascii="仿宋" w:hAnsi="仿宋" w:eastAsia="仿宋" w:cs="仿宋"/>
          <w:spacing w:val="15"/>
          <w:kern w:val="0"/>
          <w:sz w:val="24"/>
          <w:szCs w:val="24"/>
          <w:highlight w:val="none"/>
          <w:lang w:eastAsia="zh-CN"/>
        </w:rPr>
        <w:t>本合同一式</w:t>
      </w:r>
      <w:r>
        <w:rPr>
          <w:rFonts w:hint="eastAsia" w:ascii="仿宋" w:hAnsi="仿宋" w:eastAsia="仿宋" w:cs="仿宋"/>
          <w:spacing w:val="15"/>
          <w:kern w:val="0"/>
          <w:sz w:val="24"/>
          <w:szCs w:val="24"/>
          <w:highlight w:val="none"/>
          <w:u w:val="single"/>
          <w:lang w:val="en-US" w:eastAsia="zh-CN"/>
        </w:rPr>
        <w:t xml:space="preserve">   </w:t>
      </w:r>
      <w:r>
        <w:rPr>
          <w:rFonts w:hint="eastAsia" w:ascii="仿宋" w:hAnsi="仿宋" w:eastAsia="仿宋" w:cs="仿宋"/>
          <w:spacing w:val="15"/>
          <w:kern w:val="0"/>
          <w:sz w:val="24"/>
          <w:szCs w:val="24"/>
          <w:highlight w:val="none"/>
          <w:lang w:eastAsia="zh-CN"/>
        </w:rPr>
        <w:t>份，甲方</w:t>
      </w:r>
      <w:r>
        <w:rPr>
          <w:rFonts w:hint="eastAsia" w:ascii="仿宋" w:hAnsi="仿宋" w:eastAsia="仿宋" w:cs="仿宋"/>
          <w:spacing w:val="15"/>
          <w:kern w:val="0"/>
          <w:sz w:val="24"/>
          <w:szCs w:val="24"/>
          <w:highlight w:val="none"/>
          <w:u w:val="single"/>
          <w:lang w:val="en-US" w:eastAsia="zh-CN"/>
        </w:rPr>
        <w:t xml:space="preserve">   </w:t>
      </w:r>
      <w:r>
        <w:rPr>
          <w:rFonts w:hint="eastAsia" w:ascii="仿宋" w:hAnsi="仿宋" w:eastAsia="仿宋" w:cs="仿宋"/>
          <w:spacing w:val="15"/>
          <w:kern w:val="0"/>
          <w:sz w:val="24"/>
          <w:szCs w:val="24"/>
          <w:highlight w:val="none"/>
          <w:lang w:eastAsia="zh-CN"/>
        </w:rPr>
        <w:t>份、乙方</w:t>
      </w:r>
      <w:r>
        <w:rPr>
          <w:rFonts w:hint="eastAsia" w:ascii="仿宋" w:hAnsi="仿宋" w:eastAsia="仿宋" w:cs="仿宋"/>
          <w:spacing w:val="15"/>
          <w:kern w:val="0"/>
          <w:sz w:val="24"/>
          <w:szCs w:val="24"/>
          <w:highlight w:val="none"/>
          <w:u w:val="single"/>
          <w:lang w:val="en-US" w:eastAsia="zh-CN"/>
        </w:rPr>
        <w:t xml:space="preserve">   </w:t>
      </w:r>
      <w:r>
        <w:rPr>
          <w:rFonts w:hint="eastAsia" w:ascii="仿宋" w:hAnsi="仿宋" w:eastAsia="仿宋" w:cs="仿宋"/>
          <w:spacing w:val="15"/>
          <w:kern w:val="0"/>
          <w:sz w:val="24"/>
          <w:szCs w:val="24"/>
          <w:highlight w:val="none"/>
          <w:lang w:eastAsia="zh-CN"/>
        </w:rPr>
        <w:t>份。</w:t>
      </w:r>
    </w:p>
    <w:p>
      <w:pPr>
        <w:keepNext w:val="0"/>
        <w:keepLines w:val="0"/>
        <w:pageBreakBefore w:val="0"/>
        <w:widowControl/>
        <w:kinsoku/>
        <w:wordWrap/>
        <w:overflowPunct/>
        <w:topLinePunct w:val="0"/>
        <w:autoSpaceDE/>
        <w:autoSpaceDN/>
        <w:bidi w:val="0"/>
        <w:spacing w:line="440" w:lineRule="exact"/>
        <w:ind w:firstLine="562" w:firstLineChars="200"/>
        <w:jc w:val="left"/>
        <w:textAlignment w:val="auto"/>
        <w:outlineLvl w:val="9"/>
        <w:rPr>
          <w:rFonts w:hint="eastAsia" w:ascii="仿宋" w:hAnsi="仿宋" w:eastAsia="仿宋" w:cs="仿宋"/>
          <w:spacing w:val="15"/>
          <w:kern w:val="0"/>
          <w:szCs w:val="32"/>
          <w:highlight w:val="none"/>
          <w:lang w:eastAsia="zh-CN"/>
        </w:rPr>
      </w:pPr>
      <w:r>
        <w:rPr>
          <w:rFonts w:hint="eastAsia" w:ascii="仿宋" w:hAnsi="仿宋" w:eastAsia="仿宋" w:cs="仿宋"/>
          <w:spacing w:val="15"/>
          <w:kern w:val="0"/>
          <w:sz w:val="24"/>
          <w:szCs w:val="24"/>
          <w:highlight w:val="none"/>
          <w:lang w:val="en-US" w:eastAsia="zh-CN"/>
        </w:rPr>
        <w:t>3.</w:t>
      </w:r>
      <w:r>
        <w:rPr>
          <w:rFonts w:hint="eastAsia" w:ascii="仿宋" w:hAnsi="仿宋" w:eastAsia="仿宋" w:cs="仿宋"/>
          <w:spacing w:val="15"/>
          <w:kern w:val="0"/>
          <w:sz w:val="24"/>
          <w:szCs w:val="24"/>
          <w:highlight w:val="none"/>
          <w:lang w:eastAsia="zh-CN"/>
        </w:rPr>
        <w:t>本合同未尽事宜，双方协商解决，发生纠纷时如双方协商不成可申请甲方所在地人民法院裁决。</w:t>
      </w:r>
    </w:p>
    <w:p>
      <w:pPr>
        <w:adjustRightInd w:val="0"/>
        <w:snapToGrid w:val="0"/>
        <w:spacing w:line="360" w:lineRule="auto"/>
        <w:ind w:firstLine="502"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需方（公章）:                     供方(公章):</w:t>
      </w:r>
    </w:p>
    <w:p>
      <w:pPr>
        <w:adjustRightInd w:val="0"/>
        <w:snapToGrid w:val="0"/>
        <w:spacing w:line="360" w:lineRule="auto"/>
        <w:ind w:firstLine="502"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法定代表人或授权代表人(签字):     法定代表人或授权代表人(签字):</w:t>
      </w:r>
    </w:p>
    <w:p>
      <w:pPr>
        <w:adjustRightInd w:val="0"/>
        <w:snapToGrid w:val="0"/>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地址：                            地址：</w:t>
      </w:r>
    </w:p>
    <w:p>
      <w:pPr>
        <w:adjustRightInd w:val="0"/>
        <w:snapToGrid w:val="0"/>
        <w:spacing w:line="360" w:lineRule="auto"/>
        <w:ind w:firstLine="502"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联系人：                          联系人：</w:t>
      </w:r>
    </w:p>
    <w:p>
      <w:pPr>
        <w:adjustRightInd w:val="0"/>
        <w:snapToGrid w:val="0"/>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电话：                            电话：</w:t>
      </w:r>
    </w:p>
    <w:p>
      <w:pPr>
        <w:adjustRightInd w:val="0"/>
        <w:snapToGrid w:val="0"/>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传真：                            传真：</w:t>
      </w:r>
    </w:p>
    <w:p>
      <w:pPr>
        <w:adjustRightInd w:val="0"/>
        <w:snapToGrid w:val="0"/>
        <w:spacing w:line="360" w:lineRule="auto"/>
        <w:ind w:firstLine="502" w:firstLineChars="200"/>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邮编：                            邮编：</w:t>
      </w:r>
    </w:p>
    <w:p>
      <w:pPr>
        <w:adjustRightInd w:val="0"/>
        <w:snapToGrid w:val="0"/>
        <w:spacing w:line="360" w:lineRule="auto"/>
        <w:ind w:firstLine="502" w:firstLineChars="200"/>
        <w:outlineLvl w:val="9"/>
        <w:rPr>
          <w:rFonts w:hint="eastAsia" w:ascii="仿宋" w:hAnsi="仿宋" w:eastAsia="仿宋" w:cs="仿宋"/>
          <w:sz w:val="24"/>
          <w:szCs w:val="24"/>
          <w:highlight w:val="none"/>
        </w:rPr>
        <w:sectPr>
          <w:headerReference r:id="rId12" w:type="first"/>
          <w:footerReference r:id="rId14" w:type="first"/>
          <w:footerReference r:id="rId13" w:type="default"/>
          <w:pgSz w:w="11906" w:h="16838"/>
          <w:pgMar w:top="1440" w:right="1519" w:bottom="1440" w:left="1519" w:header="850" w:footer="850" w:gutter="0"/>
          <w:pgNumType w:fmt="numberInDash" w:start="25"/>
          <w:cols w:space="720" w:num="1"/>
          <w:titlePg/>
          <w:docGrid w:type="linesAndChars" w:linePitch="385" w:charSpace="2396"/>
        </w:sect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月      日</w:t>
      </w: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rPr>
        <w:t xml:space="preserve">       年      月    </w:t>
      </w:r>
      <w:r>
        <w:rPr>
          <w:rFonts w:hint="eastAsia" w:ascii="仿宋" w:hAnsi="仿宋" w:eastAsia="仿宋" w:cs="仿宋"/>
          <w:sz w:val="24"/>
          <w:szCs w:val="24"/>
          <w:highlight w:val="none"/>
          <w:u w:val="single"/>
          <w:lang w:val="en-US" w:eastAsia="zh-CN"/>
        </w:rPr>
        <w:t>日</w:t>
      </w:r>
      <w:r>
        <w:rPr>
          <w:rFonts w:hint="eastAsia" w:ascii="仿宋" w:hAnsi="仿宋" w:eastAsia="仿宋" w:cs="仿宋"/>
          <w:sz w:val="24"/>
          <w:szCs w:val="24"/>
          <w:highlight w:val="none"/>
          <w:u w:val="single"/>
        </w:rPr>
        <w:t xml:space="preserve"> </w:t>
      </w:r>
    </w:p>
    <w:p>
      <w:pPr>
        <w:jc w:val="center"/>
        <w:rPr>
          <w:rFonts w:hint="eastAsia" w:ascii="仿宋" w:hAnsi="仿宋" w:eastAsia="仿宋" w:cs="仿宋"/>
          <w:b/>
          <w:bCs/>
          <w:color w:val="auto"/>
          <w:kern w:val="2"/>
          <w:sz w:val="36"/>
          <w:szCs w:val="36"/>
          <w:highlight w:val="none"/>
          <w:lang w:val="en-US" w:eastAsia="zh-CN" w:bidi="ar-SA"/>
        </w:rPr>
      </w:pPr>
      <w:bookmarkStart w:id="155" w:name="_Toc18360"/>
      <w:bookmarkStart w:id="156" w:name="_Toc21558"/>
      <w:bookmarkStart w:id="157" w:name="_Toc25245"/>
      <w:r>
        <w:rPr>
          <w:rFonts w:hint="eastAsia" w:ascii="仿宋" w:hAnsi="仿宋" w:eastAsia="仿宋" w:cs="仿宋"/>
          <w:b/>
          <w:bCs/>
          <w:color w:val="auto"/>
          <w:kern w:val="2"/>
          <w:sz w:val="36"/>
          <w:szCs w:val="36"/>
          <w:highlight w:val="none"/>
          <w:lang w:val="en-US" w:eastAsia="zh-CN" w:bidi="ar-SA"/>
        </w:rPr>
        <w:t xml:space="preserve">第五章  </w:t>
      </w:r>
      <w:bookmarkEnd w:id="155"/>
      <w:bookmarkEnd w:id="156"/>
      <w:r>
        <w:rPr>
          <w:rFonts w:hint="eastAsia" w:ascii="仿宋" w:hAnsi="仿宋" w:eastAsia="仿宋" w:cs="仿宋"/>
          <w:b/>
          <w:bCs/>
          <w:color w:val="auto"/>
          <w:kern w:val="2"/>
          <w:sz w:val="36"/>
          <w:szCs w:val="36"/>
          <w:highlight w:val="none"/>
          <w:lang w:val="en-US" w:eastAsia="zh-CN" w:bidi="ar-SA"/>
        </w:rPr>
        <w:t>评审办法</w:t>
      </w:r>
      <w:bookmarkEnd w:id="157"/>
    </w:p>
    <w:bookmarkEnd w:id="74"/>
    <w:bookmarkEnd w:id="75"/>
    <w:bookmarkEnd w:id="76"/>
    <w:bookmarkEnd w:id="82"/>
    <w:bookmarkEnd w:id="83"/>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1.磋商方法</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1.1磋商方法：按照《中华人民共和国政府采购法》、《中华人民共和国政府采购法实施条例》和</w:t>
      </w:r>
      <w:r>
        <w:rPr>
          <w:rFonts w:hint="eastAsia" w:ascii="仿宋" w:hAnsi="仿宋" w:eastAsia="仿宋" w:cs="仿宋"/>
          <w:color w:val="auto"/>
          <w:kern w:val="0"/>
          <w:sz w:val="24"/>
          <w:szCs w:val="24"/>
          <w:highlight w:val="none"/>
        </w:rPr>
        <w:t>《政府采购竞争性磋商采购方式管理暂行办法》的规定</w:t>
      </w:r>
      <w:r>
        <w:rPr>
          <w:rFonts w:hint="eastAsia" w:ascii="仿宋" w:hAnsi="仿宋" w:eastAsia="仿宋" w:cs="仿宋"/>
          <w:color w:val="auto"/>
          <w:sz w:val="24"/>
          <w:szCs w:val="24"/>
          <w:highlight w:val="none"/>
        </w:rPr>
        <w:t>，竞争性磋商小组采用综合评分法对提交最后报价的供应商的响应文件和最后报价进行综合评分，按照评审得分由高到低顺序推荐3名成交候选供应商。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2.磋商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2.2.1要严格遵守政府采购相关法律制度，依法履行各自职责，公正、客观、审慎地组织和参与评审工作；</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2.2.2对磋商响应文件进行资格性、符合性检查，并做出评价；</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2.2.3按竞争性磋商采购邀请书规定的评审方法和标准，进行比较和评价；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2.2.4要求磋商供应商对磋商响应文件有关事项作出解释或澄清；</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2.2.5要依法独立评审，按照竞争性磋商采购邀请书的要求和评标标准进行评标，推荐成交候选供应商名单，对评审意见承担个人责任；</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2.2.6对需要共同认定的事项存在争议的，按照少数服从多数原则做出结论。持不同意见的磋商小组成员应当在评审报告上签署不同意见并说明理由，否则视为同意；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2.2.7对评审情况以及在评审过程中获悉的国家秘密、商业秘密负有保密责任；</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2.2.8配合财政部门的投诉处理工作；</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2.2.9配合采购人、采购代理机构答复磋商供应商提出的质疑。</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3.磋商响应文件的初审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审查分为资格性检查和符合性检查。分别按照以下内容对响应文件进行检查，一项不合格即按照无效磋商处理。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响应文件审查合格的为实质性响应磋商文件要求的供应商。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3.1资格性检查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由采购人审查</w:t>
      </w:r>
      <w:r>
        <w:rPr>
          <w:rFonts w:hint="eastAsia" w:ascii="仿宋" w:hAnsi="仿宋" w:eastAsia="仿宋" w:cs="仿宋"/>
          <w:b/>
          <w:bCs/>
          <w:color w:val="auto"/>
          <w:sz w:val="24"/>
          <w:szCs w:val="24"/>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2、财务状况报告：提供具有财务审计资质单位出具的</w:t>
      </w:r>
      <w:r>
        <w:rPr>
          <w:rFonts w:hint="eastAsia" w:ascii="仿宋" w:hAnsi="仿宋" w:eastAsia="仿宋" w:cs="仿宋"/>
          <w:highlight w:val="none"/>
          <w:lang w:eastAsia="zh-CN"/>
        </w:rPr>
        <w:t>（2020 年或 2021年）</w:t>
      </w:r>
      <w:r>
        <w:rPr>
          <w:rFonts w:hint="eastAsia" w:ascii="仿宋" w:hAnsi="仿宋" w:eastAsia="仿宋" w:cs="仿宋"/>
          <w:highlight w:val="none"/>
        </w:rPr>
        <w:t>年度财务报告或</w:t>
      </w:r>
      <w:r>
        <w:rPr>
          <w:rFonts w:hint="eastAsia" w:ascii="仿宋" w:hAnsi="仿宋" w:eastAsia="仿宋" w:cs="仿宋"/>
          <w:highlight w:val="none"/>
          <w:lang w:eastAsia="zh-CN"/>
        </w:rPr>
        <w:t>磋商</w:t>
      </w:r>
      <w:r>
        <w:rPr>
          <w:rFonts w:hint="eastAsia" w:ascii="仿宋" w:hAnsi="仿宋" w:eastAsia="仿宋" w:cs="仿宋"/>
          <w:highlight w:val="none"/>
          <w:lang w:val="en-US" w:eastAsia="zh-CN"/>
        </w:rPr>
        <w:t>截止时间</w:t>
      </w:r>
      <w:r>
        <w:rPr>
          <w:rFonts w:hint="eastAsia" w:ascii="仿宋" w:hAnsi="仿宋" w:eastAsia="仿宋" w:cs="仿宋"/>
          <w:highlight w:val="none"/>
          <w:lang w:eastAsia="zh-CN"/>
        </w:rPr>
        <w:t>前</w:t>
      </w:r>
      <w:r>
        <w:rPr>
          <w:rFonts w:hint="eastAsia" w:ascii="仿宋" w:hAnsi="仿宋" w:eastAsia="仿宋" w:cs="仿宋"/>
          <w:highlight w:val="none"/>
        </w:rPr>
        <w:t xml:space="preserve">六个月内其基本账户银行出具的资信证明;其他组织和自然人提供银行出具的资信证明或财务报表；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3、社会保障资金缴纳证明：提供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截止时间前六个月内已缴存的任意</w:t>
      </w:r>
      <w:r>
        <w:rPr>
          <w:rFonts w:hint="eastAsia" w:ascii="仿宋" w:hAnsi="仿宋" w:eastAsia="仿宋" w:cs="仿宋"/>
          <w:highlight w:val="none"/>
          <w:lang w:val="en-US" w:eastAsia="zh-CN"/>
        </w:rPr>
        <w:t>一个月</w:t>
      </w:r>
      <w:r>
        <w:rPr>
          <w:rFonts w:hint="eastAsia" w:ascii="仿宋" w:hAnsi="仿宋" w:eastAsia="仿宋" w:cs="仿宋"/>
          <w:highlight w:val="none"/>
        </w:rPr>
        <w:t xml:space="preserve">的社会保障资金缴存单据或社保机构开具的社会保险参保缴费情况证明；依法不需要缴纳社会保障资金的应提供相关文件证明；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4、税收缴纳证明：提供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截止时间前六个月内已缴纳任意</w:t>
      </w:r>
      <w:r>
        <w:rPr>
          <w:rFonts w:hint="eastAsia" w:ascii="仿宋" w:hAnsi="仿宋" w:eastAsia="仿宋" w:cs="仿宋"/>
          <w:highlight w:val="none"/>
          <w:lang w:val="en-US" w:eastAsia="zh-CN"/>
        </w:rPr>
        <w:t>一个月</w:t>
      </w:r>
      <w:r>
        <w:rPr>
          <w:rFonts w:hint="eastAsia" w:ascii="仿宋" w:hAnsi="仿宋" w:eastAsia="仿宋" w:cs="仿宋"/>
          <w:highlight w:val="none"/>
        </w:rPr>
        <w:t>完税凭证或税务机关开具的完税证明（任意税种）；其他组织提供</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截止时间前六个月内缴纳税收的凭据；依法免税的应提供相关文件证明；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5、提供具有履行本合同所必需的专业技术能力的声明；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6、参加本次政府采购活动前3年内在经营活动中没有重大违纪，以及未被列入失信被执行人、重大税收违法案件当事人名单、政府采购严重违法失信行为记录名单的书面声明；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rPr>
        <w:t>的，须出具法人身份证,并与营业执照上信息一致；法定代表人授权代表参加</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的，须出具法定代表人授权书及授权代表身份证；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以代理机构现场查询为准</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9、</w:t>
      </w:r>
      <w:r>
        <w:rPr>
          <w:rFonts w:hint="eastAsia" w:ascii="仿宋" w:hAnsi="仿宋" w:eastAsia="仿宋" w:cs="仿宋"/>
          <w:kern w:val="2"/>
          <w:sz w:val="24"/>
          <w:szCs w:val="24"/>
          <w:highlight w:val="none"/>
          <w:shd w:val="clear" w:color="auto" w:fill="FFFFFF"/>
          <w:lang w:val="en-US" w:eastAsia="zh-CN" w:bidi="ar-SA"/>
        </w:rPr>
        <w:t>本项目为专门面向中小企业采购项目，供应商应出具中小企业声明函。</w:t>
      </w: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ind w:firstLine="241" w:firstLineChars="100"/>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r>
        <w:rPr>
          <w:rFonts w:hint="eastAsia" w:ascii="仿宋" w:hAnsi="仿宋" w:eastAsia="仿宋" w:cs="仿宋"/>
          <w:b/>
          <w:bCs/>
          <w:color w:val="auto"/>
          <w:sz w:val="24"/>
          <w:szCs w:val="24"/>
          <w:highlight w:val="none"/>
        </w:rPr>
        <w:t>　</w:t>
      </w:r>
      <w:r>
        <w:rPr>
          <w:rFonts w:hint="eastAsia" w:ascii="仿宋" w:hAnsi="仿宋" w:eastAsia="仿宋" w:cs="仿宋"/>
          <w:color w:val="auto"/>
          <w:kern w:val="0"/>
          <w:sz w:val="24"/>
          <w:szCs w:val="24"/>
          <w:highlight w:val="none"/>
        </w:rPr>
        <w:t>　</w:t>
      </w:r>
      <w:r>
        <w:rPr>
          <w:rFonts w:hint="eastAsia" w:ascii="仿宋" w:hAnsi="仿宋" w:eastAsia="仿宋" w:cs="仿宋"/>
          <w:color w:val="auto"/>
          <w:sz w:val="24"/>
          <w:szCs w:val="24"/>
          <w:highlight w:val="none"/>
        </w:rPr>
        <w:t>　　　</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3.2符合性审查</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6"/>
        <w:tblW w:w="9064" w:type="dxa"/>
        <w:jc w:val="center"/>
        <w:tblLayout w:type="fixed"/>
        <w:tblCellMar>
          <w:top w:w="0" w:type="dxa"/>
          <w:left w:w="10" w:type="dxa"/>
          <w:bottom w:w="0" w:type="dxa"/>
          <w:right w:w="10" w:type="dxa"/>
        </w:tblCellMar>
      </w:tblPr>
      <w:tblGrid>
        <w:gridCol w:w="681"/>
        <w:gridCol w:w="2929"/>
        <w:gridCol w:w="5454"/>
      </w:tblGrid>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供应商名称和公章、营业执照一致</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完整无缺项，无选择性报价</w:t>
            </w:r>
            <w:r>
              <w:rPr>
                <w:rFonts w:hint="eastAsia" w:ascii="仿宋" w:hAnsi="仿宋" w:eastAsia="仿宋" w:cs="仿宋"/>
                <w:color w:val="auto"/>
                <w:sz w:val="24"/>
                <w:szCs w:val="24"/>
                <w:highlight w:val="none"/>
                <w:lang w:eastAsia="zh-CN"/>
              </w:rPr>
              <w:t>；</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自磋商之日起不少于90个日历日</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响应文件的签字盖章合格有效；</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lang w:val="en-US" w:eastAsia="zh-CN"/>
              </w:rPr>
              <w:t>份数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与采购内容一致</w:t>
            </w:r>
          </w:p>
        </w:tc>
      </w:tr>
    </w:tbl>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说明：以上各项有1项不合格，评审不予通过，作为未实质性响应磋商文件。在资格性、符合性检查时，审查未通过的，不得进入后续评审环节。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3.2.2有下列情形之一的，视为供应商串通磋商，磋商小组应当认定其响应文件无效：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不同供应商委托同一单位或者个人办理磋商事宜；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（3）不同供应商的响应文件异常一致或者磋商报价呈规律性差异；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（4）不同供应商的响应文件相互混装；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（5）不同供应商的磋商保证金从同一单位或者个人的账户转出。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3.2.3出现下列情况之一者（但不限于），磋商小组应按无效响应文件处理：</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供应商的磋商报价超过采购预算的；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供应商未经过正常渠道购买磋商文件，或供应商名称与购买磋商文件时登记的供应商名称不符的；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供应商不具备资格条件的；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实质性内容不满足或未响应的（包括但不限于：</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、付款方式、主要技术指标等）；</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响应文件的有效性和符合性不符合要求的；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供应商未按磋商文件要求签字、加盖公章的；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响应文件有涂改，涂改处未按磋商文件要求签字的；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无磋商有效期或有效期不符合磋商文件要求的；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供应商针对同一项目递交两份或多份内容不同的响应文件，未书面声明哪一份是有效的或出现选择性报价的；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提供虚假资质、虚假证明（包括第三方提供的虚假证明）、出现虚假应答的，除按无效响应文件处理外，还将按照政府采购的有关规定进行处罚；</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响应文件附加了采购人难以接受的条件或条款的；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供应商前期参与了本次项目方案设计的；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在政府采购或其它重大项目履约过程中有不良记录，未能按期履约的；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磋商报价与市场价格偏离较大、低于成本、磋商小组认为形成不正当竞争的，且在规定时间内无法提供有效书面证明；</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报价子目出现漏项或报价数量与磋商文件要求不符的；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磋商项目的技术参数与磋商文件要求出现重大负偏差的或技术指标有漏项的；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提供虚假技术参数；</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供应商未按磋商文件要求提交磋商保证金的；</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8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不符合法律、法规和磋商文件中规定的其他无效情形。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4.磋商澄清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4.1磋商小组有权就磋商响应文件中含混之处向上述步骤初审合格的磋商供应商提出询问或澄清要求；磋商供应商将有关询标澄清、补正、说明的内容应以书面形式提交；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4.2竞争性磋商公告、磋商响应文件作为磋商的依据，澄清、补正、说明的内容只作为磋商参考。磋商澄清时磋商供应商只作说明和解释，不得借此对磋商报价、</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、主要技术指标等实质性内容做任何修改；如澄清、补正、说明的内容与磋商响应文件内容有重大相悖或矛盾，将被认定为无效文件；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4.3磋商供应商对磋商响应文件的澄清不得改变磋商报价及实质内容。磋商时，磋商响应文件中出现下列情况，修正原则为：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（1）磋商响应文件中响应报价表内容与磋商响应文件中明细内容不一致的，以响应报价表为准；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（2）磋商报价的大写金额和小写金额不一致的，以大写金额为准；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（4）单价金额小数点有明显错位的，以总价为准，并修改单价；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（5）磋商响应文件正本与副本不一致的，以正本为准；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（6）多处内容交叉不符时，以磋商小组成员会评审结果为准；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（7）文字与图表不符时以文字为准；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5.评审方法及内容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5.2磋商小组根据以下内容进行综合比较，自主打分，按最后得分由高到低汇总排序，推荐成交候选3名供应商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若项目划分标段，则</w:t>
      </w:r>
      <w:r>
        <w:rPr>
          <w:rFonts w:hint="eastAsia" w:ascii="仿宋" w:hAnsi="仿宋" w:eastAsia="仿宋" w:cs="仿宋"/>
          <w:color w:val="auto"/>
          <w:sz w:val="24"/>
          <w:szCs w:val="24"/>
          <w:highlight w:val="none"/>
        </w:rPr>
        <w:t>以标段为单位分别推荐成交候选3名供应商；磋商小组根据磋商结果写出磋商意见。</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5.3评审指标分值构成（总计100分）</w:t>
      </w:r>
    </w:p>
    <w:tbl>
      <w:tblPr>
        <w:tblStyle w:val="26"/>
        <w:tblpPr w:leftFromText="180" w:rightFromText="180" w:vertAnchor="text" w:horzAnchor="page" w:tblpX="1244" w:tblpY="77"/>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835"/>
        <w:gridCol w:w="7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117" w:type="pct"/>
            <w:gridSpan w:val="2"/>
            <w:noWrap w:val="0"/>
            <w:vAlign w:val="top"/>
          </w:tcPr>
          <w:p>
            <w:pPr>
              <w:keepNext w:val="0"/>
              <w:keepLines w:val="0"/>
              <w:pageBreakBefore w:val="0"/>
              <w:kinsoku/>
              <w:wordWrap/>
              <w:overflowPunct/>
              <w:topLinePunct w:val="0"/>
              <w:autoSpaceDE/>
              <w:autoSpaceDN/>
              <w:bidi w:val="0"/>
              <w:adjustRightInd/>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rPr>
              <w:t>评审要素及分值</w:t>
            </w:r>
          </w:p>
        </w:tc>
        <w:tc>
          <w:tcPr>
            <w:tcW w:w="3882" w:type="pct"/>
            <w:noWrap w:val="0"/>
            <w:vAlign w:val="top"/>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报价部分</w:t>
            </w:r>
          </w:p>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10分</w:t>
            </w:r>
          </w:p>
        </w:tc>
        <w:tc>
          <w:tcPr>
            <w:tcW w:w="3882" w:type="pct"/>
            <w:noWrap w:val="0"/>
            <w:vAlign w:val="center"/>
          </w:tcPr>
          <w:p>
            <w:pPr>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满足磋商文件要求且</w:t>
            </w:r>
            <w:r>
              <w:rPr>
                <w:rFonts w:hint="eastAsia" w:ascii="仿宋" w:hAnsi="仿宋" w:eastAsia="仿宋" w:cs="仿宋"/>
                <w:color w:val="auto"/>
                <w:sz w:val="24"/>
                <w:szCs w:val="24"/>
                <w:highlight w:val="none"/>
                <w:lang w:val="en-US" w:eastAsia="zh-CN"/>
              </w:rPr>
              <w:t>磋商报价</w:t>
            </w:r>
            <w:r>
              <w:rPr>
                <w:rFonts w:hint="eastAsia" w:ascii="仿宋" w:hAnsi="仿宋" w:eastAsia="仿宋" w:cs="仿宋"/>
                <w:color w:val="auto"/>
                <w:sz w:val="24"/>
                <w:szCs w:val="24"/>
                <w:highlight w:val="none"/>
              </w:rPr>
              <w:t>价格最低的磋商报价为评标基准价，其价格分为满分。其他供应商的价格分统一按照下列公式计算：</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磋商报价得分=(评标基准价／磋商报价)×价格权值×100。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rPr>
              <w:t>符合磋商件规定的监狱企业、残疾人福利性单位优惠条件的供应商，价格给予6%的扣除，用扣除后的价格参与评审。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685" w:type="pct"/>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服务方案（40分）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15分</w:t>
            </w:r>
          </w:p>
        </w:tc>
        <w:tc>
          <w:tcPr>
            <w:tcW w:w="3882" w:type="pct"/>
            <w:noWrap w:val="0"/>
            <w:vAlign w:val="center"/>
          </w:tcPr>
          <w:p>
            <w:pPr>
              <w:adjustRightInd/>
              <w:snapToGrid/>
              <w:spacing w:line="324"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根据供应商的整体方案流程合理，人员分工明确、过程衔接得当、可行性，由评委横向对比后进行综合评价。</w:t>
            </w:r>
          </w:p>
          <w:p>
            <w:pPr>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bookmarkStart w:id="158" w:name="_Hlk50037149"/>
            <w:r>
              <w:rPr>
                <w:rFonts w:hint="eastAsia" w:ascii="仿宋" w:hAnsi="仿宋" w:eastAsia="仿宋" w:cs="仿宋"/>
                <w:color w:val="auto"/>
                <w:sz w:val="24"/>
                <w:szCs w:val="24"/>
                <w:highlight w:val="none"/>
              </w:rPr>
              <w:t>方案科学完善、流程合理</w:t>
            </w:r>
            <w:bookmarkEnd w:id="158"/>
            <w:r>
              <w:rPr>
                <w:rFonts w:hint="eastAsia" w:ascii="仿宋" w:hAnsi="仿宋" w:eastAsia="仿宋" w:cs="仿宋"/>
                <w:color w:val="auto"/>
                <w:sz w:val="24"/>
                <w:szCs w:val="24"/>
                <w:highlight w:val="none"/>
              </w:rPr>
              <w:t>，人员分工明确、过程衔接得当、可行性强，得</w:t>
            </w:r>
            <w:r>
              <w:rPr>
                <w:rFonts w:hint="eastAsia" w:ascii="仿宋" w:hAnsi="仿宋" w:eastAsia="仿宋" w:cs="仿宋"/>
                <w:color w:val="auto"/>
                <w:sz w:val="24"/>
                <w:szCs w:val="24"/>
                <w:highlight w:val="none"/>
                <w:lang w:val="en-US" w:eastAsia="zh-CN"/>
              </w:rPr>
              <w:t>10.1-15</w:t>
            </w:r>
            <w:r>
              <w:rPr>
                <w:rFonts w:hint="eastAsia" w:ascii="仿宋" w:hAnsi="仿宋" w:eastAsia="仿宋" w:cs="仿宋"/>
                <w:color w:val="auto"/>
                <w:sz w:val="24"/>
                <w:szCs w:val="24"/>
                <w:highlight w:val="none"/>
              </w:rPr>
              <w:t>分；②方案较科学完善、流程较合理，过程衔接一般，措施合理，可行性较好，得</w:t>
            </w:r>
            <w:r>
              <w:rPr>
                <w:rFonts w:hint="eastAsia" w:ascii="仿宋" w:hAnsi="仿宋" w:eastAsia="仿宋" w:cs="仿宋"/>
                <w:color w:val="auto"/>
                <w:sz w:val="24"/>
                <w:szCs w:val="24"/>
                <w:highlight w:val="none"/>
                <w:lang w:val="en-US" w:eastAsia="zh-CN"/>
              </w:rPr>
              <w:t>5.1-10</w:t>
            </w:r>
            <w:r>
              <w:rPr>
                <w:rFonts w:hint="eastAsia" w:ascii="仿宋" w:hAnsi="仿宋" w:eastAsia="仿宋" w:cs="仿宋"/>
                <w:color w:val="auto"/>
                <w:sz w:val="24"/>
                <w:szCs w:val="24"/>
                <w:highlight w:val="none"/>
              </w:rPr>
              <w:t>分；③方案流程不合理，过程衔接差及可行性较差，得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85" w:type="pct"/>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val="en-US" w:eastAsia="zh-CN"/>
              </w:rPr>
            </w:pP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15分</w:t>
            </w:r>
          </w:p>
        </w:tc>
        <w:tc>
          <w:tcPr>
            <w:tcW w:w="3882" w:type="pct"/>
            <w:noWrap w:val="0"/>
            <w:vAlign w:val="center"/>
          </w:tcPr>
          <w:p>
            <w:pPr>
              <w:numPr>
                <w:ilvl w:val="0"/>
                <w:numId w:val="0"/>
              </w:numPr>
              <w:ind w:left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rPr>
              <w:t>根据供应商提供的流程管理，分别针对电话辅助送达、电子送达服务、来院领取服务、邮寄送达服务、直接送达服务、公告送达服务设计业务流程，每种送达方式必须提供流程图；系统租赁功能实现，系统租赁功能必须满足信息修复、电话拨打、短信下发、邮寄送达、直接送达、直接送达、公告送达、在线存证与一键式归档、微信小程序服务等功能方案，由评委横向对比后进行综合评价。</w:t>
            </w:r>
          </w:p>
          <w:p>
            <w:pPr>
              <w:numPr>
                <w:ilvl w:val="0"/>
                <w:numId w:val="0"/>
              </w:numPr>
              <w:ind w:leftChars="0"/>
              <w:jc w:val="left"/>
              <w:rPr>
                <w:rFonts w:hint="eastAsia"/>
                <w:highlight w:val="none"/>
                <w:lang w:val="en-US" w:eastAsia="zh-CN"/>
              </w:rPr>
            </w:pPr>
            <w:r>
              <w:rPr>
                <w:rFonts w:hint="eastAsia" w:ascii="仿宋" w:hAnsi="仿宋" w:eastAsia="仿宋" w:cs="仿宋"/>
                <w:color w:val="auto"/>
                <w:szCs w:val="21"/>
                <w:highlight w:val="none"/>
              </w:rPr>
              <w:t>①方案科学完善、流程合理的，得</w:t>
            </w:r>
            <w:r>
              <w:rPr>
                <w:rFonts w:hint="eastAsia" w:ascii="仿宋" w:hAnsi="仿宋" w:eastAsia="仿宋" w:cs="仿宋"/>
                <w:color w:val="auto"/>
                <w:szCs w:val="21"/>
                <w:highlight w:val="none"/>
                <w:lang w:val="en-US" w:eastAsia="zh-CN"/>
              </w:rPr>
              <w:t>10.1-15</w:t>
            </w:r>
            <w:r>
              <w:rPr>
                <w:rFonts w:hint="eastAsia" w:ascii="仿宋" w:hAnsi="仿宋" w:eastAsia="仿宋" w:cs="仿宋"/>
                <w:color w:val="auto"/>
                <w:szCs w:val="21"/>
                <w:highlight w:val="none"/>
              </w:rPr>
              <w:t>分。②方案较科学完善、流程较合理的，得</w:t>
            </w:r>
            <w:r>
              <w:rPr>
                <w:rFonts w:hint="eastAsia" w:ascii="仿宋" w:hAnsi="仿宋" w:eastAsia="仿宋" w:cs="仿宋"/>
                <w:color w:val="auto"/>
                <w:szCs w:val="21"/>
                <w:highlight w:val="none"/>
                <w:lang w:val="en-US" w:eastAsia="zh-CN"/>
              </w:rPr>
              <w:t>5.1-10</w:t>
            </w:r>
            <w:r>
              <w:rPr>
                <w:rFonts w:hint="eastAsia" w:ascii="仿宋" w:hAnsi="仿宋" w:eastAsia="仿宋" w:cs="仿宋"/>
                <w:color w:val="auto"/>
                <w:szCs w:val="21"/>
                <w:highlight w:val="none"/>
              </w:rPr>
              <w:t>分。③方案流程不合理的，得</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10分</w:t>
            </w:r>
          </w:p>
        </w:tc>
        <w:tc>
          <w:tcPr>
            <w:tcW w:w="3882" w:type="pct"/>
            <w:noWrap w:val="0"/>
            <w:vAlign w:val="center"/>
          </w:tcPr>
          <w:p>
            <w:pPr>
              <w:adjustRightInd/>
              <w:snapToGrid/>
              <w:spacing w:line="324" w:lineRule="auto"/>
              <w:ind w:firstLine="0" w:firstLineChars="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根据供应商提供的集约化送达流程和各种送达方式质检方案，由评委横向对比后进行综合评价。</w:t>
            </w:r>
          </w:p>
          <w:p>
            <w:pPr>
              <w:pStyle w:val="12"/>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①方案科学完善、流程合理的，得</w:t>
            </w:r>
            <w:r>
              <w:rPr>
                <w:rFonts w:hint="eastAsia" w:ascii="仿宋" w:hAnsi="仿宋" w:eastAsia="仿宋" w:cs="仿宋"/>
                <w:bCs/>
                <w:color w:val="auto"/>
                <w:sz w:val="24"/>
                <w:szCs w:val="24"/>
                <w:highlight w:val="none"/>
                <w:lang w:val="en-US" w:eastAsia="zh-CN"/>
              </w:rPr>
              <w:t>7.1-10</w:t>
            </w:r>
            <w:r>
              <w:rPr>
                <w:rFonts w:hint="eastAsia" w:ascii="仿宋" w:hAnsi="仿宋" w:eastAsia="仿宋" w:cs="仿宋"/>
                <w:bCs/>
                <w:color w:val="auto"/>
                <w:sz w:val="24"/>
                <w:szCs w:val="24"/>
                <w:highlight w:val="none"/>
              </w:rPr>
              <w:t>分。②方案较科学完善、流程较合理的，得</w:t>
            </w:r>
            <w:r>
              <w:rPr>
                <w:rFonts w:hint="eastAsia" w:ascii="仿宋" w:hAnsi="仿宋" w:eastAsia="仿宋" w:cs="仿宋"/>
                <w:bCs/>
                <w:color w:val="auto"/>
                <w:sz w:val="24"/>
                <w:szCs w:val="24"/>
                <w:highlight w:val="none"/>
                <w:lang w:val="en-US" w:eastAsia="zh-CN"/>
              </w:rPr>
              <w:t>3.1-7</w:t>
            </w:r>
            <w:r>
              <w:rPr>
                <w:rFonts w:hint="eastAsia" w:ascii="仿宋" w:hAnsi="仿宋" w:eastAsia="仿宋" w:cs="仿宋"/>
                <w:bCs/>
                <w:color w:val="auto"/>
                <w:sz w:val="24"/>
                <w:szCs w:val="24"/>
                <w:highlight w:val="none"/>
              </w:rPr>
              <w:t>分。③方案流程不合理的，得</w:t>
            </w:r>
            <w:r>
              <w:rPr>
                <w:rFonts w:hint="eastAsia" w:ascii="仿宋" w:hAnsi="仿宋" w:eastAsia="仿宋" w:cs="仿宋"/>
                <w:bCs/>
                <w:color w:val="auto"/>
                <w:sz w:val="24"/>
                <w:szCs w:val="24"/>
                <w:highlight w:val="none"/>
                <w:lang w:val="en-US" w:eastAsia="zh-CN"/>
              </w:rPr>
              <w:t>0-3</w:t>
            </w:r>
            <w:r>
              <w:rPr>
                <w:rFonts w:hint="eastAsia" w:ascii="仿宋" w:hAnsi="仿宋" w:eastAsia="仿宋" w:cs="仿宋"/>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人员配备</w:t>
            </w:r>
          </w:p>
          <w:p>
            <w:pPr>
              <w:pStyle w:val="3"/>
              <w:rPr>
                <w:rFonts w:hint="default"/>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（10分）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3分</w:t>
            </w:r>
          </w:p>
        </w:tc>
        <w:tc>
          <w:tcPr>
            <w:tcW w:w="3882" w:type="pct"/>
            <w:noWrap w:val="0"/>
            <w:vAlign w:val="center"/>
          </w:tcPr>
          <w:p>
            <w:pPr>
              <w:pStyle w:val="3"/>
              <w:numPr>
                <w:ilvl w:val="0"/>
                <w:numId w:val="8"/>
              </w:numPr>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项目经理：</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000000" w:themeColor="text1"/>
                <w:highlight w:val="none"/>
                <w:lang w:val="en-US" w:eastAsia="zh-CN"/>
                <w14:textFill>
                  <w14:solidFill>
                    <w14:schemeClr w14:val="tx1"/>
                  </w14:solidFill>
                </w14:textFill>
              </w:rPr>
              <w:t>拟任项目经理具有</w:t>
            </w:r>
            <w:r>
              <w:rPr>
                <w:rFonts w:hint="eastAsia" w:ascii="仿宋" w:hAnsi="仿宋" w:eastAsia="仿宋" w:cs="仿宋"/>
                <w:color w:val="000000" w:themeColor="text1"/>
                <w:highlight w:val="none"/>
                <w:lang w:eastAsia="zh-Hans"/>
                <w14:textFill>
                  <w14:solidFill>
                    <w14:schemeClr w14:val="tx1"/>
                  </w14:solidFill>
                </w14:textFill>
              </w:rPr>
              <w:t>高等教育法学专业</w:t>
            </w:r>
            <w:r>
              <w:rPr>
                <w:rFonts w:hint="eastAsia" w:ascii="仿宋" w:hAnsi="仿宋" w:eastAsia="仿宋" w:cs="仿宋"/>
                <w:color w:val="000000" w:themeColor="text1"/>
                <w:highlight w:val="none"/>
                <w:lang w:val="en-US" w:eastAsia="zh-CN"/>
                <w14:textFill>
                  <w14:solidFill>
                    <w14:schemeClr w14:val="tx1"/>
                  </w14:solidFill>
                </w14:textFill>
              </w:rPr>
              <w:t>本科学历以上，得1分，</w:t>
            </w:r>
            <w:r>
              <w:rPr>
                <w:rFonts w:hint="eastAsia" w:ascii="仿宋" w:hAnsi="仿宋" w:eastAsia="仿宋" w:cs="仿宋"/>
                <w:color w:val="auto"/>
                <w:kern w:val="2"/>
                <w:sz w:val="24"/>
                <w:szCs w:val="24"/>
                <w:highlight w:val="none"/>
                <w:lang w:val="en-US" w:eastAsia="zh-CN" w:bidi="zh-CN"/>
              </w:rPr>
              <w:t>不提供不得分。</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拟任项目经理具有</w:t>
            </w:r>
            <w:r>
              <w:rPr>
                <w:rFonts w:hint="eastAsia" w:ascii="仿宋" w:hAnsi="仿宋" w:eastAsia="仿宋" w:cs="仿宋"/>
                <w:color w:val="000000" w:themeColor="text1"/>
                <w:highlight w:val="none"/>
                <w:lang w:eastAsia="zh-Hans"/>
                <w14:textFill>
                  <w14:solidFill>
                    <w14:schemeClr w14:val="tx1"/>
                  </w14:solidFill>
                </w14:textFill>
              </w:rPr>
              <w:t>一年以上法律相关</w:t>
            </w:r>
            <w:r>
              <w:rPr>
                <w:rFonts w:hint="eastAsia" w:ascii="仿宋" w:hAnsi="仿宋" w:eastAsia="仿宋" w:cs="仿宋"/>
                <w:color w:val="000000" w:themeColor="text1"/>
                <w:highlight w:val="none"/>
                <w:lang w:val="en-US" w:eastAsia="zh-CN"/>
                <w14:textFill>
                  <w14:solidFill>
                    <w14:schemeClr w14:val="tx1"/>
                  </w14:solidFill>
                </w14:textFill>
              </w:rPr>
              <w:t>经验</w:t>
            </w:r>
            <w:r>
              <w:rPr>
                <w:rFonts w:hint="eastAsia" w:ascii="仿宋" w:hAnsi="仿宋" w:eastAsia="仿宋" w:cs="仿宋"/>
                <w:color w:val="auto"/>
                <w:kern w:val="2"/>
                <w:sz w:val="24"/>
                <w:szCs w:val="24"/>
                <w:highlight w:val="none"/>
                <w:lang w:val="en-US" w:eastAsia="zh-CN" w:bidi="zh-CN"/>
              </w:rPr>
              <w:t>及以上，</w:t>
            </w:r>
            <w:r>
              <w:rPr>
                <w:rFonts w:hint="eastAsia" w:ascii="仿宋" w:hAnsi="仿宋" w:eastAsia="仿宋" w:cs="仿宋"/>
                <w:color w:val="000000" w:themeColor="text1"/>
                <w:highlight w:val="none"/>
                <w:lang w:val="en-US" w:eastAsia="zh-CN"/>
                <w14:textFill>
                  <w14:solidFill>
                    <w14:schemeClr w14:val="tx1"/>
                  </w14:solidFill>
                </w14:textFill>
              </w:rPr>
              <w:t>得2分，</w:t>
            </w:r>
            <w:r>
              <w:rPr>
                <w:rFonts w:hint="eastAsia" w:ascii="仿宋" w:hAnsi="仿宋" w:eastAsia="仿宋" w:cs="仿宋"/>
                <w:color w:val="auto"/>
                <w:kern w:val="2"/>
                <w:sz w:val="24"/>
                <w:szCs w:val="24"/>
                <w:highlight w:val="none"/>
                <w:lang w:val="en-US" w:eastAsia="zh-CN" w:bidi="zh-CN"/>
              </w:rPr>
              <w:t>不提供不得分。</w:t>
            </w:r>
          </w:p>
          <w:p>
            <w:pPr>
              <w:pStyle w:val="3"/>
              <w:numPr>
                <w:ilvl w:val="0"/>
                <w:numId w:val="0"/>
              </w:numPr>
              <w:ind w:leftChars="0"/>
              <w:rPr>
                <w:rFonts w:hint="eastAsia" w:ascii="仿宋" w:hAnsi="仿宋" w:eastAsia="仿宋" w:cs="仿宋"/>
                <w:color w:val="auto"/>
                <w:sz w:val="24"/>
                <w:szCs w:val="24"/>
                <w:highlight w:val="none"/>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项目经理需提供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证书有效复印件</w:t>
            </w:r>
            <w:r>
              <w:rPr>
                <w:rFonts w:hint="eastAsia" w:ascii="仿宋" w:hAnsi="仿宋" w:eastAsia="仿宋" w:cs="仿宋"/>
                <w:color w:val="000000" w:themeColor="text1"/>
                <w:highlight w:val="none"/>
                <w:lang w:val="en-US" w:eastAsia="zh-CN"/>
                <w14:textFill>
                  <w14:solidFill>
                    <w14:schemeClr w14:val="tx1"/>
                  </w14:solidFill>
                </w14:textFill>
              </w:rPr>
              <w:t>、社保缴纳证明并加盖公章</w:t>
            </w:r>
            <w:r>
              <w:rPr>
                <w:rFonts w:hint="eastAsia" w:ascii="仿宋" w:hAnsi="仿宋" w:eastAsia="仿宋" w:cs="仿宋"/>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pStyle w:val="3"/>
              <w:rPr>
                <w:rFonts w:hint="eastAsia" w:ascii="仿宋" w:hAnsi="仿宋" w:eastAsia="仿宋" w:cs="仿宋"/>
                <w:color w:val="auto"/>
                <w:kern w:val="2"/>
                <w:sz w:val="24"/>
                <w:szCs w:val="24"/>
                <w:highlight w:val="none"/>
                <w:lang w:val="en-US" w:eastAsia="zh-CN" w:bidi="ar-SA"/>
              </w:rPr>
            </w:pP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3分</w:t>
            </w:r>
          </w:p>
        </w:tc>
        <w:tc>
          <w:tcPr>
            <w:tcW w:w="3882" w:type="pct"/>
            <w:noWrap w:val="0"/>
            <w:vAlign w:val="center"/>
          </w:tcPr>
          <w:p>
            <w:pPr>
              <w:pStyle w:val="3"/>
              <w:numPr>
                <w:ilvl w:val="0"/>
                <w:numId w:val="8"/>
              </w:numPr>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项目成员：</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000000" w:themeColor="text1"/>
                <w:highlight w:val="none"/>
                <w:lang w:val="en-US" w:eastAsia="zh-CN"/>
                <w14:textFill>
                  <w14:solidFill>
                    <w14:schemeClr w14:val="tx1"/>
                  </w14:solidFill>
                </w14:textFill>
              </w:rPr>
              <w:t>拟任项目成员具有大专学历以上，得1分，</w:t>
            </w:r>
            <w:r>
              <w:rPr>
                <w:rFonts w:hint="eastAsia" w:ascii="仿宋" w:hAnsi="仿宋" w:eastAsia="仿宋" w:cs="仿宋"/>
                <w:color w:val="auto"/>
                <w:kern w:val="2"/>
                <w:sz w:val="24"/>
                <w:szCs w:val="24"/>
                <w:highlight w:val="none"/>
                <w:lang w:val="en-US" w:eastAsia="zh-CN" w:bidi="zh-CN"/>
              </w:rPr>
              <w:t>不提供不得分。</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拟任项目成员中具有</w:t>
            </w:r>
            <w:r>
              <w:rPr>
                <w:rFonts w:hint="eastAsia" w:ascii="仿宋" w:hAnsi="仿宋" w:eastAsia="仿宋" w:cs="仿宋"/>
                <w:color w:val="000000" w:themeColor="text1"/>
                <w:highlight w:val="none"/>
                <w:lang w:eastAsia="zh-Hans"/>
                <w14:textFill>
                  <w14:solidFill>
                    <w14:schemeClr w14:val="tx1"/>
                  </w14:solidFill>
                </w14:textFill>
              </w:rPr>
              <w:t>法学背景</w:t>
            </w:r>
            <w:r>
              <w:rPr>
                <w:rFonts w:hint="eastAsia" w:ascii="仿宋" w:hAnsi="仿宋" w:eastAsia="仿宋" w:cs="仿宋"/>
                <w:color w:val="000000" w:themeColor="text1"/>
                <w:highlight w:val="none"/>
                <w:lang w:val="en-US" w:eastAsia="zh-CN"/>
                <w14:textFill>
                  <w14:solidFill>
                    <w14:schemeClr w14:val="tx1"/>
                  </w14:solidFill>
                </w14:textFill>
              </w:rPr>
              <w:t>人员的</w:t>
            </w:r>
            <w:r>
              <w:rPr>
                <w:rFonts w:hint="eastAsia" w:ascii="仿宋" w:hAnsi="仿宋" w:eastAsia="仿宋" w:cs="仿宋"/>
                <w:color w:val="auto"/>
                <w:kern w:val="2"/>
                <w:sz w:val="24"/>
                <w:szCs w:val="24"/>
                <w:highlight w:val="none"/>
                <w:lang w:val="en-US" w:eastAsia="zh-CN" w:bidi="zh-CN"/>
              </w:rPr>
              <w:t>，每提供1个得1分，最高</w:t>
            </w:r>
            <w:r>
              <w:rPr>
                <w:rFonts w:hint="eastAsia" w:ascii="仿宋" w:hAnsi="仿宋" w:eastAsia="仿宋" w:cs="仿宋"/>
                <w:color w:val="000000" w:themeColor="text1"/>
                <w:highlight w:val="none"/>
                <w:lang w:val="en-US" w:eastAsia="zh-CN"/>
                <w14:textFill>
                  <w14:solidFill>
                    <w14:schemeClr w14:val="tx1"/>
                  </w14:solidFill>
                </w14:textFill>
              </w:rPr>
              <w:t>得2分，</w:t>
            </w:r>
            <w:r>
              <w:rPr>
                <w:rFonts w:hint="eastAsia" w:ascii="仿宋" w:hAnsi="仿宋" w:eastAsia="仿宋" w:cs="仿宋"/>
                <w:color w:val="auto"/>
                <w:kern w:val="2"/>
                <w:sz w:val="24"/>
                <w:szCs w:val="24"/>
                <w:highlight w:val="none"/>
                <w:lang w:val="en-US" w:eastAsia="zh-CN" w:bidi="zh-CN"/>
              </w:rPr>
              <w:t>不提供不得分。</w:t>
            </w:r>
          </w:p>
          <w:p>
            <w:pPr>
              <w:pStyle w:val="3"/>
              <w:numPr>
                <w:ilvl w:val="0"/>
                <w:numId w:val="0"/>
              </w:numPr>
              <w:ind w:lef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项目成员需提供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证书有效复印件</w:t>
            </w:r>
            <w:r>
              <w:rPr>
                <w:rFonts w:hint="eastAsia" w:ascii="仿宋" w:hAnsi="仿宋" w:eastAsia="仿宋" w:cs="仿宋"/>
                <w:color w:val="000000" w:themeColor="text1"/>
                <w:highlight w:val="none"/>
                <w:lang w:val="en-US" w:eastAsia="zh-CN"/>
                <w14:textFill>
                  <w14:solidFill>
                    <w14:schemeClr w14:val="tx1"/>
                  </w14:solidFill>
                </w14:textFill>
              </w:rPr>
              <w:t>、社保缴纳证明并加盖公章</w:t>
            </w:r>
            <w:r>
              <w:rPr>
                <w:rFonts w:hint="eastAsia" w:ascii="仿宋" w:hAnsi="仿宋" w:eastAsia="仿宋" w:cs="仿宋"/>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pStyle w:val="3"/>
              <w:rPr>
                <w:rFonts w:hint="eastAsia" w:ascii="仿宋" w:hAnsi="仿宋" w:eastAsia="仿宋" w:cs="仿宋"/>
                <w:color w:val="auto"/>
                <w:kern w:val="2"/>
                <w:sz w:val="24"/>
                <w:szCs w:val="24"/>
                <w:highlight w:val="none"/>
                <w:lang w:val="en-US" w:eastAsia="zh-CN" w:bidi="ar-SA"/>
              </w:rPr>
            </w:pP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4分</w:t>
            </w:r>
          </w:p>
        </w:tc>
        <w:tc>
          <w:tcPr>
            <w:tcW w:w="3882" w:type="pct"/>
            <w:noWrap w:val="0"/>
            <w:vAlign w:val="center"/>
          </w:tcPr>
          <w:p>
            <w:pPr>
              <w:pStyle w:val="3"/>
              <w:numPr>
                <w:ilvl w:val="0"/>
                <w:numId w:val="0"/>
              </w:numPr>
              <w:ind w:left="0" w:leftChars="0" w:firstLine="0" w:firstLine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3、具有完整、规范的人员招募以及人员管理制度。按其制度完整性计0-4分。</w:t>
            </w:r>
          </w:p>
        </w:tc>
      </w:tr>
    </w:tbl>
    <w:p>
      <w:pPr>
        <w:rPr>
          <w:highlight w:val="none"/>
        </w:rPr>
      </w:pPr>
    </w:p>
    <w:tbl>
      <w:tblPr>
        <w:tblStyle w:val="26"/>
        <w:tblpPr w:leftFromText="180" w:rightFromText="180" w:vertAnchor="text" w:horzAnchor="page" w:tblpX="1244" w:tblpY="1"/>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835"/>
        <w:gridCol w:w="7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企业实力（8分）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8分</w:t>
            </w:r>
          </w:p>
        </w:tc>
        <w:tc>
          <w:tcPr>
            <w:tcW w:w="3882" w:type="pct"/>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供应商具有</w:t>
            </w:r>
            <w:r>
              <w:rPr>
                <w:rFonts w:hint="eastAsia" w:ascii="仿宋" w:hAnsi="仿宋" w:eastAsia="仿宋" w:cs="仿宋"/>
                <w:color w:val="auto"/>
                <w:sz w:val="24"/>
                <w:szCs w:val="24"/>
                <w:highlight w:val="none"/>
                <w:lang w:val="en-US" w:eastAsia="zh-CN"/>
              </w:rPr>
              <w:t>送达</w:t>
            </w:r>
            <w:r>
              <w:rPr>
                <w:rFonts w:hint="eastAsia" w:ascii="仿宋" w:hAnsi="仿宋" w:eastAsia="仿宋" w:cs="仿宋"/>
                <w:color w:val="auto"/>
                <w:sz w:val="24"/>
                <w:szCs w:val="24"/>
                <w:highlight w:val="none"/>
              </w:rPr>
              <w:t>业务</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产品《计算机软件著作权登记证书》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提供证明文件复印件并加盖公章，提供1</w:t>
            </w:r>
            <w:r>
              <w:rPr>
                <w:rFonts w:hint="eastAsia" w:ascii="仿宋" w:hAnsi="仿宋" w:eastAsia="仿宋" w:cs="仿宋"/>
                <w:color w:val="auto"/>
                <w:sz w:val="24"/>
                <w:szCs w:val="24"/>
                <w:highlight w:val="none"/>
              </w:rPr>
              <w:t>个</w:t>
            </w:r>
            <w:r>
              <w:rPr>
                <w:rFonts w:hint="eastAsia" w:ascii="仿宋" w:hAnsi="仿宋" w:eastAsia="仿宋" w:cs="仿宋"/>
                <w:color w:val="auto"/>
                <w:sz w:val="24"/>
                <w:szCs w:val="24"/>
                <w:highlight w:val="none"/>
                <w:lang w:val="en-US" w:eastAsia="zh-CN"/>
              </w:rPr>
              <w:t>计1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此项满分为4分）；</w:t>
            </w:r>
          </w:p>
          <w:p>
            <w:pPr>
              <w:spacing w:line="360" w:lineRule="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投标人具备ISO9001质量管理体系认证证书</w:t>
            </w:r>
            <w:r>
              <w:rPr>
                <w:rFonts w:hint="eastAsia" w:ascii="仿宋" w:hAnsi="仿宋" w:eastAsia="仿宋" w:cs="仿宋"/>
                <w:color w:val="auto"/>
                <w:sz w:val="24"/>
                <w:szCs w:val="24"/>
                <w:highlight w:val="none"/>
                <w:lang w:eastAsia="zh-Hans"/>
              </w:rPr>
              <w:t>并</w:t>
            </w:r>
            <w:r>
              <w:rPr>
                <w:rFonts w:hint="eastAsia" w:ascii="仿宋" w:hAnsi="仿宋" w:eastAsia="仿宋" w:cs="仿宋"/>
                <w:color w:val="auto"/>
                <w:sz w:val="24"/>
                <w:szCs w:val="24"/>
                <w:highlight w:val="none"/>
                <w:lang w:val="en-US" w:eastAsia="zh-CN"/>
              </w:rPr>
              <w:t>提供证明文件复印件并加盖公章</w:t>
            </w:r>
            <w:r>
              <w:rPr>
                <w:rFonts w:hint="eastAsia" w:ascii="仿宋" w:hAnsi="仿宋" w:eastAsia="仿宋" w:cs="仿宋"/>
                <w:color w:val="auto"/>
                <w:sz w:val="24"/>
                <w:szCs w:val="24"/>
                <w:highlight w:val="none"/>
                <w:lang w:eastAsia="zh-Hans"/>
              </w:rPr>
              <w:t>，得2</w:t>
            </w:r>
            <w:r>
              <w:rPr>
                <w:rFonts w:hint="eastAsia" w:ascii="仿宋" w:hAnsi="仿宋" w:eastAsia="仿宋" w:cs="仿宋"/>
                <w:color w:val="auto"/>
                <w:sz w:val="24"/>
                <w:szCs w:val="24"/>
                <w:highlight w:val="none"/>
              </w:rPr>
              <w:t>分，未提供不得分</w:t>
            </w:r>
            <w:r>
              <w:rPr>
                <w:rFonts w:hint="eastAsia" w:ascii="仿宋" w:hAnsi="仿宋" w:eastAsia="仿宋" w:cs="仿宋"/>
                <w:color w:val="auto"/>
                <w:sz w:val="24"/>
                <w:szCs w:val="24"/>
                <w:highlight w:val="none"/>
                <w:lang w:eastAsia="zh-Hans"/>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3、供应商具备与项目有关的行业内的荣誉证书，</w:t>
            </w:r>
            <w:r>
              <w:rPr>
                <w:rFonts w:hint="eastAsia" w:ascii="仿宋" w:hAnsi="仿宋" w:eastAsia="仿宋" w:cs="仿宋"/>
                <w:color w:val="auto"/>
                <w:sz w:val="24"/>
                <w:szCs w:val="24"/>
                <w:highlight w:val="none"/>
                <w:lang w:val="en-US" w:eastAsia="zh-CN"/>
              </w:rPr>
              <w:t>并提供证明文件复印件并加盖公章</w:t>
            </w:r>
            <w:r>
              <w:rPr>
                <w:rFonts w:hint="eastAsia" w:ascii="仿宋" w:hAnsi="仿宋" w:eastAsia="仿宋" w:cs="仿宋"/>
                <w:color w:val="auto"/>
                <w:sz w:val="24"/>
                <w:szCs w:val="24"/>
                <w:highlight w:val="none"/>
              </w:rPr>
              <w:t>，具备1份证书</w:t>
            </w:r>
            <w:r>
              <w:rPr>
                <w:rFonts w:hint="eastAsia" w:ascii="仿宋" w:hAnsi="仿宋" w:eastAsia="仿宋" w:cs="仿宋"/>
                <w:color w:val="auto"/>
                <w:sz w:val="24"/>
                <w:szCs w:val="24"/>
                <w:highlight w:val="none"/>
                <w:lang w:eastAsia="zh-Hans"/>
              </w:rPr>
              <w:t>得1</w:t>
            </w:r>
            <w:r>
              <w:rPr>
                <w:rFonts w:hint="eastAsia" w:ascii="仿宋" w:hAnsi="仿宋" w:eastAsia="仿宋" w:cs="仿宋"/>
                <w:color w:val="auto"/>
                <w:sz w:val="24"/>
                <w:szCs w:val="24"/>
                <w:highlight w:val="none"/>
              </w:rPr>
              <w:t>分，最高得2分，未提供不得分</w:t>
            </w:r>
            <w:r>
              <w:rPr>
                <w:rFonts w:hint="eastAsia" w:ascii="仿宋" w:hAnsi="仿宋" w:eastAsia="仿宋" w:cs="仿宋"/>
                <w:color w:val="auto"/>
                <w:sz w:val="24"/>
                <w:szCs w:val="24"/>
                <w:highlight w:val="none"/>
                <w:lang w:eastAsia="zh-Hans"/>
              </w:rPr>
              <w:t>。</w:t>
            </w:r>
          </w:p>
          <w:p>
            <w:pPr>
              <w:pStyle w:val="45"/>
              <w:numPr>
                <w:ilvl w:val="0"/>
                <w:numId w:val="9"/>
              </w:numPr>
              <w:spacing w:after="0" w:line="440" w:lineRule="exact"/>
              <w:ind w:left="-38" w:firstLineChars="0"/>
              <w:rPr>
                <w:rFonts w:hint="default"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应急预案（10分）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10分</w:t>
            </w:r>
          </w:p>
        </w:tc>
        <w:tc>
          <w:tcPr>
            <w:tcW w:w="3882" w:type="pct"/>
            <w:noWrap w:val="0"/>
            <w:vAlign w:val="center"/>
          </w:tcPr>
          <w:p>
            <w:pPr>
              <w:adjustRightInd/>
              <w:snapToGrid/>
              <w:spacing w:line="324" w:lineRule="auto"/>
              <w:ind w:firstLine="0" w:firstLineChars="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根据供应商提供的建立系统故障的快速响应机制和应对业务量突增的紧急处理机制方案，由评委横向对比后进行综合评价。</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①方案科学完善、流程合理的，得7.1-10分。②方案较科学完善、流程较合理的，得3.1-7分。③方案流程不合理的，得0-3分。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培训方案（10分）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10分</w:t>
            </w:r>
          </w:p>
        </w:tc>
        <w:tc>
          <w:tcPr>
            <w:tcW w:w="3882" w:type="pct"/>
            <w:noWrap w:val="0"/>
            <w:vAlign w:val="center"/>
          </w:tcPr>
          <w:p>
            <w:pPr>
              <w:numPr>
                <w:ilvl w:val="-1"/>
                <w:numId w:val="0"/>
              </w:numPr>
              <w:adjustRightInd/>
              <w:snapToGrid/>
              <w:spacing w:line="324" w:lineRule="auto"/>
              <w:ind w:firstLine="0" w:firstLineChars="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供应商提供针对本项目具有可行的技术培训方案，培训采购人指定的技术人员和管理人员，制定培训课程计划表，列出每种培训的地点和时间，培训内容应包括所提供产品的原理和技术性能、操作维护方法、安装调试、排除故障等各个方面，培训的具体日期及人数由使用单位确定。培训后的人员应能熟练操作设备，了解产品结构、工作原理，并能排除一般故障的方案，由评委横向对比后进行综合评价。</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①方案科学完善、流程合理的，得</w:t>
            </w:r>
            <w:r>
              <w:rPr>
                <w:rFonts w:hint="eastAsia" w:ascii="仿宋" w:hAnsi="仿宋" w:eastAsia="仿宋" w:cs="仿宋"/>
                <w:bCs/>
                <w:color w:val="auto"/>
                <w:sz w:val="24"/>
                <w:szCs w:val="24"/>
                <w:highlight w:val="none"/>
                <w:lang w:val="en-US" w:eastAsia="zh-CN"/>
              </w:rPr>
              <w:t>7.1-10</w:t>
            </w:r>
            <w:r>
              <w:rPr>
                <w:rFonts w:hint="eastAsia" w:ascii="仿宋" w:hAnsi="仿宋" w:eastAsia="仿宋" w:cs="仿宋"/>
                <w:bCs/>
                <w:color w:val="auto"/>
                <w:sz w:val="24"/>
                <w:szCs w:val="24"/>
                <w:highlight w:val="none"/>
              </w:rPr>
              <w:t>分。②方案较科学完善、流程较合理的，得</w:t>
            </w:r>
            <w:r>
              <w:rPr>
                <w:rFonts w:hint="eastAsia" w:ascii="仿宋" w:hAnsi="仿宋" w:eastAsia="仿宋" w:cs="仿宋"/>
                <w:bCs/>
                <w:color w:val="auto"/>
                <w:sz w:val="24"/>
                <w:szCs w:val="24"/>
                <w:highlight w:val="none"/>
                <w:lang w:val="en-US" w:eastAsia="zh-CN"/>
              </w:rPr>
              <w:t>3.1-7</w:t>
            </w:r>
            <w:r>
              <w:rPr>
                <w:rFonts w:hint="eastAsia" w:ascii="仿宋" w:hAnsi="仿宋" w:eastAsia="仿宋" w:cs="仿宋"/>
                <w:bCs/>
                <w:color w:val="auto"/>
                <w:sz w:val="24"/>
                <w:szCs w:val="24"/>
                <w:highlight w:val="none"/>
              </w:rPr>
              <w:t>分。③方案流程不合理的，得</w:t>
            </w:r>
            <w:r>
              <w:rPr>
                <w:rFonts w:hint="eastAsia" w:ascii="仿宋" w:hAnsi="仿宋" w:eastAsia="仿宋" w:cs="仿宋"/>
                <w:bCs/>
                <w:color w:val="auto"/>
                <w:sz w:val="24"/>
                <w:szCs w:val="24"/>
                <w:highlight w:val="none"/>
                <w:lang w:val="en-US" w:eastAsia="zh-CN"/>
              </w:rPr>
              <w:t>0-3</w:t>
            </w:r>
            <w:r>
              <w:rPr>
                <w:rFonts w:hint="eastAsia" w:ascii="仿宋" w:hAnsi="仿宋" w:eastAsia="仿宋" w:cs="仿宋"/>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业绩    （12分）</w:t>
            </w:r>
          </w:p>
        </w:tc>
        <w:tc>
          <w:tcPr>
            <w:tcW w:w="432"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12分</w:t>
            </w:r>
          </w:p>
        </w:tc>
        <w:tc>
          <w:tcPr>
            <w:tcW w:w="3882" w:type="pct"/>
            <w:noWrap w:val="0"/>
            <w:vAlign w:val="center"/>
          </w:tcPr>
          <w:p>
            <w:pPr>
              <w:numPr>
                <w:ilvl w:val="0"/>
                <w:numId w:val="0"/>
              </w:numPr>
              <w:ind w:left="-12" w:leftChars="-5"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供应商具有2019年1月至送达服务同类项目，提供合同复印件加盖公章（原件备查），每提供一个得2分，最高得12分。</w:t>
            </w:r>
          </w:p>
        </w:tc>
      </w:tr>
    </w:tbl>
    <w:p>
      <w:pPr>
        <w:keepNext w:val="0"/>
        <w:keepLines w:val="0"/>
        <w:pageBreakBefore w:val="0"/>
        <w:widowControl w:val="0"/>
        <w:kinsoku/>
        <w:wordWrap/>
        <w:topLinePunct w:val="0"/>
        <w:autoSpaceDE/>
        <w:autoSpaceDN/>
        <w:bidi w:val="0"/>
        <w:spacing w:line="460" w:lineRule="exact"/>
        <w:textAlignment w:val="auto"/>
        <w:rPr>
          <w:rFonts w:hint="eastAsia" w:ascii="仿宋" w:hAnsi="仿宋" w:eastAsia="仿宋" w:cs="仿宋"/>
          <w:color w:val="auto"/>
          <w:sz w:val="24"/>
          <w:szCs w:val="24"/>
          <w:highlight w:val="none"/>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vAlign w:val="center"/>
          </w:tcPr>
          <w:p>
            <w:pPr>
              <w:jc w:val="left"/>
              <w:rPr>
                <w:rFonts w:ascii="仿宋" w:hAnsi="仿宋" w:eastAsia="仿宋"/>
                <w:sz w:val="24"/>
                <w:highlight w:val="none"/>
              </w:rPr>
            </w:pPr>
            <w:bookmarkStart w:id="159" w:name="_Toc5721_WPSOffice_Level2"/>
            <w:bookmarkStart w:id="160" w:name="_Toc30254_WPSOffice_Level2"/>
            <w:bookmarkStart w:id="161" w:name="_Toc19224_WPSOffice_Level2"/>
            <w:r>
              <w:rPr>
                <w:rFonts w:hint="eastAsia" w:ascii="仿宋" w:hAnsi="仿宋" w:eastAsia="仿宋"/>
                <w:sz w:val="24"/>
                <w:highlight w:val="none"/>
              </w:rPr>
              <w:t>备注：1、在评审期间，磋商小组只对需要询问的供应商进行询问；</w:t>
            </w:r>
          </w:p>
          <w:p>
            <w:pPr>
              <w:jc w:val="left"/>
              <w:rPr>
                <w:rFonts w:hint="eastAsia" w:ascii="仿宋" w:hAnsi="仿宋" w:eastAsia="仿宋"/>
                <w:sz w:val="24"/>
                <w:highlight w:val="none"/>
                <w:lang w:eastAsia="zh-CN"/>
              </w:rPr>
            </w:pPr>
            <w:r>
              <w:rPr>
                <w:rFonts w:hint="eastAsia" w:ascii="仿宋" w:hAnsi="仿宋" w:eastAsia="仿宋"/>
                <w:sz w:val="24"/>
                <w:highlight w:val="none"/>
              </w:rPr>
              <w:t>2、以上证明材料提供复印件加盖供应商公章装订在正、副本中</w:t>
            </w:r>
            <w:r>
              <w:rPr>
                <w:rFonts w:hint="eastAsia" w:ascii="仿宋" w:hAnsi="仿宋" w:eastAsia="仿宋"/>
                <w:sz w:val="24"/>
                <w:highlight w:val="none"/>
                <w:lang w:eastAsia="zh-CN"/>
              </w:rPr>
              <w:t>。</w:t>
            </w:r>
          </w:p>
        </w:tc>
      </w:tr>
      <w:bookmarkEnd w:id="159"/>
      <w:bookmarkEnd w:id="160"/>
      <w:bookmarkEnd w:id="161"/>
    </w:tbl>
    <w:p>
      <w:pPr>
        <w:keepNext w:val="0"/>
        <w:keepLines w:val="0"/>
        <w:pageBreakBefore w:val="0"/>
        <w:widowControl w:val="0"/>
        <w:kinsoku/>
        <w:wordWrap/>
        <w:topLinePunct w:val="0"/>
        <w:autoSpaceDE/>
        <w:autoSpaceDN/>
        <w:bidi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5.4评标排序</w:t>
      </w:r>
    </w:p>
    <w:p>
      <w:pPr>
        <w:keepNext w:val="0"/>
        <w:keepLines w:val="0"/>
        <w:pageBreakBefore w:val="0"/>
        <w:widowControl w:val="0"/>
        <w:kinsoku/>
        <w:wordWrap/>
        <w:topLinePunct w:val="0"/>
        <w:autoSpaceDE/>
        <w:autoSpaceDN/>
        <w:bidi w:val="0"/>
        <w:spacing w:line="4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商务文件得分较高的优先。当一个供应商的综合得分在多个标段同时排名第一时，仅保留合同金额较大标段的中标资格，合同金额较小标段各供应商排序依次递</w:t>
      </w:r>
      <w:r>
        <w:rPr>
          <w:rFonts w:hint="eastAsia" w:ascii="仿宋" w:hAnsi="仿宋" w:eastAsia="仿宋" w:cs="仿宋"/>
          <w:color w:val="auto"/>
          <w:sz w:val="24"/>
          <w:szCs w:val="24"/>
          <w:highlight w:val="none"/>
          <w:lang w:val="en-US" w:eastAsia="zh-CN"/>
        </w:rPr>
        <w:t>补</w:t>
      </w:r>
      <w:r>
        <w:rPr>
          <w:rFonts w:hint="eastAsia" w:ascii="仿宋" w:hAnsi="仿宋" w:eastAsia="仿宋" w:cs="仿宋"/>
          <w:color w:val="auto"/>
          <w:sz w:val="24"/>
          <w:szCs w:val="24"/>
          <w:highlight w:val="none"/>
        </w:rPr>
        <w:t>。</w:t>
      </w:r>
    </w:p>
    <w:p>
      <w:pPr>
        <w:keepNext w:val="0"/>
        <w:keepLines w:val="0"/>
        <w:pageBreakBefore w:val="0"/>
        <w:widowControl w:val="0"/>
        <w:kinsoku/>
        <w:wordWrap/>
        <w:topLinePunct w:val="0"/>
        <w:autoSpaceDE/>
        <w:autoSpaceDN/>
        <w:bidi w:val="0"/>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6.需要落实的政府采购政策</w:t>
      </w:r>
    </w:p>
    <w:p>
      <w:pPr>
        <w:keepNext w:val="0"/>
        <w:keepLines w:val="0"/>
        <w:pageBreakBefore w:val="0"/>
        <w:widowControl w:val="0"/>
        <w:kinsoku/>
        <w:wordWrap/>
        <w:topLinePunct w:val="0"/>
        <w:autoSpaceDE/>
        <w:autoSpaceDN/>
        <w:bidi w:val="0"/>
        <w:spacing w:line="460" w:lineRule="exact"/>
        <w:ind w:firstLine="540" w:firstLineChars="2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满足以下文件要求中任意一条（及以上），其制造（生产）产品的价格给予6%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工程3%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的扣除，用扣除后价格参与评审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对于同时属于小微企业、监狱企业或残疾人福利性单位的，不重复进行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报价扣除。</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1.1根据财政部、工业和信息化部关于印发《政府采购促进中小企业发展管理办法》的通知(财库〔2020〕46号)。在政府采购活动中，供应商提供的货物、工程或者服务符合下列情形的，享受《办法》规定的中小企业扶持政策:</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(一)在货物采购项目中，货物由中小企业制造，即货物由中小企业生产且使用该中小企业商号或者注册商标；</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(二)在工程采购项目中，工程由中小企业承建，即工程施工单位为中小企业；</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在货物采购项目中，供应商提供的货物既有中小企业制造货物，也有大型企业制造货物的，不享受本办法规定的中小企业扶持政策。</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topLinePunct w:val="0"/>
        <w:autoSpaceDE/>
        <w:autoSpaceDN/>
        <w:bidi w:val="0"/>
        <w:spacing w:line="460" w:lineRule="exact"/>
        <w:ind w:firstLine="540" w:firstLineChars="22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联合协议中约定，小型、微型企业和监狱企业的协议合同金额占到联合体协议合同总金额30%以上的，可给予联合体2%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工程1%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的价格扣除。</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依据《政府采购促进中小企业发展管理办法》规定享受扶持政策获得政府采购合同的，小微企业不得将合同分包给大中型企业，中型企业不得将合同分包给大型企业。</w:t>
      </w:r>
    </w:p>
    <w:p>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中小企业参加政府采购活动，应当出具本办法规定的《中小企业声明函》（见附件），并对声明的真实性负责。否则，按照有关规定予以处理。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.1.2监狱和戒毒企业应符合《财政部司法部关于政府采购支持监狱企业发展有关问题的通知》--财库〔2014〕68号，并提供声明，并对声明的真实性负责。</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.1.3符合条件的残疾人福利性单位在参加政府采购活动时，应当提供财库〔2017〕141号文规定的《残疾人福利性单位声明函》，并对声明的真实性负责。 </w:t>
      </w:r>
    </w:p>
    <w:p>
      <w:pPr>
        <w:keepNext w:val="0"/>
        <w:keepLines w:val="0"/>
        <w:pageBreakBefore w:val="0"/>
        <w:widowControl w:val="0"/>
        <w:kinsoku/>
        <w:wordWrap/>
        <w:overflowPunct w:val="0"/>
        <w:topLinePunct w:val="0"/>
        <w:autoSpaceDE/>
        <w:autoSpaceDN/>
        <w:bidi w:val="0"/>
        <w:adjustRightInd w:val="0"/>
        <w:snapToGrid w:val="0"/>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所投</w:t>
      </w:r>
      <w:r>
        <w:rPr>
          <w:rFonts w:hint="eastAsia" w:ascii="仿宋" w:hAnsi="仿宋" w:eastAsia="仿宋" w:cs="仿宋"/>
          <w:color w:val="auto"/>
          <w:sz w:val="24"/>
          <w:szCs w:val="24"/>
          <w:highlight w:val="none"/>
        </w:rPr>
        <w:t>产品政府采购政策</w:t>
      </w:r>
      <w:r>
        <w:rPr>
          <w:rFonts w:hint="eastAsia" w:ascii="仿宋" w:hAnsi="仿宋" w:eastAsia="仿宋" w:cs="仿宋"/>
          <w:bCs/>
          <w:color w:val="auto"/>
          <w:sz w:val="24"/>
          <w:szCs w:val="24"/>
          <w:highlight w:val="none"/>
        </w:rPr>
        <w:t>（所投产品满足以下文件要求中任意一条（及以上），其价格给予3%的扣除，用扣除后价格参与评审。</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.2.1节能产品根据《国务院办公厅关于建立政府强制采购节能产品制度的通知》（国办发〔2007〕51号）的规定，以财库〔2019〕9号为准。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.2.2环境标志产品根据《环境标志产品政府采购实施的意见》（财库[2006]90号）的规定，以财库〔2019〕9号为准。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.2.4对于已列入品目清单的产品类别，采购人可在采购需求中提出更高的节约资源和保护环境要求，对符合条件的获证产品给予优先待遇。</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.2.5供应商在</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文件中对所</w:t>
      </w:r>
      <w:r>
        <w:rPr>
          <w:rFonts w:hint="eastAsia" w:ascii="仿宋" w:hAnsi="仿宋" w:eastAsia="仿宋" w:cs="仿宋"/>
          <w:bCs/>
          <w:color w:val="auto"/>
          <w:sz w:val="24"/>
          <w:szCs w:val="24"/>
          <w:highlight w:val="none"/>
          <w:lang w:val="en-US" w:eastAsia="zh-CN"/>
        </w:rPr>
        <w:t>投</w:t>
      </w:r>
      <w:r>
        <w:rPr>
          <w:rFonts w:hint="eastAsia" w:ascii="仿宋" w:hAnsi="仿宋" w:eastAsia="仿宋" w:cs="仿宋"/>
          <w:bCs/>
          <w:color w:val="auto"/>
          <w:sz w:val="24"/>
          <w:szCs w:val="24"/>
          <w:highlight w:val="none"/>
        </w:rPr>
        <w:t>产品为节能、环保、环境标志产品清单中的产品，在</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报价时必须对此类产品单独分项报价，计算出小计金额。未提供节能、环保、环境标志产品计分明细表的不给予计分。</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.2.6若节能、环保、环境标志清单内的产品仅是构成</w:t>
      </w:r>
      <w:r>
        <w:rPr>
          <w:rFonts w:hint="eastAsia" w:ascii="仿宋" w:hAnsi="仿宋" w:eastAsia="仿宋" w:cs="仿宋"/>
          <w:bCs/>
          <w:color w:val="auto"/>
          <w:sz w:val="24"/>
          <w:szCs w:val="24"/>
          <w:highlight w:val="none"/>
          <w:lang w:val="en-US" w:eastAsia="zh-CN"/>
        </w:rPr>
        <w:t>所投</w:t>
      </w:r>
      <w:r>
        <w:rPr>
          <w:rFonts w:hint="eastAsia" w:ascii="仿宋" w:hAnsi="仿宋" w:eastAsia="仿宋" w:cs="仿宋"/>
          <w:bCs/>
          <w:color w:val="auto"/>
          <w:sz w:val="24"/>
          <w:szCs w:val="24"/>
          <w:highlight w:val="none"/>
        </w:rPr>
        <w:t>产品的部件、组件或零件的，则该产品不享受鼓励优惠政策。</w:t>
      </w:r>
    </w:p>
    <w:p>
      <w:pPr>
        <w:keepNext w:val="0"/>
        <w:keepLines w:val="0"/>
        <w:pageBreakBefore w:val="0"/>
        <w:widowControl w:val="0"/>
        <w:kinsoku/>
        <w:wordWrap/>
        <w:topLinePunct w:val="0"/>
        <w:autoSpaceDE/>
        <w:autoSpaceDN/>
        <w:bidi w:val="0"/>
        <w:adjustRightInd w:val="0"/>
        <w:snapToGrid w:val="0"/>
        <w:spacing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.2.7节能、环保、环境标志产品不重复计分；同时列入国家级清单和省级清单的产品不重复计分。</w:t>
      </w: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widowControl/>
        <w:spacing w:line="240" w:lineRule="auto"/>
        <w:jc w:val="center"/>
        <w:outlineLvl w:val="0"/>
        <w:rPr>
          <w:rFonts w:hint="eastAsia" w:ascii="仿宋" w:hAnsi="仿宋" w:eastAsia="仿宋" w:cs="仿宋"/>
          <w:b/>
          <w:bCs/>
          <w:color w:val="auto"/>
          <w:kern w:val="2"/>
          <w:sz w:val="36"/>
          <w:szCs w:val="36"/>
          <w:highlight w:val="none"/>
          <w:lang w:val="en-US" w:eastAsia="zh-CN" w:bidi="ar-SA"/>
        </w:rPr>
      </w:pPr>
      <w:bookmarkStart w:id="162" w:name="_Toc17274"/>
      <w:bookmarkStart w:id="163" w:name="_Toc13105"/>
      <w:r>
        <w:rPr>
          <w:rFonts w:hint="eastAsia" w:ascii="仿宋" w:hAnsi="仿宋" w:eastAsia="仿宋" w:cs="仿宋"/>
          <w:b/>
          <w:bCs/>
          <w:color w:val="auto"/>
          <w:kern w:val="2"/>
          <w:sz w:val="36"/>
          <w:szCs w:val="36"/>
          <w:highlight w:val="none"/>
          <w:lang w:val="en-US" w:eastAsia="zh-CN" w:bidi="ar-SA"/>
        </w:rPr>
        <w:t>第六章  竞争性磋商响应文件格式</w:t>
      </w:r>
      <w:bookmarkEnd w:id="162"/>
      <w:bookmarkEnd w:id="163"/>
    </w:p>
    <w:p>
      <w:pPr>
        <w:adjustRightInd w:val="0"/>
        <w:snapToGrid w:val="0"/>
        <w:spacing w:line="360" w:lineRule="auto"/>
        <w:ind w:right="600"/>
        <w:jc w:val="right"/>
        <w:rPr>
          <w:rFonts w:hint="eastAsia" w:ascii="仿宋" w:hAnsi="仿宋" w:eastAsia="仿宋" w:cs="仿宋"/>
          <w:b/>
          <w:color w:val="auto"/>
          <w:sz w:val="20"/>
          <w:szCs w:val="20"/>
          <w:highlight w:val="none"/>
        </w:rPr>
      </w:pPr>
      <w:bookmarkStart w:id="164" w:name="_Toc5592_WPSOffice_Level1"/>
      <w:bookmarkStart w:id="165" w:name="_Toc19196"/>
      <w:bookmarkStart w:id="166" w:name="_Toc25996_WPSOffice_Level1"/>
      <w:bookmarkStart w:id="167" w:name="_Toc10930_WPSOffice_Level1"/>
    </w:p>
    <w:p>
      <w:pPr>
        <w:adjustRightInd w:val="0"/>
        <w:snapToGrid w:val="0"/>
        <w:spacing w:line="360" w:lineRule="auto"/>
        <w:ind w:right="600"/>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（正本或副本）</w:t>
      </w:r>
    </w:p>
    <w:p>
      <w:pPr>
        <w:wordWrap w:val="0"/>
        <w:spacing w:line="360" w:lineRule="auto"/>
        <w:ind w:right="980"/>
        <w:rPr>
          <w:rFonts w:hint="eastAsia" w:ascii="仿宋" w:hAnsi="仿宋" w:eastAsia="仿宋" w:cs="仿宋"/>
          <w:b/>
          <w:color w:val="auto"/>
          <w:sz w:val="28"/>
          <w:szCs w:val="28"/>
          <w:highlight w:val="none"/>
        </w:rPr>
      </w:pPr>
    </w:p>
    <w:p>
      <w:pPr>
        <w:wordWrap w:val="0"/>
        <w:spacing w:line="360" w:lineRule="auto"/>
        <w:ind w:right="98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p>
      <w:pPr>
        <w:spacing w:line="360" w:lineRule="auto"/>
        <w:rPr>
          <w:rFonts w:hint="eastAsia" w:ascii="仿宋" w:hAnsi="仿宋" w:eastAsia="仿宋" w:cs="仿宋"/>
          <w:b/>
          <w:color w:val="auto"/>
          <w:sz w:val="24"/>
          <w:szCs w:val="24"/>
          <w:highlight w:val="none"/>
        </w:rPr>
      </w:pPr>
    </w:p>
    <w:p>
      <w:pPr>
        <w:adjustRightInd w:val="0"/>
        <w:snapToGrid w:val="0"/>
        <w:spacing w:line="360" w:lineRule="auto"/>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u w:val="single"/>
        </w:rPr>
        <w:t xml:space="preserve">                       </w:t>
      </w:r>
      <w:r>
        <w:rPr>
          <w:rFonts w:hint="eastAsia" w:ascii="仿宋" w:hAnsi="仿宋" w:eastAsia="仿宋" w:cs="仿宋"/>
          <w:bCs/>
          <w:color w:val="auto"/>
          <w:sz w:val="48"/>
          <w:szCs w:val="48"/>
          <w:highlight w:val="none"/>
        </w:rPr>
        <w:t>项目</w:t>
      </w:r>
    </w:p>
    <w:p>
      <w:pPr>
        <w:adjustRightInd w:val="0"/>
        <w:snapToGrid w:val="0"/>
        <w:spacing w:line="360" w:lineRule="auto"/>
        <w:jc w:val="center"/>
        <w:rPr>
          <w:rFonts w:hint="eastAsia" w:ascii="仿宋" w:hAnsi="仿宋" w:eastAsia="仿宋" w:cs="仿宋"/>
          <w:bCs/>
          <w:color w:val="auto"/>
          <w:sz w:val="48"/>
          <w:szCs w:val="48"/>
          <w:highlight w:val="none"/>
        </w:rPr>
      </w:pPr>
    </w:p>
    <w:p>
      <w:pPr>
        <w:adjustRightInd w:val="0"/>
        <w:snapToGrid w:val="0"/>
        <w:spacing w:line="360" w:lineRule="auto"/>
        <w:jc w:val="center"/>
        <w:rPr>
          <w:rFonts w:hint="eastAsia" w:ascii="仿宋" w:hAnsi="仿宋" w:eastAsia="仿宋" w:cs="仿宋"/>
          <w:bCs/>
          <w:color w:val="auto"/>
          <w:sz w:val="48"/>
          <w:szCs w:val="48"/>
          <w:highlight w:val="none"/>
        </w:rPr>
      </w:pPr>
    </w:p>
    <w:p>
      <w:pPr>
        <w:adjustRightInd w:val="0"/>
        <w:snapToGrid w:val="0"/>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竞争性磋商响应文件</w:t>
      </w:r>
    </w:p>
    <w:p>
      <w:pPr>
        <w:adjustRightInd w:val="0"/>
        <w:snapToGrid w:val="0"/>
        <w:spacing w:line="360" w:lineRule="auto"/>
        <w:jc w:val="center"/>
        <w:rPr>
          <w:rFonts w:hint="eastAsia" w:ascii="仿宋" w:hAnsi="仿宋" w:eastAsia="仿宋" w:cs="仿宋"/>
          <w:b/>
          <w:color w:val="auto"/>
          <w:sz w:val="28"/>
          <w:szCs w:val="24"/>
          <w:highlight w:val="none"/>
        </w:rPr>
      </w:pPr>
    </w:p>
    <w:p>
      <w:pPr>
        <w:adjustRightInd w:val="0"/>
        <w:snapToGrid w:val="0"/>
        <w:spacing w:line="360" w:lineRule="auto"/>
        <w:rPr>
          <w:rFonts w:hint="eastAsia" w:ascii="仿宋" w:hAnsi="仿宋" w:eastAsia="仿宋" w:cs="仿宋"/>
          <w:b/>
          <w:color w:val="auto"/>
          <w:sz w:val="28"/>
          <w:szCs w:val="24"/>
          <w:highlight w:val="none"/>
        </w:rPr>
      </w:pPr>
    </w:p>
    <w:p>
      <w:pPr>
        <w:pStyle w:val="17"/>
        <w:rPr>
          <w:rFonts w:hint="eastAsia" w:ascii="仿宋" w:hAnsi="仿宋" w:eastAsia="仿宋" w:cs="仿宋"/>
          <w:b/>
          <w:color w:val="auto"/>
          <w:sz w:val="28"/>
          <w:szCs w:val="18"/>
          <w:highlight w:val="none"/>
        </w:rPr>
      </w:pPr>
    </w:p>
    <w:p>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供应商名称</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（公章）</w:t>
      </w:r>
    </w:p>
    <w:p>
      <w:pPr>
        <w:keepNext w:val="0"/>
        <w:keepLines w:val="0"/>
        <w:pageBreakBefore w:val="0"/>
        <w:widowControl w:val="0"/>
        <w:kinsoku/>
        <w:wordWrap/>
        <w:overflowPunct/>
        <w:topLinePunct w:val="0"/>
        <w:autoSpaceDE/>
        <w:autoSpaceDN/>
        <w:bidi w:val="0"/>
        <w:adjustRightInd/>
        <w:snapToGrid/>
        <w:spacing w:line="240" w:lineRule="auto"/>
        <w:ind w:firstLine="1405" w:firstLineChars="5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w:t>
      </w:r>
    </w:p>
    <w:p>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或授权代表：</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pPr>
        <w:adjustRightInd w:val="0"/>
        <w:snapToGrid w:val="0"/>
        <w:spacing w:line="360" w:lineRule="auto"/>
        <w:rPr>
          <w:rFonts w:hint="eastAsia" w:ascii="仿宋" w:hAnsi="仿宋" w:eastAsia="仿宋" w:cs="仿宋"/>
          <w:b/>
          <w:color w:val="auto"/>
          <w:sz w:val="20"/>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rPr>
          <w:rFonts w:hint="eastAsia"/>
          <w:highlight w:val="none"/>
        </w:rPr>
      </w:pPr>
    </w:p>
    <w:p>
      <w:pPr>
        <w:spacing w:line="360" w:lineRule="auto"/>
        <w:jc w:val="center"/>
        <w:rPr>
          <w:rFonts w:hint="eastAsia" w:ascii="仿宋" w:hAnsi="仿宋" w:eastAsia="仿宋" w:cs="仿宋"/>
          <w:b/>
          <w:bCs/>
          <w:color w:val="auto"/>
          <w:spacing w:val="4"/>
          <w:sz w:val="48"/>
          <w:szCs w:val="48"/>
          <w:highlight w:val="none"/>
        </w:rPr>
      </w:pPr>
      <w:r>
        <w:rPr>
          <w:rFonts w:hint="eastAsia" w:ascii="仿宋" w:hAnsi="仿宋" w:eastAsia="仿宋" w:cs="仿宋"/>
          <w:b/>
          <w:bCs/>
          <w:color w:val="auto"/>
          <w:spacing w:val="4"/>
          <w:sz w:val="48"/>
          <w:szCs w:val="48"/>
          <w:highlight w:val="none"/>
        </w:rPr>
        <w:t>目   录</w:t>
      </w:r>
    </w:p>
    <w:p>
      <w:pPr>
        <w:spacing w:line="360" w:lineRule="auto"/>
        <w:jc w:val="left"/>
        <w:rPr>
          <w:rFonts w:hint="eastAsia" w:ascii="仿宋" w:hAnsi="仿宋" w:eastAsia="仿宋" w:cs="仿宋"/>
          <w:b/>
          <w:bCs/>
          <w:color w:val="auto"/>
          <w:spacing w:val="4"/>
          <w:sz w:val="32"/>
          <w:szCs w:val="32"/>
          <w:highlight w:val="none"/>
        </w:rPr>
      </w:pP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磋商函…………………………………………（页码）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法人授权委托书………………………………（页码）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报价表…………………………………………（页码）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近年承接的类似项目情况表…………………（页码）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项目实施</w:t>
      </w:r>
      <w:r>
        <w:rPr>
          <w:rFonts w:hint="eastAsia" w:ascii="仿宋" w:hAnsi="仿宋" w:eastAsia="仿宋" w:cs="仿宋"/>
          <w:color w:val="auto"/>
          <w:sz w:val="28"/>
          <w:szCs w:val="28"/>
          <w:highlight w:val="none"/>
        </w:rPr>
        <w:t>方案…………………………………（页码）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w:t>
      </w:r>
      <w:r>
        <w:rPr>
          <w:rFonts w:hint="eastAsia" w:ascii="仿宋" w:hAnsi="仿宋" w:eastAsia="仿宋" w:cs="仿宋"/>
          <w:color w:val="auto"/>
          <w:sz w:val="28"/>
          <w:szCs w:val="28"/>
          <w:highlight w:val="none"/>
          <w:lang w:val="en-US" w:eastAsia="zh-CN"/>
        </w:rPr>
        <w:t>和技术</w:t>
      </w:r>
      <w:r>
        <w:rPr>
          <w:rFonts w:hint="eastAsia" w:ascii="仿宋" w:hAnsi="仿宋" w:eastAsia="仿宋" w:cs="仿宋"/>
          <w:color w:val="auto"/>
          <w:sz w:val="28"/>
          <w:szCs w:val="28"/>
          <w:highlight w:val="none"/>
        </w:rPr>
        <w:t>偏离说明…………………………（页码）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资格证明文件…………………………………（页码）</w:t>
      </w:r>
    </w:p>
    <w:p>
      <w:pPr>
        <w:numPr>
          <w:ilvl w:val="0"/>
          <w:numId w:val="10"/>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其他资料………………………………………（页码）</w:t>
      </w:r>
    </w:p>
    <w:p>
      <w:pPr>
        <w:numPr>
          <w:ilvl w:val="0"/>
          <w:numId w:val="11"/>
        </w:numPr>
        <w:jc w:val="center"/>
        <w:rPr>
          <w:rFonts w:hint="eastAsia" w:ascii="仿宋" w:hAnsi="仿宋" w:eastAsia="仿宋" w:cs="仿宋"/>
          <w:b/>
          <w:bCs/>
          <w:color w:val="auto"/>
          <w:sz w:val="32"/>
          <w:szCs w:val="32"/>
          <w:highlight w:val="none"/>
        </w:rPr>
      </w:pPr>
      <w:r>
        <w:rPr>
          <w:rFonts w:hint="eastAsia" w:ascii="仿宋" w:hAnsi="仿宋" w:eastAsia="仿宋" w:cs="仿宋"/>
          <w:bCs/>
          <w:color w:val="auto"/>
          <w:sz w:val="32"/>
          <w:szCs w:val="32"/>
          <w:highlight w:val="none"/>
        </w:rPr>
        <w:br w:type="page"/>
      </w:r>
      <w:r>
        <w:rPr>
          <w:rFonts w:hint="eastAsia" w:ascii="仿宋" w:hAnsi="仿宋" w:eastAsia="仿宋" w:cs="仿宋"/>
          <w:b/>
          <w:bCs/>
          <w:color w:val="auto"/>
          <w:sz w:val="32"/>
          <w:szCs w:val="32"/>
          <w:highlight w:val="none"/>
        </w:rPr>
        <w:t>磋商函</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陕西德仁招标有限公司：</w:t>
      </w:r>
    </w:p>
    <w:p>
      <w:pPr>
        <w:autoSpaceDE w:val="0"/>
        <w:autoSpaceDN w:val="0"/>
        <w:adjustRightIn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我单位收到贵公司</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项目名称；项目编号</w:t>
      </w:r>
      <w:r>
        <w:rPr>
          <w:rFonts w:hint="eastAsia" w:ascii="仿宋" w:hAnsi="仿宋" w:eastAsia="仿宋" w:cs="仿宋"/>
          <w:color w:val="auto"/>
          <w:sz w:val="24"/>
          <w:szCs w:val="24"/>
          <w:highlight w:val="none"/>
          <w:u w:val="single"/>
          <w:lang w:val="zh-CN"/>
        </w:rPr>
        <w:t>）</w:t>
      </w:r>
      <w:r>
        <w:rPr>
          <w:rFonts w:hint="eastAsia" w:ascii="仿宋" w:hAnsi="仿宋" w:eastAsia="仿宋" w:cs="仿宋"/>
          <w:color w:val="auto"/>
          <w:sz w:val="24"/>
          <w:szCs w:val="24"/>
          <w:highlight w:val="none"/>
          <w:lang w:val="zh-CN"/>
        </w:rPr>
        <w:t>竞争性磋商文件，经详细研究，我们决定参加本次</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val="zh-CN"/>
        </w:rPr>
        <w:t>活动并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。为此，我方郑重声明以下诸点，并负法律责任。</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、愿意按照竞争性磋商采购文件中的一切要求，提供磋商技术服务，完成合同的责任和义务。</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、按竞争性磋商采购文件的规定，我公司的第一次磋商报价为：人民币（</w:t>
      </w:r>
      <w:r>
        <w:rPr>
          <w:rFonts w:hint="eastAsia" w:ascii="仿宋" w:hAnsi="仿宋" w:eastAsia="仿宋" w:cs="仿宋"/>
          <w:color w:val="auto"/>
          <w:sz w:val="24"/>
          <w:szCs w:val="24"/>
          <w:highlight w:val="none"/>
          <w:u w:val="single"/>
          <w:lang w:val="zh-CN"/>
        </w:rPr>
        <w:t>大写）：（￥：元）</w:t>
      </w:r>
      <w:r>
        <w:rPr>
          <w:rFonts w:hint="eastAsia" w:ascii="仿宋" w:hAnsi="仿宋" w:eastAsia="仿宋" w:cs="仿宋"/>
          <w:color w:val="auto"/>
          <w:sz w:val="24"/>
          <w:szCs w:val="24"/>
          <w:highlight w:val="none"/>
          <w:lang w:val="zh-CN"/>
        </w:rPr>
        <w:t>，并对其后的磋商报价负法律责任。</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、我方提交的磋商响应文件正本一份、副本二份、电子</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U盘</w:t>
      </w:r>
      <w:r>
        <w:rPr>
          <w:rFonts w:hint="eastAsia" w:ascii="仿宋" w:hAnsi="仿宋" w:eastAsia="仿宋" w:cs="仿宋"/>
          <w:color w:val="auto"/>
          <w:sz w:val="24"/>
          <w:szCs w:val="24"/>
          <w:highlight w:val="none"/>
          <w:lang w:val="zh-CN"/>
        </w:rPr>
        <w:t>）一份。</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、我方已详细阅读了竞争性磋商采购文件，完全理解并放弃提出含糊不清或易形成歧义的表述和资料。</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、磋商后在规定的有效期内撤回磋商，我方愿接受政府采购的有关处罚决定。</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、同意向贵方提供可能要求的，与本次磋商有关的任何证据或资料，我们完全理解最低磋商报价不作为成交的唯一条件，且尊重磋商小组的评审结论和结果。</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、我方的磋商响应文件在磋商后有效期为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日历天，若我方成交，磋商响应文件有效期延长至合同执行完毕。</w:t>
      </w:r>
    </w:p>
    <w:p>
      <w:pPr>
        <w:autoSpaceDE w:val="0"/>
        <w:autoSpaceDN w:val="0"/>
        <w:adjustRightInd w:val="0"/>
        <w:snapToGrid w:val="0"/>
        <w:spacing w:line="360" w:lineRule="auto"/>
        <w:ind w:firstLine="6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、有关于本磋商采购文件的函电，请按下列地址联系。</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地址：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rPr>
        <w:t xml:space="preserve">               </w:t>
      </w:r>
    </w:p>
    <w:p>
      <w:pPr>
        <w:pStyle w:val="74"/>
        <w:spacing w:line="360" w:lineRule="auto"/>
        <w:ind w:firstLine="3600" w:firstLineChars="15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日</w:t>
      </w:r>
    </w:p>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pPr>
        <w:overflowPunct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二、法定代表人身份证明</w:t>
      </w:r>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pPr>
              <w:tabs>
                <w:tab w:val="left" w:pos="210"/>
              </w:tabs>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致：陕西德仁招标有限公司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工商登记机关</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税务登记机关</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2"/>
                <w:szCs w:val="22"/>
                <w:highlight w:val="none"/>
                <w:lang w:val="en-US" w:eastAsia="zh-CN"/>
              </w:rPr>
              <w:t>统一社会信用代码</w:t>
            </w:r>
          </w:p>
        </w:tc>
        <w:tc>
          <w:tcPr>
            <w:tcW w:w="6271" w:type="dxa"/>
            <w:gridSpan w:val="3"/>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w:t>
            </w:r>
          </w:p>
          <w:p>
            <w:pPr>
              <w:tabs>
                <w:tab w:val="left" w:pos="210"/>
              </w:tabs>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人</w:t>
            </w: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1895"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c>
          <w:tcPr>
            <w:tcW w:w="2186"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性别</w:t>
            </w:r>
          </w:p>
        </w:tc>
        <w:tc>
          <w:tcPr>
            <w:tcW w:w="2190"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pPr>
              <w:tabs>
                <w:tab w:val="left" w:pos="210"/>
              </w:tabs>
              <w:spacing w:line="360" w:lineRule="auto"/>
              <w:ind w:firstLine="480" w:firstLineChars="200"/>
              <w:jc w:val="center"/>
              <w:rPr>
                <w:rFonts w:hint="eastAsia" w:ascii="仿宋" w:hAnsi="仿宋" w:eastAsia="仿宋" w:cs="仿宋"/>
                <w:color w:val="auto"/>
                <w:kern w:val="0"/>
                <w:sz w:val="24"/>
                <w:szCs w:val="24"/>
                <w:highlight w:val="none"/>
              </w:rPr>
            </w:pPr>
          </w:p>
        </w:tc>
        <w:tc>
          <w:tcPr>
            <w:tcW w:w="2030" w:type="dxa"/>
            <w:vAlign w:val="center"/>
          </w:tcPr>
          <w:p>
            <w:pPr>
              <w:tabs>
                <w:tab w:val="left" w:pos="210"/>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p>
        </w:tc>
        <w:tc>
          <w:tcPr>
            <w:tcW w:w="1895" w:type="dxa"/>
            <w:vAlign w:val="center"/>
          </w:tcPr>
          <w:p>
            <w:pPr>
              <w:tabs>
                <w:tab w:val="left" w:pos="210"/>
              </w:tabs>
              <w:spacing w:line="360" w:lineRule="auto"/>
              <w:jc w:val="left"/>
              <w:rPr>
                <w:rFonts w:hint="eastAsia" w:ascii="仿宋" w:hAnsi="仿宋" w:eastAsia="仿宋" w:cs="仿宋"/>
                <w:color w:val="auto"/>
                <w:kern w:val="0"/>
                <w:sz w:val="24"/>
                <w:szCs w:val="24"/>
                <w:highlight w:val="none"/>
              </w:rPr>
            </w:pPr>
          </w:p>
        </w:tc>
        <w:tc>
          <w:tcPr>
            <w:tcW w:w="2186"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190" w:type="dxa"/>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w:t>
            </w:r>
          </w:p>
          <w:p>
            <w:pPr>
              <w:tabs>
                <w:tab w:val="left" w:pos="21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人身份证复印件</w:t>
            </w:r>
          </w:p>
        </w:tc>
        <w:tc>
          <w:tcPr>
            <w:tcW w:w="3925" w:type="dxa"/>
            <w:gridSpan w:val="2"/>
            <w:vMerge w:val="restart"/>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（正反面）</w:t>
            </w:r>
          </w:p>
        </w:tc>
        <w:tc>
          <w:tcPr>
            <w:tcW w:w="4376" w:type="dxa"/>
            <w:gridSpan w:val="2"/>
            <w:vAlign w:val="center"/>
          </w:tcPr>
          <w:p>
            <w:pPr>
              <w:tabs>
                <w:tab w:val="left" w:pos="210"/>
              </w:tabs>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c>
          <w:tcPr>
            <w:tcW w:w="3925" w:type="dxa"/>
            <w:gridSpan w:val="2"/>
            <w:vMerge w:val="continue"/>
            <w:vAlign w:val="center"/>
          </w:tcPr>
          <w:p>
            <w:pPr>
              <w:tabs>
                <w:tab w:val="left" w:pos="210"/>
              </w:tabs>
              <w:spacing w:line="360" w:lineRule="auto"/>
              <w:ind w:firstLine="480" w:firstLineChars="200"/>
              <w:jc w:val="left"/>
              <w:rPr>
                <w:rFonts w:hint="eastAsia" w:ascii="仿宋" w:hAnsi="仿宋" w:eastAsia="仿宋" w:cs="仿宋"/>
                <w:color w:val="auto"/>
                <w:kern w:val="0"/>
                <w:sz w:val="24"/>
                <w:szCs w:val="24"/>
                <w:highlight w:val="none"/>
              </w:rPr>
            </w:pPr>
          </w:p>
        </w:tc>
        <w:tc>
          <w:tcPr>
            <w:tcW w:w="4376" w:type="dxa"/>
            <w:gridSpan w:val="2"/>
            <w:vAlign w:val="bottom"/>
          </w:tcPr>
          <w:p>
            <w:pPr>
              <w:tabs>
                <w:tab w:val="left" w:pos="210"/>
              </w:tabs>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（公章）</w:t>
            </w:r>
          </w:p>
          <w:p>
            <w:pPr>
              <w:tabs>
                <w:tab w:val="left" w:pos="210"/>
              </w:tabs>
              <w:spacing w:line="360" w:lineRule="auto"/>
              <w:jc w:val="left"/>
              <w:rPr>
                <w:rFonts w:hint="eastAsia" w:ascii="仿宋" w:hAnsi="仿宋" w:eastAsia="仿宋" w:cs="仿宋"/>
                <w:color w:val="auto"/>
                <w:kern w:val="0"/>
                <w:sz w:val="24"/>
                <w:szCs w:val="24"/>
                <w:highlight w:val="none"/>
              </w:rPr>
            </w:pPr>
          </w:p>
          <w:p>
            <w:pPr>
              <w:tabs>
                <w:tab w:val="left" w:pos="210"/>
              </w:tabs>
              <w:spacing w:line="360" w:lineRule="auto"/>
              <w:jc w:val="left"/>
              <w:rPr>
                <w:rFonts w:hint="eastAsia" w:ascii="仿宋" w:hAnsi="仿宋" w:eastAsia="仿宋" w:cs="仿宋"/>
                <w:color w:val="auto"/>
                <w:kern w:val="0"/>
                <w:sz w:val="24"/>
                <w:szCs w:val="24"/>
                <w:highlight w:val="none"/>
              </w:rPr>
            </w:pPr>
          </w:p>
          <w:p>
            <w:pPr>
              <w:tabs>
                <w:tab w:val="left" w:pos="210"/>
              </w:tabs>
              <w:spacing w:line="360" w:lineRule="auto"/>
              <w:jc w:val="left"/>
              <w:rPr>
                <w:rFonts w:hint="eastAsia" w:ascii="仿宋" w:hAnsi="仿宋" w:eastAsia="仿宋" w:cs="仿宋"/>
                <w:color w:val="auto"/>
                <w:kern w:val="0"/>
                <w:sz w:val="24"/>
                <w:szCs w:val="24"/>
                <w:highlight w:val="none"/>
              </w:rPr>
            </w:pPr>
          </w:p>
          <w:p>
            <w:pPr>
              <w:adjustRightInd w:val="0"/>
              <w:snapToGrid w:val="0"/>
              <w:spacing w:line="480" w:lineRule="auto"/>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tc>
      </w:tr>
    </w:tbl>
    <w:p>
      <w:pPr>
        <w:overflowPunct w:val="0"/>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Cs/>
          <w:color w:val="auto"/>
          <w:sz w:val="32"/>
          <w:szCs w:val="32"/>
          <w:highlight w:val="none"/>
        </w:rPr>
        <w:br w:type="page"/>
      </w:r>
      <w:r>
        <w:rPr>
          <w:rFonts w:hint="eastAsia" w:ascii="仿宋" w:hAnsi="仿宋" w:eastAsia="仿宋" w:cs="仿宋"/>
          <w:b/>
          <w:bCs/>
          <w:color w:val="auto"/>
          <w:sz w:val="32"/>
          <w:szCs w:val="32"/>
          <w:highlight w:val="none"/>
        </w:rPr>
        <w:t>三、法人授权委托书</w:t>
      </w:r>
    </w:p>
    <w:p>
      <w:pPr>
        <w:overflowPunct w:val="0"/>
        <w:spacing w:line="360" w:lineRule="auto"/>
        <w:ind w:left="125" w:leftChars="52" w:firstLine="550" w:firstLineChars="250"/>
        <w:rPr>
          <w:rFonts w:hint="eastAsia" w:ascii="仿宋" w:hAnsi="仿宋" w:eastAsia="仿宋" w:cs="仿宋"/>
          <w:color w:val="auto"/>
          <w:sz w:val="22"/>
          <w:szCs w:val="22"/>
          <w:highlight w:val="none"/>
        </w:rPr>
      </w:pPr>
    </w:p>
    <w:p>
      <w:pPr>
        <w:overflowPunct w:val="0"/>
        <w:spacing w:line="480" w:lineRule="auto"/>
        <w:ind w:left="125" w:leftChars="52"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本授权委托书声明：我（法定代表人姓名）系注册于</w:t>
      </w:r>
      <w:r>
        <w:rPr>
          <w:rFonts w:hint="eastAsia" w:ascii="仿宋" w:hAnsi="仿宋" w:eastAsia="仿宋" w:cs="仿宋"/>
          <w:color w:val="auto"/>
          <w:sz w:val="24"/>
          <w:szCs w:val="24"/>
          <w:highlight w:val="none"/>
          <w:u w:val="single"/>
        </w:rPr>
        <w:t xml:space="preserve">  （磋商供应商地址）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（磋商供应商名称）</w:t>
      </w:r>
      <w:r>
        <w:rPr>
          <w:rFonts w:hint="eastAsia" w:ascii="仿宋" w:hAnsi="仿宋" w:eastAsia="仿宋" w:cs="仿宋"/>
          <w:color w:val="auto"/>
          <w:sz w:val="24"/>
          <w:szCs w:val="24"/>
          <w:highlight w:val="none"/>
        </w:rPr>
        <w:t>的法定代表人，现授权（被授权人姓名、职务）为我公司合法代理人，就签署</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u w:val="single"/>
          <w:lang w:val="en-US" w:eastAsia="zh-CN"/>
        </w:rPr>
        <w:t>项目</w:t>
      </w:r>
      <w:r>
        <w:rPr>
          <w:rFonts w:hint="eastAsia" w:ascii="仿宋" w:hAnsi="仿宋" w:eastAsia="仿宋" w:cs="仿宋"/>
          <w:color w:val="auto"/>
          <w:sz w:val="24"/>
          <w:szCs w:val="24"/>
          <w:highlight w:val="none"/>
          <w:u w:val="single"/>
        </w:rPr>
        <w:t xml:space="preserve">编号）     </w:t>
      </w:r>
      <w:r>
        <w:rPr>
          <w:rFonts w:hint="eastAsia" w:ascii="仿宋" w:hAnsi="仿宋" w:eastAsia="仿宋" w:cs="仿宋"/>
          <w:color w:val="auto"/>
          <w:sz w:val="24"/>
          <w:szCs w:val="24"/>
          <w:highlight w:val="none"/>
        </w:rPr>
        <w:t>的磋商及合同的执行和完成，以本公司名义处理一切与之有关的事宜。</w:t>
      </w:r>
    </w:p>
    <w:p>
      <w:pPr>
        <w:overflowPunct w:val="0"/>
        <w:spacing w:line="360" w:lineRule="auto"/>
        <w:ind w:left="124" w:leftChars="51" w:hanging="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代理人无转委托权，特此委托。</w:t>
      </w:r>
    </w:p>
    <w:p>
      <w:pPr>
        <w:overflowPunct w:val="0"/>
        <w:spacing w:line="48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w:t>
      </w:r>
      <w:r>
        <w:rPr>
          <w:rFonts w:hint="eastAsia" w:ascii="仿宋" w:hAnsi="仿宋" w:eastAsia="仿宋" w:cs="仿宋"/>
          <w:color w:val="auto"/>
          <w:sz w:val="24"/>
          <w:szCs w:val="24"/>
          <w:highlight w:val="none"/>
          <w:lang w:val="en-US" w:eastAsia="zh-CN"/>
        </w:rPr>
        <w:t>人（签字或盖章）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被授权人签字：</w:t>
      </w:r>
    </w:p>
    <w:p>
      <w:pPr>
        <w:overflowPunct w:val="0"/>
        <w:spacing w:line="48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                         职        务：</w:t>
      </w:r>
    </w:p>
    <w:p>
      <w:pPr>
        <w:overflowPunct w:val="0"/>
        <w:spacing w:line="48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  份 证 号：                         身  份 证 号：</w:t>
      </w:r>
    </w:p>
    <w:p>
      <w:pPr>
        <w:overflowPunct w:val="0"/>
        <w:spacing w:line="48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附：法定代表人、被授权人身份证复印件。</w:t>
      </w:r>
    </w:p>
    <w:tbl>
      <w:tblPr>
        <w:tblStyle w:val="26"/>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p>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（正、反面）</w:t>
            </w:r>
          </w:p>
        </w:tc>
        <w:tc>
          <w:tcPr>
            <w:tcW w:w="4790" w:type="dxa"/>
            <w:tcBorders>
              <w:left w:val="single" w:color="auto" w:sz="4" w:space="0"/>
            </w:tcBorders>
            <w:vAlign w:val="center"/>
          </w:tcPr>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pPr>
              <w:overflowPunct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（正、反面）</w:t>
            </w:r>
          </w:p>
        </w:tc>
      </w:tr>
    </w:tbl>
    <w:p>
      <w:pPr>
        <w:overflowPunct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（本授权的有效期为磋商之日起90个日历日）</w:t>
      </w:r>
    </w:p>
    <w:p>
      <w:pPr>
        <w:overflowPunct w:val="0"/>
        <w:spacing w:line="360" w:lineRule="auto"/>
        <w:ind w:firstLine="5520" w:firstLineChars="2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供应商名称（盖章）：</w:t>
      </w:r>
      <w:r>
        <w:rPr>
          <w:rFonts w:hint="eastAsia" w:ascii="仿宋" w:hAnsi="仿宋" w:eastAsia="仿宋" w:cs="仿宋"/>
          <w:color w:val="auto"/>
          <w:sz w:val="24"/>
          <w:szCs w:val="24"/>
          <w:highlight w:val="none"/>
          <w:u w:val="single"/>
        </w:rPr>
        <w:t xml:space="preserve">               </w:t>
      </w:r>
    </w:p>
    <w:p>
      <w:pPr>
        <w:overflowPunct w:val="0"/>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lang w:eastAsia="zh-CN"/>
        </w:rPr>
      </w:pPr>
      <w:bookmarkStart w:id="168" w:name="_Toc26642"/>
      <w:bookmarkStart w:id="169" w:name="_Toc18383"/>
      <w:r>
        <w:rPr>
          <w:rFonts w:hint="eastAsia" w:ascii="仿宋" w:hAnsi="仿宋" w:eastAsia="仿宋" w:cs="仿宋"/>
          <w:b/>
          <w:bCs/>
          <w:color w:val="auto"/>
          <w:sz w:val="32"/>
          <w:szCs w:val="32"/>
          <w:highlight w:val="none"/>
        </w:rPr>
        <w:t>四、报价表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第一次</w:t>
      </w:r>
      <w:r>
        <w:rPr>
          <w:rFonts w:hint="eastAsia" w:ascii="仿宋" w:hAnsi="仿宋" w:eastAsia="仿宋" w:cs="仿宋"/>
          <w:b/>
          <w:bCs/>
          <w:color w:val="auto"/>
          <w:sz w:val="32"/>
          <w:szCs w:val="32"/>
          <w:highlight w:val="none"/>
          <w:lang w:eastAsia="zh-CN"/>
        </w:rPr>
        <w:t>）</w:t>
      </w:r>
      <w:bookmarkEnd w:id="168"/>
      <w:bookmarkEnd w:id="169"/>
    </w:p>
    <w:tbl>
      <w:tblPr>
        <w:tblStyle w:val="26"/>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67" w:type="dxa"/>
            <w:vAlign w:val="center"/>
          </w:tcPr>
          <w:p>
            <w:pPr>
              <w:widowControl/>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667" w:type="dxa"/>
            <w:vAlign w:val="center"/>
          </w:tcPr>
          <w:p>
            <w:pPr>
              <w:jc w:val="center"/>
              <w:rPr>
                <w:rFonts w:hint="eastAsia" w:ascii="仿宋" w:hAnsi="仿宋" w:eastAsia="仿宋" w:cs="仿宋"/>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报价</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6667"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pPr>
              <w:pStyle w:val="1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w:t>
            </w:r>
          </w:p>
        </w:tc>
        <w:tc>
          <w:tcPr>
            <w:tcW w:w="6667" w:type="dxa"/>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667" w:type="dxa"/>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w:t>
            </w:r>
            <w:r>
              <w:rPr>
                <w:rFonts w:hint="eastAsia" w:ascii="仿宋" w:hAnsi="仿宋" w:eastAsia="仿宋" w:cs="仿宋"/>
                <w:color w:val="auto"/>
                <w:sz w:val="24"/>
                <w:szCs w:val="24"/>
                <w:highlight w:val="none"/>
                <w:lang w:eastAsia="zh-CN"/>
              </w:rPr>
              <w:t>报价为</w:t>
            </w:r>
            <w:r>
              <w:rPr>
                <w:rFonts w:hint="eastAsia" w:ascii="仿宋" w:hAnsi="仿宋" w:eastAsia="仿宋" w:cs="仿宋"/>
                <w:color w:val="auto"/>
                <w:sz w:val="24"/>
                <w:szCs w:val="24"/>
                <w:highlight w:val="none"/>
              </w:rPr>
              <w:t>供应商完成磋商项目所需的全部费用（包括劳务费、国家按现行税收政策征收的一切税费等）。</w:t>
            </w:r>
          </w:p>
          <w:p>
            <w:pPr>
              <w:pStyle w:val="3"/>
              <w:rPr>
                <w:rFonts w:hint="eastAsia" w:eastAsia="仿宋"/>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.磋商报价以元为单位，</w:t>
            </w:r>
            <w:r>
              <w:rPr>
                <w:rFonts w:hint="eastAsia" w:ascii="仿宋" w:hAnsi="仿宋" w:eastAsia="仿宋" w:cs="仿宋"/>
                <w:color w:val="auto"/>
                <w:sz w:val="24"/>
                <w:szCs w:val="24"/>
                <w:highlight w:val="none"/>
                <w:lang w:val="en-US" w:eastAsia="zh-CN"/>
              </w:rPr>
              <w:t>保留小数点后两位，</w:t>
            </w:r>
            <w:r>
              <w:rPr>
                <w:rFonts w:hint="eastAsia" w:ascii="仿宋" w:hAnsi="仿宋" w:eastAsia="仿宋" w:cs="仿宋"/>
                <w:color w:val="auto"/>
                <w:sz w:val="24"/>
                <w:szCs w:val="24"/>
                <w:highlight w:val="none"/>
              </w:rPr>
              <w:t>大小写不一致时，以大写为准。</w:t>
            </w:r>
          </w:p>
        </w:tc>
      </w:tr>
    </w:tbl>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ind w:firstLine="3828" w:firstLineChars="159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(签字或盖章)</w:t>
      </w:r>
    </w:p>
    <w:p>
      <w:pPr>
        <w:overflowPunct w:val="0"/>
        <w:spacing w:line="360" w:lineRule="auto"/>
        <w:jc w:val="center"/>
        <w:rPr>
          <w:rFonts w:hint="eastAsia" w:ascii="仿宋" w:hAnsi="仿宋" w:eastAsia="仿宋" w:cs="仿宋"/>
          <w:color w:val="auto"/>
          <w:sz w:val="24"/>
          <w:szCs w:val="24"/>
          <w:highlight w:val="none"/>
        </w:rPr>
        <w:sectPr>
          <w:pgSz w:w="11906" w:h="16838"/>
          <w:pgMar w:top="1440" w:right="1059" w:bottom="1440" w:left="1387" w:header="850" w:footer="992" w:gutter="0"/>
          <w:pgNumType w:fmt="numberInDash"/>
          <w:cols w:space="0" w:num="1"/>
          <w:docGrid w:type="lines" w:linePitch="317" w:charSpace="0"/>
        </w:sectPr>
      </w:pPr>
      <w:r>
        <w:rPr>
          <w:rFonts w:hint="eastAsia" w:ascii="仿宋" w:hAnsi="仿宋" w:eastAsia="仿宋" w:cs="仿宋"/>
          <w:color w:val="auto"/>
          <w:sz w:val="24"/>
          <w:szCs w:val="24"/>
          <w:highlight w:val="none"/>
        </w:rPr>
        <w:t xml:space="preserve">          日      期：  年  月   日</w:t>
      </w:r>
    </w:p>
    <w:p>
      <w:pPr>
        <w:pStyle w:val="3"/>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分项报价表（第一次）</w:t>
      </w:r>
    </w:p>
    <w:p>
      <w:pPr>
        <w:spacing w:line="360" w:lineRule="auto"/>
        <w:ind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spacing w:line="360" w:lineRule="auto"/>
        <w:ind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tbl>
      <w:tblPr>
        <w:tblStyle w:val="26"/>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315" w:type="dxa"/>
            <w:noWrap w:val="0"/>
            <w:vAlign w:val="center"/>
          </w:tcPr>
          <w:p>
            <w:pPr>
              <w:overflowPunct w:val="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服务内容</w:t>
            </w:r>
          </w:p>
        </w:tc>
        <w:tc>
          <w:tcPr>
            <w:tcW w:w="1247" w:type="dxa"/>
            <w:noWrap w:val="0"/>
            <w:vAlign w:val="center"/>
          </w:tcPr>
          <w:p>
            <w:pPr>
              <w:overflowPunct w:val="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单位</w:t>
            </w:r>
          </w:p>
        </w:tc>
        <w:tc>
          <w:tcPr>
            <w:tcW w:w="1185"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1267" w:type="dxa"/>
            <w:noWrap w:val="0"/>
            <w:vAlign w:val="center"/>
          </w:tcPr>
          <w:p>
            <w:pPr>
              <w:overflowPunct w:val="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单价</w:t>
            </w:r>
            <w:r>
              <w:rPr>
                <w:rFonts w:hint="eastAsia" w:ascii="仿宋" w:hAnsi="仿宋" w:eastAsia="仿宋" w:cs="仿宋"/>
                <w:b/>
                <w:bCs/>
                <w:color w:val="auto"/>
                <w:sz w:val="24"/>
                <w:highlight w:val="none"/>
                <w:lang w:val="en-US" w:eastAsia="zh-CN"/>
              </w:rPr>
              <w:t>（元）</w:t>
            </w:r>
          </w:p>
        </w:tc>
        <w:tc>
          <w:tcPr>
            <w:tcW w:w="1446"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合计</w:t>
            </w:r>
          </w:p>
        </w:tc>
        <w:tc>
          <w:tcPr>
            <w:tcW w:w="884"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2315" w:type="dxa"/>
            <w:noWrap w:val="0"/>
            <w:vAlign w:val="center"/>
          </w:tcPr>
          <w:p>
            <w:pPr>
              <w:pStyle w:val="4"/>
              <w:ind w:left="0" w:leftChars="0" w:firstLine="0" w:firstLineChars="0"/>
              <w:rPr>
                <w:rFonts w:hint="default" w:eastAsia="仿宋"/>
                <w:highlight w:val="none"/>
                <w:lang w:val="en-US" w:eastAsia="zh-CN"/>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noWrap w:val="0"/>
            <w:vAlign w:val="center"/>
          </w:tcPr>
          <w:p>
            <w:pPr>
              <w:pStyle w:val="3"/>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lang w:val="en-US" w:eastAsia="zh-CN"/>
              </w:rPr>
              <w:t>合计</w:t>
            </w:r>
          </w:p>
        </w:tc>
        <w:tc>
          <w:tcPr>
            <w:tcW w:w="6029" w:type="dxa"/>
            <w:gridSpan w:val="5"/>
            <w:noWrap w:val="0"/>
            <w:vAlign w:val="center"/>
          </w:tcPr>
          <w:p>
            <w:pPr>
              <w:pStyle w:val="3"/>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p>
            <w:pPr>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lang w:val="en-US" w:eastAsia="zh-CN"/>
              </w:rPr>
              <w:t>小写：</w:t>
            </w:r>
          </w:p>
        </w:tc>
      </w:tr>
    </w:tbl>
    <w:p>
      <w:pPr>
        <w:spacing w:line="360" w:lineRule="auto"/>
        <w:ind w:firstLine="3840" w:firstLineChars="1600"/>
        <w:jc w:val="left"/>
        <w:rPr>
          <w:rFonts w:hint="eastAsia" w:ascii="仿宋" w:hAnsi="仿宋" w:eastAsia="仿宋" w:cs="仿宋"/>
          <w:color w:val="auto"/>
          <w:sz w:val="24"/>
          <w:szCs w:val="24"/>
          <w:highlight w:val="none"/>
        </w:rPr>
      </w:pPr>
    </w:p>
    <w:p>
      <w:pPr>
        <w:spacing w:line="360" w:lineRule="auto"/>
        <w:ind w:firstLine="3840" w:firstLineChars="1600"/>
        <w:jc w:val="left"/>
        <w:rPr>
          <w:rFonts w:hint="eastAsia" w:ascii="仿宋" w:hAnsi="仿宋" w:eastAsia="仿宋" w:cs="仿宋"/>
          <w:color w:val="auto"/>
          <w:sz w:val="24"/>
          <w:szCs w:val="24"/>
          <w:highlight w:val="none"/>
        </w:rPr>
      </w:pPr>
    </w:p>
    <w:p>
      <w:pPr>
        <w:spacing w:line="360" w:lineRule="auto"/>
        <w:ind w:firstLine="3840" w:firstLineChars="16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(签字或盖章)</w:t>
      </w:r>
    </w:p>
    <w:p>
      <w:pPr>
        <w:overflowPunct w:val="0"/>
        <w:spacing w:line="360" w:lineRule="auto"/>
        <w:jc w:val="center"/>
        <w:rPr>
          <w:rFonts w:hint="eastAsia" w:ascii="仿宋" w:hAnsi="仿宋" w:eastAsia="仿宋" w:cs="仿宋"/>
          <w:color w:val="auto"/>
          <w:sz w:val="24"/>
          <w:szCs w:val="24"/>
          <w:highlight w:val="none"/>
          <w:lang w:val="en-US" w:eastAsia="zh-CN"/>
        </w:rPr>
        <w:sectPr>
          <w:pgSz w:w="11906" w:h="16838"/>
          <w:pgMar w:top="1440" w:right="1059" w:bottom="1440" w:left="1387" w:header="850" w:footer="992" w:gutter="0"/>
          <w:pgNumType w:fmt="numberInDash"/>
          <w:cols w:space="0" w:num="1"/>
          <w:docGrid w:type="lines" w:linePitch="317" w:charSpace="0"/>
        </w:sectPr>
      </w:pPr>
      <w:r>
        <w:rPr>
          <w:rFonts w:hint="eastAsia" w:ascii="仿宋" w:hAnsi="仿宋" w:eastAsia="仿宋" w:cs="仿宋"/>
          <w:color w:val="auto"/>
          <w:sz w:val="24"/>
          <w:szCs w:val="24"/>
          <w:highlight w:val="none"/>
        </w:rPr>
        <w:t xml:space="preserve">          日      期：  年  月  </w:t>
      </w:r>
      <w:r>
        <w:rPr>
          <w:rFonts w:hint="eastAsia" w:ascii="仿宋" w:hAnsi="仿宋" w:eastAsia="仿宋" w:cs="仿宋"/>
          <w:color w:val="auto"/>
          <w:sz w:val="24"/>
          <w:szCs w:val="24"/>
          <w:highlight w:val="none"/>
          <w:lang w:val="en-US" w:eastAsia="zh-CN"/>
        </w:rPr>
        <w:t>日</w:t>
      </w:r>
    </w:p>
    <w:p>
      <w:pPr>
        <w:overflowPunct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、近三年承接的类似项目情况表</w:t>
      </w:r>
    </w:p>
    <w:p>
      <w:pPr>
        <w:keepNext/>
        <w:keepLines/>
        <w:spacing w:line="240" w:lineRule="auto"/>
        <w:jc w:val="center"/>
        <w:rPr>
          <w:rFonts w:hint="eastAsia" w:ascii="仿宋" w:hAnsi="仿宋" w:eastAsia="仿宋" w:cs="仿宋"/>
          <w:b/>
          <w:bCs/>
          <w:color w:val="auto"/>
          <w:sz w:val="28"/>
          <w:szCs w:val="28"/>
          <w:highlight w:val="none"/>
        </w:rPr>
      </w:pPr>
      <w:bookmarkStart w:id="170" w:name="_Toc6236"/>
      <w:bookmarkStart w:id="171" w:name="_Toc711"/>
      <w:bookmarkStart w:id="172" w:name="_Toc9895"/>
      <w:bookmarkStart w:id="173" w:name="_Toc12299"/>
      <w:r>
        <w:rPr>
          <w:rFonts w:hint="eastAsia" w:ascii="仿宋" w:hAnsi="仿宋" w:eastAsia="仿宋" w:cs="仿宋"/>
          <w:b/>
          <w:bCs/>
          <w:color w:val="auto"/>
          <w:sz w:val="28"/>
          <w:szCs w:val="28"/>
          <w:highlight w:val="none"/>
        </w:rPr>
        <w:t>1、业绩统计表</w:t>
      </w:r>
      <w:bookmarkEnd w:id="170"/>
      <w:bookmarkEnd w:id="171"/>
      <w:bookmarkEnd w:id="172"/>
      <w:bookmarkEnd w:id="173"/>
    </w:p>
    <w:p>
      <w:pPr>
        <w:rPr>
          <w:rFonts w:hint="eastAsia" w:ascii="仿宋" w:hAnsi="仿宋" w:eastAsia="仿宋" w:cs="仿宋"/>
          <w:color w:val="auto"/>
          <w:sz w:val="22"/>
          <w:szCs w:val="28"/>
          <w:highlight w:val="none"/>
        </w:rPr>
      </w:pP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hint="eastAsia" w:ascii="仿宋" w:hAnsi="仿宋" w:eastAsia="仿宋" w:cs="仿宋"/>
                <w:color w:val="auto"/>
                <w:sz w:val="24"/>
                <w:szCs w:val="24"/>
                <w:highlight w:val="none"/>
              </w:rPr>
            </w:pPr>
            <w:bookmarkStart w:id="174" w:name="_Toc11643"/>
            <w:bookmarkStart w:id="175" w:name="_Toc17531"/>
            <w:bookmarkStart w:id="176" w:name="_Toc32041"/>
            <w:bookmarkStart w:id="177" w:name="_Toc18459"/>
            <w:r>
              <w:rPr>
                <w:rFonts w:hint="eastAsia" w:ascii="仿宋" w:hAnsi="仿宋" w:eastAsia="仿宋" w:cs="仿宋"/>
                <w:color w:val="auto"/>
                <w:sz w:val="24"/>
                <w:szCs w:val="24"/>
                <w:highlight w:val="none"/>
              </w:rPr>
              <w:t>序号</w:t>
            </w:r>
            <w:bookmarkEnd w:id="174"/>
            <w:bookmarkEnd w:id="175"/>
            <w:bookmarkEnd w:id="176"/>
            <w:bookmarkEnd w:id="177"/>
          </w:p>
        </w:tc>
        <w:tc>
          <w:tcPr>
            <w:tcW w:w="3316" w:type="dxa"/>
            <w:vAlign w:val="center"/>
          </w:tcPr>
          <w:p>
            <w:pPr>
              <w:keepNext/>
              <w:keepLines/>
              <w:ind w:firstLine="720" w:firstLineChars="300"/>
              <w:rPr>
                <w:rFonts w:hint="eastAsia" w:ascii="仿宋" w:hAnsi="仿宋" w:eastAsia="仿宋" w:cs="仿宋"/>
                <w:color w:val="auto"/>
                <w:sz w:val="24"/>
                <w:szCs w:val="24"/>
                <w:highlight w:val="none"/>
              </w:rPr>
            </w:pPr>
            <w:bookmarkStart w:id="178" w:name="_Toc8421"/>
            <w:bookmarkStart w:id="179" w:name="_Toc15125"/>
            <w:bookmarkStart w:id="180" w:name="_Toc7655"/>
            <w:bookmarkStart w:id="181" w:name="_Toc21399"/>
            <w:r>
              <w:rPr>
                <w:rFonts w:hint="eastAsia" w:ascii="仿宋" w:hAnsi="仿宋" w:eastAsia="仿宋" w:cs="仿宋"/>
                <w:color w:val="auto"/>
                <w:sz w:val="24"/>
                <w:szCs w:val="24"/>
                <w:highlight w:val="none"/>
              </w:rPr>
              <w:t>业绩名称</w:t>
            </w:r>
            <w:bookmarkEnd w:id="178"/>
            <w:bookmarkEnd w:id="179"/>
            <w:bookmarkEnd w:id="180"/>
            <w:bookmarkEnd w:id="181"/>
          </w:p>
        </w:tc>
        <w:tc>
          <w:tcPr>
            <w:tcW w:w="2280" w:type="dxa"/>
            <w:vAlign w:val="center"/>
          </w:tcPr>
          <w:p>
            <w:pPr>
              <w:keepNext/>
              <w:keepLines/>
              <w:ind w:firstLine="480" w:firstLineChars="200"/>
              <w:rPr>
                <w:rFonts w:hint="eastAsia" w:ascii="仿宋" w:hAnsi="仿宋" w:eastAsia="仿宋" w:cs="仿宋"/>
                <w:color w:val="auto"/>
                <w:sz w:val="24"/>
                <w:szCs w:val="24"/>
                <w:highlight w:val="none"/>
              </w:rPr>
            </w:pPr>
            <w:bookmarkStart w:id="182" w:name="_Toc21582"/>
            <w:bookmarkStart w:id="183" w:name="_Toc10940"/>
            <w:bookmarkStart w:id="184" w:name="_Toc27463"/>
            <w:bookmarkStart w:id="185" w:name="_Toc24868"/>
            <w:r>
              <w:rPr>
                <w:rFonts w:hint="eastAsia" w:ascii="仿宋" w:hAnsi="仿宋" w:eastAsia="仿宋" w:cs="仿宋"/>
                <w:color w:val="auto"/>
                <w:sz w:val="24"/>
                <w:szCs w:val="24"/>
                <w:highlight w:val="none"/>
              </w:rPr>
              <w:t>执行时间</w:t>
            </w:r>
            <w:bookmarkEnd w:id="182"/>
            <w:bookmarkEnd w:id="183"/>
            <w:bookmarkEnd w:id="184"/>
            <w:bookmarkEnd w:id="185"/>
          </w:p>
        </w:tc>
        <w:tc>
          <w:tcPr>
            <w:tcW w:w="2281" w:type="dxa"/>
            <w:vAlign w:val="center"/>
          </w:tcPr>
          <w:p>
            <w:pPr>
              <w:keepNext/>
              <w:keepLines/>
              <w:ind w:firstLine="720" w:firstLineChars="300"/>
              <w:rPr>
                <w:rFonts w:hint="eastAsia" w:ascii="仿宋" w:hAnsi="仿宋" w:eastAsia="仿宋" w:cs="仿宋"/>
                <w:color w:val="auto"/>
                <w:sz w:val="24"/>
                <w:szCs w:val="24"/>
                <w:highlight w:val="none"/>
              </w:rPr>
            </w:pPr>
            <w:bookmarkStart w:id="186" w:name="_Toc25473"/>
            <w:bookmarkStart w:id="187" w:name="_Toc30689"/>
            <w:bookmarkStart w:id="188" w:name="_Toc5850"/>
            <w:bookmarkStart w:id="189" w:name="_Toc16665"/>
            <w:r>
              <w:rPr>
                <w:rFonts w:hint="eastAsia" w:ascii="仿宋" w:hAnsi="仿宋" w:eastAsia="仿宋" w:cs="仿宋"/>
                <w:color w:val="auto"/>
                <w:sz w:val="24"/>
                <w:szCs w:val="24"/>
                <w:highlight w:val="none"/>
              </w:rPr>
              <w:t>备注</w:t>
            </w:r>
            <w:bookmarkEnd w:id="186"/>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hint="eastAsia" w:ascii="仿宋" w:hAnsi="仿宋" w:eastAsia="仿宋" w:cs="仿宋"/>
                <w:color w:val="auto"/>
                <w:sz w:val="24"/>
                <w:szCs w:val="24"/>
                <w:highlight w:val="none"/>
              </w:rPr>
            </w:pPr>
          </w:p>
        </w:tc>
        <w:tc>
          <w:tcPr>
            <w:tcW w:w="3316" w:type="dxa"/>
            <w:vAlign w:val="center"/>
          </w:tcPr>
          <w:p>
            <w:pPr>
              <w:keepNext/>
              <w:keepLines/>
              <w:rPr>
                <w:rFonts w:hint="eastAsia" w:ascii="仿宋" w:hAnsi="仿宋" w:eastAsia="仿宋" w:cs="仿宋"/>
                <w:color w:val="auto"/>
                <w:sz w:val="24"/>
                <w:szCs w:val="24"/>
                <w:highlight w:val="none"/>
              </w:rPr>
            </w:pPr>
          </w:p>
        </w:tc>
        <w:tc>
          <w:tcPr>
            <w:tcW w:w="2280" w:type="dxa"/>
            <w:vAlign w:val="center"/>
          </w:tcPr>
          <w:p>
            <w:pPr>
              <w:keepNext/>
              <w:keepLines/>
              <w:rPr>
                <w:rFonts w:hint="eastAsia" w:ascii="仿宋" w:hAnsi="仿宋" w:eastAsia="仿宋" w:cs="仿宋"/>
                <w:color w:val="auto"/>
                <w:sz w:val="24"/>
                <w:szCs w:val="24"/>
                <w:highlight w:val="none"/>
              </w:rPr>
            </w:pPr>
          </w:p>
        </w:tc>
        <w:tc>
          <w:tcPr>
            <w:tcW w:w="2281" w:type="dxa"/>
            <w:vAlign w:val="center"/>
          </w:tcPr>
          <w:p>
            <w:pPr>
              <w:keepNext/>
              <w:keepLines/>
              <w:rPr>
                <w:rFonts w:hint="eastAsia" w:ascii="仿宋" w:hAnsi="仿宋" w:eastAsia="仿宋" w:cs="仿宋"/>
                <w:color w:val="auto"/>
                <w:sz w:val="24"/>
                <w:szCs w:val="24"/>
                <w:highlight w:val="none"/>
              </w:rPr>
            </w:pPr>
          </w:p>
        </w:tc>
      </w:tr>
    </w:tbl>
    <w:p>
      <w:pPr>
        <w:outlineLvl w:val="9"/>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spacing w:line="360" w:lineRule="auto"/>
        <w:ind w:firstLine="3828" w:firstLineChars="159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p>
    <w:p>
      <w:pPr>
        <w:spacing w:line="360" w:lineRule="auto"/>
        <w:ind w:firstLine="3828" w:firstLineChars="15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(签字或盖章)</w:t>
      </w:r>
    </w:p>
    <w:p>
      <w:pPr>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      期：  年  月   日</w:t>
      </w:r>
      <w:r>
        <w:rPr>
          <w:rFonts w:hint="eastAsia" w:ascii="仿宋" w:hAnsi="仿宋" w:eastAsia="仿宋" w:cs="仿宋"/>
          <w:b/>
          <w:color w:val="auto"/>
          <w:sz w:val="28"/>
          <w:szCs w:val="28"/>
          <w:highlight w:val="none"/>
        </w:rPr>
        <w:br w:type="page"/>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2、附表</w:t>
      </w:r>
    </w:p>
    <w:tbl>
      <w:tblPr>
        <w:tblStyle w:val="2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名称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地址</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联系电话</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金额</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项目完成时间</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承担的工作</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147" w:type="dxa"/>
            <w:vAlign w:val="center"/>
          </w:tcPr>
          <w:p>
            <w:pPr>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147" w:type="dxa"/>
            <w:vAlign w:val="center"/>
          </w:tcPr>
          <w:p>
            <w:pPr>
              <w:jc w:val="left"/>
              <w:rPr>
                <w:rFonts w:hint="eastAsia" w:ascii="仿宋" w:hAnsi="仿宋" w:eastAsia="仿宋" w:cs="仿宋"/>
                <w:color w:val="auto"/>
                <w:sz w:val="24"/>
                <w:szCs w:val="24"/>
                <w:highlight w:val="none"/>
              </w:rPr>
            </w:pPr>
          </w:p>
        </w:tc>
      </w:tr>
    </w:tbl>
    <w:p>
      <w:pPr>
        <w:jc w:val="left"/>
        <w:rPr>
          <w:rFonts w:hint="eastAsia" w:ascii="仿宋" w:hAnsi="仿宋" w:eastAsia="仿宋" w:cs="仿宋"/>
          <w:color w:val="auto"/>
          <w:sz w:val="22"/>
          <w:szCs w:val="22"/>
          <w:highlight w:val="none"/>
        </w:rPr>
      </w:pP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注：1、本表可复制，一个业绩附一张表。</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2、附同类型业绩的合同复印件。</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3、以上资料复印件（加盖供应商公章），附在响应文件中的“近年承接的类似项目情况表”后。</w:t>
      </w:r>
    </w:p>
    <w:p>
      <w:pP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br w:type="page"/>
      </w:r>
    </w:p>
    <w:p>
      <w:pPr>
        <w:pStyle w:val="13"/>
        <w:spacing w:before="120"/>
        <w:ind w:left="0" w:right="34"/>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val="en-US" w:eastAsia="zh-CN"/>
        </w:rPr>
        <w:t>六</w:t>
      </w:r>
      <w:r>
        <w:rPr>
          <w:rFonts w:hint="eastAsia" w:ascii="仿宋" w:hAnsi="仿宋" w:eastAsia="仿宋" w:cs="仿宋"/>
          <w:b/>
          <w:bCs/>
          <w:color w:val="auto"/>
          <w:kern w:val="2"/>
          <w:sz w:val="32"/>
          <w:szCs w:val="32"/>
          <w:highlight w:val="none"/>
        </w:rPr>
        <w:t>、</w:t>
      </w:r>
      <w:r>
        <w:rPr>
          <w:rFonts w:hint="eastAsia" w:ascii="仿宋" w:hAnsi="仿宋" w:eastAsia="仿宋" w:cs="仿宋"/>
          <w:b/>
          <w:bCs/>
          <w:color w:val="auto"/>
          <w:kern w:val="2"/>
          <w:sz w:val="32"/>
          <w:szCs w:val="32"/>
          <w:highlight w:val="none"/>
          <w:lang w:val="en-US" w:eastAsia="zh-CN"/>
        </w:rPr>
        <w:t>项目实施</w:t>
      </w:r>
      <w:r>
        <w:rPr>
          <w:rFonts w:hint="eastAsia" w:ascii="仿宋" w:hAnsi="仿宋" w:eastAsia="仿宋" w:cs="仿宋"/>
          <w:b/>
          <w:bCs/>
          <w:color w:val="auto"/>
          <w:kern w:val="2"/>
          <w:sz w:val="32"/>
          <w:szCs w:val="32"/>
          <w:highlight w:val="none"/>
        </w:rPr>
        <w:t>方案</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200025</wp:posOffset>
                </wp:positionV>
                <wp:extent cx="526161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616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5pt;margin-top:15.75pt;height:0.05pt;width:414.3pt;z-index:251659264;mso-width-relative:page;mso-height-relative:page;" filled="f" stroked="t" coordsize="21600,21600" o:gfxdata="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gPMEjXAAAACAEAAA8AAAAAAAAAAQAgAAAAIgAAAGRycy9kb3ducmV2LnhtbFBLAQIUABQA&#10;AAAIAIdO4kDgb7F28QEAAOgDAAAOAAAAAAAAAAEAIAAAACYBAABkcnMvZTJvRG9jLnhtbFBLBQYA&#10;AAAABgAGAFkBAACJBQAAAAA=&#10;">
                <v:fill on="f" focussize="0,0"/>
                <v:stroke color="#000000" joinstyle="round"/>
                <v:imagedata o:title=""/>
                <o:lock v:ext="edit" aspectratio="f"/>
              </v:line>
            </w:pict>
          </mc:Fallback>
        </mc:AlternateContent>
      </w:r>
    </w:p>
    <w:p>
      <w:pPr>
        <w:rPr>
          <w:rFonts w:hint="eastAsia" w:ascii="仿宋" w:hAnsi="仿宋" w:eastAsia="仿宋" w:cs="仿宋"/>
          <w:bCs/>
          <w:i/>
          <w:iCs/>
          <w:color w:val="auto"/>
          <w:sz w:val="22"/>
          <w:szCs w:val="22"/>
          <w:highlight w:val="none"/>
        </w:rPr>
      </w:pPr>
      <w:r>
        <w:rPr>
          <w:rFonts w:hint="eastAsia" w:ascii="仿宋" w:hAnsi="仿宋" w:eastAsia="仿宋" w:cs="仿宋"/>
          <w:bCs/>
          <w:i/>
          <w:iCs/>
          <w:color w:val="auto"/>
          <w:sz w:val="22"/>
          <w:szCs w:val="22"/>
          <w:highlight w:val="none"/>
        </w:rPr>
        <w:br w:type="page"/>
      </w:r>
    </w:p>
    <w:p>
      <w:pPr>
        <w:pStyle w:val="76"/>
        <w:ind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1.拟派项目负责人简历表</w:t>
      </w: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姓  名</w:t>
            </w:r>
          </w:p>
        </w:tc>
        <w:tc>
          <w:tcPr>
            <w:tcW w:w="1703"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970"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性别</w:t>
            </w:r>
          </w:p>
        </w:tc>
        <w:tc>
          <w:tcPr>
            <w:tcW w:w="2156" w:type="dxa"/>
            <w:gridSpan w:val="2"/>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293"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年龄</w:t>
            </w:r>
          </w:p>
        </w:tc>
        <w:tc>
          <w:tcPr>
            <w:tcW w:w="1370"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职 称</w:t>
            </w:r>
          </w:p>
        </w:tc>
        <w:tc>
          <w:tcPr>
            <w:tcW w:w="1703"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970"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学历</w:t>
            </w:r>
          </w:p>
        </w:tc>
        <w:tc>
          <w:tcPr>
            <w:tcW w:w="2156" w:type="dxa"/>
            <w:gridSpan w:val="2"/>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293"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毕业时间</w:t>
            </w:r>
          </w:p>
        </w:tc>
        <w:tc>
          <w:tcPr>
            <w:tcW w:w="1370" w:type="dxa"/>
            <w:tcBorders>
              <w:bottom w:val="single" w:color="auto" w:sz="4"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毕业院校</w:t>
            </w:r>
          </w:p>
        </w:tc>
        <w:tc>
          <w:tcPr>
            <w:tcW w:w="267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2156"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所学专业</w:t>
            </w:r>
          </w:p>
        </w:tc>
        <w:tc>
          <w:tcPr>
            <w:tcW w:w="266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专业工作年限</w:t>
            </w:r>
          </w:p>
        </w:tc>
        <w:tc>
          <w:tcPr>
            <w:tcW w:w="267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2156"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从事项目经理年限</w:t>
            </w:r>
          </w:p>
        </w:tc>
        <w:tc>
          <w:tcPr>
            <w:tcW w:w="2663" w:type="dxa"/>
            <w:gridSpan w:val="2"/>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rPr>
                <w:rFonts w:hint="eastAsia" w:ascii="仿宋" w:hAnsi="仿宋" w:eastAsia="仿宋" w:cs="仿宋"/>
                <w:color w:val="auto"/>
                <w:spacing w:val="-3"/>
                <w:kern w:val="0"/>
                <w:sz w:val="24"/>
                <w:szCs w:val="24"/>
                <w:highlight w:val="none"/>
              </w:rPr>
            </w:pPr>
            <w:r>
              <w:rPr>
                <w:rFonts w:hint="eastAsia" w:ascii="仿宋" w:hAnsi="仿宋" w:eastAsia="仿宋" w:cs="仿宋"/>
                <w:color w:val="auto"/>
                <w:sz w:val="24"/>
                <w:szCs w:val="24"/>
                <w:highlight w:val="none"/>
              </w:rPr>
              <w:t>注册执业资格</w:t>
            </w:r>
          </w:p>
        </w:tc>
        <w:tc>
          <w:tcPr>
            <w:tcW w:w="4819" w:type="dxa"/>
            <w:gridSpan w:val="4"/>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担任的职务及责任</w:t>
            </w:r>
          </w:p>
        </w:tc>
        <w:tc>
          <w:tcPr>
            <w:tcW w:w="4819" w:type="dxa"/>
            <w:gridSpan w:val="4"/>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主要工作经历及业绩：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参加过的类似项目名称</w:t>
            </w: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担任职务</w:t>
            </w: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1692" w:type="dxa"/>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c>
          <w:tcPr>
            <w:tcW w:w="3127" w:type="dxa"/>
            <w:gridSpan w:val="3"/>
            <w:noWrap w:val="0"/>
            <w:vAlign w:val="center"/>
          </w:tcPr>
          <w:p>
            <w:pPr>
              <w:autoSpaceDE w:val="0"/>
              <w:autoSpaceDN w:val="0"/>
              <w:adjustRightInd w:val="0"/>
              <w:snapToGrid w:val="0"/>
              <w:spacing w:line="360" w:lineRule="auto"/>
              <w:jc w:val="center"/>
              <w:rPr>
                <w:rFonts w:hint="eastAsia" w:ascii="仿宋" w:hAnsi="仿宋" w:eastAsia="仿宋" w:cs="仿宋"/>
                <w:color w:val="auto"/>
                <w:spacing w:val="-3"/>
                <w:kern w:val="0"/>
                <w:sz w:val="24"/>
                <w:szCs w:val="24"/>
                <w:highlight w:val="none"/>
              </w:rPr>
            </w:pPr>
          </w:p>
        </w:tc>
      </w:tr>
    </w:tbl>
    <w:p>
      <w:pPr>
        <w:spacing w:line="360" w:lineRule="auto"/>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注：本表</w:t>
      </w:r>
      <w:r>
        <w:rPr>
          <w:rFonts w:hint="eastAsia" w:ascii="仿宋" w:hAnsi="仿宋" w:eastAsia="仿宋" w:cs="仿宋"/>
          <w:b/>
          <w:bCs/>
          <w:color w:val="auto"/>
          <w:sz w:val="24"/>
          <w:szCs w:val="24"/>
          <w:highlight w:val="none"/>
          <w:lang w:val="en-US" w:eastAsia="zh-CN"/>
        </w:rPr>
        <w:t>后附</w:t>
      </w:r>
      <w:r>
        <w:rPr>
          <w:rFonts w:hint="eastAsia" w:ascii="仿宋" w:hAnsi="仿宋" w:eastAsia="仿宋" w:cs="仿宋"/>
          <w:b/>
          <w:color w:val="auto"/>
          <w:sz w:val="24"/>
          <w:szCs w:val="24"/>
          <w:highlight w:val="none"/>
          <w:lang w:val="en-US" w:eastAsia="zh-CN"/>
        </w:rPr>
        <w:t>社保缴纳证明、</w:t>
      </w:r>
      <w:r>
        <w:rPr>
          <w:rFonts w:hint="eastAsia" w:ascii="仿宋" w:hAnsi="仿宋" w:eastAsia="仿宋" w:cs="仿宋"/>
          <w:b/>
          <w:bCs/>
          <w:color w:val="auto"/>
          <w:sz w:val="24"/>
          <w:szCs w:val="24"/>
          <w:highlight w:val="none"/>
        </w:rPr>
        <w:t>身份证、学历证、职称证书复印件并加盖公章。</w:t>
      </w:r>
    </w:p>
    <w:p>
      <w:pPr>
        <w:spacing w:line="480" w:lineRule="auto"/>
        <w:ind w:firstLine="3360" w:firstLineChars="1400"/>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spacing w:before="156" w:beforeLines="50"/>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2.拟派项目组人员一览表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945"/>
        <w:gridCol w:w="1050"/>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7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4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94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1050"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575"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职称或资格证书</w:t>
            </w:r>
          </w:p>
        </w:tc>
        <w:tc>
          <w:tcPr>
            <w:tcW w:w="2193" w:type="dxa"/>
            <w:noWrap w:val="0"/>
            <w:vAlign w:val="center"/>
          </w:tcPr>
          <w:p>
            <w:pP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94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050"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1575" w:type="dxa"/>
            <w:noWrap w:val="0"/>
            <w:vAlign w:val="top"/>
          </w:tcPr>
          <w:p>
            <w:pPr>
              <w:tabs>
                <w:tab w:val="left" w:pos="0"/>
              </w:tabs>
              <w:spacing w:line="360" w:lineRule="auto"/>
              <w:rPr>
                <w:rFonts w:hint="eastAsia" w:ascii="仿宋" w:hAnsi="仿宋" w:eastAsia="仿宋" w:cs="仿宋"/>
                <w:color w:val="auto"/>
                <w:sz w:val="24"/>
                <w:szCs w:val="24"/>
                <w:highlight w:val="none"/>
              </w:rPr>
            </w:pPr>
          </w:p>
        </w:tc>
        <w:tc>
          <w:tcPr>
            <w:tcW w:w="2193" w:type="dxa"/>
            <w:noWrap w:val="0"/>
            <w:vAlign w:val="top"/>
          </w:tcPr>
          <w:p>
            <w:pPr>
              <w:tabs>
                <w:tab w:val="left" w:pos="0"/>
              </w:tabs>
              <w:spacing w:line="360" w:lineRule="auto"/>
              <w:rPr>
                <w:rFonts w:hint="eastAsia" w:ascii="仿宋" w:hAnsi="仿宋" w:eastAsia="仿宋" w:cs="仿宋"/>
                <w:color w:val="auto"/>
                <w:sz w:val="24"/>
                <w:szCs w:val="24"/>
                <w:highlight w:val="none"/>
              </w:rPr>
            </w:pPr>
          </w:p>
        </w:tc>
      </w:tr>
    </w:tbl>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本表</w:t>
      </w:r>
      <w:r>
        <w:rPr>
          <w:rFonts w:hint="eastAsia" w:ascii="仿宋" w:hAnsi="仿宋" w:eastAsia="仿宋" w:cs="仿宋"/>
          <w:b/>
          <w:color w:val="auto"/>
          <w:sz w:val="24"/>
          <w:szCs w:val="24"/>
          <w:highlight w:val="none"/>
        </w:rPr>
        <w:t>后附</w:t>
      </w:r>
      <w:r>
        <w:rPr>
          <w:rFonts w:hint="eastAsia" w:ascii="仿宋" w:hAnsi="仿宋" w:eastAsia="仿宋" w:cs="仿宋"/>
          <w:b/>
          <w:color w:val="auto"/>
          <w:sz w:val="24"/>
          <w:szCs w:val="24"/>
          <w:highlight w:val="none"/>
          <w:lang w:val="en-US" w:eastAsia="zh-CN"/>
        </w:rPr>
        <w:t>人员名单、</w:t>
      </w:r>
      <w:r>
        <w:rPr>
          <w:rFonts w:hint="eastAsia" w:ascii="仿宋" w:hAnsi="仿宋" w:eastAsia="仿宋" w:cs="仿宋"/>
          <w:b/>
          <w:color w:val="auto"/>
          <w:sz w:val="24"/>
          <w:szCs w:val="24"/>
          <w:highlight w:val="none"/>
        </w:rPr>
        <w:t>身份证、学历证、职称证书复印件并加盖公章。</w:t>
      </w:r>
    </w:p>
    <w:p>
      <w:pPr>
        <w:spacing w:line="360" w:lineRule="auto"/>
        <w:ind w:firstLine="2834" w:firstLineChars="1181"/>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spacing w:before="156" w:beforeLines="50"/>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
        <w:rPr>
          <w:rFonts w:hint="eastAsia" w:ascii="仿宋" w:hAnsi="仿宋" w:eastAsia="仿宋" w:cs="仿宋"/>
          <w:bCs/>
          <w:color w:val="auto"/>
          <w:sz w:val="22"/>
          <w:szCs w:val="22"/>
          <w:highlight w:val="none"/>
        </w:rPr>
      </w:pPr>
    </w:p>
    <w:p>
      <w:pPr>
        <w:rPr>
          <w:rFonts w:hint="eastAsia" w:ascii="仿宋" w:hAnsi="仿宋" w:eastAsia="仿宋" w:cs="仿宋"/>
          <w:b/>
          <w:bCs/>
          <w:color w:val="auto"/>
          <w:sz w:val="22"/>
          <w:szCs w:val="22"/>
          <w:highlight w:val="none"/>
        </w:rPr>
      </w:pPr>
    </w:p>
    <w:p>
      <w:pPr>
        <w:numPr>
          <w:ilvl w:val="0"/>
          <w:numId w:val="0"/>
        </w:numPr>
        <w:ind w:leftChars="0"/>
        <w:jc w:val="center"/>
        <w:rPr>
          <w:rFonts w:hint="eastAsia" w:ascii="仿宋" w:hAnsi="仿宋" w:eastAsia="仿宋" w:cs="仿宋"/>
          <w:b/>
          <w:bCs/>
          <w:color w:val="auto"/>
          <w:sz w:val="32"/>
          <w:szCs w:val="32"/>
          <w:highlight w:val="none"/>
          <w:lang w:val="en-US" w:eastAsia="zh-CN"/>
        </w:rPr>
      </w:pPr>
    </w:p>
    <w:p>
      <w:pPr>
        <w:numPr>
          <w:ilvl w:val="0"/>
          <w:numId w:val="0"/>
        </w:numPr>
        <w:ind w:left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商务</w:t>
      </w:r>
      <w:r>
        <w:rPr>
          <w:rFonts w:hint="eastAsia" w:ascii="仿宋" w:hAnsi="仿宋" w:eastAsia="仿宋" w:cs="仿宋"/>
          <w:b/>
          <w:bCs/>
          <w:color w:val="auto"/>
          <w:sz w:val="32"/>
          <w:szCs w:val="32"/>
          <w:highlight w:val="none"/>
          <w:lang w:val="en-US" w:eastAsia="zh-CN"/>
        </w:rPr>
        <w:t>和技术</w:t>
      </w:r>
      <w:r>
        <w:rPr>
          <w:rFonts w:hint="eastAsia" w:ascii="仿宋" w:hAnsi="仿宋" w:eastAsia="仿宋" w:cs="仿宋"/>
          <w:b/>
          <w:bCs/>
          <w:color w:val="auto"/>
          <w:sz w:val="32"/>
          <w:szCs w:val="32"/>
          <w:highlight w:val="none"/>
        </w:rPr>
        <w:t>偏离说明</w:t>
      </w:r>
    </w:p>
    <w:p>
      <w:pPr>
        <w:pStyle w:val="13"/>
        <w:spacing w:before="120"/>
        <w:ind w:left="0" w:right="34"/>
        <w:jc w:val="center"/>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1、商务偏离表</w:t>
      </w:r>
    </w:p>
    <w:tbl>
      <w:tblPr>
        <w:tblStyle w:val="27"/>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7"/>
        <w:gridCol w:w="1888"/>
        <w:gridCol w:w="188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1887"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磋商要求</w:t>
            </w:r>
          </w:p>
        </w:tc>
        <w:tc>
          <w:tcPr>
            <w:tcW w:w="1888" w:type="dxa"/>
            <w:vAlign w:val="center"/>
          </w:tcPr>
          <w:p>
            <w:pPr>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磋商响应内容</w:t>
            </w:r>
          </w:p>
        </w:tc>
        <w:tc>
          <w:tcPr>
            <w:tcW w:w="1888"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偏离</w:t>
            </w:r>
          </w:p>
        </w:tc>
        <w:tc>
          <w:tcPr>
            <w:tcW w:w="1888" w:type="dxa"/>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hint="eastAsia" w:ascii="仿宋" w:hAnsi="仿宋" w:eastAsia="仿宋" w:cs="仿宋"/>
                <w:highlight w:val="none"/>
              </w:rPr>
            </w:pPr>
          </w:p>
        </w:tc>
        <w:tc>
          <w:tcPr>
            <w:tcW w:w="1887"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hint="eastAsia" w:ascii="仿宋" w:hAnsi="仿宋" w:eastAsia="仿宋" w:cs="仿宋"/>
                <w:highlight w:val="none"/>
              </w:rPr>
            </w:pPr>
          </w:p>
        </w:tc>
        <w:tc>
          <w:tcPr>
            <w:tcW w:w="1887"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c>
          <w:tcPr>
            <w:tcW w:w="1888" w:type="dxa"/>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bl>
    <w:p>
      <w:pPr>
        <w:pStyle w:val="13"/>
        <w:spacing w:before="120"/>
        <w:ind w:left="0" w:right="34"/>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1.供应商须按照磋商文件“第四章  商务及合同主要条款”表格部分逐条填写。如实填写该表，如有隐瞒，后果由供应商自负。</w:t>
      </w:r>
    </w:p>
    <w:p>
      <w:pPr>
        <w:pStyle w:val="13"/>
        <w:spacing w:before="120"/>
        <w:ind w:left="0" w:right="34"/>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2.此表可增加，偏离内容填写“正偏离”、“负偏离”或“无偏离”。</w:t>
      </w:r>
    </w:p>
    <w:p>
      <w:pPr>
        <w:pStyle w:val="13"/>
        <w:spacing w:before="120"/>
        <w:ind w:left="0" w:right="34"/>
        <w:jc w:val="both"/>
        <w:rPr>
          <w:rFonts w:hint="eastAsia" w:ascii="仿宋" w:hAnsi="仿宋" w:eastAsia="仿宋" w:cs="仿宋"/>
          <w:bCs/>
          <w:color w:val="auto"/>
          <w:sz w:val="24"/>
          <w:szCs w:val="24"/>
          <w:highlight w:val="none"/>
        </w:rPr>
      </w:pPr>
    </w:p>
    <w:p>
      <w:pPr>
        <w:pStyle w:val="17"/>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keepNext/>
        <w:keepLines/>
        <w:widowControl/>
        <w:tabs>
          <w:tab w:val="left" w:pos="720"/>
        </w:tabs>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2、服务偏离表</w:t>
      </w:r>
    </w:p>
    <w:p>
      <w:pPr>
        <w:jc w:val="center"/>
        <w:rPr>
          <w:rFonts w:hint="eastAsia"/>
          <w:highlight w:val="none"/>
        </w:rPr>
      </w:pPr>
      <w:r>
        <w:rPr>
          <w:rFonts w:hint="eastAsia" w:ascii="仿宋" w:hAnsi="仿宋" w:eastAsia="仿宋" w:cs="仿宋"/>
          <w:bCs/>
          <w:color w:val="auto"/>
          <w:sz w:val="24"/>
          <w:szCs w:val="24"/>
          <w:highlight w:val="none"/>
        </w:rPr>
        <w:t>（格式自拟，可参考偏离表形式或文字形式表述）</w:t>
      </w:r>
    </w:p>
    <w:tbl>
      <w:tblPr>
        <w:tblStyle w:val="26"/>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2792"/>
        <w:gridCol w:w="2658"/>
        <w:gridCol w:w="2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jc w:val="center"/>
        </w:trPr>
        <w:tc>
          <w:tcPr>
            <w:tcW w:w="960"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792"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szCs w:val="24"/>
                <w:highlight w:val="none"/>
              </w:rPr>
              <w:t>文件</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要求</w:t>
            </w:r>
          </w:p>
        </w:tc>
        <w:tc>
          <w:tcPr>
            <w:tcW w:w="2658"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响应</w:t>
            </w:r>
            <w:r>
              <w:rPr>
                <w:rFonts w:hint="eastAsia" w:ascii="仿宋" w:hAnsi="仿宋" w:eastAsia="仿宋" w:cs="仿宋"/>
                <w:b/>
                <w:bCs/>
                <w:color w:val="auto"/>
                <w:sz w:val="24"/>
                <w:szCs w:val="24"/>
                <w:highlight w:val="none"/>
              </w:rPr>
              <w:t>文件</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响应</w:t>
            </w:r>
          </w:p>
        </w:tc>
        <w:tc>
          <w:tcPr>
            <w:tcW w:w="2628" w:type="dxa"/>
            <w:vAlign w:val="center"/>
          </w:tcPr>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jc w:val="center"/>
        </w:trPr>
        <w:tc>
          <w:tcPr>
            <w:tcW w:w="960" w:type="dxa"/>
          </w:tcPr>
          <w:p>
            <w:pPr>
              <w:spacing w:line="360" w:lineRule="auto"/>
              <w:jc w:val="center"/>
              <w:rPr>
                <w:rFonts w:hint="eastAsia" w:ascii="仿宋" w:hAnsi="仿宋" w:eastAsia="仿宋" w:cs="仿宋"/>
                <w:color w:val="auto"/>
                <w:sz w:val="24"/>
                <w:szCs w:val="24"/>
                <w:highlight w:val="none"/>
              </w:rPr>
            </w:pPr>
          </w:p>
        </w:tc>
        <w:tc>
          <w:tcPr>
            <w:tcW w:w="2792" w:type="dxa"/>
          </w:tcPr>
          <w:p>
            <w:pPr>
              <w:spacing w:line="360" w:lineRule="auto"/>
              <w:jc w:val="center"/>
              <w:rPr>
                <w:rFonts w:hint="eastAsia" w:ascii="仿宋" w:hAnsi="仿宋" w:eastAsia="仿宋" w:cs="仿宋"/>
                <w:color w:val="auto"/>
                <w:sz w:val="24"/>
                <w:szCs w:val="24"/>
                <w:highlight w:val="none"/>
              </w:rPr>
            </w:pPr>
          </w:p>
        </w:tc>
        <w:tc>
          <w:tcPr>
            <w:tcW w:w="2658" w:type="dxa"/>
          </w:tcPr>
          <w:p>
            <w:pPr>
              <w:spacing w:line="360" w:lineRule="auto"/>
              <w:jc w:val="center"/>
              <w:rPr>
                <w:rFonts w:hint="eastAsia" w:ascii="仿宋" w:hAnsi="仿宋" w:eastAsia="仿宋" w:cs="仿宋"/>
                <w:color w:val="auto"/>
                <w:sz w:val="24"/>
                <w:szCs w:val="24"/>
                <w:highlight w:val="none"/>
              </w:rPr>
            </w:pPr>
          </w:p>
        </w:tc>
        <w:tc>
          <w:tcPr>
            <w:tcW w:w="2628" w:type="dxa"/>
          </w:tcPr>
          <w:p>
            <w:pPr>
              <w:spacing w:line="360" w:lineRule="auto"/>
              <w:jc w:val="center"/>
              <w:rPr>
                <w:rFonts w:hint="eastAsia" w:ascii="仿宋" w:hAnsi="仿宋" w:eastAsia="仿宋" w:cs="仿宋"/>
                <w:color w:val="auto"/>
                <w:sz w:val="24"/>
                <w:szCs w:val="24"/>
                <w:highlight w:val="none"/>
              </w:rPr>
            </w:pPr>
          </w:p>
        </w:tc>
      </w:tr>
    </w:tbl>
    <w:p>
      <w:pPr>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注：1、所有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条款须列明偏离情况。对于有偏离的（包含正、负偏离）必须具体指出技术指标项目，无偏离条款须填写“无偏离”。正偏离需提供佐证材料并列明页码范围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视为有效</w:t>
      </w:r>
      <w:r>
        <w:rPr>
          <w:rFonts w:hint="eastAsia" w:ascii="仿宋" w:hAnsi="仿宋" w:eastAsia="仿宋" w:cs="仿宋"/>
          <w:color w:val="auto"/>
          <w:sz w:val="24"/>
          <w:szCs w:val="24"/>
          <w:highlight w:val="none"/>
          <w:lang w:eastAsia="zh-CN"/>
        </w:rPr>
        <w:t>。</w:t>
      </w:r>
    </w:p>
    <w:p>
      <w:pPr>
        <w:spacing w:line="480" w:lineRule="auto"/>
        <w:ind w:firstLine="3360" w:firstLineChars="1400"/>
        <w:rPr>
          <w:rFonts w:hint="eastAsia" w:ascii="仿宋" w:hAnsi="仿宋" w:eastAsia="仿宋" w:cs="仿宋"/>
          <w:color w:val="auto"/>
          <w:sz w:val="24"/>
          <w:szCs w:val="24"/>
          <w:highlight w:val="none"/>
        </w:rPr>
      </w:pPr>
    </w:p>
    <w:p>
      <w:pPr>
        <w:spacing w:line="48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keepNext/>
        <w:keepLines/>
        <w:widowControl/>
        <w:tabs>
          <w:tab w:val="left" w:pos="720"/>
        </w:tabs>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overflowPunct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资格证明文件</w:t>
      </w:r>
    </w:p>
    <w:p>
      <w:pPr>
        <w:overflowPunct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磋商供应商情况表</w:t>
      </w:r>
    </w:p>
    <w:tbl>
      <w:tblPr>
        <w:tblStyle w:val="2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统一社会信用代码</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注册日期</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营业地址</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vAlign w:val="top"/>
          </w:tcPr>
          <w:p>
            <w:pPr>
              <w:overflowPunct w:val="0"/>
              <w:spacing w:line="40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授权代表人</w:t>
            </w:r>
          </w:p>
        </w:tc>
        <w:tc>
          <w:tcPr>
            <w:tcW w:w="2764" w:type="dxa"/>
          </w:tcPr>
          <w:p>
            <w:pPr>
              <w:overflowPunct w:val="0"/>
              <w:spacing w:line="400" w:lineRule="atLeast"/>
              <w:jc w:val="center"/>
              <w:rPr>
                <w:rFonts w:hint="eastAsia" w:ascii="仿宋" w:hAnsi="仿宋" w:eastAsia="仿宋" w:cs="仿宋"/>
                <w:color w:val="auto"/>
                <w:sz w:val="24"/>
                <w:szCs w:val="24"/>
                <w:highlight w:val="none"/>
              </w:rPr>
            </w:pPr>
          </w:p>
        </w:tc>
        <w:tc>
          <w:tcPr>
            <w:tcW w:w="2265" w:type="dxa"/>
            <w:vAlign w:val="top"/>
          </w:tcPr>
          <w:p>
            <w:pPr>
              <w:overflowPunct w:val="0"/>
              <w:spacing w:line="40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p>
        </w:tc>
        <w:tc>
          <w:tcPr>
            <w:tcW w:w="1848" w:type="dxa"/>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企业基本户开户行</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主要营业范围</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企业概况</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pPr>
              <w:overflowPunct w:val="0"/>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77" w:type="dxa"/>
            <w:gridSpan w:val="3"/>
          </w:tcPr>
          <w:p>
            <w:pPr>
              <w:overflowPunct w:val="0"/>
              <w:spacing w:line="400" w:lineRule="atLeast"/>
              <w:jc w:val="center"/>
              <w:rPr>
                <w:rFonts w:hint="eastAsia" w:ascii="仿宋" w:hAnsi="仿宋" w:eastAsia="仿宋" w:cs="仿宋"/>
                <w:color w:val="auto"/>
                <w:sz w:val="24"/>
                <w:szCs w:val="24"/>
                <w:highlight w:val="none"/>
              </w:rPr>
            </w:pPr>
          </w:p>
        </w:tc>
      </w:tr>
    </w:tbl>
    <w:p>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br w:type="page"/>
      </w:r>
    </w:p>
    <w:p>
      <w:pPr>
        <w:pStyle w:val="24"/>
        <w:pageBreakBefore w:val="0"/>
        <w:shd w:val="clear" w:color="auto" w:fill="FFFFFF"/>
        <w:kinsoku/>
        <w:wordWrap/>
        <w:overflowPunct/>
        <w:topLinePunct w:val="0"/>
        <w:bidi w:val="0"/>
        <w:snapToGrid/>
        <w:spacing w:beforeAutospacing="0" w:afterAutospacing="0" w:line="5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2、财务状况报告：提供具有财务审计资质单位出具的</w:t>
      </w:r>
      <w:r>
        <w:rPr>
          <w:rFonts w:hint="eastAsia" w:ascii="仿宋" w:hAnsi="仿宋" w:eastAsia="仿宋" w:cs="仿宋"/>
          <w:highlight w:val="none"/>
          <w:lang w:eastAsia="zh-CN"/>
        </w:rPr>
        <w:t>（2020 年或 2021年）</w:t>
      </w:r>
      <w:r>
        <w:rPr>
          <w:rFonts w:hint="eastAsia" w:ascii="仿宋" w:hAnsi="仿宋" w:eastAsia="仿宋" w:cs="仿宋"/>
          <w:highlight w:val="none"/>
        </w:rPr>
        <w:t>年度财务报告或</w:t>
      </w:r>
      <w:r>
        <w:rPr>
          <w:rFonts w:hint="eastAsia" w:ascii="仿宋" w:hAnsi="仿宋" w:eastAsia="仿宋" w:cs="仿宋"/>
          <w:highlight w:val="none"/>
          <w:lang w:eastAsia="zh-CN"/>
        </w:rPr>
        <w:t>磋商</w:t>
      </w:r>
      <w:r>
        <w:rPr>
          <w:rFonts w:hint="eastAsia" w:ascii="仿宋" w:hAnsi="仿宋" w:eastAsia="仿宋" w:cs="仿宋"/>
          <w:highlight w:val="none"/>
          <w:lang w:val="en-US" w:eastAsia="zh-CN"/>
        </w:rPr>
        <w:t>截止时间</w:t>
      </w:r>
      <w:r>
        <w:rPr>
          <w:rFonts w:hint="eastAsia" w:ascii="仿宋" w:hAnsi="仿宋" w:eastAsia="仿宋" w:cs="仿宋"/>
          <w:highlight w:val="none"/>
          <w:lang w:eastAsia="zh-CN"/>
        </w:rPr>
        <w:t>前</w:t>
      </w:r>
      <w:r>
        <w:rPr>
          <w:rFonts w:hint="eastAsia" w:ascii="仿宋" w:hAnsi="仿宋" w:eastAsia="仿宋" w:cs="仿宋"/>
          <w:highlight w:val="none"/>
        </w:rPr>
        <w:t xml:space="preserve">六个月内其基本账户银行出具的资信证明;其他组织和自然人提供银行出具的资信证明或财务报表；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3、社会保障资金缴纳证明：提供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截止时间前六个月内已缴存的任意</w:t>
      </w:r>
      <w:r>
        <w:rPr>
          <w:rFonts w:hint="eastAsia" w:ascii="仿宋" w:hAnsi="仿宋" w:eastAsia="仿宋" w:cs="仿宋"/>
          <w:highlight w:val="none"/>
          <w:lang w:val="en-US" w:eastAsia="zh-CN"/>
        </w:rPr>
        <w:t>一个月</w:t>
      </w:r>
      <w:r>
        <w:rPr>
          <w:rFonts w:hint="eastAsia" w:ascii="仿宋" w:hAnsi="仿宋" w:eastAsia="仿宋" w:cs="仿宋"/>
          <w:highlight w:val="none"/>
        </w:rPr>
        <w:t xml:space="preserve">的社会保障资金缴存单据或社保机构开具的社会保险参保缴费情况证明；依法不需要缴纳社会保障资金的应提供相关文件证明；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rPr>
        <w:t>4、税收缴纳证明：提供</w:t>
      </w:r>
      <w:r>
        <w:rPr>
          <w:rFonts w:hint="eastAsia" w:ascii="仿宋" w:hAnsi="仿宋" w:eastAsia="仿宋" w:cs="仿宋"/>
          <w:highlight w:val="none"/>
          <w:lang w:val="en-US" w:eastAsia="zh-CN"/>
        </w:rPr>
        <w:t>磋商</w:t>
      </w:r>
      <w:r>
        <w:rPr>
          <w:rFonts w:hint="eastAsia" w:ascii="仿宋" w:hAnsi="仿宋" w:eastAsia="仿宋" w:cs="仿宋"/>
          <w:highlight w:val="none"/>
        </w:rPr>
        <w:t>截止时间前六个月内已缴纳任意</w:t>
      </w:r>
      <w:r>
        <w:rPr>
          <w:rFonts w:hint="eastAsia" w:ascii="仿宋" w:hAnsi="仿宋" w:eastAsia="仿宋" w:cs="仿宋"/>
          <w:highlight w:val="none"/>
          <w:lang w:val="en-US" w:eastAsia="zh-CN"/>
        </w:rPr>
        <w:t>一个月</w:t>
      </w:r>
      <w:r>
        <w:rPr>
          <w:rFonts w:hint="eastAsia" w:ascii="仿宋" w:hAnsi="仿宋" w:eastAsia="仿宋" w:cs="仿宋"/>
          <w:highlight w:val="none"/>
        </w:rPr>
        <w:t>完税凭证或税务机关开具的完税证明（任意税种）；其他组织提供</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截止时间前六个月内缴纳税收的凭据；依法免税的应提供相关文件证明；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5、提供具有履行本合同所必需的专业技术能力的声明；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rPr>
        <w:t>6、参加本次政府采购活动前3年内在经营活动中没有重大违纪，以及未被列入失信被执行人、重大税收违法案件当事人名单、政府采购严重违法失信行为记录名单的书面声明；</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原件</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、法定代表人直接参加</w:t>
      </w:r>
      <w:r>
        <w:rPr>
          <w:rFonts w:hint="eastAsia" w:ascii="仿宋" w:hAnsi="仿宋" w:eastAsia="仿宋" w:cs="仿宋"/>
          <w:highlight w:val="none"/>
          <w:lang w:val="en-US" w:eastAsia="zh-CN"/>
        </w:rPr>
        <w:t>磋商</w:t>
      </w:r>
      <w:r>
        <w:rPr>
          <w:rFonts w:hint="eastAsia" w:ascii="仿宋" w:hAnsi="仿宋" w:eastAsia="仿宋" w:cs="仿宋"/>
          <w:highlight w:val="none"/>
        </w:rPr>
        <w:t>的，须出具法人身份证,并与营业执照上信息一致；法定代表人授权代表参加</w:t>
      </w:r>
      <w:r>
        <w:rPr>
          <w:rFonts w:hint="eastAsia" w:ascii="仿宋" w:hAnsi="仿宋" w:eastAsia="仿宋" w:cs="仿宋"/>
          <w:highlight w:val="none"/>
          <w:lang w:val="en-US" w:eastAsia="zh-CN"/>
        </w:rPr>
        <w:t>磋商</w:t>
      </w:r>
      <w:r>
        <w:rPr>
          <w:rFonts w:hint="eastAsia" w:ascii="仿宋" w:hAnsi="仿宋" w:eastAsia="仿宋" w:cs="仿宋"/>
          <w:highlight w:val="none"/>
        </w:rPr>
        <w:t xml:space="preserve">的，须出具法定代表人授权书及授权代表身份证； </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8</w:t>
      </w:r>
      <w:r>
        <w:rPr>
          <w:rFonts w:hint="eastAsia" w:ascii="仿宋" w:hAnsi="仿宋" w:eastAsia="仿宋" w:cs="仿宋"/>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以代理机构现场查询为准</w:t>
      </w:r>
      <w:r>
        <w:rPr>
          <w:rFonts w:hint="eastAsia" w:ascii="仿宋" w:hAnsi="仿宋" w:eastAsia="仿宋" w:cs="仿宋"/>
          <w:highlight w:val="none"/>
          <w:lang w:eastAsia="zh-CN"/>
        </w:rPr>
        <w:t>）</w:t>
      </w:r>
    </w:p>
    <w:p>
      <w:pPr>
        <w:pStyle w:val="24"/>
        <w:pageBreakBefore w:val="0"/>
        <w:shd w:val="clear" w:color="auto" w:fill="FFFFFF"/>
        <w:kinsoku/>
        <w:wordWrap/>
        <w:overflowPunct/>
        <w:topLinePunct w:val="0"/>
        <w:bidi w:val="0"/>
        <w:snapToGrid/>
        <w:spacing w:beforeAutospacing="0" w:afterAutospacing="0" w:line="500" w:lineRule="exact"/>
        <w:ind w:firstLine="42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9、</w:t>
      </w:r>
      <w:r>
        <w:rPr>
          <w:rFonts w:hint="eastAsia" w:ascii="仿宋" w:hAnsi="仿宋" w:eastAsia="仿宋" w:cs="仿宋"/>
          <w:kern w:val="2"/>
          <w:sz w:val="24"/>
          <w:szCs w:val="24"/>
          <w:highlight w:val="none"/>
          <w:shd w:val="clear" w:color="auto" w:fill="FFFFFF"/>
          <w:lang w:val="en-US" w:eastAsia="zh-CN" w:bidi="ar-SA"/>
        </w:rPr>
        <w:t>本项目为专门面向中小企业采购项目，供应商应出具中小企业声明函。</w:t>
      </w: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spacing w:line="480" w:lineRule="auto"/>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r>
        <w:rPr>
          <w:rFonts w:hint="eastAsia" w:ascii="仿宋" w:hAnsi="仿宋" w:eastAsia="仿宋" w:cs="仿宋"/>
          <w:i w:val="0"/>
          <w:caps w:val="0"/>
          <w:color w:val="auto"/>
          <w:spacing w:val="0"/>
          <w:kern w:val="0"/>
          <w:sz w:val="24"/>
          <w:szCs w:val="24"/>
          <w:highlight w:val="none"/>
          <w:shd w:val="clear" w:fill="FFFFFF"/>
          <w:lang w:val="en-US" w:eastAsia="zh-CN" w:bidi="ar-SA"/>
        </w:rPr>
        <w:t>；</w:t>
      </w:r>
      <w:r>
        <w:rPr>
          <w:rFonts w:hint="eastAsia" w:ascii="仿宋" w:hAnsi="仿宋" w:eastAsia="仿宋" w:cs="仿宋"/>
          <w:color w:val="auto"/>
          <w:kern w:val="0"/>
          <w:sz w:val="24"/>
          <w:szCs w:val="24"/>
          <w:highlight w:val="none"/>
        </w:rPr>
        <w:t>　　　　　</w:t>
      </w:r>
      <w:r>
        <w:rPr>
          <w:rFonts w:hint="eastAsia" w:ascii="仿宋" w:hAnsi="仿宋" w:eastAsia="仿宋" w:cs="仿宋"/>
          <w:b/>
          <w:bCs/>
          <w:color w:val="auto"/>
          <w:sz w:val="24"/>
          <w:szCs w:val="24"/>
          <w:highlight w:val="none"/>
        </w:rPr>
        <w:br w:type="page"/>
      </w:r>
      <w:bookmarkEnd w:id="164"/>
      <w:bookmarkEnd w:id="165"/>
      <w:bookmarkEnd w:id="166"/>
      <w:bookmarkEnd w:id="167"/>
      <w:r>
        <w:rPr>
          <w:rFonts w:hint="eastAsia" w:ascii="仿宋" w:hAnsi="仿宋" w:eastAsia="仿宋" w:cs="仿宋"/>
          <w:b/>
          <w:bCs/>
          <w:color w:val="auto"/>
          <w:sz w:val="32"/>
          <w:szCs w:val="32"/>
          <w:highlight w:val="none"/>
        </w:rPr>
        <w:t>附件1：</w:t>
      </w:r>
    </w:p>
    <w:p>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参加政府采购活动前3年内在经营活动中没有重大违法纪录的书面声明</w:t>
      </w:r>
    </w:p>
    <w:p>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（格式）</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u w:val="single"/>
          <w:shd w:val="clear" w:color="auto" w:fill="FFFFFF"/>
        </w:rPr>
        <w:t xml:space="preserve">      （采购人）           ：</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我方作为项目名称</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（项目编号：</w:t>
      </w:r>
      <w:r>
        <w:rPr>
          <w:rFonts w:hint="eastAsia" w:ascii="仿宋" w:hAnsi="仿宋" w:eastAsia="仿宋" w:cs="仿宋"/>
          <w:i/>
          <w:iCs/>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）的投标人，在此郑重声明：</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1、在参加本次政府采购活动前3年内的经营活动中</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（填“没有”或“有”）重大违法记录。投标人在参加政府采购活动前3年内因违法经营被禁止在一定期限内参加政府采购活动，期限届满的，可以参加政府采购活动，但应提供期限届满的证明材料。 </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（填“未被列入”或“被列入”）失信被执行人名单。</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3、我方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（填“未被列入”或“被列入”）重大税收违法案件当事人名单。 </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4、我方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（填“未被列入”或“被列入”）政府采购严重违法失信行为记录名单。 </w:t>
      </w:r>
    </w:p>
    <w:p>
      <w:pPr>
        <w:pStyle w:val="24"/>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 xml:space="preserve">如有不实，我方将无条件地退出本项目的采购活动，并遵照《政府采购法》有关“提供虚假材料的规定”接受处罚。 </w:t>
      </w:r>
    </w:p>
    <w:p>
      <w:pPr>
        <w:keepNext w:val="0"/>
        <w:keepLines w:val="0"/>
        <w:pageBreakBefore w:val="0"/>
        <w:widowControl w:val="0"/>
        <w:kinsoku/>
        <w:wordWrap/>
        <w:overflowPunct w:val="0"/>
        <w:topLinePunct w:val="0"/>
        <w:autoSpaceDE/>
        <w:autoSpaceDN/>
        <w:bidi w:val="0"/>
        <w:adjustRightInd/>
        <w:snapToGrid/>
        <w:spacing w:line="560" w:lineRule="exact"/>
        <w:ind w:firstLine="17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特此声明</w:t>
      </w:r>
    </w:p>
    <w:p>
      <w:pPr>
        <w:pStyle w:val="3"/>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640" w:firstLineChars="11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160" w:firstLineChars="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spacing w:line="360" w:lineRule="auto"/>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附件2：</w:t>
      </w:r>
    </w:p>
    <w:p>
      <w:pPr>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拒绝商业贿赂承诺书</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为响应党中央、国务院关于治理政府采购领域商业贿赂行为的号召，我公司在此庄严承诺：</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1、在参与政府采购活动中遵纪守法、诚信经营、公平竞标。</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2、不向政府采购人、采购代理机构和政府采购评审专家进行任何形式的商业贿赂以谋取交易机会。</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3、不向政府采购代理机构和采购人提供虚假资质证明文件或采用虚假应标方式参与政府采购市场竞争并谋取中标、成交。</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4、不采取“围标、陪标”等商业欺诈手段获得政府采购订单。</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5、不采取不正当手段诋毁、排挤其他供应商。</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6、不在提供商品和服务时“偷梁换柱、以次充好”损害采购人的合法权益。</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7、不与采购人、采购代理机构、政府采购评审专家或其它供应商恶意串通，进行质疑和投诉，维护政府采购市场秩序。</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val="0"/>
        <w:topLinePunct w:val="0"/>
        <w:autoSpaceDE/>
        <w:autoSpaceDN/>
        <w:bidi w:val="0"/>
        <w:adjustRightInd/>
        <w:snapToGrid/>
        <w:spacing w:line="560" w:lineRule="exact"/>
        <w:ind w:firstLine="496"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pacing w:val="4"/>
          <w:sz w:val="24"/>
          <w:szCs w:val="24"/>
          <w:highlight w:val="none"/>
        </w:rPr>
        <w:t>9、不发生其他有悖于政府采购公开、公平、公正和诚信原则的行为。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707" w:firstLineChars="112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tabs>
          <w:tab w:val="left" w:pos="-180"/>
        </w:tabs>
        <w:ind w:right="204" w:rightChars="85"/>
        <w:rPr>
          <w:rFonts w:hint="eastAsia" w:ascii="仿宋" w:hAnsi="仿宋" w:eastAsia="仿宋" w:cs="仿宋"/>
          <w:color w:val="auto"/>
          <w:sz w:val="24"/>
          <w:szCs w:val="24"/>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line="360" w:lineRule="auto"/>
        <w:jc w:val="both"/>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w:t>
      </w:r>
    </w:p>
    <w:p>
      <w:pPr>
        <w:adjustRightInd w:val="0"/>
        <w:snapToGrid w:val="0"/>
        <w:spacing w:line="360" w:lineRule="auto"/>
        <w:jc w:val="center"/>
        <w:rPr>
          <w:rFonts w:hint="eastAsia" w:ascii="仿宋" w:hAnsi="仿宋" w:eastAsia="仿宋" w:cs="仿宋"/>
          <w:b/>
          <w:color w:val="auto"/>
          <w:sz w:val="28"/>
          <w:szCs w:val="28"/>
          <w:highlight w:val="none"/>
        </w:rPr>
      </w:pPr>
      <w:bookmarkStart w:id="190" w:name="_Toc18229_WPSOffice_Level2"/>
      <w:bookmarkStart w:id="191" w:name="_Toc29320_WPSOffice_Level2"/>
      <w:bookmarkStart w:id="192" w:name="_Toc28871_WPSOffice_Level3"/>
      <w:r>
        <w:rPr>
          <w:rFonts w:hint="eastAsia" w:ascii="仿宋" w:hAnsi="仿宋" w:eastAsia="仿宋" w:cs="仿宋"/>
          <w:b/>
          <w:color w:val="auto"/>
          <w:sz w:val="28"/>
          <w:szCs w:val="28"/>
          <w:highlight w:val="none"/>
        </w:rPr>
        <w:t>履行合同所必需的设备和专业技术能力的说明及承诺</w:t>
      </w:r>
      <w:bookmarkEnd w:id="190"/>
      <w:bookmarkEnd w:id="191"/>
      <w:bookmarkEnd w:id="192"/>
    </w:p>
    <w:p>
      <w:pPr>
        <w:pStyle w:val="14"/>
        <w:adjustRightInd w:val="0"/>
        <w:snapToGrid w:val="0"/>
        <w:spacing w:line="720" w:lineRule="exact"/>
        <w:jc w:val="center"/>
        <w:rPr>
          <w:rFonts w:hint="eastAsia" w:ascii="仿宋" w:hAnsi="仿宋" w:eastAsia="仿宋" w:cs="仿宋"/>
          <w:b/>
          <w:color w:val="auto"/>
          <w:sz w:val="44"/>
          <w:szCs w:val="44"/>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 xml:space="preserve">     （采购人名称）    ：</w:t>
      </w:r>
    </w:p>
    <w:p>
      <w:pPr>
        <w:pStyle w:val="1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u w:val="single"/>
        </w:rPr>
        <w:t xml:space="preserve">      （供应商名称）    </w:t>
      </w:r>
      <w:r>
        <w:rPr>
          <w:rFonts w:hint="eastAsia" w:ascii="仿宋" w:hAnsi="仿宋" w:eastAsia="仿宋" w:cs="仿宋"/>
          <w:color w:val="auto"/>
          <w:spacing w:val="4"/>
          <w:sz w:val="24"/>
          <w:szCs w:val="24"/>
          <w:highlight w:val="none"/>
        </w:rPr>
        <w:t xml:space="preserve"> 于</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日在中华人民共和国境内</w:t>
      </w:r>
      <w:r>
        <w:rPr>
          <w:rFonts w:hint="eastAsia" w:ascii="仿宋" w:hAnsi="仿宋" w:eastAsia="仿宋" w:cs="仿宋"/>
          <w:color w:val="auto"/>
          <w:spacing w:val="4"/>
          <w:sz w:val="24"/>
          <w:szCs w:val="24"/>
          <w:highlight w:val="none"/>
          <w:u w:val="single"/>
        </w:rPr>
        <w:t xml:space="preserve">               （详细注册地址）     </w:t>
      </w:r>
      <w:r>
        <w:rPr>
          <w:rFonts w:hint="eastAsia" w:ascii="仿宋" w:hAnsi="仿宋" w:eastAsia="仿宋" w:cs="仿宋"/>
          <w:color w:val="auto"/>
          <w:spacing w:val="4"/>
          <w:sz w:val="24"/>
          <w:szCs w:val="24"/>
          <w:highlight w:val="none"/>
        </w:rPr>
        <w:t>合法注册并经营，公司主营业务为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，营业（生产经营）面积为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 xml:space="preserve"> ，现有员工数量为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，其中与履行本合同相关的专业技术人员有（</w:t>
      </w:r>
      <w:r>
        <w:rPr>
          <w:rFonts w:hint="eastAsia" w:ascii="仿宋" w:hAnsi="仿宋" w:eastAsia="仿宋" w:cs="仿宋"/>
          <w:color w:val="auto"/>
          <w:spacing w:val="4"/>
          <w:sz w:val="24"/>
          <w:szCs w:val="24"/>
          <w:highlight w:val="none"/>
          <w:u w:val="single"/>
        </w:rPr>
        <w:t xml:space="preserve">             专业能力、数量        </w:t>
      </w:r>
      <w:r>
        <w:rPr>
          <w:rFonts w:hint="eastAsia" w:ascii="仿宋" w:hAnsi="仿宋" w:eastAsia="仿宋" w:cs="仿宋"/>
          <w:color w:val="auto"/>
          <w:spacing w:val="4"/>
          <w:sz w:val="24"/>
          <w:szCs w:val="24"/>
          <w:highlight w:val="none"/>
        </w:rPr>
        <w:t>），本公司郑重承诺，具有履行本合同所必需的设备和专业技术能力。</w:t>
      </w:r>
    </w:p>
    <w:p>
      <w:pPr>
        <w:pStyle w:val="14"/>
        <w:adjustRightInd w:val="0"/>
        <w:snapToGrid w:val="0"/>
        <w:spacing w:line="720" w:lineRule="exact"/>
        <w:rPr>
          <w:rFonts w:hint="eastAsia" w:ascii="仿宋" w:hAnsi="仿宋" w:eastAsia="仿宋" w:cs="仿宋"/>
          <w:color w:val="auto"/>
          <w:spacing w:val="4"/>
          <w:sz w:val="24"/>
          <w:szCs w:val="24"/>
          <w:highlight w:val="none"/>
        </w:rPr>
      </w:pPr>
    </w:p>
    <w:p>
      <w:pPr>
        <w:pStyle w:val="14"/>
        <w:adjustRightInd w:val="0"/>
        <w:snapToGrid w:val="0"/>
        <w:spacing w:line="720" w:lineRule="exact"/>
        <w:rPr>
          <w:rFonts w:hint="eastAsia" w:ascii="仿宋" w:hAnsi="仿宋" w:eastAsia="仿宋" w:cs="仿宋"/>
          <w:color w:val="auto"/>
          <w:spacing w:val="4"/>
          <w:sz w:val="24"/>
          <w:szCs w:val="24"/>
          <w:highlight w:val="none"/>
        </w:rPr>
      </w:pPr>
    </w:p>
    <w:p>
      <w:pPr>
        <w:pStyle w:val="14"/>
        <w:adjustRightInd w:val="0"/>
        <w:snapToGrid w:val="0"/>
        <w:spacing w:line="720" w:lineRule="exact"/>
        <w:rPr>
          <w:rFonts w:hint="eastAsia" w:ascii="仿宋" w:hAnsi="仿宋" w:eastAsia="仿宋" w:cs="仿宋"/>
          <w:color w:val="auto"/>
          <w:spacing w:val="4"/>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07" w:firstLineChars="11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707" w:firstLineChars="112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w:t>
      </w:r>
    </w:p>
    <w:p>
      <w:pPr>
        <w:pStyle w:val="9"/>
        <w:jc w:val="center"/>
        <w:rPr>
          <w:rFonts w:hint="eastAsia" w:ascii="仿宋" w:hAnsi="仿宋" w:eastAsia="仿宋" w:cs="仿宋"/>
          <w:sz w:val="32"/>
          <w:szCs w:val="32"/>
          <w:highlight w:val="none"/>
        </w:rPr>
      </w:pPr>
      <w:bookmarkStart w:id="193" w:name="_Toc61531865"/>
      <w:bookmarkStart w:id="194" w:name="OLE_LINK13"/>
      <w:bookmarkStart w:id="195" w:name="OLE_LINK14"/>
      <w:r>
        <w:rPr>
          <w:rFonts w:hint="eastAsia" w:ascii="仿宋" w:hAnsi="仿宋" w:eastAsia="仿宋" w:cs="仿宋"/>
          <w:sz w:val="32"/>
          <w:szCs w:val="32"/>
          <w:highlight w:val="none"/>
        </w:rPr>
        <w:t>中小企业声明函(服务)</w:t>
      </w:r>
      <w:bookmarkEnd w:id="193"/>
    </w:p>
    <w:p>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（注：符合中小企业划型标准的企业请提供本函，不符合的不提供本函）</w:t>
      </w:r>
    </w:p>
    <w:p>
      <w:pPr>
        <w:rPr>
          <w:rFonts w:hint="eastAsia" w:ascii="仿宋" w:hAnsi="仿宋" w:eastAsia="仿宋" w:cs="仿宋"/>
          <w:color w:val="333333"/>
          <w:kern w:val="0"/>
          <w:sz w:val="28"/>
          <w:szCs w:val="28"/>
          <w:highlight w:val="none"/>
        </w:rPr>
      </w:pP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333333"/>
          <w:kern w:val="0"/>
          <w:sz w:val="24"/>
          <w:szCs w:val="24"/>
          <w:highlight w:val="none"/>
          <w:u w:val="single"/>
        </w:rPr>
        <w:t xml:space="preserve">  (单位名称) </w:t>
      </w:r>
      <w:r>
        <w:rPr>
          <w:rFonts w:hint="eastAsia" w:ascii="仿宋" w:hAnsi="仿宋" w:eastAsia="仿宋" w:cs="仿宋"/>
          <w:color w:val="333333"/>
          <w:kern w:val="0"/>
          <w:sz w:val="24"/>
          <w:szCs w:val="24"/>
          <w:highlight w:val="none"/>
        </w:rPr>
        <w:t xml:space="preserve"> 的</w:t>
      </w:r>
      <w:r>
        <w:rPr>
          <w:rFonts w:hint="eastAsia" w:ascii="仿宋" w:hAnsi="仿宋" w:eastAsia="仿宋" w:cs="仿宋"/>
          <w:color w:val="333333"/>
          <w:kern w:val="0"/>
          <w:sz w:val="24"/>
          <w:szCs w:val="24"/>
          <w:highlight w:val="none"/>
          <w:u w:val="single"/>
        </w:rPr>
        <w:t xml:space="preserve"> (项目名称) 采购</w:t>
      </w:r>
      <w:r>
        <w:rPr>
          <w:rFonts w:hint="eastAsia" w:ascii="仿宋" w:hAnsi="仿宋" w:eastAsia="仿宋" w:cs="仿宋"/>
          <w:color w:val="333333"/>
          <w:kern w:val="0"/>
          <w:sz w:val="24"/>
          <w:szCs w:val="24"/>
          <w:highlight w:val="none"/>
        </w:rPr>
        <w:t>活动，服务全部由符合政策要求的中小企业承接。相关企业(含联合体中的中小企业、签订分包意向协议的中小企业)的具体情况如下：</w:t>
      </w:r>
    </w:p>
    <w:p>
      <w:pPr>
        <w:numPr>
          <w:ilvl w:val="0"/>
          <w:numId w:val="12"/>
        </w:numPr>
        <w:spacing w:line="560" w:lineRule="exact"/>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u w:val="single"/>
        </w:rPr>
        <w:t xml:space="preserve"> (标的名称) </w:t>
      </w:r>
      <w:r>
        <w:rPr>
          <w:rFonts w:hint="eastAsia" w:ascii="仿宋" w:hAnsi="仿宋" w:eastAsia="仿宋" w:cs="仿宋"/>
          <w:color w:val="333333"/>
          <w:kern w:val="0"/>
          <w:sz w:val="24"/>
          <w:szCs w:val="24"/>
          <w:highlight w:val="none"/>
        </w:rPr>
        <w:t>，属于</w:t>
      </w:r>
      <w:r>
        <w:rPr>
          <w:rFonts w:hint="eastAsia" w:ascii="仿宋" w:hAnsi="仿宋" w:eastAsia="仿宋" w:cs="仿宋"/>
          <w:color w:val="333333"/>
          <w:kern w:val="0"/>
          <w:sz w:val="24"/>
          <w:szCs w:val="24"/>
          <w:highlight w:val="none"/>
          <w:u w:val="single"/>
        </w:rPr>
        <w:t xml:space="preserve"> (采购文件中明的所属行业) </w:t>
      </w:r>
      <w:r>
        <w:rPr>
          <w:rFonts w:hint="eastAsia" w:ascii="仿宋" w:hAnsi="仿宋" w:eastAsia="仿宋" w:cs="仿宋"/>
          <w:color w:val="333333"/>
          <w:kern w:val="0"/>
          <w:sz w:val="24"/>
          <w:szCs w:val="24"/>
          <w:highlight w:val="none"/>
        </w:rPr>
        <w:t>；承建(承接)企业为</w:t>
      </w:r>
      <w:r>
        <w:rPr>
          <w:rFonts w:hint="eastAsia" w:ascii="仿宋" w:hAnsi="仿宋" w:eastAsia="仿宋" w:cs="仿宋"/>
          <w:color w:val="333333"/>
          <w:kern w:val="0"/>
          <w:sz w:val="24"/>
          <w:szCs w:val="24"/>
          <w:highlight w:val="none"/>
          <w:u w:val="single"/>
        </w:rPr>
        <w:t xml:space="preserve"> (企业名称) </w:t>
      </w:r>
      <w:r>
        <w:rPr>
          <w:rFonts w:hint="eastAsia" w:ascii="仿宋" w:hAnsi="仿宋" w:eastAsia="仿宋" w:cs="仿宋"/>
          <w:color w:val="333333"/>
          <w:kern w:val="0"/>
          <w:sz w:val="24"/>
          <w:szCs w:val="24"/>
          <w:highlight w:val="none"/>
        </w:rPr>
        <w:t>，从业人员</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人，营业收入为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万元，资产总额为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万元，属于</w:t>
      </w:r>
      <w:r>
        <w:rPr>
          <w:rFonts w:hint="eastAsia" w:ascii="仿宋" w:hAnsi="仿宋" w:eastAsia="仿宋" w:cs="仿宋"/>
          <w:color w:val="333333"/>
          <w:kern w:val="0"/>
          <w:sz w:val="24"/>
          <w:szCs w:val="24"/>
          <w:highlight w:val="none"/>
          <w:u w:val="single"/>
        </w:rPr>
        <w:t xml:space="preserve"> (中型企必、小型企业、微型企业) </w:t>
      </w:r>
      <w:r>
        <w:rPr>
          <w:rFonts w:hint="eastAsia" w:ascii="仿宋" w:hAnsi="仿宋" w:eastAsia="仿宋" w:cs="仿宋"/>
          <w:color w:val="333333"/>
          <w:kern w:val="0"/>
          <w:sz w:val="24"/>
          <w:szCs w:val="24"/>
          <w:highlight w:val="none"/>
        </w:rPr>
        <w:t>；</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 xml:space="preserve">2. </w:t>
      </w:r>
      <w:r>
        <w:rPr>
          <w:rFonts w:hint="eastAsia" w:ascii="仿宋" w:hAnsi="仿宋" w:eastAsia="仿宋" w:cs="仿宋"/>
          <w:color w:val="333333"/>
          <w:kern w:val="0"/>
          <w:sz w:val="24"/>
          <w:szCs w:val="24"/>
          <w:highlight w:val="none"/>
          <w:u w:val="single"/>
        </w:rPr>
        <w:t xml:space="preserve"> (标的名称) </w:t>
      </w:r>
      <w:r>
        <w:rPr>
          <w:rFonts w:hint="eastAsia" w:ascii="仿宋" w:hAnsi="仿宋" w:eastAsia="仿宋" w:cs="仿宋"/>
          <w:color w:val="333333"/>
          <w:kern w:val="0"/>
          <w:sz w:val="24"/>
          <w:szCs w:val="24"/>
          <w:highlight w:val="none"/>
        </w:rPr>
        <w:t>，属于</w:t>
      </w:r>
      <w:r>
        <w:rPr>
          <w:rFonts w:hint="eastAsia" w:ascii="仿宋" w:hAnsi="仿宋" w:eastAsia="仿宋" w:cs="仿宋"/>
          <w:color w:val="333333"/>
          <w:kern w:val="0"/>
          <w:sz w:val="24"/>
          <w:szCs w:val="24"/>
          <w:highlight w:val="none"/>
          <w:u w:val="single"/>
        </w:rPr>
        <w:t xml:space="preserve"> (采购文件中明的所属行业) </w:t>
      </w:r>
      <w:r>
        <w:rPr>
          <w:rFonts w:hint="eastAsia" w:ascii="仿宋" w:hAnsi="仿宋" w:eastAsia="仿宋" w:cs="仿宋"/>
          <w:color w:val="333333"/>
          <w:kern w:val="0"/>
          <w:sz w:val="24"/>
          <w:szCs w:val="24"/>
          <w:highlight w:val="none"/>
        </w:rPr>
        <w:t>；承建(承接)企业为</w:t>
      </w:r>
      <w:r>
        <w:rPr>
          <w:rFonts w:hint="eastAsia" w:ascii="仿宋" w:hAnsi="仿宋" w:eastAsia="仿宋" w:cs="仿宋"/>
          <w:color w:val="333333"/>
          <w:kern w:val="0"/>
          <w:sz w:val="24"/>
          <w:szCs w:val="24"/>
          <w:highlight w:val="none"/>
          <w:u w:val="single"/>
        </w:rPr>
        <w:t xml:space="preserve"> (企业名称) </w:t>
      </w:r>
      <w:r>
        <w:rPr>
          <w:rFonts w:hint="eastAsia" w:ascii="仿宋" w:hAnsi="仿宋" w:eastAsia="仿宋" w:cs="仿宋"/>
          <w:color w:val="333333"/>
          <w:kern w:val="0"/>
          <w:sz w:val="24"/>
          <w:szCs w:val="24"/>
          <w:highlight w:val="none"/>
        </w:rPr>
        <w:t>，从业人员</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人，营业收入为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万元，资产总额为</w:t>
      </w:r>
      <w:r>
        <w:rPr>
          <w:rFonts w:hint="eastAsia" w:ascii="仿宋" w:hAnsi="仿宋" w:eastAsia="仿宋" w:cs="仿宋"/>
          <w:color w:val="333333"/>
          <w:kern w:val="0"/>
          <w:sz w:val="24"/>
          <w:szCs w:val="24"/>
          <w:highlight w:val="none"/>
          <w:u w:val="single"/>
        </w:rPr>
        <w:t xml:space="preserve">    </w:t>
      </w:r>
      <w:r>
        <w:rPr>
          <w:rFonts w:hint="eastAsia" w:ascii="仿宋" w:hAnsi="仿宋" w:eastAsia="仿宋" w:cs="仿宋"/>
          <w:color w:val="333333"/>
          <w:kern w:val="0"/>
          <w:sz w:val="24"/>
          <w:szCs w:val="24"/>
          <w:highlight w:val="none"/>
        </w:rPr>
        <w:t>万元，属于</w:t>
      </w:r>
      <w:r>
        <w:rPr>
          <w:rFonts w:hint="eastAsia" w:ascii="仿宋" w:hAnsi="仿宋" w:eastAsia="仿宋" w:cs="仿宋"/>
          <w:color w:val="333333"/>
          <w:kern w:val="0"/>
          <w:sz w:val="24"/>
          <w:szCs w:val="24"/>
          <w:highlight w:val="none"/>
          <w:u w:val="single"/>
        </w:rPr>
        <w:t xml:space="preserve"> (中型企必、小型企业、微型企业) </w:t>
      </w:r>
      <w:r>
        <w:rPr>
          <w:rFonts w:hint="eastAsia" w:ascii="仿宋" w:hAnsi="仿宋" w:eastAsia="仿宋" w:cs="仿宋"/>
          <w:color w:val="333333"/>
          <w:kern w:val="0"/>
          <w:sz w:val="24"/>
          <w:szCs w:val="24"/>
          <w:highlight w:val="none"/>
        </w:rPr>
        <w:t>；</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本企业对上述声明内容的真实性负责。如有虚假，将依法承担相应责任。</w:t>
      </w:r>
    </w:p>
    <w:p>
      <w:pPr>
        <w:spacing w:line="560" w:lineRule="exact"/>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 xml:space="preserve">                                  </w:t>
      </w:r>
    </w:p>
    <w:p>
      <w:pPr>
        <w:spacing w:line="560" w:lineRule="exact"/>
        <w:ind w:firstLine="4200" w:firstLineChars="1750"/>
        <w:rPr>
          <w:rFonts w:hint="eastAsia" w:ascii="仿宋" w:hAnsi="仿宋" w:eastAsia="仿宋" w:cs="仿宋"/>
          <w:color w:val="333333"/>
          <w:kern w:val="0"/>
          <w:sz w:val="24"/>
          <w:szCs w:val="24"/>
          <w:highlight w:val="none"/>
        </w:rPr>
      </w:pPr>
      <w:r>
        <w:rPr>
          <w:rFonts w:hint="eastAsia" w:ascii="仿宋" w:hAnsi="仿宋" w:eastAsia="仿宋" w:cs="仿宋"/>
          <w:color w:val="333333"/>
          <w:kern w:val="0"/>
          <w:sz w:val="24"/>
          <w:szCs w:val="24"/>
          <w:highlight w:val="none"/>
        </w:rPr>
        <w:t>企业名称(盖章):</w:t>
      </w:r>
    </w:p>
    <w:p>
      <w:pPr>
        <w:spacing w:line="560" w:lineRule="exact"/>
        <w:ind w:firstLine="4320" w:firstLineChars="1800"/>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4"/>
          <w:szCs w:val="24"/>
          <w:highlight w:val="none"/>
        </w:rPr>
        <w:t>日期：</w:t>
      </w:r>
    </w:p>
    <w:p>
      <w:pPr>
        <w:rPr>
          <w:rFonts w:hint="eastAsia" w:ascii="仿宋" w:hAnsi="仿宋" w:eastAsia="仿宋" w:cs="仿宋"/>
          <w:color w:val="333333"/>
          <w:kern w:val="0"/>
          <w:sz w:val="28"/>
          <w:szCs w:val="28"/>
          <w:highlight w:val="none"/>
          <w:u w:val="single"/>
        </w:rPr>
      </w:pPr>
      <w:r>
        <w:rPr>
          <w:rFonts w:hint="eastAsia" w:ascii="仿宋" w:hAnsi="仿宋" w:eastAsia="仿宋" w:cs="仿宋"/>
          <w:color w:val="333333"/>
          <w:kern w:val="0"/>
          <w:sz w:val="28"/>
          <w:szCs w:val="28"/>
          <w:highlight w:val="none"/>
        </w:rPr>
        <w:t xml:space="preserve"> </w:t>
      </w:r>
      <w:r>
        <w:rPr>
          <w:rFonts w:hint="eastAsia" w:ascii="仿宋" w:hAnsi="仿宋" w:eastAsia="仿宋" w:cs="仿宋"/>
          <w:color w:val="333333"/>
          <w:kern w:val="0"/>
          <w:sz w:val="28"/>
          <w:szCs w:val="28"/>
          <w:highlight w:val="none"/>
          <w:u w:val="single"/>
        </w:rPr>
        <w:t xml:space="preserve">                                        </w:t>
      </w:r>
      <w:r>
        <w:rPr>
          <w:rFonts w:hint="eastAsia" w:ascii="仿宋" w:hAnsi="仿宋" w:eastAsia="仿宋" w:cs="仿宋"/>
          <w:color w:val="333333"/>
          <w:kern w:val="0"/>
          <w:sz w:val="28"/>
          <w:szCs w:val="28"/>
          <w:highlight w:val="none"/>
          <w:u w:val="single"/>
          <w:lang w:val="en-US" w:eastAsia="zh-CN"/>
        </w:rPr>
        <w:t xml:space="preserve">    </w:t>
      </w:r>
      <w:r>
        <w:rPr>
          <w:rFonts w:hint="eastAsia" w:ascii="仿宋" w:hAnsi="仿宋" w:eastAsia="仿宋" w:cs="仿宋"/>
          <w:color w:val="333333"/>
          <w:kern w:val="0"/>
          <w:sz w:val="28"/>
          <w:szCs w:val="28"/>
          <w:highlight w:val="none"/>
          <w:u w:val="single"/>
        </w:rPr>
        <w:t xml:space="preserve">            </w:t>
      </w:r>
    </w:p>
    <w:p>
      <w:pPr>
        <w:spacing w:line="500" w:lineRule="exact"/>
        <w:rPr>
          <w:rFonts w:hint="eastAsia" w:ascii="仿宋" w:hAnsi="仿宋" w:eastAsia="仿宋" w:cs="仿宋"/>
          <w:sz w:val="28"/>
          <w:szCs w:val="28"/>
          <w:highlight w:val="none"/>
        </w:rPr>
      </w:pPr>
      <w:r>
        <w:rPr>
          <w:rFonts w:hint="eastAsia" w:ascii="仿宋" w:hAnsi="仿宋" w:eastAsia="仿宋" w:cs="仿宋"/>
          <w:color w:val="333333"/>
          <w:kern w:val="0"/>
          <w:sz w:val="22"/>
          <w:szCs w:val="22"/>
          <w:highlight w:val="none"/>
        </w:rPr>
        <w:t xml:space="preserve">（从业人员、营业收入、资产总额填报上一年度数据，无上一年度数据的新成立企业可不填报）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pacing w:val="6"/>
          <w:sz w:val="36"/>
          <w:szCs w:val="36"/>
          <w:highlight w:val="none"/>
        </w:rPr>
      </w:pPr>
      <w:r>
        <w:rPr>
          <w:rFonts w:hint="eastAsia" w:ascii="仿宋" w:hAnsi="仿宋" w:eastAsia="仿宋" w:cs="仿宋"/>
          <w:b/>
          <w:color w:val="auto"/>
          <w:spacing w:val="6"/>
          <w:sz w:val="36"/>
          <w:szCs w:val="36"/>
          <w:highlight w:val="none"/>
        </w:rPr>
        <w:t>残疾人福利性单位声明函</w:t>
      </w:r>
    </w:p>
    <w:p>
      <w:pPr>
        <w:pStyle w:val="3"/>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（注：符合</w:t>
      </w:r>
      <w:r>
        <w:rPr>
          <w:rFonts w:hint="eastAsia" w:ascii="仿宋" w:hAnsi="仿宋" w:eastAsia="仿宋" w:cs="仿宋"/>
          <w:b/>
          <w:bCs/>
          <w:color w:val="auto"/>
          <w:sz w:val="24"/>
          <w:szCs w:val="24"/>
          <w:highlight w:val="none"/>
          <w:lang w:val="en-US" w:eastAsia="zh-CN"/>
        </w:rPr>
        <w:t>残疾人福利性</w:t>
      </w:r>
      <w:r>
        <w:rPr>
          <w:rFonts w:hint="eastAsia" w:ascii="仿宋" w:hAnsi="仿宋" w:eastAsia="仿宋" w:cs="仿宋"/>
          <w:b/>
          <w:bCs/>
          <w:color w:val="auto"/>
          <w:sz w:val="24"/>
          <w:szCs w:val="24"/>
          <w:highlight w:val="none"/>
        </w:rPr>
        <w:t>的企业请提供本函，不符合的不提供本函）</w:t>
      </w:r>
    </w:p>
    <w:bookmarkEnd w:id="194"/>
    <w:bookmarkEnd w:id="195"/>
    <w:p>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38" w:leftChars="599" w:firstLine="2740" w:firstLineChars="1142"/>
        <w:textAlignment w:val="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残疾人福利性单位（盖公章）：</w:t>
      </w:r>
      <w:r>
        <w:rPr>
          <w:rFonts w:hint="eastAsia" w:ascii="仿宋" w:hAnsi="仿宋" w:eastAsia="仿宋" w:cs="仿宋"/>
          <w:color w:val="auto"/>
          <w:kern w:val="0"/>
          <w:sz w:val="24"/>
          <w:szCs w:val="2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38" w:leftChars="599" w:firstLine="2740" w:firstLineChars="1142"/>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4"/>
          <w:highlight w:val="none"/>
        </w:rPr>
        <w:t xml:space="preserve">法定代表人或授权代表（签字）:  </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080" w:firstLineChars="1700"/>
        <w:textAlignment w:val="auto"/>
        <w:rPr>
          <w:rFonts w:hint="eastAsia" w:ascii="仿宋" w:hAnsi="仿宋" w:eastAsia="仿宋" w:cs="仿宋"/>
          <w:color w:val="auto"/>
          <w:kern w:val="0"/>
          <w:sz w:val="24"/>
          <w:szCs w:val="20"/>
          <w:highlight w:val="none"/>
          <w:u w:val="single"/>
        </w:rPr>
      </w:pPr>
      <w:r>
        <w:rPr>
          <w:rFonts w:hint="eastAsia" w:ascii="仿宋" w:hAnsi="仿宋" w:eastAsia="仿宋" w:cs="仿宋"/>
          <w:color w:val="auto"/>
          <w:kern w:val="0"/>
          <w:sz w:val="24"/>
          <w:szCs w:val="20"/>
          <w:highlight w:val="none"/>
        </w:rPr>
        <w:t>日</w:t>
      </w:r>
      <w:r>
        <w:rPr>
          <w:rFonts w:hint="eastAsia" w:ascii="仿宋" w:hAnsi="仿宋" w:eastAsia="仿宋" w:cs="仿宋"/>
          <w:color w:val="auto"/>
          <w:kern w:val="0"/>
          <w:sz w:val="24"/>
          <w:szCs w:val="20"/>
          <w:highlight w:val="none"/>
          <w:lang w:val="en-US" w:eastAsia="zh-CN"/>
        </w:rPr>
        <w:t xml:space="preserve">        </w:t>
      </w:r>
      <w:r>
        <w:rPr>
          <w:rFonts w:hint="eastAsia" w:ascii="仿宋" w:hAnsi="仿宋" w:eastAsia="仿宋" w:cs="仿宋"/>
          <w:color w:val="auto"/>
          <w:kern w:val="0"/>
          <w:sz w:val="24"/>
          <w:szCs w:val="20"/>
          <w:highlight w:val="none"/>
        </w:rPr>
        <w:t xml:space="preserve">  期：</w:t>
      </w:r>
      <w:r>
        <w:rPr>
          <w:rFonts w:hint="eastAsia" w:ascii="仿宋" w:hAnsi="仿宋" w:eastAsia="仿宋" w:cs="仿宋"/>
          <w:color w:val="auto"/>
          <w:kern w:val="0"/>
          <w:sz w:val="24"/>
          <w:szCs w:val="20"/>
          <w:highlight w:val="none"/>
          <w:u w:val="single"/>
        </w:rPr>
        <w:t xml:space="preserve">                             </w:t>
      </w:r>
    </w:p>
    <w:p>
      <w:pPr>
        <w:spacing w:line="336" w:lineRule="auto"/>
        <w:ind w:firstLine="640" w:firstLineChars="200"/>
        <w:rPr>
          <w:rFonts w:hint="eastAsia" w:ascii="仿宋" w:hAnsi="仿宋" w:eastAsia="仿宋" w:cs="仿宋"/>
          <w:color w:val="auto"/>
          <w:sz w:val="32"/>
          <w:szCs w:val="32"/>
          <w:highlight w:val="none"/>
        </w:rPr>
      </w:pPr>
    </w:p>
    <w:p>
      <w:pPr>
        <w:pStyle w:val="8"/>
        <w:rPr>
          <w:rFonts w:hint="eastAsia" w:ascii="仿宋" w:hAnsi="仿宋" w:eastAsia="仿宋" w:cs="仿宋"/>
          <w:color w:val="auto"/>
          <w:sz w:val="32"/>
          <w:szCs w:val="32"/>
          <w:highlight w:val="none"/>
        </w:rPr>
      </w:pPr>
    </w:p>
    <w:p>
      <w:pPr>
        <w:pStyle w:val="8"/>
        <w:rPr>
          <w:rFonts w:hint="eastAsia" w:ascii="仿宋" w:hAnsi="仿宋" w:eastAsia="仿宋" w:cs="仿宋"/>
          <w:color w:val="auto"/>
          <w:sz w:val="32"/>
          <w:szCs w:val="32"/>
          <w:highlight w:val="none"/>
        </w:rPr>
      </w:pPr>
    </w:p>
    <w:p>
      <w:pPr>
        <w:pStyle w:val="8"/>
        <w:rPr>
          <w:rFonts w:hint="eastAsia" w:ascii="仿宋" w:hAnsi="仿宋" w:eastAsia="仿宋" w:cs="仿宋"/>
          <w:color w:val="auto"/>
          <w:sz w:val="32"/>
          <w:szCs w:val="32"/>
          <w:highlight w:val="none"/>
        </w:rPr>
      </w:pPr>
    </w:p>
    <w:p>
      <w:pPr>
        <w:spacing w:line="336" w:lineRule="auto"/>
        <w:ind w:firstLine="480" w:firstLineChars="200"/>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备注：1.填写前请认真阅读《财政部 民政部 中国残疾人联合会关于促进残疾人就业政府采购政采的通知》(财库〔2017〕141号)相关规定。</w:t>
      </w:r>
    </w:p>
    <w:p>
      <w:pPr>
        <w:pStyle w:val="3"/>
        <w:rPr>
          <w:rFonts w:hint="eastAsia" w:ascii="仿宋" w:hAnsi="仿宋" w:eastAsia="仿宋" w:cs="仿宋"/>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bidi w:val="0"/>
        <w:jc w:val="center"/>
        <w:rPr>
          <w:rFonts w:hint="eastAsia" w:ascii="仿宋" w:hAnsi="仿宋" w:eastAsia="仿宋" w:cs="仿宋"/>
          <w:b/>
          <w:bCs/>
          <w:color w:val="auto"/>
          <w:sz w:val="32"/>
          <w:szCs w:val="32"/>
          <w:highlight w:val="none"/>
        </w:rPr>
      </w:pPr>
      <w:bookmarkStart w:id="196" w:name="_Toc5397"/>
      <w:bookmarkStart w:id="197" w:name="_Toc21488"/>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、其他资料</w:t>
      </w:r>
      <w:bookmarkEnd w:id="196"/>
      <w:bookmarkEnd w:id="197"/>
    </w:p>
    <w:p>
      <w:pPr>
        <w:pStyle w:val="13"/>
        <w:keepNext w:val="0"/>
        <w:keepLines w:val="0"/>
        <w:pageBreakBefore w:val="0"/>
        <w:widowControl w:val="0"/>
        <w:kinsoku/>
        <w:wordWrap/>
        <w:overflowPunct/>
        <w:topLinePunct w:val="0"/>
        <w:autoSpaceDE/>
        <w:autoSpaceDN/>
        <w:bidi w:val="0"/>
        <w:snapToGrid/>
        <w:spacing w:before="120" w:line="500" w:lineRule="exact"/>
        <w:ind w:left="0" w:right="34"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凡</w:t>
      </w:r>
      <w:r>
        <w:rPr>
          <w:rFonts w:hint="eastAsia" w:ascii="仿宋" w:hAnsi="仿宋" w:eastAsia="仿宋" w:cs="仿宋"/>
          <w:bCs/>
          <w:color w:val="auto"/>
          <w:sz w:val="24"/>
          <w:szCs w:val="24"/>
          <w:highlight w:val="none"/>
        </w:rPr>
        <w:t>满足政府采购相关优惠政策的供应商自行根据相关政策规定提供声明或证明材料，如供应商不符合要求无需提供。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《政府采购促进中小企业发展管理办法》的通知--财库〔2020〕46号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《财政部 国务院扶贫办关于运用政府采购政策支持脱贫攻坚的通知》（财库〔2019〕27号）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《财政部 发展改革委 生态环境部 市场监管总局关于调整优化节能产品 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《节能产品政府采购实施意见》--（财库[2004]185号）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 xml:space="preserve">《环境标志产品政府采购实施的意见》--财库[2006]90号 </w:t>
      </w:r>
    </w:p>
    <w:p>
      <w:pPr>
        <w:rPr>
          <w:rFonts w:hint="eastAsia"/>
          <w:highlight w:val="none"/>
        </w:rPr>
      </w:pPr>
    </w:p>
    <w:sectPr>
      <w:pgSz w:w="11906" w:h="16838"/>
      <w:pgMar w:top="1440" w:right="1060" w:bottom="1440" w:left="1389" w:header="850" w:footer="992" w:gutter="0"/>
      <w:pgNumType w:fmt="numberInDash"/>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hint="eastAsia" w:eastAsia="宋体"/>
        <w:lang w:eastAsia="zh-CN"/>
      </w:rPr>
    </w:pPr>
    <w:r>
      <w:rPr>
        <w:rFonts w:hint="eastAsia"/>
      </w:rPr>
      <w:t xml:space="preserve">陕西德仁招标有限公司 </w:t>
    </w:r>
    <w:r>
      <w:rPr>
        <w:rFonts w:hint="eastAsia"/>
      </w:rPr>
      <w:tab/>
    </w:r>
    <w:r>
      <w:rPr>
        <w:rFonts w:hint="eastAsia"/>
      </w:rPr>
      <w:t xml:space="preserve">西安市高新区沣惠南路华晶商务广场B座1幢2301室  </w:t>
    </w:r>
    <w:r>
      <w:rPr>
        <w:rFonts w:hint="eastAsia"/>
        <w:lang w:eastAsia="zh-CN"/>
      </w:rPr>
      <w:t>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60288"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0288;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西安市沣惠南路华晶商务广场B座1幢2301室      </w:t>
    </w:r>
    <w:r>
      <w:rPr>
        <w:rFonts w:hint="eastAsia" w:ascii="仿宋" w:hAnsi="仿宋" w:eastAsia="仿宋" w:cs="仿宋"/>
        <w:i w:val="0"/>
        <w:iCs w:val="0"/>
        <w:caps w:val="0"/>
        <w:color w:val="333333"/>
        <w:spacing w:val="0"/>
        <w:sz w:val="24"/>
        <w:szCs w:val="24"/>
        <w:highlight w:val="none"/>
        <w:shd w:val="clear" w:color="auto" w:fill="FFFFFF"/>
      </w:rPr>
      <w:t>029-85565073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6438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3"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pPr>
                            <w:pStyle w:val="17"/>
                            <w:jc w:val="both"/>
                            <w:rPr>
                              <w:rFonts w:ascii="仿宋" w:hAnsi="仿宋" w:eastAsia="仿宋" w:cs="仿宋"/>
                              <w:sz w:val="21"/>
                              <w:szCs w:val="21"/>
                            </w:rPr>
                          </w:pP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438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Cb7eTe0AQAAgQMAAA4AAAAAAAAAAQAgAAAAJgEAAGRycy9lMm9Eb2MueG1sUEsFBgAAAAAG&#10;AAYAWQEAAEwFAAAAAA==&#10;">
              <v:fill on="f" focussize="0,0"/>
              <v:stroke on="f" weight="0.5pt"/>
              <v:imagedata o:title=""/>
              <o:lock v:ext="edit" aspectratio="f"/>
              <v:textbox inset="0mm,0mm,0mm,0mm">
                <w:txbxContent>
                  <w:p>
                    <w:pPr>
                      <w:pStyle w:val="17"/>
                      <w:jc w:val="both"/>
                      <w:rPr>
                        <w:rFonts w:ascii="仿宋" w:hAnsi="仿宋" w:eastAsia="仿宋" w:cs="仿宋"/>
                        <w:sz w:val="21"/>
                        <w:szCs w:val="21"/>
                      </w:rPr>
                    </w:pP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西安市沣惠南路华晶商务广场B座1幢2301室      </w:t>
    </w:r>
    <w:r>
      <w:rPr>
        <w:rFonts w:hint="eastAsia" w:ascii="仿宋" w:hAnsi="仿宋" w:eastAsia="仿宋" w:cs="仿宋"/>
        <w:i w:val="0"/>
        <w:iCs w:val="0"/>
        <w:caps w:val="0"/>
        <w:color w:val="333333"/>
        <w:spacing w:val="0"/>
        <w:sz w:val="24"/>
        <w:szCs w:val="24"/>
        <w:highlight w:val="none"/>
        <w:shd w:val="clear" w:color="auto" w:fill="FFFFFF"/>
      </w:rPr>
      <w:t>029-85565073</w:t>
    </w:r>
  </w:p>
  <w:p>
    <w:pPr>
      <w:pStyle w:val="17"/>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- 26 -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63360"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1"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pPr>
                            <w:pStyle w:val="17"/>
                            <w:jc w:val="both"/>
                            <w:rPr>
                              <w:rFonts w:ascii="仿宋" w:hAnsi="仿宋" w:eastAsia="仿宋" w:cs="仿宋"/>
                              <w:sz w:val="21"/>
                              <w:szCs w:val="21"/>
                            </w:rPr>
                          </w:pP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3360;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k&#10;TlCg1wAAAAkBAAAPAAAAAAAAAAEAIAAAACIAAABkcnMvZG93bnJldi54bWxQSwECFAAUAAAACACH&#10;TuJAx0o/27MBAACBAwAADgAAAAAAAAABACAAAAAmAQAAZHJzL2Uyb0RvYy54bWxQSwUGAAAAAAYA&#10;BgBZAQAASwUAAAAA&#10;">
              <v:fill on="f" focussize="0,0"/>
              <v:stroke on="f" weight="0.5pt"/>
              <v:imagedata o:title=""/>
              <o:lock v:ext="edit" aspectratio="f"/>
              <v:textbox inset="0mm,0mm,0mm,0mm">
                <w:txbxContent>
                  <w:p>
                    <w:pPr>
                      <w:pStyle w:val="17"/>
                      <w:jc w:val="both"/>
                      <w:rPr>
                        <w:rFonts w:ascii="仿宋" w:hAnsi="仿宋" w:eastAsia="仿宋" w:cs="仿宋"/>
                        <w:sz w:val="21"/>
                        <w:szCs w:val="21"/>
                      </w:rPr>
                    </w:pP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西安市沣惠南路华晶商务广场B座1幢2301室      </w:t>
    </w:r>
    <w:r>
      <w:rPr>
        <w:rFonts w:hint="eastAsia" w:ascii="仿宋" w:hAnsi="仿宋" w:eastAsia="仿宋" w:cs="仿宋"/>
        <w:i w:val="0"/>
        <w:iCs w:val="0"/>
        <w:caps w:val="0"/>
        <w:color w:val="333333"/>
        <w:spacing w:val="0"/>
        <w:sz w:val="24"/>
        <w:szCs w:val="24"/>
        <w:highlight w:val="none"/>
        <w:shd w:val="clear" w:color="auto" w:fill="FFFFFF"/>
      </w:rPr>
      <w:t>029-85565073</w:t>
    </w:r>
  </w:p>
  <w:p>
    <w:pPr>
      <w:pStyle w:val="17"/>
      <w:tabs>
        <w:tab w:val="left" w:pos="726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1"/>
      </w:pBdr>
      <w:spacing w:before="100" w:beforeAutospacing="1" w:after="100" w:afterAutospacing="1"/>
      <w:jc w:val="left"/>
      <w:rPr>
        <w:rFonts w:hint="default" w:ascii="仿宋" w:hAnsi="仿宋" w:eastAsia="仿宋" w:cs="仿宋"/>
        <w:i w:val="0"/>
        <w:caps w:val="0"/>
        <w:color w:val="auto"/>
        <w:spacing w:val="0"/>
        <w:sz w:val="21"/>
        <w:szCs w:val="21"/>
        <w:highlight w:val="none"/>
        <w:shd w:val="clear" w:fill="FFFFFF"/>
        <w:lang w:val="en-US" w:eastAsia="zh-CN"/>
      </w:rPr>
    </w:pPr>
    <w:r>
      <w:rPr>
        <w:rFonts w:hint="eastAsia" w:ascii="仿宋" w:hAnsi="仿宋" w:eastAsia="仿宋" w:cs="仿宋"/>
        <w:sz w:val="21"/>
        <w:szCs w:val="21"/>
        <w:lang w:eastAsia="zh-CN"/>
      </w:rPr>
      <w:t>西安市未央区人民法院集约送达服务项目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spacing w:line="360" w:lineRule="auto"/>
      <w:ind w:left="-228" w:leftChars="-95" w:right="-358" w:rightChars="-149" w:firstLine="150" w:firstLineChars="100"/>
      <w:jc w:val="left"/>
      <w:rPr>
        <w:rFonts w:hint="eastAsia" w:eastAsia="宋体"/>
        <w:sz w:val="18"/>
        <w:szCs w:val="18"/>
        <w:lang w:eastAsia="zh-CN"/>
      </w:rPr>
    </w:pPr>
    <w:r>
      <w:rPr>
        <w:rFonts w:hint="eastAsia" w:ascii="宋体" w:hAnsi="宋体" w:cs="宋体"/>
        <w:bCs/>
        <w:sz w:val="15"/>
        <w:szCs w:val="15"/>
        <w:u w:val="single"/>
        <w:lang w:eastAsia="zh-CN"/>
      </w:rPr>
      <w:t>西安市中级人民法院机关食堂食材配送服务项目</w:t>
    </w:r>
    <w:r>
      <w:rPr>
        <w:rFonts w:hint="eastAsia" w:ascii="宋体" w:hAnsi="宋体" w:cs="宋体"/>
        <w:bCs/>
        <w:sz w:val="15"/>
        <w:szCs w:val="15"/>
        <w:u w:val="single"/>
      </w:rPr>
      <w:t xml:space="preserve">               </w:t>
    </w:r>
    <w:r>
      <w:rPr>
        <w:rFonts w:hint="eastAsia" w:ascii="宋体" w:hAnsi="宋体" w:cs="宋体"/>
        <w:bCs/>
        <w:sz w:val="15"/>
        <w:szCs w:val="15"/>
        <w:u w:val="single"/>
        <w:lang w:val="en-US" w:eastAsia="zh-CN"/>
      </w:rPr>
      <w:t xml:space="preserve">         </w:t>
    </w:r>
    <w:r>
      <w:rPr>
        <w:rFonts w:hint="eastAsia" w:ascii="宋体" w:hAnsi="宋体" w:cs="宋体"/>
        <w:bCs/>
        <w:sz w:val="15"/>
        <w:szCs w:val="15"/>
        <w:u w:val="single"/>
      </w:rPr>
      <w:t xml:space="preserve">           </w:t>
    </w:r>
    <w:r>
      <w:rPr>
        <w:rFonts w:hint="eastAsia" w:ascii="宋体" w:hAnsi="宋体" w:cs="宋体"/>
        <w:bCs/>
        <w:sz w:val="15"/>
        <w:szCs w:val="15"/>
        <w:u w:val="single"/>
        <w:lang w:val="en-US" w:eastAsia="zh-CN"/>
      </w:rPr>
      <w:t xml:space="preserve">       </w:t>
    </w:r>
    <w:r>
      <w:rPr>
        <w:rFonts w:hint="eastAsia" w:ascii="宋体" w:hAnsi="宋体" w:cs="宋体"/>
        <w:bCs/>
        <w:sz w:val="15"/>
        <w:szCs w:val="15"/>
        <w:u w:val="single"/>
        <w:lang w:eastAsia="zh-CN"/>
      </w:rPr>
      <w:t>SXWZ2021ZB-SZJFY-217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A1E1B"/>
    <w:multiLevelType w:val="singleLevel"/>
    <w:tmpl w:val="A12A1E1B"/>
    <w:lvl w:ilvl="0" w:tentative="0">
      <w:start w:val="1"/>
      <w:numFmt w:val="chineseCounting"/>
      <w:suff w:val="nothing"/>
      <w:lvlText w:val="%1、"/>
      <w:lvlJc w:val="left"/>
      <w:rPr>
        <w:rFonts w:hint="eastAsia"/>
      </w:rPr>
    </w:lvl>
  </w:abstractNum>
  <w:abstractNum w:abstractNumId="1">
    <w:nsid w:val="C111D952"/>
    <w:multiLevelType w:val="singleLevel"/>
    <w:tmpl w:val="C111D952"/>
    <w:lvl w:ilvl="0" w:tentative="0">
      <w:start w:val="1"/>
      <w:numFmt w:val="decimal"/>
      <w:lvlText w:val="%1)"/>
      <w:lvlJc w:val="left"/>
      <w:pPr>
        <w:ind w:left="425" w:hanging="425"/>
      </w:pPr>
      <w:rPr>
        <w:rFonts w:hint="default"/>
      </w:rPr>
    </w:lvl>
  </w:abstractNum>
  <w:abstractNum w:abstractNumId="2">
    <w:nsid w:val="E5F76844"/>
    <w:multiLevelType w:val="singleLevel"/>
    <w:tmpl w:val="E5F76844"/>
    <w:lvl w:ilvl="0" w:tentative="0">
      <w:start w:val="1"/>
      <w:numFmt w:val="decimal"/>
      <w:lvlText w:val="%1)"/>
      <w:lvlJc w:val="left"/>
      <w:pPr>
        <w:ind w:left="425" w:hanging="425"/>
      </w:pPr>
      <w:rPr>
        <w:rFonts w:hint="default"/>
      </w:rPr>
    </w:lvl>
  </w:abstractNum>
  <w:abstractNum w:abstractNumId="3">
    <w:nsid w:val="F88503B7"/>
    <w:multiLevelType w:val="singleLevel"/>
    <w:tmpl w:val="F88503B7"/>
    <w:lvl w:ilvl="0" w:tentative="0">
      <w:start w:val="1"/>
      <w:numFmt w:val="decimal"/>
      <w:suff w:val="nothing"/>
      <w:lvlText w:val="%1、"/>
      <w:lvlJc w:val="left"/>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27335A53"/>
    <w:multiLevelType w:val="singleLevel"/>
    <w:tmpl w:val="27335A53"/>
    <w:lvl w:ilvl="0" w:tentative="0">
      <w:start w:val="1"/>
      <w:numFmt w:val="decimal"/>
      <w:suff w:val="nothing"/>
      <w:lvlText w:val="（%1）"/>
      <w:lvlJc w:val="left"/>
      <w:pPr>
        <w:ind w:left="-480"/>
      </w:pPr>
    </w:lvl>
  </w:abstractNum>
  <w:abstractNum w:abstractNumId="6">
    <w:nsid w:val="2F1853BA"/>
    <w:multiLevelType w:val="singleLevel"/>
    <w:tmpl w:val="2F1853BA"/>
    <w:lvl w:ilvl="0" w:tentative="0">
      <w:start w:val="3"/>
      <w:numFmt w:val="chineseCounting"/>
      <w:suff w:val="space"/>
      <w:lvlText w:val="第%1章"/>
      <w:lvlJc w:val="left"/>
      <w:rPr>
        <w:rFonts w:hint="eastAsia"/>
      </w:rPr>
    </w:lvl>
  </w:abstractNum>
  <w:abstractNum w:abstractNumId="7">
    <w:nsid w:val="3EC96E55"/>
    <w:multiLevelType w:val="multilevel"/>
    <w:tmpl w:val="3EC96E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83"/>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10">
    <w:nsid w:val="5EC3ABA1"/>
    <w:multiLevelType w:val="singleLevel"/>
    <w:tmpl w:val="5EC3ABA1"/>
    <w:lvl w:ilvl="0" w:tentative="0">
      <w:start w:val="1"/>
      <w:numFmt w:val="decimal"/>
      <w:suff w:val="nothing"/>
      <w:lvlText w:val="%1、"/>
      <w:lvlJc w:val="left"/>
    </w:lvl>
  </w:abstractNum>
  <w:abstractNum w:abstractNumId="1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9"/>
  </w:num>
  <w:num w:numId="2">
    <w:abstractNumId w:val="5"/>
  </w:num>
  <w:num w:numId="3">
    <w:abstractNumId w:val="8"/>
  </w:num>
  <w:num w:numId="4">
    <w:abstractNumId w:val="2"/>
  </w:num>
  <w:num w:numId="5">
    <w:abstractNumId w:val="6"/>
  </w:num>
  <w:num w:numId="6">
    <w:abstractNumId w:val="10"/>
  </w:num>
  <w:num w:numId="7">
    <w:abstractNumId w:val="1"/>
  </w:num>
  <w:num w:numId="8">
    <w:abstractNumId w:val="3"/>
  </w:num>
  <w:num w:numId="9">
    <w:abstractNumId w:val="7"/>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mEwODUxZTlhY2U2ZTM0OTI0ZDY1ZmQzYTAyZjYifQ=="/>
  </w:docVars>
  <w:rsids>
    <w:rsidRoot w:val="00BE678D"/>
    <w:rsid w:val="00043A0D"/>
    <w:rsid w:val="00045B6E"/>
    <w:rsid w:val="000603FA"/>
    <w:rsid w:val="000638A2"/>
    <w:rsid w:val="00065903"/>
    <w:rsid w:val="00081C0A"/>
    <w:rsid w:val="00097497"/>
    <w:rsid w:val="000A1623"/>
    <w:rsid w:val="000A3DD3"/>
    <w:rsid w:val="000C5BA5"/>
    <w:rsid w:val="00116A4C"/>
    <w:rsid w:val="001332DA"/>
    <w:rsid w:val="0013754F"/>
    <w:rsid w:val="0017228C"/>
    <w:rsid w:val="001869C2"/>
    <w:rsid w:val="001957A3"/>
    <w:rsid w:val="001B077F"/>
    <w:rsid w:val="001C1793"/>
    <w:rsid w:val="001C537A"/>
    <w:rsid w:val="001C5604"/>
    <w:rsid w:val="001C6B15"/>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62517"/>
    <w:rsid w:val="00380DE0"/>
    <w:rsid w:val="003B6127"/>
    <w:rsid w:val="00406165"/>
    <w:rsid w:val="004135EA"/>
    <w:rsid w:val="00417FCE"/>
    <w:rsid w:val="004432F6"/>
    <w:rsid w:val="00445A69"/>
    <w:rsid w:val="004477EC"/>
    <w:rsid w:val="00453A4D"/>
    <w:rsid w:val="00461338"/>
    <w:rsid w:val="00463C9F"/>
    <w:rsid w:val="0047751D"/>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94149"/>
    <w:rsid w:val="006B7F3A"/>
    <w:rsid w:val="00723B28"/>
    <w:rsid w:val="00735671"/>
    <w:rsid w:val="0076040A"/>
    <w:rsid w:val="00777C69"/>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F2933"/>
    <w:rsid w:val="009F70E2"/>
    <w:rsid w:val="00A002E6"/>
    <w:rsid w:val="00A10043"/>
    <w:rsid w:val="00A66BCB"/>
    <w:rsid w:val="00A764EE"/>
    <w:rsid w:val="00AB124C"/>
    <w:rsid w:val="00AB4FC8"/>
    <w:rsid w:val="00B6188F"/>
    <w:rsid w:val="00B719B3"/>
    <w:rsid w:val="00BA025B"/>
    <w:rsid w:val="00BA514C"/>
    <w:rsid w:val="00BA7350"/>
    <w:rsid w:val="00BB142F"/>
    <w:rsid w:val="00BB6F64"/>
    <w:rsid w:val="00BD5B2C"/>
    <w:rsid w:val="00BE0CF2"/>
    <w:rsid w:val="00BE678D"/>
    <w:rsid w:val="00BF552B"/>
    <w:rsid w:val="00BF779E"/>
    <w:rsid w:val="00C0521C"/>
    <w:rsid w:val="00CD6D09"/>
    <w:rsid w:val="00CD7136"/>
    <w:rsid w:val="00D0131F"/>
    <w:rsid w:val="00D2725C"/>
    <w:rsid w:val="00D44584"/>
    <w:rsid w:val="00D83D23"/>
    <w:rsid w:val="00DD2551"/>
    <w:rsid w:val="00DE2005"/>
    <w:rsid w:val="00DE66FD"/>
    <w:rsid w:val="00DF5EF5"/>
    <w:rsid w:val="00E0176B"/>
    <w:rsid w:val="00E35798"/>
    <w:rsid w:val="00E465C0"/>
    <w:rsid w:val="00E6049B"/>
    <w:rsid w:val="00E84589"/>
    <w:rsid w:val="00E935CE"/>
    <w:rsid w:val="00E96FDA"/>
    <w:rsid w:val="00EC1593"/>
    <w:rsid w:val="00EC75E0"/>
    <w:rsid w:val="00F305B0"/>
    <w:rsid w:val="00F43F53"/>
    <w:rsid w:val="00F6122D"/>
    <w:rsid w:val="00F83CE9"/>
    <w:rsid w:val="00F876E7"/>
    <w:rsid w:val="00FC5E29"/>
    <w:rsid w:val="00FE6836"/>
    <w:rsid w:val="01B46F2C"/>
    <w:rsid w:val="02066D67"/>
    <w:rsid w:val="02AB73DD"/>
    <w:rsid w:val="02BD5294"/>
    <w:rsid w:val="02C66169"/>
    <w:rsid w:val="039E22F4"/>
    <w:rsid w:val="040C25C7"/>
    <w:rsid w:val="04C46CC1"/>
    <w:rsid w:val="051E6132"/>
    <w:rsid w:val="056D58A2"/>
    <w:rsid w:val="05932C6E"/>
    <w:rsid w:val="05B6269C"/>
    <w:rsid w:val="05BB4CCA"/>
    <w:rsid w:val="06583168"/>
    <w:rsid w:val="065F1A39"/>
    <w:rsid w:val="071B5892"/>
    <w:rsid w:val="07A237BB"/>
    <w:rsid w:val="087C7181"/>
    <w:rsid w:val="08C84DF6"/>
    <w:rsid w:val="08D315F8"/>
    <w:rsid w:val="093322E7"/>
    <w:rsid w:val="09B32C87"/>
    <w:rsid w:val="09D70F07"/>
    <w:rsid w:val="09E02E6F"/>
    <w:rsid w:val="0A03249E"/>
    <w:rsid w:val="0A03574F"/>
    <w:rsid w:val="0A0B19A8"/>
    <w:rsid w:val="0A2637BC"/>
    <w:rsid w:val="0A4B74A5"/>
    <w:rsid w:val="0A825B11"/>
    <w:rsid w:val="0ACD76E7"/>
    <w:rsid w:val="0B9D7606"/>
    <w:rsid w:val="0BB137ED"/>
    <w:rsid w:val="0C443F60"/>
    <w:rsid w:val="0CC32696"/>
    <w:rsid w:val="0CDB5F8D"/>
    <w:rsid w:val="0D1F2030"/>
    <w:rsid w:val="0D1F3617"/>
    <w:rsid w:val="0D7830CD"/>
    <w:rsid w:val="0E9C375D"/>
    <w:rsid w:val="0EA00BF8"/>
    <w:rsid w:val="0EC71F0D"/>
    <w:rsid w:val="0F6016B2"/>
    <w:rsid w:val="10025A51"/>
    <w:rsid w:val="10755AE8"/>
    <w:rsid w:val="10862995"/>
    <w:rsid w:val="10CB4116"/>
    <w:rsid w:val="10D4477D"/>
    <w:rsid w:val="10F437D3"/>
    <w:rsid w:val="111E7A3F"/>
    <w:rsid w:val="117D028D"/>
    <w:rsid w:val="117F6C7E"/>
    <w:rsid w:val="11BF02AB"/>
    <w:rsid w:val="126F44AE"/>
    <w:rsid w:val="12AF63E3"/>
    <w:rsid w:val="12BD2907"/>
    <w:rsid w:val="136B4277"/>
    <w:rsid w:val="144E7D68"/>
    <w:rsid w:val="14814BAE"/>
    <w:rsid w:val="14AE4E9E"/>
    <w:rsid w:val="14E2746C"/>
    <w:rsid w:val="15364DB8"/>
    <w:rsid w:val="155213EE"/>
    <w:rsid w:val="1570612F"/>
    <w:rsid w:val="15C37496"/>
    <w:rsid w:val="161D68B6"/>
    <w:rsid w:val="16C04AD8"/>
    <w:rsid w:val="17031836"/>
    <w:rsid w:val="172059C3"/>
    <w:rsid w:val="173575C8"/>
    <w:rsid w:val="17B43FAD"/>
    <w:rsid w:val="17E36735"/>
    <w:rsid w:val="17EB056B"/>
    <w:rsid w:val="18237858"/>
    <w:rsid w:val="18573033"/>
    <w:rsid w:val="1880216D"/>
    <w:rsid w:val="19035052"/>
    <w:rsid w:val="195B3A93"/>
    <w:rsid w:val="19995302"/>
    <w:rsid w:val="19A93B5C"/>
    <w:rsid w:val="1A4009BA"/>
    <w:rsid w:val="1ACC7E78"/>
    <w:rsid w:val="1B1F6520"/>
    <w:rsid w:val="1B387CCD"/>
    <w:rsid w:val="1B457073"/>
    <w:rsid w:val="1BCA1590"/>
    <w:rsid w:val="1BDF5DD7"/>
    <w:rsid w:val="1C1E3E82"/>
    <w:rsid w:val="1C676ADD"/>
    <w:rsid w:val="1C956CC3"/>
    <w:rsid w:val="1CA67C4D"/>
    <w:rsid w:val="1CA85E46"/>
    <w:rsid w:val="1CB752FE"/>
    <w:rsid w:val="1CDE025F"/>
    <w:rsid w:val="1D0272F8"/>
    <w:rsid w:val="1DF519D4"/>
    <w:rsid w:val="1EB02E33"/>
    <w:rsid w:val="1EB773B0"/>
    <w:rsid w:val="1ED33FFC"/>
    <w:rsid w:val="1EFF6B48"/>
    <w:rsid w:val="1F025B67"/>
    <w:rsid w:val="1F7B673D"/>
    <w:rsid w:val="1F975C85"/>
    <w:rsid w:val="1FB12E34"/>
    <w:rsid w:val="203748DC"/>
    <w:rsid w:val="203D7179"/>
    <w:rsid w:val="205310CF"/>
    <w:rsid w:val="205552D0"/>
    <w:rsid w:val="21204F2B"/>
    <w:rsid w:val="22076973"/>
    <w:rsid w:val="22934AD2"/>
    <w:rsid w:val="22AF0D33"/>
    <w:rsid w:val="23637330"/>
    <w:rsid w:val="23B33533"/>
    <w:rsid w:val="23D0369C"/>
    <w:rsid w:val="24853FA4"/>
    <w:rsid w:val="24CA22FB"/>
    <w:rsid w:val="24EB0296"/>
    <w:rsid w:val="255268D8"/>
    <w:rsid w:val="258A0126"/>
    <w:rsid w:val="25A10C0E"/>
    <w:rsid w:val="2684068A"/>
    <w:rsid w:val="269310DE"/>
    <w:rsid w:val="26C51C72"/>
    <w:rsid w:val="26DF6C4D"/>
    <w:rsid w:val="27BB660B"/>
    <w:rsid w:val="27CA50AA"/>
    <w:rsid w:val="289B4D50"/>
    <w:rsid w:val="28C373E1"/>
    <w:rsid w:val="28DB6270"/>
    <w:rsid w:val="291D0C4F"/>
    <w:rsid w:val="2926733A"/>
    <w:rsid w:val="29490736"/>
    <w:rsid w:val="29743B7F"/>
    <w:rsid w:val="29CD5E3B"/>
    <w:rsid w:val="29FE7327"/>
    <w:rsid w:val="2A3B0D29"/>
    <w:rsid w:val="2AE94167"/>
    <w:rsid w:val="2B6155BE"/>
    <w:rsid w:val="2BB26467"/>
    <w:rsid w:val="2BC34250"/>
    <w:rsid w:val="2BC370D8"/>
    <w:rsid w:val="2C866B0B"/>
    <w:rsid w:val="2D0F2711"/>
    <w:rsid w:val="2D2875D8"/>
    <w:rsid w:val="2D7175D5"/>
    <w:rsid w:val="2D91543B"/>
    <w:rsid w:val="2DDF4554"/>
    <w:rsid w:val="2DFF5C18"/>
    <w:rsid w:val="2E3E638D"/>
    <w:rsid w:val="2E766669"/>
    <w:rsid w:val="2EB75DE0"/>
    <w:rsid w:val="2EC00056"/>
    <w:rsid w:val="2EC74DD2"/>
    <w:rsid w:val="2FA15DE1"/>
    <w:rsid w:val="2FB90FDC"/>
    <w:rsid w:val="2FDEE2C7"/>
    <w:rsid w:val="303A2D32"/>
    <w:rsid w:val="306A72EA"/>
    <w:rsid w:val="308C7C42"/>
    <w:rsid w:val="30FB252D"/>
    <w:rsid w:val="310C3CE5"/>
    <w:rsid w:val="31921F04"/>
    <w:rsid w:val="31B3122F"/>
    <w:rsid w:val="32C2710D"/>
    <w:rsid w:val="32D42056"/>
    <w:rsid w:val="32F61C22"/>
    <w:rsid w:val="33347A0A"/>
    <w:rsid w:val="33400A6D"/>
    <w:rsid w:val="334360CE"/>
    <w:rsid w:val="3390106E"/>
    <w:rsid w:val="33B5389C"/>
    <w:rsid w:val="343B6932"/>
    <w:rsid w:val="344D7405"/>
    <w:rsid w:val="34CD0436"/>
    <w:rsid w:val="352F0DCA"/>
    <w:rsid w:val="35531DB4"/>
    <w:rsid w:val="355BB90B"/>
    <w:rsid w:val="35747DC3"/>
    <w:rsid w:val="35A6254C"/>
    <w:rsid w:val="35B23EEB"/>
    <w:rsid w:val="35E714A8"/>
    <w:rsid w:val="37054AD1"/>
    <w:rsid w:val="37783A7D"/>
    <w:rsid w:val="377D0476"/>
    <w:rsid w:val="37C337CD"/>
    <w:rsid w:val="37EB4243"/>
    <w:rsid w:val="38621C2D"/>
    <w:rsid w:val="386237C7"/>
    <w:rsid w:val="387845C4"/>
    <w:rsid w:val="38D51E80"/>
    <w:rsid w:val="38E16B12"/>
    <w:rsid w:val="394813E6"/>
    <w:rsid w:val="39BF46A1"/>
    <w:rsid w:val="3A5C05D3"/>
    <w:rsid w:val="3ABE69A4"/>
    <w:rsid w:val="3AC04519"/>
    <w:rsid w:val="3BAE6679"/>
    <w:rsid w:val="3C395EF0"/>
    <w:rsid w:val="3C83772A"/>
    <w:rsid w:val="3CC00571"/>
    <w:rsid w:val="3D3F727B"/>
    <w:rsid w:val="3D626168"/>
    <w:rsid w:val="3DC7164A"/>
    <w:rsid w:val="3E7C15E5"/>
    <w:rsid w:val="3E8B4D5B"/>
    <w:rsid w:val="3E8C2F03"/>
    <w:rsid w:val="3E9042A5"/>
    <w:rsid w:val="3EBE53BD"/>
    <w:rsid w:val="3F814F83"/>
    <w:rsid w:val="3F8F587F"/>
    <w:rsid w:val="40A02CD3"/>
    <w:rsid w:val="40C727F3"/>
    <w:rsid w:val="40E67048"/>
    <w:rsid w:val="411E57CA"/>
    <w:rsid w:val="41237074"/>
    <w:rsid w:val="416A07BB"/>
    <w:rsid w:val="41807C8E"/>
    <w:rsid w:val="41A31E73"/>
    <w:rsid w:val="41CE5A5E"/>
    <w:rsid w:val="42214965"/>
    <w:rsid w:val="425F0891"/>
    <w:rsid w:val="42795A04"/>
    <w:rsid w:val="434056E2"/>
    <w:rsid w:val="438235F5"/>
    <w:rsid w:val="43AA1D1C"/>
    <w:rsid w:val="44161032"/>
    <w:rsid w:val="450E3C7D"/>
    <w:rsid w:val="451156D2"/>
    <w:rsid w:val="454D4B6C"/>
    <w:rsid w:val="458C5803"/>
    <w:rsid w:val="45FF4FD7"/>
    <w:rsid w:val="466A1778"/>
    <w:rsid w:val="46C45F14"/>
    <w:rsid w:val="46F1491E"/>
    <w:rsid w:val="473F6AAA"/>
    <w:rsid w:val="47982EBF"/>
    <w:rsid w:val="479B32AB"/>
    <w:rsid w:val="47D53006"/>
    <w:rsid w:val="47FD283F"/>
    <w:rsid w:val="485340A8"/>
    <w:rsid w:val="48BE0390"/>
    <w:rsid w:val="490C3F55"/>
    <w:rsid w:val="490C74F2"/>
    <w:rsid w:val="49513C1C"/>
    <w:rsid w:val="4951766D"/>
    <w:rsid w:val="49CA2650"/>
    <w:rsid w:val="49CE0084"/>
    <w:rsid w:val="4A5072FE"/>
    <w:rsid w:val="4A51301D"/>
    <w:rsid w:val="4A641D7C"/>
    <w:rsid w:val="4AE20B8A"/>
    <w:rsid w:val="4B0227AD"/>
    <w:rsid w:val="4B0C5871"/>
    <w:rsid w:val="4B28767C"/>
    <w:rsid w:val="4B660F61"/>
    <w:rsid w:val="4B9A4BBC"/>
    <w:rsid w:val="4BAB2A37"/>
    <w:rsid w:val="4BE72CF3"/>
    <w:rsid w:val="4BFF47E7"/>
    <w:rsid w:val="4CCD784F"/>
    <w:rsid w:val="4D00037B"/>
    <w:rsid w:val="4D1C5778"/>
    <w:rsid w:val="4D6421A1"/>
    <w:rsid w:val="4DE73FAF"/>
    <w:rsid w:val="4DF96402"/>
    <w:rsid w:val="4E755319"/>
    <w:rsid w:val="4E8F4547"/>
    <w:rsid w:val="4EA019FE"/>
    <w:rsid w:val="4EDB5B27"/>
    <w:rsid w:val="4EE25A25"/>
    <w:rsid w:val="4F527C52"/>
    <w:rsid w:val="4F631A95"/>
    <w:rsid w:val="4F9CB9D4"/>
    <w:rsid w:val="501B25C1"/>
    <w:rsid w:val="50282405"/>
    <w:rsid w:val="51384EF6"/>
    <w:rsid w:val="515B45AE"/>
    <w:rsid w:val="515E041A"/>
    <w:rsid w:val="51BB5A4E"/>
    <w:rsid w:val="51E74F62"/>
    <w:rsid w:val="52477FB9"/>
    <w:rsid w:val="5270749E"/>
    <w:rsid w:val="52813798"/>
    <w:rsid w:val="52E7213A"/>
    <w:rsid w:val="53332CCF"/>
    <w:rsid w:val="533C7C39"/>
    <w:rsid w:val="53421DE6"/>
    <w:rsid w:val="53453E2E"/>
    <w:rsid w:val="53E0645B"/>
    <w:rsid w:val="53FB5528"/>
    <w:rsid w:val="54437915"/>
    <w:rsid w:val="548633EE"/>
    <w:rsid w:val="548F06A5"/>
    <w:rsid w:val="54F26070"/>
    <w:rsid w:val="551306D9"/>
    <w:rsid w:val="5579BBE4"/>
    <w:rsid w:val="55A0224B"/>
    <w:rsid w:val="55D24547"/>
    <w:rsid w:val="562C5FD5"/>
    <w:rsid w:val="566221A5"/>
    <w:rsid w:val="567930DF"/>
    <w:rsid w:val="567E55E0"/>
    <w:rsid w:val="56923BF1"/>
    <w:rsid w:val="56D31D63"/>
    <w:rsid w:val="56EB061F"/>
    <w:rsid w:val="56F44ADB"/>
    <w:rsid w:val="570C40F4"/>
    <w:rsid w:val="57371AC5"/>
    <w:rsid w:val="57662601"/>
    <w:rsid w:val="57D5588A"/>
    <w:rsid w:val="58B67DDB"/>
    <w:rsid w:val="58E41529"/>
    <w:rsid w:val="59161131"/>
    <w:rsid w:val="592436B8"/>
    <w:rsid w:val="59E06FAB"/>
    <w:rsid w:val="5A1A42FD"/>
    <w:rsid w:val="5AB8771B"/>
    <w:rsid w:val="5B160A43"/>
    <w:rsid w:val="5B2A24B5"/>
    <w:rsid w:val="5B5A57CC"/>
    <w:rsid w:val="5B913620"/>
    <w:rsid w:val="5BFF784C"/>
    <w:rsid w:val="5BFFFAEC"/>
    <w:rsid w:val="5C0B6550"/>
    <w:rsid w:val="5D9958D6"/>
    <w:rsid w:val="5DAE23A7"/>
    <w:rsid w:val="5E683F93"/>
    <w:rsid w:val="5E7F1DF2"/>
    <w:rsid w:val="5E885D0C"/>
    <w:rsid w:val="5EFF1CDE"/>
    <w:rsid w:val="5F7D4C95"/>
    <w:rsid w:val="5F92022D"/>
    <w:rsid w:val="60096A5F"/>
    <w:rsid w:val="602867D3"/>
    <w:rsid w:val="608545AF"/>
    <w:rsid w:val="60C56AE9"/>
    <w:rsid w:val="60CA1CA6"/>
    <w:rsid w:val="60EC10DB"/>
    <w:rsid w:val="61774699"/>
    <w:rsid w:val="62127AB7"/>
    <w:rsid w:val="62257C51"/>
    <w:rsid w:val="62276885"/>
    <w:rsid w:val="623854C9"/>
    <w:rsid w:val="628337CD"/>
    <w:rsid w:val="62C03E1E"/>
    <w:rsid w:val="631D04A8"/>
    <w:rsid w:val="633E139F"/>
    <w:rsid w:val="63C9234B"/>
    <w:rsid w:val="63DC5FEA"/>
    <w:rsid w:val="64403B07"/>
    <w:rsid w:val="644D10C3"/>
    <w:rsid w:val="64943DD8"/>
    <w:rsid w:val="64B85521"/>
    <w:rsid w:val="6528077E"/>
    <w:rsid w:val="656C1129"/>
    <w:rsid w:val="658C7807"/>
    <w:rsid w:val="6598349C"/>
    <w:rsid w:val="65FF3EB1"/>
    <w:rsid w:val="66437A17"/>
    <w:rsid w:val="66E551E9"/>
    <w:rsid w:val="66EC01FC"/>
    <w:rsid w:val="66F207E8"/>
    <w:rsid w:val="67A3598E"/>
    <w:rsid w:val="67BB6955"/>
    <w:rsid w:val="67C30A8C"/>
    <w:rsid w:val="67D9E9C4"/>
    <w:rsid w:val="67DDD805"/>
    <w:rsid w:val="67F93FF4"/>
    <w:rsid w:val="681F3672"/>
    <w:rsid w:val="6825519A"/>
    <w:rsid w:val="6871773A"/>
    <w:rsid w:val="68C22203"/>
    <w:rsid w:val="68F20A7E"/>
    <w:rsid w:val="6906520C"/>
    <w:rsid w:val="6A473329"/>
    <w:rsid w:val="6A935E99"/>
    <w:rsid w:val="6AC360AA"/>
    <w:rsid w:val="6AE44677"/>
    <w:rsid w:val="6B992D08"/>
    <w:rsid w:val="6BB40298"/>
    <w:rsid w:val="6BDE533F"/>
    <w:rsid w:val="6C4371D7"/>
    <w:rsid w:val="6C69561B"/>
    <w:rsid w:val="6C714066"/>
    <w:rsid w:val="6C8B4963"/>
    <w:rsid w:val="6CB73081"/>
    <w:rsid w:val="6D031434"/>
    <w:rsid w:val="6D0443EC"/>
    <w:rsid w:val="6D2E7AC3"/>
    <w:rsid w:val="6D3B1643"/>
    <w:rsid w:val="6D4F6931"/>
    <w:rsid w:val="6D643657"/>
    <w:rsid w:val="6DC4470E"/>
    <w:rsid w:val="6DEE0D89"/>
    <w:rsid w:val="6E355AC2"/>
    <w:rsid w:val="6E392E75"/>
    <w:rsid w:val="6E9A03A3"/>
    <w:rsid w:val="6F0C4592"/>
    <w:rsid w:val="6F995010"/>
    <w:rsid w:val="6FA86524"/>
    <w:rsid w:val="6FAF8AEC"/>
    <w:rsid w:val="6FCA1EA2"/>
    <w:rsid w:val="6FD87E72"/>
    <w:rsid w:val="70720FFE"/>
    <w:rsid w:val="70995A07"/>
    <w:rsid w:val="7193764F"/>
    <w:rsid w:val="7259730A"/>
    <w:rsid w:val="72694F09"/>
    <w:rsid w:val="72A02886"/>
    <w:rsid w:val="73681127"/>
    <w:rsid w:val="738E58F8"/>
    <w:rsid w:val="73AB3572"/>
    <w:rsid w:val="73CD0678"/>
    <w:rsid w:val="751211BF"/>
    <w:rsid w:val="7581526D"/>
    <w:rsid w:val="758D1A40"/>
    <w:rsid w:val="75A44ED9"/>
    <w:rsid w:val="76271592"/>
    <w:rsid w:val="762E19DD"/>
    <w:rsid w:val="76303784"/>
    <w:rsid w:val="76C174E4"/>
    <w:rsid w:val="76F45769"/>
    <w:rsid w:val="777F70C2"/>
    <w:rsid w:val="77F60A8C"/>
    <w:rsid w:val="77FD4885"/>
    <w:rsid w:val="785F7751"/>
    <w:rsid w:val="786C3B6A"/>
    <w:rsid w:val="78C25DA2"/>
    <w:rsid w:val="78CB1AC5"/>
    <w:rsid w:val="78E77689"/>
    <w:rsid w:val="78FF2EBC"/>
    <w:rsid w:val="790170AD"/>
    <w:rsid w:val="79173FDF"/>
    <w:rsid w:val="793D0A2C"/>
    <w:rsid w:val="79436DD9"/>
    <w:rsid w:val="79AD92F8"/>
    <w:rsid w:val="79BA1EB4"/>
    <w:rsid w:val="79BF63C4"/>
    <w:rsid w:val="79F322CA"/>
    <w:rsid w:val="79FD0ED6"/>
    <w:rsid w:val="7ABB7E4F"/>
    <w:rsid w:val="7AC57DCC"/>
    <w:rsid w:val="7AF43536"/>
    <w:rsid w:val="7B1B73AF"/>
    <w:rsid w:val="7B6968FC"/>
    <w:rsid w:val="7BA022B3"/>
    <w:rsid w:val="7BBDD5BF"/>
    <w:rsid w:val="7BC97A9E"/>
    <w:rsid w:val="7BD43ED3"/>
    <w:rsid w:val="7C152E9F"/>
    <w:rsid w:val="7CDD2CBE"/>
    <w:rsid w:val="7D0C1497"/>
    <w:rsid w:val="7D871784"/>
    <w:rsid w:val="7D9964B3"/>
    <w:rsid w:val="7DD5318F"/>
    <w:rsid w:val="7DFD1245"/>
    <w:rsid w:val="7E272D5F"/>
    <w:rsid w:val="7E7D104F"/>
    <w:rsid w:val="7E893F3A"/>
    <w:rsid w:val="7EB44517"/>
    <w:rsid w:val="7ED437E6"/>
    <w:rsid w:val="7EDCACBC"/>
    <w:rsid w:val="7EDFAA12"/>
    <w:rsid w:val="7F2FF4AC"/>
    <w:rsid w:val="7F3D603B"/>
    <w:rsid w:val="7FBC5E0B"/>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6">
    <w:name w:val="heading 1"/>
    <w:basedOn w:val="1"/>
    <w:next w:val="1"/>
    <w:link w:val="40"/>
    <w:qFormat/>
    <w:uiPriority w:val="0"/>
    <w:pPr>
      <w:keepNext/>
      <w:keepLines/>
      <w:spacing w:line="360" w:lineRule="auto"/>
      <w:jc w:val="center"/>
      <w:outlineLvl w:val="0"/>
    </w:pPr>
    <w:rPr>
      <w:b/>
      <w:bCs/>
      <w:kern w:val="44"/>
      <w:sz w:val="30"/>
      <w:szCs w:val="44"/>
    </w:rPr>
  </w:style>
  <w:style w:type="paragraph" w:styleId="7">
    <w:name w:val="heading 2"/>
    <w:basedOn w:val="1"/>
    <w:next w:val="8"/>
    <w:qFormat/>
    <w:uiPriority w:val="0"/>
    <w:pPr>
      <w:keepNext/>
      <w:keepLines/>
      <w:spacing w:line="360" w:lineRule="auto"/>
      <w:jc w:val="center"/>
      <w:outlineLvl w:val="1"/>
    </w:pPr>
    <w:rPr>
      <w:rFonts w:ascii="Arial" w:hAnsi="Arial"/>
      <w:b/>
      <w:bCs/>
      <w:sz w:val="28"/>
      <w:szCs w:val="32"/>
    </w:rPr>
  </w:style>
  <w:style w:type="paragraph" w:styleId="9">
    <w:name w:val="heading 3"/>
    <w:basedOn w:val="1"/>
    <w:next w:val="8"/>
    <w:qFormat/>
    <w:uiPriority w:val="0"/>
    <w:pPr>
      <w:keepNext/>
      <w:keepLines/>
      <w:spacing w:line="415" w:lineRule="auto"/>
      <w:outlineLvl w:val="2"/>
    </w:pPr>
    <w:rPr>
      <w:b/>
      <w:bCs/>
      <w:sz w:val="32"/>
      <w:szCs w:val="32"/>
    </w:rPr>
  </w:style>
  <w:style w:type="paragraph" w:styleId="10">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1">
    <w:name w:val="heading 6"/>
    <w:basedOn w:val="1"/>
    <w:next w:val="1"/>
    <w:link w:val="58"/>
    <w:qFormat/>
    <w:uiPriority w:val="99"/>
    <w:pPr>
      <w:keepNext/>
      <w:keepLines/>
      <w:spacing w:before="240" w:after="64" w:line="320" w:lineRule="auto"/>
      <w:outlineLvl w:val="5"/>
    </w:pPr>
    <w:rPr>
      <w:rFonts w:ascii="Calibri Light" w:hAnsi="Calibri Light"/>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next w:val="1"/>
    <w:qFormat/>
    <w:uiPriority w:val="0"/>
    <w:rPr>
      <w:color w:val="993300"/>
      <w:sz w:val="24"/>
    </w:rPr>
  </w:style>
  <w:style w:type="paragraph" w:styleId="4">
    <w:name w:val="Body Text First Indent 2"/>
    <w:basedOn w:val="5"/>
    <w:next w:val="1"/>
    <w:qFormat/>
    <w:uiPriority w:val="0"/>
    <w:pPr>
      <w:tabs>
        <w:tab w:val="left" w:pos="8640"/>
      </w:tabs>
      <w:ind w:firstLine="200" w:firstLineChars="200"/>
    </w:pPr>
  </w:style>
  <w:style w:type="paragraph" w:styleId="5">
    <w:name w:val="Body Text Indent"/>
    <w:basedOn w:val="1"/>
    <w:next w:val="1"/>
    <w:qFormat/>
    <w:uiPriority w:val="0"/>
    <w:pPr>
      <w:tabs>
        <w:tab w:val="left" w:pos="8640"/>
      </w:tabs>
      <w:ind w:firstLine="420"/>
    </w:pPr>
    <w:rPr>
      <w:rFonts w:ascii="楷体_GB2312" w:eastAsia="楷体_GB2312"/>
      <w:color w:val="000000"/>
      <w:sz w:val="28"/>
    </w:rPr>
  </w:style>
  <w:style w:type="paragraph" w:styleId="8">
    <w:name w:val="Normal Indent"/>
    <w:basedOn w:val="1"/>
    <w:qFormat/>
    <w:uiPriority w:val="0"/>
    <w:pPr>
      <w:spacing w:line="300" w:lineRule="auto"/>
      <w:ind w:firstLine="420" w:firstLineChars="200"/>
    </w:pPr>
  </w:style>
  <w:style w:type="paragraph" w:styleId="12">
    <w:name w:val="annotation text"/>
    <w:basedOn w:val="1"/>
    <w:link w:val="62"/>
    <w:qFormat/>
    <w:uiPriority w:val="0"/>
    <w:pPr>
      <w:jc w:val="left"/>
    </w:pPr>
  </w:style>
  <w:style w:type="paragraph" w:styleId="13">
    <w:name w:val="Block Text"/>
    <w:basedOn w:val="1"/>
    <w:qFormat/>
    <w:uiPriority w:val="0"/>
    <w:pPr>
      <w:adjustRightInd w:val="0"/>
      <w:ind w:left="420" w:right="33"/>
      <w:jc w:val="left"/>
      <w:textAlignment w:val="baseline"/>
    </w:pPr>
    <w:rPr>
      <w:kern w:val="0"/>
      <w:sz w:val="24"/>
    </w:rPr>
  </w:style>
  <w:style w:type="paragraph" w:styleId="14">
    <w:name w:val="Plain Text"/>
    <w:basedOn w:val="1"/>
    <w:link w:val="46"/>
    <w:qFormat/>
    <w:uiPriority w:val="99"/>
    <w:rPr>
      <w:rFonts w:ascii="宋体" w:hAnsi="Courier New" w:cs="Courier New"/>
      <w:szCs w:val="21"/>
    </w:rPr>
  </w:style>
  <w:style w:type="paragraph" w:styleId="15">
    <w:name w:val="Date"/>
    <w:basedOn w:val="1"/>
    <w:next w:val="1"/>
    <w:qFormat/>
    <w:uiPriority w:val="0"/>
    <w:rPr>
      <w:rFonts w:ascii="宋体"/>
      <w:sz w:val="24"/>
    </w:rPr>
  </w:style>
  <w:style w:type="paragraph" w:styleId="16">
    <w:name w:val="Balloon Text"/>
    <w:basedOn w:val="1"/>
    <w:link w:val="64"/>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2">
    <w:name w:val="toc 2"/>
    <w:basedOn w:val="1"/>
    <w:next w:val="1"/>
    <w:qFormat/>
    <w:uiPriority w:val="39"/>
    <w:pPr>
      <w:ind w:left="420" w:leftChars="200"/>
    </w:pPr>
  </w:style>
  <w:style w:type="paragraph" w:styleId="23">
    <w:name w:val="Body Text 2"/>
    <w:basedOn w:val="1"/>
    <w:qFormat/>
    <w:uiPriority w:val="0"/>
    <w:pPr>
      <w:spacing w:line="360" w:lineRule="auto"/>
    </w:pPr>
    <w:rPr>
      <w:rFonts w:ascii="等线" w:eastAsia="等线"/>
      <w:sz w:val="24"/>
      <w:u w:val="single"/>
    </w:rPr>
  </w:style>
  <w:style w:type="paragraph" w:styleId="24">
    <w:name w:val="Normal (Web)"/>
    <w:basedOn w:val="1"/>
    <w:qFormat/>
    <w:uiPriority w:val="0"/>
    <w:pPr>
      <w:widowControl/>
      <w:spacing w:beforeAutospacing="1" w:afterAutospacing="1" w:line="240" w:lineRule="auto"/>
      <w:jc w:val="left"/>
    </w:pPr>
    <w:rPr>
      <w:rFonts w:ascii="宋体" w:hAnsi="宋体" w:cs="宋体"/>
      <w:kern w:val="0"/>
      <w:sz w:val="24"/>
    </w:rPr>
  </w:style>
  <w:style w:type="paragraph" w:styleId="25">
    <w:name w:val="annotation subject"/>
    <w:basedOn w:val="12"/>
    <w:next w:val="12"/>
    <w:link w:val="63"/>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yperlink"/>
    <w:basedOn w:val="28"/>
    <w:qFormat/>
    <w:uiPriority w:val="99"/>
    <w:rPr>
      <w:rFonts w:hint="eastAsia" w:ascii="宋体" w:hAnsi="宋体" w:eastAsia="宋体" w:cs="宋体"/>
      <w:color w:val="000000"/>
      <w:sz w:val="18"/>
      <w:szCs w:val="18"/>
      <w:u w:val="none"/>
    </w:rPr>
  </w:style>
  <w:style w:type="character" w:styleId="35">
    <w:name w:val="HTML Code"/>
    <w:basedOn w:val="28"/>
    <w:qFormat/>
    <w:uiPriority w:val="0"/>
    <w:rPr>
      <w:rFonts w:hint="default" w:ascii="Menlo" w:hAnsi="Menlo" w:eastAsia="Menlo" w:cs="Menlo"/>
      <w:color w:val="C7254E"/>
      <w:sz w:val="21"/>
      <w:szCs w:val="21"/>
      <w:shd w:val="clear" w:color="auto" w:fill="F9F2F4"/>
    </w:rPr>
  </w:style>
  <w:style w:type="character" w:styleId="36">
    <w:name w:val="annotation reference"/>
    <w:basedOn w:val="28"/>
    <w:qFormat/>
    <w:uiPriority w:val="0"/>
    <w:rPr>
      <w:sz w:val="21"/>
      <w:szCs w:val="21"/>
    </w:rPr>
  </w:style>
  <w:style w:type="character" w:styleId="37">
    <w:name w:val="footnote reference"/>
    <w:basedOn w:val="28"/>
    <w:qFormat/>
    <w:uiPriority w:val="0"/>
    <w:rPr>
      <w:vertAlign w:val="superscript"/>
    </w:rPr>
  </w:style>
  <w:style w:type="character" w:styleId="38">
    <w:name w:val="HTML Keyboard"/>
    <w:basedOn w:val="28"/>
    <w:qFormat/>
    <w:uiPriority w:val="0"/>
    <w:rPr>
      <w:rFonts w:ascii="Menlo" w:hAnsi="Menlo" w:eastAsia="Menlo" w:cs="Menlo"/>
      <w:color w:val="FFFFFF"/>
      <w:sz w:val="21"/>
      <w:szCs w:val="21"/>
      <w:shd w:val="clear" w:color="auto" w:fill="333333"/>
    </w:rPr>
  </w:style>
  <w:style w:type="character" w:styleId="39">
    <w:name w:val="HTML Sample"/>
    <w:basedOn w:val="28"/>
    <w:qFormat/>
    <w:uiPriority w:val="0"/>
    <w:rPr>
      <w:rFonts w:hint="default" w:ascii="Menlo" w:hAnsi="Menlo" w:eastAsia="Menlo" w:cs="Menlo"/>
      <w:sz w:val="21"/>
      <w:szCs w:val="21"/>
    </w:rPr>
  </w:style>
  <w:style w:type="character" w:customStyle="1" w:styleId="40">
    <w:name w:val="标题 1 Char"/>
    <w:link w:val="6"/>
    <w:qFormat/>
    <w:uiPriority w:val="0"/>
    <w:rPr>
      <w:b/>
      <w:bCs/>
      <w:kern w:val="44"/>
      <w:sz w:val="30"/>
      <w:szCs w:val="44"/>
    </w:rPr>
  </w:style>
  <w:style w:type="paragraph" w:customStyle="1" w:styleId="41">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2">
    <w:name w:val="列出段落1"/>
    <w:basedOn w:val="1"/>
    <w:qFormat/>
    <w:uiPriority w:val="34"/>
    <w:pPr>
      <w:ind w:firstLine="420" w:firstLineChars="200"/>
    </w:pPr>
    <w:rPr>
      <w:rFonts w:ascii="Calibri" w:hAnsi="Calibri"/>
      <w:szCs w:val="22"/>
    </w:rPr>
  </w:style>
  <w:style w:type="paragraph" w:customStyle="1" w:styleId="43">
    <w:name w:val="方案正文"/>
    <w:basedOn w:val="1"/>
    <w:qFormat/>
    <w:uiPriority w:val="0"/>
    <w:pPr>
      <w:widowControl/>
      <w:spacing w:line="360" w:lineRule="auto"/>
      <w:ind w:firstLine="504"/>
      <w:jc w:val="left"/>
    </w:pPr>
    <w:rPr>
      <w:rFonts w:ascii="宋体" w:hAnsi="宋体"/>
      <w:kern w:val="0"/>
      <w:sz w:val="24"/>
      <w:szCs w:val="28"/>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5">
    <w:name w:val="List Paragraph"/>
    <w:basedOn w:val="1"/>
    <w:qFormat/>
    <w:uiPriority w:val="34"/>
    <w:pPr>
      <w:ind w:firstLine="420" w:firstLineChars="200"/>
    </w:pPr>
  </w:style>
  <w:style w:type="character" w:customStyle="1" w:styleId="46">
    <w:name w:val="纯文本 Char"/>
    <w:link w:val="14"/>
    <w:qFormat/>
    <w:uiPriority w:val="99"/>
    <w:rPr>
      <w:rFonts w:ascii="宋体" w:hAnsi="Courier New" w:cs="Courier New"/>
      <w:kern w:val="2"/>
      <w:sz w:val="21"/>
      <w:szCs w:val="21"/>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hour_am"/>
    <w:basedOn w:val="28"/>
    <w:qFormat/>
    <w:uiPriority w:val="0"/>
  </w:style>
  <w:style w:type="character" w:customStyle="1" w:styleId="50">
    <w:name w:val="old"/>
    <w:basedOn w:val="28"/>
    <w:qFormat/>
    <w:uiPriority w:val="0"/>
    <w:rPr>
      <w:color w:val="999999"/>
    </w:rPr>
  </w:style>
  <w:style w:type="character" w:customStyle="1" w:styleId="51">
    <w:name w:val="tmpztreemove_arrow"/>
    <w:basedOn w:val="28"/>
    <w:qFormat/>
    <w:uiPriority w:val="0"/>
    <w:rPr>
      <w:shd w:val="clear" w:color="auto" w:fill="FFFFFF"/>
    </w:rPr>
  </w:style>
  <w:style w:type="character" w:customStyle="1" w:styleId="52">
    <w:name w:val="hover3"/>
    <w:basedOn w:val="28"/>
    <w:qFormat/>
    <w:uiPriority w:val="0"/>
    <w:rPr>
      <w:shd w:val="clear" w:color="auto" w:fill="EEEEEE"/>
    </w:rPr>
  </w:style>
  <w:style w:type="character" w:customStyle="1" w:styleId="53">
    <w:name w:val="glyphicon4"/>
    <w:basedOn w:val="28"/>
    <w:qFormat/>
    <w:uiPriority w:val="0"/>
  </w:style>
  <w:style w:type="character" w:customStyle="1" w:styleId="54">
    <w:name w:val="hour_pm"/>
    <w:basedOn w:val="28"/>
    <w:qFormat/>
    <w:uiPriority w:val="0"/>
  </w:style>
  <w:style w:type="character" w:customStyle="1" w:styleId="55">
    <w:name w:val="button"/>
    <w:basedOn w:val="28"/>
    <w:qFormat/>
    <w:uiPriority w:val="0"/>
  </w:style>
  <w:style w:type="paragraph" w:customStyle="1" w:styleId="56">
    <w:name w:val="样式1"/>
    <w:basedOn w:val="1"/>
    <w:qFormat/>
    <w:uiPriority w:val="0"/>
    <w:pPr>
      <w:adjustRightInd w:val="0"/>
      <w:textAlignment w:val="baseline"/>
    </w:pPr>
    <w:rPr>
      <w:rFonts w:ascii="宋体" w:hAnsi="宋体"/>
      <w:kern w:val="0"/>
      <w:szCs w:val="21"/>
    </w:rPr>
  </w:style>
  <w:style w:type="character" w:customStyle="1" w:styleId="57">
    <w:name w:val="indent"/>
    <w:basedOn w:val="28"/>
    <w:qFormat/>
    <w:uiPriority w:val="0"/>
  </w:style>
  <w:style w:type="character" w:customStyle="1" w:styleId="58">
    <w:name w:val="标题 6 Char"/>
    <w:basedOn w:val="28"/>
    <w:link w:val="11"/>
    <w:qFormat/>
    <w:uiPriority w:val="99"/>
    <w:rPr>
      <w:rFonts w:ascii="Calibri Light" w:hAnsi="Calibri Light"/>
      <w:b/>
      <w:bCs/>
      <w:kern w:val="2"/>
      <w:sz w:val="24"/>
      <w:szCs w:val="24"/>
    </w:rPr>
  </w:style>
  <w:style w:type="paragraph" w:customStyle="1" w:styleId="59">
    <w:name w:val="my-正文"/>
    <w:basedOn w:val="1"/>
    <w:qFormat/>
    <w:uiPriority w:val="0"/>
    <w:pPr>
      <w:spacing w:line="360" w:lineRule="auto"/>
    </w:pPr>
    <w:rPr>
      <w:rFonts w:ascii="宋体" w:hAnsi="宋体"/>
      <w:sz w:val="24"/>
      <w:lang w:val="zh-CN"/>
    </w:rPr>
  </w:style>
  <w:style w:type="paragraph" w:customStyle="1" w:styleId="60">
    <w:name w:val="样式 首行缩进:  2 字符"/>
    <w:basedOn w:val="1"/>
    <w:qFormat/>
    <w:uiPriority w:val="0"/>
    <w:pPr>
      <w:spacing w:line="400" w:lineRule="exact"/>
      <w:ind w:firstLine="200" w:firstLineChars="200"/>
    </w:pPr>
    <w:rPr>
      <w:rFonts w:cs="宋体"/>
    </w:rPr>
  </w:style>
  <w:style w:type="paragraph" w:customStyle="1" w:styleId="61">
    <w:name w:val="p1"/>
    <w:basedOn w:val="1"/>
    <w:qFormat/>
    <w:uiPriority w:val="0"/>
    <w:pPr>
      <w:widowControl/>
    </w:pPr>
    <w:rPr>
      <w:rFonts w:ascii="Lucida Grande" w:hAnsi="Lucida Grande" w:cs="Lucida Grande"/>
      <w:color w:val="323333"/>
      <w:kern w:val="0"/>
      <w:szCs w:val="21"/>
    </w:rPr>
  </w:style>
  <w:style w:type="character" w:customStyle="1" w:styleId="62">
    <w:name w:val="批注文字 Char"/>
    <w:basedOn w:val="28"/>
    <w:link w:val="12"/>
    <w:qFormat/>
    <w:uiPriority w:val="0"/>
    <w:rPr>
      <w:kern w:val="2"/>
      <w:sz w:val="21"/>
      <w:szCs w:val="24"/>
    </w:rPr>
  </w:style>
  <w:style w:type="character" w:customStyle="1" w:styleId="63">
    <w:name w:val="批注主题 Char"/>
    <w:basedOn w:val="62"/>
    <w:link w:val="25"/>
    <w:qFormat/>
    <w:uiPriority w:val="0"/>
    <w:rPr>
      <w:b/>
      <w:bCs/>
      <w:kern w:val="2"/>
      <w:sz w:val="21"/>
      <w:szCs w:val="24"/>
    </w:rPr>
  </w:style>
  <w:style w:type="character" w:customStyle="1" w:styleId="64">
    <w:name w:val="批注框文本 Char"/>
    <w:basedOn w:val="28"/>
    <w:link w:val="16"/>
    <w:qFormat/>
    <w:uiPriority w:val="0"/>
    <w:rPr>
      <w:kern w:val="2"/>
      <w:sz w:val="18"/>
      <w:szCs w:val="18"/>
    </w:rPr>
  </w:style>
  <w:style w:type="paragraph" w:customStyle="1" w:styleId="65">
    <w:name w:val="title1"/>
    <w:basedOn w:val="1"/>
    <w:qFormat/>
    <w:uiPriority w:val="0"/>
    <w:pPr>
      <w:spacing w:before="150"/>
      <w:jc w:val="left"/>
    </w:pPr>
    <w:rPr>
      <w:b/>
      <w:kern w:val="0"/>
      <w:sz w:val="22"/>
      <w:szCs w:val="22"/>
    </w:rPr>
  </w:style>
  <w:style w:type="character" w:customStyle="1" w:styleId="66">
    <w:name w:val="标题 1 Char Char"/>
    <w:qFormat/>
    <w:uiPriority w:val="0"/>
    <w:rPr>
      <w:rFonts w:eastAsia="宋体"/>
      <w:b/>
      <w:spacing w:val="-2"/>
      <w:sz w:val="24"/>
      <w:lang w:val="en-US" w:eastAsia="zh-CN" w:bidi="ar-SA"/>
    </w:rPr>
  </w:style>
  <w:style w:type="character" w:customStyle="1" w:styleId="67">
    <w:name w:val="apple-converted-space"/>
    <w:basedOn w:val="28"/>
    <w:qFormat/>
    <w:uiPriority w:val="0"/>
  </w:style>
  <w:style w:type="character" w:customStyle="1" w:styleId="68">
    <w:name w:val="font71"/>
    <w:basedOn w:val="28"/>
    <w:qFormat/>
    <w:uiPriority w:val="0"/>
    <w:rPr>
      <w:rFonts w:hint="default" w:ascii="Times New Roman" w:hAnsi="Times New Roman" w:cs="Times New Roman"/>
      <w:b/>
      <w:color w:val="000000"/>
      <w:sz w:val="21"/>
      <w:szCs w:val="21"/>
      <w:u w:val="none"/>
    </w:rPr>
  </w:style>
  <w:style w:type="character" w:customStyle="1" w:styleId="69">
    <w:name w:val="font101"/>
    <w:basedOn w:val="28"/>
    <w:qFormat/>
    <w:uiPriority w:val="0"/>
    <w:rPr>
      <w:rFonts w:hint="default" w:ascii="Times New Roman" w:hAnsi="Times New Roman" w:cs="Times New Roman"/>
      <w:color w:val="333333"/>
      <w:sz w:val="21"/>
      <w:szCs w:val="21"/>
      <w:u w:val="none"/>
    </w:rPr>
  </w:style>
  <w:style w:type="paragraph" w:customStyle="1" w:styleId="70">
    <w:name w:val="y"/>
    <w:basedOn w:val="1"/>
    <w:qFormat/>
    <w:uiPriority w:val="0"/>
    <w:pPr>
      <w:spacing w:line="360" w:lineRule="auto"/>
      <w:ind w:firstLine="480" w:firstLineChars="200"/>
    </w:pPr>
    <w:rPr>
      <w:rFonts w:ascii="宋体" w:hAnsi="宋体"/>
      <w:sz w:val="24"/>
    </w:rPr>
  </w:style>
  <w:style w:type="paragraph" w:customStyle="1" w:styleId="71">
    <w:name w:val="p18"/>
    <w:basedOn w:val="1"/>
    <w:qFormat/>
    <w:uiPriority w:val="0"/>
    <w:pPr>
      <w:widowControl/>
      <w:spacing w:line="360" w:lineRule="auto"/>
      <w:ind w:firstLine="420"/>
    </w:pPr>
    <w:rPr>
      <w:rFonts w:ascii="Arial" w:hAnsi="Arial" w:eastAsia="Adobe 仿宋 Std R" w:cs="Arial"/>
      <w:kern w:val="0"/>
    </w:rPr>
  </w:style>
  <w:style w:type="paragraph" w:customStyle="1" w:styleId="72">
    <w:name w:val="p17"/>
    <w:basedOn w:val="1"/>
    <w:qFormat/>
    <w:uiPriority w:val="0"/>
    <w:pPr>
      <w:widowControl/>
      <w:ind w:firstLine="420"/>
    </w:pPr>
    <w:rPr>
      <w:kern w:val="0"/>
      <w:szCs w:val="21"/>
    </w:rPr>
  </w:style>
  <w:style w:type="paragraph" w:customStyle="1" w:styleId="73">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74">
    <w:name w:val="列出段落11"/>
    <w:basedOn w:val="1"/>
    <w:qFormat/>
    <w:uiPriority w:val="34"/>
    <w:pPr>
      <w:ind w:firstLine="420" w:firstLineChars="200"/>
    </w:pPr>
    <w:rPr>
      <w:rFonts w:ascii="Calibri" w:hAnsi="Calibri"/>
      <w:szCs w:val="22"/>
    </w:rPr>
  </w:style>
  <w:style w:type="paragraph" w:customStyle="1" w:styleId="75">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76">
    <w:name w:val="正文自定"/>
    <w:basedOn w:val="1"/>
    <w:qFormat/>
    <w:uiPriority w:val="0"/>
    <w:pPr>
      <w:tabs>
        <w:tab w:val="left" w:pos="7665"/>
      </w:tabs>
      <w:spacing w:line="360" w:lineRule="auto"/>
      <w:ind w:firstLine="480" w:firstLineChars="200"/>
    </w:pPr>
    <w:rPr>
      <w:rFonts w:ascii="宋体" w:hAnsi="宋体"/>
      <w:sz w:val="24"/>
    </w:rPr>
  </w:style>
  <w:style w:type="character" w:customStyle="1" w:styleId="77">
    <w:name w:val="font21"/>
    <w:basedOn w:val="28"/>
    <w:qFormat/>
    <w:uiPriority w:val="0"/>
    <w:rPr>
      <w:rFonts w:hint="eastAsia" w:ascii="宋体" w:hAnsi="宋体" w:eastAsia="宋体" w:cs="宋体"/>
      <w:color w:val="000000"/>
      <w:sz w:val="22"/>
      <w:szCs w:val="22"/>
      <w:u w:val="none"/>
    </w:rPr>
  </w:style>
  <w:style w:type="character" w:customStyle="1" w:styleId="78">
    <w:name w:val="font01"/>
    <w:basedOn w:val="28"/>
    <w:qFormat/>
    <w:uiPriority w:val="0"/>
    <w:rPr>
      <w:rFonts w:hint="eastAsia" w:ascii="宋体" w:hAnsi="宋体" w:eastAsia="宋体" w:cs="宋体"/>
      <w:color w:val="000000"/>
      <w:sz w:val="22"/>
      <w:szCs w:val="22"/>
      <w:u w:val="none"/>
    </w:rPr>
  </w:style>
  <w:style w:type="character" w:customStyle="1" w:styleId="79">
    <w:name w:val="font31"/>
    <w:basedOn w:val="28"/>
    <w:qFormat/>
    <w:uiPriority w:val="0"/>
    <w:rPr>
      <w:rFonts w:hint="eastAsia" w:ascii="宋体" w:hAnsi="宋体" w:eastAsia="宋体" w:cs="宋体"/>
      <w:color w:val="000000"/>
      <w:sz w:val="21"/>
      <w:szCs w:val="21"/>
      <w:u w:val="none"/>
    </w:rPr>
  </w:style>
  <w:style w:type="character" w:customStyle="1" w:styleId="80">
    <w:name w:val="font41"/>
    <w:basedOn w:val="28"/>
    <w:qFormat/>
    <w:uiPriority w:val="0"/>
    <w:rPr>
      <w:rFonts w:hint="eastAsia" w:ascii="宋体" w:hAnsi="宋体" w:eastAsia="宋体" w:cs="宋体"/>
      <w:color w:val="000000"/>
      <w:sz w:val="21"/>
      <w:szCs w:val="21"/>
      <w:u w:val="none"/>
    </w:rPr>
  </w:style>
  <w:style w:type="paragraph" w:customStyle="1" w:styleId="81">
    <w:name w:val="目录"/>
    <w:basedOn w:val="1"/>
    <w:qFormat/>
    <w:uiPriority w:val="0"/>
    <w:pPr>
      <w:widowControl/>
      <w:jc w:val="center"/>
    </w:pPr>
    <w:rPr>
      <w:rFonts w:ascii="宋体"/>
      <w:b/>
      <w:kern w:val="0"/>
      <w:sz w:val="36"/>
    </w:rPr>
  </w:style>
  <w:style w:type="paragraph" w:customStyle="1" w:styleId="82">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83">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84">
    <w:name w:val="title13"/>
    <w:basedOn w:val="1"/>
    <w:qFormat/>
    <w:uiPriority w:val="0"/>
    <w:pPr>
      <w:spacing w:before="150"/>
      <w:jc w:val="left"/>
    </w:pPr>
    <w:rPr>
      <w:b/>
      <w:bCs/>
      <w:kern w:val="0"/>
      <w:sz w:val="22"/>
      <w:szCs w:val="22"/>
    </w:rPr>
  </w:style>
  <w:style w:type="paragraph" w:customStyle="1" w:styleId="85">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纯文本1"/>
    <w:basedOn w:val="1"/>
    <w:qFormat/>
    <w:uiPriority w:val="0"/>
    <w:rPr>
      <w:rFonts w:ascii="宋体" w:hAnsi="Courier New"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33786</Words>
  <Characters>35611</Characters>
  <Lines>328</Lines>
  <Paragraphs>92</Paragraphs>
  <TotalTime>0</TotalTime>
  <ScaleCrop>false</ScaleCrop>
  <LinksUpToDate>false</LinksUpToDate>
  <CharactersWithSpaces>37874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2021-03-17T20:11:00Z</dcterms:created>
  <dc:creator>不言、不语</dc:creator>
  <cp:lastModifiedBy>晓 </cp:lastModifiedBy>
  <cp:lastPrinted>2022-05-17T01:10:00Z</cp:lastPrinted>
  <dcterms:modified xsi:type="dcterms:W3CDTF">2022-06-27T07:08:02Z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126C83A41BF54F1A8F46A4EC05BA4D0C</vt:lpwstr>
  </property>
</Properties>
</file>