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采购项目编号：SCZA2022-CS-0896/001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pStyle w:val="2"/>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tabs>
          <w:tab w:val="left" w:pos="5670"/>
        </w:tabs>
        <w:autoSpaceDE w:val="0"/>
        <w:autoSpaceDN w:val="0"/>
        <w:adjustRightInd w:val="0"/>
        <w:snapToGrid w:val="0"/>
        <w:spacing w:line="360" w:lineRule="auto"/>
        <w:jc w:val="center"/>
        <w:rPr>
          <w:rFonts w:hint="eastAsia" w:ascii="仿宋" w:hAnsi="仿宋" w:eastAsia="仿宋"/>
          <w:b/>
          <w:bCs/>
          <w:color w:val="auto"/>
          <w:sz w:val="44"/>
          <w:szCs w:val="44"/>
          <w:highlight w:val="none"/>
          <w:lang w:eastAsia="zh-CN"/>
        </w:rPr>
      </w:pPr>
      <w:r>
        <w:rPr>
          <w:rFonts w:hint="eastAsia" w:ascii="仿宋" w:hAnsi="仿宋" w:eastAsia="仿宋"/>
          <w:b/>
          <w:bCs/>
          <w:color w:val="auto"/>
          <w:sz w:val="44"/>
          <w:szCs w:val="44"/>
          <w:highlight w:val="none"/>
          <w:lang w:eastAsia="zh-CN"/>
        </w:rPr>
        <w:t>2022年度海外赤子为国服务行动计划暨第六届中国西安留学回国人才招聘节</w:t>
      </w:r>
    </w:p>
    <w:p>
      <w:pPr>
        <w:pStyle w:val="2"/>
        <w:rPr>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竞争性磋商文件</w:t>
      </w:r>
    </w:p>
    <w:p>
      <w:pPr>
        <w:tabs>
          <w:tab w:val="left" w:pos="5670"/>
        </w:tabs>
        <w:autoSpaceDE w:val="0"/>
        <w:autoSpaceDN w:val="0"/>
        <w:adjustRightInd w:val="0"/>
        <w:snapToGrid w:val="0"/>
        <w:spacing w:line="360" w:lineRule="auto"/>
        <w:jc w:val="both"/>
        <w:rPr>
          <w:rFonts w:ascii="仿宋_GB2312" w:hAnsi="仿宋_GB2312" w:eastAsia="仿宋_GB2312" w:cs="仿宋_GB2312"/>
          <w:color w:val="auto"/>
          <w:sz w:val="50"/>
          <w:szCs w:val="5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tabs>
          <w:tab w:val="left" w:pos="5670"/>
        </w:tabs>
        <w:autoSpaceDE w:val="0"/>
        <w:autoSpaceDN w:val="0"/>
        <w:adjustRightInd w:val="0"/>
        <w:snapToGrid w:val="0"/>
        <w:spacing w:line="360" w:lineRule="auto"/>
        <w:jc w:val="both"/>
        <w:rPr>
          <w:rFonts w:ascii="仿宋_GB2312" w:hAnsi="仿宋_GB2312" w:eastAsia="仿宋_GB2312" w:cs="仿宋_GB2312"/>
          <w:b/>
          <w:bCs/>
          <w:color w:val="auto"/>
          <w:sz w:val="30"/>
          <w:szCs w:val="30"/>
          <w:highlight w:val="none"/>
        </w:rPr>
      </w:pPr>
    </w:p>
    <w:p>
      <w:pPr>
        <w:pStyle w:val="2"/>
        <w:rPr>
          <w:rFonts w:ascii="仿宋_GB2312" w:hAnsi="仿宋_GB2312" w:eastAsia="仿宋_GB2312" w:cs="仿宋_GB2312"/>
          <w:b/>
          <w:bCs/>
          <w:color w:val="auto"/>
          <w:sz w:val="30"/>
          <w:szCs w:val="30"/>
          <w:highlight w:val="none"/>
        </w:rPr>
      </w:pPr>
    </w:p>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val="zh-CN"/>
        </w:rPr>
        <w:t xml:space="preserve"> 陕西省采购招标有限责任公司</w:t>
      </w:r>
    </w:p>
    <w:p>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二〇二</w:t>
      </w:r>
      <w:r>
        <w:rPr>
          <w:rFonts w:hint="eastAsia" w:ascii="仿宋_GB2312" w:hAnsi="仿宋_GB2312" w:eastAsia="仿宋_GB2312" w:cs="仿宋_GB2312"/>
          <w:b/>
          <w:bCs/>
          <w:color w:val="auto"/>
          <w:sz w:val="30"/>
          <w:szCs w:val="30"/>
          <w:highlight w:val="none"/>
        </w:rPr>
        <w:t>二</w:t>
      </w:r>
      <w:r>
        <w:rPr>
          <w:rFonts w:hint="eastAsia" w:ascii="仿宋_GB2312" w:hAnsi="仿宋_GB2312" w:eastAsia="仿宋_GB2312" w:cs="仿宋_GB2312"/>
          <w:b/>
          <w:bCs/>
          <w:color w:val="auto"/>
          <w:sz w:val="30"/>
          <w:szCs w:val="30"/>
          <w:highlight w:val="none"/>
          <w:lang w:val="zh-CN"/>
        </w:rPr>
        <w:t>年</w:t>
      </w:r>
      <w:r>
        <w:rPr>
          <w:rFonts w:hint="eastAsia" w:ascii="仿宋_GB2312" w:hAnsi="仿宋_GB2312" w:eastAsia="仿宋_GB2312" w:cs="仿宋_GB2312"/>
          <w:b/>
          <w:bCs/>
          <w:color w:val="auto"/>
          <w:sz w:val="30"/>
          <w:szCs w:val="30"/>
          <w:highlight w:val="none"/>
          <w:lang w:val="en-US" w:eastAsia="zh-CN"/>
        </w:rPr>
        <w:t>五</w:t>
      </w:r>
      <w:r>
        <w:rPr>
          <w:rFonts w:hint="eastAsia" w:ascii="仿宋_GB2312" w:hAnsi="仿宋_GB2312" w:eastAsia="仿宋_GB2312" w:cs="仿宋_GB2312"/>
          <w:b/>
          <w:bCs/>
          <w:color w:val="auto"/>
          <w:sz w:val="30"/>
          <w:szCs w:val="30"/>
          <w:highlight w:val="none"/>
          <w:lang w:val="zh-CN"/>
        </w:rPr>
        <w:t>月</w:t>
      </w:r>
    </w:p>
    <w:p>
      <w:pPr>
        <w:tabs>
          <w:tab w:val="left" w:pos="3739"/>
        </w:tabs>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pStyle w:val="22"/>
        <w:rPr>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6"/>
        <w:ind w:firstLine="0" w:firstLineChars="0"/>
        <w:jc w:val="center"/>
        <w:rPr>
          <w:rFonts w:hint="eastAsia" w:ascii="仿宋_GB2312" w:hAnsi="仿宋_GB2312" w:eastAsia="仿宋_GB2312" w:cs="仿宋_GB2312"/>
          <w:b/>
          <w:color w:val="auto"/>
          <w:sz w:val="32"/>
          <w:szCs w:val="32"/>
          <w:highlight w:val="none"/>
        </w:rPr>
      </w:pPr>
    </w:p>
    <w:p>
      <w:pPr>
        <w:pStyle w:val="6"/>
        <w:ind w:firstLine="0" w:firstLineChars="0"/>
        <w:jc w:val="center"/>
        <w:rPr>
          <w:rFonts w:hint="eastAsia" w:ascii="仿宋_GB2312" w:hAnsi="仿宋_GB2312" w:eastAsia="仿宋_GB2312" w:cs="仿宋_GB2312"/>
          <w:b/>
          <w:color w:val="auto"/>
          <w:sz w:val="32"/>
          <w:szCs w:val="32"/>
          <w:highlight w:val="none"/>
        </w:rPr>
      </w:pPr>
    </w:p>
    <w:p>
      <w:pPr>
        <w:pStyle w:val="6"/>
        <w:ind w:firstLine="0" w:firstLineChars="0"/>
        <w:jc w:val="center"/>
        <w:rPr>
          <w:rFonts w:ascii="MV Boli" w:hAnsi="MV Boli" w:eastAsia="黑体" w:cs="MV Boli"/>
          <w:color w:val="auto"/>
          <w:sz w:val="48"/>
          <w:szCs w:val="48"/>
          <w:highlight w:val="none"/>
        </w:rPr>
      </w:pPr>
      <w:r>
        <w:rPr>
          <w:rFonts w:ascii="MV Boli" w:hAnsi="黑体" w:eastAsia="黑体" w:cs="MV Boli"/>
          <w:color w:val="auto"/>
          <w:sz w:val="48"/>
          <w:szCs w:val="48"/>
          <w:highlight w:val="none"/>
        </w:rPr>
        <w:t>目</w:t>
      </w:r>
      <w:r>
        <w:rPr>
          <w:rFonts w:ascii="MV Boli" w:hAnsi="MV Boli" w:eastAsia="黑体" w:cs="MV Boli"/>
          <w:color w:val="auto"/>
          <w:sz w:val="48"/>
          <w:szCs w:val="48"/>
          <w:highlight w:val="none"/>
        </w:rPr>
        <w:t xml:space="preserve"> </w:t>
      </w:r>
      <w:r>
        <w:rPr>
          <w:rFonts w:ascii="MV Boli" w:hAnsi="黑体" w:eastAsia="黑体" w:cs="MV Boli"/>
          <w:color w:val="auto"/>
          <w:sz w:val="48"/>
          <w:szCs w:val="48"/>
          <w:highlight w:val="none"/>
        </w:rPr>
        <w:t>录</w:t>
      </w:r>
    </w:p>
    <w:p>
      <w:pPr>
        <w:pStyle w:val="35"/>
        <w:tabs>
          <w:tab w:val="right" w:leader="dot" w:pos="8300"/>
          <w:tab w:val="clear" w:pos="9344"/>
        </w:tabs>
        <w:rPr>
          <w:rFonts w:ascii="仿宋_GB2312" w:hAnsi="仿宋_GB2312" w:eastAsia="仿宋_GB2312" w:cs="仿宋_GB2312"/>
          <w:b w:val="0"/>
          <w:bCs w:val="0"/>
          <w:caps w:val="0"/>
          <w:color w:val="auto"/>
          <w:sz w:val="28"/>
          <w:szCs w:val="28"/>
          <w:highlight w:val="none"/>
        </w:rPr>
      </w:pPr>
      <w:r>
        <w:rPr>
          <w:rFonts w:hint="eastAsia" w:ascii="仿宋_GB2312" w:hAnsi="仿宋_GB2312" w:eastAsia="仿宋_GB2312" w:cs="仿宋_GB2312"/>
          <w:b w:val="0"/>
          <w:bCs w:val="0"/>
          <w:color w:val="auto"/>
          <w:sz w:val="28"/>
          <w:szCs w:val="28"/>
          <w:highlight w:val="none"/>
        </w:rPr>
        <w:fldChar w:fldCharType="begin"/>
      </w:r>
      <w:r>
        <w:rPr>
          <w:rFonts w:hint="eastAsia" w:ascii="仿宋_GB2312" w:hAnsi="仿宋_GB2312" w:eastAsia="仿宋_GB2312" w:cs="仿宋_GB2312"/>
          <w:b w:val="0"/>
          <w:bCs w:val="0"/>
          <w:color w:val="auto"/>
          <w:sz w:val="28"/>
          <w:szCs w:val="28"/>
          <w:highlight w:val="none"/>
        </w:rPr>
        <w:instrText xml:space="preserve"> TOC \o "1-2" \h \z \u </w:instrText>
      </w:r>
      <w:r>
        <w:rPr>
          <w:rFonts w:hint="eastAsia" w:ascii="仿宋_GB2312" w:hAnsi="仿宋_GB2312" w:eastAsia="仿宋_GB2312" w:cs="仿宋_GB2312"/>
          <w:b w:val="0"/>
          <w:bCs w:val="0"/>
          <w:color w:val="auto"/>
          <w:sz w:val="28"/>
          <w:szCs w:val="28"/>
          <w:highlight w:val="none"/>
        </w:rPr>
        <w:fldChar w:fldCharType="separate"/>
      </w:r>
      <w:r>
        <w:rPr>
          <w:color w:val="auto"/>
          <w:highlight w:val="none"/>
        </w:rPr>
        <w:fldChar w:fldCharType="begin"/>
      </w:r>
      <w:r>
        <w:rPr>
          <w:color w:val="auto"/>
          <w:highlight w:val="none"/>
        </w:rPr>
        <w:instrText xml:space="preserve"> HYPERLINK \l "_Toc68590965"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第一章  磋商公告</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_Toc68590965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1</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5"/>
        <w:tabs>
          <w:tab w:val="right" w:leader="dot" w:pos="8300"/>
          <w:tab w:val="clear" w:pos="9344"/>
        </w:tabs>
        <w:rPr>
          <w:rFonts w:ascii="仿宋_GB2312" w:hAnsi="仿宋_GB2312" w:eastAsia="仿宋_GB2312" w:cs="仿宋_GB2312"/>
          <w:b w:val="0"/>
          <w:color w:val="auto"/>
          <w:sz w:val="28"/>
          <w:szCs w:val="28"/>
          <w:highlight w:val="none"/>
        </w:rPr>
      </w:pPr>
      <w:r>
        <w:rPr>
          <w:color w:val="auto"/>
          <w:highlight w:val="none"/>
        </w:rPr>
        <w:fldChar w:fldCharType="begin"/>
      </w:r>
      <w:r>
        <w:rPr>
          <w:color w:val="auto"/>
          <w:highlight w:val="none"/>
        </w:rPr>
        <w:instrText xml:space="preserve"> HYPERLINK \l "_Toc68590966"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第二章  供应商须知</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_Toc68590966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4</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5"/>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"_Toc68590975"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第三章  评审办法和标准</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_Toc68590975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19</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5"/>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"_Toc68590979"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第四章  合同草案条款</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_Toc68590979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27</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5"/>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"_Toc68590980"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第五章  采购内容及要求</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_Toc68590980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29</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5"/>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"_Toc68590981"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第六章  磋商响应文件格式</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_Toc68590981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32</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tabs>
          <w:tab w:val="center" w:pos="4677"/>
          <w:tab w:val="left" w:pos="5040"/>
        </w:tabs>
        <w:adjustRightInd w:val="0"/>
        <w:snapToGrid w:val="0"/>
        <w:spacing w:line="360" w:lineRule="auto"/>
        <w:jc w:val="left"/>
        <w:rPr>
          <w:rFonts w:ascii="仿宋_GB2312" w:hAnsi="仿宋_GB2312" w:eastAsia="仿宋_GB2312" w:cs="仿宋_GB2312"/>
          <w:color w:val="auto"/>
          <w:szCs w:val="20"/>
          <w:highlight w:val="none"/>
        </w:rPr>
      </w:pPr>
      <w:r>
        <w:rPr>
          <w:rFonts w:hint="eastAsia" w:ascii="仿宋_GB2312" w:hAnsi="仿宋_GB2312" w:eastAsia="仿宋_GB2312" w:cs="仿宋_GB2312"/>
          <w:color w:val="auto"/>
          <w:sz w:val="28"/>
          <w:szCs w:val="28"/>
          <w:highlight w:val="none"/>
        </w:rPr>
        <w:fldChar w:fldCharType="end"/>
      </w:r>
    </w:p>
    <w:p>
      <w:pPr>
        <w:rPr>
          <w:rFonts w:ascii="仿宋_GB2312" w:hAnsi="仿宋_GB2312" w:eastAsia="仿宋_GB2312" w:cs="仿宋_GB2312"/>
          <w:color w:val="auto"/>
          <w:szCs w:val="20"/>
          <w:highlight w:val="none"/>
        </w:rPr>
      </w:pPr>
      <w:r>
        <w:rPr>
          <w:rFonts w:hint="eastAsia" w:ascii="仿宋_GB2312" w:hAnsi="仿宋_GB2312" w:eastAsia="仿宋_GB2312" w:cs="仿宋_GB2312"/>
          <w:color w:val="auto"/>
          <w:szCs w:val="20"/>
          <w:highlight w:val="none"/>
        </w:rPr>
        <w:br w:type="page"/>
      </w:r>
    </w:p>
    <w:p>
      <w:pPr>
        <w:pStyle w:val="22"/>
        <w:rPr>
          <w:color w:val="auto"/>
          <w:highlight w:val="none"/>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6"/>
        <w:spacing w:line="360" w:lineRule="auto"/>
        <w:rPr>
          <w:rStyle w:val="203"/>
          <w:rFonts w:ascii="宋体" w:hAnsi="宋体" w:eastAsia="宋体"/>
          <w:color w:val="auto"/>
          <w:sz w:val="36"/>
          <w:szCs w:val="36"/>
          <w:highlight w:val="none"/>
        </w:rPr>
      </w:pPr>
      <w:bookmarkStart w:id="0" w:name="_Toc58504445"/>
      <w:bookmarkStart w:id="1" w:name="_Toc68590965"/>
      <w:bookmarkStart w:id="2" w:name="_Toc21755"/>
      <w:bookmarkStart w:id="3" w:name="_Toc415499894"/>
      <w:bookmarkStart w:id="4" w:name="_Toc53722839"/>
      <w:bookmarkStart w:id="5" w:name="_Toc177189234"/>
      <w:bookmarkStart w:id="6" w:name="_Toc492955413"/>
      <w:bookmarkStart w:id="7" w:name="_Toc499711882"/>
      <w:bookmarkStart w:id="8" w:name="_Toc176882541"/>
      <w:bookmarkStart w:id="9" w:name="_Toc500747187"/>
      <w:bookmarkStart w:id="10" w:name="_Toc70687138"/>
      <w:bookmarkStart w:id="11" w:name="_Toc177817333"/>
      <w:bookmarkStart w:id="12" w:name="_Toc499711041"/>
      <w:bookmarkStart w:id="13" w:name="_Toc177995472"/>
      <w:bookmarkStart w:id="14" w:name="_Toc500747060"/>
      <w:bookmarkStart w:id="15" w:name="_Toc500746964"/>
      <w:bookmarkStart w:id="16" w:name="_Toc496324577"/>
      <w:bookmarkStart w:id="17" w:name="_Toc503063420"/>
      <w:bookmarkStart w:id="18" w:name="_Toc385992325"/>
      <w:bookmarkStart w:id="19" w:name="_Toc385992324"/>
      <w:r>
        <w:rPr>
          <w:rStyle w:val="203"/>
          <w:rFonts w:hint="eastAsia" w:ascii="宋体" w:hAnsi="宋体" w:eastAsia="宋体"/>
          <w:color w:val="auto"/>
          <w:sz w:val="36"/>
          <w:szCs w:val="36"/>
          <w:highlight w:val="none"/>
        </w:rPr>
        <w:t>第一章  磋商公告</w:t>
      </w:r>
      <w:bookmarkEnd w:id="0"/>
      <w:bookmarkEnd w:id="1"/>
      <w:bookmarkEnd w:id="2"/>
      <w:bookmarkEnd w:id="3"/>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2022年度海外赤子为国服务行动计划暨第六届中国西安留学回国人才招聘节</w:t>
      </w:r>
      <w:r>
        <w:rPr>
          <w:rFonts w:hint="eastAsia" w:ascii="仿宋_GB2312" w:hAnsi="仿宋_GB2312" w:eastAsia="仿宋_GB2312" w:cs="仿宋_GB2312"/>
          <w:b/>
          <w:color w:val="auto"/>
          <w:sz w:val="28"/>
          <w:szCs w:val="28"/>
          <w:highlight w:val="none"/>
        </w:rPr>
        <w:t>竞争性磋商公告</w:t>
      </w:r>
    </w:p>
    <w:p>
      <w:pPr>
        <w:widowControl/>
        <w:snapToGrid w:val="0"/>
        <w:spacing w:line="360" w:lineRule="auto"/>
        <w:ind w:right="-197" w:rightChars="-94"/>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mc:AlternateContent>
          <mc:Choice Requires="wps">
            <w:drawing>
              <wp:anchor distT="0" distB="0" distL="114300" distR="114300" simplePos="0" relativeHeight="251659264" behindDoc="1" locked="0" layoutInCell="1" allowOverlap="1">
                <wp:simplePos x="0" y="0"/>
                <wp:positionH relativeFrom="column">
                  <wp:posOffset>-81915</wp:posOffset>
                </wp:positionH>
                <wp:positionV relativeFrom="paragraph">
                  <wp:posOffset>287655</wp:posOffset>
                </wp:positionV>
                <wp:extent cx="5943600" cy="871855"/>
                <wp:effectExtent l="5080" t="4445" r="13970" b="19050"/>
                <wp:wrapNone/>
                <wp:docPr id="1" name="矩形 4"/>
                <wp:cNvGraphicFramePr/>
                <a:graphic xmlns:a="http://schemas.openxmlformats.org/drawingml/2006/main">
                  <a:graphicData uri="http://schemas.microsoft.com/office/word/2010/wordprocessingShape">
                    <wps:wsp>
                      <wps:cNvSpPr/>
                      <wps:spPr>
                        <a:xfrm>
                          <a:off x="0" y="0"/>
                          <a:ext cx="5943600" cy="87185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矩形 4" o:spid="_x0000_s1026" o:spt="1" style="position:absolute;left:0pt;margin-left:-6.45pt;margin-top:22.65pt;height:68.65pt;width:468pt;z-index:-251657216;mso-width-relative:page;mso-height-relative:page;" fillcolor="#FFFFFF" filled="t" stroked="t" coordsize="21600,21600" o:gfxdata="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bR9lNgAAAAKAQAADwAAAAAAAAABACAAAAAiAAAAZHJzL2Rv&#10;d25yZXYueG1sUEsBAhQAFAAAAAgAh07iQH+CbAIBAgAAKQQAAA4AAAAAAAAAAQAgAAAAJwEAAGRy&#10;cy9lMm9Eb2MueG1sUEsFBgAAAAAGAAYAWQEAAJoFAAAAAA==&#10;">
                <v:fill on="t" focussize="0,0"/>
                <v:stroke color="#000000" joinstyle="miter"/>
                <v:imagedata o:title=""/>
                <o:lock v:ext="edit" aspectratio="f"/>
                <v:textbox>
                  <w:txbxContent>
                    <w:p/>
                  </w:txbxContent>
                </v:textbox>
              </v:rect>
            </w:pict>
          </mc:Fallback>
        </mc:AlternateContent>
      </w:r>
      <w:r>
        <w:rPr>
          <w:rFonts w:hint="eastAsia" w:ascii="仿宋_GB2312" w:hAnsi="仿宋_GB2312" w:eastAsia="仿宋_GB2312" w:cs="仿宋_GB2312"/>
          <w:color w:val="auto"/>
          <w:kern w:val="0"/>
          <w:sz w:val="24"/>
          <w:highlight w:val="none"/>
        </w:rPr>
        <w:t>项目概况</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2022年度海外赤子为国服务行动计划暨第六届中国西安留学回国人才招聘节</w:t>
      </w:r>
      <w:r>
        <w:rPr>
          <w:rFonts w:hint="eastAsia" w:ascii="仿宋_GB2312" w:hAnsi="仿宋_GB2312" w:eastAsia="仿宋_GB2312" w:cs="仿宋_GB2312"/>
          <w:color w:val="auto"/>
          <w:kern w:val="0"/>
          <w:sz w:val="24"/>
          <w:highlight w:val="none"/>
        </w:rPr>
        <w:t>采购项目的潜在供应商应在</w:t>
      </w:r>
      <w:r>
        <w:rPr>
          <w:rFonts w:hint="eastAsia" w:ascii="仿宋_GB2312" w:hAnsi="仿宋_GB2312" w:eastAsia="仿宋_GB2312" w:cs="仿宋_GB2312"/>
          <w:color w:val="auto"/>
          <w:kern w:val="0"/>
          <w:sz w:val="24"/>
          <w:highlight w:val="none"/>
          <w:lang w:eastAsia="zh-CN"/>
        </w:rPr>
        <w:t>电子邮箱</w:t>
      </w:r>
      <w:r>
        <w:rPr>
          <w:rFonts w:hint="eastAsia" w:ascii="仿宋_GB2312" w:hAnsi="仿宋_GB2312" w:eastAsia="仿宋_GB2312" w:cs="仿宋_GB2312"/>
          <w:color w:val="auto"/>
          <w:kern w:val="0"/>
          <w:sz w:val="24"/>
          <w:highlight w:val="none"/>
        </w:rPr>
        <w:t>获取采购文件，并于2022年</w:t>
      </w:r>
      <w:r>
        <w:rPr>
          <w:rFonts w:hint="eastAsia" w:ascii="仿宋_GB2312" w:hAnsi="仿宋_GB2312" w:eastAsia="仿宋_GB2312" w:cs="仿宋_GB2312"/>
          <w:color w:val="auto"/>
          <w:kern w:val="0"/>
          <w:sz w:val="24"/>
          <w:highlight w:val="none"/>
          <w:lang w:val="en-US" w:eastAsia="zh-CN"/>
        </w:rPr>
        <w:t>06</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07</w:t>
      </w:r>
      <w:bookmarkStart w:id="511" w:name="_GoBack"/>
      <w:bookmarkEnd w:id="511"/>
      <w:r>
        <w:rPr>
          <w:rFonts w:hint="eastAsia" w:ascii="仿宋_GB2312" w:hAnsi="仿宋_GB2312" w:eastAsia="仿宋_GB2312" w:cs="仿宋_GB2312"/>
          <w:color w:val="auto"/>
          <w:kern w:val="0"/>
          <w:sz w:val="24"/>
          <w:highlight w:val="none"/>
        </w:rPr>
        <w:t>日</w:t>
      </w:r>
      <w:r>
        <w:rPr>
          <w:rFonts w:hint="eastAsia" w:ascii="仿宋_GB2312" w:hAnsi="仿宋_GB2312" w:eastAsia="仿宋_GB2312" w:cs="仿宋_GB2312"/>
          <w:color w:val="auto"/>
          <w:kern w:val="0"/>
          <w:sz w:val="24"/>
          <w:highlight w:val="none"/>
          <w:lang w:val="en-US" w:eastAsia="zh-CN"/>
        </w:rPr>
        <w:t>09</w:t>
      </w:r>
      <w:r>
        <w:rPr>
          <w:rFonts w:hint="eastAsia" w:ascii="仿宋_GB2312" w:hAnsi="仿宋_GB2312" w:eastAsia="仿宋_GB2312" w:cs="仿宋_GB2312"/>
          <w:color w:val="auto"/>
          <w:kern w:val="0"/>
          <w:sz w:val="24"/>
          <w:highlight w:val="none"/>
        </w:rPr>
        <w:t>时</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分 （北京时间）前提交响应文件。</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一、项目基本情况</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1、项目编号：</w:t>
      </w:r>
      <w:r>
        <w:rPr>
          <w:rFonts w:hint="eastAsia" w:ascii="仿宋_GB2312" w:hAnsi="仿宋_GB2312" w:eastAsia="仿宋_GB2312" w:cs="仿宋_GB2312"/>
          <w:color w:val="auto"/>
          <w:kern w:val="0"/>
          <w:sz w:val="24"/>
          <w:highlight w:val="none"/>
          <w:lang w:eastAsia="zh-CN"/>
        </w:rPr>
        <w:t>SCZA2022-CS-0896/001</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2、项目名称：</w:t>
      </w:r>
      <w:r>
        <w:rPr>
          <w:rFonts w:hint="eastAsia" w:ascii="仿宋_GB2312" w:hAnsi="仿宋_GB2312" w:eastAsia="仿宋_GB2312" w:cs="仿宋_GB2312"/>
          <w:color w:val="auto"/>
          <w:kern w:val="0"/>
          <w:sz w:val="24"/>
          <w:highlight w:val="none"/>
          <w:lang w:eastAsia="zh-CN"/>
        </w:rPr>
        <w:t>2022年度海外赤子为国服务行动计划暨第六届中国西安留学回国人才招聘节</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3、采购方式：竞争性磋商</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4、预算金额：</w:t>
      </w:r>
      <w:r>
        <w:rPr>
          <w:rFonts w:hint="eastAsia" w:ascii="仿宋_GB2312" w:hAnsi="仿宋_GB2312" w:eastAsia="仿宋_GB2312" w:cs="仿宋_GB2312"/>
          <w:color w:val="auto"/>
          <w:kern w:val="0"/>
          <w:sz w:val="24"/>
          <w:highlight w:val="none"/>
          <w:lang w:val="en-US" w:eastAsia="zh-CN"/>
        </w:rPr>
        <w:t>450000</w:t>
      </w:r>
      <w:r>
        <w:rPr>
          <w:rFonts w:hint="eastAsia" w:ascii="仿宋_GB2312" w:hAnsi="仿宋_GB2312" w:eastAsia="仿宋_GB2312" w:cs="仿宋_GB2312"/>
          <w:color w:val="auto"/>
          <w:kern w:val="0"/>
          <w:sz w:val="24"/>
          <w:highlight w:val="none"/>
        </w:rPr>
        <w:t>元</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5、采购需求：</w:t>
      </w:r>
      <w:r>
        <w:rPr>
          <w:rFonts w:hint="eastAsia" w:ascii="仿宋_GB2312" w:hAnsi="仿宋_GB2312" w:eastAsia="仿宋_GB2312" w:cs="仿宋_GB2312"/>
          <w:color w:val="auto"/>
          <w:kern w:val="0"/>
          <w:sz w:val="24"/>
          <w:highlight w:val="none"/>
          <w:lang w:eastAsia="zh-CN"/>
        </w:rPr>
        <w:t>2022年度海外赤子为国服务行动计划暨第六届中国西安留学回国人才招聘节</w:t>
      </w:r>
      <w:r>
        <w:rPr>
          <w:rFonts w:hint="eastAsia" w:ascii="仿宋_GB2312" w:hAnsi="仿宋_GB2312" w:eastAsia="仿宋_GB2312" w:cs="仿宋_GB2312"/>
          <w:color w:val="auto"/>
          <w:kern w:val="0"/>
          <w:sz w:val="24"/>
          <w:highlight w:val="none"/>
        </w:rPr>
        <w:t>，1项，采购预算：45</w:t>
      </w:r>
      <w:r>
        <w:rPr>
          <w:rFonts w:hint="eastAsia" w:ascii="仿宋_GB2312" w:hAnsi="仿宋_GB2312" w:eastAsia="仿宋_GB2312" w:cs="仿宋_GB2312"/>
          <w:color w:val="auto"/>
          <w:kern w:val="0"/>
          <w:sz w:val="24"/>
          <w:highlight w:val="none"/>
          <w:lang w:val="en-US" w:eastAsia="zh-CN"/>
        </w:rPr>
        <w:t>0000</w:t>
      </w:r>
      <w:r>
        <w:rPr>
          <w:rFonts w:hint="eastAsia" w:ascii="仿宋_GB2312" w:hAnsi="仿宋_GB2312" w:eastAsia="仿宋_GB2312" w:cs="仿宋_GB2312"/>
          <w:color w:val="auto"/>
          <w:kern w:val="0"/>
          <w:sz w:val="24"/>
          <w:highlight w:val="none"/>
        </w:rPr>
        <w:t>元， 项目概况：为深入贯彻落实党的十九届六中全会及中央人才工作会议精神，充分展示西安市良好的创新创业环境和就业机会，彰显大西安爱才、惜才、引才、用才的诚意，为海内外人才回国就业创业、投身西安经济高质量发展和国际化大都市建设搭建平台、提供服务，吸引更多海归人才扎根西安，拟于2022年7月中下旬开展“2022年度海外赤子为国服务行动计划暨第六届中国西安留学回国人才招聘节”活动，为确保活动顺利开展特制定方案如下：拟开展</w:t>
      </w:r>
      <w:r>
        <w:rPr>
          <w:rFonts w:hint="eastAsia" w:ascii="仿宋_GB2312" w:hAnsi="仿宋_GB2312" w:eastAsia="仿宋_GB2312" w:cs="仿宋_GB2312"/>
          <w:color w:val="auto"/>
          <w:kern w:val="0"/>
          <w:sz w:val="24"/>
          <w:highlight w:val="none"/>
          <w:lang w:eastAsia="zh-CN"/>
        </w:rPr>
        <w:t>2022年度海外赤子为国服务行动计划暨第六届中国西安留学回国人才招聘节</w:t>
      </w:r>
      <w:r>
        <w:rPr>
          <w:rFonts w:hint="eastAsia" w:ascii="仿宋_GB2312" w:hAnsi="仿宋_GB2312" w:eastAsia="仿宋_GB2312" w:cs="仿宋_GB2312"/>
          <w:color w:val="auto"/>
          <w:kern w:val="0"/>
          <w:sz w:val="24"/>
          <w:highlight w:val="none"/>
        </w:rPr>
        <w:t>、用途：采购人自用。</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6、合同履行期限：2022-</w:t>
      </w:r>
      <w:r>
        <w:rPr>
          <w:rFonts w:hint="eastAsia" w:ascii="仿宋_GB2312" w:hAnsi="仿宋_GB2312" w:eastAsia="仿宋_GB2312" w:cs="仿宋_GB2312"/>
          <w:color w:val="auto"/>
          <w:kern w:val="0"/>
          <w:sz w:val="24"/>
          <w:highlight w:val="none"/>
          <w:lang w:val="en-US" w:eastAsia="zh-CN"/>
        </w:rPr>
        <w:t>07</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01</w:t>
      </w:r>
      <w:r>
        <w:rPr>
          <w:rFonts w:hint="eastAsia" w:ascii="仿宋_GB2312" w:hAnsi="仿宋_GB2312" w:eastAsia="仿宋_GB2312" w:cs="仿宋_GB2312"/>
          <w:color w:val="auto"/>
          <w:kern w:val="0"/>
          <w:sz w:val="24"/>
          <w:highlight w:val="none"/>
        </w:rPr>
        <w:t xml:space="preserve"> 00:00:00 至 202</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07</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 xml:space="preserve">28 </w:t>
      </w:r>
      <w:r>
        <w:rPr>
          <w:rFonts w:hint="eastAsia" w:ascii="仿宋_GB2312" w:hAnsi="仿宋_GB2312" w:eastAsia="仿宋_GB2312" w:cs="仿宋_GB2312"/>
          <w:color w:val="auto"/>
          <w:kern w:val="0"/>
          <w:sz w:val="24"/>
          <w:highlight w:val="none"/>
        </w:rPr>
        <w:t>00:00:00（具体服务起止日期可随合同签订时间相应顺延）</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7、本项目是否接受联合体投标：否</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二、响应供应商的资格要求 </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1、满足《中华人民共和国政府采购法》第二十二条规定；</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2、落实政府采购政策需满足的资格要求：</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2.1 《政府采购促进中小企业发展管理办法》（财库〔2020〕46号）；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2.2 《财政部司法部关于政府采购支持监狱企业发展有关问题的通知》（财库〔2014〕68号）；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2.3 《财政部 民政部 中国残疾人联合会关于促进残疾人就业政府采购政策的通知》（财库〔2017〕141号）；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2.4 《财政部国家发展改革委关于印发(节能产品政府采购实施意见)的通知》(财库〔2004〕185号)；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2.5 《国务院办公厅关于建立政府强制采购节能产品制度的通知》(国办发〔2007〕51号)；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2.6 《财政部环保总局关于环境标志产品政府采购实施的意见》(财库〔2006〕90号)；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2.7 《财政部 发展改革委 生态环境部 市场监管总局关于调整优化节能产品、环境标志产品政府采购执行机制的通知》（财库〔2019〕9号）；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2.8 《关于印发环境标志产品政府采购品目清单的通知》（财库〔2019〕18号）；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2.9 《关于印发节能产品政府采购品目清单的通知》（财库〔2019〕19号）；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2.10 《财政部 农业农村部 国家乡村振兴局关于运用政府采购政策支持乡村产业振兴的通知》（财库〔2021〕19号）；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2.11 《陕西省财政厅关于印发陕西省中小企业政府采购信用融资办法》（陕财办采〔2018〕23号）；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2.12 《陕西省财政厅关于加快推进我省中小企业政府采购信用融资工作的通知》（陕财办采〔2020〕15号）。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若享受以上政策优惠的企业，提供相应</w:t>
      </w:r>
      <w:r>
        <w:rPr>
          <w:rFonts w:hint="eastAsia" w:ascii="仿宋_GB2312" w:hAnsi="仿宋_GB2312" w:eastAsia="仿宋_GB2312" w:cs="仿宋_GB2312"/>
          <w:bCs/>
          <w:color w:val="auto"/>
          <w:kern w:val="0"/>
          <w:sz w:val="24"/>
          <w:highlight w:val="none"/>
        </w:rPr>
        <w:t>声明函或品目清单范围内产品的有效认证证书</w:t>
      </w:r>
      <w:r>
        <w:rPr>
          <w:rFonts w:hint="eastAsia" w:ascii="仿宋_GB2312" w:hAnsi="仿宋_GB2312" w:eastAsia="仿宋_GB2312" w:cs="仿宋_GB2312"/>
          <w:color w:val="auto"/>
          <w:kern w:val="0"/>
          <w:sz w:val="24"/>
          <w:highlight w:val="none"/>
        </w:rPr>
        <w:t>。</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3、本项目的特定资格要求：</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3.1供应商在递交响应文件截止时间前被“信用中国”网站（www.creditchina.gov.cn）和中国政府采购网（www.ccgp.gov.cn）上被列入失信被执行人、重大税收违法案件当事人名单、政府采购严重违法失信行为记录名单的，不得参加磋商；</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3.2供应商应授权合法的人员参加投标，其中法定代表人直接参加的须出具法人身份证并与营业执照上信息一致，法定代表人授权代表参加的须出具法定代表人授权书及被授权人本单位证明（社保或劳动合同）；</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3.3供应商不得存在下列情形之一：</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（1）单位负责人为同一人或者存在直接控股、管理关系的不同供应商，不得参加本次采购活动；</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（2）为本项目提供整体设计、规范编制或者项目管理、监理、检测等服务的供应商，不得再参加该采购项目的其他采购活动。</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3.4需向采购代理机构购买（</w:t>
      </w:r>
      <w:r>
        <w:rPr>
          <w:rFonts w:hint="eastAsia" w:ascii="仿宋_GB2312" w:hAnsi="仿宋_GB2312" w:eastAsia="仿宋_GB2312" w:cs="仿宋_GB2312"/>
          <w:i/>
          <w:color w:val="auto"/>
          <w:kern w:val="0"/>
          <w:sz w:val="24"/>
          <w:highlight w:val="none"/>
        </w:rPr>
        <w:t>或免费领取</w:t>
      </w:r>
      <w:r>
        <w:rPr>
          <w:rFonts w:hint="eastAsia" w:ascii="仿宋_GB2312" w:hAnsi="仿宋_GB2312" w:eastAsia="仿宋_GB2312" w:cs="仿宋_GB2312"/>
          <w:color w:val="auto"/>
          <w:kern w:val="0"/>
          <w:sz w:val="24"/>
          <w:highlight w:val="none"/>
        </w:rPr>
        <w:t>）磋商文件并登记备案，未向采购代理机构购买（或免费领取）磋商文件并登记备案的供应商均无资格参加磋商。</w:t>
      </w:r>
    </w:p>
    <w:p>
      <w:pPr>
        <w:pStyle w:val="22"/>
        <w:ind w:firstLine="480" w:firstLineChars="200"/>
      </w:pPr>
      <w:r>
        <w:rPr>
          <w:rFonts w:hint="eastAsia" w:ascii="仿宋_GB2312" w:hAnsi="仿宋_GB2312" w:eastAsia="仿宋_GB2312" w:cs="仿宋_GB2312"/>
          <w:kern w:val="0"/>
          <w:sz w:val="24"/>
          <w:szCs w:val="24"/>
          <w:lang w:val="en-US" w:eastAsia="zh-CN" w:bidi="ar-SA"/>
        </w:rPr>
        <w:t>3.5需具备中小企业或监狱企业或残疾人福利单位声明函。</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三、获取采购文件</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时间：2022年</w:t>
      </w:r>
      <w:r>
        <w:rPr>
          <w:rFonts w:hint="eastAsia" w:ascii="仿宋_GB2312" w:hAnsi="仿宋_GB2312" w:eastAsia="仿宋_GB2312" w:cs="仿宋_GB2312"/>
          <w:color w:val="auto"/>
          <w:kern w:val="0"/>
          <w:sz w:val="24"/>
          <w:highlight w:val="none"/>
          <w:lang w:val="en-US" w:eastAsia="zh-CN"/>
        </w:rPr>
        <w:t>05</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25</w:t>
      </w:r>
      <w:r>
        <w:rPr>
          <w:rFonts w:hint="eastAsia" w:ascii="仿宋_GB2312" w:hAnsi="仿宋_GB2312" w:eastAsia="仿宋_GB2312" w:cs="仿宋_GB2312"/>
          <w:color w:val="auto"/>
          <w:kern w:val="0"/>
          <w:sz w:val="24"/>
          <w:highlight w:val="none"/>
        </w:rPr>
        <w:t>日至2022年</w:t>
      </w:r>
      <w:r>
        <w:rPr>
          <w:rFonts w:hint="eastAsia" w:ascii="仿宋_GB2312" w:hAnsi="仿宋_GB2312" w:eastAsia="仿宋_GB2312" w:cs="仿宋_GB2312"/>
          <w:color w:val="auto"/>
          <w:kern w:val="0"/>
          <w:sz w:val="24"/>
          <w:highlight w:val="none"/>
          <w:lang w:val="en-US" w:eastAsia="zh-CN"/>
        </w:rPr>
        <w:t>05</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31</w:t>
      </w:r>
      <w:r>
        <w:rPr>
          <w:rFonts w:hint="eastAsia" w:ascii="仿宋_GB2312" w:hAnsi="仿宋_GB2312" w:eastAsia="仿宋_GB2312" w:cs="仿宋_GB2312"/>
          <w:color w:val="auto"/>
          <w:kern w:val="0"/>
          <w:sz w:val="24"/>
          <w:highlight w:val="none"/>
        </w:rPr>
        <w:t>日，每天上午08:00:00至12:00:00，下午14:00:00至17:00:00（北京时间,法定节假日除外）</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地点：</w:t>
      </w:r>
      <w:r>
        <w:rPr>
          <w:rFonts w:hint="eastAsia" w:ascii="仿宋_GB2312" w:hAnsi="仿宋_GB2312" w:eastAsia="仿宋_GB2312" w:cs="仿宋_GB2312"/>
          <w:color w:val="auto"/>
          <w:kern w:val="0"/>
          <w:sz w:val="24"/>
          <w:highlight w:val="none"/>
          <w:lang w:eastAsia="zh-CN"/>
        </w:rPr>
        <w:t>电子邮箱</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方式：</w:t>
      </w:r>
      <w:r>
        <w:rPr>
          <w:rFonts w:hint="eastAsia" w:ascii="仿宋_GB2312" w:hAnsi="仿宋_GB2312" w:eastAsia="仿宋_GB2312" w:cs="仿宋_GB2312"/>
          <w:color w:val="auto"/>
          <w:kern w:val="0"/>
          <w:sz w:val="24"/>
          <w:highlight w:val="none"/>
          <w:lang w:eastAsia="zh-CN"/>
        </w:rPr>
        <w:t>在线</w:t>
      </w:r>
      <w:r>
        <w:rPr>
          <w:rFonts w:hint="eastAsia" w:ascii="仿宋_GB2312" w:hAnsi="仿宋_GB2312" w:eastAsia="仿宋_GB2312" w:cs="仿宋_GB2312"/>
          <w:color w:val="auto"/>
          <w:kern w:val="0"/>
          <w:sz w:val="24"/>
          <w:highlight w:val="none"/>
        </w:rPr>
        <w:t>获取</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售价：免费获取</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四、响应文件提交</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截止时间：2022年</w:t>
      </w:r>
      <w:r>
        <w:rPr>
          <w:rFonts w:hint="eastAsia" w:ascii="仿宋_GB2312" w:hAnsi="仿宋_GB2312" w:eastAsia="仿宋_GB2312" w:cs="仿宋_GB2312"/>
          <w:color w:val="auto"/>
          <w:kern w:val="0"/>
          <w:sz w:val="24"/>
          <w:highlight w:val="none"/>
          <w:lang w:val="en-US" w:eastAsia="zh-CN"/>
        </w:rPr>
        <w:t>06</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07</w:t>
      </w:r>
      <w:r>
        <w:rPr>
          <w:rFonts w:hint="eastAsia" w:ascii="仿宋_GB2312" w:hAnsi="仿宋_GB2312" w:eastAsia="仿宋_GB2312" w:cs="仿宋_GB2312"/>
          <w:color w:val="auto"/>
          <w:kern w:val="0"/>
          <w:sz w:val="24"/>
          <w:highlight w:val="none"/>
        </w:rPr>
        <w:t>日</w:t>
      </w:r>
      <w:r>
        <w:rPr>
          <w:rFonts w:hint="eastAsia" w:ascii="仿宋_GB2312" w:hAnsi="仿宋_GB2312" w:eastAsia="仿宋_GB2312" w:cs="仿宋_GB2312"/>
          <w:color w:val="auto"/>
          <w:kern w:val="0"/>
          <w:sz w:val="24"/>
          <w:highlight w:val="none"/>
          <w:lang w:val="en-US" w:eastAsia="zh-CN"/>
        </w:rPr>
        <w:t>09</w:t>
      </w:r>
      <w:r>
        <w:rPr>
          <w:rFonts w:hint="eastAsia" w:ascii="仿宋_GB2312" w:hAnsi="仿宋_GB2312" w:eastAsia="仿宋_GB2312" w:cs="仿宋_GB2312"/>
          <w:color w:val="auto"/>
          <w:kern w:val="0"/>
          <w:sz w:val="24"/>
          <w:highlight w:val="none"/>
        </w:rPr>
        <w:t>时</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分00秒（北京时间）</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地点：西安市高新二路2号山西证券大厦</w:t>
      </w:r>
      <w:r>
        <w:rPr>
          <w:rFonts w:hint="eastAsia" w:ascii="仿宋_GB2312" w:hAnsi="仿宋_GB2312" w:eastAsia="仿宋_GB2312" w:cs="仿宋_GB2312"/>
          <w:color w:val="auto"/>
          <w:kern w:val="0"/>
          <w:sz w:val="24"/>
          <w:highlight w:val="none"/>
          <w:lang w:val="en-US" w:eastAsia="zh-CN"/>
        </w:rPr>
        <w:t>21</w:t>
      </w:r>
      <w:r>
        <w:rPr>
          <w:rFonts w:hint="eastAsia" w:ascii="仿宋_GB2312" w:hAnsi="仿宋_GB2312" w:eastAsia="仿宋_GB2312" w:cs="仿宋_GB2312"/>
          <w:color w:val="auto"/>
          <w:kern w:val="0"/>
          <w:sz w:val="24"/>
          <w:highlight w:val="none"/>
        </w:rPr>
        <w:t>层</w:t>
      </w:r>
      <w:r>
        <w:rPr>
          <w:rFonts w:hint="eastAsia" w:ascii="仿宋_GB2312" w:hAnsi="仿宋_GB2312" w:eastAsia="仿宋_GB2312" w:cs="仿宋_GB2312"/>
          <w:color w:val="auto"/>
          <w:kern w:val="0"/>
          <w:sz w:val="24"/>
          <w:highlight w:val="none"/>
          <w:lang w:eastAsia="zh-CN"/>
        </w:rPr>
        <w:t xml:space="preserve">第六会议室 </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五、开启</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时间：2022年</w:t>
      </w:r>
      <w:r>
        <w:rPr>
          <w:rFonts w:hint="eastAsia" w:ascii="仿宋_GB2312" w:hAnsi="仿宋_GB2312" w:eastAsia="仿宋_GB2312" w:cs="仿宋_GB2312"/>
          <w:color w:val="auto"/>
          <w:kern w:val="0"/>
          <w:sz w:val="24"/>
          <w:highlight w:val="none"/>
          <w:lang w:val="en-US" w:eastAsia="zh-CN"/>
        </w:rPr>
        <w:t>06</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07</w:t>
      </w:r>
      <w:r>
        <w:rPr>
          <w:rFonts w:hint="eastAsia" w:ascii="仿宋_GB2312" w:hAnsi="仿宋_GB2312" w:eastAsia="仿宋_GB2312" w:cs="仿宋_GB2312"/>
          <w:color w:val="auto"/>
          <w:kern w:val="0"/>
          <w:sz w:val="24"/>
          <w:highlight w:val="none"/>
        </w:rPr>
        <w:t>日</w:t>
      </w:r>
      <w:r>
        <w:rPr>
          <w:rFonts w:hint="eastAsia" w:ascii="仿宋_GB2312" w:hAnsi="仿宋_GB2312" w:eastAsia="仿宋_GB2312" w:cs="仿宋_GB2312"/>
          <w:color w:val="auto"/>
          <w:kern w:val="0"/>
          <w:sz w:val="24"/>
          <w:highlight w:val="none"/>
          <w:lang w:val="en-US" w:eastAsia="zh-CN"/>
        </w:rPr>
        <w:t>09</w:t>
      </w:r>
      <w:r>
        <w:rPr>
          <w:rFonts w:hint="eastAsia" w:ascii="仿宋_GB2312" w:hAnsi="仿宋_GB2312" w:eastAsia="仿宋_GB2312" w:cs="仿宋_GB2312"/>
          <w:color w:val="auto"/>
          <w:kern w:val="0"/>
          <w:sz w:val="24"/>
          <w:highlight w:val="none"/>
        </w:rPr>
        <w:t>时</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分</w:t>
      </w:r>
      <w:r>
        <w:rPr>
          <w:rFonts w:hint="eastAsia" w:ascii="仿宋_GB2312" w:hAnsi="仿宋_GB2312" w:eastAsia="仿宋_GB2312" w:cs="仿宋_GB2312"/>
          <w:color w:val="auto"/>
          <w:kern w:val="0"/>
          <w:sz w:val="24"/>
          <w:highlight w:val="none"/>
          <w:lang w:val="en-US" w:eastAsia="zh-CN"/>
        </w:rPr>
        <w:t>00</w:t>
      </w:r>
      <w:r>
        <w:rPr>
          <w:rFonts w:hint="eastAsia" w:ascii="仿宋_GB2312" w:hAnsi="仿宋_GB2312" w:eastAsia="仿宋_GB2312" w:cs="仿宋_GB2312"/>
          <w:color w:val="auto"/>
          <w:kern w:val="0"/>
          <w:sz w:val="24"/>
          <w:highlight w:val="none"/>
        </w:rPr>
        <w:t>分00秒（北京时间）</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地点：西安市高新二路2号山西证券大厦</w:t>
      </w:r>
      <w:r>
        <w:rPr>
          <w:rFonts w:hint="eastAsia" w:ascii="仿宋_GB2312" w:hAnsi="仿宋_GB2312" w:eastAsia="仿宋_GB2312" w:cs="仿宋_GB2312"/>
          <w:color w:val="auto"/>
          <w:kern w:val="0"/>
          <w:sz w:val="24"/>
          <w:highlight w:val="none"/>
          <w:lang w:val="en-US" w:eastAsia="zh-CN"/>
        </w:rPr>
        <w:t>21</w:t>
      </w:r>
      <w:r>
        <w:rPr>
          <w:rFonts w:hint="eastAsia" w:ascii="仿宋_GB2312" w:hAnsi="仿宋_GB2312" w:eastAsia="仿宋_GB2312" w:cs="仿宋_GB2312"/>
          <w:color w:val="auto"/>
          <w:kern w:val="0"/>
          <w:sz w:val="24"/>
          <w:highlight w:val="none"/>
        </w:rPr>
        <w:t>层第</w:t>
      </w:r>
      <w:r>
        <w:rPr>
          <w:rFonts w:hint="eastAsia" w:ascii="仿宋_GB2312" w:hAnsi="仿宋_GB2312" w:eastAsia="仿宋_GB2312" w:cs="仿宋_GB2312"/>
          <w:color w:val="auto"/>
          <w:kern w:val="0"/>
          <w:sz w:val="24"/>
          <w:highlight w:val="none"/>
          <w:lang w:val="en-US" w:eastAsia="zh-CN"/>
        </w:rPr>
        <w:t>六</w:t>
      </w:r>
      <w:r>
        <w:rPr>
          <w:rFonts w:hint="eastAsia" w:ascii="仿宋_GB2312" w:hAnsi="仿宋_GB2312" w:eastAsia="仿宋_GB2312" w:cs="仿宋_GB2312"/>
          <w:color w:val="auto"/>
          <w:kern w:val="0"/>
          <w:sz w:val="24"/>
          <w:highlight w:val="none"/>
        </w:rPr>
        <w:t>会议室</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六、公告期限</w:t>
      </w:r>
    </w:p>
    <w:p>
      <w:pPr>
        <w:widowControl/>
        <w:snapToGrid w:val="0"/>
        <w:spacing w:line="360" w:lineRule="auto"/>
        <w:ind w:right="-197" w:rightChars="-94" w:firstLine="480" w:firstLineChars="200"/>
        <w:jc w:val="left"/>
        <w:rPr>
          <w:rFonts w:ascii="仿宋_GB2312" w:hAnsi="仿宋_GB2312" w:eastAsia="仿宋_GB2312" w:cs="仿宋_GB2312"/>
          <w:iCs/>
          <w:color w:val="auto"/>
          <w:kern w:val="0"/>
          <w:sz w:val="24"/>
          <w:highlight w:val="none"/>
        </w:rPr>
      </w:pPr>
      <w:r>
        <w:rPr>
          <w:rFonts w:hint="eastAsia" w:ascii="仿宋_GB2312" w:hAnsi="仿宋_GB2312" w:eastAsia="仿宋_GB2312" w:cs="仿宋_GB2312"/>
          <w:iCs/>
          <w:color w:val="auto"/>
          <w:kern w:val="0"/>
          <w:sz w:val="24"/>
          <w:highlight w:val="none"/>
        </w:rPr>
        <w:t>自本公告发布之日起</w:t>
      </w:r>
      <w:r>
        <w:rPr>
          <w:rFonts w:hint="eastAsia" w:ascii="仿宋_GB2312" w:hAnsi="仿宋_GB2312" w:eastAsia="仿宋_GB2312" w:cs="仿宋_GB2312"/>
          <w:iCs/>
          <w:color w:val="auto"/>
          <w:kern w:val="0"/>
          <w:sz w:val="24"/>
          <w:highlight w:val="none"/>
          <w:lang w:val="en-US" w:eastAsia="zh-CN"/>
        </w:rPr>
        <w:t>3</w:t>
      </w:r>
      <w:r>
        <w:rPr>
          <w:rFonts w:hint="eastAsia" w:ascii="仿宋_GB2312" w:hAnsi="仿宋_GB2312" w:eastAsia="仿宋_GB2312" w:cs="仿宋_GB2312"/>
          <w:iCs/>
          <w:color w:val="auto"/>
          <w:kern w:val="0"/>
          <w:sz w:val="24"/>
          <w:highlight w:val="none"/>
        </w:rPr>
        <w:t>个工作日。</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七、其他补充事宜</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本项目为</w:t>
      </w:r>
      <w:r>
        <w:rPr>
          <w:rFonts w:hint="eastAsia" w:ascii="仿宋_GB2312" w:hAnsi="仿宋_GB2312" w:eastAsia="仿宋_GB2312" w:cs="仿宋_GB2312"/>
          <w:color w:val="auto"/>
          <w:kern w:val="0"/>
          <w:sz w:val="24"/>
          <w:highlight w:val="none"/>
          <w:lang w:eastAsia="zh-CN"/>
        </w:rPr>
        <w:t>专门</w:t>
      </w:r>
      <w:r>
        <w:rPr>
          <w:rFonts w:hint="eastAsia" w:ascii="仿宋_GB2312" w:hAnsi="仿宋_GB2312" w:eastAsia="仿宋_GB2312" w:cs="仿宋_GB2312"/>
          <w:color w:val="auto"/>
          <w:kern w:val="0"/>
          <w:sz w:val="24"/>
          <w:highlight w:val="none"/>
        </w:rPr>
        <w:t>面向中小企业的项目。</w:t>
      </w:r>
    </w:p>
    <w:p>
      <w:pPr>
        <w:widowControl/>
        <w:snapToGrid w:val="0"/>
        <w:spacing w:line="360" w:lineRule="auto"/>
        <w:ind w:right="-197" w:rightChars="-94" w:firstLine="480" w:firstLineChars="200"/>
        <w:jc w:val="left"/>
      </w:pPr>
      <w:r>
        <w:rPr>
          <w:rFonts w:hint="eastAsia" w:ascii="仿宋_GB2312" w:hAnsi="Times New Roman" w:eastAsia="仿宋_GB2312" w:cs="仿宋_GB2312"/>
          <w:sz w:val="24"/>
          <w:szCs w:val="24"/>
        </w:rPr>
        <w:t>注：凡有意参加投标者，在竞争性磋商文件获取时间内，将单位介绍信、身份证复印件加盖公章发至1668309802@qq.com邮箱，邮箱标题请以项目名称-单位名称-联系人-联系电话的方式命名，采购代理机构登记备案后将发送电子版</w:t>
      </w:r>
      <w:r>
        <w:rPr>
          <w:rFonts w:hint="eastAsia" w:ascii="仿宋_GB2312" w:eastAsia="仿宋_GB2312" w:cs="仿宋_GB2312"/>
          <w:sz w:val="24"/>
          <w:szCs w:val="24"/>
          <w:lang w:eastAsia="zh-CN"/>
        </w:rPr>
        <w:t>竞争性磋商文件</w:t>
      </w:r>
      <w:r>
        <w:rPr>
          <w:rFonts w:hint="eastAsia" w:ascii="仿宋_GB2312" w:hAnsi="Times New Roman" w:eastAsia="仿宋_GB2312" w:cs="仿宋_GB2312"/>
          <w:sz w:val="24"/>
          <w:szCs w:val="24"/>
        </w:rPr>
        <w:t>至相应邮箱。</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八、凡对本次采购提出询问，请按以下方式联系。</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1、采购人信息：</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名称：西安市人才服务中心</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地址：西安市雁塔区南二环西段88号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电话：029-</w:t>
      </w:r>
      <w:r>
        <w:rPr>
          <w:rFonts w:hint="eastAsia" w:ascii="仿宋_GB2312" w:hAnsi="仿宋_GB2312" w:eastAsia="仿宋_GB2312" w:cs="仿宋_GB2312"/>
          <w:color w:val="auto"/>
          <w:kern w:val="0"/>
          <w:sz w:val="24"/>
          <w:highlight w:val="none"/>
          <w:lang w:val="en-US" w:eastAsia="zh-CN"/>
        </w:rPr>
        <w:t>88360288</w:t>
      </w:r>
      <w:r>
        <w:rPr>
          <w:rFonts w:hint="eastAsia" w:ascii="仿宋_GB2312" w:hAnsi="仿宋_GB2312" w:eastAsia="仿宋_GB2312" w:cs="仿宋_GB2312"/>
          <w:color w:val="auto"/>
          <w:kern w:val="0"/>
          <w:sz w:val="24"/>
          <w:highlight w:val="none"/>
        </w:rPr>
        <w:t xml:space="preserve"> </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2.釆购代理机构信息</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名称：陕西省采购招标有限责任公司</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地址：西安市高新二路山西证券大厦</w:t>
      </w:r>
      <w:r>
        <w:rPr>
          <w:rFonts w:hint="eastAsia" w:ascii="仿宋_GB2312" w:hAnsi="仿宋_GB2312" w:eastAsia="仿宋_GB2312" w:cs="仿宋_GB2312"/>
          <w:color w:val="auto"/>
          <w:kern w:val="0"/>
          <w:sz w:val="24"/>
          <w:highlight w:val="none"/>
          <w:lang w:val="en-US" w:eastAsia="zh-CN"/>
        </w:rPr>
        <w:t>21</w:t>
      </w:r>
      <w:r>
        <w:rPr>
          <w:rFonts w:hint="eastAsia" w:ascii="仿宋_GB2312" w:hAnsi="仿宋_GB2312" w:eastAsia="仿宋_GB2312" w:cs="仿宋_GB2312"/>
          <w:color w:val="auto"/>
          <w:kern w:val="0"/>
          <w:sz w:val="24"/>
          <w:highlight w:val="none"/>
        </w:rPr>
        <w:t>楼</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联系方式：</w:t>
      </w:r>
      <w:r>
        <w:rPr>
          <w:rFonts w:hint="eastAsia" w:ascii="仿宋_GB2312" w:hAnsi="仿宋_GB2312" w:eastAsia="仿宋_GB2312" w:cs="仿宋_GB2312"/>
          <w:color w:val="auto"/>
          <w:kern w:val="0"/>
          <w:sz w:val="24"/>
          <w:highlight w:val="none"/>
          <w:lang w:eastAsia="zh-CN"/>
        </w:rPr>
        <w:t>029-85266644</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3.项目联系方式</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项目联系人：</w:t>
      </w:r>
      <w:r>
        <w:rPr>
          <w:rFonts w:hint="eastAsia" w:ascii="仿宋_GB2312" w:hAnsi="仿宋_GB2312" w:eastAsia="仿宋_GB2312" w:cs="仿宋_GB2312"/>
          <w:color w:val="auto"/>
          <w:kern w:val="0"/>
          <w:sz w:val="24"/>
          <w:highlight w:val="none"/>
          <w:lang w:eastAsia="zh-CN"/>
        </w:rPr>
        <w:t>李盼盼、白国锋</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电话：</w:t>
      </w:r>
      <w:r>
        <w:rPr>
          <w:rFonts w:hint="eastAsia" w:ascii="仿宋_GB2312" w:hAnsi="仿宋_GB2312" w:eastAsia="仿宋_GB2312" w:cs="仿宋_GB2312"/>
          <w:color w:val="auto"/>
          <w:kern w:val="0"/>
          <w:sz w:val="24"/>
          <w:highlight w:val="none"/>
          <w:lang w:eastAsia="zh-CN"/>
        </w:rPr>
        <w:t>029-85266644</w:t>
      </w:r>
    </w:p>
    <w:p>
      <w:pPr>
        <w:widowControl/>
        <w:snapToGrid w:val="0"/>
        <w:spacing w:line="360" w:lineRule="auto"/>
        <w:ind w:right="-197" w:rightChars="-94" w:firstLine="480" w:firstLineChars="200"/>
        <w:jc w:val="righ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陕西省采购招标有限责任公司</w:t>
      </w:r>
    </w:p>
    <w:bookmarkEnd w:id="4"/>
    <w:bookmarkEnd w:id="5"/>
    <w:bookmarkEnd w:id="6"/>
    <w:bookmarkEnd w:id="7"/>
    <w:bookmarkEnd w:id="8"/>
    <w:bookmarkEnd w:id="9"/>
    <w:bookmarkEnd w:id="10"/>
    <w:bookmarkEnd w:id="11"/>
    <w:bookmarkEnd w:id="12"/>
    <w:bookmarkEnd w:id="13"/>
    <w:bookmarkEnd w:id="14"/>
    <w:bookmarkEnd w:id="15"/>
    <w:bookmarkEnd w:id="16"/>
    <w:bookmarkEnd w:id="17"/>
    <w:p>
      <w:pPr>
        <w:widowControl/>
        <w:snapToGrid w:val="0"/>
        <w:spacing w:line="360" w:lineRule="auto"/>
        <w:ind w:right="-197" w:rightChars="-94" w:firstLine="480" w:firstLineChars="200"/>
        <w:jc w:val="right"/>
        <w:rPr>
          <w:rFonts w:hint="default" w:ascii="仿宋_GB2312" w:hAnsi="仿宋_GB2312" w:eastAsia="仿宋_GB2312" w:cs="仿宋_GB2312"/>
          <w:color w:val="auto"/>
          <w:kern w:val="0"/>
          <w:sz w:val="24"/>
          <w:highlight w:val="none"/>
          <w:lang w:val="en-US" w:eastAsia="zh-CN"/>
        </w:rPr>
      </w:pPr>
      <w:bookmarkStart w:id="20" w:name="_Toc230013631"/>
      <w:bookmarkStart w:id="21" w:name="_Toc21126"/>
      <w:bookmarkStart w:id="22" w:name="_Toc230099796"/>
      <w:bookmarkStart w:id="23" w:name="_Toc249515389"/>
      <w:bookmarkStart w:id="24" w:name="_Toc232176271"/>
      <w:bookmarkStart w:id="25" w:name="_Toc68590966"/>
      <w:bookmarkStart w:id="26" w:name="_Toc184043011"/>
      <w:bookmarkStart w:id="27" w:name="_Toc415499895"/>
      <w:bookmarkStart w:id="28" w:name="_Toc256342142"/>
      <w:bookmarkStart w:id="29" w:name="_Toc230583540"/>
      <w:bookmarkStart w:id="30" w:name="_Toc58504446"/>
      <w:bookmarkStart w:id="31" w:name="_Toc249525158"/>
      <w:bookmarkStart w:id="32" w:name="_Toc249515277"/>
      <w:bookmarkStart w:id="33" w:name="_Toc232395211"/>
      <w:bookmarkStart w:id="34" w:name="_Toc230013632"/>
      <w:bookmarkStart w:id="35" w:name="_Toc256342143"/>
      <w:bookmarkStart w:id="36" w:name="_Toc53722840"/>
      <w:bookmarkStart w:id="37" w:name="_Toc230583541"/>
      <w:bookmarkStart w:id="38" w:name="_Toc232176272"/>
      <w:bookmarkStart w:id="39" w:name="_Toc184043012"/>
      <w:bookmarkStart w:id="40" w:name="_Toc177189235"/>
      <w:bookmarkStart w:id="41" w:name="_Toc492955414"/>
      <w:bookmarkStart w:id="42" w:name="_Toc177995473"/>
      <w:bookmarkStart w:id="43" w:name="_Toc70687139"/>
      <w:bookmarkStart w:id="44" w:name="_Toc177817334"/>
      <w:bookmarkStart w:id="45" w:name="_Toc500747188"/>
      <w:bookmarkStart w:id="46" w:name="_Toc499711883"/>
      <w:bookmarkStart w:id="47" w:name="_Toc503063421"/>
      <w:bookmarkStart w:id="48" w:name="_Toc500746965"/>
      <w:bookmarkStart w:id="49" w:name="_Toc500747061"/>
      <w:bookmarkStart w:id="50" w:name="_Toc499711042"/>
      <w:bookmarkStart w:id="51" w:name="_Toc249515390"/>
      <w:bookmarkStart w:id="52" w:name="_Toc249525159"/>
      <w:bookmarkStart w:id="53" w:name="_Toc249515278"/>
      <w:bookmarkStart w:id="54" w:name="_Toc230099797"/>
      <w:bookmarkStart w:id="55" w:name="_Toc232395212"/>
      <w:bookmarkStart w:id="56" w:name="_Toc176882542"/>
      <w:bookmarkStart w:id="57" w:name="_Toc496324578"/>
      <w:r>
        <w:rPr>
          <w:rFonts w:hint="eastAsia" w:ascii="仿宋_GB2312" w:hAnsi="仿宋_GB2312" w:eastAsia="仿宋_GB2312" w:cs="仿宋_GB2312"/>
          <w:color w:val="auto"/>
          <w:kern w:val="0"/>
          <w:sz w:val="24"/>
          <w:highlight w:val="none"/>
          <w:lang w:val="en-US" w:eastAsia="zh-CN"/>
        </w:rPr>
        <w:t>2022年 05 月 24日</w:t>
      </w:r>
    </w:p>
    <w:p>
      <w:pPr>
        <w:rPr>
          <w:rStyle w:val="203"/>
          <w:rFonts w:hint="eastAsia" w:ascii="宋体" w:hAnsi="宋体" w:eastAsia="宋体"/>
          <w:color w:val="auto"/>
          <w:sz w:val="36"/>
          <w:szCs w:val="36"/>
          <w:highlight w:val="none"/>
        </w:rPr>
      </w:pPr>
      <w:r>
        <w:rPr>
          <w:rStyle w:val="203"/>
          <w:rFonts w:hint="eastAsia" w:ascii="宋体" w:hAnsi="宋体" w:eastAsia="宋体"/>
          <w:color w:val="auto"/>
          <w:sz w:val="36"/>
          <w:szCs w:val="36"/>
          <w:highlight w:val="none"/>
        </w:rPr>
        <w:br w:type="page"/>
      </w:r>
    </w:p>
    <w:p>
      <w:pPr>
        <w:pStyle w:val="46"/>
        <w:spacing w:line="360" w:lineRule="auto"/>
        <w:rPr>
          <w:rStyle w:val="203"/>
          <w:rFonts w:ascii="宋体" w:hAnsi="宋体" w:eastAsia="宋体"/>
          <w:color w:val="auto"/>
          <w:sz w:val="36"/>
          <w:szCs w:val="36"/>
          <w:highlight w:val="none"/>
        </w:rPr>
      </w:pPr>
      <w:r>
        <w:rPr>
          <w:rStyle w:val="203"/>
          <w:rFonts w:hint="eastAsia" w:ascii="宋体" w:hAnsi="宋体" w:eastAsia="宋体"/>
          <w:color w:val="auto"/>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Lines="100" w:after="24"/>
        <w:jc w:val="center"/>
        <w:rPr>
          <w:rFonts w:ascii="仿宋_GB2312" w:hAnsi="仿宋_GB2312" w:eastAsia="仿宋_GB2312" w:cs="仿宋_GB2312"/>
          <w:color w:val="auto"/>
          <w:sz w:val="28"/>
          <w:szCs w:val="28"/>
          <w:highlight w:val="none"/>
        </w:rPr>
      </w:pPr>
      <w:bookmarkStart w:id="58" w:name="_Toc68590967"/>
      <w:r>
        <w:rPr>
          <w:rFonts w:hint="eastAsia" w:ascii="仿宋_GB2312" w:hAnsi="仿宋_GB2312" w:eastAsia="仿宋_GB2312" w:cs="仿宋_GB2312"/>
          <w:color w:val="auto"/>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ascii="仿宋_GB2312" w:hAnsi="仿宋_GB2312" w:eastAsia="仿宋_GB2312" w:cs="仿宋_GB2312"/>
          <w:color w:val="auto"/>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本表是对供应商须知的具体补充和修改，如有矛盾，均以本表为准。</w:t>
      </w:r>
    </w:p>
    <w:p>
      <w:pPr>
        <w:ind w:left="689" w:hanging="689" w:hangingChars="343"/>
        <w:rPr>
          <w:rFonts w:ascii="仿宋_GB2312" w:hAnsi="仿宋_GB2312" w:eastAsia="仿宋_GB2312" w:cs="仿宋_GB2312"/>
          <w:b/>
          <w:color w:val="auto"/>
          <w:sz w:val="20"/>
          <w:szCs w:val="20"/>
          <w:highlight w:val="none"/>
        </w:rPr>
      </w:pP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b/>
                <w:color w:val="auto"/>
                <w:sz w:val="24"/>
                <w:szCs w:val="24"/>
                <w:highlight w:val="none"/>
              </w:rPr>
            </w:pPr>
            <w:bookmarkStart w:id="59" w:name="_Hlt14560610"/>
            <w:bookmarkEnd w:id="59"/>
            <w:bookmarkStart w:id="60" w:name="_Toc500747063"/>
            <w:bookmarkStart w:id="61" w:name="_Toc500746967"/>
            <w:bookmarkStart w:id="62" w:name="_Toc499711044"/>
            <w:bookmarkStart w:id="63" w:name="_Toc385992326"/>
            <w:bookmarkStart w:id="64" w:name="_Toc492955416"/>
            <w:bookmarkStart w:id="65" w:name="_Toc499711885"/>
            <w:bookmarkStart w:id="66" w:name="_Toc389620165"/>
            <w:bookmarkStart w:id="67" w:name="_Toc503063423"/>
            <w:bookmarkStart w:id="68" w:name="_Toc496324580"/>
            <w:bookmarkStart w:id="69" w:name="_Toc500747190"/>
            <w:r>
              <w:rPr>
                <w:rFonts w:hint="eastAsia" w:ascii="仿宋_GB2312" w:hAnsi="仿宋_GB2312" w:eastAsia="仿宋_GB2312" w:cs="仿宋_GB2312"/>
                <w:b/>
                <w:color w:val="auto"/>
                <w:sz w:val="24"/>
                <w:szCs w:val="24"/>
                <w:highlight w:val="none"/>
              </w:rPr>
              <w:t>条款号</w:t>
            </w:r>
          </w:p>
        </w:tc>
        <w:tc>
          <w:tcPr>
            <w:tcW w:w="7650" w:type="dxa"/>
            <w:vAlign w:val="center"/>
          </w:tcPr>
          <w:p>
            <w:pPr>
              <w:pStyle w:val="28"/>
              <w:adjustRightInd w:val="0"/>
              <w:snapToGrid w:val="0"/>
              <w:spacing w:line="240" w:lineRule="auto"/>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7650" w:type="dxa"/>
            <w:vAlign w:val="center"/>
          </w:tcPr>
          <w:p>
            <w:pPr>
              <w:pStyle w:val="28"/>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2022年度海外赤子为国服务行动计划暨第六届中国西安留学回国人才招聘节</w:t>
            </w:r>
          </w:p>
          <w:p>
            <w:pPr>
              <w:pStyle w:val="28"/>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SCZA2022-CS-0896/001</w:t>
            </w:r>
          </w:p>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资金来源：财政资金</w:t>
            </w:r>
          </w:p>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预算金额：</w:t>
            </w:r>
            <w:r>
              <w:rPr>
                <w:rFonts w:hint="eastAsia" w:ascii="仿宋_GB2312" w:hAnsi="仿宋_GB2312" w:eastAsia="仿宋_GB2312" w:cs="仿宋_GB2312"/>
                <w:color w:val="auto"/>
                <w:sz w:val="24"/>
                <w:szCs w:val="24"/>
                <w:highlight w:val="none"/>
                <w:lang w:val="en-US" w:eastAsia="zh-CN"/>
              </w:rPr>
              <w:t>450000</w:t>
            </w:r>
            <w:r>
              <w:rPr>
                <w:rFonts w:hint="eastAsia" w:ascii="仿宋_GB2312" w:hAnsi="仿宋_GB2312" w:eastAsia="仿宋_GB2312" w:cs="仿宋_GB2312"/>
                <w:color w:val="auto"/>
                <w:sz w:val="24"/>
                <w:szCs w:val="24"/>
                <w:highlight w:val="none"/>
              </w:rPr>
              <w:t>元</w:t>
            </w:r>
          </w:p>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w:t>
            </w:r>
            <w:r>
              <w:rPr>
                <w:rFonts w:hint="eastAsia" w:ascii="仿宋_GB2312" w:hAnsi="仿宋_GB2312" w:eastAsia="仿宋_GB2312" w:cs="仿宋_GB2312"/>
                <w:color w:val="auto"/>
                <w:kern w:val="0"/>
                <w:sz w:val="24"/>
                <w:highlight w:val="none"/>
              </w:rPr>
              <w:t>西安市人才服务中心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邀请供应商的方式：</w:t>
            </w: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（1）发布磋商公告</w:t>
            </w: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（2）采购人和评审专家分别书面推荐的方式邀请不少于3 家</w:t>
            </w: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符合相应资格条件的供应商</w:t>
            </w:r>
          </w:p>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p>
        </w:tc>
        <w:tc>
          <w:tcPr>
            <w:tcW w:w="7650" w:type="dxa"/>
            <w:vAlign w:val="center"/>
          </w:tcPr>
          <w:p>
            <w:pPr>
              <w:pStyle w:val="14"/>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w:t>
            </w:r>
          </w:p>
        </w:tc>
        <w:tc>
          <w:tcPr>
            <w:tcW w:w="7650" w:type="dxa"/>
            <w:vAlign w:val="center"/>
          </w:tcPr>
          <w:p>
            <w:pPr>
              <w:pStyle w:val="14"/>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是否允许采购进口产品：</w:t>
            </w:r>
            <w:r>
              <w:rPr>
                <w:rFonts w:hint="eastAsia" w:ascii="仿宋_GB2312" w:hAnsi="仿宋_GB2312" w:eastAsia="仿宋_GB2312" w:cs="仿宋_GB2312"/>
                <w:color w:val="auto"/>
                <w:kern w:val="2"/>
                <w:highlight w:val="none"/>
                <w:u w:val="single"/>
              </w:rPr>
              <w:t>否</w:t>
            </w:r>
            <w:r>
              <w:rPr>
                <w:rFonts w:hint="eastAsia" w:ascii="仿宋_GB2312" w:hAnsi="仿宋_GB2312" w:eastAsia="仿宋_GB2312" w:cs="仿宋_GB2312"/>
                <w:color w:val="auto"/>
                <w:kern w:val="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3.7</w:t>
            </w:r>
          </w:p>
        </w:tc>
        <w:tc>
          <w:tcPr>
            <w:tcW w:w="7650" w:type="dxa"/>
            <w:vAlign w:val="center"/>
          </w:tcPr>
          <w:p>
            <w:pPr>
              <w:pStyle w:val="14"/>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 xml:space="preserve">是否允许联合体磋商： </w:t>
            </w:r>
            <w:r>
              <w:rPr>
                <w:rFonts w:hint="eastAsia" w:ascii="仿宋_GB2312" w:hAnsi="仿宋_GB2312" w:eastAsia="仿宋_GB2312" w:cs="仿宋_GB2312"/>
                <w:color w:val="auto"/>
                <w:kern w:val="2"/>
                <w:highlight w:val="none"/>
                <w:u w:val="single"/>
              </w:rPr>
              <w:t>否</w:t>
            </w:r>
            <w:r>
              <w:rPr>
                <w:rFonts w:hint="eastAsia" w:ascii="仿宋_GB2312" w:hAnsi="仿宋_GB2312" w:eastAsia="仿宋_GB2312" w:cs="仿宋_GB2312"/>
                <w:color w:val="auto"/>
                <w:kern w:val="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3.8</w:t>
            </w:r>
          </w:p>
        </w:tc>
        <w:tc>
          <w:tcPr>
            <w:tcW w:w="7650" w:type="dxa"/>
            <w:vAlign w:val="center"/>
          </w:tcPr>
          <w:p>
            <w:pPr>
              <w:pStyle w:val="14"/>
              <w:spacing w:line="360" w:lineRule="auto"/>
              <w:rPr>
                <w:rFonts w:ascii="仿宋_GB2312" w:hAnsi="仿宋_GB2312" w:eastAsia="仿宋_GB2312" w:cs="仿宋_GB2312"/>
                <w:color w:val="auto"/>
                <w:kern w:val="2"/>
                <w:highlight w:val="none"/>
              </w:rPr>
            </w:pPr>
            <w:r>
              <w:rPr>
                <w:rFonts w:hint="eastAsia" w:ascii="仿宋_GB2312" w:eastAsia="仿宋_GB2312"/>
                <w:color w:val="auto"/>
                <w:highlight w:val="none"/>
              </w:rPr>
              <w:t>是否为专门面向</w:t>
            </w:r>
            <w:r>
              <w:rPr>
                <w:rFonts w:ascii="仿宋_GB2312" w:hAnsi="宋体" w:eastAsia="仿宋_GB2312"/>
                <w:color w:val="auto"/>
                <w:highlight w:val="none"/>
              </w:rPr>
              <w:t>中小企业采购</w:t>
            </w:r>
            <w:r>
              <w:rPr>
                <w:rFonts w:hint="eastAsia" w:ascii="仿宋_GB2312" w:hAnsi="宋体" w:eastAsia="仿宋_GB2312"/>
                <w:color w:val="auto"/>
                <w:highlight w:val="none"/>
              </w:rPr>
              <w:t>：</w:t>
            </w:r>
            <w:r>
              <w:rPr>
                <w:rFonts w:hint="eastAsia" w:ascii="仿宋_GB2312" w:hAnsi="宋体" w:eastAsia="仿宋_GB2312"/>
                <w:color w:val="auto"/>
                <w:highlight w:val="none"/>
                <w:u w:val="single"/>
                <w:lang w:eastAsia="zh-CN"/>
              </w:rPr>
              <w:t>是</w:t>
            </w:r>
            <w:r>
              <w:rPr>
                <w:rFonts w:hint="eastAsia" w:ascii="仿宋_GB2312" w:hAnsi="宋体" w:eastAsia="仿宋_GB2312"/>
                <w:color w:val="auto"/>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本项目不要求缴纳投标保证金（人民币0.00元）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15.1</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磋商有效期：自响应文件递交之日起</w:t>
            </w:r>
            <w:r>
              <w:rPr>
                <w:rFonts w:hint="eastAsia" w:ascii="仿宋_GB2312" w:hAnsi="仿宋_GB2312" w:eastAsia="仿宋_GB2312" w:cs="仿宋_GB2312"/>
                <w:color w:val="auto"/>
                <w:sz w:val="24"/>
                <w:szCs w:val="24"/>
                <w:highlight w:val="none"/>
                <w:u w:val="single"/>
              </w:rPr>
              <w:t xml:space="preserve">  60  </w:t>
            </w:r>
            <w:r>
              <w:rPr>
                <w:rFonts w:hint="eastAsia" w:ascii="仿宋_GB2312" w:hAnsi="仿宋_GB2312" w:eastAsia="仿宋_GB2312" w:cs="仿宋_GB2312"/>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16.1</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响应文件的份数：正本1份，副本2份</w:t>
            </w:r>
            <w:r>
              <w:rPr>
                <w:rFonts w:hint="eastAsia" w:ascii="仿宋_GB2312" w:hAnsi="仿宋_GB2312" w:eastAsia="仿宋_GB2312" w:cs="仿宋_GB2312"/>
                <w:i/>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密封袋（箱）上须标注：</w:t>
            </w:r>
          </w:p>
          <w:p>
            <w:pPr>
              <w:pStyle w:val="28"/>
              <w:adjustRightInd w:val="0"/>
              <w:snapToGrid w:val="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（l）采购项目编号：</w:t>
            </w:r>
            <w:r>
              <w:rPr>
                <w:rFonts w:hint="eastAsia" w:ascii="仿宋_GB2312" w:hAnsi="仿宋_GB2312" w:eastAsia="仿宋_GB2312" w:cs="仿宋_GB2312"/>
                <w:color w:val="auto"/>
                <w:sz w:val="24"/>
                <w:szCs w:val="24"/>
                <w:highlight w:val="none"/>
                <w:lang w:eastAsia="zh-CN"/>
              </w:rPr>
              <w:t>SCZA2022-CS-0896/001</w:t>
            </w:r>
          </w:p>
          <w:p>
            <w:pPr>
              <w:pStyle w:val="28"/>
              <w:adjustRightInd w:val="0"/>
              <w:snapToGrid w:val="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（2）项目名称：</w:t>
            </w:r>
            <w:r>
              <w:rPr>
                <w:rFonts w:hint="eastAsia" w:ascii="仿宋_GB2312" w:hAnsi="仿宋_GB2312" w:eastAsia="仿宋_GB2312" w:cs="仿宋_GB2312"/>
                <w:color w:val="auto"/>
                <w:sz w:val="24"/>
                <w:szCs w:val="24"/>
                <w:highlight w:val="none"/>
                <w:lang w:eastAsia="zh-CN"/>
              </w:rPr>
              <w:t>2022年度海外赤子为国服务行动计划暨第六届中国西安留学回国人才招聘节</w:t>
            </w:r>
          </w:p>
          <w:p>
            <w:pPr>
              <w:pStyle w:val="28"/>
              <w:adjustRightInd w:val="0"/>
              <w:snapToGrid w:val="0"/>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（3）供应商的名称、地址、联系人、电话和传真。</w:t>
            </w:r>
          </w:p>
          <w:p>
            <w:pPr>
              <w:pStyle w:val="28"/>
              <w:adjustRightInd w:val="0"/>
              <w:snapToGrid w:val="0"/>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（4）在******（北京时间）之前不得启封</w:t>
            </w:r>
          </w:p>
          <w:p>
            <w:pPr>
              <w:pStyle w:val="28"/>
              <w:adjustRightInd w:val="0"/>
              <w:snapToGrid w:val="0"/>
              <w:spacing w:line="240" w:lineRule="auto"/>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pPr>
              <w:pStyle w:val="28"/>
              <w:adjustRightInd w:val="0"/>
              <w:snapToGrid w:val="0"/>
              <w:ind w:firstLine="120" w:firstLineChars="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本项目不要求提交样品。</w:t>
            </w:r>
          </w:p>
          <w:p>
            <w:pPr>
              <w:pStyle w:val="28"/>
              <w:adjustRightInd w:val="0"/>
              <w:snapToGrid w:val="0"/>
              <w:ind w:firstLine="120" w:firstLineChars="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□本项目要求提交样品。样品为响应文件的一部分，随响应文件同时递交。</w:t>
            </w:r>
          </w:p>
          <w:p>
            <w:pPr>
              <w:pStyle w:val="28"/>
              <w:adjustRightInd w:val="0"/>
              <w:snapToGrid w:val="0"/>
              <w:ind w:firstLine="360" w:firstLineChars="1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（1）样品需标明：项目名称、供应商名称、样品名称等内容。</w:t>
            </w:r>
          </w:p>
          <w:p>
            <w:pPr>
              <w:pStyle w:val="28"/>
              <w:adjustRightInd w:val="0"/>
              <w:snapToGrid w:val="0"/>
              <w:ind w:firstLine="360" w:firstLineChars="1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18.1</w:t>
            </w:r>
          </w:p>
        </w:tc>
        <w:tc>
          <w:tcPr>
            <w:tcW w:w="7650" w:type="dxa"/>
            <w:vAlign w:val="center"/>
          </w:tcPr>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响应文件递交截止时间：2022年</w:t>
            </w:r>
            <w:r>
              <w:rPr>
                <w:rFonts w:hint="eastAsia" w:ascii="仿宋_GB2312" w:hAnsi="仿宋_GB2312" w:eastAsia="仿宋_GB2312" w:cs="仿宋_GB2312"/>
                <w:color w:val="auto"/>
                <w:kern w:val="24"/>
                <w:sz w:val="24"/>
                <w:szCs w:val="21"/>
                <w:highlight w:val="none"/>
                <w:lang w:val="en-US" w:eastAsia="zh-CN"/>
              </w:rPr>
              <w:t>**</w:t>
            </w:r>
            <w:r>
              <w:rPr>
                <w:rFonts w:hint="eastAsia" w:ascii="仿宋_GB2312" w:hAnsi="仿宋_GB2312" w:eastAsia="仿宋_GB2312" w:cs="仿宋_GB2312"/>
                <w:color w:val="auto"/>
                <w:kern w:val="24"/>
                <w:sz w:val="24"/>
                <w:szCs w:val="21"/>
                <w:highlight w:val="none"/>
              </w:rPr>
              <w:t>月</w:t>
            </w:r>
            <w:r>
              <w:rPr>
                <w:rFonts w:hint="eastAsia" w:ascii="仿宋_GB2312" w:hAnsi="仿宋_GB2312" w:eastAsia="仿宋_GB2312" w:cs="仿宋_GB2312"/>
                <w:color w:val="auto"/>
                <w:kern w:val="24"/>
                <w:sz w:val="24"/>
                <w:szCs w:val="21"/>
                <w:highlight w:val="none"/>
                <w:lang w:val="en-US" w:eastAsia="zh-CN"/>
              </w:rPr>
              <w:t>**</w:t>
            </w:r>
            <w:r>
              <w:rPr>
                <w:rFonts w:hint="eastAsia" w:ascii="仿宋_GB2312" w:hAnsi="仿宋_GB2312" w:eastAsia="仿宋_GB2312" w:cs="仿宋_GB2312"/>
                <w:color w:val="auto"/>
                <w:kern w:val="24"/>
                <w:sz w:val="24"/>
                <w:szCs w:val="21"/>
                <w:highlight w:val="none"/>
              </w:rPr>
              <w:t>日</w:t>
            </w:r>
            <w:r>
              <w:rPr>
                <w:rFonts w:hint="eastAsia" w:ascii="仿宋_GB2312" w:hAnsi="仿宋_GB2312" w:eastAsia="仿宋_GB2312" w:cs="仿宋_GB2312"/>
                <w:color w:val="auto"/>
                <w:kern w:val="24"/>
                <w:sz w:val="24"/>
                <w:szCs w:val="21"/>
                <w:highlight w:val="none"/>
                <w:lang w:val="en-US" w:eastAsia="zh-CN"/>
              </w:rPr>
              <w:t>00</w:t>
            </w:r>
            <w:r>
              <w:rPr>
                <w:rFonts w:hint="eastAsia" w:ascii="仿宋_GB2312" w:hAnsi="仿宋_GB2312" w:eastAsia="仿宋_GB2312" w:cs="仿宋_GB2312"/>
                <w:color w:val="auto"/>
                <w:kern w:val="24"/>
                <w:sz w:val="24"/>
                <w:szCs w:val="21"/>
                <w:highlight w:val="none"/>
              </w:rPr>
              <w:t>:</w:t>
            </w:r>
            <w:r>
              <w:rPr>
                <w:rFonts w:hint="eastAsia" w:ascii="仿宋_GB2312" w:hAnsi="仿宋_GB2312" w:eastAsia="仿宋_GB2312" w:cs="仿宋_GB2312"/>
                <w:color w:val="auto"/>
                <w:kern w:val="24"/>
                <w:sz w:val="24"/>
                <w:szCs w:val="21"/>
                <w:highlight w:val="none"/>
                <w:lang w:val="en-US" w:eastAsia="zh-CN"/>
              </w:rPr>
              <w:t>00</w:t>
            </w:r>
            <w:r>
              <w:rPr>
                <w:rFonts w:hint="eastAsia" w:ascii="仿宋_GB2312" w:hAnsi="仿宋_GB2312" w:eastAsia="仿宋_GB2312" w:cs="仿宋_GB2312"/>
                <w:color w:val="auto"/>
                <w:kern w:val="24"/>
                <w:sz w:val="24"/>
                <w:szCs w:val="21"/>
                <w:highlight w:val="none"/>
              </w:rPr>
              <w:t>（北京时间）。</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响应文件递交地点：西安市高新二路山西证券大厦</w:t>
            </w:r>
            <w:r>
              <w:rPr>
                <w:rFonts w:hint="eastAsia" w:ascii="仿宋_GB2312" w:hAnsi="仿宋_GB2312" w:eastAsia="仿宋_GB2312" w:cs="仿宋_GB2312"/>
                <w:color w:val="auto"/>
                <w:kern w:val="24"/>
                <w:sz w:val="24"/>
                <w:szCs w:val="21"/>
                <w:highlight w:val="none"/>
                <w:lang w:val="en-US" w:eastAsia="zh-CN"/>
              </w:rPr>
              <w:t>**</w:t>
            </w:r>
            <w:r>
              <w:rPr>
                <w:rFonts w:hint="eastAsia" w:ascii="仿宋_GB2312" w:hAnsi="仿宋_GB2312" w:eastAsia="仿宋_GB2312" w:cs="仿宋_GB2312"/>
                <w:color w:val="auto"/>
                <w:kern w:val="24"/>
                <w:sz w:val="24"/>
                <w:szCs w:val="21"/>
                <w:highlight w:val="none"/>
              </w:rPr>
              <w:t>层第</w:t>
            </w:r>
            <w:r>
              <w:rPr>
                <w:rFonts w:hint="eastAsia" w:ascii="仿宋_GB2312" w:hAnsi="仿宋_GB2312" w:eastAsia="仿宋_GB2312" w:cs="仿宋_GB2312"/>
                <w:color w:val="auto"/>
                <w:kern w:val="24"/>
                <w:sz w:val="24"/>
                <w:szCs w:val="21"/>
                <w:highlight w:val="none"/>
                <w:lang w:val="en-US" w:eastAsia="zh-CN"/>
              </w:rPr>
              <w:t>**</w:t>
            </w:r>
            <w:r>
              <w:rPr>
                <w:rFonts w:hint="eastAsia" w:ascii="仿宋_GB2312" w:hAnsi="仿宋_GB2312" w:eastAsia="仿宋_GB2312" w:cs="仿宋_GB2312"/>
                <w:color w:val="auto"/>
                <w:kern w:val="24"/>
                <w:sz w:val="24"/>
                <w:szCs w:val="21"/>
                <w:highlight w:val="none"/>
              </w:rPr>
              <w:t>会议室。</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w:t>
            </w:r>
          </w:p>
        </w:tc>
        <w:tc>
          <w:tcPr>
            <w:tcW w:w="7650" w:type="dxa"/>
            <w:vAlign w:val="center"/>
          </w:tcPr>
          <w:p>
            <w:pPr>
              <w:spacing w:line="3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磋商小组由</w:t>
            </w:r>
            <w:r>
              <w:rPr>
                <w:rFonts w:hint="eastAsia" w:ascii="仿宋_GB2312" w:hAnsi="仿宋_GB2312" w:eastAsia="仿宋_GB2312" w:cs="仿宋_GB2312"/>
                <w:b/>
                <w:bCs/>
                <w:color w:val="auto"/>
                <w:sz w:val="24"/>
                <w:highlight w:val="none"/>
                <w:u w:val="single"/>
              </w:rPr>
              <w:t xml:space="preserve"> 3 </w:t>
            </w:r>
            <w:r>
              <w:rPr>
                <w:rFonts w:hint="eastAsia" w:ascii="仿宋_GB2312" w:hAnsi="仿宋_GB2312" w:eastAsia="仿宋_GB2312" w:cs="仿宋_GB2312"/>
                <w:color w:val="auto"/>
                <w:sz w:val="24"/>
                <w:highlight w:val="none"/>
              </w:rPr>
              <w:t>人或以上单数组成。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28.1</w:t>
            </w:r>
          </w:p>
        </w:tc>
        <w:tc>
          <w:tcPr>
            <w:tcW w:w="7650" w:type="dxa"/>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本项目要求履约保证金，金额为成交合同金额的</w:t>
            </w:r>
            <w:r>
              <w:rPr>
                <w:rFonts w:hint="eastAsia" w:ascii="仿宋_GB2312" w:hAnsi="仿宋_GB2312" w:eastAsia="仿宋_GB2312" w:cs="仿宋_GB2312"/>
                <w:b/>
                <w:color w:val="auto"/>
                <w:sz w:val="24"/>
                <w:highlight w:val="none"/>
                <w:u w:val="single"/>
              </w:rPr>
              <w:t xml:space="preserve">5% </w:t>
            </w:r>
          </w:p>
          <w:p>
            <w:pPr>
              <w:pStyle w:val="22"/>
              <w:rPr>
                <w:rFonts w:ascii="仿宋_GB2312" w:hAnsi="仿宋_GB2312" w:eastAsia="仿宋_GB2312" w:cs="仿宋_GB2312"/>
                <w:color w:val="auto"/>
                <w:highlight w:val="none"/>
              </w:rPr>
            </w:pPr>
          </w:p>
          <w:p>
            <w:pPr>
              <w:pStyle w:val="67"/>
              <w:numPr>
                <w:ilvl w:val="0"/>
                <w:numId w:val="5"/>
              </w:numPr>
              <w:ind w:firstLineChars="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本项目不要求履约保证金。</w:t>
            </w:r>
          </w:p>
        </w:tc>
      </w:tr>
    </w:tbl>
    <w:p>
      <w:pPr>
        <w:rPr>
          <w:rFonts w:ascii="仿宋_GB2312" w:hAnsi="仿宋_GB2312" w:eastAsia="仿宋_GB2312" w:cs="仿宋_GB2312"/>
          <w:color w:val="auto"/>
          <w:sz w:val="30"/>
          <w:szCs w:val="30"/>
          <w:highlight w:val="none"/>
        </w:rPr>
      </w:pPr>
      <w:bookmarkStart w:id="70" w:name="_Toc230583542"/>
      <w:bookmarkStart w:id="71" w:name="_Toc184043013"/>
      <w:bookmarkStart w:id="72" w:name="_Toc177189236"/>
      <w:bookmarkStart w:id="73" w:name="_Toc176882543"/>
      <w:bookmarkStart w:id="74" w:name="_Toc230099798"/>
      <w:bookmarkStart w:id="75" w:name="_Toc232395213"/>
      <w:bookmarkStart w:id="76" w:name="_Toc249525160"/>
      <w:bookmarkStart w:id="77" w:name="_Toc249515279"/>
      <w:bookmarkStart w:id="78" w:name="_Toc249515391"/>
      <w:bookmarkStart w:id="79" w:name="_Toc70687140"/>
      <w:bookmarkStart w:id="80" w:name="_Toc177817335"/>
      <w:bookmarkStart w:id="81" w:name="_Toc53722841"/>
      <w:bookmarkStart w:id="82" w:name="_Toc232176273"/>
      <w:bookmarkStart w:id="83" w:name="_Toc177995474"/>
      <w:bookmarkStart w:id="84" w:name="_Toc230013633"/>
      <w:bookmarkStart w:id="85" w:name="_Toc256342144"/>
      <w:r>
        <w:rPr>
          <w:rFonts w:hint="eastAsia" w:ascii="仿宋_GB2312" w:hAnsi="仿宋_GB2312" w:eastAsia="仿宋_GB2312" w:cs="仿宋_GB2312"/>
          <w:color w:val="auto"/>
          <w:sz w:val="30"/>
          <w:szCs w:val="30"/>
          <w:highlight w:val="none"/>
        </w:rPr>
        <w:br w:type="page"/>
      </w:r>
    </w:p>
    <w:p>
      <w:pPr>
        <w:pStyle w:val="77"/>
        <w:spacing w:before="24" w:after="24"/>
        <w:jc w:val="center"/>
        <w:rPr>
          <w:rFonts w:ascii="仿宋_GB2312" w:hAnsi="仿宋_GB2312" w:eastAsia="仿宋_GB2312" w:cs="仿宋_GB2312"/>
          <w:color w:val="auto"/>
          <w:szCs w:val="32"/>
          <w:highlight w:val="none"/>
        </w:rPr>
      </w:pPr>
      <w:bookmarkStart w:id="86" w:name="_Toc68590968"/>
      <w:r>
        <w:rPr>
          <w:rFonts w:hint="eastAsia" w:ascii="仿宋_GB2312" w:hAnsi="仿宋_GB2312" w:eastAsia="仿宋_GB2312" w:cs="仿宋_GB2312"/>
          <w:color w:val="auto"/>
          <w:szCs w:val="32"/>
          <w:highlight w:val="none"/>
        </w:rPr>
        <w:t>（二）供应商须知</w:t>
      </w:r>
      <w:bookmarkEnd w:id="86"/>
    </w:p>
    <w:p>
      <w:pPr>
        <w:pStyle w:val="77"/>
        <w:spacing w:before="24" w:after="24"/>
        <w:jc w:val="center"/>
        <w:rPr>
          <w:rFonts w:ascii="仿宋_GB2312" w:hAnsi="仿宋_GB2312" w:eastAsia="仿宋_GB2312" w:cs="仿宋_GB2312"/>
          <w:color w:val="auto"/>
          <w:sz w:val="30"/>
          <w:szCs w:val="30"/>
          <w:highlight w:val="none"/>
        </w:rPr>
      </w:pPr>
      <w:bookmarkStart w:id="87" w:name="_Toc68590969"/>
      <w:r>
        <w:rPr>
          <w:rFonts w:hint="eastAsia" w:ascii="仿宋_GB2312" w:hAnsi="仿宋_GB2312" w:eastAsia="仿宋_GB2312" w:cs="仿宋_GB2312"/>
          <w:color w:val="auto"/>
          <w:sz w:val="30"/>
          <w:szCs w:val="30"/>
          <w:highlight w:val="none"/>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ascii="仿宋_GB2312" w:hAnsi="仿宋_GB2312" w:eastAsia="仿宋_GB2312" w:cs="仿宋_GB2312"/>
          <w:color w:val="auto"/>
          <w:highlight w:val="none"/>
        </w:rPr>
      </w:pPr>
    </w:p>
    <w:p>
      <w:pPr>
        <w:pStyle w:val="5"/>
        <w:rPr>
          <w:rFonts w:ascii="仿宋_GB2312" w:hAnsi="仿宋_GB2312" w:eastAsia="仿宋_GB2312" w:cs="仿宋_GB2312"/>
          <w:b/>
          <w:color w:val="auto"/>
          <w:sz w:val="24"/>
          <w:szCs w:val="21"/>
          <w:highlight w:val="none"/>
        </w:rPr>
      </w:pPr>
      <w:bookmarkStart w:id="88" w:name="_Hlt14560612"/>
      <w:bookmarkEnd w:id="88"/>
      <w:bookmarkStart w:id="89" w:name="_Toc25504"/>
      <w:bookmarkStart w:id="90" w:name="_Toc184043014"/>
      <w:bookmarkStart w:id="91" w:name="_Toc249525161"/>
      <w:bookmarkStart w:id="92" w:name="_Toc249515280"/>
      <w:bookmarkStart w:id="93" w:name="_Toc249515392"/>
      <w:r>
        <w:rPr>
          <w:rFonts w:hint="eastAsia" w:ascii="仿宋_GB2312" w:hAnsi="仿宋_GB2312" w:eastAsia="仿宋_GB2312" w:cs="仿宋_GB2312"/>
          <w:b/>
          <w:color w:val="auto"/>
          <w:sz w:val="24"/>
          <w:szCs w:val="21"/>
          <w:highlight w:val="none"/>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ascii="仿宋_GB2312" w:hAnsi="仿宋_GB2312" w:eastAsia="仿宋_GB2312" w:cs="仿宋_GB2312"/>
          <w:color w:val="auto"/>
          <w:kern w:val="24"/>
          <w:szCs w:val="21"/>
          <w:highlight w:val="none"/>
        </w:rPr>
      </w:pPr>
      <w:r>
        <w:rPr>
          <w:rFonts w:hint="eastAsia" w:ascii="仿宋_GB2312" w:hAnsi="仿宋_GB2312" w:eastAsia="仿宋_GB2312" w:cs="仿宋_GB2312"/>
          <w:color w:val="auto"/>
          <w:kern w:val="24"/>
          <w:szCs w:val="21"/>
          <w:highlight w:val="none"/>
        </w:rPr>
        <w:t>1.1    项目说明：</w:t>
      </w:r>
      <w:r>
        <w:rPr>
          <w:rFonts w:hint="eastAsia" w:ascii="仿宋_GB2312" w:hAnsi="仿宋_GB2312" w:eastAsia="仿宋_GB2312" w:cs="仿宋_GB2312"/>
          <w:b/>
          <w:color w:val="auto"/>
          <w:kern w:val="24"/>
          <w:szCs w:val="21"/>
          <w:highlight w:val="none"/>
        </w:rPr>
        <w:t>见供应商须知前附表</w:t>
      </w:r>
      <w:r>
        <w:rPr>
          <w:rFonts w:hint="eastAsia" w:ascii="仿宋_GB2312" w:hAnsi="仿宋_GB2312" w:eastAsia="仿宋_GB2312" w:cs="仿宋_GB2312"/>
          <w:color w:val="auto"/>
          <w:kern w:val="24"/>
          <w:szCs w:val="21"/>
          <w:highlight w:val="none"/>
        </w:rPr>
        <w:t>。</w:t>
      </w:r>
    </w:p>
    <w:p>
      <w:pPr>
        <w:pStyle w:val="5"/>
        <w:rPr>
          <w:rFonts w:ascii="仿宋_GB2312" w:hAnsi="仿宋_GB2312" w:eastAsia="仿宋_GB2312" w:cs="仿宋_GB2312"/>
          <w:b/>
          <w:color w:val="auto"/>
          <w:sz w:val="24"/>
          <w:szCs w:val="21"/>
          <w:highlight w:val="none"/>
        </w:rPr>
      </w:pPr>
      <w:bookmarkStart w:id="94" w:name="_Toc70687142"/>
      <w:bookmarkStart w:id="95" w:name="_Toc249525162"/>
      <w:bookmarkStart w:id="96" w:name="_Toc249515281"/>
      <w:bookmarkStart w:id="97" w:name="_Toc249515393"/>
      <w:bookmarkStart w:id="98" w:name="_Toc184043015"/>
      <w:bookmarkStart w:id="99" w:name="_Toc31509"/>
      <w:r>
        <w:rPr>
          <w:rFonts w:hint="eastAsia" w:ascii="仿宋_GB2312" w:hAnsi="仿宋_GB2312" w:eastAsia="仿宋_GB2312" w:cs="仿宋_GB2312"/>
          <w:b/>
          <w:color w:val="auto"/>
          <w:sz w:val="24"/>
          <w:szCs w:val="21"/>
          <w:highlight w:val="none"/>
        </w:rPr>
        <w:t>2.     定义</w:t>
      </w:r>
      <w:bookmarkEnd w:id="94"/>
      <w:bookmarkEnd w:id="95"/>
      <w:bookmarkEnd w:id="96"/>
      <w:bookmarkEnd w:id="97"/>
      <w:bookmarkEnd w:id="98"/>
      <w:bookmarkEnd w:id="99"/>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采购人：</w:t>
      </w:r>
      <w:r>
        <w:rPr>
          <w:rFonts w:hint="eastAsia" w:ascii="仿宋_GB2312" w:hAnsi="仿宋_GB2312" w:eastAsia="仿宋_GB2312" w:cs="仿宋_GB2312"/>
          <w:b/>
          <w:color w:val="auto"/>
          <w:sz w:val="24"/>
          <w:highlight w:val="none"/>
        </w:rPr>
        <w:t>见供应商须知前附表</w:t>
      </w:r>
      <w:r>
        <w:rPr>
          <w:rFonts w:hint="eastAsia" w:ascii="仿宋_GB2312" w:hAnsi="仿宋_GB2312" w:eastAsia="仿宋_GB2312" w:cs="仿宋_GB2312"/>
          <w:color w:val="auto"/>
          <w:sz w:val="24"/>
          <w:highlight w:val="none"/>
        </w:rPr>
        <w:t>。</w:t>
      </w:r>
    </w:p>
    <w:p>
      <w:pPr>
        <w:pStyle w:val="22"/>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2.2    采购代理机构：</w:t>
      </w:r>
      <w:r>
        <w:rPr>
          <w:rFonts w:hint="eastAsia" w:ascii="仿宋_GB2312" w:hAnsi="仿宋_GB2312" w:eastAsia="仿宋_GB2312" w:cs="仿宋_GB2312"/>
          <w:b/>
          <w:color w:val="auto"/>
          <w:kern w:val="24"/>
          <w:sz w:val="24"/>
          <w:szCs w:val="21"/>
          <w:highlight w:val="none"/>
        </w:rPr>
        <w:t>见供应商须知前附表</w:t>
      </w:r>
      <w:r>
        <w:rPr>
          <w:rFonts w:hint="eastAsia" w:ascii="仿宋_GB2312" w:hAnsi="仿宋_GB2312" w:eastAsia="仿宋_GB2312" w:cs="仿宋_GB2312"/>
          <w:color w:val="auto"/>
          <w:kern w:val="24"/>
          <w:sz w:val="24"/>
          <w:szCs w:val="21"/>
          <w:highlight w:val="none"/>
        </w:rPr>
        <w:t>。</w:t>
      </w:r>
    </w:p>
    <w:p>
      <w:pPr>
        <w:pStyle w:val="2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highlight w:val="none"/>
        </w:rPr>
        <w:t>供应商须知前附表。</w:t>
      </w:r>
    </w:p>
    <w:p>
      <w:pPr>
        <w:pStyle w:val="22"/>
        <w:tabs>
          <w:tab w:val="left" w:pos="360"/>
        </w:tabs>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    磋商小组：指依据《中华人民共和国政府采购法》和财政部《政府采购竞争性磋商采购方式管理暂行办法》有关规定组建，依法依规履行其职责和义务的机构。</w:t>
      </w:r>
    </w:p>
    <w:p>
      <w:pPr>
        <w:pStyle w:val="5"/>
        <w:rPr>
          <w:rFonts w:ascii="仿宋_GB2312" w:hAnsi="仿宋_GB2312" w:eastAsia="仿宋_GB2312" w:cs="仿宋_GB2312"/>
          <w:b/>
          <w:color w:val="auto"/>
          <w:sz w:val="24"/>
          <w:szCs w:val="21"/>
          <w:highlight w:val="none"/>
        </w:rPr>
      </w:pPr>
      <w:bookmarkStart w:id="100" w:name="_Toc249515394"/>
      <w:bookmarkStart w:id="101" w:name="_Toc184043016"/>
      <w:bookmarkStart w:id="102" w:name="_Toc23705"/>
      <w:bookmarkStart w:id="103" w:name="_Toc249515282"/>
      <w:bookmarkStart w:id="104" w:name="_Toc385992329"/>
      <w:bookmarkStart w:id="105" w:name="_Toc70687143"/>
      <w:bookmarkStart w:id="106" w:name="_Toc389620168"/>
      <w:bookmarkStart w:id="107" w:name="_Toc249525163"/>
      <w:r>
        <w:rPr>
          <w:rFonts w:hint="eastAsia" w:ascii="仿宋_GB2312" w:hAnsi="仿宋_GB2312" w:eastAsia="仿宋_GB2312" w:cs="仿宋_GB2312"/>
          <w:b/>
          <w:color w:val="auto"/>
          <w:sz w:val="24"/>
          <w:szCs w:val="21"/>
          <w:highlight w:val="none"/>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3.1    供应商基本资质要求详见</w:t>
      </w:r>
      <w:r>
        <w:rPr>
          <w:rFonts w:hint="eastAsia" w:ascii="仿宋_GB2312" w:hAnsi="仿宋_GB2312" w:eastAsia="仿宋_GB2312" w:cs="仿宋_GB2312"/>
          <w:b/>
          <w:color w:val="auto"/>
          <w:kern w:val="24"/>
          <w:sz w:val="24"/>
          <w:szCs w:val="21"/>
          <w:highlight w:val="none"/>
        </w:rPr>
        <w:t>供应商须知前附表</w:t>
      </w:r>
      <w:r>
        <w:rPr>
          <w:rFonts w:hint="eastAsia" w:ascii="仿宋_GB2312" w:hAnsi="仿宋_GB2312" w:eastAsia="仿宋_GB2312" w:cs="仿宋_GB2312"/>
          <w:color w:val="auto"/>
          <w:kern w:val="24"/>
          <w:sz w:val="24"/>
          <w:szCs w:val="21"/>
          <w:highlight w:val="none"/>
        </w:rPr>
        <w:t>。</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3.2.1  供应商应当未被列入失信被执行人、重大税收违法案件当事人名单、政府采购严重违法失信行为记录名单，否则不得参与政府采购活动。</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3.2.2  信用信息查询的时间：响应文件递交截止时间之后至磋商</w:t>
      </w:r>
      <w:r>
        <w:rPr>
          <w:rFonts w:hint="eastAsia" w:ascii="仿宋_GB2312" w:hAnsi="仿宋_GB2312" w:eastAsia="仿宋_GB2312" w:cs="仿宋_GB2312"/>
          <w:color w:val="auto"/>
          <w:sz w:val="24"/>
          <w:highlight w:val="none"/>
        </w:rPr>
        <w:t>资格性检查结束</w:t>
      </w:r>
      <w:r>
        <w:rPr>
          <w:rFonts w:hint="eastAsia" w:ascii="仿宋_GB2312" w:hAnsi="仿宋_GB2312" w:eastAsia="仿宋_GB2312" w:cs="仿宋_GB2312"/>
          <w:color w:val="auto"/>
          <w:kern w:val="24"/>
          <w:sz w:val="24"/>
          <w:szCs w:val="21"/>
          <w:highlight w:val="none"/>
        </w:rPr>
        <w:t xml:space="preserve">。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3.2.3  查询渠道：“信用中国”网站（www.creditchina.gov.cn）和中国政府采购网（www.ccgp.gov.cn）；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3.4    供应商必须向采购人领取磋商文件并登记备案，未向采购人领取磋商文件并登记备案的潜在供应商均无资格参加本次采购。</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3.5    供应商应遵守《中华人民共和国政府采购法》及其它有关的中国法律和法规。</w:t>
      </w:r>
    </w:p>
    <w:p>
      <w:pPr>
        <w:pStyle w:val="2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3.6    若前附表中写明允许采购进口产品，供应商应保证所投产品可履行合法报通关手续进入中国关境内。</w:t>
      </w:r>
    </w:p>
    <w:p>
      <w:pPr>
        <w:pStyle w:val="22"/>
        <w:ind w:left="838" w:leftChars="399"/>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若前附表中不允许采购进口产品，如供应商所投产品为进口产品，其响应文件将被认定为无效。</w:t>
      </w:r>
    </w:p>
    <w:p>
      <w:pPr>
        <w:pStyle w:val="22"/>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    如须知前附表中允许联合体投标，对联合体规定如下：</w:t>
      </w:r>
    </w:p>
    <w:p>
      <w:pPr>
        <w:pStyle w:val="22"/>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3.7.1  两个及以上供应商可以组成一个投标联合体，以一个供应商的身份投标。</w:t>
      </w:r>
    </w:p>
    <w:p>
      <w:pPr>
        <w:pStyle w:val="22"/>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3.7.2  联合体各方均应符合本须知规定。</w:t>
      </w:r>
    </w:p>
    <w:p>
      <w:pPr>
        <w:pStyle w:val="2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3.7.3  采购人根据采购项目对供应商的特殊要求，联合体中至少应当有一方符合相关规定。</w:t>
      </w:r>
    </w:p>
    <w:p>
      <w:pPr>
        <w:pStyle w:val="2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3.7.4  联合体各方应签订共同磋商响应协议，明确约定联合体各方承担的工作和相应的责任，并将共同响应协议作为响应文件的内容提交。</w:t>
      </w:r>
    </w:p>
    <w:p>
      <w:pPr>
        <w:pStyle w:val="2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3.7.5  大中型企业、其他自然人、法人或者其他组织与小型、微型企业组成联合体共同参加磋商，共同响应协议中应写明小型、微型企业的协议合同金额占到共同响应协议报价总金额的比例。</w:t>
      </w:r>
    </w:p>
    <w:p>
      <w:pPr>
        <w:pStyle w:val="2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3.7.6  以联合体形式参加政府采购活动的，联合体各方不得再单独参加或者与其他供应商另外组成联合体参加本项目同一合同项下的磋商，否则相关响应文件将被认定为无效。</w:t>
      </w:r>
    </w:p>
    <w:p>
      <w:pPr>
        <w:pStyle w:val="22"/>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3.7.7  对联合体磋商的其他资格要求见须知前附表。</w:t>
      </w:r>
    </w:p>
    <w:p>
      <w:pPr>
        <w:pStyle w:val="2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3.8   </w:t>
      </w:r>
      <w:r>
        <w:rPr>
          <w:rFonts w:hint="eastAsia" w:ascii="仿宋_GB2312" w:hAnsi="宋体" w:eastAsia="仿宋_GB2312"/>
          <w:color w:val="auto"/>
          <w:sz w:val="24"/>
          <w:highlight w:val="none"/>
        </w:rPr>
        <w:t>若前附表中写明</w:t>
      </w:r>
      <w:r>
        <w:rPr>
          <w:rFonts w:ascii="仿宋_GB2312" w:hAnsi="宋体" w:eastAsia="仿宋_GB2312"/>
          <w:color w:val="auto"/>
          <w:sz w:val="24"/>
          <w:highlight w:val="none"/>
        </w:rPr>
        <w:t>专门面向中小企业采购</w:t>
      </w:r>
      <w:r>
        <w:rPr>
          <w:rFonts w:hint="eastAsia" w:ascii="仿宋_GB2312" w:hAnsi="宋体" w:eastAsia="仿宋_GB2312"/>
          <w:color w:val="auto"/>
          <w:sz w:val="24"/>
          <w:highlight w:val="none"/>
        </w:rPr>
        <w:t>的，如供应商为</w:t>
      </w:r>
      <w:r>
        <w:rPr>
          <w:rFonts w:ascii="仿宋_GB2312" w:hAnsi="宋体" w:eastAsia="仿宋_GB2312"/>
          <w:color w:val="auto"/>
          <w:sz w:val="24"/>
          <w:highlight w:val="none"/>
        </w:rPr>
        <w:t>非中小企业</w:t>
      </w:r>
      <w:r>
        <w:rPr>
          <w:rFonts w:hint="eastAsia" w:ascii="仿宋_GB2312" w:hAnsi="宋体" w:eastAsia="仿宋_GB2312"/>
          <w:color w:val="auto"/>
          <w:sz w:val="24"/>
          <w:highlight w:val="none"/>
        </w:rPr>
        <w:t>或所投产品为非中小企业产品，其响应文件将被认定为无效。</w:t>
      </w:r>
    </w:p>
    <w:p>
      <w:pPr>
        <w:pStyle w:val="5"/>
        <w:rPr>
          <w:rFonts w:ascii="仿宋_GB2312" w:hAnsi="仿宋_GB2312" w:eastAsia="仿宋_GB2312" w:cs="仿宋_GB2312"/>
          <w:b/>
          <w:color w:val="auto"/>
          <w:sz w:val="24"/>
          <w:szCs w:val="21"/>
          <w:highlight w:val="none"/>
        </w:rPr>
      </w:pPr>
      <w:bookmarkStart w:id="108" w:name="_Toc249515283"/>
      <w:bookmarkStart w:id="109" w:name="_Toc26580"/>
      <w:bookmarkStart w:id="110" w:name="_Toc385992330"/>
      <w:bookmarkStart w:id="111" w:name="_Toc70687144"/>
      <w:bookmarkStart w:id="112" w:name="_Toc249515395"/>
      <w:bookmarkStart w:id="113" w:name="_Toc389620169"/>
      <w:bookmarkStart w:id="114" w:name="_Toc249525164"/>
      <w:bookmarkStart w:id="115" w:name="_Toc184043017"/>
      <w:r>
        <w:rPr>
          <w:rFonts w:hint="eastAsia" w:ascii="仿宋_GB2312" w:hAnsi="仿宋_GB2312" w:eastAsia="仿宋_GB2312" w:cs="仿宋_GB2312"/>
          <w:b/>
          <w:color w:val="auto"/>
          <w:sz w:val="24"/>
          <w:szCs w:val="21"/>
          <w:highlight w:val="none"/>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4.1    供应商应承担所有与编写和提交响应文件有关的费用，无论磋商过程和结果如何，采购人在任何情况下均无义务和责任承担这些费用。</w:t>
      </w:r>
    </w:p>
    <w:p>
      <w:pPr>
        <w:pStyle w:val="22"/>
        <w:rPr>
          <w:rFonts w:ascii="仿宋_GB2312" w:hAnsi="仿宋_GB2312" w:eastAsia="仿宋_GB2312" w:cs="仿宋_GB2312"/>
          <w:color w:val="auto"/>
          <w:highlight w:val="none"/>
        </w:rPr>
      </w:pPr>
    </w:p>
    <w:p>
      <w:pPr>
        <w:pStyle w:val="77"/>
        <w:spacing w:before="24" w:after="24"/>
        <w:ind w:left="3313"/>
        <w:rPr>
          <w:rFonts w:hint="eastAsia" w:ascii="仿宋_GB2312" w:hAnsi="仿宋_GB2312" w:eastAsia="仿宋_GB2312" w:cs="仿宋_GB2312"/>
          <w:color w:val="auto"/>
          <w:sz w:val="30"/>
          <w:szCs w:val="30"/>
          <w:highlight w:val="none"/>
        </w:rPr>
      </w:pPr>
      <w:bookmarkStart w:id="116" w:name="_Toc68590970"/>
    </w:p>
    <w:p>
      <w:pPr>
        <w:pStyle w:val="77"/>
        <w:spacing w:before="24" w:after="24"/>
        <w:ind w:left="3313"/>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二、磋商文件说明</w:t>
      </w:r>
      <w:bookmarkEnd w:id="116"/>
    </w:p>
    <w:p>
      <w:pPr>
        <w:rPr>
          <w:rFonts w:ascii="仿宋_GB2312" w:hAnsi="仿宋_GB2312" w:eastAsia="仿宋_GB2312" w:cs="仿宋_GB2312"/>
          <w:color w:val="auto"/>
          <w:highlight w:val="none"/>
        </w:rPr>
      </w:pPr>
    </w:p>
    <w:p>
      <w:pPr>
        <w:pStyle w:val="5"/>
        <w:numPr>
          <w:ilvl w:val="0"/>
          <w:numId w:val="6"/>
        </w:numPr>
        <w:rPr>
          <w:rFonts w:ascii="仿宋_GB2312" w:hAnsi="仿宋_GB2312" w:eastAsia="仿宋_GB2312" w:cs="仿宋_GB2312"/>
          <w:b/>
          <w:color w:val="auto"/>
          <w:sz w:val="24"/>
          <w:szCs w:val="21"/>
          <w:highlight w:val="none"/>
        </w:rPr>
      </w:pPr>
      <w:bookmarkStart w:id="117" w:name="_Toc128"/>
      <w:bookmarkStart w:id="118" w:name="_Toc385992332"/>
      <w:bookmarkStart w:id="119" w:name="_Toc249525166"/>
      <w:bookmarkStart w:id="120" w:name="_Toc249515397"/>
      <w:bookmarkStart w:id="121" w:name="_Toc249515285"/>
      <w:bookmarkStart w:id="122" w:name="_Toc389620171"/>
      <w:bookmarkStart w:id="123" w:name="_Toc184043019"/>
      <w:bookmarkStart w:id="124" w:name="_Toc70687146"/>
      <w:r>
        <w:rPr>
          <w:rFonts w:hint="eastAsia" w:ascii="仿宋_GB2312" w:hAnsi="仿宋_GB2312" w:eastAsia="仿宋_GB2312" w:cs="仿宋_GB2312"/>
          <w:b/>
          <w:color w:val="auto"/>
          <w:sz w:val="24"/>
          <w:szCs w:val="21"/>
          <w:highlight w:val="none"/>
        </w:rPr>
        <w:t xml:space="preserve">    通知</w:t>
      </w:r>
      <w:bookmarkEnd w:id="117"/>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仿宋_GB2312" w:hAnsi="仿宋_GB2312" w:eastAsia="仿宋_GB2312" w:cs="仿宋_GB2312"/>
          <w:b/>
          <w:color w:val="auto"/>
          <w:sz w:val="24"/>
          <w:szCs w:val="21"/>
          <w:highlight w:val="none"/>
        </w:rPr>
      </w:pPr>
      <w:bookmarkStart w:id="125" w:name="_Toc27223"/>
      <w:r>
        <w:rPr>
          <w:rFonts w:hint="eastAsia" w:ascii="仿宋_GB2312" w:hAnsi="仿宋_GB2312" w:eastAsia="仿宋_GB2312" w:cs="仿宋_GB2312"/>
          <w:b/>
          <w:color w:val="auto"/>
          <w:sz w:val="24"/>
          <w:szCs w:val="21"/>
          <w:highlight w:val="none"/>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    磋商文件用以阐明供应商所需提供的服务、工程或货物以及其它类似的义务、采购响应程序和合同条款。磋商文件包括如下五章内容：</w:t>
      </w:r>
    </w:p>
    <w:p>
      <w:pPr>
        <w:pStyle w:val="2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磋商公告</w:t>
      </w:r>
    </w:p>
    <w:p>
      <w:pPr>
        <w:pStyle w:val="2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供应商须知</w:t>
      </w:r>
    </w:p>
    <w:p>
      <w:pPr>
        <w:pStyle w:val="2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评审办法和标准</w:t>
      </w:r>
    </w:p>
    <w:p>
      <w:pPr>
        <w:pStyle w:val="2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合同草案条款</w:t>
      </w:r>
    </w:p>
    <w:p>
      <w:pPr>
        <w:pStyle w:val="2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采购内容及要求</w:t>
      </w:r>
    </w:p>
    <w:p>
      <w:pPr>
        <w:pStyle w:val="2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磋商响应文件格式</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仿宋_GB2312" w:hAnsi="仿宋_GB2312" w:eastAsia="仿宋_GB2312" w:cs="仿宋_GB2312"/>
          <w:b/>
          <w:color w:val="auto"/>
          <w:sz w:val="24"/>
          <w:szCs w:val="21"/>
          <w:highlight w:val="none"/>
        </w:rPr>
      </w:pPr>
      <w:bookmarkStart w:id="126" w:name="_Toc249525167"/>
      <w:bookmarkStart w:id="127" w:name="_Toc184043020"/>
      <w:bookmarkStart w:id="128" w:name="_Toc70687147"/>
      <w:bookmarkStart w:id="129" w:name="_Toc385992333"/>
      <w:bookmarkStart w:id="130" w:name="_Toc389620172"/>
      <w:bookmarkStart w:id="131" w:name="_Toc249515286"/>
      <w:bookmarkStart w:id="132" w:name="_Toc249515398"/>
      <w:bookmarkStart w:id="133" w:name="_Toc10350"/>
      <w:r>
        <w:rPr>
          <w:rFonts w:hint="eastAsia" w:ascii="仿宋_GB2312" w:hAnsi="仿宋_GB2312" w:eastAsia="仿宋_GB2312" w:cs="仿宋_GB2312"/>
          <w:b/>
          <w:color w:val="auto"/>
          <w:sz w:val="24"/>
          <w:szCs w:val="21"/>
          <w:highlight w:val="none"/>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color w:val="auto"/>
          <w:sz w:val="24"/>
          <w:szCs w:val="21"/>
          <w:highlight w:val="none"/>
        </w:rPr>
        <w:t>和修改</w:t>
      </w:r>
      <w:bookmarkEnd w:id="133"/>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134" w:name="_Toc70687148"/>
      <w:bookmarkStart w:id="135" w:name="_Toc389620173"/>
      <w:bookmarkStart w:id="136" w:name="_Toc385992334"/>
      <w:r>
        <w:rPr>
          <w:rFonts w:hint="eastAsia" w:ascii="仿宋_GB2312" w:hAnsi="仿宋_GB2312" w:eastAsia="仿宋_GB2312" w:cs="仿宋_GB2312"/>
          <w:color w:val="auto"/>
          <w:sz w:val="24"/>
          <w:highlight w:val="none"/>
        </w:rPr>
        <w:t xml:space="preserve">7.1    </w:t>
      </w:r>
      <w:bookmarkEnd w:id="134"/>
      <w:bookmarkEnd w:id="135"/>
      <w:bookmarkEnd w:id="136"/>
      <w:bookmarkStart w:id="137" w:name="_Toc503063425"/>
      <w:bookmarkStart w:id="138" w:name="_Toc492955418"/>
      <w:bookmarkStart w:id="139" w:name="_Toc53722843"/>
      <w:bookmarkStart w:id="140" w:name="_Toc499711046"/>
      <w:bookmarkStart w:id="141" w:name="_Toc500747065"/>
      <w:bookmarkStart w:id="142" w:name="_Toc70687149"/>
      <w:bookmarkStart w:id="143" w:name="_Toc496324582"/>
      <w:bookmarkStart w:id="144" w:name="_Toc500746969"/>
      <w:bookmarkStart w:id="145" w:name="_Toc499711887"/>
      <w:bookmarkStart w:id="146" w:name="_Toc389620174"/>
      <w:bookmarkStart w:id="147" w:name="_Toc385992335"/>
      <w:bookmarkStart w:id="148" w:name="_Toc500747192"/>
      <w:r>
        <w:rPr>
          <w:rFonts w:hint="eastAsia" w:ascii="仿宋_GB2312" w:hAnsi="仿宋_GB2312" w:eastAsia="仿宋_GB2312" w:cs="仿宋_GB2312"/>
          <w:color w:val="auto"/>
          <w:sz w:val="24"/>
          <w:highlight w:val="none"/>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7.3    澄清或修改的内容可能影响响应文件编制的，采购人或采购代理机构可适当延长首次响应文件递交截止时间，并以书面形式通知所有领取磋商文件的供应商。</w:t>
      </w:r>
    </w:p>
    <w:p>
      <w:pPr>
        <w:pStyle w:val="77"/>
        <w:spacing w:before="24" w:after="24"/>
        <w:ind w:left="3313"/>
        <w:rPr>
          <w:rFonts w:ascii="仿宋_GB2312" w:hAnsi="仿宋_GB2312" w:eastAsia="仿宋_GB2312" w:cs="仿宋_GB2312"/>
          <w:color w:val="auto"/>
          <w:sz w:val="30"/>
          <w:szCs w:val="30"/>
          <w:highlight w:val="none"/>
        </w:rPr>
      </w:pPr>
      <w:bookmarkStart w:id="149" w:name="_Toc249525169"/>
      <w:bookmarkStart w:id="150" w:name="_Toc176882545"/>
      <w:bookmarkStart w:id="151" w:name="_Toc232395215"/>
      <w:bookmarkStart w:id="152" w:name="_Toc184043022"/>
      <w:bookmarkStart w:id="153" w:name="_Toc249515400"/>
      <w:bookmarkStart w:id="154" w:name="_Toc177995476"/>
      <w:bookmarkStart w:id="155" w:name="_Toc232176275"/>
      <w:bookmarkStart w:id="156" w:name="_Toc230013635"/>
      <w:bookmarkStart w:id="157" w:name="_Toc177189238"/>
      <w:bookmarkStart w:id="158" w:name="_Toc230583544"/>
      <w:bookmarkStart w:id="159" w:name="_Toc256342146"/>
      <w:bookmarkStart w:id="160" w:name="_Toc249515288"/>
      <w:bookmarkStart w:id="161" w:name="_Toc230099800"/>
      <w:bookmarkStart w:id="162" w:name="_Toc177817337"/>
      <w:bookmarkStart w:id="163" w:name="_Toc68590971"/>
      <w:r>
        <w:rPr>
          <w:rFonts w:hint="eastAsia" w:ascii="仿宋_GB2312" w:hAnsi="仿宋_GB2312" w:eastAsia="仿宋_GB2312" w:cs="仿宋_GB2312"/>
          <w:color w:val="auto"/>
          <w:sz w:val="30"/>
          <w:szCs w:val="30"/>
          <w:highlight w:val="none"/>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仿宋_GB2312" w:hAnsi="仿宋_GB2312" w:eastAsia="仿宋_GB2312" w:cs="仿宋_GB2312"/>
          <w:b/>
          <w:color w:val="auto"/>
          <w:sz w:val="24"/>
          <w:szCs w:val="21"/>
          <w:highlight w:val="none"/>
        </w:rPr>
      </w:pPr>
      <w:bookmarkStart w:id="164" w:name="_Toc249515289"/>
      <w:bookmarkStart w:id="165" w:name="_Toc249525170"/>
      <w:bookmarkStart w:id="166" w:name="_Toc70687150"/>
      <w:bookmarkStart w:id="167" w:name="_Toc30150"/>
      <w:bookmarkStart w:id="168" w:name="_Toc249515401"/>
      <w:bookmarkStart w:id="169" w:name="_Toc184043023"/>
      <w:bookmarkStart w:id="170" w:name="_Toc385992337"/>
      <w:bookmarkStart w:id="171" w:name="_Toc389620176"/>
      <w:r>
        <w:rPr>
          <w:rFonts w:hint="eastAsia" w:ascii="仿宋_GB2312" w:hAnsi="仿宋_GB2312" w:eastAsia="仿宋_GB2312" w:cs="仿宋_GB2312"/>
          <w:b/>
          <w:color w:val="auto"/>
          <w:sz w:val="24"/>
          <w:szCs w:val="21"/>
          <w:highlight w:val="none"/>
        </w:rPr>
        <w:t>8.     响应文件语言</w:t>
      </w:r>
      <w:bookmarkEnd w:id="164"/>
      <w:bookmarkEnd w:id="165"/>
      <w:bookmarkEnd w:id="166"/>
      <w:bookmarkEnd w:id="167"/>
      <w:bookmarkEnd w:id="168"/>
      <w:bookmarkEnd w:id="169"/>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8.1    响应文件及与响应相关的所有文件均应以中文书写。</w:t>
      </w:r>
    </w:p>
    <w:p>
      <w:pPr>
        <w:pStyle w:val="5"/>
        <w:rPr>
          <w:rFonts w:ascii="仿宋_GB2312" w:hAnsi="仿宋_GB2312" w:eastAsia="仿宋_GB2312" w:cs="仿宋_GB2312"/>
          <w:b/>
          <w:color w:val="auto"/>
          <w:sz w:val="24"/>
          <w:szCs w:val="21"/>
          <w:highlight w:val="none"/>
        </w:rPr>
      </w:pPr>
      <w:bookmarkStart w:id="172" w:name="_Toc184043024"/>
      <w:bookmarkStart w:id="173" w:name="_Toc70687151"/>
      <w:bookmarkStart w:id="174" w:name="_Toc249515290"/>
      <w:bookmarkStart w:id="175" w:name="_Toc249515402"/>
      <w:bookmarkStart w:id="176" w:name="_Toc249525171"/>
      <w:bookmarkStart w:id="177" w:name="_Toc18327"/>
      <w:r>
        <w:rPr>
          <w:rFonts w:hint="eastAsia" w:ascii="仿宋_GB2312" w:hAnsi="仿宋_GB2312" w:eastAsia="仿宋_GB2312" w:cs="仿宋_GB2312"/>
          <w:b/>
          <w:color w:val="auto"/>
          <w:sz w:val="24"/>
          <w:szCs w:val="21"/>
          <w:highlight w:val="none"/>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    除在磋商文件的技术规格中另有规定外，计量单位应使用中华人民共和国法定计量单位。</w:t>
      </w:r>
    </w:p>
    <w:p>
      <w:pPr>
        <w:pStyle w:val="5"/>
        <w:rPr>
          <w:rFonts w:ascii="仿宋_GB2312" w:hAnsi="仿宋_GB2312" w:eastAsia="仿宋_GB2312" w:cs="仿宋_GB2312"/>
          <w:b/>
          <w:color w:val="auto"/>
          <w:sz w:val="24"/>
          <w:szCs w:val="21"/>
          <w:highlight w:val="none"/>
        </w:rPr>
      </w:pPr>
      <w:bookmarkStart w:id="178" w:name="_Toc70687152"/>
      <w:bookmarkStart w:id="179" w:name="_Toc249515291"/>
      <w:bookmarkStart w:id="180" w:name="_Toc29318"/>
      <w:bookmarkStart w:id="181" w:name="_Toc184043025"/>
      <w:bookmarkStart w:id="182" w:name="_Toc385992338"/>
      <w:bookmarkStart w:id="183" w:name="_Toc389620177"/>
      <w:bookmarkStart w:id="184" w:name="_Toc249515403"/>
      <w:bookmarkStart w:id="185" w:name="_Toc249525172"/>
      <w:r>
        <w:rPr>
          <w:rFonts w:hint="eastAsia" w:ascii="仿宋_GB2312" w:hAnsi="仿宋_GB2312" w:eastAsia="仿宋_GB2312" w:cs="仿宋_GB2312"/>
          <w:b/>
          <w:color w:val="auto"/>
          <w:sz w:val="24"/>
          <w:szCs w:val="21"/>
          <w:highlight w:val="none"/>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10.1   供应商编写的响应文件</w:t>
      </w:r>
      <w:r>
        <w:rPr>
          <w:rFonts w:hint="eastAsia" w:ascii="仿宋_GB2312" w:hAnsi="仿宋_GB2312" w:eastAsia="仿宋_GB2312" w:cs="仿宋_GB2312"/>
          <w:b/>
          <w:color w:val="auto"/>
          <w:sz w:val="24"/>
          <w:highlight w:val="none"/>
        </w:rPr>
        <w:t>由《资格证明文件》、《商务及技术文件》两部分</w:t>
      </w:r>
      <w:r>
        <w:rPr>
          <w:rFonts w:hint="eastAsia" w:ascii="仿宋_GB2312" w:hAnsi="仿宋_GB2312" w:eastAsia="仿宋_GB2312" w:cs="仿宋_GB2312"/>
          <w:color w:val="auto"/>
          <w:sz w:val="24"/>
          <w:highlight w:val="none"/>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10.2   供应商提供的以上材料必须真实有效，任何一项的虚假将导致其响应被拒绝。</w:t>
      </w:r>
    </w:p>
    <w:p>
      <w:pPr>
        <w:pStyle w:val="5"/>
        <w:rPr>
          <w:rFonts w:ascii="仿宋_GB2312" w:hAnsi="仿宋_GB2312" w:eastAsia="仿宋_GB2312" w:cs="仿宋_GB2312"/>
          <w:b/>
          <w:color w:val="auto"/>
          <w:sz w:val="24"/>
          <w:szCs w:val="21"/>
          <w:highlight w:val="none"/>
        </w:rPr>
      </w:pPr>
      <w:bookmarkStart w:id="186" w:name="_Toc249515292"/>
      <w:bookmarkStart w:id="187" w:name="_Toc70687153"/>
      <w:bookmarkStart w:id="188" w:name="_Toc249515404"/>
      <w:bookmarkStart w:id="189" w:name="_Toc26312"/>
      <w:bookmarkStart w:id="190" w:name="_Toc385992339"/>
      <w:bookmarkStart w:id="191" w:name="_Toc249525173"/>
      <w:bookmarkStart w:id="192" w:name="_Toc389620178"/>
      <w:bookmarkStart w:id="193" w:name="_Toc184043026"/>
      <w:r>
        <w:rPr>
          <w:rFonts w:hint="eastAsia" w:ascii="仿宋_GB2312" w:hAnsi="仿宋_GB2312" w:eastAsia="仿宋_GB2312" w:cs="仿宋_GB2312"/>
          <w:b/>
          <w:color w:val="auto"/>
          <w:sz w:val="24"/>
          <w:highlight w:val="none"/>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11.1   对于磋商文件第六章中已经提供了格式的响应文件内容，供应商必须按提供的响应文件格式进行填写和编制，没有提供格式的可自行设计。</w:t>
      </w:r>
    </w:p>
    <w:p>
      <w:pPr>
        <w:pStyle w:val="5"/>
        <w:rPr>
          <w:rFonts w:ascii="仿宋_GB2312" w:hAnsi="仿宋_GB2312" w:eastAsia="仿宋_GB2312" w:cs="仿宋_GB2312"/>
          <w:b/>
          <w:color w:val="auto"/>
          <w:sz w:val="24"/>
          <w:szCs w:val="21"/>
          <w:highlight w:val="none"/>
        </w:rPr>
      </w:pPr>
      <w:bookmarkStart w:id="194" w:name="_Toc26688"/>
      <w:r>
        <w:rPr>
          <w:rFonts w:hint="eastAsia" w:ascii="仿宋_GB2312" w:hAnsi="仿宋_GB2312" w:eastAsia="仿宋_GB2312" w:cs="仿宋_GB2312"/>
          <w:b/>
          <w:color w:val="auto"/>
          <w:sz w:val="24"/>
          <w:szCs w:val="21"/>
          <w:highlight w:val="none"/>
        </w:rPr>
        <w:t>12.    响应报价</w:t>
      </w:r>
      <w:bookmarkEnd w:id="194"/>
    </w:p>
    <w:p>
      <w:pPr>
        <w:tabs>
          <w:tab w:val="left" w:pos="0"/>
          <w:tab w:val="left" w:pos="540"/>
          <w:tab w:val="left" w:pos="720"/>
        </w:tabs>
        <w:spacing w:line="360" w:lineRule="auto"/>
        <w:ind w:left="840" w:hanging="840" w:hangingChars="350"/>
        <w:rPr>
          <w:rFonts w:ascii="仿宋_GB2312" w:hAnsi="仿宋_GB2312" w:eastAsia="仿宋_GB2312" w:cs="仿宋_GB2312"/>
          <w:color w:val="auto"/>
          <w:highlight w:val="none"/>
        </w:rPr>
      </w:pPr>
      <w:r>
        <w:rPr>
          <w:rFonts w:hint="eastAsia" w:ascii="仿宋_GB2312" w:hAnsi="仿宋_GB2312" w:eastAsia="仿宋_GB2312" w:cs="仿宋_GB2312"/>
          <w:color w:val="auto"/>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szCs w:val="21"/>
          <w:highlight w:val="none"/>
        </w:rPr>
        <w:t>供应商须知前附表。</w:t>
      </w:r>
    </w:p>
    <w:p>
      <w:pPr>
        <w:tabs>
          <w:tab w:val="left" w:pos="540"/>
          <w:tab w:val="left" w:pos="8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12.2   供应商应在响应分项报价表中详细列出所报货物和</w:t>
      </w:r>
      <w:r>
        <w:rPr>
          <w:rFonts w:hint="eastAsia" w:ascii="仿宋_GB2312" w:hAnsi="仿宋_GB2312" w:eastAsia="仿宋_GB2312" w:cs="仿宋_GB2312"/>
          <w:color w:val="auto"/>
          <w:sz w:val="24"/>
          <w:highlight w:val="none"/>
        </w:rPr>
        <w:t>服务</w:t>
      </w:r>
      <w:r>
        <w:rPr>
          <w:rFonts w:hint="eastAsia" w:ascii="仿宋_GB2312" w:hAnsi="仿宋_GB2312" w:eastAsia="仿宋_GB2312" w:cs="仿宋_GB2312"/>
          <w:color w:val="auto"/>
          <w:kern w:val="24"/>
          <w:sz w:val="24"/>
          <w:szCs w:val="21"/>
          <w:highlight w:val="none"/>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12.5   供应商每次对每种</w:t>
      </w:r>
      <w:r>
        <w:rPr>
          <w:rFonts w:hint="eastAsia" w:ascii="仿宋_GB2312" w:hAnsi="仿宋_GB2312" w:eastAsia="仿宋_GB2312" w:cs="仿宋_GB2312"/>
          <w:color w:val="auto"/>
          <w:kern w:val="24"/>
          <w:sz w:val="24"/>
          <w:szCs w:val="21"/>
          <w:highlight w:val="none"/>
          <w:u w:val="single"/>
        </w:rPr>
        <w:t xml:space="preserve"> 服务（或工程、或产品）</w:t>
      </w:r>
      <w:r>
        <w:rPr>
          <w:rFonts w:hint="eastAsia" w:ascii="仿宋_GB2312" w:hAnsi="仿宋_GB2312" w:eastAsia="仿宋_GB2312" w:cs="仿宋_GB2312"/>
          <w:color w:val="auto"/>
          <w:kern w:val="24"/>
          <w:sz w:val="24"/>
          <w:szCs w:val="21"/>
          <w:highlight w:val="none"/>
        </w:rPr>
        <w:t>只允许有一个报价，采购人不接受有任何选择的报价。</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sz w:val="24"/>
          <w:highlight w:val="none"/>
        </w:rPr>
        <w:t>12.6   供应商根据本须知12.2条规定将响应报价分成几部分并按</w:t>
      </w:r>
      <w:r>
        <w:rPr>
          <w:rFonts w:hint="eastAsia" w:ascii="仿宋_GB2312" w:hAnsi="仿宋_GB2312" w:eastAsia="仿宋_GB2312" w:cs="仿宋_GB2312"/>
          <w:color w:val="auto"/>
          <w:kern w:val="24"/>
          <w:sz w:val="24"/>
          <w:szCs w:val="21"/>
          <w:highlight w:val="none"/>
        </w:rPr>
        <w:t>磋商文件第六章提供的格式填写“响应分项报价表”，只是为了方便采购人对响应文件进行比较，并不限制采购人以其它方式签订合同的权力。</w:t>
      </w:r>
    </w:p>
    <w:p>
      <w:pPr>
        <w:pStyle w:val="5"/>
        <w:rPr>
          <w:rFonts w:ascii="仿宋_GB2312" w:hAnsi="仿宋_GB2312" w:eastAsia="仿宋_GB2312" w:cs="仿宋_GB2312"/>
          <w:b/>
          <w:color w:val="auto"/>
          <w:sz w:val="24"/>
          <w:szCs w:val="21"/>
          <w:highlight w:val="none"/>
        </w:rPr>
      </w:pPr>
      <w:bookmarkStart w:id="195" w:name="_Toc70687155"/>
      <w:bookmarkStart w:id="196" w:name="_Toc389620180"/>
      <w:bookmarkStart w:id="197" w:name="_Toc249515294"/>
      <w:bookmarkStart w:id="198" w:name="_Toc20687"/>
      <w:bookmarkStart w:id="199" w:name="_Toc184043028"/>
      <w:bookmarkStart w:id="200" w:name="_Toc385992341"/>
      <w:bookmarkStart w:id="201" w:name="_Toc249525175"/>
      <w:bookmarkStart w:id="202" w:name="_Toc249515406"/>
      <w:r>
        <w:rPr>
          <w:rFonts w:hint="eastAsia" w:ascii="仿宋_GB2312" w:hAnsi="仿宋_GB2312" w:eastAsia="仿宋_GB2312" w:cs="仿宋_GB2312"/>
          <w:b/>
          <w:color w:val="auto"/>
          <w:sz w:val="24"/>
          <w:szCs w:val="21"/>
          <w:highlight w:val="none"/>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pPr>
        <w:pStyle w:val="5"/>
        <w:rPr>
          <w:rFonts w:ascii="仿宋_GB2312" w:hAnsi="仿宋_GB2312" w:eastAsia="仿宋_GB2312" w:cs="仿宋_GB2312"/>
          <w:b/>
          <w:color w:val="auto"/>
          <w:kern w:val="24"/>
          <w:sz w:val="24"/>
          <w:szCs w:val="21"/>
          <w:highlight w:val="none"/>
        </w:rPr>
      </w:pPr>
      <w:bookmarkStart w:id="205" w:name="止观"/>
      <w:bookmarkEnd w:id="205"/>
      <w:r>
        <w:rPr>
          <w:rFonts w:hint="eastAsia" w:ascii="仿宋_GB2312" w:hAnsi="仿宋_GB2312" w:eastAsia="仿宋_GB2312" w:cs="仿宋_GB2312"/>
          <w:b/>
          <w:color w:val="auto"/>
          <w:sz w:val="24"/>
          <w:szCs w:val="21"/>
          <w:highlight w:val="none"/>
        </w:rPr>
        <w:t>14.    磋商保证金</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sz w:val="24"/>
          <w:szCs w:val="21"/>
          <w:highlight w:val="none"/>
        </w:rPr>
        <w:t>14.1   本项目须在磋商前向采购代理机构提供</w:t>
      </w:r>
      <w:r>
        <w:rPr>
          <w:rFonts w:hint="eastAsia" w:ascii="仿宋_GB2312" w:hAnsi="仿宋_GB2312" w:eastAsia="仿宋_GB2312" w:cs="仿宋_GB2312"/>
          <w:b/>
          <w:color w:val="auto"/>
          <w:sz w:val="24"/>
          <w:szCs w:val="21"/>
          <w:highlight w:val="none"/>
        </w:rPr>
        <w:t>供应商须知前附表</w:t>
      </w:r>
      <w:r>
        <w:rPr>
          <w:rFonts w:hint="eastAsia" w:ascii="仿宋_GB2312" w:hAnsi="仿宋_GB2312" w:eastAsia="仿宋_GB2312" w:cs="仿宋_GB2312"/>
          <w:color w:val="auto"/>
          <w:sz w:val="24"/>
          <w:szCs w:val="21"/>
          <w:highlight w:val="none"/>
        </w:rPr>
        <w:t>规定金额的保证金，并作为其响应文件的一部分。</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14.2   保证金的货币为人民币，并采用下列任何一种非现金形式向采购代理机构递交：</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电汇；</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银行转账；</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支票、汇票、本票、金融机构或担保机构出具的保函等非现金形式。</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14.4   凡没有根据本须知第14.1条的规定随附保证金的响应文件，将被视为非响应性予以拒绝。</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14.5   未成交供应商的保证金, 采购代理机构将在成交通知书发出后5个工作日内退还。</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14.6   成交供应商的保证金在按本须知第26条规定签订合同后5个工作日退还。</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8"/>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供应商在提交响应文件截止时间后撤销响应文件的；</w:t>
      </w:r>
    </w:p>
    <w:p>
      <w:pPr>
        <w:numPr>
          <w:ilvl w:val="0"/>
          <w:numId w:val="8"/>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供应商在响应文件中提供虚假材料的；</w:t>
      </w:r>
    </w:p>
    <w:p>
      <w:pPr>
        <w:numPr>
          <w:ilvl w:val="0"/>
          <w:numId w:val="8"/>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除因不可抗力外，成交供应商在规定期限内未能根据本须知第26条规定签订合同； </w:t>
      </w:r>
    </w:p>
    <w:p>
      <w:pPr>
        <w:numPr>
          <w:ilvl w:val="0"/>
          <w:numId w:val="8"/>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供应商与采购人、其他供应商或者采购代理机构恶意串通的；</w:t>
      </w:r>
    </w:p>
    <w:p>
      <w:pPr>
        <w:numPr>
          <w:ilvl w:val="0"/>
          <w:numId w:val="8"/>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成交供应商未按本须知第29条规定缴纳服务费。</w:t>
      </w:r>
    </w:p>
    <w:p>
      <w:pPr>
        <w:pStyle w:val="5"/>
        <w:rPr>
          <w:rFonts w:ascii="仿宋_GB2312" w:hAnsi="仿宋_GB2312" w:eastAsia="仿宋_GB2312" w:cs="仿宋_GB2312"/>
          <w:b/>
          <w:color w:val="auto"/>
          <w:sz w:val="24"/>
          <w:szCs w:val="21"/>
          <w:highlight w:val="none"/>
        </w:rPr>
      </w:pPr>
      <w:bookmarkStart w:id="206" w:name="_Toc249515296"/>
      <w:bookmarkStart w:id="207" w:name="_Toc249515408"/>
      <w:bookmarkStart w:id="208" w:name="_Toc249525177"/>
      <w:bookmarkStart w:id="209" w:name="_Toc7949"/>
      <w:r>
        <w:rPr>
          <w:rFonts w:hint="eastAsia" w:ascii="仿宋_GB2312" w:hAnsi="仿宋_GB2312" w:eastAsia="仿宋_GB2312" w:cs="仿宋_GB2312"/>
          <w:b/>
          <w:color w:val="auto"/>
          <w:sz w:val="24"/>
          <w:szCs w:val="21"/>
          <w:highlight w:val="none"/>
        </w:rPr>
        <w:t>15.    磋商有效期</w:t>
      </w:r>
      <w:bookmarkEnd w:id="206"/>
      <w:bookmarkEnd w:id="207"/>
      <w:bookmarkEnd w:id="208"/>
      <w:bookmarkEnd w:id="209"/>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15.1   磋商有效期见</w:t>
      </w:r>
      <w:r>
        <w:rPr>
          <w:rFonts w:hint="eastAsia" w:ascii="仿宋_GB2312" w:hAnsi="仿宋_GB2312" w:eastAsia="仿宋_GB2312" w:cs="仿宋_GB2312"/>
          <w:b/>
          <w:color w:val="auto"/>
          <w:sz w:val="24"/>
          <w:highlight w:val="none"/>
        </w:rPr>
        <w:t>本须知前附表</w:t>
      </w:r>
      <w:r>
        <w:rPr>
          <w:rFonts w:hint="eastAsia" w:ascii="仿宋_GB2312" w:hAnsi="仿宋_GB2312" w:eastAsia="仿宋_GB2312" w:cs="仿宋_GB2312"/>
          <w:color w:val="auto"/>
          <w:sz w:val="24"/>
          <w:highlight w:val="none"/>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仿宋_GB2312" w:hAnsi="仿宋_GB2312" w:eastAsia="仿宋_GB2312" w:cs="仿宋_GB2312"/>
          <w:b/>
          <w:color w:val="auto"/>
          <w:sz w:val="24"/>
          <w:szCs w:val="21"/>
          <w:highlight w:val="none"/>
        </w:rPr>
      </w:pPr>
      <w:bookmarkStart w:id="210" w:name="_Toc16612"/>
      <w:bookmarkStart w:id="211" w:name="_Toc249515409"/>
      <w:bookmarkStart w:id="212" w:name="_Toc385992346"/>
      <w:bookmarkStart w:id="213" w:name="_Toc249515297"/>
      <w:bookmarkStart w:id="214" w:name="_Toc389620185"/>
      <w:bookmarkStart w:id="215" w:name="_Toc249525178"/>
      <w:bookmarkStart w:id="216" w:name="_Toc184043033"/>
      <w:bookmarkStart w:id="217" w:name="_Toc70687160"/>
      <w:r>
        <w:rPr>
          <w:rFonts w:hint="eastAsia" w:ascii="仿宋_GB2312" w:hAnsi="仿宋_GB2312" w:eastAsia="仿宋_GB2312" w:cs="仿宋_GB2312"/>
          <w:b/>
          <w:color w:val="auto"/>
          <w:sz w:val="24"/>
          <w:szCs w:val="21"/>
          <w:highlight w:val="none"/>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16.1   供应商应准备一份响应文件正本和“</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”中规定数目的副本，每套响应文件须清楚地标明“正本”、“副本”。若正本和副本不符，以正本为准。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16.4   任何行间插字、涂改或增删，必须由响应文件签字人将姓或首字母在旁边签字才有效。</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16.5   采购人不接受以电报、电话、传真、电子邮件形式递交的响应文件。</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218" w:name="_Hlt491765640"/>
      <w:bookmarkEnd w:id="218"/>
      <w:bookmarkStart w:id="219" w:name="_Toc496324583"/>
      <w:bookmarkStart w:id="220" w:name="_Toc177817338"/>
      <w:bookmarkStart w:id="221" w:name="_Toc177189239"/>
      <w:bookmarkStart w:id="222" w:name="_Toc177995477"/>
      <w:bookmarkStart w:id="223" w:name="_Toc230099801"/>
      <w:bookmarkStart w:id="224" w:name="_Toc230583545"/>
      <w:bookmarkStart w:id="225" w:name="_Toc500747193"/>
      <w:bookmarkStart w:id="226" w:name="_Toc53722844"/>
      <w:bookmarkStart w:id="227" w:name="_Toc232176276"/>
      <w:bookmarkStart w:id="228" w:name="_Toc256342147"/>
      <w:bookmarkStart w:id="229" w:name="_Toc176882546"/>
      <w:bookmarkStart w:id="230" w:name="_Toc503063426"/>
      <w:bookmarkStart w:id="231" w:name="_Toc499711047"/>
      <w:bookmarkStart w:id="232" w:name="_Toc500747066"/>
      <w:bookmarkStart w:id="233" w:name="_Toc499711888"/>
      <w:bookmarkStart w:id="234" w:name="_Toc184043034"/>
      <w:bookmarkStart w:id="235" w:name="_Toc230013636"/>
      <w:bookmarkStart w:id="236" w:name="_Toc492955419"/>
      <w:bookmarkStart w:id="237" w:name="_Toc232395216"/>
      <w:bookmarkStart w:id="238" w:name="_Toc385992347"/>
      <w:bookmarkStart w:id="239" w:name="_Toc70687161"/>
      <w:bookmarkStart w:id="240" w:name="_Toc249515410"/>
      <w:bookmarkStart w:id="241" w:name="_Toc389620186"/>
      <w:bookmarkStart w:id="242" w:name="_Toc249515298"/>
      <w:bookmarkStart w:id="243" w:name="_Toc249525179"/>
      <w:bookmarkStart w:id="244" w:name="_Toc500746970"/>
      <w:r>
        <w:rPr>
          <w:rFonts w:hint="eastAsia" w:ascii="仿宋_GB2312" w:hAnsi="仿宋_GB2312" w:eastAsia="仿宋_GB2312" w:cs="仿宋_GB2312"/>
          <w:color w:val="auto"/>
          <w:sz w:val="24"/>
          <w:highlight w:val="none"/>
        </w:rPr>
        <w:t>16.7   响应文件应按照“资格证明文件”和“商务及技术文件”分成两部分，并用不可拆装的方式分别装订成册。</w:t>
      </w:r>
    </w:p>
    <w:p>
      <w:pPr>
        <w:pStyle w:val="77"/>
        <w:spacing w:before="24" w:after="24"/>
        <w:jc w:val="center"/>
        <w:rPr>
          <w:rFonts w:ascii="仿宋_GB2312" w:hAnsi="仿宋_GB2312" w:eastAsia="仿宋_GB2312" w:cs="仿宋_GB2312"/>
          <w:color w:val="auto"/>
          <w:sz w:val="30"/>
          <w:szCs w:val="30"/>
          <w:highlight w:val="none"/>
        </w:rPr>
      </w:pPr>
      <w:bookmarkStart w:id="245" w:name="_Toc68590972"/>
      <w:r>
        <w:rPr>
          <w:rFonts w:hint="eastAsia" w:ascii="仿宋_GB2312" w:hAnsi="仿宋_GB2312" w:eastAsia="仿宋_GB2312" w:cs="仿宋_GB2312"/>
          <w:color w:val="auto"/>
          <w:sz w:val="30"/>
          <w:szCs w:val="30"/>
          <w:highlight w:val="none"/>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ascii="仿宋_GB2312" w:hAnsi="仿宋_GB2312" w:eastAsia="仿宋_GB2312" w:cs="仿宋_GB2312"/>
          <w:color w:val="auto"/>
          <w:highlight w:val="none"/>
        </w:rPr>
      </w:pPr>
    </w:p>
    <w:p>
      <w:pPr>
        <w:pStyle w:val="5"/>
        <w:rPr>
          <w:rFonts w:ascii="仿宋_GB2312" w:hAnsi="仿宋_GB2312" w:eastAsia="仿宋_GB2312" w:cs="仿宋_GB2312"/>
          <w:b/>
          <w:color w:val="auto"/>
          <w:sz w:val="24"/>
          <w:szCs w:val="21"/>
          <w:highlight w:val="none"/>
        </w:rPr>
      </w:pPr>
      <w:bookmarkStart w:id="246" w:name="_Toc249515299"/>
      <w:bookmarkStart w:id="247" w:name="_Toc70687162"/>
      <w:bookmarkStart w:id="248" w:name="_Toc4042"/>
      <w:bookmarkStart w:id="249" w:name="_Toc249525180"/>
      <w:bookmarkStart w:id="250" w:name="_Toc249515411"/>
      <w:bookmarkStart w:id="251" w:name="_Toc385992348"/>
      <w:bookmarkStart w:id="252" w:name="_Toc389620187"/>
      <w:bookmarkStart w:id="253" w:name="_Toc184043035"/>
      <w:r>
        <w:rPr>
          <w:rFonts w:hint="eastAsia" w:ascii="仿宋_GB2312" w:hAnsi="仿宋_GB2312" w:eastAsia="仿宋_GB2312" w:cs="仿宋_GB2312"/>
          <w:b/>
          <w:color w:val="auto"/>
          <w:sz w:val="24"/>
          <w:szCs w:val="21"/>
          <w:highlight w:val="none"/>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254" w:name="_Toc385992349"/>
      <w:bookmarkStart w:id="255" w:name="_Toc389620188"/>
      <w:bookmarkStart w:id="256" w:name="_Toc70687163"/>
      <w:bookmarkStart w:id="257" w:name="_Toc184043036"/>
      <w:r>
        <w:rPr>
          <w:rFonts w:hint="eastAsia" w:ascii="仿宋_GB2312" w:hAnsi="仿宋_GB2312" w:eastAsia="仿宋_GB2312" w:cs="仿宋_GB2312"/>
          <w:color w:val="auto"/>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kern w:val="0"/>
          <w:sz w:val="24"/>
          <w:szCs w:val="21"/>
          <w:highlight w:val="none"/>
        </w:rPr>
        <w:t>17.2   密封袋（箱）上标识的内容见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szCs w:val="21"/>
          <w:highlight w:val="none"/>
        </w:rPr>
        <w:t>响应文件</w:t>
      </w:r>
      <w:r>
        <w:rPr>
          <w:rFonts w:hint="eastAsia" w:ascii="仿宋_GB2312" w:hAnsi="仿宋_GB2312" w:eastAsia="仿宋_GB2312" w:cs="仿宋_GB2312"/>
          <w:color w:val="auto"/>
          <w:kern w:val="0"/>
          <w:sz w:val="24"/>
          <w:szCs w:val="21"/>
          <w:highlight w:val="none"/>
        </w:rPr>
        <w:t>如果</w:t>
      </w:r>
      <w:r>
        <w:rPr>
          <w:rFonts w:hint="eastAsia" w:ascii="仿宋_GB2312" w:hAnsi="仿宋_GB2312" w:eastAsia="仿宋_GB2312" w:cs="仿宋_GB2312"/>
          <w:color w:val="auto"/>
          <w:sz w:val="24"/>
          <w:szCs w:val="21"/>
          <w:highlight w:val="none"/>
        </w:rPr>
        <w:t>未按上述规定密封和标记，采购代理机构应当拒绝接收。</w:t>
      </w:r>
    </w:p>
    <w:p>
      <w:pPr>
        <w:pStyle w:val="2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bookmarkEnd w:id="254"/>
    <w:bookmarkEnd w:id="255"/>
    <w:p>
      <w:pPr>
        <w:pStyle w:val="5"/>
        <w:rPr>
          <w:rFonts w:ascii="仿宋_GB2312" w:hAnsi="仿宋_GB2312" w:eastAsia="仿宋_GB2312" w:cs="仿宋_GB2312"/>
          <w:b/>
          <w:color w:val="auto"/>
          <w:sz w:val="24"/>
          <w:szCs w:val="21"/>
          <w:highlight w:val="none"/>
        </w:rPr>
      </w:pPr>
      <w:bookmarkStart w:id="258" w:name="_Toc249515412"/>
      <w:bookmarkStart w:id="259" w:name="_Toc249515300"/>
      <w:bookmarkStart w:id="260" w:name="_Toc249525181"/>
      <w:bookmarkStart w:id="261" w:name="_Toc31171"/>
      <w:r>
        <w:rPr>
          <w:rFonts w:hint="eastAsia" w:ascii="仿宋_GB2312" w:hAnsi="仿宋_GB2312" w:eastAsia="仿宋_GB2312" w:cs="仿宋_GB2312"/>
          <w:b/>
          <w:color w:val="auto"/>
          <w:sz w:val="24"/>
          <w:szCs w:val="21"/>
          <w:highlight w:val="none"/>
        </w:rPr>
        <w:t>18.    响应文件递交截止时间</w:t>
      </w:r>
      <w:bookmarkEnd w:id="256"/>
      <w:bookmarkEnd w:id="257"/>
      <w:bookmarkEnd w:id="258"/>
      <w:bookmarkEnd w:id="259"/>
      <w:bookmarkEnd w:id="260"/>
      <w:bookmarkEnd w:id="261"/>
    </w:p>
    <w:p>
      <w:pPr>
        <w:tabs>
          <w:tab w:val="left" w:pos="588"/>
        </w:tabs>
        <w:spacing w:line="360" w:lineRule="auto"/>
        <w:rPr>
          <w:rFonts w:ascii="仿宋_GB2312" w:hAnsi="仿宋_GB2312" w:eastAsia="仿宋_GB2312" w:cs="仿宋_GB2312"/>
          <w:color w:val="auto"/>
          <w:sz w:val="24"/>
          <w:highlight w:val="none"/>
        </w:rPr>
      </w:pPr>
      <w:bookmarkStart w:id="262" w:name="_Toc184043037"/>
      <w:bookmarkStart w:id="263" w:name="_Toc70687164"/>
      <w:bookmarkStart w:id="264" w:name="_Toc389620189"/>
      <w:bookmarkStart w:id="265" w:name="_Toc385992350"/>
      <w:r>
        <w:rPr>
          <w:rFonts w:hint="eastAsia" w:ascii="仿宋_GB2312" w:hAnsi="仿宋_GB2312" w:eastAsia="仿宋_GB2312" w:cs="仿宋_GB2312"/>
          <w:color w:val="auto"/>
          <w:sz w:val="24"/>
          <w:highlight w:val="none"/>
        </w:rPr>
        <w:t>18.1   响应文件递交截止时间和地点见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仿宋_GB2312" w:hAnsi="仿宋_GB2312" w:eastAsia="仿宋_GB2312" w:cs="仿宋_GB2312"/>
          <w:b/>
          <w:color w:val="auto"/>
          <w:sz w:val="24"/>
          <w:szCs w:val="21"/>
          <w:highlight w:val="none"/>
        </w:rPr>
      </w:pPr>
      <w:bookmarkStart w:id="266" w:name="_Toc7175"/>
      <w:bookmarkStart w:id="267" w:name="_Toc249525182"/>
      <w:bookmarkStart w:id="268" w:name="_Toc249515413"/>
      <w:bookmarkStart w:id="269" w:name="_Toc249515301"/>
      <w:r>
        <w:rPr>
          <w:rFonts w:hint="eastAsia" w:ascii="仿宋_GB2312" w:hAnsi="仿宋_GB2312" w:eastAsia="仿宋_GB2312" w:cs="仿宋_GB2312"/>
          <w:b/>
          <w:color w:val="auto"/>
          <w:sz w:val="24"/>
          <w:szCs w:val="21"/>
          <w:highlight w:val="none"/>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19.1   采购人将拒绝接收第18条规定的响应文件递交截止时间后递交的任何响应文件。</w:t>
      </w:r>
    </w:p>
    <w:p>
      <w:pPr>
        <w:pStyle w:val="5"/>
        <w:rPr>
          <w:rFonts w:ascii="仿宋_GB2312" w:hAnsi="仿宋_GB2312" w:eastAsia="仿宋_GB2312" w:cs="仿宋_GB2312"/>
          <w:b/>
          <w:color w:val="auto"/>
          <w:sz w:val="24"/>
          <w:szCs w:val="21"/>
          <w:highlight w:val="none"/>
        </w:rPr>
      </w:pPr>
      <w:bookmarkStart w:id="270" w:name="_Toc10272"/>
      <w:bookmarkStart w:id="271" w:name="_Toc249525183"/>
      <w:bookmarkStart w:id="272" w:name="_Toc389620190"/>
      <w:bookmarkStart w:id="273" w:name="_Toc249515302"/>
      <w:bookmarkStart w:id="274" w:name="_Toc385992351"/>
      <w:bookmarkStart w:id="275" w:name="_Toc70687165"/>
      <w:bookmarkStart w:id="276" w:name="_Toc249515414"/>
      <w:bookmarkStart w:id="277" w:name="_Toc184043038"/>
      <w:r>
        <w:rPr>
          <w:rFonts w:hint="eastAsia" w:ascii="仿宋_GB2312" w:hAnsi="仿宋_GB2312" w:eastAsia="仿宋_GB2312" w:cs="仿宋_GB2312"/>
          <w:b/>
          <w:color w:val="auto"/>
          <w:sz w:val="24"/>
          <w:szCs w:val="21"/>
          <w:highlight w:val="none"/>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color w:val="auto"/>
          <w:sz w:val="24"/>
          <w:szCs w:val="21"/>
          <w:highlight w:val="none"/>
        </w:rPr>
        <w:t>回</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20.2   在响应文件递交截止时间之后，供应商不得对其响应文件做任何修改。</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20.3   供应商不得在响应文件递交截止时间起至响应文件有效期期满前撤销其响应文件。</w:t>
      </w:r>
    </w:p>
    <w:p>
      <w:pPr>
        <w:pStyle w:val="77"/>
        <w:spacing w:before="24" w:after="24"/>
        <w:ind w:left="3313"/>
        <w:rPr>
          <w:rFonts w:ascii="仿宋_GB2312" w:hAnsi="仿宋_GB2312" w:eastAsia="仿宋_GB2312" w:cs="仿宋_GB2312"/>
          <w:color w:val="auto"/>
          <w:sz w:val="30"/>
          <w:szCs w:val="30"/>
          <w:highlight w:val="none"/>
        </w:rPr>
      </w:pPr>
      <w:bookmarkStart w:id="278" w:name="_Hlt491765712"/>
      <w:bookmarkEnd w:id="278"/>
      <w:bookmarkStart w:id="279" w:name="_Hlt497729441"/>
      <w:bookmarkEnd w:id="279"/>
      <w:bookmarkStart w:id="280" w:name="_Toc249515303"/>
      <w:bookmarkStart w:id="281" w:name="_Toc256342148"/>
      <w:bookmarkStart w:id="282" w:name="_Toc249525184"/>
      <w:bookmarkStart w:id="283" w:name="_Toc249515415"/>
      <w:bookmarkStart w:id="284" w:name="_Toc68590973"/>
      <w:bookmarkStart w:id="285" w:name="_Toc499711048"/>
      <w:bookmarkStart w:id="286" w:name="_Toc503063427"/>
      <w:bookmarkStart w:id="287" w:name="_Toc492955420"/>
      <w:bookmarkStart w:id="288" w:name="_Toc184043039"/>
      <w:bookmarkStart w:id="289" w:name="_Toc389620191"/>
      <w:bookmarkStart w:id="290" w:name="_Toc70687166"/>
      <w:bookmarkStart w:id="291" w:name="_Toc385992352"/>
      <w:bookmarkStart w:id="292" w:name="_Toc496324584"/>
      <w:bookmarkStart w:id="293" w:name="_Toc177817339"/>
      <w:bookmarkStart w:id="294" w:name="_Toc500747067"/>
      <w:bookmarkStart w:id="295" w:name="_Toc500746971"/>
      <w:bookmarkStart w:id="296" w:name="_Toc176882547"/>
      <w:bookmarkStart w:id="297" w:name="_Toc53722845"/>
      <w:bookmarkStart w:id="298" w:name="_Toc177995478"/>
      <w:bookmarkStart w:id="299" w:name="_Toc499711889"/>
      <w:bookmarkStart w:id="300" w:name="_Toc500747194"/>
      <w:bookmarkStart w:id="301" w:name="_Toc177189240"/>
      <w:r>
        <w:rPr>
          <w:rFonts w:hint="eastAsia" w:ascii="仿宋_GB2312" w:hAnsi="仿宋_GB2312" w:eastAsia="仿宋_GB2312" w:cs="仿宋_GB2312"/>
          <w:color w:val="auto"/>
          <w:sz w:val="30"/>
          <w:szCs w:val="30"/>
          <w:highlight w:val="none"/>
        </w:rPr>
        <w:t>五、评审与</w:t>
      </w:r>
      <w:bookmarkEnd w:id="280"/>
      <w:bookmarkEnd w:id="281"/>
      <w:bookmarkEnd w:id="282"/>
      <w:bookmarkEnd w:id="283"/>
      <w:r>
        <w:rPr>
          <w:rFonts w:hint="eastAsia" w:ascii="仿宋_GB2312" w:hAnsi="仿宋_GB2312" w:eastAsia="仿宋_GB2312" w:cs="仿宋_GB2312"/>
          <w:color w:val="auto"/>
          <w:sz w:val="30"/>
          <w:szCs w:val="30"/>
          <w:highlight w:val="none"/>
        </w:rPr>
        <w:t>磋商</w:t>
      </w:r>
      <w:bookmarkEnd w:id="284"/>
    </w:p>
    <w:p>
      <w:pPr>
        <w:pStyle w:val="5"/>
        <w:numPr>
          <w:ilvl w:val="0"/>
          <w:numId w:val="9"/>
        </w:numPr>
        <w:rPr>
          <w:rFonts w:ascii="仿宋_GB2312" w:hAnsi="仿宋_GB2312" w:eastAsia="仿宋_GB2312" w:cs="仿宋_GB2312"/>
          <w:b/>
          <w:color w:val="auto"/>
          <w:sz w:val="24"/>
          <w:highlight w:val="none"/>
        </w:rPr>
      </w:pPr>
      <w:bookmarkStart w:id="302" w:name="_Toc249515305"/>
      <w:bookmarkStart w:id="303" w:name="_Toc249515417"/>
      <w:bookmarkStart w:id="304" w:name="_Toc16042"/>
      <w:bookmarkStart w:id="305" w:name="_Toc249525186"/>
      <w:r>
        <w:rPr>
          <w:rFonts w:hint="eastAsia" w:ascii="仿宋_GB2312" w:hAnsi="仿宋_GB2312" w:eastAsia="仿宋_GB2312" w:cs="仿宋_GB2312"/>
          <w:b/>
          <w:color w:val="auto"/>
          <w:sz w:val="24"/>
          <w:highlight w:val="none"/>
        </w:rPr>
        <w:t xml:space="preserve">   磋商小组</w:t>
      </w:r>
      <w:bookmarkEnd w:id="302"/>
      <w:bookmarkEnd w:id="303"/>
      <w:bookmarkEnd w:id="304"/>
      <w:bookmarkEnd w:id="305"/>
    </w:p>
    <w:p>
      <w:pPr>
        <w:pStyle w:val="28"/>
        <w:adjustRightInd w:val="0"/>
        <w:snapToGrid w:val="0"/>
        <w:ind w:left="840" w:hanging="840" w:hangingChars="35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szCs w:val="24"/>
          <w:highlight w:val="none"/>
        </w:rPr>
        <w:t>21.1   在磋商开始前组建磋商小组，磋商小组由采购人代表和有关专家组成。专家从政府采购评审专家库相关专业中随机抽取。磋商小组组成见</w:t>
      </w:r>
      <w:r>
        <w:rPr>
          <w:rFonts w:hint="eastAsia" w:ascii="仿宋_GB2312" w:hAnsi="仿宋_GB2312" w:eastAsia="仿宋_GB2312" w:cs="仿宋_GB2312"/>
          <w:b/>
          <w:color w:val="auto"/>
          <w:sz w:val="24"/>
          <w:highlight w:val="none"/>
        </w:rPr>
        <w:t>供应商须知前附表。</w:t>
      </w: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   磋商小组职责</w:t>
      </w:r>
    </w:p>
    <w:p>
      <w:pPr>
        <w:pStyle w:val="28"/>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（1）确认竞争性磋商文件；</w:t>
      </w:r>
    </w:p>
    <w:p>
      <w:pPr>
        <w:pStyle w:val="28"/>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（2）审查通过了资格审查的供应商响应文件并做出评价；</w:t>
      </w:r>
    </w:p>
    <w:p>
      <w:pPr>
        <w:pStyle w:val="28"/>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（3）要求供应商解释或者澄清其响应文件；</w:t>
      </w:r>
    </w:p>
    <w:p>
      <w:pPr>
        <w:pStyle w:val="28"/>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（4）编写评审报告；</w:t>
      </w:r>
    </w:p>
    <w:p>
      <w:pPr>
        <w:pStyle w:val="28"/>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（5）告知采购人、采购代理机构在评审过程中发现的供应商的违法违规行为。</w:t>
      </w: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21.3   磋商小组义务</w:t>
      </w:r>
    </w:p>
    <w:p>
      <w:pPr>
        <w:pStyle w:val="28"/>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（1）遵纪客观、公正、审慎的原则；</w:t>
      </w:r>
    </w:p>
    <w:p>
      <w:pPr>
        <w:pStyle w:val="28"/>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（2）根据磋商文件的规定评审程序、评审方法和评审标准独立进行评审，对个人的评审意见承担法律责任；</w:t>
      </w:r>
    </w:p>
    <w:p>
      <w:pPr>
        <w:pStyle w:val="28"/>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（3）参与评审报告的起草；</w:t>
      </w:r>
    </w:p>
    <w:p>
      <w:pPr>
        <w:pStyle w:val="28"/>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（4）配合采购人、采购代理机构答复供应商提出的质疑；</w:t>
      </w:r>
    </w:p>
    <w:p>
      <w:pPr>
        <w:pStyle w:val="28"/>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（5）配合财政部门的投诉处理和监督检查工作。</w:t>
      </w:r>
    </w:p>
    <w:p>
      <w:pPr>
        <w:pStyle w:val="28"/>
        <w:adjustRightInd w:val="0"/>
        <w:snapToGrid w:val="0"/>
        <w:ind w:left="840" w:hanging="840" w:hangingChars="3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21.4   确认磋商文件：磋商小组对磋商文件进行审阅，无修改进行签字确认，有修改，修改内容经采购人确认后，磋商小组以书面形式通知所有供应商。</w:t>
      </w:r>
    </w:p>
    <w:p>
      <w:pPr>
        <w:pStyle w:val="5"/>
        <w:rPr>
          <w:rFonts w:ascii="仿宋_GB2312" w:hAnsi="仿宋_GB2312" w:eastAsia="仿宋_GB2312" w:cs="仿宋_GB2312"/>
          <w:b/>
          <w:color w:val="auto"/>
          <w:sz w:val="24"/>
          <w:szCs w:val="21"/>
          <w:highlight w:val="none"/>
        </w:rPr>
      </w:pPr>
      <w:r>
        <w:rPr>
          <w:rFonts w:hint="eastAsia" w:ascii="仿宋_GB2312" w:hAnsi="仿宋_GB2312" w:eastAsia="仿宋_GB2312" w:cs="仿宋_GB2312"/>
          <w:b/>
          <w:color w:val="auto"/>
          <w:sz w:val="24"/>
          <w:szCs w:val="21"/>
          <w:highlight w:val="none"/>
        </w:rPr>
        <w:t>22.    磋商小组成员有下列情形之一的，应当回避：</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22.1   参加采购活动前3年内与供应商存在劳动关系；</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22.2   参加采购活动前3年内担任供应商的董事、监事；</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22.3   参加采购活动前3年内是供应商的控股股东或者实际控制人；</w:t>
      </w:r>
    </w:p>
    <w:p>
      <w:pPr>
        <w:pStyle w:val="5"/>
        <w:tabs>
          <w:tab w:val="left" w:pos="360"/>
        </w:tabs>
        <w:ind w:left="840" w:hanging="840" w:hangingChars="350"/>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22.4   与供应商的法定代表人或者负责人有夫妻、直系血亲、三代以内旁系血亲或者近姻亲关系；</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22.5   与供应商有其他可能影响政府采购活动公平、公正进行的关系。</w:t>
      </w:r>
    </w:p>
    <w:p>
      <w:pPr>
        <w:pStyle w:val="5"/>
        <w:rPr>
          <w:rFonts w:ascii="仿宋_GB2312" w:hAnsi="仿宋_GB2312" w:eastAsia="仿宋_GB2312" w:cs="仿宋_GB2312"/>
          <w:b/>
          <w:color w:val="auto"/>
          <w:sz w:val="24"/>
          <w:szCs w:val="21"/>
          <w:highlight w:val="none"/>
        </w:rPr>
      </w:pPr>
      <w:bookmarkStart w:id="306" w:name="_Toc83547667"/>
      <w:bookmarkStart w:id="307" w:name="_Toc249515418"/>
      <w:bookmarkStart w:id="308" w:name="_Toc20608"/>
      <w:bookmarkStart w:id="309" w:name="_Toc249515306"/>
      <w:bookmarkStart w:id="310" w:name="_Toc249525187"/>
      <w:r>
        <w:rPr>
          <w:rFonts w:hint="eastAsia" w:ascii="仿宋_GB2312" w:hAnsi="仿宋_GB2312" w:eastAsia="仿宋_GB2312" w:cs="仿宋_GB2312"/>
          <w:b/>
          <w:color w:val="auto"/>
          <w:sz w:val="24"/>
          <w:szCs w:val="21"/>
          <w:highlight w:val="none"/>
        </w:rPr>
        <w:t>23.    磋商程序</w:t>
      </w:r>
    </w:p>
    <w:p>
      <w:pPr>
        <w:pStyle w:val="5"/>
        <w:tabs>
          <w:tab w:val="left" w:pos="360"/>
        </w:tabs>
        <w:rPr>
          <w:rFonts w:ascii="仿宋_GB2312" w:hAnsi="仿宋_GB2312" w:eastAsia="仿宋_GB2312" w:cs="仿宋_GB2312"/>
          <w:b/>
          <w:color w:val="auto"/>
          <w:sz w:val="24"/>
          <w:szCs w:val="21"/>
          <w:highlight w:val="none"/>
        </w:rPr>
      </w:pPr>
      <w:bookmarkStart w:id="311" w:name="_Toc58504507"/>
      <w:r>
        <w:rPr>
          <w:rFonts w:hint="eastAsia" w:ascii="仿宋_GB2312" w:hAnsi="仿宋_GB2312" w:eastAsia="仿宋_GB2312" w:cs="仿宋_GB2312"/>
          <w:b/>
          <w:color w:val="auto"/>
          <w:sz w:val="24"/>
          <w:szCs w:val="21"/>
          <w:highlight w:val="none"/>
        </w:rPr>
        <w:t>23.1   磋商会议</w:t>
      </w:r>
      <w:bookmarkEnd w:id="311"/>
    </w:p>
    <w:p>
      <w:pPr>
        <w:pStyle w:val="22"/>
        <w:ind w:left="840" w:leftChars="400"/>
        <w:rPr>
          <w:rFonts w:ascii="仿宋_GB2312" w:hAnsi="仿宋_GB2312" w:eastAsia="仿宋_GB2312" w:cs="仿宋_GB2312"/>
          <w:color w:val="auto"/>
          <w:sz w:val="24"/>
          <w:szCs w:val="32"/>
          <w:highlight w:val="none"/>
        </w:rPr>
      </w:pPr>
      <w:bookmarkStart w:id="312" w:name="_Toc58504508"/>
      <w:r>
        <w:rPr>
          <w:rFonts w:hint="eastAsia" w:ascii="仿宋_GB2312" w:hAnsi="仿宋_GB2312" w:eastAsia="仿宋_GB2312" w:cs="仿宋_GB2312"/>
          <w:color w:val="auto"/>
          <w:sz w:val="24"/>
          <w:szCs w:val="32"/>
          <w:highlight w:val="none"/>
        </w:rPr>
        <w:t>（1）在磋商文件规定的时间和地点，由采购代理机构组织磋商工作，供应商须委派代表参加，签名以证明其出席。</w:t>
      </w:r>
      <w:bookmarkEnd w:id="312"/>
    </w:p>
    <w:p>
      <w:pPr>
        <w:pStyle w:val="22"/>
        <w:ind w:left="840" w:leftChars="400"/>
        <w:rPr>
          <w:rFonts w:ascii="仿宋_GB2312" w:hAnsi="仿宋_GB2312" w:eastAsia="仿宋_GB2312" w:cs="仿宋_GB2312"/>
          <w:color w:val="auto"/>
          <w:sz w:val="24"/>
          <w:szCs w:val="32"/>
          <w:highlight w:val="none"/>
        </w:rPr>
      </w:pPr>
      <w:bookmarkStart w:id="313" w:name="_Toc58504509"/>
      <w:r>
        <w:rPr>
          <w:rFonts w:hint="eastAsia" w:ascii="仿宋_GB2312" w:hAnsi="仿宋_GB2312" w:eastAsia="仿宋_GB2312" w:cs="仿宋_GB2312"/>
          <w:color w:val="auto"/>
          <w:sz w:val="24"/>
          <w:szCs w:val="32"/>
          <w:highlight w:val="none"/>
        </w:rPr>
        <w:t>（2）各供应商或其推荐的代表与采购监督人共同检查响应文件的密封情况，经检查无误后，签字确认。</w:t>
      </w:r>
      <w:bookmarkEnd w:id="313"/>
    </w:p>
    <w:p>
      <w:pPr>
        <w:pStyle w:val="22"/>
        <w:ind w:left="840" w:leftChars="400"/>
        <w:rPr>
          <w:rFonts w:ascii="仿宋_GB2312" w:hAnsi="仿宋_GB2312" w:eastAsia="仿宋_GB2312" w:cs="仿宋_GB2312"/>
          <w:color w:val="auto"/>
          <w:sz w:val="24"/>
          <w:szCs w:val="32"/>
          <w:highlight w:val="none"/>
        </w:rPr>
      </w:pPr>
      <w:bookmarkStart w:id="314" w:name="_Toc58504510"/>
      <w:r>
        <w:rPr>
          <w:rFonts w:hint="eastAsia" w:ascii="仿宋_GB2312" w:hAnsi="仿宋_GB2312" w:eastAsia="仿宋_GB2312" w:cs="仿宋_GB2312"/>
          <w:color w:val="auto"/>
          <w:sz w:val="24"/>
          <w:szCs w:val="32"/>
          <w:highlight w:val="none"/>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仿宋_GB2312" w:hAnsi="仿宋_GB2312" w:eastAsia="仿宋_GB2312" w:cs="仿宋_GB2312"/>
          <w:b/>
          <w:color w:val="auto"/>
          <w:sz w:val="24"/>
          <w:szCs w:val="21"/>
          <w:highlight w:val="none"/>
        </w:rPr>
      </w:pPr>
      <w:bookmarkStart w:id="315" w:name="_Toc58504511"/>
      <w:r>
        <w:rPr>
          <w:rFonts w:hint="eastAsia" w:ascii="仿宋_GB2312" w:hAnsi="仿宋_GB2312" w:eastAsia="仿宋_GB2312" w:cs="仿宋_GB2312"/>
          <w:b/>
          <w:color w:val="auto"/>
          <w:sz w:val="24"/>
          <w:szCs w:val="21"/>
          <w:highlight w:val="none"/>
        </w:rPr>
        <w:t>23.2   响应文件</w:t>
      </w:r>
      <w:bookmarkEnd w:id="306"/>
      <w:bookmarkEnd w:id="307"/>
      <w:bookmarkEnd w:id="308"/>
      <w:bookmarkEnd w:id="309"/>
      <w:bookmarkEnd w:id="310"/>
      <w:r>
        <w:rPr>
          <w:rFonts w:hint="eastAsia" w:ascii="仿宋_GB2312" w:hAnsi="仿宋_GB2312" w:eastAsia="仿宋_GB2312" w:cs="仿宋_GB2312"/>
          <w:b/>
          <w:color w:val="auto"/>
          <w:sz w:val="24"/>
          <w:szCs w:val="21"/>
          <w:highlight w:val="none"/>
        </w:rPr>
        <w:t>评审</w:t>
      </w:r>
      <w:bookmarkEnd w:id="315"/>
    </w:p>
    <w:p>
      <w:pPr>
        <w:tabs>
          <w:tab w:val="left" w:pos="360"/>
          <w:tab w:val="left" w:pos="588"/>
        </w:tabs>
        <w:spacing w:line="360" w:lineRule="auto"/>
        <w:ind w:left="843" w:hanging="843" w:hangingChars="350"/>
        <w:rPr>
          <w:rFonts w:ascii="仿宋_GB2312" w:hAnsi="仿宋_GB2312" w:eastAsia="仿宋_GB2312" w:cs="仿宋_GB2312"/>
          <w:color w:val="auto"/>
          <w:sz w:val="24"/>
          <w:highlight w:val="none"/>
        </w:rPr>
      </w:pPr>
      <w:bookmarkStart w:id="316" w:name="_Toc83547671"/>
      <w:r>
        <w:rPr>
          <w:rFonts w:hint="eastAsia" w:ascii="仿宋_GB2312" w:hAnsi="仿宋_GB2312" w:eastAsia="仿宋_GB2312" w:cs="仿宋_GB2312"/>
          <w:b/>
          <w:color w:val="auto"/>
          <w:sz w:val="24"/>
          <w:highlight w:val="none"/>
        </w:rPr>
        <w:t>23.2.1响应文件的资格性审查</w:t>
      </w:r>
      <w:r>
        <w:rPr>
          <w:rFonts w:hint="eastAsia" w:ascii="仿宋_GB2312" w:hAnsi="仿宋_GB2312" w:eastAsia="仿宋_GB2312" w:cs="仿宋_GB2312"/>
          <w:color w:val="auto"/>
          <w:sz w:val="24"/>
          <w:highlight w:val="none"/>
        </w:rPr>
        <w:t>。依据《政府采购法》第二十三条和磋商文件的规定，</w:t>
      </w:r>
      <w:r>
        <w:rPr>
          <w:rFonts w:hint="eastAsia" w:ascii="仿宋_GB2312" w:hAnsi="仿宋_GB2312" w:eastAsia="仿宋_GB2312" w:cs="仿宋_GB2312"/>
          <w:b/>
          <w:color w:val="auto"/>
          <w:sz w:val="24"/>
          <w:highlight w:val="none"/>
        </w:rPr>
        <w:t>采购人或采购代理机构负责</w:t>
      </w:r>
      <w:r>
        <w:rPr>
          <w:rFonts w:hint="eastAsia" w:ascii="仿宋_GB2312" w:hAnsi="仿宋_GB2312" w:eastAsia="仿宋_GB2312" w:cs="仿宋_GB2312"/>
          <w:color w:val="auto"/>
          <w:sz w:val="24"/>
          <w:highlight w:val="none"/>
        </w:rPr>
        <w:t>对响应文件中的资格证明文件、信用查询记录等进行审查，以确认供应商具备相应资格。资格性审查出现下列情况者（但不限于），按无效文件处理：</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highlight w:val="none"/>
        </w:rPr>
        <w:t>1）供应商不符合《中华人民共和国政府采购法》第二十二条的规定和特定资格条件要求的。</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（2）供应商没有经过正常渠道购买或免费领取磋商文件或供应商的名称与登记领取磋商文件单位的名称不符。</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（4）信用查询中列入失信被执行人、重大税收违法案件当事人名单、政府采购严重违法失信行为记录名单及其他不符合《中华人民共和国政府采购法》第二十二条规定条件的供应商。</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（5）采购人或采购代理机构通过“信用中国”网站(www.creditchina.gov.cn)、中国政府采购网(www.ccgp.gov.cn) 等查询相关主体信用记录，并将查询网页打印、存档备查。</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（6）查询时间为磋商文件发售期至评审截止时间前，此段时间段外，网站信息发生的任何变更均不作为资格审查依据。</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供应商不良信用记录以采购人或采购代理机构查询结果为准。供应商自行提供的与网站信息不一致的其他证明材料亦不作为资格审查依据。</w:t>
      </w:r>
    </w:p>
    <w:p>
      <w:pPr>
        <w:pStyle w:val="22"/>
        <w:ind w:left="840" w:leftChars="40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2"/>
        <w:ind w:left="843" w:hanging="843" w:hangingChars="35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23.2.2 磋商响应文件有效性、完整性和响应程度审查：磋商小组</w:t>
      </w:r>
      <w:r>
        <w:rPr>
          <w:rFonts w:hint="eastAsia" w:ascii="仿宋_GB2312" w:hAnsi="仿宋_GB2312" w:eastAsia="仿宋_GB2312" w:cs="仿宋_GB2312"/>
          <w:color w:val="auto"/>
          <w:sz w:val="24"/>
          <w:highlight w:val="none"/>
        </w:rPr>
        <w:t>负责对通过资格审查的响应文件的有效性、完整性和响应性进行审查，以确定是否满足磋商文件要求，出现下列情况者（但不限于），按无效文件处理。</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（1）供应商未按磋商文件要求加盖单位公章；</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（2）磋商响应文件未按磋商文件要求进行法定代表人或其授权代表签字；</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（3）无有效期或有效期达不到磋商文件的要求。</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（4）供应商首次磋商报价出现选择性报价。</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（5）首次磋商报价超出采购预算；</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（6）响应文件中对合同草案条款附加了采购人难以接受的条件。</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（7）磋商内容出现漏项或数量与要求不符，出现重大负偏差。</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（8）响应文件中技术指标达不到采购要求，降低了产品档次或影响产品性能、功能。</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（9）响应报价与市场价偏离较大，低于成本，形成不正当竞争。</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（10）供应商提供虚假证明，开具虚假资质，出现虚假应答或故意隐瞒行为。</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（11）保证金未提交或未提交至指定账户、或提交保证金不符合磋商文件要求的。 </w:t>
      </w:r>
    </w:p>
    <w:p>
      <w:pPr>
        <w:pStyle w:val="5"/>
        <w:tabs>
          <w:tab w:val="left" w:pos="360"/>
        </w:tabs>
        <w:rPr>
          <w:rFonts w:ascii="仿宋_GB2312" w:hAnsi="仿宋_GB2312" w:eastAsia="仿宋_GB2312" w:cs="仿宋_GB2312"/>
          <w:b/>
          <w:color w:val="auto"/>
          <w:sz w:val="24"/>
          <w:szCs w:val="21"/>
          <w:highlight w:val="none"/>
        </w:rPr>
      </w:pPr>
      <w:bookmarkStart w:id="317" w:name="_Toc58504512"/>
      <w:r>
        <w:rPr>
          <w:rFonts w:hint="eastAsia" w:ascii="仿宋_GB2312" w:hAnsi="仿宋_GB2312" w:eastAsia="仿宋_GB2312" w:cs="仿宋_GB2312"/>
          <w:b/>
          <w:color w:val="auto"/>
          <w:sz w:val="24"/>
          <w:szCs w:val="21"/>
          <w:highlight w:val="none"/>
        </w:rPr>
        <w:t>23.3   磋商</w:t>
      </w:r>
      <w:bookmarkEnd w:id="317"/>
    </w:p>
    <w:p>
      <w:pPr>
        <w:pStyle w:val="22"/>
        <w:ind w:left="840" w:hanging="840" w:hangingChars="350"/>
        <w:rPr>
          <w:rFonts w:ascii="仿宋_GB2312" w:hAnsi="仿宋_GB2312" w:eastAsia="仿宋_GB2312" w:cs="仿宋_GB2312"/>
          <w:color w:val="auto"/>
          <w:sz w:val="24"/>
          <w:highlight w:val="none"/>
        </w:rPr>
      </w:pPr>
      <w:bookmarkStart w:id="318" w:name="_Toc58504513"/>
      <w:r>
        <w:rPr>
          <w:rFonts w:hint="eastAsia" w:ascii="仿宋_GB2312" w:hAnsi="仿宋_GB2312" w:eastAsia="仿宋_GB2312" w:cs="仿宋_GB2312"/>
          <w:color w:val="auto"/>
          <w:sz w:val="24"/>
          <w:highlight w:val="none"/>
        </w:rPr>
        <w:t>23.3.1 磋商小组集中与各供应商分别进行磋商，并给所有参加磋商供应商平等的磋商机会。</w:t>
      </w:r>
      <w:bookmarkEnd w:id="318"/>
    </w:p>
    <w:p>
      <w:pPr>
        <w:pStyle w:val="2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23.3.2 磋商小组在对响应文件的有效性、完整性和响应程度进行审核时，以</w:t>
      </w:r>
      <w:r>
        <w:rPr>
          <w:rFonts w:hint="eastAsia" w:ascii="仿宋_GB2312" w:hAnsi="仿宋_GB2312" w:eastAsia="仿宋_GB2312" w:cs="仿宋_GB2312"/>
          <w:b/>
          <w:color w:val="auto"/>
          <w:sz w:val="24"/>
          <w:highlight w:val="none"/>
        </w:rPr>
        <w:t>书面形式</w:t>
      </w:r>
      <w:r>
        <w:rPr>
          <w:rFonts w:hint="eastAsia" w:ascii="仿宋_GB2312" w:hAnsi="仿宋_GB2312" w:eastAsia="仿宋_GB2312" w:cs="仿宋_GB2312"/>
          <w:color w:val="auto"/>
          <w:sz w:val="24"/>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23.3.4 如出现下述情形之一的，视为供应商主动退出磋商，其响应将被拒绝：</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（1）供应商未按要求确认磋商小组确定的本项目最终技术需求的；</w:t>
      </w:r>
    </w:p>
    <w:p>
      <w:pPr>
        <w:pStyle w:val="2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（2）最后报价未实质性响应磋商小组确定的本项目最终技术需求的，或附有采购人无法接受的条件的。</w:t>
      </w:r>
    </w:p>
    <w:p>
      <w:pPr>
        <w:pStyle w:val="22"/>
        <w:rPr>
          <w:rFonts w:ascii="仿宋_GB2312" w:hAnsi="仿宋_GB2312" w:eastAsia="仿宋_GB2312" w:cs="仿宋_GB2312"/>
          <w:b/>
          <w:color w:val="auto"/>
          <w:sz w:val="24"/>
          <w:szCs w:val="21"/>
          <w:highlight w:val="none"/>
        </w:rPr>
      </w:pPr>
      <w:r>
        <w:rPr>
          <w:rFonts w:hint="eastAsia" w:ascii="仿宋_GB2312" w:hAnsi="仿宋_GB2312" w:eastAsia="仿宋_GB2312" w:cs="仿宋_GB2312"/>
          <w:b/>
          <w:color w:val="auto"/>
          <w:sz w:val="24"/>
          <w:szCs w:val="21"/>
          <w:highlight w:val="none"/>
        </w:rPr>
        <w:t>23.4   最后报价</w:t>
      </w:r>
    </w:p>
    <w:p>
      <w:pPr>
        <w:pStyle w:val="2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23.4.1 磋商结束后，磋商小组要求所有实质性响应的供应商在规定时间内提交最后报价，提交最后报价的供应商不少于3家。最后报价是供应商响应文件的有效组成部分。</w:t>
      </w:r>
    </w:p>
    <w:p>
      <w:pPr>
        <w:pStyle w:val="2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仿宋_GB2312" w:hAnsi="仿宋_GB2312" w:eastAsia="仿宋_GB2312" w:cs="仿宋_GB2312"/>
          <w:b/>
          <w:bCs/>
          <w:color w:val="auto"/>
          <w:sz w:val="24"/>
          <w:szCs w:val="21"/>
          <w:highlight w:val="none"/>
        </w:rPr>
      </w:pPr>
      <w:bookmarkStart w:id="319" w:name="_Toc127151546"/>
      <w:bookmarkStart w:id="320" w:name="_Toc127161460"/>
      <w:bookmarkStart w:id="321" w:name="_Toc142311048"/>
      <w:bookmarkStart w:id="322" w:name="_Toc164229387"/>
      <w:bookmarkStart w:id="323" w:name="_Toc149720839"/>
      <w:bookmarkStart w:id="324" w:name="_Toc164229241"/>
      <w:bookmarkStart w:id="325" w:name="_Toc151193860"/>
      <w:bookmarkStart w:id="326" w:name="_Toc151193788"/>
      <w:bookmarkStart w:id="327" w:name="_Toc150509297"/>
      <w:bookmarkStart w:id="328" w:name="_Toc195842911"/>
      <w:bookmarkStart w:id="329" w:name="_Ref467307010"/>
      <w:bookmarkStart w:id="330" w:name="_Toc127151747"/>
      <w:bookmarkStart w:id="331" w:name="_Toc164351640"/>
      <w:bookmarkStart w:id="332" w:name="_Toc249515310"/>
      <w:bookmarkStart w:id="333" w:name="_Toc150480784"/>
      <w:bookmarkStart w:id="334" w:name="_Toc13753"/>
      <w:bookmarkStart w:id="335" w:name="_Toc151193934"/>
      <w:bookmarkStart w:id="336" w:name="_Toc164608660"/>
      <w:bookmarkStart w:id="337" w:name="_Toc151193644"/>
      <w:bookmarkStart w:id="338" w:name="_Toc150774646"/>
      <w:bookmarkStart w:id="339" w:name="_Toc520356170"/>
      <w:bookmarkStart w:id="340" w:name="_Toc249525191"/>
      <w:bookmarkStart w:id="341" w:name="_Toc249515422"/>
      <w:bookmarkStart w:id="342" w:name="_Toc151190173"/>
      <w:bookmarkStart w:id="343" w:name="_Toc164608815"/>
      <w:bookmarkStart w:id="344" w:name="_Toc151193716"/>
      <w:bookmarkStart w:id="345" w:name="_Toc150774751"/>
      <w:r>
        <w:rPr>
          <w:rFonts w:hint="eastAsia" w:ascii="仿宋_GB2312" w:hAnsi="仿宋_GB2312" w:eastAsia="仿宋_GB2312" w:cs="仿宋_GB2312"/>
          <w:b/>
          <w:bCs/>
          <w:color w:val="auto"/>
          <w:sz w:val="24"/>
          <w:szCs w:val="21"/>
          <w:highlight w:val="none"/>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color w:val="auto"/>
          <w:sz w:val="24"/>
          <w:szCs w:val="21"/>
          <w:highlight w:val="none"/>
        </w:rPr>
        <w:t>落实政府采购政策，详见第三章。</w:t>
      </w:r>
    </w:p>
    <w:p>
      <w:pPr>
        <w:rPr>
          <w:rFonts w:ascii="仿宋_GB2312" w:hAnsi="仿宋_GB2312" w:eastAsia="仿宋_GB2312" w:cs="仿宋_GB2312"/>
          <w:color w:val="auto"/>
          <w:highlight w:val="none"/>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24" w:after="24"/>
        <w:jc w:val="center"/>
        <w:rPr>
          <w:rFonts w:ascii="仿宋_GB2312" w:hAnsi="仿宋_GB2312" w:eastAsia="仿宋_GB2312" w:cs="仿宋_GB2312"/>
          <w:color w:val="auto"/>
          <w:sz w:val="30"/>
          <w:szCs w:val="30"/>
          <w:highlight w:val="none"/>
        </w:rPr>
      </w:pPr>
      <w:bookmarkStart w:id="346" w:name="_Hlt491765714"/>
      <w:bookmarkEnd w:id="346"/>
      <w:bookmarkStart w:id="347" w:name="_Hlt497729446"/>
      <w:bookmarkEnd w:id="347"/>
      <w:bookmarkStart w:id="348" w:name="_Toc249515423"/>
      <w:bookmarkStart w:id="349" w:name="_Toc249515311"/>
      <w:bookmarkStart w:id="350" w:name="_Toc68590974"/>
      <w:bookmarkStart w:id="351" w:name="_Toc232176278"/>
      <w:bookmarkStart w:id="352" w:name="_Toc249525192"/>
      <w:bookmarkStart w:id="353" w:name="_Toc256342149"/>
      <w:bookmarkStart w:id="354" w:name="_Toc232395218"/>
      <w:bookmarkStart w:id="355" w:name="_Toc177995479"/>
      <w:bookmarkStart w:id="356" w:name="_Toc492955421"/>
      <w:bookmarkStart w:id="357" w:name="_Toc385992360"/>
      <w:bookmarkStart w:id="358" w:name="_Toc70687174"/>
      <w:bookmarkStart w:id="359" w:name="_Toc500747068"/>
      <w:bookmarkStart w:id="360" w:name="_Toc503063428"/>
      <w:bookmarkStart w:id="361" w:name="_Toc499711049"/>
      <w:bookmarkStart w:id="362" w:name="_Toc496324585"/>
      <w:bookmarkStart w:id="363" w:name="_Toc500747195"/>
      <w:bookmarkStart w:id="364" w:name="_Toc176882548"/>
      <w:bookmarkStart w:id="365" w:name="_Toc389620199"/>
      <w:bookmarkStart w:id="366" w:name="_Toc53722846"/>
      <w:bookmarkStart w:id="367" w:name="_Toc177189241"/>
      <w:bookmarkStart w:id="368" w:name="_Toc500746972"/>
      <w:bookmarkStart w:id="369" w:name="_Toc499711890"/>
      <w:bookmarkStart w:id="370" w:name="_Toc184043047"/>
      <w:bookmarkStart w:id="371" w:name="_Toc177817340"/>
      <w:r>
        <w:rPr>
          <w:rFonts w:hint="eastAsia" w:ascii="仿宋_GB2312" w:hAnsi="仿宋_GB2312" w:eastAsia="仿宋_GB2312" w:cs="仿宋_GB2312"/>
          <w:color w:val="auto"/>
          <w:sz w:val="30"/>
          <w:szCs w:val="30"/>
          <w:highlight w:val="none"/>
        </w:rPr>
        <w:t>六、确定成交单位、授予合同</w:t>
      </w:r>
      <w:bookmarkEnd w:id="348"/>
      <w:bookmarkEnd w:id="349"/>
      <w:bookmarkEnd w:id="350"/>
      <w:bookmarkEnd w:id="351"/>
      <w:bookmarkEnd w:id="352"/>
      <w:bookmarkEnd w:id="353"/>
      <w:bookmarkEnd w:id="354"/>
    </w:p>
    <w:p>
      <w:pPr>
        <w:rPr>
          <w:rFonts w:ascii="仿宋_GB2312" w:hAnsi="仿宋_GB2312" w:eastAsia="仿宋_GB2312" w:cs="仿宋_GB2312"/>
          <w:color w:val="auto"/>
          <w:highlight w:val="none"/>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10"/>
        </w:numPr>
        <w:rPr>
          <w:rFonts w:ascii="仿宋_GB2312" w:hAnsi="仿宋_GB2312" w:eastAsia="仿宋_GB2312" w:cs="仿宋_GB2312"/>
          <w:b/>
          <w:bCs/>
          <w:color w:val="auto"/>
          <w:sz w:val="24"/>
          <w:szCs w:val="21"/>
          <w:highlight w:val="none"/>
        </w:rPr>
      </w:pPr>
      <w:bookmarkStart w:id="372" w:name="_Toc184043048"/>
      <w:bookmarkStart w:id="373" w:name="_Toc70687175"/>
      <w:bookmarkStart w:id="374" w:name="_Toc249515424"/>
      <w:bookmarkStart w:id="375" w:name="_Toc389620200"/>
      <w:bookmarkStart w:id="376" w:name="_Toc27151"/>
      <w:bookmarkStart w:id="377" w:name="_Toc249525193"/>
      <w:bookmarkStart w:id="378" w:name="_Toc249515312"/>
      <w:bookmarkStart w:id="379" w:name="_Toc385992361"/>
      <w:r>
        <w:rPr>
          <w:rFonts w:hint="eastAsia" w:ascii="仿宋_GB2312" w:hAnsi="仿宋_GB2312" w:eastAsia="仿宋_GB2312" w:cs="仿宋_GB2312"/>
          <w:b/>
          <w:bCs/>
          <w:color w:val="auto"/>
          <w:sz w:val="24"/>
          <w:szCs w:val="21"/>
          <w:highlight w:val="none"/>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color w:val="auto"/>
          <w:sz w:val="24"/>
          <w:szCs w:val="21"/>
          <w:highlight w:val="none"/>
        </w:rPr>
        <w:t>单位</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25.1   采购代理机构应在评审结束后两个工作日内，将评审报告送采购人。</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25.3   采购代理机构在接到采购人的成交复函后，在财政部门指定的政府采购信息发布媒体上公告，公告期限为一个工作日，并向成交供应商发出成交通知书。成交通知书是合同文件的组成部分。</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25.4   采购代理机构将评审过程及成交供应商情况书面报监督机构备案。</w:t>
      </w:r>
      <w:bookmarkStart w:id="380" w:name="_Toc385992364"/>
      <w:bookmarkStart w:id="381" w:name="_Toc389620203"/>
    </w:p>
    <w:bookmarkEnd w:id="380"/>
    <w:bookmarkEnd w:id="381"/>
    <w:p>
      <w:pPr>
        <w:pStyle w:val="5"/>
        <w:rPr>
          <w:rFonts w:ascii="仿宋_GB2312" w:hAnsi="仿宋_GB2312" w:eastAsia="仿宋_GB2312" w:cs="仿宋_GB2312"/>
          <w:b/>
          <w:bCs/>
          <w:color w:val="auto"/>
          <w:sz w:val="24"/>
          <w:szCs w:val="21"/>
          <w:highlight w:val="none"/>
        </w:rPr>
      </w:pPr>
      <w:bookmarkStart w:id="382" w:name="_Toc385992365"/>
      <w:bookmarkStart w:id="383" w:name="_Toc389620204"/>
      <w:r>
        <w:rPr>
          <w:rFonts w:hint="eastAsia" w:ascii="仿宋_GB2312" w:hAnsi="仿宋_GB2312" w:eastAsia="仿宋_GB2312" w:cs="仿宋_GB2312"/>
          <w:b/>
          <w:bCs/>
          <w:color w:val="auto"/>
          <w:sz w:val="24"/>
          <w:szCs w:val="21"/>
          <w:highlight w:val="none"/>
        </w:rPr>
        <w:t>26.    合同</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26.3   成交供应商签订合同后，持合同原件到采购代理机构，或采购代理机构根据陕西省政府采购网合同备案结果办理保证金退还手续。</w:t>
      </w:r>
    </w:p>
    <w:p>
      <w:pPr>
        <w:pStyle w:val="5"/>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27.    询问与质疑 </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27.1   供应商对政府采购活动事项有疑问的，可以向采购人提出询问。</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27.3   质疑供应商在法定质疑期内须一次性提出针对同一采购程序环节的质疑。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27.4   供应商提出质疑应当提交质疑函和必要的证明材料。质疑函应当包括下列内容：</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供应商的姓名或者名称、地址、邮编、联系人及联系电话；</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质疑项目的名称、编号；</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具体、明确的质疑事项和与质疑事项相关的请求；</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事实依据；</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必要的法律依据；</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提出质疑的日期。</w:t>
      </w:r>
    </w:p>
    <w:p>
      <w:pPr>
        <w:pStyle w:val="67"/>
        <w:tabs>
          <w:tab w:val="left" w:pos="588"/>
        </w:tabs>
        <w:spacing w:line="360" w:lineRule="auto"/>
        <w:ind w:left="838" w:leftChars="399" w:firstLine="0" w:firstLineChars="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27.5   符合要求的质疑，采购代理机构将予以受理并答复。</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联系人：李萍、王亚宁，联系电话：029-85235014</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27.6   供应商进行虚假和恶意质疑的，采购代理机构将提供相关资料报监督机构，按其情况进行相应处理。</w:t>
      </w:r>
    </w:p>
    <w:bookmarkEnd w:id="382"/>
    <w:bookmarkEnd w:id="383"/>
    <w:p>
      <w:pPr>
        <w:pStyle w:val="5"/>
        <w:rPr>
          <w:rFonts w:ascii="仿宋_GB2312" w:hAnsi="仿宋_GB2312" w:eastAsia="仿宋_GB2312" w:cs="仿宋_GB2312"/>
          <w:b/>
          <w:bCs/>
          <w:color w:val="auto"/>
          <w:sz w:val="24"/>
          <w:szCs w:val="21"/>
          <w:highlight w:val="none"/>
        </w:rPr>
      </w:pPr>
      <w:bookmarkStart w:id="384" w:name="_Toc25547"/>
      <w:r>
        <w:rPr>
          <w:rFonts w:hint="eastAsia" w:ascii="仿宋_GB2312" w:hAnsi="仿宋_GB2312" w:eastAsia="仿宋_GB2312" w:cs="仿宋_GB2312"/>
          <w:b/>
          <w:bCs/>
          <w:color w:val="auto"/>
          <w:sz w:val="24"/>
          <w:szCs w:val="21"/>
          <w:highlight w:val="none"/>
        </w:rPr>
        <w:t>28.    履约保证金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28.1   履约保证金金额见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28.2   履约保证金缴纳时间：合同签订前必须交纳至（采购人）。</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28.3   履约保证金缴纳形式：成交供应商应当以支票、汇票、本票、保函（格式见附件2）等非现金形式缴纳。</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28.4   履约保证金收取单位名称：</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账号：</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               联系电话：</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28.5   履约保证金退还的方式、时间、条件：*****</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28.6   履约保证金不予退还的情况：****</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28.7   逾期退还履约保证金的违约责任：****</w:t>
      </w:r>
    </w:p>
    <w:p>
      <w:pPr>
        <w:pStyle w:val="5"/>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29.    成交服务费</w:t>
      </w:r>
      <w:bookmarkEnd w:id="384"/>
    </w:p>
    <w:p>
      <w:pPr>
        <w:snapToGrid w:val="0"/>
        <w:spacing w:line="360" w:lineRule="auto"/>
        <w:ind w:left="720" w:hanging="720" w:hangingChars="30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29.1  中标（成交）服务费参照《国家计委关于印发&lt;招标代理服务收费管理暂行办法&gt;的通知》（计价格[2002]1980号）和国家发展改革委员会办公厅颁发的《关于招标代理服务收费有关问题的通知》（发改办价格[2003]857号）的有关规定标准收取。</w:t>
      </w:r>
    </w:p>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29.2   成交单位的代理服务费交纳信息</w:t>
      </w:r>
    </w:p>
    <w:p>
      <w:pPr>
        <w:snapToGrid w:val="0"/>
        <w:spacing w:line="360" w:lineRule="auto"/>
        <w:ind w:firstLine="840" w:firstLine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银行户名：陕西省采购招标有限责任公司</w:t>
      </w:r>
    </w:p>
    <w:p>
      <w:pPr>
        <w:snapToGrid w:val="0"/>
        <w:spacing w:line="360" w:lineRule="auto"/>
        <w:ind w:firstLine="840" w:firstLine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开户银行：中国光大银行西安友谊路支行</w:t>
      </w:r>
    </w:p>
    <w:p>
      <w:pPr>
        <w:snapToGrid w:val="0"/>
        <w:spacing w:line="360" w:lineRule="auto"/>
        <w:ind w:firstLine="840" w:firstLine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    号：78560188000095264</w:t>
      </w:r>
    </w:p>
    <w:p>
      <w:pPr>
        <w:snapToGrid w:val="0"/>
        <w:spacing w:line="360" w:lineRule="auto"/>
        <w:ind w:firstLine="840" w:firstLine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联系人：张婕   联系电话：029-85263975</w:t>
      </w:r>
    </w:p>
    <w:p>
      <w:pPr>
        <w:pStyle w:val="5"/>
        <w:numPr>
          <w:ilvl w:val="0"/>
          <w:numId w:val="12"/>
        </w:numPr>
        <w:rPr>
          <w:rFonts w:ascii="仿宋_GB2312" w:hAnsi="仿宋_GB2312" w:eastAsia="仿宋_GB2312" w:cs="仿宋_GB2312"/>
          <w:b/>
          <w:bCs/>
          <w:color w:val="auto"/>
          <w:sz w:val="24"/>
          <w:szCs w:val="21"/>
          <w:highlight w:val="none"/>
        </w:rPr>
      </w:pPr>
      <w:bookmarkStart w:id="385" w:name="_Toc1585"/>
      <w:r>
        <w:rPr>
          <w:rFonts w:hint="eastAsia" w:ascii="仿宋_GB2312" w:hAnsi="仿宋_GB2312" w:eastAsia="仿宋_GB2312" w:cs="仿宋_GB2312"/>
          <w:b/>
          <w:bCs/>
          <w:color w:val="auto"/>
          <w:sz w:val="24"/>
          <w:szCs w:val="21"/>
          <w:highlight w:val="none"/>
        </w:rPr>
        <w:t xml:space="preserve">  采购人追加采购数量的权力</w:t>
      </w:r>
      <w:bookmarkEnd w:id="385"/>
    </w:p>
    <w:p>
      <w:pPr>
        <w:tabs>
          <w:tab w:val="left" w:pos="588"/>
        </w:tabs>
        <w:spacing w:line="360" w:lineRule="auto"/>
        <w:ind w:left="840" w:leftChars="400"/>
        <w:rPr>
          <w:rFonts w:ascii="仿宋_GB2312" w:hAnsi="仿宋_GB2312" w:eastAsia="仿宋_GB2312" w:cs="仿宋_GB2312"/>
          <w:color w:val="auto"/>
          <w:sz w:val="24"/>
          <w:highlight w:val="none"/>
        </w:rPr>
      </w:pPr>
      <w:bookmarkStart w:id="386" w:name="_Toc385992366"/>
      <w:bookmarkStart w:id="387" w:name="_Toc389620205"/>
      <w:r>
        <w:rPr>
          <w:rFonts w:hint="eastAsia" w:ascii="仿宋_GB2312" w:hAnsi="仿宋_GB2312" w:eastAsia="仿宋_GB2312" w:cs="仿宋_GB2312"/>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2"/>
        </w:numPr>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 xml:space="preserve">   其他情况</w:t>
      </w:r>
    </w:p>
    <w:p>
      <w:pPr>
        <w:pStyle w:val="2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31.2   连续两次进行竞争性磋商活动，因符合磋商要求供应商不足3家，经请示政府采购管理部门同意后，可继续进行竞争性磋商活动。</w:t>
      </w:r>
    </w:p>
    <w:p>
      <w:pPr>
        <w:pStyle w:val="5"/>
        <w:numPr>
          <w:ilvl w:val="0"/>
          <w:numId w:val="12"/>
        </w:numPr>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政府采购信用担保及融资</w:t>
      </w:r>
    </w:p>
    <w:p>
      <w:pPr>
        <w:pStyle w:val="2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32.1  本项目是否属于信用担保试点范围见须知前附表。</w:t>
      </w:r>
    </w:p>
    <w:p>
      <w:pPr>
        <w:pStyle w:val="2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32.2   供应商递交的履约担保函应符合本磋商文件的规定。</w:t>
      </w:r>
    </w:p>
    <w:p>
      <w:pPr>
        <w:pStyle w:val="2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32.3   为缓解中小企业融资困难，陕西省财政厅出台了《陕西省中小企业政府采购信用融资办法》（陕财办采〔2018〕23号），成交供应商如有融资需求，可登录“陕西省政府采购网-陕西省政府采购信用融资平台”了解详情。</w:t>
      </w:r>
    </w:p>
    <w:bookmarkEnd w:id="386"/>
    <w:bookmarkEnd w:id="387"/>
    <w:p>
      <w:pPr>
        <w:tabs>
          <w:tab w:val="left" w:pos="588"/>
        </w:tabs>
        <w:spacing w:line="360" w:lineRule="auto"/>
        <w:rPr>
          <w:rFonts w:ascii="仿宋_GB2312" w:hAnsi="仿宋_GB2312" w:eastAsia="仿宋_GB2312" w:cs="仿宋_GB2312"/>
          <w:color w:val="auto"/>
          <w:sz w:val="24"/>
          <w:highlight w:val="none"/>
        </w:rPr>
      </w:pPr>
      <w:bookmarkStart w:id="388" w:name="_Toc230013637"/>
      <w:bookmarkStart w:id="389" w:name="_Toc230099802"/>
      <w:bookmarkStart w:id="390" w:name="_Toc184025279"/>
      <w:bookmarkStart w:id="391" w:name="_Toc184114070"/>
      <w:r>
        <w:rPr>
          <w:rFonts w:hint="eastAsia" w:ascii="仿宋_GB2312" w:hAnsi="仿宋_GB2312" w:eastAsia="仿宋_GB2312" w:cs="仿宋_GB2312"/>
          <w:color w:val="auto"/>
          <w:sz w:val="24"/>
          <w:highlight w:val="none"/>
        </w:rPr>
        <w:br w:type="page"/>
      </w:r>
    </w:p>
    <w:bookmarkEnd w:id="388"/>
    <w:bookmarkEnd w:id="389"/>
    <w:bookmarkEnd w:id="390"/>
    <w:bookmarkEnd w:id="391"/>
    <w:p>
      <w:pPr>
        <w:pStyle w:val="46"/>
        <w:spacing w:line="360" w:lineRule="auto"/>
        <w:rPr>
          <w:rStyle w:val="203"/>
          <w:rFonts w:ascii="宋体" w:hAnsi="宋体" w:eastAsia="宋体"/>
          <w:color w:val="auto"/>
          <w:sz w:val="36"/>
          <w:szCs w:val="36"/>
          <w:highlight w:val="none"/>
        </w:rPr>
      </w:pPr>
      <w:bookmarkStart w:id="392" w:name="_Toc68590975"/>
      <w:bookmarkStart w:id="393" w:name="_Toc17469"/>
      <w:bookmarkStart w:id="394" w:name="_Toc58504447"/>
      <w:r>
        <w:rPr>
          <w:rStyle w:val="203"/>
          <w:rFonts w:hint="eastAsia" w:ascii="宋体" w:hAnsi="宋体" w:eastAsia="宋体"/>
          <w:color w:val="auto"/>
          <w:sz w:val="36"/>
          <w:szCs w:val="36"/>
          <w:highlight w:val="none"/>
        </w:rPr>
        <w:t>第三章  评审办法和标准</w:t>
      </w:r>
      <w:bookmarkEnd w:id="392"/>
    </w:p>
    <w:p>
      <w:pPr>
        <w:tabs>
          <w:tab w:val="left" w:pos="360"/>
          <w:tab w:val="left" w:pos="588"/>
        </w:tabs>
        <w:spacing w:line="360" w:lineRule="auto"/>
        <w:ind w:left="840"/>
        <w:rPr>
          <w:rFonts w:ascii="仿宋_GB2312" w:hAnsi="仿宋_GB2312" w:eastAsia="仿宋_GB2312" w:cs="仿宋_GB2312"/>
          <w:color w:val="auto"/>
          <w:sz w:val="24"/>
          <w:highlight w:val="none"/>
        </w:rPr>
      </w:pPr>
    </w:p>
    <w:p>
      <w:pPr>
        <w:pStyle w:val="77"/>
        <w:spacing w:before="24" w:after="24"/>
        <w:rPr>
          <w:rFonts w:ascii="仿宋_GB2312" w:hAnsi="仿宋_GB2312" w:eastAsia="仿宋_GB2312" w:cs="仿宋_GB2312"/>
          <w:color w:val="auto"/>
          <w:sz w:val="28"/>
          <w:szCs w:val="28"/>
          <w:highlight w:val="none"/>
        </w:rPr>
      </w:pPr>
      <w:bookmarkStart w:id="395" w:name="_Toc7005040"/>
      <w:bookmarkStart w:id="396" w:name="_Toc68590976"/>
      <w:r>
        <w:rPr>
          <w:rFonts w:hint="eastAsia" w:ascii="仿宋_GB2312" w:hAnsi="仿宋_GB2312" w:eastAsia="仿宋_GB2312" w:cs="仿宋_GB2312"/>
          <w:color w:val="auto"/>
          <w:sz w:val="28"/>
          <w:szCs w:val="28"/>
          <w:highlight w:val="none"/>
        </w:rPr>
        <w:t>1.评审方法</w:t>
      </w:r>
      <w:bookmarkEnd w:id="395"/>
      <w:bookmarkEnd w:id="396"/>
    </w:p>
    <w:p>
      <w:pPr>
        <w:pStyle w:val="22"/>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rPr>
          <w:rFonts w:ascii="仿宋_GB2312" w:hAnsi="仿宋_GB2312" w:eastAsia="仿宋_GB2312" w:cs="仿宋_GB2312"/>
          <w:color w:val="auto"/>
          <w:sz w:val="28"/>
          <w:szCs w:val="28"/>
          <w:highlight w:val="none"/>
        </w:rPr>
      </w:pPr>
      <w:bookmarkStart w:id="397" w:name="_Toc68590977"/>
      <w:bookmarkStart w:id="398" w:name="_Toc7005041"/>
      <w:r>
        <w:rPr>
          <w:rFonts w:hint="eastAsia" w:ascii="仿宋_GB2312" w:hAnsi="仿宋_GB2312" w:eastAsia="仿宋_GB2312" w:cs="仿宋_GB2312"/>
          <w:color w:val="auto"/>
          <w:sz w:val="28"/>
          <w:szCs w:val="28"/>
          <w:highlight w:val="none"/>
        </w:rPr>
        <w:t>2.评审标准</w:t>
      </w:r>
      <w:bookmarkEnd w:id="397"/>
      <w:bookmarkEnd w:id="398"/>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资格审查和符合性评审标准：见附表一和附表二。</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 分值构成：总分100分</w:t>
      </w:r>
    </w:p>
    <w:p>
      <w:pPr>
        <w:pStyle w:val="22"/>
        <w:rPr>
          <w:rFonts w:ascii="仿宋_GB2312" w:hAnsi="仿宋_GB2312" w:eastAsia="仿宋_GB2312" w:cs="仿宋_GB2312"/>
          <w:color w:val="auto"/>
          <w:sz w:val="24"/>
          <w:highlight w:val="none"/>
        </w:rPr>
      </w:pPr>
      <w:bookmarkStart w:id="399" w:name="_Ref426362114"/>
      <w:r>
        <w:rPr>
          <w:rFonts w:hint="eastAsia" w:ascii="仿宋_GB2312" w:hAnsi="仿宋_GB2312" w:eastAsia="仿宋_GB2312" w:cs="仿宋_GB2312"/>
          <w:color w:val="auto"/>
          <w:sz w:val="24"/>
          <w:highlight w:val="none"/>
        </w:rPr>
        <w:t>2.3 商务和技术评审标准</w:t>
      </w:r>
      <w:bookmarkEnd w:id="399"/>
    </w:p>
    <w:p>
      <w:pPr>
        <w:pStyle w:val="22"/>
        <w:rPr>
          <w:rFonts w:ascii="仿宋_GB2312" w:hAnsi="仿宋_GB2312" w:eastAsia="仿宋_GB2312" w:cs="仿宋_GB2312"/>
          <w:color w:val="auto"/>
          <w:sz w:val="24"/>
          <w:highlight w:val="none"/>
        </w:rPr>
      </w:pPr>
      <w:bookmarkStart w:id="400" w:name="_Ref426362140"/>
      <w:r>
        <w:rPr>
          <w:rFonts w:hint="eastAsia" w:ascii="仿宋_GB2312" w:hAnsi="仿宋_GB2312" w:eastAsia="仿宋_GB2312" w:cs="仿宋_GB2312"/>
          <w:color w:val="auto"/>
          <w:sz w:val="24"/>
          <w:highlight w:val="none"/>
        </w:rPr>
        <w:t>2.3.1商务部分评分标准：见附表</w:t>
      </w:r>
      <w:bookmarkEnd w:id="400"/>
      <w:r>
        <w:rPr>
          <w:rFonts w:hint="eastAsia" w:ascii="仿宋_GB2312" w:hAnsi="仿宋_GB2312" w:eastAsia="仿宋_GB2312" w:cs="仿宋_GB2312"/>
          <w:color w:val="auto"/>
          <w:sz w:val="24"/>
          <w:highlight w:val="none"/>
        </w:rPr>
        <w:t>三</w:t>
      </w:r>
    </w:p>
    <w:p>
      <w:pPr>
        <w:pStyle w:val="22"/>
        <w:rPr>
          <w:rFonts w:ascii="仿宋_GB2312" w:hAnsi="仿宋_GB2312" w:eastAsia="仿宋_GB2312" w:cs="仿宋_GB2312"/>
          <w:color w:val="auto"/>
          <w:sz w:val="24"/>
          <w:highlight w:val="none"/>
        </w:rPr>
      </w:pPr>
      <w:bookmarkStart w:id="401" w:name="_Ref426362158"/>
      <w:r>
        <w:rPr>
          <w:rFonts w:hint="eastAsia" w:ascii="仿宋_GB2312" w:hAnsi="仿宋_GB2312" w:eastAsia="仿宋_GB2312" w:cs="仿宋_GB2312"/>
          <w:color w:val="auto"/>
          <w:sz w:val="24"/>
          <w:highlight w:val="none"/>
        </w:rPr>
        <w:t>2.3.2技术部分评分标准：见附表</w:t>
      </w:r>
      <w:bookmarkEnd w:id="401"/>
      <w:r>
        <w:rPr>
          <w:rFonts w:hint="eastAsia" w:ascii="仿宋_GB2312" w:hAnsi="仿宋_GB2312" w:eastAsia="仿宋_GB2312" w:cs="仿宋_GB2312"/>
          <w:color w:val="auto"/>
          <w:sz w:val="24"/>
          <w:highlight w:val="none"/>
        </w:rPr>
        <w:t>四</w:t>
      </w:r>
    </w:p>
    <w:p>
      <w:pPr>
        <w:pStyle w:val="22"/>
        <w:rPr>
          <w:rFonts w:ascii="仿宋_GB2312" w:hAnsi="仿宋_GB2312" w:eastAsia="仿宋_GB2312" w:cs="仿宋_GB2312"/>
          <w:color w:val="auto"/>
          <w:sz w:val="24"/>
          <w:highlight w:val="none"/>
        </w:rPr>
      </w:pPr>
      <w:bookmarkStart w:id="402" w:name="_Ref426362176"/>
      <w:r>
        <w:rPr>
          <w:rFonts w:hint="eastAsia" w:ascii="仿宋_GB2312" w:hAnsi="仿宋_GB2312" w:eastAsia="仿宋_GB2312" w:cs="仿宋_GB2312"/>
          <w:color w:val="auto"/>
          <w:sz w:val="24"/>
          <w:highlight w:val="none"/>
        </w:rPr>
        <w:t>2.3.3报价评分标准：</w:t>
      </w:r>
      <w:bookmarkEnd w:id="402"/>
      <w:r>
        <w:rPr>
          <w:rFonts w:hint="eastAsia" w:ascii="仿宋_GB2312" w:hAnsi="仿宋_GB2312" w:eastAsia="仿宋_GB2312" w:cs="仿宋_GB2312"/>
          <w:color w:val="auto"/>
          <w:sz w:val="24"/>
          <w:highlight w:val="none"/>
        </w:rPr>
        <w:t>见附表五</w:t>
      </w:r>
    </w:p>
    <w:p>
      <w:pPr>
        <w:pStyle w:val="22"/>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（1）根据《政府采购促进中小企业发展管理办法》（财库〔2020〕46号）调整供应商参与评审的价格。</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注：监狱企业、残疾人福利性单位视同小微企业；残疾人福利性单位属于小型、微型企业的，不重复享受政策。</w:t>
      </w:r>
    </w:p>
    <w:p>
      <w:pPr>
        <w:pStyle w:val="22"/>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（2）评审基准价。有效响应文件中的最后报价并按本款（1）和（2）进行调整的最低报价为评审基准价。</w:t>
      </w:r>
    </w:p>
    <w:p>
      <w:pPr>
        <w:pStyle w:val="22"/>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（3）供应商报价（按本款（1）和（2）进行调整后价格）得分=(评审基准价／最后报价)×</w:t>
      </w:r>
      <w:r>
        <w:rPr>
          <w:rFonts w:hint="eastAsia" w:ascii="仿宋_GB2312" w:hAnsi="仿宋_GB2312" w:eastAsia="仿宋_GB2312" w:cs="仿宋_GB2312"/>
          <w:color w:val="auto"/>
          <w:sz w:val="24"/>
          <w:highlight w:val="none"/>
          <w:lang w:val="en-US" w:eastAsia="zh-CN"/>
        </w:rPr>
        <w:t>价格权值</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 响应文件出现下列情况之一者，磋商小组在评审过程中按以下原则修正：</w:t>
      </w:r>
    </w:p>
    <w:p>
      <w:pPr>
        <w:tabs>
          <w:tab w:val="left" w:pos="588"/>
        </w:tabs>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（1）大写金额与小写金额不一致的，以大写金额为准；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（2）总价金额与按单价汇总金额不一致的，以单价金额计算结果为准；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（3）单价金额小数点有明显错位的，应以总价为准，并修改单价；</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（4）对不同文字文本响应文件的解释发生异议的，以中文文本为准；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（5）文字与图表不一致的，以文字为准；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（6）正本与副本不一致的，以正本为准；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（7）响应文件的文字叙述与制造厂商的产品样本/检测报告不符时，以产品样本/检测报告为准。</w:t>
      </w:r>
    </w:p>
    <w:p>
      <w:pPr>
        <w:pStyle w:val="77"/>
        <w:spacing w:before="24" w:after="24"/>
        <w:rPr>
          <w:rFonts w:ascii="仿宋_GB2312" w:hAnsi="仿宋_GB2312" w:eastAsia="仿宋_GB2312" w:cs="仿宋_GB2312"/>
          <w:color w:val="auto"/>
          <w:sz w:val="28"/>
          <w:szCs w:val="28"/>
          <w:highlight w:val="none"/>
        </w:rPr>
      </w:pPr>
      <w:bookmarkStart w:id="403" w:name="_Toc68590978"/>
      <w:bookmarkStart w:id="404" w:name="_Toc7005042"/>
      <w:r>
        <w:rPr>
          <w:rFonts w:hint="eastAsia" w:ascii="仿宋_GB2312" w:hAnsi="仿宋_GB2312" w:eastAsia="仿宋_GB2312" w:cs="仿宋_GB2312"/>
          <w:color w:val="auto"/>
          <w:sz w:val="28"/>
          <w:szCs w:val="28"/>
          <w:highlight w:val="none"/>
        </w:rPr>
        <w:t>3.评审程序</w:t>
      </w:r>
      <w:bookmarkEnd w:id="403"/>
      <w:bookmarkEnd w:id="404"/>
    </w:p>
    <w:p>
      <w:pPr>
        <w:pStyle w:val="22"/>
        <w:rPr>
          <w:rFonts w:ascii="仿宋_GB2312" w:hAnsi="仿宋_GB2312" w:eastAsia="仿宋_GB2312" w:cs="仿宋_GB2312"/>
          <w:b/>
          <w:color w:val="auto"/>
          <w:sz w:val="24"/>
          <w:highlight w:val="none"/>
        </w:rPr>
      </w:pPr>
      <w:bookmarkStart w:id="405" w:name="_Toc7005043"/>
      <w:r>
        <w:rPr>
          <w:rFonts w:hint="eastAsia" w:ascii="仿宋_GB2312" w:hAnsi="仿宋_GB2312" w:eastAsia="仿宋_GB2312" w:cs="仿宋_GB2312"/>
          <w:b/>
          <w:color w:val="auto"/>
          <w:sz w:val="24"/>
          <w:highlight w:val="none"/>
        </w:rPr>
        <w:t>3.1资格审查及符合性审查</w:t>
      </w:r>
      <w:bookmarkEnd w:id="405"/>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3.1.1 采购人或采购代理机构按附表一所列审查标准对供应商资格进行审查，以确定供应商是否具备磋商资格。</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3.1.2 磋商小组对符合资格要求的响应文件按附表二进行符合性审查，以确定其是否满足磋商文件的实质性要求（见本章内的符合性审查表）。</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磋商小组不接受供应商主动提出的澄清、说明或补正。</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供应商的书面澄清、说明和补正属于响应文件的组成部分。</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磋商小组对供应商提交的澄清、说明或补正有疑问的，可以要求供应商进一步澄清、说明或补正，直至满足评审小组的要求。</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3.1.4 不具备磋商文件要求的资格或未通过符合性审查的供应商，不参与磋商，由磋商小组告知该供应商。</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3.1.5 通过资格审查和符合性审查的合格供应商不足3家的，不再进行评审和磋商。</w:t>
      </w:r>
    </w:p>
    <w:p>
      <w:pPr>
        <w:pStyle w:val="22"/>
        <w:rPr>
          <w:rFonts w:ascii="仿宋_GB2312" w:hAnsi="仿宋_GB2312" w:eastAsia="仿宋_GB2312" w:cs="仿宋_GB2312"/>
          <w:b/>
          <w:color w:val="auto"/>
          <w:sz w:val="24"/>
          <w:highlight w:val="none"/>
        </w:rPr>
      </w:pPr>
      <w:bookmarkStart w:id="406" w:name="_Toc7005044"/>
      <w:r>
        <w:rPr>
          <w:rFonts w:hint="eastAsia" w:ascii="仿宋_GB2312" w:hAnsi="仿宋_GB2312" w:eastAsia="仿宋_GB2312" w:cs="仿宋_GB2312"/>
          <w:b/>
          <w:color w:val="auto"/>
          <w:sz w:val="24"/>
          <w:highlight w:val="none"/>
        </w:rPr>
        <w:t>3.2 磋商</w:t>
      </w:r>
      <w:bookmarkEnd w:id="406"/>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3.2.1按“供应商须知”第五条规定，由磋商小组与供应商进行磋商。</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3.2.3 磋商结束后，磋商小组可以要求所有继续参加磋商的供应商在规定时间内提交最后报价函，提交最后报价函的供应商不得少于3家。</w:t>
      </w:r>
    </w:p>
    <w:p>
      <w:pPr>
        <w:pStyle w:val="22"/>
        <w:rPr>
          <w:rFonts w:ascii="仿宋_GB2312" w:hAnsi="仿宋_GB2312" w:eastAsia="仿宋_GB2312" w:cs="仿宋_GB2312"/>
          <w:b/>
          <w:color w:val="auto"/>
          <w:sz w:val="24"/>
          <w:highlight w:val="none"/>
        </w:rPr>
      </w:pPr>
      <w:bookmarkStart w:id="407" w:name="_Toc7005045"/>
      <w:r>
        <w:rPr>
          <w:rFonts w:hint="eastAsia" w:ascii="仿宋_GB2312" w:hAnsi="仿宋_GB2312" w:eastAsia="仿宋_GB2312" w:cs="仿宋_GB2312"/>
          <w:b/>
          <w:color w:val="auto"/>
          <w:sz w:val="24"/>
          <w:highlight w:val="none"/>
        </w:rPr>
        <w:t>3.3评审</w:t>
      </w:r>
      <w:bookmarkEnd w:id="407"/>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3.3.1 比较与评价</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磋商小组按本章第2.3款[商务和技术评审标准]对供应商提交的响应文件（包括最后报价函）进行商务和技术评估，综合比较与评价。</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3.3.2 磋商小组按本章第2.3款规定的量化因素和分值进行打分，并计算出综合评估得分。</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（1）按本章第2.3.1项规定的评审因素和分值对商务部分计算出得分A；</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（2）按本章第2.3.2项规定的评审因素和分值对技术部分计算出得分B；</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（3）按本章第2.3.3项规定的评审因素和分值对报价部分计算出得分C。</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3.3.3评分分值计算保留小数点后两位，小数点后第三位“四舍五入”。</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3.3.4供应商得分=A＋B＋C</w:t>
      </w:r>
    </w:p>
    <w:p>
      <w:pPr>
        <w:pStyle w:val="2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3.4 评审结果</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3.4.1 除第二章“供应商须知”前附表授权直接确定成交供应商外，磋商小组按照得分由高到低的顺序推荐3名成交候选人。</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3.4.2 磋商小组完成评审后，应当向采购人提交书面评审报告。</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spacing w:line="360" w:lineRule="auto"/>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序号</w:t>
            </w:r>
          </w:p>
        </w:tc>
        <w:tc>
          <w:tcPr>
            <w:tcW w:w="2655"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评审内容</w:t>
            </w:r>
          </w:p>
        </w:tc>
        <w:tc>
          <w:tcPr>
            <w:tcW w:w="4677"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评审合格标准</w:t>
            </w:r>
          </w:p>
        </w:tc>
        <w:tc>
          <w:tcPr>
            <w:tcW w:w="1178"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1</w:t>
            </w:r>
          </w:p>
        </w:tc>
        <w:tc>
          <w:tcPr>
            <w:tcW w:w="2655"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供应商名称</w:t>
            </w:r>
          </w:p>
        </w:tc>
        <w:tc>
          <w:tcPr>
            <w:tcW w:w="4677"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与磋商登记备案、营业执照一致（符合法定工商变更程序除外）；</w:t>
            </w:r>
          </w:p>
        </w:tc>
        <w:tc>
          <w:tcPr>
            <w:tcW w:w="1178" w:type="dxa"/>
            <w:vAlign w:val="center"/>
          </w:tcPr>
          <w:p>
            <w:pPr>
              <w:snapToGrid w:val="0"/>
              <w:rPr>
                <w:rFonts w:ascii="仿宋_GB2312" w:hAnsi="仿宋_GB2312" w:eastAsia="仿宋_GB2312" w:cs="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具有独立承担民事责任的能力</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提供了有效的法人或者其他组织的营业执照等证明文件，自然人的身份证明</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2655" w:type="dxa"/>
            <w:shd w:val="clear" w:color="auto" w:fill="auto"/>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具有健全的财务会计制度</w:t>
            </w:r>
          </w:p>
        </w:tc>
        <w:tc>
          <w:tcPr>
            <w:tcW w:w="4677" w:type="dxa"/>
            <w:shd w:val="clear" w:color="auto" w:fill="auto"/>
            <w:vAlign w:val="center"/>
          </w:tcPr>
          <w:p>
            <w:pPr>
              <w:snapToGrid w:val="0"/>
              <w:rPr>
                <w:rFonts w:ascii="仿宋_GB2312" w:hAnsi="仿宋_GB2312" w:eastAsia="仿宋_GB2312" w:cs="仿宋_GB2312"/>
                <w:color w:val="auto"/>
                <w:szCs w:val="21"/>
                <w:highlight w:val="none"/>
              </w:rPr>
            </w:pPr>
            <w:r>
              <w:rPr>
                <w:rFonts w:ascii="Times New Roman" w:hAnsi="Times New Roman" w:eastAsia="仿宋_GB2312"/>
                <w:color w:val="auto"/>
                <w:highlight w:val="none"/>
                <w:lang w:val="en-US" w:eastAsia="zh-CN"/>
              </w:rPr>
              <w:t>供应商提供202</w:t>
            </w:r>
            <w:r>
              <w:rPr>
                <w:rFonts w:hint="eastAsia" w:ascii="Times New Roman" w:hAnsi="Times New Roman" w:eastAsia="仿宋_GB2312"/>
                <w:color w:val="auto"/>
                <w:highlight w:val="none"/>
                <w:lang w:val="en-US" w:eastAsia="zh-CN"/>
              </w:rPr>
              <w:t>1</w:t>
            </w:r>
            <w:r>
              <w:rPr>
                <w:rFonts w:ascii="Times New Roman" w:hAnsi="Times New Roman" w:eastAsia="仿宋_GB2312"/>
                <w:color w:val="auto"/>
                <w:highlight w:val="none"/>
                <w:lang w:val="en-US" w:eastAsia="zh-CN"/>
              </w:rPr>
              <w:t>年度的审计报告</w:t>
            </w:r>
            <w:r>
              <w:rPr>
                <w:rFonts w:hint="eastAsia" w:ascii="Times New Roman" w:hAnsi="Times New Roman" w:eastAsia="仿宋_GB2312"/>
                <w:color w:val="auto"/>
                <w:highlight w:val="none"/>
                <w:lang w:val="en-US" w:eastAsia="zh-CN"/>
              </w:rPr>
              <w:t>或单位财务报表</w:t>
            </w:r>
            <w:r>
              <w:rPr>
                <w:rFonts w:ascii="Times New Roman" w:hAnsi="Times New Roman" w:eastAsia="仿宋_GB2312"/>
                <w:color w:val="auto"/>
                <w:highlight w:val="none"/>
                <w:lang w:val="en-US" w:eastAsia="zh-CN"/>
              </w:rPr>
              <w:t>或本年度基本开户银行出具的资信证明；</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2655" w:type="dxa"/>
            <w:shd w:val="clear" w:color="auto" w:fill="auto"/>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具有履行合同所必需的设备和专业技术能力</w:t>
            </w:r>
          </w:p>
        </w:tc>
        <w:tc>
          <w:tcPr>
            <w:tcW w:w="4677" w:type="dxa"/>
            <w:shd w:val="clear" w:color="auto" w:fill="auto"/>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提供了可充分满足履行合同所需设备和专业技术能力的证明材料或承诺</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有依法缴纳税收和社会保障资金的良好记录</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1.提供近</w:t>
            </w:r>
            <w:r>
              <w:rPr>
                <w:rFonts w:hint="eastAsia" w:ascii="仿宋_GB2312" w:hAnsi="仿宋_GB2312" w:eastAsia="仿宋_GB2312" w:cs="仿宋_GB2312"/>
                <w:color w:val="auto"/>
                <w:szCs w:val="21"/>
                <w:highlight w:val="none"/>
                <w:lang w:val="en-US" w:eastAsia="zh-CN"/>
              </w:rPr>
              <w:t>半年</w:t>
            </w:r>
            <w:r>
              <w:rPr>
                <w:rFonts w:hint="eastAsia" w:ascii="仿宋_GB2312" w:hAnsi="仿宋_GB2312" w:eastAsia="仿宋_GB2312" w:cs="仿宋_GB2312"/>
                <w:color w:val="auto"/>
                <w:szCs w:val="21"/>
                <w:highlight w:val="none"/>
              </w:rPr>
              <w:t>缴税凭证或免税证明（复印件加盖公章）。</w:t>
            </w: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2.提供近</w:t>
            </w:r>
            <w:r>
              <w:rPr>
                <w:rFonts w:hint="eastAsia" w:ascii="仿宋_GB2312" w:hAnsi="仿宋_GB2312" w:eastAsia="仿宋_GB2312" w:cs="仿宋_GB2312"/>
                <w:color w:val="auto"/>
                <w:szCs w:val="21"/>
                <w:highlight w:val="none"/>
                <w:lang w:val="en-US" w:eastAsia="zh-CN"/>
              </w:rPr>
              <w:t>半年</w:t>
            </w:r>
            <w:r>
              <w:rPr>
                <w:rFonts w:hint="eastAsia" w:ascii="仿宋_GB2312" w:hAnsi="仿宋_GB2312" w:eastAsia="仿宋_GB2312" w:cs="仿宋_GB2312"/>
                <w:color w:val="auto"/>
                <w:szCs w:val="21"/>
                <w:highlight w:val="none"/>
              </w:rPr>
              <w:t>社会保障资金缴纳证明或免缴纳证明（复印件加盖公章）</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参加政府采购活动前三年内，在经营活动中没有重大违法记录</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提供了有效的参加政府采购活动前3年内在经营活动中没有重大违法记录的书面声明</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法律、行政法规规定的其他条件</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不存在违反法律、法规的情况</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“信用中国”网站和中国政府采购网（www.ccgp.gov.cn）查询记录</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未被“信用中国”网站（</w:t>
            </w:r>
            <w:r>
              <w:rPr>
                <w:color w:val="auto"/>
                <w:highlight w:val="none"/>
              </w:rPr>
              <w:fldChar w:fldCharType="begin"/>
            </w:r>
            <w:r>
              <w:rPr>
                <w:color w:val="auto"/>
                <w:highlight w:val="none"/>
              </w:rPr>
              <w:instrText xml:space="preserve"> HYPERLINK "http://www.creditchina.gov.cn）中列入失信被执行人和/" </w:instrText>
            </w:r>
            <w:r>
              <w:rPr>
                <w:color w:val="auto"/>
                <w:highlight w:val="none"/>
              </w:rPr>
              <w:fldChar w:fldCharType="separate"/>
            </w:r>
            <w:r>
              <w:rPr>
                <w:rFonts w:hint="eastAsia" w:ascii="仿宋_GB2312" w:hAnsi="仿宋_GB2312" w:eastAsia="仿宋_GB2312" w:cs="仿宋_GB2312"/>
                <w:color w:val="auto"/>
                <w:szCs w:val="21"/>
                <w:highlight w:val="none"/>
              </w:rPr>
              <w:t>www.creditchina.gov.cn）中列入失信被执行人和/</w:t>
            </w:r>
            <w:r>
              <w:rPr>
                <w:rFonts w:hint="eastAsia" w:ascii="仿宋_GB2312" w:hAnsi="仿宋_GB2312" w:eastAsia="仿宋_GB2312" w:cs="仿宋_GB2312"/>
                <w:color w:val="auto"/>
                <w:szCs w:val="21"/>
                <w:highlight w:val="none"/>
              </w:rPr>
              <w:fldChar w:fldCharType="end"/>
            </w:r>
            <w:r>
              <w:rPr>
                <w:rFonts w:hint="eastAsia" w:ascii="仿宋_GB2312" w:hAnsi="仿宋_GB2312" w:eastAsia="仿宋_GB2312" w:cs="仿宋_GB2312"/>
                <w:color w:val="auto"/>
                <w:szCs w:val="21"/>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单位负责人为同一人或者存在控股、管理关系的不同单位，不得同时参加本项目的磋商。</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为本项目提供整体设计、规范编制或者项目管理、监理、检测等服务的供应商，不得再参加本项目磋商。</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提供了供应商未为本项目提供整体设计、规范编制或者项目管理、监理、检测等服务的声明。</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联合体</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供应商为非联合体投标</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52" w:type="dxa"/>
            <w:vMerge w:val="restart"/>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w:t>
            </w:r>
          </w:p>
        </w:tc>
        <w:tc>
          <w:tcPr>
            <w:tcW w:w="2655" w:type="dxa"/>
            <w:vMerge w:val="restart"/>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供应商特定资格条件</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1、向采购代理机构购买（或免费领取）磋商文件并登记备案。</w:t>
            </w:r>
          </w:p>
        </w:tc>
        <w:tc>
          <w:tcPr>
            <w:tcW w:w="1178" w:type="dxa"/>
            <w:vMerge w:val="restart"/>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2" w:type="dxa"/>
            <w:vMerge w:val="continue"/>
            <w:vAlign w:val="center"/>
          </w:tcPr>
          <w:p>
            <w:pPr>
              <w:snapToGrid w:val="0"/>
              <w:rPr>
                <w:rFonts w:ascii="仿宋_GB2312" w:hAnsi="仿宋_GB2312" w:eastAsia="仿宋_GB2312" w:cs="仿宋_GB2312"/>
                <w:color w:val="auto"/>
                <w:szCs w:val="21"/>
                <w:highlight w:val="none"/>
              </w:rPr>
            </w:pPr>
          </w:p>
        </w:tc>
        <w:tc>
          <w:tcPr>
            <w:tcW w:w="2655" w:type="dxa"/>
            <w:vMerge w:val="continue"/>
            <w:vAlign w:val="center"/>
          </w:tcPr>
          <w:p>
            <w:pPr>
              <w:snapToGrid w:val="0"/>
              <w:rPr>
                <w:rFonts w:ascii="仿宋_GB2312" w:hAnsi="仿宋_GB2312" w:eastAsia="仿宋_GB2312" w:cs="仿宋_GB2312"/>
                <w:color w:val="auto"/>
                <w:szCs w:val="21"/>
                <w:highlight w:val="none"/>
              </w:rPr>
            </w:pP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2、法定代表人直接参加磋商的须出具法人身份证（须与营业执照上信息一致），法定代表人授权代表参加磋商的须出具法定代表人授权书及授权代表本单位身份证明（养老保险缴纳证明或劳动合同）。</w:t>
            </w:r>
          </w:p>
        </w:tc>
        <w:tc>
          <w:tcPr>
            <w:tcW w:w="1178" w:type="dxa"/>
            <w:vMerge w:val="continue"/>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rPr>
                <w:rFonts w:ascii="仿宋_GB2312" w:hAnsi="仿宋_GB2312" w:eastAsia="仿宋_GB2312" w:cs="仿宋_GB2312"/>
                <w:color w:val="auto"/>
                <w:szCs w:val="21"/>
                <w:highlight w:val="none"/>
              </w:rPr>
            </w:pPr>
          </w:p>
        </w:tc>
        <w:tc>
          <w:tcPr>
            <w:tcW w:w="2655" w:type="dxa"/>
            <w:vAlign w:val="center"/>
          </w:tcPr>
          <w:p>
            <w:pPr>
              <w:snapToGrid w:val="0"/>
              <w:ind w:left="425"/>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结论</w:t>
            </w:r>
          </w:p>
        </w:tc>
        <w:tc>
          <w:tcPr>
            <w:tcW w:w="4677" w:type="dxa"/>
            <w:vAlign w:val="center"/>
          </w:tcPr>
          <w:p>
            <w:pPr>
              <w:snapToGrid w:val="0"/>
              <w:rPr>
                <w:rFonts w:ascii="仿宋_GB2312" w:hAnsi="仿宋_GB2312" w:eastAsia="仿宋_GB2312" w:cs="仿宋_GB2312"/>
                <w:color w:val="auto"/>
                <w:szCs w:val="21"/>
                <w:highlight w:val="none"/>
              </w:rPr>
            </w:pPr>
          </w:p>
        </w:tc>
        <w:tc>
          <w:tcPr>
            <w:tcW w:w="1178" w:type="dxa"/>
            <w:vAlign w:val="center"/>
          </w:tcPr>
          <w:p>
            <w:pPr>
              <w:snapToGrid w:val="0"/>
              <w:ind w:left="425"/>
              <w:rPr>
                <w:rFonts w:ascii="仿宋_GB2312" w:hAnsi="仿宋_GB2312" w:eastAsia="仿宋_GB2312" w:cs="仿宋_GB2312"/>
                <w:color w:val="auto"/>
                <w:szCs w:val="21"/>
                <w:highlight w:val="none"/>
              </w:rPr>
            </w:pPr>
          </w:p>
        </w:tc>
      </w:tr>
    </w:tbl>
    <w:p>
      <w:pPr>
        <w:spacing w:line="0" w:lineRule="atLeast"/>
        <w:ind w:left="425"/>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注：符合要求用“○”表示，不符合用“×”表示。有一项不符合要求，结论为不合格。</w:t>
      </w: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Cs w:val="21"/>
          <w:highlight w:val="none"/>
        </w:rPr>
        <w:br w:type="page"/>
      </w:r>
      <w:r>
        <w:rPr>
          <w:rFonts w:hint="eastAsia" w:ascii="仿宋_GB2312" w:hAnsi="仿宋_GB2312" w:eastAsia="仿宋_GB2312" w:cs="仿宋_GB2312"/>
          <w:b/>
          <w:color w:val="auto"/>
          <w:sz w:val="30"/>
          <w:szCs w:val="30"/>
          <w:highlight w:val="none"/>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序号</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评审项目</w:t>
            </w:r>
          </w:p>
        </w:tc>
        <w:tc>
          <w:tcPr>
            <w:tcW w:w="540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评审结论</w:t>
            </w:r>
          </w:p>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响应文件签署盖章</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报价</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附加条件</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公平竞争</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弄虚作假、相互串通的情形见附注</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3"/>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其他无效情形</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响应文件有效期</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有效期满足磋商文件要求的；</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响应文件格式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备选方案</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trike/>
                <w:color w:val="auto"/>
                <w:szCs w:val="21"/>
                <w:highlight w:val="none"/>
              </w:rPr>
            </w:pPr>
            <w:r>
              <w:rPr>
                <w:rFonts w:hint="eastAsia" w:ascii="仿宋_GB2312" w:hAnsi="仿宋_GB2312" w:eastAsia="仿宋_GB2312" w:cs="仿宋_GB2312"/>
                <w:color w:val="auto"/>
                <w:szCs w:val="21"/>
                <w:highlight w:val="none"/>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响应文件内容</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供应商提供的货物</w:t>
            </w:r>
            <w:r>
              <w:rPr>
                <w:rFonts w:hint="eastAsia" w:ascii="仿宋_GB2312" w:hAnsi="仿宋_GB2312" w:eastAsia="仿宋_GB2312" w:cs="仿宋_GB2312"/>
                <w:color w:val="auto"/>
                <w:szCs w:val="21"/>
                <w:highlight w:val="none"/>
                <w:lang w:val="en-US" w:eastAsia="zh-CN"/>
              </w:rPr>
              <w:t>或服务</w:t>
            </w:r>
            <w:r>
              <w:rPr>
                <w:rFonts w:hint="eastAsia" w:ascii="仿宋_GB2312" w:hAnsi="仿宋_GB2312" w:eastAsia="仿宋_GB2312" w:cs="仿宋_GB2312"/>
                <w:color w:val="auto"/>
                <w:szCs w:val="21"/>
                <w:highlight w:val="none"/>
              </w:rPr>
              <w:t>无实质性遗漏</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技术响应</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符合“采购需求”要求，无重大偏差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服务期和服务地点</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满足磋商文件要求；</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付款方式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磋商文件不允许偏差时，响应文件无负偏差；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结论（通过或未通过）</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bl>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2、有下列情形之一的，视为供应商相互串通：</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（1）不同供应商的响应文件由同一单位或者个人编制；</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（2）不同供应商委托同一单位或者个人办理参与磋商事宜；</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（4）不同供应商的响应文件异常一致或者报价呈规律性差异；</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（5）不同供应商的响应文件相互混装；</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（6）不同供应商的磋商保证金从同一单位或者个人的账户转出。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3、有下列情形之一的，属于提供虚假材料谋取成交的行为：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（1）使用伪造、变造的许可证件；</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（2）提供虚假的财务状况或者业绩；</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（3）提供虚假的项目负责人或者主要技术人员简历、劳动关系证明；</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（4）提供虚假的信用状况；</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（5）其他弄虚作假的行为。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br w:type="page"/>
      </w:r>
    </w:p>
    <w:p>
      <w:pPr>
        <w:jc w:val="center"/>
        <w:rPr>
          <w:rFonts w:ascii="仿宋_GB2312" w:hAnsi="仿宋_GB2312" w:eastAsia="仿宋_GB2312" w:cs="仿宋_GB2312"/>
          <w:b/>
          <w:color w:val="auto"/>
          <w:sz w:val="30"/>
          <w:szCs w:val="30"/>
          <w:highlight w:val="none"/>
        </w:rPr>
      </w:pPr>
      <w:bookmarkStart w:id="408" w:name="_Toc7005048"/>
      <w:bookmarkStart w:id="409" w:name="_Toc414446034"/>
      <w:bookmarkStart w:id="410" w:name="_Toc410631198"/>
      <w:r>
        <w:rPr>
          <w:rFonts w:hint="eastAsia" w:ascii="仿宋_GB2312" w:hAnsi="仿宋_GB2312" w:eastAsia="仿宋_GB2312" w:cs="仿宋_GB2312"/>
          <w:b/>
          <w:color w:val="auto"/>
          <w:sz w:val="30"/>
          <w:szCs w:val="30"/>
          <w:highlight w:val="none"/>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（满分100分）</w:t>
      </w:r>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b/>
          <w:color w:val="auto"/>
          <w:szCs w:val="21"/>
          <w:highlight w:val="none"/>
        </w:rPr>
      </w:pPr>
    </w:p>
    <w:tbl>
      <w:tblPr>
        <w:tblStyle w:val="50"/>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938"/>
        <w:gridCol w:w="6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评标</w:t>
            </w:r>
          </w:p>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因素</w:t>
            </w:r>
          </w:p>
        </w:tc>
        <w:tc>
          <w:tcPr>
            <w:tcW w:w="938" w:type="dxa"/>
            <w:tcBorders>
              <w:top w:val="single" w:color="auto" w:sz="4" w:space="0"/>
              <w:left w:val="single" w:color="auto" w:sz="4" w:space="0"/>
              <w:right w:val="single" w:color="auto" w:sz="4" w:space="0"/>
            </w:tcBorders>
            <w:vAlign w:val="center"/>
          </w:tcPr>
          <w:p>
            <w:pPr>
              <w:adjustRightInd w:val="0"/>
              <w:snapToGrid w:val="0"/>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权值</w:t>
            </w:r>
          </w:p>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6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价格</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6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满足磋商文件要求且最后报价最低的供应商的价格为磋商基准价，其价格分为满分。其他供应商的价格分统一按照下列公式计算：磋商报价得分=（磋商基准价/最后磋商报价）×价格权值；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合同草案条款</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5</w:t>
            </w:r>
          </w:p>
        </w:tc>
        <w:tc>
          <w:tcPr>
            <w:tcW w:w="6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70" w:firstLineChars="196"/>
              <w:rPr>
                <w:rFonts w:ascii="仿宋" w:hAnsi="仿宋" w:eastAsia="仿宋" w:cs="仿宋"/>
                <w:color w:val="auto"/>
                <w:sz w:val="24"/>
                <w:highlight w:val="none"/>
              </w:rPr>
            </w:pPr>
            <w:r>
              <w:rPr>
                <w:rFonts w:hint="eastAsia" w:ascii="仿宋" w:hAnsi="仿宋" w:eastAsia="仿宋" w:cs="仿宋"/>
                <w:color w:val="auto"/>
                <w:sz w:val="24"/>
                <w:highlight w:val="none"/>
              </w:rPr>
              <w:t>经过资格审查合格的供应商，磋商响应文件中对付款、验收、服务保证等方面进行响应说明 ，按其响应程度计0～5分。无响应说明的不计分。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技术方案</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40</w:t>
            </w:r>
          </w:p>
        </w:tc>
        <w:tc>
          <w:tcPr>
            <w:tcW w:w="6676" w:type="dxa"/>
            <w:tcBorders>
              <w:top w:val="single" w:color="auto" w:sz="4" w:space="0"/>
              <w:left w:val="single" w:color="auto" w:sz="4" w:space="0"/>
              <w:bottom w:val="single" w:color="auto" w:sz="4" w:space="0"/>
              <w:right w:val="single" w:color="auto" w:sz="4" w:space="0"/>
            </w:tcBorders>
            <w:vAlign w:val="center"/>
          </w:tcPr>
          <w:p>
            <w:pPr>
              <w:pStyle w:val="14"/>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1、对本项目的工作内容理解清晰、全面，能清楚描述本次工作任务目标，根据响应程度计0～5分。</w:t>
            </w:r>
          </w:p>
          <w:p>
            <w:pPr>
              <w:pStyle w:val="14"/>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rPr>
              <w:t>项目参与渠道、流程及版块设置方案，详细完整，合理科学。按其响应程度计0～5分。</w:t>
            </w:r>
          </w:p>
          <w:p>
            <w:pPr>
              <w:pStyle w:val="14"/>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3、提供设备清单，根据设备清单的表述详细程度及设备的合理及先进性进行综合打分，根据响应程度计0～5分。</w:t>
            </w:r>
          </w:p>
          <w:p>
            <w:pPr>
              <w:pStyle w:val="14"/>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4、项目总体设计思路清晰、全面，对项目把握准确，重点突出，技术建议叙述完整合理，根据响应程度计0～5分。</w:t>
            </w:r>
          </w:p>
          <w:p>
            <w:pPr>
              <w:pStyle w:val="14"/>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5、提供本项目在活动筹备、举办期间的现场服务方案，根据方案内容合理可行程度</w:t>
            </w:r>
            <w:r>
              <w:rPr>
                <w:rFonts w:hint="eastAsia" w:ascii="仿宋" w:hAnsi="仿宋" w:eastAsia="仿宋" w:cs="仿宋"/>
                <w:color w:val="auto"/>
                <w:kern w:val="2"/>
                <w:sz w:val="24"/>
                <w:szCs w:val="24"/>
                <w:highlight w:val="none"/>
                <w:lang w:val="en-US" w:eastAsia="zh-CN" w:bidi="ar-SA"/>
              </w:rPr>
              <w:t>根据响应程度计0～5分。</w:t>
            </w:r>
          </w:p>
          <w:p>
            <w:pPr>
              <w:pStyle w:val="14"/>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6、项目的实施计划、实施策略完备清晰；工作进度安排合理；团队保障能力强；根据响应程度计0～5分。</w:t>
            </w:r>
          </w:p>
          <w:p>
            <w:pPr>
              <w:pStyle w:val="14"/>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7、针对本项目可能发生的突发事件具有成熟的应急方案及措施，具体明确，内容完整，可操作性强，根据响应程度计0～5分。</w:t>
            </w:r>
          </w:p>
          <w:p>
            <w:pPr>
              <w:pStyle w:val="14"/>
              <w:numPr>
                <w:ilvl w:val="0"/>
                <w:numId w:val="0"/>
              </w:numPr>
              <w:spacing w:line="360" w:lineRule="auto"/>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8、根据疫情防控要求制定防疫措施，根据措施合理可行程度计0～5分。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sz w:val="24"/>
              </w:rPr>
              <w:t>人员配备</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auto"/>
                <w:sz w:val="24"/>
                <w:highlight w:val="none"/>
                <w:lang w:val="en-US" w:eastAsia="zh-CN"/>
              </w:rPr>
            </w:pPr>
            <w:r>
              <w:rPr>
                <w:rFonts w:hint="eastAsia" w:ascii="仿宋" w:hAnsi="仿宋" w:eastAsia="仿宋" w:cs="仿宋"/>
                <w:sz w:val="24"/>
              </w:rPr>
              <w:t>10</w:t>
            </w:r>
          </w:p>
        </w:tc>
        <w:tc>
          <w:tcPr>
            <w:tcW w:w="6676"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480" w:firstLineChars="200"/>
              <w:rPr>
                <w:rFonts w:ascii="仿宋" w:hAnsi="仿宋" w:eastAsia="仿宋" w:cs="仿宋"/>
                <w:color w:val="auto"/>
              </w:rPr>
            </w:pPr>
            <w:r>
              <w:rPr>
                <w:rFonts w:hint="eastAsia" w:ascii="仿宋" w:hAnsi="仿宋" w:eastAsia="仿宋" w:cs="仿宋"/>
                <w:color w:val="auto"/>
              </w:rPr>
              <w:t>1、项目负责人有丰富的相关领域工作经验或者曾承担过相关工作的主要负责人（须提供业绩证明，项目负责人的业绩与供应商的业绩不重复计分）；项目负责人具有较强的专业能力，磋商小组根据投入本项目负责人的专业程度、工作年限、工作经验进行自主赋分，根据响应程度计0～5分</w:t>
            </w:r>
          </w:p>
          <w:p>
            <w:pPr>
              <w:pStyle w:val="14"/>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rPr>
              <w:t>2、有专业的策划、宣传服务和执行团队；拟派项目团队人员数量及专业安排合理、岗位职责明确清晰，满足本项目需求。按其响应程度计0～5分；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服务保障</w:t>
            </w:r>
            <w:r>
              <w:rPr>
                <w:rFonts w:hint="eastAsia" w:ascii="仿宋" w:hAnsi="仿宋" w:eastAsia="仿宋" w:cs="仿宋"/>
                <w:color w:val="auto"/>
                <w:sz w:val="24"/>
                <w:highlight w:val="none"/>
                <w:lang w:val="en-US" w:eastAsia="zh-CN"/>
              </w:rPr>
              <w:t>及承诺</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6676" w:type="dxa"/>
            <w:tcBorders>
              <w:top w:val="single" w:color="auto" w:sz="4" w:space="0"/>
              <w:left w:val="single" w:color="auto" w:sz="4" w:space="0"/>
              <w:bottom w:val="single" w:color="auto" w:sz="4" w:space="0"/>
              <w:right w:val="single" w:color="auto" w:sz="4" w:space="0"/>
            </w:tcBorders>
            <w:vAlign w:val="center"/>
          </w:tcPr>
          <w:p>
            <w:pPr>
              <w:pStyle w:val="14"/>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1、供应商针对本项目及采购人实际需求提供优质的服务承诺，按其响应程度计0～5分。</w:t>
            </w:r>
          </w:p>
          <w:p>
            <w:pPr>
              <w:pStyle w:val="14"/>
              <w:numPr>
                <w:ilvl w:val="0"/>
                <w:numId w:val="0"/>
              </w:numPr>
              <w:spacing w:line="360" w:lineRule="auto"/>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2、供应商针对本项目有良好、积极的工作态度，能够在会务现场及时配合采购人的工作，提供相应承诺，供应商针对本项目提供切实可行的保密措施及承诺，对其所获取的信息保密，按其响应程度计0～5分。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业</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绩</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6676"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480" w:firstLineChars="200"/>
              <w:rPr>
                <w:rFonts w:ascii="仿宋" w:hAnsi="仿宋" w:eastAsia="仿宋" w:cs="仿宋"/>
                <w:color w:val="auto"/>
                <w:highlight w:val="none"/>
                <w:lang w:val="zh-CN"/>
              </w:rPr>
            </w:pPr>
            <w:r>
              <w:rPr>
                <w:rFonts w:hint="eastAsia" w:ascii="仿宋" w:hAnsi="仿宋" w:eastAsia="仿宋" w:cs="仿宋"/>
                <w:color w:val="auto"/>
                <w:highlight w:val="none"/>
                <w:lang w:val="zh-CN"/>
              </w:rPr>
              <w:t>提供201</w:t>
            </w:r>
            <w:r>
              <w:rPr>
                <w:rFonts w:hint="eastAsia" w:ascii="仿宋" w:hAnsi="仿宋" w:eastAsia="仿宋" w:cs="仿宋"/>
                <w:color w:val="auto"/>
                <w:highlight w:val="none"/>
              </w:rPr>
              <w:t>9</w:t>
            </w:r>
            <w:r>
              <w:rPr>
                <w:rFonts w:hint="eastAsia" w:ascii="仿宋" w:hAnsi="仿宋" w:eastAsia="仿宋" w:cs="仿宋"/>
                <w:color w:val="auto"/>
                <w:highlight w:val="none"/>
                <w:lang w:val="zh-CN"/>
              </w:rPr>
              <w:t>年至今同类项目业绩，投标文件中附有其合同或中标通知书作为证明文件，每提供一个业绩证明材料计</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分，满分</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val="zh-CN"/>
              </w:rPr>
              <w:t>。（未提供或提供不全不得分）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服务能力</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6676"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1.供应商在人力资源服务行业拥有丰富的经验，评审专家进行横向比较</w:t>
            </w:r>
            <w:r>
              <w:rPr>
                <w:rFonts w:hint="eastAsia" w:ascii="仿宋" w:hAnsi="仿宋" w:eastAsia="仿宋" w:cs="仿宋"/>
                <w:color w:val="auto"/>
                <w:highlight w:val="none"/>
                <w:lang w:val="en-US" w:eastAsia="zh-CN"/>
              </w:rPr>
              <w:t>计0～5分。</w:t>
            </w:r>
          </w:p>
          <w:p>
            <w:pPr>
              <w:pStyle w:val="14"/>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2、供应商拥有自有的网络招聘平台，可提供在线网络招聘会服务且具有自有人才库，评审专家进行横向比较计0-5分。</w:t>
            </w:r>
          </w:p>
          <w:p>
            <w:pPr>
              <w:pStyle w:val="14"/>
              <w:spacing w:line="360" w:lineRule="auto"/>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zh-CN" w:eastAsia="zh-CN"/>
              </w:rPr>
              <w:t>、供应商提出有利于采购人降低会务成本及提高服务质量且切实可行措施承诺，按其响应程度计0～5分。</w:t>
            </w:r>
          </w:p>
        </w:tc>
      </w:tr>
    </w:tbl>
    <w:p>
      <w:pPr>
        <w:jc w:val="center"/>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color w:val="auto"/>
          <w:szCs w:val="21"/>
          <w:highlight w:val="none"/>
        </w:rPr>
        <w:br w:type="page"/>
      </w:r>
    </w:p>
    <w:p>
      <w:pPr>
        <w:pStyle w:val="46"/>
        <w:spacing w:line="360" w:lineRule="auto"/>
        <w:rPr>
          <w:rStyle w:val="203"/>
          <w:rFonts w:ascii="宋体" w:hAnsi="宋体" w:eastAsia="宋体"/>
          <w:color w:val="auto"/>
          <w:sz w:val="36"/>
          <w:szCs w:val="36"/>
          <w:highlight w:val="none"/>
        </w:rPr>
      </w:pPr>
      <w:bookmarkStart w:id="411" w:name="_Toc68590979"/>
      <w:r>
        <w:rPr>
          <w:rStyle w:val="203"/>
          <w:rFonts w:hint="eastAsia" w:ascii="宋体" w:hAnsi="宋体" w:eastAsia="宋体"/>
          <w:color w:val="auto"/>
          <w:sz w:val="36"/>
          <w:szCs w:val="36"/>
          <w:highlight w:val="none"/>
        </w:rPr>
        <w:t>第四章  合同草案条款</w:t>
      </w:r>
      <w:bookmarkEnd w:id="19"/>
      <w:bookmarkEnd w:id="393"/>
      <w:bookmarkEnd w:id="394"/>
      <w:bookmarkEnd w:id="411"/>
      <w:bookmarkStart w:id="412" w:name="_Toc256342152"/>
      <w:bookmarkStart w:id="413" w:name="_Toc177817344"/>
      <w:bookmarkStart w:id="414" w:name="_Toc500747106"/>
      <w:bookmarkStart w:id="415" w:name="_Toc249515369"/>
      <w:bookmarkStart w:id="416" w:name="_Toc230013638"/>
      <w:bookmarkStart w:id="417" w:name="_Toc232176282"/>
      <w:bookmarkStart w:id="418" w:name="_Toc415499897"/>
      <w:bookmarkStart w:id="419" w:name="_Toc499711087"/>
      <w:bookmarkStart w:id="420" w:name="_Toc230583552"/>
      <w:bookmarkStart w:id="421" w:name="_Toc53722865"/>
      <w:bookmarkStart w:id="422" w:name="_Toc500747233"/>
      <w:bookmarkStart w:id="423" w:name="_Toc249525250"/>
      <w:bookmarkStart w:id="424" w:name="_Toc28450"/>
      <w:bookmarkStart w:id="425" w:name="_Toc176882552"/>
      <w:bookmarkStart w:id="426" w:name="_Toc503063458"/>
      <w:bookmarkStart w:id="427" w:name="_Toc184043058"/>
      <w:bookmarkStart w:id="428" w:name="_Toc499711928"/>
      <w:bookmarkStart w:id="429" w:name="_Toc249515482"/>
      <w:bookmarkStart w:id="430" w:name="_Toc70687202"/>
      <w:bookmarkStart w:id="431" w:name="_Toc177189245"/>
      <w:bookmarkStart w:id="432" w:name="_Toc232395222"/>
      <w:bookmarkStart w:id="433" w:name="_Toc500747010"/>
      <w:bookmarkStart w:id="434" w:name="_Toc230099803"/>
      <w:bookmarkStart w:id="435" w:name="_Toc177995483"/>
      <w:bookmarkStart w:id="436" w:name="_Toc496324623"/>
      <w:bookmarkStart w:id="437" w:name="_Toc492955459"/>
    </w:p>
    <w:p>
      <w:pPr>
        <w:adjustRightInd w:val="0"/>
        <w:snapToGrid w:val="0"/>
        <w:spacing w:line="360" w:lineRule="auto"/>
        <w:ind w:firstLine="480" w:firstLineChars="200"/>
        <w:rPr>
          <w:rFonts w:ascii="仿宋_GB2312" w:hAnsi="仿宋_GB2312" w:eastAsia="仿宋_GB2312" w:cs="仿宋_GB2312"/>
          <w:color w:val="auto"/>
          <w:sz w:val="24"/>
          <w:highlight w:val="none"/>
        </w:rPr>
      </w:pPr>
    </w:p>
    <w:p>
      <w:pPr>
        <w:widowControl/>
        <w:autoSpaceDE w:val="0"/>
        <w:autoSpaceDN w:val="0"/>
        <w:spacing w:line="360" w:lineRule="auto"/>
        <w:ind w:right="51"/>
        <w:jc w:val="center"/>
        <w:textAlignment w:val="bottom"/>
        <w:rPr>
          <w:rFonts w:hint="eastAsia" w:ascii="黑体" w:hAnsi="黑体" w:eastAsia="黑体"/>
          <w:b/>
          <w:color w:val="000000"/>
          <w:kern w:val="44"/>
          <w:sz w:val="28"/>
          <w:szCs w:val="28"/>
        </w:rPr>
      </w:pPr>
      <w:bookmarkStart w:id="438" w:name="_Toc58504448"/>
      <w:bookmarkStart w:id="439" w:name="_Toc68590980"/>
      <w:r>
        <w:rPr>
          <w:rFonts w:hint="eastAsia" w:ascii="黑体" w:hAnsi="黑体" w:eastAsia="黑体"/>
          <w:b/>
          <w:color w:val="000000"/>
          <w:kern w:val="44"/>
          <w:sz w:val="28"/>
          <w:szCs w:val="28"/>
        </w:rPr>
        <w:t>（本合同只作为参考，最终以采购人所出具合同版本为准）</w:t>
      </w:r>
    </w:p>
    <w:p>
      <w:pPr>
        <w:rPr>
          <w:rFonts w:hint="eastAsia" w:ascii="仿宋_GB2312" w:hAnsi="楷体" w:eastAsia="仿宋_GB2312"/>
          <w:color w:val="000000"/>
          <w:sz w:val="32"/>
          <w:szCs w:val="32"/>
        </w:rPr>
      </w:pPr>
      <w:r>
        <w:rPr>
          <w:rFonts w:hint="eastAsia" w:ascii="仿宋_GB2312" w:hAnsi="楷体" w:eastAsia="仿宋_GB2312"/>
          <w:color w:val="000000"/>
          <w:sz w:val="32"/>
          <w:szCs w:val="32"/>
        </w:rPr>
        <w:t>采购编号：</w:t>
      </w:r>
    </w:p>
    <w:p>
      <w:pPr>
        <w:pStyle w:val="2"/>
      </w:pPr>
    </w:p>
    <w:p>
      <w:pPr>
        <w:rPr>
          <w:color w:val="000000"/>
        </w:rPr>
      </w:pPr>
    </w:p>
    <w:p>
      <w:pPr>
        <w:jc w:val="center"/>
        <w:rPr>
          <w:rFonts w:hint="eastAsia" w:ascii="仿宋_GB2312" w:hAnsi="楷体" w:eastAsia="仿宋_GB2312"/>
          <w:color w:val="000000"/>
          <w:sz w:val="32"/>
          <w:szCs w:val="32"/>
        </w:rPr>
      </w:pPr>
      <w:r>
        <w:rPr>
          <w:rFonts w:hint="eastAsia" w:ascii="仿宋_GB2312" w:hAnsi="楷体" w:eastAsia="仿宋_GB2312"/>
          <w:color w:val="000000"/>
          <w:sz w:val="32"/>
          <w:szCs w:val="32"/>
        </w:rPr>
        <w:t>西安市人才服务中心</w:t>
      </w:r>
    </w:p>
    <w:p>
      <w:pPr>
        <w:jc w:val="center"/>
        <w:rPr>
          <w:rFonts w:hint="eastAsia" w:ascii="仿宋_GB2312" w:hAnsi="楷体" w:eastAsia="仿宋_GB2312"/>
          <w:color w:val="000000"/>
          <w:sz w:val="32"/>
          <w:szCs w:val="32"/>
        </w:rPr>
      </w:pPr>
      <w:r>
        <w:rPr>
          <w:rFonts w:hint="eastAsia" w:ascii="仿宋_GB2312" w:hAnsi="楷体" w:eastAsia="仿宋_GB2312"/>
          <w:color w:val="000000"/>
          <w:sz w:val="32"/>
          <w:szCs w:val="32"/>
          <w:lang w:eastAsia="zh-CN"/>
        </w:rPr>
        <w:t>“</w:t>
      </w:r>
      <w:r>
        <w:rPr>
          <w:rFonts w:hint="default" w:ascii="仿宋_GB2312" w:hAnsi="楷体" w:eastAsia="仿宋_GB2312"/>
          <w:color w:val="000000"/>
          <w:sz w:val="32"/>
          <w:szCs w:val="32"/>
          <w:lang w:val="en-US" w:eastAsia="zh-CN"/>
        </w:rPr>
        <w:t>2022</w:t>
      </w:r>
      <w:r>
        <w:rPr>
          <w:rFonts w:hint="eastAsia" w:ascii="仿宋_GB2312" w:hAnsi="楷体" w:eastAsia="仿宋_GB2312"/>
          <w:color w:val="000000"/>
          <w:sz w:val="32"/>
          <w:szCs w:val="32"/>
          <w:lang w:val="en-US" w:eastAsia="zh-CN"/>
        </w:rPr>
        <w:t>年度海外赤子为国服务行动计划暨第六届中国西安留学回国人才招聘节</w:t>
      </w:r>
      <w:r>
        <w:rPr>
          <w:rFonts w:hint="eastAsia" w:ascii="仿宋_GB2312" w:hAnsi="楷体" w:eastAsia="仿宋_GB2312"/>
          <w:color w:val="000000"/>
          <w:sz w:val="32"/>
          <w:szCs w:val="32"/>
        </w:rPr>
        <w:t>”会务服务单位采购项目</w:t>
      </w:r>
    </w:p>
    <w:p>
      <w:pPr>
        <w:jc w:val="center"/>
        <w:rPr>
          <w:color w:val="000000"/>
          <w:sz w:val="52"/>
          <w:szCs w:val="52"/>
        </w:rPr>
      </w:pPr>
    </w:p>
    <w:p>
      <w:pPr>
        <w:jc w:val="center"/>
        <w:rPr>
          <w:color w:val="000000"/>
        </w:rPr>
      </w:pPr>
    </w:p>
    <w:p>
      <w:pPr>
        <w:rPr>
          <w:color w:val="000000"/>
        </w:rPr>
      </w:pPr>
    </w:p>
    <w:p>
      <w:pPr>
        <w:rPr>
          <w:rFonts w:hint="eastAsia"/>
          <w:color w:val="000000"/>
        </w:rPr>
      </w:pPr>
    </w:p>
    <w:p>
      <w:pPr>
        <w:rPr>
          <w:rFonts w:hint="eastAsia"/>
          <w:color w:val="000000"/>
        </w:rPr>
      </w:pPr>
    </w:p>
    <w:p>
      <w:pPr>
        <w:rPr>
          <w:color w:val="000000"/>
        </w:rPr>
      </w:pPr>
    </w:p>
    <w:p>
      <w:pPr>
        <w:tabs>
          <w:tab w:val="left" w:pos="735"/>
        </w:tabs>
        <w:autoSpaceDE w:val="0"/>
        <w:autoSpaceDN w:val="0"/>
        <w:adjustRightInd w:val="0"/>
        <w:snapToGrid w:val="0"/>
        <w:spacing w:line="360" w:lineRule="auto"/>
        <w:ind w:firstLine="631"/>
        <w:rPr>
          <w:rFonts w:hint="eastAsia" w:ascii="仿宋" w:hAnsi="仿宋" w:eastAsia="仿宋" w:cs="仿宋"/>
          <w:bCs/>
          <w:color w:val="auto"/>
          <w:sz w:val="28"/>
          <w:szCs w:val="28"/>
          <w:highlight w:val="none"/>
          <w:lang w:val="zh-CN"/>
        </w:rPr>
      </w:pPr>
      <w:r>
        <w:rPr>
          <w:rFonts w:hint="eastAsia" w:ascii="仿宋" w:hAnsi="仿宋" w:eastAsia="仿宋" w:cs="仿宋"/>
          <w:b/>
          <w:bCs w:val="0"/>
          <w:color w:val="auto"/>
          <w:sz w:val="28"/>
          <w:szCs w:val="28"/>
          <w:highlight w:val="none"/>
          <w:lang w:val="zh-CN"/>
        </w:rPr>
        <w:t>甲方(采购人):</w:t>
      </w:r>
      <w:r>
        <w:rPr>
          <w:rFonts w:hint="eastAsia" w:ascii="仿宋" w:hAnsi="仿宋" w:eastAsia="仿宋" w:cs="仿宋"/>
          <w:bCs/>
          <w:color w:val="auto"/>
          <w:sz w:val="28"/>
          <w:szCs w:val="28"/>
          <w:highlight w:val="none"/>
          <w:lang w:val="zh-CN"/>
        </w:rPr>
        <w:t>西安市人才服务中心</w:t>
      </w:r>
    </w:p>
    <w:p>
      <w:pPr>
        <w:tabs>
          <w:tab w:val="left" w:pos="735"/>
        </w:tabs>
        <w:autoSpaceDE w:val="0"/>
        <w:autoSpaceDN w:val="0"/>
        <w:adjustRightInd w:val="0"/>
        <w:snapToGrid w:val="0"/>
        <w:spacing w:line="360" w:lineRule="auto"/>
        <w:ind w:firstLine="631"/>
        <w:rPr>
          <w:rFonts w:hint="eastAsia" w:ascii="仿宋" w:hAnsi="仿宋" w:eastAsia="仿宋" w:cs="仿宋"/>
          <w:b/>
          <w:bCs w:val="0"/>
          <w:color w:val="auto"/>
          <w:sz w:val="28"/>
          <w:szCs w:val="28"/>
          <w:highlight w:val="none"/>
          <w:lang w:val="zh-CN"/>
        </w:rPr>
      </w:pPr>
      <w:r>
        <w:rPr>
          <w:rFonts w:hint="eastAsia" w:ascii="仿宋" w:hAnsi="仿宋" w:eastAsia="仿宋" w:cs="仿宋"/>
          <w:b/>
          <w:bCs w:val="0"/>
          <w:color w:val="auto"/>
          <w:sz w:val="28"/>
          <w:szCs w:val="28"/>
          <w:highlight w:val="none"/>
          <w:lang w:val="zh-CN"/>
        </w:rPr>
        <w:t>乙方(供应商):</w:t>
      </w:r>
    </w:p>
    <w:p>
      <w:pPr>
        <w:tabs>
          <w:tab w:val="left" w:pos="735"/>
        </w:tabs>
        <w:autoSpaceDE w:val="0"/>
        <w:autoSpaceDN w:val="0"/>
        <w:adjustRightInd w:val="0"/>
        <w:snapToGrid w:val="0"/>
        <w:spacing w:line="360" w:lineRule="auto"/>
        <w:ind w:firstLine="631"/>
        <w:rPr>
          <w:rFonts w:hint="eastAsia" w:ascii="仿宋" w:hAnsi="仿宋" w:eastAsia="仿宋" w:cs="仿宋"/>
          <w:bCs/>
          <w:color w:val="auto"/>
          <w:sz w:val="28"/>
          <w:szCs w:val="28"/>
          <w:highlight w:val="none"/>
          <w:lang w:val="zh-CN"/>
        </w:rPr>
      </w:pPr>
      <w:r>
        <w:rPr>
          <w:rFonts w:hint="eastAsia" w:ascii="仿宋" w:hAnsi="仿宋" w:eastAsia="仿宋" w:cs="仿宋"/>
          <w:b/>
          <w:bCs w:val="0"/>
          <w:color w:val="auto"/>
          <w:sz w:val="28"/>
          <w:szCs w:val="28"/>
          <w:highlight w:val="none"/>
          <w:lang w:val="zh-CN"/>
        </w:rPr>
        <w:t>鉴证方（招标公司）：</w:t>
      </w:r>
      <w:r>
        <w:rPr>
          <w:rFonts w:hint="eastAsia" w:ascii="仿宋" w:hAnsi="仿宋" w:eastAsia="仿宋" w:cs="仿宋"/>
          <w:bCs/>
          <w:color w:val="auto"/>
          <w:sz w:val="28"/>
          <w:szCs w:val="28"/>
          <w:highlight w:val="none"/>
          <w:lang w:val="zh-CN"/>
        </w:rPr>
        <w:t>陕西省采购招标有限责任公司</w:t>
      </w:r>
    </w:p>
    <w:p>
      <w:pPr>
        <w:rPr>
          <w:rFonts w:hint="eastAsia"/>
          <w:color w:val="000000"/>
        </w:rPr>
      </w:pPr>
    </w:p>
    <w:p>
      <w:pPr>
        <w:rPr>
          <w:color w:val="000000"/>
        </w:rPr>
      </w:pPr>
    </w:p>
    <w:p>
      <w:pPr>
        <w:pStyle w:val="2"/>
      </w:pPr>
    </w:p>
    <w:p>
      <w:pPr>
        <w:rPr>
          <w:color w:val="000000"/>
        </w:rPr>
      </w:pPr>
    </w:p>
    <w:p>
      <w:pPr>
        <w:jc w:val="center"/>
        <w:rPr>
          <w:rFonts w:hint="eastAsia" w:ascii="仿宋_GB2312" w:hAnsi="楷体" w:eastAsia="仿宋_GB2312"/>
          <w:color w:val="000000"/>
          <w:sz w:val="32"/>
          <w:szCs w:val="32"/>
          <w:lang w:val="zh-CN" w:eastAsia="zh-CN"/>
        </w:rPr>
      </w:pPr>
      <w:r>
        <w:rPr>
          <w:rFonts w:hint="eastAsia" w:ascii="仿宋_GB2312" w:hAnsi="楷体" w:eastAsia="仿宋_GB2312"/>
          <w:color w:val="000000"/>
          <w:sz w:val="32"/>
          <w:szCs w:val="32"/>
          <w:lang w:val="zh-CN" w:eastAsia="zh-CN"/>
        </w:rPr>
        <w:t>签订日期:202</w:t>
      </w:r>
      <w:r>
        <w:rPr>
          <w:rFonts w:hint="eastAsia" w:ascii="仿宋_GB2312" w:hAnsi="楷体" w:eastAsia="仿宋_GB2312"/>
          <w:color w:val="000000"/>
          <w:sz w:val="32"/>
          <w:szCs w:val="32"/>
          <w:lang w:val="en-US" w:eastAsia="zh-CN"/>
        </w:rPr>
        <w:t>2</w:t>
      </w:r>
      <w:r>
        <w:rPr>
          <w:rFonts w:hint="eastAsia" w:ascii="仿宋_GB2312" w:hAnsi="楷体" w:eastAsia="仿宋_GB2312"/>
          <w:color w:val="000000"/>
          <w:sz w:val="32"/>
          <w:szCs w:val="32"/>
          <w:lang w:val="zh-CN" w:eastAsia="zh-CN"/>
        </w:rPr>
        <w:t xml:space="preserve">年 </w:t>
      </w:r>
      <w:r>
        <w:rPr>
          <w:rFonts w:hint="eastAsia" w:ascii="仿宋_GB2312" w:hAnsi="楷体" w:eastAsia="仿宋_GB2312"/>
          <w:color w:val="000000"/>
          <w:sz w:val="32"/>
          <w:szCs w:val="32"/>
          <w:lang w:val="en-US" w:eastAsia="zh-CN"/>
        </w:rPr>
        <w:t xml:space="preserve">  </w:t>
      </w:r>
      <w:r>
        <w:rPr>
          <w:rFonts w:hint="eastAsia" w:ascii="仿宋_GB2312" w:hAnsi="楷体" w:eastAsia="仿宋_GB2312"/>
          <w:color w:val="000000"/>
          <w:sz w:val="32"/>
          <w:szCs w:val="32"/>
          <w:lang w:val="zh-CN" w:eastAsia="zh-CN"/>
        </w:rPr>
        <w:t>月   日</w:t>
      </w:r>
    </w:p>
    <w:p>
      <w:pPr>
        <w:jc w:val="center"/>
        <w:rPr>
          <w:color w:val="000000"/>
        </w:rPr>
        <w:sectPr>
          <w:pgSz w:w="11906" w:h="16838"/>
          <w:pgMar w:top="1440" w:right="1800" w:bottom="1440" w:left="1800" w:header="851" w:footer="992" w:gutter="0"/>
          <w:cols w:space="720" w:num="1"/>
          <w:docGrid w:type="lines" w:linePitch="312" w:charSpace="0"/>
        </w:sectPr>
      </w:pPr>
    </w:p>
    <w:p>
      <w:pPr>
        <w:jc w:val="center"/>
        <w:rPr>
          <w:rFonts w:hint="eastAsia" w:ascii="仿宋_GB2312" w:hAnsi="楷体" w:eastAsia="仿宋_GB2312"/>
          <w:color w:val="000000"/>
          <w:sz w:val="32"/>
          <w:szCs w:val="32"/>
          <w:lang w:val="en-US" w:eastAsia="zh-CN"/>
        </w:rPr>
      </w:pPr>
      <w:r>
        <w:rPr>
          <w:rFonts w:hint="eastAsia" w:ascii="仿宋_GB2312" w:hAnsi="楷体" w:eastAsia="仿宋_GB2312"/>
          <w:color w:val="000000"/>
          <w:sz w:val="32"/>
          <w:szCs w:val="32"/>
          <w:lang w:val="en-US" w:eastAsia="zh-CN"/>
        </w:rPr>
        <w:t>西安市人才服务中心</w:t>
      </w:r>
    </w:p>
    <w:p>
      <w:pPr>
        <w:jc w:val="center"/>
        <w:rPr>
          <w:rFonts w:hint="eastAsia" w:ascii="仿宋_GB2312" w:hAnsi="楷体" w:eastAsia="仿宋_GB2312"/>
          <w:color w:val="000000"/>
          <w:sz w:val="32"/>
          <w:szCs w:val="32"/>
          <w:lang w:val="en-US" w:eastAsia="zh-CN"/>
        </w:rPr>
      </w:pPr>
      <w:r>
        <w:rPr>
          <w:rFonts w:hint="eastAsia" w:ascii="仿宋_GB2312" w:hAnsi="楷体" w:eastAsia="仿宋_GB2312"/>
          <w:color w:val="000000"/>
          <w:sz w:val="32"/>
          <w:szCs w:val="32"/>
          <w:lang w:val="en-US" w:eastAsia="zh-CN"/>
        </w:rPr>
        <w:t>“</w:t>
      </w:r>
      <w:r>
        <w:rPr>
          <w:rFonts w:hint="default" w:ascii="仿宋_GB2312" w:hAnsi="楷体" w:eastAsia="仿宋_GB2312"/>
          <w:color w:val="000000"/>
          <w:sz w:val="32"/>
          <w:szCs w:val="32"/>
          <w:lang w:val="en-US" w:eastAsia="zh-CN"/>
        </w:rPr>
        <w:t>2022</w:t>
      </w:r>
      <w:r>
        <w:rPr>
          <w:rFonts w:hint="eastAsia" w:ascii="仿宋_GB2312" w:hAnsi="楷体" w:eastAsia="仿宋_GB2312"/>
          <w:color w:val="000000"/>
          <w:sz w:val="32"/>
          <w:szCs w:val="32"/>
          <w:lang w:val="en-US" w:eastAsia="zh-CN"/>
        </w:rPr>
        <w:t>年度海外赤子为国服务行动计划暨</w:t>
      </w:r>
    </w:p>
    <w:p>
      <w:pPr>
        <w:jc w:val="center"/>
        <w:rPr>
          <w:rFonts w:hint="eastAsia" w:ascii="仿宋_GB2312" w:hAnsi="楷体" w:eastAsia="仿宋_GB2312"/>
          <w:color w:val="000000"/>
          <w:sz w:val="32"/>
          <w:szCs w:val="32"/>
          <w:lang w:val="en-US" w:eastAsia="zh-CN"/>
        </w:rPr>
      </w:pPr>
      <w:r>
        <w:rPr>
          <w:rFonts w:hint="eastAsia" w:ascii="仿宋_GB2312" w:hAnsi="楷体" w:eastAsia="仿宋_GB2312"/>
          <w:color w:val="000000"/>
          <w:sz w:val="32"/>
          <w:szCs w:val="32"/>
          <w:lang w:val="en-US" w:eastAsia="zh-CN"/>
        </w:rPr>
        <w:t>第六届中国西安留学回国人才招聘节”</w:t>
      </w:r>
    </w:p>
    <w:p>
      <w:pPr>
        <w:jc w:val="center"/>
        <w:rPr>
          <w:rFonts w:hint="eastAsia" w:ascii="仿宋_GB2312" w:hAnsi="楷体" w:eastAsia="仿宋_GB2312"/>
          <w:color w:val="000000"/>
          <w:sz w:val="32"/>
          <w:szCs w:val="32"/>
          <w:lang w:val="en-US" w:eastAsia="zh-CN"/>
        </w:rPr>
      </w:pPr>
      <w:r>
        <w:rPr>
          <w:rFonts w:hint="eastAsia" w:ascii="仿宋_GB2312" w:hAnsi="楷体" w:eastAsia="仿宋_GB2312"/>
          <w:color w:val="000000"/>
          <w:sz w:val="32"/>
          <w:szCs w:val="32"/>
          <w:lang w:val="en-US" w:eastAsia="zh-CN"/>
        </w:rPr>
        <w:t>会务服务单位采购项目</w:t>
      </w:r>
    </w:p>
    <w:p>
      <w:pPr>
        <w:spacing w:line="480" w:lineRule="auto"/>
        <w:rPr>
          <w:rFonts w:hint="eastAsia"/>
          <w:color w:val="000000"/>
        </w:rPr>
      </w:pP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甲方(采购人):西安市人才服务中心</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乙方(供应商):</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鉴证方（招标公司）：陕西省采购招标有限责任公司</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根据2022年度海外赤子为国服务行动计划暨第六届中国西安留学回国人才招聘节的采购结果,按照《中华人民共和国政府采购法》、《合同法》的规定，经双方协商，本着平等互利和诚实信用的原则，一致同意签订本合同如下。</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一、合同文件组成</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本合同由下列文件共同组成，不可分割，按其解释效力的优先次序排列如下：</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（1）本《合同书》正文；</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（2）中标通知书；</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（3）招标文件；</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（4）中标供应商的投标文件</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（5）在执行本合同的过程中，所有经甲、乙双方签约代表人签字并加盖双方单位公章的文件（包括会议纪要、补充协议、往来信函）也成为本合同的有</w:t>
      </w:r>
      <w:r>
        <w:rPr>
          <w:rFonts w:hint="eastAsia" w:ascii="仿宋" w:hAnsi="仿宋" w:eastAsia="仿宋" w:cs="仿宋"/>
          <w:color w:val="auto"/>
          <w:sz w:val="24"/>
          <w:highlight w:val="none"/>
        </w:rPr>
        <w:t>效组成部分，其生效日期为双方签字盖章或确认之日期，其解释效力以时间后者为优先。</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二、合同的服务内容及期限</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（1）服务内容见本合同附件一《招标文件》《第四部分》。</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（2）服务期限：202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  月  日至202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  月  日</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三、甲方权利及责任</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（1）安排乙方服务人员工作场所（会务场所）。</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（2）对乙方技术服务人员进行资格审查，对其技术能力、工作态度进行考核。对不符合要求的技术服务人员，甲方有权利要求乙方更换。</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（3）对乙方履行合同责任和义务的工作计划和工作情况进行监督，对乙方日常工作的质量、安全措施等进行监督，按招标文件约定开展质控考核，对考核不合格的项目要求乙方及时整改并按约定进行处罚。</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（4）尽可能协助乙方协调在服务工作中与相关单位的关系。</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（5）按本合同规定的付款方式支付合同款项。</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（6）本合同规定的其他一切权利、义务和责任。</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四、乙方权利与责任</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（1）指派                  作为项目联系人，管理并协调乙方的项目实施工作。指派                  作为项目负责人，协调安排项目实施工作。指派                作为项目分管领导，负责监督和落实本方在项目实施过程中未能履行的责任（若故障或问题未能及时解决，或者项目联系人超过24小时联系不上时，业主人员可直接联系乙方项目分管领导，告知相关情况并要求处理解决）。</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（2）按照本合同附件一《招标文件》《第四部分》，有计划地安排符合资格的人员到甲方现场工作，按时高质量履行合同各项责任和义务。</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（3）乙方应接受甲方对其合同执行情况、工作完成情况的监督、检查，对不符合要求的工作情况要按甲方要求及时整改。</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（4）根据本合同约定取得服务费。</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（5）乙方若要更换项目负责人，需提前5个工作日向甲方提出书面申请征得甲方同意后方可执行。</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（6）乙方由于自己原因造成的安全事故，相应责任及发生的费用全部由乙方承担。</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7）乙方由于自己原因未履行本合同约定的全部或部分责任或义务而造成甲方损失的，相应责任及补救费用全部由乙方承担。乙方由于自己未按技术规范和操作规程履行任务、或自己其它人为原因造成甲方会场设备或系统损坏，乙方须负责修复，相应责任及发生的费用全部由乙方承担。</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（8）除甲方书面同意外，乙方不得部分或全部转让其应履行的本合同项下的责任和义务。</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（9）在疫情期间，乙方应做好疫情防控工作。乙方由于自己原因导致活动现场的安全事故，全部责任由乙方承担。</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）本合同规定的其他一切权利、义务和责任。</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五、合同完工验收</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在本合同期满后的15天内，由甲、乙双方共同组织进行合同完工验收。</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（1）验收目的</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对合同执行情况、乙方的服务质量、运行的状况进行全面检查和验收。</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（2）验收内容</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1.乙方提交的服务总结报告。</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2.乙方提交的服务记录。</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（3）验收结论</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签署是否同意通过验收的验收报告。</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若经检查，因乙方未尽服务责任而存在故障或重大故障隐患，则乙方须负责排除该故障或故障隐患，方可通过验收。</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）验收会费用</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由乙方负责。</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、合同价格</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（1）合同总价：人民币大写         元整（¥         元）（详见附件二）。</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总价包含了乙方为履行本合同全部责任义务、完成合同约定的全部任务所需的全部费用，包括但不限于相关人员的薪酬、福利、加班补贴、差旅补贴、劳动保障、食宿、交通、人身保险、工具及相关用品、合同约定需购置的备品备件等费用，以及各种税费、管理费和利润等。</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双方同意，本合同项下价款根据实际发生的服务项目据实结算，如甲方实际开支没有达到预算上限数额，则按甲方确认的实际发生数额支付相关费用；若超过预算上限数额，以预算上限数额为限。</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活动执行实施中，若需要调整本合同及其附件约定的服务或者增加服务项目，乙方应在实际发生前填写项目变更单，经双方签字确认，否则由此导致的费用由乙方承担。因服务调整或增加导致合同价款可能超过预算上限的，以预算上限数额为限。</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七、付款方式</w:t>
      </w:r>
    </w:p>
    <w:p>
      <w:pPr>
        <w:tabs>
          <w:tab w:val="left" w:pos="735"/>
        </w:tabs>
        <w:adjustRightInd w:val="0"/>
        <w:snapToGrid w:val="0"/>
        <w:spacing w:line="360" w:lineRule="auto"/>
        <w:ind w:firstLine="504" w:firstLineChars="210"/>
        <w:rPr>
          <w:rFonts w:hint="eastAsia" w:ascii="仿宋" w:hAnsi="仿宋" w:eastAsia="仿宋" w:cs="仿宋"/>
          <w:color w:val="FF0000"/>
          <w:sz w:val="24"/>
          <w:highlight w:val="none"/>
          <w:lang w:eastAsia="zh-CN"/>
        </w:rPr>
      </w:pPr>
      <w:r>
        <w:rPr>
          <w:rFonts w:hint="eastAsia" w:ascii="仿宋" w:hAnsi="仿宋" w:eastAsia="仿宋" w:cs="仿宋"/>
          <w:color w:val="FF0000"/>
          <w:sz w:val="24"/>
          <w:highlight w:val="none"/>
          <w:lang w:eastAsia="zh-CN"/>
        </w:rPr>
        <w:t>甲方按下列程序付款：</w:t>
      </w:r>
    </w:p>
    <w:p>
      <w:pPr>
        <w:tabs>
          <w:tab w:val="left" w:pos="735"/>
        </w:tabs>
        <w:adjustRightInd w:val="0"/>
        <w:snapToGrid w:val="0"/>
        <w:spacing w:line="360" w:lineRule="auto"/>
        <w:ind w:firstLine="504" w:firstLineChars="210"/>
        <w:rPr>
          <w:rFonts w:hint="eastAsia" w:ascii="仿宋" w:hAnsi="仿宋" w:eastAsia="仿宋" w:cs="仿宋"/>
          <w:color w:val="FF0000"/>
          <w:sz w:val="24"/>
          <w:highlight w:val="none"/>
        </w:rPr>
      </w:pPr>
      <w:r>
        <w:rPr>
          <w:rFonts w:hint="eastAsia" w:ascii="仿宋" w:hAnsi="仿宋" w:eastAsia="仿宋" w:cs="仿宋"/>
          <w:color w:val="FF0000"/>
          <w:sz w:val="24"/>
          <w:highlight w:val="none"/>
        </w:rPr>
        <w:t>合同签署完成后支付乙方合同金额</w:t>
      </w:r>
      <w:r>
        <w:rPr>
          <w:rFonts w:hint="eastAsia" w:ascii="仿宋" w:hAnsi="仿宋" w:eastAsia="仿宋" w:cs="仿宋"/>
          <w:color w:val="FF0000"/>
          <w:sz w:val="24"/>
          <w:highlight w:val="none"/>
          <w:lang w:val="en-US" w:eastAsia="zh-CN"/>
        </w:rPr>
        <w:t>6</w:t>
      </w:r>
      <w:r>
        <w:rPr>
          <w:rFonts w:hint="eastAsia" w:ascii="仿宋" w:hAnsi="仿宋" w:eastAsia="仿宋" w:cs="仿宋"/>
          <w:color w:val="FF0000"/>
          <w:sz w:val="24"/>
          <w:highlight w:val="none"/>
        </w:rPr>
        <w:t>0%的服务费用</w:t>
      </w:r>
      <w:r>
        <w:rPr>
          <w:rFonts w:hint="eastAsia" w:ascii="仿宋" w:hAnsi="仿宋" w:eastAsia="仿宋" w:cs="仿宋"/>
          <w:color w:val="FF0000"/>
          <w:sz w:val="24"/>
          <w:highlight w:val="none"/>
          <w:lang w:eastAsia="zh-CN"/>
        </w:rPr>
        <w:t>。</w:t>
      </w:r>
    </w:p>
    <w:p>
      <w:pPr>
        <w:tabs>
          <w:tab w:val="left" w:pos="501"/>
          <w:tab w:val="left" w:pos="735"/>
        </w:tabs>
        <w:adjustRightInd w:val="0"/>
        <w:snapToGrid w:val="0"/>
        <w:spacing w:line="360" w:lineRule="auto"/>
        <w:ind w:firstLine="504" w:firstLineChars="210"/>
        <w:rPr>
          <w:rFonts w:hint="eastAsia" w:ascii="仿宋" w:hAnsi="仿宋" w:eastAsia="仿宋" w:cs="仿宋"/>
          <w:color w:val="FF0000"/>
          <w:sz w:val="24"/>
          <w:highlight w:val="none"/>
        </w:rPr>
      </w:pPr>
      <w:r>
        <w:rPr>
          <w:rFonts w:hint="eastAsia" w:ascii="仿宋" w:hAnsi="仿宋" w:eastAsia="仿宋" w:cs="仿宋"/>
          <w:color w:val="FF0000"/>
          <w:sz w:val="24"/>
          <w:highlight w:val="none"/>
          <w:lang w:eastAsia="zh-CN"/>
        </w:rPr>
        <w:t>活动结束，</w:t>
      </w:r>
      <w:r>
        <w:rPr>
          <w:rFonts w:hint="eastAsia" w:ascii="仿宋" w:hAnsi="仿宋" w:eastAsia="仿宋" w:cs="仿宋"/>
          <w:color w:val="FF0000"/>
          <w:sz w:val="24"/>
          <w:highlight w:val="none"/>
        </w:rPr>
        <w:t>项目审计结束后支付乙方合同金额的</w:t>
      </w:r>
      <w:r>
        <w:rPr>
          <w:rFonts w:hint="eastAsia" w:ascii="仿宋" w:hAnsi="仿宋" w:eastAsia="仿宋" w:cs="仿宋"/>
          <w:color w:val="FF0000"/>
          <w:sz w:val="24"/>
          <w:highlight w:val="none"/>
          <w:lang w:val="en-US" w:eastAsia="zh-CN"/>
        </w:rPr>
        <w:t>4</w:t>
      </w:r>
      <w:r>
        <w:rPr>
          <w:rFonts w:hint="eastAsia" w:ascii="仿宋" w:hAnsi="仿宋" w:eastAsia="仿宋" w:cs="仿宋"/>
          <w:color w:val="FF0000"/>
          <w:sz w:val="24"/>
          <w:highlight w:val="none"/>
        </w:rPr>
        <w:t>0%的服务费用。</w:t>
      </w:r>
    </w:p>
    <w:p>
      <w:pPr>
        <w:tabs>
          <w:tab w:val="left" w:pos="735"/>
        </w:tabs>
        <w:adjustRightInd w:val="0"/>
        <w:snapToGrid w:val="0"/>
        <w:spacing w:line="360" w:lineRule="auto"/>
        <w:ind w:firstLine="504" w:firstLineChars="210"/>
        <w:rPr>
          <w:rFonts w:hint="eastAsia" w:ascii="仿宋" w:hAnsi="仿宋" w:eastAsia="仿宋" w:cs="仿宋"/>
          <w:color w:val="FF0000"/>
          <w:sz w:val="24"/>
          <w:highlight w:val="none"/>
        </w:rPr>
      </w:pPr>
      <w:r>
        <w:rPr>
          <w:rFonts w:hint="eastAsia" w:ascii="仿宋" w:hAnsi="仿宋" w:eastAsia="仿宋" w:cs="仿宋"/>
          <w:color w:val="FF0000"/>
          <w:sz w:val="24"/>
          <w:highlight w:val="none"/>
          <w:lang w:eastAsia="zh-CN"/>
        </w:rPr>
        <w:t>上述款项，乙方应开具等额的正规税务发票作为甲方付款凭证，否则甲方有权拒付。</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八</w:t>
      </w:r>
      <w:r>
        <w:rPr>
          <w:rFonts w:hint="eastAsia" w:ascii="仿宋" w:hAnsi="仿宋" w:eastAsia="仿宋" w:cs="仿宋"/>
          <w:color w:val="auto"/>
          <w:sz w:val="24"/>
          <w:highlight w:val="none"/>
        </w:rPr>
        <w:t>、违约责任</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（1）乙方提供的服务或者乙方提供服务的期限不符合招标文件、投标文件或本合同规定的，甲方有权拒绝验收，并且乙方须向甲方支付本合同总价5%的违约金。</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）甲方无正当理由拒绝乙方成果，到期拒付服务款项的，甲方向乙方偿付本合同总价的5%的违约金。</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）其他违约责任按《中华人民共和国合同法》处理。</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、争端的解决</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甲、乙双方在履行合同时发生争议，可以和解或者向有关部门或机构申请调解。当事人不愿和解、调解或者和解、调解不成的，双方可以在本合同专用条款内约定以下一种方式解决争议：</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（1）双方达成仲裁协议，向约定的西安市仲裁委员会申请仲裁；</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（2）向西安市人民法院起诉。</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十、保密</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甲乙双方保密义务：</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（1）双方为本合同条款和合同金额保密。</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所有参与本项目的服务人员必须严格遵守保密守则，不得向其他公司和人员泄露任何技术资料和数据，违反者将被严肃处理。若因此造成甲方经济损失或名誉损失，乙方和相关负责人将被依法追究法律责任。</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（3）在本合同完工后，乙方应全部归还在合同执行过程中甲方提供给乙方的一切资料。</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十</w:t>
      </w:r>
      <w:r>
        <w:rPr>
          <w:rFonts w:hint="eastAsia" w:ascii="仿宋" w:hAnsi="仿宋" w:eastAsia="仿宋" w:cs="仿宋"/>
          <w:color w:val="auto"/>
          <w:sz w:val="24"/>
          <w:highlight w:val="none"/>
          <w:lang w:eastAsia="zh-CN"/>
        </w:rPr>
        <w:t>一</w:t>
      </w:r>
      <w:r>
        <w:rPr>
          <w:rFonts w:hint="eastAsia" w:ascii="仿宋" w:hAnsi="仿宋" w:eastAsia="仿宋" w:cs="仿宋"/>
          <w:color w:val="auto"/>
          <w:sz w:val="24"/>
          <w:highlight w:val="none"/>
        </w:rPr>
        <w:t>、合同生效</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1）本合同经双方授权代表签字盖章后立即生效，合同签字日期以最后一个签字日为准。</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（2）本合同一式陆份，以中文书写，甲方贰份，乙方壹份，财政局贰份，鉴证方一份，甲、乙双方及鉴证方签字盖章后生效，具同等效力。</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（3）如需修改或补充合同内容，应经甲方、乙方协商，共同签署书面修改或补充协议。该协议将作为本合同不可分割的组成部分。</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十</w:t>
      </w:r>
      <w:r>
        <w:rPr>
          <w:rFonts w:hint="eastAsia" w:ascii="仿宋" w:hAnsi="仿宋" w:eastAsia="仿宋" w:cs="仿宋"/>
          <w:color w:val="auto"/>
          <w:sz w:val="24"/>
          <w:highlight w:val="none"/>
          <w:lang w:eastAsia="zh-CN"/>
        </w:rPr>
        <w:t>二</w:t>
      </w:r>
      <w:r>
        <w:rPr>
          <w:rFonts w:hint="eastAsia" w:ascii="仿宋" w:hAnsi="仿宋" w:eastAsia="仿宋" w:cs="仿宋"/>
          <w:color w:val="auto"/>
          <w:sz w:val="24"/>
          <w:highlight w:val="none"/>
        </w:rPr>
        <w:t>、其他</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若有未详尽事宜，甲、乙双方应协商解决，必要时签署补充协议成为本合同的有效组成部分。</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甲方（盖章）：西安市人才服务中心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乙方（盖章）：</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法定代表人：</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或其委托代理人：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或其委托代理人：</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联系电话：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签订日期：       年    月    日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签订日期：    年    月    日</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开户名称：</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银行账号：</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开户行：</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鉴证方（盖章）：</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或其委托代理人：</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p>
      <w:pPr>
        <w:tabs>
          <w:tab w:val="left" w:pos="735"/>
        </w:tabs>
        <w:adjustRightInd w:val="0"/>
        <w:snapToGrid w:val="0"/>
        <w:spacing w:line="360" w:lineRule="auto"/>
        <w:ind w:firstLine="504" w:firstLineChars="210"/>
        <w:rPr>
          <w:rFonts w:hint="eastAsia" w:ascii="仿宋" w:hAnsi="仿宋" w:eastAsia="仿宋" w:cs="仿宋"/>
          <w:color w:val="auto"/>
          <w:sz w:val="24"/>
          <w:highlight w:val="none"/>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24"/>
          <w:highlight w:val="none"/>
        </w:rPr>
        <w:t xml:space="preserve">鉴证日期：        年     月      </w:t>
      </w:r>
    </w:p>
    <w:p>
      <w:pPr>
        <w:pStyle w:val="46"/>
        <w:spacing w:line="360" w:lineRule="auto"/>
        <w:rPr>
          <w:rStyle w:val="203"/>
          <w:rFonts w:ascii="宋体" w:hAnsi="宋体" w:eastAsia="宋体"/>
          <w:color w:val="auto"/>
          <w:sz w:val="36"/>
          <w:szCs w:val="36"/>
          <w:highlight w:val="none"/>
        </w:rPr>
      </w:pPr>
      <w:r>
        <w:rPr>
          <w:rStyle w:val="203"/>
          <w:rFonts w:hint="eastAsia" w:ascii="宋体" w:hAnsi="宋体" w:eastAsia="宋体"/>
          <w:color w:val="auto"/>
          <w:sz w:val="36"/>
          <w:szCs w:val="36"/>
          <w:highlight w:val="none"/>
        </w:rPr>
        <w:t>第五章  采购内容及要求</w:t>
      </w:r>
      <w:bookmarkEnd w:id="438"/>
      <w:bookmarkEnd w:id="43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bookmarkStart w:id="440" w:name="_Toc68590981"/>
      <w:bookmarkStart w:id="441" w:name="_Toc415499899"/>
      <w:bookmarkStart w:id="442" w:name="_Toc389620241"/>
      <w:bookmarkStart w:id="443" w:name="_Toc385992401"/>
      <w:bookmarkStart w:id="444" w:name="_Toc31008"/>
      <w:bookmarkStart w:id="445" w:name="_Toc58504449"/>
      <w:r>
        <w:rPr>
          <w:rFonts w:hint="eastAsia" w:ascii="仿宋" w:hAnsi="仿宋" w:eastAsia="仿宋" w:cs="仿宋"/>
          <w:bCs/>
          <w:sz w:val="24"/>
          <w:szCs w:val="24"/>
          <w:lang w:val="en-US" w:eastAsia="zh-CN"/>
        </w:rPr>
        <w:t>为深入贯彻落实党的十九届六中全会及中央人才工作会议精神，充分展示西安市良好的创新创业环境和就业机会，彰显大西安爱才、惜才、引才、用才的诚意，为海内外人才回国就业创业、投身西安经济高质量发展和国际化大都市建设搭建平台、提供服务，吸引更多海归人才扎根西安，拟于2022年7月中下旬开展“2022年度海外赤子为国服务行动计划暨第六届中国西安留学回国人才招聘节”活动，为确保活动顺利开展特制定方案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一、活动主题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default" w:ascii="仿宋" w:hAnsi="仿宋" w:eastAsia="仿宋" w:cs="仿宋"/>
          <w:bCs/>
          <w:sz w:val="24"/>
          <w:szCs w:val="24"/>
          <w:lang w:val="en-US" w:eastAsia="zh-CN"/>
        </w:rPr>
        <w:t>2022</w:t>
      </w:r>
      <w:r>
        <w:rPr>
          <w:rFonts w:hint="eastAsia" w:ascii="仿宋" w:hAnsi="仿宋" w:eastAsia="仿宋" w:cs="仿宋"/>
          <w:bCs/>
          <w:sz w:val="24"/>
          <w:szCs w:val="24"/>
          <w:lang w:val="en-US" w:eastAsia="zh-CN"/>
        </w:rPr>
        <w:t>年度海外赤子为国服务行动计划暨第六届中国西安留学回国人才招聘节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二、活动时间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default" w:ascii="仿宋" w:hAnsi="仿宋" w:eastAsia="仿宋" w:cs="仿宋"/>
          <w:bCs/>
          <w:sz w:val="24"/>
          <w:szCs w:val="24"/>
          <w:lang w:val="en-US" w:eastAsia="zh-CN"/>
        </w:rPr>
        <w:t>202</w:t>
      </w:r>
      <w:r>
        <w:rPr>
          <w:rFonts w:hint="eastAsia" w:ascii="仿宋" w:hAnsi="仿宋" w:eastAsia="仿宋" w:cs="仿宋"/>
          <w:bCs/>
          <w:sz w:val="24"/>
          <w:szCs w:val="24"/>
          <w:lang w:val="en-US" w:eastAsia="zh-CN"/>
        </w:rPr>
        <w:t>2年7月中下旬（拟为期3天）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三、组织机构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主办单位：西安市委组织部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          西安市人力资源和社会保障局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承办单位：西安市人才服务中心</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7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西安毕业生就业市场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协办单位：西安高新区党工委组织人事部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          西安国际港务区组织人事部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          西安欧美同学会（西安留学人员联谊会）</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7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中国国际人才市场西安市场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四、活动安排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为吸引广大海归人才更加积极主动参与西安国际化建设，确保留学回国人才招聘节活动取得良好的人才效益、社会效益，拟通过举办“TELL·舞台海归演讲”、“海归学子看西安”、海归人才系列招聘会等主题活动，充分展示我市良好的创新创业环境和就业机会，为西安重点单位引进海外高素质人才搭建务实、有效的联谊交流对接平台。具体安排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（一）“2022年度海外赤子为国服务行动计划暨第六届中国西安留学回国人才招聘节”启动仪式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本届留学回国人才招聘节活动拟选择财政定点酒店举办启动仪式，邀请市委组织部、市人社局相关领导出席活动并致辞；邀请中国领先的职业发展平台发布</w:t>
      </w:r>
      <w:r>
        <w:rPr>
          <w:rFonts w:hint="default" w:ascii="仿宋" w:hAnsi="仿宋" w:eastAsia="仿宋" w:cs="仿宋"/>
          <w:bCs/>
          <w:sz w:val="24"/>
          <w:szCs w:val="24"/>
          <w:lang w:val="en-US" w:eastAsia="zh-CN"/>
        </w:rPr>
        <w:t>202</w:t>
      </w:r>
      <w:r>
        <w:rPr>
          <w:rFonts w:hint="eastAsia" w:ascii="仿宋" w:hAnsi="仿宋" w:eastAsia="仿宋" w:cs="仿宋"/>
          <w:bCs/>
          <w:sz w:val="24"/>
          <w:szCs w:val="24"/>
          <w:lang w:val="en-US" w:eastAsia="zh-CN"/>
        </w:rPr>
        <w:t>2年度海归人才报告；邀请优秀海归人才代表发言；为招才大使、西安校园引才特使及招才引智工作站授牌。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（二）TELL·舞台海归演讲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邀请优秀海内外创新创业精英、外籍专家、行业领军人物现场分享人文故事、就业创业经验和感悟，并采用直播方式，吸引更多海内外人才参与，通过讲好中国故事、激发广大青年人才爱国热情、不懈奋斗，在服务祖国、服务社会的进程中实现自我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（三）海归学子看西安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为使海归学子近距离体验西安的快速发展，特别是开发区的整体规划、产业布局及未来发展方向，详细了解就业创业</w:t>
      </w:r>
      <w:r>
        <w:rPr>
          <w:rFonts w:hint="default" w:ascii="仿宋" w:hAnsi="仿宋" w:eastAsia="仿宋" w:cs="仿宋"/>
          <w:bCs/>
          <w:sz w:val="24"/>
          <w:szCs w:val="24"/>
          <w:lang w:val="en-US" w:eastAsia="zh-CN"/>
        </w:rPr>
        <w:t>行业氛围、商业氛围</w:t>
      </w:r>
      <w:r>
        <w:rPr>
          <w:rFonts w:hint="eastAsia" w:ascii="仿宋" w:hAnsi="仿宋" w:eastAsia="仿宋" w:cs="仿宋"/>
          <w:bCs/>
          <w:sz w:val="24"/>
          <w:szCs w:val="24"/>
          <w:lang w:val="en-US" w:eastAsia="zh-CN"/>
        </w:rPr>
        <w:t>、空间氛围及区内重点企业文化等，拟邀请海归学子走进西安国际港务区参观工作环境；并赴西安奥林匹克体育中心，真切感受西安作为新一线城市的强大实力和未来发展的美好前景，吸引有志之士留在西安施展才干、实现人生抱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（四</w:t>
      </w:r>
      <w:r>
        <w:rPr>
          <w:rFonts w:hint="default" w:ascii="仿宋" w:hAnsi="仿宋" w:eastAsia="仿宋" w:cs="仿宋"/>
          <w:bCs/>
          <w:sz w:val="24"/>
          <w:szCs w:val="24"/>
          <w:lang w:val="en-US" w:eastAsia="zh-CN"/>
        </w:rPr>
        <w:t>）202</w:t>
      </w:r>
      <w:r>
        <w:rPr>
          <w:rFonts w:hint="eastAsia" w:ascii="仿宋" w:hAnsi="仿宋" w:eastAsia="仿宋" w:cs="仿宋"/>
          <w:bCs/>
          <w:sz w:val="24"/>
          <w:szCs w:val="24"/>
          <w:lang w:val="en-US" w:eastAsia="zh-CN"/>
        </w:rPr>
        <w:t>2西安海归人才暨硕士博士研究生系列专场招聘会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展现场招聘会。对接西安地区各高校、科研院所及重点企业、“6+5+6+1”现代产业体系相关单位等，收集各方人才需求，邀请从各国学成归来的优秀海归人才与用人单位面对面对接交流，同时开设政策咨询专区，围绕西安吸引集聚硕博人才系列政策及学生关注的档案、人才等级认定等政策提供咨询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同步举办网络招聘会。无法到达会场参与现场招聘的海归人才可通过登录相关网站查看招聘信息，并在线进行简历投递、岗位咨询及视频面试，实现一键求职，精准对接。同步通过海外工作站对启动仪式和网络招聘会进行宣传，吸引更多优秀海外人才了解西安，来西安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如遇疫情等突发情况，在线下招聘活动无法开展的情况下，将采用西安重点单位访谈替代现场招聘会，通过线上直播方式结合海归人才的专业优势和就业方向，邀请高校、科研院所及重点企业、“6+5+6+1”现代产业体系相关单位、硬科技+独角兽企业等有海归人才需求的用人单位人力资源负责人走进直播间，在线发布招聘需求、分享企业引才政策等，让广大留学回国人员足不出户了解企业文化和招聘需求，为重点单位吸纳海归人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五、疫情防控措施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根据市疾控办、市（区）疫情防控指挥部等防疫部门工作相关要求，做好疫情防控安全预案，执行相关防疫要求及规定，对本届留学节活动安排及时做出调整，制定线下转线上活动应对预案。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费用及活动详细物料清单</w:t>
      </w:r>
    </w:p>
    <w:tbl>
      <w:tblPr>
        <w:tblStyle w:val="50"/>
        <w:tblW w:w="10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4"/>
        <w:gridCol w:w="796"/>
        <w:gridCol w:w="2556"/>
        <w:gridCol w:w="3120"/>
        <w:gridCol w:w="840"/>
        <w:gridCol w:w="735"/>
        <w:gridCol w:w="2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690"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28"/>
                <w:szCs w:val="28"/>
                <w:u w:val="none"/>
                <w:lang w:val="en-US" w:eastAsia="zh-CN" w:bidi="ar"/>
              </w:rPr>
              <w:t>2022</w:t>
            </w:r>
            <w:r>
              <w:rPr>
                <w:rFonts w:ascii="仿宋_GB2312" w:hAnsi="Times New Roman" w:eastAsia="仿宋_GB2312" w:cs="仿宋_GB2312"/>
                <w:b/>
                <w:bCs/>
                <w:i w:val="0"/>
                <w:iCs w:val="0"/>
                <w:color w:val="000000"/>
                <w:kern w:val="0"/>
                <w:sz w:val="28"/>
                <w:szCs w:val="28"/>
                <w:u w:val="none"/>
                <w:lang w:val="en-US" w:eastAsia="zh-CN" w:bidi="ar"/>
              </w:rPr>
              <w:t>年度海外赤子为国服务行动计划暨第六届中国西安留学回国人才招聘节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5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活动项目</w:t>
            </w:r>
          </w:p>
        </w:tc>
        <w:tc>
          <w:tcPr>
            <w:tcW w:w="25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项目</w:t>
            </w:r>
          </w:p>
        </w:tc>
        <w:tc>
          <w:tcPr>
            <w:tcW w:w="31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规格</w:t>
            </w:r>
          </w:p>
        </w:tc>
        <w:tc>
          <w:tcPr>
            <w:tcW w:w="84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数量</w:t>
            </w:r>
          </w:p>
        </w:tc>
        <w:tc>
          <w:tcPr>
            <w:tcW w:w="7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单位</w:t>
            </w:r>
          </w:p>
        </w:tc>
        <w:tc>
          <w:tcPr>
            <w:tcW w:w="208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宋体" w:eastAsia="仿宋_GB2312" w:cs="仿宋_GB2312"/>
                <w:b/>
                <w:bCs/>
                <w:i w:val="0"/>
                <w:iCs w:val="0"/>
                <w:color w:val="000000"/>
                <w:sz w:val="24"/>
                <w:szCs w:val="24"/>
                <w:u w:val="none"/>
              </w:rPr>
            </w:pP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24"/>
                <w:szCs w:val="24"/>
                <w:u w:val="none"/>
              </w:rPr>
            </w:pPr>
          </w:p>
        </w:tc>
        <w:tc>
          <w:tcPr>
            <w:tcW w:w="31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宋体" w:eastAsia="仿宋_GB2312" w:cs="仿宋_GB2312"/>
                <w:b/>
                <w:bCs/>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宋体" w:eastAsia="仿宋_GB2312" w:cs="仿宋_GB2312"/>
                <w:b/>
                <w:bCs/>
                <w:i w:val="0"/>
                <w:iCs w:val="0"/>
                <w:color w:val="000000"/>
                <w:sz w:val="24"/>
                <w:szCs w:val="24"/>
                <w:u w:val="none"/>
              </w:rPr>
            </w:pPr>
          </w:p>
        </w:tc>
        <w:tc>
          <w:tcPr>
            <w:tcW w:w="208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5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启动仪式</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场地租赁</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参照曲江惠宾苑千人会议厅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LED大屏</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 LED 高清屏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舞台</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9.6*4.8*0.6m（铝合金)</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含舞台搭建布置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音响</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主扩线列阵8只、低音音响两只、反听4只、手持麦2只、鹅颈麦2只</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含音响设备租赁及音响师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灯光</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电脑光束灯LF400W、追光F450LED、COB面光、电脑图案灯、truss架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含灯光设备租赁、搭建及灯光师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启动道具</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设计费</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含活动项目整体设计，主K及周边物品主题定制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笔记本电脑设备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用于控屏和播放PPT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控屏师</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启动仪式全流程PPT制作</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主题桁架</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4.8*2.4*2m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入口处桁架</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5*3*2m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企业名单桁架</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5*2.4m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水牌</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参会证/工作证</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PVC6*9cm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卡套购买及内芯制作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留学节主题臂贴</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饮用水</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流程单</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份</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A3折页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摄影</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含活动30秒小视频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摄像</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含照片精修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会场礼仪</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服装+造型+化妆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桌卡</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参会嘉宾</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签字笔</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A4台卡</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制作一码通、行程卡二维码</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聘书、奖牌制作</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含招才大使、引才特使、招才引智工作站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点心、果汁、柠檬水，服务人员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红外测温仪</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口罩</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医用口罩</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免洗手消</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500ml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75%喷雾，500ml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消毒湿巾</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TELL·舞台海归演讲</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场地租赁</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车辆租赁</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商务七座</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辆</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演讲嘉宾本地接送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X展架</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180*80cm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水牌</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桌卡</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参会嘉宾</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主持人邀约</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演讲嘉宾交通及食宿</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饮用水</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份</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口罩</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医用口罩</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免洗手消</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75%喷雾，500ml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海归学子看西安</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车辆租赁</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商务大巴55座</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辆</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横幅</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饮用水</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活动行程单</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份</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人身意外险</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参会证/工作证</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普通材质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留学节主题T恤</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西安奥林匹克体育中心参观               </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含门票、讲解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口罩</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医用口罩</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消毒湿巾</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海归人才招聘系列活动</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现场招聘会</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场地租赁</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参照丝路人才大市场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前期企业信息整理</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招聘会用品</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含笔、饮用水、招聘登记表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简历打印</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份</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红外测温仪</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口罩</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医用口罩</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消毒湿巾</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免洗手消</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75%喷雾，500ml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网络招聘会</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搭建网络招聘平台</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含网络招聘会平台搭建，客户端网页设计，后台搭建及管控，网络招聘会页面设计，求职平台推广、招聘报告等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搭建直播平台</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平台及宣传推广</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5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主流媒体宣传</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平面报道</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西安日报新闻稿、西安晚报新闻稿，</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结合活动开展，分阶段进行多平台、全方位宣传报道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全媒体宣传</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西安发布、西安日报、西安新闻网等本地知名媒体及各类官方自媒体进行宣传；推流至抖音、今日头条、微博等进行宣传。</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直播</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活动现场视频直播+图文直播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宣传视频</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全程摄影摄像、视频制作及剪辑</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bl>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七、其他要求</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（一）与活动有关的设计产品（含源文件）、数据资料和分析成果所有权归采购单位所有。</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采购单位将按工作要求分阶段进行采购项目的检查验收，如果发现与采购要求不符或与中标文件不符等问题，成交人应当按要求采取补救处理措施，并承担相关质量保证责任。若活动结束时仍未按采购要求完成补救处理的，采购人将按未落实项目扣除相应费用。</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（三）对于在活动筹备、举办期间突发且与活动有关的工作内容，但未在磋商文件中体现与明确的，成交人有义务配合采购方开展相关工作。</w:t>
      </w:r>
    </w:p>
    <w:p>
      <w:pPr>
        <w:pStyle w:val="33"/>
        <w:jc w:val="both"/>
        <w:rPr>
          <w:rFonts w:hint="eastAsia" w:ascii="仿宋_GB2312" w:hAnsi="黑体" w:eastAsia="仿宋_GB2312"/>
          <w:color w:val="000000"/>
          <w:sz w:val="32"/>
          <w:szCs w:val="32"/>
        </w:rPr>
      </w:pPr>
    </w:p>
    <w:p>
      <w:pPr>
        <w:rPr>
          <w:rStyle w:val="203"/>
          <w:rFonts w:hint="eastAsia" w:ascii="宋体" w:hAnsi="宋体" w:eastAsia="宋体"/>
          <w:color w:val="auto"/>
          <w:sz w:val="36"/>
          <w:szCs w:val="36"/>
          <w:highlight w:val="none"/>
        </w:rPr>
      </w:pPr>
      <w:r>
        <w:rPr>
          <w:rStyle w:val="203"/>
          <w:rFonts w:hint="eastAsia" w:ascii="宋体" w:hAnsi="宋体" w:eastAsia="宋体"/>
          <w:color w:val="auto"/>
          <w:sz w:val="36"/>
          <w:szCs w:val="36"/>
          <w:highlight w:val="none"/>
        </w:rPr>
        <w:br w:type="page"/>
      </w:r>
    </w:p>
    <w:p>
      <w:pPr>
        <w:pStyle w:val="2"/>
        <w:rPr>
          <w:rFonts w:hint="eastAsia"/>
        </w:rPr>
      </w:pPr>
    </w:p>
    <w:p>
      <w:pPr>
        <w:pStyle w:val="46"/>
        <w:spacing w:line="360" w:lineRule="auto"/>
        <w:rPr>
          <w:rFonts w:asciiTheme="minorEastAsia" w:hAnsiTheme="minorEastAsia" w:eastAsiaTheme="minorEastAsia"/>
          <w:color w:val="auto"/>
          <w:highlight w:val="none"/>
        </w:rPr>
      </w:pPr>
      <w:r>
        <w:rPr>
          <w:rStyle w:val="203"/>
          <w:rFonts w:hint="eastAsia" w:ascii="宋体" w:hAnsi="宋体" w:eastAsia="宋体"/>
          <w:color w:val="auto"/>
          <w:sz w:val="36"/>
          <w:szCs w:val="36"/>
          <w:highlight w:val="none"/>
        </w:rPr>
        <w:t>第六章  磋商响应文件格式</w:t>
      </w:r>
      <w:bookmarkEnd w:id="440"/>
      <w:bookmarkEnd w:id="441"/>
      <w:bookmarkEnd w:id="442"/>
      <w:bookmarkEnd w:id="443"/>
      <w:bookmarkEnd w:id="444"/>
      <w:bookmarkEnd w:id="445"/>
      <w:r>
        <w:rPr>
          <w:rFonts w:hint="eastAsia" w:asciiTheme="minorEastAsia" w:hAnsiTheme="minorEastAsia" w:eastAsiaTheme="minorEastAsia"/>
          <w:color w:val="auto"/>
          <w:highlight w:val="none"/>
        </w:rPr>
        <w:br w:type="page"/>
      </w:r>
    </w:p>
    <w:p>
      <w:pPr>
        <w:pStyle w:val="158"/>
        <w:ind w:firstLine="7068" w:firstLineChars="2200"/>
        <w:rPr>
          <w:rFonts w:hint="eastAsia"/>
          <w:color w:val="auto"/>
          <w:highlight w:val="none"/>
          <w:lang w:val="zh-CN"/>
        </w:rPr>
      </w:pPr>
      <w:bookmarkStart w:id="446" w:name="_Toc62196433"/>
    </w:p>
    <w:p>
      <w:pPr>
        <w:pStyle w:val="158"/>
        <w:ind w:firstLine="7168" w:firstLineChars="2550"/>
        <w:rPr>
          <w:bCs/>
          <w:color w:val="auto"/>
          <w:sz w:val="28"/>
          <w:highlight w:val="none"/>
          <w:lang w:val="zh-CN"/>
        </w:rPr>
      </w:pPr>
      <w:r>
        <w:rPr>
          <w:rFonts w:hint="eastAsia"/>
          <w:color w:val="auto"/>
          <w:sz w:val="28"/>
          <w:highlight w:val="none"/>
          <w:lang w:val="zh-CN"/>
        </w:rPr>
        <w:t>正本/副本</w:t>
      </w:r>
      <w:bookmarkEnd w:id="446"/>
    </w:p>
    <w:p>
      <w:pPr>
        <w:autoSpaceDE w:val="0"/>
        <w:autoSpaceDN w:val="0"/>
        <w:adjustRightInd w:val="0"/>
        <w:snapToGrid w:val="0"/>
        <w:spacing w:line="360" w:lineRule="auto"/>
        <w:jc w:val="left"/>
        <w:rPr>
          <w:rFonts w:ascii="仿宋_GB2312" w:hAnsi="仿宋_GB2312" w:eastAsia="仿宋_GB2312" w:cs="仿宋_GB2312"/>
          <w:b/>
          <w:bCs/>
          <w:color w:val="auto"/>
          <w:sz w:val="28"/>
          <w:szCs w:val="32"/>
          <w:highlight w:val="none"/>
          <w:lang w:val="zh-CN"/>
        </w:rPr>
      </w:pPr>
      <w:r>
        <w:rPr>
          <w:rFonts w:hint="eastAsia" w:ascii="仿宋_GB2312" w:hAnsi="仿宋_GB2312" w:eastAsia="仿宋_GB2312" w:cs="仿宋_GB2312"/>
          <w:b/>
          <w:bCs/>
          <w:color w:val="auto"/>
          <w:sz w:val="28"/>
          <w:szCs w:val="32"/>
          <w:highlight w:val="none"/>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color w:val="auto"/>
          <w:sz w:val="28"/>
          <w:szCs w:val="32"/>
          <w:highlight w:val="none"/>
          <w:lang w:val="zh-CN"/>
        </w:rPr>
      </w:pPr>
      <w:r>
        <w:rPr>
          <w:rFonts w:hint="eastAsia" w:ascii="仿宋_GB2312" w:hAnsi="仿宋_GB2312" w:eastAsia="仿宋_GB2312" w:cs="仿宋_GB2312"/>
          <w:b/>
          <w:bCs/>
          <w:color w:val="auto"/>
          <w:sz w:val="28"/>
          <w:szCs w:val="32"/>
          <w:highlight w:val="none"/>
          <w:lang w:val="zh-CN"/>
        </w:rPr>
        <w:t>采购项目编号：SCZA2022-CS-0896/001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8"/>
          <w:szCs w:val="19"/>
          <w:highlight w:val="none"/>
        </w:rPr>
      </w:pPr>
    </w:p>
    <w:p>
      <w:pPr>
        <w:tabs>
          <w:tab w:val="left" w:pos="5670"/>
        </w:tabs>
        <w:autoSpaceDE w:val="0"/>
        <w:autoSpaceDN w:val="0"/>
        <w:adjustRightInd w:val="0"/>
        <w:snapToGrid w:val="0"/>
        <w:spacing w:line="360" w:lineRule="auto"/>
        <w:jc w:val="center"/>
        <w:rPr>
          <w:rFonts w:hint="eastAsia" w:ascii="仿宋_GB2312" w:hAnsi="仿宋_GB2312" w:eastAsia="仿宋_GB2312" w:cs="仿宋_GB2312"/>
          <w:color w:val="auto"/>
          <w:sz w:val="19"/>
          <w:szCs w:val="19"/>
          <w:highlight w:val="none"/>
        </w:rPr>
      </w:pPr>
    </w:p>
    <w:p>
      <w:pPr>
        <w:pStyle w:val="22"/>
        <w:rPr>
          <w:rFonts w:hint="eastAsia" w:eastAsiaTheme="minorEastAsia"/>
          <w:color w:val="auto"/>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r>
        <w:rPr>
          <w:rFonts w:hint="eastAsia" w:ascii="仿宋_GB2312" w:hAnsi="仿宋_GB2312" w:eastAsia="仿宋_GB2312" w:cs="仿宋_GB2312"/>
          <w:b/>
          <w:bCs/>
          <w:color w:val="auto"/>
          <w:sz w:val="44"/>
          <w:szCs w:val="44"/>
          <w:highlight w:val="none"/>
          <w:lang w:eastAsia="zh-CN"/>
        </w:rPr>
        <w:t>2022年度海外赤子为国服务行动计划暨第六届中国西安留学回国人才招聘节</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pPr>
        <w:pStyle w:val="195"/>
        <w:ind w:firstLine="0"/>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w:t>
      </w:r>
      <w:r>
        <w:rPr>
          <w:rFonts w:hint="eastAsia"/>
          <w:b/>
          <w:color w:val="auto"/>
          <w:sz w:val="30"/>
          <w:szCs w:val="30"/>
          <w:highlight w:val="none"/>
        </w:rPr>
        <w:t>资格证明文件</w:t>
      </w:r>
      <w:r>
        <w:rPr>
          <w:rFonts w:hint="eastAsia" w:ascii="仿宋_GB2312" w:hAnsi="仿宋_GB2312" w:eastAsia="仿宋_GB2312" w:cs="仿宋_GB2312"/>
          <w:b/>
          <w:color w:val="auto"/>
          <w:sz w:val="30"/>
          <w:szCs w:val="30"/>
          <w:highlight w:val="none"/>
        </w:rPr>
        <w:t>）</w:t>
      </w:r>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pPr>
        <w:autoSpaceDE w:val="0"/>
        <w:autoSpaceDN w:val="0"/>
        <w:adjustRightInd w:val="0"/>
        <w:snapToGrid w:val="0"/>
        <w:spacing w:line="360" w:lineRule="auto"/>
        <w:ind w:firstLine="1124" w:firstLineChars="35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供应商：</w:t>
      </w:r>
      <w:r>
        <w:rPr>
          <w:rFonts w:hint="eastAsia" w:ascii="仿宋_GB2312" w:hAnsi="仿宋_GB2312" w:eastAsia="仿宋_GB2312" w:cs="仿宋_GB2312"/>
          <w:b/>
          <w:bCs/>
          <w:color w:val="auto"/>
          <w:sz w:val="32"/>
          <w:szCs w:val="32"/>
          <w:highlight w:val="none"/>
          <w:u w:val="single"/>
          <w:lang w:val="zh-CN"/>
        </w:rPr>
        <w:t xml:space="preserve">                           </w:t>
      </w:r>
      <w:r>
        <w:rPr>
          <w:rFonts w:hint="eastAsia" w:ascii="仿宋_GB2312" w:hAnsi="仿宋_GB2312" w:eastAsia="仿宋_GB2312" w:cs="仿宋_GB2312"/>
          <w:b/>
          <w:bCs/>
          <w:color w:val="auto"/>
          <w:sz w:val="32"/>
          <w:szCs w:val="32"/>
          <w:highlight w:val="none"/>
          <w:u w:val="single"/>
        </w:rPr>
        <w:t xml:space="preserve"> </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ind w:firstLine="1124" w:firstLineChars="35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时  间：</w:t>
      </w:r>
    </w:p>
    <w:p>
      <w:pPr>
        <w:pStyle w:val="22"/>
        <w:rPr>
          <w:color w:val="auto"/>
          <w:highlight w:val="none"/>
        </w:rPr>
      </w:pPr>
      <w:r>
        <w:rPr>
          <w:color w:val="auto"/>
          <w:highlight w:val="none"/>
        </w:rPr>
        <w:br w:type="page"/>
      </w:r>
    </w:p>
    <w:p>
      <w:pPr>
        <w:pStyle w:val="195"/>
        <w:ind w:firstLine="0"/>
        <w:jc w:val="center"/>
        <w:rPr>
          <w:b/>
          <w:color w:val="auto"/>
          <w:sz w:val="32"/>
          <w:szCs w:val="32"/>
          <w:highlight w:val="none"/>
        </w:rPr>
      </w:pPr>
      <w:r>
        <w:rPr>
          <w:rFonts w:hint="eastAsia"/>
          <w:b/>
          <w:color w:val="auto"/>
          <w:sz w:val="32"/>
          <w:szCs w:val="32"/>
          <w:highlight w:val="none"/>
        </w:rPr>
        <w:t>第一部分  身份证明文件</w:t>
      </w:r>
    </w:p>
    <w:p>
      <w:pPr>
        <w:spacing w:after="120"/>
        <w:rPr>
          <w:rFonts w:ascii="仿宋_GB2312" w:hAnsi="仿宋_GB2312" w:eastAsia="仿宋_GB2312" w:cs="仿宋_GB2312"/>
          <w:color w:val="auto"/>
          <w:highlight w:val="none"/>
        </w:rPr>
      </w:pPr>
    </w:p>
    <w:p>
      <w:pPr>
        <w:widowControl/>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zh-CN"/>
        </w:rPr>
        <w:t>1、法定代表人授权书</w:t>
      </w:r>
    </w:p>
    <w:p>
      <w:pPr>
        <w:autoSpaceDE w:val="0"/>
        <w:autoSpaceDN w:val="0"/>
        <w:adjustRightInd w:val="0"/>
        <w:spacing w:line="348" w:lineRule="auto"/>
        <w:ind w:firstLine="400"/>
        <w:rPr>
          <w:rFonts w:ascii="仿宋_GB2312" w:hAnsi="仿宋_GB2312" w:eastAsia="仿宋_GB2312" w:cs="仿宋_GB2312"/>
          <w:b/>
          <w:bCs/>
          <w:color w:val="auto"/>
          <w:sz w:val="20"/>
          <w:highlight w:val="none"/>
        </w:rPr>
      </w:pPr>
    </w:p>
    <w:p>
      <w:pPr>
        <w:autoSpaceDE w:val="0"/>
        <w:autoSpaceDN w:val="0"/>
        <w:adjustRightInd w:val="0"/>
        <w:spacing w:line="34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陕西省采购招标有限责任公司：</w:t>
      </w:r>
    </w:p>
    <w:p>
      <w:pPr>
        <w:autoSpaceDE w:val="0"/>
        <w:autoSpaceDN w:val="0"/>
        <w:adjustRightInd w:val="0"/>
        <w:spacing w:line="348" w:lineRule="auto"/>
        <w:ind w:firstLine="6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注册于</w:t>
      </w:r>
      <w:r>
        <w:rPr>
          <w:rFonts w:hint="eastAsia" w:ascii="仿宋_GB2312" w:hAnsi="仿宋_GB2312" w:eastAsia="仿宋_GB2312" w:cs="仿宋_GB2312"/>
          <w:color w:val="auto"/>
          <w:sz w:val="24"/>
          <w:highlight w:val="none"/>
          <w:u w:val="single"/>
          <w:lang w:val="zh-CN"/>
        </w:rPr>
        <w:t>（工商行政管理局名称）</w:t>
      </w:r>
      <w:r>
        <w:rPr>
          <w:rFonts w:hint="eastAsia" w:ascii="仿宋_GB2312" w:hAnsi="仿宋_GB2312" w:eastAsia="仿宋_GB2312" w:cs="仿宋_GB2312"/>
          <w:color w:val="auto"/>
          <w:sz w:val="24"/>
          <w:highlight w:val="none"/>
          <w:lang w:val="zh-CN"/>
        </w:rPr>
        <w:t>之</w:t>
      </w:r>
      <w:r>
        <w:rPr>
          <w:rFonts w:hint="eastAsia" w:ascii="仿宋_GB2312" w:hAnsi="仿宋_GB2312" w:eastAsia="仿宋_GB2312" w:cs="仿宋_GB2312"/>
          <w:color w:val="auto"/>
          <w:sz w:val="24"/>
          <w:highlight w:val="none"/>
          <w:u w:val="single"/>
          <w:lang w:val="zh-CN"/>
        </w:rPr>
        <w:t>（供应商全称）</w:t>
      </w:r>
      <w:r>
        <w:rPr>
          <w:rFonts w:hint="eastAsia" w:ascii="仿宋_GB2312" w:hAnsi="仿宋_GB2312" w:eastAsia="仿宋_GB2312" w:cs="仿宋_GB2312"/>
          <w:color w:val="auto"/>
          <w:sz w:val="24"/>
          <w:highlight w:val="none"/>
          <w:lang w:val="zh-CN"/>
        </w:rPr>
        <w:t>法人代表</w:t>
      </w:r>
      <w:r>
        <w:rPr>
          <w:rFonts w:hint="eastAsia" w:ascii="仿宋_GB2312" w:hAnsi="仿宋_GB2312" w:eastAsia="仿宋_GB2312" w:cs="仿宋_GB2312"/>
          <w:color w:val="auto"/>
          <w:sz w:val="24"/>
          <w:highlight w:val="none"/>
          <w:u w:val="single"/>
          <w:lang w:val="zh-CN"/>
        </w:rPr>
        <w:t>（姓名、职务）</w:t>
      </w:r>
      <w:r>
        <w:rPr>
          <w:rFonts w:hint="eastAsia" w:ascii="仿宋_GB2312" w:hAnsi="仿宋_GB2312" w:eastAsia="仿宋_GB2312" w:cs="仿宋_GB2312"/>
          <w:color w:val="auto"/>
          <w:sz w:val="24"/>
          <w:highlight w:val="none"/>
          <w:lang w:val="zh-CN"/>
        </w:rPr>
        <w:t>授权</w:t>
      </w:r>
      <w:r>
        <w:rPr>
          <w:rFonts w:hint="eastAsia" w:ascii="仿宋_GB2312" w:hAnsi="仿宋_GB2312" w:eastAsia="仿宋_GB2312" w:cs="仿宋_GB2312"/>
          <w:color w:val="auto"/>
          <w:sz w:val="24"/>
          <w:highlight w:val="none"/>
          <w:u w:val="single"/>
          <w:lang w:val="zh-CN"/>
        </w:rPr>
        <w:t>（被授权人姓名、职务）</w:t>
      </w:r>
      <w:r>
        <w:rPr>
          <w:rFonts w:hint="eastAsia" w:ascii="仿宋_GB2312" w:hAnsi="仿宋_GB2312" w:eastAsia="仿宋_GB2312" w:cs="仿宋_GB2312"/>
          <w:color w:val="auto"/>
          <w:sz w:val="24"/>
          <w:highlight w:val="none"/>
          <w:lang w:val="zh-CN"/>
        </w:rPr>
        <w:t>为本公司的合法代理人，就</w:t>
      </w:r>
      <w:r>
        <w:rPr>
          <w:rFonts w:hint="eastAsia" w:ascii="仿宋_GB2312" w:hAnsi="仿宋_GB2312" w:eastAsia="仿宋_GB2312" w:cs="仿宋_GB2312"/>
          <w:color w:val="auto"/>
          <w:sz w:val="24"/>
          <w:highlight w:val="none"/>
          <w:u w:val="single"/>
          <w:lang w:val="zh-CN"/>
        </w:rPr>
        <w:t>2022年度海外赤子为国服务行动计划暨第六届中国西安留学回国人才招聘节</w:t>
      </w:r>
      <w:r>
        <w:rPr>
          <w:rFonts w:hint="eastAsia" w:ascii="仿宋_GB2312" w:hAnsi="仿宋_GB2312" w:eastAsia="仿宋_GB2312" w:cs="仿宋_GB2312"/>
          <w:color w:val="auto"/>
          <w:sz w:val="24"/>
          <w:highlight w:val="none"/>
          <w:lang w:val="zh-CN"/>
        </w:rPr>
        <w:t>的磋商及合同的执行和完成，以本公司的名义处理一切与之有关的事宜。</w:t>
      </w:r>
    </w:p>
    <w:p>
      <w:pPr>
        <w:snapToGrid w:val="0"/>
        <w:spacing w:line="360" w:lineRule="auto"/>
        <w:ind w:firstLine="480" w:firstLineChars="200"/>
        <w:rPr>
          <w:rFonts w:ascii="仿宋_GB2312" w:hAnsi="仿宋_GB2312" w:eastAsia="仿宋_GB2312" w:cs="仿宋_GB2312"/>
          <w:b/>
          <w:bCs/>
          <w:color w:val="auto"/>
          <w:sz w:val="24"/>
          <w:highlight w:val="none"/>
          <w:lang w:val="zh-CN"/>
        </w:rPr>
      </w:pPr>
      <w:r>
        <w:rPr>
          <w:rFonts w:hint="eastAsia" w:ascii="仿宋_GB2312" w:hAnsi="仿宋_GB2312" w:eastAsia="仿宋_GB2312" w:cs="仿宋_GB2312"/>
          <w:color w:val="auto"/>
          <w:sz w:val="24"/>
          <w:highlight w:val="none"/>
          <w:lang w:val="zh-CN"/>
        </w:rPr>
        <w:t>本授权自</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日起生效。（</w:t>
      </w:r>
      <w:r>
        <w:rPr>
          <w:rFonts w:hint="eastAsia" w:ascii="仿宋_GB2312" w:hAnsi="仿宋_GB2312" w:eastAsia="仿宋_GB2312" w:cs="仿宋_GB2312"/>
          <w:b/>
          <w:color w:val="auto"/>
          <w:sz w:val="24"/>
          <w:highlight w:val="none"/>
          <w:lang w:val="zh-CN"/>
        </w:rPr>
        <w:t>提示：此日期不应晚于磋商响应函签署日期</w:t>
      </w:r>
      <w:r>
        <w:rPr>
          <w:rFonts w:hint="eastAsia" w:ascii="仿宋_GB2312" w:hAnsi="仿宋_GB2312" w:eastAsia="仿宋_GB2312" w:cs="仿宋_GB2312"/>
          <w:color w:val="auto"/>
          <w:sz w:val="24"/>
          <w:highlight w:val="none"/>
          <w:lang w:val="zh-CN"/>
        </w:rPr>
        <w:t>）</w:t>
      </w:r>
    </w:p>
    <w:p>
      <w:pPr>
        <w:autoSpaceDE w:val="0"/>
        <w:autoSpaceDN w:val="0"/>
        <w:adjustRightInd w:val="0"/>
        <w:spacing w:line="348" w:lineRule="auto"/>
        <w:rPr>
          <w:rFonts w:ascii="仿宋_GB2312" w:hAnsi="仿宋_GB2312" w:eastAsia="仿宋_GB2312" w:cs="仿宋_GB2312"/>
          <w:color w:val="auto"/>
          <w:sz w:val="24"/>
          <w:highlight w:val="none"/>
        </w:rPr>
      </w:pPr>
    </w:p>
    <w:p>
      <w:pPr>
        <w:autoSpaceDE w:val="0"/>
        <w:autoSpaceDN w:val="0"/>
        <w:adjustRightInd w:val="0"/>
        <w:spacing w:line="348" w:lineRule="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附：被授权人姓名：性别：年龄：</w:t>
      </w:r>
    </w:p>
    <w:p>
      <w:pPr>
        <w:autoSpaceDE w:val="0"/>
        <w:autoSpaceDN w:val="0"/>
        <w:adjustRightInd w:val="0"/>
        <w:spacing w:line="348"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职务：身份证号码：</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通讯地址：</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邮政编码：</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电话：传真：</w:t>
      </w:r>
    </w:p>
    <w:p>
      <w:pPr>
        <w:autoSpaceDE w:val="0"/>
        <w:autoSpaceDN w:val="0"/>
        <w:adjustRightInd w:val="0"/>
        <w:spacing w:line="348" w:lineRule="auto"/>
        <w:rPr>
          <w:rFonts w:ascii="仿宋_GB2312" w:hAnsi="仿宋_GB2312" w:eastAsia="仿宋_GB2312" w:cs="仿宋_GB2312"/>
          <w:color w:val="auto"/>
          <w:sz w:val="24"/>
          <w:highlight w:val="none"/>
        </w:rPr>
      </w:pPr>
    </w:p>
    <w:p>
      <w:pPr>
        <w:autoSpaceDE w:val="0"/>
        <w:autoSpaceDN w:val="0"/>
        <w:adjustRightInd w:val="0"/>
        <w:spacing w:line="34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w:t>
      </w:r>
      <w:r>
        <w:rPr>
          <w:rFonts w:hint="eastAsia" w:ascii="仿宋_GB2312" w:hAnsi="仿宋_GB2312" w:eastAsia="仿宋_GB2312" w:cs="仿宋_GB2312"/>
          <w:color w:val="auto"/>
          <w:sz w:val="24"/>
          <w:highlight w:val="none"/>
        </w:rPr>
        <w:t>及</w:t>
      </w:r>
      <w:r>
        <w:rPr>
          <w:rFonts w:hint="eastAsia" w:ascii="仿宋_GB2312" w:hAnsi="仿宋_GB2312" w:eastAsia="仿宋_GB2312" w:cs="仿宋_GB2312"/>
          <w:color w:val="auto"/>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法定代表人身份证复印件</w:t>
            </w:r>
          </w:p>
          <w:p>
            <w:pP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授权代表身份证复印件</w:t>
            </w:r>
          </w:p>
          <w:p>
            <w:pP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r>
    </w:tbl>
    <w:p>
      <w:pPr>
        <w:adjustRightInd w:val="0"/>
        <w:snapToGrid w:val="0"/>
        <w:spacing w:line="360" w:lineRule="auto"/>
        <w:rPr>
          <w:rFonts w:ascii="仿宋_GB2312" w:hAnsi="仿宋_GB2312" w:eastAsia="仿宋_GB2312" w:cs="仿宋_GB2312"/>
          <w:color w:val="auto"/>
          <w:sz w:val="24"/>
          <w:highlight w:val="none"/>
        </w:rPr>
      </w:pPr>
    </w:p>
    <w:p>
      <w:pPr>
        <w:adjustRightInd w:val="0"/>
        <w:snapToGrid w:val="0"/>
        <w:spacing w:line="360" w:lineRule="auto"/>
        <w:rPr>
          <w:rFonts w:ascii="仿宋_GB2312" w:hAnsi="仿宋_GB2312" w:eastAsia="仿宋_GB2312" w:cs="仿宋_GB2312"/>
          <w:color w:val="auto"/>
          <w:sz w:val="24"/>
          <w:highlight w:val="none"/>
        </w:rPr>
      </w:pPr>
    </w:p>
    <w:p>
      <w:pPr>
        <w:adjustRightInd w:val="0"/>
        <w:snapToGrid w:val="0"/>
        <w:spacing w:line="360" w:lineRule="auto"/>
        <w:ind w:firstLine="1440" w:firstLineChars="6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                             法定代表人</w:t>
      </w:r>
    </w:p>
    <w:p>
      <w:pP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（公章）：                           （签字）：</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autoSpaceDE w:val="0"/>
        <w:autoSpaceDN w:val="0"/>
        <w:adjustRightInd w:val="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2、法定代表人身份证明</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供应商名称：</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单位性质： </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地    址： </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成立时间： 年月日</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经营期限：</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姓名：性别：年龄： 职务：系（投标人名称）的法定代表人。</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特此证明。</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投标人：           （公章）</w:t>
      </w:r>
    </w:p>
    <w:p>
      <w:pP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ind w:left="6659" w:leftChars="31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  月  日</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autoSpaceDE w:val="0"/>
        <w:autoSpaceDN w:val="0"/>
        <w:adjustRightInd w:val="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3、授权代表本单位证明</w:t>
      </w:r>
    </w:p>
    <w:p>
      <w:pPr>
        <w:spacing w:after="120"/>
        <w:rPr>
          <w:rFonts w:ascii="仿宋_GB2312" w:hAnsi="仿宋_GB2312" w:eastAsia="仿宋_GB2312" w:cs="仿宋_GB2312"/>
          <w:color w:val="auto"/>
          <w:highlight w:val="none"/>
        </w:rPr>
      </w:pPr>
    </w:p>
    <w:p>
      <w:pPr>
        <w:autoSpaceDE w:val="0"/>
        <w:autoSpaceDN w:val="0"/>
        <w:adjustRightInd w:val="0"/>
        <w:spacing w:line="348"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养老保险缴纳证明或劳动合同复印件</w:t>
      </w:r>
      <w:r>
        <w:rPr>
          <w:rFonts w:hint="eastAsia" w:ascii="仿宋_GB2312" w:hAnsi="仿宋_GB2312" w:eastAsia="仿宋_GB2312" w:cs="仿宋_GB2312"/>
          <w:color w:val="auto"/>
          <w:sz w:val="28"/>
          <w:szCs w:val="28"/>
          <w:highlight w:val="none"/>
          <w:lang w:val="zh-CN"/>
        </w:rPr>
        <w:t>）</w:t>
      </w: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p>
      <w:pPr>
        <w:pStyle w:val="195"/>
        <w:ind w:firstLine="2570" w:firstLineChars="800"/>
        <w:rPr>
          <w:b/>
          <w:color w:val="auto"/>
          <w:sz w:val="32"/>
          <w:szCs w:val="32"/>
          <w:highlight w:val="none"/>
        </w:rPr>
      </w:pPr>
      <w:r>
        <w:rPr>
          <w:rFonts w:hint="eastAsia"/>
          <w:b/>
          <w:color w:val="auto"/>
          <w:sz w:val="32"/>
          <w:szCs w:val="32"/>
          <w:highlight w:val="none"/>
        </w:rPr>
        <w:t>第二部分  资格证明文件</w:t>
      </w:r>
    </w:p>
    <w:p>
      <w:pPr>
        <w:spacing w:after="120"/>
        <w:rPr>
          <w:rFonts w:ascii="仿宋_GB2312" w:hAnsi="仿宋_GB2312" w:eastAsia="仿宋_GB2312" w:cs="仿宋_GB2312"/>
          <w:color w:val="auto"/>
          <w:highlight w:val="none"/>
        </w:rPr>
      </w:pPr>
    </w:p>
    <w:p>
      <w:pPr>
        <w:numPr>
          <w:ilvl w:val="1"/>
          <w:numId w:val="15"/>
        </w:numPr>
        <w:tabs>
          <w:tab w:val="left" w:pos="993"/>
          <w:tab w:val="left" w:pos="1030"/>
          <w:tab w:val="left" w:pos="8364"/>
        </w:tabs>
        <w:snapToGrid w:val="0"/>
        <w:spacing w:afterLines="50" w:line="360" w:lineRule="auto"/>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供应商的企业法人营业执照副本复印件（格式要求见附件6-1）；</w:t>
      </w:r>
    </w:p>
    <w:p>
      <w:pPr>
        <w:numPr>
          <w:ilvl w:val="1"/>
          <w:numId w:val="15"/>
        </w:numPr>
        <w:tabs>
          <w:tab w:val="left" w:pos="993"/>
          <w:tab w:val="left" w:pos="1030"/>
          <w:tab w:val="left" w:pos="8364"/>
        </w:tabs>
        <w:snapToGrid w:val="0"/>
        <w:spacing w:afterLines="50" w:line="360" w:lineRule="auto"/>
        <w:ind w:left="833" w:right="-57" w:rightChars="-27" w:hanging="41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供应商提供2021年度的审计报告或单位财务报表或本年度基本开户银行出具的资信证明（格式要求见附件6-2）；</w:t>
      </w:r>
    </w:p>
    <w:p>
      <w:pPr>
        <w:numPr>
          <w:ilvl w:val="1"/>
          <w:numId w:val="15"/>
        </w:numPr>
        <w:tabs>
          <w:tab w:val="left" w:pos="993"/>
          <w:tab w:val="left" w:pos="1030"/>
          <w:tab w:val="left" w:pos="8364"/>
        </w:tabs>
        <w:snapToGrid w:val="0"/>
        <w:spacing w:afterLines="50" w:line="360" w:lineRule="auto"/>
        <w:ind w:left="833" w:right="-57" w:rightChars="-27" w:hanging="41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依法缴纳税收和社会保障资金的证明材料复印件（格式见附件6-3、6-4）</w:t>
      </w:r>
    </w:p>
    <w:p>
      <w:pPr>
        <w:numPr>
          <w:ilvl w:val="1"/>
          <w:numId w:val="15"/>
        </w:numPr>
        <w:tabs>
          <w:tab w:val="left" w:pos="993"/>
          <w:tab w:val="left" w:pos="1030"/>
          <w:tab w:val="left" w:pos="8364"/>
        </w:tabs>
        <w:snapToGrid w:val="0"/>
        <w:spacing w:afterLines="50" w:line="360" w:lineRule="auto"/>
        <w:ind w:left="993" w:right="-57" w:rightChars="-27" w:hanging="57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具备履行合同所必需的设备和专业技术能力的承诺原件（格式见附件6-5）；</w:t>
      </w:r>
    </w:p>
    <w:p>
      <w:pPr>
        <w:numPr>
          <w:ilvl w:val="1"/>
          <w:numId w:val="15"/>
        </w:numPr>
        <w:tabs>
          <w:tab w:val="left" w:pos="420"/>
          <w:tab w:val="left" w:pos="8364"/>
        </w:tabs>
        <w:snapToGrid w:val="0"/>
        <w:spacing w:afterLines="50" w:line="360" w:lineRule="auto"/>
        <w:ind w:left="853" w:right="-57" w:rightChars="-27" w:hanging="43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供应商参加政府采购活动前3年内在经营活动中没有重大违法记录的书面声明原件（格式见附件6-6）</w:t>
      </w:r>
    </w:p>
    <w:p>
      <w:pPr>
        <w:numPr>
          <w:ilvl w:val="1"/>
          <w:numId w:val="15"/>
        </w:numPr>
        <w:tabs>
          <w:tab w:val="left" w:pos="200"/>
          <w:tab w:val="left" w:pos="8364"/>
        </w:tabs>
        <w:snapToGrid w:val="0"/>
        <w:spacing w:afterLines="50" w:line="360" w:lineRule="auto"/>
        <w:ind w:left="853" w:right="-57" w:rightChars="-27" w:hanging="43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供应商控股股东名称、控股公司的名称和存在管理、被管理关系的单位名称说明（格式见附件6-7)</w:t>
      </w:r>
    </w:p>
    <w:p>
      <w:pPr>
        <w:numPr>
          <w:ilvl w:val="1"/>
          <w:numId w:val="15"/>
        </w:numPr>
        <w:tabs>
          <w:tab w:val="left" w:pos="220"/>
          <w:tab w:val="left" w:pos="420"/>
          <w:tab w:val="left" w:pos="8364"/>
        </w:tabs>
        <w:snapToGrid w:val="0"/>
        <w:spacing w:afterLines="50" w:line="360" w:lineRule="auto"/>
        <w:ind w:left="853" w:right="-57" w:rightChars="-27" w:hanging="43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供应商是否属于为本项目提供整体设计、规范编制或者项目管理、监理、检测等服务的供应商声明原件（格式见附件6-8)</w:t>
      </w:r>
    </w:p>
    <w:p>
      <w:pPr>
        <w:spacing w:after="120"/>
        <w:ind w:left="780"/>
        <w:rPr>
          <w:rFonts w:ascii="仿宋_GB2312" w:hAnsi="仿宋_GB2312" w:eastAsia="仿宋_GB2312" w:cs="仿宋_GB2312"/>
          <w:color w:val="auto"/>
          <w:highlight w:val="none"/>
        </w:rPr>
      </w:pPr>
    </w:p>
    <w:p>
      <w:pPr>
        <w:adjustRightInd w:val="0"/>
        <w:spacing w:line="360" w:lineRule="auto"/>
        <w:ind w:firstLine="480" w:firstLineChars="200"/>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以上提供的扫描件、复印件必须加盖供应商公章。</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jc w:val="left"/>
        <w:outlineLvl w:val="2"/>
        <w:rPr>
          <w:rFonts w:ascii="仿宋_GB2312" w:hAnsi="仿宋_GB2312" w:eastAsia="仿宋_GB2312" w:cs="仿宋_GB2312"/>
          <w:b/>
          <w:color w:val="auto"/>
          <w:sz w:val="24"/>
          <w:highlight w:val="none"/>
        </w:rPr>
      </w:pPr>
      <w:bookmarkStart w:id="447" w:name="_Toc7005120"/>
      <w:r>
        <w:rPr>
          <w:rFonts w:hint="eastAsia" w:ascii="仿宋_GB2312" w:hAnsi="仿宋_GB2312" w:eastAsia="仿宋_GB2312" w:cs="仿宋_GB2312"/>
          <w:b/>
          <w:color w:val="auto"/>
          <w:sz w:val="24"/>
          <w:highlight w:val="none"/>
        </w:rPr>
        <w:t>6-1  供应商的企业法人营业执照副本复印件（加盖公章）</w:t>
      </w:r>
      <w:bookmarkEnd w:id="447"/>
    </w:p>
    <w:p>
      <w:pPr>
        <w:jc w:val="left"/>
        <w:rPr>
          <w:rFonts w:ascii="仿宋_GB2312" w:hAnsi="仿宋_GB2312" w:eastAsia="仿宋_GB2312" w:cs="仿宋_GB2312"/>
          <w:color w:val="auto"/>
          <w:sz w:val="24"/>
          <w:highlight w:val="none"/>
        </w:rPr>
      </w:pPr>
    </w:p>
    <w:p>
      <w:pPr>
        <w:tabs>
          <w:tab w:val="left" w:pos="993"/>
          <w:tab w:val="left" w:pos="1030"/>
          <w:tab w:val="left" w:pos="8364"/>
        </w:tabs>
        <w:snapToGrid w:val="0"/>
        <w:spacing w:afterLines="50"/>
        <w:ind w:right="-57" w:rightChars="-2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ascii="仿宋_GB2312" w:hAnsi="仿宋_GB2312" w:eastAsia="仿宋_GB2312" w:cs="仿宋_GB2312"/>
          <w:b/>
          <w:color w:val="auto"/>
          <w:sz w:val="28"/>
          <w:highlight w:val="none"/>
        </w:rPr>
      </w:pPr>
    </w:p>
    <w:p>
      <w:pPr>
        <w:adjustRightInd w:val="0"/>
        <w:spacing w:line="360" w:lineRule="atLeast"/>
        <w:jc w:val="left"/>
        <w:textAlignment w:val="baseline"/>
        <w:rPr>
          <w:rFonts w:ascii="仿宋_GB2312" w:hAnsi="仿宋_GB2312" w:eastAsia="仿宋_GB2312" w:cs="仿宋_GB2312"/>
          <w:b/>
          <w:color w:val="auto"/>
          <w:sz w:val="28"/>
          <w:highlight w:val="none"/>
        </w:rPr>
      </w:pPr>
    </w:p>
    <w:p>
      <w:pPr>
        <w:jc w:val="left"/>
        <w:outlineLvl w:val="2"/>
        <w:rPr>
          <w:rFonts w:hint="eastAsia" w:ascii="仿宋_GB2312" w:hAnsi="仿宋_GB2312" w:eastAsia="仿宋_GB2312" w:cs="仿宋_GB2312"/>
          <w:b/>
          <w:color w:val="auto"/>
          <w:sz w:val="24"/>
          <w:highlight w:val="none"/>
          <w:lang w:val="en-US" w:eastAsia="zh-CN"/>
        </w:rPr>
      </w:pPr>
      <w:bookmarkStart w:id="448" w:name="_Toc7005121"/>
      <w:bookmarkStart w:id="449" w:name="_Ref527015333"/>
      <w:r>
        <w:rPr>
          <w:rFonts w:hint="eastAsia" w:ascii="仿宋_GB2312" w:hAnsi="仿宋_GB2312" w:eastAsia="仿宋_GB2312" w:cs="仿宋_GB2312"/>
          <w:b/>
          <w:color w:val="auto"/>
          <w:sz w:val="24"/>
          <w:highlight w:val="none"/>
        </w:rPr>
        <w:t xml:space="preserve">6-2  </w:t>
      </w:r>
      <w:bookmarkEnd w:id="448"/>
      <w:bookmarkEnd w:id="449"/>
      <w:r>
        <w:rPr>
          <w:rFonts w:hint="eastAsia" w:ascii="仿宋_GB2312" w:hAnsi="仿宋_GB2312" w:eastAsia="仿宋_GB2312" w:cs="仿宋_GB2312"/>
          <w:b/>
          <w:color w:val="auto"/>
          <w:sz w:val="24"/>
          <w:highlight w:val="none"/>
        </w:rPr>
        <w:t>财务</w:t>
      </w:r>
      <w:r>
        <w:rPr>
          <w:rFonts w:hint="eastAsia" w:ascii="仿宋_GB2312" w:hAnsi="仿宋_GB2312" w:eastAsia="仿宋_GB2312" w:cs="仿宋_GB2312"/>
          <w:b/>
          <w:color w:val="auto"/>
          <w:sz w:val="24"/>
          <w:highlight w:val="none"/>
          <w:lang w:val="en-US" w:eastAsia="zh-CN"/>
        </w:rPr>
        <w:t>状况</w:t>
      </w:r>
    </w:p>
    <w:p>
      <w:pPr>
        <w:spacing w:line="360" w:lineRule="auto"/>
        <w:rPr>
          <w:rFonts w:ascii="仿宋_GB2312" w:hAnsi="仿宋_GB2312" w:eastAsia="仿宋_GB2312" w:cs="仿宋_GB2312"/>
          <w:color w:val="auto"/>
          <w:szCs w:val="21"/>
          <w:highlight w:val="none"/>
        </w:rPr>
      </w:pPr>
    </w:p>
    <w:p>
      <w:pPr>
        <w:tabs>
          <w:tab w:val="left" w:pos="993"/>
          <w:tab w:val="left" w:pos="1030"/>
          <w:tab w:val="left" w:pos="8364"/>
        </w:tabs>
        <w:snapToGrid w:val="0"/>
        <w:spacing w:afterLines="50"/>
        <w:ind w:right="-57" w:rightChars="-2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Cs w:val="21"/>
          <w:highlight w:val="none"/>
        </w:rPr>
        <w:t>供应商提供2021年度的审计报告或单位财务报表或本年度基本开户银行出具的资信证明</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 w:val="24"/>
          <w:highlight w:val="none"/>
        </w:rPr>
        <w:t>复印件或扫描件、所有复印件或扫描件需加盖单位公章。</w:t>
      </w:r>
    </w:p>
    <w:p>
      <w:pPr>
        <w:spacing w:line="360" w:lineRule="auto"/>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p>
    <w:p>
      <w:pPr>
        <w:widowControl/>
        <w:jc w:val="left"/>
        <w:rPr>
          <w:rFonts w:ascii="仿宋_GB2312" w:hAnsi="仿宋_GB2312" w:eastAsia="仿宋_GB2312" w:cs="仿宋_GB2312"/>
          <w:b/>
          <w:color w:val="auto"/>
          <w:spacing w:val="20"/>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jc w:val="left"/>
        <w:outlineLvl w:val="2"/>
        <w:rPr>
          <w:rFonts w:ascii="仿宋_GB2312" w:hAnsi="仿宋_GB2312" w:eastAsia="仿宋_GB2312" w:cs="仿宋_GB2312"/>
          <w:b/>
          <w:color w:val="auto"/>
          <w:sz w:val="24"/>
          <w:highlight w:val="none"/>
        </w:rPr>
      </w:pPr>
      <w:bookmarkStart w:id="450" w:name="_Toc7005123"/>
      <w:r>
        <w:rPr>
          <w:rFonts w:hint="eastAsia" w:ascii="仿宋_GB2312" w:hAnsi="仿宋_GB2312" w:eastAsia="仿宋_GB2312" w:cs="仿宋_GB2312"/>
          <w:b/>
          <w:color w:val="auto"/>
          <w:sz w:val="24"/>
          <w:highlight w:val="none"/>
        </w:rPr>
        <w:t>6-3 依法缴纳税收的证明</w:t>
      </w:r>
      <w:bookmarkEnd w:id="450"/>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tabs>
          <w:tab w:val="left" w:pos="993"/>
          <w:tab w:val="left" w:pos="1030"/>
          <w:tab w:val="left" w:pos="8364"/>
        </w:tabs>
        <w:snapToGrid w:val="0"/>
        <w:spacing w:afterLines="50"/>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1、供应商应提供近</w:t>
      </w:r>
      <w:r>
        <w:rPr>
          <w:rFonts w:hint="eastAsia" w:ascii="仿宋_GB2312" w:hAnsi="仿宋_GB2312" w:eastAsia="仿宋_GB2312" w:cs="仿宋_GB2312"/>
          <w:color w:val="auto"/>
          <w:sz w:val="24"/>
          <w:highlight w:val="none"/>
          <w:lang w:val="en-US" w:eastAsia="zh-CN"/>
        </w:rPr>
        <w:t>半年</w:t>
      </w:r>
      <w:r>
        <w:rPr>
          <w:rFonts w:hint="eastAsia" w:ascii="仿宋_GB2312" w:hAnsi="仿宋_GB2312" w:eastAsia="仿宋_GB2312" w:cs="仿宋_GB2312"/>
          <w:color w:val="auto"/>
          <w:sz w:val="24"/>
          <w:highlight w:val="none"/>
        </w:rPr>
        <w:t>缴纳增值税和企业所得税的凭证（银行出具的缴税凭证或税务机关出具的证明的复印件，并加盖本单位公章）。</w:t>
      </w:r>
    </w:p>
    <w:p>
      <w:pPr>
        <w:tabs>
          <w:tab w:val="left" w:pos="993"/>
          <w:tab w:val="left" w:pos="1030"/>
          <w:tab w:val="left" w:pos="8364"/>
        </w:tabs>
        <w:snapToGrid w:val="0"/>
        <w:spacing w:afterLines="50"/>
        <w:ind w:right="-57" w:rightChars="-27" w:firstLine="720" w:firstLineChars="3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2、依法免税的供应商，应提供相应文件证明其依法免税。</w:t>
      </w: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spacing w:after="120"/>
        <w:rPr>
          <w:rFonts w:ascii="仿宋_GB2312" w:hAnsi="仿宋_GB2312" w:eastAsia="仿宋_GB2312" w:cs="仿宋_GB2312"/>
          <w:color w:val="auto"/>
          <w:highlight w:val="none"/>
        </w:rPr>
      </w:pP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jc w:val="left"/>
        <w:outlineLvl w:val="2"/>
        <w:rPr>
          <w:rFonts w:ascii="仿宋_GB2312" w:hAnsi="仿宋_GB2312" w:eastAsia="仿宋_GB2312" w:cs="仿宋_GB2312"/>
          <w:b/>
          <w:color w:val="auto"/>
          <w:sz w:val="24"/>
          <w:highlight w:val="none"/>
        </w:rPr>
      </w:pPr>
      <w:bookmarkStart w:id="451" w:name="_Toc7005124"/>
      <w:r>
        <w:rPr>
          <w:rFonts w:hint="eastAsia" w:ascii="仿宋_GB2312" w:hAnsi="仿宋_GB2312" w:eastAsia="仿宋_GB2312" w:cs="仿宋_GB2312"/>
          <w:b/>
          <w:color w:val="auto"/>
          <w:sz w:val="24"/>
          <w:highlight w:val="none"/>
        </w:rPr>
        <w:t>6-4社会保障资金缴纳记录</w:t>
      </w:r>
      <w:bookmarkEnd w:id="451"/>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cr/>
      </w:r>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numPr>
          <w:ilvl w:val="0"/>
          <w:numId w:val="16"/>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供应商应提供近</w:t>
      </w:r>
      <w:r>
        <w:rPr>
          <w:rFonts w:hint="eastAsia" w:ascii="仿宋_GB2312" w:hAnsi="仿宋_GB2312" w:eastAsia="仿宋_GB2312" w:cs="仿宋_GB2312"/>
          <w:color w:val="auto"/>
          <w:sz w:val="24"/>
          <w:highlight w:val="none"/>
          <w:lang w:val="en-US" w:eastAsia="zh-CN"/>
        </w:rPr>
        <w:t>半年</w:t>
      </w:r>
      <w:r>
        <w:rPr>
          <w:rFonts w:hint="eastAsia" w:ascii="仿宋_GB2312" w:hAnsi="仿宋_GB2312" w:eastAsia="仿宋_GB2312" w:cs="仿宋_GB2312"/>
          <w:color w:val="auto"/>
          <w:sz w:val="24"/>
          <w:highlight w:val="none"/>
        </w:rPr>
        <w:t>社会缴纳社会保险的凭据（专用收据或社会保险缴纳清单），并加盖本单位公章。</w:t>
      </w:r>
    </w:p>
    <w:p>
      <w:pPr>
        <w:numPr>
          <w:ilvl w:val="0"/>
          <w:numId w:val="16"/>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不需要缴纳社会保障资金的供应商，应提供相应文件证明其不需要缴纳社会保障资金。</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jc w:val="left"/>
        <w:outlineLvl w:val="2"/>
        <w:rPr>
          <w:rFonts w:hint="eastAsia" w:ascii="仿宋_GB2312" w:hAnsi="仿宋_GB2312" w:eastAsia="仿宋_GB2312" w:cs="仿宋_GB2312"/>
          <w:b/>
          <w:bCs/>
          <w:color w:val="auto"/>
          <w:sz w:val="24"/>
          <w:highlight w:val="none"/>
        </w:rPr>
      </w:pPr>
      <w:bookmarkStart w:id="452" w:name="_Toc7005125"/>
    </w:p>
    <w:p>
      <w:pPr>
        <w:jc w:val="left"/>
        <w:outlineLvl w:val="2"/>
        <w:rPr>
          <w:rFonts w:hint="eastAsia" w:ascii="仿宋_GB2312" w:hAnsi="仿宋_GB2312" w:eastAsia="仿宋_GB2312" w:cs="仿宋_GB2312"/>
          <w:b/>
          <w:bCs/>
          <w:color w:val="auto"/>
          <w:sz w:val="24"/>
          <w:highlight w:val="none"/>
        </w:rPr>
      </w:pPr>
    </w:p>
    <w:p>
      <w:pPr>
        <w:jc w:val="left"/>
        <w:outlineLvl w:val="2"/>
        <w:rPr>
          <w:rFonts w:hint="eastAsia" w:ascii="仿宋_GB2312" w:hAnsi="仿宋_GB2312" w:eastAsia="仿宋_GB2312" w:cs="仿宋_GB2312"/>
          <w:b/>
          <w:bCs/>
          <w:color w:val="auto"/>
          <w:sz w:val="24"/>
          <w:highlight w:val="none"/>
        </w:rPr>
      </w:pPr>
    </w:p>
    <w:p>
      <w:pPr>
        <w:jc w:val="left"/>
        <w:outlineLvl w:val="2"/>
        <w:rPr>
          <w:rFonts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rPr>
        <w:t xml:space="preserve">6-5 </w:t>
      </w:r>
      <w:r>
        <w:rPr>
          <w:rFonts w:hint="eastAsia" w:ascii="仿宋_GB2312" w:hAnsi="仿宋_GB2312" w:eastAsia="仿宋_GB2312" w:cs="仿宋_GB2312"/>
          <w:b/>
          <w:color w:val="auto"/>
          <w:sz w:val="24"/>
          <w:highlight w:val="none"/>
        </w:rPr>
        <w:t>具备履行合同所必需的设备和专业技术能力承诺书</w:t>
      </w:r>
      <w:bookmarkEnd w:id="452"/>
    </w:p>
    <w:p>
      <w:pPr>
        <w:ind w:firstLine="480"/>
        <w:rPr>
          <w:rFonts w:ascii="仿宋_GB2312" w:hAnsi="仿宋_GB2312" w:eastAsia="仿宋_GB2312" w:cs="仿宋_GB2312"/>
          <w:color w:val="auto"/>
          <w:kern w:val="0"/>
          <w:sz w:val="24"/>
          <w:highlight w:val="none"/>
        </w:rPr>
      </w:pPr>
    </w:p>
    <w:p>
      <w:pPr>
        <w:ind w:firstLine="480"/>
        <w:rPr>
          <w:rFonts w:ascii="仿宋_GB2312" w:hAnsi="仿宋_GB2312" w:eastAsia="仿宋_GB2312" w:cs="仿宋_GB2312"/>
          <w:color w:val="auto"/>
          <w:kern w:val="0"/>
          <w:sz w:val="24"/>
          <w:highlight w:val="none"/>
        </w:rPr>
      </w:pPr>
    </w:p>
    <w:p>
      <w:pPr>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rPr>
        <w:t xml:space="preserve">陕西省采购招标有限责任公司：  </w:t>
      </w:r>
    </w:p>
    <w:p>
      <w:pPr>
        <w:ind w:firstLine="480"/>
        <w:rPr>
          <w:rFonts w:ascii="仿宋_GB2312" w:hAnsi="仿宋_GB2312" w:eastAsia="仿宋_GB2312" w:cs="仿宋_GB2312"/>
          <w:color w:val="auto"/>
          <w:kern w:val="0"/>
          <w:sz w:val="24"/>
          <w:highlight w:val="none"/>
        </w:rPr>
      </w:pPr>
    </w:p>
    <w:p>
      <w:pPr>
        <w:ind w:firstLine="48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我公司承诺</w:t>
      </w:r>
      <w:r>
        <w:rPr>
          <w:rFonts w:hint="eastAsia" w:ascii="仿宋_GB2312" w:hAnsi="仿宋_GB2312" w:eastAsia="仿宋_GB2312" w:cs="仿宋_GB2312"/>
          <w:color w:val="auto"/>
          <w:sz w:val="24"/>
          <w:highlight w:val="none"/>
        </w:rPr>
        <w:t>具备履行合同所必需的设备和专业技术能力</w:t>
      </w:r>
      <w:r>
        <w:rPr>
          <w:rFonts w:hint="eastAsia" w:ascii="仿宋_GB2312" w:hAnsi="仿宋_GB2312" w:eastAsia="仿宋_GB2312" w:cs="仿宋_GB2312"/>
          <w:color w:val="auto"/>
          <w:kern w:val="0"/>
          <w:sz w:val="24"/>
          <w:highlight w:val="none"/>
        </w:rPr>
        <w:t>。</w:t>
      </w:r>
    </w:p>
    <w:p>
      <w:pPr>
        <w:ind w:firstLine="480"/>
        <w:rPr>
          <w:rFonts w:ascii="仿宋_GB2312" w:hAnsi="仿宋_GB2312" w:eastAsia="仿宋_GB2312" w:cs="仿宋_GB2312"/>
          <w:b/>
          <w:color w:val="auto"/>
          <w:sz w:val="24"/>
          <w:highlight w:val="none"/>
        </w:rPr>
      </w:pPr>
    </w:p>
    <w:p>
      <w:pPr>
        <w:ind w:firstLine="480"/>
        <w:rPr>
          <w:rFonts w:ascii="仿宋_GB2312" w:hAnsi="仿宋_GB2312" w:eastAsia="仿宋_GB2312" w:cs="仿宋_GB2312"/>
          <w:b/>
          <w:color w:val="auto"/>
          <w:sz w:val="24"/>
          <w:highlight w:val="none"/>
        </w:rPr>
      </w:pPr>
    </w:p>
    <w:p>
      <w:pPr>
        <w:ind w:firstLine="480"/>
        <w:rPr>
          <w:rFonts w:ascii="仿宋_GB2312" w:hAnsi="仿宋_GB2312" w:eastAsia="仿宋_GB2312" w:cs="仿宋_GB2312"/>
          <w:b/>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ind w:right="28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widowControl/>
        <w:jc w:val="left"/>
        <w:rPr>
          <w:rFonts w:ascii="仿宋_GB2312" w:hAnsi="仿宋_GB2312" w:eastAsia="仿宋_GB2312" w:cs="仿宋_GB2312"/>
          <w:b/>
          <w:color w:val="auto"/>
          <w:sz w:val="24"/>
          <w:highlight w:val="none"/>
        </w:rPr>
      </w:pPr>
    </w:p>
    <w:p>
      <w:pPr>
        <w:numPr>
          <w:ilvl w:val="1"/>
          <w:numId w:val="17"/>
        </w:numPr>
        <w:jc w:val="left"/>
        <w:outlineLvl w:val="2"/>
        <w:rPr>
          <w:rFonts w:ascii="仿宋_GB2312" w:hAnsi="仿宋_GB2312" w:eastAsia="仿宋_GB2312" w:cs="仿宋_GB2312"/>
          <w:b/>
          <w:color w:val="auto"/>
          <w:sz w:val="24"/>
          <w:szCs w:val="22"/>
          <w:highlight w:val="none"/>
        </w:rPr>
      </w:pPr>
      <w:bookmarkStart w:id="453" w:name="_Toc7005126"/>
      <w:r>
        <w:rPr>
          <w:rFonts w:hint="eastAsia" w:ascii="仿宋_GB2312" w:hAnsi="仿宋_GB2312" w:eastAsia="仿宋_GB2312" w:cs="仿宋_GB2312"/>
          <w:b/>
          <w:color w:val="auto"/>
          <w:sz w:val="24"/>
          <w:szCs w:val="22"/>
          <w:highlight w:val="none"/>
        </w:rPr>
        <w:t>供应商参加政府采购活动前3年内在经营活动中没有重大违法记录的书面声明（格式）</w:t>
      </w:r>
      <w:bookmarkEnd w:id="453"/>
    </w:p>
    <w:p>
      <w:pPr>
        <w:jc w:val="center"/>
        <w:rPr>
          <w:rFonts w:ascii="仿宋_GB2312" w:hAnsi="仿宋_GB2312" w:eastAsia="仿宋_GB2312" w:cs="仿宋_GB2312"/>
          <w:color w:val="auto"/>
          <w:sz w:val="24"/>
          <w:highlight w:val="none"/>
        </w:rPr>
      </w:pPr>
    </w:p>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声明函</w:t>
      </w:r>
    </w:p>
    <w:p>
      <w:pPr>
        <w:jc w:val="center"/>
        <w:rPr>
          <w:rFonts w:ascii="仿宋_GB2312" w:hAnsi="仿宋_GB2312" w:eastAsia="仿宋_GB2312" w:cs="仿宋_GB2312"/>
          <w:color w:val="auto"/>
          <w:sz w:val="24"/>
          <w:highlight w:val="none"/>
        </w:rPr>
      </w:pPr>
    </w:p>
    <w:p>
      <w:pPr>
        <w:tabs>
          <w:tab w:val="left" w:pos="5580"/>
        </w:tabs>
        <w:spacing w:before="120"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陕西省采购招标有限责任公司：</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特此声明。</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spacing w:line="360" w:lineRule="auto"/>
        <w:rPr>
          <w:rFonts w:ascii="仿宋_GB2312" w:hAnsi="仿宋_GB2312" w:eastAsia="仿宋_GB2312" w:cs="仿宋_GB2312"/>
          <w:color w:val="auto"/>
          <w:sz w:val="24"/>
          <w:szCs w:val="21"/>
          <w:highlight w:val="none"/>
          <w:u w:val="single"/>
        </w:rPr>
      </w:pPr>
    </w:p>
    <w:p>
      <w:pPr>
        <w:numPr>
          <w:ilvl w:val="1"/>
          <w:numId w:val="18"/>
        </w:numPr>
        <w:jc w:val="left"/>
        <w:outlineLvl w:val="2"/>
        <w:rPr>
          <w:rFonts w:ascii="仿宋_GB2312" w:hAnsi="仿宋_GB2312" w:eastAsia="仿宋_GB2312" w:cs="仿宋_GB2312"/>
          <w:b/>
          <w:color w:val="auto"/>
          <w:sz w:val="24"/>
          <w:szCs w:val="22"/>
          <w:highlight w:val="none"/>
        </w:rPr>
      </w:pPr>
      <w:bookmarkStart w:id="454" w:name="_Toc7005127"/>
      <w:r>
        <w:rPr>
          <w:rFonts w:hint="eastAsia" w:ascii="仿宋_GB2312" w:hAnsi="仿宋_GB2312" w:eastAsia="仿宋_GB2312" w:cs="仿宋_GB2312"/>
          <w:b/>
          <w:color w:val="auto"/>
          <w:sz w:val="24"/>
          <w:szCs w:val="22"/>
          <w:highlight w:val="none"/>
        </w:rPr>
        <w:t xml:space="preserve"> 供应商控股股东名称、控股公司的名称和存在管理、被管理关系的单位名称说明</w:t>
      </w:r>
      <w:bookmarkEnd w:id="454"/>
    </w:p>
    <w:p>
      <w:pPr>
        <w:ind w:firstLine="420"/>
        <w:rPr>
          <w:rFonts w:ascii="仿宋_GB2312" w:hAnsi="仿宋_GB2312" w:eastAsia="仿宋_GB2312" w:cs="仿宋_GB2312"/>
          <w:color w:val="auto"/>
          <w:szCs w:val="21"/>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陕西省采购招标有限责任公司：</w:t>
      </w:r>
    </w:p>
    <w:p>
      <w:pPr>
        <w:spacing w:after="120"/>
        <w:rPr>
          <w:rFonts w:ascii="仿宋_GB2312" w:hAnsi="仿宋_GB2312" w:eastAsia="仿宋_GB2312" w:cs="仿宋_GB2312"/>
          <w:color w:val="auto"/>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与我方的法定代表人（单位负责人）为同一人的企业如下：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我方的控股股东如下：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我方直接控股的企业如下：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与我方存在管理、被管理关系的单位名称如下：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Cs w:val="21"/>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ind w:firstLine="420" w:firstLineChars="200"/>
        <w:rPr>
          <w:rFonts w:ascii="仿宋_GB2312" w:hAnsi="仿宋_GB2312" w:eastAsia="仿宋_GB2312" w:cs="仿宋_GB2312"/>
          <w:color w:val="auto"/>
          <w:szCs w:val="21"/>
          <w:highlight w:val="none"/>
        </w:rPr>
      </w:pPr>
    </w:p>
    <w:p>
      <w:pPr>
        <w:ind w:firstLine="420" w:firstLineChars="200"/>
        <w:rPr>
          <w:rFonts w:ascii="仿宋_GB2312" w:hAnsi="仿宋_GB2312" w:eastAsia="仿宋_GB2312" w:cs="仿宋_GB2312"/>
          <w:color w:val="auto"/>
          <w:szCs w:val="21"/>
          <w:highlight w:val="none"/>
        </w:rPr>
      </w:pPr>
    </w:p>
    <w:p>
      <w:pPr>
        <w:ind w:firstLine="420" w:firstLineChars="200"/>
        <w:rPr>
          <w:rFonts w:ascii="仿宋_GB2312" w:hAnsi="仿宋_GB2312" w:eastAsia="仿宋_GB2312" w:cs="仿宋_GB2312"/>
          <w:color w:val="auto"/>
          <w:szCs w:val="21"/>
          <w:highlight w:val="none"/>
        </w:rPr>
      </w:pPr>
    </w:p>
    <w:p>
      <w:pPr>
        <w:numPr>
          <w:ilvl w:val="1"/>
          <w:numId w:val="18"/>
        </w:numPr>
        <w:jc w:val="left"/>
        <w:outlineLvl w:val="2"/>
        <w:rPr>
          <w:rFonts w:ascii="仿宋_GB2312" w:hAnsi="仿宋_GB2312" w:eastAsia="仿宋_GB2312" w:cs="仿宋_GB2312"/>
          <w:b/>
          <w:color w:val="auto"/>
          <w:sz w:val="24"/>
          <w:szCs w:val="22"/>
          <w:highlight w:val="none"/>
        </w:rPr>
      </w:pPr>
      <w:bookmarkStart w:id="455" w:name="_Toc7005128"/>
      <w:r>
        <w:rPr>
          <w:rFonts w:hint="eastAsia" w:ascii="仿宋_GB2312" w:hAnsi="仿宋_GB2312" w:eastAsia="仿宋_GB2312" w:cs="仿宋_GB2312"/>
          <w:b/>
          <w:color w:val="auto"/>
          <w:sz w:val="24"/>
          <w:szCs w:val="22"/>
          <w:highlight w:val="none"/>
        </w:rPr>
        <w:t xml:space="preserve"> 供应商是否属于为本项目提供整体设计、规范编制或者项目管理、监理、检测等服务的供应商声明</w:t>
      </w:r>
      <w:bookmarkEnd w:id="455"/>
    </w:p>
    <w:p>
      <w:pPr>
        <w:ind w:firstLine="420"/>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陕西省采购招标有限责任公司：</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w:t>
      </w:r>
      <w:r>
        <w:rPr>
          <w:rFonts w:hint="eastAsia" w:ascii="仿宋_GB2312" w:hAnsi="仿宋_GB2312" w:eastAsia="仿宋_GB2312" w:cs="仿宋_GB2312"/>
          <w:i/>
          <w:iCs/>
          <w:color w:val="auto"/>
          <w:sz w:val="24"/>
          <w:highlight w:val="none"/>
          <w:u w:val="single"/>
        </w:rPr>
        <w:t xml:space="preserve"> 不属于 </w:t>
      </w:r>
      <w:r>
        <w:rPr>
          <w:rFonts w:hint="eastAsia" w:ascii="仿宋_GB2312" w:hAnsi="仿宋_GB2312" w:eastAsia="仿宋_GB2312" w:cs="仿宋_GB2312"/>
          <w:color w:val="auto"/>
          <w:sz w:val="24"/>
          <w:highlight w:val="none"/>
        </w:rPr>
        <w:t>为本项目提供整体设计、规范编制或者项目管理、监理、检测等服务的供应商。</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Cs w:val="21"/>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widowControl/>
        <w:jc w:val="left"/>
        <w:rPr>
          <w:rFonts w:ascii="仿宋_GB2312" w:hAnsi="仿宋_GB2312" w:eastAsia="仿宋_GB2312" w:cs="仿宋_GB2312"/>
          <w:color w:val="auto"/>
          <w:sz w:val="24"/>
          <w:szCs w:val="21"/>
          <w:highlight w:val="none"/>
          <w:u w:val="single"/>
        </w:rPr>
      </w:pPr>
    </w:p>
    <w:p>
      <w:pPr>
        <w:rPr>
          <w:rFonts w:ascii="仿宋_GB2312" w:hAnsi="仿宋_GB2312" w:eastAsia="仿宋_GB2312" w:cs="仿宋_GB2312"/>
          <w:color w:val="auto"/>
          <w:sz w:val="24"/>
          <w:highlight w:val="none"/>
        </w:rPr>
      </w:pPr>
    </w:p>
    <w:p>
      <w:pPr>
        <w:spacing w:after="120"/>
        <w:rPr>
          <w:rFonts w:hint="eastAsia" w:ascii="仿宋_GB2312" w:hAnsi="仿宋_GB2312" w:eastAsia="仿宋_GB2312" w:cs="仿宋_GB2312"/>
          <w:b/>
          <w:color w:val="auto"/>
          <w:sz w:val="24"/>
          <w:highlight w:val="none"/>
        </w:rPr>
      </w:pPr>
      <w:bookmarkStart w:id="456" w:name="_Toc7005129"/>
    </w:p>
    <w:p>
      <w:pPr>
        <w:spacing w:after="120"/>
        <w:rPr>
          <w:rFonts w:hint="eastAsia" w:ascii="仿宋_GB2312" w:hAnsi="仿宋_GB2312" w:eastAsia="仿宋_GB2312" w:cs="仿宋_GB2312"/>
          <w:b/>
          <w:color w:val="auto"/>
          <w:sz w:val="24"/>
          <w:highlight w:val="none"/>
        </w:rPr>
      </w:pPr>
    </w:p>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6-9证明供应商符合特定资格条件的证明材料</w:t>
      </w:r>
      <w:bookmarkEnd w:id="456"/>
      <w:r>
        <w:rPr>
          <w:rFonts w:hint="eastAsia" w:ascii="仿宋_GB2312" w:hAnsi="仿宋_GB2312" w:eastAsia="仿宋_GB2312" w:cs="仿宋_GB2312"/>
          <w:b/>
          <w:color w:val="auto"/>
          <w:sz w:val="24"/>
          <w:highlight w:val="none"/>
        </w:rPr>
        <w:t>：</w:t>
      </w:r>
    </w:p>
    <w:p>
      <w:pPr>
        <w:pStyle w:val="22"/>
        <w:rPr>
          <w:color w:val="auto"/>
          <w:highlight w:val="none"/>
        </w:rPr>
      </w:pPr>
      <w:r>
        <w:rPr>
          <w:color w:val="auto"/>
          <w:highlight w:val="none"/>
        </w:rPr>
        <w:br w:type="page"/>
      </w:r>
    </w:p>
    <w:p>
      <w:pPr>
        <w:spacing w:after="120"/>
        <w:rPr>
          <w:rFonts w:ascii="仿宋_GB2312" w:hAnsi="仿宋_GB2312" w:eastAsia="仿宋_GB2312" w:cs="仿宋_GB2312"/>
          <w:color w:val="auto"/>
          <w:sz w:val="18"/>
          <w:highlight w:val="none"/>
        </w:rPr>
      </w:pPr>
    </w:p>
    <w:p>
      <w:pPr>
        <w:pStyle w:val="195"/>
        <w:ind w:firstLine="7590" w:firstLineChars="3150"/>
        <w:rPr>
          <w:b/>
          <w:color w:val="auto"/>
          <w:szCs w:val="30"/>
          <w:highlight w:val="none"/>
          <w:lang w:val="zh-CN"/>
        </w:rPr>
      </w:pPr>
      <w:r>
        <w:rPr>
          <w:rFonts w:hint="eastAsia"/>
          <w:b/>
          <w:color w:val="auto"/>
          <w:szCs w:val="30"/>
          <w:highlight w:val="none"/>
          <w:lang w:val="zh-CN"/>
        </w:rPr>
        <w:t>正本/副本</w:t>
      </w:r>
    </w:p>
    <w:p>
      <w:pPr>
        <w:autoSpaceDE w:val="0"/>
        <w:autoSpaceDN w:val="0"/>
        <w:adjustRightInd w:val="0"/>
        <w:snapToGrid w:val="0"/>
        <w:spacing w:line="360" w:lineRule="auto"/>
        <w:jc w:val="left"/>
        <w:rPr>
          <w:rFonts w:ascii="仿宋_GB2312" w:hAnsi="仿宋_GB2312" w:eastAsia="仿宋_GB2312" w:cs="仿宋_GB2312"/>
          <w:b/>
          <w:bCs/>
          <w:color w:val="auto"/>
          <w:sz w:val="24"/>
          <w:szCs w:val="32"/>
          <w:highlight w:val="none"/>
          <w:lang w:val="zh-CN"/>
        </w:rPr>
      </w:pPr>
      <w:r>
        <w:rPr>
          <w:rFonts w:hint="eastAsia" w:ascii="仿宋_GB2312" w:hAnsi="仿宋_GB2312" w:eastAsia="仿宋_GB2312" w:cs="仿宋_GB2312"/>
          <w:b/>
          <w:bCs/>
          <w:color w:val="auto"/>
          <w:sz w:val="24"/>
          <w:szCs w:val="32"/>
          <w:highlight w:val="none"/>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color w:val="auto"/>
          <w:sz w:val="24"/>
          <w:szCs w:val="32"/>
          <w:highlight w:val="none"/>
          <w:lang w:val="zh-CN"/>
        </w:rPr>
      </w:pPr>
      <w:r>
        <w:rPr>
          <w:rFonts w:hint="eastAsia" w:ascii="仿宋_GB2312" w:hAnsi="仿宋_GB2312" w:eastAsia="仿宋_GB2312" w:cs="仿宋_GB2312"/>
          <w:b/>
          <w:bCs/>
          <w:color w:val="auto"/>
          <w:sz w:val="24"/>
          <w:szCs w:val="32"/>
          <w:highlight w:val="none"/>
          <w:lang w:val="zh-CN"/>
        </w:rPr>
        <w:t>采购项目编号：SCZA2022-CS-0896/001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hint="eastAsia" w:ascii="仿宋_GB2312" w:hAnsi="仿宋_GB2312" w:eastAsia="仿宋_GB2312" w:cs="仿宋_GB2312"/>
          <w:color w:val="auto"/>
          <w:sz w:val="19"/>
          <w:szCs w:val="19"/>
          <w:highlight w:val="none"/>
        </w:rPr>
      </w:pPr>
    </w:p>
    <w:p>
      <w:pPr>
        <w:pStyle w:val="22"/>
        <w:rPr>
          <w:rFonts w:hint="eastAsia" w:eastAsiaTheme="minorEastAsia"/>
          <w:color w:val="auto"/>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r>
        <w:rPr>
          <w:rFonts w:hint="eastAsia" w:ascii="仿宋_GB2312" w:hAnsi="仿宋_GB2312" w:eastAsia="仿宋_GB2312" w:cs="仿宋_GB2312"/>
          <w:b/>
          <w:bCs/>
          <w:color w:val="auto"/>
          <w:sz w:val="44"/>
          <w:szCs w:val="44"/>
          <w:highlight w:val="none"/>
          <w:lang w:eastAsia="zh-CN"/>
        </w:rPr>
        <w:t>2022年度海外赤子为国服务行动计划暨第六届中国西安留学回国人才招聘节</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pPr>
        <w:autoSpaceDE w:val="0"/>
        <w:autoSpaceDN w:val="0"/>
        <w:adjustRightInd w:val="0"/>
        <w:snapToGrid w:val="0"/>
        <w:spacing w:line="360" w:lineRule="auto"/>
        <w:jc w:val="center"/>
        <w:rPr>
          <w:rFonts w:ascii="黑体" w:hAnsi="黑体" w:eastAsia="黑体" w:cs="仿宋_GB2312"/>
          <w:b/>
          <w:bCs/>
          <w:color w:val="auto"/>
          <w:sz w:val="32"/>
          <w:szCs w:val="32"/>
          <w:highlight w:val="none"/>
          <w:lang w:val="zh-CN"/>
        </w:rPr>
      </w:pPr>
      <w:r>
        <w:rPr>
          <w:rFonts w:hint="eastAsia" w:ascii="黑体" w:hAnsi="黑体" w:eastAsia="黑体" w:cs="仿宋_GB2312"/>
          <w:b/>
          <w:bCs/>
          <w:color w:val="auto"/>
          <w:sz w:val="32"/>
          <w:szCs w:val="32"/>
          <w:highlight w:val="none"/>
          <w:lang w:val="zh-CN"/>
        </w:rPr>
        <w:t>（</w:t>
      </w:r>
      <w:r>
        <w:rPr>
          <w:rStyle w:val="94"/>
          <w:rFonts w:hint="eastAsia"/>
          <w:color w:val="auto"/>
          <w:highlight w:val="none"/>
        </w:rPr>
        <w:t>商务及技术文件</w:t>
      </w:r>
      <w:r>
        <w:rPr>
          <w:rFonts w:hint="eastAsia" w:ascii="黑体" w:hAnsi="黑体" w:eastAsia="黑体" w:cs="仿宋_GB2312"/>
          <w:b/>
          <w:bCs/>
          <w:color w:val="auto"/>
          <w:sz w:val="32"/>
          <w:szCs w:val="32"/>
          <w:highlight w:val="none"/>
          <w:lang w:val="zh-CN"/>
        </w:rPr>
        <w:t>）</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pPr>
        <w:autoSpaceDE w:val="0"/>
        <w:autoSpaceDN w:val="0"/>
        <w:adjustRightInd w:val="0"/>
        <w:snapToGrid w:val="0"/>
        <w:spacing w:line="360" w:lineRule="auto"/>
        <w:ind w:firstLine="1285" w:firstLineChars="40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供应商：</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ind w:firstLine="1285" w:firstLineChars="40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时  间：</w:t>
      </w:r>
    </w:p>
    <w:p>
      <w:pPr>
        <w:pStyle w:val="22"/>
        <w:rPr>
          <w:color w:val="auto"/>
          <w:highlight w:val="none"/>
        </w:rPr>
      </w:pPr>
      <w:r>
        <w:rPr>
          <w:color w:val="auto"/>
          <w:highlight w:val="none"/>
        </w:rPr>
        <w:br w:type="page"/>
      </w:r>
    </w:p>
    <w:p>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u w:val="single"/>
        </w:rPr>
      </w:pPr>
    </w:p>
    <w:p>
      <w:pPr>
        <w:pStyle w:val="22"/>
        <w:rPr>
          <w:rFonts w:ascii="仿宋_GB2312" w:hAnsi="仿宋_GB2312" w:eastAsia="仿宋_GB2312" w:cs="仿宋_GB2312"/>
          <w:color w:val="auto"/>
          <w:highlight w:val="none"/>
        </w:rPr>
      </w:pPr>
    </w:p>
    <w:p>
      <w:pPr>
        <w:autoSpaceDE w:val="0"/>
        <w:autoSpaceDN w:val="0"/>
        <w:adjustRightInd w:val="0"/>
        <w:snapToGrid w:val="0"/>
        <w:spacing w:line="360" w:lineRule="auto"/>
        <w:ind w:firstLine="3534" w:firstLineChars="11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目  录</w:t>
      </w:r>
    </w:p>
    <w:p>
      <w:pPr>
        <w:spacing w:after="120"/>
        <w:ind w:firstLine="315" w:firstLineChars="150"/>
        <w:rPr>
          <w:rFonts w:ascii="仿宋_GB2312" w:hAnsi="仿宋_GB2312" w:eastAsia="仿宋_GB2312" w:cs="仿宋_GB2312"/>
          <w:color w:val="auto"/>
          <w:highlight w:val="none"/>
        </w:rPr>
      </w:pP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第一部分  磋商响应函</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第二部分  磋商响应报价表 </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第三部分  偏离表</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第四部分  响应方案说明</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第五部分  小微企业、监狱企业、残疾人福利单位声明函或证明</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第六部分  保证金支付凭证或担保函（复印件）</w:t>
      </w:r>
    </w:p>
    <w:p>
      <w:pPr>
        <w:pStyle w:val="22"/>
        <w:spacing w:line="480" w:lineRule="auto"/>
        <w:ind w:firstLine="480"/>
        <w:rPr>
          <w:rFonts w:ascii="仿宋_GB2312" w:hAnsi="仿宋_GB2312" w:eastAsia="仿宋_GB2312" w:cs="仿宋_GB2312"/>
          <w:color w:val="auto"/>
          <w:sz w:val="24"/>
          <w:highlight w:val="none"/>
        </w:rPr>
      </w:pPr>
    </w:p>
    <w:p>
      <w:pPr>
        <w:pStyle w:val="22"/>
        <w:ind w:firstLine="480"/>
        <w:rPr>
          <w:rFonts w:ascii="仿宋_GB2312" w:hAnsi="仿宋_GB2312" w:eastAsia="仿宋_GB2312" w:cs="仿宋_GB2312"/>
          <w:color w:val="auto"/>
          <w:sz w:val="24"/>
          <w:highlight w:val="none"/>
        </w:rPr>
      </w:pPr>
    </w:p>
    <w:p>
      <w:pPr>
        <w:widowControl/>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pStyle w:val="195"/>
        <w:ind w:firstLine="2731" w:firstLineChars="850"/>
        <w:rPr>
          <w:rFonts w:ascii="仿宋" w:hAnsi="仿宋" w:eastAsia="仿宋"/>
          <w:b/>
          <w:color w:val="auto"/>
          <w:sz w:val="32"/>
          <w:szCs w:val="32"/>
          <w:highlight w:val="none"/>
        </w:rPr>
      </w:pPr>
      <w:r>
        <w:rPr>
          <w:rFonts w:hint="eastAsia" w:ascii="仿宋" w:hAnsi="仿宋" w:eastAsia="仿宋"/>
          <w:b/>
          <w:color w:val="auto"/>
          <w:sz w:val="32"/>
          <w:szCs w:val="32"/>
          <w:highlight w:val="none"/>
          <w:lang w:val="zh-CN"/>
        </w:rPr>
        <w:t>第一部分磋商响应函</w:t>
      </w:r>
    </w:p>
    <w:p>
      <w:pPr>
        <w:autoSpaceDE w:val="0"/>
        <w:autoSpaceDN w:val="0"/>
        <w:adjustRightInd w:val="0"/>
        <w:snapToGrid w:val="0"/>
        <w:spacing w:line="312" w:lineRule="auto"/>
        <w:rPr>
          <w:rFonts w:ascii="仿宋_GB2312" w:hAnsi="仿宋_GB2312" w:eastAsia="仿宋_GB2312" w:cs="仿宋_GB2312"/>
          <w:b/>
          <w:bCs/>
          <w:color w:val="auto"/>
          <w:sz w:val="24"/>
          <w:highlight w:val="none"/>
          <w:lang w:val="zh-CN"/>
        </w:rPr>
      </w:pPr>
    </w:p>
    <w:p>
      <w:pPr>
        <w:autoSpaceDE w:val="0"/>
        <w:autoSpaceDN w:val="0"/>
        <w:adjustRightInd w:val="0"/>
        <w:snapToGrid w:val="0"/>
        <w:spacing w:line="312"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zh-CN"/>
        </w:rPr>
        <w:t>陕西省采购招标有限责任公司：</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我单位收到贵公司</w:t>
      </w:r>
      <w:r>
        <w:rPr>
          <w:rFonts w:hint="eastAsia" w:ascii="仿宋_GB2312" w:hAnsi="仿宋_GB2312" w:eastAsia="仿宋_GB2312" w:cs="仿宋_GB2312"/>
          <w:color w:val="auto"/>
          <w:sz w:val="24"/>
          <w:highlight w:val="none"/>
          <w:u w:val="single"/>
          <w:lang w:val="zh-CN"/>
        </w:rPr>
        <w:t>2022年度海外赤子为国服务行动计划暨第六届中国西安留学回国人才招聘节</w:t>
      </w:r>
      <w:r>
        <w:rPr>
          <w:rFonts w:hint="eastAsia" w:ascii="仿宋_GB2312" w:hAnsi="仿宋_GB2312" w:eastAsia="仿宋_GB2312" w:cs="仿宋_GB2312"/>
          <w:color w:val="auto"/>
          <w:sz w:val="24"/>
          <w:highlight w:val="none"/>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w:t>
      </w:r>
      <w:r>
        <w:rPr>
          <w:rFonts w:hint="eastAsia" w:ascii="仿宋_GB2312" w:hAnsi="仿宋_GB2312" w:eastAsia="仿宋_GB2312" w:cs="仿宋_GB2312"/>
          <w:color w:val="auto"/>
          <w:sz w:val="24"/>
          <w:highlight w:val="none"/>
          <w:lang w:val="zh-CN"/>
        </w:rPr>
        <w:t>、按竞争性磋商文件的规定，我公司的首次磋商响应报价为人民币（大写）：（￥：元），并对其后的磋商报价负法律责任。</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val="zh-CN"/>
        </w:rPr>
        <w:t>、我方提交的响应文件正本一份、副本</w:t>
      </w:r>
      <w:r>
        <w:rPr>
          <w:rFonts w:hint="eastAsia" w:ascii="仿宋_GB2312" w:hAnsi="仿宋_GB2312" w:eastAsia="仿宋_GB2312" w:cs="仿宋_GB2312"/>
          <w:color w:val="auto"/>
          <w:sz w:val="24"/>
          <w:highlight w:val="none"/>
          <w:u w:val="single"/>
          <w:lang w:val="zh-CN"/>
        </w:rPr>
        <w:t xml:space="preserve"> 两 </w:t>
      </w:r>
      <w:r>
        <w:rPr>
          <w:rFonts w:hint="eastAsia" w:ascii="仿宋_GB2312" w:hAnsi="仿宋_GB2312" w:eastAsia="仿宋_GB2312" w:cs="仿宋_GB2312"/>
          <w:color w:val="auto"/>
          <w:sz w:val="24"/>
          <w:highlight w:val="none"/>
          <w:lang w:val="zh-CN"/>
        </w:rPr>
        <w:t>份。</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五、如果我方在磋商有效期内撤销响应文件，则响应保证金将被贵方不予退还。</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七、我方的响应文件有效期为自磋商之日起</w:t>
      </w:r>
      <w:r>
        <w:rPr>
          <w:rFonts w:hint="eastAsia" w:ascii="仿宋_GB2312" w:hAnsi="仿宋_GB2312" w:eastAsia="仿宋_GB2312" w:cs="仿宋_GB2312"/>
          <w:color w:val="auto"/>
          <w:sz w:val="24"/>
          <w:highlight w:val="none"/>
          <w:u w:val="single"/>
        </w:rPr>
        <w:t xml:space="preserve">60 </w:t>
      </w:r>
      <w:r>
        <w:rPr>
          <w:rFonts w:hint="eastAsia" w:ascii="仿宋_GB2312" w:hAnsi="仿宋_GB2312" w:eastAsia="仿宋_GB2312" w:cs="仿宋_GB2312"/>
          <w:color w:val="auto"/>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val="zh-CN"/>
        </w:rPr>
        <w:t>、如我方成交：</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（2）我方承诺按照磋商文件规定向你方递交履约保证金。作为履行合同的担保。</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九、有关于本响应文件的函电，请按下列地址联系。</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地址：</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开户银行：</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帐号：</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电话：</w:t>
      </w:r>
      <w:r>
        <w:rPr>
          <w:rFonts w:hint="eastAsia" w:ascii="仿宋_GB2312" w:hAnsi="仿宋_GB2312" w:eastAsia="仿宋_GB2312" w:cs="仿宋_GB2312"/>
          <w:color w:val="auto"/>
          <w:sz w:val="24"/>
          <w:highlight w:val="none"/>
        </w:rPr>
        <w:t>_____________________</w:t>
      </w:r>
      <w:r>
        <w:rPr>
          <w:rFonts w:hint="eastAsia" w:ascii="仿宋_GB2312" w:hAnsi="仿宋_GB2312" w:eastAsia="仿宋_GB2312" w:cs="仿宋_GB2312"/>
          <w:color w:val="auto"/>
          <w:sz w:val="24"/>
          <w:highlight w:val="none"/>
          <w:lang w:val="zh-CN"/>
        </w:rPr>
        <w:t>传真：</w:t>
      </w:r>
      <w:r>
        <w:rPr>
          <w:rFonts w:hint="eastAsia" w:ascii="仿宋_GB2312" w:hAnsi="仿宋_GB2312" w:eastAsia="仿宋_GB2312" w:cs="仿宋_GB2312"/>
          <w:color w:val="auto"/>
          <w:sz w:val="24"/>
          <w:highlight w:val="none"/>
        </w:rPr>
        <w:t>________________</w:t>
      </w:r>
    </w:p>
    <w:p>
      <w:pPr>
        <w:pStyle w:val="22"/>
        <w:rPr>
          <w:rFonts w:ascii="仿宋_GB2312" w:hAnsi="仿宋_GB2312" w:eastAsia="仿宋_GB2312" w:cs="仿宋_GB2312"/>
          <w:color w:val="auto"/>
          <w:highlight w:val="none"/>
        </w:rPr>
      </w:pPr>
    </w:p>
    <w:p>
      <w:pPr>
        <w:autoSpaceDE w:val="0"/>
        <w:autoSpaceDN w:val="0"/>
        <w:adjustRightInd w:val="0"/>
        <w:snapToGrid w:val="0"/>
        <w:spacing w:line="312" w:lineRule="auto"/>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供应商全称（公章）：</w:t>
      </w:r>
    </w:p>
    <w:p>
      <w:pPr>
        <w:pStyle w:val="22"/>
        <w:rPr>
          <w:rFonts w:ascii="仿宋_GB2312" w:hAnsi="仿宋_GB2312" w:eastAsia="仿宋_GB2312" w:cs="仿宋_GB2312"/>
          <w:color w:val="auto"/>
          <w:highlight w:val="none"/>
          <w:lang w:val="zh-CN"/>
        </w:rPr>
      </w:pP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法定代表人或授权代表（签字）：</w:t>
      </w:r>
      <w:r>
        <w:rPr>
          <w:rFonts w:hint="eastAsia" w:ascii="仿宋_GB2312" w:hAnsi="仿宋_GB2312" w:eastAsia="仿宋_GB2312" w:cs="仿宋_GB2312"/>
          <w:color w:val="auto"/>
          <w:sz w:val="24"/>
          <w:highlight w:val="none"/>
        </w:rPr>
        <w:t>______________________________</w:t>
      </w:r>
    </w:p>
    <w:p>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_____</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日</w:t>
      </w:r>
    </w:p>
    <w:p>
      <w:pPr>
        <w:pStyle w:val="195"/>
        <w:ind w:firstLine="2640" w:firstLineChars="1100"/>
        <w:rPr>
          <w:rFonts w:ascii="仿宋" w:hAnsi="仿宋" w:eastAsia="仿宋"/>
          <w:b/>
          <w:bCs/>
          <w:color w:val="auto"/>
          <w:sz w:val="32"/>
          <w:szCs w:val="32"/>
          <w:highlight w:val="none"/>
        </w:rPr>
      </w:pPr>
      <w:bookmarkStart w:id="457" w:name="_Hlt520356241"/>
      <w:bookmarkEnd w:id="457"/>
      <w:r>
        <w:rPr>
          <w:rFonts w:hint="eastAsia"/>
          <w:color w:val="auto"/>
          <w:highlight w:val="none"/>
        </w:rPr>
        <w:br w:type="page"/>
      </w:r>
      <w:bookmarkStart w:id="458" w:name="_Toc8496"/>
      <w:bookmarkStart w:id="459" w:name="_Toc249515371"/>
      <w:bookmarkStart w:id="460" w:name="_Toc249525252"/>
      <w:bookmarkStart w:id="461" w:name="_Toc230583554"/>
      <w:bookmarkStart w:id="462" w:name="_Toc230099805"/>
      <w:bookmarkStart w:id="463" w:name="_Toc256342154"/>
      <w:bookmarkStart w:id="464" w:name="_Toc415499901"/>
      <w:bookmarkStart w:id="465" w:name="_Toc232176284"/>
      <w:bookmarkStart w:id="466" w:name="_Toc230013640"/>
      <w:bookmarkStart w:id="467" w:name="_Toc232395224"/>
      <w:r>
        <w:rPr>
          <w:rFonts w:hint="eastAsia" w:ascii="仿宋" w:hAnsi="仿宋" w:eastAsia="仿宋"/>
          <w:b/>
          <w:color w:val="auto"/>
          <w:sz w:val="32"/>
          <w:szCs w:val="32"/>
          <w:highlight w:val="none"/>
          <w:lang w:val="zh-CN"/>
        </w:rPr>
        <w:t>第二部分  磋商响应报价表</w:t>
      </w:r>
    </w:p>
    <w:p>
      <w:pPr>
        <w:autoSpaceDE w:val="0"/>
        <w:autoSpaceDN w:val="0"/>
        <w:adjustRightInd w:val="0"/>
        <w:snapToGrid w:val="0"/>
        <w:spacing w:line="360" w:lineRule="auto"/>
        <w:jc w:val="center"/>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首次响应</w:t>
      </w:r>
      <w:r>
        <w:rPr>
          <w:rFonts w:hint="eastAsia" w:ascii="仿宋_GB2312" w:hAnsi="仿宋_GB2312" w:eastAsia="仿宋_GB2312" w:cs="仿宋_GB2312"/>
          <w:b/>
          <w:bCs/>
          <w:color w:val="auto"/>
          <w:sz w:val="28"/>
          <w:szCs w:val="28"/>
          <w:highlight w:val="none"/>
          <w:lang w:val="zh-CN"/>
        </w:rPr>
        <w:t>报价表</w:t>
      </w:r>
    </w:p>
    <w:p>
      <w:pPr>
        <w:autoSpaceDE w:val="0"/>
        <w:autoSpaceDN w:val="0"/>
        <w:adjustRightInd w:val="0"/>
        <w:snapToGrid w:val="0"/>
        <w:spacing w:line="360" w:lineRule="auto"/>
        <w:jc w:val="right"/>
        <w:rPr>
          <w:rFonts w:ascii="仿宋_GB2312" w:hAnsi="仿宋_GB2312" w:eastAsia="仿宋_GB2312" w:cs="仿宋_GB2312"/>
          <w:color w:val="auto"/>
          <w:sz w:val="24"/>
          <w:highlight w:val="none"/>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2"/>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zh-CN"/>
              </w:rPr>
              <w:br w:type="page"/>
            </w:r>
            <w:r>
              <w:rPr>
                <w:rFonts w:hint="eastAsia" w:ascii="仿宋_GB2312" w:hAnsi="仿宋_GB2312" w:eastAsia="仿宋_GB2312" w:cs="仿宋_GB2312"/>
                <w:b/>
                <w:color w:val="auto"/>
                <w:sz w:val="24"/>
                <w:highlight w:val="none"/>
              </w:rPr>
              <w:t>项目编号及名称</w:t>
            </w:r>
          </w:p>
        </w:tc>
        <w:tc>
          <w:tcPr>
            <w:tcW w:w="6697" w:type="dxa"/>
            <w:vAlign w:val="center"/>
          </w:tcPr>
          <w:p>
            <w:pPr>
              <w:pStyle w:val="22"/>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eastAsia="zh-CN"/>
              </w:rPr>
              <w:t>SCZA2022-CS-0896/001</w:t>
            </w:r>
          </w:p>
          <w:p>
            <w:pPr>
              <w:pStyle w:val="22"/>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eastAsia="zh-CN"/>
              </w:rPr>
              <w:t>2022年度海外赤子为国服务行动计划暨第六届中国西安留学回国人才招聘节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响应总价</w:t>
            </w:r>
          </w:p>
        </w:tc>
        <w:tc>
          <w:tcPr>
            <w:tcW w:w="6697" w:type="dxa"/>
            <w:vAlign w:val="center"/>
          </w:tcPr>
          <w:p>
            <w:pPr>
              <w:pStyle w:val="22"/>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人民币（大写）： 整（小写：</w:t>
            </w:r>
            <w:r>
              <w:rPr>
                <w:rFonts w:hint="eastAsia" w:ascii="宋体" w:hAnsi="宋体" w:eastAsia="宋体" w:cs="宋体"/>
                <w:color w:val="auto"/>
                <w:sz w:val="24"/>
                <w:highlight w:val="none"/>
              </w:rPr>
              <w:t>¥</w:t>
            </w:r>
            <w:r>
              <w:rPr>
                <w:rFonts w:hint="eastAsia" w:ascii="仿宋_GB2312" w:hAnsi="仿宋_GB2312" w:eastAsia="仿宋_GB2312" w:cs="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服务期</w:t>
            </w:r>
          </w:p>
        </w:tc>
        <w:tc>
          <w:tcPr>
            <w:tcW w:w="6697" w:type="dxa"/>
            <w:vAlign w:val="center"/>
          </w:tcPr>
          <w:p>
            <w:pPr>
              <w:pStyle w:val="22"/>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服务地点</w:t>
            </w:r>
          </w:p>
        </w:tc>
        <w:tc>
          <w:tcPr>
            <w:tcW w:w="6697" w:type="dxa"/>
            <w:vAlign w:val="center"/>
          </w:tcPr>
          <w:p>
            <w:pPr>
              <w:pStyle w:val="22"/>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697" w:type="dxa"/>
            <w:vAlign w:val="center"/>
          </w:tcPr>
          <w:p>
            <w:pPr>
              <w:pStyle w:val="22"/>
              <w:rPr>
                <w:rFonts w:ascii="仿宋_GB2312" w:hAnsi="仿宋_GB2312" w:eastAsia="仿宋_GB2312" w:cs="仿宋_GB2312"/>
                <w:color w:val="auto"/>
                <w:sz w:val="24"/>
                <w:highlight w:val="none"/>
              </w:rPr>
            </w:pPr>
          </w:p>
        </w:tc>
      </w:tr>
    </w:tbl>
    <w:p>
      <w:pPr>
        <w:pStyle w:val="22"/>
        <w:rPr>
          <w:rFonts w:ascii="仿宋_GB2312" w:hAnsi="仿宋_GB2312" w:eastAsia="仿宋_GB2312" w:cs="仿宋_GB2312"/>
          <w:color w:val="auto"/>
          <w:highlight w:val="none"/>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供应商法定代表人</w:t>
      </w:r>
      <w:r>
        <w:rPr>
          <w:rFonts w:hint="eastAsia" w:ascii="仿宋_GB2312" w:hAnsi="仿宋_GB2312" w:eastAsia="仿宋_GB2312" w:cs="仿宋_GB2312"/>
          <w:color w:val="auto"/>
          <w:sz w:val="24"/>
          <w:highlight w:val="none"/>
        </w:rPr>
        <w:t>或</w:t>
      </w:r>
      <w:r>
        <w:rPr>
          <w:rFonts w:hint="eastAsia" w:ascii="仿宋_GB2312" w:hAnsi="仿宋_GB2312" w:eastAsia="仿宋_GB2312" w:cs="仿宋_GB2312"/>
          <w:color w:val="auto"/>
          <w:sz w:val="24"/>
          <w:highlight w:val="none"/>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（公章）：                            （</w:t>
      </w:r>
      <w:r>
        <w:rPr>
          <w:rFonts w:hint="eastAsia" w:ascii="仿宋_GB2312" w:hAnsi="仿宋_GB2312" w:eastAsia="仿宋_GB2312" w:cs="仿宋_GB2312"/>
          <w:b/>
          <w:color w:val="auto"/>
          <w:sz w:val="24"/>
          <w:highlight w:val="none"/>
          <w:lang w:val="zh-CN"/>
        </w:rPr>
        <w:t>签字</w:t>
      </w:r>
      <w:r>
        <w:rPr>
          <w:rFonts w:hint="eastAsia" w:ascii="仿宋_GB2312" w:hAnsi="仿宋_GB2312" w:eastAsia="仿宋_GB2312" w:cs="仿宋_GB2312"/>
          <w:color w:val="auto"/>
          <w:sz w:val="24"/>
          <w:highlight w:val="none"/>
          <w:lang w:val="zh-CN"/>
        </w:rPr>
        <w:t>）：</w:t>
      </w: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年 月日</w:t>
      </w:r>
    </w:p>
    <w:p>
      <w:pPr>
        <w:adjustRightInd w:val="0"/>
        <w:snapToGrid w:val="0"/>
        <w:spacing w:line="360" w:lineRule="auto"/>
        <w:jc w:val="center"/>
        <w:rPr>
          <w:rFonts w:ascii="仿宋_GB2312" w:hAnsi="仿宋_GB2312" w:eastAsia="仿宋_GB2312" w:cs="仿宋_GB2312"/>
          <w:b/>
          <w:color w:val="auto"/>
          <w:sz w:val="42"/>
          <w:highlight w:val="none"/>
        </w:rPr>
      </w:pPr>
    </w:p>
    <w:p>
      <w:pPr>
        <w:adjustRightInd w:val="0"/>
        <w:snapToGrid w:val="0"/>
        <w:spacing w:line="360" w:lineRule="auto"/>
        <w:jc w:val="center"/>
        <w:rPr>
          <w:rFonts w:ascii="仿宋_GB2312" w:hAnsi="仿宋_GB2312" w:eastAsia="仿宋_GB2312" w:cs="仿宋_GB2312"/>
          <w:b/>
          <w:color w:val="auto"/>
          <w:sz w:val="42"/>
          <w:highlight w:val="none"/>
        </w:rPr>
      </w:pPr>
    </w:p>
    <w:p>
      <w:pPr>
        <w:adjustRightInd w:val="0"/>
        <w:snapToGrid w:val="0"/>
        <w:spacing w:line="360" w:lineRule="auto"/>
        <w:jc w:val="center"/>
        <w:rPr>
          <w:rFonts w:ascii="仿宋_GB2312" w:hAnsi="仿宋_GB2312" w:eastAsia="仿宋_GB2312" w:cs="仿宋_GB2312"/>
          <w:b/>
          <w:color w:val="auto"/>
          <w:sz w:val="42"/>
          <w:highlight w:val="none"/>
        </w:rPr>
        <w:sectPr>
          <w:footerReference r:id="rId8" w:type="default"/>
          <w:pgSz w:w="11906" w:h="16838"/>
          <w:pgMar w:top="1418" w:right="1418" w:bottom="1418" w:left="1418" w:header="851" w:footer="992" w:gutter="0"/>
          <w:pgNumType w:start="1"/>
          <w:cols w:space="720" w:num="1"/>
          <w:docGrid w:linePitch="312" w:charSpace="0"/>
        </w:sectPr>
      </w:pPr>
    </w:p>
    <w:p>
      <w:pPr>
        <w:keepNext/>
        <w:keepLines/>
        <w:autoSpaceDE w:val="0"/>
        <w:autoSpaceDN w:val="0"/>
        <w:adjustRightInd w:val="0"/>
        <w:spacing w:line="360" w:lineRule="auto"/>
        <w:jc w:val="center"/>
        <w:outlineLvl w:val="2"/>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（首次）分项报价表</w:t>
      </w:r>
    </w:p>
    <w:p>
      <w:pPr>
        <w:autoSpaceDE w:val="0"/>
        <w:autoSpaceDN w:val="0"/>
        <w:adjustRightInd w:val="0"/>
        <w:snapToGrid w:val="0"/>
        <w:spacing w:before="120" w:line="360" w:lineRule="auto"/>
        <w:ind w:left="-206" w:leftChars="-98"/>
        <w:jc w:val="left"/>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hint="eastAsia" w:ascii="仿宋" w:hAnsi="仿宋" w:eastAsia="仿宋"/>
          <w:color w:val="auto"/>
          <w:kern w:val="0"/>
          <w:sz w:val="24"/>
          <w:szCs w:val="28"/>
          <w:highlight w:val="none"/>
        </w:rPr>
      </w:pPr>
    </w:p>
    <w:p>
      <w:pPr>
        <w:rPr>
          <w:rFonts w:hint="eastAsia" w:eastAsiaTheme="minorEastAsia"/>
          <w:color w:val="auto"/>
          <w:highlight w:val="none"/>
        </w:rPr>
      </w:pPr>
    </w:p>
    <w:p>
      <w:pPr>
        <w:pStyle w:val="22"/>
        <w:rPr>
          <w:rFonts w:hint="eastAsia" w:eastAsiaTheme="minorEastAsia"/>
          <w:color w:val="auto"/>
          <w:highlight w:val="none"/>
        </w:rPr>
      </w:pPr>
    </w:p>
    <w:p>
      <w:pPr>
        <w:rPr>
          <w:rFonts w:hint="eastAsia" w:eastAsiaTheme="minorEastAsia"/>
          <w:color w:val="auto"/>
          <w:highlight w:val="none"/>
        </w:rPr>
      </w:pPr>
    </w:p>
    <w:p>
      <w:pPr>
        <w:pStyle w:val="22"/>
        <w:rPr>
          <w:rFonts w:hint="eastAsia" w:eastAsiaTheme="minorEastAsia"/>
          <w:color w:val="auto"/>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adjustRightInd w:val="0"/>
        <w:snapToGrid w:val="0"/>
        <w:spacing w:line="360" w:lineRule="auto"/>
        <w:ind w:firstLine="840" w:firstLineChars="350"/>
        <w:rPr>
          <w:rFonts w:ascii="仿宋_GB2312" w:hAnsi="仿宋" w:eastAsia="仿宋_GB2312"/>
          <w:color w:val="auto"/>
          <w:sz w:val="24"/>
          <w:highlight w:val="none"/>
        </w:rPr>
      </w:pPr>
      <w:r>
        <w:rPr>
          <w:rFonts w:hint="eastAsia" w:ascii="仿宋_GB2312" w:hAnsi="仿宋" w:eastAsia="仿宋_GB2312"/>
          <w:color w:val="auto"/>
          <w:sz w:val="24"/>
          <w:highlight w:val="none"/>
        </w:rPr>
        <w:t>投标人                           法定代表人或授权代表</w:t>
      </w:r>
    </w:p>
    <w:p>
      <w:pPr>
        <w:adjustRightInd w:val="0"/>
        <w:snapToGrid w:val="0"/>
        <w:spacing w:line="360" w:lineRule="auto"/>
        <w:ind w:firstLine="720" w:firstLineChars="300"/>
        <w:rPr>
          <w:rFonts w:ascii="仿宋_GB2312" w:hAnsi="仿宋" w:eastAsia="仿宋_GB2312"/>
          <w:color w:val="auto"/>
          <w:sz w:val="24"/>
          <w:highlight w:val="none"/>
        </w:rPr>
      </w:pPr>
      <w:r>
        <w:rPr>
          <w:rFonts w:hint="eastAsia" w:ascii="仿宋_GB2312" w:hAnsi="仿宋" w:eastAsia="仿宋_GB2312"/>
          <w:color w:val="auto"/>
          <w:sz w:val="24"/>
          <w:highlight w:val="none"/>
        </w:rPr>
        <w:t>（公章）：                            （签字）：</w:t>
      </w:r>
    </w:p>
    <w:p>
      <w:pPr>
        <w:adjustRightInd w:val="0"/>
        <w:snapToGrid w:val="0"/>
        <w:spacing w:line="360" w:lineRule="auto"/>
        <w:jc w:val="center"/>
        <w:rPr>
          <w:rFonts w:ascii="仿宋_GB2312" w:hAnsi="仿宋_GB2312" w:eastAsia="仿宋_GB2312" w:cs="仿宋_GB2312"/>
          <w:b/>
          <w:color w:val="auto"/>
          <w:sz w:val="42"/>
          <w:highlight w:val="none"/>
        </w:rPr>
      </w:pPr>
    </w:p>
    <w:p>
      <w:pPr>
        <w:spacing w:line="288" w:lineRule="auto"/>
        <w:ind w:left="424" w:leftChars="202"/>
        <w:rPr>
          <w:rFonts w:ascii="仿宋_GB2312" w:hAnsi="仿宋_GB2312" w:eastAsia="仿宋_GB2312" w:cs="仿宋_GB2312"/>
          <w:bCs/>
          <w:color w:val="auto"/>
          <w:sz w:val="24"/>
          <w:highlight w:val="none"/>
        </w:rPr>
      </w:pPr>
    </w:p>
    <w:p>
      <w:pPr>
        <w:pStyle w:val="22"/>
        <w:rPr>
          <w:rFonts w:ascii="仿宋_GB2312" w:hAnsi="仿宋_GB2312" w:eastAsia="仿宋_GB2312" w:cs="仿宋_GB2312"/>
          <w:color w:val="auto"/>
          <w:highlight w:val="none"/>
        </w:rPr>
      </w:pPr>
    </w:p>
    <w:p>
      <w:pPr>
        <w:pStyle w:val="22"/>
        <w:rPr>
          <w:rFonts w:ascii="仿宋_GB2312" w:hAnsi="仿宋_GB2312" w:eastAsia="仿宋_GB2312" w:cs="仿宋_GB2312"/>
          <w:color w:val="auto"/>
          <w:highlight w:val="none"/>
        </w:rPr>
      </w:pP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58"/>
    <w:bookmarkEnd w:id="459"/>
    <w:bookmarkEnd w:id="460"/>
    <w:bookmarkEnd w:id="461"/>
    <w:bookmarkEnd w:id="462"/>
    <w:bookmarkEnd w:id="463"/>
    <w:bookmarkEnd w:id="464"/>
    <w:bookmarkEnd w:id="465"/>
    <w:bookmarkEnd w:id="466"/>
    <w:bookmarkEnd w:id="467"/>
    <w:p>
      <w:pPr>
        <w:pStyle w:val="195"/>
        <w:ind w:firstLine="3052" w:firstLineChars="950"/>
        <w:rPr>
          <w:rFonts w:ascii="仿宋" w:hAnsi="仿宋" w:eastAsia="仿宋"/>
          <w:b/>
          <w:color w:val="auto"/>
          <w:sz w:val="32"/>
          <w:szCs w:val="32"/>
          <w:highlight w:val="none"/>
        </w:rPr>
      </w:pPr>
      <w:bookmarkStart w:id="468" w:name="_Toc249525253"/>
      <w:bookmarkStart w:id="469" w:name="_Toc184043059"/>
      <w:bookmarkStart w:id="470" w:name="_Toc249515372"/>
      <w:bookmarkStart w:id="471" w:name="_Toc230013641"/>
      <w:bookmarkStart w:id="472" w:name="_Toc83547687"/>
      <w:bookmarkStart w:id="473" w:name="_Toc177995484"/>
      <w:bookmarkStart w:id="474" w:name="_Toc492955460"/>
      <w:bookmarkStart w:id="475" w:name="_Toc176882553"/>
      <w:bookmarkStart w:id="476" w:name="_Toc503063459"/>
      <w:bookmarkStart w:id="477" w:name="_Toc256342155"/>
      <w:bookmarkStart w:id="478" w:name="_Toc53722866"/>
      <w:bookmarkStart w:id="479" w:name="_Toc230583555"/>
      <w:bookmarkStart w:id="480" w:name="_Toc177189246"/>
      <w:bookmarkStart w:id="481" w:name="_Toc177817345"/>
      <w:bookmarkStart w:id="482" w:name="_Toc500747011"/>
      <w:bookmarkStart w:id="483" w:name="_Toc500747234"/>
      <w:bookmarkStart w:id="484" w:name="_Toc415499902"/>
      <w:bookmarkStart w:id="485" w:name="_Toc499711929"/>
      <w:bookmarkStart w:id="486" w:name="_Toc232176285"/>
      <w:bookmarkStart w:id="487" w:name="_Toc385992402"/>
      <w:bookmarkStart w:id="488" w:name="_Toc500747107"/>
      <w:bookmarkStart w:id="489" w:name="_Toc496324624"/>
      <w:bookmarkStart w:id="490" w:name="_Toc389620242"/>
      <w:bookmarkStart w:id="491" w:name="_Toc230099806"/>
      <w:bookmarkStart w:id="492" w:name="_Toc232395225"/>
      <w:bookmarkStart w:id="493" w:name="_Toc225933091"/>
      <w:bookmarkStart w:id="494" w:name="_Toc70687203"/>
      <w:bookmarkStart w:id="495" w:name="_Toc499711088"/>
      <w:r>
        <w:rPr>
          <w:rFonts w:hint="eastAsia" w:ascii="仿宋" w:hAnsi="仿宋" w:eastAsia="仿宋"/>
          <w:b/>
          <w:color w:val="auto"/>
          <w:sz w:val="32"/>
          <w:szCs w:val="32"/>
          <w:highlight w:val="none"/>
        </w:rPr>
        <w:t>第三部分  偏离表</w:t>
      </w:r>
    </w:p>
    <w:p>
      <w:pPr>
        <w:rPr>
          <w:rFonts w:ascii="仿宋_GB2312" w:hAnsi="仿宋_GB2312" w:eastAsia="仿宋_GB2312" w:cs="仿宋_GB2312"/>
          <w:color w:val="auto"/>
          <w:highlight w:val="none"/>
        </w:rPr>
      </w:pPr>
    </w:p>
    <w:p>
      <w:pPr>
        <w:autoSpaceDE w:val="0"/>
        <w:autoSpaceDN w:val="0"/>
        <w:adjustRightInd w:val="0"/>
        <w:snapToGrid w:val="0"/>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一、商务、合同条款偏离表</w:t>
      </w:r>
    </w:p>
    <w:p>
      <w:pPr>
        <w:pStyle w:val="28"/>
        <w:ind w:left="645" w:leftChars="307" w:right="560" w:firstLine="120" w:firstLineChars="5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SCZA2022-CS-0896/001</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835"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磋商文件商务、合同条款</w:t>
            </w:r>
          </w:p>
        </w:tc>
        <w:tc>
          <w:tcPr>
            <w:tcW w:w="1701"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完全响应</w:t>
            </w:r>
          </w:p>
        </w:tc>
        <w:tc>
          <w:tcPr>
            <w:tcW w:w="1417"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有偏离</w:t>
            </w:r>
          </w:p>
        </w:tc>
        <w:tc>
          <w:tcPr>
            <w:tcW w:w="2195"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仿宋_GB2312" w:hAnsi="仿宋_GB2312" w:eastAsia="仿宋_GB2312" w:cs="仿宋_GB2312"/>
                <w:color w:val="auto"/>
                <w:sz w:val="24"/>
                <w:szCs w:val="24"/>
                <w:highlight w:val="none"/>
              </w:rPr>
            </w:pPr>
          </w:p>
        </w:tc>
        <w:tc>
          <w:tcPr>
            <w:tcW w:w="2835"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(服务地点)</w:t>
            </w:r>
          </w:p>
        </w:tc>
        <w:tc>
          <w:tcPr>
            <w:tcW w:w="1701" w:type="dxa"/>
          </w:tcPr>
          <w:p>
            <w:pPr>
              <w:pStyle w:val="28"/>
              <w:jc w:val="center"/>
              <w:rPr>
                <w:rFonts w:ascii="仿宋_GB2312" w:hAnsi="仿宋_GB2312" w:eastAsia="仿宋_GB2312" w:cs="仿宋_GB2312"/>
                <w:color w:val="auto"/>
                <w:sz w:val="24"/>
                <w:szCs w:val="24"/>
                <w:highlight w:val="none"/>
              </w:rPr>
            </w:pPr>
          </w:p>
        </w:tc>
        <w:tc>
          <w:tcPr>
            <w:tcW w:w="1417" w:type="dxa"/>
          </w:tcPr>
          <w:p>
            <w:pPr>
              <w:pStyle w:val="28"/>
              <w:jc w:val="center"/>
              <w:rPr>
                <w:rFonts w:ascii="仿宋_GB2312" w:hAnsi="仿宋_GB2312" w:eastAsia="仿宋_GB2312" w:cs="仿宋_GB2312"/>
                <w:color w:val="auto"/>
                <w:sz w:val="24"/>
                <w:szCs w:val="24"/>
                <w:highlight w:val="none"/>
              </w:rPr>
            </w:pPr>
          </w:p>
        </w:tc>
        <w:tc>
          <w:tcPr>
            <w:tcW w:w="2195" w:type="dxa"/>
          </w:tcPr>
          <w:p>
            <w:pPr>
              <w:pStyle w:val="28"/>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(服务期)</w:t>
            </w:r>
          </w:p>
        </w:tc>
        <w:tc>
          <w:tcPr>
            <w:tcW w:w="1701" w:type="dxa"/>
          </w:tcPr>
          <w:p>
            <w:pPr>
              <w:pStyle w:val="28"/>
              <w:ind w:left="1080" w:leftChars="257" w:hanging="540"/>
              <w:jc w:val="center"/>
              <w:rPr>
                <w:rFonts w:ascii="仿宋_GB2312" w:hAnsi="仿宋_GB2312" w:eastAsia="仿宋_GB2312" w:cs="仿宋_GB2312"/>
                <w:color w:val="auto"/>
                <w:sz w:val="24"/>
                <w:szCs w:val="24"/>
                <w:highlight w:val="none"/>
              </w:rPr>
            </w:pPr>
          </w:p>
        </w:tc>
        <w:tc>
          <w:tcPr>
            <w:tcW w:w="1417" w:type="dxa"/>
          </w:tcPr>
          <w:p>
            <w:pPr>
              <w:pStyle w:val="28"/>
              <w:ind w:left="1080" w:leftChars="257" w:hanging="540"/>
              <w:jc w:val="center"/>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(付款方式)</w:t>
            </w: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w:t>
            </w: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tcPr>
          <w:p>
            <w:pPr>
              <w:pStyle w:val="28"/>
              <w:ind w:left="1080" w:leftChars="257" w:hanging="540"/>
              <w:rPr>
                <w:rFonts w:ascii="仿宋_GB2312" w:hAnsi="仿宋_GB2312" w:eastAsia="仿宋_GB2312" w:cs="仿宋_GB2312"/>
                <w:color w:val="auto"/>
                <w:sz w:val="24"/>
                <w:szCs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tcPr>
          <w:p>
            <w:pPr>
              <w:pStyle w:val="28"/>
              <w:ind w:left="1080" w:leftChars="257" w:hanging="540"/>
              <w:rPr>
                <w:rFonts w:ascii="仿宋_GB2312" w:hAnsi="仿宋_GB2312" w:eastAsia="仿宋_GB2312" w:cs="仿宋_GB2312"/>
                <w:color w:val="auto"/>
                <w:sz w:val="24"/>
                <w:szCs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tcPr>
          <w:p>
            <w:pPr>
              <w:pStyle w:val="28"/>
              <w:ind w:left="1080" w:leftChars="257" w:hanging="540"/>
              <w:rPr>
                <w:rFonts w:ascii="仿宋_GB2312" w:hAnsi="仿宋_GB2312" w:eastAsia="仿宋_GB2312" w:cs="仿宋_GB2312"/>
                <w:color w:val="auto"/>
                <w:sz w:val="24"/>
                <w:szCs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tcPr>
          <w:p>
            <w:pPr>
              <w:pStyle w:val="28"/>
              <w:ind w:left="1080" w:leftChars="257" w:hanging="540"/>
              <w:rPr>
                <w:rFonts w:ascii="仿宋_GB2312" w:hAnsi="仿宋_GB2312" w:eastAsia="仿宋_GB2312" w:cs="仿宋_GB2312"/>
                <w:color w:val="auto"/>
                <w:sz w:val="24"/>
                <w:szCs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bl>
    <w:p>
      <w:pPr>
        <w:pStyle w:val="28"/>
        <w:ind w:left="1080" w:leftChars="257" w:hanging="540"/>
        <w:rPr>
          <w:rFonts w:ascii="仿宋_GB2312" w:hAnsi="仿宋_GB2312" w:eastAsia="仿宋_GB2312" w:cs="仿宋_GB2312"/>
          <w:color w:val="auto"/>
          <w:sz w:val="24"/>
          <w:szCs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供应商（公章）： 法定代表人或其授权代表（签字或盖章）：</w:t>
      </w:r>
    </w:p>
    <w:p>
      <w:pPr>
        <w:spacing w:before="120" w:after="120" w:line="360" w:lineRule="auto"/>
        <w:ind w:firstLine="4320" w:firstLineChars="18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napToGrid w:val="0"/>
        <w:spacing w:afterLines="50"/>
        <w:ind w:left="910" w:leftChars="203" w:hanging="48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注：</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1、对完全响应的，在下表相应列中标注“○”。对有偏离的条目在本表相应列中标注“正偏离”或“负偏离”，并在“偏离简述”栏中加以说明。</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2、正偏离是指应答的条件高于磋商文件要求，负偏离是指应答的条件低于磋商文件要求，正偏离项目不作扣分处理。</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3、供应商须完整填写响应表。如果未完整填写本表的各项内容则视作供应商已经对磋商文件相关要求和内容完全理解并同意，其报价为在此基础上的完全价格。</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8"/>
        <w:ind w:left="1080" w:leftChars="257" w:hanging="540"/>
        <w:rPr>
          <w:rFonts w:ascii="仿宋_GB2312" w:hAnsi="仿宋_GB2312" w:eastAsia="仿宋_GB2312" w:cs="仿宋_GB2312"/>
          <w:color w:val="auto"/>
          <w:sz w:val="24"/>
          <w:szCs w:val="24"/>
          <w:highlight w:val="none"/>
        </w:rPr>
      </w:pPr>
    </w:p>
    <w:p>
      <w:pPr>
        <w:jc w:val="center"/>
        <w:rPr>
          <w:rFonts w:ascii="仿宋_GB2312" w:hAnsi="仿宋_GB2312" w:eastAsia="仿宋_GB2312" w:cs="仿宋_GB2312"/>
          <w:b/>
          <w:color w:val="auto"/>
          <w:sz w:val="28"/>
          <w:szCs w:val="28"/>
          <w:highlight w:val="none"/>
        </w:rPr>
      </w:pPr>
      <w:bookmarkStart w:id="496" w:name="_Toc414445775"/>
      <w:bookmarkStart w:id="497" w:name="_Toc416103825"/>
      <w:bookmarkStart w:id="498" w:name="_Toc7005136"/>
      <w:bookmarkStart w:id="499" w:name="_Toc410631184"/>
      <w:r>
        <w:rPr>
          <w:rFonts w:hint="eastAsia" w:ascii="仿宋_GB2312" w:hAnsi="仿宋_GB2312" w:eastAsia="仿宋_GB2312" w:cs="仿宋_GB2312"/>
          <w:b/>
          <w:color w:val="auto"/>
          <w:sz w:val="28"/>
          <w:szCs w:val="28"/>
          <w:highlight w:val="none"/>
        </w:rPr>
        <w:br w:type="page"/>
      </w:r>
      <w:r>
        <w:rPr>
          <w:rFonts w:hint="eastAsia" w:ascii="仿宋_GB2312" w:hAnsi="仿宋_GB2312" w:eastAsia="仿宋_GB2312" w:cs="仿宋_GB2312"/>
          <w:b/>
          <w:color w:val="auto"/>
          <w:sz w:val="28"/>
          <w:szCs w:val="28"/>
          <w:highlight w:val="none"/>
        </w:rPr>
        <w:t>二、技术偏离表</w:t>
      </w:r>
      <w:bookmarkEnd w:id="496"/>
      <w:bookmarkEnd w:id="497"/>
      <w:bookmarkEnd w:id="498"/>
      <w:bookmarkEnd w:id="499"/>
    </w:p>
    <w:p>
      <w:pPr>
        <w:spacing w:after="240"/>
        <w:ind w:hanging="119"/>
        <w:rPr>
          <w:rFonts w:ascii="仿宋_GB2312" w:hAnsi="仿宋_GB2312" w:eastAsia="仿宋_GB2312" w:cs="仿宋_GB2312"/>
          <w:color w:val="auto"/>
          <w:highlight w:val="none"/>
        </w:rPr>
      </w:pPr>
    </w:p>
    <w:p>
      <w:pPr>
        <w:spacing w:after="240"/>
        <w:ind w:left="105" w:leftChars="50" w:firstLine="360" w:firstLineChars="15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eastAsia="zh-CN"/>
        </w:rPr>
        <w:t>SCZA2022-CS-0896/001</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磋商文件条目号</w:t>
            </w:r>
          </w:p>
        </w:tc>
        <w:tc>
          <w:tcPr>
            <w:tcW w:w="1932"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技术条款要求</w:t>
            </w:r>
          </w:p>
        </w:tc>
        <w:tc>
          <w:tcPr>
            <w:tcW w:w="1236"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完全响应</w:t>
            </w:r>
          </w:p>
        </w:tc>
        <w:tc>
          <w:tcPr>
            <w:tcW w:w="1236"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有偏离</w:t>
            </w:r>
          </w:p>
        </w:tc>
        <w:tc>
          <w:tcPr>
            <w:tcW w:w="2394"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bCs/>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bCs/>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bl>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法定代表人或其授权代表（签字或盖章）：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pacing w:line="360" w:lineRule="auto"/>
        <w:rPr>
          <w:rFonts w:ascii="仿宋_GB2312" w:hAnsi="仿宋_GB2312" w:eastAsia="仿宋_GB2312" w:cs="仿宋_GB2312"/>
          <w:color w:val="auto"/>
          <w:highlight w:val="none"/>
        </w:rPr>
      </w:pPr>
    </w:p>
    <w:p>
      <w:pPr>
        <w:snapToGrid w:val="0"/>
        <w:spacing w:afterLines="50"/>
        <w:ind w:left="850" w:hanging="850" w:hangingChars="405"/>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注：1.</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对完全响应的条目在本表相应列中标注“○”。对有偏离的条目在本表相应列中标注“正偏离”或“负偏离”。并在“偏离简述”栏中加以说明。</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正偏离是指应答的条件高于磋商文件要求，负偏离是指应答的条件低于磋商文件要求，正偏离项目不作扣分处理。</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ascii="仿宋_GB2312" w:hAnsi="仿宋_GB2312" w:eastAsia="仿宋_GB2312" w:cs="仿宋_GB2312"/>
          <w:b/>
          <w:color w:val="auto"/>
          <w:sz w:val="32"/>
          <w:szCs w:val="32"/>
          <w:highlight w:val="none"/>
        </w:rPr>
      </w:pPr>
    </w:p>
    <w:p>
      <w:pPr>
        <w:autoSpaceDE w:val="0"/>
        <w:autoSpaceDN w:val="0"/>
        <w:adjustRightInd w:val="0"/>
        <w:snapToGrid w:val="0"/>
        <w:spacing w:line="360" w:lineRule="auto"/>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color w:val="auto"/>
          <w:highlight w:val="none"/>
        </w:rPr>
        <w:br w:type="page"/>
      </w:r>
    </w:p>
    <w:p>
      <w:pPr>
        <w:pStyle w:val="195"/>
        <w:ind w:firstLine="2570" w:firstLineChars="800"/>
        <w:rPr>
          <w:rFonts w:ascii="仿宋" w:hAnsi="仿宋" w:eastAsia="仿宋"/>
          <w:b/>
          <w:color w:val="auto"/>
          <w:sz w:val="32"/>
          <w:szCs w:val="32"/>
          <w:highlight w:val="none"/>
        </w:rPr>
      </w:pPr>
      <w:r>
        <w:rPr>
          <w:rFonts w:hint="eastAsia" w:ascii="仿宋" w:hAnsi="仿宋" w:eastAsia="仿宋"/>
          <w:b/>
          <w:color w:val="auto"/>
          <w:sz w:val="32"/>
          <w:szCs w:val="32"/>
          <w:highlight w:val="none"/>
        </w:rPr>
        <w:t>第四部分  响应方案说明</w:t>
      </w:r>
    </w:p>
    <w:p>
      <w:pPr>
        <w:pStyle w:val="22"/>
        <w:rPr>
          <w:rFonts w:ascii="仿宋_GB2312" w:hAnsi="仿宋_GB2312" w:eastAsia="仿宋_GB2312" w:cs="仿宋_GB2312"/>
          <w:color w:val="auto"/>
          <w:highlight w:val="none"/>
          <w:lang w:val="zh-CN"/>
        </w:rPr>
      </w:pPr>
    </w:p>
    <w:p>
      <w:pPr>
        <w:autoSpaceDE w:val="0"/>
        <w:autoSpaceDN w:val="0"/>
        <w:adjustRightInd w:val="0"/>
        <w:spacing w:line="360"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（格式自拟，内容需符合评审办法中要求的内容要求）</w:t>
      </w:r>
    </w:p>
    <w:p>
      <w:pPr>
        <w:pStyle w:val="22"/>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Pr>
        <w:pStyle w:val="195"/>
        <w:ind w:firstLine="0"/>
        <w:rPr>
          <w:rFonts w:ascii="仿宋" w:hAnsi="仿宋" w:eastAsia="仿宋"/>
          <w:b/>
          <w:color w:val="auto"/>
          <w:sz w:val="32"/>
          <w:szCs w:val="32"/>
          <w:highlight w:val="none"/>
        </w:rPr>
      </w:pPr>
      <w:r>
        <w:rPr>
          <w:rFonts w:hint="eastAsia" w:ascii="仿宋" w:hAnsi="仿宋" w:eastAsia="仿宋"/>
          <w:b/>
          <w:color w:val="auto"/>
          <w:sz w:val="32"/>
          <w:szCs w:val="32"/>
          <w:highlight w:val="none"/>
        </w:rPr>
        <w:t>第五部分 小微企业、监狱企业、残疾人福利单位声明函或证明</w:t>
      </w:r>
    </w:p>
    <w:p>
      <w:pPr>
        <w:pStyle w:val="195"/>
        <w:rPr>
          <w:rFonts w:ascii="仿宋" w:hAnsi="仿宋" w:eastAsia="仿宋"/>
          <w:b/>
          <w:bCs/>
          <w:color w:val="auto"/>
          <w:sz w:val="32"/>
          <w:szCs w:val="32"/>
          <w:highlight w:val="none"/>
        </w:rPr>
      </w:pPr>
    </w:p>
    <w:p>
      <w:pPr>
        <w:jc w:val="center"/>
        <w:rPr>
          <w:rFonts w:ascii="仿宋_GB2312" w:hAnsi="仿宋_GB2312" w:eastAsia="仿宋_GB2312" w:cs="仿宋_GB2312"/>
          <w:b/>
          <w:color w:val="auto"/>
          <w:kern w:val="0"/>
          <w:sz w:val="28"/>
          <w:szCs w:val="28"/>
          <w:highlight w:val="none"/>
        </w:rPr>
      </w:pPr>
      <w:bookmarkStart w:id="500" w:name="_Toc7005133"/>
      <w:r>
        <w:rPr>
          <w:rFonts w:hint="eastAsia" w:ascii="仿宋_GB2312" w:hAnsi="仿宋_GB2312" w:eastAsia="仿宋_GB2312" w:cs="仿宋_GB2312"/>
          <w:b/>
          <w:color w:val="auto"/>
          <w:kern w:val="0"/>
          <w:sz w:val="28"/>
          <w:szCs w:val="28"/>
          <w:highlight w:val="none"/>
        </w:rPr>
        <w:t>中小企业声明函(工程、服务)</w:t>
      </w:r>
    </w:p>
    <w:p>
      <w:pPr>
        <w:rPr>
          <w:rFonts w:ascii="仿宋_GB2312" w:hAnsi="仿宋_GB2312" w:eastAsia="仿宋_GB2312" w:cs="仿宋_GB2312"/>
          <w:color w:val="auto"/>
          <w:kern w:val="0"/>
          <w:sz w:val="30"/>
          <w:szCs w:val="30"/>
          <w:highlight w:val="none"/>
        </w:rPr>
      </w:pP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本公司(联合体)郑重声明，根据《政府采购促进中小企业发展管理办法》(财库(2020)46号)的规定，本公司(联合体)参加</w:t>
      </w:r>
      <w:r>
        <w:rPr>
          <w:rFonts w:hint="eastAsia" w:ascii="仿宋_GB2312" w:hAnsi="仿宋_GB2312" w:eastAsia="仿宋_GB2312" w:cs="仿宋_GB2312"/>
          <w:i/>
          <w:color w:val="auto"/>
          <w:kern w:val="0"/>
          <w:sz w:val="24"/>
          <w:highlight w:val="none"/>
          <w:u w:val="single"/>
        </w:rPr>
        <w:t>(单位名称)</w:t>
      </w:r>
      <w:r>
        <w:rPr>
          <w:rFonts w:hint="eastAsia" w:ascii="仿宋_GB2312" w:hAnsi="仿宋_GB2312" w:eastAsia="仿宋_GB2312" w:cs="仿宋_GB2312"/>
          <w:color w:val="auto"/>
          <w:kern w:val="0"/>
          <w:sz w:val="24"/>
          <w:highlight w:val="none"/>
        </w:rPr>
        <w:t xml:space="preserve"> 的</w:t>
      </w:r>
      <w:r>
        <w:rPr>
          <w:rFonts w:hint="eastAsia" w:ascii="仿宋_GB2312" w:hAnsi="仿宋_GB2312" w:eastAsia="仿宋_GB2312" w:cs="仿宋_GB2312"/>
          <w:i/>
          <w:color w:val="auto"/>
          <w:kern w:val="0"/>
          <w:sz w:val="24"/>
          <w:highlight w:val="none"/>
          <w:u w:val="single"/>
        </w:rPr>
        <w:t>(项目名称)</w:t>
      </w:r>
      <w:r>
        <w:rPr>
          <w:rFonts w:hint="eastAsia" w:ascii="仿宋_GB2312" w:hAnsi="仿宋_GB2312" w:eastAsia="仿宋_GB2312" w:cs="仿宋_GB2312"/>
          <w:color w:val="auto"/>
          <w:kern w:val="0"/>
          <w:sz w:val="24"/>
          <w:highlight w:val="none"/>
          <w:u w:val="single"/>
        </w:rPr>
        <w:t xml:space="preserve"> 采购</w:t>
      </w:r>
      <w:r>
        <w:rPr>
          <w:rFonts w:hint="eastAsia" w:ascii="仿宋_GB2312" w:hAnsi="仿宋_GB2312" w:eastAsia="仿宋_GB2312" w:cs="仿宋_GB2312"/>
          <w:color w:val="auto"/>
          <w:kern w:val="0"/>
          <w:sz w:val="24"/>
          <w:highlight w:val="none"/>
        </w:rPr>
        <w:t>活动，工程的施工单位全部为符合政策要求的中小企业(或者:服务全部由符合政策要求的中小企业承接)。相关企业(含联合体中的中小企业、签订分包意向协议的中小企业)的具体情况如下：</w:t>
      </w:r>
    </w:p>
    <w:p>
      <w:pPr>
        <w:pStyle w:val="67"/>
        <w:numPr>
          <w:ilvl w:val="0"/>
          <w:numId w:val="19"/>
        </w:numPr>
        <w:spacing w:line="560" w:lineRule="exact"/>
        <w:ind w:firstLineChars="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i/>
          <w:color w:val="auto"/>
          <w:kern w:val="0"/>
          <w:sz w:val="24"/>
          <w:szCs w:val="24"/>
          <w:highlight w:val="none"/>
          <w:u w:val="single"/>
        </w:rPr>
        <w:t xml:space="preserve"> (标的名称) </w:t>
      </w:r>
      <w:r>
        <w:rPr>
          <w:rFonts w:hint="eastAsia" w:ascii="仿宋_GB2312" w:hAnsi="仿宋_GB2312" w:eastAsia="仿宋_GB2312" w:cs="仿宋_GB2312"/>
          <w:color w:val="auto"/>
          <w:kern w:val="0"/>
          <w:sz w:val="24"/>
          <w:szCs w:val="24"/>
          <w:highlight w:val="none"/>
        </w:rPr>
        <w:t>，属于</w:t>
      </w:r>
      <w:r>
        <w:rPr>
          <w:rFonts w:hint="eastAsia" w:ascii="仿宋_GB2312" w:hAnsi="仿宋_GB2312" w:eastAsia="仿宋_GB2312" w:cs="仿宋_GB2312"/>
          <w:i/>
          <w:color w:val="auto"/>
          <w:kern w:val="0"/>
          <w:sz w:val="24"/>
          <w:szCs w:val="24"/>
          <w:highlight w:val="none"/>
          <w:u w:val="single"/>
        </w:rPr>
        <w:t>(采购文件中明的所属行业)</w:t>
      </w:r>
      <w:r>
        <w:rPr>
          <w:rFonts w:hint="eastAsia" w:ascii="仿宋_GB2312" w:hAnsi="仿宋_GB2312" w:eastAsia="仿宋_GB2312" w:cs="仿宋_GB2312"/>
          <w:color w:val="auto"/>
          <w:kern w:val="0"/>
          <w:sz w:val="24"/>
          <w:szCs w:val="24"/>
          <w:highlight w:val="none"/>
        </w:rPr>
        <w:t>；承建(承接)企业为</w:t>
      </w:r>
      <w:r>
        <w:rPr>
          <w:rFonts w:hint="eastAsia" w:ascii="仿宋_GB2312" w:hAnsi="仿宋_GB2312" w:eastAsia="仿宋_GB2312" w:cs="仿宋_GB2312"/>
          <w:i/>
          <w:color w:val="auto"/>
          <w:kern w:val="0"/>
          <w:sz w:val="24"/>
          <w:szCs w:val="24"/>
          <w:highlight w:val="none"/>
          <w:u w:val="single"/>
        </w:rPr>
        <w:t xml:space="preserve"> (企业名称) </w:t>
      </w:r>
      <w:r>
        <w:rPr>
          <w:rFonts w:hint="eastAsia" w:ascii="仿宋_GB2312" w:hAnsi="仿宋_GB2312" w:eastAsia="仿宋_GB2312" w:cs="仿宋_GB2312"/>
          <w:color w:val="auto"/>
          <w:kern w:val="0"/>
          <w:sz w:val="24"/>
          <w:szCs w:val="24"/>
          <w:highlight w:val="none"/>
        </w:rPr>
        <w:t>，从业人员人，营业收入为万元，资产总额为万元，属于</w:t>
      </w:r>
      <w:r>
        <w:rPr>
          <w:rFonts w:hint="eastAsia" w:ascii="仿宋_GB2312" w:hAnsi="仿宋_GB2312" w:eastAsia="仿宋_GB2312" w:cs="仿宋_GB2312"/>
          <w:i/>
          <w:color w:val="auto"/>
          <w:kern w:val="0"/>
          <w:sz w:val="24"/>
          <w:szCs w:val="24"/>
          <w:highlight w:val="none"/>
          <w:u w:val="single"/>
        </w:rPr>
        <w:t xml:space="preserve"> (中型企</w:t>
      </w:r>
      <w:r>
        <w:rPr>
          <w:rFonts w:hint="eastAsia" w:ascii="仿宋_GB2312" w:hAnsi="仿宋_GB2312" w:eastAsia="仿宋_GB2312" w:cs="仿宋_GB2312"/>
          <w:i/>
          <w:color w:val="auto"/>
          <w:kern w:val="0"/>
          <w:sz w:val="24"/>
          <w:szCs w:val="24"/>
          <w:highlight w:val="none"/>
          <w:u w:val="single"/>
          <w:lang w:val="en-US" w:eastAsia="zh-CN"/>
        </w:rPr>
        <w:t>业</w:t>
      </w:r>
      <w:r>
        <w:rPr>
          <w:rFonts w:hint="eastAsia" w:ascii="仿宋_GB2312" w:hAnsi="仿宋_GB2312" w:eastAsia="仿宋_GB2312" w:cs="仿宋_GB2312"/>
          <w:i/>
          <w:color w:val="auto"/>
          <w:kern w:val="0"/>
          <w:sz w:val="24"/>
          <w:szCs w:val="24"/>
          <w:highlight w:val="none"/>
          <w:u w:val="single"/>
        </w:rPr>
        <w:t xml:space="preserve">、小型企业、微型企业) </w:t>
      </w:r>
      <w:r>
        <w:rPr>
          <w:rFonts w:hint="eastAsia" w:ascii="仿宋_GB2312" w:hAnsi="仿宋_GB2312" w:eastAsia="仿宋_GB2312" w:cs="仿宋_GB2312"/>
          <w:color w:val="auto"/>
          <w:kern w:val="0"/>
          <w:sz w:val="24"/>
          <w:szCs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2. </w:t>
      </w:r>
      <w:r>
        <w:rPr>
          <w:rFonts w:hint="eastAsia" w:ascii="仿宋_GB2312" w:hAnsi="仿宋_GB2312" w:eastAsia="仿宋_GB2312" w:cs="仿宋_GB2312"/>
          <w:i/>
          <w:color w:val="auto"/>
          <w:kern w:val="0"/>
          <w:sz w:val="24"/>
          <w:highlight w:val="none"/>
          <w:u w:val="single"/>
        </w:rPr>
        <w:t xml:space="preserve">(标的名称) </w:t>
      </w:r>
      <w:r>
        <w:rPr>
          <w:rFonts w:hint="eastAsia" w:ascii="仿宋_GB2312" w:hAnsi="仿宋_GB2312" w:eastAsia="仿宋_GB2312" w:cs="仿宋_GB2312"/>
          <w:color w:val="auto"/>
          <w:kern w:val="0"/>
          <w:sz w:val="24"/>
          <w:highlight w:val="none"/>
        </w:rPr>
        <w:t>，属于</w:t>
      </w:r>
      <w:r>
        <w:rPr>
          <w:rFonts w:hint="eastAsia" w:ascii="仿宋_GB2312" w:hAnsi="仿宋_GB2312" w:eastAsia="仿宋_GB2312" w:cs="仿宋_GB2312"/>
          <w:i/>
          <w:color w:val="auto"/>
          <w:kern w:val="0"/>
          <w:sz w:val="24"/>
          <w:highlight w:val="none"/>
          <w:u w:val="single"/>
        </w:rPr>
        <w:t>(采购文件中明的所属行业)</w:t>
      </w:r>
      <w:r>
        <w:rPr>
          <w:rFonts w:hint="eastAsia" w:ascii="仿宋_GB2312" w:hAnsi="仿宋_GB2312" w:eastAsia="仿宋_GB2312" w:cs="仿宋_GB2312"/>
          <w:color w:val="auto"/>
          <w:kern w:val="0"/>
          <w:sz w:val="24"/>
          <w:highlight w:val="none"/>
        </w:rPr>
        <w:t>；承建(承接)企业为</w:t>
      </w:r>
      <w:r>
        <w:rPr>
          <w:rFonts w:hint="eastAsia" w:ascii="仿宋_GB2312" w:hAnsi="仿宋_GB2312" w:eastAsia="仿宋_GB2312" w:cs="仿宋_GB2312"/>
          <w:i/>
          <w:color w:val="auto"/>
          <w:kern w:val="0"/>
          <w:sz w:val="24"/>
          <w:highlight w:val="none"/>
          <w:u w:val="single"/>
        </w:rPr>
        <w:t xml:space="preserve"> (企业名称) </w:t>
      </w:r>
      <w:r>
        <w:rPr>
          <w:rFonts w:hint="eastAsia" w:ascii="仿宋_GB2312" w:hAnsi="仿宋_GB2312" w:eastAsia="仿宋_GB2312" w:cs="仿宋_GB2312"/>
          <w:color w:val="auto"/>
          <w:kern w:val="0"/>
          <w:sz w:val="24"/>
          <w:highlight w:val="none"/>
        </w:rPr>
        <w:t>，从业人员人，营业收入为万元，资产总额为万元，属于</w:t>
      </w:r>
      <w:r>
        <w:rPr>
          <w:rFonts w:hint="eastAsia" w:ascii="仿宋_GB2312" w:hAnsi="仿宋_GB2312" w:eastAsia="仿宋_GB2312" w:cs="仿宋_GB2312"/>
          <w:i/>
          <w:color w:val="auto"/>
          <w:kern w:val="0"/>
          <w:sz w:val="24"/>
          <w:highlight w:val="none"/>
          <w:u w:val="single"/>
        </w:rPr>
        <w:t xml:space="preserve"> (中型企</w:t>
      </w:r>
      <w:r>
        <w:rPr>
          <w:rFonts w:hint="eastAsia" w:ascii="仿宋_GB2312" w:hAnsi="仿宋_GB2312" w:eastAsia="仿宋_GB2312" w:cs="仿宋_GB2312"/>
          <w:i/>
          <w:color w:val="auto"/>
          <w:kern w:val="0"/>
          <w:sz w:val="24"/>
          <w:highlight w:val="none"/>
          <w:u w:val="single"/>
          <w:lang w:val="en-US" w:eastAsia="zh-CN"/>
        </w:rPr>
        <w:t>业</w:t>
      </w:r>
      <w:r>
        <w:rPr>
          <w:rFonts w:hint="eastAsia" w:ascii="仿宋_GB2312" w:hAnsi="仿宋_GB2312" w:eastAsia="仿宋_GB2312" w:cs="仿宋_GB2312"/>
          <w:i/>
          <w:color w:val="auto"/>
          <w:kern w:val="0"/>
          <w:sz w:val="24"/>
          <w:highlight w:val="none"/>
          <w:u w:val="single"/>
        </w:rPr>
        <w:t xml:space="preserve">、小型企业、微型企业) </w:t>
      </w:r>
      <w:r>
        <w:rPr>
          <w:rFonts w:hint="eastAsia" w:ascii="仿宋_GB2312" w:hAnsi="仿宋_GB2312" w:eastAsia="仿宋_GB2312" w:cs="仿宋_GB2312"/>
          <w:color w:val="auto"/>
          <w:kern w:val="0"/>
          <w:sz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本企业对上述声明内容的真实性负责。如有虚假，将依法承担相应责任。</w:t>
      </w:r>
    </w:p>
    <w:p>
      <w:pPr>
        <w:spacing w:line="56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企业名称(盖章):</w:t>
      </w:r>
    </w:p>
    <w:p>
      <w:pPr>
        <w:spacing w:line="560" w:lineRule="exact"/>
        <w:ind w:firstLine="4320" w:firstLineChars="18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日期：</w:t>
      </w:r>
    </w:p>
    <w:p>
      <w:pPr>
        <w:spacing w:line="560" w:lineRule="exact"/>
        <w:ind w:firstLine="5400" w:firstLineChars="1800"/>
        <w:rPr>
          <w:rFonts w:ascii="仿宋_GB2312" w:hAnsi="仿宋_GB2312" w:eastAsia="仿宋_GB2312" w:cs="仿宋_GB2312"/>
          <w:color w:val="auto"/>
          <w:kern w:val="0"/>
          <w:sz w:val="30"/>
          <w:szCs w:val="30"/>
          <w:highlight w:val="none"/>
        </w:rPr>
      </w:pPr>
    </w:p>
    <w:p>
      <w:pPr>
        <w:rPr>
          <w:rFonts w:ascii="仿宋_GB2312" w:hAnsi="仿宋_GB2312" w:eastAsia="仿宋_GB2312" w:cs="仿宋_GB2312"/>
          <w:color w:val="auto"/>
          <w:kern w:val="0"/>
          <w:sz w:val="30"/>
          <w:szCs w:val="30"/>
          <w:highlight w:val="none"/>
          <w:u w:val="single"/>
        </w:rPr>
      </w:pPr>
    </w:p>
    <w:p>
      <w:pPr>
        <w:ind w:firstLine="105" w:firstLineChars="5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（从业人员、营业收入、资产总额填报上一年度数据，无上一年度数据的新成立企业可不填报）</w:t>
      </w: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bookmarkEnd w:id="500"/>
    <w:p>
      <w:pPr>
        <w:jc w:val="center"/>
        <w:outlineLvl w:val="1"/>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二、监狱企业声明函</w:t>
      </w:r>
    </w:p>
    <w:p>
      <w:pPr>
        <w:spacing w:line="360" w:lineRule="auto"/>
        <w:rPr>
          <w:rFonts w:ascii="仿宋_GB2312" w:hAnsi="Arial" w:eastAsia="仿宋_GB2312"/>
          <w:b/>
          <w:color w:val="auto"/>
          <w:kern w:val="0"/>
          <w:sz w:val="24"/>
          <w:szCs w:val="20"/>
          <w:highlight w:val="none"/>
        </w:rPr>
      </w:pPr>
    </w:p>
    <w:p>
      <w:pPr>
        <w:widowControl/>
        <w:spacing w:before="100" w:beforeAutospacing="1" w:after="100" w:afterAutospacing="1" w:line="360" w:lineRule="auto"/>
        <w:ind w:firstLine="480" w:firstLineChars="20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（1）本企业（单位）（请填写：是、不是）监狱企业。如果是，后附省级以上监狱管理局、戒毒管理局（含新疆生产建设兵团）出具的属于监狱企业的证明文件。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（2）本企业（单位）（请填写：是、不是）为联合体一方，提供本企业（单位）制造的货物，由本企业（单位）承担工程、提供服务。本企业（单位）提供协议合同金额占到共同投标协议合同总金额的比例为。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60" w:lineRule="auto"/>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ascii="仿宋_GB2312" w:hAnsi="Arial" w:eastAsia="仿宋_GB2312"/>
          <w:b/>
          <w:color w:val="auto"/>
          <w:kern w:val="0"/>
          <w:sz w:val="24"/>
          <w:szCs w:val="20"/>
          <w:highlight w:val="none"/>
        </w:rPr>
      </w:pPr>
      <w:r>
        <w:rPr>
          <w:rFonts w:hint="eastAsia" w:ascii="仿宋_GB2312" w:hAnsi="仿宋" w:eastAsia="仿宋_GB2312" w:cs="宋体"/>
          <w:color w:val="auto"/>
          <w:kern w:val="0"/>
          <w:sz w:val="24"/>
          <w:highlight w:val="none"/>
        </w:rPr>
        <w:t>　</w:t>
      </w:r>
      <w:r>
        <w:rPr>
          <w:rFonts w:hint="eastAsia" w:ascii="仿宋_GB2312" w:hAnsi="Arial" w:eastAsia="仿宋_GB2312"/>
          <w:b/>
          <w:color w:val="auto"/>
          <w:kern w:val="0"/>
          <w:sz w:val="24"/>
          <w:szCs w:val="20"/>
          <w:highlight w:val="none"/>
        </w:rPr>
        <w:t>　</w:t>
      </w:r>
    </w:p>
    <w:p>
      <w:pPr>
        <w:widowControl/>
        <w:spacing w:before="100" w:beforeAutospacing="1" w:after="100" w:afterAutospacing="1" w:line="360" w:lineRule="auto"/>
        <w:ind w:firstLine="360" w:firstLineChars="15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单位名称（公章）：</w:t>
      </w:r>
    </w:p>
    <w:p>
      <w:pPr>
        <w:widowControl/>
        <w:spacing w:before="100" w:beforeAutospacing="1" w:after="100" w:afterAutospacing="1" w:line="360" w:lineRule="auto"/>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xml:space="preserve"> 　法定代表人或授权代表（签字）:  </w:t>
      </w:r>
    </w:p>
    <w:p>
      <w:pPr>
        <w:widowControl/>
        <w:spacing w:before="100" w:beforeAutospacing="1" w:after="100" w:afterAutospacing="1" w:line="360" w:lineRule="auto"/>
        <w:ind w:firstLine="240" w:firstLineChars="100"/>
        <w:jc w:val="left"/>
        <w:rPr>
          <w:rFonts w:ascii="仿宋_GB2312" w:hAnsi="仿宋" w:eastAsia="仿宋_GB2312" w:cs="宋体"/>
          <w:color w:val="auto"/>
          <w:kern w:val="0"/>
          <w:sz w:val="24"/>
          <w:highlight w:val="none"/>
          <w:u w:val="single"/>
        </w:rPr>
      </w:pPr>
      <w:r>
        <w:rPr>
          <w:rFonts w:hint="eastAsia" w:ascii="仿宋_GB2312" w:hAnsi="仿宋" w:eastAsia="仿宋_GB2312" w:cs="宋体"/>
          <w:color w:val="auto"/>
          <w:kern w:val="0"/>
          <w:sz w:val="24"/>
          <w:highlight w:val="none"/>
        </w:rPr>
        <w:t>日　期：</w:t>
      </w:r>
    </w:p>
    <w:p>
      <w:pPr>
        <w:widowControl/>
        <w:spacing w:before="100" w:beforeAutospacing="1" w:after="100" w:afterAutospacing="1" w:line="360" w:lineRule="auto"/>
        <w:jc w:val="left"/>
        <w:rPr>
          <w:rFonts w:ascii="仿宋_GB2312" w:hAnsi="仿宋" w:eastAsia="仿宋_GB2312" w:cs="宋体"/>
          <w:color w:val="auto"/>
          <w:kern w:val="0"/>
          <w:sz w:val="24"/>
          <w:highlight w:val="none"/>
          <w:u w:val="single"/>
        </w:rPr>
      </w:pPr>
    </w:p>
    <w:p>
      <w:pPr>
        <w:widowControl/>
        <w:spacing w:before="100" w:beforeAutospacing="1" w:after="100" w:afterAutospacing="1" w:line="360" w:lineRule="auto"/>
        <w:jc w:val="left"/>
        <w:rPr>
          <w:rFonts w:ascii="仿宋_GB2312" w:hAnsi="仿宋_GB2312" w:eastAsia="仿宋_GB2312" w:cs="仿宋_GB2312"/>
          <w:color w:val="auto"/>
          <w:sz w:val="24"/>
          <w:highlight w:val="none"/>
        </w:rPr>
      </w:pPr>
      <w:r>
        <w:rPr>
          <w:rFonts w:hint="eastAsia" w:ascii="仿宋_GB2312" w:hAnsi="仿宋" w:eastAsia="仿宋_GB2312" w:cs="宋体"/>
          <w:color w:val="auto"/>
          <w:kern w:val="0"/>
          <w:sz w:val="24"/>
          <w:highlight w:val="none"/>
        </w:rPr>
        <w:t>注：符合《关于政府采购支持监狱企业发展有关问题的通知》价格扣减条件的供应商须提交。需提供</w:t>
      </w:r>
      <w:r>
        <w:rPr>
          <w:rFonts w:hint="eastAsia" w:ascii="仿宋_GB2312" w:hAnsi="仿宋_GB2312" w:eastAsia="仿宋_GB2312" w:cs="仿宋_GB2312"/>
          <w:color w:val="auto"/>
          <w:sz w:val="24"/>
          <w:highlight w:val="none"/>
        </w:rPr>
        <w:t>省级以上监狱管理局、戒毒管理局（含新疆生产建设兵团）出具的属于监狱企业的证明文件。</w:t>
      </w:r>
    </w:p>
    <w:p>
      <w:pPr>
        <w:rPr>
          <w:rFonts w:ascii="仿宋_GB2312" w:hAnsi="仿宋_GB2312" w:eastAsia="仿宋_GB2312" w:cs="仿宋_GB2312"/>
          <w:color w:val="auto"/>
          <w:sz w:val="32"/>
          <w:szCs w:val="32"/>
          <w:highlight w:val="none"/>
        </w:rPr>
      </w:pPr>
    </w:p>
    <w:p>
      <w:pPr>
        <w:jc w:val="center"/>
        <w:outlineLvl w:val="2"/>
        <w:rPr>
          <w:rFonts w:ascii="仿宋_GB2312" w:hAnsi="仿宋_GB2312" w:eastAsia="仿宋_GB2312" w:cs="仿宋_GB2312"/>
          <w:b/>
          <w:color w:val="auto"/>
          <w:sz w:val="32"/>
          <w:szCs w:val="32"/>
          <w:highlight w:val="none"/>
        </w:rPr>
      </w:pPr>
      <w:bookmarkStart w:id="501" w:name="_Toc7005134"/>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b/>
          <w:color w:val="auto"/>
          <w:sz w:val="28"/>
          <w:szCs w:val="28"/>
          <w:highlight w:val="none"/>
        </w:rPr>
        <w:t>三、残疾人福利性单位声明函</w:t>
      </w:r>
      <w:bookmarkEnd w:id="501"/>
    </w:p>
    <w:p>
      <w:pPr>
        <w:spacing w:after="120"/>
        <w:rPr>
          <w:rFonts w:ascii="仿宋_GB2312" w:hAnsi="仿宋_GB2312" w:eastAsia="仿宋_GB2312" w:cs="仿宋_GB2312"/>
          <w:color w:val="auto"/>
          <w:highlight w:val="none"/>
        </w:rPr>
      </w:pPr>
    </w:p>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（注：符合条件的残疾人福利性单位请提供本函，不符合的不提供本函）</w:t>
      </w:r>
    </w:p>
    <w:p>
      <w:pPr>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本单位对上述声明的真实性负责。如有虚假，将依法承担相应责任。</w:t>
      </w:r>
    </w:p>
    <w:p>
      <w:pPr>
        <w:spacing w:line="360" w:lineRule="auto"/>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ind w:firstLine="3600" w:firstLineChars="15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单位名称（公章）：</w:t>
      </w:r>
    </w:p>
    <w:p>
      <w:pPr>
        <w:rPr>
          <w:rFonts w:ascii="仿宋_GB2312" w:hAnsi="仿宋_GB2312" w:eastAsia="仿宋_GB2312" w:cs="仿宋_GB2312"/>
          <w:color w:val="auto"/>
          <w:sz w:val="24"/>
          <w:highlight w:val="none"/>
        </w:rPr>
      </w:pPr>
    </w:p>
    <w:p>
      <w:pPr>
        <w:ind w:firstLine="3600" w:firstLineChars="15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p>
    <w:p>
      <w:pPr>
        <w:rPr>
          <w:rFonts w:ascii="仿宋_GB2312" w:hAnsi="仿宋_GB2312" w:eastAsia="仿宋_GB2312" w:cs="仿宋_GB2312"/>
          <w:color w:val="auto"/>
          <w:sz w:val="24"/>
          <w:highlight w:val="none"/>
        </w:rPr>
      </w:pPr>
    </w:p>
    <w:p>
      <w:pPr>
        <w:snapToGrid w:val="0"/>
        <w:spacing w:beforeLines="50"/>
        <w:jc w:val="center"/>
        <w:rPr>
          <w:rFonts w:ascii="仿宋_GB2312" w:hAnsi="仿宋_GB2312" w:eastAsia="仿宋_GB2312" w:cs="仿宋_GB2312"/>
          <w:b/>
          <w:color w:val="auto"/>
          <w:sz w:val="24"/>
          <w:szCs w:val="21"/>
          <w:highlight w:val="none"/>
        </w:rPr>
      </w:pPr>
    </w:p>
    <w:p>
      <w:pPr>
        <w:widowControl/>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jc w:val="center"/>
        <w:outlineLvl w:val="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四、响应承诺书</w:t>
      </w:r>
    </w:p>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陕西省采购招标有限责任公司：</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我方在此声明，我方以下事项进行承诺：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 在本次磋商中我公司无与其他供应商相互串通，或与采购人串通的行为；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在本次磋商中我公司无向采购人或磋商小组成员行贿的手段谋取成交的行为；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 在本次磋商中我公司无出借或借用资质行为、在响应文件中所附资料（业绩、项目负责人资料等）无弄虚作假；</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 我公司没有处于被责令停产、停业、投标资格被取消状态；</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（5）我公司不采用非法手段获取证据进行质疑、投诉，在质疑、投诉过程中不提供虚假情况或进行恶意质疑、投诉。</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上述承诺内容如有不实，我公司愿意承担由此造成的一切法律责任，并承诺以磋商保证金赔偿给采购人造成的损失。</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特此承诺。</w:t>
      </w:r>
    </w:p>
    <w:p>
      <w:pPr>
        <w:spacing w:line="360" w:lineRule="auto"/>
        <w:ind w:firstLine="480" w:firstLineChars="200"/>
        <w:rPr>
          <w:rFonts w:ascii="仿宋_GB2312" w:hAnsi="仿宋_GB2312" w:eastAsia="仿宋_GB2312" w:cs="仿宋_GB2312"/>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pStyle w:val="22"/>
        <w:rPr>
          <w:color w:val="auto"/>
          <w:highlight w:val="none"/>
        </w:rPr>
      </w:pPr>
      <w:r>
        <w:rPr>
          <w:color w:val="auto"/>
          <w:highlight w:val="none"/>
        </w:rPr>
        <w:br w:type="page"/>
      </w:r>
    </w:p>
    <w:p>
      <w:pPr>
        <w:pStyle w:val="195"/>
        <w:ind w:firstLine="0"/>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第六部分  保证金支付凭证或担保函（复印件）</w:t>
      </w:r>
    </w:p>
    <w:p>
      <w:pPr>
        <w:pStyle w:val="195"/>
        <w:rPr>
          <w:rFonts w:ascii="仿宋" w:hAnsi="仿宋" w:eastAsia="仿宋"/>
          <w:b/>
          <w:color w:val="auto"/>
          <w:sz w:val="32"/>
          <w:szCs w:val="32"/>
          <w:highlight w:val="none"/>
        </w:rPr>
      </w:pPr>
    </w:p>
    <w:p>
      <w:pPr>
        <w:rPr>
          <w:rFonts w:ascii="仿宋_GB2312" w:hAnsi="仿宋_GB2312" w:eastAsia="仿宋_GB2312" w:cs="仿宋_GB2312"/>
          <w:color w:val="auto"/>
          <w:sz w:val="24"/>
          <w:highlight w:val="none"/>
        </w:rPr>
      </w:pP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本项目不要求提供保证金</w:t>
      </w: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autoSpaceDE w:val="0"/>
        <w:autoSpaceDN w:val="0"/>
        <w:adjustRightInd w:val="0"/>
        <w:spacing w:line="360" w:lineRule="auto"/>
        <w:jc w:val="center"/>
        <w:rPr>
          <w:rFonts w:ascii="仿宋_GB2312" w:hAnsi="仿宋_GB2312" w:eastAsia="仿宋_GB2312" w:cs="仿宋_GB2312"/>
          <w:b/>
          <w:bCs/>
          <w:color w:val="auto"/>
          <w:sz w:val="44"/>
          <w:szCs w:val="44"/>
          <w:highlight w:val="none"/>
          <w:lang w:val="zh-CN"/>
        </w:rPr>
      </w:pPr>
    </w:p>
    <w:p>
      <w:pPr>
        <w:autoSpaceDE w:val="0"/>
        <w:autoSpaceDN w:val="0"/>
        <w:adjustRightInd w:val="0"/>
        <w:snapToGrid w:val="0"/>
        <w:spacing w:line="288" w:lineRule="auto"/>
        <w:jc w:val="left"/>
        <w:rPr>
          <w:rFonts w:ascii="仿宋_GB2312" w:hAnsi="仿宋_GB2312" w:eastAsia="仿宋_GB2312" w:cs="仿宋_GB2312"/>
          <w:bCs/>
          <w:color w:val="auto"/>
          <w:sz w:val="44"/>
          <w:szCs w:val="44"/>
          <w:highlight w:val="none"/>
        </w:rPr>
        <w:sectPr>
          <w:pgSz w:w="11906" w:h="16838"/>
          <w:pgMar w:top="1418" w:right="1418" w:bottom="1418" w:left="1418" w:header="851" w:footer="992" w:gutter="0"/>
          <w:cols w:space="720" w:num="1"/>
          <w:docGrid w:linePitch="312" w:charSpace="0"/>
        </w:sectPr>
      </w:pPr>
    </w:p>
    <w:p>
      <w:pPr>
        <w:widowControl/>
        <w:snapToGrid w:val="0"/>
        <w:spacing w:before="100" w:beforeAutospacing="1" w:after="100" w:afterAutospacing="1" w:line="320" w:lineRule="exact"/>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附件1</w:t>
      </w:r>
    </w:p>
    <w:p>
      <w:pPr>
        <w:widowControl/>
        <w:snapToGrid w:val="0"/>
        <w:spacing w:before="100" w:beforeAutospacing="1" w:after="100" w:afterAutospacing="1" w:line="320" w:lineRule="exact"/>
        <w:jc w:val="center"/>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磋商响应担保函</w:t>
      </w:r>
    </w:p>
    <w:p>
      <w:pPr>
        <w:snapToGrid w:val="0"/>
        <w:ind w:firstLine="3360" w:firstLineChars="1400"/>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（适用于保证金保函）</w:t>
      </w:r>
    </w:p>
    <w:p>
      <w:pPr>
        <w:snapToGrid w:val="0"/>
        <w:ind w:right="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保函编号:</w:t>
      </w:r>
    </w:p>
    <w:p>
      <w:pPr>
        <w:snapToGrid w:val="0"/>
        <w:ind w:right="48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陕西省采购招标有限责任公司</w:t>
      </w:r>
      <w:r>
        <w:rPr>
          <w:rFonts w:hint="eastAsia" w:ascii="仿宋_GB2312" w:hAnsi="仿宋_GB2312" w:eastAsia="仿宋_GB2312" w:cs="仿宋_GB2312"/>
          <w:color w:val="auto"/>
          <w:sz w:val="24"/>
          <w:highlight w:val="none"/>
        </w:rPr>
        <w:t>(下称受益人)：</w:t>
      </w:r>
    </w:p>
    <w:p>
      <w:pPr>
        <w:snapToGrid w:val="0"/>
        <w:spacing w:line="288" w:lineRule="auto"/>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鉴于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(下称被保证人)将于</w:t>
      </w:r>
      <w:r>
        <w:rPr>
          <w:rFonts w:hint="eastAsia" w:ascii="仿宋_GB2312" w:hAnsi="仿宋_GB2312" w:eastAsia="仿宋_GB2312" w:cs="仿宋_GB2312"/>
          <w:color w:val="auto"/>
          <w:sz w:val="24"/>
          <w:highlight w:val="none"/>
          <w:u w:val="single"/>
        </w:rPr>
        <w:t>    年 月 日</w:t>
      </w:r>
      <w:r>
        <w:rPr>
          <w:rFonts w:hint="eastAsia" w:ascii="仿宋_GB2312" w:hAnsi="仿宋_GB2312" w:eastAsia="仿宋_GB2312" w:cs="仿宋_GB2312"/>
          <w:color w:val="auto"/>
          <w:sz w:val="24"/>
          <w:highlight w:val="none"/>
        </w:rPr>
        <w:t>参加贵方竞争性磋商文件编号为</w:t>
      </w:r>
      <w:r>
        <w:rPr>
          <w:rFonts w:hint="eastAsia" w:ascii="仿宋_GB2312" w:hAnsi="仿宋_GB2312" w:eastAsia="仿宋_GB2312" w:cs="仿宋_GB2312"/>
          <w:color w:val="auto"/>
          <w:sz w:val="24"/>
          <w:highlight w:val="none"/>
          <w:u w:val="single"/>
        </w:rPr>
        <w:t> （采购项目编号）</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（项目名称） </w:t>
      </w:r>
      <w:r>
        <w:rPr>
          <w:rFonts w:hint="eastAsia" w:ascii="仿宋_GB2312" w:hAnsi="仿宋_GB2312" w:eastAsia="仿宋_GB2312" w:cs="仿宋_GB2312"/>
          <w:color w:val="auto"/>
          <w:sz w:val="24"/>
          <w:highlight w:val="none"/>
        </w:rPr>
        <w:t>的竞争性磋商,我方接受被保证人的委托,在此向受益人提供不可撤销的磋商保证：</w:t>
      </w:r>
    </w:p>
    <w:p>
      <w:pPr>
        <w:numPr>
          <w:ilvl w:val="0"/>
          <w:numId w:val="20"/>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本保证担保的担保金额为</w:t>
      </w:r>
      <w:r>
        <w:rPr>
          <w:rFonts w:hint="eastAsia" w:ascii="仿宋_GB2312" w:hAnsi="仿宋_GB2312" w:eastAsia="仿宋_GB2312" w:cs="仿宋_GB2312"/>
          <w:color w:val="auto"/>
          <w:sz w:val="24"/>
          <w:highlight w:val="none"/>
          <w:u w:val="single"/>
        </w:rPr>
        <w:t>人民币</w:t>
      </w:r>
      <w:r>
        <w:rPr>
          <w:rFonts w:hint="eastAsia" w:ascii="仿宋_GB2312" w:hAnsi="仿宋_GB2312" w:eastAsia="仿宋_GB2312" w:cs="仿宋_GB2312"/>
          <w:color w:val="auto"/>
          <w:sz w:val="24"/>
          <w:highlight w:val="none"/>
        </w:rPr>
        <w:t>(币种</w:t>
      </w:r>
      <w:r>
        <w:rPr>
          <w:rFonts w:hint="eastAsia" w:ascii="仿宋_GB2312" w:hAnsi="仿宋_GB2312" w:eastAsia="仿宋_GB2312" w:cs="仿宋_GB2312"/>
          <w:color w:val="auto"/>
          <w:sz w:val="24"/>
          <w:highlight w:val="none"/>
          <w:u w:val="single"/>
        </w:rPr>
        <w:t>)     </w:t>
      </w:r>
      <w:r>
        <w:rPr>
          <w:rFonts w:hint="eastAsia" w:ascii="仿宋_GB2312" w:hAnsi="仿宋_GB2312" w:eastAsia="仿宋_GB2312" w:cs="仿宋_GB2312"/>
          <w:color w:val="auto"/>
          <w:sz w:val="24"/>
          <w:highlight w:val="none"/>
        </w:rPr>
        <w:t>元(小写)</w:t>
      </w:r>
      <w:r>
        <w:rPr>
          <w:rFonts w:hint="eastAsia" w:ascii="仿宋_GB2312" w:hAnsi="仿宋_GB2312" w:eastAsia="仿宋_GB2312" w:cs="仿宋_GB2312"/>
          <w:color w:val="auto"/>
          <w:sz w:val="24"/>
          <w:highlight w:val="none"/>
          <w:u w:val="single"/>
        </w:rPr>
        <w:t xml:space="preserve">     元整</w:t>
      </w:r>
      <w:r>
        <w:rPr>
          <w:rFonts w:hint="eastAsia" w:ascii="仿宋_GB2312" w:hAnsi="仿宋_GB2312" w:eastAsia="仿宋_GB2312" w:cs="仿宋_GB2312"/>
          <w:color w:val="auto"/>
          <w:sz w:val="24"/>
          <w:highlight w:val="none"/>
        </w:rPr>
        <w:t>(大写）。</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二、本保证担保的保证期间为响应文件的有效期(或延长的有效期),延长有效期无须通知我方。</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三、在本保证担保的保证期间内,如果被保证人出现下列情形之一,受益人可以向我方提起索赔：</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1.被保证人在响应文件有效期内撤回其响应文件；</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2.被保证人在响应文件有效期内收到受益人发出的成交通知书后,不能或拒绝按竞争性磋商文件的要求签署合同；</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3.被保证人在有效期内收到受益人发出的成交通知书后,不能或拒绝按竞争性磋商文件的规定提交履约担保；</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4.被保证人成交后未按照竞争性磋商文件规定交纳代理服务费。</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五、受益人的索赔通知应当说明索赔理由,并必须在本保证担保的保证期间内送达我方。</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六、本保证担保项下的权利不得转让。</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七、本保证担保的保证期间届满,或我方已向受益人支付本保证担保的担保金额,我方的保证责任免除。</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八、本保证担保适用中华人民共和国法律。</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九、本保证担保以中文文本为准,涂改无效。</w:t>
      </w:r>
    </w:p>
    <w:p>
      <w:pPr>
        <w:snapToGrid w:val="0"/>
        <w:spacing w:line="28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保证人(盖章):</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br w:type="textWrapping"/>
      </w:r>
      <w:r>
        <w:rPr>
          <w:rFonts w:hint="eastAsia" w:ascii="仿宋_GB2312" w:hAnsi="仿宋_GB2312" w:eastAsia="仿宋_GB2312" w:cs="仿宋_GB2312"/>
          <w:color w:val="auto"/>
          <w:sz w:val="24"/>
          <w:highlight w:val="none"/>
        </w:rPr>
        <w:t xml:space="preserve">法定代表人或其授权委托代理人(签字或盖章）： </w:t>
      </w:r>
      <w:r>
        <w:rPr>
          <w:rFonts w:hint="eastAsia" w:ascii="仿宋_GB2312" w:hAnsi="仿宋_GB2312" w:eastAsia="仿宋_GB2312" w:cs="仿宋_GB2312"/>
          <w:color w:val="auto"/>
          <w:sz w:val="24"/>
          <w:highlight w:val="none"/>
          <w:u w:val="single"/>
        </w:rPr>
        <w:br w:type="textWrapping"/>
      </w:r>
      <w:r>
        <w:rPr>
          <w:rFonts w:hint="eastAsia" w:ascii="仿宋_GB2312" w:hAnsi="仿宋_GB2312" w:eastAsia="仿宋_GB2312" w:cs="仿宋_GB2312"/>
          <w:color w:val="auto"/>
          <w:sz w:val="24"/>
          <w:highlight w:val="none"/>
        </w:rPr>
        <w:t>单位地址:</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br w:type="textWrapping"/>
      </w:r>
      <w:r>
        <w:rPr>
          <w:rFonts w:hint="eastAsia" w:ascii="仿宋_GB2312" w:hAnsi="仿宋_GB2312" w:eastAsia="仿宋_GB2312" w:cs="仿宋_GB2312"/>
          <w:color w:val="auto"/>
          <w:sz w:val="24"/>
          <w:highlight w:val="none"/>
        </w:rPr>
        <w:t>电话:     </w:t>
      </w:r>
    </w:p>
    <w:p>
      <w:pPr>
        <w:snapToGrid w:val="0"/>
        <w:spacing w:line="28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pPr>
        <w:widowControl/>
        <w:snapToGrid w:val="0"/>
        <w:spacing w:before="100" w:beforeAutospacing="1" w:after="100" w:afterAutospacing="1" w:line="360" w:lineRule="auto"/>
        <w:rPr>
          <w:rFonts w:ascii="仿宋_GB2312" w:hAnsi="仿宋_GB2312" w:eastAsia="仿宋_GB2312" w:cs="仿宋_GB2312"/>
          <w:b/>
          <w:bCs/>
          <w:color w:val="auto"/>
          <w:kern w:val="0"/>
          <w:sz w:val="32"/>
          <w:szCs w:val="32"/>
          <w:highlight w:val="none"/>
        </w:rPr>
      </w:pPr>
      <w:bookmarkStart w:id="502" w:name="_Toc515647799"/>
      <w:bookmarkStart w:id="503" w:name="_Toc21748"/>
      <w:bookmarkStart w:id="504" w:name="_Toc16186"/>
      <w:bookmarkStart w:id="505" w:name="_Toc532473491"/>
      <w:r>
        <w:rPr>
          <w:rFonts w:hint="eastAsia" w:ascii="仿宋_GB2312" w:hAnsi="仿宋_GB2312" w:eastAsia="仿宋_GB2312" w:cs="仿宋_GB2312"/>
          <w:color w:val="auto"/>
          <w:kern w:val="0"/>
          <w:sz w:val="24"/>
          <w:highlight w:val="none"/>
        </w:rPr>
        <w:br w:type="page"/>
      </w:r>
      <w:bookmarkEnd w:id="502"/>
      <w:bookmarkEnd w:id="503"/>
      <w:bookmarkEnd w:id="504"/>
      <w:bookmarkEnd w:id="505"/>
      <w:bookmarkStart w:id="506" w:name="_Toc6548"/>
      <w:bookmarkStart w:id="507" w:name="_Toc10951"/>
      <w:bookmarkStart w:id="508" w:name="_Toc532473492"/>
      <w:bookmarkStart w:id="509" w:name="_Toc20660404"/>
      <w:bookmarkStart w:id="510" w:name="_Toc515647800"/>
      <w:r>
        <w:rPr>
          <w:rFonts w:hint="eastAsia" w:ascii="仿宋_GB2312" w:hAnsi="仿宋_GB2312" w:eastAsia="仿宋_GB2312" w:cs="仿宋_GB2312"/>
          <w:b/>
          <w:bCs/>
          <w:color w:val="auto"/>
          <w:kern w:val="0"/>
          <w:sz w:val="28"/>
          <w:szCs w:val="28"/>
          <w:highlight w:val="none"/>
        </w:rPr>
        <w:t>附件2</w:t>
      </w:r>
    </w:p>
    <w:p>
      <w:pPr>
        <w:widowControl/>
        <w:snapToGrid w:val="0"/>
        <w:spacing w:before="100" w:beforeAutospacing="1" w:after="100" w:afterAutospacing="1" w:line="360" w:lineRule="auto"/>
        <w:jc w:val="center"/>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履约担保函格式</w:t>
      </w:r>
      <w:bookmarkEnd w:id="506"/>
      <w:bookmarkEnd w:id="507"/>
      <w:bookmarkEnd w:id="508"/>
      <w:bookmarkEnd w:id="509"/>
      <w:bookmarkEnd w:id="510"/>
    </w:p>
    <w:p>
      <w:pPr>
        <w:snapToGrid w:val="0"/>
        <w:spacing w:line="336"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编号：</w:t>
      </w:r>
    </w:p>
    <w:p>
      <w:pPr>
        <w:snapToGrid w:val="0"/>
        <w:spacing w:line="336" w:lineRule="auto"/>
        <w:rPr>
          <w:rFonts w:ascii="仿宋_GB2312" w:hAnsi="仿宋_GB2312" w:eastAsia="仿宋_GB2312" w:cs="仿宋_GB2312"/>
          <w:color w:val="auto"/>
          <w:sz w:val="28"/>
          <w:szCs w:val="28"/>
          <w:highlight w:val="none"/>
        </w:rPr>
      </w:pPr>
    </w:p>
    <w:p>
      <w:pPr>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（采购人名称）：</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一、保证责任的情形及保证金额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（一）在供应商出现下列情形之一时，我方承担保证责任：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1．将成交项目转让给他人，或者在磋商响应文件中未说明，且未经采购人同意，将成交项目分包给他人的；</w:t>
      </w:r>
    </w:p>
    <w:p>
      <w:pPr>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2．主合同约定的应当缴纳履约保证金的情形: </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（1）未按主合同约定的质量、数量和期限供应货物/提供服务/完成工程的；</w:t>
      </w:r>
    </w:p>
    <w:p>
      <w:pPr>
        <w:snapToGrid w:val="0"/>
        <w:spacing w:line="336"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（二）我方的保证范围是主合同约定的合同价款总额的%数额为元（大写），币种为。（即主合同履约保证金金额）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二、保证的方式及保证期间</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我方保证的方式为：连带责任保证。</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我方保证的期间为：自本合同生效之日起至供应商按照主合同约定的供货/完工期限届满后日内。</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三、承担保证责任的程序</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我方收到你方的书面索赔通知及相应证明材料，在工作日内进行核定后按照本保函的承诺承担保证责任。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四、保证责任的终止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五、免责条款</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1．因你方违反主合同约定致使供应商不能履行义务的，我方不承担保证责任。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3．因不可抗力造成供应商不能履行供货义务的，我方不承担保证责任。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六、争议的解决</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因本保函发生的纠纷，由你我双方协商解决，协商不成的，通过诉讼程序解决，诉讼管辖地法院为法院。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七、保函的生效</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本保函自我方加盖公章之日起生效。</w:t>
      </w:r>
    </w:p>
    <w:p>
      <w:pPr>
        <w:snapToGrid w:val="0"/>
        <w:spacing w:line="336" w:lineRule="auto"/>
        <w:rPr>
          <w:rFonts w:ascii="仿宋_GB2312" w:hAnsi="仿宋_GB2312" w:eastAsia="仿宋_GB2312" w:cs="仿宋_GB2312"/>
          <w:color w:val="auto"/>
          <w:sz w:val="24"/>
          <w:highlight w:val="none"/>
        </w:rPr>
      </w:pPr>
    </w:p>
    <w:p>
      <w:pPr>
        <w:snapToGrid w:val="0"/>
        <w:spacing w:line="336" w:lineRule="auto"/>
        <w:rPr>
          <w:rFonts w:ascii="仿宋_GB2312" w:hAnsi="仿宋_GB2312" w:eastAsia="仿宋_GB2312" w:cs="仿宋_GB2312"/>
          <w:color w:val="auto"/>
          <w:sz w:val="24"/>
          <w:highlight w:val="none"/>
        </w:rPr>
      </w:pPr>
    </w:p>
    <w:p>
      <w:pPr>
        <w:spacing w:line="360" w:lineRule="auto"/>
        <w:ind w:left="1080" w:leftChars="257" w:hanging="5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出具保函单位名称（盖公章）：</w:t>
      </w:r>
    </w:p>
    <w:p>
      <w:pPr>
        <w:spacing w:line="360" w:lineRule="auto"/>
        <w:ind w:left="1080" w:leftChars="257" w:hanging="54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签字人姓名和职务：</w:t>
      </w:r>
    </w:p>
    <w:p>
      <w:pPr>
        <w:spacing w:line="360" w:lineRule="auto"/>
        <w:ind w:left="1080" w:leftChars="257" w:hanging="5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签字人签名：</w:t>
      </w:r>
    </w:p>
    <w:p>
      <w:pPr>
        <w:spacing w:line="360" w:lineRule="auto"/>
        <w:ind w:left="1080" w:leftChars="257" w:hanging="54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u w:val="single"/>
        </w:rPr>
        <w:t xml:space="preserve">         年      月      日    </w:t>
      </w:r>
    </w:p>
    <w:p>
      <w:pPr>
        <w:spacing w:after="120"/>
        <w:rPr>
          <w:rFonts w:ascii="仿宋_GB2312" w:hAnsi="仿宋_GB2312" w:eastAsia="仿宋_GB2312" w:cs="仿宋_GB2312"/>
          <w:color w:val="auto"/>
          <w:highlight w:val="none"/>
        </w:rPr>
      </w:pPr>
    </w:p>
    <w:p>
      <w:pPr>
        <w:autoSpaceDE w:val="0"/>
        <w:autoSpaceDN w:val="0"/>
        <w:adjustRightInd w:val="0"/>
        <w:snapToGrid w:val="0"/>
        <w:spacing w:line="360" w:lineRule="auto"/>
        <w:rPr>
          <w:rFonts w:ascii="仿宋_GB2312" w:hAnsi="仿宋_GB2312" w:eastAsia="仿宋_GB2312" w:cs="仿宋_GB2312"/>
          <w:b/>
          <w:bCs/>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附件3</w:t>
      </w:r>
    </w:p>
    <w:p>
      <w:pPr>
        <w:autoSpaceDE w:val="0"/>
        <w:autoSpaceDN w:val="0"/>
        <w:adjustRightInd w:val="0"/>
        <w:snapToGrid w:val="0"/>
        <w:spacing w:line="36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 （最后）磋商响应报价表</w:t>
      </w:r>
    </w:p>
    <w:p>
      <w:pPr>
        <w:spacing w:after="12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（随身携带，单独提供，无需装订在响应文件中）</w:t>
      </w:r>
    </w:p>
    <w:p>
      <w:pPr>
        <w:pStyle w:val="22"/>
        <w:rPr>
          <w:color w:val="auto"/>
          <w:highlight w:val="none"/>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zh-CN"/>
              </w:rPr>
              <w:br w:type="page"/>
            </w:r>
            <w:r>
              <w:rPr>
                <w:rFonts w:hint="eastAsia" w:ascii="仿宋_GB2312" w:hAnsi="仿宋_GB2312" w:eastAsia="仿宋_GB2312" w:cs="仿宋_GB2312"/>
                <w:b/>
                <w:color w:val="auto"/>
                <w:sz w:val="24"/>
                <w:highlight w:val="none"/>
              </w:rPr>
              <w:t>项目编号及项目名称</w:t>
            </w:r>
          </w:p>
        </w:tc>
        <w:tc>
          <w:tcPr>
            <w:tcW w:w="6981" w:type="dxa"/>
            <w:vAlign w:val="center"/>
          </w:tcPr>
          <w:p>
            <w:pPr>
              <w:spacing w:after="120"/>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eastAsia="zh-CN"/>
              </w:rPr>
              <w:t>SCZA2022-CS-0896/001</w:t>
            </w:r>
          </w:p>
          <w:p>
            <w:pPr>
              <w:spacing w:after="120"/>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eastAsia="zh-CN"/>
              </w:rPr>
              <w:t>2022年度海外赤子为国服务行动计划暨第六届中国西安留学回国人才招聘节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响应总价</w:t>
            </w:r>
          </w:p>
        </w:tc>
        <w:tc>
          <w:tcPr>
            <w:tcW w:w="6981" w:type="dxa"/>
            <w:vAlign w:val="center"/>
          </w:tcPr>
          <w:p>
            <w:pPr>
              <w:spacing w:after="12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人民币（大写）： 整（小写：</w:t>
            </w:r>
            <w:r>
              <w:rPr>
                <w:rFonts w:hint="eastAsia" w:ascii="宋体" w:hAnsi="宋体" w:eastAsia="宋体" w:cs="宋体"/>
                <w:color w:val="auto"/>
                <w:sz w:val="24"/>
                <w:highlight w:val="none"/>
              </w:rPr>
              <w:t>¥</w:t>
            </w:r>
            <w:r>
              <w:rPr>
                <w:rFonts w:hint="eastAsia" w:ascii="仿宋_GB2312" w:hAnsi="仿宋_GB2312" w:eastAsia="仿宋_GB2312" w:cs="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服务期</w:t>
            </w:r>
          </w:p>
        </w:tc>
        <w:tc>
          <w:tcPr>
            <w:tcW w:w="6981" w:type="dxa"/>
            <w:vAlign w:val="center"/>
          </w:tcPr>
          <w:p>
            <w:pPr>
              <w:spacing w:after="120"/>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服务地点</w:t>
            </w:r>
          </w:p>
        </w:tc>
        <w:tc>
          <w:tcPr>
            <w:tcW w:w="6981" w:type="dxa"/>
            <w:vAlign w:val="center"/>
          </w:tcPr>
          <w:p>
            <w:pPr>
              <w:spacing w:after="120"/>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981" w:type="dxa"/>
            <w:vAlign w:val="center"/>
          </w:tcPr>
          <w:p>
            <w:pPr>
              <w:spacing w:after="120"/>
              <w:rPr>
                <w:rFonts w:ascii="仿宋_GB2312" w:hAnsi="仿宋_GB2312" w:eastAsia="仿宋_GB2312" w:cs="仿宋_GB2312"/>
                <w:color w:val="auto"/>
                <w:sz w:val="24"/>
                <w:highlight w:val="none"/>
              </w:rPr>
            </w:pPr>
          </w:p>
        </w:tc>
      </w:tr>
    </w:tbl>
    <w:p>
      <w:pPr>
        <w:pStyle w:val="22"/>
        <w:rPr>
          <w:color w:val="auto"/>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24"/>
          <w:highlight w:val="none"/>
        </w:rPr>
      </w:pPr>
    </w:p>
    <w:p>
      <w:pPr>
        <w:autoSpaceDE w:val="0"/>
        <w:autoSpaceDN w:val="0"/>
        <w:adjustRightInd w:val="0"/>
        <w:snapToGrid w:val="0"/>
        <w:spacing w:line="360" w:lineRule="auto"/>
        <w:rPr>
          <w:rFonts w:ascii="仿宋_GB2312" w:hAnsi="仿宋_GB2312" w:eastAsia="仿宋_GB2312" w:cs="仿宋_GB2312"/>
          <w:color w:val="auto"/>
          <w:sz w:val="24"/>
          <w:highlight w:val="none"/>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供应商法定代表人</w:t>
      </w:r>
      <w:r>
        <w:rPr>
          <w:rFonts w:hint="eastAsia" w:ascii="仿宋_GB2312" w:hAnsi="仿宋_GB2312" w:eastAsia="仿宋_GB2312" w:cs="仿宋_GB2312"/>
          <w:color w:val="auto"/>
          <w:sz w:val="24"/>
          <w:highlight w:val="none"/>
        </w:rPr>
        <w:t>或</w:t>
      </w:r>
      <w:r>
        <w:rPr>
          <w:rFonts w:hint="eastAsia" w:ascii="仿宋_GB2312" w:hAnsi="仿宋_GB2312" w:eastAsia="仿宋_GB2312" w:cs="仿宋_GB2312"/>
          <w:color w:val="auto"/>
          <w:sz w:val="24"/>
          <w:highlight w:val="none"/>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（公章）：                            （</w:t>
      </w:r>
      <w:r>
        <w:rPr>
          <w:rFonts w:hint="eastAsia" w:ascii="仿宋_GB2312" w:hAnsi="仿宋_GB2312" w:eastAsia="仿宋_GB2312" w:cs="仿宋_GB2312"/>
          <w:b/>
          <w:color w:val="auto"/>
          <w:sz w:val="24"/>
          <w:highlight w:val="none"/>
          <w:lang w:val="zh-CN"/>
        </w:rPr>
        <w:t>签字</w:t>
      </w:r>
      <w:r>
        <w:rPr>
          <w:rFonts w:hint="eastAsia" w:ascii="仿宋_GB2312" w:hAnsi="仿宋_GB2312" w:eastAsia="仿宋_GB2312" w:cs="仿宋_GB2312"/>
          <w:color w:val="auto"/>
          <w:sz w:val="24"/>
          <w:highlight w:val="none"/>
          <w:lang w:val="zh-CN"/>
        </w:rPr>
        <w:t>）：</w:t>
      </w: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ind w:firstLine="240" w:firstLineChars="1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年 月日</w:t>
      </w:r>
    </w:p>
    <w:p>
      <w:pPr>
        <w:spacing w:after="120"/>
        <w:rPr>
          <w:rFonts w:ascii="仿宋_GB2312" w:hAnsi="仿宋_GB2312" w:eastAsia="仿宋_GB2312" w:cs="仿宋_GB2312"/>
          <w:b/>
          <w:bCs/>
          <w:color w:val="auto"/>
          <w:sz w:val="30"/>
          <w:szCs w:val="30"/>
          <w:highlight w:val="none"/>
        </w:rPr>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pPr>
      <w:r>
        <w:rPr>
          <w:rFonts w:hint="eastAsia" w:ascii="仿宋_GB2312" w:hAnsi="仿宋_GB2312" w:eastAsia="仿宋_GB2312" w:cs="仿宋_GB2312"/>
          <w:color w:val="auto"/>
          <w:highlight w:val="none"/>
          <w:lang w:val="zh-CN"/>
        </w:rPr>
        <w:br w:type="page"/>
      </w:r>
    </w:p>
    <w:p>
      <w:pPr>
        <w:keepNext/>
        <w:keepLines/>
        <w:autoSpaceDE w:val="0"/>
        <w:autoSpaceDN w:val="0"/>
        <w:adjustRightInd w:val="0"/>
        <w:spacing w:line="360" w:lineRule="auto"/>
        <w:jc w:val="center"/>
        <w:outlineLvl w:val="2"/>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（最后）分项报价表</w:t>
      </w:r>
    </w:p>
    <w:p>
      <w:pPr>
        <w:pStyle w:val="22"/>
        <w:rPr>
          <w:color w:val="auto"/>
          <w:highlight w:val="none"/>
        </w:rPr>
      </w:pPr>
      <w:r>
        <w:rPr>
          <w:rFonts w:hint="eastAsia"/>
          <w:color w:val="auto"/>
          <w:highlight w:val="none"/>
        </w:rPr>
        <w:t xml:space="preserve">                      （随身携带，单独提供，无需装订在响应文件中）</w:t>
      </w:r>
    </w:p>
    <w:p>
      <w:pPr>
        <w:autoSpaceDE w:val="0"/>
        <w:autoSpaceDN w:val="0"/>
        <w:adjustRightInd w:val="0"/>
        <w:snapToGrid w:val="0"/>
        <w:spacing w:before="120" w:line="360" w:lineRule="auto"/>
        <w:ind w:left="-206" w:leftChars="-98"/>
        <w:jc w:val="left"/>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2"/>
        <w:rPr>
          <w:rFonts w:ascii="仿宋" w:hAnsi="仿宋" w:eastAsia="仿宋"/>
          <w:color w:val="auto"/>
          <w:kern w:val="0"/>
          <w:sz w:val="24"/>
          <w:szCs w:val="28"/>
          <w:highlight w:val="none"/>
        </w:rPr>
      </w:pPr>
    </w:p>
    <w:p>
      <w:pPr>
        <w:rPr>
          <w:color w:val="auto"/>
          <w:highlight w:val="none"/>
        </w:rPr>
      </w:pPr>
    </w:p>
    <w:p>
      <w:pPr>
        <w:adjustRightInd w:val="0"/>
        <w:snapToGrid w:val="0"/>
        <w:spacing w:line="360" w:lineRule="auto"/>
        <w:ind w:firstLine="1080" w:firstLineChars="450"/>
        <w:rPr>
          <w:rFonts w:ascii="仿宋_GB2312" w:hAnsi="仿宋" w:eastAsia="仿宋_GB2312"/>
          <w:color w:val="auto"/>
          <w:sz w:val="24"/>
          <w:highlight w:val="none"/>
        </w:rPr>
      </w:pPr>
      <w:r>
        <w:rPr>
          <w:rFonts w:hint="eastAsia" w:ascii="仿宋_GB2312" w:hAnsi="仿宋" w:eastAsia="仿宋_GB2312"/>
          <w:color w:val="auto"/>
          <w:sz w:val="24"/>
          <w:highlight w:val="none"/>
        </w:rPr>
        <w:t>投标人                         法定代表人或授权代表</w:t>
      </w:r>
    </w:p>
    <w:p>
      <w:pPr>
        <w:adjustRightInd w:val="0"/>
        <w:snapToGrid w:val="0"/>
        <w:spacing w:line="360" w:lineRule="auto"/>
        <w:ind w:left="-525" w:leftChars="-250" w:firstLine="1680" w:firstLineChars="700"/>
        <w:rPr>
          <w:rFonts w:ascii="仿宋_GB2312" w:hAnsi="仿宋_GB2312" w:eastAsia="仿宋_GB2312" w:cs="仿宋_GB2312"/>
          <w:color w:val="auto"/>
          <w:szCs w:val="21"/>
          <w:highlight w:val="none"/>
        </w:rPr>
      </w:pPr>
      <w:r>
        <w:rPr>
          <w:rFonts w:hint="eastAsia" w:ascii="仿宋_GB2312" w:hAnsi="仿宋" w:eastAsia="仿宋_GB2312"/>
          <w:color w:val="auto"/>
          <w:sz w:val="24"/>
          <w:highlight w:val="none"/>
        </w:rPr>
        <w:t>（公章）：                          （签字）：</w:t>
      </w:r>
    </w:p>
    <w:sectPr>
      <w:footerReference r:id="rId13" w:type="first"/>
      <w:footerReference r:id="rId12"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MV Boli">
    <w:panose1 w:val="02000500030200090000"/>
    <w:charset w:val="00"/>
    <w:family w:val="auto"/>
    <w:pitch w:val="default"/>
    <w:sig w:usb0="00000003" w:usb1="00000000" w:usb2="000001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3985" cy="15303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46</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438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B7XTPQAAAAAwEAAA8AAAAAAAAAAQAgAAAAIgAAAGRycy9kb3ducmV2Lnht&#10;bFBLAQIUABQAAAAIAIdO4kBoq4VzAQIAABIEAAAOAAAAAAAAAAEAIAAAAB8BAABkcnMvZTJvRG9j&#10;LnhtbFBLBQYAAAAABgAGAFkBAACSBQAAAAA=&#10;">
              <v:fill on="f" focussize="0,0"/>
              <v:stroke on="f"/>
              <v:imagedata o:title=""/>
              <o:lock v:ext="edit" aspectratio="f"/>
              <v:textbox inset="0mm,0mm,0mm,0mm" style="mso-fit-shape-to-text:t;">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46</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5095" cy="1524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2pt;width:9.85pt;mso-position-horizontal:center;mso-position-horizontal-relative:margin;mso-wrap-style:none;z-index:251662336;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tHF7M0gAAAAMBAAAPAAAAAAAAAAEAIAAAACIAAABkcnMvZG93bnJldi54bWxQ&#10;SwECFAAUAAAACACHTuJA5RKovTYCAABhBAAADgAAAAAAAAABACAAAAAhAQAAZHJzL2Uyb0RvYy54&#10;bWxQSwUGAAAAAAYABgBZAQAAyQ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509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0288;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59CB8E8"/>
    <w:multiLevelType w:val="singleLevel"/>
    <w:tmpl w:val="359CB8E8"/>
    <w:lvl w:ilvl="0" w:tentative="0">
      <w:start w:val="1"/>
      <w:numFmt w:val="chineseCounting"/>
      <w:suff w:val="nothing"/>
      <w:lvlText w:val="%1、"/>
      <w:lvlJc w:val="left"/>
      <w:rPr>
        <w:rFonts w:hint="eastAsia"/>
      </w:rPr>
    </w:lvl>
  </w:abstractNum>
  <w:abstractNum w:abstractNumId="9">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0">
    <w:nsid w:val="537AA372"/>
    <w:multiLevelType w:val="singleLevel"/>
    <w:tmpl w:val="537AA372"/>
    <w:lvl w:ilvl="0" w:tentative="0">
      <w:start w:val="21"/>
      <w:numFmt w:val="decimal"/>
      <w:suff w:val="space"/>
      <w:lvlText w:val="%1."/>
      <w:lvlJc w:val="left"/>
    </w:lvl>
  </w:abstractNum>
  <w:abstractNum w:abstractNumId="11">
    <w:nsid w:val="5AA8DCB0"/>
    <w:multiLevelType w:val="singleLevel"/>
    <w:tmpl w:val="5AA8DCB0"/>
    <w:lvl w:ilvl="0" w:tentative="0">
      <w:start w:val="1"/>
      <w:numFmt w:val="decimal"/>
      <w:suff w:val="nothing"/>
      <w:lvlText w:val="%1、"/>
      <w:lvlJc w:val="left"/>
    </w:lvl>
  </w:abstractNum>
  <w:abstractNum w:abstractNumId="12">
    <w:nsid w:val="5AAB3475"/>
    <w:multiLevelType w:val="singleLevel"/>
    <w:tmpl w:val="5AAB3475"/>
    <w:lvl w:ilvl="0" w:tentative="0">
      <w:start w:val="1"/>
      <w:numFmt w:val="decimal"/>
      <w:lvlText w:val="%1."/>
      <w:lvlJc w:val="left"/>
      <w:pPr>
        <w:ind w:left="425" w:hanging="425"/>
      </w:pPr>
      <w:rPr>
        <w:rFonts w:hint="default"/>
      </w:rPr>
    </w:lvl>
  </w:abstractNum>
  <w:abstractNum w:abstractNumId="13">
    <w:nsid w:val="5AAB3487"/>
    <w:multiLevelType w:val="singleLevel"/>
    <w:tmpl w:val="5AAB3487"/>
    <w:lvl w:ilvl="0" w:tentative="0">
      <w:start w:val="1"/>
      <w:numFmt w:val="decimal"/>
      <w:lvlText w:val="%1)"/>
      <w:lvlJc w:val="left"/>
      <w:pPr>
        <w:ind w:left="567" w:hanging="425"/>
      </w:pPr>
      <w:rPr>
        <w:rFonts w:hint="default"/>
      </w:rPr>
    </w:lvl>
  </w:abstractNum>
  <w:abstractNum w:abstractNumId="14">
    <w:nsid w:val="624D1350"/>
    <w:multiLevelType w:val="singleLevel"/>
    <w:tmpl w:val="624D1350"/>
    <w:lvl w:ilvl="0" w:tentative="0">
      <w:start w:val="25"/>
      <w:numFmt w:val="decimal"/>
      <w:suff w:val="space"/>
      <w:lvlText w:val="%1."/>
      <w:lvlJc w:val="left"/>
    </w:lvl>
  </w:abstractNum>
  <w:abstractNum w:abstractNumId="15">
    <w:nsid w:val="63945EA1"/>
    <w:multiLevelType w:val="multilevel"/>
    <w:tmpl w:val="63945EA1"/>
    <w:lvl w:ilvl="0" w:tentative="0">
      <w:start w:val="3"/>
      <w:numFmt w:val="bullet"/>
      <w:lvlText w:val="■"/>
      <w:lvlJc w:val="left"/>
      <w:pPr>
        <w:ind w:left="360" w:hanging="360"/>
      </w:pPr>
      <w:rPr>
        <w:rFonts w:hint="eastAsia" w:ascii="仿宋_GB2312" w:hAnsi="仿宋_GB2312" w:eastAsia="仿宋_GB2312" w:cs="仿宋_GB2312"/>
        <w:sz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8">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9">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6"/>
  </w:num>
  <w:num w:numId="4">
    <w:abstractNumId w:val="19"/>
  </w:num>
  <w:num w:numId="5">
    <w:abstractNumId w:val="15"/>
  </w:num>
  <w:num w:numId="6">
    <w:abstractNumId w:val="6"/>
  </w:num>
  <w:num w:numId="7">
    <w:abstractNumId w:val="9"/>
  </w:num>
  <w:num w:numId="8">
    <w:abstractNumId w:val="0"/>
  </w:num>
  <w:num w:numId="9">
    <w:abstractNumId w:val="10"/>
  </w:num>
  <w:num w:numId="10">
    <w:abstractNumId w:val="14"/>
  </w:num>
  <w:num w:numId="11">
    <w:abstractNumId w:val="5"/>
  </w:num>
  <w:num w:numId="12">
    <w:abstractNumId w:val="1"/>
  </w:num>
  <w:num w:numId="13">
    <w:abstractNumId w:val="12"/>
  </w:num>
  <w:num w:numId="14">
    <w:abstractNumId w:val="13"/>
  </w:num>
  <w:num w:numId="15">
    <w:abstractNumId w:val="4"/>
  </w:num>
  <w:num w:numId="16">
    <w:abstractNumId w:val="11"/>
  </w:num>
  <w:num w:numId="17">
    <w:abstractNumId w:val="7"/>
  </w:num>
  <w:num w:numId="18">
    <w:abstractNumId w:val="17"/>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YmJiNzk3NTgyYTJmNTM0N2IyODVhMDQ1N2IxNTA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5A0C"/>
    <w:rsid w:val="0009799D"/>
    <w:rsid w:val="000A15A6"/>
    <w:rsid w:val="000A2D28"/>
    <w:rsid w:val="000A4FE6"/>
    <w:rsid w:val="000B5CCC"/>
    <w:rsid w:val="000C135C"/>
    <w:rsid w:val="000C3906"/>
    <w:rsid w:val="000C5BB6"/>
    <w:rsid w:val="000D231B"/>
    <w:rsid w:val="000D4A95"/>
    <w:rsid w:val="000D6BDC"/>
    <w:rsid w:val="000D7E41"/>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26CA"/>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6B3C"/>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057AC"/>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810E3"/>
    <w:rsid w:val="00494A82"/>
    <w:rsid w:val="004A0A68"/>
    <w:rsid w:val="004A4BC1"/>
    <w:rsid w:val="004A6CB2"/>
    <w:rsid w:val="004B012C"/>
    <w:rsid w:val="004B4658"/>
    <w:rsid w:val="004B498E"/>
    <w:rsid w:val="004B631E"/>
    <w:rsid w:val="004C17E7"/>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82E2D"/>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22FA"/>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0146"/>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621"/>
    <w:rsid w:val="007079A5"/>
    <w:rsid w:val="007108A1"/>
    <w:rsid w:val="00711EA4"/>
    <w:rsid w:val="00716957"/>
    <w:rsid w:val="00720269"/>
    <w:rsid w:val="007219AF"/>
    <w:rsid w:val="007247E7"/>
    <w:rsid w:val="007249D9"/>
    <w:rsid w:val="00724A04"/>
    <w:rsid w:val="007346B5"/>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1B7B"/>
    <w:rsid w:val="007F4D32"/>
    <w:rsid w:val="00801DEF"/>
    <w:rsid w:val="0080217E"/>
    <w:rsid w:val="008031F1"/>
    <w:rsid w:val="00803280"/>
    <w:rsid w:val="00804A4E"/>
    <w:rsid w:val="00807872"/>
    <w:rsid w:val="00817CCC"/>
    <w:rsid w:val="00826B74"/>
    <w:rsid w:val="00831006"/>
    <w:rsid w:val="008357E9"/>
    <w:rsid w:val="00845769"/>
    <w:rsid w:val="0084595F"/>
    <w:rsid w:val="00855B04"/>
    <w:rsid w:val="00865539"/>
    <w:rsid w:val="00866447"/>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81"/>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30FC"/>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3E43"/>
    <w:rsid w:val="00A45ECA"/>
    <w:rsid w:val="00A52C70"/>
    <w:rsid w:val="00A556AC"/>
    <w:rsid w:val="00A60B0A"/>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5482"/>
    <w:rsid w:val="00AF7370"/>
    <w:rsid w:val="00B02899"/>
    <w:rsid w:val="00B02F52"/>
    <w:rsid w:val="00B15DFE"/>
    <w:rsid w:val="00B16004"/>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8179D"/>
    <w:rsid w:val="00B84903"/>
    <w:rsid w:val="00B92025"/>
    <w:rsid w:val="00B967ED"/>
    <w:rsid w:val="00BA17CC"/>
    <w:rsid w:val="00BA6742"/>
    <w:rsid w:val="00BA7DCB"/>
    <w:rsid w:val="00BC231E"/>
    <w:rsid w:val="00BC3338"/>
    <w:rsid w:val="00BC34D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85CD6"/>
    <w:rsid w:val="00C92426"/>
    <w:rsid w:val="00C93EA5"/>
    <w:rsid w:val="00C94EED"/>
    <w:rsid w:val="00C9738A"/>
    <w:rsid w:val="00CA5206"/>
    <w:rsid w:val="00CA6B7F"/>
    <w:rsid w:val="00CB21CE"/>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4957"/>
    <w:rsid w:val="00D96F9A"/>
    <w:rsid w:val="00DA178E"/>
    <w:rsid w:val="00DA1939"/>
    <w:rsid w:val="00DA6A22"/>
    <w:rsid w:val="00DB5C9F"/>
    <w:rsid w:val="00DC0934"/>
    <w:rsid w:val="00DD10CD"/>
    <w:rsid w:val="00DE4818"/>
    <w:rsid w:val="00DF2F86"/>
    <w:rsid w:val="00DF4D97"/>
    <w:rsid w:val="00DF780E"/>
    <w:rsid w:val="00E04115"/>
    <w:rsid w:val="00E05A25"/>
    <w:rsid w:val="00E06BE5"/>
    <w:rsid w:val="00E114E0"/>
    <w:rsid w:val="00E11E91"/>
    <w:rsid w:val="00E127EE"/>
    <w:rsid w:val="00E13C48"/>
    <w:rsid w:val="00E1663B"/>
    <w:rsid w:val="00E251B3"/>
    <w:rsid w:val="00E26CB6"/>
    <w:rsid w:val="00E32C0B"/>
    <w:rsid w:val="00E33989"/>
    <w:rsid w:val="00E34F72"/>
    <w:rsid w:val="00E41A7C"/>
    <w:rsid w:val="00E42196"/>
    <w:rsid w:val="00E43AA8"/>
    <w:rsid w:val="00E44511"/>
    <w:rsid w:val="00E469B4"/>
    <w:rsid w:val="00E547C7"/>
    <w:rsid w:val="00E6011D"/>
    <w:rsid w:val="00E66313"/>
    <w:rsid w:val="00E71EEB"/>
    <w:rsid w:val="00E80D1E"/>
    <w:rsid w:val="00E81B72"/>
    <w:rsid w:val="00E90FA3"/>
    <w:rsid w:val="00E950EE"/>
    <w:rsid w:val="00E972E9"/>
    <w:rsid w:val="00EA4AF9"/>
    <w:rsid w:val="00EB019B"/>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169DA"/>
    <w:rsid w:val="00F204B5"/>
    <w:rsid w:val="00F2464A"/>
    <w:rsid w:val="00F25E73"/>
    <w:rsid w:val="00F26088"/>
    <w:rsid w:val="00F2639D"/>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0B405F"/>
    <w:rsid w:val="01276CE6"/>
    <w:rsid w:val="01391AF7"/>
    <w:rsid w:val="01A56820"/>
    <w:rsid w:val="01B73196"/>
    <w:rsid w:val="01DB0F21"/>
    <w:rsid w:val="01E87DA0"/>
    <w:rsid w:val="01F85948"/>
    <w:rsid w:val="020C62E0"/>
    <w:rsid w:val="027D1EDC"/>
    <w:rsid w:val="02A6371E"/>
    <w:rsid w:val="02AA6F17"/>
    <w:rsid w:val="02E6429D"/>
    <w:rsid w:val="02FC7879"/>
    <w:rsid w:val="031E276F"/>
    <w:rsid w:val="032E5AB3"/>
    <w:rsid w:val="03633269"/>
    <w:rsid w:val="0380752A"/>
    <w:rsid w:val="03C4317A"/>
    <w:rsid w:val="03DE3CAC"/>
    <w:rsid w:val="041E1097"/>
    <w:rsid w:val="04874841"/>
    <w:rsid w:val="04AF0DC0"/>
    <w:rsid w:val="04C55DCB"/>
    <w:rsid w:val="04E35F2C"/>
    <w:rsid w:val="04EB4ECE"/>
    <w:rsid w:val="053371D4"/>
    <w:rsid w:val="055E72A8"/>
    <w:rsid w:val="05A9381E"/>
    <w:rsid w:val="05CA3B1B"/>
    <w:rsid w:val="05D40F8A"/>
    <w:rsid w:val="05E97CB2"/>
    <w:rsid w:val="060D6A3B"/>
    <w:rsid w:val="06193B1E"/>
    <w:rsid w:val="06383C8B"/>
    <w:rsid w:val="06AB6FF1"/>
    <w:rsid w:val="06C6067E"/>
    <w:rsid w:val="06DF18E2"/>
    <w:rsid w:val="0707497A"/>
    <w:rsid w:val="071920EC"/>
    <w:rsid w:val="07394A3D"/>
    <w:rsid w:val="07416329"/>
    <w:rsid w:val="07501B9E"/>
    <w:rsid w:val="0781151E"/>
    <w:rsid w:val="0838785B"/>
    <w:rsid w:val="08727C1D"/>
    <w:rsid w:val="087D0B78"/>
    <w:rsid w:val="08894DF6"/>
    <w:rsid w:val="09181A0E"/>
    <w:rsid w:val="0920129B"/>
    <w:rsid w:val="09823E4D"/>
    <w:rsid w:val="098852A8"/>
    <w:rsid w:val="099E1F14"/>
    <w:rsid w:val="09A06B78"/>
    <w:rsid w:val="09EA3E64"/>
    <w:rsid w:val="0A4B18CE"/>
    <w:rsid w:val="0A601059"/>
    <w:rsid w:val="0A8A4B12"/>
    <w:rsid w:val="0AB25DFE"/>
    <w:rsid w:val="0AC800D5"/>
    <w:rsid w:val="0AFA19A7"/>
    <w:rsid w:val="0B181252"/>
    <w:rsid w:val="0B2543AA"/>
    <w:rsid w:val="0B651CEF"/>
    <w:rsid w:val="0C275A89"/>
    <w:rsid w:val="0C4241B9"/>
    <w:rsid w:val="0CBB5882"/>
    <w:rsid w:val="0D531CDF"/>
    <w:rsid w:val="0DCA3125"/>
    <w:rsid w:val="0E416A77"/>
    <w:rsid w:val="0E5C2657"/>
    <w:rsid w:val="0E5C7CE8"/>
    <w:rsid w:val="0EA255EB"/>
    <w:rsid w:val="0EA34036"/>
    <w:rsid w:val="0EB049DF"/>
    <w:rsid w:val="0EB63F9D"/>
    <w:rsid w:val="0F245037"/>
    <w:rsid w:val="0F401EBF"/>
    <w:rsid w:val="0F54794B"/>
    <w:rsid w:val="0F6A354E"/>
    <w:rsid w:val="0F88478D"/>
    <w:rsid w:val="0FA3547B"/>
    <w:rsid w:val="0FB73DA5"/>
    <w:rsid w:val="0FDC019A"/>
    <w:rsid w:val="0FDE2587"/>
    <w:rsid w:val="101B0BC4"/>
    <w:rsid w:val="103649EC"/>
    <w:rsid w:val="1040315F"/>
    <w:rsid w:val="10507757"/>
    <w:rsid w:val="107A1082"/>
    <w:rsid w:val="109E7189"/>
    <w:rsid w:val="10C72BB3"/>
    <w:rsid w:val="115206FB"/>
    <w:rsid w:val="11531DCE"/>
    <w:rsid w:val="119D6F55"/>
    <w:rsid w:val="11B40613"/>
    <w:rsid w:val="11BE2022"/>
    <w:rsid w:val="11D83EA2"/>
    <w:rsid w:val="11E83D53"/>
    <w:rsid w:val="122510EE"/>
    <w:rsid w:val="123757B7"/>
    <w:rsid w:val="12405481"/>
    <w:rsid w:val="12837EE6"/>
    <w:rsid w:val="128D1331"/>
    <w:rsid w:val="12C1355D"/>
    <w:rsid w:val="12EA1EE6"/>
    <w:rsid w:val="12EF7289"/>
    <w:rsid w:val="133D7CD4"/>
    <w:rsid w:val="134D5A81"/>
    <w:rsid w:val="13AC42B6"/>
    <w:rsid w:val="13BF6991"/>
    <w:rsid w:val="13D83BD9"/>
    <w:rsid w:val="13F03DED"/>
    <w:rsid w:val="13F95DC4"/>
    <w:rsid w:val="142A3E2D"/>
    <w:rsid w:val="144A7973"/>
    <w:rsid w:val="14D0319D"/>
    <w:rsid w:val="14E5758A"/>
    <w:rsid w:val="14FB7DA2"/>
    <w:rsid w:val="158710F3"/>
    <w:rsid w:val="15C772F3"/>
    <w:rsid w:val="15CE4C34"/>
    <w:rsid w:val="15F0775C"/>
    <w:rsid w:val="160A0AD0"/>
    <w:rsid w:val="162C6AF9"/>
    <w:rsid w:val="16401732"/>
    <w:rsid w:val="165B6F79"/>
    <w:rsid w:val="166E5EB0"/>
    <w:rsid w:val="16C01EAE"/>
    <w:rsid w:val="16F50974"/>
    <w:rsid w:val="177A195D"/>
    <w:rsid w:val="17E50036"/>
    <w:rsid w:val="1820060E"/>
    <w:rsid w:val="18205BA9"/>
    <w:rsid w:val="18370FAA"/>
    <w:rsid w:val="188D7D42"/>
    <w:rsid w:val="18C45643"/>
    <w:rsid w:val="191C2E55"/>
    <w:rsid w:val="19245312"/>
    <w:rsid w:val="19575882"/>
    <w:rsid w:val="195E155B"/>
    <w:rsid w:val="19687E48"/>
    <w:rsid w:val="197321D5"/>
    <w:rsid w:val="1A0C41D1"/>
    <w:rsid w:val="1A336BE7"/>
    <w:rsid w:val="1A612D7C"/>
    <w:rsid w:val="1A807E72"/>
    <w:rsid w:val="1A8A2A47"/>
    <w:rsid w:val="1B16166A"/>
    <w:rsid w:val="1B5549BB"/>
    <w:rsid w:val="1BB93E83"/>
    <w:rsid w:val="1BC644B6"/>
    <w:rsid w:val="1C613AB1"/>
    <w:rsid w:val="1C8C0466"/>
    <w:rsid w:val="1CC854C2"/>
    <w:rsid w:val="1D0121D0"/>
    <w:rsid w:val="1D5B524F"/>
    <w:rsid w:val="1D6D3522"/>
    <w:rsid w:val="1DAB5588"/>
    <w:rsid w:val="1DB038E0"/>
    <w:rsid w:val="1DB21FDA"/>
    <w:rsid w:val="1DD56F5A"/>
    <w:rsid w:val="1DD72694"/>
    <w:rsid w:val="1DDE1DE9"/>
    <w:rsid w:val="1DE3615E"/>
    <w:rsid w:val="1DFA7416"/>
    <w:rsid w:val="1F432B70"/>
    <w:rsid w:val="1F474868"/>
    <w:rsid w:val="1F5D1772"/>
    <w:rsid w:val="1F883C9F"/>
    <w:rsid w:val="1F971592"/>
    <w:rsid w:val="1FB94E27"/>
    <w:rsid w:val="1FCD685D"/>
    <w:rsid w:val="1FE57CFE"/>
    <w:rsid w:val="1FF41576"/>
    <w:rsid w:val="200A3A73"/>
    <w:rsid w:val="20476A09"/>
    <w:rsid w:val="20AF20C5"/>
    <w:rsid w:val="20ED7306"/>
    <w:rsid w:val="20F96916"/>
    <w:rsid w:val="211106C5"/>
    <w:rsid w:val="21431785"/>
    <w:rsid w:val="219E251A"/>
    <w:rsid w:val="21C24F4B"/>
    <w:rsid w:val="22071464"/>
    <w:rsid w:val="2232235C"/>
    <w:rsid w:val="22721D38"/>
    <w:rsid w:val="23291785"/>
    <w:rsid w:val="232B0E94"/>
    <w:rsid w:val="23356FED"/>
    <w:rsid w:val="23710488"/>
    <w:rsid w:val="2381304A"/>
    <w:rsid w:val="23BB002C"/>
    <w:rsid w:val="23C33515"/>
    <w:rsid w:val="23F1680C"/>
    <w:rsid w:val="23F5677C"/>
    <w:rsid w:val="242E494F"/>
    <w:rsid w:val="243E15D5"/>
    <w:rsid w:val="24551238"/>
    <w:rsid w:val="248E2DBA"/>
    <w:rsid w:val="250429C2"/>
    <w:rsid w:val="251D41DD"/>
    <w:rsid w:val="25224672"/>
    <w:rsid w:val="25250089"/>
    <w:rsid w:val="25252A8D"/>
    <w:rsid w:val="254B7EAF"/>
    <w:rsid w:val="25A20B86"/>
    <w:rsid w:val="25A67057"/>
    <w:rsid w:val="25D54115"/>
    <w:rsid w:val="25F72F27"/>
    <w:rsid w:val="260F4C55"/>
    <w:rsid w:val="26291B1A"/>
    <w:rsid w:val="26551754"/>
    <w:rsid w:val="26763E6F"/>
    <w:rsid w:val="267C3983"/>
    <w:rsid w:val="26D82BDE"/>
    <w:rsid w:val="26EB0757"/>
    <w:rsid w:val="270101AC"/>
    <w:rsid w:val="27315D1D"/>
    <w:rsid w:val="274D71B2"/>
    <w:rsid w:val="2751147F"/>
    <w:rsid w:val="27542027"/>
    <w:rsid w:val="27706CF6"/>
    <w:rsid w:val="279C6957"/>
    <w:rsid w:val="27D32B77"/>
    <w:rsid w:val="27DE5929"/>
    <w:rsid w:val="27E14C4C"/>
    <w:rsid w:val="27EE1E60"/>
    <w:rsid w:val="28072F22"/>
    <w:rsid w:val="282160D2"/>
    <w:rsid w:val="286C62A1"/>
    <w:rsid w:val="28924B33"/>
    <w:rsid w:val="28A069B8"/>
    <w:rsid w:val="28F72971"/>
    <w:rsid w:val="290F3C6E"/>
    <w:rsid w:val="29121B7F"/>
    <w:rsid w:val="29443598"/>
    <w:rsid w:val="299E3B38"/>
    <w:rsid w:val="2A3073E0"/>
    <w:rsid w:val="2AE35535"/>
    <w:rsid w:val="2B496FA3"/>
    <w:rsid w:val="2B532BFE"/>
    <w:rsid w:val="2B6A469F"/>
    <w:rsid w:val="2B91352E"/>
    <w:rsid w:val="2BAC65A8"/>
    <w:rsid w:val="2BB024B4"/>
    <w:rsid w:val="2BC60F98"/>
    <w:rsid w:val="2BCB45F0"/>
    <w:rsid w:val="2C066A1A"/>
    <w:rsid w:val="2C0B4AE6"/>
    <w:rsid w:val="2C8165FA"/>
    <w:rsid w:val="2CAC7CBD"/>
    <w:rsid w:val="2CCC08A3"/>
    <w:rsid w:val="2D0A514C"/>
    <w:rsid w:val="2D3F44AA"/>
    <w:rsid w:val="2DB235BF"/>
    <w:rsid w:val="2E577392"/>
    <w:rsid w:val="2E8B1B62"/>
    <w:rsid w:val="2E970AE4"/>
    <w:rsid w:val="2EB227A5"/>
    <w:rsid w:val="2EDC2A13"/>
    <w:rsid w:val="2F723377"/>
    <w:rsid w:val="2F822BAC"/>
    <w:rsid w:val="2F96630B"/>
    <w:rsid w:val="2FAC7913"/>
    <w:rsid w:val="300466C5"/>
    <w:rsid w:val="301F6139"/>
    <w:rsid w:val="304D23A2"/>
    <w:rsid w:val="30641E74"/>
    <w:rsid w:val="30810E1D"/>
    <w:rsid w:val="308923E2"/>
    <w:rsid w:val="30F97581"/>
    <w:rsid w:val="314256C4"/>
    <w:rsid w:val="31947CF5"/>
    <w:rsid w:val="31C33A21"/>
    <w:rsid w:val="31C65637"/>
    <w:rsid w:val="32417274"/>
    <w:rsid w:val="329F04E5"/>
    <w:rsid w:val="32D560F7"/>
    <w:rsid w:val="32F9755F"/>
    <w:rsid w:val="331B2806"/>
    <w:rsid w:val="333214D1"/>
    <w:rsid w:val="3370495E"/>
    <w:rsid w:val="33CC0FC6"/>
    <w:rsid w:val="33DD0EAC"/>
    <w:rsid w:val="34143D51"/>
    <w:rsid w:val="34302898"/>
    <w:rsid w:val="345B460B"/>
    <w:rsid w:val="347B1D25"/>
    <w:rsid w:val="348C6C89"/>
    <w:rsid w:val="348E2B4F"/>
    <w:rsid w:val="34BB4966"/>
    <w:rsid w:val="35C97D56"/>
    <w:rsid w:val="35DD6388"/>
    <w:rsid w:val="35EE5D6B"/>
    <w:rsid w:val="362E74E5"/>
    <w:rsid w:val="3637765B"/>
    <w:rsid w:val="363A3F05"/>
    <w:rsid w:val="365311E6"/>
    <w:rsid w:val="3657743E"/>
    <w:rsid w:val="367112A8"/>
    <w:rsid w:val="37307DA0"/>
    <w:rsid w:val="37473FEE"/>
    <w:rsid w:val="375445E4"/>
    <w:rsid w:val="376964D6"/>
    <w:rsid w:val="378D71CC"/>
    <w:rsid w:val="379C3619"/>
    <w:rsid w:val="37C93D50"/>
    <w:rsid w:val="384A2F51"/>
    <w:rsid w:val="387C3316"/>
    <w:rsid w:val="387C3364"/>
    <w:rsid w:val="38CC73F3"/>
    <w:rsid w:val="395A5E3A"/>
    <w:rsid w:val="395B66C1"/>
    <w:rsid w:val="395E3B0F"/>
    <w:rsid w:val="396A452D"/>
    <w:rsid w:val="39AE15AC"/>
    <w:rsid w:val="39B72291"/>
    <w:rsid w:val="39E218FD"/>
    <w:rsid w:val="39E83FB4"/>
    <w:rsid w:val="3A153790"/>
    <w:rsid w:val="3A1F11A7"/>
    <w:rsid w:val="3A86575A"/>
    <w:rsid w:val="3AA27206"/>
    <w:rsid w:val="3B115AB0"/>
    <w:rsid w:val="3B341FC1"/>
    <w:rsid w:val="3B6F11E8"/>
    <w:rsid w:val="3B732683"/>
    <w:rsid w:val="3B851216"/>
    <w:rsid w:val="3CAF2567"/>
    <w:rsid w:val="3D084D63"/>
    <w:rsid w:val="3D0B4A9A"/>
    <w:rsid w:val="3D517AA3"/>
    <w:rsid w:val="3D8E5820"/>
    <w:rsid w:val="3DA349DC"/>
    <w:rsid w:val="3E0F5C92"/>
    <w:rsid w:val="3E3457B0"/>
    <w:rsid w:val="3E9753EA"/>
    <w:rsid w:val="3E9948D1"/>
    <w:rsid w:val="3EA11583"/>
    <w:rsid w:val="3EE41CB3"/>
    <w:rsid w:val="3F2F3033"/>
    <w:rsid w:val="3F43088C"/>
    <w:rsid w:val="3F5E71A0"/>
    <w:rsid w:val="3F7F3F6B"/>
    <w:rsid w:val="3FAA346A"/>
    <w:rsid w:val="3FAB317E"/>
    <w:rsid w:val="3FE327A2"/>
    <w:rsid w:val="3FF81676"/>
    <w:rsid w:val="403F2694"/>
    <w:rsid w:val="40521095"/>
    <w:rsid w:val="40602185"/>
    <w:rsid w:val="406D3C7A"/>
    <w:rsid w:val="408D0A8F"/>
    <w:rsid w:val="40DD4529"/>
    <w:rsid w:val="414920DE"/>
    <w:rsid w:val="41550B18"/>
    <w:rsid w:val="416A6333"/>
    <w:rsid w:val="41E371A6"/>
    <w:rsid w:val="4206324A"/>
    <w:rsid w:val="425A3F23"/>
    <w:rsid w:val="42B01A80"/>
    <w:rsid w:val="42B540C6"/>
    <w:rsid w:val="43124DBF"/>
    <w:rsid w:val="43267EE9"/>
    <w:rsid w:val="43411BCB"/>
    <w:rsid w:val="435C4BA0"/>
    <w:rsid w:val="4373005F"/>
    <w:rsid w:val="43A941D4"/>
    <w:rsid w:val="442418FE"/>
    <w:rsid w:val="44781DAA"/>
    <w:rsid w:val="44C9249B"/>
    <w:rsid w:val="44CA357E"/>
    <w:rsid w:val="4587776E"/>
    <w:rsid w:val="45CF460B"/>
    <w:rsid w:val="45E27E1E"/>
    <w:rsid w:val="46142700"/>
    <w:rsid w:val="470316C4"/>
    <w:rsid w:val="470E368E"/>
    <w:rsid w:val="473A22B9"/>
    <w:rsid w:val="476E221E"/>
    <w:rsid w:val="477631E0"/>
    <w:rsid w:val="477F442B"/>
    <w:rsid w:val="478B4B7E"/>
    <w:rsid w:val="47AC7367"/>
    <w:rsid w:val="47AD6319"/>
    <w:rsid w:val="47BA5BC1"/>
    <w:rsid w:val="47C7285C"/>
    <w:rsid w:val="480C69CA"/>
    <w:rsid w:val="487519F9"/>
    <w:rsid w:val="49204716"/>
    <w:rsid w:val="496D392E"/>
    <w:rsid w:val="497F756E"/>
    <w:rsid w:val="498E7313"/>
    <w:rsid w:val="499B629D"/>
    <w:rsid w:val="4A0A5885"/>
    <w:rsid w:val="4B073A5C"/>
    <w:rsid w:val="4B387880"/>
    <w:rsid w:val="4B44760D"/>
    <w:rsid w:val="4B5931CB"/>
    <w:rsid w:val="4B5C5D27"/>
    <w:rsid w:val="4B5E326D"/>
    <w:rsid w:val="4B840ACD"/>
    <w:rsid w:val="4B8C42AD"/>
    <w:rsid w:val="4BC51F60"/>
    <w:rsid w:val="4BF72474"/>
    <w:rsid w:val="4C236313"/>
    <w:rsid w:val="4C2E5AE5"/>
    <w:rsid w:val="4C4F0B45"/>
    <w:rsid w:val="4D4B7DB2"/>
    <w:rsid w:val="4D7908B5"/>
    <w:rsid w:val="4DA74A82"/>
    <w:rsid w:val="4DA969FC"/>
    <w:rsid w:val="4DB73FDD"/>
    <w:rsid w:val="4DC54FA6"/>
    <w:rsid w:val="4E3B70D2"/>
    <w:rsid w:val="4E5C3A58"/>
    <w:rsid w:val="4E865AFC"/>
    <w:rsid w:val="4F066320"/>
    <w:rsid w:val="4F0C4606"/>
    <w:rsid w:val="4F4E6EBF"/>
    <w:rsid w:val="4F7D4C71"/>
    <w:rsid w:val="4FA80A1B"/>
    <w:rsid w:val="4FBA2276"/>
    <w:rsid w:val="4FCA7073"/>
    <w:rsid w:val="4FE259E9"/>
    <w:rsid w:val="50092961"/>
    <w:rsid w:val="501D7C2E"/>
    <w:rsid w:val="50874874"/>
    <w:rsid w:val="50963550"/>
    <w:rsid w:val="512C7508"/>
    <w:rsid w:val="51DA580E"/>
    <w:rsid w:val="52321D93"/>
    <w:rsid w:val="52420452"/>
    <w:rsid w:val="524A5FDD"/>
    <w:rsid w:val="52533FC1"/>
    <w:rsid w:val="526125ED"/>
    <w:rsid w:val="52A511EA"/>
    <w:rsid w:val="530973DA"/>
    <w:rsid w:val="53BB70AD"/>
    <w:rsid w:val="53DA43C4"/>
    <w:rsid w:val="53E267AB"/>
    <w:rsid w:val="54D02C4B"/>
    <w:rsid w:val="54EB209C"/>
    <w:rsid w:val="55112B45"/>
    <w:rsid w:val="551D1A51"/>
    <w:rsid w:val="55351206"/>
    <w:rsid w:val="55653C63"/>
    <w:rsid w:val="558F79BB"/>
    <w:rsid w:val="55A649AE"/>
    <w:rsid w:val="55D93627"/>
    <w:rsid w:val="55F3226C"/>
    <w:rsid w:val="56284194"/>
    <w:rsid w:val="56602AF8"/>
    <w:rsid w:val="569D1848"/>
    <w:rsid w:val="56B13A64"/>
    <w:rsid w:val="56BA3AA0"/>
    <w:rsid w:val="56CF6D97"/>
    <w:rsid w:val="56D66689"/>
    <w:rsid w:val="570E46A2"/>
    <w:rsid w:val="57847C36"/>
    <w:rsid w:val="586A742C"/>
    <w:rsid w:val="5881039C"/>
    <w:rsid w:val="58C134D7"/>
    <w:rsid w:val="58C94C3F"/>
    <w:rsid w:val="591E42EB"/>
    <w:rsid w:val="592A1676"/>
    <w:rsid w:val="59E71DDE"/>
    <w:rsid w:val="5A064D2E"/>
    <w:rsid w:val="5A53496E"/>
    <w:rsid w:val="5A7756D8"/>
    <w:rsid w:val="5A96078C"/>
    <w:rsid w:val="5ABB0552"/>
    <w:rsid w:val="5AC87CD6"/>
    <w:rsid w:val="5AE85A5C"/>
    <w:rsid w:val="5B18744E"/>
    <w:rsid w:val="5BC63955"/>
    <w:rsid w:val="5C4A2BD7"/>
    <w:rsid w:val="5CAE15E3"/>
    <w:rsid w:val="5CAF68F6"/>
    <w:rsid w:val="5CCB7A9F"/>
    <w:rsid w:val="5CE527FE"/>
    <w:rsid w:val="5CF84E92"/>
    <w:rsid w:val="5D213B63"/>
    <w:rsid w:val="5D213D72"/>
    <w:rsid w:val="5D63632E"/>
    <w:rsid w:val="5D89138F"/>
    <w:rsid w:val="5DD63758"/>
    <w:rsid w:val="5E2775BD"/>
    <w:rsid w:val="5E326512"/>
    <w:rsid w:val="5E4205CC"/>
    <w:rsid w:val="5E504C73"/>
    <w:rsid w:val="5E985E8A"/>
    <w:rsid w:val="5EDA046D"/>
    <w:rsid w:val="5EE54D87"/>
    <w:rsid w:val="5FB455AB"/>
    <w:rsid w:val="5FD539BB"/>
    <w:rsid w:val="5FD8479E"/>
    <w:rsid w:val="5FEF4FD0"/>
    <w:rsid w:val="5FF11588"/>
    <w:rsid w:val="5FF7262C"/>
    <w:rsid w:val="60003F04"/>
    <w:rsid w:val="60585DBB"/>
    <w:rsid w:val="609F50E9"/>
    <w:rsid w:val="61394E2C"/>
    <w:rsid w:val="617F4494"/>
    <w:rsid w:val="618E3791"/>
    <w:rsid w:val="61FE7898"/>
    <w:rsid w:val="621C7A8F"/>
    <w:rsid w:val="623A5D13"/>
    <w:rsid w:val="62DA0539"/>
    <w:rsid w:val="62F475B6"/>
    <w:rsid w:val="630172C5"/>
    <w:rsid w:val="630C6A64"/>
    <w:rsid w:val="631D4DCC"/>
    <w:rsid w:val="631F7E44"/>
    <w:rsid w:val="63376FCF"/>
    <w:rsid w:val="634E31D8"/>
    <w:rsid w:val="63696FE0"/>
    <w:rsid w:val="637C04DD"/>
    <w:rsid w:val="63964CCA"/>
    <w:rsid w:val="639715A1"/>
    <w:rsid w:val="63B3451B"/>
    <w:rsid w:val="648D18F2"/>
    <w:rsid w:val="64CA02B3"/>
    <w:rsid w:val="64F34037"/>
    <w:rsid w:val="652A2E44"/>
    <w:rsid w:val="654E4849"/>
    <w:rsid w:val="65686657"/>
    <w:rsid w:val="65BD69EB"/>
    <w:rsid w:val="664977CF"/>
    <w:rsid w:val="664D59C9"/>
    <w:rsid w:val="66A1042C"/>
    <w:rsid w:val="66EC4975"/>
    <w:rsid w:val="66F117CC"/>
    <w:rsid w:val="66F92550"/>
    <w:rsid w:val="67016B09"/>
    <w:rsid w:val="67203BA1"/>
    <w:rsid w:val="67203D95"/>
    <w:rsid w:val="67597141"/>
    <w:rsid w:val="67F83FF2"/>
    <w:rsid w:val="681B27B3"/>
    <w:rsid w:val="683116BC"/>
    <w:rsid w:val="688F3871"/>
    <w:rsid w:val="68DC76F5"/>
    <w:rsid w:val="68E74072"/>
    <w:rsid w:val="69173BDC"/>
    <w:rsid w:val="696C2C2D"/>
    <w:rsid w:val="69BD4674"/>
    <w:rsid w:val="69CD5B48"/>
    <w:rsid w:val="69E9503C"/>
    <w:rsid w:val="6A036769"/>
    <w:rsid w:val="6A325674"/>
    <w:rsid w:val="6A4D2C84"/>
    <w:rsid w:val="6A52291B"/>
    <w:rsid w:val="6A7B10E5"/>
    <w:rsid w:val="6A817F02"/>
    <w:rsid w:val="6A8A48EA"/>
    <w:rsid w:val="6ABF2B74"/>
    <w:rsid w:val="6B351E6F"/>
    <w:rsid w:val="6B6D2669"/>
    <w:rsid w:val="6B7A4051"/>
    <w:rsid w:val="6BE14999"/>
    <w:rsid w:val="6BFB5FD1"/>
    <w:rsid w:val="6C2B3C2F"/>
    <w:rsid w:val="6C515AE7"/>
    <w:rsid w:val="6CB95B66"/>
    <w:rsid w:val="6D12175F"/>
    <w:rsid w:val="6D1F5AF0"/>
    <w:rsid w:val="6D8F68C7"/>
    <w:rsid w:val="6E1D76E4"/>
    <w:rsid w:val="6E325D09"/>
    <w:rsid w:val="6E423939"/>
    <w:rsid w:val="6E544C48"/>
    <w:rsid w:val="6E67178A"/>
    <w:rsid w:val="6E84415A"/>
    <w:rsid w:val="6E970129"/>
    <w:rsid w:val="6EAA67AA"/>
    <w:rsid w:val="6ED54165"/>
    <w:rsid w:val="6F0C74B5"/>
    <w:rsid w:val="6F3657AD"/>
    <w:rsid w:val="6F3B10C9"/>
    <w:rsid w:val="6F5B091E"/>
    <w:rsid w:val="6F8A1C5E"/>
    <w:rsid w:val="6F974373"/>
    <w:rsid w:val="6FAF7C66"/>
    <w:rsid w:val="6FBE7B54"/>
    <w:rsid w:val="6FC71802"/>
    <w:rsid w:val="6FC74058"/>
    <w:rsid w:val="6FD148DF"/>
    <w:rsid w:val="70040E87"/>
    <w:rsid w:val="703E3500"/>
    <w:rsid w:val="704871A4"/>
    <w:rsid w:val="70530C01"/>
    <w:rsid w:val="70592DFA"/>
    <w:rsid w:val="70694F36"/>
    <w:rsid w:val="70880C5C"/>
    <w:rsid w:val="70B523D0"/>
    <w:rsid w:val="70DD3906"/>
    <w:rsid w:val="7109479F"/>
    <w:rsid w:val="717D3AE2"/>
    <w:rsid w:val="719B076B"/>
    <w:rsid w:val="71DC2403"/>
    <w:rsid w:val="722A12B4"/>
    <w:rsid w:val="72451C4A"/>
    <w:rsid w:val="728A7195"/>
    <w:rsid w:val="72EC7281"/>
    <w:rsid w:val="73393BC2"/>
    <w:rsid w:val="737B44DB"/>
    <w:rsid w:val="73842E33"/>
    <w:rsid w:val="73B928EF"/>
    <w:rsid w:val="74262B1B"/>
    <w:rsid w:val="747F1F65"/>
    <w:rsid w:val="74A6094A"/>
    <w:rsid w:val="74CC21DF"/>
    <w:rsid w:val="74E16F35"/>
    <w:rsid w:val="753F3D93"/>
    <w:rsid w:val="75532D3D"/>
    <w:rsid w:val="758805C2"/>
    <w:rsid w:val="7588697C"/>
    <w:rsid w:val="75AE7B06"/>
    <w:rsid w:val="761F2330"/>
    <w:rsid w:val="763F26D5"/>
    <w:rsid w:val="764D0528"/>
    <w:rsid w:val="766A7ED1"/>
    <w:rsid w:val="76B61013"/>
    <w:rsid w:val="76C82F19"/>
    <w:rsid w:val="77045A49"/>
    <w:rsid w:val="77266E5A"/>
    <w:rsid w:val="77291B31"/>
    <w:rsid w:val="775C7088"/>
    <w:rsid w:val="77701354"/>
    <w:rsid w:val="77750DFA"/>
    <w:rsid w:val="77902D8C"/>
    <w:rsid w:val="779A189F"/>
    <w:rsid w:val="781F51BA"/>
    <w:rsid w:val="78494544"/>
    <w:rsid w:val="78861462"/>
    <w:rsid w:val="78E431C4"/>
    <w:rsid w:val="78EB4A40"/>
    <w:rsid w:val="79BB696B"/>
    <w:rsid w:val="79F944AF"/>
    <w:rsid w:val="7A2F69EB"/>
    <w:rsid w:val="7A4413F9"/>
    <w:rsid w:val="7A5711E4"/>
    <w:rsid w:val="7A822D65"/>
    <w:rsid w:val="7AEA0E27"/>
    <w:rsid w:val="7B271AB2"/>
    <w:rsid w:val="7B7534AC"/>
    <w:rsid w:val="7BAF6112"/>
    <w:rsid w:val="7BBE1FE9"/>
    <w:rsid w:val="7C4A702F"/>
    <w:rsid w:val="7C735E4E"/>
    <w:rsid w:val="7D071AF5"/>
    <w:rsid w:val="7D394FD8"/>
    <w:rsid w:val="7D7E7646"/>
    <w:rsid w:val="7DC205F3"/>
    <w:rsid w:val="7DC26738"/>
    <w:rsid w:val="7E7062A0"/>
    <w:rsid w:val="7E972C19"/>
    <w:rsid w:val="7EBB2BFC"/>
    <w:rsid w:val="7F32629B"/>
    <w:rsid w:val="7F6E4E40"/>
    <w:rsid w:val="7F7D3986"/>
    <w:rsid w:val="7F7E2419"/>
    <w:rsid w:val="7F856BE9"/>
    <w:rsid w:val="7F9E0C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2"/>
    <w:qFormat/>
    <w:uiPriority w:val="99"/>
    <w:pPr>
      <w:tabs>
        <w:tab w:val="left" w:pos="588"/>
      </w:tabs>
      <w:spacing w:line="360" w:lineRule="auto"/>
      <w:outlineLvl w:val="2"/>
    </w:pPr>
    <w:rPr>
      <w:rFonts w:ascii="Tahoma" w:hAnsi="Tahoma"/>
    </w:rPr>
  </w:style>
  <w:style w:type="paragraph" w:styleId="2">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35"/>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3"/>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29"/>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99"/>
    <w:qFormat/>
    <w:uiPriority w:val="0"/>
    <w:pPr>
      <w:jc w:val="left"/>
    </w:pPr>
    <w:rPr>
      <w:rFonts w:ascii="Tahoma" w:hAnsi="Tahoma"/>
    </w:rPr>
  </w:style>
  <w:style w:type="paragraph" w:styleId="20">
    <w:name w:val="Salutation"/>
    <w:basedOn w:val="14"/>
    <w:next w:val="14"/>
    <w:link w:val="198"/>
    <w:qFormat/>
    <w:uiPriority w:val="0"/>
    <w:rPr>
      <w:rFonts w:ascii="..ì." w:eastAsia="..ì." w:cs="Times New Roman"/>
      <w:color w:val="auto"/>
      <w:szCs w:val="20"/>
    </w:rPr>
  </w:style>
  <w:style w:type="paragraph" w:styleId="21">
    <w:name w:val="Body Text 3"/>
    <w:basedOn w:val="1"/>
    <w:link w:val="206"/>
    <w:qFormat/>
    <w:uiPriority w:val="99"/>
    <w:pPr>
      <w:spacing w:after="120"/>
    </w:pPr>
    <w:rPr>
      <w:rFonts w:eastAsia="宋体"/>
      <w:sz w:val="16"/>
      <w:szCs w:val="16"/>
    </w:rPr>
  </w:style>
  <w:style w:type="paragraph" w:styleId="22">
    <w:name w:val="Body Text"/>
    <w:basedOn w:val="1"/>
    <w:next w:val="1"/>
    <w:link w:val="133"/>
    <w:qFormat/>
    <w:uiPriority w:val="99"/>
    <w:pPr>
      <w:spacing w:line="360" w:lineRule="auto"/>
    </w:pPr>
    <w:rPr>
      <w:rFonts w:ascii="Tahoma" w:hAnsi="Tahoma"/>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7"/>
    <w:unhideWhenUsed/>
    <w:qFormat/>
    <w:uiPriority w:val="99"/>
    <w:pPr>
      <w:spacing w:line="440" w:lineRule="exact"/>
    </w:pPr>
    <w:rPr>
      <w:b/>
      <w:bCs/>
      <w:sz w:val="24"/>
      <w:szCs w:val="28"/>
    </w:rPr>
  </w:style>
  <w:style w:type="paragraph" w:styleId="48">
    <w:name w:val="Body Text First Indent"/>
    <w:basedOn w:val="2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7"/>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6"/>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5"/>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5"/>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2"/>
    <w:qFormat/>
    <w:uiPriority w:val="0"/>
  </w:style>
  <w:style w:type="character" w:customStyle="1" w:styleId="99">
    <w:name w:val="批注文字 Char1"/>
    <w:link w:val="19"/>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7"/>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0"/>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99"/>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9"/>
    <w:qFormat/>
    <w:uiPriority w:val="99"/>
    <w:rPr>
      <w:b/>
      <w:bCs/>
      <w:kern w:val="2"/>
      <w:sz w:val="24"/>
      <w:szCs w:val="28"/>
    </w:rPr>
  </w:style>
  <w:style w:type="character" w:customStyle="1" w:styleId="123">
    <w:name w:val="标题 Char"/>
    <w:link w:val="46"/>
    <w:qFormat/>
    <w:uiPriority w:val="0"/>
    <w:rPr>
      <w:rFonts w:ascii="Cambria" w:hAnsi="Cambria"/>
      <w:b/>
      <w:bCs/>
      <w:kern w:val="2"/>
      <w:sz w:val="32"/>
      <w:szCs w:val="32"/>
    </w:rPr>
  </w:style>
  <w:style w:type="character" w:customStyle="1" w:styleId="124">
    <w:name w:val="标题 9 Char"/>
    <w:link w:val="11"/>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7"/>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8"/>
    <w:qFormat/>
    <w:uiPriority w:val="99"/>
    <w:rPr>
      <w:rFonts w:ascii="Arial" w:hAnsi="Arial" w:eastAsia="黑体"/>
      <w:b/>
      <w:bCs/>
      <w:kern w:val="2"/>
      <w:sz w:val="24"/>
      <w:szCs w:val="28"/>
    </w:rPr>
  </w:style>
  <w:style w:type="character" w:customStyle="1" w:styleId="133">
    <w:name w:val="正文文本 Char"/>
    <w:link w:val="2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6"/>
    <w:qFormat/>
    <w:uiPriority w:val="0"/>
    <w:rPr>
      <w:kern w:val="2"/>
      <w:sz w:val="24"/>
    </w:rPr>
  </w:style>
  <w:style w:type="character" w:customStyle="1" w:styleId="136">
    <w:name w:val="页脚 Char"/>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2"/>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3"/>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0"/>
    <w:qFormat/>
    <w:uiPriority w:val="0"/>
    <w:rPr>
      <w:rFonts w:ascii="..ì." w:hAnsi="Times New Roman" w:eastAsia="..ì." w:cs="Times New Roman"/>
      <w:sz w:val="24"/>
    </w:rPr>
  </w:style>
  <w:style w:type="character" w:customStyle="1" w:styleId="199">
    <w:name w:val="注释标题 Char"/>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qFormat/>
    <w:uiPriority w:val="99"/>
    <w:rPr>
      <w:rFonts w:ascii="宋体" w:eastAsia="宋体"/>
      <w:sz w:val="24"/>
      <w:szCs w:val="20"/>
    </w:rPr>
  </w:style>
  <w:style w:type="character" w:customStyle="1" w:styleId="206">
    <w:name w:val="正文文本 3 Char"/>
    <w:basedOn w:val="52"/>
    <w:link w:val="21"/>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Char"/>
    <w:basedOn w:val="52"/>
    <w:link w:val="43"/>
    <w:qFormat/>
    <w:uiPriority w:val="0"/>
    <w:rPr>
      <w:rFonts w:ascii="黑体" w:hAnsi="Courier New"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29A67-8742-479E-886C-D6313CDAF4E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69</Pages>
  <Words>29069</Words>
  <Characters>30944</Characters>
  <Lines>214</Lines>
  <Paragraphs>60</Paragraphs>
  <TotalTime>43</TotalTime>
  <ScaleCrop>false</ScaleCrop>
  <LinksUpToDate>false</LinksUpToDate>
  <CharactersWithSpaces>32665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qzuser</cp:lastModifiedBy>
  <cp:lastPrinted>2022-03-24T03:28:00Z</cp:lastPrinted>
  <dcterms:modified xsi:type="dcterms:W3CDTF">2022-05-24T08:02:14Z</dcterms:modified>
  <dc:title>_x0001_</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EAED338D08E647D6844F347163766788</vt:lpwstr>
  </property>
</Properties>
</file>