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6542" w:firstLineChars="1481"/>
        <w:rPr>
          <w:rFonts w:hint="eastAsia"/>
        </w:rPr>
      </w:pPr>
      <w:r>
        <w:rPr>
          <w:rFonts w:hint="eastAsia" w:ascii="黑体" w:hAnsi="黑体" w:eastAsia="黑体" w:cs="黑体"/>
          <w:b/>
          <w:sz w:val="44"/>
          <w:szCs w:val="44"/>
          <w:bdr w:val="single" w:color="auto" w:sz="4" w:space="0"/>
          <w:shd w:val="pct10" w:color="auto" w:fill="FFFFFF"/>
        </w:rPr>
        <w:t>政府采购</w:t>
      </w:r>
    </w:p>
    <w:p>
      <w:pPr>
        <w:jc w:val="center"/>
        <w:rPr>
          <w:rFonts w:hint="eastAsia" w:ascii="黑体" w:hAnsi="黑体" w:eastAsia="黑体" w:cs="黑体"/>
          <w:b/>
          <w:bCs w:val="0"/>
          <w:color w:val="auto"/>
          <w:sz w:val="52"/>
          <w:szCs w:val="52"/>
          <w:lang w:eastAsia="zh-CN"/>
        </w:rPr>
      </w:pPr>
      <w:r>
        <w:rPr>
          <w:rFonts w:hint="eastAsia" w:ascii="黑体" w:hAnsi="黑体" w:eastAsia="黑体" w:cs="黑体"/>
          <w:b/>
          <w:bCs w:val="0"/>
          <w:color w:val="auto"/>
          <w:sz w:val="52"/>
          <w:szCs w:val="52"/>
          <w:lang w:eastAsia="zh-CN"/>
        </w:rPr>
        <w:t>陕西省长安师范学校附属小学</w:t>
      </w:r>
    </w:p>
    <w:p>
      <w:pPr>
        <w:jc w:val="center"/>
        <w:rPr>
          <w:rFonts w:hint="eastAsia" w:ascii="华文楷体" w:hAnsi="华文楷体" w:eastAsia="华文楷体" w:cs="华文楷体"/>
          <w:b/>
          <w:bCs/>
          <w:sz w:val="48"/>
          <w:szCs w:val="48"/>
        </w:rPr>
      </w:pPr>
      <w:r>
        <w:rPr>
          <w:rFonts w:hint="eastAsia" w:ascii="黑体" w:hAnsi="黑体" w:eastAsia="黑体" w:cs="黑体"/>
          <w:b/>
          <w:bCs w:val="0"/>
          <w:color w:val="auto"/>
          <w:sz w:val="52"/>
          <w:szCs w:val="52"/>
          <w:lang w:eastAsia="zh-CN"/>
        </w:rPr>
        <w:t>安全教室项目</w:t>
      </w:r>
    </w:p>
    <w:p>
      <w:pPr>
        <w:ind w:left="0" w:leftChars="0" w:firstLine="2747" w:firstLineChars="380"/>
        <w:rPr>
          <w:rFonts w:hint="eastAsia" w:ascii="黑体" w:hAnsi="黑体" w:eastAsia="黑体" w:cs="黑体"/>
          <w:b/>
          <w:bCs/>
          <w:sz w:val="72"/>
          <w:szCs w:val="72"/>
        </w:rPr>
      </w:pPr>
    </w:p>
    <w:p>
      <w:pPr>
        <w:pStyle w:val="2"/>
        <w:rPr>
          <w:rFonts w:hint="eastAsia"/>
        </w:rPr>
      </w:pPr>
    </w:p>
    <w:p>
      <w:pPr>
        <w:rPr>
          <w:rFonts w:hint="eastAsia"/>
        </w:rPr>
      </w:pPr>
    </w:p>
    <w:p>
      <w:pPr>
        <w:pStyle w:val="2"/>
        <w:rPr>
          <w:rFonts w:hint="eastAsia"/>
        </w:rPr>
      </w:pPr>
    </w:p>
    <w:p>
      <w:pPr>
        <w:pStyle w:val="2"/>
        <w:rPr>
          <w:rFonts w:hint="eastAsia"/>
        </w:rPr>
      </w:pPr>
    </w:p>
    <w:p>
      <w:pPr>
        <w:ind w:left="0" w:leftChars="0" w:firstLine="2530" w:firstLineChars="350"/>
        <w:rPr>
          <w:rFonts w:hint="eastAsia" w:ascii="黑体" w:hAnsi="黑体" w:eastAsia="黑体" w:cs="黑体"/>
          <w:b/>
          <w:bCs/>
          <w:sz w:val="144"/>
          <w:szCs w:val="144"/>
        </w:rPr>
      </w:pPr>
      <w:r>
        <w:rPr>
          <w:rFonts w:hint="eastAsia" w:ascii="黑体" w:hAnsi="黑体" w:eastAsia="黑体" w:cs="黑体"/>
          <w:b/>
          <w:bCs/>
          <w:sz w:val="72"/>
          <w:szCs w:val="72"/>
        </w:rPr>
        <w:t>招标文件</w:t>
      </w:r>
    </w:p>
    <w:p>
      <w:pPr>
        <w:pStyle w:val="2"/>
        <w:jc w:val="both"/>
        <w:rPr>
          <w:rFonts w:hint="eastAsia"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 xml:space="preserve">                     </w:t>
      </w:r>
    </w:p>
    <w:p>
      <w:pPr>
        <w:rPr>
          <w:rFonts w:hint="eastAsia" w:ascii="华文楷体" w:hAnsi="华文楷体" w:eastAsia="华文楷体" w:cs="华文楷体"/>
          <w:b/>
          <w:bCs/>
          <w:sz w:val="28"/>
          <w:szCs w:val="28"/>
          <w:lang w:val="en-US" w:eastAsia="zh-CN"/>
        </w:rPr>
      </w:pPr>
    </w:p>
    <w:p>
      <w:pPr>
        <w:pStyle w:val="2"/>
        <w:rPr>
          <w:rFonts w:hint="eastAsia"/>
        </w:rPr>
      </w:pPr>
    </w:p>
    <w:p>
      <w:pPr>
        <w:rPr>
          <w:rFonts w:hint="eastAsia" w:ascii="华文楷体" w:hAnsi="华文楷体" w:eastAsia="华文楷体" w:cs="华文楷体"/>
        </w:rPr>
      </w:pPr>
    </w:p>
    <w:p>
      <w:pPr>
        <w:spacing w:line="720" w:lineRule="auto"/>
        <w:ind w:right="105" w:firstLine="400" w:firstLineChars="100"/>
        <w:rPr>
          <w:rFonts w:hint="eastAsia" w:ascii="华文楷体" w:hAnsi="华文楷体" w:eastAsia="华文楷体" w:cs="华文楷体"/>
          <w:b/>
          <w:bCs/>
          <w:sz w:val="40"/>
          <w:szCs w:val="40"/>
        </w:rPr>
      </w:pPr>
    </w:p>
    <w:p>
      <w:pPr>
        <w:pStyle w:val="2"/>
        <w:rPr>
          <w:rFonts w:hint="eastAsia"/>
        </w:rPr>
      </w:pPr>
    </w:p>
    <w:p>
      <w:pPr>
        <w:spacing w:line="720" w:lineRule="auto"/>
        <w:ind w:right="105" w:firstLine="402" w:firstLineChars="100"/>
        <w:rPr>
          <w:rFonts w:hint="eastAsia" w:ascii="黑体" w:hAnsi="黑体" w:eastAsia="黑体" w:cs="黑体"/>
          <w:b/>
          <w:bCs/>
          <w:sz w:val="40"/>
          <w:szCs w:val="40"/>
          <w:lang w:eastAsia="zh-CN"/>
        </w:rPr>
      </w:pPr>
      <w:r>
        <w:rPr>
          <w:rFonts w:hint="eastAsia" w:ascii="黑体" w:hAnsi="黑体" w:eastAsia="黑体" w:cs="黑体"/>
          <w:b/>
          <w:bCs/>
          <w:sz w:val="40"/>
          <w:szCs w:val="40"/>
        </w:rPr>
        <w:t>项 目  编 号：</w:t>
      </w:r>
      <w:r>
        <w:rPr>
          <w:rFonts w:hint="eastAsia" w:ascii="黑体" w:hAnsi="黑体" w:eastAsia="黑体" w:cs="黑体"/>
          <w:b/>
          <w:bCs/>
          <w:sz w:val="40"/>
          <w:szCs w:val="40"/>
          <w:highlight w:val="none"/>
          <w:lang w:eastAsia="zh-CN"/>
        </w:rPr>
        <w:t>TZZB-Z-2022158C</w:t>
      </w:r>
    </w:p>
    <w:p>
      <w:pPr>
        <w:pStyle w:val="177"/>
        <w:widowControl/>
        <w:spacing w:before="0" w:line="720" w:lineRule="auto"/>
        <w:ind w:firstLine="402" w:firstLineChars="100"/>
        <w:rPr>
          <w:rFonts w:hint="default" w:ascii="黑体" w:hAnsi="黑体" w:eastAsia="黑体" w:cs="黑体"/>
          <w:bCs/>
          <w:kern w:val="2"/>
          <w:sz w:val="40"/>
          <w:szCs w:val="40"/>
          <w:lang w:val="en-US"/>
        </w:rPr>
      </w:pPr>
      <w:r>
        <w:rPr>
          <w:rFonts w:hint="eastAsia" w:ascii="黑体" w:hAnsi="黑体" w:eastAsia="黑体" w:cs="黑体"/>
          <w:bCs/>
          <w:kern w:val="2"/>
          <w:sz w:val="40"/>
          <w:szCs w:val="40"/>
        </w:rPr>
        <w:t>采购人：</w:t>
      </w:r>
      <w:bookmarkStart w:id="0" w:name="OLE_LINK3"/>
      <w:r>
        <w:rPr>
          <w:rFonts w:hint="eastAsia" w:ascii="黑体" w:hAnsi="黑体" w:eastAsia="黑体" w:cs="黑体"/>
          <w:b/>
          <w:bCs w:val="0"/>
          <w:color w:val="auto"/>
          <w:sz w:val="40"/>
          <w:szCs w:val="40"/>
          <w:lang w:val="en-US" w:eastAsia="zh-CN"/>
        </w:rPr>
        <w:t>陕西省长安师范学校附属小学</w:t>
      </w:r>
      <w:bookmarkEnd w:id="0"/>
    </w:p>
    <w:p>
      <w:pPr>
        <w:spacing w:line="720" w:lineRule="auto"/>
        <w:ind w:right="105" w:firstLine="402" w:firstLineChars="100"/>
        <w:rPr>
          <w:rFonts w:hint="eastAsia" w:ascii="黑体" w:hAnsi="黑体" w:eastAsia="黑体" w:cs="黑体"/>
          <w:b/>
          <w:bCs/>
          <w:sz w:val="40"/>
          <w:szCs w:val="40"/>
        </w:rPr>
      </w:pPr>
      <w:r>
        <w:rPr>
          <w:rFonts w:hint="eastAsia" w:ascii="黑体" w:hAnsi="黑体" w:eastAsia="黑体" w:cs="黑体"/>
          <w:b/>
          <w:bCs/>
          <w:sz w:val="40"/>
          <w:szCs w:val="40"/>
        </w:rPr>
        <w:t>采购代理机构：同正项目管理有限公司</w:t>
      </w:r>
    </w:p>
    <w:p>
      <w:pPr>
        <w:spacing w:line="720" w:lineRule="auto"/>
        <w:ind w:right="105"/>
        <w:rPr>
          <w:rFonts w:hint="eastAsia" w:ascii="黑体" w:hAnsi="黑体" w:eastAsia="黑体" w:cs="黑体"/>
          <w:b/>
          <w:bCs/>
          <w:sz w:val="44"/>
          <w:szCs w:val="44"/>
        </w:rPr>
      </w:pPr>
      <w:r>
        <w:rPr>
          <w:rFonts w:hint="eastAsia" w:ascii="黑体" w:hAnsi="黑体" w:eastAsia="黑体" w:cs="黑体"/>
          <w:b/>
          <w:bCs/>
          <w:sz w:val="40"/>
          <w:szCs w:val="40"/>
        </w:rPr>
        <w:t xml:space="preserve">  </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二〇二</w:t>
      </w:r>
      <w:r>
        <w:rPr>
          <w:rFonts w:hint="eastAsia" w:ascii="黑体" w:hAnsi="黑体" w:eastAsia="黑体" w:cs="黑体"/>
          <w:b/>
          <w:bCs/>
          <w:sz w:val="40"/>
          <w:szCs w:val="40"/>
          <w:lang w:val="en-US" w:eastAsia="zh-CN"/>
        </w:rPr>
        <w:t>二</w:t>
      </w:r>
      <w:r>
        <w:rPr>
          <w:rFonts w:hint="eastAsia" w:ascii="黑体" w:hAnsi="黑体" w:eastAsia="黑体" w:cs="黑体"/>
          <w:b/>
          <w:bCs/>
          <w:sz w:val="40"/>
          <w:szCs w:val="40"/>
        </w:rPr>
        <w:t>年</w:t>
      </w:r>
      <w:r>
        <w:rPr>
          <w:rFonts w:hint="eastAsia" w:ascii="黑体" w:hAnsi="黑体" w:eastAsia="黑体" w:cs="黑体"/>
          <w:b/>
          <w:bCs/>
          <w:sz w:val="40"/>
          <w:szCs w:val="40"/>
          <w:lang w:val="en-US" w:eastAsia="zh-CN"/>
        </w:rPr>
        <w:t>六</w:t>
      </w:r>
      <w:r>
        <w:rPr>
          <w:rFonts w:hint="eastAsia" w:ascii="黑体" w:hAnsi="黑体" w:eastAsia="黑体" w:cs="黑体"/>
          <w:b/>
          <w:bCs/>
          <w:sz w:val="40"/>
          <w:szCs w:val="40"/>
        </w:rPr>
        <w:t>月</w:t>
      </w:r>
    </w:p>
    <w:p>
      <w:pPr>
        <w:spacing w:line="720" w:lineRule="auto"/>
        <w:jc w:val="left"/>
        <w:rPr>
          <w:rFonts w:hint="eastAsia" w:ascii="黑体" w:hAnsi="黑体" w:eastAsia="黑体" w:cs="黑体"/>
          <w:b/>
          <w:bCs/>
          <w:sz w:val="52"/>
          <w:szCs w:val="52"/>
        </w:rPr>
        <w:sectPr>
          <w:headerReference r:id="rId4" w:type="first"/>
          <w:footerReference r:id="rId6" w:type="first"/>
          <w:headerReference r:id="rId3" w:type="default"/>
          <w:footerReference r:id="rId5" w:type="default"/>
          <w:pgSz w:w="11906" w:h="16838"/>
          <w:pgMar w:top="1440" w:right="1800" w:bottom="1440" w:left="1800" w:header="720" w:footer="720" w:gutter="0"/>
          <w:pgNumType w:fmt="numberInDash" w:start="1"/>
          <w:cols w:space="720" w:num="1"/>
          <w:docGrid w:type="lines" w:linePitch="312" w:charSpace="0"/>
        </w:sectPr>
      </w:pPr>
    </w:p>
    <w:p>
      <w:pPr>
        <w:jc w:val="center"/>
        <w:rPr>
          <w:rFonts w:hint="eastAsia" w:ascii="楷体" w:hAnsi="楷体" w:eastAsia="楷体" w:cs="楷体"/>
          <w:b/>
          <w:bCs/>
          <w:sz w:val="40"/>
          <w:szCs w:val="36"/>
        </w:rPr>
      </w:pPr>
      <w:bookmarkStart w:id="1" w:name="_Toc175973395"/>
    </w:p>
    <w:p>
      <w:pPr>
        <w:jc w:val="center"/>
        <w:rPr>
          <w:rFonts w:hint="eastAsia" w:ascii="黑体" w:hAnsi="黑体" w:eastAsia="黑体" w:cs="黑体"/>
          <w:b/>
          <w:bCs/>
          <w:sz w:val="44"/>
          <w:szCs w:val="44"/>
        </w:rPr>
      </w:pPr>
      <w:r>
        <w:rPr>
          <w:rFonts w:hint="eastAsia" w:ascii="黑体" w:hAnsi="黑体" w:eastAsia="黑体" w:cs="黑体"/>
          <w:b/>
          <w:bCs/>
          <w:sz w:val="44"/>
          <w:szCs w:val="44"/>
        </w:rPr>
        <w:t>目     录</w:t>
      </w:r>
    </w:p>
    <w:sdt>
      <w:sdtPr>
        <w:rPr>
          <w:rFonts w:ascii="宋体" w:hAnsi="宋体" w:eastAsia="宋体" w:cs="Times New Roman"/>
          <w:kern w:val="2"/>
          <w:sz w:val="21"/>
          <w:lang w:val="en-US" w:eastAsia="zh-CN" w:bidi="ar-SA"/>
        </w:rPr>
        <w:id w:val="147467152"/>
        <w15:color w:val="DBDBDB"/>
        <w:docPartObj>
          <w:docPartGallery w:val="Table of Contents"/>
          <w:docPartUnique/>
        </w:docPartObj>
      </w:sdtPr>
      <w:sdtEndPr>
        <w:rPr>
          <w:rFonts w:hint="eastAsia" w:ascii="仿宋" w:hAnsi="仿宋" w:eastAsia="仿宋" w:cs="仿宋"/>
          <w:b/>
          <w:bCs/>
          <w:kern w:val="2"/>
          <w:sz w:val="44"/>
          <w:szCs w:val="96"/>
          <w:lang w:val="en-US" w:eastAsia="zh-CN" w:bidi="ar-SA"/>
        </w:rPr>
      </w:sdtEndPr>
      <w:sdtContent>
        <w:p>
          <w:pPr>
            <w:spacing w:before="0" w:beforeLines="0" w:after="0" w:afterLines="0" w:line="240" w:lineRule="auto"/>
            <w:ind w:left="0" w:leftChars="0" w:right="0" w:rightChars="0" w:firstLine="0" w:firstLineChars="0"/>
            <w:jc w:val="center"/>
            <w:rPr>
              <w:rFonts w:hint="eastAsia" w:eastAsia="宋体"/>
              <w:lang w:eastAsia="zh-CN"/>
            </w:rPr>
          </w:pPr>
          <w:bookmarkStart w:id="2" w:name="_Toc15714"/>
          <w:bookmarkStart w:id="3" w:name="_Toc16585"/>
          <w:bookmarkStart w:id="4" w:name="_Toc2153_WPSOffice_Level1"/>
          <w:bookmarkStart w:id="5" w:name="_Toc26281"/>
          <w:bookmarkStart w:id="6" w:name="_Toc3934_WPSOffice_Level1"/>
          <w:bookmarkStart w:id="7" w:name="_Toc531189833"/>
          <w:bookmarkStart w:id="8" w:name="_Toc13604"/>
          <w:bookmarkStart w:id="9" w:name="_Toc9573"/>
          <w:bookmarkStart w:id="10" w:name="_Toc27661"/>
          <w:bookmarkStart w:id="11" w:name="_Toc30925"/>
          <w:bookmarkStart w:id="12" w:name="_Toc27110"/>
          <w:bookmarkStart w:id="13" w:name="_Toc16757"/>
          <w:bookmarkStart w:id="14" w:name="_Toc5491"/>
          <w:bookmarkStart w:id="15" w:name="_Toc22132_WPSOffice_Level1"/>
          <w:bookmarkStart w:id="16" w:name="_Toc22701"/>
          <w:bookmarkStart w:id="17" w:name="_Toc13452"/>
          <w:bookmarkStart w:id="18" w:name="_Toc16422"/>
          <w:bookmarkStart w:id="19" w:name="_Toc11632"/>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r>
            <w:rPr>
              <w:rFonts w:hint="eastAsia" w:ascii="仿宋" w:hAnsi="仿宋" w:eastAsia="仿宋" w:cs="仿宋"/>
              <w:bCs/>
              <w:sz w:val="32"/>
              <w:szCs w:val="96"/>
            </w:rPr>
            <w:fldChar w:fldCharType="begin"/>
          </w:r>
          <w:r>
            <w:rPr>
              <w:rFonts w:hint="eastAsia" w:ascii="仿宋" w:hAnsi="仿宋" w:eastAsia="仿宋" w:cs="仿宋"/>
              <w:bCs/>
              <w:sz w:val="32"/>
              <w:szCs w:val="96"/>
            </w:rPr>
            <w:instrText xml:space="preserve">TOC \o "1-1" \h \u </w:instrText>
          </w:r>
          <w:r>
            <w:rPr>
              <w:rFonts w:hint="eastAsia" w:ascii="仿宋" w:hAnsi="仿宋" w:eastAsia="仿宋" w:cs="仿宋"/>
              <w:bCs/>
              <w:sz w:val="32"/>
              <w:szCs w:val="96"/>
            </w:rPr>
            <w:fldChar w:fldCharType="separate"/>
          </w: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_Toc28888 </w:instrText>
          </w:r>
          <w:r>
            <w:rPr>
              <w:rFonts w:hint="eastAsia" w:ascii="仿宋" w:hAnsi="仿宋" w:eastAsia="仿宋" w:cs="仿宋"/>
              <w:bCs/>
              <w:sz w:val="28"/>
              <w:szCs w:val="144"/>
            </w:rPr>
            <w:fldChar w:fldCharType="separate"/>
          </w:r>
          <w:r>
            <w:rPr>
              <w:rFonts w:hint="eastAsia" w:ascii="仿宋" w:hAnsi="仿宋" w:eastAsia="仿宋" w:cs="仿宋"/>
              <w:sz w:val="28"/>
              <w:szCs w:val="72"/>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_Toc28888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bCs/>
              <w:sz w:val="28"/>
              <w:szCs w:val="144"/>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_Toc18433 </w:instrText>
          </w:r>
          <w:r>
            <w:rPr>
              <w:rFonts w:hint="eastAsia" w:ascii="仿宋" w:hAnsi="仿宋" w:eastAsia="仿宋" w:cs="仿宋"/>
              <w:bCs/>
              <w:sz w:val="28"/>
              <w:szCs w:val="144"/>
            </w:rPr>
            <w:fldChar w:fldCharType="separate"/>
          </w:r>
          <w:r>
            <w:rPr>
              <w:rFonts w:hint="eastAsia" w:ascii="仿宋" w:hAnsi="仿宋" w:eastAsia="仿宋" w:cs="仿宋"/>
              <w:sz w:val="28"/>
              <w:szCs w:val="72"/>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_Toc18433 \h </w:instrText>
          </w:r>
          <w:r>
            <w:rPr>
              <w:rFonts w:hint="eastAsia" w:ascii="仿宋" w:hAnsi="仿宋" w:eastAsia="仿宋" w:cs="仿宋"/>
              <w:sz w:val="28"/>
              <w:szCs w:val="28"/>
            </w:rPr>
            <w:fldChar w:fldCharType="separate"/>
          </w:r>
          <w:r>
            <w:rPr>
              <w:rFonts w:hint="eastAsia" w:ascii="仿宋" w:hAnsi="仿宋" w:eastAsia="仿宋" w:cs="仿宋"/>
              <w:sz w:val="28"/>
              <w:szCs w:val="28"/>
            </w:rPr>
            <w:t>- 4 -</w:t>
          </w:r>
          <w:r>
            <w:rPr>
              <w:rFonts w:hint="eastAsia" w:ascii="仿宋" w:hAnsi="仿宋" w:eastAsia="仿宋" w:cs="仿宋"/>
              <w:sz w:val="28"/>
              <w:szCs w:val="28"/>
            </w:rPr>
            <w:fldChar w:fldCharType="end"/>
          </w:r>
          <w:r>
            <w:rPr>
              <w:rFonts w:hint="eastAsia" w:ascii="仿宋" w:hAnsi="仿宋" w:eastAsia="仿宋" w:cs="仿宋"/>
              <w:bCs/>
              <w:sz w:val="28"/>
              <w:szCs w:val="144"/>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_Toc9096 </w:instrText>
          </w:r>
          <w:r>
            <w:rPr>
              <w:rFonts w:hint="eastAsia" w:ascii="仿宋" w:hAnsi="仿宋" w:eastAsia="仿宋" w:cs="仿宋"/>
              <w:bCs/>
              <w:sz w:val="28"/>
              <w:szCs w:val="144"/>
            </w:rPr>
            <w:fldChar w:fldCharType="separate"/>
          </w:r>
          <w:r>
            <w:rPr>
              <w:rFonts w:hint="eastAsia" w:ascii="仿宋" w:hAnsi="仿宋" w:eastAsia="仿宋" w:cs="仿宋"/>
              <w:sz w:val="28"/>
              <w:szCs w:val="72"/>
            </w:rPr>
            <w:t>第三章  评审办法</w:t>
          </w:r>
          <w:bookmarkStart w:id="504" w:name="_GoBack"/>
          <w:bookmarkEnd w:id="504"/>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_Toc9096 \h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r>
            <w:rPr>
              <w:rFonts w:hint="eastAsia" w:ascii="仿宋" w:hAnsi="仿宋" w:eastAsia="仿宋" w:cs="仿宋"/>
              <w:bCs/>
              <w:sz w:val="28"/>
              <w:szCs w:val="144"/>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lang w:val="en-US" w:eastAsia="zh-CN"/>
            </w:rPr>
          </w:pP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_Toc12012 </w:instrText>
          </w:r>
          <w:r>
            <w:rPr>
              <w:rFonts w:hint="eastAsia" w:ascii="仿宋" w:hAnsi="仿宋" w:eastAsia="仿宋" w:cs="仿宋"/>
              <w:bCs/>
              <w:sz w:val="28"/>
              <w:szCs w:val="144"/>
            </w:rPr>
            <w:fldChar w:fldCharType="separate"/>
          </w:r>
          <w:r>
            <w:rPr>
              <w:rFonts w:hint="eastAsia" w:ascii="仿宋" w:hAnsi="仿宋" w:eastAsia="仿宋" w:cs="仿宋"/>
              <w:sz w:val="28"/>
              <w:szCs w:val="72"/>
            </w:rPr>
            <w:t xml:space="preserve">第四章 </w:t>
          </w:r>
          <w:r>
            <w:rPr>
              <w:rFonts w:hint="eastAsia" w:ascii="仿宋" w:hAnsi="仿宋" w:eastAsia="仿宋" w:cs="仿宋"/>
              <w:sz w:val="28"/>
              <w:szCs w:val="72"/>
              <w:lang w:val="en-US" w:eastAsia="zh-CN"/>
            </w:rPr>
            <w:t xml:space="preserve"> </w:t>
          </w:r>
          <w:r>
            <w:rPr>
              <w:rFonts w:hint="eastAsia" w:ascii="仿宋" w:hAnsi="仿宋" w:eastAsia="仿宋" w:cs="仿宋"/>
              <w:sz w:val="28"/>
              <w:szCs w:val="72"/>
            </w:rPr>
            <w:t>采购内容及具体要求</w:t>
          </w:r>
          <w:r>
            <w:rPr>
              <w:rFonts w:hint="eastAsia" w:ascii="仿宋" w:hAnsi="仿宋" w:eastAsia="仿宋" w:cs="仿宋"/>
              <w:sz w:val="28"/>
              <w:szCs w:val="28"/>
            </w:rPr>
            <w:tab/>
          </w:r>
          <w:r>
            <w:rPr>
              <w:rFonts w:hint="eastAsia" w:ascii="仿宋" w:hAnsi="仿宋" w:eastAsia="仿宋" w:cs="仿宋"/>
              <w:bCs/>
              <w:sz w:val="28"/>
              <w:szCs w:val="144"/>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_Toc16225 \h </w:instrText>
          </w:r>
          <w:r>
            <w:rPr>
              <w:rFonts w:hint="eastAsia" w:ascii="仿宋" w:hAnsi="仿宋" w:eastAsia="仿宋" w:cs="仿宋"/>
              <w:sz w:val="28"/>
              <w:szCs w:val="28"/>
            </w:rPr>
            <w:fldChar w:fldCharType="separate"/>
          </w:r>
          <w:r>
            <w:rPr>
              <w:rFonts w:hint="eastAsia" w:ascii="仿宋" w:hAnsi="仿宋" w:eastAsia="仿宋" w:cs="仿宋"/>
              <w:sz w:val="28"/>
              <w:szCs w:val="28"/>
            </w:rPr>
            <w:t>- 35 -</w:t>
          </w:r>
          <w:r>
            <w:rPr>
              <w:rFonts w:hint="eastAsia" w:ascii="仿宋" w:hAnsi="仿宋" w:eastAsia="仿宋" w:cs="仿宋"/>
              <w:sz w:val="28"/>
              <w:szCs w:val="28"/>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_Toc16225 </w:instrText>
          </w:r>
          <w:r>
            <w:rPr>
              <w:rFonts w:hint="eastAsia" w:ascii="仿宋" w:hAnsi="仿宋" w:eastAsia="仿宋" w:cs="仿宋"/>
              <w:bCs/>
              <w:sz w:val="28"/>
              <w:szCs w:val="144"/>
            </w:rPr>
            <w:fldChar w:fldCharType="separate"/>
          </w:r>
          <w:r>
            <w:rPr>
              <w:rFonts w:hint="eastAsia" w:ascii="仿宋" w:hAnsi="仿宋" w:eastAsia="仿宋" w:cs="仿宋"/>
              <w:bCs/>
              <w:sz w:val="28"/>
              <w:szCs w:val="52"/>
              <w:highlight w:val="none"/>
            </w:rPr>
            <w:t>第五章</w:t>
          </w:r>
          <w:r>
            <w:rPr>
              <w:rFonts w:hint="eastAsia" w:ascii="仿宋" w:hAnsi="仿宋" w:eastAsia="仿宋" w:cs="仿宋"/>
              <w:sz w:val="28"/>
              <w:szCs w:val="52"/>
              <w:highlight w:val="none"/>
            </w:rPr>
            <w:t xml:space="preserve">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_Toc16225 \h </w:instrText>
          </w:r>
          <w:r>
            <w:rPr>
              <w:rFonts w:hint="eastAsia" w:ascii="仿宋" w:hAnsi="仿宋" w:eastAsia="仿宋" w:cs="仿宋"/>
              <w:sz w:val="28"/>
              <w:szCs w:val="28"/>
            </w:rPr>
            <w:fldChar w:fldCharType="separate"/>
          </w:r>
          <w:r>
            <w:rPr>
              <w:rFonts w:hint="eastAsia" w:ascii="仿宋" w:hAnsi="仿宋" w:eastAsia="仿宋" w:cs="仿宋"/>
              <w:sz w:val="28"/>
              <w:szCs w:val="28"/>
            </w:rPr>
            <w:t>- 35 -</w:t>
          </w:r>
          <w:r>
            <w:rPr>
              <w:rFonts w:hint="eastAsia" w:ascii="仿宋" w:hAnsi="仿宋" w:eastAsia="仿宋" w:cs="仿宋"/>
              <w:sz w:val="28"/>
              <w:szCs w:val="28"/>
            </w:rPr>
            <w:fldChar w:fldCharType="end"/>
          </w:r>
          <w:r>
            <w:rPr>
              <w:rFonts w:hint="eastAsia" w:ascii="仿宋" w:hAnsi="仿宋" w:eastAsia="仿宋" w:cs="仿宋"/>
              <w:bCs/>
              <w:sz w:val="28"/>
              <w:szCs w:val="144"/>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bCs/>
              <w:sz w:val="28"/>
              <w:szCs w:val="144"/>
            </w:rPr>
            <w:fldChar w:fldCharType="begin"/>
          </w:r>
          <w:r>
            <w:rPr>
              <w:rFonts w:hint="eastAsia" w:ascii="仿宋" w:hAnsi="仿宋" w:eastAsia="仿宋" w:cs="仿宋"/>
              <w:bCs/>
              <w:sz w:val="28"/>
              <w:szCs w:val="144"/>
            </w:rPr>
            <w:instrText xml:space="preserve"> HYPERLINK \l _Toc17590 </w:instrText>
          </w:r>
          <w:r>
            <w:rPr>
              <w:rFonts w:hint="eastAsia" w:ascii="仿宋" w:hAnsi="仿宋" w:eastAsia="仿宋" w:cs="仿宋"/>
              <w:bCs/>
              <w:sz w:val="28"/>
              <w:szCs w:val="144"/>
            </w:rPr>
            <w:fldChar w:fldCharType="separate"/>
          </w:r>
          <w:r>
            <w:rPr>
              <w:rFonts w:hint="eastAsia" w:ascii="仿宋" w:hAnsi="仿宋" w:eastAsia="仿宋" w:cs="仿宋"/>
              <w:sz w:val="28"/>
              <w:szCs w:val="28"/>
            </w:rPr>
            <w:t>第六章   投标文件格式及构成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_Toc17590 \h </w:instrText>
          </w:r>
          <w:r>
            <w:rPr>
              <w:rFonts w:hint="eastAsia" w:ascii="仿宋" w:hAnsi="仿宋" w:eastAsia="仿宋" w:cs="仿宋"/>
              <w:sz w:val="28"/>
              <w:szCs w:val="28"/>
            </w:rPr>
            <w:fldChar w:fldCharType="separate"/>
          </w:r>
          <w:r>
            <w:rPr>
              <w:rFonts w:hint="eastAsia" w:ascii="仿宋" w:hAnsi="仿宋" w:eastAsia="仿宋" w:cs="仿宋"/>
              <w:sz w:val="28"/>
              <w:szCs w:val="28"/>
            </w:rPr>
            <w:t>- 66 -</w:t>
          </w:r>
          <w:r>
            <w:rPr>
              <w:rFonts w:hint="eastAsia" w:ascii="仿宋" w:hAnsi="仿宋" w:eastAsia="仿宋" w:cs="仿宋"/>
              <w:sz w:val="28"/>
              <w:szCs w:val="28"/>
            </w:rPr>
            <w:fldChar w:fldCharType="end"/>
          </w:r>
          <w:r>
            <w:rPr>
              <w:rFonts w:hint="eastAsia" w:ascii="仿宋" w:hAnsi="仿宋" w:eastAsia="仿宋" w:cs="仿宋"/>
              <w:bCs/>
              <w:sz w:val="28"/>
              <w:szCs w:val="144"/>
            </w:rPr>
            <w:fldChar w:fldCharType="end"/>
          </w:r>
        </w:p>
        <w:p>
          <w:pPr>
            <w:pStyle w:val="72"/>
            <w:keepNext w:val="0"/>
            <w:keepLines w:val="0"/>
            <w:pageBreakBefore w:val="0"/>
            <w:tabs>
              <w:tab w:val="right" w:leader="dot" w:pos="8959"/>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p>
        <w:p>
          <w:pPr>
            <w:pStyle w:val="54"/>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Cs/>
              <w:sz w:val="32"/>
              <w:szCs w:val="96"/>
            </w:rPr>
          </w:pPr>
          <w:r>
            <w:rPr>
              <w:rFonts w:hint="eastAsia" w:ascii="仿宋" w:hAnsi="仿宋" w:eastAsia="仿宋" w:cs="仿宋"/>
              <w:bCs/>
              <w:sz w:val="44"/>
              <w:szCs w:val="96"/>
            </w:rPr>
            <w:fldChar w:fldCharType="end"/>
          </w:r>
        </w:p>
      </w:sdtContent>
    </w:sdt>
    <w:p>
      <w:pPr>
        <w:bidi w:val="0"/>
        <w:jc w:val="left"/>
        <w:rPr>
          <w:rFonts w:ascii="Times New Roman" w:hAnsi="Times New Roman" w:eastAsia="宋体" w:cs="Times New Roman"/>
          <w:kern w:val="2"/>
          <w:sz w:val="21"/>
          <w:lang w:val="en-US" w:eastAsia="zh-CN" w:bidi="ar-SA"/>
        </w:rPr>
        <w:sectPr>
          <w:footerReference r:id="rId8" w:type="first"/>
          <w:footerReference r:id="rId7" w:type="default"/>
          <w:pgSz w:w="11907" w:h="16840"/>
          <w:pgMar w:top="1440" w:right="1474" w:bottom="1440" w:left="1474" w:header="851" w:footer="992" w:gutter="0"/>
          <w:pgNumType w:fmt="numberInDash" w:start="1"/>
          <w:cols w:space="720" w:num="1"/>
          <w:titlePg/>
        </w:sectPr>
      </w:pPr>
    </w:p>
    <w:p>
      <w:pPr>
        <w:pStyle w:val="54"/>
        <w:jc w:val="center"/>
        <w:outlineLvl w:val="0"/>
        <w:rPr>
          <w:rFonts w:hint="eastAsia" w:ascii="黑体" w:hAnsi="黑体" w:eastAsia="黑体" w:cs="黑体"/>
          <w:sz w:val="44"/>
          <w:szCs w:val="44"/>
        </w:rPr>
      </w:pPr>
      <w:bookmarkStart w:id="20" w:name="_Toc28888"/>
      <w:r>
        <w:rPr>
          <w:rFonts w:hint="eastAsia" w:ascii="黑体" w:hAnsi="黑体" w:eastAsia="黑体" w:cs="黑体"/>
          <w:sz w:val="44"/>
          <w:szCs w:val="44"/>
        </w:rPr>
        <w:t xml:space="preserve">第一章  </w:t>
      </w:r>
      <w:bookmarkEnd w:id="1"/>
      <w:r>
        <w:rPr>
          <w:rFonts w:hint="eastAsia" w:ascii="黑体" w:hAnsi="黑体" w:eastAsia="黑体" w:cs="黑体"/>
          <w:sz w:val="44"/>
          <w:szCs w:val="44"/>
        </w:rPr>
        <w:t>招标公告</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00" w:lineRule="atLeast"/>
        <w:ind w:right="0" w:firstLine="1124" w:firstLineChars="400"/>
        <w:textAlignment w:val="baseline"/>
        <w:rPr>
          <w:rFonts w:hint="eastAsia" w:ascii="黑体" w:hAnsi="黑体" w:eastAsia="黑体" w:cs="黑体"/>
          <w:b/>
          <w:color w:val="auto"/>
          <w:kern w:val="2"/>
          <w:sz w:val="28"/>
          <w:szCs w:val="28"/>
          <w:lang w:val="en-US" w:eastAsia="zh-CN" w:bidi="ar-SA"/>
        </w:rPr>
      </w:pPr>
      <w:bookmarkStart w:id="21" w:name="OLE_LINK2"/>
      <w:bookmarkStart w:id="22" w:name="_Toc531189834"/>
      <w:bookmarkStart w:id="23" w:name="_Toc21028"/>
      <w:bookmarkStart w:id="24" w:name="_Toc17777"/>
      <w:bookmarkStart w:id="25" w:name="_Toc4952"/>
      <w:bookmarkStart w:id="26" w:name="_Toc25920"/>
      <w:bookmarkStart w:id="27" w:name="_Toc8088_WPSOffice_Level1"/>
      <w:bookmarkStart w:id="28" w:name="_Toc19596"/>
      <w:bookmarkStart w:id="29" w:name="_Toc2094"/>
      <w:bookmarkStart w:id="30" w:name="_Toc7478"/>
      <w:bookmarkStart w:id="31" w:name="_Toc30242"/>
      <w:bookmarkStart w:id="32" w:name="_Toc175973396"/>
      <w:bookmarkStart w:id="33" w:name="_Toc29730"/>
      <w:bookmarkStart w:id="34" w:name="_Toc21535"/>
      <w:bookmarkStart w:id="35" w:name="_Toc31804"/>
      <w:bookmarkStart w:id="36" w:name="_Toc28736_WPSOffice_Level1"/>
      <w:bookmarkStart w:id="37" w:name="_Toc31326"/>
      <w:bookmarkStart w:id="38" w:name="_Toc21074"/>
      <w:bookmarkStart w:id="39" w:name="_Toc347817552"/>
      <w:bookmarkStart w:id="40" w:name="_Toc9804_WPSOffice_Level1"/>
      <w:bookmarkStart w:id="41" w:name="_Toc12255"/>
      <w:r>
        <w:rPr>
          <w:rFonts w:hint="eastAsia" w:ascii="黑体" w:hAnsi="黑体" w:eastAsia="黑体" w:cs="黑体"/>
          <w:b/>
          <w:color w:val="auto"/>
          <w:kern w:val="2"/>
          <w:sz w:val="28"/>
          <w:szCs w:val="28"/>
          <w:lang w:val="en-US" w:eastAsia="zh-CN" w:bidi="ar-SA"/>
        </w:rPr>
        <w:t>陕西省长安师范学校附属小学安全教室项目</w:t>
      </w:r>
      <w:bookmarkEnd w:id="21"/>
      <w:r>
        <w:rPr>
          <w:rFonts w:hint="eastAsia" w:ascii="黑体" w:hAnsi="黑体" w:eastAsia="黑体" w:cs="黑体"/>
          <w:b/>
          <w:color w:val="auto"/>
          <w:kern w:val="2"/>
          <w:sz w:val="28"/>
          <w:szCs w:val="28"/>
          <w:lang w:val="en-US" w:eastAsia="zh-CN" w:bidi="ar-SA"/>
        </w:rPr>
        <w:t>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黑体" w:hAnsi="黑体" w:eastAsia="黑体" w:cs="黑体"/>
          <w:b w:val="0"/>
          <w:bCs w:val="0"/>
          <w:color w:val="auto"/>
          <w:kern w:val="2"/>
          <w:sz w:val="22"/>
          <w:szCs w:val="22"/>
          <w:lang w:val="en-US" w:eastAsia="zh-CN" w:bidi="ar-SA"/>
        </w:rPr>
      </w:pPr>
      <w:r>
        <w:rPr>
          <w:rFonts w:hint="eastAsia" w:ascii="黑体" w:hAnsi="黑体" w:eastAsia="黑体" w:cs="黑体"/>
          <w:b w:val="0"/>
          <w:bCs w:val="0"/>
          <w:color w:val="auto"/>
          <w:kern w:val="2"/>
          <w:sz w:val="22"/>
          <w:szCs w:val="22"/>
          <w:lang w:val="en-US" w:eastAsia="zh-CN" w:bidi="ar-SA"/>
        </w:rPr>
        <w:t>项目概况</w:t>
      </w:r>
    </w:p>
    <w:p>
      <w:pPr>
        <w:pStyle w:val="3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华文楷体" w:hAnsi="华文楷体" w:eastAsia="华文楷体" w:cs="华文楷体"/>
          <w:sz w:val="22"/>
          <w:szCs w:val="22"/>
        </w:rPr>
      </w:pPr>
      <w:r>
        <w:rPr>
          <w:rFonts w:hint="eastAsia" w:ascii="仿宋" w:hAnsi="仿宋" w:eastAsia="仿宋" w:cs="仿宋"/>
          <w:i w:val="0"/>
          <w:iCs w:val="0"/>
          <w:caps w:val="0"/>
          <w:color w:val="333333"/>
          <w:spacing w:val="0"/>
          <w:sz w:val="22"/>
          <w:szCs w:val="22"/>
          <w:shd w:val="clear" w:fill="FFFFFF"/>
          <w:vertAlign w:val="baseline"/>
        </w:rPr>
        <w:t>安全教室项目的潜在</w:t>
      </w:r>
      <w:r>
        <w:rPr>
          <w:rFonts w:hint="eastAsia" w:ascii="仿宋" w:hAnsi="仿宋" w:eastAsia="仿宋" w:cs="仿宋"/>
          <w:i w:val="0"/>
          <w:iCs w:val="0"/>
          <w:caps w:val="0"/>
          <w:color w:val="333333"/>
          <w:spacing w:val="0"/>
          <w:sz w:val="22"/>
          <w:szCs w:val="22"/>
          <w:shd w:val="clear" w:fill="FFFFFF"/>
          <w:vertAlign w:val="baseline"/>
          <w:lang w:val="en-US" w:eastAsia="zh-CN"/>
        </w:rPr>
        <w:t>投标人</w:t>
      </w:r>
      <w:r>
        <w:rPr>
          <w:rFonts w:hint="eastAsia" w:ascii="仿宋" w:hAnsi="仿宋" w:eastAsia="仿宋" w:cs="仿宋"/>
          <w:i w:val="0"/>
          <w:iCs w:val="0"/>
          <w:caps w:val="0"/>
          <w:color w:val="333333"/>
          <w:spacing w:val="0"/>
          <w:sz w:val="22"/>
          <w:szCs w:val="22"/>
          <w:shd w:val="clear" w:fill="FFFFFF"/>
          <w:vertAlign w:val="baseline"/>
        </w:rPr>
        <w:t>应在西安市雁塔区科技二路71号竹园·天寰国际1107室获取</w:t>
      </w:r>
      <w:r>
        <w:rPr>
          <w:rFonts w:hint="eastAsia" w:ascii="仿宋" w:hAnsi="仿宋" w:eastAsia="仿宋" w:cs="仿宋"/>
          <w:i w:val="0"/>
          <w:iCs w:val="0"/>
          <w:caps w:val="0"/>
          <w:color w:val="333333"/>
          <w:spacing w:val="0"/>
          <w:sz w:val="22"/>
          <w:szCs w:val="22"/>
          <w:shd w:val="clear" w:fill="FFFFFF"/>
          <w:vertAlign w:val="baseline"/>
          <w:lang w:val="en-US" w:eastAsia="zh-CN"/>
        </w:rPr>
        <w:t>招标</w:t>
      </w:r>
      <w:r>
        <w:rPr>
          <w:rFonts w:hint="eastAsia" w:ascii="仿宋" w:hAnsi="仿宋" w:eastAsia="仿宋" w:cs="仿宋"/>
          <w:i w:val="0"/>
          <w:iCs w:val="0"/>
          <w:caps w:val="0"/>
          <w:color w:val="333333"/>
          <w:spacing w:val="0"/>
          <w:sz w:val="22"/>
          <w:szCs w:val="22"/>
          <w:shd w:val="clear" w:fill="FFFFFF"/>
          <w:vertAlign w:val="baseline"/>
        </w:rPr>
        <w:t>文件，并</w:t>
      </w:r>
      <w:r>
        <w:rPr>
          <w:rFonts w:hint="eastAsia" w:ascii="仿宋" w:hAnsi="仿宋" w:eastAsia="仿宋" w:cs="仿宋"/>
          <w:i w:val="0"/>
          <w:iCs w:val="0"/>
          <w:caps w:val="0"/>
          <w:color w:val="auto"/>
          <w:spacing w:val="0"/>
          <w:sz w:val="22"/>
          <w:szCs w:val="22"/>
          <w:shd w:val="clear" w:fill="FFFFFF"/>
          <w:vertAlign w:val="baseline"/>
        </w:rPr>
        <w:t>于2022年</w:t>
      </w:r>
      <w:r>
        <w:rPr>
          <w:rFonts w:hint="eastAsia" w:ascii="仿宋" w:hAnsi="仿宋" w:eastAsia="仿宋" w:cs="仿宋"/>
          <w:i w:val="0"/>
          <w:iCs w:val="0"/>
          <w:caps w:val="0"/>
          <w:color w:val="auto"/>
          <w:spacing w:val="0"/>
          <w:sz w:val="22"/>
          <w:szCs w:val="22"/>
          <w:shd w:val="clear" w:fill="FFFFFF"/>
          <w:vertAlign w:val="baseline"/>
          <w:lang w:val="en-US" w:eastAsia="zh-CN"/>
        </w:rPr>
        <w:t>07</w:t>
      </w:r>
      <w:r>
        <w:rPr>
          <w:rFonts w:hint="eastAsia" w:ascii="仿宋" w:hAnsi="仿宋" w:eastAsia="仿宋" w:cs="仿宋"/>
          <w:i w:val="0"/>
          <w:iCs w:val="0"/>
          <w:caps w:val="0"/>
          <w:color w:val="auto"/>
          <w:spacing w:val="0"/>
          <w:sz w:val="22"/>
          <w:szCs w:val="22"/>
          <w:shd w:val="clear" w:fill="FFFFFF"/>
          <w:vertAlign w:val="baseline"/>
        </w:rPr>
        <w:t>月</w:t>
      </w:r>
      <w:r>
        <w:rPr>
          <w:rFonts w:hint="eastAsia" w:ascii="仿宋" w:hAnsi="仿宋" w:eastAsia="仿宋" w:cs="仿宋"/>
          <w:i w:val="0"/>
          <w:iCs w:val="0"/>
          <w:caps w:val="0"/>
          <w:color w:val="auto"/>
          <w:spacing w:val="0"/>
          <w:sz w:val="22"/>
          <w:szCs w:val="22"/>
          <w:shd w:val="clear" w:fill="FFFFFF"/>
          <w:vertAlign w:val="baseline"/>
          <w:lang w:val="en-US" w:eastAsia="zh-CN"/>
        </w:rPr>
        <w:t>11</w:t>
      </w:r>
      <w:r>
        <w:rPr>
          <w:rFonts w:hint="eastAsia" w:ascii="仿宋" w:hAnsi="仿宋" w:eastAsia="仿宋" w:cs="仿宋"/>
          <w:i w:val="0"/>
          <w:iCs w:val="0"/>
          <w:caps w:val="0"/>
          <w:color w:val="auto"/>
          <w:spacing w:val="0"/>
          <w:sz w:val="22"/>
          <w:szCs w:val="22"/>
          <w:shd w:val="clear" w:fill="FFFFFF"/>
          <w:vertAlign w:val="baseline"/>
        </w:rPr>
        <w:t>日 14时30分（</w:t>
      </w:r>
      <w:r>
        <w:rPr>
          <w:rFonts w:hint="eastAsia" w:ascii="仿宋" w:hAnsi="仿宋" w:eastAsia="仿宋" w:cs="仿宋"/>
          <w:i w:val="0"/>
          <w:iCs w:val="0"/>
          <w:caps w:val="0"/>
          <w:color w:val="333333"/>
          <w:spacing w:val="0"/>
          <w:sz w:val="22"/>
          <w:szCs w:val="22"/>
          <w:shd w:val="clear" w:fill="FFFFFF"/>
          <w:vertAlign w:val="baseline"/>
        </w:rPr>
        <w:t>北京时间）前提交</w:t>
      </w:r>
      <w:r>
        <w:rPr>
          <w:rFonts w:hint="eastAsia" w:ascii="仿宋" w:hAnsi="仿宋" w:eastAsia="仿宋" w:cs="仿宋"/>
          <w:i w:val="0"/>
          <w:iCs w:val="0"/>
          <w:caps w:val="0"/>
          <w:color w:val="333333"/>
          <w:spacing w:val="0"/>
          <w:sz w:val="22"/>
          <w:szCs w:val="22"/>
          <w:shd w:val="clear" w:fill="FFFFFF"/>
          <w:vertAlign w:val="baseline"/>
          <w:lang w:val="en-US" w:eastAsia="zh-CN"/>
        </w:rPr>
        <w:t>投标</w:t>
      </w:r>
      <w:r>
        <w:rPr>
          <w:rFonts w:hint="eastAsia" w:ascii="仿宋" w:hAnsi="仿宋" w:eastAsia="仿宋" w:cs="仿宋"/>
          <w:i w:val="0"/>
          <w:iCs w:val="0"/>
          <w:caps w:val="0"/>
          <w:color w:val="333333"/>
          <w:spacing w:val="0"/>
          <w:sz w:val="22"/>
          <w:szCs w:val="22"/>
          <w:shd w:val="clear" w:fill="FFFFFF"/>
          <w:vertAlign w:val="baseline"/>
        </w:rPr>
        <w:t>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黑体" w:hAnsi="黑体" w:eastAsia="黑体" w:cs="黑体"/>
          <w:b w:val="0"/>
          <w:bCs w:val="0"/>
          <w:color w:val="auto"/>
          <w:kern w:val="2"/>
          <w:sz w:val="22"/>
          <w:szCs w:val="22"/>
          <w:lang w:val="en-US" w:eastAsia="zh-CN" w:bidi="ar-SA"/>
        </w:rPr>
      </w:pPr>
      <w:r>
        <w:rPr>
          <w:rFonts w:hint="eastAsia" w:ascii="黑体" w:hAnsi="黑体" w:eastAsia="黑体" w:cs="黑体"/>
          <w:b w:val="0"/>
          <w:bCs w:val="0"/>
          <w:color w:val="auto"/>
          <w:kern w:val="2"/>
          <w:sz w:val="22"/>
          <w:szCs w:val="22"/>
          <w:lang w:val="en-US" w:eastAsia="zh-CN" w:bidi="ar-SA"/>
        </w:rPr>
        <w:t>一、项目基本情况</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color w:val="0000FF"/>
          <w:sz w:val="22"/>
          <w:szCs w:val="22"/>
          <w:lang w:eastAsia="zh-CN"/>
        </w:rPr>
      </w:pPr>
      <w:r>
        <w:rPr>
          <w:rFonts w:hint="eastAsia" w:ascii="仿宋" w:hAnsi="仿宋" w:eastAsia="仿宋" w:cs="仿宋"/>
          <w:i w:val="0"/>
          <w:iCs w:val="0"/>
          <w:caps w:val="0"/>
          <w:color w:val="333333"/>
          <w:spacing w:val="0"/>
          <w:sz w:val="22"/>
          <w:szCs w:val="22"/>
          <w:shd w:val="clear" w:fill="FFFFFF"/>
          <w:vertAlign w:val="baseline"/>
        </w:rPr>
        <w:t>项目编号：</w:t>
      </w:r>
      <w:r>
        <w:rPr>
          <w:rFonts w:hint="eastAsia" w:ascii="仿宋" w:hAnsi="仿宋" w:eastAsia="仿宋" w:cs="仿宋"/>
          <w:i w:val="0"/>
          <w:iCs w:val="0"/>
          <w:caps w:val="0"/>
          <w:color w:val="auto"/>
          <w:spacing w:val="0"/>
          <w:sz w:val="22"/>
          <w:szCs w:val="22"/>
          <w:shd w:val="clear" w:fill="FFFFFF"/>
          <w:vertAlign w:val="baseline"/>
          <w:lang w:eastAsia="zh-CN"/>
        </w:rPr>
        <w:t>TZZB-Z-2022</w:t>
      </w:r>
      <w:r>
        <w:rPr>
          <w:rFonts w:hint="eastAsia" w:ascii="仿宋" w:hAnsi="仿宋" w:eastAsia="仿宋" w:cs="仿宋"/>
          <w:i w:val="0"/>
          <w:iCs w:val="0"/>
          <w:caps w:val="0"/>
          <w:color w:val="auto"/>
          <w:spacing w:val="0"/>
          <w:sz w:val="22"/>
          <w:szCs w:val="22"/>
          <w:shd w:val="clear" w:fill="FFFFFF"/>
          <w:vertAlign w:val="baseline"/>
          <w:lang w:val="en-US" w:eastAsia="zh-CN"/>
        </w:rPr>
        <w:t>158</w:t>
      </w:r>
      <w:r>
        <w:rPr>
          <w:rFonts w:hint="eastAsia" w:ascii="仿宋" w:hAnsi="仿宋" w:eastAsia="仿宋" w:cs="仿宋"/>
          <w:i w:val="0"/>
          <w:iCs w:val="0"/>
          <w:caps w:val="0"/>
          <w:color w:val="auto"/>
          <w:spacing w:val="0"/>
          <w:sz w:val="22"/>
          <w:szCs w:val="22"/>
          <w:shd w:val="clear" w:fill="FFFFFF"/>
          <w:vertAlign w:val="baseline"/>
          <w:lang w:eastAsia="zh-CN"/>
        </w:rPr>
        <w:t>C</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项目名称：安全教室项目</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i w:val="0"/>
          <w:iCs w:val="0"/>
          <w:caps w:val="0"/>
          <w:color w:val="333333"/>
          <w:spacing w:val="0"/>
          <w:sz w:val="22"/>
          <w:szCs w:val="22"/>
          <w:shd w:val="clear" w:fill="FFFFFF"/>
          <w:vertAlign w:val="baseline"/>
          <w:lang w:val="en-US" w:eastAsia="zh-CN"/>
        </w:rPr>
      </w:pPr>
      <w:r>
        <w:rPr>
          <w:rFonts w:hint="eastAsia" w:ascii="仿宋" w:hAnsi="仿宋" w:eastAsia="仿宋" w:cs="仿宋"/>
          <w:i w:val="0"/>
          <w:iCs w:val="0"/>
          <w:caps w:val="0"/>
          <w:color w:val="333333"/>
          <w:spacing w:val="0"/>
          <w:sz w:val="22"/>
          <w:szCs w:val="22"/>
          <w:shd w:val="clear" w:fill="FFFFFF"/>
          <w:vertAlign w:val="baseline"/>
        </w:rPr>
        <w:t>采购方式：</w:t>
      </w:r>
      <w:r>
        <w:rPr>
          <w:rFonts w:hint="eastAsia" w:ascii="仿宋" w:hAnsi="仿宋" w:eastAsia="仿宋" w:cs="仿宋"/>
          <w:i w:val="0"/>
          <w:iCs w:val="0"/>
          <w:caps w:val="0"/>
          <w:color w:val="333333"/>
          <w:spacing w:val="0"/>
          <w:sz w:val="22"/>
          <w:szCs w:val="22"/>
          <w:shd w:val="clear" w:fill="FFFFFF"/>
          <w:vertAlign w:val="baseline"/>
          <w:lang w:val="en-US" w:eastAsia="zh-CN"/>
        </w:rPr>
        <w:t>公开招标</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预算金额：</w:t>
      </w:r>
      <w:r>
        <w:rPr>
          <w:rFonts w:hint="eastAsia" w:ascii="仿宋" w:hAnsi="仿宋" w:eastAsia="仿宋" w:cs="仿宋"/>
          <w:i w:val="0"/>
          <w:iCs w:val="0"/>
          <w:caps w:val="0"/>
          <w:color w:val="333333"/>
          <w:spacing w:val="0"/>
          <w:sz w:val="22"/>
          <w:szCs w:val="22"/>
          <w:shd w:val="clear" w:fill="FFFFFF"/>
          <w:vertAlign w:val="baseline"/>
          <w:lang w:val="en-US" w:eastAsia="zh-CN"/>
        </w:rPr>
        <w:t>970，000</w:t>
      </w:r>
      <w:r>
        <w:rPr>
          <w:rFonts w:hint="eastAsia" w:ascii="仿宋" w:hAnsi="仿宋" w:eastAsia="仿宋" w:cs="仿宋"/>
          <w:i w:val="0"/>
          <w:iCs w:val="0"/>
          <w:caps w:val="0"/>
          <w:color w:val="333333"/>
          <w:spacing w:val="0"/>
          <w:sz w:val="22"/>
          <w:szCs w:val="22"/>
          <w:shd w:val="clear" w:fill="FFFFFF"/>
          <w:vertAlign w:val="baseline"/>
        </w:rPr>
        <w:t>.</w:t>
      </w:r>
      <w:r>
        <w:rPr>
          <w:rFonts w:hint="eastAsia" w:ascii="仿宋" w:hAnsi="仿宋" w:eastAsia="仿宋" w:cs="仿宋"/>
          <w:i w:val="0"/>
          <w:iCs w:val="0"/>
          <w:caps w:val="0"/>
          <w:color w:val="333333"/>
          <w:spacing w:val="0"/>
          <w:sz w:val="22"/>
          <w:szCs w:val="22"/>
          <w:shd w:val="clear" w:fill="FFFFFF"/>
          <w:vertAlign w:val="baseline"/>
          <w:lang w:val="en-US" w:eastAsia="zh-CN"/>
        </w:rPr>
        <w:t>00</w:t>
      </w:r>
      <w:r>
        <w:rPr>
          <w:rFonts w:hint="eastAsia" w:ascii="仿宋" w:hAnsi="仿宋" w:eastAsia="仿宋" w:cs="仿宋"/>
          <w:i w:val="0"/>
          <w:iCs w:val="0"/>
          <w:caps w:val="0"/>
          <w:color w:val="333333"/>
          <w:spacing w:val="0"/>
          <w:sz w:val="22"/>
          <w:szCs w:val="22"/>
          <w:shd w:val="clear" w:fill="FFFFFF"/>
          <w:vertAlign w:val="baseline"/>
        </w:rPr>
        <w:t>元</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采购需求：</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合同包1(陕西省长安师范学校附属小学安全教室项目):</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20"/>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rPr>
        <w:t>合同包预算金额：</w:t>
      </w:r>
      <w:r>
        <w:rPr>
          <w:rFonts w:hint="eastAsia" w:ascii="仿宋" w:hAnsi="仿宋" w:eastAsia="仿宋" w:cs="仿宋"/>
          <w:i w:val="0"/>
          <w:iCs w:val="0"/>
          <w:caps w:val="0"/>
          <w:color w:val="333333"/>
          <w:spacing w:val="0"/>
          <w:sz w:val="22"/>
          <w:szCs w:val="22"/>
          <w:shd w:val="clear" w:fill="FFFFFF"/>
          <w:vertAlign w:val="baseline"/>
          <w:lang w:val="en-US" w:eastAsia="zh-CN"/>
        </w:rPr>
        <w:t>970，</w:t>
      </w:r>
      <w:r>
        <w:rPr>
          <w:rFonts w:hint="eastAsia" w:ascii="仿宋" w:hAnsi="仿宋" w:eastAsia="仿宋" w:cs="仿宋"/>
          <w:i w:val="0"/>
          <w:iCs w:val="0"/>
          <w:caps w:val="0"/>
          <w:color w:val="333333"/>
          <w:spacing w:val="0"/>
          <w:sz w:val="22"/>
          <w:szCs w:val="22"/>
          <w:shd w:val="clear" w:fill="FFFFFF"/>
          <w:vertAlign w:val="baseline"/>
        </w:rPr>
        <w:t>000.00元</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20"/>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rPr>
        <w:t>合同包最高限价：</w:t>
      </w:r>
      <w:r>
        <w:rPr>
          <w:rFonts w:hint="eastAsia" w:ascii="仿宋" w:hAnsi="仿宋" w:eastAsia="仿宋" w:cs="仿宋"/>
          <w:i w:val="0"/>
          <w:iCs w:val="0"/>
          <w:caps w:val="0"/>
          <w:color w:val="333333"/>
          <w:spacing w:val="0"/>
          <w:sz w:val="22"/>
          <w:szCs w:val="22"/>
          <w:shd w:val="clear" w:fill="FFFFFF"/>
          <w:vertAlign w:val="baseline"/>
          <w:lang w:val="en-US" w:eastAsia="zh-CN"/>
        </w:rPr>
        <w:t>97</w:t>
      </w:r>
      <w:r>
        <w:rPr>
          <w:rFonts w:hint="eastAsia" w:ascii="仿宋" w:hAnsi="仿宋" w:eastAsia="仿宋" w:cs="仿宋"/>
          <w:i w:val="0"/>
          <w:iCs w:val="0"/>
          <w:caps w:val="0"/>
          <w:color w:val="333333"/>
          <w:spacing w:val="0"/>
          <w:sz w:val="22"/>
          <w:szCs w:val="22"/>
          <w:shd w:val="clear" w:fill="FFFFFF"/>
          <w:vertAlign w:val="baseline"/>
        </w:rPr>
        <w:t>0</w:t>
      </w:r>
      <w:r>
        <w:rPr>
          <w:rFonts w:hint="eastAsia" w:ascii="仿宋" w:hAnsi="仿宋" w:eastAsia="仿宋" w:cs="仿宋"/>
          <w:i w:val="0"/>
          <w:iCs w:val="0"/>
          <w:caps w:val="0"/>
          <w:color w:val="333333"/>
          <w:spacing w:val="0"/>
          <w:sz w:val="22"/>
          <w:szCs w:val="22"/>
          <w:shd w:val="clear" w:fill="FFFFFF"/>
          <w:vertAlign w:val="baseline"/>
          <w:lang w:eastAsia="zh-CN"/>
        </w:rPr>
        <w:t>，</w:t>
      </w:r>
      <w:r>
        <w:rPr>
          <w:rFonts w:hint="eastAsia" w:ascii="仿宋" w:hAnsi="仿宋" w:eastAsia="仿宋" w:cs="仿宋"/>
          <w:i w:val="0"/>
          <w:iCs w:val="0"/>
          <w:caps w:val="0"/>
          <w:color w:val="333333"/>
          <w:spacing w:val="0"/>
          <w:sz w:val="22"/>
          <w:szCs w:val="22"/>
          <w:shd w:val="clear" w:fill="FFFFFF"/>
          <w:vertAlign w:val="baseline"/>
        </w:rPr>
        <w:t>00</w:t>
      </w:r>
      <w:r>
        <w:rPr>
          <w:rFonts w:hint="eastAsia" w:ascii="仿宋" w:hAnsi="仿宋" w:eastAsia="仿宋" w:cs="仿宋"/>
          <w:i w:val="0"/>
          <w:iCs w:val="0"/>
          <w:caps w:val="0"/>
          <w:color w:val="333333"/>
          <w:spacing w:val="0"/>
          <w:sz w:val="22"/>
          <w:szCs w:val="22"/>
          <w:shd w:val="clear" w:fill="FFFFFF"/>
          <w:vertAlign w:val="baseline"/>
          <w:lang w:val="en-US" w:eastAsia="zh-CN"/>
        </w:rPr>
        <w:t>0</w:t>
      </w:r>
      <w:r>
        <w:rPr>
          <w:rFonts w:hint="eastAsia" w:ascii="仿宋" w:hAnsi="仿宋" w:eastAsia="仿宋" w:cs="仿宋"/>
          <w:i w:val="0"/>
          <w:iCs w:val="0"/>
          <w:caps w:val="0"/>
          <w:color w:val="333333"/>
          <w:spacing w:val="0"/>
          <w:sz w:val="22"/>
          <w:szCs w:val="22"/>
          <w:shd w:val="clear" w:fill="FFFFFF"/>
          <w:vertAlign w:val="baseline"/>
        </w:rPr>
        <w:t>.00元</w:t>
      </w:r>
    </w:p>
    <w:tbl>
      <w:tblPr>
        <w:tblStyle w:val="40"/>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1"/>
        <w:gridCol w:w="1573"/>
        <w:gridCol w:w="1420"/>
        <w:gridCol w:w="1281"/>
        <w:gridCol w:w="1425"/>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blHeader/>
        </w:trPr>
        <w:tc>
          <w:tcPr>
            <w:tcW w:w="103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品目号</w:t>
            </w:r>
          </w:p>
        </w:tc>
        <w:tc>
          <w:tcPr>
            <w:tcW w:w="165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品目名称</w:t>
            </w:r>
          </w:p>
        </w:tc>
        <w:tc>
          <w:tcPr>
            <w:tcW w:w="149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采购标的</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数量（单位）</w:t>
            </w:r>
          </w:p>
        </w:tc>
        <w:tc>
          <w:tcPr>
            <w:tcW w:w="144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技术规格、参数及要求</w:t>
            </w:r>
          </w:p>
        </w:tc>
        <w:tc>
          <w:tcPr>
            <w:tcW w:w="121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品目预算(元)</w:t>
            </w:r>
          </w:p>
        </w:tc>
        <w:tc>
          <w:tcPr>
            <w:tcW w:w="121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b/>
                <w:bCs/>
                <w:sz w:val="22"/>
                <w:szCs w:val="22"/>
              </w:rPr>
            </w:pPr>
            <w:r>
              <w:rPr>
                <w:rFonts w:hint="eastAsia" w:ascii="仿宋" w:hAnsi="仿宋" w:eastAsia="仿宋" w:cs="仿宋"/>
                <w:b/>
                <w:bCs/>
                <w:kern w:val="0"/>
                <w:sz w:val="22"/>
                <w:szCs w:val="22"/>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3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sz w:val="22"/>
                <w:szCs w:val="22"/>
              </w:rPr>
            </w:pPr>
            <w:r>
              <w:rPr>
                <w:rFonts w:hint="eastAsia" w:ascii="仿宋" w:hAnsi="仿宋" w:eastAsia="仿宋" w:cs="仿宋"/>
                <w:kern w:val="0"/>
                <w:sz w:val="22"/>
                <w:szCs w:val="22"/>
                <w:lang w:val="en-US" w:eastAsia="zh-CN" w:bidi="ar"/>
              </w:rPr>
              <w:t>1-1</w:t>
            </w:r>
          </w:p>
        </w:tc>
        <w:tc>
          <w:tcPr>
            <w:tcW w:w="165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kern w:val="0"/>
                <w:sz w:val="22"/>
                <w:szCs w:val="22"/>
                <w:vertAlign w:val="baseline"/>
                <w:lang w:val="en-US" w:eastAsia="zh-CN" w:bidi="ar"/>
              </w:rPr>
            </w:pPr>
            <w:r>
              <w:rPr>
                <w:rFonts w:hint="eastAsia" w:ascii="仿宋" w:hAnsi="仿宋" w:eastAsia="仿宋" w:cs="仿宋"/>
                <w:kern w:val="0"/>
                <w:sz w:val="22"/>
                <w:szCs w:val="22"/>
                <w:vertAlign w:val="baseline"/>
                <w:lang w:val="en-US" w:eastAsia="zh-CN" w:bidi="ar"/>
              </w:rPr>
              <w:t>计算机终端安</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kern w:val="0"/>
                <w:sz w:val="22"/>
                <w:szCs w:val="22"/>
                <w:vertAlign w:val="baseline"/>
                <w:lang w:val="en-US" w:eastAsia="zh-CN" w:bidi="ar"/>
              </w:rPr>
            </w:pPr>
            <w:r>
              <w:rPr>
                <w:rFonts w:hint="eastAsia" w:ascii="仿宋" w:hAnsi="仿宋" w:eastAsia="仿宋" w:cs="仿宋"/>
                <w:kern w:val="0"/>
                <w:sz w:val="22"/>
                <w:szCs w:val="22"/>
                <w:vertAlign w:val="baseline"/>
                <w:lang w:val="en-US" w:eastAsia="zh-CN" w:bidi="ar"/>
              </w:rPr>
              <w:t>全设备</w:t>
            </w:r>
          </w:p>
        </w:tc>
        <w:tc>
          <w:tcPr>
            <w:tcW w:w="149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kern w:val="0"/>
                <w:sz w:val="22"/>
                <w:szCs w:val="22"/>
                <w:vertAlign w:val="baseline"/>
                <w:lang w:val="en-US" w:eastAsia="zh-CN" w:bidi="ar"/>
              </w:rPr>
            </w:pPr>
            <w:r>
              <w:rPr>
                <w:rFonts w:hint="eastAsia" w:ascii="仿宋" w:hAnsi="仿宋" w:eastAsia="仿宋" w:cs="仿宋"/>
                <w:kern w:val="0"/>
                <w:sz w:val="22"/>
                <w:szCs w:val="22"/>
                <w:vertAlign w:val="baseline"/>
                <w:lang w:val="en-US" w:eastAsia="zh-CN" w:bidi="ar"/>
              </w:rPr>
              <w:t>安全教室</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kern w:val="0"/>
                <w:sz w:val="22"/>
                <w:szCs w:val="22"/>
                <w:vertAlign w:val="baseline"/>
                <w:lang w:val="en-US" w:eastAsia="zh-CN" w:bidi="ar"/>
              </w:rPr>
            </w:pPr>
            <w:r>
              <w:rPr>
                <w:rFonts w:hint="eastAsia" w:ascii="仿宋" w:hAnsi="仿宋" w:eastAsia="仿宋" w:cs="仿宋"/>
                <w:kern w:val="0"/>
                <w:sz w:val="22"/>
                <w:szCs w:val="22"/>
                <w:vertAlign w:val="baseline"/>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center"/>
              <w:textAlignment w:val="center"/>
              <w:rPr>
                <w:rFonts w:hint="eastAsia" w:ascii="仿宋" w:hAnsi="仿宋" w:eastAsia="仿宋" w:cs="仿宋"/>
                <w:kern w:val="0"/>
                <w:sz w:val="22"/>
                <w:szCs w:val="22"/>
                <w:vertAlign w:val="baseline"/>
                <w:lang w:val="en-US" w:eastAsia="zh-CN" w:bidi="ar"/>
              </w:rPr>
            </w:pPr>
            <w:r>
              <w:rPr>
                <w:rFonts w:hint="eastAsia" w:ascii="仿宋" w:hAnsi="仿宋" w:eastAsia="仿宋" w:cs="仿宋"/>
                <w:kern w:val="0"/>
                <w:sz w:val="22"/>
                <w:szCs w:val="22"/>
                <w:vertAlign w:val="baseline"/>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center"/>
              <w:rPr>
                <w:rFonts w:hint="eastAsia" w:ascii="仿宋" w:hAnsi="仿宋" w:eastAsia="仿宋" w:cs="仿宋"/>
                <w:sz w:val="22"/>
                <w:szCs w:val="22"/>
              </w:rPr>
            </w:pPr>
            <w:bookmarkStart w:id="42" w:name="OLE_LINK5"/>
            <w:r>
              <w:rPr>
                <w:rFonts w:hint="eastAsia" w:ascii="仿宋" w:hAnsi="仿宋" w:eastAsia="仿宋" w:cs="仿宋"/>
                <w:kern w:val="0"/>
                <w:sz w:val="22"/>
                <w:szCs w:val="22"/>
                <w:vertAlign w:val="baseline"/>
                <w:lang w:val="en-US" w:eastAsia="zh-CN" w:bidi="ar"/>
              </w:rPr>
              <w:t>970，000.00</w:t>
            </w:r>
            <w:bookmarkEnd w:id="42"/>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center"/>
              <w:rPr>
                <w:rFonts w:hint="eastAsia" w:ascii="仿宋" w:hAnsi="仿宋" w:eastAsia="仿宋" w:cs="仿宋"/>
                <w:sz w:val="22"/>
                <w:szCs w:val="22"/>
              </w:rPr>
            </w:pPr>
            <w:r>
              <w:rPr>
                <w:rFonts w:hint="eastAsia" w:ascii="仿宋" w:hAnsi="仿宋" w:eastAsia="仿宋" w:cs="仿宋"/>
                <w:kern w:val="0"/>
                <w:sz w:val="22"/>
                <w:szCs w:val="22"/>
                <w:vertAlign w:val="baseline"/>
                <w:lang w:val="en-US" w:eastAsia="zh-CN" w:bidi="ar"/>
              </w:rPr>
              <w:t>970，000.00</w:t>
            </w:r>
          </w:p>
        </w:tc>
      </w:tr>
    </w:tbl>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本合同包不接受联合体投标</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20"/>
        <w:jc w:val="both"/>
        <w:textAlignment w:val="baseline"/>
        <w:rPr>
          <w:rFonts w:hint="eastAsia" w:ascii="仿宋" w:hAnsi="仿宋" w:eastAsia="仿宋" w:cs="仿宋"/>
          <w:color w:val="0000FF"/>
          <w:sz w:val="22"/>
          <w:szCs w:val="22"/>
          <w:lang w:val="en-US"/>
        </w:rPr>
      </w:pPr>
      <w:r>
        <w:rPr>
          <w:rFonts w:hint="eastAsia" w:ascii="仿宋" w:hAnsi="仿宋" w:eastAsia="仿宋" w:cs="仿宋"/>
          <w:i w:val="0"/>
          <w:iCs w:val="0"/>
          <w:caps w:val="0"/>
          <w:color w:val="333333"/>
          <w:spacing w:val="0"/>
          <w:sz w:val="22"/>
          <w:szCs w:val="22"/>
          <w:shd w:val="clear" w:fill="FFFFFF"/>
          <w:vertAlign w:val="baseline"/>
        </w:rPr>
        <w:t>合同履行期限：</w:t>
      </w:r>
      <w:bookmarkStart w:id="43" w:name="OLE_LINK9"/>
      <w:r>
        <w:rPr>
          <w:rFonts w:hint="eastAsia" w:ascii="仿宋" w:hAnsi="仿宋" w:eastAsia="仿宋" w:cs="仿宋"/>
          <w:i w:val="0"/>
          <w:iCs w:val="0"/>
          <w:caps w:val="0"/>
          <w:color w:val="auto"/>
          <w:spacing w:val="0"/>
          <w:sz w:val="22"/>
          <w:szCs w:val="22"/>
          <w:shd w:val="clear" w:fill="FFFFFF"/>
          <w:vertAlign w:val="baseline"/>
        </w:rPr>
        <w:t>合同签订后</w:t>
      </w:r>
      <w:r>
        <w:rPr>
          <w:rFonts w:hint="eastAsia" w:ascii="仿宋" w:hAnsi="仿宋" w:eastAsia="仿宋" w:cs="仿宋"/>
          <w:i w:val="0"/>
          <w:iCs w:val="0"/>
          <w:caps w:val="0"/>
          <w:color w:val="auto"/>
          <w:spacing w:val="0"/>
          <w:sz w:val="22"/>
          <w:szCs w:val="22"/>
          <w:shd w:val="clear" w:fill="FFFFFF"/>
          <w:vertAlign w:val="baseline"/>
          <w:lang w:val="en-US" w:eastAsia="zh-CN"/>
        </w:rPr>
        <w:t>3</w:t>
      </w:r>
      <w:r>
        <w:rPr>
          <w:rFonts w:hint="eastAsia" w:ascii="仿宋" w:hAnsi="仿宋" w:eastAsia="仿宋" w:cs="仿宋"/>
          <w:i w:val="0"/>
          <w:iCs w:val="0"/>
          <w:caps w:val="0"/>
          <w:color w:val="auto"/>
          <w:spacing w:val="0"/>
          <w:sz w:val="22"/>
          <w:szCs w:val="22"/>
          <w:shd w:val="clear" w:fill="FFFFFF"/>
          <w:vertAlign w:val="baseline"/>
        </w:rPr>
        <w:t>0天（交货、安装调试可投入正常使用）</w:t>
      </w:r>
    </w:p>
    <w:bookmarkEnd w:id="43"/>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二、申请人的资格要求</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1.满足《中华人民共和国政府采购法》第二十二条规定;</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lang w:val="en-US" w:eastAsia="zh-CN"/>
        </w:rPr>
      </w:pPr>
      <w:r>
        <w:rPr>
          <w:rFonts w:hint="eastAsia" w:ascii="仿宋" w:hAnsi="仿宋" w:eastAsia="仿宋" w:cs="仿宋"/>
          <w:i w:val="0"/>
          <w:iCs w:val="0"/>
          <w:caps w:val="0"/>
          <w:color w:val="333333"/>
          <w:spacing w:val="0"/>
          <w:sz w:val="22"/>
          <w:szCs w:val="22"/>
          <w:shd w:val="clear" w:fill="FFFFFF"/>
          <w:vertAlign w:val="baseline"/>
        </w:rPr>
        <w:t>2.落实政府采购政策需满足的资格要求：</w:t>
      </w:r>
      <w:r>
        <w:rPr>
          <w:rFonts w:hint="eastAsia" w:ascii="仿宋" w:hAnsi="仿宋" w:eastAsia="仿宋" w:cs="仿宋"/>
          <w:i w:val="0"/>
          <w:iCs w:val="0"/>
          <w:caps w:val="0"/>
          <w:color w:val="333333"/>
          <w:spacing w:val="0"/>
          <w:sz w:val="22"/>
          <w:szCs w:val="22"/>
          <w:shd w:val="clear" w:fill="FFFFFF"/>
          <w:vertAlign w:val="baseline"/>
          <w:lang w:val="en-US" w:eastAsia="zh-CN"/>
        </w:rPr>
        <w:t>无</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3.本项目的特定资格要求：</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合同包1(陕西省长安师范学校附属小学安全教室项目)特定资格要求如下:</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320" w:right="0" w:firstLine="0"/>
        <w:jc w:val="both"/>
        <w:textAlignment w:val="baseline"/>
        <w:rPr>
          <w:rFonts w:hint="eastAsia" w:ascii="仿宋" w:hAnsi="仿宋" w:eastAsia="仿宋" w:cs="仿宋"/>
          <w:i w:val="0"/>
          <w:iCs w:val="0"/>
          <w:caps w:val="0"/>
          <w:color w:val="333333"/>
          <w:spacing w:val="0"/>
          <w:sz w:val="22"/>
          <w:szCs w:val="22"/>
          <w:shd w:val="clear" w:fill="FFFFFF"/>
          <w:vertAlign w:val="baseline"/>
          <w:lang w:eastAsia="zh-CN"/>
        </w:rPr>
      </w:pPr>
      <w:r>
        <w:rPr>
          <w:rFonts w:hint="eastAsia" w:ascii="仿宋" w:hAnsi="仿宋" w:eastAsia="仿宋" w:cs="仿宋"/>
          <w:i w:val="0"/>
          <w:iCs w:val="0"/>
          <w:caps w:val="0"/>
          <w:color w:val="333333"/>
          <w:spacing w:val="0"/>
          <w:sz w:val="22"/>
          <w:szCs w:val="22"/>
          <w:shd w:val="clear" w:fill="FFFFFF"/>
          <w:vertAlign w:val="baseline"/>
        </w:rPr>
        <w:t>（1）法定代表人直接参加</w:t>
      </w:r>
      <w:r>
        <w:rPr>
          <w:rFonts w:hint="eastAsia" w:ascii="仿宋" w:hAnsi="仿宋" w:eastAsia="仿宋" w:cs="仿宋"/>
          <w:i w:val="0"/>
          <w:iCs w:val="0"/>
          <w:caps w:val="0"/>
          <w:color w:val="333333"/>
          <w:spacing w:val="0"/>
          <w:sz w:val="22"/>
          <w:szCs w:val="22"/>
          <w:shd w:val="clear" w:fill="FFFFFF"/>
          <w:vertAlign w:val="baseline"/>
          <w:lang w:val="en-US" w:eastAsia="zh-CN"/>
        </w:rPr>
        <w:t>投标</w:t>
      </w:r>
      <w:r>
        <w:rPr>
          <w:rFonts w:hint="eastAsia" w:ascii="仿宋" w:hAnsi="仿宋" w:eastAsia="仿宋" w:cs="仿宋"/>
          <w:i w:val="0"/>
          <w:iCs w:val="0"/>
          <w:caps w:val="0"/>
          <w:color w:val="333333"/>
          <w:spacing w:val="0"/>
          <w:sz w:val="22"/>
          <w:szCs w:val="22"/>
          <w:shd w:val="clear" w:fill="FFFFFF"/>
          <w:vertAlign w:val="baseline"/>
        </w:rPr>
        <w:t>的，须出具法人身份证；法定代表人授权代表参加</w:t>
      </w:r>
      <w:r>
        <w:rPr>
          <w:rFonts w:hint="eastAsia" w:ascii="仿宋" w:hAnsi="仿宋" w:eastAsia="仿宋" w:cs="仿宋"/>
          <w:i w:val="0"/>
          <w:iCs w:val="0"/>
          <w:caps w:val="0"/>
          <w:color w:val="333333"/>
          <w:spacing w:val="0"/>
          <w:sz w:val="22"/>
          <w:szCs w:val="22"/>
          <w:shd w:val="clear" w:fill="FFFFFF"/>
          <w:vertAlign w:val="baseline"/>
          <w:lang w:val="en-US" w:eastAsia="zh-CN"/>
        </w:rPr>
        <w:t>投标</w:t>
      </w:r>
      <w:r>
        <w:rPr>
          <w:rFonts w:hint="eastAsia" w:ascii="仿宋" w:hAnsi="仿宋" w:eastAsia="仿宋" w:cs="仿宋"/>
          <w:i w:val="0"/>
          <w:iCs w:val="0"/>
          <w:caps w:val="0"/>
          <w:color w:val="333333"/>
          <w:spacing w:val="0"/>
          <w:sz w:val="22"/>
          <w:szCs w:val="22"/>
          <w:shd w:val="clear" w:fill="FFFFFF"/>
          <w:vertAlign w:val="baseline"/>
        </w:rPr>
        <w:t>的，须出具法定代表人授权书及授权代表身份证；</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320" w:right="0" w:firstLine="0"/>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rPr>
        <w:t>（2）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三、获取招标文件</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color w:val="auto"/>
          <w:sz w:val="22"/>
          <w:szCs w:val="22"/>
        </w:rPr>
      </w:pPr>
      <w:r>
        <w:rPr>
          <w:rFonts w:hint="eastAsia" w:ascii="仿宋" w:hAnsi="仿宋" w:eastAsia="仿宋" w:cs="仿宋"/>
          <w:i w:val="0"/>
          <w:iCs w:val="0"/>
          <w:caps w:val="0"/>
          <w:color w:val="333333"/>
          <w:spacing w:val="0"/>
          <w:sz w:val="22"/>
          <w:szCs w:val="22"/>
          <w:shd w:val="clear" w:fill="FFFFFF"/>
          <w:vertAlign w:val="baseline"/>
        </w:rPr>
        <w:t>时间：</w:t>
      </w:r>
      <w:r>
        <w:rPr>
          <w:rFonts w:hint="eastAsia" w:ascii="仿宋" w:hAnsi="仿宋" w:eastAsia="仿宋" w:cs="仿宋"/>
          <w:i w:val="0"/>
          <w:iCs w:val="0"/>
          <w:caps w:val="0"/>
          <w:color w:val="auto"/>
          <w:spacing w:val="0"/>
          <w:sz w:val="22"/>
          <w:szCs w:val="22"/>
          <w:shd w:val="clear" w:fill="FFFFFF"/>
          <w:vertAlign w:val="baseline"/>
        </w:rPr>
        <w:t>2022年0</w:t>
      </w:r>
      <w:r>
        <w:rPr>
          <w:rFonts w:hint="eastAsia" w:ascii="仿宋" w:hAnsi="仿宋" w:eastAsia="仿宋" w:cs="仿宋"/>
          <w:i w:val="0"/>
          <w:iCs w:val="0"/>
          <w:caps w:val="0"/>
          <w:color w:val="auto"/>
          <w:spacing w:val="0"/>
          <w:sz w:val="22"/>
          <w:szCs w:val="22"/>
          <w:shd w:val="clear" w:fill="FFFFFF"/>
          <w:vertAlign w:val="baseline"/>
          <w:lang w:val="en-US" w:eastAsia="zh-CN"/>
        </w:rPr>
        <w:t>6</w:t>
      </w:r>
      <w:r>
        <w:rPr>
          <w:rFonts w:hint="eastAsia" w:ascii="仿宋" w:hAnsi="仿宋" w:eastAsia="仿宋" w:cs="仿宋"/>
          <w:i w:val="0"/>
          <w:iCs w:val="0"/>
          <w:caps w:val="0"/>
          <w:color w:val="auto"/>
          <w:spacing w:val="0"/>
          <w:sz w:val="22"/>
          <w:szCs w:val="22"/>
          <w:shd w:val="clear" w:fill="FFFFFF"/>
          <w:vertAlign w:val="baseline"/>
        </w:rPr>
        <w:t>月</w:t>
      </w:r>
      <w:r>
        <w:rPr>
          <w:rFonts w:hint="eastAsia" w:ascii="仿宋" w:hAnsi="仿宋" w:eastAsia="仿宋" w:cs="仿宋"/>
          <w:i w:val="0"/>
          <w:iCs w:val="0"/>
          <w:caps w:val="0"/>
          <w:color w:val="auto"/>
          <w:spacing w:val="0"/>
          <w:sz w:val="22"/>
          <w:szCs w:val="22"/>
          <w:shd w:val="clear" w:fill="FFFFFF"/>
          <w:vertAlign w:val="baseline"/>
          <w:lang w:val="en-US" w:eastAsia="zh-CN"/>
        </w:rPr>
        <w:t>20</w:t>
      </w:r>
      <w:r>
        <w:rPr>
          <w:rFonts w:hint="eastAsia" w:ascii="仿宋" w:hAnsi="仿宋" w:eastAsia="仿宋" w:cs="仿宋"/>
          <w:i w:val="0"/>
          <w:iCs w:val="0"/>
          <w:caps w:val="0"/>
          <w:color w:val="auto"/>
          <w:spacing w:val="0"/>
          <w:sz w:val="22"/>
          <w:szCs w:val="22"/>
          <w:shd w:val="clear" w:fill="FFFFFF"/>
          <w:vertAlign w:val="baseline"/>
        </w:rPr>
        <w:t>日至2022年0</w:t>
      </w:r>
      <w:r>
        <w:rPr>
          <w:rFonts w:hint="eastAsia" w:ascii="仿宋" w:hAnsi="仿宋" w:eastAsia="仿宋" w:cs="仿宋"/>
          <w:i w:val="0"/>
          <w:iCs w:val="0"/>
          <w:caps w:val="0"/>
          <w:color w:val="auto"/>
          <w:spacing w:val="0"/>
          <w:sz w:val="22"/>
          <w:szCs w:val="22"/>
          <w:shd w:val="clear" w:fill="FFFFFF"/>
          <w:vertAlign w:val="baseline"/>
          <w:lang w:val="en-US" w:eastAsia="zh-CN"/>
        </w:rPr>
        <w:t>6</w:t>
      </w:r>
      <w:r>
        <w:rPr>
          <w:rFonts w:hint="eastAsia" w:ascii="仿宋" w:hAnsi="仿宋" w:eastAsia="仿宋" w:cs="仿宋"/>
          <w:i w:val="0"/>
          <w:iCs w:val="0"/>
          <w:caps w:val="0"/>
          <w:color w:val="auto"/>
          <w:spacing w:val="0"/>
          <w:sz w:val="22"/>
          <w:szCs w:val="22"/>
          <w:shd w:val="clear" w:fill="FFFFFF"/>
          <w:vertAlign w:val="baseline"/>
        </w:rPr>
        <w:t>月</w:t>
      </w:r>
      <w:r>
        <w:rPr>
          <w:rFonts w:hint="eastAsia" w:ascii="仿宋" w:hAnsi="仿宋" w:eastAsia="仿宋" w:cs="仿宋"/>
          <w:i w:val="0"/>
          <w:iCs w:val="0"/>
          <w:caps w:val="0"/>
          <w:color w:val="auto"/>
          <w:spacing w:val="0"/>
          <w:sz w:val="22"/>
          <w:szCs w:val="22"/>
          <w:shd w:val="clear" w:fill="FFFFFF"/>
          <w:vertAlign w:val="baseline"/>
          <w:lang w:val="en-US" w:eastAsia="zh-CN"/>
        </w:rPr>
        <w:t>24</w:t>
      </w:r>
      <w:r>
        <w:rPr>
          <w:rFonts w:hint="eastAsia" w:ascii="仿宋" w:hAnsi="仿宋" w:eastAsia="仿宋" w:cs="仿宋"/>
          <w:i w:val="0"/>
          <w:iCs w:val="0"/>
          <w:caps w:val="0"/>
          <w:color w:val="auto"/>
          <w:spacing w:val="0"/>
          <w:sz w:val="22"/>
          <w:szCs w:val="22"/>
          <w:shd w:val="clear" w:fill="FFFFFF"/>
          <w:vertAlign w:val="baseline"/>
        </w:rPr>
        <w:t>日，每天上午08:00:00至12:00:00，下午14:00:00至18:00:00（北京时间,法定节假日除外）</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地点：西安市雁塔区科技二路71号竹园·天寰国际1107室</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方式：现场获取</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四、提交投标文件截止时间、开标时间和地点</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i w:val="0"/>
          <w:iCs w:val="0"/>
          <w:caps w:val="0"/>
          <w:color w:val="333333"/>
          <w:spacing w:val="0"/>
          <w:sz w:val="22"/>
          <w:szCs w:val="22"/>
          <w:shd w:val="clear" w:fill="FFFFFF"/>
          <w:vertAlign w:val="baseline"/>
          <w:lang w:val="en-US" w:eastAsia="zh-CN"/>
        </w:rPr>
      </w:pPr>
      <w:r>
        <w:rPr>
          <w:rFonts w:hint="eastAsia" w:ascii="仿宋" w:hAnsi="仿宋" w:eastAsia="仿宋" w:cs="仿宋"/>
          <w:i w:val="0"/>
          <w:iCs w:val="0"/>
          <w:caps w:val="0"/>
          <w:color w:val="333333"/>
          <w:spacing w:val="0"/>
          <w:sz w:val="22"/>
          <w:szCs w:val="22"/>
          <w:shd w:val="clear" w:fill="FFFFFF"/>
          <w:vertAlign w:val="baseline"/>
          <w:lang w:val="en-US" w:eastAsia="zh-CN"/>
        </w:rPr>
        <w:t>2022年07月11日 14时30分00秒 （北京时间）</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i w:val="0"/>
          <w:iCs w:val="0"/>
          <w:caps w:val="0"/>
          <w:color w:val="333333"/>
          <w:spacing w:val="0"/>
          <w:sz w:val="22"/>
          <w:szCs w:val="22"/>
          <w:shd w:val="clear" w:fill="FFFFFF"/>
          <w:vertAlign w:val="baseline"/>
          <w:lang w:val="en-US" w:eastAsia="zh-CN"/>
        </w:rPr>
      </w:pPr>
      <w:r>
        <w:rPr>
          <w:rFonts w:hint="eastAsia" w:ascii="仿宋" w:hAnsi="仿宋" w:eastAsia="仿宋" w:cs="仿宋"/>
          <w:i w:val="0"/>
          <w:iCs w:val="0"/>
          <w:caps w:val="0"/>
          <w:color w:val="333333"/>
          <w:spacing w:val="0"/>
          <w:sz w:val="22"/>
          <w:szCs w:val="22"/>
          <w:shd w:val="clear" w:fill="FFFFFF"/>
          <w:vertAlign w:val="baseline"/>
          <w:lang w:val="en-US" w:eastAsia="zh-CN"/>
        </w:rPr>
        <w:t>地点：西安市雁塔区科技二路71号竹园·天寰国际1107室会议室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五、公告期限</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自本公告发布之日起</w:t>
      </w:r>
      <w:r>
        <w:rPr>
          <w:rFonts w:hint="eastAsia" w:ascii="仿宋" w:hAnsi="仿宋" w:eastAsia="仿宋" w:cs="仿宋"/>
          <w:i w:val="0"/>
          <w:iCs w:val="0"/>
          <w:caps w:val="0"/>
          <w:color w:val="333333"/>
          <w:spacing w:val="0"/>
          <w:sz w:val="22"/>
          <w:szCs w:val="22"/>
          <w:shd w:val="clear" w:fill="FFFFFF"/>
          <w:vertAlign w:val="baseline"/>
          <w:lang w:val="en-US" w:eastAsia="zh-CN"/>
        </w:rPr>
        <w:t>5</w:t>
      </w:r>
      <w:r>
        <w:rPr>
          <w:rFonts w:hint="eastAsia" w:ascii="仿宋" w:hAnsi="仿宋" w:eastAsia="仿宋" w:cs="仿宋"/>
          <w:i w:val="0"/>
          <w:iCs w:val="0"/>
          <w:caps w:val="0"/>
          <w:color w:val="333333"/>
          <w:spacing w:val="0"/>
          <w:sz w:val="22"/>
          <w:szCs w:val="22"/>
          <w:shd w:val="clear" w:fill="FFFFFF"/>
          <w:vertAlign w:val="baseline"/>
        </w:rPr>
        <w:t>个工作日。</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其他补充事宜</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right="0" w:firstLine="442" w:firstLineChars="200"/>
        <w:jc w:val="both"/>
        <w:textAlignment w:val="baseline"/>
        <w:rPr>
          <w:rFonts w:hint="default" w:ascii="仿宋" w:hAnsi="仿宋" w:eastAsia="仿宋" w:cs="仿宋"/>
          <w:b/>
          <w:bCs/>
          <w:i w:val="0"/>
          <w:iCs w:val="0"/>
          <w:caps w:val="0"/>
          <w:color w:val="333333"/>
          <w:spacing w:val="0"/>
          <w:kern w:val="0"/>
          <w:sz w:val="22"/>
          <w:szCs w:val="22"/>
          <w:shd w:val="clear" w:fill="FFFFFF"/>
          <w:vertAlign w:val="baseline"/>
          <w:lang w:val="en-US" w:eastAsia="zh-CN" w:bidi="ar"/>
        </w:rPr>
      </w:pPr>
      <w:bookmarkStart w:id="44" w:name="OLE_LINK10"/>
      <w:r>
        <w:rPr>
          <w:rFonts w:hint="eastAsia" w:ascii="仿宋" w:hAnsi="仿宋" w:eastAsia="仿宋" w:cs="仿宋"/>
          <w:b/>
          <w:bCs/>
          <w:i w:val="0"/>
          <w:iCs w:val="0"/>
          <w:caps w:val="0"/>
          <w:color w:val="333333"/>
          <w:spacing w:val="0"/>
          <w:kern w:val="0"/>
          <w:sz w:val="22"/>
          <w:szCs w:val="22"/>
          <w:shd w:val="clear" w:fill="FFFFFF"/>
          <w:vertAlign w:val="baseline"/>
          <w:lang w:val="en-US" w:eastAsia="zh-CN" w:bidi="ar"/>
        </w:rPr>
        <w:t>本项目开标地点：西安市雁塔区科技二路71号竹园·天寰国际1107室会议室</w:t>
      </w:r>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right="0" w:firstLine="440" w:firstLineChars="200"/>
        <w:jc w:val="both"/>
        <w:textAlignment w:val="baseline"/>
        <w:rPr>
          <w:rFonts w:hint="eastAsia" w:ascii="仿宋" w:hAnsi="仿宋" w:eastAsia="仿宋" w:cs="仿宋"/>
          <w:sz w:val="22"/>
          <w:szCs w:val="22"/>
        </w:rPr>
      </w:pPr>
      <w:bookmarkStart w:id="45" w:name="OLE_LINK4"/>
      <w:bookmarkStart w:id="46" w:name="OLE_LINK7"/>
      <w:r>
        <w:rPr>
          <w:rFonts w:hint="eastAsia" w:ascii="仿宋" w:hAnsi="仿宋" w:eastAsia="仿宋" w:cs="仿宋"/>
          <w:i w:val="0"/>
          <w:iCs w:val="0"/>
          <w:caps w:val="0"/>
          <w:color w:val="333333"/>
          <w:spacing w:val="0"/>
          <w:kern w:val="0"/>
          <w:sz w:val="22"/>
          <w:szCs w:val="22"/>
          <w:shd w:val="clear" w:fill="FFFFFF"/>
          <w:vertAlign w:val="baseline"/>
          <w:lang w:val="en-US" w:eastAsia="zh-CN" w:bidi="ar"/>
        </w:rPr>
        <w:t>本次采购落实政府采购政策：（1）《政府采购促进中小企业发展管理办法》（财库〔2020〕46号）；（2）《财政部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招标文件。</w:t>
      </w:r>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leftChars="0" w:right="0" w:firstLine="440" w:firstLineChars="20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shd w:val="clear" w:fill="FFFFFF"/>
          <w:vertAlign w:val="baseline"/>
          <w:lang w:val="en-US" w:eastAsia="zh-CN" w:bidi="ar"/>
        </w:rPr>
        <w:t>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leftChars="0" w:right="0" w:firstLine="440" w:firstLineChars="20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shd w:val="clear" w:fill="FFFFFF"/>
          <w:vertAlign w:val="baseline"/>
          <w:lang w:val="en-US" w:eastAsia="zh-CN" w:bidi="ar"/>
        </w:rPr>
        <w:t>请供应商按照陕西省财政厅关于政府采购供应商注册登记有关事项的通知中的要求，通过陕西省政府采购网（http://www.ccgp-shaanxi.gov.cn/）注册登记加入陕西省政府采购供应商库。</w:t>
      </w:r>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leftChars="0" w:right="0" w:firstLine="440" w:firstLineChars="200"/>
        <w:jc w:val="both"/>
        <w:textAlignment w:val="baseline"/>
        <w:rPr>
          <w:rFonts w:hint="eastAsia" w:ascii="仿宋" w:hAnsi="仿宋" w:eastAsia="仿宋" w:cs="仿宋"/>
          <w:sz w:val="22"/>
          <w:szCs w:val="22"/>
        </w:rPr>
      </w:pPr>
      <w:bookmarkStart w:id="47" w:name="OLE_LINK1"/>
      <w:r>
        <w:rPr>
          <w:rFonts w:hint="eastAsia" w:ascii="仿宋" w:hAnsi="仿宋" w:eastAsia="仿宋" w:cs="仿宋"/>
          <w:i w:val="0"/>
          <w:iCs w:val="0"/>
          <w:caps w:val="0"/>
          <w:color w:val="333333"/>
          <w:spacing w:val="0"/>
          <w:kern w:val="0"/>
          <w:sz w:val="22"/>
          <w:szCs w:val="22"/>
          <w:shd w:val="clear" w:fill="FFFFFF"/>
          <w:vertAlign w:val="baseline"/>
          <w:lang w:val="en-US" w:eastAsia="zh-CN" w:bidi="ar"/>
        </w:rPr>
        <w:t>领取招标文件时需出示经办人身份证原件，并提交企业介绍信原件及加盖公章的经办人身份证复印件一份；招标文件须至代理机构现场领取，谢绝邮寄。</w:t>
      </w:r>
      <w:bookmarkEnd w:id="47"/>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leftChars="0" w:right="0" w:firstLine="440" w:firstLineChars="200"/>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rPr>
        <w:t>根据《西安市财政局关于促进政府采购公平竞争优化营商环境的通知》要求：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bookmarkEnd w:id="45"/>
    </w:p>
    <w:p>
      <w:pPr>
        <w:pStyle w:val="3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leftChars="0" w:right="0" w:firstLine="440" w:firstLineChars="200"/>
        <w:jc w:val="both"/>
        <w:textAlignment w:val="baseline"/>
        <w:rPr>
          <w:rFonts w:hint="eastAsia" w:ascii="仿宋" w:hAnsi="仿宋" w:eastAsia="仿宋" w:cs="仿宋"/>
          <w:i w:val="0"/>
          <w:iCs w:val="0"/>
          <w:caps w:val="0"/>
          <w:color w:val="333333"/>
          <w:spacing w:val="0"/>
          <w:sz w:val="22"/>
          <w:szCs w:val="22"/>
          <w:shd w:val="clear" w:fill="FFFFFF"/>
          <w:vertAlign w:val="baseline"/>
          <w:lang w:val="en-US" w:eastAsia="zh-CN"/>
        </w:rPr>
      </w:pPr>
      <w:r>
        <w:rPr>
          <w:rFonts w:hint="eastAsia" w:ascii="仿宋" w:hAnsi="仿宋" w:eastAsia="仿宋" w:cs="仿宋"/>
          <w:i w:val="0"/>
          <w:iCs w:val="0"/>
          <w:caps w:val="0"/>
          <w:color w:val="333333"/>
          <w:spacing w:val="0"/>
          <w:sz w:val="22"/>
          <w:szCs w:val="22"/>
          <w:shd w:val="clear" w:fill="FFFFFF"/>
          <w:vertAlign w:val="baseline"/>
          <w:lang w:val="en-US" w:eastAsia="zh-CN"/>
        </w:rPr>
        <w:t>本项目非专门面向中小企业采购</w:t>
      </w:r>
    </w:p>
    <w:bookmarkEnd w:id="44"/>
    <w:bookmarkEnd w:id="46"/>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Autospacing="0" w:afterAutospacing="0" w:line="360" w:lineRule="auto"/>
        <w:ind w:left="0" w:right="0"/>
        <w:jc w:val="left"/>
        <w:textAlignment w:val="baseline"/>
        <w:rPr>
          <w:rFonts w:hint="eastAsia" w:ascii="黑体" w:hAnsi="黑体" w:eastAsia="黑体" w:cs="黑体"/>
          <w:b w:val="0"/>
          <w:bCs w:val="0"/>
          <w:color w:val="auto"/>
          <w:kern w:val="2"/>
          <w:sz w:val="22"/>
          <w:szCs w:val="22"/>
          <w:u w:val="none"/>
          <w:lang w:val="en-US" w:eastAsia="zh-CN" w:bidi="ar-SA"/>
        </w:rPr>
      </w:pPr>
      <w:r>
        <w:rPr>
          <w:rFonts w:hint="eastAsia" w:ascii="黑体" w:hAnsi="黑体" w:eastAsia="黑体" w:cs="黑体"/>
          <w:b w:val="0"/>
          <w:bCs w:val="0"/>
          <w:color w:val="auto"/>
          <w:kern w:val="2"/>
          <w:sz w:val="22"/>
          <w:szCs w:val="22"/>
          <w:u w:val="none"/>
          <w:lang w:val="en-US" w:eastAsia="zh-CN" w:bidi="ar-SA"/>
        </w:rPr>
        <w:t>七、凡对本次采购提出询问，请按以下方式联系。</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333333"/>
          <w:spacing w:val="0"/>
          <w:sz w:val="22"/>
          <w:szCs w:val="22"/>
          <w:shd w:val="clear" w:fill="FFFFFF"/>
          <w:vertAlign w:val="baseline"/>
        </w:rPr>
      </w:pPr>
      <w:r>
        <w:rPr>
          <w:rFonts w:hint="eastAsia" w:ascii="仿宋" w:hAnsi="仿宋" w:eastAsia="仿宋" w:cs="仿宋"/>
          <w:b w:val="0"/>
          <w:bCs w:val="0"/>
          <w:i w:val="0"/>
          <w:iCs w:val="0"/>
          <w:caps w:val="0"/>
          <w:color w:val="333333"/>
          <w:spacing w:val="0"/>
          <w:sz w:val="22"/>
          <w:szCs w:val="22"/>
          <w:shd w:val="clear" w:fill="FFFFFF"/>
          <w:vertAlign w:val="baseline"/>
        </w:rPr>
        <w:t>1.采购人信息：陕西省长安师范学校附属小学</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333333"/>
          <w:spacing w:val="0"/>
          <w:sz w:val="22"/>
          <w:szCs w:val="22"/>
          <w:shd w:val="clear" w:fill="FFFFFF"/>
          <w:vertAlign w:val="baseline"/>
          <w:lang w:val="en-US" w:eastAsia="zh-CN"/>
        </w:rPr>
      </w:pPr>
      <w:r>
        <w:rPr>
          <w:rFonts w:hint="eastAsia" w:ascii="仿宋" w:hAnsi="仿宋" w:eastAsia="仿宋" w:cs="仿宋"/>
          <w:b w:val="0"/>
          <w:bCs w:val="0"/>
          <w:i w:val="0"/>
          <w:iCs w:val="0"/>
          <w:caps w:val="0"/>
          <w:color w:val="333333"/>
          <w:spacing w:val="0"/>
          <w:sz w:val="22"/>
          <w:szCs w:val="22"/>
          <w:shd w:val="clear" w:fill="FFFFFF"/>
          <w:vertAlign w:val="baseline"/>
        </w:rPr>
        <w:t>地址：西安市长安区韦曲街办局连村甲字3号</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333333"/>
          <w:spacing w:val="0"/>
          <w:sz w:val="22"/>
          <w:szCs w:val="22"/>
          <w:shd w:val="clear" w:fill="FFFFFF"/>
          <w:vertAlign w:val="baseline"/>
        </w:rPr>
      </w:pPr>
      <w:r>
        <w:rPr>
          <w:rFonts w:hint="eastAsia" w:ascii="仿宋" w:hAnsi="仿宋" w:eastAsia="仿宋" w:cs="仿宋"/>
          <w:b w:val="0"/>
          <w:bCs w:val="0"/>
          <w:i w:val="0"/>
          <w:iCs w:val="0"/>
          <w:caps w:val="0"/>
          <w:color w:val="333333"/>
          <w:spacing w:val="0"/>
          <w:sz w:val="22"/>
          <w:szCs w:val="22"/>
          <w:shd w:val="clear" w:fill="FFFFFF"/>
          <w:vertAlign w:val="baseline"/>
        </w:rPr>
        <w:t>电话：</w:t>
      </w:r>
      <w:r>
        <w:rPr>
          <w:rFonts w:hint="eastAsia" w:ascii="仿宋" w:hAnsi="仿宋" w:eastAsia="仿宋" w:cs="仿宋"/>
          <w:b w:val="0"/>
          <w:bCs w:val="0"/>
          <w:i w:val="0"/>
          <w:iCs w:val="0"/>
          <w:caps w:val="0"/>
          <w:color w:val="333333"/>
          <w:spacing w:val="0"/>
          <w:sz w:val="22"/>
          <w:szCs w:val="22"/>
          <w:highlight w:val="none"/>
          <w:shd w:val="clear" w:fill="FFFFFF"/>
          <w:vertAlign w:val="baseline"/>
        </w:rPr>
        <w:t>029-85999689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220" w:firstLineChars="100"/>
        <w:jc w:val="left"/>
        <w:textAlignment w:val="baseline"/>
        <w:rPr>
          <w:rFonts w:hint="eastAsia" w:ascii="仿宋" w:hAnsi="仿宋" w:eastAsia="仿宋" w:cs="仿宋"/>
          <w:b w:val="0"/>
          <w:bCs w:val="0"/>
          <w:sz w:val="22"/>
          <w:szCs w:val="22"/>
        </w:rPr>
      </w:pPr>
      <w:r>
        <w:rPr>
          <w:rFonts w:hint="eastAsia" w:ascii="仿宋" w:hAnsi="仿宋" w:eastAsia="仿宋" w:cs="仿宋"/>
          <w:b w:val="0"/>
          <w:bCs w:val="0"/>
          <w:i w:val="0"/>
          <w:iCs w:val="0"/>
          <w:caps w:val="0"/>
          <w:color w:val="333333"/>
          <w:spacing w:val="0"/>
          <w:sz w:val="22"/>
          <w:szCs w:val="22"/>
          <w:shd w:val="clear" w:fill="FFFFFF"/>
          <w:vertAlign w:val="baseline"/>
        </w:rPr>
        <w:t>2.采购代理机构信息</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名称：同正项目管理有限公司</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地址：</w:t>
      </w:r>
      <w:bookmarkStart w:id="48" w:name="OLE_LINK8"/>
      <w:r>
        <w:rPr>
          <w:rFonts w:hint="eastAsia" w:ascii="仿宋" w:hAnsi="仿宋" w:eastAsia="仿宋" w:cs="仿宋"/>
          <w:i w:val="0"/>
          <w:iCs w:val="0"/>
          <w:caps w:val="0"/>
          <w:color w:val="333333"/>
          <w:spacing w:val="0"/>
          <w:sz w:val="22"/>
          <w:szCs w:val="22"/>
          <w:shd w:val="clear" w:fill="FFFFFF"/>
          <w:vertAlign w:val="baseline"/>
        </w:rPr>
        <w:t>西安市雁塔区科技二路71号竹园·天寰国际1107室</w:t>
      </w:r>
      <w:bookmarkEnd w:id="48"/>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联系方式：029-65652860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220" w:firstLineChars="100"/>
        <w:jc w:val="left"/>
        <w:textAlignment w:val="baseline"/>
        <w:rPr>
          <w:rFonts w:hint="eastAsia" w:ascii="仿宋" w:hAnsi="仿宋" w:eastAsia="仿宋" w:cs="仿宋"/>
          <w:b w:val="0"/>
          <w:bCs w:val="0"/>
          <w:sz w:val="22"/>
          <w:szCs w:val="22"/>
        </w:rPr>
      </w:pPr>
      <w:r>
        <w:rPr>
          <w:rFonts w:hint="eastAsia" w:ascii="仿宋" w:hAnsi="仿宋" w:eastAsia="仿宋" w:cs="仿宋"/>
          <w:b w:val="0"/>
          <w:bCs w:val="0"/>
          <w:i w:val="0"/>
          <w:iCs w:val="0"/>
          <w:caps w:val="0"/>
          <w:color w:val="333333"/>
          <w:spacing w:val="0"/>
          <w:sz w:val="22"/>
          <w:szCs w:val="22"/>
          <w:shd w:val="clear" w:fill="FFFFFF"/>
          <w:vertAlign w:val="baseline"/>
        </w:rPr>
        <w:t>3.项目联系方式</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项目联系人：</w:t>
      </w:r>
      <w:r>
        <w:rPr>
          <w:rFonts w:hint="eastAsia" w:ascii="仿宋" w:hAnsi="仿宋" w:eastAsia="仿宋" w:cs="仿宋"/>
          <w:i w:val="0"/>
          <w:iCs w:val="0"/>
          <w:caps w:val="0"/>
          <w:color w:val="333333"/>
          <w:spacing w:val="0"/>
          <w:sz w:val="22"/>
          <w:szCs w:val="22"/>
          <w:shd w:val="clear" w:fill="FFFFFF"/>
          <w:vertAlign w:val="baseline"/>
          <w:lang w:val="en-US" w:eastAsia="zh-CN"/>
        </w:rPr>
        <w:t>付</w:t>
      </w:r>
      <w:r>
        <w:rPr>
          <w:rFonts w:hint="eastAsia" w:ascii="仿宋" w:hAnsi="仿宋" w:eastAsia="仿宋" w:cs="仿宋"/>
          <w:i w:val="0"/>
          <w:iCs w:val="0"/>
          <w:caps w:val="0"/>
          <w:color w:val="333333"/>
          <w:spacing w:val="0"/>
          <w:sz w:val="22"/>
          <w:szCs w:val="22"/>
          <w:shd w:val="clear" w:fill="FFFFFF"/>
          <w:vertAlign w:val="baseline"/>
        </w:rPr>
        <w:t>女士</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32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vertAlign w:val="baseline"/>
        </w:rPr>
        <w:t>电话：029-65652860</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052" w:firstLineChars="2751"/>
        <w:jc w:val="both"/>
        <w:textAlignment w:val="baseline"/>
        <w:rPr>
          <w:rFonts w:hint="eastAsia" w:ascii="华文楷体" w:hAnsi="华文楷体" w:eastAsia="华文楷体" w:cs="华文楷体"/>
          <w:i w:val="0"/>
          <w:iCs w:val="0"/>
          <w:caps w:val="0"/>
          <w:color w:val="333333"/>
          <w:spacing w:val="0"/>
          <w:sz w:val="22"/>
          <w:szCs w:val="22"/>
          <w:shd w:val="clear" w:fill="FFFFFF"/>
          <w:vertAlign w:val="baseline"/>
        </w:rPr>
      </w:pP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052" w:firstLineChars="2751"/>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rPr>
        <w:t>同正项目管理有限公司</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right="0"/>
        <w:jc w:val="both"/>
        <w:textAlignment w:val="baseline"/>
        <w:rPr>
          <w:rFonts w:hint="eastAsia" w:ascii="仿宋" w:hAnsi="仿宋" w:eastAsia="仿宋" w:cs="仿宋"/>
          <w:i w:val="0"/>
          <w:iCs w:val="0"/>
          <w:caps w:val="0"/>
          <w:color w:val="333333"/>
          <w:spacing w:val="0"/>
          <w:sz w:val="22"/>
          <w:szCs w:val="22"/>
          <w:shd w:val="clear" w:fill="FFFFFF"/>
          <w:vertAlign w:val="baseline"/>
        </w:rPr>
      </w:pPr>
      <w:r>
        <w:rPr>
          <w:rFonts w:hint="eastAsia" w:ascii="仿宋" w:hAnsi="仿宋" w:eastAsia="仿宋" w:cs="仿宋"/>
          <w:i w:val="0"/>
          <w:iCs w:val="0"/>
          <w:caps w:val="0"/>
          <w:color w:val="333333"/>
          <w:spacing w:val="0"/>
          <w:sz w:val="22"/>
          <w:szCs w:val="22"/>
          <w:shd w:val="clear" w:fill="FFFFFF"/>
          <w:vertAlign w:val="baseline"/>
          <w:lang w:val="en-US" w:eastAsia="zh-CN"/>
        </w:rPr>
        <w:t xml:space="preserve">                                                 </w:t>
      </w:r>
      <w:r>
        <w:rPr>
          <w:rFonts w:hint="eastAsia" w:ascii="仿宋" w:hAnsi="仿宋" w:eastAsia="仿宋" w:cs="仿宋"/>
          <w:i w:val="0"/>
          <w:iCs w:val="0"/>
          <w:caps w:val="0"/>
          <w:color w:val="0000FF"/>
          <w:spacing w:val="0"/>
          <w:sz w:val="22"/>
          <w:szCs w:val="22"/>
          <w:shd w:val="clear" w:fill="FFFFFF"/>
          <w:vertAlign w:val="baseline"/>
          <w:lang w:val="en-US" w:eastAsia="zh-CN"/>
        </w:rPr>
        <w:t xml:space="preserve">     </w:t>
      </w:r>
      <w:r>
        <w:rPr>
          <w:rFonts w:hint="eastAsia" w:ascii="仿宋" w:hAnsi="仿宋" w:eastAsia="仿宋" w:cs="仿宋"/>
          <w:i w:val="0"/>
          <w:iCs w:val="0"/>
          <w:caps w:val="0"/>
          <w:color w:val="auto"/>
          <w:spacing w:val="0"/>
          <w:sz w:val="22"/>
          <w:szCs w:val="22"/>
          <w:shd w:val="clear" w:fill="FFFFFF"/>
          <w:vertAlign w:val="baseline"/>
          <w:lang w:val="en-US" w:eastAsia="zh-CN"/>
        </w:rPr>
        <w:t xml:space="preserve">  </w:t>
      </w:r>
      <w:r>
        <w:rPr>
          <w:rFonts w:hint="eastAsia" w:ascii="仿宋" w:hAnsi="仿宋" w:eastAsia="仿宋" w:cs="仿宋"/>
          <w:i w:val="0"/>
          <w:iCs w:val="0"/>
          <w:caps w:val="0"/>
          <w:color w:val="auto"/>
          <w:spacing w:val="0"/>
          <w:sz w:val="22"/>
          <w:szCs w:val="22"/>
          <w:shd w:val="clear" w:fill="FFFFFF"/>
          <w:vertAlign w:val="baseline"/>
        </w:rPr>
        <w:t>2022年0</w:t>
      </w:r>
      <w:r>
        <w:rPr>
          <w:rFonts w:hint="eastAsia" w:ascii="仿宋" w:hAnsi="仿宋" w:eastAsia="仿宋" w:cs="仿宋"/>
          <w:i w:val="0"/>
          <w:iCs w:val="0"/>
          <w:caps w:val="0"/>
          <w:color w:val="auto"/>
          <w:spacing w:val="0"/>
          <w:sz w:val="22"/>
          <w:szCs w:val="22"/>
          <w:shd w:val="clear" w:fill="FFFFFF"/>
          <w:vertAlign w:val="baseline"/>
          <w:lang w:val="en-US" w:eastAsia="zh-CN"/>
        </w:rPr>
        <w:t>6</w:t>
      </w:r>
      <w:r>
        <w:rPr>
          <w:rFonts w:hint="eastAsia" w:ascii="仿宋" w:hAnsi="仿宋" w:eastAsia="仿宋" w:cs="仿宋"/>
          <w:i w:val="0"/>
          <w:iCs w:val="0"/>
          <w:caps w:val="0"/>
          <w:color w:val="auto"/>
          <w:spacing w:val="0"/>
          <w:sz w:val="22"/>
          <w:szCs w:val="22"/>
          <w:shd w:val="clear" w:fill="FFFFFF"/>
          <w:vertAlign w:val="baseline"/>
        </w:rPr>
        <w:t>月</w:t>
      </w:r>
      <w:r>
        <w:rPr>
          <w:rFonts w:hint="eastAsia" w:ascii="仿宋" w:hAnsi="仿宋" w:eastAsia="仿宋" w:cs="仿宋"/>
          <w:i w:val="0"/>
          <w:iCs w:val="0"/>
          <w:caps w:val="0"/>
          <w:color w:val="auto"/>
          <w:spacing w:val="0"/>
          <w:sz w:val="22"/>
          <w:szCs w:val="22"/>
          <w:shd w:val="clear" w:fill="FFFFFF"/>
          <w:vertAlign w:val="baseline"/>
          <w:lang w:val="en-US" w:eastAsia="zh-CN"/>
        </w:rPr>
        <w:t>17</w:t>
      </w:r>
      <w:r>
        <w:rPr>
          <w:rFonts w:hint="eastAsia" w:ascii="仿宋" w:hAnsi="仿宋" w:eastAsia="仿宋" w:cs="仿宋"/>
          <w:i w:val="0"/>
          <w:iCs w:val="0"/>
          <w:caps w:val="0"/>
          <w:color w:val="auto"/>
          <w:spacing w:val="0"/>
          <w:sz w:val="22"/>
          <w:szCs w:val="22"/>
          <w:shd w:val="clear" w:fill="FFFFFF"/>
          <w:vertAlign w:val="baseline"/>
        </w:rPr>
        <w:t>日</w:t>
      </w:r>
    </w:p>
    <w:p>
      <w:pPr>
        <w:pStyle w:val="3"/>
        <w:keepNext w:val="0"/>
        <w:keepLines w:val="0"/>
        <w:pageBreakBefore w:val="0"/>
        <w:kinsoku/>
        <w:overflowPunct/>
        <w:topLinePunct w:val="0"/>
        <w:autoSpaceDE/>
        <w:autoSpaceDN/>
        <w:bidi w:val="0"/>
        <w:adjustRightInd/>
        <w:snapToGrid/>
        <w:spacing w:line="360" w:lineRule="auto"/>
        <w:ind w:firstLine="2530" w:firstLineChars="700"/>
        <w:jc w:val="both"/>
        <w:outlineLvl w:val="9"/>
        <w:rPr>
          <w:rFonts w:hint="eastAsia" w:ascii="楷体" w:hAnsi="楷体" w:eastAsia="楷体" w:cs="楷体"/>
          <w:szCs w:val="36"/>
        </w:rPr>
      </w:pPr>
    </w:p>
    <w:p>
      <w:pPr>
        <w:pStyle w:val="3"/>
        <w:spacing w:line="336" w:lineRule="auto"/>
        <w:ind w:firstLine="2530" w:firstLineChars="700"/>
        <w:jc w:val="both"/>
        <w:outlineLvl w:val="9"/>
        <w:rPr>
          <w:rFonts w:hint="eastAsia" w:ascii="楷体" w:hAnsi="楷体" w:eastAsia="楷体" w:cs="楷体"/>
          <w:szCs w:val="36"/>
        </w:rPr>
      </w:pPr>
    </w:p>
    <w:p>
      <w:pPr>
        <w:pStyle w:val="3"/>
        <w:spacing w:line="336" w:lineRule="auto"/>
        <w:ind w:firstLine="2530" w:firstLineChars="700"/>
        <w:jc w:val="both"/>
        <w:outlineLvl w:val="9"/>
        <w:rPr>
          <w:rFonts w:hint="eastAsia" w:ascii="楷体" w:hAnsi="楷体" w:eastAsia="楷体" w:cs="楷体"/>
          <w:szCs w:val="36"/>
        </w:rPr>
      </w:pPr>
    </w:p>
    <w:p>
      <w:pPr>
        <w:pStyle w:val="3"/>
        <w:spacing w:line="336" w:lineRule="auto"/>
        <w:ind w:firstLine="2530" w:firstLineChars="700"/>
        <w:jc w:val="both"/>
        <w:outlineLvl w:val="9"/>
        <w:rPr>
          <w:rFonts w:hint="eastAsia" w:ascii="楷体" w:hAnsi="楷体" w:eastAsia="楷体" w:cs="楷体"/>
          <w:szCs w:val="36"/>
        </w:rPr>
      </w:pPr>
    </w:p>
    <w:p>
      <w:pPr>
        <w:pStyle w:val="3"/>
        <w:spacing w:line="336" w:lineRule="auto"/>
        <w:ind w:firstLine="2530" w:firstLineChars="700"/>
        <w:jc w:val="both"/>
        <w:outlineLvl w:val="9"/>
        <w:rPr>
          <w:rFonts w:hint="eastAsia" w:ascii="楷体" w:hAnsi="楷体" w:eastAsia="楷体" w:cs="楷体"/>
          <w:szCs w:val="36"/>
        </w:rPr>
      </w:pPr>
    </w:p>
    <w:p>
      <w:pPr>
        <w:rPr>
          <w:rFonts w:hint="eastAsia" w:ascii="楷体" w:hAnsi="楷体" w:eastAsia="楷体" w:cs="楷体"/>
          <w:szCs w:val="36"/>
        </w:rPr>
      </w:pPr>
    </w:p>
    <w:p>
      <w:pPr>
        <w:pStyle w:val="2"/>
        <w:rPr>
          <w:rFonts w:hint="eastAsia" w:ascii="楷体" w:hAnsi="楷体" w:eastAsia="楷体" w:cs="楷体"/>
          <w:szCs w:val="36"/>
        </w:rPr>
      </w:pPr>
    </w:p>
    <w:p>
      <w:pPr>
        <w:rPr>
          <w:rFonts w:hint="eastAsia" w:ascii="楷体" w:hAnsi="楷体" w:eastAsia="楷体" w:cs="楷体"/>
          <w:szCs w:val="36"/>
        </w:rPr>
      </w:pPr>
    </w:p>
    <w:p>
      <w:pPr>
        <w:pStyle w:val="2"/>
        <w:rPr>
          <w:rFonts w:hint="eastAsia" w:ascii="楷体" w:hAnsi="楷体" w:eastAsia="楷体" w:cs="楷体"/>
          <w:szCs w:val="36"/>
        </w:rPr>
      </w:pPr>
    </w:p>
    <w:p>
      <w:pPr>
        <w:pStyle w:val="3"/>
        <w:spacing w:line="336" w:lineRule="auto"/>
        <w:jc w:val="both"/>
        <w:outlineLvl w:val="9"/>
        <w:rPr>
          <w:rFonts w:hint="eastAsia" w:ascii="楷体" w:hAnsi="楷体" w:eastAsia="楷体" w:cs="楷体"/>
          <w:szCs w:val="36"/>
        </w:rPr>
      </w:pPr>
    </w:p>
    <w:p>
      <w:pPr>
        <w:pStyle w:val="3"/>
        <w:spacing w:line="336" w:lineRule="auto"/>
        <w:ind w:firstLine="2209" w:firstLineChars="500"/>
        <w:jc w:val="both"/>
        <w:rPr>
          <w:rFonts w:hint="eastAsia" w:ascii="黑体" w:hAnsi="黑体" w:eastAsia="黑体" w:cs="黑体"/>
          <w:sz w:val="44"/>
          <w:szCs w:val="44"/>
        </w:rPr>
      </w:pPr>
      <w:bookmarkStart w:id="49" w:name="_Toc18433"/>
      <w:r>
        <w:rPr>
          <w:rFonts w:hint="eastAsia" w:ascii="黑体" w:hAnsi="黑体" w:eastAsia="黑体" w:cs="黑体"/>
          <w:sz w:val="44"/>
          <w:szCs w:val="44"/>
        </w:rPr>
        <w:t>第二章  投标人须知</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9"/>
    </w:p>
    <w:p>
      <w:pPr>
        <w:pStyle w:val="22"/>
        <w:adjustRightInd w:val="0"/>
        <w:spacing w:line="360" w:lineRule="auto"/>
        <w:jc w:val="center"/>
        <w:rPr>
          <w:rFonts w:hint="eastAsia" w:ascii="黑体" w:hAnsi="黑体" w:eastAsia="黑体" w:cs="黑体"/>
          <w:b w:val="0"/>
          <w:bCs/>
        </w:rPr>
      </w:pPr>
      <w:r>
        <w:rPr>
          <w:rFonts w:hint="eastAsia" w:ascii="黑体" w:hAnsi="黑体" w:eastAsia="黑体" w:cs="黑体"/>
          <w:b w:val="0"/>
          <w:bCs/>
          <w:sz w:val="28"/>
          <w:szCs w:val="28"/>
        </w:rPr>
        <w:t>投标人须知前附表</w:t>
      </w:r>
    </w:p>
    <w:tbl>
      <w:tblPr>
        <w:tblStyle w:val="40"/>
        <w:tblpPr w:leftFromText="180" w:rightFromText="180" w:vertAnchor="text" w:horzAnchor="page" w:tblpX="1077" w:tblpY="377"/>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069"/>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5" w:type="dxa"/>
            <w:vAlign w:val="center"/>
          </w:tcPr>
          <w:p>
            <w:pPr>
              <w:snapToGrid w:val="0"/>
              <w:jc w:val="center"/>
              <w:rPr>
                <w:rFonts w:hint="eastAsia" w:ascii="仿宋" w:hAnsi="仿宋" w:eastAsia="仿宋" w:cs="仿宋"/>
                <w:b/>
                <w:bCs/>
                <w:sz w:val="22"/>
                <w:szCs w:val="21"/>
              </w:rPr>
            </w:pPr>
            <w:bookmarkStart w:id="50" w:name="_Toc175973397"/>
            <w:bookmarkStart w:id="51" w:name="_Toc531189836"/>
            <w:r>
              <w:rPr>
                <w:rFonts w:hint="eastAsia" w:ascii="仿宋" w:hAnsi="仿宋" w:eastAsia="仿宋" w:cs="仿宋"/>
                <w:b/>
                <w:bCs/>
                <w:sz w:val="22"/>
                <w:szCs w:val="21"/>
              </w:rPr>
              <w:t>序号</w:t>
            </w:r>
          </w:p>
        </w:tc>
        <w:tc>
          <w:tcPr>
            <w:tcW w:w="2069" w:type="dxa"/>
            <w:vAlign w:val="center"/>
          </w:tcPr>
          <w:p>
            <w:pPr>
              <w:snapToGrid w:val="0"/>
              <w:jc w:val="center"/>
              <w:rPr>
                <w:rFonts w:hint="eastAsia" w:ascii="仿宋" w:hAnsi="仿宋" w:eastAsia="仿宋" w:cs="仿宋"/>
                <w:b/>
                <w:bCs/>
                <w:sz w:val="22"/>
                <w:szCs w:val="21"/>
              </w:rPr>
            </w:pPr>
            <w:r>
              <w:rPr>
                <w:rFonts w:hint="eastAsia" w:ascii="仿宋" w:hAnsi="仿宋" w:eastAsia="仿宋" w:cs="仿宋"/>
                <w:b/>
                <w:bCs/>
                <w:sz w:val="22"/>
                <w:szCs w:val="21"/>
              </w:rPr>
              <w:t>名称</w:t>
            </w:r>
          </w:p>
        </w:tc>
        <w:tc>
          <w:tcPr>
            <w:tcW w:w="7021" w:type="dxa"/>
            <w:vAlign w:val="center"/>
          </w:tcPr>
          <w:p>
            <w:pPr>
              <w:snapToGrid w:val="0"/>
              <w:jc w:val="center"/>
              <w:rPr>
                <w:rFonts w:hint="eastAsia" w:ascii="仿宋" w:hAnsi="仿宋" w:eastAsia="仿宋" w:cs="仿宋"/>
                <w:b/>
                <w:bCs/>
                <w:sz w:val="22"/>
                <w:szCs w:val="21"/>
              </w:rPr>
            </w:pPr>
            <w:r>
              <w:rPr>
                <w:rFonts w:hint="eastAsia" w:ascii="仿宋" w:hAnsi="仿宋" w:eastAsia="仿宋" w:cs="仿宋"/>
                <w:b/>
                <w:bCs/>
                <w:sz w:val="22"/>
                <w:szCs w:val="21"/>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5" w:type="dxa"/>
            <w:vMerge w:val="restart"/>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项目名称</w:t>
            </w:r>
          </w:p>
        </w:tc>
        <w:tc>
          <w:tcPr>
            <w:tcW w:w="7021" w:type="dxa"/>
            <w:vAlign w:val="center"/>
          </w:tcPr>
          <w:p>
            <w:pPr>
              <w:snapToGrid w:val="0"/>
              <w:jc w:val="left"/>
              <w:rPr>
                <w:rFonts w:hint="eastAsia" w:ascii="仿宋" w:hAnsi="仿宋" w:eastAsia="仿宋" w:cs="仿宋"/>
                <w:b w:val="0"/>
                <w:bCs w:val="0"/>
                <w:sz w:val="22"/>
                <w:szCs w:val="21"/>
                <w:lang w:eastAsia="zh-CN"/>
              </w:rPr>
            </w:pPr>
            <w:bookmarkStart w:id="52" w:name="OLE_LINK6"/>
            <w:r>
              <w:rPr>
                <w:rFonts w:hint="eastAsia" w:ascii="仿宋" w:hAnsi="仿宋" w:eastAsia="仿宋" w:cs="仿宋"/>
                <w:sz w:val="22"/>
                <w:szCs w:val="21"/>
                <w:lang w:val="en-US" w:eastAsia="zh-CN"/>
              </w:rPr>
              <w:t>陕西省长安师范学校附属小学安全教室项目</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项目编号</w:t>
            </w:r>
          </w:p>
        </w:tc>
        <w:tc>
          <w:tcPr>
            <w:tcW w:w="7021" w:type="dxa"/>
            <w:vAlign w:val="center"/>
          </w:tcPr>
          <w:p>
            <w:pPr>
              <w:snapToGrid w:val="0"/>
              <w:jc w:val="left"/>
              <w:rPr>
                <w:rFonts w:hint="eastAsia" w:ascii="仿宋" w:hAnsi="仿宋" w:eastAsia="仿宋" w:cs="仿宋"/>
                <w:b w:val="0"/>
                <w:bCs w:val="0"/>
                <w:sz w:val="22"/>
                <w:szCs w:val="21"/>
                <w:lang w:eastAsia="zh-CN"/>
              </w:rPr>
            </w:pPr>
            <w:r>
              <w:rPr>
                <w:rFonts w:hint="eastAsia" w:ascii="仿宋" w:hAnsi="仿宋" w:eastAsia="仿宋" w:cs="仿宋"/>
                <w:b w:val="0"/>
                <w:bCs w:val="0"/>
                <w:sz w:val="22"/>
                <w:szCs w:val="21"/>
                <w:lang w:eastAsia="zh-CN"/>
              </w:rPr>
              <w:t>TZZB-Z-2022</w:t>
            </w:r>
            <w:r>
              <w:rPr>
                <w:rFonts w:hint="eastAsia" w:ascii="仿宋" w:hAnsi="仿宋" w:eastAsia="仿宋" w:cs="仿宋"/>
                <w:b w:val="0"/>
                <w:bCs w:val="0"/>
                <w:sz w:val="22"/>
                <w:szCs w:val="21"/>
                <w:lang w:val="en-US" w:eastAsia="zh-CN"/>
              </w:rPr>
              <w:t>15</w:t>
            </w:r>
            <w:r>
              <w:rPr>
                <w:rFonts w:hint="eastAsia" w:ascii="仿宋" w:hAnsi="仿宋" w:eastAsia="仿宋" w:cs="仿宋"/>
                <w:b w:val="0"/>
                <w:bCs w:val="0"/>
                <w:sz w:val="22"/>
                <w:szCs w:val="21"/>
                <w:lang w:eastAsia="zh-CN"/>
              </w:rPr>
              <w:t>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b w:val="0"/>
                <w:bCs w:val="0"/>
                <w:sz w:val="22"/>
                <w:szCs w:val="21"/>
              </w:rPr>
            </w:pPr>
            <w:r>
              <w:rPr>
                <w:rFonts w:hint="eastAsia" w:ascii="仿宋" w:hAnsi="仿宋" w:eastAsia="仿宋" w:cs="仿宋"/>
                <w:b w:val="0"/>
                <w:bCs w:val="0"/>
                <w:sz w:val="22"/>
                <w:szCs w:val="21"/>
              </w:rPr>
              <w:t>采购预算</w:t>
            </w:r>
          </w:p>
        </w:tc>
        <w:tc>
          <w:tcPr>
            <w:tcW w:w="7021" w:type="dxa"/>
            <w:vAlign w:val="center"/>
          </w:tcPr>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lang w:val="en-US" w:eastAsia="zh-CN"/>
              </w:rPr>
              <w:t>970，000.00元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最高限价</w:t>
            </w:r>
          </w:p>
        </w:tc>
        <w:tc>
          <w:tcPr>
            <w:tcW w:w="7021" w:type="dxa"/>
            <w:vAlign w:val="center"/>
          </w:tcPr>
          <w:p>
            <w:pPr>
              <w:snapToGrid w:val="0"/>
              <w:jc w:val="left"/>
              <w:rPr>
                <w:rFonts w:hint="eastAsia" w:ascii="仿宋" w:hAnsi="仿宋" w:eastAsia="仿宋" w:cs="仿宋"/>
                <w:b w:val="0"/>
                <w:bCs w:val="0"/>
                <w:sz w:val="22"/>
                <w:szCs w:val="21"/>
                <w:lang w:val="en-US" w:eastAsia="zh-CN"/>
              </w:rPr>
            </w:pPr>
            <w:r>
              <w:rPr>
                <w:rFonts w:hint="eastAsia" w:ascii="仿宋" w:hAnsi="仿宋" w:eastAsia="仿宋" w:cs="仿宋"/>
                <w:b w:val="0"/>
                <w:bCs w:val="0"/>
                <w:sz w:val="22"/>
                <w:szCs w:val="21"/>
                <w:lang w:val="en-US" w:eastAsia="zh-CN"/>
              </w:rPr>
              <w:t>970，000.00元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公告媒体</w:t>
            </w:r>
          </w:p>
        </w:tc>
        <w:tc>
          <w:tcPr>
            <w:tcW w:w="7021" w:type="dxa"/>
            <w:vAlign w:val="center"/>
          </w:tcPr>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2</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采购人</w:t>
            </w:r>
          </w:p>
        </w:tc>
        <w:tc>
          <w:tcPr>
            <w:tcW w:w="7021" w:type="dxa"/>
            <w:vAlign w:val="center"/>
          </w:tcPr>
          <w:p>
            <w:pPr>
              <w:snapToGrid w:val="0"/>
              <w:jc w:val="left"/>
              <w:rPr>
                <w:rFonts w:hint="eastAsia" w:ascii="仿宋" w:hAnsi="仿宋" w:eastAsia="仿宋" w:cs="仿宋"/>
                <w:b w:val="0"/>
                <w:bCs w:val="0"/>
                <w:sz w:val="22"/>
                <w:szCs w:val="21"/>
                <w:lang w:val="en-US" w:eastAsia="zh-CN"/>
              </w:rPr>
            </w:pPr>
            <w:r>
              <w:rPr>
                <w:rFonts w:hint="eastAsia" w:ascii="仿宋" w:hAnsi="仿宋" w:eastAsia="仿宋" w:cs="仿宋"/>
                <w:b w:val="0"/>
                <w:bCs w:val="0"/>
                <w:sz w:val="22"/>
                <w:szCs w:val="21"/>
                <w:lang w:val="en-US" w:eastAsia="zh-CN"/>
              </w:rPr>
              <w:t>采购人信息：陕西省长安师范学校附属小学</w:t>
            </w:r>
          </w:p>
          <w:p>
            <w:pPr>
              <w:snapToGrid w:val="0"/>
              <w:jc w:val="left"/>
              <w:rPr>
                <w:rFonts w:hint="eastAsia" w:ascii="仿宋" w:hAnsi="仿宋" w:eastAsia="仿宋" w:cs="仿宋"/>
                <w:b w:val="0"/>
                <w:bCs w:val="0"/>
                <w:sz w:val="22"/>
                <w:szCs w:val="21"/>
                <w:lang w:val="en-US" w:eastAsia="zh-CN"/>
              </w:rPr>
            </w:pPr>
            <w:r>
              <w:rPr>
                <w:rFonts w:hint="eastAsia" w:ascii="仿宋" w:hAnsi="仿宋" w:eastAsia="仿宋" w:cs="仿宋"/>
                <w:b w:val="0"/>
                <w:bCs w:val="0"/>
                <w:sz w:val="22"/>
                <w:szCs w:val="21"/>
                <w:lang w:val="en-US" w:eastAsia="zh-CN"/>
              </w:rPr>
              <w:t>地址：西安市长安区韦曲街办局连村甲字3号</w:t>
            </w:r>
          </w:p>
          <w:p>
            <w:pPr>
              <w:snapToGrid w:val="0"/>
              <w:jc w:val="left"/>
              <w:rPr>
                <w:rFonts w:hint="default" w:ascii="仿宋" w:hAnsi="仿宋" w:eastAsia="仿宋" w:cs="仿宋"/>
                <w:b w:val="0"/>
                <w:bCs w:val="0"/>
                <w:sz w:val="22"/>
                <w:szCs w:val="21"/>
                <w:lang w:val="en-US" w:eastAsia="zh-CN"/>
              </w:rPr>
            </w:pPr>
            <w:r>
              <w:rPr>
                <w:rFonts w:hint="eastAsia" w:ascii="仿宋" w:hAnsi="仿宋" w:eastAsia="仿宋" w:cs="仿宋"/>
                <w:b w:val="0"/>
                <w:bCs w:val="0"/>
                <w:sz w:val="22"/>
                <w:szCs w:val="21"/>
                <w:lang w:val="en-US" w:eastAsia="zh-CN"/>
              </w:rPr>
              <w:t>联系人：陕西省长安师范学校附属小学经办</w:t>
            </w:r>
          </w:p>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lang w:val="en-US" w:eastAsia="zh-CN"/>
              </w:rPr>
              <w:t>电话</w:t>
            </w:r>
            <w:r>
              <w:rPr>
                <w:rFonts w:hint="eastAsia" w:ascii="仿宋" w:hAnsi="仿宋" w:eastAsia="仿宋" w:cs="仿宋"/>
                <w:b w:val="0"/>
                <w:bCs w:val="0"/>
                <w:sz w:val="22"/>
                <w:szCs w:val="21"/>
                <w:highlight w:val="none"/>
                <w:lang w:val="en-US" w:eastAsia="zh-CN"/>
              </w:rPr>
              <w:t>：</w:t>
            </w:r>
            <w:r>
              <w:rPr>
                <w:rFonts w:hint="eastAsia" w:ascii="仿宋" w:hAnsi="仿宋" w:eastAsia="仿宋" w:cs="仿宋"/>
                <w:b w:val="0"/>
                <w:bCs w:val="0"/>
                <w:i w:val="0"/>
                <w:iCs w:val="0"/>
                <w:caps w:val="0"/>
                <w:color w:val="333333"/>
                <w:spacing w:val="0"/>
                <w:sz w:val="22"/>
                <w:szCs w:val="22"/>
                <w:highlight w:val="none"/>
                <w:shd w:val="clear" w:fill="FFFFFF"/>
                <w:vertAlign w:val="baseline"/>
              </w:rPr>
              <w:t>029-85999689</w:t>
            </w:r>
            <w:r>
              <w:rPr>
                <w:rFonts w:hint="eastAsia" w:ascii="仿宋" w:hAnsi="仿宋" w:eastAsia="仿宋" w:cs="仿宋"/>
                <w:b w:val="0"/>
                <w:bCs w:val="0"/>
                <w:sz w:val="22"/>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3</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采购代理机构</w:t>
            </w:r>
          </w:p>
        </w:tc>
        <w:tc>
          <w:tcPr>
            <w:tcW w:w="7021" w:type="dxa"/>
            <w:vAlign w:val="center"/>
          </w:tcPr>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rPr>
              <w:t>采购代理机构名称：同正项目管理有限公司</w:t>
            </w:r>
          </w:p>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rPr>
              <w:t>地址：西安市雁塔区科技二路71号竹园·天寰国际1107室</w:t>
            </w:r>
          </w:p>
          <w:p>
            <w:pPr>
              <w:snapToGrid w:val="0"/>
              <w:jc w:val="left"/>
              <w:rPr>
                <w:rFonts w:hint="eastAsia" w:ascii="仿宋" w:hAnsi="仿宋" w:eastAsia="仿宋" w:cs="仿宋"/>
                <w:b w:val="0"/>
                <w:bCs w:val="0"/>
                <w:sz w:val="22"/>
                <w:szCs w:val="21"/>
                <w:lang w:eastAsia="zh-CN"/>
              </w:rPr>
            </w:pPr>
            <w:r>
              <w:rPr>
                <w:rFonts w:hint="eastAsia" w:ascii="仿宋" w:hAnsi="仿宋" w:eastAsia="仿宋" w:cs="仿宋"/>
                <w:b w:val="0"/>
                <w:bCs w:val="0"/>
                <w:sz w:val="22"/>
                <w:szCs w:val="21"/>
              </w:rPr>
              <w:t>联系人：</w:t>
            </w:r>
            <w:r>
              <w:rPr>
                <w:rFonts w:hint="eastAsia" w:ascii="仿宋" w:hAnsi="仿宋" w:eastAsia="仿宋" w:cs="仿宋"/>
                <w:b w:val="0"/>
                <w:bCs w:val="0"/>
                <w:sz w:val="22"/>
                <w:szCs w:val="21"/>
                <w:lang w:eastAsia="zh-CN"/>
              </w:rPr>
              <w:t>付</w:t>
            </w:r>
            <w:r>
              <w:rPr>
                <w:rFonts w:hint="eastAsia" w:ascii="仿宋" w:hAnsi="仿宋" w:eastAsia="仿宋" w:cs="仿宋"/>
                <w:b w:val="0"/>
                <w:bCs w:val="0"/>
                <w:sz w:val="22"/>
                <w:szCs w:val="21"/>
                <w:lang w:val="en-US" w:eastAsia="zh-CN"/>
              </w:rPr>
              <w:t>女士</w:t>
            </w:r>
          </w:p>
          <w:p>
            <w:pPr>
              <w:snapToGrid w:val="0"/>
              <w:jc w:val="left"/>
              <w:rPr>
                <w:rFonts w:hint="eastAsia" w:ascii="仿宋" w:hAnsi="仿宋" w:eastAsia="仿宋" w:cs="仿宋"/>
                <w:b w:val="0"/>
                <w:bCs w:val="0"/>
                <w:sz w:val="22"/>
                <w:szCs w:val="21"/>
              </w:rPr>
            </w:pPr>
            <w:r>
              <w:rPr>
                <w:rFonts w:hint="eastAsia" w:ascii="仿宋" w:hAnsi="仿宋" w:eastAsia="仿宋" w:cs="仿宋"/>
                <w:b w:val="0"/>
                <w:bCs w:val="0"/>
                <w:sz w:val="22"/>
                <w:szCs w:val="21"/>
              </w:rPr>
              <w:t>电话：029-65652860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4</w:t>
            </w:r>
          </w:p>
        </w:tc>
        <w:tc>
          <w:tcPr>
            <w:tcW w:w="2069" w:type="dxa"/>
            <w:vAlign w:val="center"/>
          </w:tcPr>
          <w:p>
            <w:pPr>
              <w:snapToGrid w:val="0"/>
              <w:jc w:val="center"/>
              <w:rPr>
                <w:rFonts w:hint="eastAsia" w:ascii="仿宋" w:hAnsi="仿宋" w:eastAsia="仿宋" w:cs="仿宋"/>
                <w:sz w:val="22"/>
                <w:szCs w:val="21"/>
                <w:lang w:eastAsia="zh-CN"/>
              </w:rPr>
            </w:pPr>
            <w:r>
              <w:rPr>
                <w:rFonts w:hint="eastAsia" w:ascii="仿宋" w:hAnsi="仿宋" w:eastAsia="仿宋" w:cs="仿宋"/>
                <w:sz w:val="22"/>
                <w:szCs w:val="21"/>
              </w:rPr>
              <w:t>投标人资格</w:t>
            </w:r>
            <w:r>
              <w:rPr>
                <w:rFonts w:hint="eastAsia" w:ascii="仿宋" w:hAnsi="仿宋" w:eastAsia="仿宋" w:cs="仿宋"/>
                <w:sz w:val="22"/>
                <w:szCs w:val="21"/>
                <w:lang w:val="en-US" w:eastAsia="zh-CN"/>
              </w:rPr>
              <w:t>要求</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1</w:t>
            </w:r>
            <w:r>
              <w:rPr>
                <w:rFonts w:hint="eastAsia" w:ascii="仿宋" w:hAnsi="仿宋" w:eastAsia="仿宋" w:cs="仿宋"/>
                <w:sz w:val="22"/>
                <w:szCs w:val="21"/>
                <w:lang w:eastAsia="zh-CN"/>
              </w:rPr>
              <w:t>.</w:t>
            </w:r>
            <w:r>
              <w:rPr>
                <w:rFonts w:hint="eastAsia" w:ascii="仿宋" w:hAnsi="仿宋" w:eastAsia="仿宋" w:cs="仿宋"/>
                <w:sz w:val="22"/>
                <w:szCs w:val="21"/>
              </w:rPr>
              <w:t>满足《中华人民共和国政府采购法》第二十二条规定；</w:t>
            </w:r>
          </w:p>
          <w:p>
            <w:pPr>
              <w:snapToGrid w:val="0"/>
              <w:rPr>
                <w:rFonts w:hint="eastAsia" w:ascii="仿宋" w:hAnsi="仿宋" w:eastAsia="仿宋" w:cs="仿宋"/>
                <w:color w:val="auto"/>
                <w:sz w:val="22"/>
                <w:szCs w:val="21"/>
                <w:lang w:val="en-US" w:eastAsia="zh-CN"/>
              </w:rPr>
            </w:pPr>
            <w:r>
              <w:rPr>
                <w:rFonts w:hint="eastAsia" w:ascii="仿宋" w:hAnsi="仿宋" w:eastAsia="仿宋" w:cs="仿宋"/>
                <w:color w:val="auto"/>
                <w:sz w:val="22"/>
                <w:szCs w:val="21"/>
              </w:rPr>
              <w:t>2</w:t>
            </w:r>
            <w:r>
              <w:rPr>
                <w:rFonts w:hint="eastAsia" w:ascii="仿宋" w:hAnsi="仿宋" w:eastAsia="仿宋" w:cs="仿宋"/>
                <w:color w:val="auto"/>
                <w:sz w:val="22"/>
                <w:szCs w:val="21"/>
                <w:lang w:eastAsia="zh-CN"/>
              </w:rPr>
              <w:t>.</w:t>
            </w:r>
            <w:r>
              <w:rPr>
                <w:rFonts w:hint="eastAsia" w:ascii="仿宋" w:hAnsi="仿宋" w:eastAsia="仿宋" w:cs="仿宋"/>
                <w:color w:val="auto"/>
                <w:sz w:val="22"/>
                <w:szCs w:val="21"/>
              </w:rPr>
              <w:t>落实政府采购政策需满足的资格要求：</w:t>
            </w:r>
            <w:r>
              <w:rPr>
                <w:rFonts w:hint="eastAsia" w:ascii="仿宋" w:hAnsi="仿宋" w:eastAsia="仿宋" w:cs="仿宋"/>
                <w:color w:val="auto"/>
                <w:sz w:val="22"/>
                <w:szCs w:val="21"/>
                <w:lang w:val="en-US" w:eastAsia="zh-CN"/>
              </w:rPr>
              <w:t>无</w:t>
            </w:r>
          </w:p>
          <w:p>
            <w:pPr>
              <w:snapToGrid w:val="0"/>
              <w:rPr>
                <w:rFonts w:hint="eastAsia" w:ascii="仿宋" w:hAnsi="仿宋" w:eastAsia="仿宋" w:cs="仿宋"/>
                <w:sz w:val="22"/>
                <w:szCs w:val="21"/>
              </w:rPr>
            </w:pPr>
            <w:r>
              <w:rPr>
                <w:rFonts w:hint="eastAsia" w:ascii="仿宋" w:hAnsi="仿宋" w:eastAsia="仿宋" w:cs="仿宋"/>
                <w:sz w:val="22"/>
                <w:szCs w:val="21"/>
              </w:rPr>
              <w:t>3</w:t>
            </w:r>
            <w:r>
              <w:rPr>
                <w:rFonts w:hint="eastAsia" w:ascii="仿宋" w:hAnsi="仿宋" w:eastAsia="仿宋" w:cs="仿宋"/>
                <w:sz w:val="22"/>
                <w:szCs w:val="21"/>
                <w:lang w:eastAsia="zh-CN"/>
              </w:rPr>
              <w:t>.</w:t>
            </w:r>
            <w:r>
              <w:rPr>
                <w:rFonts w:hint="eastAsia" w:ascii="仿宋" w:hAnsi="仿宋" w:eastAsia="仿宋" w:cs="仿宋"/>
                <w:sz w:val="22"/>
                <w:szCs w:val="21"/>
              </w:rPr>
              <w:t>本项目的特定资格要求：</w:t>
            </w:r>
          </w:p>
          <w:p>
            <w:pPr>
              <w:snapToGrid w:val="0"/>
              <w:rPr>
                <w:rFonts w:hint="eastAsia" w:ascii="仿宋" w:hAnsi="仿宋" w:eastAsia="仿宋" w:cs="仿宋"/>
                <w:color w:val="auto"/>
                <w:sz w:val="22"/>
                <w:szCs w:val="21"/>
              </w:rPr>
            </w:pPr>
            <w:r>
              <w:rPr>
                <w:rFonts w:hint="eastAsia" w:ascii="仿宋" w:hAnsi="仿宋" w:eastAsia="仿宋" w:cs="仿宋"/>
                <w:color w:val="auto"/>
                <w:sz w:val="22"/>
                <w:szCs w:val="21"/>
              </w:rPr>
              <w:t xml:space="preserve"> 合同包1(陕西省长安师范学校附属小学安全教室项目)特定资格要求如下:</w:t>
            </w:r>
          </w:p>
          <w:p>
            <w:pPr>
              <w:snapToGrid w:val="0"/>
              <w:rPr>
                <w:rFonts w:hint="eastAsia" w:ascii="仿宋" w:hAnsi="仿宋" w:eastAsia="仿宋" w:cs="仿宋"/>
                <w:color w:val="auto"/>
                <w:sz w:val="22"/>
                <w:szCs w:val="21"/>
              </w:rPr>
            </w:pPr>
            <w:r>
              <w:rPr>
                <w:rFonts w:hint="eastAsia" w:ascii="仿宋" w:hAnsi="仿宋" w:eastAsia="仿宋" w:cs="仿宋"/>
                <w:color w:val="auto"/>
                <w:sz w:val="22"/>
                <w:szCs w:val="21"/>
              </w:rPr>
              <w:t>（1）法定代表人直接参加投标的，须出具法人身份证；法定代表人授权代表参加投标的，须出具法定代表人授权书及授权代表身份证；</w:t>
            </w:r>
          </w:p>
          <w:p>
            <w:pPr>
              <w:snapToGrid w:val="0"/>
              <w:rPr>
                <w:rFonts w:hint="eastAsia" w:ascii="仿宋" w:hAnsi="仿宋" w:eastAsia="仿宋" w:cs="仿宋"/>
                <w:sz w:val="22"/>
                <w:szCs w:val="21"/>
              </w:rPr>
            </w:pPr>
            <w:r>
              <w:rPr>
                <w:rFonts w:hint="eastAsia" w:ascii="仿宋" w:hAnsi="仿宋" w:eastAsia="仿宋" w:cs="仿宋"/>
                <w:color w:val="auto"/>
                <w:sz w:val="22"/>
                <w:szCs w:val="21"/>
              </w:rPr>
              <w:t>（2）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r>
              <w:rPr>
                <w:rFonts w:hint="eastAsia" w:ascii="仿宋" w:hAnsi="仿宋" w:eastAsia="仿宋" w:cs="仿宋"/>
                <w:sz w:val="22"/>
                <w:szCs w:val="21"/>
              </w:rPr>
              <w:t>5</w:t>
            </w:r>
          </w:p>
        </w:tc>
        <w:tc>
          <w:tcPr>
            <w:tcW w:w="2069" w:type="dxa"/>
            <w:vAlign w:val="center"/>
          </w:tcPr>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p>
          <w:p>
            <w:pPr>
              <w:snapToGrid w:val="0"/>
              <w:jc w:val="center"/>
              <w:rPr>
                <w:rFonts w:hint="eastAsia" w:ascii="仿宋" w:hAnsi="仿宋" w:eastAsia="仿宋" w:cs="仿宋"/>
                <w:sz w:val="22"/>
                <w:szCs w:val="21"/>
              </w:rPr>
            </w:pPr>
            <w:r>
              <w:rPr>
                <w:rFonts w:hint="eastAsia" w:ascii="仿宋" w:hAnsi="仿宋" w:eastAsia="仿宋" w:cs="仿宋"/>
                <w:sz w:val="22"/>
                <w:szCs w:val="21"/>
              </w:rPr>
              <w:t>投标资格证明文件</w:t>
            </w:r>
          </w:p>
          <w:p>
            <w:pPr>
              <w:snapToGrid w:val="0"/>
              <w:jc w:val="center"/>
              <w:rPr>
                <w:rFonts w:hint="eastAsia" w:ascii="仿宋" w:hAnsi="仿宋" w:eastAsia="仿宋" w:cs="仿宋"/>
                <w:sz w:val="22"/>
                <w:szCs w:val="21"/>
              </w:rPr>
            </w:pPr>
          </w:p>
        </w:tc>
        <w:tc>
          <w:tcPr>
            <w:tcW w:w="7021" w:type="dxa"/>
            <w:vAlign w:val="center"/>
          </w:tcPr>
          <w:p>
            <w:pPr>
              <w:snapToGrid w:val="0"/>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rPr>
              <w:t>1</w:t>
            </w:r>
            <w:r>
              <w:rPr>
                <w:rFonts w:hint="eastAsia" w:ascii="仿宋" w:hAnsi="仿宋" w:eastAsia="仿宋" w:cs="仿宋"/>
                <w:sz w:val="22"/>
                <w:szCs w:val="22"/>
                <w:lang w:eastAsia="zh-CN"/>
              </w:rPr>
              <w:t>.</w:t>
            </w:r>
            <w:r>
              <w:rPr>
                <w:rFonts w:hint="eastAsia" w:ascii="仿宋" w:hAnsi="仿宋" w:eastAsia="仿宋" w:cs="仿宋"/>
                <w:sz w:val="22"/>
                <w:szCs w:val="22"/>
              </w:rPr>
              <w:t>投标人应为具有独立承担民事责任能力的法人、其他组织或自然人：出具合法有效的营业执照或事业单位法人证书等国家规定的相关证明，自然人参与的提供其身份证明。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sz w:val="22"/>
                <w:szCs w:val="22"/>
                <w:lang w:val="en-US" w:eastAsia="zh-CN"/>
              </w:rPr>
              <w:t xml:space="preserve">  </w:t>
            </w:r>
          </w:p>
          <w:p>
            <w:pPr>
              <w:snapToGrid w:val="0"/>
              <w:spacing w:line="240" w:lineRule="auto"/>
              <w:rPr>
                <w:rFonts w:hint="eastAsia" w:ascii="仿宋" w:hAnsi="仿宋" w:eastAsia="仿宋" w:cs="仿宋"/>
                <w:sz w:val="22"/>
                <w:szCs w:val="22"/>
                <w:lang w:eastAsia="zh-CN"/>
              </w:rPr>
            </w:pPr>
            <w:r>
              <w:rPr>
                <w:rFonts w:hint="eastAsia" w:ascii="仿宋" w:hAnsi="仿宋" w:eastAsia="仿宋" w:cs="仿宋"/>
                <w:sz w:val="22"/>
                <w:szCs w:val="22"/>
              </w:rPr>
              <w:t>2</w:t>
            </w:r>
            <w:r>
              <w:rPr>
                <w:rFonts w:hint="eastAsia" w:ascii="仿宋" w:hAnsi="仿宋" w:eastAsia="仿宋" w:cs="仿宋"/>
                <w:sz w:val="22"/>
                <w:szCs w:val="22"/>
                <w:lang w:eastAsia="zh-CN"/>
              </w:rPr>
              <w:t>.</w:t>
            </w:r>
            <w:r>
              <w:rPr>
                <w:rFonts w:hint="eastAsia" w:ascii="仿宋" w:hAnsi="仿宋" w:eastAsia="仿宋" w:cs="仿宋"/>
                <w:sz w:val="22"/>
                <w:szCs w:val="22"/>
              </w:rPr>
              <w:t>财务状况</w:t>
            </w:r>
            <w:r>
              <w:rPr>
                <w:rFonts w:hint="eastAsia" w:ascii="仿宋" w:hAnsi="仿宋" w:eastAsia="仿宋" w:cs="仿宋"/>
                <w:sz w:val="22"/>
                <w:szCs w:val="22"/>
                <w:lang w:val="en-US" w:eastAsia="zh-CN"/>
              </w:rPr>
              <w:t>良好</w:t>
            </w:r>
            <w:r>
              <w:rPr>
                <w:rFonts w:hint="eastAsia" w:ascii="仿宋" w:hAnsi="仿宋" w:eastAsia="仿宋" w:cs="仿宋"/>
                <w:sz w:val="22"/>
                <w:szCs w:val="22"/>
              </w:rPr>
              <w:t>：提供2020或2021年任意一年度的完整有效的财务审计报告，或</w:t>
            </w:r>
            <w:r>
              <w:rPr>
                <w:rFonts w:hint="eastAsia" w:ascii="仿宋" w:hAnsi="仿宋" w:eastAsia="仿宋" w:cs="仿宋"/>
                <w:sz w:val="22"/>
                <w:szCs w:val="22"/>
                <w:lang w:val="en-US" w:eastAsia="zh-CN"/>
              </w:rPr>
              <w:t>投标</w:t>
            </w:r>
            <w:r>
              <w:rPr>
                <w:rFonts w:hint="eastAsia" w:ascii="仿宋" w:hAnsi="仿宋" w:eastAsia="仿宋" w:cs="仿宋"/>
                <w:sz w:val="22"/>
                <w:szCs w:val="22"/>
              </w:rPr>
              <w:t>截止时间前三个月内其基本存款账户开户银行出具的资信证明，或政府采购信用担保机构出具的投标担保函；其他组织和自然人提供银行出具的资信证明。</w:t>
            </w:r>
          </w:p>
          <w:p>
            <w:pPr>
              <w:snapToGrid w:val="0"/>
              <w:spacing w:line="240" w:lineRule="auto"/>
              <w:rPr>
                <w:rFonts w:hint="eastAsia" w:ascii="仿宋" w:hAnsi="仿宋" w:eastAsia="仿宋" w:cs="仿宋"/>
                <w:b/>
                <w:bCs/>
                <w:sz w:val="22"/>
                <w:szCs w:val="22"/>
                <w:u w:val="double"/>
              </w:rPr>
            </w:pPr>
            <w:r>
              <w:rPr>
                <w:rFonts w:hint="eastAsia" w:ascii="仿宋" w:hAnsi="仿宋" w:eastAsia="仿宋" w:cs="仿宋"/>
                <w:sz w:val="22"/>
                <w:szCs w:val="22"/>
              </w:rPr>
              <w:t>3</w:t>
            </w:r>
            <w:r>
              <w:rPr>
                <w:rFonts w:hint="eastAsia" w:ascii="仿宋" w:hAnsi="仿宋" w:eastAsia="仿宋" w:cs="仿宋"/>
                <w:sz w:val="22"/>
                <w:szCs w:val="22"/>
                <w:lang w:eastAsia="zh-CN"/>
              </w:rPr>
              <w:t>.</w:t>
            </w:r>
            <w:r>
              <w:rPr>
                <w:rFonts w:hint="eastAsia" w:ascii="仿宋" w:hAnsi="仿宋" w:eastAsia="仿宋" w:cs="仿宋"/>
                <w:sz w:val="22"/>
                <w:szCs w:val="22"/>
              </w:rPr>
              <w:t>税收缴纳证明：提供投标文件递交截止时间前</w:t>
            </w:r>
            <w:r>
              <w:rPr>
                <w:rFonts w:hint="eastAsia" w:ascii="仿宋" w:hAnsi="仿宋" w:eastAsia="仿宋" w:cs="仿宋"/>
                <w:sz w:val="22"/>
                <w:szCs w:val="22"/>
                <w:lang w:val="en-US" w:eastAsia="zh-CN"/>
              </w:rPr>
              <w:t>6</w:t>
            </w:r>
            <w:r>
              <w:rPr>
                <w:rFonts w:hint="eastAsia" w:ascii="仿宋" w:hAnsi="仿宋" w:eastAsia="仿宋" w:cs="仿宋"/>
                <w:sz w:val="22"/>
                <w:szCs w:val="22"/>
              </w:rPr>
              <w:t>个月内任意1个月的缴费凭据；（依法免税的投标人应提供相关文件证明）；</w:t>
            </w:r>
          </w:p>
          <w:p>
            <w:pPr>
              <w:pStyle w:val="28"/>
              <w:spacing w:line="240" w:lineRule="auto"/>
              <w:rPr>
                <w:rFonts w:hint="eastAsia" w:ascii="仿宋" w:hAnsi="仿宋" w:eastAsia="仿宋" w:cs="仿宋"/>
                <w:sz w:val="22"/>
                <w:szCs w:val="22"/>
              </w:rPr>
            </w:pPr>
            <w:r>
              <w:rPr>
                <w:rFonts w:hint="eastAsia" w:ascii="仿宋" w:hAnsi="仿宋" w:eastAsia="仿宋" w:cs="仿宋"/>
                <w:kern w:val="2"/>
                <w:sz w:val="22"/>
                <w:szCs w:val="22"/>
              </w:rPr>
              <w:t>4</w:t>
            </w:r>
            <w:r>
              <w:rPr>
                <w:rFonts w:hint="eastAsia" w:ascii="仿宋" w:hAnsi="仿宋" w:eastAsia="仿宋" w:cs="仿宋"/>
                <w:kern w:val="2"/>
                <w:sz w:val="22"/>
                <w:szCs w:val="22"/>
                <w:lang w:eastAsia="zh-CN"/>
              </w:rPr>
              <w:t>.</w:t>
            </w:r>
            <w:r>
              <w:rPr>
                <w:rFonts w:hint="eastAsia" w:ascii="仿宋" w:hAnsi="仿宋" w:eastAsia="仿宋" w:cs="仿宋"/>
                <w:sz w:val="22"/>
                <w:szCs w:val="22"/>
              </w:rPr>
              <w:t>社会保障资金缴纳证明：提供投标文件递交截止时间前</w:t>
            </w:r>
            <w:r>
              <w:rPr>
                <w:rFonts w:hint="eastAsia" w:ascii="仿宋" w:hAnsi="仿宋" w:eastAsia="仿宋" w:cs="仿宋"/>
                <w:sz w:val="22"/>
                <w:szCs w:val="22"/>
                <w:lang w:val="en-US" w:eastAsia="zh-CN"/>
              </w:rPr>
              <w:t>6</w:t>
            </w:r>
            <w:r>
              <w:rPr>
                <w:rFonts w:hint="eastAsia" w:ascii="仿宋" w:hAnsi="仿宋" w:eastAsia="仿宋" w:cs="仿宋"/>
                <w:sz w:val="22"/>
                <w:szCs w:val="22"/>
              </w:rPr>
              <w:t>个月内任意1个月的社会保障资金缴存单据或社保机构开具的社会保险参保缴费情况证明，依法不需要缴纳社会保障资金的单位应提供相关证明材料；</w:t>
            </w:r>
          </w:p>
          <w:p>
            <w:pPr>
              <w:pStyle w:val="28"/>
              <w:spacing w:line="240" w:lineRule="auto"/>
              <w:rPr>
                <w:rFonts w:hint="eastAsia" w:ascii="仿宋" w:hAnsi="仿宋" w:eastAsia="仿宋" w:cs="仿宋"/>
                <w:sz w:val="22"/>
                <w:szCs w:val="22"/>
              </w:rPr>
            </w:pPr>
            <w:r>
              <w:rPr>
                <w:rFonts w:hint="eastAsia" w:ascii="仿宋" w:hAnsi="仿宋" w:eastAsia="仿宋" w:cs="仿宋"/>
                <w:kern w:val="2"/>
                <w:sz w:val="22"/>
                <w:szCs w:val="22"/>
              </w:rPr>
              <w:t>5</w:t>
            </w:r>
            <w:r>
              <w:rPr>
                <w:rFonts w:hint="eastAsia" w:ascii="仿宋" w:hAnsi="仿宋" w:eastAsia="仿宋" w:cs="仿宋"/>
                <w:kern w:val="2"/>
                <w:sz w:val="22"/>
                <w:szCs w:val="22"/>
                <w:lang w:eastAsia="zh-CN"/>
              </w:rPr>
              <w:t>.</w:t>
            </w:r>
            <w:r>
              <w:rPr>
                <w:rFonts w:hint="eastAsia" w:ascii="仿宋" w:hAnsi="仿宋" w:eastAsia="仿宋" w:cs="仿宋"/>
                <w:sz w:val="22"/>
                <w:szCs w:val="22"/>
              </w:rPr>
              <w:t>提供具有履行本合同所必需的设备和专业技术能力的证明材料；</w:t>
            </w:r>
          </w:p>
          <w:p>
            <w:pPr>
              <w:snapToGrid w:val="0"/>
              <w:spacing w:line="240" w:lineRule="auto"/>
              <w:rPr>
                <w:rFonts w:hint="eastAsia" w:ascii="仿宋" w:hAnsi="仿宋" w:eastAsia="仿宋" w:cs="仿宋"/>
                <w:b/>
                <w:bCs/>
                <w:sz w:val="22"/>
                <w:szCs w:val="22"/>
                <w:u w:val="double"/>
              </w:rPr>
            </w:pPr>
            <w:r>
              <w:rPr>
                <w:rFonts w:hint="eastAsia" w:ascii="仿宋" w:hAnsi="仿宋" w:eastAsia="仿宋" w:cs="仿宋"/>
                <w:sz w:val="22"/>
                <w:szCs w:val="22"/>
              </w:rPr>
              <w:t>6</w:t>
            </w:r>
            <w:r>
              <w:rPr>
                <w:rFonts w:hint="eastAsia" w:ascii="仿宋" w:hAnsi="仿宋" w:eastAsia="仿宋" w:cs="仿宋"/>
                <w:sz w:val="22"/>
                <w:szCs w:val="22"/>
                <w:lang w:eastAsia="zh-CN"/>
              </w:rPr>
              <w:t>.</w:t>
            </w:r>
            <w:r>
              <w:rPr>
                <w:rFonts w:hint="eastAsia" w:ascii="仿宋" w:hAnsi="仿宋" w:eastAsia="仿宋" w:cs="仿宋"/>
                <w:sz w:val="22"/>
                <w:szCs w:val="22"/>
              </w:rPr>
              <w:t>提供参加政府采购活动前三年内在经营活动中没有重大违法记录的书面声明。</w:t>
            </w:r>
          </w:p>
          <w:p>
            <w:pPr>
              <w:snapToGrid w:val="0"/>
              <w:spacing w:line="240" w:lineRule="auto"/>
              <w:rPr>
                <w:rFonts w:hint="eastAsia" w:ascii="仿宋" w:hAnsi="仿宋" w:eastAsia="仿宋" w:cs="仿宋"/>
                <w:sz w:val="22"/>
                <w:szCs w:val="22"/>
              </w:rPr>
            </w:pPr>
            <w:r>
              <w:rPr>
                <w:rFonts w:hint="eastAsia" w:ascii="仿宋" w:hAnsi="仿宋" w:eastAsia="仿宋" w:cs="仿宋"/>
                <w:sz w:val="22"/>
                <w:szCs w:val="22"/>
                <w:lang w:val="en-US" w:eastAsia="zh-CN"/>
              </w:rPr>
              <w:t>7</w:t>
            </w:r>
            <w:r>
              <w:rPr>
                <w:rFonts w:hint="eastAsia" w:ascii="仿宋" w:hAnsi="仿宋" w:eastAsia="仿宋" w:cs="仿宋"/>
                <w:sz w:val="22"/>
                <w:szCs w:val="22"/>
                <w:lang w:eastAsia="zh-CN"/>
              </w:rPr>
              <w:t>.</w:t>
            </w:r>
            <w:r>
              <w:rPr>
                <w:rFonts w:hint="eastAsia" w:ascii="仿宋" w:hAnsi="仿宋" w:eastAsia="仿宋" w:cs="仿宋"/>
                <w:sz w:val="22"/>
                <w:szCs w:val="22"/>
              </w:rPr>
              <w:t>法定代表人参加投标的，须提供本人身份证复印件（附在资格证明文件中）并出示身份证原件；授权代表参加投标的，须提供法定代表人授权委托书并出示授权代表的身份证原件。</w:t>
            </w:r>
          </w:p>
          <w:p>
            <w:pPr>
              <w:snapToGrid w:val="0"/>
              <w:spacing w:line="240" w:lineRule="auto"/>
              <w:rPr>
                <w:rFonts w:hint="eastAsia" w:ascii="仿宋" w:hAnsi="仿宋" w:eastAsia="仿宋" w:cs="仿宋"/>
                <w:b/>
                <w:bCs/>
                <w:sz w:val="22"/>
                <w:szCs w:val="22"/>
                <w:u w:val="double"/>
              </w:rPr>
            </w:pPr>
            <w:r>
              <w:rPr>
                <w:rFonts w:hint="eastAsia" w:ascii="仿宋" w:hAnsi="仿宋" w:eastAsia="仿宋" w:cs="仿宋"/>
                <w:sz w:val="22"/>
                <w:szCs w:val="22"/>
                <w:lang w:val="en-US" w:eastAsia="zh-CN"/>
              </w:rPr>
              <w:t>8</w:t>
            </w:r>
            <w:r>
              <w:rPr>
                <w:rFonts w:hint="eastAsia" w:ascii="仿宋" w:hAnsi="仿宋" w:eastAsia="仿宋" w:cs="仿宋"/>
                <w:sz w:val="22"/>
                <w:szCs w:val="22"/>
                <w:lang w:eastAsia="zh-CN"/>
              </w:rPr>
              <w:t>.</w:t>
            </w:r>
            <w:r>
              <w:rPr>
                <w:rFonts w:hint="eastAsia" w:ascii="仿宋" w:hAnsi="仿宋" w:eastAsia="仿宋" w:cs="仿宋"/>
                <w:sz w:val="22"/>
                <w:szCs w:val="22"/>
              </w:rPr>
              <w:t>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r>
              <w:rPr>
                <w:rFonts w:hint="eastAsia" w:ascii="仿宋" w:hAnsi="仿宋" w:eastAsia="仿宋" w:cs="仿宋"/>
                <w:b/>
                <w:bCs/>
                <w:sz w:val="22"/>
                <w:szCs w:val="22"/>
                <w:u w:val="double"/>
              </w:rPr>
              <w:t>此项由采购代理机构在投标截止时间前3日内查询，查询结果以电子图片或者纸质版存档并作为资格审查资料的一部分） ，如相关失信记录已失效，投标人需提供加盖公章的相关证明资料，若没有则无需提供。</w:t>
            </w:r>
          </w:p>
          <w:p>
            <w:pPr>
              <w:snapToGrid w:val="0"/>
              <w:spacing w:line="240" w:lineRule="auto"/>
              <w:ind w:firstLine="220" w:firstLineChars="1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注：1</w:t>
            </w:r>
            <w:r>
              <w:rPr>
                <w:rFonts w:hint="eastAsia" w:ascii="仿宋" w:hAnsi="仿宋" w:eastAsia="仿宋" w:cs="仿宋"/>
                <w:b w:val="0"/>
                <w:bCs w:val="0"/>
                <w:color w:val="auto"/>
                <w:sz w:val="22"/>
                <w:szCs w:val="22"/>
                <w:lang w:val="en-US" w:eastAsia="zh-CN"/>
              </w:rPr>
              <w:t>.</w:t>
            </w:r>
            <w:r>
              <w:rPr>
                <w:rFonts w:hint="eastAsia" w:ascii="仿宋" w:hAnsi="仿宋" w:eastAsia="仿宋" w:cs="仿宋"/>
                <w:b w:val="0"/>
                <w:bCs w:val="0"/>
                <w:color w:val="auto"/>
                <w:sz w:val="22"/>
                <w:szCs w:val="22"/>
              </w:rPr>
              <w:t>上述资格证明文件投标人须按招标文件 “第六章《投标文件格式及构成》”</w:t>
            </w:r>
            <w:r>
              <w:rPr>
                <w:rFonts w:hint="eastAsia" w:ascii="仿宋" w:hAnsi="仿宋" w:eastAsia="仿宋" w:cs="仿宋"/>
                <w:b w:val="0"/>
                <w:bCs w:val="0"/>
                <w:color w:val="auto"/>
                <w:sz w:val="22"/>
                <w:szCs w:val="22"/>
                <w:highlight w:val="none"/>
              </w:rPr>
              <w:t>第</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部分要求附进投标文件正副本内</w:t>
            </w:r>
            <w:r>
              <w:rPr>
                <w:rFonts w:hint="eastAsia" w:ascii="仿宋" w:hAnsi="仿宋" w:eastAsia="仿宋" w:cs="仿宋"/>
                <w:b w:val="0"/>
                <w:bCs w:val="0"/>
                <w:color w:val="auto"/>
                <w:sz w:val="22"/>
                <w:szCs w:val="22"/>
              </w:rPr>
              <w:t>（投标代表身份证原件现场核验）</w:t>
            </w:r>
            <w:r>
              <w:rPr>
                <w:rFonts w:hint="eastAsia" w:ascii="仿宋" w:hAnsi="仿宋" w:eastAsia="仿宋" w:cs="仿宋"/>
                <w:b w:val="0"/>
                <w:bCs w:val="0"/>
                <w:color w:val="auto"/>
                <w:sz w:val="22"/>
                <w:szCs w:val="22"/>
                <w:lang w:val="en-US" w:eastAsia="zh-CN"/>
              </w:rPr>
              <w:t>并对资格证明文件逐页盖章</w:t>
            </w:r>
            <w:r>
              <w:rPr>
                <w:rFonts w:hint="eastAsia" w:ascii="仿宋" w:hAnsi="仿宋" w:eastAsia="仿宋" w:cs="仿宋"/>
                <w:b w:val="0"/>
                <w:bCs w:val="0"/>
                <w:color w:val="auto"/>
                <w:sz w:val="22"/>
                <w:szCs w:val="22"/>
              </w:rPr>
              <w:t>，由采购人及代理机构进行资格审查，审查过程中若投标人资格证明文件无效或缺项的视为资格审查不通过，其投标文件按无效投标文件处理。</w:t>
            </w:r>
          </w:p>
          <w:p>
            <w:pPr>
              <w:snapToGrid w:val="0"/>
              <w:spacing w:line="240" w:lineRule="auto"/>
              <w:ind w:firstLine="220" w:firstLineChars="100"/>
              <w:rPr>
                <w:rFonts w:hint="eastAsia" w:ascii="仿宋" w:hAnsi="仿宋" w:eastAsia="仿宋" w:cs="仿宋"/>
                <w:b w:val="0"/>
                <w:bCs w:val="0"/>
                <w:sz w:val="22"/>
                <w:szCs w:val="22"/>
              </w:rPr>
            </w:pPr>
            <w:r>
              <w:rPr>
                <w:rFonts w:hint="eastAsia" w:ascii="仿宋" w:hAnsi="仿宋" w:eastAsia="仿宋" w:cs="仿宋"/>
                <w:b w:val="0"/>
                <w:bCs w:val="0"/>
                <w:sz w:val="22"/>
                <w:szCs w:val="22"/>
              </w:rPr>
              <w:t>2</w:t>
            </w:r>
            <w:r>
              <w:rPr>
                <w:rFonts w:hint="eastAsia" w:ascii="仿宋" w:hAnsi="仿宋" w:eastAsia="仿宋" w:cs="仿宋"/>
                <w:b w:val="0"/>
                <w:bCs w:val="0"/>
                <w:sz w:val="22"/>
                <w:szCs w:val="22"/>
                <w:lang w:val="en-US" w:eastAsia="zh-CN"/>
              </w:rPr>
              <w:t>.</w:t>
            </w:r>
            <w:r>
              <w:rPr>
                <w:rFonts w:hint="eastAsia" w:ascii="仿宋" w:hAnsi="仿宋" w:eastAsia="仿宋" w:cs="仿宋"/>
                <w:b w:val="0"/>
                <w:bCs w:val="0"/>
                <w:sz w:val="22"/>
                <w:szCs w:val="22"/>
              </w:rPr>
              <w:t>限制性投标要求</w:t>
            </w:r>
          </w:p>
          <w:p>
            <w:pPr>
              <w:snapToGrid w:val="0"/>
              <w:spacing w:line="240" w:lineRule="auto"/>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rPr>
              <w:t>投标人单位负责人为同一人或者存在直接控股、管理关系的不同投标人，不得参加同一项目的政府采购活动。</w:t>
            </w:r>
          </w:p>
          <w:p>
            <w:pPr>
              <w:snapToGrid w:val="0"/>
              <w:spacing w:line="240" w:lineRule="auto"/>
              <w:ind w:firstLine="440" w:firstLineChars="200"/>
              <w:rPr>
                <w:rFonts w:hint="eastAsia" w:ascii="仿宋" w:hAnsi="仿宋" w:eastAsia="仿宋" w:cs="仿宋"/>
                <w:sz w:val="22"/>
                <w:szCs w:val="21"/>
              </w:rPr>
            </w:pPr>
            <w:r>
              <w:rPr>
                <w:rFonts w:hint="eastAsia" w:ascii="仿宋" w:hAnsi="仿宋" w:eastAsia="仿宋" w:cs="仿宋"/>
                <w:b w:val="0"/>
                <w:bCs w:val="0"/>
                <w:sz w:val="22"/>
                <w:szCs w:val="22"/>
              </w:rPr>
              <w:t>除单一来源采购项目外，为采购项目提供过整体设计、规范编制或者项目管理、监理、检测等服务的投标人，不得再参加同一项目的其他采购活动。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6</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构成招标文件的其他材料</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招标变更、答疑文件等相关材料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7</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投标人要求澄清招标文件的截止时间</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8</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投标人确认收到招标文件澄清的时间</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招标文件澄清发出后24小时以内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9</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投标人确认收到招标文件修改的时间</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10</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构成投标文件的其他材料</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11</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投标文件有效期</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投标文件有效期为自开标之日起算90天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12</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现场踏勘</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本项目投标人可自行踏勘，各投标人根据采购内容及要求并结合自身情况自行选择是否进行踏勘活动，因现场勘查不准确造成的方案及报价偏差后果由投标人自行承担。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25" w:type="dxa"/>
            <w:vAlign w:val="center"/>
          </w:tcPr>
          <w:p>
            <w:pPr>
              <w:snapToGrid w:val="0"/>
              <w:jc w:val="center"/>
              <w:rPr>
                <w:rFonts w:hint="eastAsia" w:ascii="仿宋" w:hAnsi="仿宋" w:eastAsia="仿宋" w:cs="仿宋"/>
                <w:color w:val="auto"/>
                <w:sz w:val="22"/>
                <w:szCs w:val="21"/>
              </w:rPr>
            </w:pPr>
            <w:r>
              <w:rPr>
                <w:rFonts w:hint="eastAsia" w:ascii="仿宋" w:hAnsi="仿宋" w:eastAsia="仿宋" w:cs="仿宋"/>
                <w:color w:val="auto"/>
                <w:sz w:val="22"/>
                <w:szCs w:val="21"/>
              </w:rPr>
              <w:t>13</w:t>
            </w:r>
          </w:p>
        </w:tc>
        <w:tc>
          <w:tcPr>
            <w:tcW w:w="2069"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支持中小企业</w:t>
            </w:r>
          </w:p>
        </w:tc>
        <w:tc>
          <w:tcPr>
            <w:tcW w:w="7021" w:type="dxa"/>
            <w:vAlign w:val="center"/>
          </w:tcPr>
          <w:p>
            <w:pPr>
              <w:snapToGrid w:val="0"/>
              <w:rPr>
                <w:rFonts w:hint="eastAsia" w:ascii="仿宋" w:hAnsi="仿宋" w:eastAsia="仿宋" w:cs="仿宋"/>
                <w:sz w:val="22"/>
                <w:szCs w:val="21"/>
                <w:lang w:val="en-US" w:eastAsia="zh-CN"/>
              </w:rPr>
            </w:pPr>
            <w:r>
              <w:rPr>
                <w:rFonts w:hint="eastAsia" w:ascii="仿宋" w:hAnsi="仿宋" w:eastAsia="仿宋" w:cs="仿宋"/>
                <w:sz w:val="22"/>
                <w:szCs w:val="21"/>
                <w:lang w:val="en-US" w:eastAsia="zh-CN"/>
              </w:rPr>
              <w:t>本项目非专门面向中小企业采购</w:t>
            </w:r>
          </w:p>
          <w:p>
            <w:pPr>
              <w:snapToGrid w:val="0"/>
              <w:rPr>
                <w:rFonts w:hint="eastAsia" w:ascii="仿宋" w:hAnsi="仿宋" w:eastAsia="仿宋" w:cs="仿宋"/>
                <w:sz w:val="22"/>
                <w:szCs w:val="21"/>
                <w:lang w:val="en-US" w:eastAsia="zh-CN"/>
              </w:rPr>
            </w:pPr>
            <w:r>
              <w:rPr>
                <w:rFonts w:hint="eastAsia" w:ascii="仿宋" w:hAnsi="仿宋" w:eastAsia="仿宋" w:cs="仿宋"/>
                <w:sz w:val="22"/>
                <w:szCs w:val="21"/>
                <w:lang w:val="en-US" w:eastAsia="zh-CN"/>
              </w:rPr>
              <w:t>(价格扣除)：对小型和微型制造商提供的产品价格给予6%～10%的扣除，用扣除后的价格参与评审。本项目的扣除比例为：扣除6%。</w:t>
            </w:r>
          </w:p>
          <w:p>
            <w:pPr>
              <w:snapToGrid w:val="0"/>
              <w:rPr>
                <w:rFonts w:hint="eastAsia" w:ascii="仿宋" w:hAnsi="仿宋" w:eastAsia="仿宋" w:cs="仿宋"/>
                <w:sz w:val="22"/>
                <w:szCs w:val="21"/>
                <w:lang w:val="en-US" w:eastAsia="zh-CN"/>
              </w:rPr>
            </w:pPr>
            <w:r>
              <w:rPr>
                <w:rFonts w:hint="eastAsia" w:ascii="仿宋" w:hAnsi="仿宋" w:eastAsia="仿宋" w:cs="仿宋"/>
                <w:sz w:val="22"/>
                <w:szCs w:val="21"/>
                <w:lang w:val="en-US" w:eastAsia="zh-CN"/>
              </w:rPr>
              <w:t>本项目属性为货物类</w:t>
            </w:r>
          </w:p>
          <w:p>
            <w:pPr>
              <w:snapToGrid w:val="0"/>
              <w:rPr>
                <w:rFonts w:hint="eastAsia" w:ascii="仿宋" w:hAnsi="仿宋" w:eastAsia="仿宋" w:cs="仿宋"/>
                <w:sz w:val="22"/>
                <w:szCs w:val="21"/>
              </w:rPr>
            </w:pPr>
            <w:r>
              <w:rPr>
                <w:rFonts w:hint="eastAsia" w:ascii="仿宋" w:hAnsi="仿宋" w:eastAsia="仿宋" w:cs="仿宋"/>
                <w:sz w:val="22"/>
                <w:szCs w:val="21"/>
                <w:lang w:val="en-US" w:eastAsia="zh-CN"/>
              </w:rPr>
              <w:t>本项目采购标的所属行业为：工业</w:t>
            </w:r>
            <w:r>
              <w:rPr>
                <w:rFonts w:hint="eastAsia" w:ascii="仿宋" w:hAnsi="仿宋" w:eastAsia="仿宋" w:cs="仿宋"/>
                <w:sz w:val="22"/>
                <w:szCs w:val="21"/>
              </w:rPr>
              <w:t xml:space="preserve"> </w:t>
            </w:r>
          </w:p>
          <w:p>
            <w:pPr>
              <w:snapToGrid w:val="0"/>
              <w:rPr>
                <w:rFonts w:hint="default" w:ascii="仿宋" w:hAnsi="仿宋" w:eastAsia="仿宋" w:cs="仿宋"/>
                <w:sz w:val="22"/>
                <w:szCs w:val="21"/>
                <w:lang w:val="en-US" w:eastAsia="zh-CN"/>
              </w:rPr>
            </w:pPr>
            <w:r>
              <w:rPr>
                <w:rFonts w:hint="eastAsia" w:ascii="仿宋" w:hAnsi="仿宋" w:eastAsia="仿宋" w:cs="仿宋"/>
                <w:sz w:val="22"/>
                <w:szCs w:val="21"/>
                <w:lang w:eastAsia="zh-CN"/>
              </w:rPr>
              <w:t>（划型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5" w:type="dxa"/>
            <w:vAlign w:val="center"/>
          </w:tcPr>
          <w:p>
            <w:pPr>
              <w:snapToGrid w:val="0"/>
              <w:jc w:val="center"/>
              <w:rPr>
                <w:rFonts w:hint="eastAsia" w:ascii="仿宋" w:hAnsi="仿宋" w:eastAsia="仿宋" w:cs="仿宋"/>
                <w:color w:val="auto"/>
                <w:sz w:val="22"/>
                <w:szCs w:val="21"/>
              </w:rPr>
            </w:pPr>
            <w:r>
              <w:rPr>
                <w:rFonts w:hint="eastAsia" w:ascii="仿宋" w:hAnsi="仿宋" w:eastAsia="仿宋" w:cs="仿宋"/>
                <w:color w:val="auto"/>
                <w:sz w:val="22"/>
                <w:szCs w:val="21"/>
              </w:rPr>
              <w:t>14</w:t>
            </w:r>
          </w:p>
        </w:tc>
        <w:tc>
          <w:tcPr>
            <w:tcW w:w="2069"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支持监狱企业</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本项目非专门面向监狱采购</w:t>
            </w:r>
          </w:p>
          <w:p>
            <w:pPr>
              <w:snapToGrid w:val="0"/>
              <w:rPr>
                <w:rFonts w:hint="eastAsia" w:ascii="仿宋" w:hAnsi="仿宋" w:eastAsia="仿宋" w:cs="仿宋"/>
                <w:sz w:val="22"/>
                <w:szCs w:val="21"/>
              </w:rPr>
            </w:pPr>
            <w:r>
              <w:rPr>
                <w:rFonts w:hint="eastAsia" w:ascii="仿宋" w:hAnsi="仿宋" w:eastAsia="仿宋" w:cs="仿宋"/>
                <w:sz w:val="22"/>
                <w:szCs w:val="21"/>
              </w:rPr>
              <w:t>(价格扣除)：监狱企业可视同小微企业在价格评审时给予6%～10%的扣除，用扣除后的价格参与评审。本项目的扣除比例为：扣除6%。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825" w:type="dxa"/>
            <w:vAlign w:val="center"/>
          </w:tcPr>
          <w:p>
            <w:pPr>
              <w:snapToGrid w:val="0"/>
              <w:jc w:val="center"/>
              <w:rPr>
                <w:rFonts w:hint="eastAsia" w:ascii="仿宋" w:hAnsi="仿宋" w:eastAsia="仿宋" w:cs="仿宋"/>
                <w:color w:val="auto"/>
                <w:sz w:val="22"/>
                <w:szCs w:val="21"/>
              </w:rPr>
            </w:pPr>
            <w:r>
              <w:rPr>
                <w:rFonts w:hint="eastAsia" w:ascii="仿宋" w:hAnsi="仿宋" w:eastAsia="仿宋" w:cs="仿宋"/>
                <w:color w:val="auto"/>
                <w:sz w:val="22"/>
                <w:szCs w:val="21"/>
              </w:rPr>
              <w:t>15</w:t>
            </w:r>
          </w:p>
        </w:tc>
        <w:tc>
          <w:tcPr>
            <w:tcW w:w="2069" w:type="dxa"/>
            <w:vAlign w:val="center"/>
          </w:tcPr>
          <w:p>
            <w:pPr>
              <w:snapToGrid w:val="0"/>
              <w:rPr>
                <w:rFonts w:hint="eastAsia" w:ascii="仿宋" w:hAnsi="仿宋" w:eastAsia="仿宋" w:cs="仿宋"/>
                <w:sz w:val="22"/>
                <w:szCs w:val="21"/>
                <w:lang w:val="en-US" w:eastAsia="zh-CN"/>
              </w:rPr>
            </w:pPr>
            <w:r>
              <w:rPr>
                <w:rFonts w:hint="eastAsia" w:ascii="仿宋" w:hAnsi="仿宋" w:eastAsia="仿宋" w:cs="仿宋"/>
                <w:sz w:val="22"/>
                <w:szCs w:val="21"/>
                <w:lang w:val="en-US" w:eastAsia="zh-CN"/>
              </w:rPr>
              <w:t>支持残疾人福利</w:t>
            </w:r>
          </w:p>
          <w:p>
            <w:pPr>
              <w:snapToGrid w:val="0"/>
              <w:rPr>
                <w:rFonts w:hint="default" w:ascii="仿宋" w:hAnsi="仿宋" w:eastAsia="仿宋" w:cs="仿宋"/>
                <w:sz w:val="22"/>
                <w:szCs w:val="21"/>
                <w:lang w:val="en-US" w:eastAsia="zh-CN"/>
              </w:rPr>
            </w:pPr>
            <w:r>
              <w:rPr>
                <w:rFonts w:hint="eastAsia" w:ascii="仿宋" w:hAnsi="仿宋" w:eastAsia="仿宋" w:cs="仿宋"/>
                <w:sz w:val="22"/>
                <w:szCs w:val="21"/>
                <w:lang w:val="en-US" w:eastAsia="zh-CN"/>
              </w:rPr>
              <w:t>单位</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残疾人福利性单位可视同小微企业在价格评审时给予6%～10%的扣除，用扣除后的价格参与评审。</w:t>
            </w:r>
          </w:p>
          <w:p>
            <w:pPr>
              <w:snapToGrid w:val="0"/>
              <w:rPr>
                <w:rFonts w:hint="eastAsia" w:ascii="仿宋" w:hAnsi="仿宋" w:eastAsia="仿宋" w:cs="仿宋"/>
                <w:sz w:val="22"/>
                <w:szCs w:val="21"/>
              </w:rPr>
            </w:pPr>
            <w:r>
              <w:rPr>
                <w:rFonts w:hint="eastAsia" w:ascii="仿宋" w:hAnsi="仿宋" w:eastAsia="仿宋" w:cs="仿宋"/>
                <w:sz w:val="22"/>
                <w:szCs w:val="21"/>
              </w:rPr>
              <w:t>本项目的扣除比例为：扣除6%；但应满足下列条件：</w:t>
            </w:r>
          </w:p>
          <w:p>
            <w:pPr>
              <w:snapToGrid w:val="0"/>
              <w:rPr>
                <w:rFonts w:hint="eastAsia" w:ascii="仿宋" w:hAnsi="仿宋" w:eastAsia="仿宋" w:cs="仿宋"/>
                <w:sz w:val="22"/>
                <w:szCs w:val="21"/>
              </w:rPr>
            </w:pPr>
            <w:r>
              <w:rPr>
                <w:rFonts w:hint="eastAsia" w:ascii="仿宋" w:hAnsi="仿宋" w:eastAsia="仿宋" w:cs="仿宋"/>
                <w:sz w:val="22"/>
                <w:szCs w:val="21"/>
              </w:rPr>
              <w:t>1</w:t>
            </w:r>
            <w:r>
              <w:rPr>
                <w:rFonts w:hint="eastAsia" w:ascii="仿宋" w:hAnsi="仿宋" w:eastAsia="仿宋" w:cs="仿宋"/>
                <w:sz w:val="22"/>
                <w:szCs w:val="21"/>
                <w:lang w:val="en-US" w:eastAsia="zh-CN"/>
              </w:rPr>
              <w:t>.</w:t>
            </w:r>
            <w:r>
              <w:rPr>
                <w:rFonts w:hint="eastAsia" w:ascii="仿宋" w:hAnsi="仿宋" w:eastAsia="仿宋" w:cs="仿宋"/>
                <w:sz w:val="22"/>
                <w:szCs w:val="21"/>
              </w:rPr>
              <w:t>残疾人福利性单位应符合《财政部、民政部、中国残疾人联合会关于促进残疾人就业政府采购政策的通知》（财库[2017]141号）文件规定，并提供《残疾人福利性单位声明函》。</w:t>
            </w:r>
          </w:p>
          <w:p>
            <w:pPr>
              <w:snapToGrid w:val="0"/>
              <w:rPr>
                <w:rFonts w:hint="eastAsia" w:ascii="仿宋" w:hAnsi="仿宋" w:eastAsia="仿宋" w:cs="仿宋"/>
                <w:sz w:val="22"/>
                <w:szCs w:val="21"/>
              </w:rPr>
            </w:pPr>
            <w:r>
              <w:rPr>
                <w:rFonts w:hint="eastAsia" w:ascii="仿宋" w:hAnsi="仿宋" w:eastAsia="仿宋" w:cs="仿宋"/>
                <w:sz w:val="22"/>
                <w:szCs w:val="21"/>
              </w:rPr>
              <w:t>2</w:t>
            </w:r>
            <w:r>
              <w:rPr>
                <w:rFonts w:hint="eastAsia" w:ascii="仿宋" w:hAnsi="仿宋" w:eastAsia="仿宋" w:cs="仿宋"/>
                <w:sz w:val="22"/>
                <w:szCs w:val="21"/>
                <w:lang w:val="en-US" w:eastAsia="zh-CN"/>
              </w:rPr>
              <w:t>.</w:t>
            </w:r>
            <w:r>
              <w:rPr>
                <w:rFonts w:hint="eastAsia" w:ascii="仿宋" w:hAnsi="仿宋" w:eastAsia="仿宋" w:cs="仿宋"/>
                <w:sz w:val="22"/>
                <w:szCs w:val="21"/>
              </w:rPr>
              <w:t>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5" w:type="dxa"/>
            <w:vMerge w:val="restart"/>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16</w:t>
            </w:r>
          </w:p>
        </w:tc>
        <w:tc>
          <w:tcPr>
            <w:tcW w:w="2069" w:type="dxa"/>
            <w:vAlign w:val="center"/>
          </w:tcPr>
          <w:p>
            <w:pPr>
              <w:snapToGrid w:val="0"/>
              <w:jc w:val="center"/>
              <w:rPr>
                <w:rFonts w:hint="eastAsia" w:ascii="仿宋" w:hAnsi="仿宋" w:eastAsia="仿宋" w:cs="仿宋"/>
                <w:b/>
                <w:bCs/>
                <w:color w:val="auto"/>
                <w:sz w:val="22"/>
                <w:szCs w:val="21"/>
              </w:rPr>
            </w:pPr>
            <w:r>
              <w:rPr>
                <w:rFonts w:hint="eastAsia" w:ascii="仿宋" w:hAnsi="仿宋" w:eastAsia="仿宋" w:cs="仿宋"/>
                <w:b/>
                <w:bCs/>
                <w:color w:val="auto"/>
                <w:sz w:val="22"/>
                <w:szCs w:val="21"/>
              </w:rPr>
              <w:t>递交投标文件的截止时间和递交地点</w:t>
            </w:r>
          </w:p>
        </w:tc>
        <w:tc>
          <w:tcPr>
            <w:tcW w:w="7021" w:type="dxa"/>
            <w:vAlign w:val="center"/>
          </w:tcPr>
          <w:p>
            <w:pPr>
              <w:snapToGrid w:val="0"/>
              <w:jc w:val="both"/>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时间：202</w:t>
            </w:r>
            <w:r>
              <w:rPr>
                <w:rFonts w:hint="eastAsia" w:ascii="仿宋" w:hAnsi="仿宋" w:eastAsia="仿宋" w:cs="仿宋"/>
                <w:b/>
                <w:bCs/>
                <w:color w:val="auto"/>
                <w:sz w:val="22"/>
                <w:szCs w:val="22"/>
                <w:highlight w:val="none"/>
                <w:lang w:val="en-US" w:eastAsia="zh-CN"/>
              </w:rPr>
              <w:t>2</w:t>
            </w:r>
            <w:r>
              <w:rPr>
                <w:rFonts w:hint="eastAsia" w:ascii="仿宋" w:hAnsi="仿宋" w:eastAsia="仿宋" w:cs="仿宋"/>
                <w:b/>
                <w:bCs/>
                <w:color w:val="auto"/>
                <w:sz w:val="22"/>
                <w:szCs w:val="22"/>
                <w:highlight w:val="none"/>
              </w:rPr>
              <w:t>年</w:t>
            </w:r>
            <w:r>
              <w:rPr>
                <w:rFonts w:hint="eastAsia" w:ascii="仿宋" w:hAnsi="仿宋" w:eastAsia="仿宋" w:cs="仿宋"/>
                <w:b/>
                <w:bCs/>
                <w:color w:val="auto"/>
                <w:sz w:val="22"/>
                <w:szCs w:val="22"/>
                <w:highlight w:val="none"/>
                <w:lang w:val="en-US" w:eastAsia="zh-CN"/>
              </w:rPr>
              <w:t>07</w:t>
            </w:r>
            <w:r>
              <w:rPr>
                <w:rFonts w:hint="eastAsia" w:ascii="仿宋" w:hAnsi="仿宋" w:eastAsia="仿宋" w:cs="仿宋"/>
                <w:b/>
                <w:bCs/>
                <w:color w:val="auto"/>
                <w:sz w:val="22"/>
                <w:szCs w:val="22"/>
                <w:highlight w:val="none"/>
              </w:rPr>
              <w:t>月</w:t>
            </w:r>
            <w:r>
              <w:rPr>
                <w:rFonts w:hint="eastAsia" w:ascii="仿宋" w:hAnsi="仿宋" w:eastAsia="仿宋" w:cs="仿宋"/>
                <w:b/>
                <w:bCs/>
                <w:color w:val="auto"/>
                <w:sz w:val="22"/>
                <w:szCs w:val="22"/>
                <w:highlight w:val="none"/>
                <w:lang w:val="en-US" w:eastAsia="zh-CN"/>
              </w:rPr>
              <w:t>11</w:t>
            </w:r>
            <w:r>
              <w:rPr>
                <w:rFonts w:hint="eastAsia" w:ascii="仿宋" w:hAnsi="仿宋" w:eastAsia="仿宋" w:cs="仿宋"/>
                <w:b/>
                <w:bCs/>
                <w:color w:val="auto"/>
                <w:sz w:val="22"/>
                <w:szCs w:val="22"/>
                <w:highlight w:val="none"/>
              </w:rPr>
              <w:t>日</w:t>
            </w:r>
            <w:r>
              <w:rPr>
                <w:rFonts w:hint="eastAsia" w:ascii="仿宋" w:hAnsi="仿宋" w:eastAsia="仿宋" w:cs="仿宋"/>
                <w:b/>
                <w:bCs/>
                <w:color w:val="auto"/>
                <w:sz w:val="22"/>
                <w:szCs w:val="22"/>
                <w:highlight w:val="none"/>
                <w:lang w:val="en-US" w:eastAsia="zh-CN"/>
              </w:rPr>
              <w:t>14</w:t>
            </w:r>
            <w:r>
              <w:rPr>
                <w:rFonts w:hint="eastAsia" w:ascii="仿宋" w:hAnsi="仿宋" w:eastAsia="仿宋" w:cs="仿宋"/>
                <w:b/>
                <w:bCs/>
                <w:color w:val="auto"/>
                <w:sz w:val="22"/>
                <w:szCs w:val="22"/>
                <w:highlight w:val="none"/>
              </w:rPr>
              <w:t>时30分(北京时间)</w:t>
            </w:r>
          </w:p>
          <w:p>
            <w:pPr>
              <w:pStyle w:val="36"/>
              <w:snapToGrid w:val="0"/>
              <w:spacing w:before="0" w:beforeAutospacing="0" w:after="0" w:afterAutospacing="0" w:line="360" w:lineRule="auto"/>
              <w:jc w:val="both"/>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地点：</w:t>
            </w:r>
            <w:r>
              <w:rPr>
                <w:rFonts w:hint="eastAsia" w:ascii="仿宋" w:hAnsi="仿宋" w:eastAsia="仿宋" w:cs="仿宋"/>
                <w:b/>
                <w:bCs/>
                <w:color w:val="auto"/>
                <w:kern w:val="2"/>
                <w:sz w:val="22"/>
                <w:szCs w:val="22"/>
                <w:highlight w:val="none"/>
                <w:lang w:val="en-US" w:eastAsia="zh-CN" w:bidi="ar-SA"/>
              </w:rPr>
              <w:t>西安市雁塔区科技二路71号竹园·天寰国际1107室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25" w:type="dxa"/>
            <w:vMerge w:val="continue"/>
            <w:vAlign w:val="center"/>
          </w:tcPr>
          <w:p>
            <w:pPr>
              <w:snapToGrid w:val="0"/>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b/>
                <w:bCs/>
                <w:color w:val="auto"/>
                <w:sz w:val="22"/>
                <w:szCs w:val="21"/>
              </w:rPr>
            </w:pPr>
            <w:r>
              <w:rPr>
                <w:rFonts w:hint="eastAsia" w:ascii="仿宋" w:hAnsi="仿宋" w:eastAsia="仿宋" w:cs="仿宋"/>
                <w:b/>
                <w:bCs/>
                <w:color w:val="auto"/>
                <w:sz w:val="22"/>
                <w:szCs w:val="21"/>
              </w:rPr>
              <w:t>开标时间和地点</w:t>
            </w:r>
          </w:p>
        </w:tc>
        <w:tc>
          <w:tcPr>
            <w:tcW w:w="7021" w:type="dxa"/>
            <w:vAlign w:val="center"/>
          </w:tcPr>
          <w:p>
            <w:pPr>
              <w:snapToGrid w:val="0"/>
              <w:jc w:val="both"/>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时间：202</w:t>
            </w:r>
            <w:r>
              <w:rPr>
                <w:rFonts w:hint="eastAsia" w:ascii="仿宋" w:hAnsi="仿宋" w:eastAsia="仿宋" w:cs="仿宋"/>
                <w:b/>
                <w:bCs/>
                <w:color w:val="auto"/>
                <w:sz w:val="22"/>
                <w:szCs w:val="22"/>
                <w:highlight w:val="none"/>
                <w:lang w:val="en-US" w:eastAsia="zh-CN"/>
              </w:rPr>
              <w:t>2</w:t>
            </w:r>
            <w:r>
              <w:rPr>
                <w:rFonts w:hint="eastAsia" w:ascii="仿宋" w:hAnsi="仿宋" w:eastAsia="仿宋" w:cs="仿宋"/>
                <w:b/>
                <w:bCs/>
                <w:color w:val="auto"/>
                <w:sz w:val="22"/>
                <w:szCs w:val="22"/>
                <w:highlight w:val="none"/>
              </w:rPr>
              <w:t>年</w:t>
            </w:r>
            <w:r>
              <w:rPr>
                <w:rFonts w:hint="eastAsia" w:ascii="仿宋" w:hAnsi="仿宋" w:eastAsia="仿宋" w:cs="仿宋"/>
                <w:b/>
                <w:bCs/>
                <w:color w:val="auto"/>
                <w:sz w:val="22"/>
                <w:szCs w:val="22"/>
                <w:highlight w:val="none"/>
                <w:lang w:val="en-US" w:eastAsia="zh-CN"/>
              </w:rPr>
              <w:t>07</w:t>
            </w:r>
            <w:r>
              <w:rPr>
                <w:rFonts w:hint="eastAsia" w:ascii="仿宋" w:hAnsi="仿宋" w:eastAsia="仿宋" w:cs="仿宋"/>
                <w:b/>
                <w:bCs/>
                <w:color w:val="auto"/>
                <w:sz w:val="22"/>
                <w:szCs w:val="22"/>
                <w:highlight w:val="none"/>
              </w:rPr>
              <w:t>月</w:t>
            </w:r>
            <w:r>
              <w:rPr>
                <w:rFonts w:hint="eastAsia" w:ascii="仿宋" w:hAnsi="仿宋" w:eastAsia="仿宋" w:cs="仿宋"/>
                <w:b/>
                <w:bCs/>
                <w:color w:val="auto"/>
                <w:sz w:val="22"/>
                <w:szCs w:val="22"/>
                <w:highlight w:val="none"/>
                <w:lang w:val="en-US" w:eastAsia="zh-CN"/>
              </w:rPr>
              <w:t>11</w:t>
            </w:r>
            <w:r>
              <w:rPr>
                <w:rFonts w:hint="eastAsia" w:ascii="仿宋" w:hAnsi="仿宋" w:eastAsia="仿宋" w:cs="仿宋"/>
                <w:b/>
                <w:bCs/>
                <w:color w:val="auto"/>
                <w:sz w:val="22"/>
                <w:szCs w:val="22"/>
                <w:highlight w:val="none"/>
              </w:rPr>
              <w:t>日</w:t>
            </w:r>
            <w:r>
              <w:rPr>
                <w:rFonts w:hint="eastAsia" w:ascii="仿宋" w:hAnsi="仿宋" w:eastAsia="仿宋" w:cs="仿宋"/>
                <w:b/>
                <w:bCs/>
                <w:color w:val="auto"/>
                <w:sz w:val="22"/>
                <w:szCs w:val="22"/>
                <w:highlight w:val="none"/>
                <w:lang w:val="en-US" w:eastAsia="zh-CN"/>
              </w:rPr>
              <w:t>14</w:t>
            </w:r>
            <w:r>
              <w:rPr>
                <w:rFonts w:hint="eastAsia" w:ascii="仿宋" w:hAnsi="仿宋" w:eastAsia="仿宋" w:cs="仿宋"/>
                <w:b/>
                <w:bCs/>
                <w:color w:val="auto"/>
                <w:sz w:val="22"/>
                <w:szCs w:val="22"/>
                <w:highlight w:val="none"/>
              </w:rPr>
              <w:t>时30分(北京时间)</w:t>
            </w:r>
          </w:p>
          <w:p>
            <w:pPr>
              <w:pStyle w:val="36"/>
              <w:snapToGrid w:val="0"/>
              <w:spacing w:before="0" w:beforeAutospacing="0" w:after="0" w:afterAutospacing="0" w:line="360" w:lineRule="auto"/>
              <w:jc w:val="both"/>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地点：</w:t>
            </w:r>
            <w:r>
              <w:rPr>
                <w:rFonts w:hint="eastAsia" w:ascii="仿宋" w:hAnsi="仿宋" w:eastAsia="仿宋" w:cs="仿宋"/>
                <w:b/>
                <w:bCs/>
                <w:color w:val="auto"/>
                <w:kern w:val="2"/>
                <w:sz w:val="22"/>
                <w:szCs w:val="22"/>
                <w:highlight w:val="none"/>
                <w:lang w:val="en-US" w:eastAsia="zh-CN" w:bidi="ar-SA"/>
              </w:rPr>
              <w:t>西安市雁塔区科技二路71号竹园·天寰国际1107室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25" w:type="dxa"/>
            <w:vMerge w:val="continue"/>
            <w:vAlign w:val="center"/>
          </w:tcPr>
          <w:p>
            <w:pPr>
              <w:snapToGrid w:val="0"/>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2"/>
                <w:lang w:val="zh-CN"/>
              </w:rPr>
              <w:t>投标文件是否退还</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25" w:type="dxa"/>
            <w:vMerge w:val="restart"/>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17</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投标保证金</w:t>
            </w:r>
          </w:p>
        </w:tc>
        <w:tc>
          <w:tcPr>
            <w:tcW w:w="7021" w:type="dxa"/>
            <w:vAlign w:val="center"/>
          </w:tcPr>
          <w:p>
            <w:pPr>
              <w:pStyle w:val="4"/>
              <w:keepNext w:val="0"/>
              <w:keepLines w:val="0"/>
              <w:pageBreakBefore w:val="0"/>
              <w:widowControl w:val="0"/>
              <w:kinsoku/>
              <w:wordWrap/>
              <w:topLinePunct w:val="0"/>
              <w:autoSpaceDE/>
              <w:autoSpaceDN/>
              <w:bidi w:val="0"/>
              <w:snapToGrid/>
              <w:jc w:val="both"/>
              <w:rPr>
                <w:rFonts w:hint="eastAsia" w:ascii="仿宋" w:hAnsi="仿宋" w:eastAsia="仿宋" w:cs="仿宋"/>
                <w:sz w:val="22"/>
                <w:szCs w:val="21"/>
              </w:rPr>
            </w:pPr>
            <w:r>
              <w:rPr>
                <w:rFonts w:hint="eastAsia" w:ascii="仿宋" w:hAnsi="仿宋" w:eastAsia="仿宋" w:cs="仿宋"/>
                <w:b w:val="0"/>
                <w:bCs w:val="0"/>
                <w:color w:val="auto"/>
                <w:kern w:val="1"/>
                <w:sz w:val="21"/>
                <w:szCs w:val="21"/>
                <w:lang w:val="en-US" w:eastAsia="zh-CN"/>
              </w:rPr>
              <w:t xml:space="preserve"> 本项目不收取投标保证金，根据西安市财政局关于《促进政府采购公平竞争优化营商环境》的通知，供应商参与西安市政府采购活动，免交招标文件工本费及投标保证金。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25" w:type="dxa"/>
            <w:vMerge w:val="continue"/>
            <w:vAlign w:val="center"/>
          </w:tcPr>
          <w:p>
            <w:pPr>
              <w:snapToGrid w:val="0"/>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投标文件份数</w:t>
            </w:r>
          </w:p>
        </w:tc>
        <w:tc>
          <w:tcPr>
            <w:tcW w:w="7021" w:type="dxa"/>
            <w:vAlign w:val="center"/>
          </w:tcPr>
          <w:p>
            <w:pPr>
              <w:snapToGrid w:val="0"/>
              <w:rPr>
                <w:rFonts w:hint="eastAsia" w:ascii="仿宋" w:hAnsi="仿宋" w:eastAsia="仿宋" w:cs="仿宋"/>
                <w:sz w:val="22"/>
                <w:szCs w:val="21"/>
              </w:rPr>
            </w:pPr>
            <w:r>
              <w:rPr>
                <w:rFonts w:hint="eastAsia" w:ascii="仿宋" w:hAnsi="仿宋" w:eastAsia="仿宋" w:cs="仿宋"/>
                <w:sz w:val="22"/>
                <w:szCs w:val="21"/>
              </w:rPr>
              <w:t>投标文件包含正本1份、副本2份、投标文件电子版U盘2份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25" w:type="dxa"/>
            <w:vMerge w:val="continue"/>
            <w:vAlign w:val="center"/>
          </w:tcPr>
          <w:p>
            <w:pPr>
              <w:snapToGrid w:val="0"/>
              <w:rPr>
                <w:rFonts w:hint="eastAsia" w:ascii="仿宋" w:hAnsi="仿宋" w:eastAsia="仿宋" w:cs="仿宋"/>
                <w:sz w:val="22"/>
                <w:szCs w:val="21"/>
              </w:rPr>
            </w:pP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密封及封套注释</w:t>
            </w:r>
          </w:p>
        </w:tc>
        <w:tc>
          <w:tcPr>
            <w:tcW w:w="7021" w:type="dxa"/>
            <w:vAlign w:val="center"/>
          </w:tcPr>
          <w:p>
            <w:pPr>
              <w:numPr>
                <w:ilvl w:val="0"/>
                <w:numId w:val="0"/>
              </w:numPr>
              <w:snapToGrid w:val="0"/>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投标文件的正本、副本要求各自分装密封（封袋不得有破损），同时在封口处加贴封条并在骑缝处加盖投标人公章；投标文件电子版U盘用小信封包装后随投标文件正本封装。</w:t>
            </w:r>
          </w:p>
          <w:p>
            <w:pPr>
              <w:numPr>
                <w:ilvl w:val="0"/>
                <w:numId w:val="0"/>
              </w:numPr>
              <w:snapToGrid w:val="0"/>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hint="eastAsia" w:ascii="仿宋" w:hAnsi="仿宋" w:eastAsia="仿宋" w:cs="仿宋"/>
                <w:sz w:val="22"/>
                <w:szCs w:val="22"/>
              </w:rPr>
              <w:t>封套上应载明的信息：</w:t>
            </w:r>
          </w:p>
          <w:p>
            <w:pPr>
              <w:snapToGrid w:val="0"/>
              <w:rPr>
                <w:rFonts w:hint="eastAsia" w:ascii="仿宋" w:hAnsi="仿宋" w:eastAsia="仿宋" w:cs="仿宋"/>
                <w:sz w:val="22"/>
                <w:szCs w:val="21"/>
              </w:rPr>
            </w:pPr>
            <w:r>
              <w:rPr>
                <w:rFonts w:hint="eastAsia" w:ascii="仿宋" w:hAnsi="仿宋" w:eastAsia="仿宋" w:cs="仿宋"/>
                <w:sz w:val="22"/>
                <w:szCs w:val="22"/>
              </w:rPr>
              <w:t>项目名称及编号、采购人名称、投标人名称，并注明“</w:t>
            </w:r>
            <w:r>
              <w:rPr>
                <w:rFonts w:hint="eastAsia" w:ascii="仿宋" w:hAnsi="仿宋" w:eastAsia="仿宋" w:cs="仿宋"/>
                <w:sz w:val="22"/>
                <w:szCs w:val="22"/>
                <w:u w:val="single"/>
              </w:rPr>
              <w:t>正副本</w:t>
            </w:r>
            <w:r>
              <w:rPr>
                <w:rFonts w:hint="eastAsia" w:ascii="仿宋" w:hAnsi="仿宋" w:eastAsia="仿宋" w:cs="仿宋"/>
                <w:sz w:val="22"/>
                <w:szCs w:val="22"/>
              </w:rPr>
              <w:t>”及“</w:t>
            </w:r>
            <w:r>
              <w:rPr>
                <w:rFonts w:hint="eastAsia" w:ascii="仿宋" w:hAnsi="仿宋" w:eastAsia="仿宋" w:cs="仿宋"/>
                <w:sz w:val="22"/>
                <w:szCs w:val="22"/>
                <w:u w:val="single"/>
              </w:rPr>
              <w:t xml:space="preserve">在    </w:t>
            </w:r>
            <w:r>
              <w:rPr>
                <w:rFonts w:hint="eastAsia" w:ascii="仿宋" w:hAnsi="仿宋" w:eastAsia="仿宋" w:cs="仿宋"/>
                <w:kern w:val="1"/>
                <w:sz w:val="24"/>
                <w:szCs w:val="24"/>
                <w:highlight w:val="none"/>
                <w:u w:val="single"/>
                <w:lang w:val="en-US" w:eastAsia="zh-CN"/>
              </w:rPr>
              <w:t>2022</w:t>
            </w:r>
            <w:r>
              <w:rPr>
                <w:rFonts w:hint="eastAsia" w:ascii="仿宋" w:hAnsi="仿宋" w:eastAsia="仿宋" w:cs="仿宋"/>
                <w:kern w:val="1"/>
                <w:sz w:val="24"/>
                <w:szCs w:val="24"/>
                <w:highlight w:val="none"/>
                <w:u w:val="single"/>
              </w:rPr>
              <w:t>年</w:t>
            </w:r>
            <w:r>
              <w:rPr>
                <w:rFonts w:hint="eastAsia" w:ascii="仿宋" w:hAnsi="仿宋" w:eastAsia="仿宋" w:cs="仿宋"/>
                <w:kern w:val="1"/>
                <w:sz w:val="24"/>
                <w:szCs w:val="24"/>
                <w:highlight w:val="none"/>
                <w:u w:val="single"/>
                <w:lang w:val="en-US" w:eastAsia="zh-CN"/>
              </w:rPr>
              <w:t>07月11</w:t>
            </w:r>
            <w:r>
              <w:rPr>
                <w:rFonts w:hint="eastAsia" w:ascii="仿宋" w:hAnsi="仿宋" w:eastAsia="仿宋" w:cs="仿宋"/>
                <w:kern w:val="1"/>
                <w:sz w:val="24"/>
                <w:szCs w:val="24"/>
                <w:highlight w:val="none"/>
                <w:u w:val="single"/>
              </w:rPr>
              <w:t>日</w:t>
            </w:r>
            <w:r>
              <w:rPr>
                <w:rFonts w:hint="eastAsia" w:ascii="仿宋" w:hAnsi="仿宋" w:eastAsia="仿宋" w:cs="仿宋"/>
                <w:kern w:val="1"/>
                <w:sz w:val="24"/>
                <w:szCs w:val="24"/>
                <w:highlight w:val="none"/>
                <w:u w:val="single"/>
                <w:lang w:val="en-US" w:eastAsia="zh-CN"/>
              </w:rPr>
              <w:t>14</w:t>
            </w:r>
            <w:r>
              <w:rPr>
                <w:rFonts w:hint="eastAsia" w:ascii="仿宋" w:hAnsi="仿宋" w:eastAsia="仿宋" w:cs="仿宋"/>
                <w:kern w:val="1"/>
                <w:sz w:val="24"/>
                <w:szCs w:val="24"/>
                <w:highlight w:val="none"/>
                <w:u w:val="single"/>
              </w:rPr>
              <w:t>时</w:t>
            </w:r>
            <w:r>
              <w:rPr>
                <w:rFonts w:hint="eastAsia" w:ascii="仿宋" w:hAnsi="仿宋" w:eastAsia="仿宋" w:cs="仿宋"/>
                <w:kern w:val="1"/>
                <w:sz w:val="24"/>
                <w:szCs w:val="24"/>
                <w:highlight w:val="none"/>
                <w:u w:val="single"/>
                <w:lang w:val="en-US" w:eastAsia="zh-CN"/>
              </w:rPr>
              <w:t>30</w:t>
            </w:r>
            <w:r>
              <w:rPr>
                <w:rFonts w:hint="eastAsia" w:ascii="仿宋" w:hAnsi="仿宋" w:eastAsia="仿宋" w:cs="仿宋"/>
                <w:kern w:val="1"/>
                <w:sz w:val="24"/>
                <w:szCs w:val="24"/>
                <w:highlight w:val="none"/>
                <w:u w:val="single"/>
              </w:rPr>
              <w:t>分</w:t>
            </w:r>
            <w:r>
              <w:rPr>
                <w:rFonts w:hint="eastAsia" w:ascii="仿宋" w:hAnsi="仿宋" w:eastAsia="仿宋" w:cs="仿宋"/>
                <w:sz w:val="22"/>
                <w:szCs w:val="22"/>
                <w:u w:val="single"/>
              </w:rPr>
              <w:t>前不得开启</w:t>
            </w:r>
            <w:r>
              <w:rPr>
                <w:rFonts w:hint="eastAsia" w:ascii="仿宋" w:hAnsi="仿宋" w:eastAsia="仿宋" w:cs="仿宋"/>
                <w:sz w:val="22"/>
                <w:szCs w:val="22"/>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5" w:type="dxa"/>
            <w:vMerge w:val="restart"/>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18</w:t>
            </w:r>
          </w:p>
        </w:tc>
        <w:tc>
          <w:tcPr>
            <w:tcW w:w="2069" w:type="dxa"/>
            <w:vAlign w:val="center"/>
          </w:tcPr>
          <w:p>
            <w:pPr>
              <w:snapToGrid w:val="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交付期</w:t>
            </w:r>
          </w:p>
        </w:tc>
        <w:tc>
          <w:tcPr>
            <w:tcW w:w="7021" w:type="dxa"/>
            <w:vAlign w:val="center"/>
          </w:tcPr>
          <w:p>
            <w:pPr>
              <w:snapToGrid w:val="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合同签订后30天（交货、安装调试可投入正常使用）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snapToGrid w:val="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交货地点</w:t>
            </w:r>
          </w:p>
        </w:tc>
        <w:tc>
          <w:tcPr>
            <w:tcW w:w="7021" w:type="dxa"/>
            <w:vAlign w:val="center"/>
          </w:tcPr>
          <w:p>
            <w:pPr>
              <w:snapToGrid w:val="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陕西省长安师范学校附属小学（设备安装位置由采购人指定）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5" w:type="dxa"/>
            <w:vMerge w:val="continue"/>
            <w:vAlign w:val="center"/>
          </w:tcPr>
          <w:p>
            <w:pPr>
              <w:snapToGrid w:val="0"/>
              <w:jc w:val="center"/>
              <w:rPr>
                <w:rFonts w:hint="eastAsia" w:ascii="仿宋" w:hAnsi="仿宋" w:eastAsia="仿宋" w:cs="仿宋"/>
                <w:sz w:val="22"/>
                <w:szCs w:val="21"/>
              </w:rPr>
            </w:pPr>
          </w:p>
        </w:tc>
        <w:tc>
          <w:tcPr>
            <w:tcW w:w="20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660" w:firstLineChars="300"/>
              <w:textAlignment w:val="auto"/>
              <w:rPr>
                <w:rFonts w:hint="default" w:ascii="仿宋" w:hAnsi="仿宋" w:eastAsia="仿宋" w:cs="仿宋"/>
                <w:color w:val="auto"/>
                <w:sz w:val="22"/>
                <w:szCs w:val="21"/>
                <w:highlight w:val="none"/>
                <w:lang w:val="en-US" w:eastAsia="zh-CN"/>
              </w:rPr>
            </w:pPr>
            <w:r>
              <w:rPr>
                <w:rFonts w:hint="eastAsia" w:ascii="仿宋" w:hAnsi="仿宋" w:eastAsia="仿宋" w:cs="仿宋"/>
                <w:color w:val="auto"/>
                <w:sz w:val="22"/>
                <w:szCs w:val="22"/>
                <w:lang w:val="en-US" w:eastAsia="zh-CN"/>
              </w:rPr>
              <w:t>质保期</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1"/>
                <w:highlight w:val="none"/>
                <w:lang w:val="en-US" w:eastAsia="zh-CN"/>
              </w:rPr>
            </w:pPr>
            <w:r>
              <w:rPr>
                <w:rFonts w:hint="eastAsia" w:ascii="仿宋" w:hAnsi="仿宋" w:eastAsia="仿宋" w:cs="仿宋"/>
                <w:color w:val="auto"/>
                <w:sz w:val="22"/>
                <w:szCs w:val="21"/>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25" w:type="dxa"/>
            <w:vMerge w:val="continue"/>
            <w:vAlign w:val="center"/>
          </w:tcPr>
          <w:p>
            <w:pPr>
              <w:snapToGrid w:val="0"/>
              <w:rPr>
                <w:rFonts w:hint="eastAsia" w:ascii="仿宋" w:hAnsi="仿宋" w:eastAsia="仿宋" w:cs="仿宋"/>
                <w:sz w:val="22"/>
                <w:szCs w:val="21"/>
              </w:rPr>
            </w:pPr>
          </w:p>
        </w:tc>
        <w:tc>
          <w:tcPr>
            <w:tcW w:w="2069" w:type="dxa"/>
            <w:shd w:val="clear" w:color="auto" w:fill="auto"/>
            <w:vAlign w:val="center"/>
          </w:tcPr>
          <w:p>
            <w:pPr>
              <w:snapToGrid w:val="0"/>
              <w:jc w:val="center"/>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付款方式</w:t>
            </w:r>
          </w:p>
        </w:tc>
        <w:tc>
          <w:tcPr>
            <w:tcW w:w="70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2"/>
                <w:szCs w:val="21"/>
                <w:highlight w:val="none"/>
              </w:rPr>
            </w:pPr>
            <w:r>
              <w:rPr>
                <w:rFonts w:hint="eastAsia" w:ascii="仿宋" w:hAnsi="仿宋" w:eastAsia="仿宋" w:cs="仿宋"/>
                <w:color w:val="auto"/>
                <w:sz w:val="22"/>
                <w:szCs w:val="21"/>
                <w:highlight w:val="none"/>
                <w:lang w:eastAsia="zh-CN"/>
              </w:rPr>
              <w:t>签订合同后，</w:t>
            </w:r>
            <w:r>
              <w:rPr>
                <w:rFonts w:hint="eastAsia" w:ascii="仿宋" w:hAnsi="仿宋" w:eastAsia="仿宋" w:cs="仿宋"/>
                <w:color w:val="auto"/>
                <w:sz w:val="22"/>
                <w:szCs w:val="21"/>
                <w:highlight w:val="none"/>
                <w:lang w:val="en-US" w:eastAsia="zh-CN"/>
              </w:rPr>
              <w:t>5个工作日内</w:t>
            </w:r>
            <w:r>
              <w:rPr>
                <w:rFonts w:hint="eastAsia" w:ascii="仿宋" w:hAnsi="仿宋" w:eastAsia="仿宋" w:cs="仿宋"/>
                <w:color w:val="auto"/>
                <w:sz w:val="22"/>
                <w:szCs w:val="21"/>
                <w:highlight w:val="none"/>
                <w:lang w:eastAsia="zh-CN"/>
              </w:rPr>
              <w:t>付</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lang w:eastAsia="zh-CN"/>
              </w:rPr>
              <w:t>0%预付款，项目</w:t>
            </w:r>
            <w:r>
              <w:rPr>
                <w:rFonts w:hint="eastAsia" w:ascii="仿宋" w:hAnsi="仿宋" w:eastAsia="仿宋" w:cs="仿宋"/>
                <w:color w:val="auto"/>
                <w:sz w:val="22"/>
                <w:szCs w:val="21"/>
                <w:highlight w:val="none"/>
                <w:lang w:val="en-US" w:eastAsia="zh-CN"/>
              </w:rPr>
              <w:t>结束</w:t>
            </w:r>
            <w:r>
              <w:rPr>
                <w:rFonts w:hint="eastAsia" w:ascii="仿宋" w:hAnsi="仿宋" w:eastAsia="仿宋" w:cs="仿宋"/>
                <w:color w:val="auto"/>
                <w:sz w:val="22"/>
                <w:szCs w:val="21"/>
                <w:highlight w:val="none"/>
                <w:lang w:eastAsia="zh-CN"/>
              </w:rPr>
              <w:t>验收合格</w:t>
            </w:r>
            <w:r>
              <w:rPr>
                <w:rFonts w:hint="eastAsia" w:ascii="仿宋" w:hAnsi="仿宋" w:eastAsia="仿宋" w:cs="仿宋"/>
                <w:color w:val="auto"/>
                <w:sz w:val="22"/>
                <w:szCs w:val="21"/>
                <w:highlight w:val="none"/>
                <w:lang w:val="en-US" w:eastAsia="zh-CN"/>
              </w:rPr>
              <w:t>后5个工作日内支付50</w:t>
            </w:r>
            <w:r>
              <w:rPr>
                <w:rFonts w:hint="eastAsia" w:ascii="仿宋" w:hAnsi="仿宋" w:eastAsia="仿宋" w:cs="仿宋"/>
                <w:color w:val="auto"/>
                <w:sz w:val="22"/>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19</w:t>
            </w:r>
          </w:p>
        </w:tc>
        <w:tc>
          <w:tcPr>
            <w:tcW w:w="2069" w:type="dxa"/>
            <w:shd w:val="clear" w:color="auto" w:fill="auto"/>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采购代理服务费</w:t>
            </w:r>
          </w:p>
        </w:tc>
        <w:tc>
          <w:tcPr>
            <w:tcW w:w="7021" w:type="dxa"/>
            <w:shd w:val="clear" w:color="auto" w:fill="auto"/>
            <w:vAlign w:val="center"/>
          </w:tcPr>
          <w:p>
            <w:pPr>
              <w:snapToGrid w:val="0"/>
              <w:rPr>
                <w:rFonts w:hint="eastAsia" w:ascii="仿宋" w:hAnsi="仿宋" w:eastAsia="仿宋" w:cs="仿宋"/>
                <w:sz w:val="22"/>
                <w:szCs w:val="21"/>
              </w:rPr>
            </w:pPr>
            <w:r>
              <w:rPr>
                <w:rFonts w:hint="eastAsia" w:ascii="仿宋" w:hAnsi="仿宋" w:eastAsia="仿宋" w:cs="仿宋"/>
                <w:sz w:val="22"/>
                <w:szCs w:val="21"/>
              </w:rPr>
              <w:t>1</w:t>
            </w:r>
            <w:r>
              <w:rPr>
                <w:rFonts w:hint="eastAsia" w:ascii="仿宋" w:hAnsi="仿宋" w:eastAsia="仿宋" w:cs="仿宋"/>
                <w:sz w:val="22"/>
                <w:szCs w:val="21"/>
                <w:lang w:val="en-US" w:eastAsia="zh-CN"/>
              </w:rPr>
              <w:t>.</w:t>
            </w:r>
            <w:r>
              <w:rPr>
                <w:rFonts w:hint="eastAsia" w:ascii="仿宋" w:hAnsi="仿宋" w:eastAsia="仿宋" w:cs="仿宋"/>
                <w:sz w:val="22"/>
                <w:szCs w:val="21"/>
              </w:rPr>
              <w:t>本项目由中标人向采购代理机构交纳招标代理服务费，招标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收取，此服务费投标人可考虑在投标总报价中，采购人不再另行支付，服务费具体金额后续见本项目采购结果公告。</w:t>
            </w:r>
          </w:p>
          <w:p>
            <w:pPr>
              <w:snapToGrid w:val="0"/>
              <w:rPr>
                <w:rFonts w:hint="eastAsia" w:ascii="仿宋" w:hAnsi="仿宋" w:eastAsia="仿宋" w:cs="仿宋"/>
                <w:sz w:val="22"/>
                <w:szCs w:val="21"/>
              </w:rPr>
            </w:pPr>
            <w:r>
              <w:rPr>
                <w:rFonts w:hint="eastAsia" w:ascii="仿宋" w:hAnsi="仿宋" w:eastAsia="仿宋" w:cs="仿宋"/>
                <w:sz w:val="22"/>
                <w:szCs w:val="21"/>
              </w:rPr>
              <w:t>2</w:t>
            </w:r>
            <w:r>
              <w:rPr>
                <w:rFonts w:hint="eastAsia" w:ascii="仿宋" w:hAnsi="仿宋" w:eastAsia="仿宋" w:cs="仿宋"/>
                <w:sz w:val="22"/>
                <w:szCs w:val="21"/>
                <w:lang w:val="en-US" w:eastAsia="zh-CN"/>
              </w:rPr>
              <w:t>.</w:t>
            </w:r>
            <w:r>
              <w:rPr>
                <w:rFonts w:hint="eastAsia" w:ascii="仿宋" w:hAnsi="仿宋" w:eastAsia="仿宋" w:cs="仿宋"/>
                <w:sz w:val="22"/>
                <w:szCs w:val="21"/>
              </w:rPr>
              <w:t>招标代理服务费的交纳方式：在领取《中标通知书》时向采购代理机构一次性全额交纳招标代理服务费。</w:t>
            </w:r>
          </w:p>
          <w:p>
            <w:pPr>
              <w:snapToGrid w:val="0"/>
              <w:rPr>
                <w:rFonts w:hint="eastAsia" w:ascii="仿宋" w:hAnsi="仿宋" w:eastAsia="仿宋" w:cs="仿宋"/>
                <w:sz w:val="22"/>
                <w:szCs w:val="21"/>
              </w:rPr>
            </w:pPr>
            <w:r>
              <w:rPr>
                <w:rFonts w:hint="eastAsia" w:ascii="仿宋" w:hAnsi="仿宋" w:eastAsia="仿宋" w:cs="仿宋"/>
                <w:sz w:val="22"/>
                <w:szCs w:val="21"/>
              </w:rPr>
              <w:t>3</w:t>
            </w:r>
            <w:r>
              <w:rPr>
                <w:rFonts w:hint="eastAsia" w:ascii="仿宋" w:hAnsi="仿宋" w:eastAsia="仿宋" w:cs="仿宋"/>
                <w:sz w:val="22"/>
                <w:szCs w:val="21"/>
                <w:lang w:val="en-US" w:eastAsia="zh-CN"/>
              </w:rPr>
              <w:t>.</w:t>
            </w:r>
            <w:r>
              <w:rPr>
                <w:rFonts w:hint="eastAsia" w:ascii="仿宋" w:hAnsi="仿宋" w:eastAsia="仿宋" w:cs="仿宋"/>
                <w:sz w:val="22"/>
                <w:szCs w:val="21"/>
              </w:rPr>
              <w:t>招标代理服务费以转账形式缴纳至以下账户：</w:t>
            </w:r>
          </w:p>
          <w:p>
            <w:pPr>
              <w:snapToGrid w:val="0"/>
              <w:rPr>
                <w:rFonts w:hint="eastAsia" w:ascii="仿宋" w:hAnsi="仿宋" w:eastAsia="仿宋" w:cs="仿宋"/>
                <w:sz w:val="22"/>
                <w:szCs w:val="22"/>
              </w:rPr>
            </w:pPr>
            <w:r>
              <w:rPr>
                <w:rFonts w:hint="eastAsia" w:ascii="仿宋" w:hAnsi="仿宋" w:eastAsia="仿宋" w:cs="仿宋"/>
                <w:sz w:val="22"/>
                <w:szCs w:val="22"/>
              </w:rPr>
              <w:t xml:space="preserve">交纳账户户名：同正项目管理有限公司 </w:t>
            </w:r>
          </w:p>
          <w:p>
            <w:pPr>
              <w:snapToGrid w:val="0"/>
              <w:rPr>
                <w:rFonts w:hint="eastAsia" w:ascii="仿宋" w:hAnsi="仿宋" w:eastAsia="仿宋" w:cs="仿宋"/>
                <w:sz w:val="22"/>
                <w:szCs w:val="22"/>
              </w:rPr>
            </w:pPr>
            <w:r>
              <w:rPr>
                <w:rFonts w:hint="eastAsia" w:ascii="仿宋" w:hAnsi="仿宋" w:eastAsia="仿宋" w:cs="仿宋"/>
                <w:sz w:val="22"/>
                <w:szCs w:val="22"/>
              </w:rPr>
              <w:t>开户行：中信银行股份有限公司西安经济技术开发区支行</w:t>
            </w:r>
          </w:p>
          <w:p>
            <w:pPr>
              <w:snapToGrid w:val="0"/>
              <w:rPr>
                <w:rFonts w:hint="eastAsia" w:ascii="仿宋" w:hAnsi="仿宋" w:eastAsia="仿宋" w:cs="仿宋"/>
                <w:sz w:val="22"/>
                <w:szCs w:val="21"/>
              </w:rPr>
            </w:pPr>
            <w:r>
              <w:rPr>
                <w:rFonts w:hint="eastAsia" w:ascii="仿宋" w:hAnsi="仿宋" w:eastAsia="仿宋" w:cs="仿宋"/>
                <w:sz w:val="22"/>
                <w:szCs w:val="22"/>
              </w:rPr>
              <w:t>账号：7251210182600131313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20</w:t>
            </w:r>
          </w:p>
        </w:tc>
        <w:tc>
          <w:tcPr>
            <w:tcW w:w="2069" w:type="dxa"/>
            <w:vAlign w:val="center"/>
          </w:tcPr>
          <w:p>
            <w:pPr>
              <w:pStyle w:val="149"/>
              <w:ind w:left="96"/>
              <w:jc w:val="center"/>
              <w:rPr>
                <w:rFonts w:hint="eastAsia" w:ascii="仿宋" w:hAnsi="仿宋" w:eastAsia="仿宋" w:cs="仿宋"/>
                <w:kern w:val="2"/>
                <w:sz w:val="22"/>
                <w:szCs w:val="22"/>
                <w:lang w:val="zh-CN"/>
              </w:rPr>
            </w:pPr>
            <w:r>
              <w:rPr>
                <w:rFonts w:hint="eastAsia" w:ascii="仿宋" w:hAnsi="仿宋" w:eastAsia="仿宋" w:cs="仿宋"/>
                <w:kern w:val="2"/>
                <w:sz w:val="22"/>
                <w:szCs w:val="22"/>
                <w:lang w:val="zh-CN"/>
              </w:rPr>
              <w:t>中标公告的时间、</w:t>
            </w:r>
          </w:p>
          <w:p>
            <w:pPr>
              <w:pStyle w:val="149"/>
              <w:ind w:left="96"/>
              <w:jc w:val="center"/>
              <w:rPr>
                <w:rFonts w:hint="eastAsia" w:ascii="仿宋" w:hAnsi="仿宋" w:eastAsia="仿宋" w:cs="仿宋"/>
                <w:sz w:val="28"/>
                <w:szCs w:val="28"/>
              </w:rPr>
            </w:pPr>
            <w:r>
              <w:rPr>
                <w:rFonts w:hint="eastAsia" w:ascii="仿宋" w:hAnsi="仿宋" w:eastAsia="仿宋" w:cs="仿宋"/>
                <w:kern w:val="2"/>
                <w:sz w:val="22"/>
                <w:szCs w:val="22"/>
                <w:lang w:val="zh-CN"/>
              </w:rPr>
              <w:t>媒介和期限</w:t>
            </w:r>
          </w:p>
        </w:tc>
        <w:tc>
          <w:tcPr>
            <w:tcW w:w="7021" w:type="dxa"/>
            <w:vAlign w:val="center"/>
          </w:tcPr>
          <w:p>
            <w:pPr>
              <w:pStyle w:val="13"/>
              <w:spacing w:beforeLines="50"/>
              <w:ind w:firstLine="0"/>
              <w:rPr>
                <w:rFonts w:hint="eastAsia" w:ascii="仿宋" w:hAnsi="仿宋" w:eastAsia="仿宋" w:cs="仿宋"/>
                <w:kern w:val="2"/>
                <w:sz w:val="22"/>
                <w:szCs w:val="22"/>
                <w:lang w:val="zh-CN"/>
              </w:rPr>
            </w:pPr>
            <w:r>
              <w:rPr>
                <w:rFonts w:hint="eastAsia" w:ascii="仿宋" w:hAnsi="仿宋" w:eastAsia="仿宋" w:cs="仿宋"/>
                <w:kern w:val="2"/>
                <w:sz w:val="22"/>
                <w:szCs w:val="22"/>
                <w:lang w:val="zh-CN"/>
              </w:rPr>
              <w:t>公告时间：</w:t>
            </w:r>
            <w:r>
              <w:rPr>
                <w:rFonts w:hint="eastAsia" w:ascii="仿宋" w:hAnsi="仿宋" w:eastAsia="仿宋" w:cs="仿宋"/>
                <w:kern w:val="2"/>
                <w:sz w:val="22"/>
                <w:szCs w:val="22"/>
              </w:rPr>
              <w:t>在确定中标人之日起2个工作日内</w:t>
            </w:r>
          </w:p>
          <w:p>
            <w:pPr>
              <w:pStyle w:val="149"/>
              <w:jc w:val="both"/>
              <w:rPr>
                <w:rFonts w:hint="eastAsia" w:ascii="仿宋" w:hAnsi="仿宋" w:eastAsia="仿宋" w:cs="仿宋"/>
                <w:kern w:val="2"/>
                <w:sz w:val="22"/>
                <w:szCs w:val="22"/>
                <w:lang w:val="zh-CN"/>
              </w:rPr>
            </w:pPr>
            <w:r>
              <w:rPr>
                <w:rFonts w:hint="eastAsia" w:ascii="仿宋" w:hAnsi="仿宋" w:eastAsia="仿宋" w:cs="仿宋"/>
                <w:kern w:val="2"/>
                <w:sz w:val="22"/>
                <w:szCs w:val="22"/>
                <w:lang w:val="zh-CN"/>
              </w:rPr>
              <w:t>公告媒介：陕西省政府采购网</w:t>
            </w:r>
          </w:p>
          <w:p>
            <w:pPr>
              <w:pStyle w:val="149"/>
              <w:jc w:val="both"/>
              <w:rPr>
                <w:rFonts w:hint="eastAsia" w:ascii="仿宋" w:hAnsi="仿宋" w:eastAsia="仿宋" w:cs="仿宋"/>
                <w:sz w:val="28"/>
                <w:szCs w:val="28"/>
              </w:rPr>
            </w:pPr>
            <w:r>
              <w:rPr>
                <w:rFonts w:hint="eastAsia" w:ascii="仿宋" w:hAnsi="仿宋" w:eastAsia="仿宋" w:cs="仿宋"/>
                <w:kern w:val="2"/>
                <w:sz w:val="22"/>
                <w:szCs w:val="22"/>
                <w:lang w:val="zh-CN"/>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21</w:t>
            </w:r>
          </w:p>
        </w:tc>
        <w:tc>
          <w:tcPr>
            <w:tcW w:w="2069"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1"/>
              </w:rPr>
              <w:t>其   他</w:t>
            </w:r>
          </w:p>
        </w:tc>
        <w:tc>
          <w:tcPr>
            <w:tcW w:w="7021" w:type="dxa"/>
            <w:vAlign w:val="center"/>
          </w:tcPr>
          <w:p>
            <w:pPr>
              <w:snapToGrid w:val="0"/>
              <w:jc w:val="left"/>
              <w:rPr>
                <w:rFonts w:hint="eastAsia" w:ascii="仿宋" w:hAnsi="仿宋" w:eastAsia="仿宋" w:cs="仿宋"/>
                <w:sz w:val="21"/>
                <w:szCs w:val="20"/>
              </w:rPr>
            </w:pPr>
            <w:r>
              <w:rPr>
                <w:rFonts w:hint="eastAsia" w:ascii="仿宋" w:hAnsi="仿宋" w:eastAsia="仿宋" w:cs="仿宋"/>
                <w:sz w:val="21"/>
                <w:szCs w:val="20"/>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2"/>
              </w:rPr>
              <w:t>22</w:t>
            </w:r>
          </w:p>
        </w:tc>
        <w:tc>
          <w:tcPr>
            <w:tcW w:w="2069" w:type="dxa"/>
            <w:vAlign w:val="center"/>
          </w:tcPr>
          <w:p>
            <w:pPr>
              <w:pStyle w:val="149"/>
              <w:jc w:val="center"/>
              <w:rPr>
                <w:rFonts w:hint="eastAsia" w:ascii="仿宋" w:hAnsi="仿宋" w:eastAsia="仿宋" w:cs="仿宋"/>
                <w:kern w:val="2"/>
                <w:sz w:val="22"/>
                <w:szCs w:val="22"/>
                <w:lang w:val="zh-CN"/>
              </w:rPr>
            </w:pPr>
            <w:r>
              <w:rPr>
                <w:rFonts w:hint="eastAsia" w:ascii="仿宋" w:hAnsi="仿宋" w:eastAsia="仿宋" w:cs="仿宋"/>
                <w:kern w:val="2"/>
                <w:sz w:val="22"/>
                <w:szCs w:val="22"/>
                <w:lang w:val="zh-CN"/>
              </w:rPr>
              <w:t>开标现场是否</w:t>
            </w:r>
          </w:p>
          <w:p>
            <w:pPr>
              <w:pStyle w:val="149"/>
              <w:jc w:val="center"/>
              <w:rPr>
                <w:rFonts w:hint="eastAsia" w:ascii="仿宋" w:hAnsi="仿宋" w:eastAsia="仿宋" w:cs="仿宋"/>
                <w:sz w:val="28"/>
                <w:szCs w:val="28"/>
              </w:rPr>
            </w:pPr>
            <w:r>
              <w:rPr>
                <w:rFonts w:hint="eastAsia" w:ascii="仿宋" w:hAnsi="仿宋" w:eastAsia="仿宋" w:cs="仿宋"/>
                <w:kern w:val="2"/>
                <w:sz w:val="22"/>
                <w:szCs w:val="22"/>
                <w:lang w:val="zh-CN"/>
              </w:rPr>
              <w:t>演示</w:t>
            </w:r>
            <w:r>
              <w:rPr>
                <w:rFonts w:hint="eastAsia" w:ascii="仿宋" w:hAnsi="仿宋" w:eastAsia="仿宋" w:cs="仿宋"/>
                <w:kern w:val="2"/>
                <w:sz w:val="22"/>
                <w:szCs w:val="22"/>
              </w:rPr>
              <w:t>或</w:t>
            </w:r>
            <w:r>
              <w:rPr>
                <w:rFonts w:hint="eastAsia" w:ascii="仿宋" w:hAnsi="仿宋" w:eastAsia="仿宋" w:cs="仿宋"/>
                <w:kern w:val="2"/>
                <w:sz w:val="22"/>
                <w:szCs w:val="22"/>
                <w:lang w:val="zh-CN"/>
              </w:rPr>
              <w:t>述标</w:t>
            </w:r>
          </w:p>
        </w:tc>
        <w:tc>
          <w:tcPr>
            <w:tcW w:w="7021" w:type="dxa"/>
            <w:vAlign w:val="center"/>
          </w:tcPr>
          <w:p>
            <w:pPr>
              <w:spacing w:line="320" w:lineRule="exact"/>
              <w:ind w:right="105" w:rightChars="50"/>
              <w:jc w:val="left"/>
              <w:rPr>
                <w:rFonts w:hint="eastAsia" w:ascii="仿宋" w:hAnsi="仿宋" w:eastAsia="仿宋" w:cs="仿宋"/>
                <w:sz w:val="22"/>
                <w:szCs w:val="24"/>
              </w:rPr>
            </w:pPr>
            <w:r>
              <w:rPr>
                <w:rFonts w:hint="eastAsia" w:ascii="仿宋" w:hAnsi="仿宋" w:eastAsia="仿宋" w:cs="仿宋"/>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2"/>
              </w:rPr>
              <w:t>23</w:t>
            </w:r>
          </w:p>
        </w:tc>
        <w:tc>
          <w:tcPr>
            <w:tcW w:w="2069" w:type="dxa"/>
            <w:vAlign w:val="center"/>
          </w:tcPr>
          <w:p>
            <w:pPr>
              <w:pStyle w:val="149"/>
              <w:jc w:val="center"/>
              <w:rPr>
                <w:rFonts w:hint="eastAsia" w:ascii="仿宋" w:hAnsi="仿宋" w:eastAsia="仿宋" w:cs="仿宋"/>
                <w:kern w:val="2"/>
                <w:sz w:val="22"/>
                <w:szCs w:val="22"/>
                <w:lang w:val="zh-CN"/>
              </w:rPr>
            </w:pPr>
            <w:r>
              <w:rPr>
                <w:rFonts w:hint="eastAsia" w:ascii="仿宋" w:hAnsi="仿宋" w:eastAsia="仿宋" w:cs="仿宋"/>
                <w:kern w:val="2"/>
                <w:sz w:val="22"/>
                <w:szCs w:val="22"/>
                <w:lang w:val="zh-CN"/>
              </w:rPr>
              <w:t>开标现场是否</w:t>
            </w:r>
          </w:p>
          <w:p>
            <w:pPr>
              <w:pStyle w:val="149"/>
              <w:jc w:val="center"/>
              <w:rPr>
                <w:rFonts w:hint="eastAsia" w:ascii="仿宋" w:hAnsi="仿宋" w:eastAsia="仿宋" w:cs="仿宋"/>
                <w:sz w:val="28"/>
                <w:szCs w:val="28"/>
              </w:rPr>
            </w:pPr>
            <w:r>
              <w:rPr>
                <w:rFonts w:hint="eastAsia" w:ascii="仿宋" w:hAnsi="仿宋" w:eastAsia="仿宋" w:cs="仿宋"/>
                <w:kern w:val="2"/>
                <w:sz w:val="22"/>
                <w:szCs w:val="22"/>
                <w:lang w:val="zh-CN"/>
              </w:rPr>
              <w:t>提供样品</w:t>
            </w:r>
          </w:p>
        </w:tc>
        <w:tc>
          <w:tcPr>
            <w:tcW w:w="7021" w:type="dxa"/>
            <w:vAlign w:val="center"/>
          </w:tcPr>
          <w:p>
            <w:pPr>
              <w:spacing w:line="340" w:lineRule="exact"/>
              <w:ind w:right="105" w:rightChars="50"/>
              <w:jc w:val="left"/>
              <w:rPr>
                <w:rFonts w:hint="eastAsia" w:ascii="仿宋" w:hAnsi="仿宋" w:eastAsia="仿宋" w:cs="仿宋"/>
                <w:sz w:val="22"/>
                <w:szCs w:val="24"/>
              </w:rPr>
            </w:pPr>
            <w:r>
              <w:rPr>
                <w:rFonts w:hint="eastAsia" w:ascii="仿宋" w:hAnsi="仿宋" w:eastAsia="仿宋" w:cs="仿宋"/>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25" w:type="dxa"/>
            <w:vAlign w:val="center"/>
          </w:tcPr>
          <w:p>
            <w:pPr>
              <w:snapToGrid w:val="0"/>
              <w:jc w:val="center"/>
              <w:rPr>
                <w:rFonts w:hint="eastAsia" w:ascii="仿宋" w:hAnsi="仿宋" w:eastAsia="仿宋" w:cs="仿宋"/>
                <w:sz w:val="22"/>
                <w:szCs w:val="21"/>
              </w:rPr>
            </w:pPr>
            <w:r>
              <w:rPr>
                <w:rFonts w:hint="eastAsia" w:ascii="仿宋" w:hAnsi="仿宋" w:eastAsia="仿宋" w:cs="仿宋"/>
                <w:sz w:val="22"/>
                <w:szCs w:val="22"/>
              </w:rPr>
              <w:t>24</w:t>
            </w:r>
          </w:p>
        </w:tc>
        <w:tc>
          <w:tcPr>
            <w:tcW w:w="2069" w:type="dxa"/>
            <w:vAlign w:val="center"/>
          </w:tcPr>
          <w:p>
            <w:pPr>
              <w:pStyle w:val="149"/>
              <w:jc w:val="center"/>
              <w:rPr>
                <w:rFonts w:hint="eastAsia" w:ascii="仿宋" w:hAnsi="仿宋" w:eastAsia="仿宋" w:cs="仿宋"/>
                <w:sz w:val="28"/>
                <w:szCs w:val="28"/>
              </w:rPr>
            </w:pPr>
            <w:r>
              <w:rPr>
                <w:rFonts w:hint="eastAsia" w:ascii="仿宋" w:hAnsi="仿宋" w:eastAsia="仿宋" w:cs="仿宋"/>
                <w:kern w:val="2"/>
                <w:sz w:val="22"/>
                <w:szCs w:val="22"/>
              </w:rPr>
              <w:t>履约保证金</w:t>
            </w:r>
          </w:p>
        </w:tc>
        <w:tc>
          <w:tcPr>
            <w:tcW w:w="7021" w:type="dxa"/>
            <w:vAlign w:val="center"/>
          </w:tcPr>
          <w:p>
            <w:pPr>
              <w:pStyle w:val="39"/>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履约担保的形式：银行转帐</w:t>
            </w:r>
          </w:p>
          <w:p>
            <w:pPr>
              <w:pStyle w:val="39"/>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履约担保的金额：履约保证金为合同总价款的5%。由成交单位在签订合同前缴纳至采购单位指定账户；一年后无息退还，维保服务继续按照合同约定执行。</w:t>
            </w:r>
          </w:p>
          <w:p>
            <w:pPr>
              <w:pStyle w:val="39"/>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Fonts w:hint="eastAsia" w:ascii="仿宋" w:hAnsi="仿宋" w:eastAsia="仿宋" w:cs="仿宋"/>
                <w:sz w:val="22"/>
                <w:szCs w:val="24"/>
              </w:rPr>
            </w:pPr>
            <w:r>
              <w:rPr>
                <w:rFonts w:hint="eastAsia" w:ascii="仿宋" w:hAnsi="仿宋" w:eastAsia="仿宋" w:cs="仿宋"/>
                <w:kern w:val="2"/>
                <w:sz w:val="22"/>
                <w:szCs w:val="22"/>
                <w:highlight w:val="none"/>
                <w:lang w:val="en-US" w:eastAsia="zh-CN" w:bidi="ar-SA"/>
              </w:rPr>
              <w:t>在验收合格前，已经缴纳履约保证金的，采购人不得同时预留本项目质保金。</w:t>
            </w:r>
          </w:p>
        </w:tc>
      </w:tr>
    </w:tbl>
    <w:p>
      <w:pPr>
        <w:pStyle w:val="71"/>
        <w:rPr>
          <w:rFonts w:hint="eastAsia" w:ascii="仿宋" w:hAnsi="仿宋" w:eastAsia="仿宋" w:cs="仿宋"/>
          <w:snapToGrid/>
          <w:spacing w:val="0"/>
          <w:szCs w:val="22"/>
        </w:rPr>
      </w:pPr>
      <w:r>
        <w:rPr>
          <w:rFonts w:hint="eastAsia" w:ascii="仿宋" w:hAnsi="仿宋" w:eastAsia="仿宋" w:cs="仿宋"/>
          <w:snapToGrid/>
          <w:spacing w:val="0"/>
          <w:szCs w:val="22"/>
        </w:rPr>
        <w:t>注：投标人须知前附表与招标文件正文不一致的以投标人须知前附表为准</w:t>
      </w:r>
    </w:p>
    <w:bookmarkEnd w:id="50"/>
    <w:bookmarkEnd w:id="51"/>
    <w:p>
      <w:pPr>
        <w:pStyle w:val="4"/>
        <w:ind w:firstLine="3520" w:firstLineChars="1100"/>
        <w:jc w:val="both"/>
        <w:rPr>
          <w:rFonts w:hint="eastAsia" w:ascii="黑体" w:hAnsi="黑体" w:eastAsia="黑体" w:cs="黑体"/>
          <w:b w:val="0"/>
          <w:bCs w:val="0"/>
        </w:rPr>
      </w:pPr>
      <w:bookmarkStart w:id="53" w:name="_Toc25053"/>
      <w:bookmarkStart w:id="54" w:name="_Toc2796"/>
      <w:bookmarkStart w:id="55" w:name="_Toc24712"/>
      <w:bookmarkStart w:id="56" w:name="_Toc32725"/>
      <w:bookmarkStart w:id="57" w:name="_Toc30960"/>
      <w:bookmarkStart w:id="58" w:name="_Toc23249"/>
      <w:bookmarkStart w:id="59" w:name="_Toc4337"/>
      <w:bookmarkStart w:id="60" w:name="_Toc3248"/>
      <w:bookmarkStart w:id="61" w:name="_Toc7365"/>
      <w:bookmarkStart w:id="62" w:name="_Toc13154"/>
      <w:bookmarkStart w:id="63" w:name="_Toc26974"/>
      <w:bookmarkStart w:id="64" w:name="_Toc27190"/>
      <w:bookmarkStart w:id="65" w:name="_Toc27632"/>
      <w:bookmarkStart w:id="66" w:name="_Toc25941_WPSOffice_Level1"/>
      <w:bookmarkStart w:id="67" w:name="_Toc175973404"/>
      <w:bookmarkStart w:id="68" w:name="_Toc531189843"/>
      <w:r>
        <w:rPr>
          <w:rFonts w:hint="eastAsia" w:ascii="黑体" w:hAnsi="黑体" w:eastAsia="黑体" w:cs="黑体"/>
          <w:b w:val="0"/>
          <w:bCs w:val="0"/>
        </w:rPr>
        <w:t>投标须知正文</w:t>
      </w:r>
    </w:p>
    <w:p>
      <w:pPr>
        <w:tabs>
          <w:tab w:val="left" w:pos="7665"/>
        </w:tabs>
        <w:spacing w:beforeLines="50" w:afterLines="50" w:line="360" w:lineRule="auto"/>
        <w:ind w:firstLine="1"/>
        <w:rPr>
          <w:rFonts w:ascii="楷体" w:hAnsi="楷体" w:eastAsia="楷体" w:cs="楷体"/>
          <w:b/>
          <w:bCs w:val="0"/>
          <w:sz w:val="24"/>
          <w:szCs w:val="24"/>
        </w:rPr>
      </w:pPr>
      <w:r>
        <w:rPr>
          <w:rFonts w:hint="eastAsia" w:ascii="黑体" w:hAnsi="黑体" w:eastAsia="黑体" w:cs="黑体"/>
          <w:b/>
          <w:bCs w:val="0"/>
          <w:sz w:val="24"/>
          <w:szCs w:val="24"/>
        </w:rPr>
        <w:t>一、名词解释</w:t>
      </w:r>
    </w:p>
    <w:p>
      <w:pPr>
        <w:adjustRightInd w:val="0"/>
        <w:snapToGrid w:val="0"/>
        <w:spacing w:beforeLines="50"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采购人</w:t>
      </w:r>
      <w:r>
        <w:rPr>
          <w:rFonts w:hint="eastAsia" w:ascii="仿宋" w:hAnsi="仿宋" w:eastAsia="仿宋" w:cs="仿宋"/>
          <w:kern w:val="0"/>
          <w:sz w:val="24"/>
          <w:szCs w:val="24"/>
        </w:rPr>
        <w:t>系指依法进行政府采购的国家机关、事业单位、团体组织。本次采购的采购人名称、地址、电话、联系人见投标人须知前附表。</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监督机构</w:t>
      </w:r>
      <w:r>
        <w:rPr>
          <w:rFonts w:hint="eastAsia" w:ascii="仿宋" w:hAnsi="仿宋" w:eastAsia="仿宋" w:cs="仿宋"/>
          <w:kern w:val="0"/>
          <w:sz w:val="24"/>
          <w:szCs w:val="24"/>
        </w:rPr>
        <w:t>系指政府采购行政监督管理部门</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本次采购的监督机构</w:t>
      </w:r>
      <w:r>
        <w:rPr>
          <w:rFonts w:hint="eastAsia" w:ascii="仿宋" w:hAnsi="仿宋" w:eastAsia="仿宋" w:cs="仿宋"/>
          <w:kern w:val="0"/>
          <w:sz w:val="24"/>
          <w:szCs w:val="24"/>
          <w:lang w:val="en-US" w:eastAsia="zh-CN"/>
        </w:rPr>
        <w:t>为</w:t>
      </w:r>
      <w:r>
        <w:rPr>
          <w:rFonts w:hint="eastAsia" w:ascii="仿宋" w:hAnsi="仿宋" w:eastAsia="仿宋" w:cs="仿宋"/>
          <w:kern w:val="0"/>
          <w:sz w:val="24"/>
          <w:szCs w:val="24"/>
          <w:u w:val="none"/>
          <w:lang w:val="en-US" w:eastAsia="zh-CN"/>
        </w:rPr>
        <w:t>西安市财政局</w:t>
      </w:r>
      <w:r>
        <w:rPr>
          <w:rFonts w:hint="eastAsia" w:ascii="仿宋" w:hAnsi="仿宋" w:eastAsia="仿宋" w:cs="仿宋"/>
          <w:kern w:val="0"/>
          <w:sz w:val="24"/>
          <w:szCs w:val="24"/>
        </w:rPr>
        <w:t>。</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1.3</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采购代理机构</w:t>
      </w:r>
      <w:r>
        <w:rPr>
          <w:rFonts w:hint="eastAsia" w:ascii="仿宋" w:hAnsi="仿宋" w:eastAsia="仿宋" w:cs="仿宋"/>
          <w:kern w:val="0"/>
          <w:sz w:val="24"/>
          <w:szCs w:val="24"/>
        </w:rPr>
        <w:t>系指接受采购人委托，代理采购项目的依法经财政部门认定资格的采购代理机构。本次采购的采购代理机构名称、地址、电话、联系人见投标人须知前附表。</w:t>
      </w:r>
    </w:p>
    <w:p>
      <w:pPr>
        <w:tabs>
          <w:tab w:val="left" w:pos="7665"/>
        </w:tabs>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1.4</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投标人</w:t>
      </w:r>
      <w:r>
        <w:rPr>
          <w:rFonts w:hint="eastAsia" w:ascii="仿宋" w:hAnsi="仿宋" w:eastAsia="仿宋" w:cs="仿宋"/>
          <w:kern w:val="0"/>
          <w:sz w:val="24"/>
          <w:szCs w:val="24"/>
        </w:rPr>
        <w:t>是指响应招标，参加投标竞争的法人或其他组织或个人。</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货物</w:t>
      </w:r>
      <w:r>
        <w:rPr>
          <w:rFonts w:hint="eastAsia" w:ascii="仿宋" w:hAnsi="仿宋" w:eastAsia="仿宋" w:cs="仿宋"/>
          <w:kern w:val="0"/>
          <w:sz w:val="24"/>
          <w:szCs w:val="24"/>
        </w:rPr>
        <w:t>是指本招标文件中第四章所述所有货物。</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1.6</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服务</w:t>
      </w:r>
      <w:r>
        <w:rPr>
          <w:rFonts w:hint="eastAsia" w:ascii="仿宋" w:hAnsi="仿宋" w:eastAsia="仿宋" w:cs="仿宋"/>
          <w:kern w:val="0"/>
          <w:sz w:val="24"/>
          <w:szCs w:val="24"/>
        </w:rPr>
        <w:t>是指人为满足招标文件要求而提供的服务。</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节能产品</w:t>
      </w:r>
      <w:r>
        <w:rPr>
          <w:rFonts w:hint="eastAsia" w:ascii="仿宋" w:hAnsi="仿宋" w:eastAsia="仿宋" w:cs="仿宋"/>
          <w:kern w:val="0"/>
          <w:sz w:val="24"/>
          <w:szCs w:val="24"/>
        </w:rPr>
        <w:t>指财政部、发展改革委、生态环境部等部门发布的《节能产品品目清单》中的产品。</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环境标志产品</w:t>
      </w:r>
      <w:r>
        <w:rPr>
          <w:rFonts w:hint="eastAsia" w:ascii="仿宋" w:hAnsi="仿宋" w:eastAsia="仿宋" w:cs="仿宋"/>
          <w:kern w:val="0"/>
          <w:sz w:val="24"/>
          <w:szCs w:val="24"/>
        </w:rPr>
        <w:t>是指财政部、发展改革委、生态环境部等部门发布的《环境标志产品品目清单》中的产品。</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进口产品</w:t>
      </w:r>
      <w:r>
        <w:rPr>
          <w:rFonts w:hint="eastAsia" w:ascii="仿宋" w:hAnsi="仿宋" w:eastAsia="仿宋" w:cs="仿宋"/>
          <w:kern w:val="0"/>
          <w:sz w:val="24"/>
          <w:szCs w:val="24"/>
        </w:rPr>
        <w:t>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1.10</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中小企业</w:t>
      </w:r>
      <w:r>
        <w:rPr>
          <w:rFonts w:hint="eastAsia" w:ascii="仿宋" w:hAnsi="仿宋" w:eastAsia="仿宋" w:cs="仿宋"/>
          <w:kern w:val="0"/>
          <w:sz w:val="24"/>
          <w:szCs w:val="24"/>
        </w:rPr>
        <w:t>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w:t>
      </w:r>
      <w:r>
        <w:rPr>
          <w:rFonts w:hint="eastAsia" w:ascii="仿宋" w:hAnsi="仿宋" w:eastAsia="仿宋" w:cs="仿宋"/>
          <w:kern w:val="0"/>
          <w:sz w:val="24"/>
          <w:szCs w:val="24"/>
          <w:lang w:val="en-US" w:eastAsia="zh-CN"/>
        </w:rPr>
        <w:t xml:space="preserve"> </w:t>
      </w:r>
      <w:r>
        <w:rPr>
          <w:rFonts w:hint="eastAsia" w:ascii="仿宋" w:hAnsi="仿宋" w:eastAsia="仿宋" w:cs="仿宋"/>
          <w:b/>
          <w:bCs/>
          <w:kern w:val="0"/>
          <w:sz w:val="24"/>
          <w:szCs w:val="24"/>
        </w:rPr>
        <w:t>监狱企业</w:t>
      </w:r>
      <w:r>
        <w:rPr>
          <w:rFonts w:hint="eastAsia" w:ascii="仿宋" w:hAnsi="仿宋" w:eastAsia="仿宋" w:cs="仿宋"/>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
        <w:snapToGrid w:val="0"/>
        <w:ind w:firstLine="482" w:firstLineChars="200"/>
        <w:jc w:val="both"/>
        <w:rPr>
          <w:rFonts w:hint="eastAsia" w:ascii="仿宋" w:hAnsi="仿宋" w:eastAsia="仿宋" w:cs="仿宋"/>
          <w:b w:val="0"/>
          <w:bCs w:val="0"/>
          <w:sz w:val="24"/>
          <w:szCs w:val="24"/>
        </w:rPr>
      </w:pPr>
      <w:r>
        <w:rPr>
          <w:rFonts w:hint="eastAsia" w:ascii="仿宋" w:hAnsi="仿宋" w:eastAsia="仿宋" w:cs="仿宋"/>
          <w:b/>
          <w:bCs/>
          <w:sz w:val="24"/>
          <w:szCs w:val="24"/>
        </w:rPr>
        <w:t>1.12</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残疾人福利性单位</w:t>
      </w:r>
      <w:r>
        <w:rPr>
          <w:rFonts w:hint="eastAsia" w:ascii="仿宋" w:hAnsi="仿宋" w:eastAsia="仿宋" w:cs="仿宋"/>
          <w:b w:val="0"/>
          <w:bCs w:val="0"/>
          <w:sz w:val="24"/>
          <w:szCs w:val="24"/>
        </w:rPr>
        <w:t>是指符合《财政部、民政部、中国残疾人联合会关于促进残疾人就业政府采购政策的通知》（财库〔2017〕141号）规定条件的单位。</w:t>
      </w:r>
    </w:p>
    <w:p>
      <w:pPr>
        <w:pStyle w:val="4"/>
        <w:snapToGrid w:val="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二、投标人</w:t>
      </w:r>
    </w:p>
    <w:p>
      <w:pPr>
        <w:snapToGrid w:val="0"/>
        <w:spacing w:line="360" w:lineRule="auto"/>
        <w:ind w:firstLine="482" w:firstLineChars="200"/>
        <w:rPr>
          <w:rFonts w:hint="eastAsia" w:ascii="仿宋" w:hAnsi="仿宋" w:eastAsia="仿宋" w:cs="仿宋"/>
          <w:b/>
          <w:sz w:val="24"/>
          <w:szCs w:val="24"/>
        </w:rPr>
      </w:pPr>
      <w:bookmarkStart w:id="69" w:name="_Toc175973398"/>
      <w:bookmarkStart w:id="70" w:name="_Toc531189837"/>
      <w:r>
        <w:rPr>
          <w:rFonts w:hint="eastAsia" w:ascii="仿宋" w:hAnsi="仿宋" w:eastAsia="仿宋" w:cs="仿宋"/>
          <w:b/>
          <w:sz w:val="24"/>
          <w:szCs w:val="24"/>
        </w:rPr>
        <w:t>2.1</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投标委托</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如投标人代表不是法定代表人，须持有《法定代表人授权委托书》，格式见本招标文件。</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 xml:space="preserve">投标费用 </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无论投标过程中的做法和结果如何，投标人自行承担所有与参加投标有关的全部费用。</w:t>
      </w:r>
    </w:p>
    <w:p>
      <w:pPr>
        <w:pStyle w:val="13"/>
        <w:overflowPunct w:val="0"/>
        <w:snapToGrid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3</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合格的投标人应具备以下条件：</w:t>
      </w:r>
    </w:p>
    <w:p>
      <w:pPr>
        <w:pStyle w:val="13"/>
        <w:overflowPunct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（1）具备且满足本招标文件规定的投标人资格条件；</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（2）从采购代理机构获取了招标文件；</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（3）遵守国家和地方有关的法律法规、规章和规范性文件要求。</w:t>
      </w:r>
    </w:p>
    <w:p>
      <w:pPr>
        <w:pStyle w:val="13"/>
        <w:overflowPunct w:val="0"/>
        <w:snapToGrid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投标人不得存在下列情形之一：</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（1）与采购人、采购代理机构存在隶属关系或者其他利害关系，且可能影响招标公正性；</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（2）与本采购项目其他投标人的法定代表人（或者负责人）为同一人；</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（3）与本采购项目其他投标人存在控股、管理关系；</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（4）为本项目采购代理机构；</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（5）为本项目代理投标的为其采购代理机构；</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（6）为本项目提供整体设计、规范编制或者项目管理、监理、检测、咨询服务；</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（7）受到刑事处罚；</w:t>
      </w:r>
    </w:p>
    <w:p>
      <w:pPr>
        <w:pStyle w:val="13"/>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（8）投标人因违法经营受到刑事处罚或者责令停产停业、吊销许可证或者执照、较大数额罚款等行政处罚；</w:t>
      </w:r>
      <w:r>
        <w:rPr>
          <w:rFonts w:hint="eastAsia" w:ascii="仿宋" w:hAnsi="仿宋" w:eastAsia="仿宋" w:cs="仿宋"/>
          <w:sz w:val="24"/>
          <w:szCs w:val="24"/>
          <w:lang w:val="en-US" w:eastAsia="zh-CN"/>
        </w:rPr>
        <w:t xml:space="preserve"> </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（9）被责令停产停业、暂扣或者吊销许可证、暂扣或者吊销执照的行政处罚；</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（10）被列入失信被执行人名单；</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（11）被列入重大税收违法案件当事人名单；</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（12）被禁止在一至三年内参加政府采购活动或存在财政部门认定的其他重大违法记录；</w:t>
      </w:r>
    </w:p>
    <w:p>
      <w:pPr>
        <w:pStyle w:val="13"/>
        <w:overflowPunct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（13）法律法规规定的其他情形。</w:t>
      </w:r>
    </w:p>
    <w:p>
      <w:pPr>
        <w:pStyle w:val="13"/>
        <w:overflowPunct w:val="0"/>
        <w:snapToGrid w:val="0"/>
        <w:spacing w:line="360" w:lineRule="auto"/>
        <w:ind w:left="0" w:leftChars="0"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5</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享受的政府采购政策</w:t>
      </w:r>
    </w:p>
    <w:p>
      <w:pPr>
        <w:pStyle w:val="13"/>
        <w:overflowPunct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5.1 节能产品、环境标志产品</w:t>
      </w:r>
    </w:p>
    <w:p>
      <w:pPr>
        <w:pStyle w:val="13"/>
        <w:overflowPunct w:val="0"/>
        <w:snapToGrid w:val="0"/>
        <w:spacing w:line="360" w:lineRule="auto"/>
        <w:ind w:firstLineChars="200"/>
        <w:rPr>
          <w:rFonts w:hint="eastAsia" w:ascii="仿宋" w:hAnsi="仿宋" w:eastAsia="仿宋" w:cs="仿宋"/>
          <w:bCs/>
          <w:sz w:val="24"/>
          <w:szCs w:val="24"/>
        </w:rPr>
      </w:pPr>
      <w:r>
        <w:rPr>
          <w:rFonts w:hint="eastAsia" w:ascii="仿宋" w:hAnsi="仿宋" w:eastAsia="仿宋" w:cs="仿宋"/>
          <w:bCs/>
          <w:sz w:val="24"/>
          <w:szCs w:val="24"/>
        </w:rPr>
        <w:t>2.5.1.1</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投标人所投产品，将依据《节能产品、环境标志产品品目清单》和认证证书实施政府优先采购和强制采购。</w:t>
      </w:r>
    </w:p>
    <w:p>
      <w:pPr>
        <w:pStyle w:val="13"/>
        <w:overflowPunct w:val="0"/>
        <w:snapToGrid w:val="0"/>
        <w:spacing w:line="360" w:lineRule="auto"/>
        <w:ind w:firstLineChars="200"/>
        <w:jc w:val="left"/>
        <w:rPr>
          <w:rFonts w:hint="eastAsia" w:ascii="仿宋" w:hAnsi="仿宋" w:eastAsia="仿宋" w:cs="仿宋"/>
          <w:bCs/>
          <w:sz w:val="24"/>
          <w:szCs w:val="24"/>
        </w:rPr>
      </w:pPr>
      <w:r>
        <w:rPr>
          <w:rFonts w:hint="eastAsia" w:ascii="仿宋" w:hAnsi="仿宋" w:eastAsia="仿宋" w:cs="仿宋"/>
          <w:bCs/>
          <w:sz w:val="24"/>
          <w:szCs w:val="24"/>
        </w:rPr>
        <w:t>2.5.1.2</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投标人可以提供所投产品经国家确定的认证机构出具的、处于有效期之内的节能产品、环境标志产品认证证书复印件。采购代理机构通过中国政府采购网（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 </w:instrText>
      </w:r>
      <w:r>
        <w:rPr>
          <w:rFonts w:hint="eastAsia" w:ascii="仿宋" w:hAnsi="仿宋" w:eastAsia="仿宋" w:cs="仿宋"/>
          <w:sz w:val="24"/>
          <w:szCs w:val="24"/>
        </w:rPr>
        <w:fldChar w:fldCharType="separate"/>
      </w:r>
      <w:r>
        <w:rPr>
          <w:rFonts w:hint="eastAsia" w:ascii="仿宋" w:hAnsi="仿宋" w:eastAsia="仿宋" w:cs="仿宋"/>
          <w:bCs/>
          <w:sz w:val="24"/>
          <w:szCs w:val="24"/>
        </w:rPr>
        <w:t>http://www.ccgp.gov.cn/</w:t>
      </w:r>
      <w:r>
        <w:rPr>
          <w:rFonts w:hint="eastAsia" w:ascii="仿宋" w:hAnsi="仿宋" w:eastAsia="仿宋" w:cs="仿宋"/>
          <w:bCs/>
          <w:sz w:val="24"/>
          <w:szCs w:val="24"/>
        </w:rPr>
        <w:fldChar w:fldCharType="end"/>
      </w:r>
      <w:r>
        <w:rPr>
          <w:rFonts w:hint="eastAsia" w:ascii="仿宋" w:hAnsi="仿宋" w:eastAsia="仿宋" w:cs="仿宋"/>
          <w:bCs/>
          <w:sz w:val="24"/>
          <w:szCs w:val="24"/>
        </w:rPr>
        <w:t>）对获证产品信息进行核对。</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bCs/>
          <w:sz w:val="24"/>
          <w:szCs w:val="24"/>
        </w:rPr>
        <w:t>2.5.1.3</w:t>
      </w:r>
      <w:r>
        <w:rPr>
          <w:rFonts w:hint="eastAsia" w:ascii="仿宋" w:hAnsi="仿宋" w:eastAsia="仿宋" w:cs="仿宋"/>
          <w:bCs/>
          <w:sz w:val="24"/>
          <w:szCs w:val="24"/>
          <w:lang w:val="en-US" w:eastAsia="zh-CN"/>
        </w:rPr>
        <w:t xml:space="preserve"> </w:t>
      </w:r>
      <w:r>
        <w:rPr>
          <w:rFonts w:hint="eastAsia" w:ascii="仿宋" w:hAnsi="仿宋" w:eastAsia="仿宋" w:cs="仿宋"/>
          <w:sz w:val="24"/>
          <w:szCs w:val="24"/>
        </w:rPr>
        <w:t>投标人所投产品属于下列情形之一的，属于优先采购的不再享受优先采购政策，或者属于强制采购的按无效投标文件处理：</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（1）不属于《节能产品、环境标志产品品目清单》中的产品；</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（2）未提供认证证书复印件或经核对认证证书存在信息有误的。</w:t>
      </w:r>
    </w:p>
    <w:p>
      <w:pPr>
        <w:pStyle w:val="13"/>
        <w:overflowPunct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5.2 中小企业</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投标人按《工业和信息化部、国家统计局、国家发展和改革委员会、财政部关于印发中小企业划型标准规定的通知》规定划分标准，属于中小企业的可享受支持中小型企业发展优惠政策。</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投标人作为中小企业参加政府采购活动时，应当提供《中小企业声明函》（见第六章投标文件格式），不提供或提供有瑕疵的：</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（1）在评标时，不享受政府采购价格折扣的优惠政策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仅限于非专门面向中小企业的项目</w:t>
      </w:r>
      <w:r>
        <w:rPr>
          <w:rFonts w:hint="eastAsia" w:ascii="仿宋" w:hAnsi="仿宋" w:eastAsia="仿宋" w:cs="仿宋"/>
          <w:sz w:val="24"/>
          <w:szCs w:val="24"/>
          <w:lang w:eastAsia="zh-CN"/>
        </w:rPr>
        <w:t>）</w:t>
      </w:r>
      <w:r>
        <w:rPr>
          <w:rFonts w:hint="eastAsia" w:ascii="仿宋" w:hAnsi="仿宋" w:eastAsia="仿宋" w:cs="仿宋"/>
          <w:sz w:val="24"/>
          <w:szCs w:val="24"/>
        </w:rPr>
        <w:t>；</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（2）在资格审查时，不予通过资格审查（仅限专门面向中小企业采购的项目）。</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狱企业参加政府采购活动时，视同小型微型企业。依照&lt;财政部、司法部关于政府采购支持监狱企业发展有关问题的通知&gt;（财库〔2014〕68号）之规定，应当提供由省级以上监狱管理局、戒毒管理局出具的属于监狱企业的证明文件，不提供或提供有瑕疵的，不视为小型微型企业。</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残疾人福利性单位参加政府采购活动时，视同小型微型企业。依据《财政部、民政部、中国残疾人联合会关于促进残疾人就业政府采购政策的通知》（财库〔2017〕141号）的规定，应当提供《残疾人福利性单位声明函》（见第六章投标文件格式），不提供或提供有瑕疵的，不视为小型微型企业。</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联合体各方均中小企业的，参加政府采购活动时，视同中小企业。联合体各方均需提供《中小企业声明函》，有一方未提供或提供有瑕疵的，不视为中小企业。</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中小企业可以同时享受节能产品、环境标志产品优先采购政策。同一项目中部分产品属于优先采购政策的，评审时只对该部分产品实行优先采购。</w:t>
      </w:r>
    </w:p>
    <w:p>
      <w:pPr>
        <w:pStyle w:val="13"/>
        <w:overflowPunct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sz w:val="24"/>
          <w:szCs w:val="24"/>
        </w:rPr>
        <w:t>5.2.7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政府采购监督检查和投诉处理中对中小企业的认定，由企业所在地的县级以上中小企业主管部门负责。</w:t>
      </w:r>
    </w:p>
    <w:p>
      <w:pPr>
        <w:pStyle w:val="13"/>
        <w:overflowPunct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bCs/>
          <w:sz w:val="24"/>
          <w:szCs w:val="24"/>
        </w:rPr>
        <w:t>5.3 进口产品</w:t>
      </w:r>
    </w:p>
    <w:p>
      <w:pPr>
        <w:pStyle w:val="13"/>
        <w:overflowPunct w:val="0"/>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投标人须知前附表规定采购进口产品的，可以由进口产品参加投标，但不得拒绝国内产品投标。本条款适合经财政部门批准采购进口产品的项目。</w:t>
      </w:r>
    </w:p>
    <w:p>
      <w:pPr>
        <w:pStyle w:val="4"/>
        <w:snapToGrid w:val="0"/>
        <w:ind w:firstLine="482" w:firstLineChars="200"/>
        <w:jc w:val="both"/>
        <w:rPr>
          <w:rFonts w:hint="eastAsia" w:ascii="仿宋" w:hAnsi="仿宋" w:eastAsia="仿宋" w:cs="仿宋"/>
          <w:sz w:val="24"/>
          <w:szCs w:val="24"/>
        </w:rPr>
      </w:pPr>
      <w:r>
        <w:rPr>
          <w:rFonts w:hint="eastAsia" w:ascii="仿宋" w:hAnsi="仿宋" w:eastAsia="仿宋" w:cs="仿宋"/>
          <w:sz w:val="24"/>
          <w:szCs w:val="24"/>
        </w:rPr>
        <w:t>2.6投标人的风险</w:t>
      </w:r>
    </w:p>
    <w:p>
      <w:pPr>
        <w:pStyle w:val="4"/>
        <w:snapToGrid w:val="0"/>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投标人应认真阅读和充分理解招标文件中所有的事项、格式条款和规范要求，任何对招标文件的忽略或误解不能作为投标文件存在缺陷或瑕疵的理由；投标人没有按照招标文件要求提供全部资料，或对招标文件全面做出实质性响应是投标人的风险，并可能导致其投标文件被拒绝。</w:t>
      </w:r>
    </w:p>
    <w:p>
      <w:pPr>
        <w:pStyle w:val="4"/>
        <w:snapToGrid w:val="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三、招标文件</w:t>
      </w:r>
      <w:bookmarkEnd w:id="69"/>
      <w:bookmarkEnd w:id="70"/>
    </w:p>
    <w:p>
      <w:pPr>
        <w:snapToGrid w:val="0"/>
        <w:spacing w:line="360" w:lineRule="auto"/>
        <w:ind w:firstLine="482" w:firstLineChars="200"/>
        <w:outlineLvl w:val="0"/>
        <w:rPr>
          <w:rFonts w:hint="eastAsia" w:ascii="仿宋" w:hAnsi="仿宋" w:eastAsia="仿宋" w:cs="仿宋"/>
          <w:b/>
          <w:sz w:val="24"/>
          <w:szCs w:val="24"/>
        </w:rPr>
      </w:pPr>
      <w:bookmarkStart w:id="71" w:name="_Toc1800"/>
      <w:bookmarkStart w:id="72" w:name="_Toc932"/>
      <w:bookmarkStart w:id="73" w:name="_Toc13806"/>
      <w:bookmarkStart w:id="74" w:name="_Toc11463"/>
      <w:bookmarkStart w:id="75" w:name="_Toc13228"/>
      <w:bookmarkStart w:id="76" w:name="_Toc21552"/>
      <w:bookmarkStart w:id="77" w:name="_Toc14956"/>
      <w:bookmarkStart w:id="78" w:name="_Toc20533"/>
      <w:bookmarkStart w:id="79" w:name="_Toc4800"/>
      <w:bookmarkStart w:id="80" w:name="_Toc12727"/>
      <w:bookmarkStart w:id="81" w:name="_Toc10081"/>
      <w:bookmarkStart w:id="82" w:name="_Toc31061"/>
      <w:bookmarkStart w:id="83" w:name="_Toc2191"/>
      <w:bookmarkStart w:id="84" w:name="_Toc10221"/>
      <w:r>
        <w:rPr>
          <w:rFonts w:hint="eastAsia" w:ascii="仿宋" w:hAnsi="仿宋" w:eastAsia="仿宋" w:cs="仿宋"/>
          <w:b/>
          <w:sz w:val="24"/>
          <w:szCs w:val="24"/>
        </w:rPr>
        <w:t>3.1招标文件</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招标文件由招标文件总目录所列内容及招标文件所作的澄清、修改，构成招标文件组成部分及组成。</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投标人应详细阅读招标文件的全部内容。不按招标文件要求提供的投标文件和资料可能导致投标被拒绝。</w:t>
      </w:r>
    </w:p>
    <w:p>
      <w:pPr>
        <w:snapToGrid w:val="0"/>
        <w:spacing w:line="360" w:lineRule="auto"/>
        <w:ind w:firstLine="440"/>
        <w:rPr>
          <w:rFonts w:hint="eastAsia" w:ascii="仿宋" w:hAnsi="仿宋" w:eastAsia="仿宋" w:cs="仿宋"/>
          <w:sz w:val="24"/>
          <w:szCs w:val="24"/>
        </w:rPr>
      </w:pPr>
      <w:r>
        <w:rPr>
          <w:rFonts w:hint="eastAsia" w:ascii="仿宋" w:hAnsi="仿宋" w:eastAsia="仿宋" w:cs="仿宋"/>
          <w:sz w:val="24"/>
          <w:szCs w:val="24"/>
        </w:rPr>
        <w:t>3.1.3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适用范围： 本次招标依据采购人的采购计划，本招标文件仅适用于本次公开招标所叙述的货物（产品）及服务项目采购活动。</w:t>
      </w:r>
    </w:p>
    <w:p>
      <w:pPr>
        <w:snapToGrid w:val="0"/>
        <w:spacing w:line="360" w:lineRule="auto"/>
        <w:ind w:firstLine="440"/>
        <w:rPr>
          <w:rFonts w:hint="eastAsia" w:ascii="仿宋" w:hAnsi="仿宋" w:eastAsia="仿宋" w:cs="仿宋"/>
          <w:sz w:val="24"/>
          <w:szCs w:val="24"/>
        </w:rPr>
      </w:pPr>
      <w:r>
        <w:rPr>
          <w:rFonts w:hint="eastAsia" w:ascii="仿宋" w:hAnsi="仿宋" w:eastAsia="仿宋" w:cs="仿宋"/>
          <w:sz w:val="24"/>
          <w:szCs w:val="24"/>
        </w:rPr>
        <w:t>3.1.4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招标文件的获取：招标公告发布后，投标人应从采购代理机构获取招标文件并填报信息，投标人自行转让或复制的招标文件视为无效招标文件。</w:t>
      </w:r>
    </w:p>
    <w:p>
      <w:pPr>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3.1.5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解释权归属：本招标文件的解释权归采购代理机构</w:t>
      </w:r>
      <w:r>
        <w:rPr>
          <w:rFonts w:hint="eastAsia" w:ascii="仿宋" w:hAnsi="仿宋" w:eastAsia="仿宋" w:cs="仿宋"/>
          <w:sz w:val="24"/>
          <w:szCs w:val="24"/>
          <w:lang w:eastAsia="zh-CN"/>
        </w:rPr>
        <w:t>，如发现招标文件内容与现行法律法规不相符的情况，以现行法律法规为准</w:t>
      </w:r>
      <w:r>
        <w:rPr>
          <w:rFonts w:hint="eastAsia" w:ascii="仿宋" w:hAnsi="仿宋" w:eastAsia="仿宋" w:cs="仿宋"/>
          <w:sz w:val="24"/>
          <w:szCs w:val="24"/>
        </w:rPr>
        <w:t>。</w:t>
      </w:r>
    </w:p>
    <w:p>
      <w:pPr>
        <w:snapToGrid w:val="0"/>
        <w:spacing w:line="360" w:lineRule="auto"/>
        <w:ind w:firstLine="482" w:firstLineChars="200"/>
        <w:outlineLvl w:val="0"/>
        <w:rPr>
          <w:rFonts w:hint="eastAsia" w:ascii="仿宋" w:hAnsi="仿宋" w:eastAsia="仿宋" w:cs="仿宋"/>
          <w:b/>
          <w:sz w:val="24"/>
          <w:szCs w:val="24"/>
        </w:rPr>
      </w:pPr>
      <w:bookmarkStart w:id="85" w:name="_Toc6601"/>
      <w:bookmarkStart w:id="86" w:name="_Toc12920"/>
      <w:bookmarkStart w:id="87" w:name="_Toc23311"/>
      <w:bookmarkStart w:id="88" w:name="_Toc29982"/>
      <w:bookmarkStart w:id="89" w:name="_Toc6878"/>
      <w:bookmarkStart w:id="90" w:name="_Toc18391"/>
      <w:bookmarkStart w:id="91" w:name="_Toc8203"/>
      <w:bookmarkStart w:id="92" w:name="_Toc14366"/>
      <w:bookmarkStart w:id="93" w:name="_Toc25814"/>
      <w:bookmarkStart w:id="94" w:name="_Toc25015"/>
      <w:bookmarkStart w:id="95" w:name="_Toc917"/>
      <w:bookmarkStart w:id="96" w:name="_Toc15987"/>
      <w:bookmarkStart w:id="97" w:name="_Toc28350"/>
      <w:bookmarkStart w:id="98" w:name="_Toc19637"/>
      <w:r>
        <w:rPr>
          <w:rFonts w:hint="eastAsia" w:ascii="仿宋" w:hAnsi="仿宋" w:eastAsia="仿宋" w:cs="仿宋"/>
          <w:b/>
          <w:sz w:val="24"/>
          <w:szCs w:val="24"/>
        </w:rPr>
        <w:t>3.2</w:t>
      </w:r>
      <w:bookmarkEnd w:id="85"/>
      <w:bookmarkEnd w:id="86"/>
      <w:bookmarkEnd w:id="87"/>
      <w:bookmarkEnd w:id="88"/>
      <w:bookmarkEnd w:id="89"/>
      <w:bookmarkEnd w:id="90"/>
      <w:bookmarkEnd w:id="91"/>
      <w:bookmarkEnd w:id="92"/>
      <w:bookmarkEnd w:id="93"/>
      <w:bookmarkEnd w:id="94"/>
      <w:bookmarkEnd w:id="95"/>
      <w:bookmarkEnd w:id="96"/>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招标文件的澄清或修改</w:t>
      </w:r>
      <w:bookmarkEnd w:id="97"/>
      <w:bookmarkEnd w:id="98"/>
    </w:p>
    <w:p>
      <w:pPr>
        <w:pStyle w:val="71"/>
        <w:spacing w:before="0" w:beforeAutospacing="0" w:after="0" w:afterAutospacing="0"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3.2.1</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在投标截止时间前，采购代理机构无论出于何种原因，可以对已发出的招标文件进行必要的澄清或者修改，但不得修改采购标的和资格条件。</w:t>
      </w:r>
    </w:p>
    <w:p>
      <w:pPr>
        <w:pStyle w:val="71"/>
        <w:spacing w:before="0" w:beforeAutospacing="0" w:after="0" w:afterAutospacing="0"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3.2.2</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采购人或采购代理机构对已发出的招标文件进行必要的澄清或者修改，澄清或修改的内容可能影响投标文件编制的，应当在投标文件截止时间15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15日，将相应顺延投标截止时间。</w:t>
      </w:r>
    </w:p>
    <w:p>
      <w:pPr>
        <w:pStyle w:val="71"/>
        <w:spacing w:before="0" w:beforeAutospacing="0" w:after="0" w:afterAutospacing="0"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3.2.3</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pStyle w:val="71"/>
        <w:spacing w:before="0" w:beforeAutospacing="0" w:after="0" w:afterAutospacing="0"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3.2.4</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公告。</w:t>
      </w:r>
    </w:p>
    <w:p>
      <w:pPr>
        <w:pStyle w:val="71"/>
        <w:spacing w:before="0" w:beforeAutospacing="0" w:after="0" w:afterAutospacing="0" w:line="360"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3.2.5</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当招标文件澄清、答复、修改或补充通知与招标文件就同一内容表述不一致时，以最后发出的书面文件内容为准。</w:t>
      </w:r>
    </w:p>
    <w:p>
      <w:pPr>
        <w:pStyle w:val="4"/>
        <w:snapToGrid w:val="0"/>
        <w:jc w:val="both"/>
        <w:rPr>
          <w:rFonts w:hint="eastAsia" w:ascii="黑体" w:hAnsi="黑体" w:eastAsia="黑体" w:cs="黑体"/>
          <w:b w:val="0"/>
          <w:bCs w:val="0"/>
          <w:sz w:val="24"/>
          <w:szCs w:val="24"/>
        </w:rPr>
      </w:pPr>
      <w:bookmarkStart w:id="99" w:name="_Toc531189838"/>
      <w:bookmarkStart w:id="100" w:name="_Toc175973399"/>
      <w:r>
        <w:rPr>
          <w:rFonts w:hint="eastAsia" w:ascii="黑体" w:hAnsi="黑体" w:eastAsia="黑体" w:cs="黑体"/>
          <w:b w:val="0"/>
          <w:bCs w:val="0"/>
          <w:sz w:val="24"/>
          <w:szCs w:val="24"/>
        </w:rPr>
        <w:t>四、投标文件</w:t>
      </w:r>
      <w:bookmarkEnd w:id="99"/>
      <w:bookmarkEnd w:id="100"/>
    </w:p>
    <w:p>
      <w:pPr>
        <w:snapToGrid w:val="0"/>
        <w:spacing w:line="360" w:lineRule="auto"/>
        <w:ind w:firstLine="482" w:firstLineChars="200"/>
        <w:outlineLvl w:val="0"/>
        <w:rPr>
          <w:rFonts w:hint="eastAsia" w:ascii="仿宋" w:hAnsi="仿宋" w:eastAsia="仿宋" w:cs="仿宋"/>
          <w:b/>
          <w:sz w:val="24"/>
          <w:szCs w:val="24"/>
        </w:rPr>
      </w:pPr>
      <w:bookmarkStart w:id="101" w:name="_Toc11474"/>
      <w:bookmarkStart w:id="102" w:name="_Toc12665"/>
      <w:bookmarkStart w:id="103" w:name="_Toc32220"/>
      <w:bookmarkStart w:id="104" w:name="_Toc7093"/>
      <w:bookmarkStart w:id="105" w:name="_Toc26751"/>
      <w:bookmarkStart w:id="106" w:name="_Toc16867"/>
      <w:bookmarkStart w:id="107" w:name="_Toc25300"/>
      <w:bookmarkStart w:id="108" w:name="_Toc8539"/>
      <w:bookmarkStart w:id="109" w:name="_Toc12629"/>
      <w:bookmarkStart w:id="110" w:name="_Toc6474"/>
      <w:bookmarkStart w:id="111" w:name="_Toc10790"/>
      <w:bookmarkStart w:id="112" w:name="_Toc1158"/>
      <w:bookmarkStart w:id="113" w:name="_Toc29842"/>
      <w:bookmarkStart w:id="114" w:name="_Toc31296"/>
      <w:r>
        <w:rPr>
          <w:rFonts w:hint="eastAsia" w:ascii="仿宋" w:hAnsi="仿宋" w:eastAsia="仿宋" w:cs="仿宋"/>
          <w:b/>
          <w:sz w:val="24"/>
          <w:szCs w:val="24"/>
        </w:rPr>
        <w:t>4.1</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投标文件计量单位</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napToGrid w:val="0"/>
        <w:spacing w:line="360" w:lineRule="auto"/>
        <w:rPr>
          <w:rFonts w:ascii="楷体" w:hAnsi="楷体" w:eastAsia="楷体" w:cs="楷体"/>
          <w:sz w:val="24"/>
          <w:szCs w:val="24"/>
        </w:rPr>
      </w:pPr>
      <w:r>
        <w:rPr>
          <w:rFonts w:hint="eastAsia" w:ascii="仿宋" w:hAnsi="仿宋" w:eastAsia="仿宋" w:cs="仿宋"/>
          <w:sz w:val="24"/>
          <w:szCs w:val="24"/>
        </w:rPr>
        <w:t xml:space="preserve">    投标文件中所使用的计量单位，除有特殊要求外，均采用国家法定计量单位。</w:t>
      </w:r>
    </w:p>
    <w:p>
      <w:pPr>
        <w:snapToGrid w:val="0"/>
        <w:spacing w:line="360" w:lineRule="auto"/>
        <w:ind w:firstLine="482" w:firstLineChars="200"/>
        <w:outlineLvl w:val="0"/>
        <w:rPr>
          <w:rFonts w:hint="eastAsia" w:ascii="仿宋" w:hAnsi="仿宋" w:eastAsia="仿宋" w:cs="仿宋"/>
          <w:b/>
          <w:color w:val="auto"/>
          <w:sz w:val="24"/>
          <w:szCs w:val="24"/>
        </w:rPr>
      </w:pPr>
      <w:bookmarkStart w:id="115" w:name="_Toc31096"/>
      <w:bookmarkStart w:id="116" w:name="_Toc3816"/>
      <w:bookmarkStart w:id="117" w:name="_Toc1336"/>
      <w:bookmarkStart w:id="118" w:name="_Toc18709"/>
      <w:bookmarkStart w:id="119" w:name="_Toc20195"/>
      <w:bookmarkStart w:id="120" w:name="_Toc31575"/>
      <w:bookmarkStart w:id="121" w:name="_Toc3762"/>
      <w:bookmarkStart w:id="122" w:name="_Toc8592"/>
      <w:bookmarkStart w:id="123" w:name="_Toc6883"/>
      <w:bookmarkStart w:id="124" w:name="_Toc32437"/>
      <w:bookmarkStart w:id="125" w:name="_Toc7527"/>
      <w:bookmarkStart w:id="126" w:name="_Toc23774"/>
      <w:bookmarkStart w:id="127" w:name="_Toc10279"/>
      <w:bookmarkStart w:id="128" w:name="_Toc8520"/>
      <w:r>
        <w:rPr>
          <w:rFonts w:hint="eastAsia" w:ascii="仿宋" w:hAnsi="仿宋" w:eastAsia="仿宋" w:cs="仿宋"/>
          <w:b/>
          <w:color w:val="auto"/>
          <w:sz w:val="24"/>
          <w:szCs w:val="24"/>
        </w:rPr>
        <w:t>4.2</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投标文件的组成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napToGrid w:val="0"/>
        <w:spacing w:line="360" w:lineRule="auto"/>
        <w:ind w:firstLine="240" w:firstLineChars="100"/>
        <w:outlineLvl w:val="0"/>
        <w:rPr>
          <w:rFonts w:hint="eastAsia" w:ascii="仿宋" w:hAnsi="仿宋" w:eastAsia="仿宋" w:cs="仿宋"/>
          <w:bCs/>
          <w:color w:val="auto"/>
          <w:sz w:val="24"/>
          <w:szCs w:val="24"/>
          <w:highlight w:val="none"/>
        </w:rPr>
      </w:pPr>
      <w:bookmarkStart w:id="129" w:name="_Toc1959"/>
      <w:bookmarkStart w:id="130" w:name="_Toc15843"/>
      <w:r>
        <w:rPr>
          <w:rFonts w:hint="eastAsia" w:ascii="仿宋" w:hAnsi="仿宋" w:eastAsia="仿宋" w:cs="仿宋"/>
          <w:bCs/>
          <w:color w:val="auto"/>
          <w:sz w:val="24"/>
          <w:szCs w:val="24"/>
          <w:highlight w:val="none"/>
        </w:rPr>
        <w:t>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投标文件应包括下列内容：</w:t>
      </w:r>
      <w:bookmarkEnd w:id="129"/>
      <w:bookmarkEnd w:id="130"/>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31" w:name="_Toc23543"/>
      <w:bookmarkStart w:id="132" w:name="_Toc20030"/>
      <w:bookmarkStart w:id="133" w:name="_Toc19212"/>
      <w:bookmarkStart w:id="134" w:name="_Toc10147"/>
      <w:bookmarkStart w:id="135" w:name="_Toc4919"/>
      <w:bookmarkStart w:id="136" w:name="_Toc13883"/>
      <w:bookmarkStart w:id="137" w:name="_Toc13931"/>
      <w:bookmarkStart w:id="138" w:name="_Toc29990"/>
      <w:bookmarkStart w:id="139" w:name="_Toc25254"/>
      <w:bookmarkStart w:id="140" w:name="_Toc30905"/>
      <w:bookmarkStart w:id="141" w:name="_Toc6108"/>
      <w:bookmarkStart w:id="142" w:name="_Toc28374"/>
      <w:bookmarkStart w:id="143" w:name="_Toc28241"/>
      <w:bookmarkStart w:id="144" w:name="_Toc1206"/>
      <w:r>
        <w:rPr>
          <w:rFonts w:hint="eastAsia" w:ascii="仿宋" w:hAnsi="仿宋" w:eastAsia="仿宋" w:cs="仿宋"/>
          <w:color w:val="auto"/>
          <w:sz w:val="24"/>
          <w:szCs w:val="24"/>
          <w:highlight w:val="none"/>
        </w:rPr>
        <w:t>投标函</w:t>
      </w:r>
      <w:bookmarkEnd w:id="131"/>
      <w:r>
        <w:rPr>
          <w:rFonts w:hint="eastAsia" w:ascii="仿宋" w:hAnsi="仿宋" w:eastAsia="仿宋" w:cs="仿宋"/>
          <w:color w:val="auto"/>
          <w:sz w:val="24"/>
          <w:szCs w:val="24"/>
          <w:highlight w:val="none"/>
        </w:rPr>
        <w:t xml:space="preserve"> </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45" w:name="_Toc20916"/>
      <w:r>
        <w:rPr>
          <w:rFonts w:hint="eastAsia" w:ascii="仿宋" w:hAnsi="仿宋" w:eastAsia="仿宋" w:cs="仿宋"/>
          <w:color w:val="auto"/>
          <w:sz w:val="24"/>
          <w:szCs w:val="24"/>
          <w:highlight w:val="none"/>
        </w:rPr>
        <w:t>开标一览表</w:t>
      </w:r>
      <w:bookmarkEnd w:id="145"/>
      <w:r>
        <w:rPr>
          <w:rFonts w:hint="eastAsia" w:ascii="仿宋" w:hAnsi="仿宋" w:eastAsia="仿宋" w:cs="仿宋"/>
          <w:color w:val="auto"/>
          <w:sz w:val="24"/>
          <w:szCs w:val="24"/>
          <w:highlight w:val="none"/>
        </w:rPr>
        <w:t xml:space="preserve"> </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46" w:name="_Toc3330"/>
      <w:r>
        <w:rPr>
          <w:rFonts w:hint="eastAsia" w:ascii="仿宋" w:hAnsi="仿宋" w:eastAsia="仿宋" w:cs="仿宋"/>
          <w:color w:val="auto"/>
          <w:sz w:val="24"/>
          <w:szCs w:val="24"/>
          <w:highlight w:val="none"/>
        </w:rPr>
        <w:t>分项报价表</w:t>
      </w:r>
      <w:bookmarkEnd w:id="146"/>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技术部分</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47" w:name="_Toc24697"/>
      <w:r>
        <w:rPr>
          <w:rFonts w:hint="eastAsia" w:ascii="仿宋" w:hAnsi="仿宋" w:eastAsia="仿宋" w:cs="仿宋"/>
          <w:color w:val="auto"/>
          <w:sz w:val="24"/>
          <w:szCs w:val="24"/>
          <w:highlight w:val="none"/>
        </w:rPr>
        <w:t>技术参数偏离表</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商务条款偏离表</w:t>
      </w:r>
      <w:bookmarkEnd w:id="147"/>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48" w:name="_Toc4965"/>
      <w:r>
        <w:rPr>
          <w:rFonts w:hint="eastAsia" w:ascii="仿宋" w:hAnsi="仿宋" w:eastAsia="仿宋" w:cs="仿宋"/>
          <w:color w:val="auto"/>
          <w:sz w:val="24"/>
          <w:szCs w:val="24"/>
          <w:highlight w:val="none"/>
        </w:rPr>
        <w:t>其他材料及投标人认为有必要说明、阐述的事项</w:t>
      </w:r>
      <w:bookmarkEnd w:id="148"/>
      <w:r>
        <w:rPr>
          <w:rFonts w:hint="eastAsia" w:ascii="仿宋" w:hAnsi="仿宋" w:eastAsia="仿宋" w:cs="仿宋"/>
          <w:color w:val="auto"/>
          <w:sz w:val="24"/>
          <w:szCs w:val="24"/>
          <w:highlight w:val="none"/>
        </w:rPr>
        <w:t xml:space="preserve"> </w:t>
      </w:r>
    </w:p>
    <w:p>
      <w:pPr>
        <w:numPr>
          <w:ilvl w:val="0"/>
          <w:numId w:val="3"/>
        </w:numPr>
        <w:snapToGrid w:val="0"/>
        <w:spacing w:line="360" w:lineRule="auto"/>
        <w:ind w:left="420" w:leftChars="0" w:firstLine="0" w:firstLineChars="0"/>
        <w:outlineLvl w:val="0"/>
        <w:rPr>
          <w:rFonts w:hint="eastAsia" w:ascii="仿宋" w:hAnsi="仿宋" w:eastAsia="仿宋" w:cs="仿宋"/>
          <w:color w:val="auto"/>
          <w:sz w:val="24"/>
          <w:szCs w:val="24"/>
          <w:highlight w:val="none"/>
        </w:rPr>
      </w:pPr>
      <w:bookmarkStart w:id="149" w:name="_Toc8867"/>
      <w:r>
        <w:rPr>
          <w:rFonts w:hint="eastAsia" w:ascii="仿宋" w:hAnsi="仿宋" w:eastAsia="仿宋" w:cs="仿宋"/>
          <w:color w:val="auto"/>
          <w:sz w:val="24"/>
          <w:szCs w:val="24"/>
          <w:highlight w:val="none"/>
        </w:rPr>
        <w:t>投标人资格证明文件</w:t>
      </w:r>
      <w:bookmarkEnd w:id="149"/>
    </w:p>
    <w:p>
      <w:pPr>
        <w:snapToGrid w:val="0"/>
        <w:spacing w:line="360" w:lineRule="auto"/>
        <w:ind w:firstLine="482" w:firstLineChars="200"/>
        <w:outlineLvl w:val="0"/>
        <w:rPr>
          <w:rFonts w:hint="eastAsia" w:ascii="仿宋" w:hAnsi="仿宋" w:eastAsia="仿宋" w:cs="仿宋"/>
          <w:sz w:val="24"/>
          <w:szCs w:val="24"/>
        </w:rPr>
      </w:pPr>
      <w:bookmarkStart w:id="150" w:name="_Toc31382"/>
      <w:r>
        <w:rPr>
          <w:rFonts w:hint="eastAsia" w:ascii="仿宋" w:hAnsi="仿宋" w:eastAsia="仿宋" w:cs="仿宋"/>
          <w:b/>
          <w:sz w:val="24"/>
          <w:szCs w:val="24"/>
        </w:rPr>
        <w:t>4.3</w:t>
      </w:r>
      <w:bookmarkEnd w:id="132"/>
      <w:bookmarkEnd w:id="133"/>
      <w:bookmarkEnd w:id="134"/>
      <w:bookmarkEnd w:id="135"/>
      <w:bookmarkEnd w:id="136"/>
      <w:bookmarkEnd w:id="137"/>
      <w:bookmarkEnd w:id="138"/>
      <w:bookmarkEnd w:id="139"/>
      <w:bookmarkEnd w:id="140"/>
      <w:bookmarkEnd w:id="141"/>
      <w:bookmarkEnd w:id="142"/>
      <w:bookmarkEnd w:id="143"/>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投标文件的编写原则</w:t>
      </w:r>
      <w:bookmarkEnd w:id="144"/>
      <w:bookmarkEnd w:id="1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投标人拟在中标后将中标项目的非主体、非关键性工作交由他人完成的，应当在投标文件中载明。投标人对本招标文件的每一项要求所给予的响应必须是唯一的，否则将视为无效投标文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真实性原则</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投标人应保证所提供的投标文件和所有资料的真实性、准确性和完整性。</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投标人被认定为在政府采购活动中提供不真实材料的，无论其材料是否重要，采购人均有权拒绝，并取消其投标或中标资格，投标人需承担相应的法律后果。</w:t>
      </w:r>
    </w:p>
    <w:p>
      <w:pPr>
        <w:pStyle w:val="2"/>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4.3.3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投标文件形式</w:t>
      </w:r>
    </w:p>
    <w:p>
      <w:pPr>
        <w:pStyle w:val="2"/>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本项目投标文件应采用书面文件形式，电报、传真、电子邮件形式的投标文件不予接受。</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4.4</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投标报价</w:t>
      </w:r>
    </w:p>
    <w:p>
      <w:pPr>
        <w:snapToGrid w:val="0"/>
        <w:spacing w:line="360" w:lineRule="auto"/>
        <w:ind w:firstLine="240" w:firstLineChars="100"/>
        <w:outlineLvl w:val="0"/>
        <w:rPr>
          <w:rFonts w:hint="eastAsia" w:ascii="仿宋" w:hAnsi="仿宋" w:eastAsia="仿宋" w:cs="仿宋"/>
          <w:bCs/>
          <w:sz w:val="24"/>
          <w:szCs w:val="24"/>
        </w:rPr>
      </w:pPr>
      <w:bookmarkStart w:id="151" w:name="_Toc15552"/>
      <w:bookmarkStart w:id="152" w:name="_Toc7490"/>
      <w:bookmarkStart w:id="153" w:name="_Toc4453"/>
      <w:bookmarkStart w:id="154" w:name="_Toc9253"/>
      <w:bookmarkStart w:id="155" w:name="_Toc663"/>
      <w:bookmarkStart w:id="156" w:name="_Toc21354"/>
      <w:bookmarkStart w:id="157" w:name="_Toc19144"/>
      <w:bookmarkStart w:id="158" w:name="_Toc30478"/>
      <w:bookmarkStart w:id="159" w:name="_Toc26542"/>
      <w:bookmarkStart w:id="160" w:name="_Toc26477"/>
      <w:bookmarkStart w:id="161" w:name="_Toc24530"/>
      <w:bookmarkStart w:id="162" w:name="_Toc15478"/>
      <w:bookmarkStart w:id="163" w:name="_Toc14199"/>
      <w:bookmarkStart w:id="164" w:name="_Toc32557"/>
      <w:r>
        <w:rPr>
          <w:rFonts w:hint="eastAsia" w:ascii="仿宋" w:hAnsi="仿宋" w:eastAsia="仿宋" w:cs="仿宋"/>
          <w:bCs/>
          <w:sz w:val="24"/>
          <w:szCs w:val="24"/>
        </w:rPr>
        <w:t>（1）</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投标报价是指完成本项目的所有费用，以招标文件的内容和要求作为投标依据；</w:t>
      </w:r>
      <w:bookmarkEnd w:id="151"/>
      <w:bookmarkEnd w:id="152"/>
      <w:bookmarkEnd w:id="153"/>
      <w:r>
        <w:rPr>
          <w:rFonts w:hint="eastAsia" w:ascii="仿宋" w:hAnsi="仿宋" w:eastAsia="仿宋" w:cs="仿宋"/>
          <w:bCs/>
          <w:sz w:val="24"/>
          <w:szCs w:val="24"/>
        </w:rPr>
        <w:t>投标人应当按照招标文件要求填报投标报价，并充分了解该采购项目的总体情况以及影响投标报价的其他要素，凡因投标人对招标文件阅读不深、理解不透、误解、疏漏、或因市场行情了解不清造成的后果和风险均由投标人自负。</w:t>
      </w:r>
      <w:bookmarkEnd w:id="154"/>
      <w:bookmarkEnd w:id="155"/>
    </w:p>
    <w:p>
      <w:pPr>
        <w:snapToGrid w:val="0"/>
        <w:spacing w:line="360" w:lineRule="auto"/>
        <w:ind w:firstLine="240" w:firstLineChars="100"/>
        <w:outlineLvl w:val="0"/>
        <w:rPr>
          <w:rFonts w:hint="eastAsia" w:ascii="仿宋" w:hAnsi="仿宋" w:eastAsia="仿宋" w:cs="仿宋"/>
          <w:bCs/>
          <w:sz w:val="24"/>
          <w:szCs w:val="24"/>
        </w:rPr>
      </w:pPr>
      <w:bookmarkStart w:id="165" w:name="_Toc81"/>
      <w:bookmarkStart w:id="166" w:name="_Toc8496"/>
      <w:bookmarkStart w:id="167" w:name="_Toc20508"/>
      <w:bookmarkStart w:id="168" w:name="_Toc14265"/>
      <w:bookmarkStart w:id="169" w:name="_Toc3060"/>
      <w:r>
        <w:rPr>
          <w:rFonts w:hint="eastAsia" w:ascii="仿宋" w:hAnsi="仿宋" w:eastAsia="仿宋" w:cs="仿宋"/>
          <w:bCs/>
          <w:sz w:val="24"/>
          <w:szCs w:val="24"/>
        </w:rPr>
        <w:t>（2）</w:t>
      </w:r>
      <w:bookmarkEnd w:id="165"/>
      <w:bookmarkEnd w:id="166"/>
      <w:bookmarkEnd w:id="167"/>
      <w:r>
        <w:rPr>
          <w:rFonts w:hint="eastAsia" w:ascii="仿宋" w:hAnsi="仿宋" w:eastAsia="仿宋" w:cs="仿宋"/>
          <w:bCs/>
          <w:sz w:val="24"/>
          <w:szCs w:val="24"/>
        </w:rPr>
        <w:t>投标人的服务只允许有一个报价，任何有选择或可调整的报价将不予接受并按无效投标处理。</w:t>
      </w:r>
      <w:bookmarkEnd w:id="168"/>
      <w:bookmarkEnd w:id="169"/>
    </w:p>
    <w:p>
      <w:pPr>
        <w:snapToGrid w:val="0"/>
        <w:spacing w:line="360" w:lineRule="auto"/>
        <w:ind w:firstLine="240" w:firstLineChars="100"/>
        <w:outlineLvl w:val="0"/>
        <w:rPr>
          <w:rFonts w:hint="eastAsia" w:ascii="仿宋" w:hAnsi="仿宋" w:eastAsia="仿宋" w:cs="仿宋"/>
          <w:bCs/>
          <w:sz w:val="24"/>
          <w:szCs w:val="24"/>
        </w:rPr>
      </w:pPr>
      <w:bookmarkStart w:id="170" w:name="_Toc11190"/>
      <w:bookmarkStart w:id="171" w:name="_Toc32000"/>
      <w:r>
        <w:rPr>
          <w:rFonts w:hint="eastAsia" w:ascii="仿宋" w:hAnsi="仿宋" w:eastAsia="仿宋" w:cs="仿宋"/>
          <w:bCs/>
          <w:sz w:val="24"/>
          <w:szCs w:val="24"/>
        </w:rPr>
        <w:t>（3）</w:t>
      </w:r>
      <w:bookmarkEnd w:id="170"/>
      <w:bookmarkStart w:id="172" w:name="_Toc11845"/>
      <w:bookmarkStart w:id="173" w:name="_Toc27373"/>
      <w:bookmarkStart w:id="174" w:name="_Toc30340"/>
      <w:bookmarkStart w:id="175" w:name="_Toc20847"/>
      <w:r>
        <w:rPr>
          <w:rFonts w:hint="eastAsia" w:ascii="仿宋" w:hAnsi="仿宋" w:eastAsia="仿宋" w:cs="仿宋"/>
          <w:bCs/>
          <w:sz w:val="24"/>
          <w:szCs w:val="24"/>
        </w:rPr>
        <w:t>投标人的报价是投标人响应招标项目要求的全部工作内容的价格体现，包括投标人完成本项目所需的一切费用，即：技术服务费、安装费、调试费、招标代理费、售后服务费用、税金及不可预见费等全部费用。投标总价中不得包含招标文件要求以外的内容。</w:t>
      </w:r>
      <w:bookmarkEnd w:id="171"/>
    </w:p>
    <w:p>
      <w:pPr>
        <w:snapToGrid w:val="0"/>
        <w:spacing w:line="360" w:lineRule="auto"/>
        <w:ind w:firstLine="240" w:firstLineChars="100"/>
        <w:outlineLvl w:val="0"/>
        <w:rPr>
          <w:rFonts w:hint="eastAsia" w:ascii="仿宋" w:hAnsi="仿宋" w:eastAsia="仿宋" w:cs="仿宋"/>
          <w:bCs/>
          <w:sz w:val="24"/>
          <w:szCs w:val="24"/>
        </w:rPr>
      </w:pPr>
      <w:bookmarkStart w:id="176" w:name="_Toc28320"/>
      <w:r>
        <w:rPr>
          <w:rFonts w:hint="eastAsia" w:ascii="仿宋" w:hAnsi="仿宋" w:eastAsia="仿宋" w:cs="仿宋"/>
          <w:bCs/>
          <w:sz w:val="24"/>
          <w:szCs w:val="24"/>
        </w:rPr>
        <w:t>（4）投标货币：人民币；单位：元（最多保留到小数点后两位）；</w:t>
      </w:r>
      <w:bookmarkEnd w:id="172"/>
      <w:bookmarkEnd w:id="173"/>
      <w:bookmarkEnd w:id="174"/>
      <w:bookmarkEnd w:id="175"/>
      <w:bookmarkEnd w:id="176"/>
    </w:p>
    <w:p>
      <w:pPr>
        <w:snapToGrid w:val="0"/>
        <w:spacing w:line="360" w:lineRule="auto"/>
        <w:ind w:firstLine="240" w:firstLineChars="100"/>
        <w:outlineLvl w:val="0"/>
        <w:rPr>
          <w:rFonts w:hint="eastAsia" w:ascii="仿宋" w:hAnsi="仿宋" w:eastAsia="仿宋" w:cs="仿宋"/>
          <w:bCs/>
          <w:sz w:val="24"/>
          <w:szCs w:val="24"/>
        </w:rPr>
      </w:pPr>
      <w:bookmarkStart w:id="177" w:name="_Toc21233"/>
      <w:bookmarkStart w:id="178" w:name="_Toc30343"/>
      <w:bookmarkStart w:id="179" w:name="_Toc14272"/>
      <w:bookmarkStart w:id="180" w:name="_Toc20713"/>
      <w:bookmarkStart w:id="181" w:name="_Toc16120"/>
      <w:r>
        <w:rPr>
          <w:rFonts w:hint="eastAsia" w:ascii="仿宋" w:hAnsi="仿宋" w:eastAsia="仿宋" w:cs="仿宋"/>
          <w:bCs/>
          <w:sz w:val="24"/>
          <w:szCs w:val="24"/>
        </w:rPr>
        <w:t>（</w:t>
      </w:r>
      <w:bookmarkEnd w:id="177"/>
      <w:bookmarkEnd w:id="178"/>
      <w:bookmarkEnd w:id="179"/>
      <w:bookmarkStart w:id="182" w:name="_Toc7876"/>
      <w:bookmarkStart w:id="183" w:name="_Toc6396"/>
      <w:bookmarkStart w:id="184" w:name="_Toc24503"/>
      <w:r>
        <w:rPr>
          <w:rFonts w:hint="eastAsia" w:ascii="仿宋" w:hAnsi="仿宋" w:eastAsia="仿宋" w:cs="仿宋"/>
          <w:bCs/>
          <w:sz w:val="24"/>
          <w:szCs w:val="24"/>
        </w:rPr>
        <w:t>5）最低报价不是中标的唯一依据；</w:t>
      </w:r>
      <w:bookmarkEnd w:id="180"/>
      <w:bookmarkEnd w:id="181"/>
      <w:bookmarkEnd w:id="182"/>
      <w:bookmarkEnd w:id="183"/>
      <w:bookmarkEnd w:id="184"/>
    </w:p>
    <w:p>
      <w:pPr>
        <w:snapToGrid w:val="0"/>
        <w:spacing w:line="360" w:lineRule="auto"/>
        <w:ind w:firstLine="240" w:firstLineChars="100"/>
        <w:outlineLvl w:val="0"/>
        <w:rPr>
          <w:rFonts w:hint="eastAsia" w:ascii="仿宋" w:hAnsi="仿宋" w:eastAsia="仿宋" w:cs="仿宋"/>
          <w:bCs/>
          <w:sz w:val="24"/>
          <w:szCs w:val="24"/>
        </w:rPr>
      </w:pPr>
      <w:bookmarkStart w:id="185" w:name="_Toc21359"/>
      <w:bookmarkStart w:id="186" w:name="_Toc19028"/>
      <w:bookmarkStart w:id="187" w:name="_Toc30448"/>
      <w:bookmarkStart w:id="188" w:name="_Toc13379"/>
      <w:bookmarkStart w:id="189" w:name="_Toc28858"/>
      <w:r>
        <w:rPr>
          <w:rFonts w:hint="eastAsia" w:ascii="仿宋" w:hAnsi="仿宋" w:eastAsia="仿宋" w:cs="仿宋"/>
          <w:bCs/>
          <w:sz w:val="24"/>
          <w:szCs w:val="24"/>
        </w:rPr>
        <w:t>（6）投标人不得以低于成本的报价参加投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bookmarkEnd w:id="185"/>
      <w:bookmarkEnd w:id="186"/>
      <w:bookmarkEnd w:id="187"/>
      <w:bookmarkEnd w:id="188"/>
      <w:bookmarkEnd w:id="189"/>
    </w:p>
    <w:p>
      <w:pPr>
        <w:snapToGrid w:val="0"/>
        <w:spacing w:line="360" w:lineRule="auto"/>
        <w:ind w:firstLine="240" w:firstLineChars="100"/>
        <w:outlineLvl w:val="0"/>
        <w:rPr>
          <w:rFonts w:hint="eastAsia" w:ascii="仿宋" w:hAnsi="仿宋" w:eastAsia="仿宋" w:cs="仿宋"/>
          <w:bCs/>
          <w:sz w:val="24"/>
          <w:szCs w:val="24"/>
        </w:rPr>
      </w:pPr>
      <w:bookmarkStart w:id="190" w:name="_Toc21316"/>
      <w:bookmarkStart w:id="191" w:name="_Toc7295"/>
      <w:bookmarkStart w:id="192" w:name="_Toc21775"/>
      <w:bookmarkStart w:id="193" w:name="_Toc12707"/>
      <w:bookmarkStart w:id="194" w:name="_Toc4036"/>
      <w:r>
        <w:rPr>
          <w:rFonts w:hint="eastAsia" w:ascii="仿宋" w:hAnsi="仿宋" w:eastAsia="仿宋" w:cs="仿宋"/>
          <w:bCs/>
          <w:sz w:val="24"/>
          <w:szCs w:val="24"/>
        </w:rPr>
        <w:t>（7）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按无效投标处理。</w:t>
      </w:r>
      <w:bookmarkEnd w:id="190"/>
      <w:bookmarkEnd w:id="191"/>
    </w:p>
    <w:p>
      <w:pPr>
        <w:snapToGrid w:val="0"/>
        <w:spacing w:line="360" w:lineRule="auto"/>
        <w:ind w:firstLine="240" w:firstLineChars="100"/>
        <w:outlineLvl w:val="0"/>
        <w:rPr>
          <w:rFonts w:hint="eastAsia" w:ascii="仿宋" w:hAnsi="仿宋" w:eastAsia="仿宋" w:cs="仿宋"/>
          <w:bCs/>
          <w:sz w:val="24"/>
          <w:szCs w:val="24"/>
        </w:rPr>
      </w:pPr>
      <w:bookmarkStart w:id="195" w:name="_Toc23072"/>
      <w:bookmarkStart w:id="196" w:name="_Toc18439"/>
      <w:r>
        <w:rPr>
          <w:rFonts w:hint="eastAsia" w:ascii="仿宋" w:hAnsi="仿宋" w:eastAsia="仿宋" w:cs="仿宋"/>
          <w:bCs/>
          <w:sz w:val="24"/>
          <w:szCs w:val="24"/>
        </w:rPr>
        <w:t>（8）采购人不接受投标人给予的赠品、回扣或者与采购无关的其他商品、服务。如有赠与行为，其投标无效。</w:t>
      </w:r>
      <w:bookmarkEnd w:id="156"/>
      <w:bookmarkEnd w:id="157"/>
      <w:bookmarkEnd w:id="158"/>
      <w:bookmarkEnd w:id="159"/>
      <w:bookmarkEnd w:id="160"/>
      <w:bookmarkEnd w:id="161"/>
      <w:bookmarkEnd w:id="162"/>
      <w:bookmarkEnd w:id="163"/>
      <w:bookmarkEnd w:id="164"/>
      <w:bookmarkEnd w:id="192"/>
      <w:bookmarkEnd w:id="193"/>
      <w:bookmarkEnd w:id="194"/>
      <w:bookmarkEnd w:id="195"/>
      <w:bookmarkEnd w:id="196"/>
    </w:p>
    <w:p>
      <w:pPr>
        <w:snapToGrid w:val="0"/>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4.5</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投标文件的编制</w:t>
      </w:r>
    </w:p>
    <w:p>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投标人应仔细阅读招标文件的所有内容，按招标文件规定及要求编制投标文件，并对招标文件提出的实质性要求做出响应，提交完整的投标文件。投标内容应完整，如有遗漏，将被视为无效。</w:t>
      </w:r>
    </w:p>
    <w:p>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Cs/>
          <w:sz w:val="24"/>
          <w:szCs w:val="24"/>
        </w:rPr>
        <w:t>5.2</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投标文件的语言：投标人</w:t>
      </w:r>
      <w:r>
        <w:rPr>
          <w:rFonts w:hint="eastAsia" w:ascii="仿宋" w:hAnsi="仿宋" w:eastAsia="仿宋" w:cs="仿宋"/>
          <w:sz w:val="24"/>
          <w:szCs w:val="24"/>
        </w:rPr>
        <w:t>提交的投标文件以及投标人与采购代理机构就有关本项目所有文件、资料、函电文字均应使用</w:t>
      </w:r>
      <w:r>
        <w:rPr>
          <w:rFonts w:hint="eastAsia" w:ascii="仿宋" w:hAnsi="仿宋" w:eastAsia="仿宋" w:cs="仿宋"/>
          <w:sz w:val="24"/>
          <w:szCs w:val="24"/>
          <w:lang w:val="en-US" w:eastAsia="zh-CN"/>
        </w:rPr>
        <w:t>简体</w:t>
      </w:r>
      <w:r>
        <w:rPr>
          <w:rFonts w:hint="eastAsia" w:ascii="仿宋" w:hAnsi="仿宋" w:eastAsia="仿宋" w:cs="仿宋"/>
          <w:sz w:val="24"/>
          <w:szCs w:val="24"/>
        </w:rPr>
        <w:t>中文（通用缩写、代号、名称除外）。</w:t>
      </w:r>
    </w:p>
    <w:p>
      <w:pPr>
        <w:tabs>
          <w:tab w:val="left" w:pos="720"/>
        </w:tabs>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4.5.3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投标文件的计量单位：</w:t>
      </w:r>
      <w:r>
        <w:rPr>
          <w:rFonts w:hint="eastAsia" w:ascii="仿宋" w:hAnsi="仿宋" w:eastAsia="仿宋" w:cs="仿宋"/>
          <w:kern w:val="0"/>
          <w:sz w:val="24"/>
          <w:szCs w:val="24"/>
        </w:rPr>
        <w:t>招标文件已有明确规定的，使用投标文件规定的计量单位；投标文件没有规定的，应采用中华人民共和国法定计量单位</w:t>
      </w:r>
      <w:r>
        <w:rPr>
          <w:rFonts w:hint="eastAsia" w:ascii="仿宋" w:hAnsi="仿宋" w:eastAsia="仿宋" w:cs="仿宋"/>
          <w:sz w:val="24"/>
          <w:szCs w:val="24"/>
        </w:rPr>
        <w:t>(国际单位制和国家选定的其他计量单位)</w:t>
      </w:r>
      <w:r>
        <w:rPr>
          <w:rFonts w:hint="eastAsia" w:ascii="仿宋" w:hAnsi="仿宋" w:eastAsia="仿宋" w:cs="仿宋"/>
          <w:kern w:val="0"/>
          <w:sz w:val="24"/>
          <w:szCs w:val="24"/>
        </w:rPr>
        <w:t>。</w:t>
      </w:r>
    </w:p>
    <w:p>
      <w:pPr>
        <w:tabs>
          <w:tab w:val="left" w:pos="0"/>
          <w:tab w:val="left" w:pos="42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5.4</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备选方案：本项目不接受备选投标方案，投标文件的报价只允许有一个报价，不接受有任何选择或具有附加条件的报价，否则，在评审时将其视为无效报价。</w:t>
      </w:r>
    </w:p>
    <w:p>
      <w:pPr>
        <w:tabs>
          <w:tab w:val="left" w:pos="0"/>
          <w:tab w:val="left" w:pos="42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5.5</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投标文件有效期：投标文件有效期自投标截止之日起计算不得少于90天。</w:t>
      </w:r>
    </w:p>
    <w:p>
      <w:pPr>
        <w:tabs>
          <w:tab w:val="left" w:pos="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5.6</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投标文件格式：投标人应按照招标文件《第六章 投标文件格式及构成》填写相关内容。除明确允许投标人可以自行编写的外，投标人不得以规定之外的方式填写与采购项目无关内容。</w:t>
      </w:r>
    </w:p>
    <w:p>
      <w:pPr>
        <w:tabs>
          <w:tab w:val="left" w:pos="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5.7</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投标文件的签署、盖章</w:t>
      </w:r>
    </w:p>
    <w:p>
      <w:pPr>
        <w:tabs>
          <w:tab w:val="left" w:pos="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5.7.1</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文件须由投标人的法定代表人或经法定代表人正式授权的代表签字（招标文件要求投标文件中法定代表人签字处由法定代表人签署，要求授权代表签字处由授权代表签署），若由授权代表签署，须按招标文件规定的格式出具“法定代表人授权书”附在投标文件中，所有要求签字（名）处，均须由签字（名）者本人用不褪色的蓝(黑)色墨水(汁)书写，不得用任何形式的图章代替）；投标文件的任何行间插字、涂改和增删，改动处须由法定代表人或授权代表签字并加盖公章方为有效；因字迹潦草或表达不清所引起的后果由投标人自行负责。</w:t>
      </w:r>
    </w:p>
    <w:p>
      <w:pPr>
        <w:tabs>
          <w:tab w:val="left" w:pos="0"/>
        </w:tabs>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5.7.2</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投标人必须按照招标文件的规定和要求在投标文件中指定的页面处加盖公章，其余页面逐页加盖投标人公章包括封面、封底。</w:t>
      </w:r>
    </w:p>
    <w:p>
      <w:pPr>
        <w:tabs>
          <w:tab w:val="left" w:pos="0"/>
          <w:tab w:val="left" w:pos="42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5.8</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封装及封套注释</w:t>
      </w:r>
      <w:r>
        <w:rPr>
          <w:rFonts w:hint="eastAsia" w:ascii="仿宋" w:hAnsi="仿宋" w:eastAsia="仿宋" w:cs="仿宋"/>
          <w:kern w:val="1"/>
          <w:sz w:val="24"/>
          <w:szCs w:val="24"/>
        </w:rPr>
        <w:tab/>
      </w:r>
    </w:p>
    <w:p>
      <w:pPr>
        <w:tabs>
          <w:tab w:val="left" w:pos="0"/>
          <w:tab w:val="left" w:pos="420"/>
        </w:tabs>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5.8.1</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文件的正本、副本要求各自分装密封（封袋不得有破损），同时在封口处加贴封条并在骑缝处加盖投标人公章；投标文件电子版U盘须贴有抠取纸（抠取纸上写明投标人名称），并用小信封包装后随投标文件正本封装，U盘须安全无病毒。电子文件与纸质正本投标文件的内容应保持一致，具有同等法律效力。电子文件采用PDF格式，需要签字和盖章的，可采用电子印章，或将有盖章和签字的纸质页面、证件等扫描文件一起编辑到PDF格式文件中，盖章和签字页不能遗漏。未按规定制作电子文件或开标现场电子U盘因自身原因导致无法读取的，按无效投标文件处理。</w:t>
      </w:r>
    </w:p>
    <w:p>
      <w:pPr>
        <w:tabs>
          <w:tab w:val="left" w:pos="0"/>
          <w:tab w:val="left" w:pos="420"/>
        </w:tabs>
        <w:snapToGrid w:val="0"/>
        <w:spacing w:line="360" w:lineRule="auto"/>
        <w:ind w:firstLine="240" w:firstLineChars="100"/>
        <w:rPr>
          <w:rFonts w:hint="eastAsia" w:ascii="仿宋" w:hAnsi="仿宋" w:eastAsia="仿宋" w:cs="仿宋"/>
          <w:kern w:val="1"/>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5.8.2</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封套上应载明的信息：</w:t>
      </w:r>
    </w:p>
    <w:p>
      <w:pPr>
        <w:tabs>
          <w:tab w:val="left" w:pos="0"/>
          <w:tab w:val="left" w:pos="420"/>
        </w:tabs>
        <w:snapToGrid w:val="0"/>
        <w:spacing w:line="360" w:lineRule="auto"/>
        <w:ind w:firstLine="240" w:firstLineChars="100"/>
        <w:rPr>
          <w:rFonts w:hint="eastAsia" w:ascii="仿宋" w:hAnsi="仿宋" w:eastAsia="仿宋" w:cs="仿宋"/>
          <w:kern w:val="1"/>
          <w:sz w:val="24"/>
          <w:szCs w:val="24"/>
          <w:lang w:val="en-US" w:eastAsia="zh-CN"/>
        </w:rPr>
      </w:pPr>
      <w:r>
        <w:rPr>
          <w:rFonts w:hint="eastAsia" w:ascii="仿宋" w:hAnsi="仿宋" w:eastAsia="仿宋" w:cs="仿宋"/>
          <w:kern w:val="1"/>
          <w:sz w:val="24"/>
          <w:szCs w:val="24"/>
        </w:rPr>
        <w:t>项目名称及编号、采购人名称、投标人名称，并注明“正副本”及“</w:t>
      </w:r>
      <w:r>
        <w:rPr>
          <w:rFonts w:hint="eastAsia" w:ascii="仿宋" w:hAnsi="仿宋" w:eastAsia="仿宋" w:cs="仿宋"/>
          <w:kern w:val="1"/>
          <w:sz w:val="24"/>
          <w:szCs w:val="24"/>
          <w:highlight w:val="none"/>
        </w:rPr>
        <w:t>在</w:t>
      </w:r>
      <w:r>
        <w:rPr>
          <w:rFonts w:hint="eastAsia" w:ascii="仿宋" w:hAnsi="仿宋" w:eastAsia="仿宋" w:cs="仿宋"/>
          <w:kern w:val="1"/>
          <w:sz w:val="24"/>
          <w:szCs w:val="24"/>
          <w:highlight w:val="none"/>
          <w:lang w:val="en-US" w:eastAsia="zh-CN"/>
        </w:rPr>
        <w:t>2022</w:t>
      </w:r>
      <w:r>
        <w:rPr>
          <w:rFonts w:hint="eastAsia" w:ascii="仿宋" w:hAnsi="仿宋" w:eastAsia="仿宋" w:cs="仿宋"/>
          <w:kern w:val="1"/>
          <w:sz w:val="24"/>
          <w:szCs w:val="24"/>
          <w:highlight w:val="none"/>
        </w:rPr>
        <w:t>年</w:t>
      </w:r>
      <w:r>
        <w:rPr>
          <w:rFonts w:hint="eastAsia" w:ascii="仿宋" w:hAnsi="仿宋" w:eastAsia="仿宋" w:cs="仿宋"/>
          <w:kern w:val="1"/>
          <w:sz w:val="24"/>
          <w:szCs w:val="24"/>
          <w:highlight w:val="none"/>
          <w:lang w:val="en-US" w:eastAsia="zh-CN"/>
        </w:rPr>
        <w:t>7月11</w:t>
      </w:r>
      <w:r>
        <w:rPr>
          <w:rFonts w:hint="eastAsia" w:ascii="仿宋" w:hAnsi="仿宋" w:eastAsia="仿宋" w:cs="仿宋"/>
          <w:kern w:val="1"/>
          <w:sz w:val="24"/>
          <w:szCs w:val="24"/>
          <w:highlight w:val="none"/>
        </w:rPr>
        <w:t>日</w:t>
      </w:r>
      <w:r>
        <w:rPr>
          <w:rFonts w:hint="eastAsia" w:ascii="仿宋" w:hAnsi="仿宋" w:eastAsia="仿宋" w:cs="仿宋"/>
          <w:kern w:val="1"/>
          <w:sz w:val="24"/>
          <w:szCs w:val="24"/>
          <w:highlight w:val="none"/>
          <w:lang w:val="en-US" w:eastAsia="zh-CN"/>
        </w:rPr>
        <w:t>14</w:t>
      </w:r>
      <w:r>
        <w:rPr>
          <w:rFonts w:hint="eastAsia" w:ascii="仿宋" w:hAnsi="仿宋" w:eastAsia="仿宋" w:cs="仿宋"/>
          <w:kern w:val="1"/>
          <w:sz w:val="24"/>
          <w:szCs w:val="24"/>
          <w:highlight w:val="none"/>
        </w:rPr>
        <w:t>时</w:t>
      </w:r>
      <w:r>
        <w:rPr>
          <w:rFonts w:hint="eastAsia" w:ascii="仿宋" w:hAnsi="仿宋" w:eastAsia="仿宋" w:cs="仿宋"/>
          <w:kern w:val="1"/>
          <w:sz w:val="24"/>
          <w:szCs w:val="24"/>
          <w:highlight w:val="none"/>
          <w:lang w:val="en-US" w:eastAsia="zh-CN"/>
        </w:rPr>
        <w:t>30</w:t>
      </w:r>
      <w:r>
        <w:rPr>
          <w:rFonts w:hint="eastAsia" w:ascii="仿宋" w:hAnsi="仿宋" w:eastAsia="仿宋" w:cs="仿宋"/>
          <w:kern w:val="1"/>
          <w:sz w:val="24"/>
          <w:szCs w:val="24"/>
          <w:highlight w:val="none"/>
        </w:rPr>
        <w:t>分前不得开启</w:t>
      </w:r>
      <w:r>
        <w:rPr>
          <w:rFonts w:hint="eastAsia" w:ascii="仿宋" w:hAnsi="仿宋" w:eastAsia="仿宋" w:cs="仿宋"/>
          <w:kern w:val="1"/>
          <w:sz w:val="24"/>
          <w:szCs w:val="24"/>
        </w:rPr>
        <w:t>”字样</w:t>
      </w:r>
      <w:r>
        <w:rPr>
          <w:rFonts w:hint="eastAsia" w:ascii="仿宋" w:hAnsi="仿宋" w:eastAsia="仿宋" w:cs="仿宋"/>
          <w:kern w:val="1"/>
          <w:sz w:val="24"/>
          <w:szCs w:val="24"/>
          <w:lang w:eastAsia="zh-CN"/>
        </w:rPr>
        <w:t>。</w:t>
      </w:r>
    </w:p>
    <w:p>
      <w:pPr>
        <w:tabs>
          <w:tab w:val="left" w:pos="0"/>
          <w:tab w:val="left" w:pos="4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5.8.3</w:t>
      </w:r>
      <w:r>
        <w:rPr>
          <w:rFonts w:hint="eastAsia" w:ascii="仿宋" w:hAnsi="仿宋" w:eastAsia="仿宋" w:cs="仿宋"/>
          <w:kern w:val="1"/>
          <w:sz w:val="24"/>
          <w:szCs w:val="24"/>
          <w:lang w:val="en-US" w:eastAsia="zh-CN"/>
        </w:rPr>
        <w:t xml:space="preserve"> </w:t>
      </w:r>
      <w:r>
        <w:rPr>
          <w:rFonts w:hint="eastAsia" w:ascii="仿宋" w:hAnsi="仿宋" w:eastAsia="仿宋" w:cs="仿宋"/>
          <w:sz w:val="24"/>
          <w:szCs w:val="24"/>
        </w:rPr>
        <w:t>投标文件正本和副本</w:t>
      </w:r>
      <w:r>
        <w:rPr>
          <w:rFonts w:hint="eastAsia" w:ascii="仿宋" w:hAnsi="仿宋" w:eastAsia="仿宋" w:cs="仿宋"/>
          <w:sz w:val="24"/>
          <w:szCs w:val="24"/>
          <w:lang w:val="zh-CN"/>
        </w:rPr>
        <w:t>一律采用A4纸幅面加胶装分别装订成册，</w:t>
      </w:r>
      <w:r>
        <w:rPr>
          <w:rFonts w:hint="eastAsia" w:ascii="仿宋" w:hAnsi="仿宋" w:eastAsia="仿宋" w:cs="仿宋"/>
          <w:bCs/>
          <w:kern w:val="1"/>
          <w:sz w:val="24"/>
          <w:szCs w:val="24"/>
        </w:rPr>
        <w:t>按序从目录开始编制页码。</w:t>
      </w:r>
      <w:r>
        <w:rPr>
          <w:rFonts w:hint="eastAsia" w:ascii="仿宋" w:hAnsi="仿宋" w:eastAsia="仿宋" w:cs="仿宋"/>
          <w:sz w:val="24"/>
          <w:szCs w:val="24"/>
        </w:rPr>
        <w:t>文件胶装装订后，页面不可抽取，不得有活动页，无破损、不可拆分。</w:t>
      </w:r>
    </w:p>
    <w:p>
      <w:pPr>
        <w:tabs>
          <w:tab w:val="left" w:pos="0"/>
          <w:tab w:val="left" w:pos="4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1"/>
          <w:sz w:val="24"/>
          <w:szCs w:val="24"/>
        </w:rPr>
        <w:t>5.8.4</w:t>
      </w:r>
      <w:r>
        <w:rPr>
          <w:rFonts w:hint="eastAsia" w:ascii="仿宋" w:hAnsi="仿宋" w:eastAsia="仿宋" w:cs="仿宋"/>
          <w:kern w:val="1"/>
          <w:sz w:val="24"/>
          <w:szCs w:val="24"/>
          <w:lang w:val="en-US" w:eastAsia="zh-CN"/>
        </w:rPr>
        <w:t xml:space="preserve"> </w:t>
      </w:r>
      <w:r>
        <w:rPr>
          <w:rFonts w:hint="eastAsia" w:ascii="仿宋" w:hAnsi="仿宋" w:eastAsia="仿宋" w:cs="仿宋"/>
          <w:sz w:val="24"/>
          <w:szCs w:val="24"/>
        </w:rPr>
        <w:t>如果投标人未按上述要求密封标识，采购人及采购代理机构将拒绝接收投标文件。</w:t>
      </w:r>
      <w:bookmarkStart w:id="197" w:name="_Toc18729"/>
      <w:bookmarkStart w:id="198" w:name="_Toc30386"/>
      <w:bookmarkStart w:id="199" w:name="_Toc531189839"/>
      <w:bookmarkStart w:id="200" w:name="_Toc175973400"/>
    </w:p>
    <w:p>
      <w:pPr>
        <w:tabs>
          <w:tab w:val="left" w:pos="0"/>
          <w:tab w:val="left" w:pos="420"/>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4.6</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投标保证金</w:t>
      </w:r>
      <w:bookmarkEnd w:id="197"/>
      <w:bookmarkEnd w:id="198"/>
    </w:p>
    <w:p>
      <w:pPr>
        <w:pStyle w:val="4"/>
        <w:snapToGrid w:val="0"/>
        <w:ind w:firstLine="480" w:firstLineChars="20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本项目不收取投标保证金，根据西安市财政局关于《促进政府采购公平竞争优化营商环境》的通知，供应商参与西安市政府采购活动，免交招标文件工本费及投标保证金。</w:t>
      </w:r>
    </w:p>
    <w:p>
      <w:pPr>
        <w:pStyle w:val="4"/>
        <w:snapToGrid w:val="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五</w:t>
      </w:r>
      <w:r>
        <w:rPr>
          <w:rFonts w:hint="eastAsia" w:ascii="黑体" w:hAnsi="黑体" w:cs="黑体"/>
          <w:b w:val="0"/>
          <w:bCs w:val="0"/>
          <w:sz w:val="24"/>
          <w:szCs w:val="24"/>
          <w:lang w:eastAsia="zh-CN"/>
        </w:rPr>
        <w:t>、</w:t>
      </w:r>
      <w:r>
        <w:rPr>
          <w:rFonts w:hint="eastAsia" w:ascii="黑体" w:hAnsi="黑体" w:eastAsia="黑体" w:cs="黑体"/>
          <w:b w:val="0"/>
          <w:bCs w:val="0"/>
          <w:sz w:val="24"/>
          <w:szCs w:val="24"/>
        </w:rPr>
        <w:t>投标文件的递交</w:t>
      </w:r>
      <w:bookmarkEnd w:id="199"/>
      <w:bookmarkEnd w:id="200"/>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5.1</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投标文件的递交</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5.1.1</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投标人应当在招标文件要求提交投标文件的截止时间前，将投标文件密封送达投标地点。采购人或者采购代理机构收到投标文件后，如实记载投标文件的送达时间和密封情况，签收保存，向投标人出具签收回执。任何单位和个人不得在开标前开启投标文件。</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5.1.2</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逾期送达或者未按照招标文件要求密封的投标文件，采购人、采购代理机构将拒收。</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5.2投标截止时间</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采购人推迟投标截止时间时，应以书面或传真的形式通知所有投标人。采购人和投标人的权利和义务将受到新的截止期的约束。</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投标截止时间以后送达的投标文件，采购人及采购代理机构拒绝接收。</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5.3</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投标文件的修改和撤回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投标以后，如果投标人提出书面修改，须在投标截止时间前密封送达同正项目管理有限公司，同正项目管理有限公司可以予以接受，但不退还原投标文件。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撤回投标应以书面或传真的形式在投标截止时间前送达同正项目管理有限公司，同正项目管理有限公司可以予以接受，但不退还原投标文件。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如采取传真形式撤回投标，随后必须补充有法人代表或授权代表签署的要求撤回投标的正式文件。撤回投标的时间以送达同正项目管理有限公司的时间为准。</w:t>
      </w:r>
      <w:bookmarkStart w:id="201" w:name="_Toc519941192"/>
      <w:bookmarkStart w:id="202" w:name="_Toc531189840"/>
    </w:p>
    <w:p>
      <w:pPr>
        <w:pStyle w:val="4"/>
        <w:snapToGrid w:val="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六</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rPr>
        <w:t>开标、资格审查及评标</w:t>
      </w:r>
      <w:bookmarkEnd w:id="201"/>
      <w:bookmarkEnd w:id="202"/>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6.1</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开标</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开标由采购代理机构主持。主持人按照招标文件规定的开标时间宣布开标，并按下列程序进行（但不限于）：</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（1）宣布开标开始和开启录音录像设备并致辞；</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（2）宣布开标纪律和有关注意事项；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（3）公布在投标截止时间前递交投标文件的投标人名称（根据投标人签到表）；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（4）宣布开标人、唱标人、监标人、记录人等有关工作人员姓名；</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（5）检查并宣布投标文件的密封情况；</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（6）开标唱标：主持人宣布开标后，由现场工作人员按照投标人须知前附表规定的顺序对投标人的“投标文件（正本）”当众进行拆封，由唱标人对其中“开标一览表”的投标人名称、投标总</w:t>
      </w:r>
      <w:r>
        <w:rPr>
          <w:rFonts w:hint="eastAsia" w:ascii="仿宋" w:hAnsi="仿宋" w:eastAsia="仿宋" w:cs="仿宋"/>
          <w:color w:val="auto"/>
          <w:sz w:val="24"/>
          <w:szCs w:val="24"/>
        </w:rPr>
        <w:t>价、</w:t>
      </w:r>
      <w:r>
        <w:rPr>
          <w:rFonts w:hint="eastAsia" w:ascii="仿宋" w:hAnsi="仿宋" w:eastAsia="仿宋" w:cs="仿宋"/>
          <w:color w:val="auto"/>
          <w:sz w:val="24"/>
          <w:szCs w:val="24"/>
          <w:lang w:val="en-US" w:eastAsia="zh-CN"/>
        </w:rPr>
        <w:t>交付期</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质保期</w:t>
      </w:r>
      <w:r>
        <w:rPr>
          <w:rFonts w:hint="eastAsia" w:ascii="仿宋" w:hAnsi="仿宋" w:eastAsia="仿宋" w:cs="仿宋"/>
          <w:sz w:val="24"/>
          <w:szCs w:val="24"/>
        </w:rPr>
        <w:t>等内容进行宣读并做开标记录；所有投标唱标完毕，如投标人对宣读的“开标一览表”上的内容有异议的，应当举手示意，在获得主持人同意后当场提出；如确实属于唱标人宣读错误的，经现场采购人或监督人员核实后，当场予以更正；无异议后，由投标人法定代表人或委托代理人及采购人签字确认唱标内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宣布开标结束：主持人宣布开标结束后，所有投标人应立即退场（招标文件要求演示、述标的除外）；同时所有投标人应保持通讯设备的畅通，以方便在评标过程中评标委员会要求投标人对投标文件的必要澄清、说明和纠正。</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注：检查投标文件密封情况是指，由投标人或者其推选的代表检查其自己递交的投标文件的密封情况，经检查无误后，签字确认。</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或者其推选的代表确认投标文件情况，仅限于确认其自己递交的投标文件的密封情况，不代表对其他投标人的投标文件的密封情况确认。投标人或者其推选的代表检对其他投标人的投标文件密封情况有异议的，可以当场反映开标主持人或者现场监督人员，要求开标现场记录人员予以记录，但不得干扰、阻挠开标工作的正常进行。</w:t>
      </w:r>
    </w:p>
    <w:p>
      <w:pPr>
        <w:numPr>
          <w:ilvl w:val="0"/>
          <w:numId w:val="0"/>
        </w:num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pPr>
        <w:pStyle w:val="2"/>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6.2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投标人资格审查</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开标结束后，由采购人及代理机构按照《政府采购货物和服务招标投标管理办法》（财政部第87号令）有关规定，对投标人进行资格审查，不符合要求的投标人将不再进入下面程序（在评标结束前发现投标人资格不符合要求的，经评标委员会同意后可作无效投标处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资格审查出现下列情形的，投标文件将被视为无效：</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A.不具备招标文件中规定的资格要求或缺项的；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B.未按招标文件要求提供资格证明文件的；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C.采购人认为供应商的资格证明文件存在疑点，要求投标人现场提供原件，投标人不能在规定时限内提供原件或其所提供的原件无法证实投标文件所附证明文件有效性的。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(2)资格审查结束后，采购人及代理机构应当对审查结果进行签字确认，并告知无效投标供应商资格审查未通过的原因。</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(3)合格投标人不足3家的，不得评标。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6.3评标</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评标委员会的组成</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人数：5人；构成：由1名采购人代表和在陕西省财政厅设立的政府采购评审专家库中通过随机方式抽取4名评审专家共同构成。</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符合性审查由评标委员会进行，依据招标文件规定，从投标文件的有效性、完整性和对招标文件的响应程度进行审查，以确定是否对招标文件的实质性要求作出响应。投标文件有下列情况之一者将被认定为投标无效：</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未按照招标文件规定和要求对投标文件进行签署、盖章的；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不具备招标文件中规定的资格条件和资格审查要求的；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与招标文件有重大偏离；</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投标人拒绝修正错误；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投标人的报价是选择性的；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投标人的报价只投了同一项目中部分内容；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投标人的投标文件中出现评委会认为不应雷同的； </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投标人名称与登记获取招标文件单位的名称不一致的；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6.3.2.9</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其他被评委会认定无效的情况。</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在详细评标之前，评委会将首先审查每份投标书是否实质响应了招标文件的要求。实质上响应的投标应该是与招标文件的全部条款、条件和规格相符，没有重大偏离或保留。所谓重大偏离或保留是指影响合同的供货范围、质量和性能等；或者在实质上与招标文件不一致〔如货物和服务的质量（包括品牌）、数量及交货期等明显不能满足招标文件的要求〕，而且限制了合同中买方的权利或投标人的义务。这些偏离或保留将会对其他实质上响应要求的投标人的竞争地位产生不公正的影响。</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招标文件提供的工艺、材料、设备、参考的商标或样本目录号码等仅作为说明并没有限制性，投标人在投标中可以选用替代标准，但这些替代标准要优于或相当于技术规格中要求的标准，以满足采购人的需要。</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评标委员会将允许修改投标中不构成重大偏离的微小的、非正规、不一致或不规则的地方，但这些修改不能影响任何投标人的名次相应排列。投标人不得对投标文件进行实质性修改。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评委会将对确定为实质上响应的投标进行审核，看其是否有计算上或累加上的算术错误，修正错误的原则如下：</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（1）文字与图表不符以文字为准；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（2）投标文件中开标一览表（报价表）内容与投标文件中相应内容不一致的，以开标一览表（报价表）为准；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（3）大写金额和小写金额不一致的，以大写金额为准；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（4）单价金额小数点或者百分比有明显错位的，以开标一览表的总价为准，并修改单价；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（5）总价金额与按单价汇总金额不一致的，以单价金额计算结果为准。</w:t>
      </w:r>
    </w:p>
    <w:p>
      <w:pPr>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按照《政府采购货物和服务招标投标管理办法》财政部第87号令第五十一条第二款的规定经投标人确认后产生约束力，投标人不确认的，其投标无效。</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评标委员会对投标文件的判定，只依据投标内容本身，不依靠开标后的任何外来证明。</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6.3评标委员会将拒绝被确定为非实质性响应的投标，投标人不能通过修正或撤销不符之处而使其投标成为实质性响应的投标。</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6.4投标的澄清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6.4.1为了有助于对投标文件进行审查、评估和比较，评标委员会有权就投标文件中含混之处向投标人提出询问或澄清要求。投标人必须按照评标委员会通知的时间、地点派技术和商务人员进行答疑和澄清。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6.4.2有关澄清的答复应采用书面形式，该书面答复应有投标人全权代表签署确认，并将作为投标内容的一部分。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投标人对投标文件的澄清不得改变投标的价格（校核时发现的算术错误除外）及实质内容。</w:t>
      </w:r>
    </w:p>
    <w:p>
      <w:pPr>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6.5</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公开招标数额标准以上的采购项目，投标截止后投标人不足3家或者通过资格审查或符合性审查的投标人不足3家的，除采购任务取消情形外，按照以下方式处理：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6.5.1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招标文件存在不合理条款或者招标程序不符合规定的，采购人、采购代理机构改正后依法重新招标；</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6.5.2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招标文件没有不合理条款、招标程序符合规定，需要采用其他采购方式采购的，采购人应当依法报财政部门批准。</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6.6</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投标文件的评价和比较</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6.6.1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评标委员会将仅对按照本须知有关规定确定为实质上响应招标文件要求的投标文件进行评价和比较。</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6.6.2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评价和比较采用综合评分法，评委会严格按照招标文件的规定要求、条件、评分标准，对投标人所提供货物或服务的先进性、可靠性、售后服务方案及承诺、质量保证等实质性响应内容进行比较评价。</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6.6.3最低的投标报价或最高的折扣比例是中标条件之一，但不是唯一条件。</w:t>
      </w:r>
    </w:p>
    <w:p>
      <w:pPr>
        <w:snapToGrid w:val="0"/>
        <w:spacing w:line="360" w:lineRule="auto"/>
        <w:ind w:firstLine="482" w:firstLineChars="200"/>
        <w:outlineLvl w:val="0"/>
        <w:rPr>
          <w:rFonts w:hint="eastAsia" w:ascii="仿宋" w:hAnsi="仿宋" w:eastAsia="仿宋" w:cs="仿宋"/>
          <w:b/>
          <w:sz w:val="24"/>
          <w:szCs w:val="24"/>
        </w:rPr>
      </w:pPr>
      <w:bookmarkStart w:id="203" w:name="_Toc21769"/>
      <w:bookmarkStart w:id="204" w:name="_Toc2757"/>
      <w:bookmarkStart w:id="205" w:name="_Toc5292"/>
      <w:bookmarkStart w:id="206" w:name="_Toc23008"/>
      <w:bookmarkStart w:id="207" w:name="_Toc20387"/>
      <w:bookmarkStart w:id="208" w:name="_Toc15027"/>
      <w:bookmarkStart w:id="209" w:name="_Toc14153"/>
      <w:bookmarkStart w:id="210" w:name="_Toc7400"/>
      <w:bookmarkStart w:id="211" w:name="_Toc8045"/>
      <w:bookmarkStart w:id="212" w:name="_Toc19460"/>
      <w:bookmarkStart w:id="213" w:name="_Toc26618"/>
      <w:bookmarkStart w:id="214" w:name="_Toc14132"/>
      <w:bookmarkStart w:id="215" w:name="_Toc30370"/>
      <w:bookmarkStart w:id="216" w:name="_Toc10418"/>
      <w:r>
        <w:rPr>
          <w:rFonts w:hint="eastAsia" w:ascii="仿宋" w:hAnsi="仿宋" w:eastAsia="仿宋" w:cs="仿宋"/>
          <w:b/>
          <w:sz w:val="24"/>
          <w:szCs w:val="24"/>
        </w:rPr>
        <w:t>6.7</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评标过程保密</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snapToGrid w:val="0"/>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6.7.1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从开标之日到确定中标人止，评标人员不得向投标人或其他无关人员透露有关审查、澄清、评价和比较投标资料的情况或授标意向。</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6.7.2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任何人员如发生泄密现象，将承担相应的法律责任。</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6.7.3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投标人企图影响招标方的任何行为，将导致该投标人被拒绝，并承担相应的法律责任。</w:t>
      </w:r>
    </w:p>
    <w:p>
      <w:pPr>
        <w:snapToGrid w:val="0"/>
        <w:spacing w:line="360" w:lineRule="auto"/>
        <w:ind w:firstLine="482" w:firstLineChars="200"/>
        <w:outlineLvl w:val="0"/>
        <w:rPr>
          <w:rFonts w:hint="eastAsia" w:ascii="仿宋" w:hAnsi="仿宋" w:eastAsia="仿宋" w:cs="仿宋"/>
          <w:b/>
          <w:sz w:val="24"/>
          <w:szCs w:val="24"/>
        </w:rPr>
      </w:pPr>
      <w:bookmarkStart w:id="217" w:name="_Toc453862260"/>
      <w:bookmarkStart w:id="218" w:name="_Toc15131"/>
      <w:bookmarkStart w:id="219" w:name="_Toc23467"/>
      <w:bookmarkStart w:id="220" w:name="_Toc20614"/>
      <w:bookmarkStart w:id="221" w:name="_Toc2790"/>
      <w:bookmarkStart w:id="222" w:name="_Toc2269"/>
      <w:bookmarkStart w:id="223" w:name="_Toc26856"/>
      <w:bookmarkStart w:id="224" w:name="_Toc18474"/>
      <w:bookmarkStart w:id="225" w:name="_Toc28525"/>
      <w:bookmarkStart w:id="226" w:name="_Toc22630"/>
      <w:bookmarkStart w:id="227" w:name="_Toc536"/>
      <w:bookmarkStart w:id="228" w:name="_Toc32173"/>
      <w:bookmarkStart w:id="229" w:name="_Toc1187"/>
      <w:bookmarkStart w:id="230" w:name="_Toc19635"/>
      <w:bookmarkStart w:id="231" w:name="_Toc11914"/>
      <w:r>
        <w:rPr>
          <w:rFonts w:hint="eastAsia" w:ascii="仿宋" w:hAnsi="仿宋" w:eastAsia="仿宋" w:cs="仿宋"/>
          <w:b/>
          <w:sz w:val="24"/>
          <w:szCs w:val="24"/>
        </w:rPr>
        <w:t>6.8</w:t>
      </w:r>
      <w:bookmarkEnd w:id="217"/>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推荐中标候选人</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评标委员会按照招标文件确定的内容和评标方法对投标文件进行评审，按照得分由高到低的顺序，按排序推荐中标候选人。</w:t>
      </w:r>
    </w:p>
    <w:p>
      <w:pPr>
        <w:pStyle w:val="4"/>
        <w:tabs>
          <w:tab w:val="left" w:pos="3930"/>
          <w:tab w:val="center" w:pos="4819"/>
        </w:tabs>
        <w:snapToGrid w:val="0"/>
        <w:jc w:val="left"/>
        <w:rPr>
          <w:rFonts w:hint="eastAsia" w:ascii="黑体" w:hAnsi="黑体" w:eastAsia="黑体" w:cs="黑体"/>
          <w:b w:val="0"/>
          <w:bCs w:val="0"/>
          <w:sz w:val="24"/>
          <w:szCs w:val="24"/>
        </w:rPr>
      </w:pPr>
      <w:bookmarkStart w:id="232" w:name="_Toc519941193"/>
      <w:bookmarkStart w:id="233" w:name="_Toc531189841"/>
      <w:r>
        <w:rPr>
          <w:rFonts w:hint="eastAsia" w:ascii="黑体" w:hAnsi="黑体" w:eastAsia="黑体" w:cs="黑体"/>
          <w:b w:val="0"/>
          <w:bCs w:val="0"/>
          <w:sz w:val="24"/>
          <w:szCs w:val="24"/>
        </w:rPr>
        <w:t>七、确定中标及中标</w:t>
      </w:r>
      <w:bookmarkEnd w:id="232"/>
      <w:bookmarkEnd w:id="233"/>
      <w:r>
        <w:rPr>
          <w:rFonts w:hint="eastAsia" w:ascii="黑体" w:hAnsi="黑体" w:eastAsia="黑体" w:cs="黑体"/>
          <w:b w:val="0"/>
          <w:bCs w:val="0"/>
          <w:sz w:val="24"/>
          <w:szCs w:val="24"/>
        </w:rPr>
        <w:t>通知</w:t>
      </w:r>
    </w:p>
    <w:p>
      <w:pPr>
        <w:snapToGrid w:val="0"/>
        <w:spacing w:line="360" w:lineRule="auto"/>
        <w:ind w:firstLine="482" w:firstLineChars="200"/>
        <w:outlineLvl w:val="0"/>
        <w:rPr>
          <w:rFonts w:hint="eastAsia" w:ascii="仿宋" w:hAnsi="仿宋" w:eastAsia="仿宋" w:cs="仿宋"/>
          <w:b/>
          <w:sz w:val="24"/>
          <w:szCs w:val="24"/>
        </w:rPr>
      </w:pPr>
      <w:bookmarkStart w:id="234" w:name="_Toc24681"/>
      <w:bookmarkStart w:id="235" w:name="_Toc17914"/>
      <w:bookmarkStart w:id="236" w:name="_Toc6506"/>
      <w:bookmarkStart w:id="237" w:name="_Toc1114"/>
      <w:bookmarkStart w:id="238" w:name="_Toc22568"/>
      <w:bookmarkStart w:id="239" w:name="_Toc2216"/>
      <w:bookmarkStart w:id="240" w:name="_Toc25981"/>
      <w:bookmarkStart w:id="241" w:name="_Toc24051"/>
      <w:bookmarkStart w:id="242" w:name="_Toc11032"/>
      <w:bookmarkStart w:id="243" w:name="_Toc8706"/>
      <w:bookmarkStart w:id="244" w:name="_Toc2805"/>
      <w:bookmarkStart w:id="245" w:name="_Toc2700"/>
      <w:bookmarkStart w:id="246" w:name="_Toc19446"/>
      <w:bookmarkStart w:id="247" w:name="_Toc27113"/>
      <w:r>
        <w:rPr>
          <w:rFonts w:hint="eastAsia" w:ascii="仿宋" w:hAnsi="仿宋" w:eastAsia="仿宋" w:cs="仿宋"/>
          <w:b/>
          <w:sz w:val="24"/>
          <w:szCs w:val="24"/>
        </w:rPr>
        <w:t>7.1</w:t>
      </w:r>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确定中标</w:t>
      </w:r>
      <w:bookmarkEnd w:id="247"/>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采购人根据评标报告中推荐的中标候选人排列顺序确定中标人。</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采购结果公告在</w:t>
      </w:r>
      <w:r>
        <w:rPr>
          <w:rFonts w:hint="eastAsia" w:ascii="仿宋" w:hAnsi="仿宋" w:eastAsia="仿宋" w:cs="仿宋"/>
          <w:kern w:val="0"/>
          <w:sz w:val="24"/>
          <w:szCs w:val="24"/>
        </w:rPr>
        <w:t>《陕西省政府采购网》发布</w:t>
      </w:r>
      <w:r>
        <w:rPr>
          <w:rFonts w:hint="eastAsia" w:ascii="仿宋" w:hAnsi="仿宋" w:eastAsia="仿宋" w:cs="仿宋"/>
          <w:sz w:val="24"/>
          <w:szCs w:val="24"/>
        </w:rPr>
        <w:t>，结果公告期限为1个工作日。投标人对评标结果有异议的，可以以书面形式提出质疑。提出质疑的投标人应保证提出的质疑内容及相应证明材料的真实性及来源的合法性，并承担相应的法律责任。</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可以对已推荐的中标候选人进行履约能力的进一步审核，以确认其是否具备完全履约能力。中标候选人不得拒绝提供进一步的证明其有能力履约的资料，并应该接受实地考察，如果发现中标候选人在履约能力方面有缺陷，或中标候选人不接受对其履约能力的进一步审核，采购人可以申请对原评标结果进行复议。</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排名第一的中标候选人放弃中标、因不可抗力不能履行合同、不能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7.2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中标通知</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中标人确定之后，采购人根据评标报告，向采购代理机构提供定标函。采购代理机构发布结果公告的同时向中标人发放中标通知书。</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中标通知书对采购人和中标人具有同等法律效力。中标通知书发出之后，采购人改变中标结果，或者中标人放弃中标，均应当承担相应的法律责任。</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采购代理机构不做未中标原因的解释。</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中标通知书将是合同的一个组成部分。</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7.3</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签订合同</w:t>
      </w:r>
    </w:p>
    <w:p>
      <w:pPr>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7.3.1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中标人应依据中标通知书与采购人在法定期限内签订采购合同；如未能按时签订合同，采购人有权选择其它单位。</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招标文件、中标人的投标文件及评标过程中有关的澄清文件均作为合同附件。</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7.4</w:t>
      </w:r>
      <w:bookmarkStart w:id="248" w:name="_Toc322606648"/>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合同履行</w:t>
      </w:r>
      <w:bookmarkEnd w:id="248"/>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7.4.1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政府采购合同的履行、违约责任和解决争议的方法等适用《</w:t>
      </w:r>
      <w:r>
        <w:rPr>
          <w:rFonts w:hint="eastAsia" w:ascii="仿宋" w:hAnsi="仿宋" w:eastAsia="仿宋" w:cs="仿宋"/>
          <w:sz w:val="24"/>
          <w:szCs w:val="24"/>
          <w:lang w:eastAsia="zh-CN"/>
        </w:rPr>
        <w:t>中华人民共和国民法典</w:t>
      </w:r>
      <w:r>
        <w:rPr>
          <w:rFonts w:hint="eastAsia" w:ascii="仿宋" w:hAnsi="仿宋" w:eastAsia="仿宋" w:cs="仿宋"/>
          <w:sz w:val="24"/>
          <w:szCs w:val="24"/>
        </w:rPr>
        <w:t>》。</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TW"/>
        </w:rPr>
        <w:t>政府采购合同订立后，合同各方不得擅自变更</w:t>
      </w:r>
      <w:r>
        <w:rPr>
          <w:rFonts w:hint="eastAsia" w:ascii="仿宋" w:hAnsi="仿宋" w:eastAsia="仿宋" w:cs="仿宋"/>
          <w:sz w:val="24"/>
          <w:szCs w:val="24"/>
        </w:rPr>
        <w:t>或者</w:t>
      </w:r>
      <w:r>
        <w:rPr>
          <w:rFonts w:hint="eastAsia" w:ascii="仿宋" w:hAnsi="仿宋" w:eastAsia="仿宋" w:cs="仿宋"/>
          <w:sz w:val="24"/>
          <w:szCs w:val="24"/>
          <w:lang w:eastAsia="zh-TW"/>
        </w:rPr>
        <w:t>中止或者终止合同。政府采购合同需要变更的，采购人应将有关合同变更内容，以书面形式报政府采购监督管理</w:t>
      </w:r>
      <w:r>
        <w:rPr>
          <w:rFonts w:hint="eastAsia" w:ascii="仿宋" w:hAnsi="仿宋" w:eastAsia="仿宋" w:cs="仿宋"/>
          <w:sz w:val="24"/>
          <w:szCs w:val="24"/>
        </w:rPr>
        <w:t>部门</w:t>
      </w:r>
      <w:r>
        <w:rPr>
          <w:rFonts w:hint="eastAsia" w:ascii="仿宋" w:hAnsi="仿宋" w:eastAsia="仿宋" w:cs="仿宋"/>
          <w:sz w:val="24"/>
          <w:szCs w:val="24"/>
          <w:lang w:eastAsia="zh-TW"/>
        </w:rPr>
        <w:t>备案；因特殊情况需要中止或终止合同的，采购人应将中止或终止合同的理由以及相应措施，以书面形式报政府采购监督管理</w:t>
      </w:r>
      <w:r>
        <w:rPr>
          <w:rFonts w:hint="eastAsia" w:ascii="仿宋" w:hAnsi="仿宋" w:eastAsia="仿宋" w:cs="仿宋"/>
          <w:sz w:val="24"/>
          <w:szCs w:val="24"/>
        </w:rPr>
        <w:t>部门</w:t>
      </w:r>
      <w:r>
        <w:rPr>
          <w:rFonts w:hint="eastAsia" w:ascii="仿宋" w:hAnsi="仿宋" w:eastAsia="仿宋" w:cs="仿宋"/>
          <w:sz w:val="24"/>
          <w:szCs w:val="24"/>
          <w:lang w:eastAsia="zh-TW"/>
        </w:rPr>
        <w:t>备案。</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TW"/>
        </w:rPr>
        <w:t>政府采购合同履行中，采购人需追加与合同标的相同的货物的，在不改变合同其他条款的前提下，可以与</w:t>
      </w:r>
      <w:r>
        <w:rPr>
          <w:rFonts w:hint="eastAsia" w:ascii="仿宋" w:hAnsi="仿宋" w:eastAsia="仿宋" w:cs="仿宋"/>
          <w:sz w:val="24"/>
          <w:szCs w:val="24"/>
        </w:rPr>
        <w:t>中标人</w:t>
      </w:r>
      <w:r>
        <w:rPr>
          <w:rFonts w:hint="eastAsia" w:ascii="仿宋" w:hAnsi="仿宋" w:eastAsia="仿宋" w:cs="仿宋"/>
          <w:sz w:val="24"/>
          <w:szCs w:val="24"/>
          <w:lang w:eastAsia="zh-TW"/>
        </w:rPr>
        <w:t>签订补充合同，但所补充合同的采购金额不得超过原</w:t>
      </w:r>
      <w:r>
        <w:rPr>
          <w:rFonts w:hint="eastAsia" w:ascii="仿宋" w:hAnsi="仿宋" w:eastAsia="仿宋" w:cs="仿宋"/>
          <w:sz w:val="24"/>
          <w:szCs w:val="24"/>
        </w:rPr>
        <w:t>合同</w:t>
      </w:r>
      <w:r>
        <w:rPr>
          <w:rFonts w:hint="eastAsia" w:ascii="仿宋" w:hAnsi="仿宋" w:eastAsia="仿宋" w:cs="仿宋"/>
          <w:sz w:val="24"/>
          <w:szCs w:val="24"/>
          <w:lang w:eastAsia="zh-TW"/>
        </w:rPr>
        <w:t>采购金额的百分之十。签订补充合同的</w:t>
      </w:r>
      <w:r>
        <w:rPr>
          <w:rFonts w:hint="eastAsia" w:ascii="仿宋" w:hAnsi="仿宋" w:eastAsia="仿宋" w:cs="仿宋"/>
          <w:sz w:val="24"/>
          <w:szCs w:val="24"/>
        </w:rPr>
        <w:t>应</w:t>
      </w:r>
      <w:r>
        <w:rPr>
          <w:rFonts w:hint="eastAsia" w:ascii="仿宋" w:hAnsi="仿宋" w:eastAsia="仿宋" w:cs="仿宋"/>
          <w:sz w:val="24"/>
          <w:szCs w:val="24"/>
          <w:lang w:eastAsia="zh-TW"/>
        </w:rPr>
        <w:t>按规定备案。</w:t>
      </w:r>
    </w:p>
    <w:p>
      <w:pPr>
        <w:pStyle w:val="2"/>
        <w:spacing w:line="360" w:lineRule="auto"/>
        <w:jc w:val="both"/>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八、转包与分包</w:t>
      </w:r>
    </w:p>
    <w:p>
      <w:pPr>
        <w:pStyle w:val="2"/>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pStyle w:val="2"/>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中标人转包的，视同拒绝履行政府采购合同业务，将依法追究法律责任。</w:t>
      </w:r>
    </w:p>
    <w:p>
      <w:pPr>
        <w:pStyle w:val="2"/>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本项目经采购人同意，可以将中标项目的部分非主体、非关键性工作分包给他人完成，本项目“主体和关键性工作”是指：</w:t>
      </w:r>
      <w:r>
        <w:rPr>
          <w:rFonts w:hint="eastAsia" w:ascii="仿宋" w:hAnsi="仿宋" w:eastAsia="仿宋" w:cs="仿宋"/>
          <w:sz w:val="24"/>
          <w:szCs w:val="24"/>
          <w:u w:val="single"/>
        </w:rPr>
        <w:t xml:space="preserve">   /     </w:t>
      </w:r>
      <w:r>
        <w:rPr>
          <w:rFonts w:hint="eastAsia" w:ascii="仿宋" w:hAnsi="仿宋" w:eastAsia="仿宋" w:cs="仿宋"/>
          <w:sz w:val="24"/>
          <w:szCs w:val="24"/>
        </w:rPr>
        <w:t>（根据项目具体情况确定）。</w:t>
      </w:r>
    </w:p>
    <w:p>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接受分包的供应商应当具备相应的资格条件，并不得再次分包。采购合同实行分包履行的，中标人就采购项目和分包项目向采购人负责，分包供应商就分包项目承担责任。</w:t>
      </w:r>
    </w:p>
    <w:p>
      <w:pPr>
        <w:pStyle w:val="2"/>
        <w:spacing w:line="360" w:lineRule="auto"/>
        <w:jc w:val="both"/>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九、质疑与投诉</w:t>
      </w:r>
    </w:p>
    <w:p>
      <w:pPr>
        <w:tabs>
          <w:tab w:val="left" w:pos="1155"/>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9.1</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关于质疑的提出与答复：</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9.1.1</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人质疑与投诉应当实名署名，其质疑与投诉应当有明确的请求和必要的证明材料。投标人可以委托代理人进行质疑与投诉。代理人应当提交授权委托书，授权委托书应当载明委托代理的具体权限、期限和相关事项。本项目接收质疑函法定信息：</w:t>
      </w:r>
    </w:p>
    <w:p>
      <w:pPr>
        <w:tabs>
          <w:tab w:val="left" w:pos="1155"/>
        </w:tabs>
        <w:snapToGrid w:val="0"/>
        <w:spacing w:line="360" w:lineRule="auto"/>
        <w:ind w:firstLine="723" w:firstLineChars="300"/>
        <w:rPr>
          <w:rFonts w:hint="eastAsia" w:ascii="仿宋" w:hAnsi="仿宋" w:eastAsia="仿宋" w:cs="仿宋"/>
          <w:b/>
          <w:sz w:val="24"/>
          <w:szCs w:val="24"/>
          <w:lang w:val="en-US" w:eastAsia="zh-CN"/>
        </w:rPr>
      </w:pPr>
      <w:r>
        <w:rPr>
          <w:rFonts w:hint="eastAsia" w:ascii="仿宋" w:hAnsi="仿宋" w:eastAsia="仿宋" w:cs="仿宋"/>
          <w:b/>
          <w:sz w:val="24"/>
          <w:szCs w:val="24"/>
        </w:rPr>
        <w:t>联系人：</w:t>
      </w:r>
      <w:r>
        <w:rPr>
          <w:rFonts w:hint="eastAsia" w:ascii="仿宋" w:hAnsi="仿宋" w:eastAsia="仿宋" w:cs="仿宋"/>
          <w:b/>
          <w:sz w:val="24"/>
          <w:szCs w:val="24"/>
          <w:lang w:val="en-US" w:eastAsia="zh-CN"/>
        </w:rPr>
        <w:t>付</w:t>
      </w:r>
      <w:r>
        <w:rPr>
          <w:rFonts w:hint="eastAsia" w:ascii="仿宋" w:hAnsi="仿宋" w:eastAsia="仿宋" w:cs="仿宋"/>
          <w:b/>
          <w:sz w:val="24"/>
          <w:szCs w:val="24"/>
        </w:rPr>
        <w:t>女士           联系电话：</w:t>
      </w:r>
      <w:r>
        <w:rPr>
          <w:rFonts w:hint="eastAsia" w:ascii="仿宋" w:hAnsi="仿宋" w:eastAsia="仿宋" w:cs="仿宋"/>
          <w:b/>
          <w:sz w:val="24"/>
          <w:szCs w:val="24"/>
          <w:lang w:val="en-US" w:eastAsia="zh-CN"/>
        </w:rPr>
        <w:t>029-65652860</w:t>
      </w:r>
    </w:p>
    <w:p>
      <w:pPr>
        <w:tabs>
          <w:tab w:val="left" w:pos="1155"/>
        </w:tabs>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sz w:val="24"/>
          <w:szCs w:val="24"/>
        </w:rPr>
        <w:t>通讯地址：</w:t>
      </w:r>
      <w:r>
        <w:rPr>
          <w:rFonts w:hint="eastAsia" w:ascii="仿宋" w:hAnsi="仿宋" w:eastAsia="仿宋" w:cs="仿宋"/>
          <w:b/>
          <w:color w:val="auto"/>
          <w:sz w:val="24"/>
          <w:szCs w:val="24"/>
        </w:rPr>
        <w:t>西安市雁塔区科技二路71号竹园·天寰国际1107室</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9.1.2</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标人提出质疑应当提交质疑函，质疑函应采用财政部发布的《政府采购供应商质疑函范本》（供应商可自行在陕西省政府采购网下载范本）。质疑函应当包括但不限于下列内容：投标人的名称、地址、邮编、联系人及联系电话，质疑项目的名称、编号，质疑事项，事实依据和证明材料，法律依据，提出质疑的日期。质疑函应当署名。投标人为自然人的，应当由本人签字；投标人为法人或者其他组织的，应当由法定代表人或者主要负责人签字盖章并加盖公章。</w:t>
      </w:r>
    </w:p>
    <w:p>
      <w:pPr>
        <w:tabs>
          <w:tab w:val="left" w:pos="1155"/>
        </w:tabs>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9.1.3</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出现投标人认为采购文件、采购过程和中标、中标结果使自己的权益受到损害的，可以在知道或者应知其权益受到损害之日起七个工作日内，以书面形式向采购人提出质疑。投标人应知其权益受到损害之日，是指：对可以质疑的采购文件提出质疑的，为收到采购文件之日或者采购文件公告期限届满之日</w:t>
      </w:r>
      <w:r>
        <w:rPr>
          <w:rFonts w:hint="eastAsia" w:ascii="仿宋" w:hAnsi="仿宋" w:eastAsia="仿宋" w:cs="仿宋"/>
          <w:bCs/>
          <w:sz w:val="24"/>
          <w:szCs w:val="24"/>
          <w:lang w:eastAsia="zh-CN"/>
        </w:rPr>
        <w:t>（本项目</w:t>
      </w:r>
      <w:r>
        <w:rPr>
          <w:rFonts w:hint="eastAsia" w:ascii="仿宋" w:hAnsi="仿宋" w:eastAsia="仿宋" w:cs="仿宋"/>
          <w:bCs/>
          <w:sz w:val="24"/>
          <w:szCs w:val="24"/>
          <w:lang w:val="en-US" w:eastAsia="zh-CN"/>
        </w:rPr>
        <w:t>投标人</w:t>
      </w:r>
      <w:r>
        <w:rPr>
          <w:rFonts w:hint="eastAsia" w:ascii="仿宋" w:hAnsi="仿宋" w:eastAsia="仿宋" w:cs="仿宋"/>
          <w:bCs/>
          <w:sz w:val="24"/>
          <w:szCs w:val="24"/>
          <w:lang w:eastAsia="zh-CN"/>
        </w:rPr>
        <w:t>通过至代理机构现场获取</w:t>
      </w:r>
      <w:r>
        <w:rPr>
          <w:rFonts w:hint="eastAsia" w:ascii="仿宋" w:hAnsi="仿宋" w:eastAsia="仿宋" w:cs="仿宋"/>
          <w:bCs/>
          <w:sz w:val="24"/>
          <w:szCs w:val="24"/>
          <w:lang w:val="en-US" w:eastAsia="zh-CN"/>
        </w:rPr>
        <w:t>招标</w:t>
      </w:r>
      <w:r>
        <w:rPr>
          <w:rFonts w:hint="eastAsia" w:ascii="仿宋" w:hAnsi="仿宋" w:eastAsia="仿宋" w:cs="仿宋"/>
          <w:bCs/>
          <w:sz w:val="24"/>
          <w:szCs w:val="24"/>
          <w:lang w:eastAsia="zh-CN"/>
        </w:rPr>
        <w:t>文件，以</w:t>
      </w:r>
      <w:r>
        <w:rPr>
          <w:rFonts w:hint="eastAsia" w:ascii="仿宋" w:hAnsi="仿宋" w:eastAsia="仿宋" w:cs="仿宋"/>
          <w:bCs/>
          <w:sz w:val="24"/>
          <w:szCs w:val="24"/>
          <w:lang w:val="en-US" w:eastAsia="zh-CN"/>
        </w:rPr>
        <w:t>投标人</w:t>
      </w:r>
      <w:r>
        <w:rPr>
          <w:rFonts w:hint="eastAsia" w:ascii="仿宋" w:hAnsi="仿宋" w:eastAsia="仿宋" w:cs="仿宋"/>
          <w:bCs/>
          <w:sz w:val="24"/>
          <w:szCs w:val="24"/>
          <w:lang w:eastAsia="zh-CN"/>
        </w:rPr>
        <w:t>收到</w:t>
      </w:r>
      <w:r>
        <w:rPr>
          <w:rFonts w:hint="eastAsia" w:ascii="仿宋" w:hAnsi="仿宋" w:eastAsia="仿宋" w:cs="仿宋"/>
          <w:bCs/>
          <w:sz w:val="24"/>
          <w:szCs w:val="24"/>
          <w:lang w:val="en-US" w:eastAsia="zh-CN"/>
        </w:rPr>
        <w:t>招标</w:t>
      </w:r>
      <w:r>
        <w:rPr>
          <w:rFonts w:hint="eastAsia" w:ascii="仿宋" w:hAnsi="仿宋" w:eastAsia="仿宋" w:cs="仿宋"/>
          <w:bCs/>
          <w:sz w:val="24"/>
          <w:szCs w:val="24"/>
          <w:lang w:eastAsia="zh-CN"/>
        </w:rPr>
        <w:t>文件之日为起点计算法定质疑期）</w:t>
      </w:r>
      <w:r>
        <w:rPr>
          <w:rFonts w:hint="eastAsia" w:ascii="仿宋" w:hAnsi="仿宋" w:eastAsia="仿宋" w:cs="仿宋"/>
          <w:bCs/>
          <w:sz w:val="24"/>
          <w:szCs w:val="24"/>
        </w:rPr>
        <w:t>；对采购过程提出质疑的，为各采购程序环节结束之日；对中标或者中标结果提出质疑的，为中标或者中标结果公告期限届满之日（针对同一采购程序环节的质疑原则上应当一次性提出）。</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9.1.4</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采购人、采购代理机构认为投标人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投标人仍不少于3家时，可以从合格的中标或者中标候选人中另行确定中标、中标投标人的，应当依法另行确定中标、中标投标人，否则应当重新开展采购活动。质疑答复导致中标、中标结果改变的，采购人或者采购代理机构应当将有关情况书面报告本级财政部门。</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9.1.5出现投标人认为采购文件、采购过程、中标和中标结果使自己的合法权益受到损害的，应当首先依法向采购人、采购代理机构提出质疑。对采购人、采购代理机构的质疑答复不满意，或者采购人、采购代理机构未在规定期限内作出答复的，投标人可以在答复期满后15个工作日内向同级财政部门提起投诉。</w:t>
      </w:r>
    </w:p>
    <w:p>
      <w:pPr>
        <w:tabs>
          <w:tab w:val="left" w:pos="1155"/>
        </w:tabs>
        <w:snapToGrid w:val="0"/>
        <w:spacing w:line="36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9.2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投诉提出</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9.2.</w:t>
      </w:r>
      <w:r>
        <w:rPr>
          <w:rFonts w:hint="eastAsia" w:ascii="仿宋" w:hAnsi="仿宋" w:eastAsia="仿宋" w:cs="仿宋"/>
          <w:bCs/>
          <w:sz w:val="24"/>
          <w:szCs w:val="24"/>
          <w:lang w:val="en-US" w:eastAsia="zh-CN"/>
        </w:rPr>
        <w:t xml:space="preserve">1 </w:t>
      </w:r>
      <w:r>
        <w:rPr>
          <w:rFonts w:hint="eastAsia" w:ascii="仿宋" w:hAnsi="仿宋" w:eastAsia="仿宋" w:cs="仿宋"/>
          <w:bCs/>
          <w:sz w:val="24"/>
          <w:szCs w:val="24"/>
        </w:rPr>
        <w:t>质疑投标人对采购人、采购代理机构的答复不满意，或者采购人、采购代理机构未在规定时间内作出答复的，可以在答复期满后15个工作日内向同级财政部门提起投诉。</w:t>
      </w:r>
    </w:p>
    <w:p>
      <w:pPr>
        <w:tabs>
          <w:tab w:val="left" w:pos="1155"/>
        </w:tabs>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9.2.</w:t>
      </w:r>
      <w:r>
        <w:rPr>
          <w:rFonts w:hint="eastAsia" w:ascii="仿宋" w:hAnsi="仿宋" w:eastAsia="仿宋" w:cs="仿宋"/>
          <w:bCs/>
          <w:sz w:val="24"/>
          <w:szCs w:val="24"/>
          <w:lang w:val="en-US" w:eastAsia="zh-CN"/>
        </w:rPr>
        <w:t xml:space="preserve">2 </w:t>
      </w:r>
      <w:r>
        <w:rPr>
          <w:rFonts w:hint="eastAsia" w:ascii="仿宋" w:hAnsi="仿宋" w:eastAsia="仿宋" w:cs="仿宋"/>
          <w:bCs/>
          <w:sz w:val="24"/>
          <w:szCs w:val="24"/>
        </w:rPr>
        <w:t>投诉人投诉时,应当提交投诉书，并按照被投诉采购人、采购代理机构（以下简称被投诉人）和与投诉事项有关的投标人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9.3</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法律责任</w:t>
      </w:r>
    </w:p>
    <w:p>
      <w:pPr>
        <w:tabs>
          <w:tab w:val="left" w:pos="1155"/>
        </w:tabs>
        <w:snapToGrid w:val="0"/>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9.3.1</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9.4</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其他说明</w:t>
      </w:r>
    </w:p>
    <w:p>
      <w:pPr>
        <w:tabs>
          <w:tab w:val="left" w:pos="1155"/>
        </w:tabs>
        <w:snapToGrid w:val="0"/>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9.4.1</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财政部门处理投诉不得向投诉人和被投诉人收取任何费用。但因处理投诉发生的第三方检验、检测、鉴定等费用，由提出申请的投标人先行垫付。在投诉处理决定明确双方责任后，按照“谁过错谁负担”的原则由承担责任的一方负担；双方都有责任的，各负担百分之五十。</w:t>
      </w:r>
    </w:p>
    <w:p>
      <w:pPr>
        <w:tabs>
          <w:tab w:val="left" w:pos="1155"/>
        </w:tabs>
        <w:snapToGrid w:val="0"/>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9.4.2</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spacing w:afterLines="50" w:line="360" w:lineRule="auto"/>
        <w:ind w:firstLine="480" w:firstLineChars="200"/>
        <w:outlineLvl w:val="0"/>
        <w:rPr>
          <w:rFonts w:hint="eastAsia" w:ascii="仿宋" w:hAnsi="仿宋" w:eastAsia="仿宋" w:cs="仿宋"/>
          <w:b/>
          <w:sz w:val="24"/>
          <w:szCs w:val="24"/>
        </w:rPr>
      </w:pPr>
      <w:bookmarkStart w:id="249" w:name="_Toc28473"/>
      <w:bookmarkStart w:id="250" w:name="_Toc16148"/>
      <w:bookmarkStart w:id="251" w:name="_Toc15977"/>
      <w:bookmarkStart w:id="252" w:name="_Toc3897"/>
      <w:bookmarkStart w:id="253" w:name="_Toc13717"/>
      <w:bookmarkStart w:id="254" w:name="_Toc14209"/>
      <w:bookmarkStart w:id="255" w:name="_Toc27305"/>
      <w:bookmarkStart w:id="256" w:name="_Toc10965"/>
      <w:bookmarkStart w:id="257" w:name="_Toc7240"/>
      <w:bookmarkStart w:id="258" w:name="_Toc12250"/>
      <w:bookmarkStart w:id="259" w:name="_Toc21260"/>
      <w:bookmarkStart w:id="260" w:name="_Toc29096"/>
      <w:bookmarkStart w:id="261" w:name="_Toc5287"/>
      <w:bookmarkStart w:id="262" w:name="_Toc21158"/>
      <w:r>
        <w:rPr>
          <w:rFonts w:hint="eastAsia" w:ascii="仿宋" w:hAnsi="仿宋" w:eastAsia="仿宋" w:cs="仿宋"/>
          <w:sz w:val="24"/>
          <w:szCs w:val="24"/>
        </w:rPr>
        <w:t>9.4.3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质疑与投诉事宜依据《中华人民共和国政府采购法》、《政府采购法实施条例（国务院第658号令）》、《中华人民共和国财政部令第94号--政府采购质疑和投诉办法》及《陕财办采资（2016）53号》规定执行。</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afterLines="50" w:line="360" w:lineRule="auto"/>
        <w:ind w:firstLine="2530" w:firstLineChars="700"/>
        <w:outlineLvl w:val="9"/>
        <w:rPr>
          <w:rFonts w:hint="eastAsia" w:ascii="楷体" w:hAnsi="楷体" w:eastAsia="楷体" w:cs="楷体"/>
          <w:b/>
          <w:sz w:val="36"/>
          <w:szCs w:val="36"/>
        </w:rPr>
      </w:pPr>
      <w:bookmarkStart w:id="263" w:name="_Toc23958"/>
    </w:p>
    <w:p>
      <w:pPr>
        <w:spacing w:afterLines="50" w:line="360" w:lineRule="auto"/>
        <w:ind w:firstLine="2530" w:firstLineChars="700"/>
        <w:outlineLvl w:val="9"/>
        <w:rPr>
          <w:rFonts w:hint="eastAsia" w:ascii="楷体" w:hAnsi="楷体" w:eastAsia="楷体" w:cs="楷体"/>
          <w:b/>
          <w:sz w:val="36"/>
          <w:szCs w:val="36"/>
        </w:rPr>
      </w:pPr>
    </w:p>
    <w:p>
      <w:pPr>
        <w:spacing w:afterLines="50" w:line="360" w:lineRule="auto"/>
        <w:ind w:firstLine="2530" w:firstLineChars="700"/>
        <w:outlineLvl w:val="9"/>
        <w:rPr>
          <w:rFonts w:hint="eastAsia" w:ascii="楷体" w:hAnsi="楷体" w:eastAsia="楷体" w:cs="楷体"/>
          <w:b/>
          <w:sz w:val="36"/>
          <w:szCs w:val="36"/>
        </w:rPr>
      </w:pPr>
    </w:p>
    <w:p>
      <w:pPr>
        <w:spacing w:afterLines="50" w:line="360" w:lineRule="auto"/>
        <w:ind w:firstLine="2209" w:firstLineChars="500"/>
        <w:outlineLvl w:val="9"/>
        <w:rPr>
          <w:rFonts w:hint="eastAsia" w:ascii="黑体" w:hAnsi="黑体" w:eastAsia="黑体" w:cs="黑体"/>
          <w:b/>
          <w:sz w:val="44"/>
          <w:szCs w:val="44"/>
        </w:rPr>
      </w:pPr>
    </w:p>
    <w:p>
      <w:pPr>
        <w:spacing w:afterLines="50" w:line="360" w:lineRule="auto"/>
        <w:ind w:firstLine="2209" w:firstLineChars="500"/>
        <w:outlineLvl w:val="9"/>
        <w:rPr>
          <w:rFonts w:hint="eastAsia" w:ascii="黑体" w:hAnsi="黑体" w:eastAsia="黑体" w:cs="黑体"/>
          <w:b/>
          <w:sz w:val="44"/>
          <w:szCs w:val="44"/>
        </w:rPr>
      </w:pPr>
    </w:p>
    <w:p>
      <w:pPr>
        <w:pStyle w:val="2"/>
        <w:rPr>
          <w:rFonts w:hint="eastAsia" w:ascii="黑体" w:hAnsi="黑体" w:eastAsia="黑体" w:cs="黑体"/>
          <w:b/>
          <w:sz w:val="44"/>
          <w:szCs w:val="44"/>
        </w:rPr>
      </w:pPr>
    </w:p>
    <w:p>
      <w:pPr>
        <w:rPr>
          <w:rFonts w:hint="eastAsia" w:ascii="黑体" w:hAnsi="黑体" w:eastAsia="黑体" w:cs="黑体"/>
          <w:b/>
          <w:sz w:val="44"/>
          <w:szCs w:val="44"/>
        </w:rPr>
      </w:pPr>
    </w:p>
    <w:p>
      <w:pPr>
        <w:pStyle w:val="2"/>
        <w:rPr>
          <w:rFonts w:hint="eastAsia" w:ascii="黑体" w:hAnsi="黑体" w:eastAsia="黑体" w:cs="黑体"/>
          <w:b/>
          <w:sz w:val="44"/>
          <w:szCs w:val="44"/>
        </w:rPr>
      </w:pPr>
    </w:p>
    <w:p>
      <w:pPr>
        <w:rPr>
          <w:rFonts w:hint="eastAsia" w:ascii="黑体" w:hAnsi="黑体" w:eastAsia="黑体" w:cs="黑体"/>
          <w:b/>
          <w:sz w:val="44"/>
          <w:szCs w:val="44"/>
        </w:rPr>
      </w:pPr>
    </w:p>
    <w:p>
      <w:pPr>
        <w:pStyle w:val="2"/>
        <w:rPr>
          <w:rFonts w:hint="eastAsia" w:ascii="黑体" w:hAnsi="黑体" w:eastAsia="黑体" w:cs="黑体"/>
          <w:b/>
          <w:sz w:val="44"/>
          <w:szCs w:val="44"/>
        </w:rPr>
      </w:pPr>
    </w:p>
    <w:p>
      <w:pPr>
        <w:spacing w:afterLines="50" w:line="360" w:lineRule="auto"/>
        <w:outlineLvl w:val="0"/>
        <w:rPr>
          <w:rFonts w:hint="eastAsia" w:ascii="黑体" w:hAnsi="黑体" w:eastAsia="黑体" w:cs="黑体"/>
          <w:b/>
          <w:sz w:val="44"/>
          <w:szCs w:val="44"/>
        </w:rPr>
      </w:pPr>
      <w:bookmarkStart w:id="264" w:name="_Toc9096"/>
    </w:p>
    <w:p>
      <w:pPr>
        <w:spacing w:afterLines="50" w:line="360" w:lineRule="auto"/>
        <w:ind w:firstLine="2650" w:firstLineChars="600"/>
        <w:outlineLvl w:val="0"/>
        <w:rPr>
          <w:rFonts w:hint="eastAsia" w:ascii="黑体" w:hAnsi="黑体" w:eastAsia="黑体" w:cs="黑体"/>
          <w:b/>
          <w:sz w:val="44"/>
          <w:szCs w:val="44"/>
        </w:rPr>
      </w:pPr>
      <w:r>
        <w:rPr>
          <w:rFonts w:hint="eastAsia" w:ascii="黑体" w:hAnsi="黑体" w:eastAsia="黑体" w:cs="黑体"/>
          <w:b/>
          <w:sz w:val="44"/>
          <w:szCs w:val="44"/>
        </w:rPr>
        <w:t>第三章  评审办法</w:t>
      </w:r>
      <w:bookmarkEnd w:id="53"/>
      <w:bookmarkEnd w:id="54"/>
      <w:bookmarkEnd w:id="55"/>
      <w:bookmarkEnd w:id="56"/>
      <w:bookmarkEnd w:id="57"/>
      <w:bookmarkEnd w:id="58"/>
      <w:bookmarkEnd w:id="59"/>
      <w:bookmarkEnd w:id="60"/>
      <w:bookmarkEnd w:id="61"/>
      <w:bookmarkEnd w:id="62"/>
      <w:bookmarkEnd w:id="63"/>
      <w:bookmarkEnd w:id="64"/>
      <w:bookmarkEnd w:id="263"/>
      <w:bookmarkEnd w:id="264"/>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本项目是根据《中华人民共和国政府采购法》及《中华人民共和国政府采购法实施条例》等法律法规的规定，结合采购项目特点制定的评审办法。</w:t>
      </w:r>
    </w:p>
    <w:p>
      <w:pPr>
        <w:snapToGrid w:val="0"/>
        <w:spacing w:beforeLines="50" w:afterLines="50" w:line="360" w:lineRule="auto"/>
        <w:rPr>
          <w:rFonts w:hint="eastAsia" w:ascii="黑体" w:hAnsi="黑体" w:eastAsia="黑体" w:cs="黑体"/>
          <w:b/>
          <w:sz w:val="24"/>
          <w:szCs w:val="24"/>
        </w:rPr>
      </w:pPr>
      <w:r>
        <w:rPr>
          <w:rFonts w:hint="eastAsia" w:ascii="黑体" w:hAnsi="黑体" w:eastAsia="黑体" w:cs="黑体"/>
          <w:sz w:val="24"/>
          <w:szCs w:val="24"/>
        </w:rPr>
        <w:t>一、</w:t>
      </w:r>
      <w:r>
        <w:rPr>
          <w:rFonts w:hint="eastAsia" w:ascii="黑体" w:hAnsi="黑体" w:eastAsia="黑体" w:cs="黑体"/>
          <w:b/>
          <w:sz w:val="24"/>
          <w:szCs w:val="24"/>
        </w:rPr>
        <w:t>总则</w:t>
      </w:r>
    </w:p>
    <w:p>
      <w:pPr>
        <w:snapToGrid w:val="0"/>
        <w:spacing w:beforeLines="50" w:afterLines="50" w:line="360" w:lineRule="auto"/>
        <w:ind w:firstLine="241" w:firstLineChars="100"/>
        <w:rPr>
          <w:rFonts w:hint="eastAsia" w:ascii="仿宋" w:hAnsi="仿宋" w:eastAsia="仿宋" w:cs="仿宋"/>
          <w:sz w:val="24"/>
          <w:szCs w:val="24"/>
        </w:rPr>
      </w:pPr>
      <w:r>
        <w:rPr>
          <w:rFonts w:hint="eastAsia" w:ascii="仿宋" w:hAnsi="仿宋" w:eastAsia="仿宋" w:cs="仿宋"/>
          <w:b/>
          <w:sz w:val="24"/>
          <w:szCs w:val="24"/>
        </w:rPr>
        <w:t>1.1原则</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“公平、公正、择优、效益”为本次评审的基本原则，评标委员会按照这一原则的要求，公正、平等地对待各投标人。同时，在评审中恪守以下原则：</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统一性原则：评标委员会将按照统一的原则和方法，用统一标准进行评审。</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独立性原则:评审工作在评标委员会内部独立进行，不受外界任何因素的干扰和影响。评标委员会成员对其出具的意见承担个人责任。</w:t>
      </w:r>
      <w:r>
        <w:rPr>
          <w:rFonts w:hint="eastAsia" w:ascii="仿宋" w:hAnsi="仿宋" w:eastAsia="仿宋" w:cs="仿宋"/>
          <w:kern w:val="0"/>
          <w:sz w:val="24"/>
          <w:szCs w:val="24"/>
        </w:rPr>
        <w:t>投标人试图影响或干预评审的任何行为，将导致其丧失投标的资格，并承担相应的法律责任。</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客观性原则：评标委员会将严格按照招标文件要求，对投标人的投标文件进行认真评审；评标委员会对投标文件的评审仅依据投标文件本身，而不依据招标文件以外的任何因素。</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综合性原则:评标委员会将综合分析投标人的各项指标，而不以单项指标的优劣评定出中标供应商 。</w:t>
      </w:r>
    </w:p>
    <w:p>
      <w:pPr>
        <w:tabs>
          <w:tab w:val="left" w:pos="0"/>
        </w:tabs>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评标委员会有权对整个投标和评审过程中出现的所有问题，根据《中华人民共和国政府采购法》、《中华人民共和国政府采购法实施条例》（第658号）等相关规定进行处理。</w:t>
      </w:r>
    </w:p>
    <w:p>
      <w:pPr>
        <w:snapToGrid w:val="0"/>
        <w:spacing w:beforeLines="50" w:afterLines="50" w:line="360" w:lineRule="auto"/>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评标委员会职责</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评标委员会独立履行下列职责：</w:t>
      </w:r>
    </w:p>
    <w:p>
      <w:pPr>
        <w:snapToGrid w:val="0"/>
        <w:spacing w:line="360" w:lineRule="auto"/>
        <w:ind w:right="-239" w:rightChars="-114" w:firstLine="480" w:firstLineChars="200"/>
        <w:rPr>
          <w:rFonts w:hint="eastAsia" w:ascii="仿宋" w:hAnsi="仿宋" w:eastAsia="仿宋" w:cs="仿宋"/>
          <w:sz w:val="24"/>
          <w:szCs w:val="24"/>
        </w:rPr>
      </w:pPr>
      <w:r>
        <w:rPr>
          <w:rFonts w:hint="eastAsia" w:ascii="仿宋" w:hAnsi="仿宋" w:eastAsia="仿宋" w:cs="仿宋"/>
          <w:sz w:val="24"/>
          <w:szCs w:val="24"/>
        </w:rPr>
        <w:t>1.2.1.1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审查、评价投标文件是否符合招标文件的商务、技术、服务等实质性要求；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要求投标人对投标文件有关事项作出解释或者澄清；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对通过资格审查和符合性审查的投标人进行技术和商务评审；</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对投标文件进行比较和评价；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推荐中标候选人名单；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向采购人、采购代理机构或者有关部门报告非法干预评审工作的行为。</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采购代理机构负责组织评审工作并履行下列职责：</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核对评标委员会成员身份和采购人代表授权函；</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宣布评审纪律；</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公布响应投标人名单，告知评标委员会成员应当回避的情形；</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组织评标委员会成员推选评审小组组长，采购人代表不得担任组长；</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集中保管评标委员会成员及现场工作人员的通讯工具；</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根据评标委员会的要求介绍政府采购相关政策法规、招标文件；</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维护评审秩序，监督评标委员会依照招标文件规定的采购程序、评审方法和标准进行独立评审，对采购人代表、评标委员会成员的倾向性言论或违法违规行为及时制止和纠正；</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核对评审结果，采购过程中提交投标文件或者经评审实质性响应投标文件要求的投标供应商只有2家时，经采购人书面请示政府采购管理机构同意后，可以现场转变采购方式。否则，按废标处理，重新开展采购活动；采购过程中，提交投标文件或者经评审实质性响应投标文件要求的投标供应商只有1家时，按废标处理，重新开展采购活动。采购人如需申请转为单一来源采购方式的，按单一来源采购程序进行。要求评标委员会复核或书面说明理由，评标委员会拒绝的，应予记录并向采购人本级财政部门报告；</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1.2.2.9</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处理与评审有关的其他事项。</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采购人可以在评审前介绍项目背景和采购需求，介绍内容不得含有歧视性、倾向性意见，不得超出招标文件所述范围。介绍应当提交书面介绍材料，并随采购文件一并存档。</w:t>
      </w:r>
    </w:p>
    <w:p>
      <w:pPr>
        <w:widowControl/>
        <w:autoSpaceDE w:val="0"/>
        <w:autoSpaceDN w:val="0"/>
        <w:snapToGrid w:val="0"/>
        <w:spacing w:line="360" w:lineRule="auto"/>
        <w:ind w:right="51"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1.2.4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评标委员会及其成员，在评审中不得有下列行为：</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确定参与评审至评审结束前私自接触投标人；</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接受投标人提出的与投标文件不一致的澄清或者说明，本章第2.2.1条规定的情形除外；</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违反评审纪律发表倾向性意见或者征询采购人的倾向性意见；</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对需要专业判断的主观评审因素协商评分；</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在评审过程中擅离职守，影响评审程序正常进行的；</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记录、复制或者带走任何评审资料；</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其他不遵守评审纪律的行为；</w:t>
      </w:r>
    </w:p>
    <w:p>
      <w:pPr>
        <w:pStyle w:val="36"/>
        <w:snapToGrid w:val="0"/>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评标委员会成员有前款第一至五项行为之一的，其评审意见无效，</w:t>
      </w:r>
    </w:p>
    <w:p>
      <w:pPr>
        <w:snapToGrid w:val="0"/>
        <w:spacing w:beforeLines="50" w:afterLines="50" w:line="360" w:lineRule="auto"/>
        <w:rPr>
          <w:rFonts w:hint="eastAsia" w:ascii="黑体" w:hAnsi="黑体" w:eastAsia="黑体" w:cs="黑体"/>
          <w:b/>
          <w:sz w:val="24"/>
          <w:szCs w:val="24"/>
        </w:rPr>
      </w:pPr>
      <w:r>
        <w:rPr>
          <w:rFonts w:hint="eastAsia" w:ascii="黑体" w:hAnsi="黑体" w:eastAsia="黑体" w:cs="黑体"/>
          <w:b/>
          <w:sz w:val="24"/>
          <w:szCs w:val="24"/>
        </w:rPr>
        <w:t>二、评审步骤与评审方法</w:t>
      </w:r>
    </w:p>
    <w:p>
      <w:pPr>
        <w:snapToGrid w:val="0"/>
        <w:spacing w:beforeLines="50" w:afterLines="50" w:line="360" w:lineRule="auto"/>
        <w:rPr>
          <w:rFonts w:hint="eastAsia" w:ascii="仿宋" w:hAnsi="仿宋" w:eastAsia="仿宋" w:cs="仿宋"/>
          <w:b/>
          <w:sz w:val="24"/>
          <w:szCs w:val="24"/>
        </w:rPr>
      </w:pPr>
      <w:r>
        <w:rPr>
          <w:rFonts w:hint="eastAsia" w:ascii="仿宋" w:hAnsi="仿宋" w:eastAsia="仿宋" w:cs="仿宋"/>
          <w:b/>
          <w:sz w:val="24"/>
          <w:szCs w:val="24"/>
        </w:rPr>
        <w:t>2.1</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投标文件符合性审查</w:t>
      </w:r>
    </w:p>
    <w:p>
      <w:pPr>
        <w:tabs>
          <w:tab w:val="left" w:pos="0"/>
        </w:tabs>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符合性审查：评标委员会对通过资格性审查的投标人，从其投标文件的有效性、完整性和对招标文件的响应程度进行符合性审查，以确定其是否对招标文件实质性内容作出响应</w:t>
      </w:r>
      <w:r>
        <w:rPr>
          <w:rFonts w:hint="eastAsia" w:ascii="仿宋" w:hAnsi="仿宋" w:eastAsia="仿宋" w:cs="仿宋"/>
          <w:kern w:val="0"/>
          <w:sz w:val="24"/>
          <w:szCs w:val="24"/>
        </w:rPr>
        <w:t>（采购人可根据具体项目的情况对实质性要求作特别的具体规定）</w:t>
      </w:r>
      <w:r>
        <w:rPr>
          <w:rFonts w:hint="eastAsia" w:ascii="仿宋" w:hAnsi="仿宋" w:eastAsia="仿宋" w:cs="仿宋"/>
          <w:sz w:val="24"/>
          <w:szCs w:val="24"/>
        </w:rPr>
        <w:t>。符合性审查标准如下：</w:t>
      </w:r>
    </w:p>
    <w:tbl>
      <w:tblPr>
        <w:tblStyle w:val="40"/>
        <w:tblW w:w="9662"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04"/>
        <w:gridCol w:w="3695"/>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5" w:type="dxa"/>
            <w:vAlign w:val="center"/>
          </w:tcPr>
          <w:p>
            <w:pPr>
              <w:tabs>
                <w:tab w:val="left" w:pos="0"/>
              </w:tabs>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399" w:type="dxa"/>
            <w:gridSpan w:val="2"/>
            <w:vAlign w:val="center"/>
          </w:tcPr>
          <w:p>
            <w:pPr>
              <w:tabs>
                <w:tab w:val="left" w:pos="0"/>
              </w:tabs>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4488" w:type="dxa"/>
            <w:vAlign w:val="center"/>
          </w:tcPr>
          <w:p>
            <w:pPr>
              <w:tabs>
                <w:tab w:val="left" w:pos="0"/>
              </w:tabs>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5" w:type="dxa"/>
            <w:vMerge w:val="restart"/>
            <w:vAlign w:val="center"/>
          </w:tcPr>
          <w:p>
            <w:pPr>
              <w:tabs>
                <w:tab w:val="left" w:pos="0"/>
              </w:tabs>
              <w:adjustRightInd w:val="0"/>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c>
          <w:tcPr>
            <w:tcW w:w="704" w:type="dxa"/>
            <w:vMerge w:val="restart"/>
            <w:vAlign w:val="center"/>
          </w:tcPr>
          <w:p>
            <w:pPr>
              <w:tabs>
                <w:tab w:val="left" w:pos="0"/>
              </w:tabs>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有效性审查</w:t>
            </w: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（1）投标文件的签署盖章</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（2）投标文件语言、计量单位、报价货币</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（3）报价唯一</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5" w:type="dxa"/>
            <w:vMerge w:val="continue"/>
            <w:vAlign w:val="center"/>
          </w:tcPr>
          <w:p>
            <w:pPr>
              <w:tabs>
                <w:tab w:val="left" w:pos="0"/>
              </w:tabs>
              <w:adjustRightInd w:val="0"/>
              <w:snapToGrid w:val="0"/>
              <w:spacing w:line="360" w:lineRule="auto"/>
              <w:jc w:val="center"/>
              <w:rPr>
                <w:rFonts w:hint="eastAsia" w:ascii="仿宋" w:hAnsi="仿宋" w:eastAsia="仿宋" w:cs="仿宋"/>
                <w:sz w:val="22"/>
                <w:szCs w:val="22"/>
              </w:rPr>
            </w:pPr>
          </w:p>
        </w:tc>
        <w:tc>
          <w:tcPr>
            <w:tcW w:w="704" w:type="dxa"/>
            <w:vMerge w:val="continue"/>
            <w:vAlign w:val="center"/>
          </w:tcPr>
          <w:p>
            <w:pPr>
              <w:tabs>
                <w:tab w:val="left" w:pos="0"/>
              </w:tabs>
              <w:adjustRightInd w:val="0"/>
              <w:snapToGrid w:val="0"/>
              <w:jc w:val="center"/>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（4）电子文件</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应符合招标文件中的规定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5" w:type="dxa"/>
            <w:vMerge w:val="continue"/>
            <w:vAlign w:val="center"/>
          </w:tcPr>
          <w:p>
            <w:pPr>
              <w:tabs>
                <w:tab w:val="left" w:pos="0"/>
              </w:tabs>
              <w:adjustRightInd w:val="0"/>
              <w:snapToGrid w:val="0"/>
              <w:spacing w:line="360" w:lineRule="auto"/>
              <w:jc w:val="center"/>
              <w:rPr>
                <w:rFonts w:hint="eastAsia" w:ascii="仿宋" w:hAnsi="仿宋" w:eastAsia="仿宋" w:cs="仿宋"/>
                <w:sz w:val="22"/>
                <w:szCs w:val="22"/>
              </w:rPr>
            </w:pPr>
          </w:p>
        </w:tc>
        <w:tc>
          <w:tcPr>
            <w:tcW w:w="704" w:type="dxa"/>
            <w:vMerge w:val="continue"/>
            <w:vAlign w:val="center"/>
          </w:tcPr>
          <w:p>
            <w:pPr>
              <w:tabs>
                <w:tab w:val="left" w:pos="0"/>
              </w:tabs>
              <w:adjustRightInd w:val="0"/>
              <w:snapToGrid w:val="0"/>
              <w:jc w:val="center"/>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（5）不存在恶意串通的情形</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不存在本章第</w:t>
            </w:r>
            <w:r>
              <w:rPr>
                <w:rFonts w:hint="eastAsia" w:ascii="仿宋" w:hAnsi="仿宋" w:eastAsia="仿宋" w:cs="仿宋"/>
                <w:sz w:val="22"/>
                <w:szCs w:val="22"/>
                <w:lang w:val="en-US" w:eastAsia="zh-CN"/>
              </w:rPr>
              <w:t>2.1.4</w:t>
            </w:r>
            <w:r>
              <w:rPr>
                <w:rFonts w:hint="eastAsia" w:ascii="仿宋" w:hAnsi="仿宋" w:eastAsia="仿宋" w:cs="仿宋"/>
                <w:sz w:val="22"/>
                <w:szCs w:val="22"/>
              </w:rPr>
              <w:t>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5" w:type="dxa"/>
            <w:vMerge w:val="restart"/>
            <w:vAlign w:val="center"/>
          </w:tcPr>
          <w:p>
            <w:pPr>
              <w:tabs>
                <w:tab w:val="left" w:pos="0"/>
              </w:tabs>
              <w:adjustRightInd w:val="0"/>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2</w:t>
            </w:r>
          </w:p>
        </w:tc>
        <w:tc>
          <w:tcPr>
            <w:tcW w:w="704" w:type="dxa"/>
            <w:vMerge w:val="restart"/>
            <w:vAlign w:val="center"/>
          </w:tcPr>
          <w:p>
            <w:pPr>
              <w:tabs>
                <w:tab w:val="left" w:pos="0"/>
              </w:tabs>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完整性审查</w:t>
            </w: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6</w:t>
            </w:r>
            <w:r>
              <w:rPr>
                <w:rFonts w:hint="eastAsia" w:ascii="仿宋" w:hAnsi="仿宋" w:eastAsia="仿宋" w:cs="仿宋"/>
                <w:sz w:val="22"/>
                <w:szCs w:val="22"/>
              </w:rPr>
              <w:t>）投标文件份数</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7</w:t>
            </w:r>
            <w:r>
              <w:rPr>
                <w:rFonts w:hint="eastAsia" w:ascii="仿宋" w:hAnsi="仿宋" w:eastAsia="仿宋" w:cs="仿宋"/>
                <w:sz w:val="22"/>
                <w:szCs w:val="22"/>
              </w:rPr>
              <w:t>）投标文件内容</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5" w:type="dxa"/>
            <w:vMerge w:val="restart"/>
            <w:vAlign w:val="center"/>
          </w:tcPr>
          <w:p>
            <w:pPr>
              <w:tabs>
                <w:tab w:val="left" w:pos="0"/>
              </w:tabs>
              <w:adjustRightInd w:val="0"/>
              <w:snapToGrid w:val="0"/>
              <w:spacing w:line="360" w:lineRule="auto"/>
              <w:jc w:val="center"/>
              <w:rPr>
                <w:rFonts w:hint="eastAsia" w:ascii="仿宋" w:hAnsi="仿宋" w:eastAsia="仿宋" w:cs="仿宋"/>
                <w:sz w:val="22"/>
                <w:szCs w:val="22"/>
              </w:rPr>
            </w:pPr>
            <w:r>
              <w:rPr>
                <w:rFonts w:hint="eastAsia" w:ascii="仿宋" w:hAnsi="仿宋" w:eastAsia="仿宋" w:cs="仿宋"/>
                <w:sz w:val="22"/>
                <w:szCs w:val="22"/>
              </w:rPr>
              <w:t>3</w:t>
            </w:r>
          </w:p>
        </w:tc>
        <w:tc>
          <w:tcPr>
            <w:tcW w:w="704" w:type="dxa"/>
            <w:vMerge w:val="restart"/>
            <w:vAlign w:val="center"/>
          </w:tcPr>
          <w:p>
            <w:pPr>
              <w:tabs>
                <w:tab w:val="left" w:pos="0"/>
              </w:tabs>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响应性审查</w:t>
            </w: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8</w:t>
            </w:r>
            <w:r>
              <w:rPr>
                <w:rFonts w:hint="eastAsia" w:ascii="仿宋" w:hAnsi="仿宋" w:eastAsia="仿宋" w:cs="仿宋"/>
                <w:sz w:val="22"/>
                <w:szCs w:val="22"/>
              </w:rPr>
              <w:t>）对招标文件响应程度</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9</w:t>
            </w:r>
            <w:r>
              <w:rPr>
                <w:rFonts w:hint="eastAsia" w:ascii="仿宋" w:hAnsi="仿宋" w:eastAsia="仿宋" w:cs="仿宋"/>
                <w:sz w:val="22"/>
                <w:szCs w:val="22"/>
              </w:rPr>
              <w:t>）</w:t>
            </w:r>
            <w:r>
              <w:rPr>
                <w:rFonts w:hint="eastAsia" w:ascii="仿宋" w:hAnsi="仿宋" w:eastAsia="仿宋" w:cs="仿宋"/>
                <w:sz w:val="22"/>
                <w:szCs w:val="22"/>
                <w:lang w:val="en-US" w:eastAsia="zh-CN"/>
              </w:rPr>
              <w:t>交付期</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应满足招标文件中要求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10</w:t>
            </w:r>
            <w:r>
              <w:rPr>
                <w:rFonts w:hint="eastAsia" w:ascii="仿宋" w:hAnsi="仿宋" w:eastAsia="仿宋" w:cs="仿宋"/>
                <w:sz w:val="22"/>
                <w:szCs w:val="22"/>
              </w:rPr>
              <w:t>）</w:t>
            </w:r>
            <w:r>
              <w:rPr>
                <w:rFonts w:hint="eastAsia" w:ascii="仿宋" w:hAnsi="仿宋" w:eastAsia="仿宋" w:cs="仿宋"/>
                <w:sz w:val="22"/>
                <w:szCs w:val="22"/>
                <w:lang w:val="en-US" w:eastAsia="zh-CN"/>
              </w:rPr>
              <w:t>交货地点</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应满足招标文件中的规定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lang w:eastAsia="zh-CN"/>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11）质保期</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应满足招标文件中的规定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5"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704" w:type="dxa"/>
            <w:vMerge w:val="continue"/>
          </w:tcPr>
          <w:p>
            <w:pPr>
              <w:tabs>
                <w:tab w:val="left" w:pos="0"/>
              </w:tabs>
              <w:adjustRightInd w:val="0"/>
              <w:snapToGrid w:val="0"/>
              <w:spacing w:line="360" w:lineRule="auto"/>
              <w:rPr>
                <w:rFonts w:hint="eastAsia" w:ascii="仿宋" w:hAnsi="仿宋" w:eastAsia="仿宋" w:cs="仿宋"/>
                <w:sz w:val="22"/>
                <w:szCs w:val="22"/>
              </w:rPr>
            </w:pPr>
          </w:p>
        </w:tc>
        <w:tc>
          <w:tcPr>
            <w:tcW w:w="3695"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12</w:t>
            </w:r>
            <w:r>
              <w:rPr>
                <w:rFonts w:hint="eastAsia" w:ascii="仿宋" w:hAnsi="仿宋" w:eastAsia="仿宋" w:cs="仿宋"/>
                <w:sz w:val="22"/>
                <w:szCs w:val="22"/>
              </w:rPr>
              <w:t>）投标有效期</w:t>
            </w:r>
          </w:p>
        </w:tc>
        <w:tc>
          <w:tcPr>
            <w:tcW w:w="4488" w:type="dxa"/>
            <w:vAlign w:val="center"/>
          </w:tcPr>
          <w:p>
            <w:pPr>
              <w:tabs>
                <w:tab w:val="left" w:pos="0"/>
              </w:tabs>
              <w:adjustRightInd w:val="0"/>
              <w:snapToGrid w:val="0"/>
              <w:rPr>
                <w:rFonts w:hint="eastAsia" w:ascii="仿宋" w:hAnsi="仿宋" w:eastAsia="仿宋" w:cs="仿宋"/>
                <w:sz w:val="22"/>
                <w:szCs w:val="22"/>
              </w:rPr>
            </w:pPr>
            <w:r>
              <w:rPr>
                <w:rFonts w:hint="eastAsia" w:ascii="仿宋" w:hAnsi="仿宋" w:eastAsia="仿宋" w:cs="仿宋"/>
                <w:sz w:val="22"/>
                <w:szCs w:val="22"/>
              </w:rPr>
              <w:t>应满足招标文件中的规定</w:t>
            </w:r>
          </w:p>
        </w:tc>
      </w:tr>
    </w:tbl>
    <w:p>
      <w:pPr>
        <w:tabs>
          <w:tab w:val="left" w:pos="1080"/>
          <w:tab w:val="left" w:pos="1155"/>
        </w:tabs>
        <w:snapToGrid w:val="0"/>
        <w:spacing w:line="360" w:lineRule="auto"/>
        <w:rPr>
          <w:rFonts w:hint="eastAsia" w:ascii="仿宋" w:hAnsi="仿宋" w:eastAsia="仿宋" w:cs="仿宋"/>
          <w:sz w:val="22"/>
          <w:szCs w:val="22"/>
        </w:rPr>
      </w:pP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若前款有1项不合格，评审不予通过，作为未实质性响应招标文件，按无效</w:t>
      </w:r>
      <w:r>
        <w:rPr>
          <w:rFonts w:hint="eastAsia" w:ascii="仿宋" w:hAnsi="仿宋" w:eastAsia="仿宋" w:cs="仿宋"/>
          <w:sz w:val="24"/>
          <w:szCs w:val="24"/>
          <w:lang w:val="en-US" w:eastAsia="zh-CN"/>
        </w:rPr>
        <w:t>投</w:t>
      </w:r>
      <w:r>
        <w:rPr>
          <w:rFonts w:hint="eastAsia" w:ascii="仿宋" w:hAnsi="仿宋" w:eastAsia="仿宋" w:cs="仿宋"/>
          <w:sz w:val="24"/>
          <w:szCs w:val="24"/>
        </w:rPr>
        <w:t>标处理。</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评标委员会通过上述评审，确定入围投标人名单，只有入围的投标人才能进入后续评审环节。</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2.1.4 </w:t>
      </w:r>
      <w:r>
        <w:rPr>
          <w:rFonts w:hint="eastAsia" w:ascii="仿宋" w:hAnsi="仿宋" w:eastAsia="仿宋" w:cs="仿宋"/>
          <w:sz w:val="24"/>
          <w:szCs w:val="24"/>
        </w:rPr>
        <w:t>有下列情形之一的，视为供应商相互恶意串通，</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文件无效：</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文件由同一单位或者个人编制；</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（2）不同供应商委托同一单位或者个人办理</w:t>
      </w:r>
      <w:r>
        <w:rPr>
          <w:rFonts w:hint="eastAsia" w:ascii="仿宋" w:hAnsi="仿宋" w:eastAsia="仿宋" w:cs="仿宋"/>
          <w:sz w:val="24"/>
          <w:szCs w:val="24"/>
          <w:lang w:val="en-US" w:eastAsia="zh-CN"/>
        </w:rPr>
        <w:t>投标</w:t>
      </w:r>
      <w:r>
        <w:rPr>
          <w:rFonts w:hint="eastAsia" w:ascii="仿宋" w:hAnsi="仿宋" w:eastAsia="仿宋" w:cs="仿宋"/>
          <w:sz w:val="24"/>
          <w:szCs w:val="24"/>
        </w:rPr>
        <w:t>事宜；</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文件载明的项目管理成员为同一人；</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文件异常一致或者磋商报价呈规律性差异；</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文件相互混装；</w:t>
      </w:r>
    </w:p>
    <w:p>
      <w:pPr>
        <w:tabs>
          <w:tab w:val="left" w:pos="1080"/>
          <w:tab w:val="left" w:pos="115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（6）不同供应商的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保证金从同一单位或者个人的账户转出（仅限供应商须知前附表要求供应商提交</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保证金的）。</w:t>
      </w:r>
    </w:p>
    <w:p>
      <w:pPr>
        <w:snapToGrid w:val="0"/>
        <w:spacing w:beforeLines="50" w:afterLines="50" w:line="360" w:lineRule="auto"/>
        <w:rPr>
          <w:rFonts w:hint="eastAsia" w:ascii="仿宋" w:hAnsi="仿宋" w:eastAsia="仿宋" w:cs="仿宋"/>
          <w:b/>
          <w:sz w:val="24"/>
          <w:szCs w:val="24"/>
        </w:rPr>
      </w:pPr>
      <w:r>
        <w:rPr>
          <w:rFonts w:hint="eastAsia" w:ascii="仿宋" w:hAnsi="仿宋" w:eastAsia="仿宋" w:cs="仿宋"/>
          <w:b/>
          <w:sz w:val="24"/>
          <w:szCs w:val="24"/>
        </w:rPr>
        <w:t>2.2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投标文件的澄清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在对投标文件的有效性、完整性和响应程度进行符合性审查时，可以要求投标人对投标文件中非实质性等有关问题作出必要的澄清、说明或者更正。非实质性偏离是指投标人投标文件在实质上响应招标文件的要求，但在个别地方存在一些不规则、不一致、不完整的内容，并且澄清、说明或者补正这些内容不会改变投标文件的实质性内容。以下情况属于非实质性偏离：</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文字表述的内容含义不明确；</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同类问题表述不一致；</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有明显文字和计算错误；</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提供的技术信息和数据资料不完整；</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投标文件未按招标文件要求进行编制目录、页码；</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评标委员会认定的其他非实质性偏离。</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2.2.1.7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有上述2.2.1.1-2.2.1.6情形之一的，评标委员会应当书面要求投标人在规定的时间内予以澄清、说明或补正。投标人有关澄清、说明或者更正不得超出投标文件的范围或者改变投标文件的实质性内容。投标人必须按照评标委员会通知的内容和时间作出书面答复，有关澄清、说明或者更正应以书面形式提交，并由法定代表人或其被授权委托代理人签字；投标人拒不按照要求或不在规定的时间内进行澄清、说明，评标委员会将根据其投标文件按最大风险进行评审。评标委员会不接受投标人主动提出的澄清、说明。</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有效的书面澄清材料，是投标人投标文件的补充材料，成为投标人投标文件的组成部分。</w:t>
      </w:r>
    </w:p>
    <w:p>
      <w:pPr>
        <w:snapToGrid w:val="0"/>
        <w:spacing w:beforeLines="50" w:afterLines="50" w:line="360" w:lineRule="auto"/>
        <w:rPr>
          <w:rFonts w:hint="eastAsia" w:ascii="仿宋" w:hAnsi="仿宋" w:eastAsia="仿宋" w:cs="仿宋"/>
          <w:b/>
          <w:sz w:val="24"/>
          <w:szCs w:val="24"/>
        </w:rPr>
      </w:pPr>
      <w:r>
        <w:rPr>
          <w:rFonts w:hint="eastAsia" w:ascii="仿宋" w:hAnsi="仿宋" w:eastAsia="仿宋" w:cs="仿宋"/>
          <w:b/>
          <w:sz w:val="24"/>
          <w:szCs w:val="24"/>
        </w:rPr>
        <w:t>2.3投标文件详细评审</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w:t>
      </w:r>
      <w:r>
        <w:rPr>
          <w:rFonts w:hint="eastAsia" w:ascii="仿宋" w:hAnsi="仿宋" w:eastAsia="仿宋" w:cs="仿宋"/>
          <w:sz w:val="24"/>
          <w:szCs w:val="24"/>
          <w:lang w:val="en-US" w:eastAsia="zh-CN"/>
        </w:rPr>
        <w:t xml:space="preserve"> </w:t>
      </w:r>
      <w:r>
        <w:rPr>
          <w:rFonts w:hint="eastAsia" w:ascii="仿宋" w:hAnsi="仿宋" w:eastAsia="仿宋" w:cs="仿宋"/>
          <w:kern w:val="1"/>
          <w:sz w:val="24"/>
          <w:szCs w:val="24"/>
        </w:rPr>
        <w:t>比较与评价。评标委员会应当按照投标文件中规定的评审方法和标准，只对资格审查和符合性审查合格的响应文件进行商务和技术评估，综合比较与评价，不合格的投标人不再参与评审。</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2.</w:t>
      </w:r>
      <w:r>
        <w:rPr>
          <w:rFonts w:hint="eastAsia" w:ascii="仿宋" w:hAnsi="仿宋" w:eastAsia="仿宋" w:cs="仿宋"/>
          <w:kern w:val="1"/>
          <w:sz w:val="24"/>
          <w:szCs w:val="24"/>
        </w:rPr>
        <w:t>3.2</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评审因素的设定与</w:t>
      </w:r>
      <w:r>
        <w:rPr>
          <w:rFonts w:hint="eastAsia" w:ascii="仿宋" w:hAnsi="仿宋" w:eastAsia="仿宋" w:cs="仿宋"/>
          <w:sz w:val="24"/>
          <w:szCs w:val="24"/>
        </w:rPr>
        <w:t>投标人</w:t>
      </w:r>
      <w:r>
        <w:rPr>
          <w:rFonts w:hint="eastAsia" w:ascii="仿宋" w:hAnsi="仿宋" w:eastAsia="仿宋" w:cs="仿宋"/>
          <w:kern w:val="1"/>
          <w:sz w:val="24"/>
          <w:szCs w:val="24"/>
        </w:rPr>
        <w:t>所提供服务的质量相关，包括报价、技术或者服务水平、履约能力、售后服务等。资格条件不作为评审因素。综合评分法评审标准中的分值设置与评审因素的量化指标相对应。招标文件中没有规定的评审标准不得作为评审依据。</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2.</w:t>
      </w:r>
      <w:r>
        <w:rPr>
          <w:rFonts w:hint="eastAsia" w:ascii="仿宋" w:hAnsi="仿宋" w:eastAsia="仿宋" w:cs="仿宋"/>
          <w:kern w:val="1"/>
          <w:sz w:val="24"/>
          <w:szCs w:val="24"/>
        </w:rPr>
        <w:t>3.3</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由评标委员会成员独立地根据各项因素的评分标准，结合各投标人的实际情况，分别就报价以外的各项评审因素对各投标人独立评审赋分。</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2.</w:t>
      </w:r>
      <w:r>
        <w:rPr>
          <w:rFonts w:hint="eastAsia" w:ascii="仿宋" w:hAnsi="仿宋" w:eastAsia="仿宋" w:cs="仿宋"/>
          <w:kern w:val="1"/>
          <w:sz w:val="24"/>
          <w:szCs w:val="24"/>
        </w:rPr>
        <w:t>3.4</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当排序推荐候选中标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sz w:val="24"/>
          <w:szCs w:val="24"/>
        </w:rPr>
        <w:t>2.</w:t>
      </w:r>
      <w:r>
        <w:rPr>
          <w:rFonts w:hint="eastAsia" w:ascii="仿宋" w:hAnsi="仿宋" w:eastAsia="仿宋" w:cs="仿宋"/>
          <w:kern w:val="1"/>
          <w:sz w:val="24"/>
          <w:szCs w:val="24"/>
        </w:rPr>
        <w:t>3.5</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评标委员会成员对需要共同认定的事项存在争议的，应当按照少数服从多数的原则作出结论。持不同意见的评标委员会成员应当在评审报告上签署不同意见及理由，否则视为同意评审报告。</w:t>
      </w:r>
    </w:p>
    <w:p>
      <w:pPr>
        <w:snapToGrid w:val="0"/>
        <w:spacing w:beforeLines="50" w:afterLines="50" w:line="360" w:lineRule="auto"/>
        <w:rPr>
          <w:rFonts w:hint="eastAsia" w:ascii="黑体" w:hAnsi="黑体" w:eastAsia="黑体" w:cs="黑体"/>
          <w:b/>
          <w:sz w:val="24"/>
          <w:szCs w:val="24"/>
        </w:rPr>
      </w:pPr>
      <w:r>
        <w:rPr>
          <w:rFonts w:hint="eastAsia" w:ascii="黑体" w:hAnsi="黑体" w:eastAsia="黑体" w:cs="黑体"/>
          <w:b/>
          <w:sz w:val="24"/>
          <w:szCs w:val="24"/>
        </w:rPr>
        <w:t>三、评审细则及标准</w:t>
      </w:r>
    </w:p>
    <w:p>
      <w:pPr>
        <w:snapToGrid w:val="0"/>
        <w:spacing w:line="360" w:lineRule="auto"/>
        <w:rPr>
          <w:rFonts w:hint="eastAsia" w:ascii="仿宋" w:hAnsi="仿宋" w:eastAsia="仿宋" w:cs="仿宋"/>
          <w:b/>
          <w:kern w:val="1"/>
          <w:sz w:val="24"/>
          <w:szCs w:val="24"/>
        </w:rPr>
      </w:pPr>
      <w:r>
        <w:rPr>
          <w:rFonts w:hint="eastAsia" w:ascii="仿宋" w:hAnsi="仿宋" w:eastAsia="仿宋" w:cs="仿宋"/>
          <w:b/>
          <w:kern w:val="1"/>
          <w:sz w:val="24"/>
          <w:szCs w:val="24"/>
        </w:rPr>
        <w:t>3.1</w:t>
      </w:r>
      <w:r>
        <w:rPr>
          <w:rFonts w:hint="eastAsia" w:ascii="仿宋" w:hAnsi="仿宋" w:eastAsia="仿宋" w:cs="仿宋"/>
          <w:b/>
          <w:kern w:val="1"/>
          <w:sz w:val="24"/>
          <w:szCs w:val="24"/>
          <w:lang w:val="en-US" w:eastAsia="zh-CN"/>
        </w:rPr>
        <w:t xml:space="preserve"> </w:t>
      </w:r>
      <w:r>
        <w:rPr>
          <w:rFonts w:hint="eastAsia" w:ascii="仿宋" w:hAnsi="仿宋" w:eastAsia="仿宋" w:cs="仿宋"/>
          <w:b/>
          <w:kern w:val="1"/>
          <w:sz w:val="24"/>
          <w:szCs w:val="24"/>
        </w:rPr>
        <w:t>综合评分法</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3.1.1</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本采购项目评审方法采用综合评分法。即投标文件能够最大限度的满足招标文件规定的各项综合评分标准，且经评审得分最高的投标人为中标候选人。</w:t>
      </w:r>
    </w:p>
    <w:p>
      <w:pPr>
        <w:snapToGrid w:val="0"/>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3.2.2</w:t>
      </w:r>
      <w:r>
        <w:rPr>
          <w:rFonts w:hint="eastAsia" w:ascii="仿宋" w:hAnsi="仿宋" w:eastAsia="仿宋" w:cs="仿宋"/>
          <w:kern w:val="1"/>
          <w:sz w:val="24"/>
          <w:szCs w:val="24"/>
          <w:lang w:val="en-US" w:eastAsia="zh-CN"/>
        </w:rPr>
        <w:t xml:space="preserve"> </w:t>
      </w:r>
      <w:r>
        <w:rPr>
          <w:rFonts w:hint="eastAsia" w:ascii="仿宋" w:hAnsi="仿宋" w:eastAsia="仿宋" w:cs="仿宋"/>
          <w:kern w:val="1"/>
          <w:sz w:val="24"/>
          <w:szCs w:val="24"/>
        </w:rPr>
        <w:t>综合评分法评审标准中的分值设置应当与评审因素的量化指标相对应。招标文件中没有规定的评审标准不得作为评审依据。</w:t>
      </w:r>
    </w:p>
    <w:p>
      <w:pPr>
        <w:widowControl/>
        <w:autoSpaceDE w:val="0"/>
        <w:autoSpaceDN w:val="0"/>
        <w:snapToGrid w:val="0"/>
        <w:spacing w:line="360" w:lineRule="auto"/>
        <w:ind w:right="51"/>
        <w:textAlignment w:val="bottom"/>
        <w:rPr>
          <w:rFonts w:hint="eastAsia" w:ascii="仿宋" w:hAnsi="仿宋" w:eastAsia="仿宋" w:cs="仿宋"/>
          <w:b/>
          <w:sz w:val="24"/>
          <w:szCs w:val="24"/>
        </w:rPr>
      </w:pPr>
      <w:r>
        <w:rPr>
          <w:rFonts w:hint="eastAsia" w:ascii="仿宋" w:hAnsi="仿宋" w:eastAsia="仿宋" w:cs="仿宋"/>
          <w:b/>
          <w:sz w:val="24"/>
          <w:szCs w:val="24"/>
        </w:rPr>
        <w:t>3.2评审细则及标准</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3.2.1</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评标委员会将综合分析投标人的各项评审因素，而不以单项评审因素的优劣评选出中标供应商 。对所有投标人的响应评估，都采用相同的程序和标准，严格按照招标文件的要求和条件进行。</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3.2.2</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评审因素包括：报价、技术、商务及对招标文件的响应程度。</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3.2.3</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全部符合政策优惠条件的（即小微企业自身生产或中小企业代理的小微企业生产的产品），报价按下列公示计算：投标报价=报价×（1-6%）</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3.2.4</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小型和微型企业投标报价折扣幅度标准：</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3.2.4.1</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对小型、微型企业提供产品的投标报价给予6%折扣。</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3.2.4.2</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小、微企业提供本企业生产的产品或中小型企业（代理商）代理的小、微企业生产的产品享受投标报价折扣条件；中小型企业（代理商）代理的中型及以上企业生产的产品不享受投标报价折扣条件。</w:t>
      </w:r>
    </w:p>
    <w:p>
      <w:pPr>
        <w:tabs>
          <w:tab w:val="left" w:pos="1575"/>
        </w:tabs>
        <w:snapToGrid w:val="0"/>
        <w:spacing w:line="360" w:lineRule="auto"/>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3.2.5</w:t>
      </w:r>
      <w:r>
        <w:rPr>
          <w:rFonts w:hint="eastAsia" w:ascii="仿宋" w:hAnsi="仿宋" w:eastAsia="仿宋" w:cs="仿宋"/>
          <w:color w:val="auto"/>
          <w:kern w:val="1"/>
          <w:sz w:val="24"/>
          <w:szCs w:val="24"/>
          <w:lang w:val="en-US" w:eastAsia="zh-CN"/>
        </w:rPr>
        <w:t xml:space="preserve">  </w:t>
      </w:r>
      <w:r>
        <w:rPr>
          <w:rFonts w:hint="eastAsia" w:ascii="仿宋" w:hAnsi="仿宋" w:eastAsia="仿宋" w:cs="仿宋"/>
          <w:color w:val="auto"/>
          <w:kern w:val="1"/>
          <w:sz w:val="24"/>
          <w:szCs w:val="24"/>
        </w:rPr>
        <w:t>满分：100分，综合评分法。各分项分值分配如下：</w:t>
      </w:r>
    </w:p>
    <w:p>
      <w:pPr>
        <w:ind w:firstLine="3654" w:firstLineChars="1300"/>
        <w:rPr>
          <w:rFonts w:hint="eastAsia" w:ascii="楷体" w:hAnsi="楷体" w:eastAsia="楷体" w:cs="楷体"/>
          <w:b/>
          <w:bCs/>
          <w:kern w:val="1"/>
          <w:sz w:val="28"/>
          <w:szCs w:val="28"/>
        </w:rPr>
      </w:pPr>
      <w:bookmarkStart w:id="265" w:name="_Toc28762"/>
      <w:bookmarkStart w:id="266" w:name="_Toc11152"/>
      <w:bookmarkStart w:id="267" w:name="_Toc10133"/>
      <w:bookmarkStart w:id="268" w:name="_Toc8932"/>
      <w:bookmarkStart w:id="269" w:name="_Toc17928_WPSOffice_Level1"/>
      <w:bookmarkStart w:id="270" w:name="_Toc17517"/>
      <w:bookmarkStart w:id="271" w:name="_Toc17139"/>
      <w:bookmarkStart w:id="272" w:name="_Toc32693"/>
      <w:bookmarkStart w:id="273" w:name="_Toc16168_WPSOffice_Level1"/>
      <w:bookmarkStart w:id="274" w:name="_Toc4277"/>
      <w:bookmarkStart w:id="275" w:name="_Toc27805"/>
      <w:bookmarkStart w:id="276" w:name="_Toc16587"/>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ind w:firstLine="3373" w:firstLineChars="1200"/>
        <w:rPr>
          <w:rFonts w:hint="eastAsia" w:ascii="黑体" w:hAnsi="黑体" w:eastAsia="黑体" w:cs="黑体"/>
          <w:b/>
          <w:bCs/>
          <w:kern w:val="1"/>
          <w:sz w:val="28"/>
          <w:szCs w:val="28"/>
        </w:rPr>
      </w:pPr>
    </w:p>
    <w:p>
      <w:pPr>
        <w:snapToGrid w:val="0"/>
        <w:spacing w:line="360" w:lineRule="auto"/>
        <w:rPr>
          <w:rFonts w:hint="eastAsia" w:ascii="黑体" w:hAnsi="黑体" w:eastAsia="黑体" w:cs="黑体"/>
          <w:b/>
          <w:bCs/>
          <w:kern w:val="1"/>
          <w:sz w:val="28"/>
          <w:szCs w:val="28"/>
        </w:rPr>
      </w:pPr>
    </w:p>
    <w:p>
      <w:pPr>
        <w:snapToGrid w:val="0"/>
        <w:spacing w:line="360" w:lineRule="auto"/>
        <w:ind w:firstLine="3373" w:firstLineChars="1200"/>
        <w:rPr>
          <w:rFonts w:hint="eastAsia" w:ascii="仿宋" w:hAnsi="仿宋" w:eastAsia="仿宋" w:cs="仿宋"/>
          <w:sz w:val="24"/>
          <w:szCs w:val="24"/>
        </w:rPr>
      </w:pPr>
      <w:r>
        <w:rPr>
          <w:rFonts w:hint="eastAsia" w:ascii="黑体" w:hAnsi="黑体" w:eastAsia="黑体" w:cs="黑体"/>
          <w:b/>
          <w:bCs/>
          <w:kern w:val="1"/>
          <w:sz w:val="28"/>
          <w:szCs w:val="28"/>
        </w:rPr>
        <w:t>评审要素一览表</w:t>
      </w:r>
    </w:p>
    <w:tbl>
      <w:tblPr>
        <w:tblStyle w:val="40"/>
        <w:tblW w:w="96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1"/>
        <w:gridCol w:w="1173"/>
        <w:gridCol w:w="589"/>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2193" w:type="dxa"/>
            <w:gridSpan w:val="3"/>
            <w:vAlign w:val="center"/>
          </w:tcPr>
          <w:p>
            <w:pPr>
              <w:spacing w:line="24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项别及总分值</w:t>
            </w:r>
          </w:p>
          <w:p>
            <w:pPr>
              <w:spacing w:line="240" w:lineRule="exact"/>
              <w:jc w:val="center"/>
              <w:rPr>
                <w:rFonts w:hint="eastAsia" w:ascii="新宋体" w:hAnsi="新宋体" w:eastAsia="新宋体" w:cs="新宋体"/>
                <w:b/>
                <w:bCs w:val="0"/>
                <w:color w:val="auto"/>
                <w:sz w:val="24"/>
                <w:szCs w:val="24"/>
                <w:highlight w:val="none"/>
              </w:rPr>
            </w:pPr>
            <w:r>
              <w:rPr>
                <w:rFonts w:hint="eastAsia" w:ascii="仿宋" w:hAnsi="仿宋" w:eastAsia="仿宋" w:cs="仿宋"/>
                <w:b/>
                <w:bCs w:val="0"/>
                <w:sz w:val="24"/>
                <w:szCs w:val="24"/>
              </w:rPr>
              <w:t>（100分）</w:t>
            </w:r>
          </w:p>
        </w:tc>
        <w:tc>
          <w:tcPr>
            <w:tcW w:w="7426" w:type="dxa"/>
            <w:vAlign w:val="center"/>
          </w:tcPr>
          <w:p>
            <w:pPr>
              <w:spacing w:line="240" w:lineRule="exact"/>
              <w:jc w:val="center"/>
              <w:rPr>
                <w:rFonts w:hint="eastAsia" w:ascii="新宋体" w:hAnsi="新宋体" w:eastAsia="新宋体" w:cs="新宋体"/>
                <w:b/>
                <w:bCs w:val="0"/>
                <w:color w:val="auto"/>
                <w:sz w:val="24"/>
                <w:szCs w:val="24"/>
                <w:highlight w:val="none"/>
              </w:rPr>
            </w:pPr>
            <w:r>
              <w:rPr>
                <w:rFonts w:hint="eastAsia" w:ascii="仿宋" w:hAnsi="仿宋" w:eastAsia="仿宋" w:cs="仿宋"/>
                <w:b/>
                <w:bCs w:val="0"/>
                <w:sz w:val="24"/>
                <w:szCs w:val="24"/>
              </w:rPr>
              <w:t>评审要素一览表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jc w:val="center"/>
        </w:trPr>
        <w:tc>
          <w:tcPr>
            <w:tcW w:w="431" w:type="dxa"/>
            <w:vAlign w:val="center"/>
          </w:tcPr>
          <w:p>
            <w:pPr>
              <w:spacing w:line="240" w:lineRule="exact"/>
              <w:jc w:val="left"/>
              <w:rPr>
                <w:rFonts w:hint="eastAsia" w:ascii="仿宋" w:hAnsi="仿宋" w:eastAsia="仿宋" w:cs="仿宋"/>
                <w:bCs/>
                <w:sz w:val="24"/>
                <w:szCs w:val="24"/>
              </w:rPr>
            </w:pPr>
            <w:r>
              <w:rPr>
                <w:rFonts w:hint="eastAsia" w:ascii="仿宋" w:hAnsi="仿宋" w:eastAsia="仿宋" w:cs="仿宋"/>
                <w:bCs/>
                <w:sz w:val="24"/>
                <w:szCs w:val="24"/>
              </w:rPr>
              <w:t>1</w:t>
            </w:r>
          </w:p>
        </w:tc>
        <w:tc>
          <w:tcPr>
            <w:tcW w:w="1173" w:type="dxa"/>
            <w:vAlign w:val="center"/>
          </w:tcPr>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投标</w:t>
            </w:r>
            <w:r>
              <w:rPr>
                <w:rFonts w:hint="eastAsia" w:ascii="仿宋" w:hAnsi="仿宋" w:eastAsia="仿宋" w:cs="仿宋"/>
                <w:bCs/>
                <w:sz w:val="21"/>
                <w:szCs w:val="21"/>
              </w:rPr>
              <w:t>报价得分</w:t>
            </w:r>
          </w:p>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rPr>
              <w:t>（30分）</w:t>
            </w:r>
          </w:p>
        </w:tc>
        <w:tc>
          <w:tcPr>
            <w:tcW w:w="589" w:type="dxa"/>
            <w:vAlign w:val="center"/>
          </w:tcPr>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rPr>
              <w:t>30</w:t>
            </w:r>
          </w:p>
        </w:tc>
        <w:tc>
          <w:tcPr>
            <w:tcW w:w="7426" w:type="dxa"/>
            <w:vAlign w:val="center"/>
          </w:tcPr>
          <w:p>
            <w:pPr>
              <w:spacing w:line="240" w:lineRule="exact"/>
              <w:jc w:val="left"/>
              <w:rPr>
                <w:rFonts w:hint="eastAsia" w:ascii="仿宋" w:hAnsi="仿宋" w:eastAsia="仿宋" w:cs="仿宋"/>
                <w:bCs/>
                <w:sz w:val="21"/>
                <w:szCs w:val="21"/>
              </w:rPr>
            </w:pPr>
            <w:r>
              <w:rPr>
                <w:rFonts w:hint="eastAsia" w:ascii="仿宋" w:hAnsi="仿宋" w:eastAsia="仿宋" w:cs="仿宋"/>
                <w:bCs/>
                <w:sz w:val="21"/>
                <w:szCs w:val="21"/>
              </w:rPr>
              <w:t>价格分统一采用低价优先法计算，即满足招标文件要求且投标价格最低的投标报价为评标基准价，其价格分为满分。其他投标人的价格分统一按照下列公式计算：投标报价得分=（评标基准价／投标报价）×价格权值×100。</w:t>
            </w:r>
          </w:p>
          <w:p>
            <w:pPr>
              <w:spacing w:line="240" w:lineRule="exact"/>
              <w:jc w:val="left"/>
              <w:rPr>
                <w:rFonts w:hint="default" w:ascii="仿宋" w:hAnsi="仿宋" w:eastAsia="仿宋" w:cs="仿宋"/>
                <w:bCs/>
                <w:sz w:val="21"/>
                <w:szCs w:val="21"/>
                <w:lang w:val="en-US" w:eastAsia="zh-CN"/>
              </w:rPr>
            </w:pPr>
            <w:r>
              <w:rPr>
                <w:rFonts w:hint="eastAsia" w:ascii="仿宋" w:hAnsi="仿宋" w:eastAsia="仿宋" w:cs="仿宋"/>
                <w:bCs/>
                <w:sz w:val="21"/>
                <w:szCs w:val="21"/>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7" w:hRule="atLeast"/>
          <w:jc w:val="center"/>
        </w:trPr>
        <w:tc>
          <w:tcPr>
            <w:tcW w:w="431" w:type="dxa"/>
            <w:vAlign w:val="center"/>
          </w:tcPr>
          <w:p>
            <w:pPr>
              <w:spacing w:line="240" w:lineRule="exact"/>
              <w:jc w:val="left"/>
              <w:rPr>
                <w:rFonts w:hint="eastAsia" w:ascii="仿宋" w:hAnsi="仿宋" w:eastAsia="仿宋" w:cs="仿宋"/>
                <w:bCs/>
                <w:sz w:val="24"/>
                <w:szCs w:val="24"/>
              </w:rPr>
            </w:pPr>
            <w:r>
              <w:rPr>
                <w:rFonts w:hint="eastAsia" w:ascii="仿宋" w:hAnsi="仿宋" w:eastAsia="仿宋" w:cs="仿宋"/>
                <w:bCs/>
                <w:sz w:val="24"/>
                <w:szCs w:val="24"/>
              </w:rPr>
              <w:t>2</w:t>
            </w:r>
          </w:p>
        </w:tc>
        <w:tc>
          <w:tcPr>
            <w:tcW w:w="1173" w:type="dxa"/>
            <w:vAlign w:val="center"/>
          </w:tcPr>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rPr>
              <w:t>技术参数指标</w:t>
            </w:r>
          </w:p>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eastAsia="zh-CN"/>
              </w:rPr>
              <w:t>25</w:t>
            </w:r>
            <w:r>
              <w:rPr>
                <w:rFonts w:hint="eastAsia" w:ascii="仿宋" w:hAnsi="仿宋" w:eastAsia="仿宋" w:cs="仿宋"/>
                <w:bCs/>
                <w:sz w:val="21"/>
                <w:szCs w:val="21"/>
              </w:rPr>
              <w:t>分）</w:t>
            </w:r>
          </w:p>
        </w:tc>
        <w:tc>
          <w:tcPr>
            <w:tcW w:w="589" w:type="dxa"/>
            <w:vAlign w:val="center"/>
          </w:tcPr>
          <w:p>
            <w:pPr>
              <w:spacing w:line="240" w:lineRule="exact"/>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25</w:t>
            </w:r>
          </w:p>
        </w:tc>
        <w:tc>
          <w:tcPr>
            <w:tcW w:w="7426" w:type="dxa"/>
            <w:vAlign w:val="center"/>
          </w:tcPr>
          <w:p>
            <w:pPr>
              <w:spacing w:line="240" w:lineRule="exact"/>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根据所投产品技术参数、性能的满足程度评分。</w:t>
            </w:r>
          </w:p>
          <w:p>
            <w:pPr>
              <w:spacing w:line="240" w:lineRule="exact"/>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技术参数里标注</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号项的，要求提供充足的佐证材料（包括但不限于检验报告、产品彩页、官网功能截图等），予以证明参数的技术响应性。</w:t>
            </w:r>
          </w:p>
          <w:p>
            <w:pPr>
              <w:numPr>
                <w:ilvl w:val="0"/>
                <w:numId w:val="4"/>
              </w:numPr>
              <w:spacing w:line="240" w:lineRule="exact"/>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投标产品（含配件）选型科学合理、技术先进，技术参数清晰明确，各系统稳定性、安全性、兼容性好及功能</w:t>
            </w:r>
            <w:r>
              <w:rPr>
                <w:rFonts w:hint="eastAsia" w:ascii="仿宋" w:hAnsi="仿宋" w:eastAsia="仿宋" w:cs="仿宋"/>
                <w:bCs/>
                <w:sz w:val="21"/>
                <w:szCs w:val="21"/>
                <w:highlight w:val="none"/>
                <w:lang w:val="en-US" w:eastAsia="zh-CN"/>
              </w:rPr>
              <w:t>与</w:t>
            </w:r>
            <w:r>
              <w:rPr>
                <w:rFonts w:hint="eastAsia" w:ascii="仿宋" w:hAnsi="仿宋" w:eastAsia="仿宋" w:cs="仿宋"/>
                <w:bCs/>
                <w:sz w:val="21"/>
                <w:szCs w:val="21"/>
                <w:highlight w:val="none"/>
              </w:rPr>
              <w:t>学校现状切合度高，数量准确无缺漏项，技术指标和性能完全满足招标文件要求，计</w:t>
            </w:r>
            <w:r>
              <w:rPr>
                <w:rFonts w:hint="eastAsia" w:ascii="仿宋" w:hAnsi="仿宋" w:eastAsia="仿宋" w:cs="仿宋"/>
                <w:bCs/>
                <w:sz w:val="21"/>
                <w:szCs w:val="21"/>
                <w:highlight w:val="none"/>
                <w:lang w:val="en-US" w:eastAsia="zh-CN"/>
              </w:rPr>
              <w:t>15</w:t>
            </w:r>
            <w:r>
              <w:rPr>
                <w:rFonts w:hint="eastAsia" w:ascii="仿宋" w:hAnsi="仿宋" w:eastAsia="仿宋" w:cs="仿宋"/>
                <w:bCs/>
                <w:sz w:val="21"/>
                <w:szCs w:val="21"/>
                <w:highlight w:val="none"/>
              </w:rPr>
              <w:t>分</w:t>
            </w:r>
            <w:r>
              <w:rPr>
                <w:rFonts w:hint="eastAsia" w:ascii="仿宋" w:hAnsi="仿宋" w:eastAsia="仿宋" w:cs="仿宋"/>
                <w:bCs/>
                <w:sz w:val="21"/>
                <w:szCs w:val="21"/>
                <w:highlight w:val="none"/>
                <w:lang w:eastAsia="zh-CN"/>
              </w:rPr>
              <w:t>；投标产品每负偏离一项技术参数要求扣1分，扣完为止。</w:t>
            </w:r>
          </w:p>
          <w:p>
            <w:pPr>
              <w:spacing w:line="240" w:lineRule="exact"/>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2、投标人根据技术参数制作技术响应偏离表，逐项应答技术响应程度，注明支撑材料所在页码范围。重要指标“</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”号项材料齐全，优于或者偏离的指标应粗体标黑。“优于”的指标应是实质性的，并标注优于</w:t>
            </w:r>
            <w:r>
              <w:rPr>
                <w:rFonts w:hint="eastAsia" w:ascii="仿宋" w:hAnsi="仿宋" w:eastAsia="仿宋" w:cs="仿宋"/>
                <w:bCs/>
                <w:sz w:val="21"/>
                <w:szCs w:val="21"/>
                <w:highlight w:val="none"/>
                <w:lang w:val="en-US" w:eastAsia="zh-CN"/>
              </w:rPr>
              <w:t>参数</w:t>
            </w:r>
            <w:r>
              <w:rPr>
                <w:rFonts w:hint="eastAsia" w:ascii="仿宋" w:hAnsi="仿宋" w:eastAsia="仿宋" w:cs="仿宋"/>
                <w:bCs/>
                <w:sz w:val="21"/>
                <w:szCs w:val="21"/>
                <w:highlight w:val="none"/>
              </w:rPr>
              <w:t>证明材料的页码。经评标委员会评定投标人所投产品参数优于招标文件参数，每项加</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分，最多加</w:t>
            </w:r>
            <w:r>
              <w:rPr>
                <w:rFonts w:hint="eastAsia" w:ascii="仿宋" w:hAnsi="仿宋" w:eastAsia="仿宋" w:cs="仿宋"/>
                <w:bCs/>
                <w:sz w:val="21"/>
                <w:szCs w:val="21"/>
                <w:highlight w:val="none"/>
                <w:lang w:val="en-US" w:eastAsia="zh-CN"/>
              </w:rPr>
              <w:t>10</w:t>
            </w:r>
            <w:r>
              <w:rPr>
                <w:rFonts w:hint="eastAsia" w:ascii="仿宋" w:hAnsi="仿宋" w:eastAsia="仿宋" w:cs="仿宋"/>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jc w:val="center"/>
        </w:trPr>
        <w:tc>
          <w:tcPr>
            <w:tcW w:w="431" w:type="dxa"/>
            <w:vAlign w:val="center"/>
          </w:tcPr>
          <w:p>
            <w:pPr>
              <w:spacing w:line="240" w:lineRule="exact"/>
              <w:jc w:val="left"/>
              <w:rPr>
                <w:rFonts w:hint="eastAsia" w:ascii="仿宋" w:hAnsi="仿宋" w:eastAsia="仿宋" w:cs="仿宋"/>
                <w:bCs/>
                <w:sz w:val="24"/>
                <w:szCs w:val="24"/>
              </w:rPr>
            </w:pPr>
            <w:r>
              <w:rPr>
                <w:rFonts w:hint="eastAsia" w:ascii="仿宋" w:hAnsi="仿宋" w:eastAsia="仿宋" w:cs="仿宋"/>
                <w:bCs/>
                <w:sz w:val="24"/>
                <w:szCs w:val="24"/>
              </w:rPr>
              <w:t>3</w:t>
            </w:r>
          </w:p>
        </w:tc>
        <w:tc>
          <w:tcPr>
            <w:tcW w:w="1173" w:type="dxa"/>
            <w:vAlign w:val="center"/>
          </w:tcPr>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质量保证</w:t>
            </w:r>
            <w:r>
              <w:rPr>
                <w:rFonts w:hint="eastAsia" w:ascii="仿宋" w:hAnsi="仿宋" w:eastAsia="仿宋" w:cs="仿宋"/>
                <w:bCs/>
                <w:sz w:val="21"/>
                <w:szCs w:val="21"/>
              </w:rPr>
              <w:t>（</w:t>
            </w:r>
            <w:r>
              <w:rPr>
                <w:rFonts w:hint="eastAsia" w:ascii="仿宋" w:hAnsi="仿宋" w:eastAsia="仿宋" w:cs="仿宋"/>
                <w:bCs/>
                <w:sz w:val="21"/>
                <w:szCs w:val="21"/>
                <w:lang w:val="en-US" w:eastAsia="zh-CN"/>
              </w:rPr>
              <w:t>5</w:t>
            </w:r>
            <w:r>
              <w:rPr>
                <w:rFonts w:hint="eastAsia" w:ascii="仿宋" w:hAnsi="仿宋" w:eastAsia="仿宋" w:cs="仿宋"/>
                <w:bCs/>
                <w:sz w:val="21"/>
                <w:szCs w:val="21"/>
              </w:rPr>
              <w:t>分）</w:t>
            </w:r>
          </w:p>
        </w:tc>
        <w:tc>
          <w:tcPr>
            <w:tcW w:w="589" w:type="dxa"/>
            <w:vAlign w:val="center"/>
          </w:tcPr>
          <w:p>
            <w:pPr>
              <w:spacing w:line="240" w:lineRule="exact"/>
              <w:jc w:val="center"/>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val="en-US" w:eastAsia="zh-CN"/>
              </w:rPr>
              <w:t>5</w:t>
            </w:r>
          </w:p>
        </w:tc>
        <w:tc>
          <w:tcPr>
            <w:tcW w:w="7426" w:type="dxa"/>
            <w:vAlign w:val="center"/>
          </w:tcPr>
          <w:p>
            <w:pPr>
              <w:spacing w:line="240" w:lineRule="exact"/>
              <w:jc w:val="left"/>
              <w:rPr>
                <w:rFonts w:hint="eastAsia"/>
                <w:lang w:val="en-US" w:eastAsia="zh-CN"/>
              </w:rPr>
            </w:pPr>
            <w:r>
              <w:rPr>
                <w:rFonts w:hint="eastAsia" w:ascii="仿宋" w:hAnsi="仿宋" w:eastAsia="仿宋" w:cs="仿宋"/>
                <w:bCs/>
                <w:sz w:val="21"/>
                <w:szCs w:val="21"/>
                <w:highlight w:val="none"/>
              </w:rPr>
              <w:t>根据</w:t>
            </w:r>
            <w:r>
              <w:rPr>
                <w:rFonts w:hint="eastAsia" w:ascii="仿宋" w:hAnsi="仿宋" w:eastAsia="仿宋" w:cs="仿宋"/>
                <w:bCs/>
                <w:sz w:val="21"/>
                <w:szCs w:val="21"/>
                <w:highlight w:val="none"/>
                <w:lang w:val="en-US" w:eastAsia="zh-CN"/>
              </w:rPr>
              <w:t>投标人</w:t>
            </w:r>
            <w:r>
              <w:rPr>
                <w:rFonts w:hint="eastAsia" w:ascii="仿宋" w:hAnsi="仿宋" w:eastAsia="仿宋" w:cs="仿宋"/>
                <w:bCs/>
                <w:sz w:val="21"/>
                <w:szCs w:val="21"/>
                <w:highlight w:val="none"/>
              </w:rPr>
              <w:t>提供的所投产品的合法来源渠道和产品质量相关的证明材料进行综合比较赋分。合法来源渠道和产品质量相关证明等材料种类齐全、详细、充分，计4.1-5分；合法来源渠道和产品质量相关证明等材料较完整，计2.1-4分，合法来源渠道和产品质量相关证明等材料</w:t>
            </w:r>
            <w:r>
              <w:rPr>
                <w:rFonts w:hint="eastAsia" w:ascii="仿宋" w:hAnsi="仿宋" w:eastAsia="仿宋" w:cs="仿宋"/>
                <w:bCs/>
                <w:sz w:val="21"/>
                <w:szCs w:val="21"/>
                <w:highlight w:val="none"/>
                <w:lang w:val="en-US" w:eastAsia="zh-CN"/>
              </w:rPr>
              <w:t>不太完整</w:t>
            </w:r>
            <w:r>
              <w:rPr>
                <w:rFonts w:hint="eastAsia" w:ascii="仿宋" w:hAnsi="仿宋" w:eastAsia="仿宋" w:cs="仿宋"/>
                <w:bCs/>
                <w:sz w:val="21"/>
                <w:szCs w:val="21"/>
                <w:highlight w:val="none"/>
              </w:rPr>
              <w:t>计1-2分，未提供不计分。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2" w:hRule="atLeast"/>
          <w:jc w:val="center"/>
        </w:trPr>
        <w:tc>
          <w:tcPr>
            <w:tcW w:w="431" w:type="dxa"/>
            <w:vAlign w:val="center"/>
          </w:tcPr>
          <w:p>
            <w:pPr>
              <w:spacing w:line="240" w:lineRule="exact"/>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1173" w:type="dxa"/>
            <w:vAlign w:val="center"/>
          </w:tcPr>
          <w:p>
            <w:pPr>
              <w:snapToGrid w:val="0"/>
              <w:spacing w:line="280" w:lineRule="atLeast"/>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实施方案</w:t>
            </w:r>
          </w:p>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（10分）</w:t>
            </w:r>
          </w:p>
        </w:tc>
        <w:tc>
          <w:tcPr>
            <w:tcW w:w="589" w:type="dxa"/>
            <w:vAlign w:val="center"/>
          </w:tcPr>
          <w:p>
            <w:pPr>
              <w:spacing w:line="240" w:lineRule="exact"/>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w:t>
            </w:r>
          </w:p>
        </w:tc>
        <w:tc>
          <w:tcPr>
            <w:tcW w:w="7426" w:type="dxa"/>
            <w:vAlign w:val="center"/>
          </w:tcPr>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对本项目的供货、安装调试、验收组织、人员配备等方面制订具体的实施方案，做出合理计划及制订工作保障措施。</w:t>
            </w:r>
            <w:r>
              <w:rPr>
                <w:rFonts w:hint="eastAsia" w:ascii="仿宋" w:hAnsi="仿宋" w:eastAsia="仿宋" w:cs="仿宋"/>
                <w:color w:val="000000"/>
                <w:sz w:val="21"/>
                <w:szCs w:val="21"/>
                <w:highlight w:val="none"/>
                <w:lang w:val="en-US" w:eastAsia="zh-CN"/>
              </w:rPr>
              <w:t>评标委员会成员横向对比，</w:t>
            </w:r>
            <w:r>
              <w:rPr>
                <w:rFonts w:hint="eastAsia" w:ascii="仿宋" w:hAnsi="仿宋" w:eastAsia="仿宋" w:cs="仿宋"/>
                <w:color w:val="000000"/>
                <w:sz w:val="21"/>
                <w:szCs w:val="21"/>
                <w:highlight w:val="none"/>
              </w:rPr>
              <w:t>方案完整、科学合理、操作性强，计7.1-10分；方案较完整，工作目标不明确、工作保障措施不到位，4.1-7分；方案可执行性差，计1.0-4分，未提供不计分。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3" w:hRule="atLeast"/>
          <w:jc w:val="center"/>
        </w:trPr>
        <w:tc>
          <w:tcPr>
            <w:tcW w:w="431" w:type="dxa"/>
            <w:vAlign w:val="center"/>
          </w:tcPr>
          <w:p>
            <w:pPr>
              <w:spacing w:line="240" w:lineRule="exact"/>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1173" w:type="dxa"/>
            <w:vAlign w:val="center"/>
          </w:tcPr>
          <w:p>
            <w:pPr>
              <w:snapToGrid w:val="0"/>
              <w:spacing w:line="280" w:lineRule="atLeast"/>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培训方案</w:t>
            </w:r>
          </w:p>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10</w:t>
            </w:r>
            <w:r>
              <w:rPr>
                <w:rFonts w:hint="eastAsia" w:ascii="仿宋" w:hAnsi="仿宋" w:eastAsia="仿宋" w:cs="仿宋"/>
                <w:color w:val="000000"/>
                <w:sz w:val="21"/>
                <w:szCs w:val="21"/>
                <w:highlight w:val="none"/>
              </w:rPr>
              <w:t>分）</w:t>
            </w:r>
          </w:p>
        </w:tc>
        <w:tc>
          <w:tcPr>
            <w:tcW w:w="589" w:type="dxa"/>
            <w:vAlign w:val="center"/>
          </w:tcPr>
          <w:p>
            <w:pPr>
              <w:spacing w:line="240" w:lineRule="exact"/>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w:t>
            </w:r>
          </w:p>
        </w:tc>
        <w:tc>
          <w:tcPr>
            <w:tcW w:w="7426" w:type="dxa"/>
            <w:vAlign w:val="center"/>
          </w:tcPr>
          <w:p>
            <w:pPr>
              <w:keepNext w:val="0"/>
              <w:keepLines w:val="0"/>
              <w:pageBreakBefore w:val="0"/>
              <w:kinsoku/>
              <w:wordWrap/>
              <w:overflowPunct/>
              <w:topLinePunct w:val="0"/>
              <w:bidi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根据各</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rPr>
              <w:t>的培训方案（方案内容包含培训计划、人员安排、培训人数场次、培训方式、培训内容），综合评价，分档计分：</w:t>
            </w:r>
          </w:p>
          <w:p>
            <w:pPr>
              <w:keepNext w:val="0"/>
              <w:keepLines w:val="0"/>
              <w:pageBreakBefore w:val="0"/>
              <w:kinsoku/>
              <w:wordWrap/>
              <w:overflowPunct/>
              <w:topLinePunct w:val="0"/>
              <w:bidi w:val="0"/>
              <w:spacing w:line="240" w:lineRule="auto"/>
              <w:jc w:val="left"/>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1）培训方案内容完整，培训计划切实可行，人员安排合理，场次分配均匀且到位，培训方式得当，培训内容详尽，综合评价优的计</w:t>
            </w:r>
            <w:r>
              <w:rPr>
                <w:rFonts w:hint="eastAsia" w:ascii="仿宋" w:hAnsi="仿宋" w:eastAsia="仿宋" w:cs="仿宋"/>
                <w:color w:val="auto"/>
                <w:sz w:val="21"/>
                <w:szCs w:val="21"/>
                <w:highlight w:val="none"/>
                <w:lang w:val="en-US" w:eastAsia="zh-CN"/>
              </w:rPr>
              <w:t>6.1</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eastAsia="zh-CN"/>
              </w:rPr>
              <w:t>分；</w:t>
            </w:r>
          </w:p>
          <w:p>
            <w:pPr>
              <w:keepNext w:val="0"/>
              <w:keepLines w:val="0"/>
              <w:pageBreakBefore w:val="0"/>
              <w:kinsoku/>
              <w:wordWrap/>
              <w:overflowPunct/>
              <w:topLinePunct w:val="0"/>
              <w:bidi w:val="0"/>
              <w:spacing w:line="240" w:lineRule="auto"/>
              <w:jc w:val="left"/>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2）培训方案内容较完整，培训计划可行，人员安排合理，场次到位，培训方式较适用，培训内容较完善，综合评价良的计</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zh-CN" w:eastAsia="zh-CN"/>
              </w:rPr>
              <w:t>分；</w:t>
            </w:r>
          </w:p>
          <w:p>
            <w:pPr>
              <w:spacing w:line="2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auto"/>
                <w:sz w:val="21"/>
                <w:szCs w:val="21"/>
                <w:highlight w:val="none"/>
                <w:lang w:val="zh-CN" w:eastAsia="zh-CN"/>
              </w:rPr>
              <w:t>3）培训方案内容不完整，培训计划一般，人员安排基本符合要求，培训场次基本到位，培训方式一般，培训内容较简单，综合评价一般的计0-</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431" w:type="dxa"/>
            <w:vAlign w:val="center"/>
          </w:tcPr>
          <w:p>
            <w:pPr>
              <w:spacing w:line="240" w:lineRule="exact"/>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1173" w:type="dxa"/>
            <w:vAlign w:val="center"/>
          </w:tcPr>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业绩</w:t>
            </w:r>
          </w:p>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（6分）</w:t>
            </w:r>
          </w:p>
        </w:tc>
        <w:tc>
          <w:tcPr>
            <w:tcW w:w="589" w:type="dxa"/>
            <w:vAlign w:val="center"/>
          </w:tcPr>
          <w:p>
            <w:pPr>
              <w:spacing w:line="24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7426" w:type="dxa"/>
            <w:vAlign w:val="center"/>
          </w:tcPr>
          <w:p>
            <w:pPr>
              <w:spacing w:line="240" w:lineRule="exact"/>
              <w:jc w:val="left"/>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投标人提供 2019年 1 月 1 日至今类似项目业绩（业绩以中标通知书或合同为准)，每提供一个业绩得 2 分，满分6分。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38" w:hRule="atLeast"/>
          <w:jc w:val="center"/>
        </w:trPr>
        <w:tc>
          <w:tcPr>
            <w:tcW w:w="431" w:type="dxa"/>
            <w:shd w:val="clear" w:color="auto" w:fill="auto"/>
            <w:vAlign w:val="center"/>
          </w:tcPr>
          <w:p>
            <w:pPr>
              <w:spacing w:line="240" w:lineRule="exact"/>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w:t>
            </w:r>
          </w:p>
        </w:tc>
        <w:tc>
          <w:tcPr>
            <w:tcW w:w="1173" w:type="dxa"/>
            <w:shd w:val="clear" w:color="auto" w:fill="auto"/>
            <w:vAlign w:val="center"/>
          </w:tcPr>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演示</w:t>
            </w:r>
          </w:p>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（9分）</w:t>
            </w:r>
          </w:p>
        </w:tc>
        <w:tc>
          <w:tcPr>
            <w:tcW w:w="589" w:type="dxa"/>
            <w:shd w:val="clear" w:color="auto" w:fill="auto"/>
            <w:vAlign w:val="center"/>
          </w:tcPr>
          <w:p>
            <w:pPr>
              <w:spacing w:line="240" w:lineRule="exact"/>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9</w:t>
            </w:r>
          </w:p>
        </w:tc>
        <w:tc>
          <w:tcPr>
            <w:tcW w:w="7426" w:type="dxa"/>
            <w:shd w:val="clear" w:color="auto" w:fill="auto"/>
            <w:vAlign w:val="center"/>
          </w:tcPr>
          <w:p>
            <w:pPr>
              <w:spacing w:line="240" w:lineRule="exact"/>
              <w:jc w:val="left"/>
              <w:rPr>
                <w:rFonts w:hint="eastAsia" w:ascii="仿宋" w:hAnsi="仿宋" w:eastAsia="仿宋" w:cs="仿宋"/>
                <w:bCs/>
                <w:sz w:val="21"/>
                <w:szCs w:val="21"/>
              </w:rPr>
            </w:pPr>
            <w:r>
              <w:rPr>
                <w:rFonts w:hint="eastAsia" w:ascii="仿宋" w:hAnsi="仿宋" w:eastAsia="仿宋" w:cs="仿宋"/>
                <w:bCs/>
                <w:sz w:val="21"/>
                <w:szCs w:val="21"/>
              </w:rPr>
              <w:t>请自行携带笔记本电脑等相关连接设备进行现场演示，演示时长</w:t>
            </w:r>
            <w:r>
              <w:rPr>
                <w:rFonts w:hint="eastAsia" w:ascii="仿宋" w:hAnsi="仿宋" w:eastAsia="仿宋" w:cs="仿宋"/>
                <w:bCs/>
                <w:sz w:val="21"/>
                <w:szCs w:val="21"/>
                <w:highlight w:val="none"/>
                <w:lang w:val="en-US" w:eastAsia="zh-CN"/>
              </w:rPr>
              <w:t>5-8</w:t>
            </w:r>
            <w:r>
              <w:rPr>
                <w:rFonts w:hint="eastAsia" w:ascii="仿宋" w:hAnsi="仿宋" w:eastAsia="仿宋" w:cs="仿宋"/>
                <w:bCs/>
                <w:sz w:val="21"/>
                <w:szCs w:val="21"/>
              </w:rPr>
              <w:t>分钟。</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（1）校园欺凌软件仿真教学软件（0-3分）；</w:t>
            </w:r>
          </w:p>
          <w:p>
            <w:pPr>
              <w:spacing w:line="240" w:lineRule="exact"/>
              <w:jc w:val="left"/>
              <w:rPr>
                <w:rFonts w:hint="eastAsia" w:ascii="仿宋" w:hAnsi="仿宋" w:eastAsia="仿宋" w:cs="仿宋"/>
                <w:bCs/>
                <w:sz w:val="21"/>
                <w:szCs w:val="21"/>
                <w:lang w:eastAsia="zh-CN"/>
              </w:rPr>
            </w:pPr>
            <w:r>
              <w:rPr>
                <w:rFonts w:hint="eastAsia" w:ascii="仿宋" w:hAnsi="仿宋" w:eastAsia="仿宋" w:cs="仿宋"/>
                <w:bCs/>
                <w:sz w:val="21"/>
                <w:szCs w:val="21"/>
              </w:rPr>
              <w:t>言语欺凌</w:t>
            </w:r>
            <w:r>
              <w:rPr>
                <w:rFonts w:hint="eastAsia" w:ascii="仿宋" w:hAnsi="仿宋" w:eastAsia="仿宋" w:cs="仿宋"/>
                <w:bCs/>
                <w:sz w:val="21"/>
                <w:szCs w:val="21"/>
                <w:lang w:eastAsia="zh-CN"/>
              </w:rPr>
              <w:t>：</w:t>
            </w:r>
            <w:r>
              <w:rPr>
                <w:rFonts w:hint="eastAsia" w:ascii="仿宋" w:hAnsi="仿宋" w:eastAsia="仿宋" w:cs="仿宋"/>
                <w:bCs/>
                <w:sz w:val="21"/>
                <w:szCs w:val="21"/>
              </w:rPr>
              <w:t>谩骂、诋毁、蔑视、嘲笑甚至起绰号等侮辱歧视性语言</w:t>
            </w:r>
            <w:r>
              <w:rPr>
                <w:rFonts w:hint="eastAsia" w:ascii="仿宋" w:hAnsi="仿宋" w:eastAsia="仿宋" w:cs="仿宋"/>
                <w:bCs/>
                <w:sz w:val="21"/>
                <w:szCs w:val="21"/>
                <w:lang w:eastAsia="zh-CN"/>
              </w:rPr>
              <w:t>；</w:t>
            </w:r>
          </w:p>
          <w:p>
            <w:pPr>
              <w:spacing w:line="240" w:lineRule="exact"/>
              <w:jc w:val="left"/>
              <w:rPr>
                <w:rFonts w:hint="eastAsia" w:ascii="仿宋" w:hAnsi="仿宋" w:eastAsia="仿宋" w:cs="仿宋"/>
                <w:bCs/>
                <w:sz w:val="21"/>
                <w:szCs w:val="21"/>
                <w:lang w:eastAsia="zh-CN"/>
              </w:rPr>
            </w:pPr>
            <w:r>
              <w:rPr>
                <w:rFonts w:hint="eastAsia" w:ascii="仿宋" w:hAnsi="仿宋" w:eastAsia="仿宋" w:cs="仿宋"/>
                <w:bCs/>
                <w:sz w:val="21"/>
                <w:szCs w:val="21"/>
              </w:rPr>
              <w:t>肢体欺凌</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包含</w:t>
            </w:r>
            <w:r>
              <w:rPr>
                <w:rFonts w:hint="eastAsia" w:ascii="仿宋" w:hAnsi="仿宋" w:eastAsia="仿宋" w:cs="仿宋"/>
                <w:bCs/>
                <w:sz w:val="21"/>
                <w:szCs w:val="21"/>
              </w:rPr>
              <w:t>推、打、捏、掐、踢、撞、咬、抓、挠、扼喉、吐口水、拽头发等攻击与胁迫行为</w:t>
            </w:r>
            <w:r>
              <w:rPr>
                <w:rFonts w:hint="eastAsia" w:ascii="仿宋" w:hAnsi="仿宋" w:eastAsia="仿宋" w:cs="仿宋"/>
                <w:bCs/>
                <w:sz w:val="21"/>
                <w:szCs w:val="21"/>
                <w:lang w:eastAsia="zh-CN"/>
              </w:rPr>
              <w:t>；</w:t>
            </w:r>
          </w:p>
          <w:p>
            <w:pPr>
              <w:spacing w:line="240" w:lineRule="exact"/>
              <w:jc w:val="left"/>
              <w:rPr>
                <w:rFonts w:hint="eastAsia" w:ascii="仿宋" w:hAnsi="仿宋" w:eastAsia="仿宋" w:cs="仿宋"/>
                <w:bCs/>
                <w:sz w:val="21"/>
                <w:szCs w:val="21"/>
              </w:rPr>
            </w:pPr>
            <w:r>
              <w:rPr>
                <w:rFonts w:hint="eastAsia" w:ascii="仿宋" w:hAnsi="仿宋" w:eastAsia="仿宋" w:cs="仿宋"/>
                <w:bCs/>
                <w:sz w:val="21"/>
                <w:szCs w:val="21"/>
              </w:rPr>
              <w:t>网络欺凌</w:t>
            </w:r>
            <w:r>
              <w:rPr>
                <w:rFonts w:hint="eastAsia" w:ascii="仿宋" w:hAnsi="仿宋" w:eastAsia="仿宋" w:cs="仿宋"/>
                <w:bCs/>
                <w:sz w:val="21"/>
                <w:szCs w:val="21"/>
                <w:lang w:eastAsia="zh-CN"/>
              </w:rPr>
              <w:t>：</w:t>
            </w:r>
            <w:r>
              <w:rPr>
                <w:rFonts w:hint="eastAsia" w:ascii="仿宋" w:hAnsi="仿宋" w:eastAsia="仿宋" w:cs="仿宋"/>
                <w:bCs/>
                <w:sz w:val="21"/>
                <w:szCs w:val="21"/>
              </w:rPr>
              <w:t>借道德讨伐之名，以网络为载体，对网络事件的当事人发表具有攻击性、煽动性、侮辱性的言论，通过非理性的人肉搜索、语言暴力、技术恶搞、甚至谣言等，侮辱、诽谤和攻击他人。</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rPr>
              <w:t>冷暴力</w:t>
            </w:r>
            <w:r>
              <w:rPr>
                <w:rFonts w:hint="eastAsia" w:ascii="仿宋" w:hAnsi="仿宋" w:eastAsia="仿宋" w:cs="仿宋"/>
                <w:bCs/>
                <w:sz w:val="21"/>
                <w:szCs w:val="21"/>
                <w:lang w:eastAsia="zh-CN"/>
              </w:rPr>
              <w:t>：</w:t>
            </w:r>
            <w:r>
              <w:rPr>
                <w:rFonts w:hint="eastAsia" w:ascii="仿宋" w:hAnsi="仿宋" w:eastAsia="仿宋" w:cs="仿宋"/>
                <w:bCs/>
                <w:sz w:val="21"/>
                <w:szCs w:val="21"/>
              </w:rPr>
              <w:t>嘲讽、歧视、放任、孤立、疏远等</w:t>
            </w:r>
            <w:r>
              <w:rPr>
                <w:rFonts w:hint="eastAsia" w:ascii="仿宋" w:hAnsi="仿宋" w:eastAsia="仿宋" w:cs="仿宋"/>
                <w:bCs/>
                <w:sz w:val="21"/>
                <w:szCs w:val="21"/>
                <w:lang w:eastAsia="zh-CN"/>
              </w:rPr>
              <w:t>。</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（2）消防安全软件（0-3分）；</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了解校园火灾应急逃生路线。学会火灾避险，放弃错误逃生线路，选择正确的逃生方法；</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遇到火灾学会选择正确使用灭火器，清理杂乱线路，避免导致火灾；</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实验室用电安全；</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安全知识答题。</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（3）生活安全软件（0-3分）；</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溺水后如何正确自救；</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独自居家遇到陌生敲门如何处理；</w:t>
            </w:r>
          </w:p>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了解食物中毒种类和处理方式；</w:t>
            </w:r>
          </w:p>
          <w:p>
            <w:pPr>
              <w:spacing w:line="240" w:lineRule="exact"/>
              <w:jc w:val="left"/>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厨房安全隐患排查；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431" w:type="dxa"/>
            <w:vAlign w:val="center"/>
          </w:tcPr>
          <w:p>
            <w:pPr>
              <w:spacing w:line="240" w:lineRule="exact"/>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8</w:t>
            </w:r>
          </w:p>
        </w:tc>
        <w:tc>
          <w:tcPr>
            <w:tcW w:w="1173" w:type="dxa"/>
            <w:vAlign w:val="center"/>
          </w:tcPr>
          <w:p>
            <w:pPr>
              <w:spacing w:line="240" w:lineRule="exact"/>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售后服务</w:t>
            </w:r>
            <w:r>
              <w:rPr>
                <w:rFonts w:hint="eastAsia" w:ascii="仿宋" w:hAnsi="仿宋" w:eastAsia="仿宋" w:cs="仿宋"/>
                <w:bCs/>
                <w:sz w:val="21"/>
                <w:szCs w:val="21"/>
                <w:lang w:val="en-US" w:eastAsia="zh-CN"/>
              </w:rPr>
              <w:t>方案</w:t>
            </w:r>
          </w:p>
          <w:p>
            <w:pPr>
              <w:spacing w:line="240" w:lineRule="exact"/>
              <w:jc w:val="center"/>
              <w:rPr>
                <w:rFonts w:hint="eastAsia"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eastAsia="zh-CN"/>
              </w:rPr>
              <w:t>5</w:t>
            </w:r>
            <w:r>
              <w:rPr>
                <w:rFonts w:hint="eastAsia" w:ascii="仿宋" w:hAnsi="仿宋" w:eastAsia="仿宋" w:cs="仿宋"/>
                <w:bCs/>
                <w:sz w:val="21"/>
                <w:szCs w:val="21"/>
              </w:rPr>
              <w:t>分）</w:t>
            </w:r>
          </w:p>
        </w:tc>
        <w:tc>
          <w:tcPr>
            <w:tcW w:w="589" w:type="dxa"/>
            <w:vAlign w:val="center"/>
          </w:tcPr>
          <w:p>
            <w:pPr>
              <w:spacing w:line="24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5</w:t>
            </w:r>
          </w:p>
        </w:tc>
        <w:tc>
          <w:tcPr>
            <w:tcW w:w="7426" w:type="dxa"/>
            <w:vAlign w:val="top"/>
          </w:tcPr>
          <w:p>
            <w:pPr>
              <w:spacing w:line="240" w:lineRule="exact"/>
              <w:jc w:val="left"/>
              <w:rPr>
                <w:rFonts w:hint="eastAsia" w:ascii="仿宋" w:hAnsi="仿宋" w:eastAsia="仿宋" w:cs="仿宋"/>
                <w:bCs/>
                <w:sz w:val="21"/>
                <w:szCs w:val="21"/>
              </w:rPr>
            </w:pPr>
            <w:r>
              <w:rPr>
                <w:rFonts w:hint="eastAsia" w:ascii="仿宋" w:hAnsi="仿宋" w:eastAsia="仿宋" w:cs="仿宋"/>
                <w:bCs/>
                <w:sz w:val="21"/>
                <w:szCs w:val="21"/>
              </w:rPr>
              <w:t>售后服务：投标人明确提供不同类型设备发生故障后的应急补救措施、维修服务响应时限、备品配件保障措施等售后服务，售后服务承诺详细具体切实可行，计0-</w:t>
            </w:r>
            <w:r>
              <w:rPr>
                <w:rFonts w:hint="eastAsia" w:ascii="仿宋" w:hAnsi="仿宋" w:eastAsia="仿宋" w:cs="仿宋"/>
                <w:bCs/>
                <w:sz w:val="21"/>
                <w:szCs w:val="21"/>
                <w:lang w:val="en-US" w:eastAsia="zh-CN"/>
              </w:rPr>
              <w:t>5</w:t>
            </w:r>
            <w:r>
              <w:rPr>
                <w:rFonts w:hint="eastAsia" w:ascii="仿宋" w:hAnsi="仿宋" w:eastAsia="仿宋" w:cs="仿宋"/>
                <w:bCs/>
                <w:sz w:val="21"/>
                <w:szCs w:val="21"/>
              </w:rPr>
              <w:t>分，未提供不得分。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9619" w:type="dxa"/>
            <w:gridSpan w:val="4"/>
            <w:vAlign w:val="center"/>
          </w:tcPr>
          <w:p>
            <w:pPr>
              <w:spacing w:line="240" w:lineRule="exact"/>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注：1.以上各项评分内容，如投标人未提供相对应内容，该项予以零分计算。</w:t>
            </w:r>
          </w:p>
          <w:p>
            <w:pPr>
              <w:spacing w:line="240" w:lineRule="exact"/>
              <w:jc w:val="left"/>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2.招标文件中所有要求提供的证明文件，开标现场均需提供原件以供备查，如现场无法在合理时间内提供原件备查视为该项资质不满足招标要求，供应商应承担相应后果。</w:t>
            </w:r>
          </w:p>
        </w:tc>
      </w:tr>
    </w:tbl>
    <w:p>
      <w:pPr>
        <w:rPr>
          <w:rFonts w:hint="eastAsia"/>
        </w:rPr>
      </w:pP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备注：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若出现综合得分并列时，比较技术得分，此分项得分高者排序在前；若技术得分仍相同，比较价格得分，此分项得分高者排序在前；若投标报价得分仍相同，则由评标委员会无记名投票，得票高者排序在前；</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评委打分超过得分界限或未按本方法赋分时，该评委的打分按废票处理；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各种计算采用插入法，数字均保留两位小数，第三位“四舍五入”；</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4）投标文件对评标内容无响应的，该项评分按照0分计算；</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5）本项目以人民币为计量币种进行评标。</w:t>
      </w:r>
    </w:p>
    <w:p>
      <w:pPr>
        <w:pStyle w:val="15"/>
        <w:tabs>
          <w:tab w:val="left" w:pos="600"/>
        </w:tabs>
        <w:snapToGrid w:val="0"/>
        <w:spacing w:after="0" w:line="360" w:lineRule="auto"/>
        <w:ind w:left="0" w:leftChars="0" w:firstLine="0" w:firstLineChars="0"/>
        <w:jc w:val="left"/>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rPr>
        <w:t>3.3、无效投标文件的认定</w:t>
      </w:r>
    </w:p>
    <w:p>
      <w:pPr>
        <w:pStyle w:val="15"/>
        <w:tabs>
          <w:tab w:val="left" w:pos="600"/>
        </w:tabs>
        <w:snapToGrid w:val="0"/>
        <w:spacing w:after="0" w:line="360" w:lineRule="auto"/>
        <w:ind w:left="0" w:leftChars="0" w:firstLine="482" w:firstLineChars="200"/>
        <w:jc w:val="left"/>
        <w:rPr>
          <w:rFonts w:hint="eastAsia" w:ascii="仿宋" w:hAnsi="仿宋" w:eastAsia="仿宋" w:cs="仿宋"/>
          <w:color w:val="auto"/>
          <w:kern w:val="2"/>
          <w:sz w:val="24"/>
          <w:szCs w:val="24"/>
          <w:lang w:val="zh-CN"/>
        </w:rPr>
      </w:pPr>
      <w:r>
        <w:rPr>
          <w:rFonts w:hint="eastAsia" w:ascii="仿宋" w:hAnsi="仿宋" w:eastAsia="仿宋" w:cs="仿宋"/>
          <w:color w:val="auto"/>
          <w:kern w:val="1"/>
          <w:sz w:val="24"/>
          <w:szCs w:val="24"/>
        </w:rPr>
        <w:t>3.</w:t>
      </w: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lang w:val="zh-CN"/>
        </w:rPr>
        <w:t>.1</w:t>
      </w:r>
      <w:r>
        <w:rPr>
          <w:rFonts w:hint="eastAsia" w:ascii="仿宋" w:hAnsi="仿宋" w:eastAsia="仿宋" w:cs="仿宋"/>
          <w:color w:val="auto"/>
          <w:kern w:val="2"/>
          <w:sz w:val="24"/>
          <w:szCs w:val="24"/>
          <w:lang w:val="en-US" w:eastAsia="zh-CN"/>
        </w:rPr>
        <w:t xml:space="preserve"> </w:t>
      </w:r>
      <w:r>
        <w:rPr>
          <w:rFonts w:hint="eastAsia" w:ascii="仿宋" w:hAnsi="仿宋" w:eastAsia="仿宋" w:cs="仿宋"/>
          <w:color w:val="auto"/>
          <w:kern w:val="2"/>
          <w:sz w:val="24"/>
          <w:szCs w:val="24"/>
          <w:lang w:val="zh-CN"/>
        </w:rPr>
        <w:t>在评审过程中，出现下列情形之一的，应作为无效投标文件：</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投标供应商未经过正常渠道购买招标文件的；</w:t>
      </w:r>
    </w:p>
    <w:p>
      <w:pPr>
        <w:pStyle w:val="32"/>
        <w:snapToGrid w:val="0"/>
        <w:spacing w:after="0" w:line="360" w:lineRule="auto"/>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投标供应商名称与登记领取招标文件单位的名称不一致的；</w:t>
      </w:r>
    </w:p>
    <w:p>
      <w:pPr>
        <w:pStyle w:val="32"/>
        <w:snapToGrid w:val="0"/>
        <w:spacing w:after="0" w:line="360" w:lineRule="auto"/>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未按照招标文件规定交纳投标保证金的；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未按照招标文件规定和要求签署、盖章的;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不具备招标文件中规定的资格条件和要求的;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未按照招标文件规定的格式要求编制的；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未按要求提交投标文件份数和内容的；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w:t>
      </w:r>
      <w:r>
        <w:rPr>
          <w:rFonts w:hint="eastAsia" w:ascii="仿宋" w:hAnsi="仿宋" w:eastAsia="仿宋" w:cs="仿宋"/>
          <w:sz w:val="24"/>
          <w:szCs w:val="24"/>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进口货物（产品）未办理正常进口手续的（如有）；</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w:t>
      </w:r>
      <w:r>
        <w:rPr>
          <w:rFonts w:hint="eastAsia" w:ascii="仿宋" w:hAnsi="仿宋" w:eastAsia="仿宋" w:cs="仿宋"/>
          <w:sz w:val="24"/>
          <w:szCs w:val="24"/>
        </w:rPr>
        <w:t>9</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提供响应内容出现漏项或数量与要求不符的；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.1.1</w:t>
      </w:r>
      <w:r>
        <w:rPr>
          <w:rFonts w:hint="eastAsia" w:ascii="仿宋" w:hAnsi="仿宋" w:eastAsia="仿宋" w:cs="仿宋"/>
          <w:sz w:val="24"/>
          <w:szCs w:val="24"/>
        </w:rPr>
        <w:t>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响应的有效期、</w:t>
      </w:r>
      <w:r>
        <w:rPr>
          <w:rFonts w:hint="eastAsia" w:ascii="仿宋" w:hAnsi="仿宋" w:eastAsia="仿宋" w:cs="仿宋"/>
          <w:sz w:val="24"/>
          <w:szCs w:val="24"/>
          <w:lang w:val="en-US" w:eastAsia="zh-CN"/>
        </w:rPr>
        <w:t>质保期</w:t>
      </w:r>
      <w:r>
        <w:rPr>
          <w:rFonts w:hint="eastAsia" w:ascii="仿宋" w:hAnsi="仿宋" w:eastAsia="仿宋" w:cs="仿宋"/>
          <w:sz w:val="24"/>
          <w:szCs w:val="24"/>
          <w:lang w:val="zh-CN"/>
        </w:rPr>
        <w:t>等商务条款不能满足招标要求的；</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.1.1</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投标供应商的报价超过了采购人的预算价</w:t>
      </w:r>
      <w:r>
        <w:rPr>
          <w:rFonts w:hint="eastAsia" w:ascii="仿宋" w:hAnsi="仿宋" w:eastAsia="仿宋" w:cs="仿宋"/>
          <w:sz w:val="24"/>
          <w:szCs w:val="24"/>
        </w:rPr>
        <w:t>及最高限价</w:t>
      </w:r>
      <w:r>
        <w:rPr>
          <w:rFonts w:hint="eastAsia" w:ascii="仿宋" w:hAnsi="仿宋" w:eastAsia="仿宋" w:cs="仿宋"/>
          <w:sz w:val="24"/>
          <w:szCs w:val="24"/>
          <w:lang w:val="zh-CN"/>
        </w:rPr>
        <w:t>；</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kern w:val="1"/>
          <w:sz w:val="24"/>
          <w:szCs w:val="24"/>
        </w:rPr>
        <w:t>3.</w:t>
      </w:r>
      <w:r>
        <w:rPr>
          <w:rFonts w:hint="eastAsia" w:ascii="仿宋" w:hAnsi="仿宋" w:eastAsia="仿宋" w:cs="仿宋"/>
          <w:sz w:val="24"/>
          <w:szCs w:val="24"/>
        </w:rPr>
        <w:t>3</w:t>
      </w:r>
      <w:r>
        <w:rPr>
          <w:rFonts w:hint="eastAsia" w:ascii="仿宋" w:hAnsi="仿宋" w:eastAsia="仿宋" w:cs="仿宋"/>
          <w:sz w:val="24"/>
          <w:szCs w:val="24"/>
          <w:lang w:val="zh-CN"/>
        </w:rPr>
        <w:t>.1.1</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投标文件中附有采购人不能接受的条件；</w:t>
      </w:r>
    </w:p>
    <w:p>
      <w:pPr>
        <w:pStyle w:val="15"/>
        <w:tabs>
          <w:tab w:val="left" w:pos="600"/>
        </w:tabs>
        <w:snapToGrid w:val="0"/>
        <w:spacing w:after="0" w:line="360" w:lineRule="auto"/>
        <w:rPr>
          <w:rFonts w:hint="eastAsia" w:ascii="仿宋" w:hAnsi="仿宋" w:eastAsia="仿宋" w:cs="仿宋"/>
          <w:b w:val="0"/>
          <w:color w:val="auto"/>
          <w:kern w:val="2"/>
          <w:sz w:val="24"/>
          <w:szCs w:val="24"/>
          <w:lang w:val="zh-CN"/>
        </w:rPr>
      </w:pPr>
      <w:r>
        <w:rPr>
          <w:rFonts w:hint="eastAsia" w:ascii="仿宋" w:hAnsi="仿宋" w:eastAsia="仿宋" w:cs="仿宋"/>
          <w:b w:val="0"/>
          <w:color w:val="auto"/>
          <w:kern w:val="1"/>
          <w:sz w:val="24"/>
          <w:szCs w:val="24"/>
        </w:rPr>
        <w:t>3.</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zh-CN"/>
        </w:rPr>
        <w:t>.1.1</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en-US" w:eastAsia="zh-CN"/>
        </w:rPr>
        <w:t xml:space="preserve"> </w:t>
      </w:r>
      <w:r>
        <w:rPr>
          <w:rFonts w:hint="eastAsia" w:ascii="仿宋" w:hAnsi="仿宋" w:eastAsia="仿宋" w:cs="仿宋"/>
          <w:b w:val="0"/>
          <w:color w:val="auto"/>
          <w:kern w:val="2"/>
          <w:sz w:val="24"/>
          <w:szCs w:val="24"/>
          <w:lang w:val="zh-CN"/>
        </w:rPr>
        <w:t>未载明或者载明的采购项目履约时间、方式、数量、技术参数、质量标准明及其他政府采购合同实质性内容与招标文件要求不一致；</w:t>
      </w:r>
    </w:p>
    <w:p>
      <w:pPr>
        <w:pStyle w:val="15"/>
        <w:tabs>
          <w:tab w:val="left" w:pos="600"/>
        </w:tabs>
        <w:snapToGrid w:val="0"/>
        <w:spacing w:after="0" w:line="360" w:lineRule="auto"/>
        <w:rPr>
          <w:rFonts w:hint="eastAsia" w:ascii="仿宋" w:hAnsi="仿宋" w:eastAsia="仿宋" w:cs="仿宋"/>
          <w:b w:val="0"/>
          <w:color w:val="auto"/>
          <w:kern w:val="2"/>
          <w:sz w:val="24"/>
          <w:szCs w:val="24"/>
          <w:lang w:val="zh-CN"/>
        </w:rPr>
      </w:pPr>
      <w:r>
        <w:rPr>
          <w:rFonts w:hint="eastAsia" w:ascii="仿宋" w:hAnsi="仿宋" w:eastAsia="仿宋" w:cs="仿宋"/>
          <w:b w:val="0"/>
          <w:color w:val="auto"/>
          <w:kern w:val="1"/>
          <w:sz w:val="24"/>
          <w:szCs w:val="24"/>
        </w:rPr>
        <w:t>3.</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zh-CN"/>
        </w:rPr>
        <w:t>.1.1</w:t>
      </w:r>
      <w:r>
        <w:rPr>
          <w:rFonts w:hint="eastAsia" w:ascii="仿宋" w:hAnsi="仿宋" w:eastAsia="仿宋" w:cs="仿宋"/>
          <w:b w:val="0"/>
          <w:color w:val="auto"/>
          <w:kern w:val="2"/>
          <w:sz w:val="24"/>
          <w:szCs w:val="24"/>
        </w:rPr>
        <w:t>4</w:t>
      </w:r>
      <w:r>
        <w:rPr>
          <w:rFonts w:hint="eastAsia" w:ascii="仿宋" w:hAnsi="仿宋" w:eastAsia="仿宋" w:cs="仿宋"/>
          <w:b w:val="0"/>
          <w:color w:val="auto"/>
          <w:kern w:val="2"/>
          <w:sz w:val="24"/>
          <w:szCs w:val="24"/>
          <w:lang w:val="en-US" w:eastAsia="zh-CN"/>
        </w:rPr>
        <w:t xml:space="preserve"> </w:t>
      </w:r>
      <w:r>
        <w:rPr>
          <w:rFonts w:hint="eastAsia" w:ascii="仿宋" w:hAnsi="仿宋" w:eastAsia="仿宋" w:cs="仿宋"/>
          <w:b w:val="0"/>
          <w:color w:val="auto"/>
          <w:kern w:val="2"/>
          <w:sz w:val="24"/>
          <w:szCs w:val="24"/>
          <w:lang w:val="zh-CN"/>
        </w:rPr>
        <w:t>提供货物（产品）不符合强制执行的国家标准；</w:t>
      </w:r>
    </w:p>
    <w:p>
      <w:pPr>
        <w:pStyle w:val="15"/>
        <w:tabs>
          <w:tab w:val="left" w:pos="600"/>
        </w:tabs>
        <w:snapToGrid w:val="0"/>
        <w:spacing w:after="0" w:line="360" w:lineRule="auto"/>
        <w:rPr>
          <w:rFonts w:hint="eastAsia" w:ascii="仿宋" w:hAnsi="仿宋" w:eastAsia="仿宋" w:cs="仿宋"/>
          <w:b w:val="0"/>
          <w:color w:val="auto"/>
          <w:kern w:val="2"/>
          <w:sz w:val="24"/>
          <w:szCs w:val="24"/>
          <w:lang w:val="zh-CN"/>
        </w:rPr>
      </w:pPr>
      <w:r>
        <w:rPr>
          <w:rFonts w:hint="eastAsia" w:ascii="仿宋" w:hAnsi="仿宋" w:eastAsia="仿宋" w:cs="仿宋"/>
          <w:b w:val="0"/>
          <w:color w:val="auto"/>
          <w:kern w:val="1"/>
          <w:sz w:val="24"/>
          <w:szCs w:val="24"/>
        </w:rPr>
        <w:t>3.</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zh-CN"/>
        </w:rPr>
        <w:t>.1.1</w:t>
      </w:r>
      <w:r>
        <w:rPr>
          <w:rFonts w:hint="eastAsia" w:ascii="仿宋" w:hAnsi="仿宋" w:eastAsia="仿宋" w:cs="仿宋"/>
          <w:b w:val="0"/>
          <w:color w:val="auto"/>
          <w:kern w:val="2"/>
          <w:sz w:val="24"/>
          <w:szCs w:val="24"/>
        </w:rPr>
        <w:t>5</w:t>
      </w:r>
      <w:r>
        <w:rPr>
          <w:rFonts w:hint="eastAsia" w:ascii="仿宋" w:hAnsi="仿宋" w:eastAsia="仿宋" w:cs="仿宋"/>
          <w:b w:val="0"/>
          <w:color w:val="auto"/>
          <w:kern w:val="2"/>
          <w:sz w:val="24"/>
          <w:szCs w:val="24"/>
          <w:lang w:val="en-US" w:eastAsia="zh-CN"/>
        </w:rPr>
        <w:t xml:space="preserve"> </w:t>
      </w:r>
      <w:r>
        <w:rPr>
          <w:rFonts w:hint="eastAsia" w:ascii="仿宋" w:hAnsi="仿宋" w:eastAsia="仿宋" w:cs="仿宋"/>
          <w:b w:val="0"/>
          <w:color w:val="auto"/>
          <w:kern w:val="2"/>
          <w:sz w:val="24"/>
          <w:szCs w:val="24"/>
          <w:lang w:val="zh-CN"/>
        </w:rPr>
        <w:t>投标文件的关键内容字迹模糊和无法辨认的；</w:t>
      </w:r>
    </w:p>
    <w:p>
      <w:pPr>
        <w:pStyle w:val="15"/>
        <w:tabs>
          <w:tab w:val="left" w:pos="600"/>
        </w:tabs>
        <w:snapToGrid w:val="0"/>
        <w:spacing w:after="0" w:line="360" w:lineRule="auto"/>
        <w:rPr>
          <w:rFonts w:hint="eastAsia" w:ascii="仿宋" w:hAnsi="仿宋" w:eastAsia="仿宋" w:cs="仿宋"/>
          <w:b w:val="0"/>
          <w:color w:val="auto"/>
          <w:kern w:val="2"/>
          <w:sz w:val="24"/>
          <w:szCs w:val="24"/>
          <w:lang w:val="zh-CN"/>
        </w:rPr>
      </w:pPr>
      <w:r>
        <w:rPr>
          <w:rFonts w:hint="eastAsia" w:ascii="仿宋" w:hAnsi="仿宋" w:eastAsia="仿宋" w:cs="仿宋"/>
          <w:b w:val="0"/>
          <w:color w:val="auto"/>
          <w:kern w:val="1"/>
          <w:sz w:val="24"/>
          <w:szCs w:val="24"/>
        </w:rPr>
        <w:t>3.</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zh-CN"/>
        </w:rPr>
        <w:t>.1.1</w:t>
      </w:r>
      <w:r>
        <w:rPr>
          <w:rFonts w:hint="eastAsia" w:ascii="仿宋" w:hAnsi="仿宋" w:eastAsia="仿宋" w:cs="仿宋"/>
          <w:b w:val="0"/>
          <w:color w:val="auto"/>
          <w:kern w:val="2"/>
          <w:sz w:val="24"/>
          <w:szCs w:val="24"/>
        </w:rPr>
        <w:t>6</w:t>
      </w:r>
      <w:r>
        <w:rPr>
          <w:rFonts w:hint="eastAsia" w:ascii="仿宋" w:hAnsi="仿宋" w:eastAsia="仿宋" w:cs="仿宋"/>
          <w:b w:val="0"/>
          <w:color w:val="auto"/>
          <w:kern w:val="2"/>
          <w:sz w:val="24"/>
          <w:szCs w:val="24"/>
          <w:lang w:val="en-US" w:eastAsia="zh-CN"/>
        </w:rPr>
        <w:t xml:space="preserve"> </w:t>
      </w:r>
      <w:r>
        <w:rPr>
          <w:rFonts w:hint="eastAsia" w:ascii="仿宋" w:hAnsi="仿宋" w:eastAsia="仿宋" w:cs="仿宋"/>
          <w:b w:val="0"/>
          <w:color w:val="auto"/>
          <w:kern w:val="2"/>
          <w:sz w:val="24"/>
          <w:szCs w:val="24"/>
          <w:lang w:val="zh-CN"/>
        </w:rPr>
        <w:t>投标文件不符合招标文件规定的其他情形的；</w:t>
      </w:r>
    </w:p>
    <w:p>
      <w:pPr>
        <w:pStyle w:val="15"/>
        <w:tabs>
          <w:tab w:val="left" w:pos="600"/>
          <w:tab w:val="left" w:pos="7060"/>
        </w:tabs>
        <w:snapToGrid w:val="0"/>
        <w:spacing w:after="0" w:line="360" w:lineRule="auto"/>
        <w:rPr>
          <w:rFonts w:hint="eastAsia" w:ascii="仿宋" w:hAnsi="仿宋" w:eastAsia="仿宋" w:cs="仿宋"/>
          <w:b w:val="0"/>
          <w:color w:val="auto"/>
          <w:kern w:val="2"/>
          <w:sz w:val="24"/>
          <w:szCs w:val="24"/>
          <w:lang w:val="zh-CN"/>
        </w:rPr>
      </w:pPr>
      <w:r>
        <w:rPr>
          <w:rFonts w:hint="eastAsia" w:ascii="仿宋" w:hAnsi="仿宋" w:eastAsia="仿宋" w:cs="仿宋"/>
          <w:b w:val="0"/>
          <w:color w:val="auto"/>
          <w:kern w:val="1"/>
          <w:sz w:val="24"/>
          <w:szCs w:val="24"/>
        </w:rPr>
        <w:t>3.</w:t>
      </w:r>
      <w:r>
        <w:rPr>
          <w:rFonts w:hint="eastAsia" w:ascii="仿宋" w:hAnsi="仿宋" w:eastAsia="仿宋" w:cs="仿宋"/>
          <w:b w:val="0"/>
          <w:color w:val="auto"/>
          <w:kern w:val="2"/>
          <w:sz w:val="24"/>
          <w:szCs w:val="24"/>
        </w:rPr>
        <w:t>3</w:t>
      </w:r>
      <w:r>
        <w:rPr>
          <w:rFonts w:hint="eastAsia" w:ascii="仿宋" w:hAnsi="仿宋" w:eastAsia="仿宋" w:cs="仿宋"/>
          <w:b w:val="0"/>
          <w:color w:val="auto"/>
          <w:kern w:val="2"/>
          <w:sz w:val="24"/>
          <w:szCs w:val="24"/>
          <w:lang w:val="zh-CN"/>
        </w:rPr>
        <w:t>.1.1</w:t>
      </w:r>
      <w:r>
        <w:rPr>
          <w:rFonts w:hint="eastAsia" w:ascii="仿宋" w:hAnsi="仿宋" w:eastAsia="仿宋" w:cs="仿宋"/>
          <w:b w:val="0"/>
          <w:color w:val="auto"/>
          <w:kern w:val="2"/>
          <w:sz w:val="24"/>
          <w:szCs w:val="24"/>
        </w:rPr>
        <w:t>7</w:t>
      </w:r>
      <w:r>
        <w:rPr>
          <w:rFonts w:hint="eastAsia" w:ascii="仿宋" w:hAnsi="仿宋" w:eastAsia="仿宋" w:cs="仿宋"/>
          <w:b w:val="0"/>
          <w:color w:val="auto"/>
          <w:kern w:val="2"/>
          <w:sz w:val="24"/>
          <w:szCs w:val="24"/>
          <w:lang w:val="en-US" w:eastAsia="zh-CN"/>
        </w:rPr>
        <w:t xml:space="preserve"> </w:t>
      </w:r>
      <w:r>
        <w:rPr>
          <w:rFonts w:hint="eastAsia" w:ascii="仿宋" w:hAnsi="仿宋" w:eastAsia="仿宋" w:cs="仿宋"/>
          <w:b w:val="0"/>
          <w:color w:val="auto"/>
          <w:kern w:val="2"/>
          <w:sz w:val="24"/>
          <w:szCs w:val="24"/>
          <w:lang w:val="zh-CN"/>
        </w:rPr>
        <w:t>投标文件不符合法律法规要求的。</w:t>
      </w:r>
      <w:r>
        <w:rPr>
          <w:rFonts w:hint="eastAsia" w:ascii="仿宋" w:hAnsi="仿宋" w:eastAsia="仿宋" w:cs="仿宋"/>
          <w:b w:val="0"/>
          <w:color w:val="auto"/>
          <w:kern w:val="2"/>
          <w:sz w:val="24"/>
          <w:szCs w:val="24"/>
          <w:lang w:val="zh-CN"/>
        </w:rPr>
        <w:tab/>
      </w:r>
    </w:p>
    <w:p>
      <w:pPr>
        <w:widowControl/>
        <w:autoSpaceDE w:val="0"/>
        <w:autoSpaceDN w:val="0"/>
        <w:snapToGrid w:val="0"/>
        <w:spacing w:beforeLines="50" w:afterLines="50" w:line="360" w:lineRule="auto"/>
        <w:ind w:right="51"/>
        <w:textAlignment w:val="bottom"/>
        <w:rPr>
          <w:rFonts w:hint="eastAsia" w:ascii="仿宋" w:hAnsi="仿宋" w:eastAsia="仿宋" w:cs="仿宋"/>
          <w:b/>
          <w:sz w:val="24"/>
          <w:szCs w:val="24"/>
        </w:rPr>
      </w:pPr>
      <w:bookmarkStart w:id="277" w:name="_Toc455956649"/>
      <w:r>
        <w:rPr>
          <w:rFonts w:hint="eastAsia" w:ascii="仿宋" w:hAnsi="仿宋" w:eastAsia="仿宋" w:cs="仿宋"/>
          <w:b/>
          <w:sz w:val="24"/>
          <w:szCs w:val="24"/>
        </w:rPr>
        <w:t>3.4、特殊情况的处理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投标文件中如果出现前后不一致的，按照下列规定修正：</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投标文件中的大写金额与小写金额不一致的，以大写金额为准；</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投标文件中的总报价与按单价计算的汇总报价不一致的，以单价计算的汇总报价为准；</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投标文件中的报价有明显小数点错误的，以总报价为准，并修改报价；</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投标文件中图表与文字表述不一致的，以文字表述为准；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投标文件正本与副本不一致的，以正本为准；</w:t>
      </w:r>
    </w:p>
    <w:p>
      <w:pPr>
        <w:pStyle w:val="13"/>
        <w:snapToGrid w:val="0"/>
        <w:spacing w:line="360" w:lineRule="auto"/>
        <w:ind w:firstLineChars="200"/>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对不同文字文本投标文件的解释发生异议的，以中文文本为准。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.1.7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按上述修正错误的方法调整的报价应对投标供应商具有约束力。如果投标供应商不接受修正后的价格，投标文件按无效处理。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投标文件中，若某项内容或产品为零报价、无报价，经评标委员会评审后，报价得分为零，不参与投标报价分值的计算。</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评审过程中，若出现本评审办法以外的特殊情况时，将暂停评审，待评标委员会商榷后，再进行评定。</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评审结果汇总完成后，除下列情形外，任何人不得修改评审结果：</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.4.1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分值汇总计算错误的；</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分项评分超出评分标准范围的；</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评标委员会对客观评审因素评分不一致的；</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.4.4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经评标委员会认定评分畸高、畸低的。</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中标结果的，书面报采购人本级财政部门认定。</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.6 排名第一的中标候选人，主动放弃中标或因不可抗力不能履行合同、或被查实存在影响中标结果的违法行为等情形，已不再符合中标条件的，采购人可以按照评标委员会提出的中标候选人名单排序依次确定第二中标候选人为中标供应商 ，也可以根据实际情况需要，依法重新组织采购活动。</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相同品牌的处理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w:t>
      </w:r>
      <w:r>
        <w:rPr>
          <w:rFonts w:hint="eastAsia" w:ascii="仿宋" w:hAnsi="仿宋" w:eastAsia="仿宋" w:cs="仿宋"/>
          <w:sz w:val="24"/>
          <w:szCs w:val="24"/>
          <w:lang w:val="zh-CN"/>
        </w:rPr>
        <w:t>.</w:t>
      </w:r>
      <w:r>
        <w:rPr>
          <w:rFonts w:hint="eastAsia" w:ascii="仿宋" w:hAnsi="仿宋" w:eastAsia="仿宋" w:cs="仿宋"/>
          <w:sz w:val="24"/>
          <w:szCs w:val="24"/>
        </w:rPr>
        <w:t>7.</w:t>
      </w:r>
      <w:r>
        <w:rPr>
          <w:rFonts w:hint="eastAsia" w:ascii="仿宋" w:hAnsi="仿宋" w:eastAsia="仿宋" w:cs="仿宋"/>
          <w:sz w:val="24"/>
          <w:szCs w:val="24"/>
          <w:lang w:val="zh-CN"/>
        </w:rPr>
        <w:t>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3.4.7.</w:t>
      </w:r>
      <w:r>
        <w:rPr>
          <w:rFonts w:hint="eastAsia" w:ascii="仿宋" w:hAnsi="仿宋" w:eastAsia="仿宋" w:cs="仿宋"/>
          <w:sz w:val="24"/>
          <w:szCs w:val="24"/>
          <w:lang w:val="zh-CN"/>
        </w:rPr>
        <w:t>2 非单一产品采购项目中，多家投标人提供的核心产品品牌相同的，视为提供相同品牌产品。采购人根据采购项目技术构成、产品价格比重等合理确定核心产品。核心产品的名称见第四章。</w:t>
      </w:r>
    </w:p>
    <w:p>
      <w:pPr>
        <w:widowControl/>
        <w:autoSpaceDE w:val="0"/>
        <w:autoSpaceDN w:val="0"/>
        <w:snapToGrid w:val="0"/>
        <w:spacing w:line="360" w:lineRule="auto"/>
        <w:ind w:right="53"/>
        <w:textAlignment w:val="bottom"/>
        <w:rPr>
          <w:rFonts w:hint="eastAsia" w:ascii="黑体" w:hAnsi="黑体" w:eastAsia="黑体" w:cs="黑体"/>
          <w:b/>
          <w:sz w:val="24"/>
          <w:szCs w:val="24"/>
        </w:rPr>
      </w:pPr>
      <w:r>
        <w:rPr>
          <w:rFonts w:hint="eastAsia" w:ascii="黑体" w:hAnsi="黑体" w:eastAsia="黑体" w:cs="黑体"/>
          <w:b/>
          <w:sz w:val="24"/>
          <w:szCs w:val="24"/>
        </w:rPr>
        <w:t>四、中标结果</w:t>
      </w:r>
      <w:bookmarkEnd w:id="277"/>
    </w:p>
    <w:p>
      <w:pPr>
        <w:widowControl/>
        <w:snapToGrid w:val="0"/>
        <w:spacing w:beforeLines="50"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4.1</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中标原则</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lang w:val="zh-CN"/>
        </w:rPr>
        <w:t>采购人从评审报告中推荐的中标候选投标供应商中，按照排序由高到低的原则确定中标供应商 。</w:t>
      </w:r>
    </w:p>
    <w:p>
      <w:pPr>
        <w:widowControl/>
        <w:snapToGrid w:val="0"/>
        <w:spacing w:beforeLines="50" w:afterLines="50" w:line="360" w:lineRule="auto"/>
        <w:ind w:firstLine="482" w:firstLineChars="200"/>
        <w:jc w:val="left"/>
        <w:rPr>
          <w:rFonts w:hint="eastAsia" w:ascii="仿宋" w:hAnsi="仿宋" w:eastAsia="仿宋" w:cs="仿宋"/>
          <w:b/>
          <w:sz w:val="24"/>
          <w:szCs w:val="24"/>
        </w:rPr>
      </w:pPr>
      <w:bookmarkStart w:id="278" w:name="_Toc183582238"/>
      <w:bookmarkStart w:id="279" w:name="_Toc217446063"/>
      <w:bookmarkStart w:id="280" w:name="_Toc183682375"/>
      <w:r>
        <w:rPr>
          <w:rFonts w:hint="eastAsia" w:ascii="仿宋" w:hAnsi="仿宋" w:eastAsia="仿宋" w:cs="仿宋"/>
          <w:b/>
          <w:sz w:val="24"/>
          <w:szCs w:val="24"/>
        </w:rPr>
        <w:t>4.2</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确定中标候选人</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4.2</w:t>
      </w:r>
      <w:r>
        <w:rPr>
          <w:rFonts w:hint="eastAsia" w:ascii="仿宋" w:hAnsi="仿宋" w:eastAsia="仿宋" w:cs="仿宋"/>
          <w:sz w:val="24"/>
          <w:szCs w:val="24"/>
          <w:lang w:val="zh-CN"/>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评标委员会将评审情况写出书面报告，至少推荐3名以上中标候选人，符合本章第2.2.8条款规定情形的可以推荐2名中标候选人 ，并按照综合得分高低标明排列顺序，综合得分相同的，按投标报价由低到高顺序排列；得分且投标报价相同的，按技术指标优劣顺序排列，以上全部相同的，由评标委员会投票决定。</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4.2</w:t>
      </w:r>
      <w:r>
        <w:rPr>
          <w:rFonts w:hint="eastAsia" w:ascii="仿宋" w:hAnsi="仿宋" w:eastAsia="仿宋" w:cs="仿宋"/>
          <w:sz w:val="24"/>
          <w:szCs w:val="24"/>
          <w:lang w:val="zh-CN"/>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采购代理机构应当在评审结束后2个工作日内将评审报告送采购人确认。</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4.2</w:t>
      </w:r>
      <w:r>
        <w:rPr>
          <w:rFonts w:hint="eastAsia" w:ascii="仿宋" w:hAnsi="仿宋" w:eastAsia="仿宋" w:cs="仿宋"/>
          <w:sz w:val="24"/>
          <w:szCs w:val="24"/>
          <w:lang w:val="zh-CN"/>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采购人在收到评审报告后5个工作日内，按照评审报告推荐的中标候选人顺序和有关规定确定中标供应商。</w:t>
      </w:r>
    </w:p>
    <w:p>
      <w:pPr>
        <w:widowControl/>
        <w:autoSpaceDE w:val="0"/>
        <w:autoSpaceDN w:val="0"/>
        <w:snapToGrid w:val="0"/>
        <w:spacing w:line="360" w:lineRule="auto"/>
        <w:ind w:right="53" w:firstLine="480" w:firstLineChars="200"/>
        <w:textAlignment w:val="bottom"/>
        <w:rPr>
          <w:rFonts w:hint="eastAsia" w:ascii="仿宋" w:hAnsi="仿宋" w:eastAsia="仿宋" w:cs="仿宋"/>
          <w:sz w:val="24"/>
          <w:szCs w:val="24"/>
          <w:lang w:val="zh-CN"/>
        </w:rPr>
      </w:pPr>
      <w:r>
        <w:rPr>
          <w:rFonts w:hint="eastAsia" w:ascii="仿宋" w:hAnsi="仿宋" w:eastAsia="仿宋" w:cs="仿宋"/>
          <w:sz w:val="24"/>
          <w:szCs w:val="24"/>
        </w:rPr>
        <w:t>4.2</w:t>
      </w:r>
      <w:r>
        <w:rPr>
          <w:rFonts w:hint="eastAsia" w:ascii="仿宋" w:hAnsi="仿宋" w:eastAsia="仿宋" w:cs="仿宋"/>
          <w:sz w:val="24"/>
          <w:szCs w:val="24"/>
          <w:lang w:val="zh-CN"/>
        </w:rPr>
        <w:t>.4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采购代理机构根据采购人确定的中标供应商之日起2个工作日内，在财政部门指定的媒体《陕西省政府采购网》发布采购结果公告，同时向中标供应商 发出《中标通知书》。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sz w:val="24"/>
          <w:szCs w:val="24"/>
          <w:lang w:val="zh-CN"/>
        </w:rPr>
        <w:t>.5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采购代理机构将评审过程与采购人情况书面报送有关监督机构备案</w:t>
      </w:r>
      <w:r>
        <w:rPr>
          <w:rFonts w:hint="eastAsia" w:ascii="仿宋" w:hAnsi="仿宋" w:eastAsia="仿宋" w:cs="仿宋"/>
          <w:sz w:val="24"/>
          <w:szCs w:val="24"/>
        </w:rPr>
        <w:t>。</w:t>
      </w:r>
    </w:p>
    <w:bookmarkEnd w:id="278"/>
    <w:bookmarkEnd w:id="279"/>
    <w:bookmarkEnd w:id="280"/>
    <w:p>
      <w:pPr>
        <w:snapToGrid w:val="0"/>
        <w:spacing w:beforeLines="50" w:afterLines="5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4.3、中标通知书</w:t>
      </w:r>
    </w:p>
    <w:p>
      <w:pPr>
        <w:snapToGrid w:val="0"/>
        <w:spacing w:beforeLines="50" w:afterLines="5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4.3</w:t>
      </w:r>
      <w:r>
        <w:rPr>
          <w:rFonts w:hint="eastAsia" w:ascii="仿宋" w:hAnsi="仿宋" w:eastAsia="仿宋" w:cs="仿宋"/>
          <w:sz w:val="24"/>
          <w:szCs w:val="24"/>
          <w:lang w:val="zh-CN"/>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中标通知书是合同文件的组成部分，对采购人和中标供应商 具有同等法律效力。中标通知书发出后，采购人改变中标结果或者中标供应商 放弃中标，应按相关法律、规章、规范性文件的要求承担相应的法律责任。</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4.3</w:t>
      </w:r>
      <w:r>
        <w:rPr>
          <w:rFonts w:hint="eastAsia" w:ascii="仿宋" w:hAnsi="仿宋" w:eastAsia="仿宋" w:cs="仿宋"/>
          <w:sz w:val="24"/>
          <w:szCs w:val="24"/>
          <w:lang w:val="zh-CN"/>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中标供应商应当在接到采购代理机构通知之日起5个工作日内，领取《中标通知书》。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w:t>
      </w:r>
      <w:r>
        <w:rPr>
          <w:rFonts w:hint="eastAsia" w:ascii="仿宋" w:hAnsi="仿宋" w:eastAsia="仿宋" w:cs="仿宋"/>
          <w:sz w:val="24"/>
          <w:szCs w:val="24"/>
          <w:lang w:val="zh-CN"/>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在《中标通知书》发出后，发现中标供应商有政府采购法律法规规章制度规定的中标无效情形的，采购代理机构在取得有权主体认定后，应当宣布发出的中标通知书无效，并收回发出的中标通知书（中标供应商也应当缴回），依法重新确定中标供应商或者重新开展采购活动。</w:t>
      </w:r>
    </w:p>
    <w:p>
      <w:pPr>
        <w:pStyle w:val="3"/>
        <w:spacing w:line="360" w:lineRule="auto"/>
        <w:ind w:firstLine="1446" w:firstLineChars="600"/>
        <w:jc w:val="both"/>
        <w:outlineLvl w:val="9"/>
        <w:rPr>
          <w:rFonts w:hint="eastAsia" w:ascii="仿宋" w:hAnsi="仿宋" w:eastAsia="仿宋" w:cs="仿宋"/>
          <w:sz w:val="24"/>
          <w:szCs w:val="24"/>
        </w:rPr>
      </w:pPr>
    </w:p>
    <w:p>
      <w:pPr>
        <w:pStyle w:val="3"/>
        <w:spacing w:line="360" w:lineRule="auto"/>
        <w:ind w:firstLine="2530" w:firstLineChars="700"/>
        <w:jc w:val="both"/>
        <w:outlineLvl w:val="9"/>
        <w:rPr>
          <w:rFonts w:hint="eastAsia" w:ascii="楷体" w:hAnsi="楷体" w:eastAsia="楷体" w:cs="楷体"/>
          <w:szCs w:val="36"/>
        </w:rPr>
      </w:pPr>
      <w:bookmarkStart w:id="281" w:name="_Toc20638"/>
    </w:p>
    <w:p>
      <w:pPr>
        <w:pStyle w:val="3"/>
        <w:spacing w:line="360" w:lineRule="auto"/>
        <w:ind w:firstLine="2530" w:firstLineChars="700"/>
        <w:jc w:val="both"/>
        <w:outlineLvl w:val="9"/>
        <w:rPr>
          <w:rFonts w:hint="eastAsia" w:ascii="楷体" w:hAnsi="楷体" w:eastAsia="楷体" w:cs="楷体"/>
          <w:szCs w:val="36"/>
        </w:rPr>
      </w:pPr>
    </w:p>
    <w:bookmarkEnd w:id="65"/>
    <w:bookmarkEnd w:id="66"/>
    <w:bookmarkEnd w:id="67"/>
    <w:bookmarkEnd w:id="68"/>
    <w:bookmarkEnd w:id="265"/>
    <w:bookmarkEnd w:id="266"/>
    <w:bookmarkEnd w:id="267"/>
    <w:bookmarkEnd w:id="268"/>
    <w:bookmarkEnd w:id="269"/>
    <w:bookmarkEnd w:id="270"/>
    <w:bookmarkEnd w:id="271"/>
    <w:bookmarkEnd w:id="272"/>
    <w:bookmarkEnd w:id="273"/>
    <w:bookmarkEnd w:id="274"/>
    <w:bookmarkEnd w:id="275"/>
    <w:bookmarkEnd w:id="276"/>
    <w:bookmarkEnd w:id="281"/>
    <w:p>
      <w:pPr>
        <w:pStyle w:val="3"/>
        <w:keepNext w:val="0"/>
        <w:keepLines w:val="0"/>
        <w:pageBreakBefore/>
        <w:widowControl w:val="0"/>
        <w:kinsoku/>
        <w:wordWrap/>
        <w:overflowPunct/>
        <w:topLinePunct w:val="0"/>
        <w:autoSpaceDE/>
        <w:autoSpaceDN/>
        <w:bidi w:val="0"/>
        <w:adjustRightInd/>
        <w:snapToGrid/>
        <w:spacing w:line="360" w:lineRule="auto"/>
        <w:ind w:firstLine="1767" w:firstLineChars="400"/>
        <w:jc w:val="both"/>
        <w:textAlignment w:val="auto"/>
        <w:rPr>
          <w:rFonts w:hint="eastAsia" w:ascii="仿宋" w:hAnsi="仿宋" w:eastAsia="仿宋" w:cs="仿宋"/>
          <w:b w:val="0"/>
          <w:bCs/>
          <w:sz w:val="24"/>
          <w:szCs w:val="24"/>
          <w:highlight w:val="none"/>
          <w:lang w:val="en-US" w:eastAsia="zh-CN"/>
        </w:rPr>
      </w:pPr>
      <w:bookmarkStart w:id="282" w:name="_Toc244931129"/>
      <w:bookmarkStart w:id="283" w:name="_Toc31891"/>
      <w:bookmarkStart w:id="284" w:name="_Toc2462"/>
      <w:bookmarkStart w:id="285" w:name="_Toc4796"/>
      <w:bookmarkStart w:id="286" w:name="_Toc14038"/>
      <w:bookmarkStart w:id="287" w:name="_Toc4553_WPSOffice_Level1"/>
      <w:bookmarkStart w:id="288" w:name="_Toc12809"/>
      <w:bookmarkStart w:id="289" w:name="_Toc21609"/>
      <w:bookmarkStart w:id="290" w:name="_Toc12748"/>
      <w:bookmarkStart w:id="291" w:name="_Toc30115"/>
      <w:bookmarkStart w:id="292" w:name="_Toc8012_WPSOffice_Level1"/>
      <w:bookmarkStart w:id="293" w:name="_Toc16567_WPSOffice_Level1"/>
      <w:bookmarkStart w:id="294" w:name="_Toc27066"/>
      <w:bookmarkStart w:id="295" w:name="_Toc14220"/>
      <w:bookmarkStart w:id="296" w:name="_Toc5561"/>
      <w:bookmarkStart w:id="297" w:name="_Toc8778"/>
      <w:bookmarkStart w:id="298" w:name="_Toc25000"/>
      <w:bookmarkStart w:id="299" w:name="_Toc25746"/>
      <w:bookmarkStart w:id="300" w:name="_Toc531189845"/>
      <w:bookmarkStart w:id="301" w:name="_Toc105649520"/>
      <w:bookmarkStart w:id="302" w:name="_Toc105649645"/>
      <w:bookmarkStart w:id="303" w:name="_Toc175973405"/>
      <w:r>
        <w:rPr>
          <w:rFonts w:hint="eastAsia" w:ascii="黑体" w:hAnsi="黑体" w:eastAsia="黑体" w:cs="黑体"/>
          <w:sz w:val="44"/>
          <w:szCs w:val="44"/>
          <w:highlight w:val="none"/>
        </w:rPr>
        <w:t xml:space="preserve">第四章 </w:t>
      </w:r>
      <w:bookmarkStart w:id="304" w:name="_Toc7827"/>
      <w:bookmarkStart w:id="305" w:name="_Toc21079"/>
      <w:r>
        <w:rPr>
          <w:rFonts w:hint="eastAsia" w:ascii="黑体" w:hAnsi="黑体" w:eastAsia="黑体" w:cs="黑体"/>
          <w:sz w:val="44"/>
          <w:szCs w:val="44"/>
          <w:highlight w:val="none"/>
        </w:rPr>
        <w:t>采购内容及</w:t>
      </w:r>
      <w:bookmarkStart w:id="306" w:name="_Toc531189844"/>
      <w:r>
        <w:rPr>
          <w:rFonts w:hint="eastAsia" w:ascii="黑体" w:hAnsi="黑体" w:eastAsia="黑体" w:cs="黑体"/>
          <w:sz w:val="44"/>
          <w:szCs w:val="44"/>
          <w:highlight w:val="none"/>
        </w:rPr>
        <w:t>具体要求</w:t>
      </w:r>
      <w:bookmarkEnd w:id="304"/>
      <w:bookmarkEnd w:id="305"/>
      <w:bookmarkEnd w:id="306"/>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Pr>
        <w:spacing w:beforeLines="50" w:afterLines="50" w:line="450" w:lineRule="exact"/>
        <w:rPr>
          <w:rFonts w:hint="eastAsia" w:ascii="黑体" w:hAnsi="黑体" w:eastAsia="黑体" w:cs="黑体"/>
          <w:b/>
          <w:bCs/>
          <w:color w:val="auto"/>
          <w:szCs w:val="21"/>
          <w:lang w:val="en-US" w:eastAsia="zh-CN"/>
        </w:rPr>
      </w:pPr>
      <w:bookmarkStart w:id="307" w:name="_Toc16225"/>
      <w:bookmarkStart w:id="308" w:name="_Toc12023"/>
      <w:bookmarkStart w:id="309" w:name="_Toc12252"/>
      <w:bookmarkStart w:id="310" w:name="_Toc8771"/>
      <w:bookmarkStart w:id="311" w:name="_Toc8008"/>
      <w:bookmarkStart w:id="312" w:name="_Toc24958"/>
      <w:bookmarkStart w:id="313" w:name="_Toc24517_WPSOffice_Level1"/>
      <w:bookmarkStart w:id="314" w:name="_Toc15866"/>
      <w:bookmarkStart w:id="315" w:name="_Toc19784_WPSOffice_Level1"/>
      <w:bookmarkStart w:id="316" w:name="_Toc10376"/>
      <w:bookmarkStart w:id="317" w:name="_Toc5237"/>
      <w:bookmarkStart w:id="318" w:name="_Toc6969"/>
      <w:bookmarkStart w:id="319" w:name="_Toc5366"/>
      <w:bookmarkStart w:id="320" w:name="_Toc7100_WPSOffice_Level1"/>
      <w:r>
        <w:rPr>
          <w:rFonts w:hint="eastAsia" w:ascii="黑体" w:hAnsi="黑体" w:eastAsia="黑体" w:cs="黑体"/>
          <w:b/>
          <w:bCs/>
          <w:color w:val="auto"/>
          <w:szCs w:val="21"/>
          <w:lang w:val="en-US" w:eastAsia="zh-CN"/>
        </w:rPr>
        <w:t>一、采购内容及清单</w:t>
      </w:r>
    </w:p>
    <w:tbl>
      <w:tblPr>
        <w:tblStyle w:val="40"/>
        <w:tblW w:w="94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804"/>
        <w:gridCol w:w="6547"/>
        <w:gridCol w:w="457"/>
        <w:gridCol w:w="457"/>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65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技术参数</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虚拟现实一体机</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1、屏幕：分辨率不低于3840*2160，显示屏≥5.5寸；</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2、75Hz刷新率，Fast-Switch快速响应技术；</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3、视场角：≥100°；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4、可佩戴眼镜设计，无需视力调节，自适应瞳距；</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5、内置“护眼模式”，可在系统设置中开启；</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6、内存：≥4GB LPDDR4X 1866MHz；</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7、闪存： ≥64GB UFS2.1；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8、最高支持256GB Micro-SD卡扩展；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9、头盔：轻质聚合物机身，薄壁注塑工艺，航空级轻金属，织物材质前面板；</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10、面罩：高透气性泡棉，轻质复合支撑结构；</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11、佩戴：T型佩戴结构，自适应顶部绑带；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12、802.11b/g/n/ac 2.4G/5G WIFI连接；</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13、提供低蓝光检测证书；</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宣传展示系统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1、光学显示技术：不低于3*0.64”，3LCD，</w:t>
            </w:r>
            <w:r>
              <w:rPr>
                <w:rFonts w:hint="eastAsia" w:ascii="仿宋" w:hAnsi="仿宋" w:eastAsia="仿宋" w:cs="仿宋"/>
                <w:i w:val="0"/>
                <w:iCs w:val="0"/>
                <w:color w:val="000000"/>
                <w:kern w:val="0"/>
                <w:sz w:val="24"/>
                <w:szCs w:val="24"/>
                <w:highlight w:val="none"/>
                <w:u w:val="none"/>
                <w:lang w:val="en-US" w:eastAsia="zh-CN" w:bidi="ar"/>
              </w:rPr>
              <w:t>激光光源；</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2、标准分辨率：WUXGA (1920*1200)；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3、兼容分辨率：1080p，2K，4K；</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4、亮度(ISO21118 ：≥4200流明；</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5、投射比：70"@1.904m；1.26~2.09：1；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6、镜头缩放比：1.66x手动；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7、投影尺寸：30"~300"；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8、投影方式：正装正投/正装背投/吊装正投/吊装背投；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9、梯形校正：四角转角校正；</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10、系统参数：操作系统 BIU UI、CPU Socionext，四核64位、内置存储 RAM:2G，ROM:16G；</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11、扬声器：5w*1；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12、幕布：≥120寸</w:t>
            </w:r>
            <w:r>
              <w:rPr>
                <w:rFonts w:hint="eastAsia" w:ascii="仿宋" w:hAnsi="仿宋" w:eastAsia="仿宋" w:cs="仿宋"/>
                <w:i w:val="0"/>
                <w:iCs w:val="0"/>
                <w:color w:val="000000"/>
                <w:kern w:val="0"/>
                <w:sz w:val="24"/>
                <w:szCs w:val="24"/>
                <w:highlight w:val="none"/>
                <w:u w:val="none"/>
                <w:lang w:val="en-US" w:eastAsia="zh-CN" w:bidi="ar"/>
              </w:rPr>
              <w:t>抗光幕；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13、内嵌安全教室学习视频:含防火灾、防溺水、防侵害、防意外伤害、交通安全、食品卫生安全、体育活动安全、网络安全、心理健康、应对自然灾害视频资源等。</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全过程管理系统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1、录制模式支持电影模式、资源模式两种。电影模式和资源模式可同时工作，能同时支持至少1路电影模式录像+3路资源备份录像。录制电影加资源模式时，资源模式在后台工作；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2、支持手指点控模式；导播模式支持视频预览、直播输出监视、视频切换、音频调整等功能；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3、支持手动云台PTZ控制，为方便导播控制，可设置不少于8路预置位，在预置位设置时，只需在画面调整完成之后直接拖动画面到预置位数字按钮处即可保存预置位；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4、支持≥4种摄像机固定变焦距离选择；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5、具有易互动功能，可以进行注册，登录后可添加好友，支持与好友视频通话聊天；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6、支持在导播过程中添加字幕，支持不少于8条预设字幕的设置。可直接通过拖拽实现自定义字幕显示位置。支持设置字体大小、字体颜色；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7、提供多种画面布局模式，支持视频画面叠加与组合，画面布局模式不少于8种，包括双分屏、三分屏、四分屏等。支持自定义画面布局。可直接通过拖动通道画面实现多分屏布局显示画面的替换；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8、录制前，支持片头片尾的添加，除支持图片格式外，还支持插入视频作为片头片尾；支持预设不少于8种片头片尾格式，并可实时更新片头片尾。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9、台标有四个固定位置，分别为左上、右上、左下、右下，不需要台标时可点击按钮隐藏台标，台标可通过U盘拷贝输入；支持手动拖拽移动台标，实现界面任意位置的台标设置；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10、支持渐变、上切、下切等多种切换特效，支持自定义选择不少于8种特效切换速度；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11、具有远程FTP下载录像；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12、具有一键推送公网直播功能，并可在设备上自动生成直播二维码，扫描即可直播；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13、系统界面自带虚拟软键盘，无需外接USB键盘，即可进行中英文输入及相关操作功能；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14、录制直播时支持随时插入背景音乐,支持不少于8种背景音乐预设；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15、为了适应不同的课程录制需求，支持一直录制/文件限时自动分割/文件限长自动分割功能。限时自动分割情况下可自定义录制时长；限长自动分割情况下，可自定义录制文件大小；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16、录制视频结束后可立刻在导播界面上进行本地录像回放，本地回放视频可作为视频输入源使用；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17、可以进行音量设置；</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18、摄像机参数：传感器尺寸：</w:t>
            </w:r>
            <w:r>
              <w:rPr>
                <w:rFonts w:hint="eastAsia" w:ascii="仿宋" w:hAnsi="仿宋" w:eastAsia="仿宋" w:cs="仿宋"/>
                <w:b/>
                <w:bCs/>
                <w:i w:val="0"/>
                <w:iCs w:val="0"/>
                <w:color w:val="auto"/>
                <w:kern w:val="0"/>
                <w:sz w:val="24"/>
                <w:szCs w:val="24"/>
                <w:highlight w:val="none"/>
                <w:u w:val="none"/>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CMOS 1/2.5英寸，传感器有效像素≥850万； </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物联管控系统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1、平台既支持部署在多种系统，支持以浏览器的方式登录；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2、平台支持根据学校需求实现模块化呈现各业务功能，可对接第三方系统；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3、支持对用户的管理，支持授权不同的角色相对应的管理权限；</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4、支持学校教室配置，可对教室结构按照实际结构与班级匹配；</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5、支持教室灯具管理，可通过Excel方式导入教室灯具配置信息；</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6、支持统计各级登录人员日志报表；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7、支持设备管理；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8、支持对教室内灯光全开/全关、分组开关、场景切换的远程控制和实时监控在线状态、开关状态；</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9、具有自定义场景模式功能，支持自定义多种场景，支持一键远程场景切换，根据设置的场景模式实现自动灯光控制等操作；</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10.具有教室能耗监控功能；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11、支持对教室内设备的远程控制，支持远程一键上下课、对教学设备、环境设备的远程控制；支持视频信号源的切换；</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12、支持联动策略场景配置，根据采集的教室环境参数，配置联动策略场景实现自动管控。</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部室分割</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面积60平米，根据情况具体调整，原有门扩大、装修材料、顶面、地面、墙面、灯光、桌椅、标识标牌、文案图形设计、主题介绍等配合。</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1、地面：基层找平（专业水泥砂浆）、塑胶地板（2.0mm专业塑胶地板）；</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2、墙面：轻质隔墙（轻钢龙骨框架，填充吸音棉，石膏板封面），墙面造型（根据装修效果图，结合硬件设备做墙面基础造型设计），墙面粉刷（基层处理找平，环保乳胶漆饰面）；</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3、顶面：粉刷（基层处理找平，环保乳胶漆饰面），方通吊顶（局部石膏板造型，铝方通装饰）、顶面造型（石膏板造型，2级顶）；</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其他：配电箱（20KW负载）、强电改造（整体设备的强电综合改造）、灯光、桌椅、标识标牌、文案图形设计、主题介绍等。</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室内设计</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1.要求：根据</w:t>
            </w:r>
            <w:r>
              <w:rPr>
                <w:rFonts w:hint="eastAsia" w:ascii="仿宋" w:hAnsi="仿宋" w:eastAsia="仿宋" w:cs="仿宋"/>
                <w:i w:val="0"/>
                <w:iCs w:val="0"/>
                <w:color w:val="auto"/>
                <w:kern w:val="0"/>
                <w:sz w:val="24"/>
                <w:szCs w:val="24"/>
                <w:highlight w:val="none"/>
                <w:u w:val="none"/>
                <w:lang w:val="en-US" w:eastAsia="zh-CN" w:bidi="ar"/>
              </w:rPr>
              <w:t>以上</w:t>
            </w:r>
            <w:r>
              <w:rPr>
                <w:rFonts w:hint="eastAsia" w:ascii="仿宋" w:hAnsi="仿宋" w:eastAsia="仿宋" w:cs="仿宋"/>
                <w:i w:val="0"/>
                <w:iCs w:val="0"/>
                <w:color w:val="000000"/>
                <w:kern w:val="0"/>
                <w:sz w:val="24"/>
                <w:szCs w:val="24"/>
                <w:u w:val="none"/>
                <w:lang w:val="en-US" w:eastAsia="zh-CN" w:bidi="ar"/>
              </w:rPr>
              <w:t>教室大小及用户需求提供室内设计图和施工图；</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2.版本：CAD电子版及纸质版蓝图。</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网络部分</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1台（设备传输速率为10/100/1000Mbps，设备交换方式为存储转发，设备接口非模块化，设备支持24个千兆电口）、无线路由1台（企业级路由器，最高传输速率≥4500Mbps，传输速率2.4GHz≥500Mbps，传输速率5GHz≥4600Mbps，频率范围:双频2.4GHz，5GHz）、综合布线（整体设备的强弱电综合布线）、智能充电柜（头盔充电柜，满足10台头盔充电需求）、机柜（24U网络机柜）等。</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自然灾害沉浸式VR安全体验系统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了解地震、台风、洪水等自然灾害带来的危害，掌握突发自然灾害预警信号级别含义及相应采取的防范措施；学会冷静应对自然灾害事件，提高在自然灾害事件中自我保护和求助及逃生的基本技能。软件包含自主学习、交互练习、知识答题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r>
              <w:rPr>
                <w:rFonts w:hint="eastAsia" w:ascii="仿宋" w:hAnsi="仿宋" w:eastAsia="仿宋" w:cs="仿宋"/>
                <w:b w:val="0"/>
                <w:bCs w:val="0"/>
                <w:i w:val="0"/>
                <w:iCs w:val="0"/>
                <w:color w:val="auto"/>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★9、软件需包括：自然灾害具体概念的学习，形成的过程。</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软件需包含自然灾害知识点：地震灾害：学习家庭和校园地震避险自救；洪水灾害：了解车内、室外遇洪水逃生技巧；台风灾害：台风来临，应关闭所有电器，拔掉所有电源，并关闭水管；</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功能要求：正确掌握躲避校园火灾和逃生办法，火灾诱因排查，消防安全标识学习，消防器材的选用和灭火方法；软件包含自主学习、交互练习、知识答题功能；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★9、软件需包括：正确掌握躲避火灾和逃生办法，火灾诱因排查，消防安全标识学习，消防器材的选用和灭火方法；消防安全知识点：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1）了解教学楼安全逃生通道以及禁烟等标识；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2）遇到火情如何逃生；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3）电梯逃生；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4）楼梯逃生；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5）如何选择正确的灭火器灭火；</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6）电线火灾隐患排查；</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7）设备火灾隐患排查</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交通安全沉浸式VR安全体验系统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功能要求：培养遵守交通规则的良好习惯，形成主动避让车辆的意识；软件包含自主学习、交互练习、知识答题功能；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★9、软件主要培养增强自觉遵守交通法规的意识；主动分析出行时存在的安全隐患，寻求解决方法；防止因违章而导致交通事故的发生。包括以下交通安全知识点：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1）三无黑车有危险；</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2）文明乘车需牢记；</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3）过路须走斑马线；</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4）马路栏杆不可跨；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5）行人须走人行道；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6）乘船安全需注意；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7）划船游玩欢乐多；</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8）城市轨道千万条；</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校园安全沉浸式VR安全体验系统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功能要求：了解和积极预防在校园活动中可能发生的公共安全事故，提高自我保护和求助及逃生的基本技能；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★9、软件需包括：校园毒品教育模块、校园防踩踏安全模块、校园防性侵安全模块、校园防欺凌安全模块、校园防恐防暴安全模块</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软件需包含以下安全知识点：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1）校园防欺凌：言语欺凌、网络欺凌、肢体欺凌、冷暴力；</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2）校园防踩踏：被挤倒后，应注意保护身体最脆弱的部位；</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3）性侵害：学会避免诱惑型侵害、暴力型侵害、社交型侵害、胁迫型侵害；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4）校园防恐防暴：遇到暴力人员，应听从老师指挥安排；</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5）校园防毒品：了解毒品的认知、毒品的危害、戒毒治疗方法；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生活安全沉浸式VR安全体验系统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功能要求：学会有效躲避事故灾害的常用方法和在事故灾害发生时的自我保护和求助及逃生的基本技能；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★9、软件需包括：溺水自救安全模块、居家独处安全模块、食物中毒安全模块、厨房使用安全模块、生活用电安全模块五个模块。</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软件包含以下知识点：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1）溺水自救；</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2）独自居家应对陌生人来访；</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3）如何应对窗外窥视；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4）如何应对撬门；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5）了解食物中毒种类：细菌性食物中毒、有毒动植物食物中毒、化学性食物中毒、怎样预防食物中毒；</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6）厨房隐患排查；</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7）用电安全标识学习；</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8）防雷电安全。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心理健康沉浸式VR安全体验系统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功能要求：掌握自我调节情绪的方法，培养人际交往能力，学会建立良好的人际关系；正确认识“自我意识”，及对自我与对外界的评价能力，逐步提高社会责任感。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★9、软件需包括以下知识点：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1）考试时心理状态调节；</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2）考试前心理状态调节；</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3）考试后心理状态调节；</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4）掌握心理调节方法：宣泄法、理喻法、意控法、充足睡眠法、适当作息法；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5）与父母沟通时心理状态调节；</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防空安全沉浸式VR安全体验系统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功能要求：初步了解防空设备及防空设备的作用；掌握防空警报的含义，了解防空疏散演练的注意事项，培养学生的防空安全意识；培养学生认真对待防灾演习的态度，树立居安思危的防范意识。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★9、软件需包括以下知识点：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1）防空设备展览：了解防空设备知识；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2）防空疏散演练：校园模拟防空警报疏散演练；</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3）防空安全知识学习；</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紧急救护沉浸式VR安全体验系统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要求：掌握海姆立克救援法、掌握创伤包扎术、掌握心肺复苏操作、掌握骨折出血临时处置，理解并记忆每一种紧急救护措施的原理；了解日常各种事故、灾害防范常识，培养对自己和他人安全负责的责任感，加深对自身行为与他人及环境安全的认知，掌握紧急救护技能，能自救会互救，在确保自身安全的前提下，能用所掌握的安全知识和技能服务他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软件采用虚拟现实技术，基于动态过程仿真软件运行平台进行开发；仿真的范围包括学校、教室、宿舍、城市、居家小区、房屋、汽车、地铁等场景（采用3D建模）、场景漫游、虚拟交互、音视频播放、考核答题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2、模型：模型环境搭建≥30万面以确保仿真度；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3、材质：贴图像素不低于1024*1024px，满足≥100万像素；纹理层级贴图+纹理+凹凸+法线（细纹）；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4、软件内人物模型不少于30个，动画不少于200个，物品模型不少于2000个，场景可移动范围不少于1500000平方米；</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5、视觉效果：不低于2048P标准渲染器渲染；</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6、功能完整度：在线完整场景加载，基本浏览操作，由热点触发基本信息的加载，地图导航，根据不同设定完成可触发事件的升级；</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★7、交互方式：体验者以第三人称进入到虚拟场景中进行交互操作，提升参观者的参与感、趣味感、互动感、体验感和沉浸感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8、显示方式：软件显示分辨率不低于1920*1080，软件内UI根据电脑分辨率自适应模式。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★9、软件需包括以下知识点：</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1）海姆立克救援：异物卡喉，紧急救护；</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2）心肺复苏：了解心肺复苏急救过程，掌握心肺复苏动作要领；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3）骨折出血临时处置：学习并掌握腿骨骨折应急办法；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4）创伤包扎：学习并掌握头部受伤爆炸方法，了解八字形包扎处理方法；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中小学公共安全指导教材；须包含西安市教育局重点推进的8大主题内容，至少包含但不限于16节公共安全教育课程内容；（内容须包含自然灾害主题、消防安全主题、交通安全主题、校园安全主题、生活安全主题、心理健康主题、防空安全模块、紧急救护主题，至少包含但不限于16节公共安全教育课程内容）。</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预防传染病学习体验系统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1、屏幕尺寸：≥32寸LED触摸屏，壁挂式；                                                         2、分辨率：不低于1920*1080；                                                                 3、触摸技术：电容触摸技术，多点触摸：10点，触摸悬浮高度≤0.5mm；                                                               4、透光率：不低于90％以上；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5、单点触摸寿命：不低于5000万次以上；响应速度：≤16ms；                                        6、控制器：不低于以下配置：I3/4GB/128G SSD；                                                                      7、接口满足或优于：无线WIFI，USB接口，USB3.0接口*2；音频输出*1；音频输入*1；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8、音响系统：阻抗：8Ω，频响范围：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90Hz-20kHz（± 3dB），灵敏度：≥90dB</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9、配挂架；                                                                                 10、系统软件由临床表现、传播途径、正确防护措施三大板块构成；                                                                               11、通过学习和掌握新型冠状病毒的临床表现、传播途径、正确防护措施的知识，增强社会公民的自我防护意识和专业技能；                                                                                                     12、运行环境：Windows 7 32/64，Windows8 32/64，Windows10 32/64及以上                                                                 13、系统应用：学校、企业、社区、园区等公共卫生安全教育场所。</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交通安全知识答题系统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1、窗口尺寸：≥32寸LED触摸屏，16: 9；                                                          2、触摸屏：电容触摸屏，分辨率：不低于1920*1080；                                              3、机柜：冷轧钢制柜体，外表面进口汽车金属烤漆，防磁、防静电；                                                                            4、控制面板：电源开关（主机、显示器、音响、风扇）音量调谐；                                                                            5、控制主机：不低于i3 4G 128g固态硬盘；                                                        6、彩色打印机；                                                                              7、摄像头（拍照）：≥200w像素，</w:t>
            </w:r>
            <w:r>
              <w:rPr>
                <w:rFonts w:hint="eastAsia" w:ascii="仿宋" w:hAnsi="仿宋" w:eastAsia="仿宋" w:cs="仿宋"/>
                <w:i w:val="0"/>
                <w:iCs w:val="0"/>
                <w:color w:val="000000"/>
                <w:kern w:val="0"/>
                <w:sz w:val="24"/>
                <w:szCs w:val="24"/>
                <w:highlight w:val="none"/>
                <w:u w:val="none"/>
                <w:lang w:val="en-US" w:eastAsia="zh-CN" w:bidi="ar"/>
              </w:rPr>
              <w:t>传感器类型</w:t>
            </w:r>
            <w:r>
              <w:rPr>
                <w:rFonts w:hint="eastAsia" w:ascii="仿宋" w:hAnsi="仿宋" w:eastAsia="仿宋" w:cs="仿宋"/>
                <w:i w:val="0"/>
                <w:iCs w:val="0"/>
                <w:color w:val="000000"/>
                <w:kern w:val="0"/>
                <w:sz w:val="24"/>
                <w:szCs w:val="24"/>
                <w:u w:val="none"/>
                <w:lang w:val="en-US" w:eastAsia="zh-CN" w:bidi="ar"/>
              </w:rPr>
              <w:t>CMOS；                                                         8、利用二维动画和人机交互技术，制作交通测评系统；                                               9、软件可拍照，录入个人信息。体验者进行答题后，可打印成绩单。题库、背景音乐可自定义修改；                                             10、软件支持1920*1080高清分辨率以及1280*720画面显示，完美支持16：9高清显示器和触控设备。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交通手势学习体验系统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1、屏幕尺寸：≥49英寸LED；                                                                     2、分辨率：不低于1920*1080；                                                                3、屏幕比例：16：9；                                                                         4、刷屏率：</w:t>
            </w:r>
            <w:r>
              <w:rPr>
                <w:rFonts w:hint="eastAsia" w:ascii="仿宋" w:hAnsi="仿宋" w:eastAsia="仿宋" w:cs="仿宋"/>
                <w:i w:val="0"/>
                <w:iCs w:val="0"/>
                <w:color w:val="000000"/>
                <w:kern w:val="0"/>
                <w:sz w:val="24"/>
                <w:szCs w:val="24"/>
                <w:highlight w:val="none"/>
                <w:u w:val="none"/>
                <w:lang w:val="en-US" w:eastAsia="zh-CN" w:bidi="ar"/>
              </w:rPr>
              <w:t>不低于</w:t>
            </w:r>
            <w:r>
              <w:rPr>
                <w:rFonts w:hint="eastAsia" w:ascii="仿宋" w:hAnsi="仿宋" w:eastAsia="仿宋" w:cs="仿宋"/>
                <w:i w:val="0"/>
                <w:iCs w:val="0"/>
                <w:color w:val="000000"/>
                <w:kern w:val="0"/>
                <w:sz w:val="24"/>
                <w:szCs w:val="24"/>
                <w:u w:val="none"/>
                <w:lang w:val="en-US" w:eastAsia="zh-CN" w:bidi="ar"/>
              </w:rPr>
              <w:t>60HZ；                                                                           5、光源：背光源式LED；                                                                      6、扫描方式：逐行扫描,响应时间≤3ms；                                                          7、配挂架；                                                                                  8、中央处理器:不低于I5 2.5-GHZ；                                                        9、内存：≥8GB；                                                                            10、硬盘：≥128G固态硬盘；                                                                  11、操作系统：</w:t>
            </w:r>
            <w:r>
              <w:rPr>
                <w:rFonts w:hint="eastAsia" w:ascii="仿宋" w:hAnsi="仿宋" w:eastAsia="仿宋" w:cs="仿宋"/>
                <w:i w:val="0"/>
                <w:iCs w:val="0"/>
                <w:color w:val="000000"/>
                <w:kern w:val="0"/>
                <w:sz w:val="24"/>
                <w:szCs w:val="24"/>
                <w:highlight w:val="none"/>
                <w:u w:val="none"/>
                <w:lang w:val="en-US" w:eastAsia="zh-CN" w:bidi="ar"/>
              </w:rPr>
              <w:t>Windows7</w:t>
            </w:r>
            <w:r>
              <w:rPr>
                <w:rFonts w:hint="eastAsia" w:ascii="仿宋" w:hAnsi="仿宋" w:eastAsia="仿宋" w:cs="仿宋"/>
                <w:i w:val="0"/>
                <w:iCs w:val="0"/>
                <w:color w:val="000000"/>
                <w:kern w:val="0"/>
                <w:sz w:val="24"/>
                <w:szCs w:val="24"/>
                <w:u w:val="none"/>
                <w:lang w:val="en-US" w:eastAsia="zh-CN" w:bidi="ar"/>
              </w:rPr>
              <w:t>及以上                                                                 12、跟踪最多六个完整的骨骼；                                                                 13、深度感知512*424 30HZ   FOV:70*60 单一模式：0.5-4.5米；                                                                        14、1080彩色相机  30HZ(低要光状态下为15HZ)；                                                  15、红外线（IR）功能 512*424  30HZ；</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16、多阵列麦克风；                                                                           17、利用Unity3D技术建模，内容包括：交警标准动作8套（减速慢行，示意靠边停车信号，右转弯信号，左转弯待转，左转弯信号；</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体验方法：开始后根据画面交警后势动作，顺序依次体验交警标准8套动作，每个动作会有一段等时间，当体验者每完成一套手势，并识别通过后，会立即进入下一套动作，当没有后势或手势错误超过一定时间后，自动进入下一套动作。                                                                </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自然灾害学习体验系统（6自由度体验平台）</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1、控制主机：CPU: i5-4590/AMD FX 8350 同等或更高配置显卡：GTX 1060/AMD Radeon R9 480 同等或更高RAM: 4GB+Video 视频输出: HDMI 1.4 or DisplayPort 1.2 或更高版本USB 端口: 1x USB 2.0 或更高版本的端口操作系统: Windows 7 SP1、Windows 8.1 或更高版本、Windows 10；                                                                               2、显示终端：屏幕尺寸：≥21英寸LED；分辨率：不低于1920*1080；屏幕比例：16:9 ；刷屏率：60HZ；</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3、虚拟现实头戴式VR眼镜；                                                                    4、自由平台：产品功率：3800W；产品电压：220V；玻璃钢外壳、音效喇叭、质感沙发、控制摇杆、伺服电动缸；                                                                            5、自然灾害体验软件：结合VR虚拟场景中沉浸式的体感互动+模拟教学知识点进行设计，自然灾害避险逃生正确路径体验和逃生知识学习。</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交通标志学习体验系统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1、屏幕尺寸：≥32寸LED触摸屏，壁挂式；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2、分辨率：不低于1920x1080；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3、触摸技术：电容触摸技术，多点触摸：10点，触摸悬浮高度≤0.5mm；</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4、透光率：不低于90％以上；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5、单点触摸寿命：不低于5000万次以上；响应速度：≤16ms；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6、控制器：不低于以下配置：I3/4GB/128G SSD；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7、接口：无线WIFI，USB接口  USB3.0接口* 2；音频输出*1 ；音频输入 *1,音响系统：阻抗：8Ω；频响范围：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 xml:space="preserve">90Hz-20kHz（± 3dB）； 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8、配挂架；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9、系统软件、集成控制系统；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10、不少于30种对应的交通标志；</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11、互动方式：触摸灯箱，控制终端播放软件相应的标志知识动画；</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四合一模拟报警学习体验系统系统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1、屏幕尺寸：21.5寸LED触摸屏；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3、触摸技术：电容式触摸技术，多点触摸：10点，触摸悬浮高度≤0.5mm；</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4、透光率：不低于90％以上；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5、单点触摸寿命：不低于5000万次以上；响应速度：≤16ms；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6、控制器：不低于以下配置：</w:t>
            </w:r>
            <w:r>
              <w:rPr>
                <w:rFonts w:hint="eastAsia" w:ascii="仿宋" w:hAnsi="仿宋" w:eastAsia="仿宋" w:cs="仿宋"/>
                <w:i w:val="0"/>
                <w:iCs w:val="0"/>
                <w:color w:val="000000"/>
                <w:kern w:val="0"/>
                <w:sz w:val="24"/>
                <w:szCs w:val="24"/>
                <w:highlight w:val="none"/>
                <w:u w:val="none"/>
                <w:lang w:val="en-US" w:eastAsia="zh-CN" w:bidi="ar"/>
              </w:rPr>
              <w:t>I3/4GB/128G SSD；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7、接口：无线WIFI，USB接口 USB3.0接口 * 2；音频输出 *1 ；音频输入*1,音响系统：阻抗：8Ω；频响范围：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 xml:space="preserve">90Hz-20kHz（± 3dB）； 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8、电话机，外部信号输入方式键盘；同步方式：USB；</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9、配挂架；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10、系统构成：系统软件；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11、利用二维动画和人机交互技术，制作119电话报警使用体验系统，内容应包括：如何正确报火警知识学习和模拟报警；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12、利用集成感应技术，人工智能交互技术，仿真电话，模拟报火警，让学习者掌握报警的方法；</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消防标志学习体验系统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1、屏幕尺寸：32寸LED触摸屏，壁挂式；                                                           2、分辨率：不低于1920*1080；                                                                 3、触摸技术：电容触摸技术，多点触摸：10点，触摸悬浮高度≤0.5mm；                                                                4、透光率：不低于90％以上；                                                                   5、单点触摸寿命：不低于5000万次以上，响应速度：≤16ms；                                        6、控制器：不低于以下配置：I3/4GB/128G SSD；                                                                      7、接口：无线WIFI，USB接口 USB3.0接口*2；音频输出*1 ；音频输入*1,音响系统：阻抗：8Ω；频响范围：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 xml:space="preserve">90Hz-20kHz（± 3dB）；灵敏度：≥90dB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8、配挂架；                                                                                  9、表面印有不同种类的消防标志；                                                               10、电控箱参考规格：圆形直径18cm，厚度4cm；                                                   11、无线传输方式；                                                                          12、利用二维动画和人机交互技术，制作消防安全标志体验系统，内容应符合《消防安全标志 第1部分：标志  GB13495.1—2015》的要求；                                                                    13、互动方式：触摸灯箱，控制终端播放软件相应的标志知识动画；                                                                             14、软件支持1920*1080高清分辨率以及1280*720画面显示，完美支持16：9高清显示器和触控设备。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火灾案例展示系统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1、软件用二维动画和人机交互技术 ，制作典型火灾案例点播内容 。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2、利用集成感应技术，软件与灯箱联动演示，让学习者了解火灾案例，增强防火意识。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3、表面印有不同种类的火灾实例电控箱，方形25*25cm，厚度4cm，数量20.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4、互动方式：触摸灯箱，控制终端播放软件相应的火灾实例动画；</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5、屏幕尺寸：≥32寸LED触摸屏，壁挂式；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7、触摸技术：电容触摸技术，多点触摸：10点，触摸悬浮高度≤0.5mm；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8、透光率：不低于90％以上；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9、单点触摸寿命：不低于5000万次以上，响应速度：≤16ms；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10、控制器：不低于以下配置：I3/4GB/128G SSD； </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11、接口：满足或优于无线WIFI，USB接口 USB3.0接口 * 2；音频输出*1；音频输入*1；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12、音响系统：阻抗：8Ω；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90Hz-20kHz（± 3dB）；</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消防安全知识学习体验系统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1、显示器：≥42寸LED；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3、接口：标准RJ45网络接口，USB接口                                                            4、多媒体系统：功放系统，立体声音箱，防磁化                                                    5、控制主机：配置不低于300W电源，内存2G，CPU2.6GHZ，G61主板，500G硬盘软件运行环境：Windows2000、WindowsXP、Windows7；</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6、支持触摸翻书和红外感应翻书；                                                               7、利用二维动画和人机交互技术，制作消防安全电子翻书体验系统 ，安全知识包括： 1）消防的基本常识 2）常见的灭火方法 3）认识消防应急包 4）火灾的分类 5）灭火器的种类 6）灭火器的使用方法 7）家庭火灾.扑救方法 8）火灾逃生方法 9）火灾逃生的常见错误 10）认识消防标志 11）火灾案例。</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VR模拟灭火体验学习体验系统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1、中央处理器：i3处理器或以上，内存：≥4GB，硬盘：≥128G固态硬盘，操作系统：Windows7及以上；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2、投影亮度：≥3000流明；对比度：≥20000:1；标准分辨率：不低于1920*1080；屏幕比例：4:3或16:9；投影尺寸：84英寸；灯泡寿命：不低于3000小时(标准)；定制投影幕：84寸；</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3、系统构成：系统软件、（干粉、泡沫、二氧化碳、清水）防真灭火器4个、集成控制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系统、采集器；</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系统是通过计算机主机、显示设备以及电子互动配套设备三部；分共同组成，包括模拟灭火器及显示装置，模拟灭火器设有光发射装置、光控制开关以及感应接收处理器，光发射装置、光控制开关以及感应接收处理器电气连接 ；显示装置内设有主控制器、场景选择按钮、距离传感器、捕捉识别设备和处理器，场景选择按钮连接主控制器使显示装置展示相应的火灾场景 ，距离传感器与感应接收处理器无线连接，感测模拟灭火器与显示装置的距离。</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5、系统软件由灭火场景、知识学习、测试评分三大板块构成。</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6、不限于灭火场景由居家、学校、KTV场所、商场等十五个场景构成。体验者在体验灭火时可在规定的时间内学习并掌握识别火灾类型 ，正确选择灭火器，正确使用灭火器等知识。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7、知识学习由灭火器的使用方法，火灾的分类等构成。</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8、体验者选择测试评分项，系统随机出灭火场景，在规定的时间内进行灭火器的选择，灭火器的操作方法、灭火的速度进行测评，并给予评分。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海姆利克急救法学习体验系统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1、屏幕尺寸：≥49英寸LED；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                                                                3、屏幕比例：16:9；                                                                          4、刷屏率 ：60HZ；                                                                           5、光源：背光源式LED；                                                                       6、扫描方式：逐行扫描,响应时间≤3ms；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7、配挂架；                                                                                                                                                                                 8、模拟人解剖特征明显，手感真实，肤色统一，形态逼真，外形美观的模拟人1个；</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主要用于气管异物呼吸梗阻、呼吸骤停之急救。气管异物常见于婴幼儿身上，因婴幼儿会厌软骨发育不成熟，功能不健全，在婴幼儿口中含物说话、哭笑、打闹和剧烈活动时，容易将口含物吸入气管内，引起气管阻塞而导致窒息；</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10、主要功能：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•正常的气道梗塞模拟；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•可进行标准的CPR操作：人工呼吸和心外按压；</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•窒息、异物阻塞气道的模拟；</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•标准婴儿真人比例设计及准确的标准布局；</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•精确的解剖结构，可触及胸骨和肋骨。</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心肺复苏体验学习体验系统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1、屏幕尺寸：≥49英寸LED；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3、屏幕比例：16:9；</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4、刷屏率 ：60HZ；</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5、光源：背光源式LED；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6、扫描方式：逐行扫描,响应时间≤3ms；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7、配挂架；                                                                                                                                                                  8、CPR操作动画显示，模拟心电显示，全程语音与简体中文提示，监测各种操作指数，考核，打印等功能；</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9、上位机软件操作界面简洁，CPR训练模式、CPR考核模式、学员管理；</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10、训练操作：可进行按压与吹气练习，每次操作的按压深度和潮气量不在标准范围内时有语音提示；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11、一键考核模式：只需输入学员信息后就可以开始考核，有语音提示；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实战竞赛模式：可自由设置参数；（1）设置项包括：操作时间、操作频率，按压和吹气的比例次数、循环次数、合格的正确率。（2）操作前由老师记录学员的行为：意识判断、急救呼叫、脉搏检查、检查呼吸、清除异物。</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13、全程语音提示和文字提示；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14、全程按压时显示实时操作频率和平均操作频率；</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15、全程模拟心电图显示：随着按压操作，心电图随之变化，抢救成功后显示为正常心电图；</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16、全程电子监测：按压位置、按压深度、吹气量。</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触电体验学习体验系统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1.触电仪：</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①供电电源：可充电锂电池；</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②安装方式：可平放，可壁挂；</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③输出电压：50V-200V(瞬时电压)；</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④输出电流：小于50mA；</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2.触电机器人：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①供电电源：12V可充电电池供电；</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②材质：铝合金型材产品；</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③灯带颜色：根据需求更换。</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逃生结绳学习体验系统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1.屏幕尺寸：≥49英寸LED；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3.屏幕比例：16：9；</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4.刷屏率：60HZ；</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5.光源：背光源式LED；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6.扫描方式：逐行扫描,响应时间≤3ms；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7.配挂架；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8.长度：1.5m，一条，共10条；</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9.包含多种结绳逃生教学视频。</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模拟网络诈骗学习体验系统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1、屏幕尺寸：50寸LED立式触摸屏；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3、触摸技术：电容式触摸技术，多点触摸：10点，触摸悬浮高度≤0.5mm；</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4、透光率：不低于90％以上；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5、单点触摸寿命：不低于5000万次以上；响应速度：≤16ms；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 、控制器： 不低于以下配置：I3/4GB/128G SSD；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7、接口：满足或优于无线WIFI，USB接口 USB3.0接口*2；音频输出*1；音频输入*1；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8、音响系统：阻抗：8Ω；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90Hz- 20kHz（± 3dB）；</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11、系统构成：系统软件，软件内容：通过模拟手机通讯对话，体验网络刷单、游戏交易、套路贷、回收手机、注销校园贷、培训贷、网络赌博、咸鱼套路、杀猪盘、区块链养狗、免费购物诈骗过程；</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12、软件支持1920*1080高清分辨率以及1280*720画面显示，完美支持16：9高清显示器和触控设备。</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防溺水学习体验系统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1、屏幕尺寸：≥32寸LED触摸屏，壁挂式；</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2、分辨率：不低于1920*1080；</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3、触摸技术：电容触摸技术，多点触摸：10点，触摸悬浮高度≤0.5mm；</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4、透光率：不低于90％以上；</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5、单点触摸寿命：不低于5000万次以上，响应速度：≤16ms；</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6、控制器：不低于以下配置：I3/4GB/128G SSD；</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7、接口：无线WIFI，USB接口  USB3.0接口*2；音频输出*1；音频输入*1；</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8、音响系统：阻抗：8Ω；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9、频响范围：</w:t>
            </w:r>
            <w:r>
              <w:rPr>
                <w:rFonts w:hint="eastAsia" w:ascii="仿宋" w:hAnsi="仿宋" w:eastAsia="仿宋" w:cs="仿宋"/>
                <w:i w:val="0"/>
                <w:iCs w:val="0"/>
                <w:color w:val="000000"/>
                <w:kern w:val="0"/>
                <w:sz w:val="24"/>
                <w:szCs w:val="24"/>
                <w:highlight w:val="none"/>
                <w:u w:val="none"/>
                <w:lang w:val="en-US" w:eastAsia="zh-CN" w:bidi="ar"/>
              </w:rPr>
              <w:t>不劣于</w:t>
            </w:r>
            <w:r>
              <w:rPr>
                <w:rFonts w:hint="eastAsia" w:ascii="仿宋" w:hAnsi="仿宋" w:eastAsia="仿宋" w:cs="仿宋"/>
                <w:i w:val="0"/>
                <w:iCs w:val="0"/>
                <w:color w:val="000000"/>
                <w:kern w:val="0"/>
                <w:sz w:val="24"/>
                <w:szCs w:val="24"/>
                <w:u w:val="none"/>
                <w:lang w:val="en-US" w:eastAsia="zh-CN" w:bidi="ar"/>
              </w:rPr>
              <w:t>90Hz- 20kHz（± 3dB）；</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10、灵敏度：≥90dB </w:t>
            </w:r>
            <w:r>
              <w:rPr>
                <w:rFonts w:hint="eastAsia" w:ascii="仿宋" w:hAnsi="仿宋" w:eastAsia="仿宋" w:cs="仿宋"/>
                <w:i w:val="0"/>
                <w:iCs w:val="0"/>
                <w:color w:val="000000"/>
                <w:kern w:val="0"/>
                <w:sz w:val="24"/>
                <w:szCs w:val="24"/>
                <w:highlight w:val="none"/>
                <w:u w:val="none"/>
                <w:lang w:val="en-US" w:eastAsia="zh-CN" w:bidi="ar"/>
              </w:rPr>
              <w:t>W/m</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11、配挂架；</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12、系统构成：系统软件，软件利用二维动画和人机交互技术，制作防溺水安全互动系统，内容包括：安全知识、溺水自救、心肺复苏视频教学；</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13、软件支持1920*1080高清分辨率以及1280*720画面显示，完美支持16：9高清显示器和触控设备，运行环境：Windows 7 32/64及以上。</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安全德育测评系统</w:t>
            </w:r>
          </w:p>
        </w:tc>
        <w:tc>
          <w:tcPr>
            <w:tcW w:w="6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1、涵盖角色管理模块 、包括学生、教师等；</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2、学生可以在移动端进行在线测评；</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3、后台根据学生学到的相关知识，随机抽取题目，学生回答相应问题后台进行智能评分并给出分数、记录到学生账号可以后台导出查看；                                                                      4、可以按照学期及学年进行成绩导出；</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5、教师可以在线预约教室使用；                                                                 6、后台可以生成年度使用报表。 </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i w:val="0"/>
                <w:iCs w:val="0"/>
                <w:color w:val="000000"/>
                <w:sz w:val="24"/>
                <w:szCs w:val="24"/>
                <w:u w:val="none"/>
              </w:rPr>
            </w:pPr>
          </w:p>
        </w:tc>
      </w:tr>
    </w:tbl>
    <w:p>
      <w:pPr>
        <w:pStyle w:val="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kern w:val="2"/>
          <w:sz w:val="21"/>
          <w:szCs w:val="21"/>
          <w:lang w:val="en-US" w:eastAsia="zh-CN" w:bidi="ar-SA"/>
        </w:rPr>
      </w:pPr>
    </w:p>
    <w:p>
      <w:pPr>
        <w:pStyle w:val="3"/>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二、商务要求</w:t>
      </w:r>
    </w:p>
    <w:p>
      <w:pPr>
        <w:pStyle w:val="39"/>
        <w:keepNext w:val="0"/>
        <w:keepLines w:val="0"/>
        <w:pageBreakBefore w:val="0"/>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2.1 交付</w:t>
      </w:r>
      <w:r>
        <w:rPr>
          <w:rFonts w:hint="eastAsia" w:ascii="仿宋" w:hAnsi="仿宋" w:eastAsia="仿宋" w:cs="仿宋"/>
          <w:b/>
          <w:bCs/>
          <w:kern w:val="0"/>
          <w:sz w:val="24"/>
          <w:szCs w:val="24"/>
          <w:lang w:eastAsia="zh-CN"/>
        </w:rPr>
        <w:t>期</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合同签订后30天（交货、安装调试可投入正常使用）</w:t>
      </w:r>
    </w:p>
    <w:p>
      <w:pPr>
        <w:pStyle w:val="39"/>
        <w:keepNext w:val="0"/>
        <w:keepLines w:val="0"/>
        <w:pageBreakBefore w:val="0"/>
        <w:numPr>
          <w:ilvl w:val="0"/>
          <w:numId w:val="0"/>
        </w:numPr>
        <w:kinsoku/>
        <w:wordWrap/>
        <w:overflowPunct/>
        <w:topLinePunct w:val="0"/>
        <w:autoSpaceDE/>
        <w:autoSpaceDN/>
        <w:bidi w:val="0"/>
        <w:adjustRightInd/>
        <w:snapToGrid/>
        <w:spacing w:after="0" w:line="360" w:lineRule="auto"/>
        <w:ind w:leftChars="0"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2.2 交货</w:t>
      </w:r>
    </w:p>
    <w:p>
      <w:pPr>
        <w:pStyle w:val="3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交货地点：陕西省长安师范学校附属小学（设备安装位置由采购人指定）</w:t>
      </w:r>
    </w:p>
    <w:p>
      <w:pPr>
        <w:pStyle w:val="39"/>
        <w:keepNext w:val="0"/>
        <w:keepLines w:val="0"/>
        <w:pageBreakBefore w:val="0"/>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2.3 价格</w:t>
      </w:r>
    </w:p>
    <w:p>
      <w:pPr>
        <w:pStyle w:val="3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bookmarkStart w:id="321" w:name="OLE_LINK11"/>
      <w:r>
        <w:rPr>
          <w:rFonts w:hint="eastAsia" w:ascii="仿宋" w:hAnsi="仿宋" w:eastAsia="仿宋" w:cs="仿宋"/>
          <w:b w:val="0"/>
          <w:bCs w:val="0"/>
          <w:kern w:val="0"/>
          <w:sz w:val="24"/>
          <w:szCs w:val="24"/>
          <w:lang w:val="en-US" w:eastAsia="zh-CN"/>
        </w:rPr>
        <w:t>中标</w:t>
      </w:r>
      <w:bookmarkEnd w:id="321"/>
      <w:r>
        <w:rPr>
          <w:rFonts w:hint="eastAsia" w:ascii="仿宋" w:hAnsi="仿宋" w:eastAsia="仿宋" w:cs="仿宋"/>
          <w:b w:val="0"/>
          <w:bCs w:val="0"/>
          <w:kern w:val="0"/>
          <w:sz w:val="24"/>
          <w:szCs w:val="24"/>
          <w:lang w:val="en-US" w:eastAsia="zh-CN"/>
        </w:rPr>
        <w:t>单位负责完成设备及相关物件的运输、保管、安装及调试，直至其设备在采购人指定地点安装完毕、投入运行，并经采购人验收合格。对因此而产生的费用以及质保期内的维修、保养等与项目发生的一切费用，全部由成交人承担。</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（2）合同有效期内，合同总价一次包死，包括设备供应价、材料费、安装调试费、验收费等一切费用，不受国家政策性调价或原材料价格变化及外汇汇率变化的影响，并作为最终结算的唯一依据。</w:t>
      </w:r>
    </w:p>
    <w:p>
      <w:pPr>
        <w:pStyle w:val="39"/>
        <w:keepNext w:val="0"/>
        <w:keepLines w:val="0"/>
        <w:pageBreakBefore w:val="0"/>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2.4 付款方式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签订合同后，5个工作日内付50%预付款，项目结束验收合格后5个工作日内支付50%。</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2.5 售后服务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质保期为终验合格后2年（参数中有具体要求的，按参数要求提供质保）。中标单位承诺的质保时间超过采购文件要求的，按其承诺时间质保。质保期内，除人为因素损坏外，中标单位对所供产品实行免费更换或免费维修，免费提供所有设备正常使用所需的备品备件，且中标单位维修所更换的配件和备品备件均为原设备厂家生产。</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（2）质保期内，中标单位对所售设备免费提供7*24小时技术支持、不少于2次/年上门巡检等服务。</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质保期内，中标单位接到采购人维修通知，应在工作日4小时内(非工作日6小时内）或与采购人约定时间内，派人现场处理；如经检测，无法在24小时内完成修复的，免费提供同档次或更高档次的配件，保证设备正常使用直至故障排除。</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质保期内，中标单位未在规定或约定时间进行维修，造成采购人人身、财产损害时，采购人可依据有关法律、法规进行追偿；中标单位不能及时到场，采购人可安排其他公司技术人员进行维修，期间产生的维修费用，采购人可从中标单位履约保证金中予以扣除；接到采购人维修通知后，中标单位累计超过3次（不含3次）未在约定保修时间内进行维修时，采购人可从中标单位履约保证金中双倍扣除维修费用，直至扣完质保金。履约保证金扣除完之后，中标单位未在约定保修时间内进行维修时，采购人有权按照维修费用的双倍要求中标单位支付违约金。</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（5）质保期内，出现产品非人为因素损坏而造成短期停用时，则质保期相应顺延，如停用时间累计超过60天，则质保期自产品修复之日起重新计算。</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（6）履约保证金返还前，中标单位免费对所供设备进行一次全面维护保养服务。</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2.6 质量保证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中标单位须保证所供产品为制造商原厂生产的全新、未经使用并达到采购参数技术要求的产品；外观为未启封全新包装，序列号、包装箱号、出厂批号内外一致，并可追索查阅；供货产品型号规格、数量与采购内容一致，并且技术参数符合采购人本次采购要求，否则，采购人有权向中标单位退货，或者要求中标单位进行更换，期间一切费用由中标单位负责。</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2.7 项目验收</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（1）所有货物安装调试完，由</w:t>
      </w:r>
      <w:r>
        <w:rPr>
          <w:rFonts w:hint="eastAsia" w:ascii="仿宋" w:hAnsi="仿宋" w:eastAsia="仿宋" w:cs="仿宋"/>
          <w:b w:val="0"/>
          <w:bCs w:val="0"/>
          <w:kern w:val="0"/>
          <w:sz w:val="24"/>
          <w:szCs w:val="24"/>
          <w:lang w:val="en-US" w:eastAsia="zh-CN"/>
        </w:rPr>
        <w:t>中标单位</w:t>
      </w:r>
      <w:r>
        <w:rPr>
          <w:rFonts w:hint="eastAsia" w:ascii="仿宋" w:hAnsi="仿宋" w:eastAsia="仿宋" w:cs="仿宋"/>
          <w:b w:val="0"/>
          <w:bCs w:val="0"/>
          <w:color w:val="auto"/>
          <w:kern w:val="0"/>
          <w:sz w:val="24"/>
          <w:szCs w:val="24"/>
          <w:lang w:val="en-US" w:eastAsia="zh-CN"/>
        </w:rPr>
        <w:t>提出验收申请，采购人组织验收，合格后签发《验收单》。</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（2）验收不合格的，中标单位须在接到通知后7个日历日内确保货物通过验收。如接到通知后7个日历日内验收仍不合格，采购人可提出索赔或取消其供货合同。</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（3）验收依据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1）合同文本及合同补充文件（条款）。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2）招标文件。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3）中标单位的投标文件。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4）合同产品清单。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5）生产厂家的企业资质、检验报告、货物的执行标准。</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2.8 技术服务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（1）技术资料：</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1）产品合格证；</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2）产品使用说明书（10万元以上的贵重货物需备双份）；</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3）厂家对该产品的出厂检测报告</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4）其它相关资料。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（2）服务承诺：投标人应遵照国家规范规定的技术服务内容及要求作出明确承诺。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2.9 合同实施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（1）中标单位应在合同签订后2个日历日内安排人员与使用单位就送货、培训等工作进行安排、部署。</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（2）若未能在交付期内完成合同规定的义务，由此对采购人造成的延误和一切损失，由中标单位承担和赔偿。</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2.10 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（1）按《中华人民共和国民法典》中的相关条款执行。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（2）未按合同要求提供产品或货物质量不能满足技术要求，采购人有权终止合同，并对供方违约行为进行追究，同时按《政府采购法》的有关规定进行处罚。</w:t>
      </w:r>
    </w:p>
    <w:p>
      <w:pPr>
        <w:keepNext w:val="0"/>
        <w:keepLines w:val="0"/>
        <w:pageBreakBefore w:val="0"/>
        <w:widowControl/>
        <w:kinsoku/>
        <w:wordWrap/>
        <w:overflowPunct/>
        <w:topLinePunct w:val="0"/>
        <w:autoSpaceDE/>
        <w:autoSpaceDN/>
        <w:bidi w:val="0"/>
        <w:adjustRightInd/>
        <w:snapToGrid/>
        <w:spacing w:line="360" w:lineRule="auto"/>
        <w:ind w:firstLine="723" w:firstLineChars="300"/>
        <w:jc w:val="left"/>
        <w:textAlignment w:val="auto"/>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注：商务要求为实质性要求，不得负偏离。</w:t>
      </w:r>
    </w:p>
    <w:p>
      <w:pPr>
        <w:pStyle w:val="28"/>
        <w:jc w:val="left"/>
        <w:rPr>
          <w:rFonts w:hint="eastAsia" w:ascii="楷体" w:hAnsi="楷体" w:eastAsia="楷体" w:cs="楷体"/>
          <w:b/>
          <w:color w:val="auto"/>
          <w:kern w:val="2"/>
          <w:sz w:val="21"/>
          <w:szCs w:val="21"/>
          <w:highlight w:val="none"/>
          <w:lang w:val="en-US" w:eastAsia="zh-CN" w:bidi="ar-SA"/>
        </w:rPr>
      </w:pPr>
    </w:p>
    <w:p>
      <w:pPr>
        <w:pStyle w:val="28"/>
        <w:jc w:val="left"/>
        <w:rPr>
          <w:rFonts w:hint="eastAsia" w:ascii="楷体" w:hAnsi="楷体" w:eastAsia="楷体" w:cs="楷体"/>
          <w:b/>
          <w:color w:val="auto"/>
          <w:kern w:val="2"/>
          <w:sz w:val="21"/>
          <w:szCs w:val="21"/>
          <w:highlight w:val="none"/>
          <w:lang w:val="en-US" w:eastAsia="zh-CN" w:bidi="ar-SA"/>
        </w:rPr>
      </w:pPr>
    </w:p>
    <w:p>
      <w:pPr>
        <w:pStyle w:val="28"/>
        <w:jc w:val="left"/>
        <w:rPr>
          <w:rFonts w:hint="eastAsia" w:ascii="楷体" w:hAnsi="楷体" w:eastAsia="楷体" w:cs="楷体"/>
          <w:b/>
          <w:color w:val="auto"/>
          <w:kern w:val="2"/>
          <w:sz w:val="21"/>
          <w:szCs w:val="21"/>
          <w:highlight w:val="none"/>
          <w:lang w:val="en-US" w:eastAsia="zh-CN" w:bidi="ar-SA"/>
        </w:rPr>
      </w:pPr>
    </w:p>
    <w:p>
      <w:pPr>
        <w:pStyle w:val="3"/>
        <w:ind w:firstLine="2168" w:firstLineChars="600"/>
        <w:jc w:val="both"/>
        <w:rPr>
          <w:rFonts w:hint="eastAsia" w:ascii="黑体" w:hAnsi="黑体" w:eastAsia="黑体" w:cs="黑体"/>
          <w:bCs/>
          <w:color w:val="000000" w:themeColor="text1"/>
          <w:szCs w:val="36"/>
          <w:highlight w:val="none"/>
          <w14:textFill>
            <w14:solidFill>
              <w14:schemeClr w14:val="tx1"/>
            </w14:solidFill>
          </w14:textFill>
        </w:rPr>
      </w:pPr>
    </w:p>
    <w:p>
      <w:pPr>
        <w:pStyle w:val="3"/>
        <w:ind w:firstLine="2168" w:firstLineChars="600"/>
        <w:jc w:val="both"/>
        <w:rPr>
          <w:rFonts w:hint="eastAsia" w:ascii="黑体" w:hAnsi="黑体" w:eastAsia="黑体" w:cs="黑体"/>
          <w:bCs/>
          <w:color w:val="000000" w:themeColor="text1"/>
          <w:szCs w:val="36"/>
          <w:highlight w:val="none"/>
          <w14:textFill>
            <w14:solidFill>
              <w14:schemeClr w14:val="tx1"/>
            </w14:solidFill>
          </w14:textFill>
        </w:rPr>
      </w:pPr>
    </w:p>
    <w:p>
      <w:pPr>
        <w:rPr>
          <w:rFonts w:hint="eastAsia" w:ascii="黑体" w:hAnsi="黑体" w:eastAsia="黑体" w:cs="黑体"/>
          <w:bCs/>
          <w:color w:val="000000" w:themeColor="text1"/>
          <w:szCs w:val="36"/>
          <w:highlight w:val="none"/>
          <w14:textFill>
            <w14:solidFill>
              <w14:schemeClr w14:val="tx1"/>
            </w14:solidFill>
          </w14:textFill>
        </w:rPr>
      </w:pPr>
    </w:p>
    <w:p>
      <w:pPr>
        <w:pStyle w:val="2"/>
        <w:rPr>
          <w:rFonts w:hint="eastAsia" w:ascii="黑体" w:hAnsi="黑体" w:eastAsia="黑体" w:cs="黑体"/>
          <w:bCs/>
          <w:color w:val="000000" w:themeColor="text1"/>
          <w:szCs w:val="36"/>
          <w:highlight w:val="none"/>
          <w14:textFill>
            <w14:solidFill>
              <w14:schemeClr w14:val="tx1"/>
            </w14:solidFill>
          </w14:textFill>
        </w:rPr>
      </w:pPr>
    </w:p>
    <w:p>
      <w:pPr>
        <w:rPr>
          <w:rFonts w:hint="eastAsia" w:ascii="黑体" w:hAnsi="黑体" w:eastAsia="黑体" w:cs="黑体"/>
          <w:bCs/>
          <w:color w:val="000000" w:themeColor="text1"/>
          <w:szCs w:val="36"/>
          <w:highlight w:val="none"/>
          <w14:textFill>
            <w14:solidFill>
              <w14:schemeClr w14:val="tx1"/>
            </w14:solidFill>
          </w14:textFill>
        </w:rPr>
      </w:pPr>
    </w:p>
    <w:p>
      <w:pPr>
        <w:pStyle w:val="2"/>
        <w:rPr>
          <w:rFonts w:hint="eastAsia" w:ascii="黑体" w:hAnsi="黑体" w:eastAsia="黑体" w:cs="黑体"/>
          <w:bCs/>
          <w:color w:val="000000" w:themeColor="text1"/>
          <w:szCs w:val="36"/>
          <w:highlight w:val="none"/>
          <w14:textFill>
            <w14:solidFill>
              <w14:schemeClr w14:val="tx1"/>
            </w14:solidFill>
          </w14:textFill>
        </w:rPr>
      </w:pPr>
    </w:p>
    <w:p>
      <w:pPr>
        <w:rPr>
          <w:rFonts w:hint="eastAsia" w:ascii="黑体" w:hAnsi="黑体" w:eastAsia="黑体" w:cs="黑体"/>
          <w:bCs/>
          <w:color w:val="000000" w:themeColor="text1"/>
          <w:szCs w:val="36"/>
          <w:highlight w:val="none"/>
          <w14:textFill>
            <w14:solidFill>
              <w14:schemeClr w14:val="tx1"/>
            </w14:solidFill>
          </w14:textFill>
        </w:rPr>
      </w:pPr>
    </w:p>
    <w:p>
      <w:pPr>
        <w:pStyle w:val="2"/>
        <w:rPr>
          <w:rFonts w:hint="eastAsia" w:ascii="黑体" w:hAnsi="黑体" w:eastAsia="黑体" w:cs="黑体"/>
          <w:bCs/>
          <w:color w:val="000000" w:themeColor="text1"/>
          <w:szCs w:val="36"/>
          <w:highlight w:val="none"/>
          <w14:textFill>
            <w14:solidFill>
              <w14:schemeClr w14:val="tx1"/>
            </w14:solidFill>
          </w14:textFill>
        </w:rPr>
      </w:pPr>
    </w:p>
    <w:p>
      <w:pPr>
        <w:rPr>
          <w:rFonts w:hint="eastAsia" w:ascii="黑体" w:hAnsi="黑体" w:eastAsia="黑体" w:cs="黑体"/>
          <w:bCs/>
          <w:color w:val="000000" w:themeColor="text1"/>
          <w:szCs w:val="36"/>
          <w:highlight w:val="none"/>
          <w14:textFill>
            <w14:solidFill>
              <w14:schemeClr w14:val="tx1"/>
            </w14:solidFill>
          </w14:textFill>
        </w:rPr>
      </w:pPr>
    </w:p>
    <w:p>
      <w:pPr>
        <w:pStyle w:val="3"/>
        <w:jc w:val="both"/>
        <w:rPr>
          <w:rFonts w:hint="eastAsia" w:ascii="黑体" w:hAnsi="黑体" w:eastAsia="黑体" w:cs="黑体"/>
          <w:bCs/>
          <w:color w:val="000000" w:themeColor="text1"/>
          <w:szCs w:val="36"/>
          <w:highlight w:val="none"/>
          <w14:textFill>
            <w14:solidFill>
              <w14:schemeClr w14:val="tx1"/>
            </w14:solidFill>
          </w14:textFill>
        </w:rPr>
      </w:pPr>
    </w:p>
    <w:p>
      <w:pPr>
        <w:rPr>
          <w:rFonts w:hint="eastAsia" w:ascii="黑体" w:hAnsi="黑体" w:eastAsia="黑体" w:cs="黑体"/>
          <w:bCs/>
          <w:color w:val="000000" w:themeColor="text1"/>
          <w:szCs w:val="36"/>
          <w:highlight w:val="none"/>
          <w14:textFill>
            <w14:solidFill>
              <w14:schemeClr w14:val="tx1"/>
            </w14:solidFill>
          </w14:textFill>
        </w:rPr>
      </w:pPr>
    </w:p>
    <w:p>
      <w:pPr>
        <w:pStyle w:val="2"/>
        <w:rPr>
          <w:rFonts w:hint="eastAsia"/>
        </w:rPr>
      </w:pPr>
    </w:p>
    <w:p>
      <w:pPr>
        <w:pStyle w:val="3"/>
        <w:numPr>
          <w:ilvl w:val="0"/>
          <w:numId w:val="5"/>
        </w:numPr>
        <w:ind w:firstLine="2160" w:firstLineChars="600"/>
        <w:jc w:val="both"/>
        <w:rPr>
          <w:rFonts w:hint="eastAsia" w:ascii="黑体" w:hAnsi="黑体" w:eastAsia="黑体" w:cs="黑体"/>
          <w:color w:val="000000" w:themeColor="text1"/>
          <w:szCs w:val="36"/>
          <w:highlight w:val="none"/>
          <w14:textFill>
            <w14:solidFill>
              <w14:schemeClr w14:val="tx1"/>
            </w14:solidFill>
          </w14:textFill>
        </w:rPr>
      </w:pPr>
      <w:r>
        <w:rPr>
          <w:rFonts w:hint="eastAsia" w:ascii="黑体" w:hAnsi="黑体" w:eastAsia="黑体" w:cs="黑体"/>
          <w:b w:val="0"/>
          <w:color w:val="000000" w:themeColor="text1"/>
          <w:szCs w:val="36"/>
          <w:highlight w:val="none"/>
          <w14:textFill>
            <w14:solidFill>
              <w14:schemeClr w14:val="tx1"/>
            </w14:solidFill>
          </w14:textFill>
        </w:rPr>
        <w:t xml:space="preserve"> </w:t>
      </w:r>
      <w:r>
        <w:rPr>
          <w:rFonts w:hint="eastAsia" w:ascii="黑体" w:hAnsi="黑体" w:eastAsia="黑体" w:cs="黑体"/>
          <w:color w:val="000000" w:themeColor="text1"/>
          <w:szCs w:val="36"/>
          <w:highlight w:val="none"/>
          <w14:textFill>
            <w14:solidFill>
              <w14:schemeClr w14:val="tx1"/>
            </w14:solidFill>
          </w14:textFill>
        </w:rPr>
        <w:t>拟签订的合同文本</w:t>
      </w:r>
      <w:bookmarkEnd w:id="307"/>
    </w:p>
    <w:p>
      <w:pPr>
        <w:numPr>
          <w:ilvl w:val="0"/>
          <w:numId w:val="0"/>
        </w:numPr>
        <w:rPr>
          <w:rFonts w:hint="eastAsia"/>
        </w:rPr>
      </w:pPr>
    </w:p>
    <w:p>
      <w:pPr>
        <w:pStyle w:val="39"/>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bookmarkStart w:id="322" w:name="_Toc32555"/>
      <w:bookmarkStart w:id="323" w:name="_Toc405358616"/>
      <w:bookmarkStart w:id="324" w:name="_Toc26021"/>
      <w:bookmarkStart w:id="325" w:name="_Toc425781311"/>
      <w:r>
        <w:rPr>
          <w:rFonts w:hint="eastAsia" w:ascii="仿宋" w:hAnsi="仿宋" w:eastAsia="仿宋" w:cs="仿宋"/>
          <w:b w:val="0"/>
          <w:bCs w:val="0"/>
          <w:kern w:val="0"/>
          <w:sz w:val="24"/>
          <w:szCs w:val="24"/>
          <w:lang w:val="en-US" w:eastAsia="zh-CN"/>
        </w:rPr>
        <w:t>甲方（买方）：</w:t>
      </w:r>
      <w:r>
        <w:rPr>
          <w:rFonts w:hint="eastAsia" w:ascii="仿宋" w:hAnsi="仿宋" w:eastAsia="仿宋" w:cs="仿宋"/>
          <w:b w:val="0"/>
          <w:bCs w:val="0"/>
          <w:kern w:val="0"/>
          <w:sz w:val="24"/>
          <w:szCs w:val="24"/>
          <w:u w:val="single"/>
          <w:lang w:val="en-US" w:eastAsia="zh-CN"/>
        </w:rPr>
        <w:t xml:space="preserve">                     </w:t>
      </w:r>
      <w:r>
        <w:rPr>
          <w:rFonts w:hint="eastAsia" w:ascii="仿宋" w:hAnsi="仿宋" w:eastAsia="仿宋" w:cs="仿宋"/>
          <w:b w:val="0"/>
          <w:bCs w:val="0"/>
          <w:kern w:val="0"/>
          <w:sz w:val="24"/>
          <w:szCs w:val="24"/>
          <w:lang w:val="en-US" w:eastAsia="zh-CN"/>
        </w:rPr>
        <w:t xml:space="preserve">          签订地点：</w:t>
      </w:r>
      <w:r>
        <w:rPr>
          <w:rFonts w:hint="eastAsia" w:ascii="仿宋" w:hAnsi="仿宋" w:eastAsia="仿宋" w:cs="仿宋"/>
          <w:b w:val="0"/>
          <w:bCs w:val="0"/>
          <w:kern w:val="0"/>
          <w:sz w:val="24"/>
          <w:szCs w:val="24"/>
          <w:u w:val="single"/>
          <w:lang w:val="en-US" w:eastAsia="zh-CN"/>
        </w:rPr>
        <w:t xml:space="preserve">               </w:t>
      </w:r>
      <w:r>
        <w:rPr>
          <w:rFonts w:hint="eastAsia" w:ascii="仿宋" w:hAnsi="仿宋" w:eastAsia="仿宋" w:cs="仿宋"/>
          <w:b w:val="0"/>
          <w:bCs w:val="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乙方（卖方）：</w:t>
      </w:r>
      <w:r>
        <w:rPr>
          <w:rFonts w:hint="eastAsia" w:ascii="仿宋" w:hAnsi="仿宋" w:eastAsia="仿宋" w:cs="仿宋"/>
          <w:b w:val="0"/>
          <w:bCs w:val="0"/>
          <w:kern w:val="0"/>
          <w:sz w:val="24"/>
          <w:szCs w:val="24"/>
          <w:u w:val="single"/>
          <w:lang w:val="en-US" w:eastAsia="zh-CN"/>
        </w:rPr>
        <w:t xml:space="preserve">                     </w:t>
      </w:r>
      <w:r>
        <w:rPr>
          <w:rFonts w:hint="eastAsia" w:ascii="仿宋" w:hAnsi="仿宋" w:eastAsia="仿宋" w:cs="仿宋"/>
          <w:b w:val="0"/>
          <w:bCs w:val="0"/>
          <w:kern w:val="0"/>
          <w:sz w:val="24"/>
          <w:szCs w:val="24"/>
          <w:lang w:val="en-US" w:eastAsia="zh-CN"/>
        </w:rPr>
        <w:t xml:space="preserve">          签订时间：</w:t>
      </w:r>
      <w:r>
        <w:rPr>
          <w:rFonts w:hint="eastAsia" w:ascii="仿宋" w:hAnsi="仿宋" w:eastAsia="仿宋" w:cs="仿宋"/>
          <w:b w:val="0"/>
          <w:bCs w:val="0"/>
          <w:kern w:val="0"/>
          <w:sz w:val="24"/>
          <w:szCs w:val="24"/>
          <w:u w:val="single"/>
          <w:lang w:val="en-US" w:eastAsia="zh-CN"/>
        </w:rPr>
        <w:t xml:space="preserve">               </w:t>
      </w:r>
      <w:r>
        <w:rPr>
          <w:rFonts w:hint="eastAsia" w:ascii="仿宋" w:hAnsi="仿宋" w:eastAsia="仿宋" w:cs="仿宋"/>
          <w:b w:val="0"/>
          <w:bCs w:val="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为保障买卖双方的合法权益，根据《中华人民共和国民法典》及有关法律法规的规定，买卖双方经友好而充分的协商，本着平等互利、自觉自愿的原则，一致同意按下列条款签订本合同：</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货物</w:t>
      </w:r>
      <w:r>
        <w:rPr>
          <w:rFonts w:hint="eastAsia" w:ascii="仿宋" w:hAnsi="仿宋" w:eastAsia="仿宋" w:cs="仿宋"/>
          <w:b/>
          <w:color w:val="auto"/>
          <w:sz w:val="24"/>
          <w:szCs w:val="24"/>
          <w:highlight w:val="none"/>
        </w:rPr>
        <w:t>名称、型号、数量、金额、数量</w:t>
      </w:r>
    </w:p>
    <w:tbl>
      <w:tblPr>
        <w:tblStyle w:val="40"/>
        <w:tblW w:w="875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897"/>
        <w:gridCol w:w="1035"/>
        <w:gridCol w:w="1191"/>
        <w:gridCol w:w="1176"/>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货物</w:t>
            </w:r>
            <w:r>
              <w:rPr>
                <w:rFonts w:hint="eastAsia" w:ascii="仿宋" w:hAnsi="仿宋" w:eastAsia="仿宋" w:cs="仿宋"/>
                <w:b/>
                <w:color w:val="auto"/>
                <w:sz w:val="24"/>
                <w:szCs w:val="24"/>
                <w:highlight w:val="none"/>
              </w:rPr>
              <w:t>名称</w:t>
            </w:r>
          </w:p>
        </w:tc>
        <w:tc>
          <w:tcPr>
            <w:tcW w:w="18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计量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仿宋" w:hAnsi="仿宋" w:eastAsia="仿宋" w:cs="仿宋"/>
                <w:color w:val="auto"/>
                <w:sz w:val="24"/>
                <w:szCs w:val="24"/>
                <w:highlight w:val="none"/>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8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8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二、产品设备质量标准及保证</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1.产品设备的质量标准，按下列第（    ）项执行：</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（1）按国家标准执行；</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（2）无国家标准而有行业标准的，按行业标准执行；</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（3）无国家和行业标准的，按企业标准和招标文件执行。</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2.本合同质保</w:t>
      </w:r>
      <w:r>
        <w:rPr>
          <w:rFonts w:hint="eastAsia" w:ascii="仿宋" w:hAnsi="仿宋" w:eastAsia="仿宋" w:cs="仿宋"/>
          <w:b w:val="0"/>
          <w:bCs w:val="0"/>
          <w:kern w:val="0"/>
          <w:sz w:val="24"/>
          <w:szCs w:val="24"/>
          <w:u w:val="single"/>
          <w:lang w:val="en-US" w:eastAsia="zh-CN"/>
        </w:rPr>
        <w:t xml:space="preserve">     年</w:t>
      </w:r>
      <w:r>
        <w:rPr>
          <w:rFonts w:hint="eastAsia" w:ascii="仿宋" w:hAnsi="仿宋" w:eastAsia="仿宋" w:cs="仿宋"/>
          <w:b w:val="0"/>
          <w:bCs w:val="0"/>
          <w:kern w:val="0"/>
          <w:sz w:val="24"/>
          <w:szCs w:val="24"/>
          <w:lang w:val="en-US" w:eastAsia="zh-CN"/>
        </w:rPr>
        <w:t>。自甲方确认验收合格或视为验收合格之日起算，非人为及意外事故损坏的前提下，除易损件外，由乙方负责免费保修；产品设备超过保修期后，乙方可派人进行免费指导维修，甲方需承担更换零配件的费用。</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三、交货方式及费用</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乙方负责送货至甲方指定地并安装、调试完成。</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（1）收货单位：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（2）交货地址：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 系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（4）联系电话：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货到甲方指定地之前费用由乙方承担。</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四、产品设备交</w:t>
      </w:r>
      <w:r>
        <w:rPr>
          <w:rFonts w:hint="eastAsia" w:ascii="仿宋" w:hAnsi="仿宋" w:eastAsia="仿宋" w:cs="仿宋"/>
          <w:b/>
          <w:color w:val="auto"/>
          <w:sz w:val="24"/>
          <w:szCs w:val="24"/>
          <w:highlight w:val="none"/>
          <w:lang w:val="en-US" w:eastAsia="zh-CN"/>
        </w:rPr>
        <w:t>付</w:t>
      </w:r>
      <w:r>
        <w:rPr>
          <w:rFonts w:hint="eastAsia" w:ascii="仿宋" w:hAnsi="仿宋" w:eastAsia="仿宋" w:cs="仿宋"/>
          <w:b/>
          <w:color w:val="auto"/>
          <w:sz w:val="24"/>
          <w:szCs w:val="24"/>
          <w:highlight w:val="none"/>
        </w:rPr>
        <w:t>期限</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乙方于</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前将货送到甲方指定地，甲方应于货到之日起一个工作日内给予接收。</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产品设备毁损、灭失等风险，按照合同约定的交货日期交付之前由乙方承担，交付之后由甲方承担。</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甲方违反合同的约定拒绝接收或延期接收货物的，甲方应承担由此给乙方造成的损失，包括但不仅限于保管费、人员差旅费及货物的损毁和灭失的风险等。</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五、验收标准、方法及提出异议期限</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甲方应在交货之日起3日内进行验收，验收完毕无误即验收合格，甲乙双方应当在“交接清单”上签章确认。如果甲方逾期未进行验收，视为验收合格。</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甲方根据乙方的“交接清单”对产品设备的品种、型号、数量、规格、外观质量、配件等一系列进行验收确认。</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验收标准：按原厂质量标准。</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乙方负责产品设备的安装、调试。</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若发现产品设备不全、损坏或不符合同约定，验收时间相应推迟，直至乙方补足、更换合格，由此产生的费用由乙方承担。</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如有异议，甲方可在验收合格之日起7个工作日之内以书面形式向乙方提出。未在规定的期限内提出异议，视为乙方所交产品设备符合合同约定。</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甲方在验收合格后对产品设备负有保管责任，因甲方使用、保管、保养不当或不善等造成产品设备质量下降和损坏的，由甲方承担相应后果。 </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乙方在接到甲方书面异议后，应在2个工作日内给予书面回复并着手处理。</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六、随机备品、配件工具数量及供应方法</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按乙方“交接清单”提供，随货发运。</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七、付款方式、期限及比例</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甲乙双方约定通过(</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银行转账/汇款   □承兑汇票   □银行汇票   □现金  □其他)方式支付货款。</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yellow"/>
          <w:u w:val="singl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付款时间期限及付款比例：</w:t>
      </w:r>
      <w:r>
        <w:rPr>
          <w:rFonts w:hint="eastAsia" w:ascii="仿宋" w:hAnsi="仿宋" w:eastAsia="仿宋" w:cs="仿宋"/>
          <w:b w:val="0"/>
          <w:bCs w:val="0"/>
          <w:color w:val="auto"/>
          <w:kern w:val="0"/>
          <w:sz w:val="24"/>
          <w:szCs w:val="24"/>
          <w:highlight w:val="none"/>
          <w:u w:val="single"/>
          <w:lang w:val="en-US" w:eastAsia="zh-CN" w:bidi="ar-SA"/>
        </w:rPr>
        <w:t>签订合同后，5个工作日内付50%预付款，项目结束验收合格后5个工作日内支付50%</w:t>
      </w:r>
      <w:r>
        <w:rPr>
          <w:rFonts w:hint="eastAsia" w:ascii="仿宋" w:hAnsi="仿宋" w:eastAsia="仿宋" w:cs="仿宋"/>
          <w:b w:val="0"/>
          <w:bCs w:val="0"/>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八、违约责任</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乙方所交产品设备的品种、型号、规格、质量不符合</w:t>
      </w:r>
      <w:r>
        <w:rPr>
          <w:rFonts w:hint="eastAsia" w:ascii="仿宋" w:hAnsi="仿宋" w:eastAsia="仿宋" w:cs="仿宋"/>
          <w:sz w:val="24"/>
          <w:szCs w:val="24"/>
          <w:lang w:eastAsia="zh-CN"/>
        </w:rPr>
        <w:t>询价</w:t>
      </w:r>
      <w:r>
        <w:rPr>
          <w:rFonts w:hint="eastAsia" w:ascii="仿宋" w:hAnsi="仿宋" w:eastAsia="仿宋" w:cs="仿宋"/>
          <w:sz w:val="24"/>
          <w:szCs w:val="24"/>
        </w:rPr>
        <w:t>文件规定，应及时给予更换，并承担因修理、调换或退货而产生的实际费用。</w:t>
      </w:r>
    </w:p>
    <w:p>
      <w:pPr>
        <w:autoSpaceDE w:val="0"/>
        <w:autoSpaceDN w:val="0"/>
        <w:adjustRightIn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乙方不能按时提供产品设备的，从约定的交货之日起算，按日支付未按期提供产品设备总额的0.5‰的违约金。</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九、特别事项</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乙方需指派专人负责售后维护事宜。</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甲方若对</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提出质量服务要求，所有涉及产品生产商的有关事项均由乙方负责。</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甲方应根据本产品设备《产品使用说明书》规定的工况范围内作业，严禁一切超标、不合规的运作。</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十、不可抗力风险承担</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任何一方由于不可抗力的原因不能履行合同时，应及时书面通知对方不能履行或不能安全履行的理由，在取得有关主管机关证明以后，经双方协商一致后可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十一、合同纠纷解决方式</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本合同在执行过程中出现的争议，甲乙双方协商解决，协商不成的由</w:t>
      </w:r>
      <w:r>
        <w:rPr>
          <w:rFonts w:hint="eastAsia" w:ascii="仿宋" w:hAnsi="仿宋" w:eastAsia="仿宋" w:cs="仿宋"/>
          <w:color w:val="auto"/>
          <w:sz w:val="24"/>
          <w:szCs w:val="24"/>
          <w:highlight w:val="none"/>
          <w:lang w:val="en-US" w:eastAsia="zh-CN"/>
        </w:rPr>
        <w:t>甲方所在地</w:t>
      </w:r>
      <w:r>
        <w:rPr>
          <w:rFonts w:hint="eastAsia" w:ascii="仿宋" w:hAnsi="仿宋" w:eastAsia="仿宋" w:cs="仿宋"/>
          <w:color w:val="auto"/>
          <w:sz w:val="24"/>
          <w:szCs w:val="24"/>
          <w:highlight w:val="none"/>
        </w:rPr>
        <w:t>的仲裁委员会仲裁决定或起诉方人民法院管辖。仲裁委员会仲裁决定或人民法院裁决为最终决定，甲乙双方必须共同遵照执行。</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718" w:leftChars="-342"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本合同在甲乙双方授权代表签字、单位盖章后生效。</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本合同未尽事宜，甲乙双方协商解决，合同变更及修改必须经双方同意，并以书面形式变更。所补充和变更的合同与本合同具有同等的法律效力。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本合同壹式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份，甲乙双方各执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份。自签署之日起即生效。望双方共同遵守。</w:t>
      </w:r>
    </w:p>
    <w:p>
      <w:pPr>
        <w:spacing w:before="120" w:beforeLines="50" w:line="360" w:lineRule="auto"/>
        <w:ind w:left="-718" w:leftChars="-342"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4.签署</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4319" w:type="dxa"/>
            <w:noWrap w:val="0"/>
            <w:vAlign w:val="center"/>
          </w:tcPr>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tc>
        <w:tc>
          <w:tcPr>
            <w:tcW w:w="4881" w:type="dxa"/>
            <w:noWrap w:val="0"/>
            <w:vAlign w:val="center"/>
          </w:tcPr>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exact"/>
          <w:jc w:val="center"/>
        </w:trPr>
        <w:tc>
          <w:tcPr>
            <w:tcW w:w="4319" w:type="dxa"/>
            <w:noWrap w:val="0"/>
            <w:vAlign w:val="top"/>
          </w:tcPr>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单位全称（盖章）：          </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pPr>
              <w:spacing w:before="120" w:beforeLines="50" w:line="360" w:lineRule="auto"/>
              <w:ind w:left="-718" w:leftChars="-342" w:firstLine="480" w:firstLineChars="200"/>
              <w:rPr>
                <w:rFonts w:hint="eastAsia" w:ascii="仿宋" w:hAnsi="仿宋" w:eastAsia="仿宋" w:cs="仿宋"/>
                <w:color w:val="auto"/>
                <w:sz w:val="24"/>
                <w:szCs w:val="24"/>
                <w:highlight w:val="none"/>
              </w:rPr>
            </w:pPr>
          </w:p>
        </w:tc>
        <w:tc>
          <w:tcPr>
            <w:tcW w:w="4881" w:type="dxa"/>
            <w:noWrap w:val="0"/>
            <w:vAlign w:val="top"/>
          </w:tcPr>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单位全称（盖章）：</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spacing w:before="120"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pPr>
              <w:spacing w:before="120" w:beforeLines="5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before="120" w:beforeLines="50" w:line="360" w:lineRule="auto"/>
              <w:ind w:left="-718" w:leftChars="-342" w:firstLine="480" w:firstLineChars="200"/>
              <w:rPr>
                <w:rFonts w:hint="eastAsia" w:ascii="仿宋" w:hAnsi="仿宋" w:eastAsia="仿宋" w:cs="仿宋"/>
                <w:color w:val="auto"/>
                <w:sz w:val="24"/>
                <w:szCs w:val="24"/>
                <w:highlight w:val="none"/>
              </w:rPr>
            </w:pPr>
          </w:p>
        </w:tc>
      </w:tr>
      <w:bookmarkEnd w:id="322"/>
      <w:bookmarkEnd w:id="323"/>
      <w:bookmarkEnd w:id="324"/>
      <w:bookmarkEnd w:id="325"/>
    </w:tbl>
    <w:p>
      <w:pPr>
        <w:spacing w:beforeLines="50" w:afterLines="50" w:line="360" w:lineRule="auto"/>
        <w:ind w:firstLine="4800" w:firstLineChars="2000"/>
        <w:rPr>
          <w:rFonts w:ascii="楷体" w:hAnsi="楷体" w:eastAsia="楷体" w:cs="楷体"/>
          <w:sz w:val="24"/>
          <w:szCs w:val="24"/>
        </w:rPr>
      </w:pPr>
      <w:r>
        <w:rPr>
          <w:rFonts w:hint="eastAsia" w:ascii="仿宋" w:hAnsi="仿宋" w:eastAsia="仿宋" w:cs="仿宋"/>
          <w:bCs/>
          <w:sz w:val="24"/>
          <w:szCs w:val="24"/>
        </w:rPr>
        <w:br w:type="page"/>
      </w:r>
    </w:p>
    <w:p>
      <w:pPr>
        <w:pStyle w:val="3"/>
        <w:rPr>
          <w:rFonts w:hint="eastAsia" w:ascii="黑体" w:hAnsi="黑体" w:eastAsia="黑体" w:cs="黑体"/>
        </w:rPr>
      </w:pPr>
      <w:bookmarkStart w:id="326" w:name="_Toc3774"/>
      <w:bookmarkStart w:id="327" w:name="_Toc84"/>
      <w:bookmarkStart w:id="328" w:name="_Toc20503"/>
      <w:bookmarkStart w:id="329" w:name="_Toc17518"/>
      <w:bookmarkStart w:id="330" w:name="_Toc17590"/>
      <w:r>
        <w:rPr>
          <w:rFonts w:hint="eastAsia" w:ascii="黑体" w:hAnsi="黑体" w:eastAsia="黑体" w:cs="黑体"/>
        </w:rPr>
        <w:t>第六章   投标文件格式</w:t>
      </w:r>
      <w:bookmarkEnd w:id="300"/>
      <w:r>
        <w:rPr>
          <w:rFonts w:hint="eastAsia" w:ascii="黑体" w:hAnsi="黑体" w:eastAsia="黑体" w:cs="黑体"/>
        </w:rPr>
        <w:t>及构成</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6"/>
      <w:bookmarkEnd w:id="327"/>
      <w:bookmarkEnd w:id="328"/>
      <w:bookmarkEnd w:id="329"/>
      <w:bookmarkEnd w:id="330"/>
    </w:p>
    <w:p>
      <w:pPr>
        <w:spacing w:line="360" w:lineRule="auto"/>
        <w:ind w:firstLine="3373" w:firstLineChars="1200"/>
        <w:outlineLvl w:val="0"/>
        <w:rPr>
          <w:rFonts w:ascii="楷体" w:hAnsi="楷体" w:eastAsia="楷体" w:cs="楷体"/>
          <w:b/>
          <w:szCs w:val="21"/>
        </w:rPr>
      </w:pPr>
      <w:bookmarkStart w:id="331" w:name="_Toc3062"/>
      <w:bookmarkStart w:id="332" w:name="_Toc30403"/>
      <w:bookmarkStart w:id="333" w:name="_Toc27277"/>
      <w:bookmarkStart w:id="334" w:name="_Toc30831"/>
      <w:r>
        <w:rPr>
          <w:rFonts w:hint="eastAsia" w:ascii="黑体" w:hAnsi="黑体" w:eastAsia="黑体" w:cs="黑体"/>
          <w:b/>
          <w:sz w:val="28"/>
          <w:szCs w:val="16"/>
        </w:rPr>
        <w:t>投标文件编制说明</w:t>
      </w:r>
      <w:bookmarkEnd w:id="331"/>
      <w:bookmarkEnd w:id="332"/>
      <w:bookmarkEnd w:id="333"/>
      <w:bookmarkEnd w:id="334"/>
    </w:p>
    <w:p>
      <w:pPr>
        <w:autoSpaceDE w:val="0"/>
        <w:autoSpaceDN w:val="0"/>
        <w:adjustRightInd w:val="0"/>
        <w:spacing w:line="360" w:lineRule="auto"/>
        <w:ind w:firstLine="480"/>
        <w:rPr>
          <w:rFonts w:hint="eastAsia" w:ascii="仿宋" w:hAnsi="仿宋" w:eastAsia="仿宋" w:cs="仿宋"/>
          <w:szCs w:val="21"/>
        </w:rPr>
      </w:pPr>
      <w:r>
        <w:rPr>
          <w:rFonts w:hint="eastAsia" w:ascii="仿宋" w:hAnsi="仿宋" w:eastAsia="仿宋" w:cs="仿宋"/>
          <w:szCs w:val="21"/>
        </w:rPr>
        <w:t>1、投标文件应当按照招标文件给定的格式和要求编制，格式之外的可自行编写。</w:t>
      </w:r>
    </w:p>
    <w:p>
      <w:pPr>
        <w:autoSpaceDE w:val="0"/>
        <w:autoSpaceDN w:val="0"/>
        <w:adjustRightInd w:val="0"/>
        <w:spacing w:line="360" w:lineRule="auto"/>
        <w:ind w:firstLine="480"/>
        <w:rPr>
          <w:rFonts w:hint="eastAsia" w:ascii="仿宋" w:hAnsi="仿宋" w:eastAsia="仿宋" w:cs="仿宋"/>
          <w:szCs w:val="21"/>
        </w:rPr>
      </w:pPr>
      <w:r>
        <w:rPr>
          <w:rFonts w:hint="eastAsia" w:ascii="仿宋" w:hAnsi="仿宋" w:eastAsia="仿宋" w:cs="仿宋"/>
          <w:szCs w:val="21"/>
        </w:rPr>
        <w:t>2、纸质投标文件均须A4纸打印（提倡双面打印），分别各自装订成册并编制目录和页码。</w:t>
      </w:r>
    </w:p>
    <w:p>
      <w:pPr>
        <w:autoSpaceDE w:val="0"/>
        <w:autoSpaceDN w:val="0"/>
        <w:adjustRightInd w:val="0"/>
        <w:spacing w:line="360" w:lineRule="auto"/>
        <w:ind w:firstLine="480"/>
        <w:rPr>
          <w:rFonts w:hint="eastAsia" w:ascii="仿宋" w:hAnsi="仿宋" w:eastAsia="仿宋" w:cs="仿宋"/>
          <w:b/>
          <w:bCs/>
          <w:szCs w:val="21"/>
          <w:lang w:val="zh-CN"/>
        </w:rPr>
      </w:pPr>
      <w:r>
        <w:rPr>
          <w:rFonts w:hint="eastAsia" w:ascii="仿宋" w:hAnsi="仿宋" w:eastAsia="仿宋" w:cs="仿宋"/>
          <w:szCs w:val="21"/>
        </w:rPr>
        <w:t>3、投标文件正本中的法人授权书及相关声明、说明及承诺须为原件。</w:t>
      </w:r>
    </w:p>
    <w:p>
      <w:pPr>
        <w:spacing w:line="360" w:lineRule="auto"/>
        <w:rPr>
          <w:rFonts w:hint="eastAsia" w:ascii="楷体" w:hAnsi="楷体" w:eastAsia="楷体" w:cs="楷体"/>
          <w:bCs/>
          <w:szCs w:val="13"/>
          <w:lang w:val="en-US" w:eastAsia="zh-CN"/>
        </w:rPr>
      </w:pPr>
      <w:r>
        <w:rPr>
          <w:rFonts w:hint="eastAsia" w:ascii="楷体" w:hAnsi="楷体" w:eastAsia="楷体" w:cs="楷体"/>
          <w:bCs/>
          <w:szCs w:val="13"/>
          <w:lang w:val="en-US" w:eastAsia="zh-CN"/>
        </w:rPr>
        <w:t xml:space="preserve"> </w:t>
      </w: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643"/>
        <w:rPr>
          <w:rFonts w:ascii="楷体" w:hAnsi="楷体" w:eastAsia="楷体" w:cs="楷体"/>
          <w:b/>
          <w:sz w:val="32"/>
        </w:rPr>
      </w:pPr>
    </w:p>
    <w:p>
      <w:pPr>
        <w:pStyle w:val="148"/>
        <w:ind w:firstLine="0" w:firstLineChars="0"/>
        <w:rPr>
          <w:rFonts w:ascii="楷体" w:hAnsi="楷体" w:eastAsia="楷体" w:cs="楷体"/>
          <w:b/>
          <w:sz w:val="32"/>
        </w:rPr>
      </w:pPr>
    </w:p>
    <w:p>
      <w:pPr>
        <w:jc w:val="left"/>
        <w:outlineLvl w:val="9"/>
        <w:rPr>
          <w:rFonts w:hint="eastAsia" w:ascii="楷体" w:hAnsi="楷体" w:eastAsia="楷体" w:cs="楷体"/>
          <w:b/>
          <w:sz w:val="28"/>
          <w:szCs w:val="28"/>
        </w:rPr>
      </w:pPr>
      <w:bookmarkStart w:id="335" w:name="_Toc27567"/>
      <w:bookmarkStart w:id="336" w:name="_Toc568"/>
      <w:bookmarkStart w:id="337" w:name="_Toc17925"/>
      <w:bookmarkStart w:id="338" w:name="_Toc15316"/>
      <w:bookmarkStart w:id="339" w:name="_Toc24126_WPSOffice_Level1"/>
      <w:bookmarkStart w:id="340" w:name="_Toc15084"/>
      <w:bookmarkStart w:id="341" w:name="_Toc27208"/>
      <w:bookmarkStart w:id="342" w:name="_Toc29912"/>
      <w:bookmarkStart w:id="343" w:name="_Toc2465"/>
      <w:bookmarkStart w:id="344" w:name="_Toc30921"/>
      <w:bookmarkStart w:id="345" w:name="_Toc5230"/>
      <w:bookmarkStart w:id="346" w:name="_Toc30817_WPSOffice_Level1"/>
      <w:bookmarkStart w:id="347" w:name="_Toc28277"/>
      <w:bookmarkStart w:id="348" w:name="_Toc24237_WPSOffice_Level1"/>
      <w:bookmarkStart w:id="349" w:name="_Toc5957"/>
      <w:bookmarkStart w:id="350" w:name="_Toc28156"/>
      <w:bookmarkStart w:id="351" w:name="_Toc13880"/>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9"/>
        <w:rPr>
          <w:rFonts w:hint="eastAsia" w:ascii="黑体" w:hAnsi="黑体" w:eastAsia="黑体" w:cs="黑体"/>
          <w:b/>
          <w:sz w:val="28"/>
          <w:szCs w:val="28"/>
        </w:rPr>
      </w:pPr>
    </w:p>
    <w:p>
      <w:pPr>
        <w:jc w:val="left"/>
        <w:outlineLvl w:val="0"/>
        <w:rPr>
          <w:rFonts w:hint="eastAsia" w:ascii="黑体" w:hAnsi="黑体" w:eastAsia="黑体" w:cs="黑体"/>
          <w:sz w:val="24"/>
        </w:rPr>
      </w:pPr>
      <w:bookmarkStart w:id="352" w:name="_Toc21878"/>
      <w:r>
        <w:rPr>
          <w:rFonts w:hint="eastAsia" w:ascii="黑体" w:hAnsi="黑体" w:eastAsia="黑体" w:cs="黑体"/>
          <w:b/>
          <w:sz w:val="28"/>
          <w:szCs w:val="28"/>
        </w:rPr>
        <w:t>项目编号：</w:t>
      </w:r>
      <w:r>
        <w:rPr>
          <w:rFonts w:hint="eastAsia" w:ascii="黑体" w:hAnsi="黑体" w:eastAsia="黑体" w:cs="黑体"/>
          <w:b/>
          <w:sz w:val="28"/>
          <w:szCs w:val="28"/>
          <w:highlight w:val="none"/>
          <w:lang w:eastAsia="zh-CN"/>
        </w:rPr>
        <w:t>TZZB-Z-2022</w:t>
      </w:r>
      <w:r>
        <w:rPr>
          <w:rFonts w:hint="eastAsia" w:ascii="黑体" w:hAnsi="黑体" w:eastAsia="黑体" w:cs="黑体"/>
          <w:b/>
          <w:sz w:val="28"/>
          <w:szCs w:val="28"/>
          <w:highlight w:val="none"/>
          <w:lang w:val="en-US" w:eastAsia="zh-CN"/>
        </w:rPr>
        <w:t>158</w:t>
      </w:r>
      <w:r>
        <w:rPr>
          <w:rFonts w:hint="eastAsia" w:ascii="黑体" w:hAnsi="黑体" w:eastAsia="黑体" w:cs="黑体"/>
          <w:b/>
          <w:sz w:val="28"/>
          <w:szCs w:val="28"/>
          <w:highlight w:val="none"/>
          <w:lang w:eastAsia="zh-CN"/>
        </w:rPr>
        <w:t>C</w:t>
      </w:r>
      <w:r>
        <w:rPr>
          <w:rFonts w:hint="eastAsia" w:ascii="黑体" w:hAnsi="黑体" w:eastAsia="黑体" w:cs="黑体"/>
          <w:b/>
          <w:sz w:val="28"/>
          <w:szCs w:val="28"/>
          <w:highlight w:val="none"/>
          <w:lang w:val="en-US" w:eastAsia="zh-CN"/>
        </w:rPr>
        <w:t xml:space="preserve">  </w:t>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（正本或副本）</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2"/>
        <w:jc w:val="both"/>
        <w:rPr>
          <w:rFonts w:hint="eastAsia" w:ascii="黑体" w:hAnsi="黑体" w:eastAsia="黑体" w:cs="黑体"/>
          <w:b/>
          <w:sz w:val="24"/>
        </w:rPr>
      </w:pPr>
    </w:p>
    <w:p>
      <w:pPr>
        <w:pStyle w:val="14"/>
        <w:rPr>
          <w:rFonts w:hint="eastAsia" w:ascii="黑体" w:hAnsi="黑体" w:eastAsia="黑体" w:cs="黑体"/>
          <w:b/>
          <w:color w:val="auto"/>
          <w:sz w:val="32"/>
          <w:szCs w:val="8"/>
          <w:lang w:eastAsia="zh-CN"/>
        </w:rPr>
      </w:pPr>
      <w:bookmarkStart w:id="353" w:name="_Toc18819"/>
      <w:bookmarkStart w:id="354" w:name="_Toc25183"/>
      <w:bookmarkStart w:id="355" w:name="_Toc7836"/>
      <w:bookmarkStart w:id="356" w:name="_Toc8883"/>
      <w:bookmarkStart w:id="357" w:name="_Toc23447"/>
      <w:bookmarkStart w:id="358" w:name="_Toc21875"/>
      <w:bookmarkStart w:id="359" w:name="_Toc8889"/>
      <w:bookmarkStart w:id="360" w:name="_Toc18750"/>
      <w:bookmarkStart w:id="361" w:name="_Toc31903"/>
      <w:bookmarkStart w:id="362" w:name="_Toc23631"/>
      <w:bookmarkStart w:id="363" w:name="_Toc3120"/>
      <w:bookmarkStart w:id="364" w:name="_Toc27564"/>
    </w:p>
    <w:p>
      <w:pPr>
        <w:pStyle w:val="14"/>
        <w:rPr>
          <w:rFonts w:hint="eastAsia" w:ascii="黑体" w:hAnsi="黑体" w:eastAsia="黑体" w:cs="黑体"/>
          <w:b/>
          <w:color w:val="auto"/>
          <w:sz w:val="32"/>
          <w:szCs w:val="8"/>
          <w:lang w:eastAsia="zh-CN"/>
        </w:rPr>
      </w:pPr>
    </w:p>
    <w:p>
      <w:pPr>
        <w:pStyle w:val="14"/>
        <w:rPr>
          <w:rFonts w:hint="eastAsia" w:ascii="黑体" w:hAnsi="黑体" w:eastAsia="黑体" w:cs="黑体"/>
          <w:b/>
          <w:color w:val="auto"/>
          <w:sz w:val="32"/>
          <w:szCs w:val="8"/>
          <w:lang w:eastAsia="zh-CN"/>
        </w:rPr>
      </w:pPr>
    </w:p>
    <w:p>
      <w:pPr>
        <w:jc w:val="center"/>
        <w:rPr>
          <w:rFonts w:hint="eastAsia" w:ascii="黑体" w:hAnsi="黑体" w:eastAsia="黑体" w:cs="黑体"/>
        </w:rPr>
      </w:pPr>
      <w:r>
        <w:rPr>
          <w:rFonts w:hint="eastAsia" w:ascii="黑体" w:hAnsi="黑体" w:eastAsia="黑体" w:cs="黑体"/>
          <w:b/>
          <w:color w:val="auto"/>
          <w:sz w:val="32"/>
          <w:szCs w:val="8"/>
          <w:lang w:eastAsia="zh-CN"/>
        </w:rPr>
        <w:t>陕西省长安师范学校附属小学安全教室项目</w:t>
      </w:r>
    </w:p>
    <w:p>
      <w:pPr>
        <w:pStyle w:val="56"/>
        <w:rPr>
          <w:rFonts w:hint="eastAsia" w:ascii="黑体" w:hAnsi="黑体" w:eastAsia="黑体" w:cs="黑体"/>
          <w:b/>
          <w:sz w:val="36"/>
          <w:szCs w:val="10"/>
        </w:rPr>
      </w:pPr>
    </w:p>
    <w:p>
      <w:pPr>
        <w:pStyle w:val="56"/>
        <w:ind w:left="0" w:leftChars="0" w:firstLine="0" w:firstLineChars="0"/>
        <w:rPr>
          <w:rFonts w:hint="eastAsia" w:ascii="黑体" w:hAnsi="黑体" w:eastAsia="黑体" w:cs="黑体"/>
          <w:b/>
          <w:sz w:val="36"/>
          <w:szCs w:val="10"/>
        </w:rPr>
      </w:pPr>
    </w:p>
    <w:p>
      <w:pPr>
        <w:pStyle w:val="56"/>
        <w:ind w:left="0" w:leftChars="0" w:firstLine="0" w:firstLineChars="0"/>
        <w:rPr>
          <w:rFonts w:hint="eastAsia" w:ascii="黑体" w:hAnsi="黑体" w:eastAsia="黑体" w:cs="黑体"/>
          <w:b/>
          <w:sz w:val="36"/>
          <w:szCs w:val="10"/>
        </w:rPr>
      </w:pPr>
    </w:p>
    <w:p>
      <w:pPr>
        <w:pStyle w:val="56"/>
        <w:ind w:left="0" w:leftChars="0" w:firstLine="0" w:firstLineChars="0"/>
        <w:rPr>
          <w:rFonts w:hint="eastAsia" w:ascii="黑体" w:hAnsi="黑体" w:eastAsia="黑体" w:cs="黑体"/>
          <w:b/>
          <w:sz w:val="36"/>
          <w:szCs w:val="10"/>
        </w:rPr>
      </w:pPr>
    </w:p>
    <w:p>
      <w:pPr>
        <w:pStyle w:val="56"/>
        <w:ind w:left="0" w:leftChars="0" w:firstLine="0" w:firstLineChars="0"/>
        <w:rPr>
          <w:rFonts w:hint="eastAsia" w:ascii="黑体" w:hAnsi="黑体" w:eastAsia="黑体" w:cs="黑体"/>
          <w:b/>
          <w:sz w:val="36"/>
          <w:szCs w:val="10"/>
        </w:rPr>
      </w:pPr>
    </w:p>
    <w:p>
      <w:pPr>
        <w:pStyle w:val="56"/>
        <w:rPr>
          <w:rFonts w:hint="eastAsia" w:ascii="黑体" w:hAnsi="黑体" w:eastAsia="黑体" w:cs="黑体"/>
          <w:b/>
          <w:sz w:val="36"/>
          <w:szCs w:val="10"/>
        </w:rPr>
      </w:pPr>
    </w:p>
    <w:p>
      <w:pPr>
        <w:ind w:left="0" w:leftChars="0" w:firstLine="3590" w:firstLineChars="745"/>
        <w:outlineLvl w:val="0"/>
        <w:rPr>
          <w:rFonts w:hint="eastAsia" w:ascii="黑体" w:hAnsi="黑体" w:eastAsia="黑体" w:cs="黑体"/>
          <w:b/>
          <w:sz w:val="48"/>
          <w:szCs w:val="15"/>
        </w:rPr>
      </w:pPr>
      <w:bookmarkStart w:id="365" w:name="_Toc21988"/>
      <w:bookmarkStart w:id="366" w:name="_Toc31080"/>
      <w:r>
        <w:rPr>
          <w:rFonts w:hint="eastAsia" w:ascii="黑体" w:hAnsi="黑体" w:eastAsia="黑体" w:cs="黑体"/>
          <w:b/>
          <w:sz w:val="48"/>
          <w:szCs w:val="15"/>
        </w:rPr>
        <w:t>投标文件</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tabs>
          <w:tab w:val="left" w:pos="2520"/>
        </w:tabs>
        <w:ind w:firstLine="211"/>
        <w:rPr>
          <w:rFonts w:hint="eastAsia" w:ascii="黑体" w:hAnsi="黑体" w:eastAsia="黑体" w:cs="黑体"/>
          <w:lang w:val="en-US" w:eastAsia="zh-CN"/>
        </w:rPr>
      </w:pPr>
      <w:r>
        <w:rPr>
          <w:rFonts w:hint="eastAsia" w:ascii="黑体" w:hAnsi="黑体" w:eastAsia="黑体" w:cs="黑体"/>
          <w:lang w:val="en-US" w:eastAsia="zh-CN"/>
        </w:rPr>
        <w:t xml:space="preserve"> </w:t>
      </w:r>
    </w:p>
    <w:p>
      <w:pPr>
        <w:pStyle w:val="56"/>
        <w:rPr>
          <w:rFonts w:hint="eastAsia" w:ascii="黑体" w:hAnsi="黑体" w:eastAsia="黑体" w:cs="黑体"/>
        </w:rPr>
      </w:pPr>
    </w:p>
    <w:p>
      <w:pPr>
        <w:pStyle w:val="56"/>
        <w:rPr>
          <w:rFonts w:hint="eastAsia" w:ascii="黑体" w:hAnsi="黑体" w:eastAsia="黑体" w:cs="黑体"/>
        </w:rPr>
      </w:pPr>
    </w:p>
    <w:p>
      <w:pPr>
        <w:pStyle w:val="56"/>
        <w:rPr>
          <w:rFonts w:hint="eastAsia" w:ascii="黑体" w:hAnsi="黑体" w:eastAsia="黑体" w:cs="黑体"/>
        </w:rPr>
      </w:pPr>
    </w:p>
    <w:p>
      <w:pPr>
        <w:pStyle w:val="56"/>
        <w:ind w:left="0" w:leftChars="0" w:firstLine="0" w:firstLineChars="0"/>
        <w:rPr>
          <w:rFonts w:hint="eastAsia" w:ascii="黑体" w:hAnsi="黑体" w:eastAsia="黑体" w:cs="黑体"/>
        </w:rPr>
      </w:pPr>
    </w:p>
    <w:p>
      <w:pPr>
        <w:pStyle w:val="56"/>
        <w:rPr>
          <w:rFonts w:hint="eastAsia" w:ascii="黑体" w:hAnsi="黑体" w:eastAsia="黑体" w:cs="黑体"/>
        </w:rPr>
      </w:pPr>
    </w:p>
    <w:p>
      <w:pPr>
        <w:spacing w:line="480" w:lineRule="auto"/>
        <w:ind w:firstLine="321" w:firstLineChars="100"/>
        <w:outlineLvl w:val="9"/>
        <w:rPr>
          <w:rFonts w:hint="eastAsia" w:ascii="黑体" w:hAnsi="黑体" w:eastAsia="黑体" w:cs="黑体"/>
          <w:b/>
          <w:sz w:val="32"/>
          <w:szCs w:val="20"/>
        </w:rPr>
      </w:pPr>
      <w:bookmarkStart w:id="367" w:name="_Toc345"/>
      <w:bookmarkStart w:id="368" w:name="_Toc22634"/>
      <w:bookmarkStart w:id="369" w:name="_Toc8896"/>
      <w:bookmarkStart w:id="370" w:name="_Toc6562"/>
      <w:bookmarkStart w:id="371" w:name="_Toc20098"/>
      <w:bookmarkStart w:id="372" w:name="_Toc8670"/>
      <w:bookmarkStart w:id="373" w:name="_Toc9137"/>
      <w:bookmarkStart w:id="374" w:name="_Toc5217"/>
      <w:bookmarkStart w:id="375" w:name="_Toc28749"/>
      <w:bookmarkStart w:id="376" w:name="_Toc20301"/>
      <w:bookmarkStart w:id="377" w:name="_Toc9170"/>
      <w:bookmarkStart w:id="378" w:name="_Toc20665"/>
      <w:bookmarkStart w:id="379" w:name="_Toc8379"/>
    </w:p>
    <w:p>
      <w:pPr>
        <w:spacing w:line="480" w:lineRule="auto"/>
        <w:ind w:firstLine="964" w:firstLineChars="300"/>
        <w:outlineLvl w:val="0"/>
        <w:rPr>
          <w:rFonts w:hint="eastAsia" w:ascii="黑体" w:hAnsi="黑体" w:eastAsia="黑体" w:cs="黑体"/>
          <w:b/>
          <w:sz w:val="32"/>
          <w:szCs w:val="20"/>
          <w:lang w:val="en-US" w:eastAsia="zh-CN"/>
        </w:rPr>
      </w:pPr>
      <w:bookmarkStart w:id="380" w:name="_Toc20918"/>
      <w:r>
        <w:rPr>
          <w:rFonts w:hint="eastAsia" w:ascii="黑体" w:hAnsi="黑体" w:eastAsia="黑体" w:cs="黑体"/>
          <w:b/>
          <w:sz w:val="32"/>
          <w:szCs w:val="20"/>
        </w:rPr>
        <w:t>投 标 人：</w:t>
      </w:r>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ascii="黑体" w:hAnsi="黑体" w:eastAsia="黑体" w:cs="黑体"/>
          <w:b/>
          <w:sz w:val="32"/>
          <w:szCs w:val="22"/>
          <w:u w:val="single"/>
          <w:lang w:val="en-US" w:eastAsia="zh-CN"/>
        </w:rPr>
        <w:t xml:space="preserve">                   </w:t>
      </w:r>
      <w:r>
        <w:rPr>
          <w:rFonts w:hint="eastAsia" w:ascii="黑体" w:hAnsi="黑体" w:eastAsia="黑体" w:cs="黑体"/>
          <w:b/>
          <w:sz w:val="32"/>
          <w:szCs w:val="22"/>
          <w:u w:val="single"/>
        </w:rPr>
        <w:t>（公章）</w:t>
      </w:r>
      <w:bookmarkEnd w:id="380"/>
      <w:r>
        <w:rPr>
          <w:rFonts w:hint="eastAsia" w:ascii="黑体" w:hAnsi="黑体" w:eastAsia="黑体" w:cs="黑体"/>
          <w:b/>
          <w:sz w:val="32"/>
          <w:szCs w:val="22"/>
          <w:u w:val="single"/>
          <w:lang w:val="en-US" w:eastAsia="zh-CN"/>
        </w:rPr>
        <w:t xml:space="preserve">   </w:t>
      </w:r>
    </w:p>
    <w:p>
      <w:pPr>
        <w:pStyle w:val="56"/>
        <w:spacing w:line="480" w:lineRule="auto"/>
        <w:ind w:firstLine="321" w:firstLineChars="100"/>
        <w:outlineLvl w:val="9"/>
        <w:rPr>
          <w:rFonts w:hint="eastAsia" w:ascii="黑体" w:hAnsi="黑体" w:eastAsia="黑体" w:cs="黑体"/>
          <w:b/>
          <w:kern w:val="2"/>
          <w:sz w:val="32"/>
          <w:szCs w:val="22"/>
        </w:rPr>
      </w:pPr>
      <w:bookmarkStart w:id="381" w:name="_Toc16444"/>
      <w:bookmarkStart w:id="382" w:name="_Toc11921"/>
      <w:bookmarkStart w:id="383" w:name="_Toc14313"/>
      <w:bookmarkStart w:id="384" w:name="_Toc16111"/>
      <w:bookmarkStart w:id="385" w:name="_Toc1223"/>
      <w:bookmarkStart w:id="386" w:name="_Toc9466"/>
      <w:bookmarkStart w:id="387" w:name="_Toc23371"/>
      <w:bookmarkStart w:id="388" w:name="_Toc27648"/>
      <w:bookmarkStart w:id="389" w:name="_Toc21282"/>
      <w:bookmarkStart w:id="390" w:name="_Toc20062"/>
      <w:bookmarkStart w:id="391" w:name="_Toc14125"/>
      <w:bookmarkStart w:id="392" w:name="_Toc6819"/>
    </w:p>
    <w:p>
      <w:pPr>
        <w:pStyle w:val="56"/>
        <w:spacing w:line="480" w:lineRule="auto"/>
        <w:ind w:firstLine="964" w:firstLineChars="300"/>
        <w:outlineLvl w:val="0"/>
        <w:rPr>
          <w:rFonts w:hint="eastAsia" w:ascii="黑体" w:hAnsi="黑体" w:eastAsia="黑体" w:cs="黑体"/>
          <w:b/>
          <w:kern w:val="2"/>
          <w:sz w:val="32"/>
          <w:szCs w:val="22"/>
          <w:u w:val="single"/>
        </w:rPr>
      </w:pPr>
      <w:bookmarkStart w:id="393" w:name="_Toc16174"/>
      <w:bookmarkStart w:id="394" w:name="_Toc7671"/>
      <w:r>
        <w:rPr>
          <w:rFonts w:hint="eastAsia" w:ascii="黑体" w:hAnsi="黑体" w:eastAsia="黑体" w:cs="黑体"/>
          <w:b/>
          <w:kern w:val="2"/>
          <w:sz w:val="32"/>
          <w:szCs w:val="22"/>
        </w:rPr>
        <w:t>法定代表人或其被授权委托代理人 ：</w:t>
      </w:r>
      <w:r>
        <w:rPr>
          <w:rFonts w:hint="eastAsia" w:ascii="黑体" w:hAnsi="黑体" w:eastAsia="黑体" w:cs="黑体"/>
          <w:b/>
          <w:kern w:val="2"/>
          <w:sz w:val="32"/>
          <w:szCs w:val="22"/>
          <w:u w:val="single"/>
          <w:lang w:val="en-US" w:eastAsia="zh-CN"/>
        </w:rPr>
        <w:t xml:space="preserve">    </w:t>
      </w:r>
      <w:r>
        <w:rPr>
          <w:rFonts w:hint="eastAsia" w:ascii="黑体" w:hAnsi="黑体" w:eastAsia="黑体" w:cs="黑体"/>
          <w:b/>
          <w:kern w:val="2"/>
          <w:sz w:val="32"/>
          <w:szCs w:val="22"/>
          <w:u w:val="single"/>
        </w:rPr>
        <w:t>（签字）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480" w:lineRule="auto"/>
        <w:ind w:firstLine="2249" w:firstLineChars="700"/>
        <w:outlineLvl w:val="9"/>
        <w:rPr>
          <w:rFonts w:hint="eastAsia" w:ascii="黑体" w:hAnsi="黑体" w:eastAsia="黑体" w:cs="黑体"/>
          <w:b/>
          <w:sz w:val="32"/>
          <w:szCs w:val="20"/>
        </w:rPr>
      </w:pPr>
      <w:bookmarkStart w:id="395" w:name="_Toc805"/>
      <w:bookmarkStart w:id="396" w:name="_Toc12642"/>
      <w:bookmarkStart w:id="397" w:name="_Toc26886"/>
      <w:bookmarkStart w:id="398" w:name="_Toc31173"/>
      <w:bookmarkStart w:id="399" w:name="_Toc15860"/>
      <w:bookmarkStart w:id="400" w:name="_Toc542"/>
      <w:bookmarkStart w:id="401" w:name="_Toc17633"/>
      <w:bookmarkStart w:id="402" w:name="_Toc6135"/>
      <w:bookmarkStart w:id="403" w:name="_Toc32195"/>
      <w:bookmarkStart w:id="404" w:name="_Toc4493"/>
      <w:bookmarkStart w:id="405" w:name="_Toc4051"/>
      <w:bookmarkStart w:id="406" w:name="_Toc27525"/>
    </w:p>
    <w:p>
      <w:pPr>
        <w:spacing w:line="480" w:lineRule="auto"/>
        <w:ind w:firstLine="2570" w:firstLineChars="800"/>
        <w:outlineLvl w:val="0"/>
        <w:rPr>
          <w:rFonts w:hint="eastAsia" w:ascii="黑体" w:hAnsi="黑体" w:eastAsia="黑体" w:cs="黑体"/>
          <w:b/>
          <w:sz w:val="32"/>
          <w:szCs w:val="20"/>
        </w:rPr>
      </w:pPr>
      <w:bookmarkStart w:id="407" w:name="_Toc399"/>
      <w:bookmarkStart w:id="408" w:name="_Toc618"/>
      <w:r>
        <w:rPr>
          <w:rFonts w:hint="eastAsia" w:ascii="黑体" w:hAnsi="黑体" w:eastAsia="黑体" w:cs="黑体"/>
          <w:b/>
          <w:sz w:val="32"/>
          <w:szCs w:val="20"/>
        </w:rPr>
        <w:t xml:space="preserve">日  期：  年 </w:t>
      </w:r>
      <w:r>
        <w:rPr>
          <w:rFonts w:hint="eastAsia" w:ascii="黑体" w:hAnsi="黑体" w:eastAsia="黑体" w:cs="黑体"/>
          <w:b/>
          <w:sz w:val="32"/>
          <w:szCs w:val="20"/>
          <w:lang w:val="en-US" w:eastAsia="zh-CN"/>
        </w:rPr>
        <w:t xml:space="preserve"> </w:t>
      </w:r>
      <w:r>
        <w:rPr>
          <w:rFonts w:hint="eastAsia" w:ascii="黑体" w:hAnsi="黑体" w:eastAsia="黑体" w:cs="黑体"/>
          <w:b/>
          <w:sz w:val="32"/>
          <w:szCs w:val="20"/>
        </w:rPr>
        <w:t xml:space="preserve">月 </w:t>
      </w:r>
      <w:r>
        <w:rPr>
          <w:rFonts w:hint="eastAsia" w:ascii="黑体" w:hAnsi="黑体" w:eastAsia="黑体" w:cs="黑体"/>
          <w:b/>
          <w:sz w:val="32"/>
          <w:szCs w:val="20"/>
          <w:lang w:val="en-US" w:eastAsia="zh-CN"/>
        </w:rPr>
        <w:t xml:space="preserve"> </w:t>
      </w:r>
      <w:r>
        <w:rPr>
          <w:rFonts w:hint="eastAsia" w:ascii="黑体" w:hAnsi="黑体" w:eastAsia="黑体" w:cs="黑体"/>
          <w:b/>
          <w:sz w:val="32"/>
          <w:szCs w:val="20"/>
        </w:rPr>
        <w:t>日</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480" w:lineRule="auto"/>
        <w:outlineLvl w:val="9"/>
        <w:rPr>
          <w:rFonts w:ascii="楷体" w:hAnsi="楷体" w:eastAsia="楷体" w:cs="楷体"/>
          <w:b/>
          <w:sz w:val="32"/>
          <w:szCs w:val="32"/>
          <w:lang w:val="zh-CN"/>
        </w:rPr>
      </w:pPr>
      <w:bookmarkStart w:id="409" w:name="_Toc20723"/>
      <w:bookmarkStart w:id="410" w:name="_Toc1074"/>
      <w:bookmarkStart w:id="411" w:name="_Toc25291_WPSOffice_Level1"/>
      <w:bookmarkStart w:id="412" w:name="_Toc24422"/>
      <w:bookmarkStart w:id="413" w:name="_Toc9357_WPSOffice_Level1"/>
      <w:bookmarkStart w:id="414" w:name="_Toc18210"/>
      <w:bookmarkStart w:id="415" w:name="_Toc24840"/>
      <w:bookmarkStart w:id="416" w:name="_Toc9368"/>
      <w:bookmarkStart w:id="417" w:name="_Toc30338"/>
      <w:bookmarkStart w:id="418" w:name="_Toc15258"/>
      <w:bookmarkStart w:id="419" w:name="_Toc5232_WPSOffice_Level1"/>
      <w:bookmarkStart w:id="420" w:name="_Toc26731"/>
      <w:bookmarkStart w:id="421" w:name="_Toc30891"/>
      <w:bookmarkStart w:id="422" w:name="_Toc14374"/>
    </w:p>
    <w:p>
      <w:pPr>
        <w:spacing w:line="480" w:lineRule="auto"/>
        <w:ind w:firstLine="3534" w:firstLineChars="1100"/>
        <w:outlineLvl w:val="0"/>
        <w:rPr>
          <w:rFonts w:hint="eastAsia" w:ascii="黑体" w:hAnsi="黑体" w:eastAsia="黑体" w:cs="黑体"/>
          <w:b/>
          <w:sz w:val="32"/>
          <w:szCs w:val="32"/>
          <w:lang w:val="zh-CN"/>
        </w:rPr>
      </w:pPr>
      <w:bookmarkStart w:id="423" w:name="_Toc4164"/>
      <w:bookmarkStart w:id="424" w:name="_Toc8288"/>
      <w:r>
        <w:rPr>
          <w:rFonts w:hint="eastAsia" w:ascii="黑体" w:hAnsi="黑体" w:eastAsia="黑体" w:cs="黑体"/>
          <w:b/>
          <w:sz w:val="32"/>
          <w:szCs w:val="32"/>
          <w:lang w:val="zh-CN"/>
        </w:rPr>
        <w:t>目   录</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pStyle w:val="39"/>
        <w:spacing w:after="0" w:line="360" w:lineRule="auto"/>
        <w:ind w:firstLine="210"/>
        <w:jc w:val="both"/>
        <w:outlineLvl w:val="0"/>
        <w:rPr>
          <w:rFonts w:hint="eastAsia" w:ascii="仿宋" w:hAnsi="仿宋" w:eastAsia="仿宋" w:cs="仿宋"/>
          <w:bCs/>
          <w:color w:val="auto"/>
          <w:sz w:val="24"/>
          <w:szCs w:val="24"/>
        </w:rPr>
      </w:pPr>
      <w:bookmarkStart w:id="425" w:name="_Toc16394"/>
      <w:bookmarkStart w:id="426" w:name="_Toc22720"/>
      <w:r>
        <w:rPr>
          <w:rFonts w:hint="eastAsia" w:ascii="仿宋" w:hAnsi="仿宋" w:eastAsia="仿宋" w:cs="仿宋"/>
          <w:bCs/>
          <w:color w:val="auto"/>
          <w:sz w:val="24"/>
          <w:szCs w:val="24"/>
        </w:rPr>
        <w:t>一、投标函 ……………………………………………………………………………页码</w:t>
      </w:r>
      <w:bookmarkEnd w:id="425"/>
      <w:bookmarkEnd w:id="426"/>
    </w:p>
    <w:p>
      <w:pPr>
        <w:pStyle w:val="39"/>
        <w:spacing w:after="0" w:line="360" w:lineRule="auto"/>
        <w:ind w:firstLine="210"/>
        <w:jc w:val="both"/>
        <w:outlineLvl w:val="0"/>
        <w:rPr>
          <w:rFonts w:hint="eastAsia" w:ascii="仿宋" w:hAnsi="仿宋" w:eastAsia="仿宋" w:cs="仿宋"/>
          <w:bCs/>
          <w:color w:val="auto"/>
          <w:sz w:val="24"/>
          <w:szCs w:val="24"/>
        </w:rPr>
      </w:pPr>
      <w:bookmarkStart w:id="427" w:name="_Toc17591"/>
      <w:bookmarkStart w:id="428" w:name="_Toc23626"/>
      <w:r>
        <w:rPr>
          <w:rFonts w:hint="eastAsia" w:ascii="仿宋" w:hAnsi="仿宋" w:eastAsia="仿宋" w:cs="仿宋"/>
          <w:bCs/>
          <w:color w:val="auto"/>
          <w:sz w:val="24"/>
          <w:szCs w:val="24"/>
        </w:rPr>
        <w:t>二、开标一览表 ………………………………………………………………………</w:t>
      </w:r>
      <w:bookmarkEnd w:id="427"/>
      <w:bookmarkEnd w:id="428"/>
    </w:p>
    <w:p>
      <w:pPr>
        <w:pStyle w:val="39"/>
        <w:spacing w:after="0" w:line="360" w:lineRule="auto"/>
        <w:ind w:firstLine="210"/>
        <w:jc w:val="both"/>
        <w:outlineLvl w:val="0"/>
        <w:rPr>
          <w:rFonts w:hint="eastAsia" w:ascii="仿宋" w:hAnsi="仿宋" w:eastAsia="仿宋" w:cs="仿宋"/>
          <w:bCs/>
          <w:color w:val="auto"/>
          <w:sz w:val="24"/>
          <w:szCs w:val="24"/>
        </w:rPr>
      </w:pPr>
      <w:bookmarkStart w:id="429" w:name="_Toc24927"/>
      <w:bookmarkStart w:id="430" w:name="_Toc17320"/>
      <w:r>
        <w:rPr>
          <w:rFonts w:hint="eastAsia" w:ascii="仿宋" w:hAnsi="仿宋" w:eastAsia="仿宋" w:cs="仿宋"/>
          <w:bCs/>
          <w:color w:val="auto"/>
          <w:sz w:val="24"/>
          <w:szCs w:val="24"/>
        </w:rPr>
        <w:t>三、分项报价表 ……………………………………………………………</w:t>
      </w:r>
      <w:bookmarkEnd w:id="429"/>
      <w:r>
        <w:rPr>
          <w:rFonts w:hint="eastAsia" w:ascii="仿宋" w:hAnsi="仿宋" w:eastAsia="仿宋" w:cs="仿宋"/>
          <w:bCs/>
          <w:color w:val="auto"/>
          <w:sz w:val="24"/>
          <w:szCs w:val="24"/>
        </w:rPr>
        <w:t>…………</w:t>
      </w:r>
      <w:bookmarkEnd w:id="430"/>
    </w:p>
    <w:p>
      <w:pPr>
        <w:pStyle w:val="39"/>
        <w:spacing w:after="0" w:line="360" w:lineRule="auto"/>
        <w:ind w:firstLine="210"/>
        <w:jc w:val="both"/>
        <w:outlineLvl w:val="0"/>
        <w:rPr>
          <w:rFonts w:hint="eastAsia" w:ascii="仿宋" w:hAnsi="仿宋" w:eastAsia="仿宋" w:cs="仿宋"/>
          <w:bCs/>
          <w:color w:val="auto"/>
          <w:sz w:val="24"/>
          <w:szCs w:val="24"/>
        </w:rPr>
      </w:pPr>
      <w:bookmarkStart w:id="431" w:name="_Toc8695"/>
      <w:bookmarkStart w:id="432" w:name="_Toc1310"/>
      <w:r>
        <w:rPr>
          <w:rFonts w:hint="eastAsia" w:ascii="仿宋" w:hAnsi="仿宋" w:eastAsia="仿宋" w:cs="仿宋"/>
          <w:bCs/>
          <w:color w:val="auto"/>
          <w:sz w:val="24"/>
          <w:szCs w:val="24"/>
        </w:rPr>
        <w:t>四、</w:t>
      </w:r>
      <w:r>
        <w:rPr>
          <w:rFonts w:hint="eastAsia" w:ascii="仿宋" w:hAnsi="仿宋" w:eastAsia="仿宋" w:cs="仿宋"/>
          <w:bCs/>
          <w:color w:val="auto"/>
          <w:sz w:val="24"/>
          <w:szCs w:val="24"/>
          <w:lang w:val="en-US" w:eastAsia="zh-CN"/>
        </w:rPr>
        <w:t>技术部分</w:t>
      </w:r>
      <w:r>
        <w:rPr>
          <w:rFonts w:hint="eastAsia" w:ascii="仿宋" w:hAnsi="仿宋" w:eastAsia="仿宋" w:cs="仿宋"/>
          <w:bCs/>
          <w:color w:val="auto"/>
          <w:sz w:val="24"/>
          <w:szCs w:val="24"/>
        </w:rPr>
        <w:t xml:space="preserve"> ………………………………………………………………………</w:t>
      </w:r>
      <w:bookmarkEnd w:id="431"/>
      <w:r>
        <w:rPr>
          <w:rFonts w:hint="eastAsia" w:ascii="仿宋" w:hAnsi="仿宋" w:eastAsia="仿宋" w:cs="仿宋"/>
          <w:bCs/>
          <w:color w:val="auto"/>
          <w:sz w:val="24"/>
          <w:szCs w:val="24"/>
        </w:rPr>
        <w:t>…</w:t>
      </w:r>
      <w:bookmarkEnd w:id="432"/>
    </w:p>
    <w:p>
      <w:pPr>
        <w:pStyle w:val="39"/>
        <w:spacing w:after="0" w:line="360" w:lineRule="auto"/>
        <w:ind w:firstLine="210"/>
        <w:jc w:val="both"/>
        <w:outlineLvl w:val="0"/>
        <w:rPr>
          <w:rFonts w:hint="eastAsia" w:ascii="仿宋" w:hAnsi="仿宋" w:eastAsia="仿宋" w:cs="仿宋"/>
          <w:bCs/>
          <w:color w:val="auto"/>
          <w:sz w:val="24"/>
          <w:szCs w:val="24"/>
        </w:rPr>
      </w:pPr>
      <w:bookmarkStart w:id="433" w:name="_Toc13274"/>
      <w:bookmarkStart w:id="434" w:name="_Toc5710"/>
      <w:r>
        <w:rPr>
          <w:rFonts w:hint="eastAsia" w:ascii="仿宋" w:hAnsi="仿宋" w:eastAsia="仿宋" w:cs="仿宋"/>
          <w:bCs/>
          <w:color w:val="auto"/>
          <w:sz w:val="24"/>
          <w:szCs w:val="24"/>
        </w:rPr>
        <w:t>五、</w:t>
      </w:r>
      <w:r>
        <w:rPr>
          <w:rFonts w:hint="eastAsia" w:ascii="仿宋" w:hAnsi="仿宋" w:eastAsia="仿宋" w:cs="仿宋"/>
          <w:bCs/>
          <w:color w:val="auto"/>
          <w:sz w:val="24"/>
          <w:szCs w:val="24"/>
          <w:lang w:val="en-US" w:eastAsia="zh-CN"/>
        </w:rPr>
        <w:t>履约能力</w:t>
      </w:r>
      <w:r>
        <w:rPr>
          <w:rFonts w:hint="eastAsia" w:ascii="仿宋" w:hAnsi="仿宋" w:eastAsia="仿宋" w:cs="仿宋"/>
          <w:bCs/>
          <w:color w:val="auto"/>
          <w:sz w:val="24"/>
          <w:szCs w:val="24"/>
        </w:rPr>
        <w:t>………………………………………………</w:t>
      </w:r>
      <w:bookmarkEnd w:id="433"/>
      <w:bookmarkStart w:id="435" w:name="_Toc31135"/>
      <w:r>
        <w:rPr>
          <w:rFonts w:hint="eastAsia" w:ascii="仿宋" w:hAnsi="仿宋" w:eastAsia="仿宋" w:cs="仿宋"/>
          <w:bCs/>
          <w:color w:val="auto"/>
          <w:sz w:val="24"/>
          <w:szCs w:val="24"/>
        </w:rPr>
        <w:t>……………………………</w:t>
      </w:r>
      <w:bookmarkEnd w:id="434"/>
    </w:p>
    <w:bookmarkEnd w:id="435"/>
    <w:p>
      <w:pPr>
        <w:pStyle w:val="39"/>
        <w:spacing w:after="0" w:line="360" w:lineRule="auto"/>
        <w:ind w:firstLine="210"/>
        <w:jc w:val="both"/>
        <w:outlineLvl w:val="0"/>
        <w:rPr>
          <w:rFonts w:hint="eastAsia" w:ascii="仿宋" w:hAnsi="仿宋" w:eastAsia="仿宋" w:cs="仿宋"/>
          <w:bCs/>
          <w:color w:val="auto"/>
          <w:sz w:val="24"/>
          <w:szCs w:val="24"/>
          <w:lang w:val="en-US" w:eastAsia="zh-CN"/>
        </w:rPr>
      </w:pPr>
      <w:bookmarkStart w:id="436" w:name="_Toc4785"/>
      <w:bookmarkStart w:id="437" w:name="_Toc28850"/>
      <w:r>
        <w:rPr>
          <w:rFonts w:hint="eastAsia" w:ascii="仿宋" w:hAnsi="仿宋" w:eastAsia="仿宋" w:cs="仿宋"/>
          <w:bCs/>
          <w:color w:val="auto"/>
          <w:sz w:val="24"/>
          <w:szCs w:val="24"/>
        </w:rPr>
        <w:t>六、</w:t>
      </w:r>
      <w:r>
        <w:rPr>
          <w:rFonts w:hint="eastAsia" w:ascii="仿宋" w:hAnsi="仿宋" w:eastAsia="仿宋" w:cs="仿宋"/>
          <w:bCs/>
          <w:color w:val="auto"/>
          <w:sz w:val="24"/>
          <w:szCs w:val="24"/>
          <w:lang w:val="en-US" w:eastAsia="zh-CN"/>
        </w:rPr>
        <w:t>商务条款偏离表</w:t>
      </w:r>
      <w:r>
        <w:rPr>
          <w:rFonts w:hint="eastAsia" w:ascii="仿宋" w:hAnsi="仿宋" w:eastAsia="仿宋" w:cs="仿宋"/>
          <w:bCs/>
          <w:color w:val="auto"/>
          <w:sz w:val="24"/>
          <w:szCs w:val="24"/>
        </w:rPr>
        <w:t>………………………………………………</w:t>
      </w:r>
      <w:bookmarkEnd w:id="436"/>
      <w:bookmarkStart w:id="438" w:name="_Toc12871"/>
      <w:r>
        <w:rPr>
          <w:rFonts w:hint="eastAsia" w:ascii="仿宋" w:hAnsi="仿宋" w:eastAsia="仿宋" w:cs="仿宋"/>
          <w:bCs/>
          <w:color w:val="auto"/>
          <w:sz w:val="24"/>
          <w:szCs w:val="24"/>
        </w:rPr>
        <w:t>……………………</w:t>
      </w:r>
      <w:bookmarkEnd w:id="437"/>
    </w:p>
    <w:p>
      <w:pPr>
        <w:pStyle w:val="39"/>
        <w:spacing w:after="0" w:line="360" w:lineRule="auto"/>
        <w:ind w:firstLine="210"/>
        <w:jc w:val="both"/>
        <w:outlineLvl w:val="0"/>
        <w:rPr>
          <w:rFonts w:hint="eastAsia" w:ascii="仿宋" w:hAnsi="仿宋" w:eastAsia="仿宋" w:cs="仿宋"/>
          <w:bCs/>
          <w:color w:val="auto"/>
          <w:sz w:val="24"/>
          <w:szCs w:val="24"/>
        </w:rPr>
      </w:pPr>
      <w:bookmarkStart w:id="439" w:name="_Toc19354"/>
      <w:r>
        <w:rPr>
          <w:rFonts w:hint="eastAsia" w:ascii="仿宋" w:hAnsi="仿宋" w:eastAsia="仿宋" w:cs="仿宋"/>
          <w:bCs/>
          <w:color w:val="auto"/>
          <w:sz w:val="24"/>
          <w:szCs w:val="24"/>
        </w:rPr>
        <w:t>七、技术参数偏离表 ………………………………………………………………</w:t>
      </w:r>
      <w:bookmarkEnd w:id="438"/>
      <w:r>
        <w:rPr>
          <w:rFonts w:hint="eastAsia" w:ascii="仿宋" w:hAnsi="仿宋" w:eastAsia="仿宋" w:cs="仿宋"/>
          <w:bCs/>
          <w:color w:val="auto"/>
          <w:sz w:val="24"/>
          <w:szCs w:val="24"/>
        </w:rPr>
        <w:t>…</w:t>
      </w:r>
      <w:bookmarkEnd w:id="439"/>
    </w:p>
    <w:p>
      <w:pPr>
        <w:pStyle w:val="39"/>
        <w:spacing w:after="0" w:line="360" w:lineRule="auto"/>
        <w:ind w:firstLine="210"/>
        <w:jc w:val="left"/>
        <w:outlineLvl w:val="0"/>
        <w:rPr>
          <w:rFonts w:hint="eastAsia" w:ascii="仿宋" w:hAnsi="仿宋" w:eastAsia="仿宋" w:cs="仿宋"/>
          <w:bCs/>
          <w:color w:val="auto"/>
          <w:sz w:val="24"/>
          <w:szCs w:val="24"/>
        </w:rPr>
      </w:pPr>
      <w:bookmarkStart w:id="440" w:name="_Toc21846"/>
      <w:bookmarkStart w:id="441" w:name="_Toc217"/>
      <w:r>
        <w:rPr>
          <w:rFonts w:hint="eastAsia" w:ascii="仿宋" w:hAnsi="仿宋" w:eastAsia="仿宋" w:cs="仿宋"/>
          <w:bCs/>
          <w:color w:val="auto"/>
          <w:sz w:val="24"/>
          <w:szCs w:val="24"/>
        </w:rPr>
        <w:t>八</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其他材料及投标人认为有必要说明、阐述的事项 ……………………………</w:t>
      </w:r>
      <w:bookmarkEnd w:id="440"/>
      <w:bookmarkEnd w:id="441"/>
    </w:p>
    <w:p>
      <w:pPr>
        <w:pStyle w:val="39"/>
        <w:spacing w:after="0" w:line="360" w:lineRule="auto"/>
        <w:ind w:firstLine="210"/>
        <w:jc w:val="both"/>
        <w:outlineLvl w:val="0"/>
        <w:rPr>
          <w:rFonts w:hint="eastAsia" w:ascii="仿宋" w:hAnsi="仿宋" w:eastAsia="仿宋" w:cs="仿宋"/>
          <w:bCs/>
          <w:color w:val="auto"/>
          <w:sz w:val="24"/>
          <w:szCs w:val="24"/>
        </w:rPr>
      </w:pPr>
      <w:bookmarkStart w:id="442" w:name="_Toc17064"/>
      <w:r>
        <w:rPr>
          <w:rFonts w:hint="eastAsia" w:ascii="仿宋" w:hAnsi="仿宋" w:eastAsia="仿宋" w:cs="仿宋"/>
          <w:bCs/>
          <w:color w:val="auto"/>
          <w:sz w:val="24"/>
          <w:szCs w:val="24"/>
          <w:lang w:val="en-US" w:eastAsia="zh-CN"/>
        </w:rPr>
        <w:t>九</w:t>
      </w:r>
      <w:r>
        <w:rPr>
          <w:rFonts w:hint="eastAsia" w:ascii="仿宋" w:hAnsi="仿宋" w:eastAsia="仿宋" w:cs="仿宋"/>
          <w:bCs/>
          <w:color w:val="auto"/>
          <w:sz w:val="24"/>
          <w:szCs w:val="24"/>
        </w:rPr>
        <w:t>、投标人资格证明文件 ……………………………………………………………</w:t>
      </w:r>
      <w:bookmarkEnd w:id="442"/>
    </w:p>
    <w:p>
      <w:pPr>
        <w:pStyle w:val="39"/>
        <w:spacing w:after="0" w:line="360" w:lineRule="auto"/>
        <w:ind w:firstLine="210"/>
        <w:jc w:val="left"/>
        <w:outlineLvl w:val="9"/>
        <w:rPr>
          <w:rFonts w:hint="eastAsia" w:ascii="楷体" w:hAnsi="楷体" w:eastAsia="楷体" w:cs="楷体"/>
          <w:bCs/>
          <w:color w:val="FF0000"/>
          <w:sz w:val="21"/>
          <w:szCs w:val="21"/>
          <w:lang w:eastAsia="zh-CN"/>
        </w:rPr>
      </w:pPr>
    </w:p>
    <w:p>
      <w:pPr>
        <w:pStyle w:val="2"/>
        <w:ind w:firstLine="210" w:firstLineChars="100"/>
        <w:jc w:val="left"/>
        <w:outlineLvl w:val="9"/>
        <w:rPr>
          <w:rFonts w:ascii="楷体" w:hAnsi="楷体" w:eastAsia="楷体" w:cs="楷体"/>
          <w:bCs/>
          <w:color w:val="FF0000"/>
          <w:szCs w:val="21"/>
        </w:rPr>
      </w:pPr>
    </w:p>
    <w:p>
      <w:pPr>
        <w:pStyle w:val="2"/>
        <w:ind w:firstLine="210" w:firstLineChars="100"/>
        <w:jc w:val="left"/>
        <w:outlineLvl w:val="9"/>
        <w:rPr>
          <w:rFonts w:ascii="楷体" w:hAnsi="楷体" w:eastAsia="楷体" w:cs="楷体"/>
          <w:bCs/>
          <w:color w:val="FF0000"/>
          <w:szCs w:val="21"/>
        </w:rPr>
      </w:pPr>
    </w:p>
    <w:p>
      <w:pPr>
        <w:pStyle w:val="39"/>
        <w:spacing w:after="0" w:line="360" w:lineRule="auto"/>
        <w:ind w:firstLine="210"/>
        <w:jc w:val="both"/>
        <w:outlineLvl w:val="9"/>
        <w:rPr>
          <w:rFonts w:ascii="楷体" w:hAnsi="楷体" w:eastAsia="楷体" w:cs="楷体"/>
          <w:bCs/>
          <w:color w:val="FF0000"/>
          <w:sz w:val="21"/>
          <w:szCs w:val="21"/>
        </w:rPr>
      </w:pPr>
    </w:p>
    <w:p>
      <w:pPr>
        <w:rPr>
          <w:rFonts w:ascii="楷体" w:hAnsi="楷体" w:eastAsia="楷体" w:cs="楷体"/>
          <w:b/>
          <w:sz w:val="24"/>
          <w:szCs w:val="24"/>
        </w:rPr>
      </w:pPr>
    </w:p>
    <w:p>
      <w:pPr>
        <w:rPr>
          <w:rFonts w:ascii="楷体" w:hAnsi="楷体" w:eastAsia="楷体" w:cs="楷体"/>
          <w:b/>
          <w:sz w:val="24"/>
          <w:szCs w:val="24"/>
        </w:rPr>
      </w:pPr>
    </w:p>
    <w:p>
      <w:pPr>
        <w:jc w:val="center"/>
        <w:outlineLvl w:val="0"/>
        <w:rPr>
          <w:rFonts w:ascii="楷体" w:hAnsi="楷体" w:eastAsia="楷体" w:cs="楷体"/>
          <w:b/>
          <w:sz w:val="32"/>
        </w:rPr>
      </w:pPr>
      <w:r>
        <w:rPr>
          <w:rFonts w:hint="eastAsia" w:ascii="楷体" w:hAnsi="楷体" w:eastAsia="楷体" w:cs="楷体"/>
          <w:b/>
          <w:sz w:val="32"/>
        </w:rPr>
        <w:br w:type="page"/>
      </w:r>
      <w:bookmarkStart w:id="443" w:name="_Toc32324"/>
      <w:bookmarkStart w:id="444" w:name="_Toc24075"/>
      <w:r>
        <w:rPr>
          <w:rFonts w:hint="eastAsia" w:ascii="黑体" w:hAnsi="黑体" w:eastAsia="黑体" w:cs="黑体"/>
          <w:b/>
          <w:sz w:val="28"/>
          <w:szCs w:val="18"/>
        </w:rPr>
        <w:t>一、 投标函</w:t>
      </w:r>
      <w:bookmarkEnd w:id="443"/>
      <w:bookmarkEnd w:id="444"/>
    </w:p>
    <w:p>
      <w:pPr>
        <w:jc w:val="left"/>
        <w:rPr>
          <w:rFonts w:ascii="楷体" w:hAnsi="楷体" w:eastAsia="楷体" w:cs="楷体"/>
          <w:spacing w:val="4"/>
          <w:szCs w:val="21"/>
        </w:rPr>
      </w:pPr>
      <w:bookmarkStart w:id="445" w:name="_Toc19462"/>
      <w:bookmarkStart w:id="446" w:name="_Toc26428"/>
      <w:bookmarkStart w:id="447" w:name="_Toc2867_WPSOffice_Level1"/>
      <w:bookmarkStart w:id="448" w:name="_Toc24827"/>
      <w:bookmarkStart w:id="449" w:name="_Toc23412"/>
      <w:bookmarkStart w:id="450" w:name="_Toc23969"/>
      <w:bookmarkStart w:id="451" w:name="_Toc1469"/>
      <w:bookmarkStart w:id="452" w:name="_Toc17648_WPSOffice_Level1"/>
      <w:bookmarkStart w:id="453" w:name="_Toc565"/>
      <w:bookmarkStart w:id="454" w:name="_Toc3600"/>
      <w:bookmarkStart w:id="455" w:name="_Toc12932"/>
      <w:bookmarkStart w:id="456" w:name="_Toc31162_WPSOffice_Level1"/>
      <w:bookmarkStart w:id="457" w:name="_Toc15529"/>
    </w:p>
    <w:p>
      <w:pPr>
        <w:spacing w:line="400" w:lineRule="exact"/>
        <w:jc w:val="left"/>
        <w:rPr>
          <w:rFonts w:hint="eastAsia" w:ascii="仿宋" w:hAnsi="仿宋" w:eastAsia="仿宋" w:cs="仿宋"/>
          <w:spacing w:val="4"/>
          <w:sz w:val="24"/>
          <w:szCs w:val="24"/>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同正项目管理有限公司 </w:t>
      </w:r>
    </w:p>
    <w:p>
      <w:pPr>
        <w:spacing w:line="400" w:lineRule="exact"/>
        <w:ind w:firstLine="496" w:firstLineChars="200"/>
        <w:rPr>
          <w:rFonts w:hint="eastAsia" w:ascii="仿宋" w:hAnsi="仿宋" w:eastAsia="仿宋" w:cs="仿宋"/>
          <w:spacing w:val="4"/>
          <w:sz w:val="24"/>
          <w:szCs w:val="24"/>
        </w:rPr>
      </w:pPr>
      <w:r>
        <w:rPr>
          <w:rFonts w:hint="eastAsia" w:ascii="仿宋" w:hAnsi="仿宋" w:eastAsia="仿宋" w:cs="仿宋"/>
          <w:spacing w:val="4"/>
          <w:sz w:val="24"/>
          <w:szCs w:val="24"/>
        </w:rPr>
        <w:t>根据贵方“</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”项目</w:t>
      </w:r>
      <w:r>
        <w:rPr>
          <w:rFonts w:hint="eastAsia" w:ascii="仿宋" w:hAnsi="仿宋" w:eastAsia="仿宋" w:cs="仿宋"/>
          <w:spacing w:val="4"/>
          <w:sz w:val="24"/>
          <w:szCs w:val="24"/>
          <w:u w:val="single"/>
        </w:rPr>
        <w:t>(</w:t>
      </w:r>
      <w:r>
        <w:rPr>
          <w:rFonts w:hint="eastAsia" w:ascii="仿宋" w:hAnsi="仿宋" w:eastAsia="仿宋" w:cs="仿宋"/>
          <w:spacing w:val="4"/>
          <w:sz w:val="24"/>
          <w:szCs w:val="24"/>
          <w:u w:val="single"/>
          <w:lang w:val="en-US" w:eastAsia="zh-CN"/>
        </w:rPr>
        <w:t>项目</w:t>
      </w:r>
      <w:r>
        <w:rPr>
          <w:rFonts w:hint="eastAsia" w:ascii="仿宋" w:hAnsi="仿宋" w:eastAsia="仿宋" w:cs="仿宋"/>
          <w:spacing w:val="4"/>
          <w:sz w:val="24"/>
          <w:szCs w:val="24"/>
          <w:u w:val="single"/>
        </w:rPr>
        <w:t>编号：       )</w:t>
      </w:r>
      <w:r>
        <w:rPr>
          <w:rFonts w:hint="eastAsia" w:ascii="仿宋" w:hAnsi="仿宋" w:eastAsia="仿宋" w:cs="仿宋"/>
          <w:spacing w:val="4"/>
          <w:sz w:val="24"/>
          <w:szCs w:val="24"/>
        </w:rPr>
        <w:t>，签字代表</w:t>
      </w:r>
      <w:r>
        <w:rPr>
          <w:rFonts w:hint="eastAsia" w:ascii="仿宋" w:hAnsi="仿宋" w:eastAsia="仿宋" w:cs="仿宋"/>
          <w:spacing w:val="4"/>
          <w:sz w:val="24"/>
          <w:szCs w:val="24"/>
          <w:u w:val="single"/>
        </w:rPr>
        <w:t>（全名、职务）</w:t>
      </w:r>
      <w:r>
        <w:rPr>
          <w:rFonts w:hint="eastAsia" w:ascii="仿宋" w:hAnsi="仿宋" w:eastAsia="仿宋" w:cs="仿宋"/>
          <w:spacing w:val="4"/>
          <w:sz w:val="24"/>
          <w:szCs w:val="24"/>
        </w:rPr>
        <w:t>经正式授权并代表我方</w:t>
      </w:r>
      <w:r>
        <w:rPr>
          <w:rFonts w:hint="eastAsia" w:ascii="仿宋" w:hAnsi="仿宋" w:eastAsia="仿宋" w:cs="仿宋"/>
          <w:spacing w:val="4"/>
          <w:sz w:val="24"/>
          <w:szCs w:val="24"/>
          <w:u w:val="single"/>
        </w:rPr>
        <w:t xml:space="preserve">    (投标人名称)</w:t>
      </w:r>
      <w:r>
        <w:rPr>
          <w:rFonts w:hint="eastAsia" w:ascii="仿宋" w:hAnsi="仿宋" w:eastAsia="仿宋" w:cs="仿宋"/>
          <w:spacing w:val="4"/>
          <w:sz w:val="24"/>
          <w:szCs w:val="24"/>
        </w:rPr>
        <w:t xml:space="preserve"> 提交投标文件正本</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份、副本</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份、电子版投标文件</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份。</w:t>
      </w:r>
    </w:p>
    <w:p>
      <w:pPr>
        <w:spacing w:line="400" w:lineRule="exact"/>
        <w:ind w:left="549" w:leftChars="251" w:hanging="22" w:hangingChars="9"/>
        <w:jc w:val="left"/>
        <w:rPr>
          <w:rFonts w:hint="eastAsia" w:ascii="仿宋" w:hAnsi="仿宋" w:eastAsia="仿宋" w:cs="仿宋"/>
          <w:spacing w:val="4"/>
          <w:sz w:val="24"/>
          <w:szCs w:val="24"/>
        </w:rPr>
      </w:pPr>
      <w:r>
        <w:rPr>
          <w:rFonts w:hint="eastAsia" w:ascii="仿宋" w:hAnsi="仿宋" w:eastAsia="仿宋" w:cs="仿宋"/>
          <w:spacing w:val="4"/>
          <w:sz w:val="24"/>
          <w:szCs w:val="24"/>
        </w:rPr>
        <w:t>我方承诺如下：</w:t>
      </w:r>
    </w:p>
    <w:p>
      <w:pPr>
        <w:numPr>
          <w:ilvl w:val="0"/>
          <w:numId w:val="7"/>
        </w:num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投标总报价为人民币</w:t>
      </w:r>
      <w:r>
        <w:rPr>
          <w:rFonts w:hint="eastAsia" w:ascii="仿宋" w:hAnsi="仿宋" w:eastAsia="仿宋" w:cs="仿宋"/>
          <w:b w:val="0"/>
          <w:bCs w:val="0"/>
          <w:spacing w:val="4"/>
          <w:sz w:val="24"/>
          <w:szCs w:val="24"/>
          <w:u w:val="single"/>
          <w:lang w:val="en-US" w:eastAsia="zh-CN"/>
        </w:rPr>
        <w:t xml:space="preserve">         </w:t>
      </w:r>
      <w:r>
        <w:rPr>
          <w:rFonts w:hint="eastAsia" w:ascii="仿宋" w:hAnsi="仿宋" w:eastAsia="仿宋" w:cs="仿宋"/>
          <w:b w:val="0"/>
          <w:bCs w:val="0"/>
          <w:spacing w:val="4"/>
          <w:sz w:val="24"/>
          <w:szCs w:val="24"/>
          <w:u w:val="single"/>
        </w:rPr>
        <w:t>（¥）</w:t>
      </w:r>
      <w:r>
        <w:rPr>
          <w:rFonts w:hint="eastAsia" w:ascii="仿宋" w:hAnsi="仿宋" w:eastAsia="仿宋" w:cs="仿宋"/>
          <w:b w:val="0"/>
          <w:bCs w:val="0"/>
          <w:spacing w:val="4"/>
          <w:sz w:val="24"/>
          <w:szCs w:val="24"/>
          <w:u w:val="single"/>
          <w:lang w:val="en-US" w:eastAsia="zh-CN"/>
        </w:rPr>
        <w:t xml:space="preserve">       </w:t>
      </w:r>
      <w:r>
        <w:rPr>
          <w:rFonts w:hint="eastAsia" w:ascii="仿宋" w:hAnsi="仿宋" w:eastAsia="仿宋" w:cs="仿宋"/>
          <w:b w:val="0"/>
          <w:bCs w:val="0"/>
          <w:spacing w:val="4"/>
          <w:sz w:val="24"/>
          <w:szCs w:val="24"/>
          <w:u w:val="single"/>
        </w:rPr>
        <w:t>（</w:t>
      </w:r>
      <w:r>
        <w:rPr>
          <w:rFonts w:hint="eastAsia" w:ascii="仿宋" w:hAnsi="仿宋" w:eastAsia="仿宋" w:cs="仿宋"/>
          <w:spacing w:val="4"/>
          <w:sz w:val="24"/>
          <w:szCs w:val="24"/>
        </w:rPr>
        <w:t>用文字和数字表示的投标总价）。</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2）如果中标，我们根据招标文件的规定，履行合同的责任和义务。</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3）我方已仔细阅读了招标文件的全部内容，并同意和放弃对招标文件不明或误解而询问、质疑和投诉的权利。</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4）我们同意在投标有效期内（</w:t>
      </w:r>
      <w:r>
        <w:rPr>
          <w:rFonts w:hint="eastAsia" w:ascii="仿宋" w:hAnsi="仿宋" w:eastAsia="仿宋" w:cs="仿宋"/>
          <w:spacing w:val="4"/>
          <w:sz w:val="24"/>
          <w:szCs w:val="24"/>
          <w:u w:val="single"/>
        </w:rPr>
        <w:t>自投标之日起   天</w:t>
      </w:r>
      <w:r>
        <w:rPr>
          <w:rFonts w:hint="eastAsia" w:ascii="仿宋" w:hAnsi="仿宋" w:eastAsia="仿宋" w:cs="仿宋"/>
          <w:spacing w:val="4"/>
          <w:sz w:val="24"/>
          <w:szCs w:val="24"/>
        </w:rPr>
        <w:t>），本投标函对我方具有约束力。</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5）不在投标后规定的投标有效期内撤回投标。</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 xml:space="preserve">6）同意提供贵方可能另外要求的与本投标有关的任何证据和资料。 </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7）我们同意，如果中标，按招标文件要求向同正项目管理有限公司交纳招标代理服务费。</w:t>
      </w:r>
    </w:p>
    <w:p>
      <w:pPr>
        <w:tabs>
          <w:tab w:val="left" w:pos="2160"/>
        </w:tabs>
        <w:spacing w:line="400" w:lineRule="exact"/>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8）与本投标有关的一切正式往来通讯为：</w:t>
      </w:r>
    </w:p>
    <w:p>
      <w:pPr>
        <w:kinsoku w:val="0"/>
        <w:spacing w:line="360" w:lineRule="auto"/>
        <w:ind w:firstLine="840"/>
        <w:rPr>
          <w:rFonts w:hint="eastAsia" w:ascii="仿宋" w:hAnsi="仿宋" w:eastAsia="仿宋" w:cs="仿宋"/>
          <w:sz w:val="24"/>
          <w:szCs w:val="24"/>
          <w:u w:val="single"/>
        </w:rPr>
      </w:pPr>
      <w:r>
        <w:rPr>
          <w:rFonts w:hint="eastAsia" w:ascii="仿宋" w:hAnsi="仿宋" w:eastAsia="仿宋" w:cs="仿宋"/>
          <w:sz w:val="24"/>
          <w:szCs w:val="24"/>
        </w:rPr>
        <w:t>地    址：</w:t>
      </w:r>
    </w:p>
    <w:p>
      <w:pPr>
        <w:pStyle w:val="25"/>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  系 人：</w:t>
      </w:r>
    </w:p>
    <w:p>
      <w:pPr>
        <w:kinsoku w:val="0"/>
        <w:spacing w:line="360" w:lineRule="auto"/>
        <w:ind w:firstLine="840"/>
        <w:rPr>
          <w:rFonts w:hint="eastAsia" w:ascii="仿宋" w:hAnsi="仿宋" w:eastAsia="仿宋" w:cs="仿宋"/>
          <w:sz w:val="24"/>
          <w:szCs w:val="24"/>
          <w:u w:val="single"/>
        </w:rPr>
      </w:pPr>
      <w:r>
        <w:rPr>
          <w:rFonts w:hint="eastAsia" w:ascii="仿宋" w:hAnsi="仿宋" w:eastAsia="仿宋" w:cs="仿宋"/>
          <w:sz w:val="24"/>
          <w:szCs w:val="24"/>
        </w:rPr>
        <w:t>电    话：</w:t>
      </w:r>
    </w:p>
    <w:p>
      <w:pPr>
        <w:kinsoku w:val="0"/>
        <w:spacing w:line="360" w:lineRule="auto"/>
        <w:ind w:firstLine="840"/>
        <w:rPr>
          <w:rFonts w:hint="eastAsia" w:ascii="仿宋" w:hAnsi="仿宋" w:eastAsia="仿宋" w:cs="仿宋"/>
          <w:sz w:val="24"/>
          <w:szCs w:val="24"/>
          <w:u w:val="single"/>
        </w:rPr>
      </w:pPr>
      <w:r>
        <w:rPr>
          <w:rFonts w:hint="eastAsia" w:ascii="仿宋" w:hAnsi="仿宋" w:eastAsia="仿宋" w:cs="仿宋"/>
          <w:sz w:val="24"/>
          <w:szCs w:val="24"/>
        </w:rPr>
        <w:t>传    真：</w:t>
      </w:r>
    </w:p>
    <w:p>
      <w:pPr>
        <w:kinsoku w:val="0"/>
        <w:spacing w:line="360" w:lineRule="auto"/>
        <w:ind w:firstLine="840"/>
        <w:rPr>
          <w:rFonts w:hint="eastAsia" w:ascii="仿宋" w:hAnsi="仿宋" w:eastAsia="仿宋" w:cs="仿宋"/>
          <w:sz w:val="24"/>
          <w:szCs w:val="24"/>
        </w:rPr>
      </w:pPr>
      <w:r>
        <w:rPr>
          <w:rFonts w:hint="eastAsia" w:ascii="仿宋" w:hAnsi="仿宋" w:eastAsia="仿宋" w:cs="仿宋"/>
          <w:sz w:val="24"/>
          <w:szCs w:val="24"/>
        </w:rPr>
        <w:t>邮    编：</w:t>
      </w:r>
    </w:p>
    <w:p>
      <w:pPr>
        <w:kinsoku w:val="0"/>
        <w:spacing w:line="360" w:lineRule="auto"/>
        <w:ind w:firstLine="960" w:firstLineChars="400"/>
        <w:rPr>
          <w:rFonts w:hint="eastAsia" w:ascii="仿宋" w:hAnsi="仿宋" w:eastAsia="仿宋" w:cs="仿宋"/>
          <w:sz w:val="24"/>
          <w:szCs w:val="24"/>
          <w:u w:val="none"/>
        </w:rPr>
      </w:pPr>
      <w:r>
        <w:rPr>
          <w:rFonts w:hint="eastAsia" w:ascii="仿宋" w:hAnsi="仿宋" w:eastAsia="仿宋" w:cs="仿宋"/>
          <w:sz w:val="24"/>
          <w:szCs w:val="24"/>
        </w:rPr>
        <w:t>投 标 人：</w:t>
      </w:r>
      <w:r>
        <w:rPr>
          <w:rFonts w:hint="eastAsia" w:ascii="仿宋" w:hAnsi="仿宋" w:eastAsia="仿宋" w:cs="仿宋"/>
          <w:sz w:val="24"/>
          <w:szCs w:val="24"/>
          <w:u w:val="none"/>
        </w:rPr>
        <w:t xml:space="preserve">（公章）                                   </w:t>
      </w:r>
    </w:p>
    <w:p>
      <w:pPr>
        <w:kinsoku w:val="0"/>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法定代表人或被授权人（签字）：</w:t>
      </w:r>
    </w:p>
    <w:p>
      <w:pPr>
        <w:kinsoku w:val="0"/>
        <w:ind w:firstLine="570"/>
        <w:rPr>
          <w:rFonts w:hint="eastAsia" w:ascii="仿宋" w:hAnsi="仿宋" w:eastAsia="仿宋" w:cs="仿宋"/>
          <w:sz w:val="24"/>
          <w:szCs w:val="24"/>
        </w:rPr>
      </w:pPr>
    </w:p>
    <w:p>
      <w:pPr>
        <w:kinsoku w:val="0"/>
        <w:ind w:firstLine="5448" w:firstLineChars="2270"/>
        <w:rPr>
          <w:rFonts w:hint="eastAsia" w:ascii="仿宋" w:hAnsi="仿宋" w:eastAsia="仿宋" w:cs="仿宋"/>
          <w:sz w:val="24"/>
          <w:szCs w:val="24"/>
        </w:rPr>
      </w:pPr>
      <w:r>
        <w:rPr>
          <w:rFonts w:hint="eastAsia" w:ascii="仿宋" w:hAnsi="仿宋" w:eastAsia="仿宋" w:cs="仿宋"/>
          <w:sz w:val="24"/>
          <w:szCs w:val="24"/>
        </w:rPr>
        <w:t xml:space="preserve">  </w:t>
      </w:r>
    </w:p>
    <w:p>
      <w:pPr>
        <w:kinsoku w:val="0"/>
        <w:ind w:firstLine="5448" w:firstLineChars="2270"/>
        <w:rPr>
          <w:rFonts w:hint="eastAsia" w:ascii="仿宋" w:hAnsi="仿宋" w:eastAsia="仿宋" w:cs="仿宋"/>
          <w:sz w:val="24"/>
          <w:szCs w:val="24"/>
        </w:rPr>
      </w:pPr>
    </w:p>
    <w:p>
      <w:pPr>
        <w:kinsoku w:val="0"/>
        <w:ind w:left="0" w:leftChars="0" w:firstLine="7449" w:firstLineChars="3104"/>
        <w:rPr>
          <w:rFonts w:hint="eastAsia" w:ascii="仿宋" w:hAnsi="仿宋" w:eastAsia="仿宋" w:cs="仿宋"/>
          <w:sz w:val="24"/>
          <w:szCs w:val="24"/>
        </w:rPr>
      </w:pP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日</w:t>
      </w:r>
    </w:p>
    <w:p>
      <w:pPr>
        <w:spacing w:line="360" w:lineRule="auto"/>
        <w:ind w:firstLine="1205" w:firstLineChars="500"/>
        <w:rPr>
          <w:rFonts w:ascii="楷体" w:hAnsi="楷体" w:eastAsia="楷体" w:cs="楷体"/>
          <w:b/>
          <w:sz w:val="24"/>
          <w:szCs w:val="24"/>
        </w:rPr>
      </w:pPr>
      <w:bookmarkStart w:id="458" w:name="_Toc28204"/>
    </w:p>
    <w:p>
      <w:pPr>
        <w:spacing w:line="360" w:lineRule="auto"/>
        <w:ind w:firstLine="1606" w:firstLineChars="500"/>
        <w:outlineLvl w:val="9"/>
        <w:rPr>
          <w:rFonts w:ascii="楷体" w:hAnsi="楷体" w:eastAsia="楷体" w:cs="楷体"/>
          <w:b/>
          <w:sz w:val="32"/>
        </w:rPr>
      </w:pPr>
      <w:bookmarkStart w:id="459" w:name="_Toc1200"/>
      <w:bookmarkStart w:id="460" w:name="_Toc21004"/>
    </w:p>
    <w:p>
      <w:pPr>
        <w:rPr>
          <w:rFonts w:ascii="楷体" w:hAnsi="楷体" w:eastAsia="楷体" w:cs="楷体"/>
          <w:b/>
          <w:sz w:val="32"/>
        </w:rPr>
      </w:pPr>
    </w:p>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Pr>
        <w:numPr>
          <w:ilvl w:val="0"/>
          <w:numId w:val="8"/>
        </w:numPr>
        <w:spacing w:line="360" w:lineRule="auto"/>
        <w:jc w:val="center"/>
        <w:outlineLvl w:val="0"/>
        <w:rPr>
          <w:rFonts w:hint="eastAsia" w:ascii="黑体" w:hAnsi="黑体" w:eastAsia="黑体" w:cs="黑体"/>
          <w:b/>
          <w:sz w:val="28"/>
          <w:szCs w:val="18"/>
        </w:rPr>
      </w:pPr>
      <w:bookmarkStart w:id="461" w:name="_Toc5962"/>
      <w:r>
        <w:rPr>
          <w:rFonts w:hint="eastAsia" w:ascii="黑体" w:hAnsi="黑体" w:eastAsia="黑体" w:cs="黑体"/>
          <w:b/>
          <w:sz w:val="28"/>
          <w:szCs w:val="18"/>
        </w:rPr>
        <w:t>开标一览表</w:t>
      </w:r>
      <w:bookmarkEnd w:id="461"/>
    </w:p>
    <w:p>
      <w:pPr>
        <w:pStyle w:val="2"/>
        <w:rPr>
          <w:rFonts w:hint="eastAsia" w:ascii="黑体" w:hAnsi="黑体" w:eastAsia="黑体" w:cs="黑体"/>
          <w:b/>
          <w:sz w:val="28"/>
          <w:szCs w:val="18"/>
        </w:rPr>
      </w:pPr>
    </w:p>
    <w:p>
      <w:pPr>
        <w:rPr>
          <w:rFonts w:hint="eastAsia"/>
        </w:rPr>
      </w:pPr>
    </w:p>
    <w:p>
      <w:pPr>
        <w:pStyle w:val="56"/>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Cs w:val="21"/>
        </w:rPr>
        <w:t>项目名称：</w:t>
      </w:r>
      <w:r>
        <w:rPr>
          <w:rFonts w:hint="eastAsia" w:ascii="仿宋" w:hAnsi="仿宋" w:eastAsia="仿宋" w:cs="仿宋"/>
          <w:szCs w:val="21"/>
          <w:lang w:val="en-US" w:eastAsia="zh-CN"/>
        </w:rPr>
        <w:t>陕西省长安师范学校附属小学安全教室项目</w:t>
      </w:r>
    </w:p>
    <w:p>
      <w:pPr>
        <w:pStyle w:val="56"/>
        <w:jc w:val="left"/>
        <w:rPr>
          <w:rFonts w:hint="eastAsia" w:ascii="仿宋" w:hAnsi="仿宋" w:eastAsia="仿宋" w:cs="仿宋"/>
          <w:szCs w:val="21"/>
          <w:lang w:val="en-US" w:eastAsia="zh-CN"/>
        </w:rPr>
      </w:pPr>
      <w:r>
        <w:rPr>
          <w:rFonts w:hint="eastAsia" w:ascii="仿宋" w:hAnsi="仿宋" w:eastAsia="仿宋" w:cs="仿宋"/>
          <w:szCs w:val="21"/>
          <w:lang w:val="en-US" w:eastAsia="zh-CN"/>
        </w:rPr>
        <w:t>项目</w:t>
      </w:r>
      <w:r>
        <w:rPr>
          <w:rFonts w:hint="eastAsia" w:ascii="仿宋" w:hAnsi="仿宋" w:eastAsia="仿宋" w:cs="仿宋"/>
          <w:szCs w:val="21"/>
        </w:rPr>
        <w:t>编号</w:t>
      </w:r>
      <w:r>
        <w:rPr>
          <w:rFonts w:hint="eastAsia" w:ascii="仿宋" w:hAnsi="仿宋" w:eastAsia="仿宋" w:cs="仿宋"/>
          <w:szCs w:val="21"/>
          <w:lang w:val="en-US" w:eastAsia="zh-CN"/>
        </w:rPr>
        <w:t>:</w:t>
      </w:r>
    </w:p>
    <w:tbl>
      <w:tblPr>
        <w:tblStyle w:val="4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2383"/>
        <w:gridCol w:w="1808"/>
        <w:gridCol w:w="14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292" w:type="dxa"/>
            <w:tcBorders>
              <w:tl2br w:val="single" w:color="auto" w:sz="4" w:space="0"/>
            </w:tcBorders>
          </w:tcPr>
          <w:p>
            <w:pPr>
              <w:spacing w:line="5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投标内容</w:t>
            </w:r>
          </w:p>
          <w:p>
            <w:pPr>
              <w:spacing w:line="520" w:lineRule="exact"/>
              <w:ind w:left="435" w:leftChars="207" w:firstLine="315" w:firstLineChars="150"/>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2383" w:type="dxa"/>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投标总报价</w:t>
            </w:r>
          </w:p>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（人民币，元）</w:t>
            </w:r>
          </w:p>
        </w:tc>
        <w:tc>
          <w:tcPr>
            <w:tcW w:w="1808" w:type="dxa"/>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交</w:t>
            </w:r>
            <w:r>
              <w:rPr>
                <w:rFonts w:hint="eastAsia" w:ascii="仿宋" w:hAnsi="仿宋" w:eastAsia="仿宋" w:cs="仿宋"/>
                <w:color w:val="auto"/>
                <w:szCs w:val="21"/>
                <w:highlight w:val="none"/>
                <w:lang w:val="en-US" w:eastAsia="zh-CN"/>
              </w:rPr>
              <w:t>付</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val="en-US" w:eastAsia="zh-CN"/>
              </w:rPr>
              <w:t>日历</w:t>
            </w:r>
            <w:r>
              <w:rPr>
                <w:rFonts w:hint="eastAsia" w:ascii="仿宋" w:hAnsi="仿宋" w:eastAsia="仿宋" w:cs="仿宋"/>
                <w:color w:val="auto"/>
                <w:szCs w:val="21"/>
                <w:highlight w:val="none"/>
              </w:rPr>
              <w:t>天）</w:t>
            </w:r>
          </w:p>
        </w:tc>
        <w:tc>
          <w:tcPr>
            <w:tcW w:w="1462" w:type="dxa"/>
            <w:vAlign w:val="center"/>
          </w:tcPr>
          <w:p>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质保期</w:t>
            </w:r>
          </w:p>
        </w:tc>
        <w:tc>
          <w:tcPr>
            <w:tcW w:w="1252" w:type="dxa"/>
            <w:vAlign w:val="center"/>
          </w:tcPr>
          <w:p>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292" w:type="dxa"/>
          </w:tcPr>
          <w:p>
            <w:pPr>
              <w:spacing w:line="360" w:lineRule="auto"/>
              <w:rPr>
                <w:rFonts w:hint="eastAsia" w:ascii="仿宋" w:hAnsi="仿宋" w:eastAsia="仿宋" w:cs="仿宋"/>
                <w:color w:val="auto"/>
                <w:szCs w:val="21"/>
                <w:highlight w:val="none"/>
              </w:rPr>
            </w:pPr>
          </w:p>
        </w:tc>
        <w:tc>
          <w:tcPr>
            <w:tcW w:w="2383" w:type="dxa"/>
            <w:vAlign w:val="center"/>
          </w:tcPr>
          <w:p>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w:t>
            </w:r>
          </w:p>
          <w:p>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1808" w:type="dxa"/>
            <w:vAlign w:val="center"/>
          </w:tcPr>
          <w:p>
            <w:pPr>
              <w:spacing w:line="360" w:lineRule="auto"/>
              <w:rPr>
                <w:rFonts w:hint="eastAsia" w:ascii="仿宋" w:hAnsi="仿宋" w:eastAsia="仿宋" w:cs="仿宋"/>
                <w:color w:val="auto"/>
                <w:szCs w:val="21"/>
                <w:highlight w:val="none"/>
              </w:rPr>
            </w:pPr>
          </w:p>
        </w:tc>
        <w:tc>
          <w:tcPr>
            <w:tcW w:w="1462" w:type="dxa"/>
          </w:tcPr>
          <w:p>
            <w:pPr>
              <w:spacing w:line="360" w:lineRule="auto"/>
              <w:jc w:val="center"/>
              <w:rPr>
                <w:rFonts w:hint="eastAsia" w:ascii="仿宋" w:hAnsi="仿宋" w:eastAsia="仿宋" w:cs="仿宋"/>
                <w:color w:val="auto"/>
                <w:szCs w:val="21"/>
                <w:highlight w:val="none"/>
              </w:rPr>
            </w:pPr>
          </w:p>
        </w:tc>
        <w:tc>
          <w:tcPr>
            <w:tcW w:w="1252" w:type="dxa"/>
            <w:vAlign w:val="center"/>
          </w:tcPr>
          <w:p>
            <w:pPr>
              <w:spacing w:line="360" w:lineRule="auto"/>
              <w:jc w:val="center"/>
              <w:rPr>
                <w:rFonts w:hint="eastAsia" w:ascii="仿宋" w:hAnsi="仿宋" w:eastAsia="仿宋" w:cs="仿宋"/>
                <w:color w:val="auto"/>
                <w:szCs w:val="21"/>
                <w:highlight w:val="none"/>
              </w:rPr>
            </w:pPr>
          </w:p>
        </w:tc>
      </w:tr>
    </w:tbl>
    <w:p>
      <w:pPr>
        <w:pStyle w:val="25"/>
        <w:spacing w:after="0" w:line="360" w:lineRule="auto"/>
        <w:ind w:left="0" w:leftChars="0" w:firstLine="210" w:firstLineChars="100"/>
        <w:rPr>
          <w:rFonts w:hint="eastAsia" w:ascii="仿宋" w:hAnsi="仿宋" w:eastAsia="仿宋" w:cs="仿宋"/>
          <w:szCs w:val="21"/>
        </w:rPr>
      </w:pPr>
    </w:p>
    <w:p>
      <w:pPr>
        <w:pStyle w:val="25"/>
        <w:spacing w:after="0" w:line="360" w:lineRule="auto"/>
        <w:ind w:left="0" w:leftChars="0" w:firstLine="210" w:firstLineChars="100"/>
        <w:rPr>
          <w:rFonts w:hint="eastAsia" w:ascii="仿宋" w:hAnsi="仿宋" w:eastAsia="仿宋" w:cs="仿宋"/>
          <w:szCs w:val="21"/>
        </w:rPr>
      </w:pPr>
    </w:p>
    <w:p>
      <w:pPr>
        <w:pStyle w:val="25"/>
        <w:spacing w:after="0" w:line="360" w:lineRule="auto"/>
        <w:ind w:left="0" w:leftChars="0" w:firstLine="210" w:firstLineChars="100"/>
        <w:rPr>
          <w:rFonts w:hint="eastAsia" w:ascii="仿宋" w:hAnsi="仿宋" w:eastAsia="仿宋" w:cs="仿宋"/>
          <w:szCs w:val="21"/>
        </w:rPr>
      </w:pPr>
      <w:r>
        <w:rPr>
          <w:rFonts w:hint="eastAsia" w:ascii="仿宋" w:hAnsi="仿宋" w:eastAsia="仿宋" w:cs="仿宋"/>
          <w:szCs w:val="21"/>
        </w:rPr>
        <w:t>说明：1.报价应按总报价填写，精确到小数点后两位，大小写不一致时，以大写为准；</w:t>
      </w:r>
    </w:p>
    <w:p>
      <w:pPr>
        <w:pStyle w:val="25"/>
        <w:spacing w:after="0" w:line="360" w:lineRule="auto"/>
        <w:ind w:firstLine="420" w:firstLineChars="200"/>
        <w:rPr>
          <w:rFonts w:hint="eastAsia" w:ascii="仿宋" w:hAnsi="仿宋" w:eastAsia="仿宋" w:cs="仿宋"/>
          <w:szCs w:val="21"/>
        </w:rPr>
      </w:pPr>
      <w:r>
        <w:rPr>
          <w:rFonts w:hint="eastAsia" w:ascii="仿宋" w:hAnsi="仿宋" w:eastAsia="仿宋" w:cs="仿宋"/>
          <w:szCs w:val="21"/>
        </w:rPr>
        <w:t>2.“开标一览表”以项目为单位填写；</w:t>
      </w:r>
    </w:p>
    <w:p>
      <w:pPr>
        <w:spacing w:line="360" w:lineRule="auto"/>
        <w:ind w:firstLine="840" w:firstLineChars="400"/>
        <w:rPr>
          <w:rFonts w:hint="eastAsia" w:ascii="仿宋" w:hAnsi="仿宋" w:eastAsia="仿宋" w:cs="仿宋"/>
          <w:szCs w:val="21"/>
          <w:lang w:val="zh-CN"/>
        </w:rPr>
      </w:pPr>
      <w:r>
        <w:rPr>
          <w:rFonts w:hint="eastAsia" w:ascii="仿宋" w:hAnsi="仿宋" w:eastAsia="仿宋" w:cs="仿宋"/>
          <w:szCs w:val="21"/>
          <w:lang w:val="en-US" w:eastAsia="zh-CN"/>
        </w:rPr>
        <w:t>3</w:t>
      </w:r>
      <w:r>
        <w:rPr>
          <w:rFonts w:hint="eastAsia" w:ascii="仿宋" w:hAnsi="仿宋" w:eastAsia="仿宋" w:cs="仿宋"/>
          <w:szCs w:val="21"/>
        </w:rPr>
        <w:t xml:space="preserve">.本表所列各项数据与投标文件其他地方表述不一致时，以本表为准；  </w:t>
      </w:r>
    </w:p>
    <w:p>
      <w:pPr>
        <w:pStyle w:val="2"/>
        <w:rPr>
          <w:rFonts w:hint="eastAsia" w:ascii="仿宋" w:hAnsi="仿宋" w:eastAsia="仿宋" w:cs="仿宋"/>
          <w:szCs w:val="21"/>
          <w:lang w:val="zh-CN"/>
        </w:rPr>
      </w:pPr>
    </w:p>
    <w:p>
      <w:pPr>
        <w:rPr>
          <w:rFonts w:hint="eastAsia" w:ascii="仿宋" w:hAnsi="仿宋" w:eastAsia="仿宋" w:cs="仿宋"/>
          <w:szCs w:val="21"/>
          <w:lang w:val="zh-CN"/>
        </w:rPr>
      </w:pPr>
    </w:p>
    <w:p>
      <w:pPr>
        <w:pStyle w:val="2"/>
        <w:rPr>
          <w:rFonts w:hint="eastAsia" w:ascii="仿宋" w:hAnsi="仿宋" w:eastAsia="仿宋" w:cs="仿宋"/>
          <w:lang w:val="zh-CN"/>
        </w:rPr>
      </w:pPr>
    </w:p>
    <w:p>
      <w:pPr>
        <w:spacing w:line="360" w:lineRule="auto"/>
        <w:ind w:firstLine="2730" w:firstLineChars="1300"/>
        <w:rPr>
          <w:rFonts w:hint="eastAsia" w:ascii="仿宋" w:hAnsi="仿宋" w:eastAsia="仿宋" w:cs="仿宋"/>
          <w:szCs w:val="21"/>
          <w:lang w:val="zh-CN"/>
        </w:rPr>
      </w:pPr>
    </w:p>
    <w:p>
      <w:pPr>
        <w:spacing w:line="360" w:lineRule="auto"/>
        <w:ind w:firstLine="2730" w:firstLineChars="13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rPr>
      </w:pPr>
      <w:r>
        <w:rPr>
          <w:rFonts w:hint="eastAsia" w:ascii="仿宋" w:hAnsi="仿宋" w:eastAsia="仿宋" w:cs="仿宋"/>
          <w:szCs w:val="21"/>
          <w:lang w:val="zh-CN"/>
        </w:rPr>
        <w:t>投标人：（公章）</w:t>
      </w:r>
    </w:p>
    <w:p>
      <w:pPr>
        <w:spacing w:line="360" w:lineRule="auto"/>
        <w:ind w:firstLine="2940" w:firstLineChars="14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lang w:val="zh-CN"/>
        </w:rPr>
      </w:pPr>
      <w:r>
        <w:rPr>
          <w:rFonts w:hint="eastAsia" w:ascii="仿宋" w:hAnsi="仿宋" w:eastAsia="仿宋" w:cs="仿宋"/>
          <w:szCs w:val="21"/>
          <w:lang w:val="zh-CN"/>
        </w:rPr>
        <w:t>法定代表人或其授权代表：（签字）</w:t>
      </w:r>
    </w:p>
    <w:p>
      <w:pPr>
        <w:spacing w:line="360" w:lineRule="auto"/>
        <w:rPr>
          <w:rFonts w:hint="eastAsia" w:ascii="仿宋" w:hAnsi="仿宋" w:eastAsia="仿宋" w:cs="仿宋"/>
          <w:szCs w:val="21"/>
          <w:lang w:val="zh-CN"/>
        </w:rPr>
      </w:pPr>
    </w:p>
    <w:p>
      <w:pPr>
        <w:spacing w:line="420" w:lineRule="exact"/>
        <w:ind w:firstLine="3570" w:firstLineChars="1700"/>
        <w:rPr>
          <w:rFonts w:hint="eastAsia" w:ascii="仿宋" w:hAnsi="仿宋" w:eastAsia="仿宋" w:cs="仿宋"/>
          <w:szCs w:val="21"/>
          <w:lang w:val="zh-CN"/>
        </w:rPr>
      </w:pPr>
      <w:r>
        <w:rPr>
          <w:rFonts w:hint="eastAsia" w:ascii="仿宋" w:hAnsi="仿宋" w:eastAsia="仿宋" w:cs="仿宋"/>
          <w:szCs w:val="21"/>
          <w:lang w:val="zh-CN"/>
        </w:rPr>
        <w:t>日期：</w:t>
      </w:r>
      <w:r>
        <w:rPr>
          <w:rFonts w:hint="eastAsia" w:ascii="仿宋" w:hAnsi="仿宋" w:eastAsia="仿宋" w:cs="仿宋"/>
          <w:szCs w:val="21"/>
          <w:lang w:val="en-US" w:eastAsia="zh-CN"/>
        </w:rPr>
        <w:t xml:space="preserve">  </w:t>
      </w:r>
      <w:r>
        <w:rPr>
          <w:rFonts w:hint="eastAsia" w:ascii="仿宋" w:hAnsi="仿宋" w:eastAsia="仿宋" w:cs="仿宋"/>
          <w:szCs w:val="21"/>
          <w:lang w:val="zh-CN"/>
        </w:rPr>
        <w:t>年</w:t>
      </w:r>
      <w:r>
        <w:rPr>
          <w:rFonts w:hint="eastAsia" w:ascii="仿宋" w:hAnsi="仿宋" w:eastAsia="仿宋" w:cs="仿宋"/>
          <w:szCs w:val="21"/>
          <w:lang w:val="en-US" w:eastAsia="zh-CN"/>
        </w:rPr>
        <w:t xml:space="preserve">   </w:t>
      </w:r>
      <w:r>
        <w:rPr>
          <w:rFonts w:hint="eastAsia" w:ascii="仿宋" w:hAnsi="仿宋" w:eastAsia="仿宋" w:cs="仿宋"/>
          <w:szCs w:val="21"/>
          <w:lang w:val="zh-CN"/>
        </w:rPr>
        <w:t>月</w:t>
      </w:r>
      <w:r>
        <w:rPr>
          <w:rFonts w:hint="eastAsia" w:ascii="仿宋" w:hAnsi="仿宋" w:eastAsia="仿宋" w:cs="仿宋"/>
          <w:szCs w:val="21"/>
          <w:lang w:val="en-US" w:eastAsia="zh-CN"/>
        </w:rPr>
        <w:t xml:space="preserve">   </w:t>
      </w:r>
      <w:r>
        <w:rPr>
          <w:rFonts w:hint="eastAsia" w:ascii="仿宋" w:hAnsi="仿宋" w:eastAsia="仿宋" w:cs="仿宋"/>
          <w:szCs w:val="21"/>
          <w:lang w:val="zh-CN"/>
        </w:rPr>
        <w:t>日</w:t>
      </w:r>
    </w:p>
    <w:p>
      <w:pPr>
        <w:spacing w:line="520" w:lineRule="exact"/>
        <w:rPr>
          <w:rFonts w:hint="eastAsia" w:ascii="仿宋" w:hAnsi="仿宋" w:eastAsia="仿宋" w:cs="仿宋"/>
          <w:szCs w:val="21"/>
        </w:rPr>
      </w:pPr>
    </w:p>
    <w:p>
      <w:pPr>
        <w:spacing w:line="520" w:lineRule="exact"/>
        <w:rPr>
          <w:rFonts w:hint="eastAsia" w:ascii="仿宋" w:hAnsi="仿宋" w:eastAsia="仿宋" w:cs="仿宋"/>
          <w:szCs w:val="21"/>
        </w:rPr>
      </w:pPr>
    </w:p>
    <w:p>
      <w:pPr>
        <w:tabs>
          <w:tab w:val="left" w:pos="300"/>
        </w:tabs>
        <w:autoSpaceDE w:val="0"/>
        <w:autoSpaceDN w:val="0"/>
        <w:adjustRightInd w:val="0"/>
        <w:spacing w:line="380" w:lineRule="exact"/>
        <w:ind w:right="17"/>
        <w:jc w:val="both"/>
        <w:rPr>
          <w:rFonts w:hint="eastAsia" w:ascii="楷体" w:hAnsi="楷体" w:eastAsia="楷体" w:cs="楷体"/>
          <w:b/>
          <w:sz w:val="28"/>
          <w:szCs w:val="18"/>
        </w:rPr>
      </w:pPr>
    </w:p>
    <w:p>
      <w:pPr>
        <w:tabs>
          <w:tab w:val="left" w:pos="300"/>
        </w:tabs>
        <w:autoSpaceDE w:val="0"/>
        <w:autoSpaceDN w:val="0"/>
        <w:adjustRightInd w:val="0"/>
        <w:spacing w:line="380" w:lineRule="exact"/>
        <w:ind w:right="17"/>
        <w:jc w:val="both"/>
        <w:outlineLvl w:val="0"/>
        <w:rPr>
          <w:rFonts w:hint="eastAsia" w:ascii="黑体" w:hAnsi="黑体" w:eastAsia="黑体" w:cs="黑体"/>
          <w:b/>
          <w:sz w:val="28"/>
          <w:szCs w:val="18"/>
        </w:rPr>
      </w:pPr>
      <w:bookmarkStart w:id="462" w:name="_Toc15318"/>
    </w:p>
    <w:p>
      <w:pPr>
        <w:tabs>
          <w:tab w:val="left" w:pos="300"/>
        </w:tabs>
        <w:autoSpaceDE w:val="0"/>
        <w:autoSpaceDN w:val="0"/>
        <w:adjustRightInd w:val="0"/>
        <w:spacing w:line="380" w:lineRule="exact"/>
        <w:ind w:right="17"/>
        <w:jc w:val="center"/>
        <w:outlineLvl w:val="0"/>
        <w:rPr>
          <w:rFonts w:hint="eastAsia" w:ascii="黑体" w:hAnsi="黑体" w:eastAsia="黑体" w:cs="黑体"/>
          <w:sz w:val="24"/>
          <w:szCs w:val="24"/>
          <w:lang w:val="zh-CN"/>
        </w:rPr>
      </w:pPr>
      <w:r>
        <w:rPr>
          <w:rFonts w:hint="eastAsia" w:ascii="黑体" w:hAnsi="黑体" w:eastAsia="黑体" w:cs="黑体"/>
          <w:b/>
          <w:sz w:val="28"/>
          <w:szCs w:val="18"/>
        </w:rPr>
        <w:t>三、分项报价表</w:t>
      </w:r>
      <w:bookmarkEnd w:id="462"/>
    </w:p>
    <w:p>
      <w:pPr>
        <w:spacing w:line="360" w:lineRule="auto"/>
        <w:ind w:firstLine="440" w:firstLineChars="200"/>
        <w:rPr>
          <w:rFonts w:hint="eastAsia" w:ascii="楷体" w:hAnsi="楷体" w:eastAsia="楷体" w:cs="楷体"/>
          <w:bCs/>
          <w:caps/>
          <w:color w:val="auto"/>
          <w:sz w:val="22"/>
          <w:szCs w:val="22"/>
          <w:highlight w:val="none"/>
          <w:lang w:val="en-US" w:eastAsia="zh-CN"/>
        </w:rPr>
      </w:pPr>
    </w:p>
    <w:p>
      <w:pPr>
        <w:pStyle w:val="56"/>
        <w:ind w:left="248" w:leftChars="114" w:hanging="9" w:hangingChars="4"/>
        <w:jc w:val="left"/>
        <w:rPr>
          <w:rFonts w:hint="eastAsia" w:ascii="仿宋" w:hAnsi="仿宋" w:eastAsia="仿宋" w:cs="仿宋"/>
          <w:szCs w:val="21"/>
          <w:lang w:val="en-US" w:eastAsia="zh-CN"/>
        </w:rPr>
      </w:pPr>
    </w:p>
    <w:p>
      <w:pPr>
        <w:pStyle w:val="56"/>
        <w:ind w:left="248" w:leftChars="114" w:hanging="9" w:hangingChars="4"/>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投标人名称：                                                                                 项目编号：</w:t>
      </w:r>
    </w:p>
    <w:tbl>
      <w:tblPr>
        <w:tblStyle w:val="40"/>
        <w:tblW w:w="8915"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36"/>
        <w:gridCol w:w="1805"/>
        <w:gridCol w:w="1062"/>
        <w:gridCol w:w="956"/>
        <w:gridCol w:w="896"/>
        <w:gridCol w:w="1120"/>
        <w:gridCol w:w="8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92"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产品名称</w:t>
            </w:r>
          </w:p>
        </w:tc>
        <w:tc>
          <w:tcPr>
            <w:tcW w:w="636"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品牌</w:t>
            </w:r>
          </w:p>
        </w:tc>
        <w:tc>
          <w:tcPr>
            <w:tcW w:w="1805"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型号规格</w:t>
            </w:r>
          </w:p>
        </w:tc>
        <w:tc>
          <w:tcPr>
            <w:tcW w:w="1062"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计量单位</w:t>
            </w:r>
          </w:p>
        </w:tc>
        <w:tc>
          <w:tcPr>
            <w:tcW w:w="956"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896"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单价（元）</w:t>
            </w:r>
          </w:p>
        </w:tc>
        <w:tc>
          <w:tcPr>
            <w:tcW w:w="1120"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报价（元）</w:t>
            </w:r>
          </w:p>
        </w:tc>
        <w:tc>
          <w:tcPr>
            <w:tcW w:w="848" w:type="dxa"/>
            <w:noWrap w:val="0"/>
            <w:vAlign w:val="center"/>
          </w:tcPr>
          <w:p>
            <w:pPr>
              <w:adjustRightInd w:val="0"/>
              <w:snapToGrid w:val="0"/>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noWrap w:val="0"/>
            <w:vAlign w:val="top"/>
          </w:tcPr>
          <w:p>
            <w:pPr>
              <w:adjustRightInd w:val="0"/>
              <w:snapToGrid w:val="0"/>
              <w:spacing w:line="360" w:lineRule="exact"/>
              <w:jc w:val="center"/>
              <w:rPr>
                <w:rFonts w:hint="eastAsia" w:ascii="仿宋" w:hAnsi="仿宋" w:eastAsia="仿宋" w:cs="仿宋"/>
                <w:b/>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noWrap w:val="0"/>
            <w:vAlign w:val="top"/>
          </w:tcPr>
          <w:p>
            <w:pPr>
              <w:adjustRightInd w:val="0"/>
              <w:snapToGrid w:val="0"/>
              <w:spacing w:line="360" w:lineRule="exact"/>
              <w:jc w:val="center"/>
              <w:rPr>
                <w:rFonts w:hint="eastAsia" w:ascii="仿宋" w:hAnsi="仿宋" w:eastAsia="仿宋" w:cs="仿宋"/>
                <w:bCs/>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2" w:type="dxa"/>
            <w:noWrap w:val="0"/>
            <w:vAlign w:val="top"/>
          </w:tcPr>
          <w:p>
            <w:pPr>
              <w:adjustRightInd w:val="0"/>
              <w:snapToGrid w:val="0"/>
              <w:spacing w:line="360" w:lineRule="exact"/>
              <w:jc w:val="center"/>
              <w:rPr>
                <w:rFonts w:hint="eastAsia" w:ascii="仿宋" w:hAnsi="仿宋" w:eastAsia="仿宋" w:cs="仿宋"/>
                <w:bCs/>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9" w:hRule="atLeast"/>
        </w:trPr>
        <w:tc>
          <w:tcPr>
            <w:tcW w:w="1592" w:type="dxa"/>
            <w:noWrap w:val="0"/>
            <w:vAlign w:val="top"/>
          </w:tcPr>
          <w:p>
            <w:pPr>
              <w:adjustRightInd w:val="0"/>
              <w:snapToGrid w:val="0"/>
              <w:spacing w:line="360" w:lineRule="exact"/>
              <w:jc w:val="center"/>
              <w:rPr>
                <w:rFonts w:hint="eastAsia" w:ascii="仿宋" w:hAnsi="仿宋" w:eastAsia="仿宋" w:cs="仿宋"/>
                <w:bCs/>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2" w:type="dxa"/>
            <w:noWrap w:val="0"/>
            <w:vAlign w:val="top"/>
          </w:tcPr>
          <w:p>
            <w:pPr>
              <w:adjustRightInd w:val="0"/>
              <w:snapToGrid w:val="0"/>
              <w:spacing w:line="360" w:lineRule="exact"/>
              <w:jc w:val="center"/>
              <w:rPr>
                <w:rFonts w:hint="eastAsia" w:ascii="仿宋" w:hAnsi="仿宋" w:eastAsia="仿宋" w:cs="仿宋"/>
                <w:bCs/>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noWrap w:val="0"/>
            <w:vAlign w:val="top"/>
          </w:tcPr>
          <w:p>
            <w:pPr>
              <w:adjustRightInd w:val="0"/>
              <w:snapToGrid w:val="0"/>
              <w:spacing w:line="360" w:lineRule="exact"/>
              <w:jc w:val="center"/>
              <w:rPr>
                <w:rFonts w:hint="eastAsia" w:ascii="仿宋" w:hAnsi="仿宋" w:eastAsia="仿宋" w:cs="仿宋"/>
                <w:b/>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noWrap w:val="0"/>
            <w:vAlign w:val="top"/>
          </w:tcPr>
          <w:p>
            <w:pPr>
              <w:adjustRightInd w:val="0"/>
              <w:snapToGrid w:val="0"/>
              <w:spacing w:line="360" w:lineRule="exact"/>
              <w:jc w:val="center"/>
              <w:rPr>
                <w:rFonts w:hint="eastAsia" w:ascii="仿宋" w:hAnsi="仿宋" w:eastAsia="仿宋" w:cs="仿宋"/>
                <w:b/>
                <w:sz w:val="24"/>
                <w:szCs w:val="24"/>
              </w:rPr>
            </w:pPr>
          </w:p>
        </w:tc>
        <w:tc>
          <w:tcPr>
            <w:tcW w:w="63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805" w:type="dxa"/>
            <w:noWrap w:val="0"/>
            <w:vAlign w:val="top"/>
          </w:tcPr>
          <w:p>
            <w:pPr>
              <w:adjustRightInd w:val="0"/>
              <w:snapToGrid w:val="0"/>
              <w:spacing w:line="360" w:lineRule="auto"/>
              <w:jc w:val="center"/>
              <w:rPr>
                <w:rFonts w:hint="eastAsia" w:ascii="仿宋" w:hAnsi="仿宋" w:eastAsia="仿宋" w:cs="仿宋"/>
                <w:sz w:val="24"/>
                <w:szCs w:val="24"/>
              </w:rPr>
            </w:pPr>
          </w:p>
        </w:tc>
        <w:tc>
          <w:tcPr>
            <w:tcW w:w="1062" w:type="dxa"/>
            <w:noWrap w:val="0"/>
            <w:vAlign w:val="top"/>
          </w:tcPr>
          <w:p>
            <w:pPr>
              <w:adjustRightInd w:val="0"/>
              <w:snapToGrid w:val="0"/>
              <w:spacing w:line="360" w:lineRule="auto"/>
              <w:jc w:val="center"/>
              <w:rPr>
                <w:rFonts w:hint="eastAsia" w:ascii="仿宋" w:hAnsi="仿宋" w:eastAsia="仿宋" w:cs="仿宋"/>
                <w:sz w:val="24"/>
                <w:szCs w:val="24"/>
              </w:rPr>
            </w:pPr>
          </w:p>
        </w:tc>
        <w:tc>
          <w:tcPr>
            <w:tcW w:w="956" w:type="dxa"/>
            <w:noWrap w:val="0"/>
            <w:vAlign w:val="top"/>
          </w:tcPr>
          <w:p>
            <w:pPr>
              <w:adjustRightInd w:val="0"/>
              <w:snapToGrid w:val="0"/>
              <w:spacing w:line="360" w:lineRule="auto"/>
              <w:jc w:val="center"/>
              <w:rPr>
                <w:rFonts w:hint="eastAsia" w:ascii="仿宋" w:hAnsi="仿宋" w:eastAsia="仿宋" w:cs="仿宋"/>
                <w:sz w:val="24"/>
                <w:szCs w:val="24"/>
              </w:rPr>
            </w:pPr>
          </w:p>
        </w:tc>
        <w:tc>
          <w:tcPr>
            <w:tcW w:w="896" w:type="dxa"/>
            <w:noWrap w:val="0"/>
            <w:vAlign w:val="center"/>
          </w:tcPr>
          <w:p>
            <w:pPr>
              <w:adjustRightInd w:val="0"/>
              <w:snapToGrid w:val="0"/>
              <w:spacing w:line="360" w:lineRule="auto"/>
              <w:jc w:val="center"/>
              <w:rPr>
                <w:rFonts w:hint="eastAsia" w:ascii="仿宋" w:hAnsi="仿宋" w:eastAsia="仿宋" w:cs="仿宋"/>
                <w:sz w:val="24"/>
                <w:szCs w:val="24"/>
              </w:rPr>
            </w:pPr>
          </w:p>
        </w:tc>
        <w:tc>
          <w:tcPr>
            <w:tcW w:w="1120" w:type="dxa"/>
            <w:noWrap w:val="0"/>
            <w:vAlign w:val="top"/>
          </w:tcPr>
          <w:p>
            <w:pPr>
              <w:adjustRightInd w:val="0"/>
              <w:snapToGrid w:val="0"/>
              <w:spacing w:line="360" w:lineRule="auto"/>
              <w:jc w:val="center"/>
              <w:rPr>
                <w:rFonts w:hint="eastAsia" w:ascii="仿宋" w:hAnsi="仿宋" w:eastAsia="仿宋" w:cs="仿宋"/>
                <w:sz w:val="24"/>
                <w:szCs w:val="24"/>
              </w:rPr>
            </w:pPr>
          </w:p>
        </w:tc>
        <w:tc>
          <w:tcPr>
            <w:tcW w:w="848" w:type="dxa"/>
            <w:noWrap w:val="0"/>
            <w:vAlign w:val="center"/>
          </w:tcPr>
          <w:p>
            <w:pPr>
              <w:adjustRightInd w:val="0"/>
              <w:snapToGrid w:val="0"/>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947" w:type="dxa"/>
            <w:gridSpan w:val="6"/>
            <w:noWrap w:val="0"/>
            <w:vAlign w:val="top"/>
          </w:tcPr>
          <w:p>
            <w:pPr>
              <w:adjustRightInd w:val="0"/>
              <w:snapToGrid w:val="0"/>
              <w:spacing w:line="360" w:lineRule="auto"/>
              <w:jc w:val="center"/>
              <w:rPr>
                <w:rFonts w:hint="eastAsia" w:ascii="仿宋" w:hAnsi="仿宋" w:eastAsia="仿宋" w:cs="仿宋"/>
                <w:sz w:val="24"/>
                <w:szCs w:val="24"/>
              </w:rPr>
            </w:pPr>
          </w:p>
        </w:tc>
        <w:tc>
          <w:tcPr>
            <w:tcW w:w="1968" w:type="dxa"/>
            <w:gridSpan w:val="2"/>
            <w:noWrap w:val="0"/>
            <w:vAlign w:val="center"/>
          </w:tcPr>
          <w:p>
            <w:pPr>
              <w:adjustRightInd w:val="0"/>
              <w:snapToGrid w:val="0"/>
              <w:spacing w:line="240" w:lineRule="exact"/>
              <w:rPr>
                <w:rFonts w:hint="eastAsia" w:ascii="仿宋" w:hAnsi="仿宋" w:eastAsia="仿宋" w:cs="仿宋"/>
                <w:sz w:val="24"/>
                <w:szCs w:val="24"/>
              </w:rPr>
            </w:pPr>
            <w:r>
              <w:rPr>
                <w:rFonts w:hint="eastAsia" w:ascii="仿宋" w:hAnsi="仿宋" w:eastAsia="仿宋" w:cs="仿宋"/>
                <w:sz w:val="24"/>
                <w:szCs w:val="24"/>
              </w:rPr>
              <w:t>￥</w:t>
            </w:r>
          </w:p>
        </w:tc>
      </w:tr>
    </w:tbl>
    <w:p>
      <w:pPr>
        <w:spacing w:line="360" w:lineRule="auto"/>
        <w:ind w:firstLine="960" w:firstLineChars="4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说明：1.品牌指产品的品牌或注册商标； </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投标人</w:t>
      </w:r>
      <w:r>
        <w:rPr>
          <w:rFonts w:hint="eastAsia" w:ascii="仿宋" w:hAnsi="仿宋" w:eastAsia="仿宋" w:cs="仿宋"/>
          <w:sz w:val="24"/>
          <w:szCs w:val="24"/>
        </w:rPr>
        <w:t>必须按“货物（产品）分项报价表”的格式详细报出报价的各个组成部分的报价，否则按无效</w:t>
      </w:r>
      <w:r>
        <w:rPr>
          <w:rFonts w:hint="eastAsia" w:ascii="仿宋" w:hAnsi="仿宋" w:eastAsia="仿宋" w:cs="仿宋"/>
          <w:sz w:val="24"/>
          <w:szCs w:val="24"/>
          <w:lang w:val="en-US" w:eastAsia="zh-CN"/>
        </w:rPr>
        <w:t>投标</w:t>
      </w:r>
      <w:r>
        <w:rPr>
          <w:rFonts w:hint="eastAsia" w:ascii="仿宋" w:hAnsi="仿宋" w:eastAsia="仿宋" w:cs="仿宋"/>
          <w:sz w:val="24"/>
          <w:szCs w:val="24"/>
        </w:rPr>
        <w:t>文件处理；报价精确到小数点后两位；</w:t>
      </w:r>
    </w:p>
    <w:p>
      <w:pPr>
        <w:spacing w:line="360" w:lineRule="auto"/>
        <w:rPr>
          <w:rFonts w:hint="eastAsia" w:ascii="仿宋" w:hAnsi="仿宋" w:eastAsia="仿宋" w:cs="仿宋"/>
          <w:sz w:val="24"/>
          <w:szCs w:val="24"/>
        </w:rPr>
      </w:pPr>
      <w:r>
        <w:rPr>
          <w:rFonts w:hint="eastAsia" w:ascii="仿宋" w:hAnsi="仿宋" w:eastAsia="仿宋" w:cs="仿宋"/>
          <w:sz w:val="24"/>
          <w:szCs w:val="24"/>
        </w:rPr>
        <w:t>3.本表各分项报价合计应当与“开标一览表”总报价相等；如果按单价计算的结果与报价不一致时，以单价为准修正报价与合计报价；</w:t>
      </w:r>
    </w:p>
    <w:p>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投标人</w:t>
      </w:r>
      <w:r>
        <w:rPr>
          <w:rFonts w:hint="eastAsia" w:ascii="仿宋" w:hAnsi="仿宋" w:eastAsia="仿宋" w:cs="仿宋"/>
          <w:sz w:val="24"/>
          <w:szCs w:val="24"/>
        </w:rPr>
        <w:t>必须按照以上格式填写分项报价表。</w:t>
      </w:r>
    </w:p>
    <w:p>
      <w:pPr>
        <w:adjustRightInd w:val="0"/>
        <w:spacing w:line="400" w:lineRule="exact"/>
        <w:ind w:firstLine="2650" w:firstLineChars="1100"/>
        <w:rPr>
          <w:rFonts w:hint="eastAsia" w:ascii="仿宋" w:hAnsi="仿宋" w:eastAsia="仿宋" w:cs="仿宋"/>
          <w:b/>
          <w:kern w:val="0"/>
          <w:sz w:val="24"/>
          <w:szCs w:val="24"/>
          <w:lang w:val="en-US" w:eastAsia="zh-CN"/>
        </w:rPr>
      </w:pPr>
    </w:p>
    <w:p>
      <w:pPr>
        <w:adjustRightInd w:val="0"/>
        <w:spacing w:line="400" w:lineRule="exact"/>
        <w:ind w:firstLine="2650" w:firstLineChars="1100"/>
        <w:rPr>
          <w:rFonts w:hint="eastAsia" w:ascii="楷体" w:hAnsi="楷体" w:eastAsia="楷体" w:cs="楷体"/>
          <w:b/>
          <w:kern w:val="0"/>
          <w:sz w:val="24"/>
          <w:szCs w:val="24"/>
          <w:lang w:val="en-US" w:eastAsia="zh-CN"/>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lang w:val="zh-CN"/>
        </w:rPr>
        <w:t>投标人：（公章）</w:t>
      </w:r>
    </w:p>
    <w:p>
      <w:pPr>
        <w:spacing w:line="360" w:lineRule="auto"/>
        <w:ind w:firstLine="3360" w:firstLineChars="1400"/>
        <w:rPr>
          <w:rFonts w:hint="eastAsia" w:ascii="仿宋" w:hAnsi="仿宋" w:eastAsia="仿宋" w:cs="仿宋"/>
          <w:sz w:val="24"/>
          <w:szCs w:val="24"/>
          <w:lang w:val="zh-CN"/>
        </w:rPr>
      </w:pPr>
    </w:p>
    <w:p>
      <w:pPr>
        <w:spacing w:line="360" w:lineRule="auto"/>
        <w:ind w:firstLine="3360" w:firstLineChars="1400"/>
        <w:rPr>
          <w:rFonts w:hint="eastAsia" w:ascii="仿宋" w:hAnsi="仿宋" w:eastAsia="仿宋" w:cs="仿宋"/>
          <w:sz w:val="24"/>
          <w:szCs w:val="24"/>
          <w:lang w:val="zh-CN"/>
        </w:rPr>
      </w:pPr>
      <w:r>
        <w:rPr>
          <w:rFonts w:hint="eastAsia" w:ascii="仿宋" w:hAnsi="仿宋" w:eastAsia="仿宋" w:cs="仿宋"/>
          <w:sz w:val="24"/>
          <w:szCs w:val="24"/>
          <w:lang w:val="zh-CN"/>
        </w:rPr>
        <w:t>法定代表人或其授权代表：（签字）</w:t>
      </w:r>
    </w:p>
    <w:p>
      <w:pPr>
        <w:spacing w:line="360" w:lineRule="auto"/>
        <w:rPr>
          <w:rFonts w:hint="eastAsia" w:ascii="仿宋" w:hAnsi="仿宋" w:eastAsia="仿宋" w:cs="仿宋"/>
          <w:sz w:val="24"/>
          <w:szCs w:val="24"/>
          <w:lang w:val="zh-CN"/>
        </w:rPr>
      </w:pPr>
    </w:p>
    <w:p>
      <w:pPr>
        <w:spacing w:line="420" w:lineRule="exact"/>
        <w:ind w:firstLine="4080" w:firstLineChars="1700"/>
        <w:rPr>
          <w:rFonts w:hint="eastAsia" w:ascii="仿宋" w:hAnsi="仿宋" w:eastAsia="仿宋" w:cs="仿宋"/>
          <w:sz w:val="24"/>
          <w:szCs w:val="24"/>
          <w:lang w:val="zh-CN"/>
        </w:rPr>
      </w:pPr>
      <w:r>
        <w:rPr>
          <w:rFonts w:hint="eastAsia" w:ascii="仿宋" w:hAnsi="仿宋" w:eastAsia="仿宋" w:cs="仿宋"/>
          <w:sz w:val="24"/>
          <w:szCs w:val="24"/>
          <w:lang w:val="zh-CN"/>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pStyle w:val="39"/>
        <w:ind w:left="0" w:leftChars="0" w:firstLine="0" w:firstLineChars="0"/>
        <w:jc w:val="both"/>
        <w:rPr>
          <w:rFonts w:hint="eastAsia" w:ascii="楷体" w:hAnsi="楷体" w:eastAsia="楷体" w:cs="楷体"/>
          <w:b/>
          <w:kern w:val="0"/>
          <w:sz w:val="28"/>
          <w:szCs w:val="28"/>
          <w:lang w:val="en-US" w:eastAsia="zh-CN"/>
        </w:rPr>
      </w:pPr>
    </w:p>
    <w:p>
      <w:pPr>
        <w:tabs>
          <w:tab w:val="left" w:pos="300"/>
        </w:tabs>
        <w:autoSpaceDE w:val="0"/>
        <w:autoSpaceDN w:val="0"/>
        <w:adjustRightInd w:val="0"/>
        <w:spacing w:line="380" w:lineRule="exact"/>
        <w:ind w:right="17"/>
        <w:jc w:val="center"/>
        <w:outlineLvl w:val="0"/>
        <w:rPr>
          <w:rFonts w:hint="eastAsia" w:ascii="黑体" w:hAnsi="黑体" w:eastAsia="黑体" w:cs="黑体"/>
          <w:b/>
          <w:sz w:val="28"/>
          <w:szCs w:val="18"/>
        </w:rPr>
      </w:pPr>
      <w:r>
        <w:rPr>
          <w:rFonts w:hint="eastAsia" w:ascii="黑体" w:hAnsi="黑体" w:eastAsia="黑体" w:cs="黑体"/>
          <w:b/>
          <w:sz w:val="28"/>
          <w:szCs w:val="18"/>
        </w:rPr>
        <w:t>备选产品配件报价表</w:t>
      </w:r>
    </w:p>
    <w:p>
      <w:pPr>
        <w:pStyle w:val="56"/>
        <w:ind w:left="250" w:leftChars="114" w:hanging="11" w:hangingChars="4"/>
        <w:jc w:val="left"/>
        <w:rPr>
          <w:rFonts w:hint="eastAsia" w:ascii="仿宋" w:hAnsi="仿宋" w:eastAsia="仿宋" w:cs="仿宋"/>
          <w:sz w:val="24"/>
          <w:szCs w:val="24"/>
          <w:lang w:val="en-US" w:eastAsia="zh-CN"/>
        </w:rPr>
      </w:pPr>
      <w:r>
        <w:rPr>
          <w:rFonts w:hint="eastAsia" w:ascii="宋体" w:hAnsi="宋体" w:cs="宋体"/>
          <w:sz w:val="28"/>
        </w:rPr>
        <w:t xml:space="preserve"> </w:t>
      </w:r>
      <w:r>
        <w:rPr>
          <w:rFonts w:hint="eastAsia" w:ascii="仿宋" w:hAnsi="仿宋" w:eastAsia="仿宋" w:cs="仿宋"/>
          <w:sz w:val="24"/>
          <w:szCs w:val="24"/>
          <w:lang w:val="en-US" w:eastAsia="zh-CN"/>
        </w:rPr>
        <w:t>投标人名称：</w:t>
      </w:r>
    </w:p>
    <w:p>
      <w:pPr>
        <w:pStyle w:val="56"/>
        <w:ind w:left="248" w:leftChars="114" w:hanging="9" w:hangingChars="4"/>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项目编号：                                                                         </w:t>
      </w:r>
    </w:p>
    <w:tbl>
      <w:tblPr>
        <w:tblStyle w:val="40"/>
        <w:tblpPr w:leftFromText="180" w:rightFromText="180" w:vertAnchor="text" w:horzAnchor="page" w:tblpX="1337" w:tblpY="175"/>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85"/>
        <w:gridCol w:w="725"/>
        <w:gridCol w:w="1275"/>
        <w:gridCol w:w="1253"/>
        <w:gridCol w:w="691"/>
        <w:gridCol w:w="790"/>
        <w:gridCol w:w="988"/>
        <w:gridCol w:w="88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exact"/>
        </w:trPr>
        <w:tc>
          <w:tcPr>
            <w:tcW w:w="475"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序号</w:t>
            </w:r>
          </w:p>
        </w:tc>
        <w:tc>
          <w:tcPr>
            <w:tcW w:w="1285"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产品名称</w:t>
            </w:r>
          </w:p>
        </w:tc>
        <w:tc>
          <w:tcPr>
            <w:tcW w:w="725"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品牌</w:t>
            </w:r>
          </w:p>
        </w:tc>
        <w:tc>
          <w:tcPr>
            <w:tcW w:w="1275"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型号规格</w:t>
            </w:r>
          </w:p>
        </w:tc>
        <w:tc>
          <w:tcPr>
            <w:tcW w:w="125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制造商</w:t>
            </w:r>
          </w:p>
        </w:tc>
        <w:tc>
          <w:tcPr>
            <w:tcW w:w="691"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单位</w:t>
            </w:r>
          </w:p>
        </w:tc>
        <w:tc>
          <w:tcPr>
            <w:tcW w:w="79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数量</w:t>
            </w:r>
          </w:p>
        </w:tc>
        <w:tc>
          <w:tcPr>
            <w:tcW w:w="988"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单价（元）</w:t>
            </w:r>
          </w:p>
        </w:tc>
        <w:tc>
          <w:tcPr>
            <w:tcW w:w="888"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报价（元）</w:t>
            </w:r>
          </w:p>
        </w:tc>
        <w:tc>
          <w:tcPr>
            <w:tcW w:w="138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75" w:type="dxa"/>
            <w:tcBorders>
              <w:top w:val="single" w:color="auto" w:sz="4" w:space="0"/>
              <w:left w:val="single" w:color="auto" w:sz="12"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4"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475" w:type="dxa"/>
            <w:tcBorders>
              <w:top w:val="single" w:color="auto" w:sz="4" w:space="0"/>
              <w:left w:val="single" w:color="auto" w:sz="12"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85"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25"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75"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253" w:type="dxa"/>
            <w:tcBorders>
              <w:top w:val="single" w:color="auto" w:sz="4" w:space="0"/>
              <w:left w:val="single" w:color="auto" w:sz="4" w:space="0"/>
              <w:bottom w:val="single" w:color="auto" w:sz="12"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691"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790" w:type="dxa"/>
            <w:tcBorders>
              <w:top w:val="single" w:color="auto" w:sz="4" w:space="0"/>
              <w:left w:val="single" w:color="auto" w:sz="4" w:space="0"/>
              <w:bottom w:val="single" w:color="auto" w:sz="12" w:space="0"/>
              <w:right w:val="single" w:color="auto" w:sz="4" w:space="0"/>
            </w:tcBorders>
            <w:noWrap w:val="0"/>
            <w:vAlign w:val="top"/>
          </w:tcPr>
          <w:p>
            <w:pPr>
              <w:pStyle w:val="56"/>
              <w:ind w:left="248" w:leftChars="114" w:hanging="9" w:hangingChars="4"/>
              <w:jc w:val="left"/>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888" w:type="dxa"/>
            <w:tcBorders>
              <w:top w:val="single" w:color="auto" w:sz="4" w:space="0"/>
              <w:left w:val="single" w:color="auto" w:sz="4" w:space="0"/>
              <w:bottom w:val="single" w:color="auto" w:sz="12" w:space="0"/>
              <w:right w:val="single" w:color="auto" w:sz="4"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c>
          <w:tcPr>
            <w:tcW w:w="1384" w:type="dxa"/>
            <w:tcBorders>
              <w:top w:val="single" w:color="auto" w:sz="4" w:space="0"/>
              <w:left w:val="single" w:color="auto" w:sz="4" w:space="0"/>
              <w:bottom w:val="single" w:color="auto" w:sz="12" w:space="0"/>
              <w:right w:val="single" w:color="auto" w:sz="12" w:space="0"/>
            </w:tcBorders>
            <w:noWrap w:val="0"/>
            <w:vAlign w:val="center"/>
          </w:tcPr>
          <w:p>
            <w:pPr>
              <w:pStyle w:val="56"/>
              <w:ind w:left="248" w:leftChars="114" w:hanging="9" w:hangingChars="4"/>
              <w:jc w:val="left"/>
              <w:rPr>
                <w:rFonts w:hint="eastAsia" w:ascii="仿宋" w:hAnsi="仿宋" w:eastAsia="仿宋" w:cs="仿宋"/>
                <w:sz w:val="24"/>
                <w:szCs w:val="24"/>
                <w:lang w:val="en-US" w:eastAsia="zh-CN"/>
              </w:rPr>
            </w:pPr>
          </w:p>
        </w:tc>
      </w:tr>
    </w:tbl>
    <w:p>
      <w:pPr>
        <w:pStyle w:val="56"/>
        <w:ind w:left="248" w:leftChars="114" w:hanging="9" w:hangingChars="4"/>
        <w:jc w:val="left"/>
        <w:rPr>
          <w:rFonts w:hint="eastAsia" w:ascii="宋体" w:hAnsi="宋体" w:cs="宋体"/>
          <w:b/>
          <w:bCs/>
          <w:sz w:val="24"/>
          <w:szCs w:val="24"/>
        </w:rPr>
      </w:pPr>
      <w:r>
        <w:rPr>
          <w:rFonts w:hint="eastAsia" w:ascii="仿宋" w:hAnsi="仿宋" w:eastAsia="仿宋" w:cs="仿宋"/>
          <w:sz w:val="24"/>
          <w:szCs w:val="24"/>
          <w:lang w:val="en-US" w:eastAsia="zh-CN"/>
        </w:rPr>
        <w:t xml:space="preserve">               </w:t>
      </w:r>
      <w:r>
        <w:rPr>
          <w:rFonts w:hint="eastAsia" w:ascii="宋体" w:hAnsi="宋体" w:cs="宋体"/>
          <w:sz w:val="24"/>
          <w:szCs w:val="24"/>
        </w:rPr>
        <w:t xml:space="preserve">                         </w:t>
      </w:r>
    </w:p>
    <w:p>
      <w:pPr>
        <w:spacing w:before="120" w:beforeLines="50"/>
        <w:rPr>
          <w:rFonts w:hint="eastAsia" w:ascii="楷体" w:hAnsi="楷体" w:eastAsia="楷体" w:cs="楷体"/>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说明：1.“备选产品</w:t>
      </w:r>
      <w:r>
        <w:rPr>
          <w:rFonts w:hint="eastAsia" w:ascii="仿宋" w:hAnsi="仿宋" w:eastAsia="仿宋" w:cs="仿宋"/>
          <w:bCs/>
          <w:sz w:val="24"/>
          <w:szCs w:val="24"/>
        </w:rPr>
        <w:t>配件报价表</w:t>
      </w:r>
      <w:r>
        <w:rPr>
          <w:rFonts w:hint="eastAsia" w:ascii="仿宋" w:hAnsi="仿宋" w:eastAsia="仿宋" w:cs="仿宋"/>
          <w:sz w:val="24"/>
          <w:szCs w:val="24"/>
        </w:rPr>
        <w:t>”以包为单位填写，报价精确到元，不保留小数；</w:t>
      </w:r>
    </w:p>
    <w:p>
      <w:pPr>
        <w:spacing w:line="320" w:lineRule="exact"/>
        <w:rPr>
          <w:rFonts w:hint="eastAsia" w:ascii="仿宋" w:hAnsi="仿宋" w:eastAsia="仿宋" w:cs="仿宋"/>
          <w:bCs/>
          <w:sz w:val="24"/>
          <w:szCs w:val="24"/>
        </w:rPr>
      </w:pPr>
      <w:r>
        <w:rPr>
          <w:rFonts w:hint="eastAsia" w:ascii="仿宋" w:hAnsi="仿宋" w:eastAsia="仿宋" w:cs="仿宋"/>
          <w:sz w:val="24"/>
          <w:szCs w:val="24"/>
        </w:rPr>
        <w:t>2.备选产品</w:t>
      </w:r>
      <w:r>
        <w:rPr>
          <w:rFonts w:hint="eastAsia" w:ascii="仿宋" w:hAnsi="仿宋" w:eastAsia="仿宋" w:cs="仿宋"/>
          <w:bCs/>
          <w:sz w:val="24"/>
          <w:szCs w:val="24"/>
        </w:rPr>
        <w:t>配件，仅作为采购人后期选择购买的参考依据，其报价不包含在本次</w:t>
      </w:r>
      <w:r>
        <w:rPr>
          <w:rFonts w:hint="eastAsia" w:ascii="仿宋" w:hAnsi="仿宋" w:eastAsia="仿宋" w:cs="仿宋"/>
          <w:bCs/>
          <w:sz w:val="24"/>
          <w:szCs w:val="24"/>
          <w:lang w:val="en-US" w:eastAsia="zh-CN"/>
        </w:rPr>
        <w:t>投标</w:t>
      </w:r>
      <w:r>
        <w:rPr>
          <w:rFonts w:hint="eastAsia" w:ascii="仿宋" w:hAnsi="仿宋" w:eastAsia="仿宋" w:cs="仿宋"/>
          <w:bCs/>
          <w:sz w:val="24"/>
          <w:szCs w:val="24"/>
        </w:rPr>
        <w:t>报价内。</w:t>
      </w:r>
    </w:p>
    <w:p>
      <w:pPr>
        <w:pStyle w:val="39"/>
        <w:rPr>
          <w:rFonts w:hint="eastAsia" w:ascii="楷体" w:hAnsi="楷体" w:eastAsia="楷体" w:cs="楷体"/>
          <w:b/>
          <w:kern w:val="0"/>
          <w:sz w:val="24"/>
          <w:szCs w:val="24"/>
          <w:lang w:val="en-US" w:eastAsia="zh-CN"/>
        </w:rPr>
      </w:pPr>
    </w:p>
    <w:p>
      <w:pPr>
        <w:pStyle w:val="39"/>
        <w:rPr>
          <w:rFonts w:hint="eastAsia" w:ascii="楷体" w:hAnsi="楷体" w:eastAsia="楷体" w:cs="楷体"/>
          <w:b/>
          <w:kern w:val="0"/>
          <w:sz w:val="24"/>
          <w:szCs w:val="24"/>
          <w:lang w:val="en-US" w:eastAsia="zh-CN"/>
        </w:rPr>
      </w:pPr>
    </w:p>
    <w:p>
      <w:pPr>
        <w:pStyle w:val="39"/>
        <w:rPr>
          <w:rFonts w:hint="eastAsia" w:ascii="楷体" w:hAnsi="楷体" w:eastAsia="楷体" w:cs="楷体"/>
          <w:b/>
          <w:kern w:val="0"/>
          <w:sz w:val="24"/>
          <w:szCs w:val="24"/>
          <w:lang w:val="en-US" w:eastAsia="zh-CN"/>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lang w:val="zh-CN"/>
        </w:rPr>
        <w:t>投标人：（公章）</w:t>
      </w:r>
    </w:p>
    <w:p>
      <w:pPr>
        <w:spacing w:line="360" w:lineRule="auto"/>
        <w:ind w:firstLine="3360" w:firstLineChars="1400"/>
        <w:rPr>
          <w:rFonts w:hint="eastAsia" w:ascii="仿宋" w:hAnsi="仿宋" w:eastAsia="仿宋" w:cs="仿宋"/>
          <w:sz w:val="24"/>
          <w:szCs w:val="24"/>
          <w:lang w:val="zh-CN"/>
        </w:rPr>
      </w:pPr>
    </w:p>
    <w:p>
      <w:pPr>
        <w:spacing w:line="360" w:lineRule="auto"/>
        <w:ind w:firstLine="3360" w:firstLineChars="1400"/>
        <w:rPr>
          <w:rFonts w:hint="eastAsia" w:ascii="仿宋" w:hAnsi="仿宋" w:eastAsia="仿宋" w:cs="仿宋"/>
          <w:sz w:val="24"/>
          <w:szCs w:val="24"/>
          <w:lang w:val="zh-CN"/>
        </w:rPr>
      </w:pPr>
      <w:r>
        <w:rPr>
          <w:rFonts w:hint="eastAsia" w:ascii="仿宋" w:hAnsi="仿宋" w:eastAsia="仿宋" w:cs="仿宋"/>
          <w:sz w:val="24"/>
          <w:szCs w:val="24"/>
          <w:lang w:val="zh-CN"/>
        </w:rPr>
        <w:t>法定代表人或其授权代表：（签字）</w:t>
      </w:r>
    </w:p>
    <w:p>
      <w:pPr>
        <w:spacing w:line="360" w:lineRule="auto"/>
        <w:rPr>
          <w:rFonts w:hint="eastAsia" w:ascii="仿宋" w:hAnsi="仿宋" w:eastAsia="仿宋" w:cs="仿宋"/>
          <w:sz w:val="24"/>
          <w:szCs w:val="24"/>
          <w:lang w:val="zh-CN"/>
        </w:rPr>
      </w:pPr>
    </w:p>
    <w:p>
      <w:pPr>
        <w:spacing w:line="420" w:lineRule="exact"/>
        <w:ind w:firstLine="4080" w:firstLineChars="1700"/>
        <w:rPr>
          <w:rFonts w:hint="eastAsia" w:ascii="仿宋" w:hAnsi="仿宋" w:eastAsia="仿宋" w:cs="仿宋"/>
          <w:sz w:val="24"/>
          <w:szCs w:val="24"/>
          <w:lang w:val="zh-CN"/>
        </w:rPr>
      </w:pPr>
      <w:r>
        <w:rPr>
          <w:rFonts w:hint="eastAsia" w:ascii="仿宋" w:hAnsi="仿宋" w:eastAsia="仿宋" w:cs="仿宋"/>
          <w:sz w:val="24"/>
          <w:szCs w:val="24"/>
          <w:lang w:val="zh-CN"/>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pStyle w:val="39"/>
        <w:rPr>
          <w:rFonts w:hint="eastAsia" w:ascii="楷体" w:hAnsi="楷体" w:eastAsia="楷体" w:cs="楷体"/>
          <w:b/>
          <w:kern w:val="0"/>
          <w:sz w:val="24"/>
          <w:szCs w:val="24"/>
          <w:lang w:val="en-US" w:eastAsia="zh-CN"/>
        </w:rPr>
      </w:pPr>
    </w:p>
    <w:p>
      <w:pPr>
        <w:pStyle w:val="39"/>
        <w:rPr>
          <w:rFonts w:hint="eastAsia" w:ascii="楷体" w:hAnsi="楷体" w:eastAsia="楷体" w:cs="楷体"/>
          <w:b/>
          <w:kern w:val="0"/>
          <w:sz w:val="28"/>
          <w:szCs w:val="28"/>
          <w:lang w:val="en-US" w:eastAsia="zh-CN"/>
        </w:rPr>
      </w:pPr>
    </w:p>
    <w:p>
      <w:pPr>
        <w:spacing w:after="360" w:afterLines="150" w:line="400" w:lineRule="exact"/>
        <w:jc w:val="both"/>
        <w:outlineLvl w:val="0"/>
        <w:rPr>
          <w:rFonts w:hint="eastAsia" w:ascii="黑体" w:hAnsi="黑体" w:eastAsia="黑体" w:cs="黑体"/>
          <w:bCs/>
          <w:sz w:val="36"/>
          <w:szCs w:val="36"/>
        </w:rPr>
      </w:pPr>
      <w:bookmarkStart w:id="463" w:name="_Toc17861"/>
    </w:p>
    <w:p>
      <w:pPr>
        <w:tabs>
          <w:tab w:val="left" w:pos="300"/>
        </w:tabs>
        <w:autoSpaceDE w:val="0"/>
        <w:autoSpaceDN w:val="0"/>
        <w:adjustRightInd w:val="0"/>
        <w:spacing w:line="380" w:lineRule="exact"/>
        <w:ind w:right="17"/>
        <w:jc w:val="center"/>
        <w:outlineLvl w:val="0"/>
        <w:rPr>
          <w:rFonts w:hint="eastAsia" w:ascii="黑体" w:hAnsi="黑体" w:eastAsia="黑体" w:cs="黑体"/>
          <w:b/>
          <w:sz w:val="28"/>
          <w:szCs w:val="18"/>
        </w:rPr>
      </w:pPr>
      <w:r>
        <w:rPr>
          <w:rFonts w:hint="eastAsia" w:ascii="黑体" w:hAnsi="黑体" w:eastAsia="黑体" w:cs="黑体"/>
          <w:b/>
          <w:sz w:val="28"/>
          <w:szCs w:val="18"/>
        </w:rPr>
        <w:t>货物（产品）说明一览表</w:t>
      </w:r>
    </w:p>
    <w:p>
      <w:pPr>
        <w:pStyle w:val="56"/>
        <w:ind w:left="248" w:leftChars="114" w:hanging="9" w:hangingChars="4"/>
        <w:jc w:val="left"/>
        <w:rPr>
          <w:rFonts w:hint="eastAsia" w:ascii="仿宋" w:hAnsi="仿宋" w:eastAsia="仿宋" w:cs="仿宋"/>
          <w:szCs w:val="21"/>
          <w:lang w:val="en-US" w:eastAsia="zh-CN"/>
        </w:rPr>
      </w:pPr>
      <w:r>
        <w:rPr>
          <w:rFonts w:hint="eastAsia" w:ascii="仿宋" w:hAnsi="仿宋" w:eastAsia="仿宋" w:cs="仿宋"/>
          <w:szCs w:val="21"/>
          <w:lang w:val="en-US" w:eastAsia="zh-CN"/>
        </w:rPr>
        <w:t>投标人名称：                                                                                        项目编号：</w:t>
      </w:r>
    </w:p>
    <w:tbl>
      <w:tblPr>
        <w:tblStyle w:val="40"/>
        <w:tblpPr w:leftFromText="180" w:rightFromText="180" w:vertAnchor="text" w:horzAnchor="page" w:tblpX="612" w:tblpY="302"/>
        <w:tblW w:w="10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83"/>
        <w:gridCol w:w="973"/>
        <w:gridCol w:w="1247"/>
        <w:gridCol w:w="2042"/>
        <w:gridCol w:w="1488"/>
        <w:gridCol w:w="134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539"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序号</w:t>
            </w:r>
          </w:p>
        </w:tc>
        <w:tc>
          <w:tcPr>
            <w:tcW w:w="118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产品名称</w:t>
            </w:r>
          </w:p>
        </w:tc>
        <w:tc>
          <w:tcPr>
            <w:tcW w:w="97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品牌</w:t>
            </w:r>
          </w:p>
        </w:tc>
        <w:tc>
          <w:tcPr>
            <w:tcW w:w="1247"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型号规格</w:t>
            </w:r>
          </w:p>
        </w:tc>
        <w:tc>
          <w:tcPr>
            <w:tcW w:w="2042"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主要技术参数</w:t>
            </w:r>
          </w:p>
        </w:tc>
        <w:tc>
          <w:tcPr>
            <w:tcW w:w="1488"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制造商</w:t>
            </w:r>
          </w:p>
        </w:tc>
        <w:tc>
          <w:tcPr>
            <w:tcW w:w="1349"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所属行业</w:t>
            </w:r>
          </w:p>
        </w:tc>
        <w:tc>
          <w:tcPr>
            <w:tcW w:w="173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39" w:type="dxa"/>
            <w:tcBorders>
              <w:top w:val="single" w:color="auto" w:sz="4" w:space="0"/>
              <w:left w:val="single" w:color="auto" w:sz="12"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trPr>
        <w:tc>
          <w:tcPr>
            <w:tcW w:w="539" w:type="dxa"/>
            <w:tcBorders>
              <w:top w:val="single" w:color="auto" w:sz="4" w:space="0"/>
              <w:left w:val="single" w:color="auto" w:sz="12" w:space="0"/>
              <w:bottom w:val="single" w:color="auto" w:sz="12"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183"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973"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center"/>
              <w:rPr>
                <w:rFonts w:hint="eastAsia" w:ascii="宋体" w:hAnsi="宋体" w:cs="宋体"/>
                <w:sz w:val="24"/>
                <w:szCs w:val="24"/>
              </w:rPr>
            </w:pPr>
          </w:p>
        </w:tc>
        <w:tc>
          <w:tcPr>
            <w:tcW w:w="1247"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2042"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488"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349" w:type="dxa"/>
            <w:tcBorders>
              <w:top w:val="single" w:color="auto" w:sz="4" w:space="0"/>
              <w:left w:val="single" w:color="auto" w:sz="4" w:space="0"/>
              <w:bottom w:val="single" w:color="auto" w:sz="12" w:space="0"/>
              <w:right w:val="single" w:color="auto" w:sz="4" w:space="0"/>
            </w:tcBorders>
            <w:noWrap w:val="0"/>
            <w:vAlign w:val="top"/>
          </w:tcPr>
          <w:p>
            <w:pPr>
              <w:snapToGrid w:val="0"/>
              <w:spacing w:line="400" w:lineRule="exact"/>
              <w:jc w:val="center"/>
              <w:rPr>
                <w:rFonts w:hint="eastAsia" w:ascii="宋体" w:hAnsi="宋体" w:cs="宋体"/>
                <w:sz w:val="24"/>
                <w:szCs w:val="24"/>
              </w:rPr>
            </w:pPr>
          </w:p>
        </w:tc>
        <w:tc>
          <w:tcPr>
            <w:tcW w:w="1734" w:type="dxa"/>
            <w:tcBorders>
              <w:top w:val="single" w:color="auto" w:sz="4" w:space="0"/>
              <w:left w:val="single" w:color="auto" w:sz="4" w:space="0"/>
              <w:bottom w:val="single" w:color="auto" w:sz="12" w:space="0"/>
              <w:right w:val="single" w:color="auto" w:sz="12" w:space="0"/>
            </w:tcBorders>
            <w:noWrap w:val="0"/>
            <w:vAlign w:val="center"/>
          </w:tcPr>
          <w:p>
            <w:pPr>
              <w:snapToGrid w:val="0"/>
              <w:spacing w:line="400" w:lineRule="exact"/>
              <w:jc w:val="center"/>
              <w:rPr>
                <w:rFonts w:hint="eastAsia" w:ascii="宋体" w:hAnsi="宋体" w:cs="宋体"/>
                <w:sz w:val="24"/>
                <w:szCs w:val="24"/>
              </w:rPr>
            </w:pPr>
          </w:p>
        </w:tc>
      </w:tr>
    </w:tbl>
    <w:p>
      <w:pPr>
        <w:spacing w:line="320" w:lineRule="exact"/>
        <w:rPr>
          <w:rFonts w:hint="eastAsia" w:ascii="仿宋" w:hAnsi="仿宋" w:eastAsia="仿宋" w:cs="仿宋"/>
          <w:bCs/>
          <w:sz w:val="24"/>
          <w:szCs w:val="24"/>
        </w:rPr>
      </w:pPr>
      <w:r>
        <w:rPr>
          <w:rFonts w:hint="eastAsia" w:ascii="仿宋" w:hAnsi="仿宋" w:eastAsia="仿宋" w:cs="仿宋"/>
          <w:bCs/>
          <w:sz w:val="24"/>
          <w:szCs w:val="24"/>
        </w:rPr>
        <w:t>说明：1.除节能、环境标志产品认证证书编号以外，其他内容不得空缺；如空缺将视为没有实质性响应</w:t>
      </w:r>
      <w:r>
        <w:rPr>
          <w:rFonts w:hint="eastAsia" w:ascii="仿宋" w:hAnsi="仿宋" w:eastAsia="仿宋" w:cs="仿宋"/>
          <w:bCs/>
          <w:sz w:val="24"/>
          <w:szCs w:val="24"/>
          <w:lang w:val="en-US" w:eastAsia="zh-CN"/>
        </w:rPr>
        <w:t>招标</w:t>
      </w:r>
      <w:r>
        <w:rPr>
          <w:rFonts w:hint="eastAsia" w:ascii="仿宋" w:hAnsi="仿宋" w:eastAsia="仿宋" w:cs="仿宋"/>
          <w:bCs/>
          <w:sz w:val="24"/>
          <w:szCs w:val="24"/>
        </w:rPr>
        <w:t>文件；</w:t>
      </w:r>
    </w:p>
    <w:p>
      <w:pPr>
        <w:spacing w:line="320" w:lineRule="exact"/>
        <w:rPr>
          <w:rFonts w:hint="eastAsia" w:ascii="仿宋" w:hAnsi="仿宋" w:eastAsia="仿宋" w:cs="仿宋"/>
          <w:bCs/>
          <w:sz w:val="24"/>
          <w:szCs w:val="24"/>
        </w:rPr>
      </w:pPr>
      <w:r>
        <w:rPr>
          <w:rFonts w:hint="eastAsia" w:ascii="仿宋" w:hAnsi="仿宋" w:eastAsia="仿宋" w:cs="仿宋"/>
          <w:bCs/>
          <w:sz w:val="24"/>
          <w:szCs w:val="24"/>
        </w:rPr>
        <w:t>2.货物各项详细技术性能可另页描述；若货物没有品牌或注册商标和具体型号的须注明；</w:t>
      </w:r>
    </w:p>
    <w:p>
      <w:pPr>
        <w:spacing w:line="32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.所属行业按</w:t>
      </w:r>
      <w:r>
        <w:rPr>
          <w:rFonts w:hint="eastAsia" w:ascii="仿宋" w:hAnsi="仿宋" w:eastAsia="仿宋" w:cs="仿宋"/>
          <w:bCs/>
          <w:sz w:val="24"/>
          <w:szCs w:val="24"/>
          <w:lang w:val="en-US" w:eastAsia="zh-CN"/>
        </w:rPr>
        <w:t>招标</w:t>
      </w:r>
      <w:r>
        <w:rPr>
          <w:rFonts w:hint="eastAsia" w:ascii="仿宋" w:hAnsi="仿宋" w:eastAsia="仿宋" w:cs="仿宋"/>
          <w:bCs/>
          <w:sz w:val="24"/>
          <w:szCs w:val="24"/>
        </w:rPr>
        <w:t>文件明确的行业填报；类型指小型、微型、中型、大型企业；</w:t>
      </w:r>
    </w:p>
    <w:p>
      <w:pPr>
        <w:spacing w:line="32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投标人</w:t>
      </w:r>
      <w:r>
        <w:rPr>
          <w:rFonts w:hint="eastAsia" w:ascii="仿宋" w:hAnsi="仿宋" w:eastAsia="仿宋" w:cs="仿宋"/>
          <w:bCs/>
          <w:sz w:val="24"/>
          <w:szCs w:val="24"/>
        </w:rPr>
        <w:t>提供《中小企业声明函》，制造商、所属行业和类型与其不一致时，以《中小企业声明函》为准。</w:t>
      </w:r>
    </w:p>
    <w:p>
      <w:pPr>
        <w:adjustRightInd w:val="0"/>
        <w:spacing w:line="400" w:lineRule="exact"/>
        <w:ind w:firstLine="3132" w:firstLineChars="1300"/>
        <w:outlineLvl w:val="0"/>
        <w:rPr>
          <w:rFonts w:hint="eastAsia" w:ascii="黑体" w:hAnsi="黑体" w:eastAsia="黑体" w:cs="黑体"/>
          <w:b/>
          <w:kern w:val="0"/>
          <w:sz w:val="24"/>
          <w:szCs w:val="24"/>
          <w:lang w:val="en-US" w:eastAsia="zh-CN"/>
        </w:rPr>
      </w:pPr>
    </w:p>
    <w:p>
      <w:pPr>
        <w:pStyle w:val="39"/>
        <w:rPr>
          <w:rFonts w:hint="eastAsia" w:ascii="黑体" w:hAnsi="黑体" w:eastAsia="黑体" w:cs="黑体"/>
          <w:b/>
          <w:kern w:val="0"/>
          <w:sz w:val="24"/>
          <w:szCs w:val="24"/>
          <w:lang w:val="en-US" w:eastAsia="zh-CN"/>
        </w:rPr>
      </w:pPr>
    </w:p>
    <w:p>
      <w:pPr>
        <w:pStyle w:val="39"/>
        <w:rPr>
          <w:rFonts w:hint="eastAsia" w:ascii="黑体" w:hAnsi="黑体" w:eastAsia="黑体" w:cs="黑体"/>
          <w:b/>
          <w:kern w:val="0"/>
          <w:sz w:val="24"/>
          <w:szCs w:val="24"/>
          <w:lang w:val="en-US" w:eastAsia="zh-CN"/>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lang w:val="zh-CN"/>
        </w:rPr>
        <w:t>投标人：（公章）</w:t>
      </w:r>
    </w:p>
    <w:p>
      <w:pPr>
        <w:spacing w:line="360" w:lineRule="auto"/>
        <w:ind w:firstLine="3360" w:firstLineChars="1400"/>
        <w:rPr>
          <w:rFonts w:hint="eastAsia" w:ascii="仿宋" w:hAnsi="仿宋" w:eastAsia="仿宋" w:cs="仿宋"/>
          <w:sz w:val="24"/>
          <w:szCs w:val="24"/>
          <w:lang w:val="zh-CN"/>
        </w:rPr>
      </w:pPr>
    </w:p>
    <w:p>
      <w:pPr>
        <w:spacing w:line="360" w:lineRule="auto"/>
        <w:ind w:firstLine="3360" w:firstLineChars="1400"/>
        <w:rPr>
          <w:rFonts w:hint="eastAsia" w:ascii="仿宋" w:hAnsi="仿宋" w:eastAsia="仿宋" w:cs="仿宋"/>
          <w:sz w:val="24"/>
          <w:szCs w:val="24"/>
          <w:lang w:val="zh-CN"/>
        </w:rPr>
      </w:pPr>
      <w:r>
        <w:rPr>
          <w:rFonts w:hint="eastAsia" w:ascii="仿宋" w:hAnsi="仿宋" w:eastAsia="仿宋" w:cs="仿宋"/>
          <w:sz w:val="24"/>
          <w:szCs w:val="24"/>
          <w:lang w:val="zh-CN"/>
        </w:rPr>
        <w:t>法定代表人或其授权代表：（签字）</w:t>
      </w:r>
    </w:p>
    <w:p>
      <w:pPr>
        <w:spacing w:line="360" w:lineRule="auto"/>
        <w:rPr>
          <w:rFonts w:hint="eastAsia" w:ascii="仿宋" w:hAnsi="仿宋" w:eastAsia="仿宋" w:cs="仿宋"/>
          <w:sz w:val="24"/>
          <w:szCs w:val="24"/>
          <w:lang w:val="zh-CN"/>
        </w:rPr>
      </w:pPr>
    </w:p>
    <w:p>
      <w:pPr>
        <w:spacing w:line="420" w:lineRule="exact"/>
        <w:ind w:firstLine="4080" w:firstLineChars="1700"/>
        <w:rPr>
          <w:rFonts w:hint="eastAsia" w:ascii="仿宋" w:hAnsi="仿宋" w:eastAsia="仿宋" w:cs="仿宋"/>
          <w:szCs w:val="21"/>
          <w:lang w:val="zh-CN"/>
        </w:rPr>
      </w:pPr>
      <w:r>
        <w:rPr>
          <w:rFonts w:hint="eastAsia" w:ascii="仿宋" w:hAnsi="仿宋" w:eastAsia="仿宋" w:cs="仿宋"/>
          <w:sz w:val="24"/>
          <w:szCs w:val="24"/>
          <w:lang w:val="zh-CN"/>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pStyle w:val="39"/>
        <w:rPr>
          <w:rFonts w:hint="eastAsia" w:ascii="黑体" w:hAnsi="黑体" w:eastAsia="黑体" w:cs="黑体"/>
          <w:b/>
          <w:kern w:val="0"/>
          <w:sz w:val="28"/>
          <w:szCs w:val="28"/>
          <w:lang w:val="en-US" w:eastAsia="zh-CN"/>
        </w:rPr>
      </w:pPr>
    </w:p>
    <w:p>
      <w:pPr>
        <w:pStyle w:val="39"/>
        <w:rPr>
          <w:rFonts w:hint="eastAsia" w:ascii="黑体" w:hAnsi="黑体" w:eastAsia="黑体" w:cs="黑体"/>
          <w:b/>
          <w:kern w:val="0"/>
          <w:sz w:val="28"/>
          <w:szCs w:val="28"/>
          <w:lang w:val="en-US" w:eastAsia="zh-CN"/>
        </w:rPr>
      </w:pPr>
    </w:p>
    <w:p>
      <w:pPr>
        <w:pStyle w:val="39"/>
        <w:rPr>
          <w:rFonts w:hint="eastAsia" w:ascii="黑体" w:hAnsi="黑体" w:eastAsia="黑体" w:cs="黑体"/>
          <w:b/>
          <w:kern w:val="0"/>
          <w:sz w:val="28"/>
          <w:szCs w:val="28"/>
          <w:lang w:val="en-US" w:eastAsia="zh-CN"/>
        </w:rPr>
      </w:pPr>
    </w:p>
    <w:p>
      <w:pPr>
        <w:pStyle w:val="39"/>
        <w:rPr>
          <w:rFonts w:hint="eastAsia" w:ascii="黑体" w:hAnsi="黑体" w:eastAsia="黑体" w:cs="黑体"/>
          <w:b/>
          <w:kern w:val="0"/>
          <w:sz w:val="28"/>
          <w:szCs w:val="28"/>
          <w:lang w:val="en-US" w:eastAsia="zh-CN"/>
        </w:rPr>
      </w:pPr>
    </w:p>
    <w:p>
      <w:pPr>
        <w:pStyle w:val="39"/>
        <w:ind w:left="0" w:leftChars="0" w:firstLine="0" w:firstLineChars="0"/>
        <w:jc w:val="both"/>
        <w:rPr>
          <w:rFonts w:hint="eastAsia" w:ascii="黑体" w:hAnsi="黑体" w:eastAsia="黑体" w:cs="黑体"/>
          <w:b/>
          <w:kern w:val="0"/>
          <w:sz w:val="28"/>
          <w:szCs w:val="28"/>
          <w:lang w:val="en-US" w:eastAsia="zh-CN"/>
        </w:rPr>
      </w:pPr>
    </w:p>
    <w:p>
      <w:pPr>
        <w:adjustRightInd w:val="0"/>
        <w:spacing w:line="400" w:lineRule="exact"/>
        <w:ind w:firstLine="3654" w:firstLineChars="1300"/>
        <w:outlineLvl w:val="0"/>
        <w:rPr>
          <w:rFonts w:hint="eastAsia" w:ascii="黑体" w:hAnsi="黑体" w:eastAsia="黑体" w:cs="黑体"/>
          <w:b/>
          <w:kern w:val="0"/>
          <w:sz w:val="28"/>
          <w:szCs w:val="28"/>
        </w:rPr>
      </w:pPr>
      <w:r>
        <w:rPr>
          <w:rFonts w:hint="eastAsia" w:ascii="黑体" w:hAnsi="黑体" w:eastAsia="黑体" w:cs="黑体"/>
          <w:b/>
          <w:kern w:val="0"/>
          <w:sz w:val="28"/>
          <w:szCs w:val="28"/>
          <w:lang w:val="en-US" w:eastAsia="zh-CN"/>
        </w:rPr>
        <w:t>四</w:t>
      </w:r>
      <w:r>
        <w:rPr>
          <w:rFonts w:hint="eastAsia" w:ascii="黑体" w:hAnsi="黑体" w:eastAsia="黑体" w:cs="黑体"/>
          <w:b/>
          <w:kern w:val="0"/>
          <w:sz w:val="28"/>
          <w:szCs w:val="28"/>
        </w:rPr>
        <w:t>、</w:t>
      </w:r>
      <w:bookmarkEnd w:id="463"/>
      <w:r>
        <w:rPr>
          <w:rFonts w:hint="eastAsia" w:ascii="黑体" w:hAnsi="黑体" w:eastAsia="黑体" w:cs="黑体"/>
          <w:b/>
          <w:kern w:val="0"/>
          <w:sz w:val="28"/>
          <w:szCs w:val="28"/>
          <w:lang w:val="en-US" w:eastAsia="zh-CN"/>
        </w:rPr>
        <w:t>商务部分</w:t>
      </w:r>
    </w:p>
    <w:p>
      <w:pPr>
        <w:adjustRightInd w:val="0"/>
        <w:spacing w:line="400" w:lineRule="exact"/>
        <w:jc w:val="left"/>
        <w:rPr>
          <w:rFonts w:ascii="楷体" w:hAnsi="楷体" w:eastAsia="楷体" w:cs="楷体"/>
          <w:b/>
          <w:sz w:val="36"/>
          <w:szCs w:val="36"/>
        </w:rPr>
      </w:pPr>
    </w:p>
    <w:p>
      <w:pPr>
        <w:pStyle w:val="28"/>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rPr>
      </w:pPr>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说明：投标人根据第三章 《评审办法》内评审要素一览表要求，结合第四章《采购内容及具体要求》编制下列内容，格式自拟。</w:t>
      </w:r>
    </w:p>
    <w:p>
      <w:pPr>
        <w:pStyle w:val="28"/>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rPr>
      </w:pPr>
    </w:p>
    <w:p>
      <w:pPr>
        <w:pStyle w:val="28"/>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8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质量保证</w:t>
      </w:r>
    </w:p>
    <w:p>
      <w:pPr>
        <w:pStyle w:val="28"/>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8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实施方案</w:t>
      </w:r>
    </w:p>
    <w:p>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80" w:left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3、培训方案</w:t>
      </w:r>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4、业绩</w:t>
      </w:r>
      <w:r>
        <w:rPr>
          <w:rFonts w:hint="eastAsia" w:ascii="仿宋" w:hAnsi="仿宋" w:eastAsia="仿宋" w:cs="仿宋"/>
          <w:color w:val="auto"/>
          <w:sz w:val="24"/>
          <w:szCs w:val="24"/>
        </w:rPr>
        <w:t>（附参考格式</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lang w:val="en-US" w:eastAsia="zh-CN"/>
        </w:rPr>
      </w:pPr>
      <w:r>
        <w:rPr>
          <w:rFonts w:hint="eastAsia" w:ascii="仿宋" w:hAnsi="仿宋" w:eastAsia="仿宋" w:cs="仿宋"/>
          <w:color w:val="auto"/>
          <w:sz w:val="24"/>
          <w:szCs w:val="24"/>
          <w:lang w:val="en-US" w:eastAsia="zh-CN"/>
        </w:rPr>
        <w:t>5、演示</w:t>
      </w:r>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售后服务方案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附参考格式</w:t>
      </w:r>
      <w:r>
        <w:rPr>
          <w:rFonts w:hint="eastAsia" w:ascii="仿宋" w:hAnsi="仿宋" w:eastAsia="仿宋" w:cs="仿宋"/>
          <w:color w:val="auto"/>
          <w:sz w:val="24"/>
          <w:szCs w:val="24"/>
          <w:lang w:val="en-US" w:eastAsia="zh-CN"/>
        </w:rPr>
        <w:t>2）</w:t>
      </w: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p>
      <w:pPr>
        <w:pStyle w:val="28"/>
        <w:rPr>
          <w:rFonts w:ascii="楷体" w:hAnsi="楷体" w:eastAsia="楷体" w:cs="楷体"/>
          <w:szCs w:val="21"/>
        </w:rPr>
      </w:pPr>
    </w:p>
    <w:bookmarkEnd w:id="301"/>
    <w:bookmarkEnd w:id="302"/>
    <w:bookmarkEnd w:id="303"/>
    <w:p>
      <w:pPr>
        <w:spacing w:line="360" w:lineRule="auto"/>
        <w:ind w:firstLine="2940" w:firstLineChars="1400"/>
        <w:rPr>
          <w:rFonts w:hint="eastAsia" w:ascii="楷体" w:hAnsi="楷体" w:eastAsia="楷体" w:cs="楷体"/>
          <w:szCs w:val="21"/>
          <w:lang w:val="zh-CN"/>
        </w:rPr>
      </w:pPr>
      <w:bookmarkStart w:id="464" w:name="_Toc27319"/>
      <w:bookmarkStart w:id="465" w:name="_Toc19053_WPSOffice_Level1"/>
      <w:bookmarkStart w:id="466" w:name="_Toc5121"/>
      <w:bookmarkStart w:id="467" w:name="_Toc13978"/>
      <w:bookmarkStart w:id="468" w:name="_Toc1224"/>
      <w:bookmarkStart w:id="469" w:name="_Toc2398"/>
      <w:bookmarkStart w:id="470" w:name="_Toc22923"/>
      <w:bookmarkStart w:id="471" w:name="_Toc12857_WPSOffice_Level1"/>
      <w:bookmarkStart w:id="472" w:name="_Toc26418"/>
      <w:bookmarkStart w:id="473" w:name="_Toc1908_WPSOffice_Level1"/>
      <w:bookmarkStart w:id="474" w:name="_Toc22977"/>
      <w:bookmarkStart w:id="475" w:name="_Toc13701"/>
      <w:bookmarkStart w:id="476" w:name="_Toc3646"/>
      <w:bookmarkStart w:id="477" w:name="_Toc21120"/>
      <w:bookmarkStart w:id="478" w:name="_Toc6654"/>
    </w:p>
    <w:p>
      <w:pPr>
        <w:spacing w:line="360" w:lineRule="auto"/>
        <w:ind w:firstLine="2940" w:firstLineChars="14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rPr>
      </w:pPr>
      <w:r>
        <w:rPr>
          <w:rFonts w:hint="eastAsia" w:ascii="仿宋" w:hAnsi="仿宋" w:eastAsia="仿宋" w:cs="仿宋"/>
          <w:szCs w:val="21"/>
          <w:lang w:val="zh-CN"/>
        </w:rPr>
        <w:t>投标人：（公章）</w:t>
      </w:r>
    </w:p>
    <w:p>
      <w:pPr>
        <w:spacing w:line="360" w:lineRule="auto"/>
        <w:ind w:firstLine="2940" w:firstLineChars="14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lang w:val="zh-CN"/>
        </w:rPr>
      </w:pPr>
      <w:r>
        <w:rPr>
          <w:rFonts w:hint="eastAsia" w:ascii="仿宋" w:hAnsi="仿宋" w:eastAsia="仿宋" w:cs="仿宋"/>
          <w:szCs w:val="21"/>
          <w:lang w:val="zh-CN"/>
        </w:rPr>
        <w:t>法定代表人或其授权代表：（签字）</w:t>
      </w:r>
    </w:p>
    <w:p>
      <w:pPr>
        <w:spacing w:line="360" w:lineRule="auto"/>
        <w:rPr>
          <w:rFonts w:hint="eastAsia" w:ascii="仿宋" w:hAnsi="仿宋" w:eastAsia="仿宋" w:cs="仿宋"/>
          <w:szCs w:val="21"/>
          <w:lang w:val="zh-CN"/>
        </w:rPr>
      </w:pPr>
    </w:p>
    <w:p>
      <w:pPr>
        <w:spacing w:line="420" w:lineRule="exact"/>
        <w:ind w:firstLine="3360" w:firstLineChars="1600"/>
        <w:rPr>
          <w:rFonts w:hint="eastAsia" w:ascii="仿宋" w:hAnsi="仿宋" w:eastAsia="仿宋" w:cs="仿宋"/>
          <w:szCs w:val="21"/>
          <w:lang w:val="zh-CN"/>
        </w:rPr>
      </w:pPr>
      <w:r>
        <w:rPr>
          <w:rFonts w:hint="eastAsia" w:ascii="仿宋" w:hAnsi="仿宋" w:eastAsia="仿宋" w:cs="仿宋"/>
          <w:szCs w:val="21"/>
          <w:lang w:val="zh-CN"/>
        </w:rPr>
        <w:t>日期：</w:t>
      </w:r>
      <w:r>
        <w:rPr>
          <w:rFonts w:hint="eastAsia" w:ascii="仿宋" w:hAnsi="仿宋" w:eastAsia="仿宋" w:cs="仿宋"/>
          <w:szCs w:val="21"/>
          <w:lang w:val="en-US" w:eastAsia="zh-CN"/>
        </w:rPr>
        <w:t xml:space="preserve">    </w:t>
      </w:r>
      <w:r>
        <w:rPr>
          <w:rFonts w:hint="eastAsia" w:ascii="仿宋" w:hAnsi="仿宋" w:eastAsia="仿宋" w:cs="仿宋"/>
          <w:szCs w:val="21"/>
          <w:lang w:val="zh-CN"/>
        </w:rPr>
        <w:t>年</w:t>
      </w:r>
      <w:r>
        <w:rPr>
          <w:rFonts w:hint="eastAsia" w:ascii="仿宋" w:hAnsi="仿宋" w:eastAsia="仿宋" w:cs="仿宋"/>
          <w:szCs w:val="21"/>
          <w:lang w:val="en-US" w:eastAsia="zh-CN"/>
        </w:rPr>
        <w:t xml:space="preserve">   </w:t>
      </w:r>
      <w:r>
        <w:rPr>
          <w:rFonts w:hint="eastAsia" w:ascii="仿宋" w:hAnsi="仿宋" w:eastAsia="仿宋" w:cs="仿宋"/>
          <w:szCs w:val="21"/>
          <w:lang w:val="zh-CN"/>
        </w:rPr>
        <w:t>月</w:t>
      </w:r>
      <w:r>
        <w:rPr>
          <w:rFonts w:hint="eastAsia" w:ascii="仿宋" w:hAnsi="仿宋" w:eastAsia="仿宋" w:cs="仿宋"/>
          <w:szCs w:val="21"/>
          <w:lang w:val="en-US" w:eastAsia="zh-CN"/>
        </w:rPr>
        <w:t xml:space="preserve">  </w:t>
      </w:r>
      <w:r>
        <w:rPr>
          <w:rFonts w:hint="eastAsia" w:ascii="仿宋" w:hAnsi="仿宋" w:eastAsia="仿宋" w:cs="仿宋"/>
          <w:szCs w:val="21"/>
          <w:lang w:val="zh-CN"/>
        </w:rPr>
        <w:t>日</w:t>
      </w:r>
    </w:p>
    <w:p>
      <w:pPr>
        <w:pStyle w:val="2"/>
        <w:rPr>
          <w:rFonts w:hint="eastAsia" w:ascii="仿宋" w:hAnsi="仿宋" w:eastAsia="仿宋" w:cs="仿宋"/>
          <w:szCs w:val="21"/>
          <w:lang w:val="zh-CN"/>
        </w:rPr>
      </w:pPr>
    </w:p>
    <w:p>
      <w:pPr>
        <w:rPr>
          <w:rFonts w:hint="eastAsia" w:ascii="仿宋" w:hAnsi="仿宋" w:eastAsia="仿宋" w:cs="仿宋"/>
          <w:szCs w:val="21"/>
          <w:lang w:val="zh-CN"/>
        </w:rPr>
      </w:pPr>
    </w:p>
    <w:p>
      <w:pPr>
        <w:pStyle w:val="2"/>
        <w:rPr>
          <w:rFonts w:hint="eastAsia"/>
          <w:lang w:val="zh-CN"/>
        </w:rPr>
      </w:pPr>
    </w:p>
    <w:p>
      <w:pPr>
        <w:numPr>
          <w:ilvl w:val="0"/>
          <w:numId w:val="0"/>
        </w:numPr>
        <w:spacing w:line="480" w:lineRule="exact"/>
        <w:jc w:val="left"/>
        <w:outlineLvl w:val="1"/>
        <w:rPr>
          <w:rFonts w:hint="eastAsia" w:ascii="仿宋" w:hAnsi="仿宋" w:eastAsia="仿宋" w:cs="仿宋"/>
          <w:b/>
          <w:bCs/>
          <w:color w:val="auto"/>
          <w:sz w:val="24"/>
          <w:szCs w:val="24"/>
        </w:rPr>
      </w:pPr>
    </w:p>
    <w:p>
      <w:pPr>
        <w:numPr>
          <w:ilvl w:val="0"/>
          <w:numId w:val="0"/>
        </w:numPr>
        <w:spacing w:line="480" w:lineRule="exact"/>
        <w:jc w:val="left"/>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w:t>
      </w:r>
    </w:p>
    <w:p>
      <w:pPr>
        <w:numPr>
          <w:ilvl w:val="0"/>
          <w:numId w:val="0"/>
        </w:numPr>
        <w:spacing w:line="480" w:lineRule="exact"/>
        <w:ind w:firstLine="3092" w:firstLineChars="1100"/>
        <w:jc w:val="both"/>
        <w:outlineLvl w:val="1"/>
        <w:rPr>
          <w:rFonts w:hint="eastAsia" w:ascii="黑体" w:hAnsi="黑体" w:eastAsia="黑体" w:cs="黑体"/>
          <w:b/>
          <w:bCs/>
          <w:sz w:val="28"/>
          <w:szCs w:val="28"/>
        </w:rPr>
      </w:pPr>
      <w:r>
        <w:rPr>
          <w:rFonts w:hint="eastAsia" w:ascii="黑体" w:hAnsi="黑体" w:eastAsia="黑体" w:cs="黑体"/>
          <w:b/>
          <w:bCs/>
          <w:sz w:val="28"/>
          <w:szCs w:val="28"/>
        </w:rPr>
        <w:t>业绩证明文件</w:t>
      </w:r>
    </w:p>
    <w:p>
      <w:pPr>
        <w:pStyle w:val="13"/>
        <w:numPr>
          <w:ilvl w:val="0"/>
          <w:numId w:val="0"/>
        </w:numPr>
        <w:ind w:leftChars="0"/>
        <w:rPr>
          <w:rFonts w:hint="eastAsia" w:ascii="黑体" w:hAnsi="黑体" w:eastAsia="黑体" w:cs="黑体"/>
        </w:rPr>
      </w:pPr>
    </w:p>
    <w:p>
      <w:pPr>
        <w:pStyle w:val="14"/>
        <w:rPr>
          <w:rFonts w:hint="eastAsia" w:ascii="黑体" w:hAnsi="黑体" w:eastAsia="黑体" w:cs="黑体"/>
        </w:rPr>
      </w:pPr>
    </w:p>
    <w:p>
      <w:pPr>
        <w:rPr>
          <w:rFonts w:hint="eastAsia"/>
        </w:rPr>
      </w:pPr>
    </w:p>
    <w:tbl>
      <w:tblPr>
        <w:tblStyle w:val="40"/>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1452"/>
        <w:gridCol w:w="1606"/>
        <w:gridCol w:w="1560"/>
        <w:gridCol w:w="1607"/>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7"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097"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452"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项目内容</w:t>
            </w: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（类似项目）</w:t>
            </w:r>
          </w:p>
        </w:tc>
        <w:tc>
          <w:tcPr>
            <w:tcW w:w="1606" w:type="dxa"/>
            <w:tcBorders>
              <w:left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合同金额</w:t>
            </w:r>
          </w:p>
        </w:tc>
        <w:tc>
          <w:tcPr>
            <w:tcW w:w="1560" w:type="dxa"/>
            <w:tcBorders>
              <w:left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客户</w:t>
            </w:r>
          </w:p>
        </w:tc>
        <w:tc>
          <w:tcPr>
            <w:tcW w:w="1607" w:type="dxa"/>
            <w:tcBorders>
              <w:left w:val="single" w:color="auto" w:sz="4" w:space="0"/>
              <w:right w:val="single" w:color="auto" w:sz="4" w:space="0"/>
            </w:tcBorders>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完成日期</w:t>
            </w:r>
          </w:p>
        </w:tc>
        <w:tc>
          <w:tcPr>
            <w:tcW w:w="1424"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tcPr>
          <w:p>
            <w:pPr>
              <w:spacing w:line="360" w:lineRule="auto"/>
              <w:rPr>
                <w:rFonts w:hint="eastAsia" w:ascii="仿宋" w:hAnsi="仿宋" w:eastAsia="仿宋" w:cs="仿宋"/>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097" w:type="dxa"/>
            <w:vAlign w:val="center"/>
          </w:tcPr>
          <w:p>
            <w:pPr>
              <w:spacing w:line="360" w:lineRule="auto"/>
              <w:rPr>
                <w:rFonts w:hint="eastAsia" w:ascii="仿宋" w:hAnsi="仿宋" w:eastAsia="仿宋" w:cs="仿宋"/>
                <w:sz w:val="24"/>
                <w:szCs w:val="24"/>
                <w:lang w:val="en-US" w:eastAsia="zh-CN"/>
              </w:rPr>
            </w:pPr>
          </w:p>
        </w:tc>
        <w:tc>
          <w:tcPr>
            <w:tcW w:w="1452" w:type="dxa"/>
            <w:vAlign w:val="center"/>
          </w:tcPr>
          <w:p>
            <w:pPr>
              <w:spacing w:line="360" w:lineRule="auto"/>
              <w:rPr>
                <w:rFonts w:hint="eastAsia" w:ascii="仿宋" w:hAnsi="仿宋" w:eastAsia="仿宋" w:cs="仿宋"/>
                <w:sz w:val="24"/>
                <w:szCs w:val="24"/>
                <w:lang w:val="en-US" w:eastAsia="zh-CN"/>
              </w:rPr>
            </w:pPr>
          </w:p>
        </w:tc>
        <w:tc>
          <w:tcPr>
            <w:tcW w:w="1606"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560"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607" w:type="dxa"/>
            <w:tcBorders>
              <w:left w:val="single" w:color="auto" w:sz="4" w:space="0"/>
              <w:right w:val="single" w:color="auto" w:sz="4" w:space="0"/>
            </w:tcBorders>
            <w:vAlign w:val="center"/>
          </w:tcPr>
          <w:p>
            <w:pPr>
              <w:spacing w:line="360" w:lineRule="auto"/>
              <w:rPr>
                <w:rFonts w:hint="eastAsia" w:ascii="仿宋" w:hAnsi="仿宋" w:eastAsia="仿宋" w:cs="仿宋"/>
                <w:sz w:val="24"/>
                <w:szCs w:val="24"/>
                <w:lang w:val="en-US" w:eastAsia="zh-CN"/>
              </w:rPr>
            </w:pPr>
          </w:p>
        </w:tc>
        <w:tc>
          <w:tcPr>
            <w:tcW w:w="1424" w:type="dxa"/>
            <w:vAlign w:val="center"/>
          </w:tcPr>
          <w:p>
            <w:pPr>
              <w:spacing w:line="360" w:lineRule="auto"/>
              <w:rPr>
                <w:rFonts w:hint="eastAsia" w:ascii="仿宋" w:hAnsi="仿宋" w:eastAsia="仿宋" w:cs="仿宋"/>
                <w:sz w:val="24"/>
                <w:szCs w:val="24"/>
                <w:lang w:val="en-US" w:eastAsia="zh-CN"/>
              </w:rPr>
            </w:pPr>
          </w:p>
        </w:tc>
      </w:tr>
    </w:tbl>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表后</w:t>
      </w:r>
      <w:r>
        <w:rPr>
          <w:rFonts w:hint="eastAsia" w:ascii="仿宋" w:hAnsi="仿宋" w:eastAsia="仿宋" w:cs="仿宋"/>
          <w:sz w:val="24"/>
          <w:szCs w:val="24"/>
          <w:lang w:val="zh-CN" w:eastAsia="zh-CN"/>
        </w:rPr>
        <w:t>附业绩合同扫描件并加盖公司公章，</w:t>
      </w:r>
      <w:r>
        <w:rPr>
          <w:rFonts w:hint="eastAsia" w:ascii="仿宋" w:hAnsi="仿宋" w:eastAsia="仿宋" w:cs="仿宋"/>
          <w:sz w:val="24"/>
          <w:szCs w:val="24"/>
          <w:lang w:val="en-US" w:eastAsia="zh-CN"/>
        </w:rPr>
        <w:t>应清晰可辨认。</w:t>
      </w:r>
    </w:p>
    <w:p>
      <w:pPr>
        <w:spacing w:line="360"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 </w:t>
      </w:r>
    </w:p>
    <w:p>
      <w:pPr>
        <w:spacing w:line="360" w:lineRule="auto"/>
        <w:rPr>
          <w:rFonts w:hint="eastAsia" w:ascii="仿宋" w:hAnsi="仿宋" w:eastAsia="仿宋" w:cs="仿宋"/>
          <w:sz w:val="24"/>
          <w:szCs w:val="24"/>
          <w:lang w:val="en-US" w:eastAsia="zh-CN"/>
        </w:rPr>
      </w:pPr>
    </w:p>
    <w:p>
      <w:pPr>
        <w:spacing w:line="360" w:lineRule="auto"/>
        <w:ind w:firstLine="3120" w:firstLineChars="1300"/>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投标人：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（公章）</w:t>
      </w:r>
    </w:p>
    <w:p>
      <w:pPr>
        <w:spacing w:line="360" w:lineRule="auto"/>
        <w:rPr>
          <w:rFonts w:hint="eastAsia" w:ascii="仿宋" w:hAnsi="仿宋" w:eastAsia="仿宋" w:cs="仿宋"/>
          <w:sz w:val="24"/>
          <w:szCs w:val="24"/>
          <w:lang w:val="zh-CN" w:eastAsia="zh-CN"/>
        </w:rPr>
      </w:pPr>
    </w:p>
    <w:p>
      <w:pPr>
        <w:spacing w:line="360" w:lineRule="auto"/>
        <w:ind w:firstLine="3120" w:firstLineChars="130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法定代表人或其授权代表：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（签字）</w:t>
      </w:r>
    </w:p>
    <w:p>
      <w:pPr>
        <w:spacing w:line="360"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 </w:t>
      </w:r>
    </w:p>
    <w:p>
      <w:pPr>
        <w:spacing w:line="360" w:lineRule="auto"/>
        <w:ind w:firstLine="5040" w:firstLineChars="2100"/>
        <w:rPr>
          <w:rFonts w:hint="eastAsia" w:ascii="仿宋" w:hAnsi="仿宋" w:eastAsia="仿宋" w:cs="仿宋"/>
          <w:sz w:val="24"/>
          <w:szCs w:val="24"/>
          <w:highlight w:val="none"/>
          <w:lang w:val="zh-CN"/>
        </w:rPr>
      </w:pPr>
      <w:r>
        <w:rPr>
          <w:rFonts w:hint="eastAsia" w:ascii="仿宋" w:hAnsi="仿宋" w:eastAsia="仿宋" w:cs="仿宋"/>
          <w:sz w:val="24"/>
          <w:szCs w:val="24"/>
          <w:lang w:val="zh-CN" w:eastAsia="zh-CN"/>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日</w:t>
      </w:r>
    </w:p>
    <w:p>
      <w:pPr>
        <w:pStyle w:val="2"/>
        <w:jc w:val="both"/>
        <w:rPr>
          <w:lang w:val="zh-CN"/>
        </w:rPr>
      </w:pP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Pr>
        <w:numPr>
          <w:ilvl w:val="0"/>
          <w:numId w:val="0"/>
        </w:numPr>
        <w:spacing w:line="480" w:lineRule="exact"/>
        <w:jc w:val="left"/>
        <w:outlineLvl w:val="1"/>
        <w:rPr>
          <w:rFonts w:hint="eastAsia" w:ascii="仿宋" w:hAnsi="仿宋" w:eastAsia="仿宋" w:cs="仿宋"/>
          <w:b/>
          <w:bCs/>
          <w:color w:val="auto"/>
          <w:sz w:val="24"/>
          <w:szCs w:val="24"/>
        </w:rPr>
      </w:pPr>
    </w:p>
    <w:p>
      <w:pPr>
        <w:numPr>
          <w:ilvl w:val="0"/>
          <w:numId w:val="0"/>
        </w:numPr>
        <w:spacing w:line="480" w:lineRule="exact"/>
        <w:jc w:val="left"/>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2</w:t>
      </w:r>
    </w:p>
    <w:p>
      <w:pPr>
        <w:numPr>
          <w:ilvl w:val="0"/>
          <w:numId w:val="0"/>
        </w:numPr>
        <w:spacing w:line="480" w:lineRule="exact"/>
        <w:ind w:firstLine="3092" w:firstLineChars="1100"/>
        <w:jc w:val="both"/>
        <w:outlineLvl w:val="1"/>
        <w:rPr>
          <w:rFonts w:hint="eastAsia" w:ascii="黑体" w:hAnsi="黑体" w:eastAsia="黑体" w:cs="黑体"/>
          <w:b/>
          <w:bCs/>
          <w:sz w:val="28"/>
          <w:szCs w:val="28"/>
        </w:rPr>
      </w:pPr>
      <w:r>
        <w:rPr>
          <w:rFonts w:hint="eastAsia" w:ascii="黑体" w:hAnsi="黑体" w:eastAsia="黑体" w:cs="黑体"/>
          <w:b/>
          <w:bCs/>
          <w:sz w:val="28"/>
          <w:szCs w:val="28"/>
        </w:rPr>
        <w:t>售后服务文件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依据产品特性和需求，按</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文件要求自拟售后服务方案。</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应提供在陕西省境内的售后服务中心证明材料或与合作方的协议书，这些服务中心和特约维修服务点的名称、地址、电话、联系人应在</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文件中一一列出（参考样式如下）。</w:t>
      </w:r>
    </w:p>
    <w:p>
      <w:pPr>
        <w:pStyle w:val="2"/>
        <w:rPr>
          <w:rFonts w:hint="eastAsia" w:ascii="仿宋" w:hAnsi="仿宋" w:eastAsia="仿宋" w:cs="仿宋"/>
          <w:szCs w:val="21"/>
          <w:highlight w:val="none"/>
        </w:rPr>
        <w:sectPr>
          <w:footerReference r:id="rId10" w:type="first"/>
          <w:footerReference r:id="rId9" w:type="default"/>
          <w:pgSz w:w="11907" w:h="16840"/>
          <w:pgMar w:top="1440" w:right="1474" w:bottom="1440" w:left="1474" w:header="851" w:footer="992" w:gutter="0"/>
          <w:pgNumType w:fmt="numberInDash" w:start="1"/>
          <w:cols w:space="720" w:num="1"/>
          <w:titlePg/>
        </w:sectPr>
      </w:pPr>
    </w:p>
    <w:p>
      <w:pPr>
        <w:spacing w:after="156" w:afterLines="5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货物（产品）售后服务点联系表</w:t>
      </w:r>
    </w:p>
    <w:tbl>
      <w:tblPr>
        <w:tblStyle w:val="4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vAlign w:val="center"/>
          </w:tcPr>
          <w:p>
            <w:pPr>
              <w:spacing w:line="48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服务机构名称</w:t>
            </w:r>
          </w:p>
        </w:tc>
        <w:tc>
          <w:tcPr>
            <w:tcW w:w="1080" w:type="dxa"/>
            <w:vAlign w:val="center"/>
          </w:tcPr>
          <w:p>
            <w:pPr>
              <w:spacing w:line="48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所在地</w:t>
            </w:r>
          </w:p>
        </w:tc>
        <w:tc>
          <w:tcPr>
            <w:tcW w:w="1260" w:type="dxa"/>
            <w:vAlign w:val="center"/>
          </w:tcPr>
          <w:p>
            <w:pPr>
              <w:spacing w:line="48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联系人</w:t>
            </w:r>
          </w:p>
        </w:tc>
        <w:tc>
          <w:tcPr>
            <w:tcW w:w="1516" w:type="dxa"/>
            <w:vAlign w:val="center"/>
          </w:tcPr>
          <w:p>
            <w:pPr>
              <w:spacing w:line="48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联系电话</w:t>
            </w:r>
          </w:p>
        </w:tc>
        <w:tc>
          <w:tcPr>
            <w:tcW w:w="2548" w:type="dxa"/>
            <w:vAlign w:val="center"/>
          </w:tcPr>
          <w:p>
            <w:pPr>
              <w:spacing w:line="48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hint="eastAsia" w:ascii="仿宋" w:hAnsi="仿宋" w:eastAsia="仿宋" w:cs="仿宋"/>
                <w:highlight w:val="none"/>
              </w:rPr>
            </w:pPr>
          </w:p>
        </w:tc>
        <w:tc>
          <w:tcPr>
            <w:tcW w:w="1080" w:type="dxa"/>
            <w:vAlign w:val="center"/>
          </w:tcPr>
          <w:p>
            <w:pPr>
              <w:spacing w:line="480" w:lineRule="exact"/>
              <w:jc w:val="center"/>
              <w:rPr>
                <w:rFonts w:hint="eastAsia" w:ascii="仿宋" w:hAnsi="仿宋" w:eastAsia="仿宋" w:cs="仿宋"/>
                <w:highlight w:val="none"/>
              </w:rPr>
            </w:pPr>
          </w:p>
        </w:tc>
        <w:tc>
          <w:tcPr>
            <w:tcW w:w="1260" w:type="dxa"/>
            <w:vAlign w:val="center"/>
          </w:tcPr>
          <w:p>
            <w:pPr>
              <w:spacing w:line="480" w:lineRule="exact"/>
              <w:jc w:val="center"/>
              <w:rPr>
                <w:rFonts w:hint="eastAsia" w:ascii="仿宋" w:hAnsi="仿宋" w:eastAsia="仿宋" w:cs="仿宋"/>
                <w:highlight w:val="none"/>
              </w:rPr>
            </w:pPr>
          </w:p>
        </w:tc>
        <w:tc>
          <w:tcPr>
            <w:tcW w:w="1516" w:type="dxa"/>
            <w:vAlign w:val="center"/>
          </w:tcPr>
          <w:p>
            <w:pPr>
              <w:spacing w:line="480" w:lineRule="exact"/>
              <w:jc w:val="center"/>
              <w:rPr>
                <w:rFonts w:hint="eastAsia" w:ascii="仿宋" w:hAnsi="仿宋" w:eastAsia="仿宋" w:cs="仿宋"/>
                <w:highlight w:val="none"/>
              </w:rPr>
            </w:pPr>
          </w:p>
        </w:tc>
        <w:tc>
          <w:tcPr>
            <w:tcW w:w="2548" w:type="dxa"/>
            <w:vAlign w:val="center"/>
          </w:tcPr>
          <w:p>
            <w:pPr>
              <w:spacing w:line="480" w:lineRule="exact"/>
              <w:jc w:val="center"/>
              <w:rPr>
                <w:rFonts w:hint="eastAsia" w:ascii="仿宋" w:hAnsi="仿宋" w:eastAsia="仿宋" w:cs="仿宋"/>
                <w:highlight w:val="none"/>
              </w:rPr>
            </w:pPr>
          </w:p>
        </w:tc>
      </w:tr>
    </w:tbl>
    <w:p>
      <w:pPr>
        <w:spacing w:line="360" w:lineRule="auto"/>
        <w:ind w:right="960"/>
        <w:rPr>
          <w:rFonts w:hint="eastAsia" w:ascii="仿宋" w:hAnsi="仿宋" w:eastAsia="仿宋" w:cs="仿宋"/>
          <w:sz w:val="24"/>
          <w:szCs w:val="24"/>
          <w:highlight w:val="none"/>
        </w:rPr>
      </w:pPr>
    </w:p>
    <w:p>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（公章）</w:t>
      </w:r>
    </w:p>
    <w:p>
      <w:pPr>
        <w:spacing w:line="360" w:lineRule="auto"/>
        <w:ind w:firstLine="3360" w:firstLineChars="1400"/>
        <w:rPr>
          <w:rFonts w:hint="eastAsia" w:ascii="仿宋" w:hAnsi="仿宋" w:eastAsia="仿宋" w:cs="仿宋"/>
          <w:sz w:val="24"/>
          <w:szCs w:val="24"/>
          <w:highlight w:val="none"/>
          <w:lang w:val="zh-CN"/>
        </w:rPr>
      </w:pPr>
    </w:p>
    <w:p>
      <w:pPr>
        <w:spacing w:line="360" w:lineRule="auto"/>
        <w:ind w:firstLine="3360" w:firstLineChars="14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法定代表人或其授权代表：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（签字）</w:t>
      </w:r>
    </w:p>
    <w:p>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 </w:t>
      </w:r>
    </w:p>
    <w:p>
      <w:pPr>
        <w:spacing w:line="420" w:lineRule="exact"/>
        <w:ind w:firstLine="4560" w:firstLineChars="19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期：</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日</w:t>
      </w:r>
    </w:p>
    <w:p>
      <w:pPr>
        <w:pStyle w:val="2"/>
        <w:rPr>
          <w:rFonts w:hint="eastAsia" w:ascii="仿宋" w:hAnsi="仿宋" w:eastAsia="仿宋" w:cs="仿宋"/>
          <w:sz w:val="24"/>
          <w:szCs w:val="24"/>
          <w:highlight w:val="none"/>
          <w:lang w:val="zh-CN"/>
        </w:rPr>
        <w:sectPr>
          <w:pgSz w:w="11907" w:h="16840"/>
          <w:pgMar w:top="1440" w:right="1474" w:bottom="1440" w:left="1474" w:header="851" w:footer="992" w:gutter="0"/>
          <w:pgNumType w:fmt="numberInDash"/>
          <w:cols w:space="720" w:num="1"/>
          <w:titlePg/>
        </w:sectPr>
      </w:pPr>
    </w:p>
    <w:p>
      <w:pPr>
        <w:spacing w:line="360" w:lineRule="auto"/>
        <w:jc w:val="center"/>
        <w:outlineLvl w:val="0"/>
        <w:rPr>
          <w:rFonts w:hint="eastAsia" w:ascii="黑体" w:hAnsi="黑体" w:eastAsia="黑体" w:cs="黑体"/>
          <w:b/>
          <w:bCs/>
          <w:sz w:val="28"/>
          <w:szCs w:val="28"/>
          <w:lang w:val="en-US" w:eastAsia="zh-CN"/>
        </w:rPr>
      </w:pPr>
      <w:bookmarkStart w:id="479" w:name="_Toc11758"/>
      <w:r>
        <w:rPr>
          <w:rFonts w:hint="eastAsia" w:ascii="黑体" w:hAnsi="黑体" w:eastAsia="黑体" w:cs="黑体"/>
          <w:b/>
          <w:bCs/>
          <w:sz w:val="28"/>
          <w:szCs w:val="28"/>
          <w:lang w:val="en-US" w:eastAsia="zh-CN"/>
        </w:rPr>
        <w:t>五、</w:t>
      </w:r>
      <w:bookmarkEnd w:id="479"/>
      <w:r>
        <w:rPr>
          <w:rFonts w:hint="eastAsia" w:ascii="黑体" w:hAnsi="黑体" w:eastAsia="黑体" w:cs="黑体"/>
          <w:b/>
          <w:bCs/>
          <w:sz w:val="28"/>
          <w:szCs w:val="28"/>
          <w:lang w:val="en-US" w:eastAsia="zh-CN"/>
        </w:rPr>
        <w:t>技术部分</w:t>
      </w:r>
    </w:p>
    <w:p>
      <w:pPr>
        <w:numPr>
          <w:ilvl w:val="0"/>
          <w:numId w:val="0"/>
        </w:num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说明：投标人根据第三章 《评审办法》内评审要素一览表要求，结合第四章《采购内容及具体要求》编制技术部分内容</w:t>
      </w:r>
      <w:r>
        <w:rPr>
          <w:rFonts w:hint="eastAsia" w:ascii="仿宋" w:hAnsi="仿宋" w:eastAsia="仿宋" w:cs="仿宋"/>
          <w:color w:val="auto"/>
          <w:sz w:val="24"/>
          <w:szCs w:val="24"/>
        </w:rPr>
        <w:t>格式自拟。</w:t>
      </w:r>
    </w:p>
    <w:p>
      <w:pPr>
        <w:spacing w:line="360" w:lineRule="auto"/>
        <w:jc w:val="center"/>
        <w:outlineLvl w:val="9"/>
        <w:rPr>
          <w:rFonts w:hint="eastAsia" w:ascii="楷体" w:hAnsi="楷体" w:eastAsia="楷体" w:cs="楷体"/>
          <w:b/>
          <w:bCs/>
          <w:sz w:val="28"/>
          <w:szCs w:val="24"/>
        </w:rPr>
      </w:pPr>
    </w:p>
    <w:p>
      <w:pPr>
        <w:spacing w:line="360" w:lineRule="auto"/>
        <w:jc w:val="both"/>
        <w:outlineLvl w:val="9"/>
        <w:rPr>
          <w:rFonts w:hint="default" w:ascii="楷体" w:hAnsi="楷体" w:eastAsia="楷体" w:cs="楷体"/>
          <w:b/>
          <w:bCs/>
          <w:sz w:val="28"/>
          <w:szCs w:val="24"/>
          <w:lang w:val="en-US" w:eastAsia="zh-CN"/>
        </w:rPr>
      </w:pPr>
      <w:r>
        <w:rPr>
          <w:rFonts w:hint="eastAsia" w:ascii="楷体" w:hAnsi="楷体" w:eastAsia="楷体" w:cs="楷体"/>
          <w:b/>
          <w:bCs/>
          <w:sz w:val="28"/>
          <w:szCs w:val="24"/>
          <w:lang w:val="en-US" w:eastAsia="zh-CN"/>
        </w:rPr>
        <w:t xml:space="preserve">    </w:t>
      </w: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jc w:val="center"/>
        <w:outlineLvl w:val="9"/>
        <w:rPr>
          <w:rFonts w:hint="eastAsia" w:ascii="楷体" w:hAnsi="楷体" w:eastAsia="楷体" w:cs="楷体"/>
          <w:b/>
          <w:bCs/>
          <w:sz w:val="28"/>
          <w:szCs w:val="24"/>
        </w:rPr>
      </w:pPr>
    </w:p>
    <w:p>
      <w:pPr>
        <w:spacing w:line="360" w:lineRule="auto"/>
        <w:ind w:firstLine="2730" w:firstLineChars="1300"/>
        <w:rPr>
          <w:rFonts w:hint="eastAsia" w:ascii="楷体" w:hAnsi="楷体" w:eastAsia="楷体" w:cs="楷体"/>
          <w:szCs w:val="21"/>
          <w:lang w:val="zh-CN"/>
        </w:rPr>
      </w:pPr>
    </w:p>
    <w:p>
      <w:pPr>
        <w:spacing w:line="360" w:lineRule="auto"/>
        <w:ind w:firstLine="2730" w:firstLineChars="1300"/>
        <w:rPr>
          <w:rFonts w:hint="eastAsia" w:ascii="楷体" w:hAnsi="楷体" w:eastAsia="楷体" w:cs="楷体"/>
          <w:szCs w:val="21"/>
          <w:lang w:val="zh-CN"/>
        </w:rPr>
      </w:pPr>
    </w:p>
    <w:p>
      <w:pPr>
        <w:spacing w:line="360" w:lineRule="auto"/>
        <w:ind w:firstLine="2730" w:firstLineChars="1300"/>
        <w:rPr>
          <w:rFonts w:hint="eastAsia" w:ascii="楷体" w:hAnsi="楷体" w:eastAsia="楷体" w:cs="楷体"/>
          <w:szCs w:val="21"/>
          <w:lang w:val="zh-CN"/>
        </w:rPr>
      </w:pPr>
    </w:p>
    <w:p>
      <w:pPr>
        <w:spacing w:line="360" w:lineRule="auto"/>
        <w:ind w:firstLine="2730" w:firstLineChars="1300"/>
        <w:rPr>
          <w:rFonts w:hint="eastAsia" w:ascii="楷体" w:hAnsi="楷体" w:eastAsia="楷体" w:cs="楷体"/>
          <w:szCs w:val="21"/>
          <w:lang w:val="zh-CN"/>
        </w:rPr>
      </w:pPr>
    </w:p>
    <w:p>
      <w:pPr>
        <w:spacing w:line="360" w:lineRule="auto"/>
        <w:ind w:firstLine="2730" w:firstLineChars="1300"/>
        <w:rPr>
          <w:rFonts w:hint="eastAsia" w:ascii="仿宋" w:hAnsi="仿宋" w:eastAsia="仿宋" w:cs="仿宋"/>
          <w:szCs w:val="21"/>
          <w:lang w:val="zh-CN"/>
        </w:rPr>
      </w:pPr>
    </w:p>
    <w:p>
      <w:pPr>
        <w:spacing w:line="480" w:lineRule="exact"/>
        <w:jc w:val="both"/>
        <w:outlineLvl w:val="9"/>
        <w:rPr>
          <w:rFonts w:hint="eastAsia" w:ascii="黑体" w:hAnsi="黑体" w:eastAsia="黑体" w:cs="黑体"/>
          <w:b/>
          <w:bCs/>
          <w:sz w:val="30"/>
          <w:szCs w:val="30"/>
          <w:lang w:val="en-US" w:eastAsia="zh-CN"/>
        </w:rPr>
      </w:pPr>
    </w:p>
    <w:p>
      <w:pPr>
        <w:spacing w:line="480" w:lineRule="exact"/>
        <w:jc w:val="both"/>
        <w:outlineLvl w:val="9"/>
        <w:rPr>
          <w:rFonts w:hint="eastAsia" w:ascii="黑体" w:hAnsi="黑体" w:eastAsia="黑体" w:cs="黑体"/>
          <w:b/>
          <w:bCs/>
          <w:sz w:val="30"/>
          <w:szCs w:val="30"/>
          <w:lang w:val="en-US" w:eastAsia="zh-CN"/>
        </w:rPr>
      </w:pPr>
    </w:p>
    <w:p>
      <w:pPr>
        <w:spacing w:line="480" w:lineRule="exact"/>
        <w:jc w:val="both"/>
        <w:outlineLvl w:val="9"/>
        <w:rPr>
          <w:rFonts w:hint="eastAsia" w:ascii="黑体" w:hAnsi="黑体" w:eastAsia="黑体" w:cs="黑体"/>
          <w:b/>
          <w:bCs/>
          <w:sz w:val="30"/>
          <w:szCs w:val="30"/>
          <w:lang w:val="en-US" w:eastAsia="zh-CN"/>
        </w:rPr>
      </w:pPr>
    </w:p>
    <w:p>
      <w:pPr>
        <w:pStyle w:val="2"/>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2"/>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2"/>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2"/>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2"/>
        <w:rPr>
          <w:rFonts w:hint="eastAsia"/>
          <w:lang w:val="en-US" w:eastAsia="zh-CN"/>
        </w:rPr>
      </w:pPr>
    </w:p>
    <w:p>
      <w:pPr>
        <w:pStyle w:val="2"/>
        <w:jc w:val="center"/>
        <w:outlineLvl w:val="9"/>
        <w:rPr>
          <w:rFonts w:hint="eastAsia" w:ascii="仿宋" w:hAnsi="仿宋" w:eastAsia="仿宋" w:cs="仿宋"/>
          <w:b/>
          <w:bCs/>
          <w:sz w:val="28"/>
          <w:szCs w:val="28"/>
        </w:rPr>
      </w:pPr>
    </w:p>
    <w:p>
      <w:pPr>
        <w:numPr>
          <w:ilvl w:val="0"/>
          <w:numId w:val="0"/>
        </w:numPr>
        <w:spacing w:line="360" w:lineRule="auto"/>
        <w:jc w:val="center"/>
        <w:outlineLvl w:val="0"/>
        <w:rPr>
          <w:rFonts w:hint="eastAsia" w:ascii="黑体" w:hAnsi="黑体" w:eastAsia="黑体" w:cs="黑体"/>
          <w:b/>
          <w:bCs/>
          <w:sz w:val="28"/>
          <w:szCs w:val="28"/>
          <w:lang w:val="en-US" w:eastAsia="zh-CN"/>
        </w:rPr>
      </w:pPr>
    </w:p>
    <w:p>
      <w:pPr>
        <w:spacing w:line="480" w:lineRule="exact"/>
        <w:jc w:val="center"/>
        <w:outlineLvl w:val="9"/>
        <w:rPr>
          <w:rFonts w:hint="eastAsia" w:ascii="黑体" w:hAnsi="黑体" w:eastAsia="黑体" w:cs="黑体"/>
          <w:b/>
          <w:bCs/>
          <w:sz w:val="28"/>
          <w:szCs w:val="28"/>
          <w:lang w:val="en-US"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28"/>
          <w:szCs w:val="28"/>
          <w:lang w:val="en-US" w:eastAsia="zh-CN"/>
        </w:rPr>
        <w:t>技术参数偏离表</w:t>
      </w:r>
    </w:p>
    <w:p>
      <w:pPr>
        <w:pStyle w:val="14"/>
        <w:ind w:left="0" w:leftChars="0"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项目名称：                           </w:t>
      </w:r>
    </w:p>
    <w:p>
      <w:pPr>
        <w:pStyle w:val="14"/>
        <w:ind w:left="0" w:leftChars="0" w:firstLine="240" w:firstLineChars="10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项目编号：</w:t>
      </w:r>
    </w:p>
    <w:tbl>
      <w:tblPr>
        <w:tblStyle w:val="40"/>
        <w:tblpPr w:leftFromText="180" w:rightFromText="180" w:vertAnchor="text" w:horzAnchor="page" w:tblpX="1732" w:tblpY="313"/>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352"/>
        <w:gridCol w:w="1444"/>
        <w:gridCol w:w="1540"/>
        <w:gridCol w:w="182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74" w:type="dxa"/>
            <w:noWrap w:val="0"/>
            <w:vAlign w:val="center"/>
          </w:tcPr>
          <w:p>
            <w:pPr>
              <w:shd w:val="clear" w:color="auto" w:fill="auto"/>
              <w:adjustRightInd w:val="0"/>
              <w:snapToGrid w:val="0"/>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52" w:type="dxa"/>
            <w:noWrap w:val="0"/>
            <w:vAlign w:val="center"/>
          </w:tcPr>
          <w:p>
            <w:pPr>
              <w:shd w:val="clear" w:color="auto" w:fill="auto"/>
              <w:adjustRightInd w:val="0"/>
              <w:snapToGrid w:val="0"/>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文件条目号</w:t>
            </w:r>
          </w:p>
        </w:tc>
        <w:tc>
          <w:tcPr>
            <w:tcW w:w="1444" w:type="dxa"/>
            <w:noWrap w:val="0"/>
            <w:vAlign w:val="center"/>
          </w:tcPr>
          <w:p>
            <w:pPr>
              <w:shd w:val="clear" w:color="auto" w:fill="auto"/>
              <w:adjustRightInd w:val="0"/>
              <w:snapToGrid w:val="0"/>
              <w:ind w:right="23"/>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招标文件</w:t>
            </w:r>
          </w:p>
          <w:p>
            <w:pPr>
              <w:shd w:val="clear" w:color="auto" w:fill="auto"/>
              <w:adjustRightInd w:val="0"/>
              <w:snapToGrid w:val="0"/>
              <w:ind w:right="23"/>
              <w:jc w:val="center"/>
              <w:rPr>
                <w:rFonts w:hint="eastAsia"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参数</w:t>
            </w:r>
          </w:p>
        </w:tc>
        <w:tc>
          <w:tcPr>
            <w:tcW w:w="1540" w:type="dxa"/>
            <w:noWrap w:val="0"/>
            <w:vAlign w:val="center"/>
          </w:tcPr>
          <w:p>
            <w:pPr>
              <w:shd w:val="clear" w:color="auto" w:fill="auto"/>
              <w:adjustRightInd w:val="0"/>
              <w:snapToGrid w:val="0"/>
              <w:ind w:right="23"/>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投标文件的</w:t>
            </w:r>
          </w:p>
          <w:p>
            <w:pPr>
              <w:shd w:val="clear" w:color="auto" w:fill="auto"/>
              <w:adjustRightInd w:val="0"/>
              <w:snapToGrid w:val="0"/>
              <w:ind w:right="23"/>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技术参数</w:t>
            </w:r>
          </w:p>
        </w:tc>
        <w:tc>
          <w:tcPr>
            <w:tcW w:w="1825" w:type="dxa"/>
            <w:noWrap w:val="0"/>
            <w:vAlign w:val="center"/>
          </w:tcPr>
          <w:p>
            <w:pPr>
              <w:shd w:val="clear" w:color="auto" w:fill="auto"/>
              <w:adjustRightInd w:val="0"/>
              <w:snapToGrid w:val="0"/>
              <w:ind w:right="23"/>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正/负</w:t>
            </w:r>
            <w:r>
              <w:rPr>
                <w:rFonts w:hint="eastAsia" w:ascii="仿宋" w:hAnsi="仿宋" w:eastAsia="仿宋" w:cs="仿宋"/>
                <w:b/>
                <w:bCs/>
                <w:color w:val="auto"/>
                <w:sz w:val="24"/>
                <w:szCs w:val="24"/>
                <w:highlight w:val="none"/>
              </w:rPr>
              <w:t>偏离</w:t>
            </w:r>
            <w:r>
              <w:rPr>
                <w:rFonts w:hint="eastAsia" w:ascii="仿宋" w:hAnsi="仿宋" w:eastAsia="仿宋" w:cs="仿宋"/>
                <w:b/>
                <w:bCs/>
                <w:color w:val="auto"/>
                <w:sz w:val="24"/>
                <w:szCs w:val="24"/>
                <w:highlight w:val="none"/>
                <w:lang w:val="en-US" w:eastAsia="zh-CN"/>
              </w:rPr>
              <w:t>或相同</w:t>
            </w:r>
          </w:p>
        </w:tc>
        <w:tc>
          <w:tcPr>
            <w:tcW w:w="1560" w:type="dxa"/>
            <w:noWrap w:val="0"/>
            <w:vAlign w:val="center"/>
          </w:tcPr>
          <w:p>
            <w:pPr>
              <w:shd w:val="clear" w:color="auto" w:fill="auto"/>
              <w:adjustRightInd w:val="0"/>
              <w:snapToGrid w:val="0"/>
              <w:ind w:right="23"/>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偏离</w:t>
            </w:r>
            <w:r>
              <w:rPr>
                <w:rFonts w:hint="eastAsia" w:ascii="仿宋" w:hAnsi="仿宋" w:eastAsia="仿宋" w:cs="仿宋"/>
                <w:b/>
                <w:bCs/>
                <w:color w:val="auto"/>
                <w:sz w:val="24"/>
                <w:szCs w:val="24"/>
                <w:highlight w:val="none"/>
                <w:lang w:val="en-US" w:eastAsia="zh-CN"/>
              </w:rPr>
              <w:t>内容及</w:t>
            </w:r>
          </w:p>
          <w:p>
            <w:pPr>
              <w:shd w:val="clear" w:color="auto" w:fill="auto"/>
              <w:adjustRightInd w:val="0"/>
              <w:snapToGrid w:val="0"/>
              <w:ind w:right="23"/>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7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352"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444"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4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825"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c>
          <w:tcPr>
            <w:tcW w:w="1560" w:type="dxa"/>
            <w:noWrap w:val="0"/>
            <w:vAlign w:val="top"/>
          </w:tcPr>
          <w:p>
            <w:pPr>
              <w:shd w:val="clear" w:color="auto" w:fill="auto"/>
              <w:adjustRightInd w:val="0"/>
              <w:snapToGrid w:val="0"/>
              <w:spacing w:line="360" w:lineRule="auto"/>
              <w:ind w:right="24"/>
              <w:rPr>
                <w:rFonts w:hint="eastAsia" w:ascii="仿宋" w:hAnsi="仿宋" w:eastAsia="仿宋" w:cs="仿宋"/>
                <w:bCs/>
                <w:color w:val="auto"/>
                <w:sz w:val="24"/>
                <w:szCs w:val="24"/>
                <w:highlight w:val="none"/>
              </w:rPr>
            </w:pPr>
          </w:p>
        </w:tc>
      </w:tr>
    </w:tbl>
    <w:p>
      <w:pPr>
        <w:spacing w:line="360" w:lineRule="auto"/>
        <w:ind w:firstLine="3120" w:firstLineChars="1300"/>
        <w:jc w:val="right"/>
        <w:rPr>
          <w:rFonts w:hint="eastAsia" w:ascii="仿宋" w:hAnsi="仿宋" w:eastAsia="仿宋" w:cs="仿宋"/>
          <w:sz w:val="24"/>
          <w:szCs w:val="24"/>
          <w:highlight w:val="none"/>
          <w:lang w:val="zh-CN"/>
        </w:rPr>
      </w:pPr>
    </w:p>
    <w:p>
      <w:pPr>
        <w:spacing w:line="360" w:lineRule="auto"/>
        <w:ind w:firstLine="3120" w:firstLineChars="1300"/>
        <w:jc w:val="righ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（公章）</w:t>
      </w:r>
    </w:p>
    <w:p>
      <w:pPr>
        <w:spacing w:line="360" w:lineRule="auto"/>
        <w:ind w:firstLine="3360" w:firstLineChars="1400"/>
        <w:jc w:val="right"/>
        <w:rPr>
          <w:rFonts w:hint="eastAsia" w:ascii="仿宋" w:hAnsi="仿宋" w:eastAsia="仿宋" w:cs="仿宋"/>
          <w:sz w:val="24"/>
          <w:szCs w:val="24"/>
          <w:highlight w:val="none"/>
          <w:lang w:val="zh-CN"/>
        </w:rPr>
      </w:pPr>
    </w:p>
    <w:p>
      <w:pPr>
        <w:spacing w:line="360" w:lineRule="auto"/>
        <w:ind w:firstLine="3360" w:firstLineChars="1400"/>
        <w:jc w:val="righ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法定代表人或其授权代表：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（签字）</w:t>
      </w:r>
    </w:p>
    <w:p>
      <w:pPr>
        <w:spacing w:line="420" w:lineRule="exact"/>
        <w:ind w:firstLine="5520" w:firstLineChars="2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期：</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日</w:t>
      </w:r>
    </w:p>
    <w:p>
      <w:pPr>
        <w:pStyle w:val="2"/>
        <w:rPr>
          <w:rFonts w:hint="eastAsia"/>
          <w:lang w:val="en-US" w:eastAsia="zh-CN"/>
        </w:rPr>
      </w:pPr>
    </w:p>
    <w:p>
      <w:pPr>
        <w:spacing w:line="480" w:lineRule="exact"/>
        <w:jc w:val="center"/>
        <w:outlineLvl w:val="0"/>
        <w:rPr>
          <w:rFonts w:hint="eastAsia" w:ascii="楷体" w:hAnsi="楷体" w:eastAsia="楷体" w:cs="楷体"/>
          <w:b/>
          <w:bCs/>
          <w:sz w:val="32"/>
          <w:szCs w:val="32"/>
        </w:rPr>
      </w:pPr>
      <w:bookmarkStart w:id="480" w:name="_Toc23940"/>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商务条款偏离表</w:t>
      </w:r>
      <w:bookmarkEnd w:id="480"/>
    </w:p>
    <w:p>
      <w:pPr>
        <w:pStyle w:val="13"/>
        <w:spacing w:after="156" w:afterLines="5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pPr>
        <w:pStyle w:val="13"/>
        <w:spacing w:after="156" w:afterLines="5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40"/>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70"/>
        <w:gridCol w:w="1378"/>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2"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470"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文件条目号</w:t>
            </w:r>
          </w:p>
        </w:tc>
        <w:tc>
          <w:tcPr>
            <w:tcW w:w="1378"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招标文件</w:t>
            </w:r>
            <w:r>
              <w:rPr>
                <w:rFonts w:hint="eastAsia" w:ascii="仿宋" w:hAnsi="仿宋" w:eastAsia="仿宋" w:cs="仿宋"/>
                <w:b/>
                <w:bCs/>
                <w:sz w:val="24"/>
                <w:szCs w:val="24"/>
                <w:highlight w:val="none"/>
              </w:rPr>
              <w:t>商务要求</w:t>
            </w:r>
          </w:p>
        </w:tc>
        <w:tc>
          <w:tcPr>
            <w:tcW w:w="2180"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rPr>
              <w:t>文件</w:t>
            </w:r>
          </w:p>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商务响应</w:t>
            </w:r>
          </w:p>
        </w:tc>
        <w:tc>
          <w:tcPr>
            <w:tcW w:w="1040"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2020" w:type="dxa"/>
            <w:vAlign w:val="center"/>
          </w:tcPr>
          <w:p>
            <w:pPr>
              <w:adjustRightInd w:val="0"/>
              <w:snapToGrid w:val="0"/>
              <w:ind w:right="2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2" w:type="dxa"/>
          </w:tcPr>
          <w:p>
            <w:pPr>
              <w:adjustRightInd w:val="0"/>
              <w:snapToGrid w:val="0"/>
              <w:spacing w:line="360" w:lineRule="auto"/>
              <w:ind w:right="24"/>
              <w:rPr>
                <w:rFonts w:hint="eastAsia" w:ascii="仿宋" w:hAnsi="仿宋" w:eastAsia="仿宋" w:cs="仿宋"/>
                <w:bCs/>
                <w:sz w:val="24"/>
                <w:szCs w:val="24"/>
                <w:highlight w:val="none"/>
              </w:rPr>
            </w:pPr>
          </w:p>
        </w:tc>
        <w:tc>
          <w:tcPr>
            <w:tcW w:w="1470" w:type="dxa"/>
          </w:tcPr>
          <w:p>
            <w:pPr>
              <w:adjustRightInd w:val="0"/>
              <w:snapToGrid w:val="0"/>
              <w:spacing w:line="360" w:lineRule="auto"/>
              <w:ind w:right="24"/>
              <w:rPr>
                <w:rFonts w:hint="eastAsia" w:ascii="仿宋" w:hAnsi="仿宋" w:eastAsia="仿宋" w:cs="仿宋"/>
                <w:bCs/>
                <w:sz w:val="24"/>
                <w:szCs w:val="24"/>
                <w:highlight w:val="none"/>
              </w:rPr>
            </w:pPr>
          </w:p>
        </w:tc>
        <w:tc>
          <w:tcPr>
            <w:tcW w:w="1378" w:type="dxa"/>
          </w:tcPr>
          <w:p>
            <w:pPr>
              <w:adjustRightInd w:val="0"/>
              <w:snapToGrid w:val="0"/>
              <w:spacing w:line="360" w:lineRule="auto"/>
              <w:ind w:right="24"/>
              <w:rPr>
                <w:rFonts w:hint="eastAsia" w:ascii="仿宋" w:hAnsi="仿宋" w:eastAsia="仿宋" w:cs="仿宋"/>
                <w:bCs/>
                <w:sz w:val="24"/>
                <w:szCs w:val="24"/>
                <w:highlight w:val="none"/>
              </w:rPr>
            </w:pPr>
          </w:p>
        </w:tc>
        <w:tc>
          <w:tcPr>
            <w:tcW w:w="2180" w:type="dxa"/>
          </w:tcPr>
          <w:p>
            <w:pPr>
              <w:adjustRightInd w:val="0"/>
              <w:snapToGrid w:val="0"/>
              <w:spacing w:line="360" w:lineRule="auto"/>
              <w:ind w:right="24"/>
              <w:rPr>
                <w:rFonts w:hint="eastAsia" w:ascii="仿宋" w:hAnsi="仿宋" w:eastAsia="仿宋" w:cs="仿宋"/>
                <w:bCs/>
                <w:sz w:val="24"/>
                <w:szCs w:val="24"/>
                <w:highlight w:val="none"/>
              </w:rPr>
            </w:pPr>
          </w:p>
        </w:tc>
        <w:tc>
          <w:tcPr>
            <w:tcW w:w="1040" w:type="dxa"/>
          </w:tcPr>
          <w:p>
            <w:pPr>
              <w:adjustRightInd w:val="0"/>
              <w:snapToGrid w:val="0"/>
              <w:spacing w:line="360" w:lineRule="auto"/>
              <w:ind w:right="24"/>
              <w:rPr>
                <w:rFonts w:hint="eastAsia" w:ascii="仿宋" w:hAnsi="仿宋" w:eastAsia="仿宋" w:cs="仿宋"/>
                <w:bCs/>
                <w:sz w:val="24"/>
                <w:szCs w:val="24"/>
                <w:highlight w:val="none"/>
              </w:rPr>
            </w:pPr>
          </w:p>
        </w:tc>
        <w:tc>
          <w:tcPr>
            <w:tcW w:w="2020" w:type="dxa"/>
          </w:tcPr>
          <w:p>
            <w:pPr>
              <w:adjustRightInd w:val="0"/>
              <w:snapToGrid w:val="0"/>
              <w:spacing w:line="360" w:lineRule="auto"/>
              <w:ind w:right="24"/>
              <w:rPr>
                <w:rFonts w:hint="eastAsia" w:ascii="仿宋" w:hAnsi="仿宋" w:eastAsia="仿宋" w:cs="仿宋"/>
                <w:bCs/>
                <w:sz w:val="24"/>
                <w:szCs w:val="24"/>
                <w:highlight w:val="none"/>
              </w:rPr>
            </w:pPr>
          </w:p>
        </w:tc>
      </w:tr>
    </w:tbl>
    <w:p>
      <w:pPr>
        <w:spacing w:before="156" w:beforeLines="50" w:line="400" w:lineRule="exact"/>
        <w:ind w:left="825" w:leftChars="50" w:hanging="720" w:hanging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说明：投标人必须据实填写，不得虚假响应，否则，将取消其投标或中标资格。 </w:t>
      </w:r>
    </w:p>
    <w:p>
      <w:pPr>
        <w:pStyle w:val="4"/>
        <w:spacing w:after="624" w:afterLines="200" w:line="240" w:lineRule="auto"/>
        <w:ind w:firstLine="3132" w:firstLineChars="1300"/>
        <w:jc w:val="both"/>
        <w:outlineLvl w:val="9"/>
        <w:rPr>
          <w:rFonts w:hint="eastAsia" w:ascii="楷体" w:hAnsi="楷体" w:eastAsia="楷体" w:cs="楷体"/>
          <w:sz w:val="24"/>
          <w:szCs w:val="24"/>
          <w:highlight w:val="none"/>
        </w:rPr>
      </w:pPr>
    </w:p>
    <w:p>
      <w:pPr>
        <w:spacing w:line="360" w:lineRule="auto"/>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（公章）</w:t>
      </w:r>
    </w:p>
    <w:p>
      <w:pPr>
        <w:spacing w:line="360" w:lineRule="auto"/>
        <w:ind w:firstLine="3120" w:firstLineChars="1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法定代表人或其授权代表：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（签字）</w:t>
      </w:r>
    </w:p>
    <w:p>
      <w:pPr>
        <w:spacing w:line="420" w:lineRule="exact"/>
        <w:ind w:firstLine="3360" w:firstLineChars="14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期：</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日</w:t>
      </w:r>
    </w:p>
    <w:p>
      <w:pPr>
        <w:pStyle w:val="2"/>
        <w:jc w:val="both"/>
        <w:outlineLvl w:val="9"/>
        <w:rPr>
          <w:rFonts w:hint="eastAsia" w:ascii="仿宋" w:hAnsi="仿宋" w:eastAsia="仿宋" w:cs="仿宋"/>
          <w:b/>
          <w:bCs/>
          <w:sz w:val="24"/>
          <w:szCs w:val="24"/>
        </w:rPr>
      </w:pPr>
    </w:p>
    <w:p>
      <w:pPr>
        <w:rPr>
          <w:rFonts w:hint="eastAsia" w:ascii="仿宋" w:hAnsi="仿宋" w:eastAsia="仿宋" w:cs="仿宋"/>
          <w:b/>
          <w:bCs/>
          <w:sz w:val="28"/>
          <w:szCs w:val="28"/>
        </w:rPr>
      </w:pPr>
    </w:p>
    <w:p>
      <w:pPr>
        <w:pStyle w:val="56"/>
        <w:rPr>
          <w:rFonts w:hint="eastAsia" w:ascii="仿宋" w:hAnsi="仿宋" w:eastAsia="仿宋" w:cs="仿宋"/>
          <w:b/>
          <w:bCs/>
          <w:sz w:val="28"/>
          <w:szCs w:val="28"/>
        </w:rPr>
      </w:pPr>
    </w:p>
    <w:p>
      <w:pPr>
        <w:pStyle w:val="56"/>
        <w:ind w:left="0" w:leftChars="0" w:firstLine="0" w:firstLineChars="0"/>
        <w:rPr>
          <w:rFonts w:hint="eastAsia"/>
          <w:lang w:val="en-US" w:eastAsia="zh-CN"/>
        </w:rPr>
      </w:pPr>
    </w:p>
    <w:p>
      <w:pPr>
        <w:pStyle w:val="2"/>
        <w:numPr>
          <w:ilvl w:val="0"/>
          <w:numId w:val="0"/>
        </w:numPr>
        <w:jc w:val="center"/>
        <w:outlineLvl w:val="0"/>
        <w:rPr>
          <w:rFonts w:hint="eastAsia" w:ascii="黑体" w:hAnsi="黑体" w:eastAsia="黑体" w:cs="黑体"/>
          <w:b/>
          <w:bCs/>
          <w:sz w:val="32"/>
          <w:szCs w:val="32"/>
          <w:lang w:val="en-US" w:eastAsia="zh-CN"/>
        </w:rPr>
      </w:pPr>
      <w:bookmarkStart w:id="481" w:name="_Toc16998"/>
    </w:p>
    <w:p>
      <w:pPr>
        <w:pStyle w:val="2"/>
        <w:numPr>
          <w:ilvl w:val="0"/>
          <w:numId w:val="0"/>
        </w:numPr>
        <w:jc w:val="center"/>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其他</w:t>
      </w:r>
      <w:r>
        <w:rPr>
          <w:rFonts w:hint="eastAsia" w:ascii="黑体" w:hAnsi="黑体" w:eastAsia="黑体" w:cs="黑体"/>
          <w:b/>
          <w:bCs/>
          <w:sz w:val="32"/>
          <w:szCs w:val="32"/>
        </w:rPr>
        <w:t>材料</w:t>
      </w:r>
      <w:r>
        <w:rPr>
          <w:rFonts w:hint="eastAsia" w:ascii="黑体" w:hAnsi="黑体" w:eastAsia="黑体" w:cs="黑体"/>
          <w:b/>
          <w:bCs/>
          <w:sz w:val="32"/>
          <w:szCs w:val="32"/>
          <w:lang w:val="en-US" w:eastAsia="zh-CN"/>
        </w:rPr>
        <w:t>及</w:t>
      </w:r>
      <w:r>
        <w:rPr>
          <w:rFonts w:hint="eastAsia" w:ascii="黑体" w:hAnsi="黑体" w:eastAsia="黑体" w:cs="黑体"/>
          <w:b/>
          <w:bCs/>
          <w:sz w:val="32"/>
          <w:szCs w:val="32"/>
          <w:lang w:eastAsia="zh-CN"/>
        </w:rPr>
        <w:t>投标人认为有必要说明、阐述的事项</w:t>
      </w:r>
      <w:bookmarkEnd w:id="481"/>
    </w:p>
    <w:p>
      <w:pPr>
        <w:spacing w:beforeLines="100"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sz w:val="24"/>
          <w:szCs w:val="24"/>
        </w:rPr>
        <w:t>说明：本节无要求，格式内容自拟</w:t>
      </w:r>
    </w:p>
    <w:p>
      <w:pPr>
        <w:adjustRightInd w:val="0"/>
        <w:snapToGrid w:val="0"/>
        <w:spacing w:line="360" w:lineRule="auto"/>
        <w:ind w:firstLine="500" w:firstLineChars="250"/>
        <w:rPr>
          <w:rFonts w:ascii="楷体" w:hAnsi="楷体" w:eastAsia="楷体" w:cs="楷体"/>
          <w:bCs/>
          <w:sz w:val="20"/>
          <w:szCs w:val="20"/>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ascii="楷体" w:hAnsi="楷体" w:eastAsia="楷体" w:cs="楷体"/>
          <w:bCs/>
          <w:sz w:val="36"/>
          <w:szCs w:val="36"/>
        </w:rPr>
      </w:pPr>
    </w:p>
    <w:p>
      <w:pPr>
        <w:adjustRightInd w:val="0"/>
        <w:snapToGrid w:val="0"/>
        <w:spacing w:afterLines="50" w:line="360" w:lineRule="auto"/>
        <w:jc w:val="left"/>
        <w:rPr>
          <w:rFonts w:hint="eastAsia" w:ascii="仿宋" w:hAnsi="仿宋" w:eastAsia="仿宋" w:cs="仿宋"/>
          <w:bCs/>
          <w:sz w:val="36"/>
          <w:szCs w:val="36"/>
        </w:rPr>
      </w:pPr>
    </w:p>
    <w:p>
      <w:pPr>
        <w:spacing w:line="360" w:lineRule="auto"/>
        <w:ind w:firstLine="2940" w:firstLineChars="14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lang w:val="zh-CN"/>
        </w:rPr>
      </w:pPr>
    </w:p>
    <w:p>
      <w:pPr>
        <w:spacing w:line="360" w:lineRule="auto"/>
        <w:ind w:firstLine="2940" w:firstLineChars="1400"/>
        <w:rPr>
          <w:rFonts w:hint="eastAsia" w:ascii="仿宋" w:hAnsi="仿宋" w:eastAsia="仿宋" w:cs="仿宋"/>
          <w:szCs w:val="21"/>
          <w:lang w:val="zh-CN"/>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lang w:val="zh-CN"/>
        </w:rPr>
        <w:t>投标人：（公章）</w:t>
      </w:r>
    </w:p>
    <w:p>
      <w:pPr>
        <w:spacing w:line="360" w:lineRule="auto"/>
        <w:ind w:firstLine="3360" w:firstLineChars="1400"/>
        <w:rPr>
          <w:rFonts w:hint="eastAsia" w:ascii="仿宋" w:hAnsi="仿宋" w:eastAsia="仿宋" w:cs="仿宋"/>
          <w:sz w:val="24"/>
          <w:szCs w:val="24"/>
          <w:lang w:val="zh-CN"/>
        </w:rPr>
      </w:pPr>
    </w:p>
    <w:p>
      <w:pPr>
        <w:spacing w:line="360" w:lineRule="auto"/>
        <w:ind w:firstLine="3360" w:firstLineChars="1400"/>
        <w:rPr>
          <w:rFonts w:hint="eastAsia" w:ascii="仿宋" w:hAnsi="仿宋" w:eastAsia="仿宋" w:cs="仿宋"/>
          <w:sz w:val="24"/>
          <w:szCs w:val="24"/>
          <w:lang w:val="zh-CN"/>
        </w:rPr>
      </w:pPr>
      <w:r>
        <w:rPr>
          <w:rFonts w:hint="eastAsia" w:ascii="仿宋" w:hAnsi="仿宋" w:eastAsia="仿宋" w:cs="仿宋"/>
          <w:sz w:val="24"/>
          <w:szCs w:val="24"/>
          <w:lang w:val="zh-CN"/>
        </w:rPr>
        <w:t>法定代表人或其授权代表：（签字）</w:t>
      </w:r>
    </w:p>
    <w:p>
      <w:pPr>
        <w:spacing w:line="360" w:lineRule="auto"/>
        <w:rPr>
          <w:rFonts w:hint="eastAsia" w:ascii="仿宋" w:hAnsi="仿宋" w:eastAsia="仿宋" w:cs="仿宋"/>
          <w:sz w:val="24"/>
          <w:szCs w:val="24"/>
          <w:lang w:val="zh-CN"/>
        </w:rPr>
      </w:pPr>
    </w:p>
    <w:p>
      <w:pPr>
        <w:spacing w:line="420" w:lineRule="exact"/>
        <w:ind w:firstLine="3840" w:firstLineChars="1600"/>
        <w:rPr>
          <w:rFonts w:hint="eastAsia" w:ascii="仿宋" w:hAnsi="仿宋" w:eastAsia="仿宋" w:cs="仿宋"/>
          <w:sz w:val="24"/>
          <w:szCs w:val="24"/>
          <w:lang w:val="zh-CN"/>
        </w:rPr>
      </w:pPr>
      <w:r>
        <w:rPr>
          <w:rFonts w:hint="eastAsia" w:ascii="仿宋" w:hAnsi="仿宋" w:eastAsia="仿宋" w:cs="仿宋"/>
          <w:sz w:val="24"/>
          <w:szCs w:val="24"/>
          <w:lang w:val="zh-CN"/>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pStyle w:val="2"/>
        <w:rPr>
          <w:rFonts w:ascii="楷体" w:hAnsi="楷体" w:eastAsia="楷体" w:cs="楷体"/>
          <w:sz w:val="24"/>
          <w:szCs w:val="24"/>
          <w:lang w:val="zh-CN"/>
        </w:rPr>
      </w:pPr>
    </w:p>
    <w:p>
      <w:pPr>
        <w:adjustRightInd w:val="0"/>
        <w:snapToGrid w:val="0"/>
        <w:spacing w:afterLines="50" w:line="360" w:lineRule="auto"/>
        <w:jc w:val="left"/>
        <w:rPr>
          <w:rFonts w:ascii="楷体" w:hAnsi="楷体" w:eastAsia="楷体" w:cs="楷体"/>
          <w:bCs/>
          <w:sz w:val="24"/>
          <w:szCs w:val="24"/>
        </w:rPr>
      </w:pPr>
    </w:p>
    <w:p>
      <w:pPr>
        <w:pStyle w:val="2"/>
        <w:numPr>
          <w:ilvl w:val="0"/>
          <w:numId w:val="0"/>
        </w:numPr>
        <w:ind w:left="2940" w:leftChars="0"/>
        <w:jc w:val="both"/>
        <w:outlineLvl w:val="9"/>
        <w:rPr>
          <w:rFonts w:hint="eastAsia" w:ascii="黑体" w:hAnsi="黑体" w:eastAsia="黑体" w:cs="黑体"/>
          <w:b/>
          <w:bCs/>
          <w:sz w:val="32"/>
          <w:szCs w:val="32"/>
          <w:lang w:val="en-US" w:eastAsia="zh-CN"/>
        </w:rPr>
      </w:pPr>
      <w:bookmarkStart w:id="482" w:name="_Toc22832"/>
    </w:p>
    <w:p>
      <w:pPr>
        <w:pStyle w:val="2"/>
        <w:numPr>
          <w:ilvl w:val="0"/>
          <w:numId w:val="0"/>
        </w:numPr>
        <w:ind w:left="2940" w:leftChars="0"/>
        <w:jc w:val="both"/>
        <w:outlineLvl w:val="9"/>
        <w:rPr>
          <w:rFonts w:hint="eastAsia" w:ascii="黑体" w:hAnsi="黑体" w:eastAsia="黑体" w:cs="黑体"/>
          <w:b/>
          <w:bCs/>
          <w:sz w:val="32"/>
          <w:szCs w:val="32"/>
          <w:lang w:val="en-US" w:eastAsia="zh-CN"/>
        </w:rPr>
      </w:pPr>
    </w:p>
    <w:p>
      <w:pPr>
        <w:pStyle w:val="2"/>
        <w:numPr>
          <w:ilvl w:val="0"/>
          <w:numId w:val="0"/>
        </w:numPr>
        <w:ind w:left="2940" w:leftChars="0"/>
        <w:jc w:val="both"/>
        <w:outlineLvl w:val="9"/>
        <w:rPr>
          <w:rFonts w:hint="eastAsia" w:ascii="黑体" w:hAnsi="黑体" w:eastAsia="黑体" w:cs="黑体"/>
          <w:b/>
          <w:bCs/>
          <w:sz w:val="32"/>
          <w:szCs w:val="32"/>
          <w:lang w:val="en-US" w:eastAsia="zh-CN"/>
        </w:rPr>
      </w:pPr>
    </w:p>
    <w:p>
      <w:pPr>
        <w:pStyle w:val="2"/>
        <w:numPr>
          <w:ilvl w:val="0"/>
          <w:numId w:val="0"/>
        </w:numPr>
        <w:ind w:left="2940" w:leftChars="0"/>
        <w:jc w:val="both"/>
        <w:outlineLvl w:val="0"/>
        <w:rPr>
          <w:rFonts w:hint="eastAsia" w:ascii="黑体" w:hAnsi="黑体" w:eastAsia="黑体" w:cs="黑体"/>
          <w:b/>
          <w:bCs/>
          <w:sz w:val="32"/>
          <w:szCs w:val="32"/>
        </w:rPr>
      </w:pPr>
      <w:bookmarkStart w:id="483" w:name="_Toc9988"/>
      <w:r>
        <w:rPr>
          <w:rFonts w:hint="eastAsia" w:ascii="黑体" w:hAnsi="黑体" w:eastAsia="黑体" w:cs="黑体"/>
          <w:b/>
          <w:bCs/>
          <w:sz w:val="32"/>
          <w:szCs w:val="32"/>
          <w:lang w:val="en-US" w:eastAsia="zh-CN"/>
        </w:rPr>
        <w:t>九、</w:t>
      </w:r>
      <w:r>
        <w:rPr>
          <w:rFonts w:hint="eastAsia" w:ascii="黑体" w:hAnsi="黑体" w:eastAsia="黑体" w:cs="黑体"/>
          <w:b/>
          <w:bCs/>
          <w:sz w:val="32"/>
          <w:szCs w:val="32"/>
        </w:rPr>
        <w:t>投标人资格证明文件</w:t>
      </w:r>
      <w:bookmarkEnd w:id="482"/>
      <w:bookmarkEnd w:id="483"/>
    </w:p>
    <w:p>
      <w:pPr>
        <w:widowControl w:val="0"/>
        <w:numPr>
          <w:ilvl w:val="0"/>
          <w:numId w:val="0"/>
        </w:numPr>
        <w:jc w:val="both"/>
        <w:rPr>
          <w:rFonts w:hint="eastAsia"/>
        </w:rPr>
      </w:pPr>
    </w:p>
    <w:p>
      <w:pPr>
        <w:pStyle w:val="56"/>
        <w:ind w:firstLine="708" w:firstLineChars="295"/>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见后附格式</w:t>
      </w: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pStyle w:val="56"/>
        <w:rPr>
          <w:rFonts w:hint="eastAsia"/>
        </w:rPr>
      </w:pPr>
    </w:p>
    <w:p>
      <w:pPr>
        <w:rPr>
          <w:rFonts w:ascii="楷体" w:hAnsi="楷体" w:eastAsia="楷体" w:cs="楷体"/>
        </w:rPr>
      </w:pPr>
    </w:p>
    <w:p>
      <w:pPr>
        <w:pStyle w:val="56"/>
        <w:rPr>
          <w:rFonts w:ascii="楷体" w:hAnsi="楷体" w:eastAsia="楷体" w:cs="楷体"/>
        </w:rPr>
      </w:pPr>
    </w:p>
    <w:p>
      <w:pPr>
        <w:pStyle w:val="56"/>
        <w:keepNext w:val="0"/>
        <w:keepLines w:val="0"/>
        <w:pageBreakBefore w:val="0"/>
        <w:widowControl w:val="0"/>
        <w:kinsoku/>
        <w:wordWrap/>
        <w:overflowPunct/>
        <w:topLinePunct w:val="0"/>
        <w:autoSpaceDE/>
        <w:autoSpaceDN/>
        <w:bidi w:val="0"/>
        <w:adjustRightInd/>
        <w:snapToGrid/>
        <w:spacing w:line="600" w:lineRule="exact"/>
        <w:ind w:firstLine="2380" w:firstLineChars="494"/>
        <w:textAlignment w:val="auto"/>
        <w:outlineLvl w:val="0"/>
        <w:rPr>
          <w:rFonts w:ascii="楷体" w:hAnsi="楷体" w:eastAsia="楷体" w:cs="楷体"/>
          <w:sz w:val="48"/>
          <w:szCs w:val="48"/>
        </w:rPr>
      </w:pPr>
      <w:bookmarkStart w:id="484" w:name="_Toc14746"/>
      <w:r>
        <w:rPr>
          <w:rFonts w:hint="eastAsia" w:ascii="黑体" w:hAnsi="黑体" w:eastAsia="黑体" w:cs="黑体"/>
          <w:b/>
          <w:bCs/>
          <w:sz w:val="48"/>
          <w:szCs w:val="48"/>
          <w:lang w:val="en-US" w:eastAsia="zh-CN"/>
        </w:rPr>
        <w:t>投标</w:t>
      </w:r>
      <w:r>
        <w:rPr>
          <w:rFonts w:hint="eastAsia" w:ascii="黑体" w:hAnsi="黑体" w:eastAsia="黑体" w:cs="黑体"/>
          <w:b/>
          <w:bCs/>
          <w:sz w:val="48"/>
          <w:szCs w:val="48"/>
        </w:rPr>
        <w:t>资格证明文件</w:t>
      </w:r>
      <w:bookmarkEnd w:id="484"/>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spacing w:line="480" w:lineRule="auto"/>
        <w:ind w:firstLine="964" w:firstLineChars="300"/>
        <w:outlineLvl w:val="0"/>
        <w:rPr>
          <w:rFonts w:hint="eastAsia" w:ascii="黑体" w:hAnsi="黑体" w:eastAsia="黑体" w:cs="黑体"/>
          <w:b/>
          <w:sz w:val="32"/>
          <w:szCs w:val="20"/>
          <w:lang w:val="en-US" w:eastAsia="zh-CN"/>
        </w:rPr>
      </w:pPr>
      <w:bookmarkStart w:id="485" w:name="_Toc16827"/>
      <w:r>
        <w:rPr>
          <w:rFonts w:hint="eastAsia" w:ascii="黑体" w:hAnsi="黑体" w:eastAsia="黑体" w:cs="黑体"/>
          <w:b/>
          <w:sz w:val="32"/>
          <w:szCs w:val="20"/>
        </w:rPr>
        <w:t>投 标 人：</w:t>
      </w:r>
      <w:r>
        <w:rPr>
          <w:rFonts w:hint="eastAsia" w:ascii="黑体" w:hAnsi="黑体" w:eastAsia="黑体" w:cs="黑体"/>
          <w:b/>
          <w:sz w:val="32"/>
          <w:szCs w:val="22"/>
          <w:u w:val="single"/>
          <w:lang w:val="en-US" w:eastAsia="zh-CN"/>
        </w:rPr>
        <w:t xml:space="preserve">                       </w:t>
      </w:r>
      <w:r>
        <w:rPr>
          <w:rFonts w:hint="eastAsia" w:ascii="黑体" w:hAnsi="黑体" w:eastAsia="黑体" w:cs="黑体"/>
          <w:b/>
          <w:sz w:val="32"/>
          <w:szCs w:val="22"/>
          <w:u w:val="single"/>
        </w:rPr>
        <w:t>（公章）</w:t>
      </w:r>
      <w:bookmarkEnd w:id="485"/>
      <w:r>
        <w:rPr>
          <w:rFonts w:hint="eastAsia" w:ascii="黑体" w:hAnsi="黑体" w:eastAsia="黑体" w:cs="黑体"/>
          <w:b/>
          <w:sz w:val="32"/>
          <w:szCs w:val="22"/>
          <w:u w:val="single"/>
          <w:lang w:val="en-US" w:eastAsia="zh-CN"/>
        </w:rPr>
        <w:t xml:space="preserve">   </w:t>
      </w:r>
    </w:p>
    <w:p>
      <w:pPr>
        <w:pStyle w:val="56"/>
        <w:spacing w:line="480" w:lineRule="auto"/>
        <w:ind w:firstLine="321" w:firstLineChars="100"/>
        <w:outlineLvl w:val="9"/>
        <w:rPr>
          <w:rFonts w:hint="eastAsia" w:ascii="黑体" w:hAnsi="黑体" w:eastAsia="黑体" w:cs="黑体"/>
          <w:b/>
          <w:kern w:val="2"/>
          <w:sz w:val="32"/>
          <w:szCs w:val="22"/>
        </w:rPr>
      </w:pPr>
    </w:p>
    <w:p>
      <w:pPr>
        <w:pStyle w:val="56"/>
        <w:spacing w:line="480" w:lineRule="auto"/>
        <w:ind w:firstLine="964" w:firstLineChars="300"/>
        <w:outlineLvl w:val="0"/>
        <w:rPr>
          <w:rFonts w:hint="eastAsia" w:ascii="黑体" w:hAnsi="黑体" w:eastAsia="黑体" w:cs="黑体"/>
          <w:b/>
          <w:kern w:val="2"/>
          <w:sz w:val="32"/>
          <w:szCs w:val="22"/>
          <w:u w:val="single"/>
        </w:rPr>
      </w:pPr>
      <w:bookmarkStart w:id="486" w:name="_Toc9756"/>
      <w:r>
        <w:rPr>
          <w:rFonts w:hint="eastAsia" w:ascii="黑体" w:hAnsi="黑体" w:eastAsia="黑体" w:cs="黑体"/>
          <w:b/>
          <w:kern w:val="2"/>
          <w:sz w:val="32"/>
          <w:szCs w:val="22"/>
        </w:rPr>
        <w:t>法定代表人或其被授权委托代理人 ：</w:t>
      </w:r>
      <w:r>
        <w:rPr>
          <w:rFonts w:hint="eastAsia" w:ascii="黑体" w:hAnsi="黑体" w:eastAsia="黑体" w:cs="黑体"/>
          <w:b/>
          <w:kern w:val="2"/>
          <w:sz w:val="32"/>
          <w:szCs w:val="22"/>
          <w:u w:val="single"/>
          <w:lang w:val="en-US" w:eastAsia="zh-CN"/>
        </w:rPr>
        <w:t xml:space="preserve">    </w:t>
      </w:r>
      <w:r>
        <w:rPr>
          <w:rFonts w:hint="eastAsia" w:ascii="黑体" w:hAnsi="黑体" w:eastAsia="黑体" w:cs="黑体"/>
          <w:b/>
          <w:kern w:val="2"/>
          <w:sz w:val="32"/>
          <w:szCs w:val="22"/>
          <w:u w:val="single"/>
        </w:rPr>
        <w:t>（签字）</w:t>
      </w:r>
      <w:bookmarkEnd w:id="486"/>
    </w:p>
    <w:p>
      <w:pPr>
        <w:spacing w:line="480" w:lineRule="auto"/>
        <w:ind w:firstLine="2249" w:firstLineChars="700"/>
        <w:outlineLvl w:val="9"/>
        <w:rPr>
          <w:rFonts w:hint="eastAsia" w:ascii="黑体" w:hAnsi="黑体" w:eastAsia="黑体" w:cs="黑体"/>
          <w:b/>
          <w:sz w:val="32"/>
          <w:szCs w:val="20"/>
        </w:rPr>
      </w:pPr>
    </w:p>
    <w:p>
      <w:pPr>
        <w:spacing w:line="480" w:lineRule="auto"/>
        <w:ind w:firstLine="2570" w:firstLineChars="800"/>
        <w:outlineLvl w:val="0"/>
        <w:rPr>
          <w:rFonts w:hint="eastAsia" w:ascii="黑体" w:hAnsi="黑体" w:eastAsia="黑体" w:cs="黑体"/>
          <w:b/>
          <w:sz w:val="32"/>
          <w:szCs w:val="20"/>
        </w:rPr>
      </w:pPr>
      <w:bookmarkStart w:id="487" w:name="_Toc3424"/>
      <w:r>
        <w:rPr>
          <w:rFonts w:hint="eastAsia" w:ascii="黑体" w:hAnsi="黑体" w:eastAsia="黑体" w:cs="黑体"/>
          <w:b/>
          <w:sz w:val="32"/>
          <w:szCs w:val="20"/>
        </w:rPr>
        <w:t xml:space="preserve">日  期：  年 </w:t>
      </w:r>
      <w:r>
        <w:rPr>
          <w:rFonts w:hint="eastAsia" w:ascii="黑体" w:hAnsi="黑体" w:eastAsia="黑体" w:cs="黑体"/>
          <w:b/>
          <w:sz w:val="32"/>
          <w:szCs w:val="20"/>
          <w:lang w:val="en-US" w:eastAsia="zh-CN"/>
        </w:rPr>
        <w:t xml:space="preserve"> </w:t>
      </w:r>
      <w:r>
        <w:rPr>
          <w:rFonts w:hint="eastAsia" w:ascii="黑体" w:hAnsi="黑体" w:eastAsia="黑体" w:cs="黑体"/>
          <w:b/>
          <w:sz w:val="32"/>
          <w:szCs w:val="20"/>
        </w:rPr>
        <w:t xml:space="preserve">月 </w:t>
      </w:r>
      <w:r>
        <w:rPr>
          <w:rFonts w:hint="eastAsia" w:ascii="黑体" w:hAnsi="黑体" w:eastAsia="黑体" w:cs="黑体"/>
          <w:b/>
          <w:sz w:val="32"/>
          <w:szCs w:val="20"/>
          <w:lang w:val="en-US" w:eastAsia="zh-CN"/>
        </w:rPr>
        <w:t xml:space="preserve"> </w:t>
      </w:r>
      <w:r>
        <w:rPr>
          <w:rFonts w:hint="eastAsia" w:ascii="黑体" w:hAnsi="黑体" w:eastAsia="黑体" w:cs="黑体"/>
          <w:b/>
          <w:sz w:val="32"/>
          <w:szCs w:val="20"/>
        </w:rPr>
        <w:t>日</w:t>
      </w:r>
      <w:bookmarkEnd w:id="487"/>
    </w:p>
    <w:p>
      <w:pPr>
        <w:pStyle w:val="56"/>
        <w:rPr>
          <w:rFonts w:hint="eastAsia"/>
        </w:rPr>
      </w:pPr>
    </w:p>
    <w:p>
      <w:pPr>
        <w:pStyle w:val="56"/>
        <w:rPr>
          <w:rFonts w:ascii="楷体" w:hAnsi="楷体" w:eastAsia="楷体" w:cs="楷体"/>
        </w:rPr>
      </w:pPr>
    </w:p>
    <w:p>
      <w:pPr>
        <w:pStyle w:val="56"/>
        <w:jc w:val="center"/>
        <w:outlineLvl w:val="0"/>
        <w:rPr>
          <w:rFonts w:hint="eastAsia" w:ascii="黑体" w:hAnsi="黑体" w:eastAsia="黑体" w:cs="黑体"/>
          <w:sz w:val="32"/>
          <w:szCs w:val="32"/>
        </w:rPr>
      </w:pPr>
      <w:bookmarkStart w:id="488" w:name="_Toc14926"/>
      <w:r>
        <w:rPr>
          <w:rFonts w:hint="eastAsia" w:ascii="黑体" w:hAnsi="黑体" w:eastAsia="黑体" w:cs="黑体"/>
          <w:sz w:val="32"/>
          <w:szCs w:val="32"/>
        </w:rPr>
        <w:t>1.</w:t>
      </w:r>
      <w:r>
        <w:rPr>
          <w:rFonts w:hint="eastAsia" w:ascii="黑体" w:hAnsi="黑体" w:eastAsia="黑体" w:cs="黑体"/>
          <w:sz w:val="32"/>
          <w:szCs w:val="32"/>
          <w:lang w:val="en-US" w:eastAsia="zh-CN"/>
        </w:rPr>
        <w:t>投标人</w:t>
      </w:r>
      <w:r>
        <w:rPr>
          <w:rFonts w:hint="eastAsia" w:ascii="黑体" w:hAnsi="黑体" w:eastAsia="黑体" w:cs="黑体"/>
          <w:sz w:val="32"/>
          <w:szCs w:val="32"/>
        </w:rPr>
        <w:t>基本情况表</w:t>
      </w:r>
      <w:bookmarkEnd w:id="488"/>
    </w:p>
    <w:tbl>
      <w:tblPr>
        <w:tblStyle w:val="40"/>
        <w:tblW w:w="89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9"/>
        <w:gridCol w:w="1412"/>
        <w:gridCol w:w="208"/>
        <w:gridCol w:w="1065"/>
        <w:gridCol w:w="142"/>
        <w:gridCol w:w="1414"/>
        <w:gridCol w:w="141"/>
        <w:gridCol w:w="425"/>
        <w:gridCol w:w="81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979"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p>
        </w:tc>
        <w:tc>
          <w:tcPr>
            <w:tcW w:w="7000" w:type="dxa"/>
            <w:gridSpan w:val="9"/>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979"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412" w:type="dxa"/>
            <w:noWrap w:val="0"/>
            <w:vAlign w:val="center"/>
          </w:tcPr>
          <w:p>
            <w:pPr>
              <w:topLinePunct/>
              <w:spacing w:line="440" w:lineRule="exact"/>
              <w:jc w:val="center"/>
              <w:rPr>
                <w:rFonts w:hint="eastAsia" w:ascii="仿宋" w:hAnsi="仿宋" w:eastAsia="仿宋" w:cs="仿宋"/>
                <w:sz w:val="24"/>
                <w:szCs w:val="24"/>
              </w:rPr>
            </w:pPr>
          </w:p>
        </w:tc>
        <w:tc>
          <w:tcPr>
            <w:tcW w:w="1415"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1414" w:type="dxa"/>
            <w:noWrap w:val="0"/>
            <w:vAlign w:val="center"/>
          </w:tcPr>
          <w:p>
            <w:pPr>
              <w:topLinePunct/>
              <w:jc w:val="center"/>
              <w:rPr>
                <w:rFonts w:hint="eastAsia" w:ascii="仿宋" w:hAnsi="仿宋" w:eastAsia="仿宋" w:cs="仿宋"/>
                <w:sz w:val="24"/>
                <w:szCs w:val="24"/>
              </w:rPr>
            </w:pPr>
          </w:p>
        </w:tc>
        <w:tc>
          <w:tcPr>
            <w:tcW w:w="137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1382" w:type="dxa"/>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4241" w:type="dxa"/>
            <w:gridSpan w:val="5"/>
            <w:noWrap w:val="0"/>
            <w:vAlign w:val="center"/>
          </w:tcPr>
          <w:p>
            <w:pPr>
              <w:topLinePunct/>
              <w:spacing w:line="440" w:lineRule="exact"/>
              <w:jc w:val="center"/>
              <w:rPr>
                <w:rFonts w:hint="eastAsia" w:ascii="仿宋" w:hAnsi="仿宋" w:eastAsia="仿宋" w:cs="仿宋"/>
                <w:sz w:val="24"/>
                <w:szCs w:val="24"/>
              </w:rPr>
            </w:pPr>
          </w:p>
        </w:tc>
        <w:tc>
          <w:tcPr>
            <w:tcW w:w="137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资产总额</w:t>
            </w:r>
          </w:p>
        </w:tc>
        <w:tc>
          <w:tcPr>
            <w:tcW w:w="1382" w:type="dxa"/>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上年营业额</w:t>
            </w:r>
          </w:p>
        </w:tc>
        <w:tc>
          <w:tcPr>
            <w:tcW w:w="1412" w:type="dxa"/>
            <w:noWrap w:val="0"/>
            <w:vAlign w:val="center"/>
          </w:tcPr>
          <w:p>
            <w:pPr>
              <w:topLinePunct/>
              <w:jc w:val="center"/>
              <w:rPr>
                <w:rFonts w:hint="eastAsia" w:ascii="仿宋" w:hAnsi="仿宋" w:eastAsia="仿宋" w:cs="仿宋"/>
                <w:sz w:val="24"/>
                <w:szCs w:val="24"/>
              </w:rPr>
            </w:pPr>
          </w:p>
        </w:tc>
        <w:tc>
          <w:tcPr>
            <w:tcW w:w="1415"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414" w:type="dxa"/>
            <w:noWrap w:val="0"/>
            <w:vAlign w:val="center"/>
          </w:tcPr>
          <w:p>
            <w:pPr>
              <w:topLinePunct/>
              <w:jc w:val="center"/>
              <w:rPr>
                <w:rFonts w:hint="eastAsia" w:ascii="仿宋" w:hAnsi="仿宋" w:eastAsia="仿宋" w:cs="仿宋"/>
                <w:sz w:val="24"/>
                <w:szCs w:val="24"/>
              </w:rPr>
            </w:pPr>
          </w:p>
        </w:tc>
        <w:tc>
          <w:tcPr>
            <w:tcW w:w="137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企业类型</w:t>
            </w:r>
          </w:p>
        </w:tc>
        <w:tc>
          <w:tcPr>
            <w:tcW w:w="1382" w:type="dxa"/>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vMerge w:val="restart"/>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法定代表人</w:t>
            </w:r>
          </w:p>
          <w:p>
            <w:pPr>
              <w:topLinePunct/>
              <w:jc w:val="center"/>
              <w:rPr>
                <w:rFonts w:hint="eastAsia" w:ascii="仿宋" w:hAnsi="仿宋" w:eastAsia="仿宋" w:cs="仿宋"/>
                <w:sz w:val="24"/>
                <w:szCs w:val="24"/>
              </w:rPr>
            </w:pPr>
            <w:r>
              <w:rPr>
                <w:rFonts w:hint="eastAsia" w:ascii="仿宋" w:hAnsi="仿宋" w:eastAsia="仿宋" w:cs="仿宋"/>
                <w:sz w:val="24"/>
                <w:szCs w:val="24"/>
              </w:rPr>
              <w:t xml:space="preserve"> （单位负责人）</w:t>
            </w:r>
          </w:p>
        </w:tc>
        <w:tc>
          <w:tcPr>
            <w:tcW w:w="1412" w:type="dxa"/>
            <w:vMerge w:val="restart"/>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15" w:type="dxa"/>
            <w:gridSpan w:val="3"/>
            <w:vMerge w:val="restart"/>
            <w:noWrap w:val="0"/>
            <w:vAlign w:val="center"/>
          </w:tcPr>
          <w:p>
            <w:pPr>
              <w:topLinePunct/>
              <w:jc w:val="center"/>
              <w:rPr>
                <w:rFonts w:hint="eastAsia" w:ascii="仿宋" w:hAnsi="仿宋" w:eastAsia="仿宋" w:cs="仿宋"/>
                <w:sz w:val="24"/>
                <w:szCs w:val="24"/>
              </w:rPr>
            </w:pPr>
          </w:p>
        </w:tc>
        <w:tc>
          <w:tcPr>
            <w:tcW w:w="1414" w:type="dxa"/>
            <w:vMerge w:val="restart"/>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137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手机</w:t>
            </w:r>
          </w:p>
        </w:tc>
        <w:tc>
          <w:tcPr>
            <w:tcW w:w="1382" w:type="dxa"/>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vMerge w:val="continue"/>
            <w:noWrap w:val="0"/>
            <w:vAlign w:val="center"/>
          </w:tcPr>
          <w:p>
            <w:pPr>
              <w:topLinePunct/>
              <w:jc w:val="center"/>
              <w:rPr>
                <w:rFonts w:hint="eastAsia" w:ascii="仿宋" w:hAnsi="仿宋" w:eastAsia="仿宋" w:cs="仿宋"/>
                <w:sz w:val="24"/>
                <w:szCs w:val="24"/>
              </w:rPr>
            </w:pPr>
          </w:p>
        </w:tc>
        <w:tc>
          <w:tcPr>
            <w:tcW w:w="1412" w:type="dxa"/>
            <w:vMerge w:val="continue"/>
            <w:noWrap w:val="0"/>
            <w:vAlign w:val="center"/>
          </w:tcPr>
          <w:p>
            <w:pPr>
              <w:topLinePunct/>
              <w:jc w:val="center"/>
              <w:rPr>
                <w:rFonts w:hint="eastAsia" w:ascii="仿宋" w:hAnsi="仿宋" w:eastAsia="仿宋" w:cs="仿宋"/>
                <w:sz w:val="24"/>
                <w:szCs w:val="24"/>
              </w:rPr>
            </w:pPr>
          </w:p>
        </w:tc>
        <w:tc>
          <w:tcPr>
            <w:tcW w:w="1415" w:type="dxa"/>
            <w:gridSpan w:val="3"/>
            <w:vMerge w:val="continue"/>
            <w:noWrap w:val="0"/>
            <w:vAlign w:val="center"/>
          </w:tcPr>
          <w:p>
            <w:pPr>
              <w:topLinePunct/>
              <w:jc w:val="center"/>
              <w:rPr>
                <w:rFonts w:hint="eastAsia" w:ascii="仿宋" w:hAnsi="仿宋" w:eastAsia="仿宋" w:cs="仿宋"/>
                <w:sz w:val="24"/>
                <w:szCs w:val="24"/>
              </w:rPr>
            </w:pPr>
          </w:p>
        </w:tc>
        <w:tc>
          <w:tcPr>
            <w:tcW w:w="1414" w:type="dxa"/>
            <w:vMerge w:val="continue"/>
            <w:noWrap w:val="0"/>
            <w:vAlign w:val="center"/>
          </w:tcPr>
          <w:p>
            <w:pPr>
              <w:topLinePunct/>
              <w:jc w:val="center"/>
              <w:rPr>
                <w:rFonts w:hint="eastAsia" w:ascii="仿宋" w:hAnsi="仿宋" w:eastAsia="仿宋" w:cs="仿宋"/>
                <w:sz w:val="24"/>
                <w:szCs w:val="24"/>
              </w:rPr>
            </w:pPr>
          </w:p>
        </w:tc>
        <w:tc>
          <w:tcPr>
            <w:tcW w:w="137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办公</w:t>
            </w:r>
          </w:p>
        </w:tc>
        <w:tc>
          <w:tcPr>
            <w:tcW w:w="1382" w:type="dxa"/>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vMerge w:val="restart"/>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412" w:type="dxa"/>
            <w:vMerge w:val="restart"/>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1415" w:type="dxa"/>
            <w:gridSpan w:val="3"/>
            <w:vMerge w:val="restart"/>
            <w:noWrap w:val="0"/>
            <w:vAlign w:val="center"/>
          </w:tcPr>
          <w:p>
            <w:pPr>
              <w:topLinePunct/>
              <w:jc w:val="center"/>
              <w:rPr>
                <w:rFonts w:hint="eastAsia" w:ascii="仿宋" w:hAnsi="仿宋" w:eastAsia="仿宋" w:cs="仿宋"/>
                <w:sz w:val="24"/>
                <w:szCs w:val="24"/>
              </w:rPr>
            </w:pPr>
          </w:p>
        </w:tc>
        <w:tc>
          <w:tcPr>
            <w:tcW w:w="1414"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759" w:type="dxa"/>
            <w:gridSpan w:val="4"/>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979" w:type="dxa"/>
            <w:vMerge w:val="continue"/>
            <w:noWrap w:val="0"/>
            <w:vAlign w:val="center"/>
          </w:tcPr>
          <w:p>
            <w:pPr>
              <w:topLinePunct/>
              <w:jc w:val="center"/>
              <w:rPr>
                <w:rFonts w:hint="eastAsia" w:ascii="仿宋" w:hAnsi="仿宋" w:eastAsia="仿宋" w:cs="仿宋"/>
                <w:sz w:val="24"/>
                <w:szCs w:val="24"/>
              </w:rPr>
            </w:pPr>
          </w:p>
        </w:tc>
        <w:tc>
          <w:tcPr>
            <w:tcW w:w="1412" w:type="dxa"/>
            <w:vMerge w:val="continue"/>
            <w:noWrap w:val="0"/>
            <w:vAlign w:val="center"/>
          </w:tcPr>
          <w:p>
            <w:pPr>
              <w:topLinePunct/>
              <w:jc w:val="center"/>
              <w:rPr>
                <w:rFonts w:hint="eastAsia" w:ascii="仿宋" w:hAnsi="仿宋" w:eastAsia="仿宋" w:cs="仿宋"/>
                <w:sz w:val="24"/>
                <w:szCs w:val="24"/>
              </w:rPr>
            </w:pPr>
          </w:p>
        </w:tc>
        <w:tc>
          <w:tcPr>
            <w:tcW w:w="1415" w:type="dxa"/>
            <w:gridSpan w:val="3"/>
            <w:vMerge w:val="continue"/>
            <w:noWrap w:val="0"/>
            <w:vAlign w:val="center"/>
          </w:tcPr>
          <w:p>
            <w:pPr>
              <w:topLinePunct/>
              <w:jc w:val="center"/>
              <w:rPr>
                <w:rFonts w:hint="eastAsia" w:ascii="仿宋" w:hAnsi="仿宋" w:eastAsia="仿宋" w:cs="仿宋"/>
                <w:sz w:val="24"/>
                <w:szCs w:val="24"/>
              </w:rPr>
            </w:pPr>
          </w:p>
        </w:tc>
        <w:tc>
          <w:tcPr>
            <w:tcW w:w="1414"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邮箱</w:t>
            </w:r>
          </w:p>
        </w:tc>
        <w:tc>
          <w:tcPr>
            <w:tcW w:w="2759" w:type="dxa"/>
            <w:gridSpan w:val="4"/>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979"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基本账户开户银行</w:t>
            </w:r>
          </w:p>
        </w:tc>
        <w:tc>
          <w:tcPr>
            <w:tcW w:w="2827" w:type="dxa"/>
            <w:gridSpan w:val="4"/>
            <w:noWrap w:val="0"/>
            <w:vAlign w:val="center"/>
          </w:tcPr>
          <w:p>
            <w:pPr>
              <w:topLinePunct/>
              <w:spacing w:line="440" w:lineRule="exact"/>
              <w:jc w:val="center"/>
              <w:rPr>
                <w:rFonts w:hint="eastAsia" w:ascii="仿宋" w:hAnsi="仿宋" w:eastAsia="仿宋" w:cs="仿宋"/>
                <w:sz w:val="24"/>
                <w:szCs w:val="24"/>
              </w:rPr>
            </w:pPr>
          </w:p>
        </w:tc>
        <w:tc>
          <w:tcPr>
            <w:tcW w:w="1980"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基本账户银行账号</w:t>
            </w:r>
          </w:p>
        </w:tc>
        <w:tc>
          <w:tcPr>
            <w:tcW w:w="2193" w:type="dxa"/>
            <w:gridSpan w:val="2"/>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79" w:hRule="atLeast"/>
        </w:trPr>
        <w:tc>
          <w:tcPr>
            <w:tcW w:w="1979" w:type="dxa"/>
            <w:noWrap w:val="0"/>
            <w:vAlign w:val="center"/>
          </w:tcPr>
          <w:p>
            <w:pPr>
              <w:topLinePunct/>
              <w:spacing w:line="360" w:lineRule="exact"/>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关联企业情况（包括但不限于与</w:t>
            </w:r>
            <w:r>
              <w:rPr>
                <w:rFonts w:hint="eastAsia" w:ascii="仿宋" w:hAnsi="仿宋" w:eastAsia="仿宋" w:cs="仿宋"/>
                <w:sz w:val="24"/>
                <w:szCs w:val="24"/>
                <w:lang w:val="en-US" w:eastAsia="zh-CN"/>
              </w:rPr>
              <w:t>投标人</w:t>
            </w:r>
            <w:r>
              <w:rPr>
                <w:rFonts w:hint="eastAsia" w:ascii="仿宋" w:hAnsi="仿宋" w:eastAsia="仿宋" w:cs="仿宋"/>
                <w:sz w:val="24"/>
                <w:szCs w:val="24"/>
              </w:rPr>
              <w:t>法定代表人为同一人或者存在控股、管理关系的不同单位）</w:t>
            </w:r>
          </w:p>
        </w:tc>
        <w:tc>
          <w:tcPr>
            <w:tcW w:w="7000" w:type="dxa"/>
            <w:gridSpan w:val="9"/>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95" w:hRule="atLeast"/>
        </w:trPr>
        <w:tc>
          <w:tcPr>
            <w:tcW w:w="3599"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需具有的资质证书</w:t>
            </w:r>
          </w:p>
        </w:tc>
        <w:tc>
          <w:tcPr>
            <w:tcW w:w="1065"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169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类型</w:t>
            </w:r>
          </w:p>
        </w:tc>
        <w:tc>
          <w:tcPr>
            <w:tcW w:w="2618"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trPr>
        <w:tc>
          <w:tcPr>
            <w:tcW w:w="3599" w:type="dxa"/>
            <w:gridSpan w:val="3"/>
            <w:noWrap w:val="0"/>
            <w:vAlign w:val="center"/>
          </w:tcPr>
          <w:p>
            <w:pPr>
              <w:topLinePunct/>
              <w:jc w:val="center"/>
              <w:rPr>
                <w:rFonts w:hint="eastAsia" w:ascii="仿宋" w:hAnsi="仿宋" w:eastAsia="仿宋" w:cs="仿宋"/>
                <w:sz w:val="24"/>
                <w:szCs w:val="24"/>
              </w:rPr>
            </w:pPr>
          </w:p>
        </w:tc>
        <w:tc>
          <w:tcPr>
            <w:tcW w:w="1065" w:type="dxa"/>
            <w:noWrap w:val="0"/>
            <w:vAlign w:val="center"/>
          </w:tcPr>
          <w:p>
            <w:pPr>
              <w:topLinePunct/>
              <w:jc w:val="center"/>
              <w:rPr>
                <w:rFonts w:hint="eastAsia" w:ascii="仿宋" w:hAnsi="仿宋" w:eastAsia="仿宋" w:cs="仿宋"/>
                <w:sz w:val="24"/>
                <w:szCs w:val="24"/>
              </w:rPr>
            </w:pPr>
          </w:p>
        </w:tc>
        <w:tc>
          <w:tcPr>
            <w:tcW w:w="1697" w:type="dxa"/>
            <w:gridSpan w:val="3"/>
            <w:noWrap w:val="0"/>
            <w:vAlign w:val="center"/>
          </w:tcPr>
          <w:p>
            <w:pPr>
              <w:topLinePunct/>
              <w:jc w:val="center"/>
              <w:rPr>
                <w:rFonts w:hint="eastAsia" w:ascii="仿宋" w:hAnsi="仿宋" w:eastAsia="仿宋" w:cs="仿宋"/>
                <w:sz w:val="24"/>
                <w:szCs w:val="24"/>
              </w:rPr>
            </w:pPr>
          </w:p>
        </w:tc>
        <w:tc>
          <w:tcPr>
            <w:tcW w:w="2618" w:type="dxa"/>
            <w:gridSpan w:val="3"/>
            <w:noWrap w:val="0"/>
            <w:vAlign w:val="center"/>
          </w:tcPr>
          <w:p>
            <w:pPr>
              <w:topLinePun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3599" w:type="dxa"/>
            <w:gridSpan w:val="3"/>
            <w:noWrap w:val="0"/>
            <w:vAlign w:val="center"/>
          </w:tcPr>
          <w:p>
            <w:pPr>
              <w:topLinePunct/>
              <w:jc w:val="center"/>
              <w:rPr>
                <w:rFonts w:hint="eastAsia" w:ascii="仿宋" w:hAnsi="仿宋" w:eastAsia="仿宋" w:cs="仿宋"/>
                <w:sz w:val="24"/>
                <w:szCs w:val="24"/>
              </w:rPr>
            </w:pPr>
          </w:p>
        </w:tc>
        <w:tc>
          <w:tcPr>
            <w:tcW w:w="1065" w:type="dxa"/>
            <w:noWrap w:val="0"/>
            <w:vAlign w:val="center"/>
          </w:tcPr>
          <w:p>
            <w:pPr>
              <w:topLinePunct/>
              <w:jc w:val="center"/>
              <w:rPr>
                <w:rFonts w:hint="eastAsia" w:ascii="仿宋" w:hAnsi="仿宋" w:eastAsia="仿宋" w:cs="仿宋"/>
                <w:sz w:val="24"/>
                <w:szCs w:val="24"/>
              </w:rPr>
            </w:pPr>
          </w:p>
        </w:tc>
        <w:tc>
          <w:tcPr>
            <w:tcW w:w="1697" w:type="dxa"/>
            <w:gridSpan w:val="3"/>
            <w:noWrap w:val="0"/>
            <w:vAlign w:val="center"/>
          </w:tcPr>
          <w:p>
            <w:pPr>
              <w:topLinePunct/>
              <w:jc w:val="center"/>
              <w:rPr>
                <w:rFonts w:hint="eastAsia" w:ascii="仿宋" w:hAnsi="仿宋" w:eastAsia="仿宋" w:cs="仿宋"/>
                <w:sz w:val="24"/>
                <w:szCs w:val="24"/>
              </w:rPr>
            </w:pPr>
          </w:p>
        </w:tc>
        <w:tc>
          <w:tcPr>
            <w:tcW w:w="2618" w:type="dxa"/>
            <w:gridSpan w:val="3"/>
            <w:noWrap w:val="0"/>
            <w:vAlign w:val="center"/>
          </w:tcPr>
          <w:p>
            <w:pPr>
              <w:topLinePun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3599" w:type="dxa"/>
            <w:gridSpan w:val="3"/>
            <w:noWrap w:val="0"/>
            <w:vAlign w:val="center"/>
          </w:tcPr>
          <w:p>
            <w:pPr>
              <w:topLinePunct/>
              <w:jc w:val="center"/>
              <w:rPr>
                <w:rFonts w:hint="eastAsia" w:ascii="仿宋" w:hAnsi="仿宋" w:eastAsia="仿宋" w:cs="仿宋"/>
                <w:sz w:val="24"/>
                <w:szCs w:val="24"/>
              </w:rPr>
            </w:pPr>
          </w:p>
        </w:tc>
        <w:tc>
          <w:tcPr>
            <w:tcW w:w="1065" w:type="dxa"/>
            <w:noWrap w:val="0"/>
            <w:vAlign w:val="center"/>
          </w:tcPr>
          <w:p>
            <w:pPr>
              <w:topLinePunct/>
              <w:jc w:val="center"/>
              <w:rPr>
                <w:rFonts w:hint="eastAsia" w:ascii="仿宋" w:hAnsi="仿宋" w:eastAsia="仿宋" w:cs="仿宋"/>
                <w:sz w:val="24"/>
                <w:szCs w:val="24"/>
              </w:rPr>
            </w:pPr>
          </w:p>
        </w:tc>
        <w:tc>
          <w:tcPr>
            <w:tcW w:w="1697" w:type="dxa"/>
            <w:gridSpan w:val="3"/>
            <w:noWrap w:val="0"/>
            <w:vAlign w:val="center"/>
          </w:tcPr>
          <w:p>
            <w:pPr>
              <w:topLinePunct/>
              <w:jc w:val="center"/>
              <w:rPr>
                <w:rFonts w:hint="eastAsia" w:ascii="仿宋" w:hAnsi="仿宋" w:eastAsia="仿宋" w:cs="仿宋"/>
                <w:sz w:val="24"/>
                <w:szCs w:val="24"/>
              </w:rPr>
            </w:pPr>
          </w:p>
        </w:tc>
        <w:tc>
          <w:tcPr>
            <w:tcW w:w="2618" w:type="dxa"/>
            <w:gridSpan w:val="3"/>
            <w:noWrap w:val="0"/>
            <w:vAlign w:val="center"/>
          </w:tcPr>
          <w:p>
            <w:pPr>
              <w:topLinePun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3599"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所供产品制造商名称</w:t>
            </w:r>
          </w:p>
        </w:tc>
        <w:tc>
          <w:tcPr>
            <w:tcW w:w="5380" w:type="dxa"/>
            <w:gridSpan w:val="7"/>
            <w:noWrap w:val="0"/>
            <w:vAlign w:val="center"/>
          </w:tcPr>
          <w:p>
            <w:pPr>
              <w:topLinePun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3599"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所供产品制造商需具有的资质证书</w:t>
            </w:r>
          </w:p>
        </w:tc>
        <w:tc>
          <w:tcPr>
            <w:tcW w:w="1065" w:type="dxa"/>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1697"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类型</w:t>
            </w:r>
          </w:p>
        </w:tc>
        <w:tc>
          <w:tcPr>
            <w:tcW w:w="2618" w:type="dxa"/>
            <w:gridSpan w:val="3"/>
            <w:noWrap w:val="0"/>
            <w:vAlign w:val="center"/>
          </w:tcPr>
          <w:p>
            <w:pPr>
              <w:topLinePunct/>
              <w:jc w:val="center"/>
              <w:rPr>
                <w:rFonts w:hint="eastAsia" w:ascii="仿宋" w:hAnsi="仿宋" w:eastAsia="仿宋" w:cs="仿宋"/>
                <w:sz w:val="24"/>
                <w:szCs w:val="24"/>
              </w:rPr>
            </w:pPr>
            <w:r>
              <w:rPr>
                <w:rFonts w:hint="eastAsia" w:ascii="仿宋" w:hAnsi="仿宋" w:eastAsia="仿宋" w:cs="仿宋"/>
                <w:sz w:val="24"/>
                <w:szCs w:val="24"/>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trPr>
        <w:tc>
          <w:tcPr>
            <w:tcW w:w="3599" w:type="dxa"/>
            <w:gridSpan w:val="3"/>
            <w:noWrap w:val="0"/>
            <w:vAlign w:val="center"/>
          </w:tcPr>
          <w:p>
            <w:pPr>
              <w:topLinePunct/>
              <w:jc w:val="center"/>
              <w:rPr>
                <w:rFonts w:hint="eastAsia" w:ascii="仿宋" w:hAnsi="仿宋" w:eastAsia="仿宋" w:cs="仿宋"/>
                <w:sz w:val="24"/>
                <w:szCs w:val="24"/>
              </w:rPr>
            </w:pPr>
          </w:p>
        </w:tc>
        <w:tc>
          <w:tcPr>
            <w:tcW w:w="1065" w:type="dxa"/>
            <w:noWrap w:val="0"/>
            <w:vAlign w:val="center"/>
          </w:tcPr>
          <w:p>
            <w:pPr>
              <w:topLinePunct/>
              <w:jc w:val="center"/>
              <w:rPr>
                <w:rFonts w:hint="eastAsia" w:ascii="仿宋" w:hAnsi="仿宋" w:eastAsia="仿宋" w:cs="仿宋"/>
                <w:sz w:val="24"/>
                <w:szCs w:val="24"/>
              </w:rPr>
            </w:pPr>
          </w:p>
        </w:tc>
        <w:tc>
          <w:tcPr>
            <w:tcW w:w="1697" w:type="dxa"/>
            <w:gridSpan w:val="3"/>
            <w:noWrap w:val="0"/>
            <w:vAlign w:val="center"/>
          </w:tcPr>
          <w:p>
            <w:pPr>
              <w:topLinePunct/>
              <w:jc w:val="center"/>
              <w:rPr>
                <w:rFonts w:hint="eastAsia" w:ascii="仿宋" w:hAnsi="仿宋" w:eastAsia="仿宋" w:cs="仿宋"/>
                <w:sz w:val="24"/>
                <w:szCs w:val="24"/>
              </w:rPr>
            </w:pPr>
          </w:p>
        </w:tc>
        <w:tc>
          <w:tcPr>
            <w:tcW w:w="2618" w:type="dxa"/>
            <w:gridSpan w:val="3"/>
            <w:noWrap w:val="0"/>
            <w:vAlign w:val="center"/>
          </w:tcPr>
          <w:p>
            <w:pPr>
              <w:topLinePunct/>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3599" w:type="dxa"/>
            <w:gridSpan w:val="3"/>
            <w:noWrap w:val="0"/>
            <w:vAlign w:val="center"/>
          </w:tcPr>
          <w:p>
            <w:pPr>
              <w:topLinePunct/>
              <w:jc w:val="center"/>
              <w:rPr>
                <w:rFonts w:hint="eastAsia" w:ascii="仿宋" w:hAnsi="仿宋" w:eastAsia="仿宋" w:cs="仿宋"/>
                <w:sz w:val="24"/>
                <w:szCs w:val="24"/>
              </w:rPr>
            </w:pPr>
          </w:p>
        </w:tc>
        <w:tc>
          <w:tcPr>
            <w:tcW w:w="1065" w:type="dxa"/>
            <w:noWrap w:val="0"/>
            <w:vAlign w:val="center"/>
          </w:tcPr>
          <w:p>
            <w:pPr>
              <w:topLinePunct/>
              <w:jc w:val="center"/>
              <w:rPr>
                <w:rFonts w:hint="eastAsia" w:ascii="仿宋" w:hAnsi="仿宋" w:eastAsia="仿宋" w:cs="仿宋"/>
                <w:sz w:val="24"/>
                <w:szCs w:val="24"/>
              </w:rPr>
            </w:pPr>
          </w:p>
        </w:tc>
        <w:tc>
          <w:tcPr>
            <w:tcW w:w="1697" w:type="dxa"/>
            <w:gridSpan w:val="3"/>
            <w:noWrap w:val="0"/>
            <w:vAlign w:val="center"/>
          </w:tcPr>
          <w:p>
            <w:pPr>
              <w:topLinePunct/>
              <w:jc w:val="center"/>
              <w:rPr>
                <w:rFonts w:hint="eastAsia" w:ascii="仿宋" w:hAnsi="仿宋" w:eastAsia="仿宋" w:cs="仿宋"/>
                <w:sz w:val="24"/>
                <w:szCs w:val="24"/>
              </w:rPr>
            </w:pPr>
          </w:p>
        </w:tc>
        <w:tc>
          <w:tcPr>
            <w:tcW w:w="2618" w:type="dxa"/>
            <w:gridSpan w:val="3"/>
            <w:noWrap w:val="0"/>
            <w:vAlign w:val="center"/>
          </w:tcPr>
          <w:p>
            <w:pPr>
              <w:topLinePunct/>
              <w:jc w:val="center"/>
              <w:rPr>
                <w:rFonts w:hint="eastAsia" w:ascii="仿宋" w:hAnsi="仿宋" w:eastAsia="仿宋" w:cs="仿宋"/>
                <w:sz w:val="24"/>
                <w:szCs w:val="24"/>
              </w:rPr>
            </w:pPr>
          </w:p>
        </w:tc>
      </w:tr>
    </w:tbl>
    <w:p>
      <w:pPr>
        <w:adjustRightInd w:val="0"/>
        <w:snapToGrid w:val="0"/>
        <w:spacing w:before="120" w:beforeLines="50"/>
        <w:ind w:left="630" w:hanging="720" w:hangingChars="300"/>
        <w:rPr>
          <w:rFonts w:hint="eastAsia" w:ascii="仿宋" w:hAnsi="仿宋" w:eastAsia="仿宋" w:cs="仿宋"/>
          <w:sz w:val="24"/>
          <w:szCs w:val="24"/>
        </w:rPr>
      </w:pPr>
      <w:r>
        <w:rPr>
          <w:rFonts w:hint="eastAsia" w:ascii="仿宋" w:hAnsi="仿宋" w:eastAsia="仿宋" w:cs="仿宋"/>
          <w:sz w:val="24"/>
          <w:szCs w:val="24"/>
        </w:rPr>
        <w:t>说明：企业类型指大型、中型、小型、微型；上年营业收入、资产总额应与财务报表中的数据一致， 金额单位为万元。</w:t>
      </w:r>
    </w:p>
    <w:p>
      <w:pPr>
        <w:spacing w:line="360" w:lineRule="auto"/>
        <w:ind w:firstLine="3120" w:firstLineChars="1300"/>
        <w:jc w:val="righ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（公章）</w:t>
      </w:r>
    </w:p>
    <w:p>
      <w:pPr>
        <w:spacing w:line="360" w:lineRule="auto"/>
        <w:ind w:firstLine="3360" w:firstLineChars="1400"/>
        <w:jc w:val="righ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法定代表人或其授权代表：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（签字）</w:t>
      </w:r>
    </w:p>
    <w:p>
      <w:pPr>
        <w:spacing w:line="420" w:lineRule="exact"/>
        <w:ind w:firstLine="4560" w:firstLineChars="1900"/>
        <w:jc w:val="both"/>
        <w:rPr>
          <w:rFonts w:hint="eastAsia" w:ascii="黑体" w:hAnsi="黑体" w:eastAsia="黑体" w:cs="黑体"/>
          <w:b w:val="0"/>
          <w:bCs w:val="0"/>
          <w:sz w:val="32"/>
          <w:szCs w:val="32"/>
        </w:rPr>
      </w:pPr>
      <w:r>
        <w:rPr>
          <w:rFonts w:hint="eastAsia" w:ascii="仿宋" w:hAnsi="仿宋" w:eastAsia="仿宋" w:cs="仿宋"/>
          <w:sz w:val="24"/>
          <w:szCs w:val="24"/>
          <w:highlight w:val="none"/>
          <w:lang w:val="zh-CN"/>
        </w:rPr>
        <w:t>日期：</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日</w:t>
      </w:r>
      <w:bookmarkStart w:id="489" w:name="_Toc27524"/>
    </w:p>
    <w:p>
      <w:pPr>
        <w:adjustRightInd w:val="0"/>
        <w:snapToGrid w:val="0"/>
        <w:spacing w:line="360" w:lineRule="auto"/>
        <w:jc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2.法定代表人（单位负责人）身份证明</w:t>
      </w:r>
      <w:bookmarkEnd w:id="489"/>
    </w:p>
    <w:p>
      <w:pPr>
        <w:snapToGrid w:val="0"/>
        <w:spacing w:line="480" w:lineRule="auto"/>
        <w:rPr>
          <w:rFonts w:ascii="楷体" w:hAnsi="楷体" w:eastAsia="楷体" w:cs="楷体"/>
          <w:szCs w:val="21"/>
        </w:rPr>
      </w:pP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sz w:val="24"/>
          <w:szCs w:val="24"/>
        </w:rPr>
        <w:t>投标人</w:t>
      </w:r>
      <w:r>
        <w:rPr>
          <w:rFonts w:hint="eastAsia" w:ascii="仿宋" w:hAnsi="仿宋" w:eastAsia="仿宋" w:cs="仿宋"/>
          <w:kern w:val="0"/>
          <w:sz w:val="24"/>
          <w:szCs w:val="24"/>
        </w:rPr>
        <w:t>名称：</w:t>
      </w: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统一社会信用代码：</w:t>
      </w: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姓名： 性别： 年龄： 职务：</w:t>
      </w: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系（投标</w:t>
      </w:r>
      <w:r>
        <w:rPr>
          <w:rFonts w:hint="eastAsia" w:ascii="仿宋" w:hAnsi="仿宋" w:eastAsia="仿宋" w:cs="仿宋"/>
          <w:sz w:val="24"/>
          <w:szCs w:val="24"/>
        </w:rPr>
        <w:t>人</w:t>
      </w:r>
      <w:r>
        <w:rPr>
          <w:rFonts w:hint="eastAsia" w:ascii="仿宋" w:hAnsi="仿宋" w:eastAsia="仿宋" w:cs="仿宋"/>
          <w:kern w:val="0"/>
          <w:sz w:val="24"/>
          <w:szCs w:val="24"/>
        </w:rPr>
        <w:t>名称）的法定代表人（单位负责人）。</w:t>
      </w: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autoSpaceDE w:val="0"/>
        <w:autoSpaceDN w:val="0"/>
        <w:adjustRightInd w:val="0"/>
        <w:snapToGrid w:val="0"/>
        <w:spacing w:beforeLines="50" w:line="360" w:lineRule="auto"/>
        <w:jc w:val="left"/>
        <w:rPr>
          <w:rFonts w:hint="eastAsia" w:ascii="仿宋" w:hAnsi="仿宋" w:eastAsia="仿宋" w:cs="仿宋"/>
          <w:sz w:val="24"/>
          <w:szCs w:val="24"/>
        </w:rPr>
      </w:pPr>
    </w:p>
    <w:p>
      <w:pPr>
        <w:autoSpaceDE w:val="0"/>
        <w:autoSpaceDN w:val="0"/>
        <w:adjustRightInd w:val="0"/>
        <w:snapToGrid w:val="0"/>
        <w:spacing w:beforeLines="50" w:line="360" w:lineRule="auto"/>
        <w:jc w:val="left"/>
        <w:rPr>
          <w:rFonts w:hint="eastAsia" w:ascii="仿宋" w:hAnsi="仿宋" w:eastAsia="仿宋" w:cs="仿宋"/>
          <w:kern w:val="0"/>
          <w:sz w:val="24"/>
          <w:szCs w:val="24"/>
        </w:rPr>
      </w:pPr>
      <w:r>
        <w:rPr>
          <w:rFonts w:hint="eastAsia" w:ascii="仿宋" w:hAnsi="仿宋" w:eastAsia="仿宋" w:cs="仿宋"/>
          <w:sz w:val="24"/>
          <w:szCs w:val="24"/>
        </w:rPr>
        <w:t>附：法定代表人身份证复印件</w:t>
      </w:r>
    </w:p>
    <w:p>
      <w:pPr>
        <w:snapToGrid w:val="0"/>
        <w:spacing w:line="480" w:lineRule="auto"/>
        <w:rPr>
          <w:rFonts w:hint="eastAsia" w:ascii="仿宋" w:hAnsi="仿宋" w:eastAsia="仿宋" w:cs="仿宋"/>
          <w:sz w:val="24"/>
          <w:szCs w:val="24"/>
        </w:rPr>
      </w:pPr>
    </w:p>
    <w:tbl>
      <w:tblPr>
        <w:tblStyle w:val="40"/>
        <w:tblpPr w:leftFromText="180" w:rightFromText="180" w:vertAnchor="text" w:horzAnchor="margin" w:tblpXSpec="center" w:tblpY="104"/>
        <w:tblW w:w="6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5" w:hRule="atLeast"/>
        </w:trPr>
        <w:tc>
          <w:tcPr>
            <w:tcW w:w="6060" w:type="dxa"/>
            <w:vAlign w:val="center"/>
          </w:tcPr>
          <w:p>
            <w:pPr>
              <w:snapToGrid w:val="0"/>
              <w:spacing w:line="480" w:lineRule="auto"/>
              <w:jc w:val="center"/>
              <w:rPr>
                <w:rFonts w:hint="eastAsia" w:ascii="仿宋" w:hAnsi="仿宋" w:eastAsia="仿宋" w:cs="仿宋"/>
                <w:sz w:val="24"/>
                <w:szCs w:val="24"/>
              </w:rPr>
            </w:pPr>
          </w:p>
          <w:p>
            <w:pPr>
              <w:snapToGrid w:val="0"/>
              <w:spacing w:line="480" w:lineRule="auto"/>
              <w:jc w:val="center"/>
              <w:rPr>
                <w:rFonts w:hint="eastAsia" w:ascii="仿宋" w:hAnsi="仿宋" w:eastAsia="仿宋" w:cs="仿宋"/>
                <w:sz w:val="24"/>
                <w:szCs w:val="24"/>
              </w:rPr>
            </w:pPr>
          </w:p>
          <w:p>
            <w:pPr>
              <w:autoSpaceDE w:val="0"/>
              <w:autoSpaceDN w:val="0"/>
              <w:adjustRightInd w:val="0"/>
              <w:snapToGrid w:val="0"/>
              <w:spacing w:beforeLines="50" w:line="360" w:lineRule="auto"/>
              <w:jc w:val="center"/>
              <w:rPr>
                <w:rFonts w:hint="eastAsia" w:ascii="仿宋" w:hAnsi="仿宋" w:eastAsia="仿宋" w:cs="仿宋"/>
                <w:kern w:val="0"/>
                <w:sz w:val="24"/>
                <w:szCs w:val="24"/>
              </w:rPr>
            </w:pPr>
            <w:r>
              <w:rPr>
                <w:rFonts w:hint="eastAsia" w:ascii="仿宋" w:hAnsi="仿宋" w:eastAsia="仿宋" w:cs="仿宋"/>
                <w:sz w:val="24"/>
                <w:szCs w:val="24"/>
              </w:rPr>
              <w:t>法定代表人身份证复印件粘贴处</w:t>
            </w:r>
          </w:p>
          <w:p>
            <w:pPr>
              <w:snapToGrid w:val="0"/>
              <w:spacing w:line="480" w:lineRule="auto"/>
              <w:jc w:val="center"/>
              <w:rPr>
                <w:rFonts w:hint="eastAsia" w:ascii="仿宋" w:hAnsi="仿宋" w:eastAsia="仿宋" w:cs="仿宋"/>
                <w:sz w:val="24"/>
                <w:szCs w:val="24"/>
              </w:rPr>
            </w:pPr>
          </w:p>
          <w:p>
            <w:pPr>
              <w:snapToGrid w:val="0"/>
              <w:spacing w:line="480" w:lineRule="auto"/>
              <w:jc w:val="center"/>
              <w:rPr>
                <w:rFonts w:hint="eastAsia" w:ascii="仿宋" w:hAnsi="仿宋" w:eastAsia="仿宋" w:cs="仿宋"/>
                <w:sz w:val="24"/>
                <w:szCs w:val="24"/>
              </w:rPr>
            </w:pPr>
          </w:p>
        </w:tc>
      </w:tr>
    </w:tbl>
    <w:p>
      <w:pPr>
        <w:snapToGrid w:val="0"/>
        <w:spacing w:line="480" w:lineRule="auto"/>
        <w:rPr>
          <w:rFonts w:hint="eastAsia" w:ascii="仿宋" w:hAnsi="仿宋" w:eastAsia="仿宋" w:cs="仿宋"/>
          <w:sz w:val="24"/>
          <w:szCs w:val="24"/>
        </w:rPr>
      </w:pPr>
    </w:p>
    <w:p>
      <w:pPr>
        <w:snapToGrid w:val="0"/>
        <w:rPr>
          <w:rFonts w:hint="eastAsia" w:ascii="仿宋" w:hAnsi="仿宋" w:eastAsia="仿宋" w:cs="仿宋"/>
          <w:sz w:val="24"/>
          <w:szCs w:val="24"/>
        </w:rPr>
      </w:pPr>
    </w:p>
    <w:p>
      <w:pPr>
        <w:snapToGrid w:val="0"/>
        <w:rPr>
          <w:rFonts w:hint="eastAsia" w:ascii="仿宋" w:hAnsi="仿宋" w:eastAsia="仿宋" w:cs="仿宋"/>
          <w:sz w:val="24"/>
          <w:szCs w:val="24"/>
        </w:rPr>
      </w:pPr>
    </w:p>
    <w:p>
      <w:pPr>
        <w:snapToGrid w:val="0"/>
        <w:rPr>
          <w:rFonts w:hint="eastAsia" w:ascii="仿宋" w:hAnsi="仿宋" w:eastAsia="仿宋" w:cs="仿宋"/>
          <w:sz w:val="24"/>
          <w:szCs w:val="24"/>
        </w:rPr>
      </w:pPr>
    </w:p>
    <w:p>
      <w:pPr>
        <w:snapToGrid w:val="0"/>
        <w:rPr>
          <w:rFonts w:hint="eastAsia" w:ascii="仿宋" w:hAnsi="仿宋" w:eastAsia="仿宋" w:cs="仿宋"/>
          <w:sz w:val="24"/>
          <w:szCs w:val="24"/>
        </w:rPr>
      </w:pPr>
    </w:p>
    <w:p>
      <w:pPr>
        <w:adjustRightInd w:val="0"/>
        <w:snapToGrid w:val="0"/>
        <w:spacing w:line="360" w:lineRule="auto"/>
        <w:rPr>
          <w:rFonts w:hint="eastAsia" w:ascii="仿宋" w:hAnsi="仿宋" w:eastAsia="仿宋" w:cs="仿宋"/>
          <w:sz w:val="24"/>
          <w:szCs w:val="24"/>
        </w:rPr>
      </w:pPr>
    </w:p>
    <w:p>
      <w:pPr>
        <w:adjustRightInd w:val="0"/>
        <w:snapToGrid w:val="0"/>
        <w:spacing w:line="360" w:lineRule="auto"/>
        <w:ind w:right="420"/>
        <w:rPr>
          <w:rFonts w:hint="eastAsia" w:ascii="仿宋" w:hAnsi="仿宋" w:eastAsia="仿宋" w:cs="仿宋"/>
          <w:sz w:val="24"/>
          <w:szCs w:val="24"/>
        </w:rPr>
      </w:pPr>
    </w:p>
    <w:p>
      <w:pPr>
        <w:adjustRightInd w:val="0"/>
        <w:snapToGrid w:val="0"/>
        <w:spacing w:line="360" w:lineRule="auto"/>
        <w:ind w:right="420"/>
        <w:rPr>
          <w:rFonts w:hint="eastAsia" w:ascii="仿宋" w:hAnsi="仿宋" w:eastAsia="仿宋" w:cs="仿宋"/>
          <w:sz w:val="24"/>
          <w:szCs w:val="24"/>
        </w:rPr>
      </w:pPr>
    </w:p>
    <w:p>
      <w:pPr>
        <w:adjustRightInd w:val="0"/>
        <w:snapToGrid w:val="0"/>
        <w:spacing w:line="360" w:lineRule="auto"/>
        <w:ind w:right="420"/>
        <w:rPr>
          <w:rFonts w:hint="eastAsia" w:ascii="仿宋" w:hAnsi="仿宋" w:eastAsia="仿宋" w:cs="仿宋"/>
          <w:sz w:val="24"/>
          <w:szCs w:val="24"/>
        </w:rPr>
      </w:pPr>
    </w:p>
    <w:p>
      <w:pPr>
        <w:adjustRightInd w:val="0"/>
        <w:snapToGrid w:val="0"/>
        <w:spacing w:line="360" w:lineRule="auto"/>
        <w:ind w:right="420"/>
        <w:rPr>
          <w:rFonts w:hint="eastAsia" w:ascii="仿宋" w:hAnsi="仿宋" w:eastAsia="仿宋" w:cs="仿宋"/>
          <w:sz w:val="24"/>
          <w:szCs w:val="24"/>
        </w:rPr>
      </w:pPr>
    </w:p>
    <w:p>
      <w:pPr>
        <w:adjustRightInd w:val="0"/>
        <w:snapToGrid w:val="0"/>
        <w:spacing w:line="360" w:lineRule="auto"/>
        <w:ind w:right="420" w:firstLine="240" w:firstLineChars="100"/>
        <w:rPr>
          <w:rFonts w:hint="eastAsia" w:ascii="仿宋" w:hAnsi="仿宋" w:eastAsia="仿宋" w:cs="仿宋"/>
          <w:sz w:val="24"/>
          <w:szCs w:val="24"/>
        </w:rPr>
      </w:pPr>
    </w:p>
    <w:p>
      <w:pPr>
        <w:adjustRightInd w:val="0"/>
        <w:snapToGrid w:val="0"/>
        <w:spacing w:line="360" w:lineRule="auto"/>
        <w:ind w:right="420" w:firstLine="3720" w:firstLineChars="1550"/>
        <w:rPr>
          <w:rFonts w:hint="eastAsia" w:ascii="仿宋" w:hAnsi="仿宋" w:eastAsia="仿宋" w:cs="仿宋"/>
          <w:sz w:val="24"/>
          <w:szCs w:val="24"/>
        </w:rPr>
      </w:pPr>
    </w:p>
    <w:p>
      <w:pPr>
        <w:adjustRightInd w:val="0"/>
        <w:snapToGrid w:val="0"/>
        <w:spacing w:line="360" w:lineRule="auto"/>
        <w:ind w:right="420" w:firstLine="3720" w:firstLineChars="1550"/>
        <w:rPr>
          <w:rFonts w:hint="eastAsia" w:ascii="仿宋" w:hAnsi="仿宋" w:eastAsia="仿宋" w:cs="仿宋"/>
          <w:sz w:val="24"/>
          <w:szCs w:val="24"/>
        </w:rPr>
      </w:pPr>
      <w:r>
        <w:rPr>
          <w:rFonts w:hint="eastAsia" w:ascii="仿宋" w:hAnsi="仿宋" w:eastAsia="仿宋" w:cs="仿宋"/>
          <w:sz w:val="24"/>
          <w:szCs w:val="24"/>
        </w:rPr>
        <w:t>投标人名称：（盖单位章）</w:t>
      </w:r>
    </w:p>
    <w:p>
      <w:pPr>
        <w:adjustRightInd w:val="0"/>
        <w:snapToGrid w:val="0"/>
        <w:spacing w:line="360" w:lineRule="auto"/>
        <w:ind w:right="420" w:firstLine="5520" w:firstLineChars="2300"/>
        <w:rPr>
          <w:rFonts w:hint="eastAsia" w:ascii="仿宋" w:hAnsi="仿宋" w:eastAsia="仿宋" w:cs="仿宋"/>
          <w:sz w:val="24"/>
          <w:szCs w:val="24"/>
        </w:rPr>
      </w:pPr>
    </w:p>
    <w:p>
      <w:pPr>
        <w:adjustRightInd w:val="0"/>
        <w:snapToGrid w:val="0"/>
        <w:spacing w:line="360" w:lineRule="auto"/>
        <w:ind w:right="420" w:firstLine="3600" w:firstLineChars="15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adjustRightInd w:val="0"/>
        <w:snapToGrid w:val="0"/>
        <w:spacing w:line="360" w:lineRule="auto"/>
        <w:ind w:right="420"/>
        <w:rPr>
          <w:rFonts w:hint="eastAsia" w:ascii="仿宋" w:hAnsi="仿宋" w:eastAsia="仿宋" w:cs="仿宋"/>
          <w:sz w:val="24"/>
          <w:szCs w:val="24"/>
        </w:rPr>
      </w:pPr>
    </w:p>
    <w:p>
      <w:pPr>
        <w:adjustRightInd w:val="0"/>
        <w:snapToGrid w:val="0"/>
        <w:spacing w:line="360" w:lineRule="auto"/>
        <w:ind w:right="420" w:firstLine="240" w:firstLineChars="100"/>
        <w:rPr>
          <w:rFonts w:hint="eastAsia" w:ascii="仿宋" w:hAnsi="仿宋" w:eastAsia="仿宋" w:cs="仿宋"/>
          <w:sz w:val="24"/>
          <w:szCs w:val="24"/>
        </w:rPr>
      </w:pPr>
    </w:p>
    <w:p>
      <w:pPr>
        <w:adjustRightInd w:val="0"/>
        <w:snapToGrid w:val="0"/>
        <w:spacing w:line="360" w:lineRule="auto"/>
        <w:ind w:right="420" w:firstLine="240" w:firstLineChars="100"/>
        <w:rPr>
          <w:rFonts w:ascii="楷体" w:hAnsi="楷体" w:eastAsia="楷体" w:cs="楷体"/>
        </w:rPr>
      </w:pPr>
      <w:r>
        <w:rPr>
          <w:rFonts w:hint="eastAsia" w:ascii="仿宋" w:hAnsi="仿宋" w:eastAsia="仿宋" w:cs="仿宋"/>
          <w:sz w:val="24"/>
          <w:szCs w:val="24"/>
        </w:rPr>
        <w:t>说明：仅限法定代表人参加投标时提供</w:t>
      </w:r>
    </w:p>
    <w:p>
      <w:pPr>
        <w:adjustRightInd w:val="0"/>
        <w:snapToGrid w:val="0"/>
        <w:spacing w:line="360" w:lineRule="auto"/>
        <w:ind w:right="420" w:firstLine="2240" w:firstLineChars="700"/>
        <w:outlineLvl w:val="0"/>
        <w:rPr>
          <w:rFonts w:hint="eastAsia" w:ascii="黑体" w:hAnsi="黑体" w:eastAsia="黑体" w:cs="黑体"/>
          <w:b w:val="0"/>
          <w:bCs w:val="0"/>
          <w:sz w:val="32"/>
          <w:szCs w:val="32"/>
        </w:rPr>
      </w:pPr>
      <w:bookmarkStart w:id="490" w:name="_Toc20303"/>
      <w:r>
        <w:rPr>
          <w:rFonts w:hint="eastAsia" w:ascii="黑体" w:hAnsi="黑体" w:eastAsia="黑体" w:cs="黑体"/>
          <w:b w:val="0"/>
          <w:bCs w:val="0"/>
          <w:sz w:val="32"/>
          <w:szCs w:val="32"/>
        </w:rPr>
        <w:t>3.法定代表人授权委托书</w:t>
      </w:r>
      <w:bookmarkEnd w:id="490"/>
    </w:p>
    <w:p>
      <w:pPr>
        <w:spacing w:line="400" w:lineRule="exact"/>
        <w:ind w:firstLine="560" w:firstLineChars="200"/>
        <w:rPr>
          <w:rFonts w:ascii="楷体" w:hAnsi="楷体" w:eastAsia="楷体" w:cs="楷体"/>
          <w:sz w:val="28"/>
          <w:szCs w:val="28"/>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本人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（姓名）</w:t>
      </w:r>
      <w:r>
        <w:rPr>
          <w:rFonts w:hint="eastAsia" w:ascii="仿宋" w:hAnsi="仿宋" w:eastAsia="仿宋" w:cs="仿宋"/>
          <w:sz w:val="24"/>
          <w:szCs w:val="24"/>
          <w:lang w:val="zh-CN"/>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（投标人名称）</w:t>
      </w:r>
      <w:r>
        <w:rPr>
          <w:rFonts w:hint="eastAsia" w:ascii="仿宋" w:hAnsi="仿宋" w:eastAsia="仿宋" w:cs="仿宋"/>
          <w:sz w:val="24"/>
          <w:szCs w:val="24"/>
          <w:lang w:val="zh-CN"/>
        </w:rPr>
        <w:t>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法定代表人（单位负责人）</w:t>
      </w:r>
      <w:r>
        <w:rPr>
          <w:rFonts w:hint="eastAsia" w:ascii="仿宋" w:hAnsi="仿宋" w:eastAsia="仿宋" w:cs="仿宋"/>
          <w:sz w:val="24"/>
          <w:szCs w:val="24"/>
          <w:lang w:val="zh-CN"/>
        </w:rPr>
        <w:t>，现委托</w:t>
      </w:r>
      <w:r>
        <w:rPr>
          <w:rFonts w:hint="eastAsia" w:ascii="仿宋" w:hAnsi="仿宋" w:eastAsia="仿宋" w:cs="仿宋"/>
          <w:sz w:val="24"/>
          <w:szCs w:val="24"/>
          <w:u w:val="single"/>
          <w:lang w:val="zh-CN"/>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为我方代理人。代理人根据授权，以我方的名义签署、澄清确认、递交、撤回、修改（采购项目）投标文件、签订合同和全权处理一切与之有关的事宜，</w:t>
      </w:r>
      <w:r>
        <w:rPr>
          <w:rFonts w:hint="eastAsia" w:ascii="仿宋" w:hAnsi="仿宋" w:eastAsia="仿宋" w:cs="仿宋"/>
          <w:kern w:val="0"/>
          <w:sz w:val="24"/>
          <w:szCs w:val="24"/>
        </w:rPr>
        <w:t>其法律后果由我方承担。</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委托期限</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日</w:t>
      </w:r>
      <w:r>
        <w:rPr>
          <w:rFonts w:hint="eastAsia" w:ascii="仿宋" w:hAnsi="仿宋" w:eastAsia="仿宋" w:cs="仿宋"/>
          <w:sz w:val="24"/>
          <w:szCs w:val="24"/>
          <w:lang w:val="zh-CN"/>
        </w:rPr>
        <w:t>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日</w:t>
      </w:r>
      <w:r>
        <w:rPr>
          <w:rFonts w:hint="eastAsia" w:ascii="仿宋" w:hAnsi="仿宋" w:eastAsia="仿宋" w:cs="仿宋"/>
          <w:sz w:val="24"/>
          <w:szCs w:val="24"/>
          <w:lang w:val="zh-CN"/>
        </w:rPr>
        <w:t>。</w:t>
      </w:r>
    </w:p>
    <w:p>
      <w:pPr>
        <w:spacing w:line="48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代理人无转委托权。</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lang w:val="zh-CN"/>
        </w:rPr>
        <w:t>附：法定代表人（单位负责人）身份证复印件</w:t>
      </w:r>
      <w:r>
        <w:rPr>
          <w:rFonts w:hint="eastAsia" w:ascii="仿宋" w:hAnsi="仿宋" w:eastAsia="仿宋" w:cs="仿宋"/>
          <w:sz w:val="24"/>
          <w:szCs w:val="24"/>
        </w:rPr>
        <w:t>、</w:t>
      </w:r>
      <w:r>
        <w:rPr>
          <w:rFonts w:hint="eastAsia" w:ascii="仿宋" w:hAnsi="仿宋" w:eastAsia="仿宋" w:cs="仿宋"/>
          <w:sz w:val="24"/>
          <w:szCs w:val="24"/>
          <w:lang w:val="zh-CN"/>
        </w:rPr>
        <w:t>委托代理人身份证复印件</w:t>
      </w:r>
    </w:p>
    <w:tbl>
      <w:tblPr>
        <w:tblStyle w:val="40"/>
        <w:tblW w:w="8799" w:type="dxa"/>
        <w:tblInd w:w="540" w:type="dxa"/>
        <w:tblLayout w:type="fixed"/>
        <w:tblCellMar>
          <w:top w:w="0" w:type="dxa"/>
          <w:left w:w="108" w:type="dxa"/>
          <w:bottom w:w="0" w:type="dxa"/>
          <w:right w:w="108" w:type="dxa"/>
        </w:tblCellMar>
      </w:tblPr>
      <w:tblGrid>
        <w:gridCol w:w="4490"/>
        <w:gridCol w:w="4309"/>
      </w:tblGrid>
      <w:tr>
        <w:tblPrEx>
          <w:tblCellMar>
            <w:top w:w="0" w:type="dxa"/>
            <w:left w:w="108" w:type="dxa"/>
            <w:bottom w:w="0" w:type="dxa"/>
            <w:right w:w="108" w:type="dxa"/>
          </w:tblCellMar>
        </w:tblPrEx>
        <w:trPr>
          <w:trHeight w:val="2050" w:hRule="atLeast"/>
        </w:trPr>
        <w:tc>
          <w:tcPr>
            <w:tcW w:w="44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lang w:val="zh-CN"/>
              </w:rPr>
              <w:t>法定代表人（单位负责人）身份证复印件（</w:t>
            </w:r>
            <w:r>
              <w:rPr>
                <w:rFonts w:hint="eastAsia" w:ascii="仿宋" w:hAnsi="仿宋" w:eastAsia="仿宋" w:cs="仿宋"/>
                <w:sz w:val="24"/>
                <w:szCs w:val="24"/>
                <w:lang w:val="en-US" w:eastAsia="zh-CN"/>
              </w:rPr>
              <w:t>正面</w:t>
            </w:r>
            <w:r>
              <w:rPr>
                <w:rFonts w:hint="eastAsia" w:ascii="仿宋" w:hAnsi="仿宋" w:eastAsia="仿宋" w:cs="仿宋"/>
                <w:sz w:val="24"/>
                <w:szCs w:val="24"/>
                <w:lang w:val="zh-CN"/>
              </w:rPr>
              <w:t>）</w:t>
            </w:r>
          </w:p>
        </w:tc>
        <w:tc>
          <w:tcPr>
            <w:tcW w:w="43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委托代理人身份证复印件</w:t>
            </w:r>
          </w:p>
          <w:p>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正面</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trHeight w:val="2087" w:hRule="atLeast"/>
        </w:trPr>
        <w:tc>
          <w:tcPr>
            <w:tcW w:w="449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法定代表人（单位负责人）身份证复印件（</w:t>
            </w:r>
            <w:r>
              <w:rPr>
                <w:rFonts w:hint="eastAsia" w:ascii="仿宋" w:hAnsi="仿宋" w:eastAsia="仿宋" w:cs="仿宋"/>
                <w:sz w:val="24"/>
                <w:szCs w:val="24"/>
                <w:lang w:val="en-US" w:eastAsia="zh-CN"/>
              </w:rPr>
              <w:t>反面</w:t>
            </w:r>
            <w:r>
              <w:rPr>
                <w:rFonts w:hint="eastAsia" w:ascii="仿宋" w:hAnsi="仿宋" w:eastAsia="仿宋" w:cs="仿宋"/>
                <w:sz w:val="24"/>
                <w:szCs w:val="24"/>
                <w:lang w:val="zh-CN"/>
              </w:rPr>
              <w:t>）</w:t>
            </w:r>
          </w:p>
        </w:tc>
        <w:tc>
          <w:tcPr>
            <w:tcW w:w="43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委托代理人身份证复印件</w:t>
            </w:r>
          </w:p>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反面</w:t>
            </w:r>
            <w:r>
              <w:rPr>
                <w:rFonts w:hint="eastAsia" w:ascii="仿宋" w:hAnsi="仿宋" w:eastAsia="仿宋" w:cs="仿宋"/>
                <w:sz w:val="24"/>
                <w:szCs w:val="24"/>
                <w:lang w:val="zh-CN"/>
              </w:rPr>
              <w:t>）</w:t>
            </w:r>
          </w:p>
        </w:tc>
      </w:tr>
    </w:tbl>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3240" w:firstLineChars="1350"/>
        <w:rPr>
          <w:rFonts w:hint="eastAsia" w:ascii="仿宋" w:hAnsi="仿宋" w:eastAsia="仿宋" w:cs="仿宋"/>
          <w:sz w:val="24"/>
          <w:szCs w:val="24"/>
        </w:rPr>
      </w:pPr>
      <w:r>
        <w:rPr>
          <w:rFonts w:hint="eastAsia" w:ascii="仿宋" w:hAnsi="仿宋" w:eastAsia="仿宋" w:cs="仿宋"/>
          <w:sz w:val="24"/>
          <w:szCs w:val="24"/>
        </w:rPr>
        <w:t xml:space="preserve">投 标 人：（盖单位章） </w:t>
      </w:r>
    </w:p>
    <w:p>
      <w:pPr>
        <w:ind w:firstLine="480" w:firstLineChars="200"/>
        <w:rPr>
          <w:rFonts w:hint="eastAsia" w:ascii="仿宋" w:hAnsi="仿宋" w:eastAsia="仿宋" w:cs="仿宋"/>
          <w:sz w:val="24"/>
          <w:szCs w:val="24"/>
        </w:rPr>
      </w:pPr>
    </w:p>
    <w:p>
      <w:pPr>
        <w:ind w:firstLine="3240" w:firstLineChars="1350"/>
        <w:rPr>
          <w:rFonts w:hint="eastAsia" w:ascii="仿宋" w:hAnsi="仿宋" w:eastAsia="仿宋" w:cs="仿宋"/>
          <w:sz w:val="24"/>
          <w:szCs w:val="24"/>
        </w:rPr>
      </w:pPr>
      <w:r>
        <w:rPr>
          <w:rFonts w:hint="eastAsia" w:ascii="仿宋" w:hAnsi="仿宋" w:eastAsia="仿宋" w:cs="仿宋"/>
          <w:sz w:val="24"/>
          <w:szCs w:val="24"/>
        </w:rPr>
        <w:t>法定代表人（单位负责人）:  （签字）</w:t>
      </w:r>
    </w:p>
    <w:p>
      <w:pPr>
        <w:ind w:firstLine="3960" w:firstLineChars="1650"/>
        <w:rPr>
          <w:rFonts w:hint="eastAsia" w:ascii="仿宋" w:hAnsi="仿宋" w:eastAsia="仿宋" w:cs="仿宋"/>
          <w:sz w:val="24"/>
          <w:szCs w:val="24"/>
        </w:rPr>
      </w:pPr>
    </w:p>
    <w:p>
      <w:pPr>
        <w:ind w:firstLine="3240" w:firstLineChars="1350"/>
        <w:jc w:val="left"/>
        <w:rPr>
          <w:rFonts w:hint="eastAsia" w:ascii="仿宋" w:hAnsi="仿宋" w:eastAsia="仿宋" w:cs="仿宋"/>
          <w:sz w:val="24"/>
          <w:szCs w:val="24"/>
          <w:u w:val="single"/>
        </w:rPr>
      </w:pPr>
      <w:r>
        <w:rPr>
          <w:rFonts w:hint="eastAsia" w:ascii="仿宋" w:hAnsi="仿宋" w:eastAsia="仿宋" w:cs="仿宋"/>
          <w:sz w:val="24"/>
          <w:szCs w:val="24"/>
        </w:rPr>
        <w:t>身 份 证 号：</w:t>
      </w:r>
    </w:p>
    <w:p>
      <w:pPr>
        <w:ind w:firstLine="3960" w:firstLineChars="1650"/>
        <w:rPr>
          <w:rFonts w:hint="eastAsia" w:ascii="仿宋" w:hAnsi="仿宋" w:eastAsia="仿宋" w:cs="仿宋"/>
          <w:sz w:val="24"/>
          <w:szCs w:val="24"/>
        </w:rPr>
      </w:pPr>
    </w:p>
    <w:p>
      <w:pPr>
        <w:ind w:firstLine="3240" w:firstLineChars="1350"/>
        <w:rPr>
          <w:rFonts w:hint="eastAsia" w:ascii="仿宋" w:hAnsi="仿宋" w:eastAsia="仿宋" w:cs="仿宋"/>
          <w:sz w:val="24"/>
          <w:szCs w:val="24"/>
        </w:rPr>
      </w:pPr>
      <w:r>
        <w:rPr>
          <w:rFonts w:hint="eastAsia" w:ascii="仿宋" w:hAnsi="仿宋" w:eastAsia="仿宋" w:cs="仿宋"/>
          <w:sz w:val="24"/>
          <w:szCs w:val="24"/>
        </w:rPr>
        <w:t xml:space="preserve">委托代理人： （签字）     </w:t>
      </w:r>
    </w:p>
    <w:p>
      <w:pPr>
        <w:ind w:firstLine="3240" w:firstLineChars="1350"/>
        <w:jc w:val="left"/>
        <w:rPr>
          <w:rFonts w:hint="eastAsia" w:ascii="仿宋" w:hAnsi="仿宋" w:eastAsia="仿宋" w:cs="仿宋"/>
          <w:sz w:val="24"/>
          <w:szCs w:val="24"/>
        </w:rPr>
      </w:pPr>
    </w:p>
    <w:p>
      <w:pPr>
        <w:ind w:firstLine="3240" w:firstLineChars="1350"/>
        <w:jc w:val="left"/>
        <w:rPr>
          <w:rFonts w:hint="eastAsia" w:ascii="仿宋" w:hAnsi="仿宋" w:eastAsia="仿宋" w:cs="仿宋"/>
          <w:sz w:val="24"/>
          <w:szCs w:val="24"/>
          <w:u w:val="single"/>
        </w:rPr>
      </w:pPr>
      <w:r>
        <w:rPr>
          <w:rFonts w:hint="eastAsia" w:ascii="仿宋" w:hAnsi="仿宋" w:eastAsia="仿宋" w:cs="仿宋"/>
          <w:sz w:val="24"/>
          <w:szCs w:val="24"/>
        </w:rPr>
        <w:t>身 份 证 号：</w:t>
      </w:r>
    </w:p>
    <w:p>
      <w:pPr>
        <w:ind w:firstLine="480" w:firstLineChars="200"/>
        <w:rPr>
          <w:rFonts w:hint="eastAsia" w:ascii="仿宋" w:hAnsi="仿宋" w:eastAsia="仿宋" w:cs="仿宋"/>
          <w:sz w:val="24"/>
          <w:szCs w:val="24"/>
        </w:rPr>
      </w:pPr>
    </w:p>
    <w:p>
      <w:pPr>
        <w:ind w:firstLine="3120" w:firstLineChars="1300"/>
        <w:rPr>
          <w:rFonts w:hint="eastAsia" w:ascii="仿宋" w:hAnsi="仿宋" w:eastAsia="仿宋" w:cs="仿宋"/>
          <w:sz w:val="24"/>
          <w:szCs w:val="24"/>
          <w:lang w:val="zh-CN"/>
        </w:rPr>
      </w:pPr>
      <w:r>
        <w:rPr>
          <w:rFonts w:hint="eastAsia" w:ascii="仿宋" w:hAnsi="仿宋" w:eastAsia="仿宋" w:cs="仿宋"/>
          <w:sz w:val="24"/>
          <w:szCs w:val="24"/>
        </w:rPr>
        <w:t xml:space="preserve"> 授权委托日期：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lang w:val="zh-CN"/>
        </w:rPr>
        <w:sectPr>
          <w:pgSz w:w="11907" w:h="16840"/>
          <w:pgMar w:top="1440" w:right="1474" w:bottom="1440" w:left="1474" w:header="851" w:footer="992" w:gutter="0"/>
          <w:pgNumType w:fmt="numberInDash"/>
          <w:cols w:space="720" w:num="1"/>
          <w:titlePg/>
        </w:sectPr>
      </w:pPr>
    </w:p>
    <w:p>
      <w:pPr>
        <w:jc w:val="center"/>
        <w:outlineLvl w:val="0"/>
        <w:rPr>
          <w:rFonts w:hint="eastAsia" w:ascii="黑体" w:hAnsi="黑体" w:eastAsia="黑体" w:cs="黑体"/>
          <w:b w:val="0"/>
          <w:bCs w:val="0"/>
          <w:sz w:val="32"/>
          <w:szCs w:val="32"/>
        </w:rPr>
      </w:pPr>
      <w:bookmarkStart w:id="491" w:name="_Toc8023"/>
      <w:r>
        <w:rPr>
          <w:rFonts w:hint="eastAsia" w:ascii="黑体" w:hAnsi="黑体" w:eastAsia="黑体" w:cs="黑体"/>
          <w:b w:val="0"/>
          <w:bCs w:val="0"/>
          <w:sz w:val="32"/>
          <w:szCs w:val="32"/>
        </w:rPr>
        <w:t>4.</w:t>
      </w:r>
      <w:r>
        <w:rPr>
          <w:rFonts w:hint="eastAsia" w:ascii="黑体" w:hAnsi="黑体" w:eastAsia="黑体" w:cs="黑体"/>
          <w:b w:val="0"/>
          <w:bCs w:val="0"/>
          <w:kern w:val="0"/>
          <w:sz w:val="32"/>
          <w:szCs w:val="32"/>
          <w:lang w:val="en-US" w:eastAsia="zh-CN"/>
        </w:rPr>
        <w:t>投标人</w:t>
      </w:r>
      <w:r>
        <w:rPr>
          <w:rFonts w:hint="eastAsia" w:ascii="黑体" w:hAnsi="黑体" w:eastAsia="黑体" w:cs="黑体"/>
          <w:b w:val="0"/>
          <w:bCs w:val="0"/>
          <w:kern w:val="0"/>
          <w:sz w:val="32"/>
          <w:szCs w:val="32"/>
          <w:lang w:val="zh-CN"/>
        </w:rPr>
        <w:t>的营业执照等证明文件，自然人的身份证明</w:t>
      </w:r>
      <w:bookmarkEnd w:id="491"/>
    </w:p>
    <w:p>
      <w:pPr>
        <w:pStyle w:val="22"/>
        <w:adjustRightInd w:val="0"/>
        <w:snapToGrid w:val="0"/>
        <w:spacing w:line="360" w:lineRule="auto"/>
        <w:jc w:val="left"/>
        <w:rPr>
          <w:rFonts w:hint="eastAsia" w:hAnsi="宋体" w:cs="宋体"/>
          <w:sz w:val="24"/>
          <w:szCs w:val="24"/>
        </w:rPr>
      </w:pPr>
    </w:p>
    <w:p>
      <w:pPr>
        <w:pStyle w:val="22"/>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说明：</w:t>
      </w:r>
    </w:p>
    <w:p>
      <w:pPr>
        <w:pStyle w:val="22"/>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（1）企业单位</w:t>
      </w:r>
      <w:r>
        <w:rPr>
          <w:rFonts w:hint="eastAsia" w:ascii="楷体" w:hAnsi="楷体" w:eastAsia="楷体" w:cs="楷体"/>
          <w:sz w:val="24"/>
          <w:szCs w:val="24"/>
          <w:lang w:val="en-US" w:eastAsia="zh-CN"/>
        </w:rPr>
        <w:t>投标</w:t>
      </w:r>
      <w:r>
        <w:rPr>
          <w:rFonts w:hint="eastAsia" w:ascii="楷体" w:hAnsi="楷体" w:eastAsia="楷体" w:cs="楷体"/>
          <w:sz w:val="24"/>
          <w:szCs w:val="24"/>
        </w:rPr>
        <w:t>的提供有效的营业执照（3证合1或多证合1）；</w:t>
      </w:r>
    </w:p>
    <w:p>
      <w:pPr>
        <w:pStyle w:val="22"/>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（2）事业单位</w:t>
      </w:r>
      <w:r>
        <w:rPr>
          <w:rFonts w:hint="eastAsia" w:ascii="楷体" w:hAnsi="楷体" w:eastAsia="楷体" w:cs="楷体"/>
          <w:sz w:val="24"/>
          <w:szCs w:val="24"/>
          <w:lang w:val="en-US" w:eastAsia="zh-CN"/>
        </w:rPr>
        <w:t>投标</w:t>
      </w:r>
      <w:r>
        <w:rPr>
          <w:rFonts w:hint="eastAsia" w:ascii="楷体" w:hAnsi="楷体" w:eastAsia="楷体" w:cs="楷体"/>
          <w:sz w:val="24"/>
          <w:szCs w:val="24"/>
        </w:rPr>
        <w:t>的提供有效的法人证书（带有社会统一信用代码）；</w:t>
      </w:r>
    </w:p>
    <w:p>
      <w:pPr>
        <w:pStyle w:val="22"/>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（3）其他组织</w:t>
      </w:r>
      <w:r>
        <w:rPr>
          <w:rFonts w:hint="eastAsia" w:ascii="楷体" w:hAnsi="楷体" w:eastAsia="楷体" w:cs="楷体"/>
          <w:sz w:val="24"/>
          <w:szCs w:val="24"/>
          <w:lang w:val="en-US" w:eastAsia="zh-CN"/>
        </w:rPr>
        <w:t>投标</w:t>
      </w:r>
      <w:r>
        <w:rPr>
          <w:rFonts w:hint="eastAsia" w:ascii="楷体" w:hAnsi="楷体" w:eastAsia="楷体" w:cs="楷体"/>
          <w:sz w:val="24"/>
          <w:szCs w:val="24"/>
        </w:rPr>
        <w:t>的提供有效的登记证书（带有社会统一信用代码）；</w:t>
      </w:r>
    </w:p>
    <w:p>
      <w:pPr>
        <w:pStyle w:val="22"/>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（4）自然人</w:t>
      </w:r>
      <w:r>
        <w:rPr>
          <w:rFonts w:hint="eastAsia" w:ascii="楷体" w:hAnsi="楷体" w:eastAsia="楷体" w:cs="楷体"/>
          <w:sz w:val="24"/>
          <w:szCs w:val="24"/>
          <w:lang w:val="en-US" w:eastAsia="zh-CN"/>
        </w:rPr>
        <w:t>投标</w:t>
      </w:r>
      <w:r>
        <w:rPr>
          <w:rFonts w:hint="eastAsia" w:ascii="楷体" w:hAnsi="楷体" w:eastAsia="楷体" w:cs="楷体"/>
          <w:sz w:val="24"/>
          <w:szCs w:val="24"/>
        </w:rPr>
        <w:t>的提供有效的身份证复印件；</w:t>
      </w:r>
    </w:p>
    <w:p>
      <w:pPr>
        <w:pStyle w:val="22"/>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（5）以上（1）-（3）项为正本或者副本复印件，并加盖</w:t>
      </w:r>
      <w:r>
        <w:rPr>
          <w:rFonts w:hint="eastAsia" w:ascii="楷体" w:hAnsi="楷体" w:eastAsia="楷体" w:cs="楷体"/>
          <w:sz w:val="24"/>
          <w:szCs w:val="24"/>
          <w:lang w:val="en-US" w:eastAsia="zh-CN"/>
        </w:rPr>
        <w:t>投标人</w:t>
      </w:r>
      <w:r>
        <w:rPr>
          <w:rFonts w:hint="eastAsia" w:ascii="楷体" w:hAnsi="楷体" w:eastAsia="楷体" w:cs="楷体"/>
          <w:sz w:val="24"/>
          <w:szCs w:val="24"/>
        </w:rPr>
        <w:t>单位章。</w:t>
      </w:r>
    </w:p>
    <w:p>
      <w:pPr>
        <w:pStyle w:val="13"/>
        <w:spacing w:before="120" w:beforeLines="50"/>
        <w:ind w:firstLine="0"/>
        <w:rPr>
          <w:rFonts w:hint="eastAsia" w:ascii="宋体" w:hAnsi="宋体" w:cs="宋体"/>
          <w:b/>
          <w:sz w:val="36"/>
          <w:szCs w:val="36"/>
        </w:rPr>
      </w:pPr>
    </w:p>
    <w:p>
      <w:pPr>
        <w:pStyle w:val="148"/>
        <w:ind w:firstLine="0" w:firstLineChars="0"/>
        <w:rPr>
          <w:rFonts w:ascii="楷体" w:hAnsi="楷体" w:eastAsia="楷体" w:cs="楷体"/>
          <w:sz w:val="20"/>
          <w:szCs w:val="18"/>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jc w:val="center"/>
        <w:rPr>
          <w:rFonts w:hint="eastAsia" w:ascii="黑体" w:hAnsi="黑体" w:eastAsia="黑体" w:cs="黑体"/>
          <w:b w:val="0"/>
          <w:bCs w:val="0"/>
          <w:kern w:val="0"/>
          <w:sz w:val="32"/>
          <w:szCs w:val="32"/>
          <w:lang w:val="en-US" w:eastAsia="zh-CN"/>
        </w:rPr>
      </w:pPr>
    </w:p>
    <w:p>
      <w:pPr>
        <w:jc w:val="center"/>
        <w:rPr>
          <w:rFonts w:hint="eastAsia" w:ascii="黑体" w:hAnsi="黑体" w:eastAsia="黑体" w:cs="黑体"/>
          <w:b w:val="0"/>
          <w:bCs w:val="0"/>
          <w:kern w:val="0"/>
          <w:sz w:val="32"/>
          <w:szCs w:val="32"/>
          <w:lang w:val="en-US" w:eastAsia="zh-CN"/>
        </w:rPr>
      </w:pPr>
    </w:p>
    <w:p>
      <w:pPr>
        <w:jc w:val="both"/>
        <w:rPr>
          <w:rFonts w:hint="eastAsia" w:ascii="黑体" w:hAnsi="黑体" w:eastAsia="黑体" w:cs="黑体"/>
          <w:b w:val="0"/>
          <w:bCs w:val="0"/>
          <w:kern w:val="0"/>
          <w:sz w:val="32"/>
          <w:szCs w:val="32"/>
          <w:lang w:val="en-US" w:eastAsia="zh-CN"/>
        </w:rPr>
      </w:pPr>
    </w:p>
    <w:p>
      <w:pPr>
        <w:numPr>
          <w:ilvl w:val="0"/>
          <w:numId w:val="0"/>
        </w:numPr>
        <w:snapToGrid w:val="0"/>
        <w:spacing w:line="360" w:lineRule="auto"/>
        <w:jc w:val="center"/>
        <w:outlineLvl w:val="0"/>
        <w:rPr>
          <w:rFonts w:hint="eastAsia" w:ascii="黑体" w:hAnsi="黑体" w:eastAsia="黑体" w:cs="黑体"/>
          <w:b w:val="0"/>
          <w:bCs w:val="0"/>
          <w:kern w:val="0"/>
          <w:sz w:val="32"/>
          <w:szCs w:val="32"/>
          <w:lang w:val="en-US" w:eastAsia="zh-CN"/>
        </w:rPr>
      </w:pPr>
      <w:bookmarkStart w:id="492" w:name="_Toc22514"/>
      <w:r>
        <w:rPr>
          <w:rFonts w:hint="eastAsia" w:ascii="黑体" w:hAnsi="黑体" w:eastAsia="黑体" w:cs="黑体"/>
          <w:b w:val="0"/>
          <w:bCs w:val="0"/>
          <w:kern w:val="0"/>
          <w:sz w:val="32"/>
          <w:szCs w:val="32"/>
          <w:lang w:val="en-US" w:eastAsia="zh-CN"/>
        </w:rPr>
        <w:t>5.</w:t>
      </w:r>
      <w:r>
        <w:rPr>
          <w:rFonts w:hint="eastAsia" w:ascii="黑体" w:hAnsi="黑体" w:eastAsia="黑体" w:cs="黑体"/>
          <w:b w:val="0"/>
          <w:bCs w:val="0"/>
          <w:kern w:val="0"/>
          <w:sz w:val="32"/>
          <w:szCs w:val="32"/>
          <w:lang w:val="zh-CN" w:eastAsia="zh-CN"/>
        </w:rPr>
        <w:t>财务状况</w:t>
      </w:r>
      <w:r>
        <w:rPr>
          <w:rFonts w:hint="eastAsia" w:ascii="黑体" w:hAnsi="黑体" w:eastAsia="黑体" w:cs="黑体"/>
          <w:b w:val="0"/>
          <w:bCs w:val="0"/>
          <w:kern w:val="0"/>
          <w:sz w:val="32"/>
          <w:szCs w:val="32"/>
          <w:lang w:val="en-US" w:eastAsia="zh-CN"/>
        </w:rPr>
        <w:t>良好</w:t>
      </w:r>
      <w:bookmarkEnd w:id="492"/>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提供2020或2021年任意一年度的完整有效的财务审计报告，或</w:t>
      </w:r>
      <w:r>
        <w:rPr>
          <w:rFonts w:hint="eastAsia" w:ascii="仿宋" w:hAnsi="仿宋" w:eastAsia="仿宋" w:cs="仿宋"/>
          <w:sz w:val="24"/>
          <w:szCs w:val="24"/>
          <w:lang w:val="en-US" w:eastAsia="zh-CN"/>
        </w:rPr>
        <w:t>投标</w:t>
      </w:r>
      <w:r>
        <w:rPr>
          <w:rFonts w:hint="eastAsia" w:ascii="仿宋" w:hAnsi="仿宋" w:eastAsia="仿宋" w:cs="仿宋"/>
          <w:sz w:val="24"/>
          <w:szCs w:val="24"/>
        </w:rPr>
        <w:t>截止时间前三个月内其基本存款账户开户银行出具的资信证明，或政府采购信用担保机构出具的投标担保函；其他组织和自然人提供银行出具的资信证明</w:t>
      </w:r>
      <w:r>
        <w:rPr>
          <w:rFonts w:hint="eastAsia" w:ascii="仿宋" w:hAnsi="仿宋" w:eastAsia="仿宋" w:cs="仿宋"/>
          <w:sz w:val="24"/>
          <w:szCs w:val="24"/>
          <w:lang w:eastAsia="zh-CN"/>
        </w:rPr>
        <w:t>；</w:t>
      </w:r>
    </w:p>
    <w:p>
      <w:pPr>
        <w:snapToGrid w:val="0"/>
        <w:spacing w:line="360" w:lineRule="auto"/>
        <w:ind w:firstLine="211" w:firstLineChars="100"/>
        <w:rPr>
          <w:rFonts w:ascii="楷体" w:hAnsi="楷体" w:eastAsia="楷体" w:cs="楷体"/>
          <w:b/>
          <w:bCs/>
          <w:szCs w:val="21"/>
        </w:rPr>
      </w:pPr>
    </w:p>
    <w:p>
      <w:pPr>
        <w:snapToGrid w:val="0"/>
        <w:rPr>
          <w:rFonts w:ascii="楷体" w:hAnsi="楷体" w:eastAsia="楷体" w:cs="楷体"/>
        </w:rPr>
      </w:pPr>
    </w:p>
    <w:p>
      <w:pPr>
        <w:pStyle w:val="28"/>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numPr>
          <w:ilvl w:val="0"/>
          <w:numId w:val="0"/>
        </w:numPr>
        <w:snapToGrid w:val="0"/>
        <w:spacing w:line="360" w:lineRule="auto"/>
        <w:jc w:val="center"/>
        <w:rPr>
          <w:rFonts w:hint="eastAsia" w:ascii="黑体" w:hAnsi="黑体" w:eastAsia="黑体" w:cs="黑体"/>
          <w:b w:val="0"/>
          <w:bCs w:val="0"/>
          <w:kern w:val="0"/>
          <w:sz w:val="32"/>
          <w:szCs w:val="32"/>
          <w:lang w:val="en-US" w:eastAsia="zh-CN"/>
        </w:rPr>
      </w:pPr>
    </w:p>
    <w:p>
      <w:pPr>
        <w:numPr>
          <w:ilvl w:val="0"/>
          <w:numId w:val="0"/>
        </w:numPr>
        <w:snapToGrid w:val="0"/>
        <w:spacing w:line="360" w:lineRule="auto"/>
        <w:jc w:val="both"/>
        <w:outlineLvl w:val="0"/>
        <w:rPr>
          <w:rFonts w:hint="eastAsia" w:ascii="黑体" w:hAnsi="黑体" w:eastAsia="黑体" w:cs="黑体"/>
          <w:b w:val="0"/>
          <w:bCs w:val="0"/>
          <w:kern w:val="0"/>
          <w:sz w:val="32"/>
          <w:szCs w:val="32"/>
          <w:lang w:val="en-US" w:eastAsia="zh-CN"/>
        </w:rPr>
      </w:pPr>
      <w:bookmarkStart w:id="493" w:name="_Toc9018"/>
    </w:p>
    <w:p>
      <w:pPr>
        <w:numPr>
          <w:ilvl w:val="0"/>
          <w:numId w:val="0"/>
        </w:numPr>
        <w:snapToGrid w:val="0"/>
        <w:spacing w:line="360" w:lineRule="auto"/>
        <w:jc w:val="center"/>
        <w:outlineLvl w:val="0"/>
        <w:rPr>
          <w:rFonts w:hint="eastAsia" w:ascii="黑体" w:hAnsi="黑体" w:eastAsia="黑体" w:cs="黑体"/>
          <w:b w:val="0"/>
          <w:bCs w:val="0"/>
          <w:kern w:val="0"/>
          <w:sz w:val="32"/>
          <w:szCs w:val="32"/>
          <w:lang w:val="zh-CN"/>
        </w:rPr>
      </w:pPr>
      <w:r>
        <w:rPr>
          <w:rFonts w:hint="eastAsia" w:ascii="黑体" w:hAnsi="黑体" w:eastAsia="黑体" w:cs="黑体"/>
          <w:b w:val="0"/>
          <w:bCs w:val="0"/>
          <w:kern w:val="0"/>
          <w:sz w:val="32"/>
          <w:szCs w:val="32"/>
          <w:lang w:val="en-US" w:eastAsia="zh-CN"/>
        </w:rPr>
        <w:t>6.</w:t>
      </w:r>
      <w:r>
        <w:rPr>
          <w:rFonts w:hint="eastAsia" w:ascii="黑体" w:hAnsi="黑体" w:eastAsia="黑体" w:cs="黑体"/>
          <w:b w:val="0"/>
          <w:bCs w:val="0"/>
          <w:kern w:val="0"/>
          <w:sz w:val="32"/>
          <w:szCs w:val="32"/>
          <w:lang w:val="zh-CN"/>
        </w:rPr>
        <w:t>税收缴纳证明</w:t>
      </w:r>
      <w:bookmarkEnd w:id="493"/>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提供投标文件递交截止时间前</w:t>
      </w:r>
      <w:r>
        <w:rPr>
          <w:rFonts w:hint="eastAsia" w:ascii="仿宋" w:hAnsi="仿宋" w:eastAsia="仿宋" w:cs="仿宋"/>
          <w:sz w:val="24"/>
          <w:szCs w:val="24"/>
          <w:lang w:val="en-US" w:eastAsia="zh-CN"/>
        </w:rPr>
        <w:t>6</w:t>
      </w:r>
      <w:r>
        <w:rPr>
          <w:rFonts w:hint="eastAsia" w:ascii="仿宋" w:hAnsi="仿宋" w:eastAsia="仿宋" w:cs="仿宋"/>
          <w:sz w:val="24"/>
          <w:szCs w:val="24"/>
        </w:rPr>
        <w:t>个月内任意1个月的缴费凭据；（依法免税的投标人应提供相关文件证明）；</w:t>
      </w:r>
    </w:p>
    <w:p>
      <w:pPr>
        <w:snapToGrid w:val="0"/>
        <w:rPr>
          <w:rFonts w:ascii="楷体" w:hAnsi="楷体" w:eastAsia="楷体" w:cs="楷体"/>
        </w:rPr>
      </w:pPr>
    </w:p>
    <w:p>
      <w:pPr>
        <w:pStyle w:val="28"/>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tabs>
          <w:tab w:val="left" w:pos="5285"/>
        </w:tabs>
        <w:jc w:val="center"/>
        <w:rPr>
          <w:rFonts w:ascii="楷体" w:hAnsi="楷体" w:eastAsia="楷体" w:cs="楷体"/>
        </w:rPr>
      </w:pPr>
    </w:p>
    <w:p>
      <w:pPr>
        <w:numPr>
          <w:ilvl w:val="0"/>
          <w:numId w:val="0"/>
        </w:numPr>
        <w:snapToGrid w:val="0"/>
        <w:spacing w:line="360" w:lineRule="auto"/>
        <w:ind w:left="420" w:leftChars="0"/>
        <w:jc w:val="center"/>
        <w:rPr>
          <w:rFonts w:hint="eastAsia" w:ascii="黑体" w:hAnsi="黑体" w:eastAsia="黑体" w:cs="黑体"/>
          <w:sz w:val="32"/>
          <w:szCs w:val="32"/>
          <w:lang w:val="en-US" w:eastAsia="zh-CN"/>
        </w:rPr>
      </w:pPr>
    </w:p>
    <w:p>
      <w:pPr>
        <w:numPr>
          <w:ilvl w:val="0"/>
          <w:numId w:val="0"/>
        </w:numPr>
        <w:snapToGrid w:val="0"/>
        <w:spacing w:line="360" w:lineRule="auto"/>
        <w:ind w:left="420" w:leftChars="0"/>
        <w:jc w:val="center"/>
        <w:rPr>
          <w:rFonts w:hint="eastAsia" w:ascii="黑体" w:hAnsi="黑体" w:eastAsia="黑体" w:cs="黑体"/>
          <w:sz w:val="32"/>
          <w:szCs w:val="32"/>
          <w:lang w:val="en-US" w:eastAsia="zh-CN"/>
        </w:rPr>
      </w:pPr>
    </w:p>
    <w:p>
      <w:pPr>
        <w:numPr>
          <w:ilvl w:val="0"/>
          <w:numId w:val="0"/>
        </w:numPr>
        <w:snapToGrid w:val="0"/>
        <w:spacing w:line="360" w:lineRule="auto"/>
        <w:jc w:val="center"/>
        <w:outlineLvl w:val="0"/>
        <w:rPr>
          <w:rFonts w:hint="eastAsia" w:ascii="黑体" w:hAnsi="黑体" w:eastAsia="黑体" w:cs="黑体"/>
          <w:b w:val="0"/>
          <w:bCs w:val="0"/>
          <w:kern w:val="0"/>
          <w:sz w:val="32"/>
          <w:szCs w:val="32"/>
          <w:lang w:val="zh-CN"/>
        </w:rPr>
      </w:pPr>
      <w:bookmarkStart w:id="494" w:name="_Toc21637"/>
      <w:r>
        <w:rPr>
          <w:rFonts w:hint="eastAsia" w:ascii="黑体" w:hAnsi="黑体" w:eastAsia="黑体" w:cs="黑体"/>
          <w:b w:val="0"/>
          <w:bCs w:val="0"/>
          <w:kern w:val="0"/>
          <w:sz w:val="32"/>
          <w:szCs w:val="32"/>
          <w:lang w:val="en-US" w:eastAsia="zh-CN"/>
        </w:rPr>
        <w:t>7.</w:t>
      </w:r>
      <w:r>
        <w:rPr>
          <w:rFonts w:hint="eastAsia" w:ascii="黑体" w:hAnsi="黑体" w:eastAsia="黑体" w:cs="黑体"/>
          <w:b w:val="0"/>
          <w:bCs w:val="0"/>
          <w:kern w:val="0"/>
          <w:sz w:val="32"/>
          <w:szCs w:val="32"/>
          <w:lang w:val="zh-CN"/>
        </w:rPr>
        <w:t>社会保障资金缴纳证明</w:t>
      </w:r>
      <w:bookmarkEnd w:id="494"/>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提供投标文件递交截止时间前</w:t>
      </w:r>
      <w:r>
        <w:rPr>
          <w:rFonts w:hint="eastAsia" w:ascii="仿宋" w:hAnsi="仿宋" w:eastAsia="仿宋" w:cs="仿宋"/>
          <w:sz w:val="24"/>
          <w:szCs w:val="24"/>
          <w:lang w:val="en-US" w:eastAsia="zh-CN"/>
        </w:rPr>
        <w:t>6</w:t>
      </w:r>
      <w:r>
        <w:rPr>
          <w:rFonts w:hint="eastAsia" w:ascii="仿宋" w:hAnsi="仿宋" w:eastAsia="仿宋" w:cs="仿宋"/>
          <w:sz w:val="24"/>
          <w:szCs w:val="24"/>
        </w:rPr>
        <w:t>个月内任意1个月的社会保障资金缴存单据或社保机构开具的社会保险参保缴费情况证明，依法不需要缴纳社会保障资金的单位应提供相关证明材料；</w:t>
      </w:r>
    </w:p>
    <w:p>
      <w:pPr>
        <w:rPr>
          <w:rFonts w:ascii="楷体" w:hAnsi="楷体" w:eastAsia="楷体" w:cs="楷体"/>
          <w:sz w:val="24"/>
          <w:szCs w:val="24"/>
        </w:rPr>
      </w:pPr>
    </w:p>
    <w:p>
      <w:pPr>
        <w:pStyle w:val="22"/>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说明：新成立未发生缴纳税收事项的供应商，应按附件1提供缴纳社保资金的书面承诺；</w:t>
      </w:r>
    </w:p>
    <w:p>
      <w:pPr>
        <w:pStyle w:val="22"/>
        <w:adjustRightInd w:val="0"/>
        <w:snapToGrid w:val="0"/>
        <w:spacing w:line="360" w:lineRule="auto"/>
        <w:rPr>
          <w:rFonts w:hint="eastAsia" w:hAnsi="宋体"/>
        </w:rPr>
      </w:pPr>
    </w:p>
    <w:p>
      <w:pPr>
        <w:pStyle w:val="22"/>
        <w:adjustRightInd w:val="0"/>
        <w:snapToGrid w:val="0"/>
        <w:spacing w:line="360" w:lineRule="auto"/>
        <w:rPr>
          <w:rFonts w:hint="eastAsia" w:hAnsi="宋体"/>
        </w:rPr>
      </w:pPr>
    </w:p>
    <w:p>
      <w:pPr>
        <w:pStyle w:val="22"/>
        <w:adjustRightInd w:val="0"/>
        <w:snapToGrid w:val="0"/>
        <w:spacing w:line="360" w:lineRule="auto"/>
        <w:rPr>
          <w:rFonts w:hint="eastAsia" w:hAnsi="宋体"/>
        </w:rPr>
      </w:pPr>
    </w:p>
    <w:p>
      <w:pPr>
        <w:pStyle w:val="22"/>
        <w:adjustRightInd w:val="0"/>
        <w:snapToGrid w:val="0"/>
        <w:spacing w:line="360" w:lineRule="auto"/>
        <w:rPr>
          <w:rFonts w:hint="eastAsia" w:hAnsi="宋体"/>
        </w:rPr>
      </w:pPr>
    </w:p>
    <w:p>
      <w:pPr>
        <w:pStyle w:val="22"/>
        <w:adjustRightInd w:val="0"/>
        <w:snapToGrid w:val="0"/>
        <w:spacing w:line="360" w:lineRule="auto"/>
        <w:rPr>
          <w:rFonts w:hint="eastAsia" w:hAnsi="宋体"/>
        </w:rPr>
      </w:pPr>
    </w:p>
    <w:p>
      <w:pPr>
        <w:pStyle w:val="22"/>
        <w:adjustRightInd w:val="0"/>
        <w:snapToGrid w:val="0"/>
        <w:spacing w:line="360" w:lineRule="auto"/>
        <w:rPr>
          <w:rFonts w:hint="eastAsia" w:hAnsi="宋体"/>
        </w:rPr>
      </w:pPr>
    </w:p>
    <w:p>
      <w:pPr>
        <w:pStyle w:val="22"/>
        <w:adjustRightInd w:val="0"/>
        <w:snapToGrid w:val="0"/>
        <w:jc w:val="left"/>
        <w:rPr>
          <w:rFonts w:hint="eastAsia"/>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13"/>
        <w:ind w:firstLine="0"/>
        <w:rPr>
          <w:rFonts w:hint="eastAsia" w:ascii="宋体" w:hAnsi="宋体"/>
          <w:b/>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p>
    <w:p>
      <w:pPr>
        <w:pStyle w:val="22"/>
        <w:adjustRightInd w:val="0"/>
        <w:snapToGrid w:val="0"/>
        <w:jc w:val="left"/>
        <w:rPr>
          <w:rFonts w:hint="eastAsia" w:ascii="黑体" w:hAnsi="黑体" w:eastAsia="黑体"/>
          <w:sz w:val="28"/>
          <w:szCs w:val="28"/>
        </w:rPr>
      </w:pPr>
      <w:r>
        <w:rPr>
          <w:rFonts w:hint="eastAsia" w:ascii="黑体" w:hAnsi="黑体" w:eastAsia="黑体"/>
          <w:sz w:val="28"/>
          <w:szCs w:val="28"/>
        </w:rPr>
        <w:t>附件1</w:t>
      </w:r>
    </w:p>
    <w:p>
      <w:pPr>
        <w:spacing w:before="240" w:beforeLines="100" w:line="560" w:lineRule="exact"/>
        <w:jc w:val="center"/>
        <w:rPr>
          <w:rFonts w:ascii="黑体" w:hAnsi="黑体" w:cs="仿宋_GB2312"/>
          <w:b/>
          <w:sz w:val="36"/>
          <w:szCs w:val="36"/>
        </w:rPr>
      </w:pPr>
      <w:r>
        <w:rPr>
          <w:rFonts w:hint="eastAsia" w:ascii="黑体" w:hAnsi="黑体" w:cs="仿宋_GB2312"/>
          <w:b/>
          <w:sz w:val="36"/>
          <w:szCs w:val="36"/>
        </w:rPr>
        <w:t>依法缴纳税收承诺书</w:t>
      </w:r>
    </w:p>
    <w:p>
      <w:pPr>
        <w:pStyle w:val="13"/>
        <w:spacing w:before="720" w:beforeLines="300" w:after="120" w:afterLines="50" w:line="360" w:lineRule="auto"/>
        <w:ind w:firstLine="0"/>
        <w:rPr>
          <w:rFonts w:hint="eastAsia" w:ascii="仿宋" w:hAnsi="仿宋" w:eastAsia="仿宋" w:cs="仿宋"/>
          <w:szCs w:val="21"/>
        </w:rPr>
      </w:pPr>
      <w:r>
        <w:rPr>
          <w:rFonts w:hint="eastAsia" w:ascii="仿宋" w:hAnsi="仿宋" w:eastAsia="仿宋" w:cs="仿宋"/>
          <w:szCs w:val="21"/>
          <w:lang w:val="en-US" w:eastAsia="zh-CN"/>
        </w:rPr>
        <w:t>同正</w:t>
      </w:r>
      <w:r>
        <w:rPr>
          <w:rFonts w:hint="eastAsia" w:ascii="仿宋" w:hAnsi="仿宋" w:eastAsia="仿宋" w:cs="仿宋"/>
          <w:szCs w:val="21"/>
        </w:rPr>
        <w:t xml:space="preserve">项目管理有限公司： </w:t>
      </w:r>
    </w:p>
    <w:p>
      <w:pPr>
        <w:pStyle w:val="13"/>
        <w:spacing w:line="360" w:lineRule="auto"/>
        <w:rPr>
          <w:rFonts w:hint="eastAsia" w:ascii="仿宋" w:hAnsi="仿宋" w:eastAsia="仿宋" w:cs="仿宋"/>
          <w:szCs w:val="21"/>
        </w:rPr>
      </w:pPr>
      <w:r>
        <w:rPr>
          <w:rFonts w:hint="eastAsia" w:ascii="仿宋" w:hAnsi="仿宋" w:eastAsia="仿宋" w:cs="仿宋"/>
          <w:szCs w:val="21"/>
        </w:rPr>
        <w:t>我方参与</w:t>
      </w:r>
      <w:r>
        <w:rPr>
          <w:rFonts w:hint="eastAsia" w:ascii="仿宋" w:hAnsi="仿宋" w:eastAsia="仿宋" w:cs="仿宋"/>
          <w:szCs w:val="21"/>
          <w:u w:val="single"/>
        </w:rPr>
        <w:t xml:space="preserve">                  </w:t>
      </w:r>
      <w:r>
        <w:rPr>
          <w:rFonts w:hint="eastAsia" w:ascii="仿宋" w:hAnsi="仿宋" w:eastAsia="仿宋" w:cs="仿宋"/>
          <w:szCs w:val="21"/>
        </w:rPr>
        <w:t>（项目名称）（项目编号：</w:t>
      </w:r>
      <w:r>
        <w:rPr>
          <w:rFonts w:hint="eastAsia" w:ascii="仿宋" w:hAnsi="仿宋" w:eastAsia="仿宋" w:cs="仿宋"/>
          <w:szCs w:val="21"/>
          <w:u w:val="single"/>
        </w:rPr>
        <w:t xml:space="preserve">           </w:t>
      </w:r>
      <w:r>
        <w:rPr>
          <w:rFonts w:hint="eastAsia" w:ascii="仿宋" w:hAnsi="仿宋" w:eastAsia="仿宋" w:cs="仿宋"/>
          <w:szCs w:val="21"/>
        </w:rPr>
        <w:t>）项目的政府采购活动，现承诺如下：</w:t>
      </w:r>
    </w:p>
    <w:p>
      <w:pPr>
        <w:pStyle w:val="13"/>
        <w:spacing w:line="360" w:lineRule="auto"/>
        <w:ind w:firstLineChars="200"/>
        <w:rPr>
          <w:rFonts w:hint="eastAsia" w:ascii="仿宋" w:hAnsi="仿宋" w:eastAsia="仿宋" w:cs="仿宋"/>
          <w:szCs w:val="21"/>
        </w:rPr>
      </w:pPr>
      <w:r>
        <w:rPr>
          <w:rFonts w:hint="eastAsia" w:ascii="仿宋" w:hAnsi="仿宋" w:eastAsia="仿宋" w:cs="仿宋"/>
          <w:szCs w:val="21"/>
        </w:rPr>
        <w:t>我方承诺将依法缴纳税收，并符合《中华人民共和国政府采购法》及其实施条例和采购文件资格要求的规定。</w:t>
      </w:r>
    </w:p>
    <w:p>
      <w:pPr>
        <w:pStyle w:val="13"/>
        <w:spacing w:line="360" w:lineRule="auto"/>
        <w:rPr>
          <w:rFonts w:hint="eastAsia" w:ascii="仿宋" w:hAnsi="仿宋" w:eastAsia="仿宋" w:cs="仿宋"/>
          <w:szCs w:val="21"/>
        </w:rPr>
      </w:pPr>
      <w:r>
        <w:rPr>
          <w:rFonts w:hint="eastAsia" w:ascii="仿宋" w:hAnsi="仿宋" w:eastAsia="仿宋" w:cs="仿宋"/>
          <w:szCs w:val="21"/>
        </w:rPr>
        <w:t>若我方以上承诺不实，自愿承担提供虚假材料谋取成交的法律责任。</w:t>
      </w:r>
    </w:p>
    <w:p>
      <w:pPr>
        <w:pStyle w:val="13"/>
        <w:spacing w:line="360" w:lineRule="auto"/>
        <w:ind w:firstLine="573"/>
        <w:rPr>
          <w:rFonts w:hint="eastAsia" w:ascii="仿宋" w:hAnsi="仿宋" w:eastAsia="仿宋" w:cs="仿宋"/>
          <w:szCs w:val="21"/>
        </w:rPr>
      </w:pPr>
    </w:p>
    <w:p>
      <w:pPr>
        <w:pStyle w:val="13"/>
        <w:spacing w:line="360" w:lineRule="auto"/>
        <w:ind w:firstLine="573"/>
        <w:rPr>
          <w:rFonts w:hint="eastAsia" w:ascii="仿宋" w:hAnsi="仿宋" w:eastAsia="仿宋" w:cs="仿宋"/>
          <w:szCs w:val="21"/>
        </w:rPr>
      </w:pPr>
    </w:p>
    <w:p>
      <w:pPr>
        <w:spacing w:line="360" w:lineRule="auto"/>
        <w:ind w:firstLine="2730" w:firstLineChars="1300"/>
        <w:jc w:val="right"/>
        <w:rPr>
          <w:rFonts w:hint="eastAsia" w:ascii="仿宋" w:hAnsi="仿宋" w:eastAsia="仿宋" w:cs="仿宋"/>
          <w:szCs w:val="21"/>
          <w:highlight w:val="none"/>
        </w:rPr>
      </w:pPr>
      <w:r>
        <w:rPr>
          <w:rFonts w:hint="eastAsia" w:ascii="仿宋" w:hAnsi="仿宋" w:eastAsia="仿宋" w:cs="仿宋"/>
          <w:szCs w:val="21"/>
          <w:highlight w:val="none"/>
          <w:lang w:val="zh-CN"/>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（公章）</w:t>
      </w:r>
    </w:p>
    <w:p>
      <w:pPr>
        <w:spacing w:line="360" w:lineRule="auto"/>
        <w:ind w:firstLine="2940" w:firstLineChars="1400"/>
        <w:jc w:val="right"/>
        <w:rPr>
          <w:rFonts w:hint="eastAsia" w:ascii="仿宋" w:hAnsi="仿宋" w:eastAsia="仿宋" w:cs="仿宋"/>
          <w:szCs w:val="21"/>
          <w:highlight w:val="none"/>
          <w:lang w:val="zh-CN"/>
        </w:rPr>
      </w:pPr>
      <w:r>
        <w:rPr>
          <w:rFonts w:hint="eastAsia" w:ascii="仿宋" w:hAnsi="仿宋" w:eastAsia="仿宋" w:cs="仿宋"/>
          <w:szCs w:val="21"/>
          <w:highlight w:val="none"/>
          <w:lang w:val="zh-CN"/>
        </w:rPr>
        <w:t>法定代表人或其授权代表：</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（签字）</w:t>
      </w:r>
    </w:p>
    <w:p>
      <w:pPr>
        <w:spacing w:line="420" w:lineRule="exact"/>
        <w:ind w:firstLine="3360" w:firstLineChars="1600"/>
        <w:jc w:val="center"/>
        <w:rPr>
          <w:rFonts w:hint="eastAsia" w:ascii="仿宋" w:hAnsi="仿宋" w:eastAsia="仿宋" w:cs="仿宋"/>
          <w:szCs w:val="21"/>
          <w:highlight w:val="none"/>
          <w:lang w:val="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val="zh-CN"/>
        </w:rPr>
        <w:t>日期：</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年</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月</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日</w:t>
      </w:r>
    </w:p>
    <w:p>
      <w:pPr>
        <w:pStyle w:val="13"/>
        <w:spacing w:line="360" w:lineRule="auto"/>
        <w:ind w:firstLine="573"/>
        <w:jc w:val="right"/>
        <w:rPr>
          <w:rFonts w:hint="eastAsia" w:ascii="仿宋" w:hAnsi="仿宋" w:eastAsia="仿宋" w:cs="仿宋"/>
          <w:szCs w:val="21"/>
        </w:rPr>
      </w:pPr>
    </w:p>
    <w:p>
      <w:pPr>
        <w:pStyle w:val="13"/>
        <w:spacing w:line="360" w:lineRule="auto"/>
        <w:ind w:firstLine="573"/>
        <w:jc w:val="right"/>
        <w:rPr>
          <w:rFonts w:hint="eastAsia" w:ascii="仿宋" w:hAnsi="仿宋" w:eastAsia="仿宋" w:cs="仿宋"/>
          <w:szCs w:val="21"/>
        </w:rPr>
      </w:pPr>
    </w:p>
    <w:p>
      <w:pPr>
        <w:pStyle w:val="13"/>
        <w:spacing w:line="360" w:lineRule="auto"/>
        <w:ind w:firstLine="573"/>
        <w:rPr>
          <w:rFonts w:hint="eastAsia" w:ascii="宋体" w:hAnsi="宋体"/>
          <w:szCs w:val="21"/>
        </w:rPr>
      </w:pPr>
    </w:p>
    <w:p>
      <w:pPr>
        <w:snapToGrid w:val="0"/>
        <w:spacing w:line="360" w:lineRule="auto"/>
        <w:ind w:firstLine="210" w:firstLineChars="100"/>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rPr>
          <w:rFonts w:ascii="楷体" w:hAnsi="楷体" w:eastAsia="楷体" w:cs="楷体"/>
        </w:rPr>
      </w:pPr>
    </w:p>
    <w:p>
      <w:pPr>
        <w:pStyle w:val="56"/>
        <w:ind w:left="0" w:leftChars="0" w:firstLine="0" w:firstLineChars="0"/>
        <w:rPr>
          <w:rFonts w:ascii="楷体" w:hAnsi="楷体" w:eastAsia="楷体" w:cs="楷体"/>
        </w:rPr>
      </w:pPr>
    </w:p>
    <w:p>
      <w:pPr>
        <w:pStyle w:val="13"/>
        <w:ind w:firstLine="0"/>
        <w:jc w:val="center"/>
        <w:outlineLvl w:val="0"/>
        <w:rPr>
          <w:rFonts w:hint="eastAsia" w:ascii="黑体" w:hAnsi="黑体" w:eastAsia="黑体" w:cs="黑体"/>
          <w:sz w:val="36"/>
          <w:szCs w:val="36"/>
        </w:rPr>
      </w:pPr>
      <w:bookmarkStart w:id="495" w:name="_Toc4524"/>
      <w:bookmarkStart w:id="496" w:name="_Toc28652"/>
    </w:p>
    <w:p>
      <w:pPr>
        <w:pStyle w:val="13"/>
        <w:ind w:firstLine="0"/>
        <w:jc w:val="center"/>
        <w:outlineLvl w:val="0"/>
        <w:rPr>
          <w:rFonts w:hint="eastAsia" w:ascii="黑体" w:hAnsi="黑体" w:eastAsia="黑体" w:cs="黑体"/>
          <w:sz w:val="32"/>
          <w:szCs w:val="32"/>
        </w:rPr>
      </w:pPr>
    </w:p>
    <w:p>
      <w:pPr>
        <w:pStyle w:val="13"/>
        <w:ind w:firstLine="0"/>
        <w:jc w:val="center"/>
        <w:outlineLvl w:val="0"/>
        <w:rPr>
          <w:rFonts w:hint="eastAsia" w:ascii="黑体" w:hAnsi="黑体" w:eastAsia="黑体" w:cs="黑体"/>
          <w:sz w:val="32"/>
          <w:szCs w:val="32"/>
          <w:lang w:eastAsia="zh-CN"/>
        </w:rPr>
      </w:pPr>
      <w:r>
        <w:rPr>
          <w:rFonts w:hint="eastAsia" w:ascii="黑体" w:hAnsi="黑体" w:eastAsia="黑体" w:cs="黑体"/>
          <w:sz w:val="32"/>
          <w:szCs w:val="32"/>
        </w:rPr>
        <w:t>8.</w:t>
      </w:r>
      <w:bookmarkEnd w:id="495"/>
      <w:r>
        <w:rPr>
          <w:rFonts w:hint="eastAsia" w:ascii="黑体" w:hAnsi="黑体" w:eastAsia="黑体" w:cs="黑体"/>
          <w:kern w:val="0"/>
          <w:sz w:val="32"/>
          <w:szCs w:val="32"/>
          <w:lang w:val="zh-CN"/>
        </w:rPr>
        <w:t>提供具有履行本合同所必需的设备和专业技术能力的</w:t>
      </w:r>
      <w:bookmarkEnd w:id="496"/>
      <w:r>
        <w:rPr>
          <w:rFonts w:hint="eastAsia" w:ascii="黑体" w:hAnsi="黑体" w:eastAsia="黑体" w:cs="黑体"/>
          <w:kern w:val="0"/>
          <w:sz w:val="32"/>
          <w:szCs w:val="32"/>
          <w:lang w:val="en-US" w:eastAsia="zh-CN"/>
        </w:rPr>
        <w:t>证明</w:t>
      </w:r>
      <w:r>
        <w:rPr>
          <w:rFonts w:hint="eastAsia" w:ascii="黑体" w:hAnsi="黑体" w:eastAsia="黑体" w:cs="黑体"/>
          <w:kern w:val="0"/>
          <w:sz w:val="32"/>
          <w:szCs w:val="32"/>
          <w:lang w:val="zh-CN"/>
        </w:rPr>
        <w:t>材料</w:t>
      </w:r>
    </w:p>
    <w:p>
      <w:pPr>
        <w:rPr>
          <w:rFonts w:hint="eastAsia"/>
        </w:rPr>
      </w:pPr>
    </w:p>
    <w:p>
      <w:pPr>
        <w:pStyle w:val="13"/>
        <w:spacing w:after="240" w:afterLines="100"/>
        <w:ind w:firstLine="0"/>
        <w:jc w:val="center"/>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（一）完成本项目必须的设备清单</w:t>
      </w:r>
    </w:p>
    <w:p>
      <w:pPr>
        <w:pStyle w:val="13"/>
        <w:spacing w:after="120" w:afterLines="50"/>
        <w:ind w:firstLine="0"/>
        <w:jc w:val="left"/>
        <w:rPr>
          <w:rFonts w:hint="eastAsia" w:ascii="仿宋" w:hAnsi="仿宋" w:eastAsia="仿宋" w:cs="仿宋"/>
          <w:szCs w:val="21"/>
        </w:rPr>
      </w:pPr>
      <w:r>
        <w:rPr>
          <w:rFonts w:hint="eastAsia" w:ascii="仿宋" w:hAnsi="仿宋" w:eastAsia="仿宋" w:cs="仿宋"/>
          <w:szCs w:val="21"/>
        </w:rPr>
        <w:t>投标人：                                                 项目编号：</w:t>
      </w: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序号</w:t>
            </w:r>
          </w:p>
        </w:tc>
        <w:tc>
          <w:tcPr>
            <w:tcW w:w="2241"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设备名称</w:t>
            </w:r>
          </w:p>
        </w:tc>
        <w:tc>
          <w:tcPr>
            <w:tcW w:w="1445"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计量单位</w:t>
            </w:r>
          </w:p>
        </w:tc>
        <w:tc>
          <w:tcPr>
            <w:tcW w:w="992"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数量</w:t>
            </w:r>
          </w:p>
        </w:tc>
        <w:tc>
          <w:tcPr>
            <w:tcW w:w="2410"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生产企业</w:t>
            </w:r>
          </w:p>
        </w:tc>
        <w:tc>
          <w:tcPr>
            <w:tcW w:w="1270"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b/>
                <w:szCs w:val="21"/>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pPr>
              <w:pStyle w:val="13"/>
              <w:ind w:firstLine="0"/>
              <w:jc w:val="left"/>
              <w:rPr>
                <w:rFonts w:hint="eastAsia" w:ascii="仿宋" w:hAnsi="仿宋" w:eastAsia="仿宋" w:cs="仿宋"/>
                <w:b/>
                <w:sz w:val="28"/>
                <w:szCs w:val="28"/>
              </w:rPr>
            </w:pPr>
          </w:p>
        </w:tc>
        <w:tc>
          <w:tcPr>
            <w:tcW w:w="2241" w:type="dxa"/>
            <w:noWrap w:val="0"/>
            <w:vAlign w:val="top"/>
          </w:tcPr>
          <w:p>
            <w:pPr>
              <w:pStyle w:val="13"/>
              <w:ind w:firstLine="0"/>
              <w:jc w:val="left"/>
              <w:rPr>
                <w:rFonts w:hint="eastAsia" w:ascii="仿宋" w:hAnsi="仿宋" w:eastAsia="仿宋" w:cs="仿宋"/>
                <w:b/>
                <w:sz w:val="28"/>
                <w:szCs w:val="28"/>
              </w:rPr>
            </w:pPr>
          </w:p>
        </w:tc>
        <w:tc>
          <w:tcPr>
            <w:tcW w:w="1445" w:type="dxa"/>
            <w:noWrap w:val="0"/>
            <w:vAlign w:val="top"/>
          </w:tcPr>
          <w:p>
            <w:pPr>
              <w:pStyle w:val="13"/>
              <w:ind w:firstLine="0"/>
              <w:jc w:val="left"/>
              <w:rPr>
                <w:rFonts w:hint="eastAsia" w:ascii="仿宋" w:hAnsi="仿宋" w:eastAsia="仿宋" w:cs="仿宋"/>
                <w:b/>
                <w:sz w:val="28"/>
                <w:szCs w:val="28"/>
              </w:rPr>
            </w:pPr>
          </w:p>
        </w:tc>
        <w:tc>
          <w:tcPr>
            <w:tcW w:w="992" w:type="dxa"/>
            <w:noWrap w:val="0"/>
            <w:vAlign w:val="top"/>
          </w:tcPr>
          <w:p>
            <w:pPr>
              <w:pStyle w:val="13"/>
              <w:ind w:firstLine="0"/>
              <w:jc w:val="left"/>
              <w:rPr>
                <w:rFonts w:hint="eastAsia" w:ascii="仿宋" w:hAnsi="仿宋" w:eastAsia="仿宋" w:cs="仿宋"/>
                <w:b/>
                <w:sz w:val="28"/>
                <w:szCs w:val="28"/>
              </w:rPr>
            </w:pPr>
          </w:p>
        </w:tc>
        <w:tc>
          <w:tcPr>
            <w:tcW w:w="2410" w:type="dxa"/>
            <w:noWrap w:val="0"/>
            <w:vAlign w:val="top"/>
          </w:tcPr>
          <w:p>
            <w:pPr>
              <w:pStyle w:val="13"/>
              <w:ind w:firstLine="0"/>
              <w:jc w:val="left"/>
              <w:rPr>
                <w:rFonts w:hint="eastAsia" w:ascii="仿宋" w:hAnsi="仿宋" w:eastAsia="仿宋" w:cs="仿宋"/>
                <w:b/>
                <w:sz w:val="28"/>
                <w:szCs w:val="28"/>
              </w:rPr>
            </w:pPr>
          </w:p>
        </w:tc>
        <w:tc>
          <w:tcPr>
            <w:tcW w:w="1270" w:type="dxa"/>
            <w:noWrap w:val="0"/>
            <w:vAlign w:val="top"/>
          </w:tcPr>
          <w:p>
            <w:pPr>
              <w:pStyle w:val="13"/>
              <w:ind w:firstLine="0"/>
              <w:jc w:val="left"/>
              <w:rPr>
                <w:rFonts w:hint="eastAsia" w:ascii="仿宋" w:hAnsi="仿宋" w:eastAsia="仿宋" w:cs="仿宋"/>
                <w:b/>
                <w:sz w:val="28"/>
                <w:szCs w:val="28"/>
              </w:rPr>
            </w:pPr>
          </w:p>
        </w:tc>
      </w:tr>
    </w:tbl>
    <w:p>
      <w:pPr>
        <w:adjustRightInd w:val="0"/>
        <w:spacing w:line="400" w:lineRule="exact"/>
        <w:ind w:firstLine="105" w:firstLineChars="50"/>
        <w:jc w:val="left"/>
        <w:rPr>
          <w:rFonts w:hint="eastAsia" w:ascii="仿宋" w:hAnsi="仿宋" w:eastAsia="仿宋" w:cs="仿宋"/>
          <w:szCs w:val="21"/>
        </w:rPr>
      </w:pPr>
      <w:r>
        <w:rPr>
          <w:rFonts w:hint="eastAsia" w:ascii="仿宋" w:hAnsi="仿宋" w:eastAsia="仿宋" w:cs="仿宋"/>
          <w:szCs w:val="21"/>
        </w:rPr>
        <w:t>说明：设备可以填写单台设备，也可以填写成套设备。</w:t>
      </w:r>
    </w:p>
    <w:p>
      <w:pPr>
        <w:adjustRightInd w:val="0"/>
        <w:spacing w:before="480" w:beforeLines="200" w:line="360" w:lineRule="auto"/>
        <w:ind w:firstLine="105" w:firstLineChars="50"/>
        <w:jc w:val="left"/>
        <w:rPr>
          <w:rFonts w:hint="eastAsia" w:ascii="仿宋" w:hAnsi="仿宋" w:eastAsia="仿宋" w:cs="仿宋"/>
          <w:szCs w:val="21"/>
        </w:rPr>
      </w:pPr>
    </w:p>
    <w:p>
      <w:pPr>
        <w:spacing w:line="360" w:lineRule="auto"/>
        <w:ind w:firstLine="2730" w:firstLineChars="1300"/>
        <w:jc w:val="right"/>
        <w:rPr>
          <w:rFonts w:hint="eastAsia" w:ascii="仿宋" w:hAnsi="仿宋" w:eastAsia="仿宋" w:cs="仿宋"/>
          <w:szCs w:val="21"/>
          <w:highlight w:val="none"/>
        </w:rPr>
      </w:pPr>
      <w:r>
        <w:rPr>
          <w:rFonts w:hint="eastAsia" w:ascii="仿宋" w:hAnsi="仿宋" w:eastAsia="仿宋" w:cs="仿宋"/>
          <w:szCs w:val="21"/>
          <w:highlight w:val="none"/>
          <w:lang w:val="zh-CN"/>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（公章）</w:t>
      </w:r>
    </w:p>
    <w:p>
      <w:pPr>
        <w:spacing w:line="360" w:lineRule="auto"/>
        <w:ind w:firstLine="2940" w:firstLineChars="1400"/>
        <w:jc w:val="right"/>
        <w:rPr>
          <w:rFonts w:hint="eastAsia" w:ascii="仿宋" w:hAnsi="仿宋" w:eastAsia="仿宋" w:cs="仿宋"/>
          <w:szCs w:val="21"/>
          <w:highlight w:val="none"/>
          <w:lang w:val="zh-CN"/>
        </w:rPr>
      </w:pPr>
      <w:r>
        <w:rPr>
          <w:rFonts w:hint="eastAsia" w:ascii="仿宋" w:hAnsi="仿宋" w:eastAsia="仿宋" w:cs="仿宋"/>
          <w:szCs w:val="21"/>
          <w:highlight w:val="none"/>
          <w:lang w:val="zh-CN"/>
        </w:rPr>
        <w:t>法定代表人或其授权代表：</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（签字）</w:t>
      </w:r>
    </w:p>
    <w:p>
      <w:pPr>
        <w:spacing w:line="420" w:lineRule="exact"/>
        <w:ind w:firstLine="3360" w:firstLineChars="1600"/>
        <w:jc w:val="center"/>
        <w:rPr>
          <w:rFonts w:hint="eastAsia" w:ascii="仿宋" w:hAnsi="仿宋" w:eastAsia="仿宋" w:cs="仿宋"/>
          <w:szCs w:val="21"/>
          <w:highlight w:val="none"/>
          <w:lang w:val="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val="zh-CN"/>
        </w:rPr>
        <w:t>日期：</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年</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月</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日</w:t>
      </w:r>
    </w:p>
    <w:p>
      <w:pPr>
        <w:pStyle w:val="13"/>
        <w:spacing w:after="240" w:afterLines="100"/>
        <w:ind w:firstLine="0"/>
        <w:jc w:val="center"/>
        <w:rPr>
          <w:rFonts w:hint="eastAsia" w:ascii="仿宋" w:hAnsi="仿宋" w:eastAsia="仿宋" w:cs="仿宋"/>
          <w:sz w:val="32"/>
          <w:szCs w:val="32"/>
        </w:rPr>
        <w:sectPr>
          <w:pgSz w:w="11907" w:h="16840"/>
          <w:pgMar w:top="1440" w:right="1474" w:bottom="1440" w:left="1474" w:header="851" w:footer="992" w:gutter="0"/>
          <w:pgNumType w:fmt="numberInDash"/>
          <w:cols w:space="720" w:num="1"/>
          <w:titlePg/>
        </w:sectPr>
      </w:pPr>
    </w:p>
    <w:p>
      <w:pPr>
        <w:pStyle w:val="13"/>
        <w:spacing w:after="240" w:afterLines="100"/>
        <w:ind w:firstLine="0"/>
        <w:jc w:val="center"/>
        <w:rPr>
          <w:rFonts w:hint="eastAsia" w:ascii="黑体" w:hAnsi="黑体" w:eastAsia="黑体" w:cs="黑体"/>
          <w:sz w:val="32"/>
          <w:szCs w:val="32"/>
        </w:rPr>
      </w:pPr>
      <w:r>
        <w:rPr>
          <w:rFonts w:hint="eastAsia" w:ascii="黑体" w:hAnsi="黑体" w:eastAsia="黑体" w:cs="黑体"/>
          <w:sz w:val="32"/>
          <w:szCs w:val="32"/>
        </w:rPr>
        <w:t>（二）本项目组织实施人员</w:t>
      </w:r>
    </w:p>
    <w:p>
      <w:pPr>
        <w:pStyle w:val="13"/>
        <w:spacing w:after="120" w:afterLines="50"/>
        <w:ind w:firstLine="0"/>
        <w:jc w:val="left"/>
        <w:rPr>
          <w:rFonts w:hint="eastAsia" w:ascii="仿宋" w:hAnsi="仿宋" w:eastAsia="仿宋" w:cs="仿宋"/>
          <w:szCs w:val="21"/>
        </w:rPr>
      </w:pPr>
      <w:r>
        <w:rPr>
          <w:rFonts w:hint="eastAsia" w:ascii="仿宋" w:hAnsi="仿宋" w:eastAsia="仿宋" w:cs="仿宋"/>
          <w:szCs w:val="21"/>
          <w:lang w:val="en-US" w:eastAsia="zh-CN"/>
        </w:rPr>
        <w:t>投标人</w:t>
      </w:r>
      <w:r>
        <w:rPr>
          <w:rFonts w:hint="eastAsia" w:ascii="仿宋" w:hAnsi="仿宋" w:eastAsia="仿宋" w:cs="仿宋"/>
          <w:szCs w:val="21"/>
        </w:rPr>
        <w:t>：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pPr>
              <w:pStyle w:val="13"/>
              <w:ind w:firstLine="0"/>
              <w:rPr>
                <w:rFonts w:hint="eastAsia" w:ascii="仿宋" w:hAnsi="仿宋" w:eastAsia="仿宋" w:cs="仿宋"/>
                <w:b/>
                <w:sz w:val="28"/>
                <w:szCs w:val="28"/>
              </w:rPr>
            </w:pPr>
            <w:r>
              <w:rPr>
                <w:rFonts w:hint="eastAsia" w:ascii="仿宋" w:hAnsi="仿宋" w:eastAsia="仿宋" w:cs="仿宋"/>
                <w:b/>
                <w:sz w:val="28"/>
                <w:szCs w:val="28"/>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姓名</w:t>
            </w:r>
          </w:p>
        </w:tc>
        <w:tc>
          <w:tcPr>
            <w:tcW w:w="85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年龄</w:t>
            </w:r>
          </w:p>
        </w:tc>
        <w:tc>
          <w:tcPr>
            <w:tcW w:w="1134"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职务</w:t>
            </w:r>
          </w:p>
        </w:tc>
        <w:tc>
          <w:tcPr>
            <w:tcW w:w="156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资格/职称</w:t>
            </w:r>
          </w:p>
        </w:tc>
        <w:tc>
          <w:tcPr>
            <w:tcW w:w="1701" w:type="dxa"/>
            <w:noWrap w:val="0"/>
            <w:vAlign w:val="top"/>
          </w:tcPr>
          <w:p>
            <w:pPr>
              <w:pStyle w:val="13"/>
              <w:ind w:firstLine="0"/>
              <w:jc w:val="center"/>
              <w:rPr>
                <w:rFonts w:hint="eastAsia" w:ascii="仿宋" w:hAnsi="仿宋" w:eastAsia="仿宋" w:cs="仿宋"/>
                <w:szCs w:val="21"/>
              </w:rPr>
            </w:pPr>
            <w:r>
              <w:rPr>
                <w:rFonts w:hint="eastAsia" w:ascii="仿宋" w:hAnsi="仿宋" w:eastAsia="仿宋" w:cs="仿宋"/>
                <w:szCs w:val="21"/>
              </w:rPr>
              <w:t>在本行业从业 工作年限</w:t>
            </w:r>
          </w:p>
        </w:tc>
        <w:tc>
          <w:tcPr>
            <w:tcW w:w="2971" w:type="dxa"/>
            <w:gridSpan w:val="2"/>
            <w:tcBorders>
              <w:righ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2971" w:type="dxa"/>
            <w:gridSpan w:val="2"/>
            <w:tcBorders>
              <w:bottom w:val="single" w:color="auto" w:sz="4"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2971" w:type="dxa"/>
            <w:gridSpan w:val="2"/>
            <w:tcBorders>
              <w:bottom w:val="single" w:color="auto" w:sz="12"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pPr>
              <w:pStyle w:val="13"/>
              <w:ind w:firstLine="0"/>
              <w:rPr>
                <w:rFonts w:hint="eastAsia" w:ascii="仿宋" w:hAnsi="仿宋" w:eastAsia="仿宋" w:cs="仿宋"/>
                <w:b/>
                <w:sz w:val="28"/>
                <w:szCs w:val="28"/>
              </w:rPr>
            </w:pPr>
            <w:r>
              <w:rPr>
                <w:rFonts w:hint="eastAsia" w:ascii="仿宋" w:hAnsi="仿宋" w:eastAsia="仿宋" w:cs="仿宋"/>
                <w:b/>
                <w:sz w:val="28"/>
                <w:szCs w:val="28"/>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姓名</w:t>
            </w:r>
          </w:p>
        </w:tc>
        <w:tc>
          <w:tcPr>
            <w:tcW w:w="85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年龄</w:t>
            </w:r>
          </w:p>
        </w:tc>
        <w:tc>
          <w:tcPr>
            <w:tcW w:w="1134"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职务</w:t>
            </w:r>
          </w:p>
        </w:tc>
        <w:tc>
          <w:tcPr>
            <w:tcW w:w="156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资格/职称</w:t>
            </w:r>
          </w:p>
        </w:tc>
        <w:tc>
          <w:tcPr>
            <w:tcW w:w="1701"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在本行业从业 工作年限</w:t>
            </w:r>
          </w:p>
        </w:tc>
        <w:tc>
          <w:tcPr>
            <w:tcW w:w="1984"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主要工作业绩</w:t>
            </w:r>
          </w:p>
        </w:tc>
        <w:tc>
          <w:tcPr>
            <w:tcW w:w="987" w:type="dxa"/>
            <w:tcBorders>
              <w:righ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当前</w:t>
            </w:r>
          </w:p>
          <w:p>
            <w:pPr>
              <w:pStyle w:val="13"/>
              <w:ind w:firstLine="0"/>
              <w:jc w:val="center"/>
              <w:rPr>
                <w:rFonts w:hint="eastAsia" w:ascii="仿宋" w:hAnsi="仿宋" w:eastAsia="仿宋" w:cs="仿宋"/>
                <w:szCs w:val="21"/>
              </w:rPr>
            </w:pPr>
            <w:r>
              <w:rPr>
                <w:rFonts w:hint="eastAsia" w:ascii="仿宋" w:hAnsi="仿宋" w:eastAsia="仿宋" w:cs="仿宋"/>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pPr>
              <w:pStyle w:val="13"/>
              <w:ind w:firstLine="0"/>
              <w:jc w:val="left"/>
              <w:rPr>
                <w:rFonts w:hint="eastAsia" w:ascii="仿宋" w:hAnsi="仿宋" w:eastAsia="仿宋" w:cs="仿宋"/>
                <w:b/>
                <w:sz w:val="28"/>
                <w:szCs w:val="28"/>
              </w:rPr>
            </w:pPr>
            <w:r>
              <w:rPr>
                <w:rFonts w:hint="eastAsia" w:ascii="仿宋" w:hAnsi="仿宋" w:eastAsia="仿宋" w:cs="仿宋"/>
                <w:b/>
                <w:sz w:val="28"/>
                <w:szCs w:val="28"/>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姓名</w:t>
            </w:r>
          </w:p>
        </w:tc>
        <w:tc>
          <w:tcPr>
            <w:tcW w:w="85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年龄</w:t>
            </w:r>
          </w:p>
        </w:tc>
        <w:tc>
          <w:tcPr>
            <w:tcW w:w="1134"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职务</w:t>
            </w:r>
          </w:p>
        </w:tc>
        <w:tc>
          <w:tcPr>
            <w:tcW w:w="156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资格/职称</w:t>
            </w:r>
          </w:p>
        </w:tc>
        <w:tc>
          <w:tcPr>
            <w:tcW w:w="1701"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在本行业从业 工作年限</w:t>
            </w:r>
          </w:p>
        </w:tc>
        <w:tc>
          <w:tcPr>
            <w:tcW w:w="1984"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主要工作业绩</w:t>
            </w:r>
          </w:p>
        </w:tc>
        <w:tc>
          <w:tcPr>
            <w:tcW w:w="987" w:type="dxa"/>
            <w:tcBorders>
              <w:righ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当前</w:t>
            </w:r>
          </w:p>
          <w:p>
            <w:pPr>
              <w:pStyle w:val="13"/>
              <w:ind w:firstLine="0"/>
              <w:jc w:val="center"/>
              <w:rPr>
                <w:rFonts w:hint="eastAsia" w:ascii="仿宋" w:hAnsi="仿宋" w:eastAsia="仿宋" w:cs="仿宋"/>
                <w:szCs w:val="21"/>
              </w:rPr>
            </w:pPr>
            <w:r>
              <w:rPr>
                <w:rFonts w:hint="eastAsia" w:ascii="仿宋" w:hAnsi="仿宋" w:eastAsia="仿宋" w:cs="仿宋"/>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98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987" w:type="dxa"/>
            <w:tcBorders>
              <w:bottom w:val="single" w:color="auto" w:sz="4"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98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987" w:type="dxa"/>
            <w:tcBorders>
              <w:bottom w:val="single" w:color="auto" w:sz="4"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1984" w:type="dxa"/>
            <w:tcBorders>
              <w:bottom w:val="single" w:color="auto" w:sz="4" w:space="0"/>
            </w:tcBorders>
            <w:noWrap w:val="0"/>
            <w:vAlign w:val="top"/>
          </w:tcPr>
          <w:p>
            <w:pPr>
              <w:pStyle w:val="13"/>
              <w:ind w:firstLine="0"/>
              <w:jc w:val="left"/>
              <w:rPr>
                <w:rFonts w:hint="eastAsia" w:ascii="仿宋" w:hAnsi="仿宋" w:eastAsia="仿宋" w:cs="仿宋"/>
                <w:b/>
                <w:sz w:val="28"/>
                <w:szCs w:val="28"/>
              </w:rPr>
            </w:pPr>
          </w:p>
        </w:tc>
        <w:tc>
          <w:tcPr>
            <w:tcW w:w="987" w:type="dxa"/>
            <w:tcBorders>
              <w:bottom w:val="single" w:color="auto" w:sz="4"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984"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987" w:type="dxa"/>
            <w:tcBorders>
              <w:bottom w:val="single" w:color="auto" w:sz="12"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pPr>
              <w:pStyle w:val="13"/>
              <w:ind w:firstLine="0"/>
              <w:rPr>
                <w:rFonts w:hint="eastAsia" w:ascii="仿宋" w:hAnsi="仿宋" w:eastAsia="仿宋" w:cs="仿宋"/>
                <w:b/>
                <w:sz w:val="28"/>
                <w:szCs w:val="28"/>
              </w:rPr>
            </w:pPr>
            <w:r>
              <w:rPr>
                <w:rFonts w:hint="eastAsia" w:ascii="仿宋" w:hAnsi="仿宋" w:eastAsia="仿宋" w:cs="仿宋"/>
                <w:b/>
                <w:sz w:val="28"/>
                <w:szCs w:val="28"/>
              </w:rPr>
              <w:t>4.辅助人员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姓名</w:t>
            </w:r>
          </w:p>
        </w:tc>
        <w:tc>
          <w:tcPr>
            <w:tcW w:w="85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年龄</w:t>
            </w:r>
          </w:p>
        </w:tc>
        <w:tc>
          <w:tcPr>
            <w:tcW w:w="1134"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职务</w:t>
            </w:r>
          </w:p>
        </w:tc>
        <w:tc>
          <w:tcPr>
            <w:tcW w:w="1560" w:type="dxa"/>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资格/职称</w:t>
            </w:r>
          </w:p>
        </w:tc>
        <w:tc>
          <w:tcPr>
            <w:tcW w:w="1701"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在本行业从业 工作年限</w:t>
            </w:r>
          </w:p>
        </w:tc>
        <w:tc>
          <w:tcPr>
            <w:tcW w:w="1984" w:type="dxa"/>
            <w:noWrap w:val="0"/>
            <w:vAlign w:val="center"/>
          </w:tcPr>
          <w:p>
            <w:pPr>
              <w:pStyle w:val="13"/>
              <w:ind w:firstLine="0"/>
              <w:jc w:val="center"/>
              <w:rPr>
                <w:rFonts w:hint="eastAsia" w:ascii="仿宋" w:hAnsi="仿宋" w:eastAsia="仿宋" w:cs="仿宋"/>
                <w:b/>
                <w:szCs w:val="21"/>
              </w:rPr>
            </w:pPr>
            <w:r>
              <w:rPr>
                <w:rFonts w:hint="eastAsia" w:ascii="仿宋" w:hAnsi="仿宋" w:eastAsia="仿宋" w:cs="仿宋"/>
                <w:szCs w:val="21"/>
              </w:rPr>
              <w:t>主要工作业绩</w:t>
            </w:r>
          </w:p>
        </w:tc>
        <w:tc>
          <w:tcPr>
            <w:tcW w:w="987" w:type="dxa"/>
            <w:tcBorders>
              <w:right w:val="single" w:color="auto" w:sz="12" w:space="0"/>
            </w:tcBorders>
            <w:noWrap w:val="0"/>
            <w:vAlign w:val="center"/>
          </w:tcPr>
          <w:p>
            <w:pPr>
              <w:pStyle w:val="13"/>
              <w:ind w:firstLine="0"/>
              <w:jc w:val="center"/>
              <w:rPr>
                <w:rFonts w:hint="eastAsia" w:ascii="仿宋" w:hAnsi="仿宋" w:eastAsia="仿宋" w:cs="仿宋"/>
                <w:szCs w:val="21"/>
              </w:rPr>
            </w:pPr>
            <w:r>
              <w:rPr>
                <w:rFonts w:hint="eastAsia" w:ascii="仿宋" w:hAnsi="仿宋" w:eastAsia="仿宋" w:cs="仿宋"/>
                <w:szCs w:val="21"/>
              </w:rPr>
              <w:t>当前</w:t>
            </w:r>
          </w:p>
          <w:p>
            <w:pPr>
              <w:pStyle w:val="13"/>
              <w:ind w:firstLine="0"/>
              <w:jc w:val="center"/>
              <w:rPr>
                <w:rFonts w:hint="eastAsia" w:ascii="仿宋" w:hAnsi="仿宋" w:eastAsia="仿宋" w:cs="仿宋"/>
                <w:szCs w:val="21"/>
              </w:rPr>
            </w:pPr>
            <w:r>
              <w:rPr>
                <w:rFonts w:hint="eastAsia" w:ascii="仿宋" w:hAnsi="仿宋" w:eastAsia="仿宋" w:cs="仿宋"/>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noWrap w:val="0"/>
            <w:vAlign w:val="top"/>
          </w:tcPr>
          <w:p>
            <w:pPr>
              <w:pStyle w:val="13"/>
              <w:ind w:firstLine="0"/>
              <w:jc w:val="left"/>
              <w:rPr>
                <w:rFonts w:hint="eastAsia" w:ascii="仿宋" w:hAnsi="仿宋" w:eastAsia="仿宋" w:cs="仿宋"/>
                <w:b/>
                <w:sz w:val="28"/>
                <w:szCs w:val="28"/>
              </w:rPr>
            </w:pPr>
          </w:p>
        </w:tc>
        <w:tc>
          <w:tcPr>
            <w:tcW w:w="1134" w:type="dxa"/>
            <w:noWrap w:val="0"/>
            <w:vAlign w:val="top"/>
          </w:tcPr>
          <w:p>
            <w:pPr>
              <w:pStyle w:val="13"/>
              <w:ind w:firstLine="0"/>
              <w:jc w:val="left"/>
              <w:rPr>
                <w:rFonts w:hint="eastAsia" w:ascii="仿宋" w:hAnsi="仿宋" w:eastAsia="仿宋" w:cs="仿宋"/>
                <w:b/>
                <w:sz w:val="28"/>
                <w:szCs w:val="28"/>
              </w:rPr>
            </w:pPr>
          </w:p>
        </w:tc>
        <w:tc>
          <w:tcPr>
            <w:tcW w:w="1560" w:type="dxa"/>
            <w:noWrap w:val="0"/>
            <w:vAlign w:val="top"/>
          </w:tcPr>
          <w:p>
            <w:pPr>
              <w:pStyle w:val="13"/>
              <w:ind w:firstLine="0"/>
              <w:jc w:val="left"/>
              <w:rPr>
                <w:rFonts w:hint="eastAsia" w:ascii="仿宋" w:hAnsi="仿宋" w:eastAsia="仿宋" w:cs="仿宋"/>
                <w:b/>
                <w:sz w:val="28"/>
                <w:szCs w:val="28"/>
              </w:rPr>
            </w:pPr>
          </w:p>
        </w:tc>
        <w:tc>
          <w:tcPr>
            <w:tcW w:w="1701" w:type="dxa"/>
            <w:noWrap w:val="0"/>
            <w:vAlign w:val="top"/>
          </w:tcPr>
          <w:p>
            <w:pPr>
              <w:pStyle w:val="13"/>
              <w:ind w:firstLine="0"/>
              <w:jc w:val="left"/>
              <w:rPr>
                <w:rFonts w:hint="eastAsia" w:ascii="仿宋" w:hAnsi="仿宋" w:eastAsia="仿宋" w:cs="仿宋"/>
                <w:b/>
                <w:sz w:val="28"/>
                <w:szCs w:val="28"/>
              </w:rPr>
            </w:pPr>
          </w:p>
        </w:tc>
        <w:tc>
          <w:tcPr>
            <w:tcW w:w="1984" w:type="dxa"/>
            <w:noWrap w:val="0"/>
            <w:vAlign w:val="top"/>
          </w:tcPr>
          <w:p>
            <w:pPr>
              <w:pStyle w:val="13"/>
              <w:ind w:firstLine="0"/>
              <w:jc w:val="left"/>
              <w:rPr>
                <w:rFonts w:hint="eastAsia" w:ascii="仿宋" w:hAnsi="仿宋" w:eastAsia="仿宋" w:cs="仿宋"/>
                <w:b/>
                <w:sz w:val="28"/>
                <w:szCs w:val="28"/>
              </w:rPr>
            </w:pPr>
          </w:p>
        </w:tc>
        <w:tc>
          <w:tcPr>
            <w:tcW w:w="987" w:type="dxa"/>
            <w:tcBorders>
              <w:right w:val="single" w:color="auto" w:sz="12" w:space="0"/>
            </w:tcBorders>
            <w:noWrap w:val="0"/>
            <w:vAlign w:val="top"/>
          </w:tcPr>
          <w:p>
            <w:pPr>
              <w:pStyle w:val="13"/>
              <w:ind w:firstLine="0"/>
              <w:jc w:val="lef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85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134"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560"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701"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1984" w:type="dxa"/>
            <w:tcBorders>
              <w:bottom w:val="single" w:color="auto" w:sz="12" w:space="0"/>
            </w:tcBorders>
            <w:noWrap w:val="0"/>
            <w:vAlign w:val="top"/>
          </w:tcPr>
          <w:p>
            <w:pPr>
              <w:pStyle w:val="13"/>
              <w:ind w:firstLine="0"/>
              <w:jc w:val="left"/>
              <w:rPr>
                <w:rFonts w:hint="eastAsia" w:ascii="仿宋" w:hAnsi="仿宋" w:eastAsia="仿宋" w:cs="仿宋"/>
                <w:b/>
                <w:sz w:val="28"/>
                <w:szCs w:val="28"/>
              </w:rPr>
            </w:pPr>
          </w:p>
        </w:tc>
        <w:tc>
          <w:tcPr>
            <w:tcW w:w="987" w:type="dxa"/>
            <w:tcBorders>
              <w:bottom w:val="single" w:color="auto" w:sz="12" w:space="0"/>
              <w:right w:val="single" w:color="auto" w:sz="12" w:space="0"/>
            </w:tcBorders>
            <w:noWrap w:val="0"/>
            <w:vAlign w:val="top"/>
          </w:tcPr>
          <w:p>
            <w:pPr>
              <w:pStyle w:val="13"/>
              <w:ind w:firstLine="0"/>
              <w:jc w:val="left"/>
              <w:rPr>
                <w:rFonts w:hint="eastAsia" w:ascii="仿宋" w:hAnsi="仿宋" w:eastAsia="仿宋" w:cs="仿宋"/>
                <w:b/>
                <w:sz w:val="28"/>
                <w:szCs w:val="28"/>
              </w:rPr>
            </w:pPr>
          </w:p>
        </w:tc>
      </w:tr>
    </w:tbl>
    <w:p>
      <w:pPr>
        <w:pStyle w:val="13"/>
        <w:ind w:firstLine="0"/>
        <w:jc w:val="left"/>
        <w:rPr>
          <w:rFonts w:hint="eastAsia" w:ascii="仿宋" w:hAnsi="仿宋" w:eastAsia="仿宋" w:cs="仿宋"/>
          <w:szCs w:val="21"/>
        </w:rPr>
      </w:pPr>
      <w:r>
        <w:rPr>
          <w:rFonts w:hint="eastAsia" w:ascii="仿宋" w:hAnsi="仿宋" w:eastAsia="仿宋" w:cs="仿宋"/>
          <w:szCs w:val="21"/>
        </w:rPr>
        <w:t>说明：</w:t>
      </w:r>
    </w:p>
    <w:p>
      <w:pPr>
        <w:pStyle w:val="13"/>
        <w:ind w:firstLine="0"/>
        <w:jc w:val="left"/>
        <w:rPr>
          <w:rFonts w:hint="eastAsia" w:ascii="宋体" w:hAnsi="宋体" w:cs="宋体"/>
          <w:szCs w:val="21"/>
        </w:rPr>
      </w:pPr>
      <w:r>
        <w:rPr>
          <w:rFonts w:hint="eastAsia" w:ascii="仿宋" w:hAnsi="仿宋" w:eastAsia="仿宋" w:cs="仿宋"/>
          <w:szCs w:val="21"/>
        </w:rPr>
        <w:t>1.职务是指在本单位所担任的职务。2.除表（一）（二）外，需要补充的证明材料可另纸说明。</w:t>
      </w:r>
    </w:p>
    <w:p>
      <w:pPr>
        <w:pStyle w:val="13"/>
        <w:ind w:firstLine="0"/>
        <w:jc w:val="left"/>
        <w:rPr>
          <w:rFonts w:hint="eastAsia" w:ascii="宋体" w:hAnsi="宋体" w:cs="宋体"/>
          <w:b/>
          <w:sz w:val="24"/>
          <w:szCs w:val="24"/>
        </w:rPr>
      </w:pPr>
    </w:p>
    <w:p>
      <w:pPr>
        <w:pStyle w:val="13"/>
        <w:ind w:firstLine="0"/>
        <w:jc w:val="left"/>
        <w:rPr>
          <w:rFonts w:hint="eastAsia" w:ascii="宋体" w:hAnsi="宋体" w:cs="宋体"/>
          <w:b/>
          <w:sz w:val="24"/>
          <w:szCs w:val="24"/>
        </w:rPr>
      </w:pPr>
    </w:p>
    <w:p>
      <w:pPr>
        <w:spacing w:line="360" w:lineRule="auto"/>
        <w:ind w:firstLine="2730" w:firstLineChars="1300"/>
        <w:jc w:val="right"/>
        <w:rPr>
          <w:rFonts w:hint="eastAsia" w:ascii="仿宋" w:hAnsi="仿宋" w:eastAsia="仿宋" w:cs="仿宋"/>
          <w:szCs w:val="21"/>
          <w:highlight w:val="none"/>
        </w:rPr>
      </w:pPr>
      <w:r>
        <w:rPr>
          <w:rFonts w:hint="eastAsia" w:ascii="仿宋" w:hAnsi="仿宋" w:eastAsia="仿宋" w:cs="仿宋"/>
          <w:szCs w:val="21"/>
          <w:highlight w:val="none"/>
          <w:lang w:val="zh-CN"/>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（公章）</w:t>
      </w:r>
    </w:p>
    <w:p>
      <w:pPr>
        <w:spacing w:line="360" w:lineRule="auto"/>
        <w:ind w:firstLine="2940" w:firstLineChars="1400"/>
        <w:jc w:val="right"/>
        <w:rPr>
          <w:rFonts w:hint="eastAsia" w:ascii="仿宋" w:hAnsi="仿宋" w:eastAsia="仿宋" w:cs="仿宋"/>
          <w:szCs w:val="21"/>
          <w:highlight w:val="none"/>
          <w:lang w:val="zh-CN"/>
        </w:rPr>
      </w:pPr>
      <w:r>
        <w:rPr>
          <w:rFonts w:hint="eastAsia" w:ascii="仿宋" w:hAnsi="仿宋" w:eastAsia="仿宋" w:cs="仿宋"/>
          <w:szCs w:val="21"/>
          <w:highlight w:val="none"/>
          <w:lang w:val="zh-CN"/>
        </w:rPr>
        <w:t>法定代表人或其授权代表：</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lang w:val="zh-CN"/>
        </w:rPr>
        <w:t>（签字）</w:t>
      </w:r>
    </w:p>
    <w:p>
      <w:pPr>
        <w:spacing w:line="420" w:lineRule="exact"/>
        <w:ind w:firstLine="3360" w:firstLineChars="1600"/>
        <w:jc w:val="center"/>
        <w:rPr>
          <w:rFonts w:hint="eastAsia" w:ascii="仿宋" w:hAnsi="仿宋" w:eastAsia="仿宋" w:cs="仿宋"/>
          <w:szCs w:val="21"/>
          <w:highlight w:val="none"/>
          <w:lang w:val="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val="zh-CN"/>
        </w:rPr>
        <w:t>日期：</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年</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月</w:t>
      </w:r>
      <w:r>
        <w:rPr>
          <w:rFonts w:hint="eastAsia" w:ascii="仿宋" w:hAnsi="仿宋" w:eastAsia="仿宋" w:cs="仿宋"/>
          <w:szCs w:val="21"/>
          <w:highlight w:val="none"/>
        </w:rPr>
        <w:t xml:space="preserve">  </w:t>
      </w:r>
      <w:r>
        <w:rPr>
          <w:rFonts w:hint="eastAsia" w:ascii="仿宋" w:hAnsi="仿宋" w:eastAsia="仿宋" w:cs="仿宋"/>
          <w:szCs w:val="21"/>
          <w:highlight w:val="none"/>
          <w:lang w:val="zh-CN"/>
        </w:rPr>
        <w:t>日</w:t>
      </w:r>
    </w:p>
    <w:p>
      <w:pPr>
        <w:pStyle w:val="13"/>
        <w:ind w:firstLine="0"/>
        <w:jc w:val="center"/>
        <w:rPr>
          <w:rFonts w:hint="eastAsia" w:ascii="宋体" w:hAnsi="宋体" w:cs="宋体"/>
          <w:sz w:val="36"/>
          <w:szCs w:val="36"/>
        </w:rPr>
        <w:sectPr>
          <w:pgSz w:w="11907" w:h="16840"/>
          <w:pgMar w:top="1440" w:right="1474" w:bottom="1440" w:left="1474" w:header="851" w:footer="992" w:gutter="0"/>
          <w:pgNumType w:fmt="numberInDash"/>
          <w:cols w:space="720" w:num="1"/>
          <w:titlePg/>
        </w:sectPr>
      </w:pPr>
    </w:p>
    <w:p>
      <w:pPr>
        <w:numPr>
          <w:ilvl w:val="0"/>
          <w:numId w:val="10"/>
        </w:numPr>
        <w:snapToGrid w:val="0"/>
        <w:spacing w:line="360" w:lineRule="auto"/>
        <w:ind w:firstLine="320" w:firstLineChars="100"/>
        <w:outlineLvl w:val="0"/>
        <w:rPr>
          <w:rFonts w:ascii="楷体" w:hAnsi="楷体" w:eastAsia="楷体" w:cs="楷体"/>
          <w:b/>
          <w:bCs/>
          <w:sz w:val="32"/>
          <w:szCs w:val="32"/>
        </w:rPr>
      </w:pPr>
      <w:bookmarkStart w:id="497" w:name="_Toc5582"/>
      <w:r>
        <w:rPr>
          <w:rFonts w:hint="eastAsia" w:ascii="黑体" w:hAnsi="黑体" w:eastAsia="黑体" w:cs="黑体"/>
          <w:sz w:val="32"/>
          <w:szCs w:val="32"/>
        </w:rPr>
        <w:t>提供参加政府采购活动前三年内在经营活动中没有重大违法记录的书面声明</w:t>
      </w:r>
      <w:r>
        <w:rPr>
          <w:rFonts w:hint="eastAsia" w:ascii="楷体" w:hAnsi="楷体" w:eastAsia="楷体" w:cs="楷体"/>
          <w:sz w:val="32"/>
          <w:szCs w:val="32"/>
        </w:rPr>
        <w:t>。</w:t>
      </w:r>
      <w:bookmarkEnd w:id="497"/>
    </w:p>
    <w:p>
      <w:pPr>
        <w:rPr>
          <w:rFonts w:ascii="楷体" w:hAnsi="楷体" w:eastAsia="楷体" w:cs="楷体"/>
        </w:rPr>
      </w:pPr>
    </w:p>
    <w:p>
      <w:pPr>
        <w:ind w:firstLine="630" w:firstLineChars="300"/>
        <w:rPr>
          <w:rFonts w:hint="default" w:ascii="楷体" w:hAnsi="楷体" w:eastAsia="楷体" w:cs="楷体"/>
          <w:lang w:val="en-US" w:eastAsia="zh-CN"/>
        </w:rPr>
      </w:pPr>
      <w:r>
        <w:rPr>
          <w:rFonts w:hint="eastAsia" w:ascii="楷体" w:hAnsi="楷体" w:eastAsia="楷体" w:cs="楷体"/>
          <w:lang w:val="en-US" w:eastAsia="zh-CN"/>
        </w:rPr>
        <w:t>说明：格式内容自拟</w:t>
      </w: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pStyle w:val="14"/>
        <w:ind w:firstLine="422"/>
        <w:rPr>
          <w:rFonts w:ascii="楷体" w:hAnsi="楷体" w:eastAsia="楷体" w:cs="楷体"/>
          <w:color w:val="auto"/>
        </w:rPr>
      </w:pPr>
    </w:p>
    <w:p>
      <w:pPr>
        <w:tabs>
          <w:tab w:val="left" w:pos="3600"/>
        </w:tabs>
        <w:adjustRightInd w:val="0"/>
        <w:snapToGrid w:val="0"/>
        <w:ind w:firstLine="1280" w:firstLineChars="400"/>
        <w:outlineLvl w:val="0"/>
        <w:rPr>
          <w:rFonts w:hint="eastAsia" w:ascii="黑体" w:hAnsi="黑体" w:eastAsia="黑体" w:cs="黑体"/>
          <w:b w:val="0"/>
          <w:bCs w:val="0"/>
          <w:color w:val="auto"/>
          <w:sz w:val="32"/>
          <w:szCs w:val="32"/>
        </w:rPr>
      </w:pPr>
      <w:bookmarkStart w:id="498" w:name="_Toc27158"/>
      <w:bookmarkStart w:id="499" w:name="_Toc8381"/>
      <w:bookmarkStart w:id="500" w:name="_Toc15965"/>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0</w:t>
      </w:r>
      <w:r>
        <w:rPr>
          <w:rFonts w:hint="eastAsia" w:ascii="黑体" w:hAnsi="黑体" w:eastAsia="黑体" w:cs="黑体"/>
          <w:b w:val="0"/>
          <w:bCs w:val="0"/>
          <w:color w:val="auto"/>
          <w:sz w:val="32"/>
          <w:szCs w:val="32"/>
        </w:rPr>
        <w:t>、投标人落实政府采购政策资格条件</w:t>
      </w:r>
      <w:bookmarkEnd w:id="498"/>
    </w:p>
    <w:p>
      <w:pPr>
        <w:tabs>
          <w:tab w:val="left" w:pos="3600"/>
        </w:tabs>
        <w:adjustRightInd w:val="0"/>
        <w:snapToGrid w:val="0"/>
        <w:ind w:firstLine="3213" w:firstLineChars="1000"/>
        <w:rPr>
          <w:rFonts w:hint="eastAsia" w:ascii="黑体" w:hAnsi="黑体" w:eastAsia="黑体" w:cs="黑体"/>
          <w:b/>
          <w:bCs/>
          <w:color w:val="auto"/>
          <w:sz w:val="32"/>
          <w:szCs w:val="32"/>
          <w:lang w:val="en-US" w:eastAsia="zh-CN"/>
        </w:rPr>
      </w:pPr>
    </w:p>
    <w:p>
      <w:pPr>
        <w:tabs>
          <w:tab w:val="left" w:pos="3600"/>
        </w:tabs>
        <w:adjustRightInd w:val="0"/>
        <w:snapToGrid w:val="0"/>
        <w:outlineLvl w:val="0"/>
        <w:rPr>
          <w:rFonts w:hint="eastAsia" w:ascii="仿宋" w:hAnsi="仿宋" w:eastAsia="仿宋" w:cs="仿宋"/>
          <w:b/>
          <w:bCs/>
          <w:color w:val="auto"/>
          <w:sz w:val="24"/>
          <w:szCs w:val="24"/>
          <w:lang w:val="en-US" w:eastAsia="zh-CN"/>
        </w:rPr>
      </w:pPr>
      <w:r>
        <w:rPr>
          <w:rFonts w:hint="eastAsia" w:ascii="楷体" w:hAnsi="楷体" w:eastAsia="楷体" w:cs="楷体"/>
          <w:b/>
          <w:bCs/>
          <w:color w:val="auto"/>
          <w:sz w:val="24"/>
          <w:szCs w:val="24"/>
          <w:lang w:val="en-US" w:eastAsia="zh-CN"/>
        </w:rPr>
        <w:t xml:space="preserve">                    </w:t>
      </w:r>
      <w:r>
        <w:rPr>
          <w:rFonts w:hint="eastAsia" w:ascii="仿宋" w:hAnsi="仿宋" w:eastAsia="仿宋" w:cs="仿宋"/>
          <w:b/>
          <w:bCs/>
          <w:color w:val="auto"/>
          <w:sz w:val="24"/>
          <w:szCs w:val="24"/>
          <w:lang w:val="en-US" w:eastAsia="zh-CN"/>
        </w:rPr>
        <w:t xml:space="preserve">   </w:t>
      </w:r>
      <w:bookmarkStart w:id="501" w:name="_Toc20705"/>
      <w:r>
        <w:rPr>
          <w:rFonts w:hint="eastAsia" w:ascii="仿宋" w:hAnsi="仿宋" w:eastAsia="仿宋" w:cs="仿宋"/>
          <w:b/>
          <w:bCs/>
          <w:color w:val="auto"/>
          <w:sz w:val="24"/>
          <w:szCs w:val="24"/>
          <w:lang w:val="en-US" w:eastAsia="zh-CN"/>
        </w:rPr>
        <w:t>格式：10-1.中小企业声明函</w:t>
      </w:r>
      <w:bookmarkEnd w:id="501"/>
    </w:p>
    <w:p>
      <w:pPr>
        <w:tabs>
          <w:tab w:val="left" w:pos="3600"/>
        </w:tabs>
        <w:adjustRightInd w:val="0"/>
        <w:snapToGrid w:val="0"/>
        <w:rPr>
          <w:rFonts w:hint="eastAsia" w:ascii="仿宋" w:hAnsi="仿宋" w:eastAsia="仿宋" w:cs="仿宋"/>
          <w:b w:val="0"/>
          <w:bCs w:val="0"/>
          <w:color w:val="auto"/>
          <w:sz w:val="22"/>
          <w:szCs w:val="22"/>
          <w:lang w:val="en-US" w:eastAsia="zh-CN"/>
        </w:rPr>
      </w:pPr>
    </w:p>
    <w:p>
      <w:pPr>
        <w:keepNext w:val="0"/>
        <w:keepLines w:val="0"/>
        <w:pageBreakBefore w:val="0"/>
        <w:widowControl w:val="0"/>
        <w:kinsoku/>
        <w:wordWrap/>
        <w:overflowPunct/>
        <w:topLinePunct w:val="0"/>
        <w:autoSpaceDE/>
        <w:autoSpaceDN/>
        <w:bidi w:val="0"/>
        <w:spacing w:line="360" w:lineRule="auto"/>
        <w:ind w:firstLine="444" w:firstLineChars="200"/>
        <w:textAlignment w:val="auto"/>
        <w:rPr>
          <w:rFonts w:hint="eastAsia" w:ascii="仿宋" w:hAnsi="仿宋" w:eastAsia="仿宋" w:cs="仿宋"/>
          <w:spacing w:val="6"/>
          <w:szCs w:val="21"/>
          <w:highlight w:val="none"/>
        </w:rPr>
      </w:pPr>
      <w:bookmarkStart w:id="502" w:name="_Toc4420"/>
      <w:r>
        <w:rPr>
          <w:rFonts w:hint="eastAsia" w:ascii="仿宋" w:hAnsi="仿宋" w:eastAsia="仿宋" w:cs="仿宋"/>
          <w:spacing w:val="6"/>
          <w:szCs w:val="21"/>
          <w:highlight w:val="none"/>
        </w:rPr>
        <w:t>本公司(联合体)郑重声明，根据《政府采购促进中小企业发展管理办法》(财库〔2020〕46号)的规定，本公司 (联合体)参加(</w:t>
      </w:r>
      <w:r>
        <w:rPr>
          <w:rFonts w:hint="eastAsia" w:ascii="仿宋" w:hAnsi="仿宋" w:eastAsia="仿宋" w:cs="仿宋"/>
          <w:spacing w:val="6"/>
          <w:szCs w:val="21"/>
          <w:highlight w:val="none"/>
          <w:u w:val="single"/>
        </w:rPr>
        <w:t>采 购 人 名 称</w:t>
      </w:r>
      <w:r>
        <w:rPr>
          <w:rFonts w:hint="eastAsia" w:ascii="仿宋" w:hAnsi="仿宋" w:eastAsia="仿宋" w:cs="仿宋"/>
          <w:spacing w:val="6"/>
          <w:szCs w:val="21"/>
          <w:highlight w:val="none"/>
        </w:rPr>
        <w:t>)的</w:t>
      </w:r>
      <w:r>
        <w:rPr>
          <w:rFonts w:hint="eastAsia" w:ascii="仿宋" w:hAnsi="仿宋" w:eastAsia="仿宋" w:cs="仿宋"/>
          <w:spacing w:val="6"/>
          <w:szCs w:val="21"/>
          <w:highlight w:val="none"/>
          <w:u w:val="single"/>
        </w:rPr>
        <w:t>(项 目 名 称</w:t>
      </w:r>
      <w:r>
        <w:rPr>
          <w:rFonts w:hint="eastAsia" w:ascii="仿宋" w:hAnsi="仿宋" w:eastAsia="仿宋" w:cs="仿宋"/>
          <w:spacing w:val="6"/>
          <w:szCs w:val="21"/>
          <w:highlight w:val="none"/>
        </w:rPr>
        <w:t>)采购活动，提供的货物全部由符合政策要求的中小企业制造。相关企业(含联合体中的中小企业、签订分包意向协议的中小企业)的具体情况如下：</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w:t>
      </w:r>
      <w:r>
        <w:rPr>
          <w:rFonts w:hint="eastAsia" w:ascii="仿宋" w:hAnsi="仿宋" w:eastAsia="仿宋" w:cs="仿宋"/>
          <w:spacing w:val="6"/>
          <w:szCs w:val="21"/>
          <w:highlight w:val="none"/>
          <w:u w:val="single"/>
        </w:rPr>
        <w:t>标的名称</w:t>
      </w:r>
      <w:r>
        <w:rPr>
          <w:rFonts w:hint="eastAsia" w:ascii="仿宋" w:hAnsi="仿宋" w:eastAsia="仿宋" w:cs="仿宋"/>
          <w:spacing w:val="6"/>
          <w:szCs w:val="21"/>
          <w:highlight w:val="none"/>
        </w:rPr>
        <w:t>)，属于(</w:t>
      </w:r>
      <w:r>
        <w:rPr>
          <w:rFonts w:hint="eastAsia" w:ascii="仿宋" w:hAnsi="仿宋" w:eastAsia="仿宋" w:cs="仿宋"/>
          <w:spacing w:val="6"/>
          <w:szCs w:val="21"/>
          <w:highlight w:val="none"/>
          <w:u w:val="single"/>
        </w:rPr>
        <w:t>采购文件中明确的所属行业</w:t>
      </w:r>
      <w:r>
        <w:rPr>
          <w:rFonts w:hint="eastAsia" w:ascii="仿宋" w:hAnsi="仿宋" w:eastAsia="仿宋" w:cs="仿宋"/>
          <w:spacing w:val="6"/>
          <w:szCs w:val="21"/>
          <w:highlight w:val="none"/>
        </w:rPr>
        <w:t>)行业；制造商为(</w:t>
      </w:r>
      <w:r>
        <w:rPr>
          <w:rFonts w:hint="eastAsia" w:ascii="仿宋" w:hAnsi="仿宋" w:eastAsia="仿宋" w:cs="仿宋"/>
          <w:spacing w:val="6"/>
          <w:szCs w:val="21"/>
          <w:highlight w:val="none"/>
          <w:u w:val="single"/>
        </w:rPr>
        <w:t>企业名称</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万元，资产总额</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万元，属于(</w:t>
      </w:r>
      <w:r>
        <w:rPr>
          <w:rFonts w:hint="eastAsia" w:ascii="仿宋" w:hAnsi="仿宋" w:eastAsia="仿宋" w:cs="仿宋"/>
          <w:spacing w:val="6"/>
          <w:szCs w:val="21"/>
          <w:highlight w:val="none"/>
          <w:u w:val="single"/>
        </w:rPr>
        <w:t>中型企业、小型企业、微型企业</w:t>
      </w:r>
      <w:r>
        <w:rPr>
          <w:rFonts w:hint="eastAsia" w:ascii="仿宋" w:hAnsi="仿宋" w:eastAsia="仿宋" w:cs="仿宋"/>
          <w:spacing w:val="6"/>
          <w:szCs w:val="21"/>
          <w:highlight w:val="none"/>
        </w:rPr>
        <w:t>)；</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6"/>
          <w:szCs w:val="21"/>
          <w:highlight w:val="none"/>
          <w:u w:val="single"/>
        </w:rPr>
        <w:t>标的名称</w:t>
      </w:r>
      <w:r>
        <w:rPr>
          <w:rFonts w:hint="eastAsia" w:ascii="仿宋" w:hAnsi="仿宋" w:eastAsia="仿宋" w:cs="仿宋"/>
          <w:spacing w:val="6"/>
          <w:szCs w:val="21"/>
          <w:highlight w:val="none"/>
        </w:rPr>
        <w:t>)，属于</w:t>
      </w:r>
      <w:r>
        <w:rPr>
          <w:rFonts w:hint="eastAsia" w:ascii="仿宋" w:hAnsi="仿宋" w:eastAsia="仿宋" w:cs="仿宋"/>
          <w:spacing w:val="6"/>
          <w:szCs w:val="21"/>
          <w:highlight w:val="none"/>
          <w:u w:val="single"/>
        </w:rPr>
        <w:t>(采购文件中明确的所属行业)</w:t>
      </w:r>
      <w:r>
        <w:rPr>
          <w:rFonts w:hint="eastAsia" w:ascii="仿宋" w:hAnsi="仿宋" w:eastAsia="仿宋" w:cs="仿宋"/>
          <w:spacing w:val="6"/>
          <w:szCs w:val="21"/>
          <w:highlight w:val="none"/>
        </w:rPr>
        <w:t>行业；制造商为(</w:t>
      </w:r>
      <w:r>
        <w:rPr>
          <w:rFonts w:hint="eastAsia" w:ascii="仿宋" w:hAnsi="仿宋" w:eastAsia="仿宋" w:cs="仿宋"/>
          <w:spacing w:val="6"/>
          <w:szCs w:val="21"/>
          <w:highlight w:val="none"/>
          <w:u w:val="single"/>
        </w:rPr>
        <w:t>企业名称</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万元，资产总额</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万元，属于(</w:t>
      </w:r>
      <w:r>
        <w:rPr>
          <w:rFonts w:hint="eastAsia" w:ascii="仿宋" w:hAnsi="仿宋" w:eastAsia="仿宋" w:cs="仿宋"/>
          <w:spacing w:val="6"/>
          <w:szCs w:val="21"/>
          <w:highlight w:val="none"/>
          <w:u w:val="single"/>
        </w:rPr>
        <w:t>中型企业、小型企业、微型企业</w:t>
      </w:r>
      <w:r>
        <w:rPr>
          <w:rFonts w:hint="eastAsia" w:ascii="仿宋" w:hAnsi="仿宋" w:eastAsia="仿宋" w:cs="仿宋"/>
          <w:spacing w:val="6"/>
          <w:szCs w:val="21"/>
          <w:highlight w:val="none"/>
        </w:rPr>
        <w:t>)；</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w:t>
      </w:r>
    </w:p>
    <w:p>
      <w:pPr>
        <w:spacing w:line="360" w:lineRule="auto"/>
        <w:ind w:firstLine="444" w:firstLineChars="200"/>
        <w:rPr>
          <w:rFonts w:hint="eastAsia" w:ascii="仿宋" w:hAnsi="仿宋" w:eastAsia="仿宋" w:cs="仿宋"/>
          <w:spacing w:val="6"/>
          <w:szCs w:val="21"/>
          <w:highlight w:val="none"/>
        </w:rPr>
      </w:pPr>
    </w:p>
    <w:p>
      <w:pPr>
        <w:spacing w:line="360" w:lineRule="auto"/>
        <w:ind w:firstLine="444" w:firstLineChars="200"/>
        <w:rPr>
          <w:rFonts w:hint="eastAsia" w:ascii="仿宋" w:hAnsi="仿宋" w:eastAsia="仿宋" w:cs="仿宋"/>
          <w:spacing w:val="6"/>
          <w:szCs w:val="21"/>
          <w:highlight w:val="none"/>
        </w:rPr>
      </w:pP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以上企业，不属于大企业的分支机构，不存在控股股东为大企业的情形，也不存在与大企业的负责人为同一人的情形。</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本企业对上述声明内容的真实性负责。如有虚假，将依法承担相应责任。</w:t>
      </w:r>
    </w:p>
    <w:p>
      <w:pPr>
        <w:spacing w:line="360" w:lineRule="auto"/>
        <w:ind w:firstLine="444" w:firstLineChars="200"/>
        <w:jc w:val="right"/>
        <w:rPr>
          <w:rFonts w:hint="eastAsia" w:ascii="仿宋" w:hAnsi="仿宋" w:eastAsia="仿宋" w:cs="仿宋"/>
          <w:spacing w:val="6"/>
          <w:szCs w:val="21"/>
          <w:highlight w:val="none"/>
        </w:rPr>
      </w:pPr>
      <w:r>
        <w:rPr>
          <w:rFonts w:hint="eastAsia" w:ascii="仿宋" w:hAnsi="仿宋" w:eastAsia="仿宋" w:cs="仿宋"/>
          <w:spacing w:val="6"/>
          <w:szCs w:val="21"/>
          <w:highlight w:val="none"/>
        </w:rPr>
        <w:t>企业名称：</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 xml:space="preserve">(盖单位章) </w:t>
      </w:r>
    </w:p>
    <w:p>
      <w:pPr>
        <w:spacing w:line="360" w:lineRule="auto"/>
        <w:ind w:firstLine="444" w:firstLineChars="200"/>
        <w:jc w:val="center"/>
        <w:rPr>
          <w:rFonts w:hint="eastAsia" w:ascii="仿宋" w:hAnsi="仿宋" w:eastAsia="仿宋" w:cs="仿宋"/>
          <w:spacing w:val="15"/>
          <w:sz w:val="18"/>
          <w:szCs w:val="18"/>
          <w:highlight w:val="none"/>
          <w:shd w:val="clear" w:color="auto" w:fill="FFFFFF"/>
        </w:rPr>
      </w:pPr>
      <w:r>
        <w:rPr>
          <w:rFonts w:hint="eastAsia" w:ascii="仿宋" w:hAnsi="仿宋" w:eastAsia="仿宋" w:cs="仿宋"/>
          <w:spacing w:val="6"/>
          <w:szCs w:val="21"/>
          <w:highlight w:val="none"/>
          <w:lang w:val="en-US" w:eastAsia="zh-CN"/>
        </w:rPr>
        <w:t xml:space="preserve">                         </w:t>
      </w:r>
      <w:r>
        <w:rPr>
          <w:rFonts w:hint="eastAsia" w:ascii="仿宋" w:hAnsi="仿宋" w:eastAsia="仿宋" w:cs="仿宋"/>
          <w:spacing w:val="6"/>
          <w:szCs w:val="21"/>
          <w:highlight w:val="none"/>
        </w:rPr>
        <w:t>日    期：</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 xml:space="preserve"> 年 </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月</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日</w:t>
      </w:r>
    </w:p>
    <w:p>
      <w:pPr>
        <w:adjustRightInd w:val="0"/>
        <w:snapToGrid w:val="0"/>
        <w:spacing w:line="300" w:lineRule="exact"/>
        <w:rPr>
          <w:rFonts w:hint="eastAsia" w:ascii="仿宋" w:hAnsi="仿宋" w:eastAsia="仿宋" w:cs="仿宋"/>
          <w:szCs w:val="21"/>
          <w:highlight w:val="none"/>
        </w:rPr>
      </w:pPr>
      <w:r>
        <w:rPr>
          <w:rFonts w:hint="eastAsia" w:ascii="仿宋" w:hAnsi="仿宋" w:eastAsia="仿宋" w:cs="仿宋"/>
          <w:szCs w:val="21"/>
          <w:highlight w:val="none"/>
        </w:rPr>
        <w:t>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（1）填报前请认真阅读</w:t>
      </w:r>
      <w:r>
        <w:rPr>
          <w:rFonts w:hint="eastAsia" w:ascii="仿宋" w:hAnsi="仿宋" w:eastAsia="仿宋" w:cs="仿宋"/>
          <w:spacing w:val="6"/>
          <w:kern w:val="0"/>
          <w:szCs w:val="21"/>
          <w:highlight w:val="none"/>
        </w:rPr>
        <w:t>《中小企业划型标准规定》（工信部联企业〔2011〕300号）和</w:t>
      </w:r>
      <w:r>
        <w:rPr>
          <w:rFonts w:hint="eastAsia" w:ascii="仿宋" w:hAnsi="仿宋" w:eastAsia="仿宋" w:cs="仿宋"/>
          <w:spacing w:val="6"/>
          <w:szCs w:val="21"/>
          <w:highlight w:val="none"/>
        </w:rPr>
        <w:t>《</w:t>
      </w:r>
      <w:r>
        <w:rPr>
          <w:rFonts w:hint="eastAsia" w:ascii="仿宋" w:hAnsi="仿宋" w:eastAsia="仿宋" w:cs="仿宋"/>
          <w:bCs/>
          <w:szCs w:val="21"/>
          <w:highlight w:val="none"/>
        </w:rPr>
        <w:t>政府采购促进中小企业发展管理办法》(</w:t>
      </w:r>
      <w:r>
        <w:rPr>
          <w:rFonts w:hint="eastAsia" w:ascii="仿宋" w:hAnsi="仿宋" w:eastAsia="仿宋" w:cs="仿宋"/>
          <w:szCs w:val="21"/>
          <w:highlight w:val="none"/>
        </w:rPr>
        <w:t>财库〔2020〕46号)相关规定。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（2）从业人员、营业收入、资产总额填报上一年度数据，无上一年度数据的新成立企业可不填报。</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文件其他地方与《中小企业声明函》数据不一致的，以《中小企业声明函》为准。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Cs w:val="21"/>
          <w:highlight w:val="none"/>
        </w:rPr>
      </w:pPr>
      <w:r>
        <w:rPr>
          <w:rFonts w:hint="eastAsia" w:ascii="仿宋" w:hAnsi="仿宋" w:eastAsia="仿宋" w:cs="仿宋"/>
          <w:szCs w:val="21"/>
          <w:highlight w:val="none"/>
        </w:rPr>
        <w:t>（3）供应商符合享受小微企业政府采购优惠政策条件的，必须填报全部货物制造商的数据，</w:t>
      </w:r>
      <w:r>
        <w:rPr>
          <w:rFonts w:hint="eastAsia" w:ascii="仿宋" w:hAnsi="仿宋" w:eastAsia="仿宋" w:cs="仿宋"/>
          <w:bCs/>
          <w:szCs w:val="21"/>
          <w:highlight w:val="none"/>
        </w:rPr>
        <w:t>未按要求提供、</w:t>
      </w:r>
      <w:r>
        <w:rPr>
          <w:rFonts w:hint="eastAsia" w:ascii="仿宋" w:hAnsi="仿宋" w:eastAsia="仿宋" w:cs="仿宋"/>
          <w:szCs w:val="21"/>
          <w:highlight w:val="none"/>
        </w:rPr>
        <w:t>填报</w:t>
      </w:r>
      <w:r>
        <w:rPr>
          <w:rFonts w:hint="eastAsia" w:ascii="仿宋" w:hAnsi="仿宋" w:eastAsia="仿宋" w:cs="仿宋"/>
          <w:bCs/>
          <w:szCs w:val="21"/>
          <w:highlight w:val="none"/>
        </w:rPr>
        <w:t>的，不享受报价扣除优惠政策。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Cs w:val="21"/>
          <w:highlight w:val="none"/>
        </w:rPr>
      </w:pPr>
      <w:r>
        <w:rPr>
          <w:rFonts w:hint="eastAsia" w:ascii="仿宋" w:hAnsi="仿宋" w:eastAsia="仿宋" w:cs="仿宋"/>
          <w:szCs w:val="21"/>
          <w:highlight w:val="none"/>
        </w:rPr>
        <w:t>供应商以联合体谈判各方均为小微企业的，必须填报全部货物制造商的数据，</w:t>
      </w:r>
      <w:r>
        <w:rPr>
          <w:rFonts w:hint="eastAsia" w:ascii="仿宋" w:hAnsi="仿宋" w:eastAsia="仿宋" w:cs="仿宋"/>
          <w:bCs/>
          <w:szCs w:val="21"/>
          <w:highlight w:val="none"/>
        </w:rPr>
        <w:t>未按要求提供、</w:t>
      </w:r>
      <w:r>
        <w:rPr>
          <w:rFonts w:hint="eastAsia" w:ascii="仿宋" w:hAnsi="仿宋" w:eastAsia="仿宋" w:cs="仿宋"/>
          <w:szCs w:val="21"/>
          <w:highlight w:val="none"/>
        </w:rPr>
        <w:t>填报</w:t>
      </w:r>
      <w:r>
        <w:rPr>
          <w:rFonts w:hint="eastAsia" w:ascii="仿宋" w:hAnsi="仿宋" w:eastAsia="仿宋" w:cs="仿宋"/>
          <w:bCs/>
          <w:szCs w:val="21"/>
          <w:highlight w:val="none"/>
        </w:rPr>
        <w:t>的，不享受报价扣除优惠政策。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以</w:t>
      </w:r>
      <w:r>
        <w:rPr>
          <w:rFonts w:hint="eastAsia" w:ascii="仿宋" w:hAnsi="仿宋" w:eastAsia="仿宋" w:cs="仿宋"/>
          <w:kern w:val="0"/>
          <w:szCs w:val="21"/>
          <w:highlight w:val="none"/>
        </w:rPr>
        <w:t>大中型企业与小微企业组成联合体或者大中型企业小微企业分包的供应商，只填写制造商为小微企业的数据，</w:t>
      </w:r>
      <w:r>
        <w:rPr>
          <w:rFonts w:hint="eastAsia" w:ascii="仿宋" w:hAnsi="仿宋" w:eastAsia="仿宋" w:cs="仿宋"/>
          <w:bCs/>
          <w:szCs w:val="21"/>
          <w:highlight w:val="none"/>
        </w:rPr>
        <w:t>未按要求提供、</w:t>
      </w:r>
      <w:r>
        <w:rPr>
          <w:rFonts w:hint="eastAsia" w:ascii="仿宋" w:hAnsi="仿宋" w:eastAsia="仿宋" w:cs="仿宋"/>
          <w:szCs w:val="21"/>
          <w:highlight w:val="none"/>
        </w:rPr>
        <w:t>填报</w:t>
      </w:r>
      <w:r>
        <w:rPr>
          <w:rFonts w:hint="eastAsia" w:ascii="仿宋" w:hAnsi="仿宋" w:eastAsia="仿宋" w:cs="仿宋"/>
          <w:bCs/>
          <w:szCs w:val="21"/>
          <w:highlight w:val="none"/>
        </w:rPr>
        <w:t>的，不享受报价扣除优惠政策。</w:t>
      </w:r>
    </w:p>
    <w:p>
      <w:pPr>
        <w:keepNext w:val="0"/>
        <w:keepLines w:val="0"/>
        <w:pageBreakBefore w:val="0"/>
        <w:widowControl w:val="0"/>
        <w:numPr>
          <w:ilvl w:val="0"/>
          <w:numId w:val="11"/>
        </w:numPr>
        <w:tabs>
          <w:tab w:val="left" w:pos="3600"/>
        </w:tabs>
        <w:kinsoku/>
        <w:wordWrap/>
        <w:overflowPunct/>
        <w:topLinePunct w:val="0"/>
        <w:autoSpaceDE/>
        <w:autoSpaceDN/>
        <w:bidi w:val="0"/>
        <w:adjustRightInd/>
        <w:snapToGrid/>
        <w:spacing w:line="240" w:lineRule="auto"/>
        <w:ind w:firstLine="420" w:firstLineChars="200"/>
        <w:textAlignment w:val="auto"/>
        <w:outlineLvl w:val="0"/>
        <w:rPr>
          <w:rFonts w:hint="eastAsia" w:ascii="仿宋" w:hAnsi="仿宋" w:eastAsia="仿宋" w:cs="仿宋"/>
          <w:szCs w:val="21"/>
          <w:highlight w:val="none"/>
        </w:rPr>
      </w:pPr>
      <w:r>
        <w:rPr>
          <w:rFonts w:hint="eastAsia" w:ascii="仿宋" w:hAnsi="仿宋" w:eastAsia="仿宋" w:cs="仿宋"/>
          <w:szCs w:val="21"/>
          <w:highlight w:val="none"/>
        </w:rPr>
        <w:t>提供残疾人福利单位或监狱企业制造的货物视同小微企业，填报时应当注明。</w:t>
      </w:r>
    </w:p>
    <w:p>
      <w:pPr>
        <w:pStyle w:val="2"/>
        <w:rPr>
          <w:rFonts w:hint="eastAsia"/>
        </w:rPr>
      </w:pPr>
    </w:p>
    <w:p>
      <w:pPr>
        <w:numPr>
          <w:ilvl w:val="0"/>
          <w:numId w:val="0"/>
        </w:numPr>
        <w:tabs>
          <w:tab w:val="left" w:pos="3600"/>
        </w:tabs>
        <w:adjustRightInd w:val="0"/>
        <w:snapToGrid w:val="0"/>
        <w:jc w:val="center"/>
        <w:outlineLvl w:val="0"/>
        <w:rPr>
          <w:rFonts w:ascii="楷体" w:hAnsi="楷体" w:eastAsia="楷体" w:cs="楷体"/>
          <w:color w:val="auto"/>
          <w:spacing w:val="6"/>
          <w:szCs w:val="21"/>
        </w:rPr>
      </w:pPr>
      <w:r>
        <w:rPr>
          <w:rFonts w:hint="eastAsia" w:ascii="黑体" w:hAnsi="黑体" w:eastAsia="黑体" w:cs="黑体"/>
          <w:b w:val="0"/>
          <w:bCs w:val="0"/>
          <w:color w:val="auto"/>
          <w:sz w:val="24"/>
          <w:szCs w:val="24"/>
          <w:lang w:val="en-US" w:eastAsia="zh-CN"/>
        </w:rPr>
        <w:t>格式:</w:t>
      </w:r>
      <w:r>
        <w:rPr>
          <w:rFonts w:hint="eastAsia" w:ascii="黑体" w:hAnsi="黑体" w:eastAsia="黑体" w:cs="黑体"/>
          <w:b w:val="0"/>
          <w:bCs w:val="0"/>
          <w:color w:val="auto"/>
          <w:sz w:val="24"/>
          <w:szCs w:val="24"/>
        </w:rPr>
        <w:t>1</w:t>
      </w:r>
      <w:r>
        <w:rPr>
          <w:rFonts w:hint="eastAsia" w:ascii="黑体" w:hAnsi="黑体" w:eastAsia="黑体" w:cs="黑体"/>
          <w:b w:val="0"/>
          <w:bCs w:val="0"/>
          <w:color w:val="auto"/>
          <w:sz w:val="24"/>
          <w:szCs w:val="24"/>
          <w:lang w:val="en-US" w:eastAsia="zh-CN"/>
        </w:rPr>
        <w:t>0</w:t>
      </w:r>
      <w:r>
        <w:rPr>
          <w:rFonts w:hint="eastAsia" w:ascii="黑体" w:hAnsi="黑体" w:eastAsia="黑体" w:cs="黑体"/>
          <w:b w:val="0"/>
          <w:bCs w:val="0"/>
          <w:color w:val="auto"/>
          <w:sz w:val="24"/>
          <w:szCs w:val="24"/>
        </w:rPr>
        <w:t>-2.残疾人福利性单位声明函</w:t>
      </w:r>
      <w:bookmarkEnd w:id="502"/>
    </w:p>
    <w:p>
      <w:pPr>
        <w:spacing w:before="480" w:beforeLines="200"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本单位郑重声明，根据《财政部 民政部 中国残疾人联合会关于促进残疾人就业政府采购政策的通知》（财库</w:t>
      </w:r>
      <w:r>
        <w:rPr>
          <w:rFonts w:hint="eastAsia" w:ascii="仿宋" w:hAnsi="仿宋" w:eastAsia="仿宋" w:cs="仿宋"/>
          <w:szCs w:val="21"/>
          <w:highlight w:val="none"/>
        </w:rPr>
        <w:t>〔2017〕141</w:t>
      </w:r>
      <w:r>
        <w:rPr>
          <w:rFonts w:hint="eastAsia" w:ascii="仿宋" w:hAnsi="仿宋" w:eastAsia="仿宋" w:cs="仿宋"/>
          <w:spacing w:val="6"/>
          <w:szCs w:val="21"/>
          <w:highlight w:val="none"/>
        </w:rPr>
        <w:t>号）的规定，本单位为符合条件的残疾人福利性单位，且本单位参加</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单位的</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项目采购活动提供本单位制造的货物，或者提供其他残疾人福利性单位制造的货物（不包括使用非残疾人福利性单位注册商标的货物）具体情况如下：</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w:t>
      </w:r>
      <w:r>
        <w:rPr>
          <w:rFonts w:hint="eastAsia" w:ascii="仿宋" w:hAnsi="仿宋" w:eastAsia="仿宋" w:cs="仿宋"/>
          <w:spacing w:val="6"/>
          <w:szCs w:val="21"/>
          <w:highlight w:val="none"/>
          <w:u w:val="single"/>
        </w:rPr>
        <w:t>标 的 名 称</w:t>
      </w:r>
      <w:r>
        <w:rPr>
          <w:rFonts w:hint="eastAsia" w:ascii="仿宋" w:hAnsi="仿宋" w:eastAsia="仿宋" w:cs="仿宋"/>
          <w:spacing w:val="6"/>
          <w:szCs w:val="21"/>
          <w:highlight w:val="none"/>
        </w:rPr>
        <w:t>)，制造商为(</w:t>
      </w:r>
      <w:r>
        <w:rPr>
          <w:rFonts w:hint="eastAsia" w:ascii="仿宋" w:hAnsi="仿宋" w:eastAsia="仿宋" w:cs="仿宋"/>
          <w:spacing w:val="6"/>
          <w:szCs w:val="21"/>
          <w:highlight w:val="none"/>
          <w:u w:val="single"/>
        </w:rPr>
        <w:t>单 位 名 称</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人，其中残疾人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人，为符合条件的残疾人福利性单位；</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6"/>
          <w:szCs w:val="21"/>
          <w:highlight w:val="none"/>
          <w:u w:val="single"/>
        </w:rPr>
        <w:t>标 的 名 称</w:t>
      </w:r>
      <w:r>
        <w:rPr>
          <w:rFonts w:hint="eastAsia" w:ascii="仿宋" w:hAnsi="仿宋" w:eastAsia="仿宋" w:cs="仿宋"/>
          <w:spacing w:val="6"/>
          <w:szCs w:val="21"/>
          <w:highlight w:val="none"/>
        </w:rPr>
        <w:t>)，制造商为(</w:t>
      </w:r>
      <w:r>
        <w:rPr>
          <w:rFonts w:hint="eastAsia" w:ascii="仿宋" w:hAnsi="仿宋" w:eastAsia="仿宋" w:cs="仿宋"/>
          <w:spacing w:val="6"/>
          <w:szCs w:val="21"/>
          <w:highlight w:val="none"/>
          <w:u w:val="single"/>
        </w:rPr>
        <w:t>单 位 名 称</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人，其中残疾人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人，为符合条件的残疾人福利性单位；</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3.(</w:t>
      </w:r>
      <w:r>
        <w:rPr>
          <w:rFonts w:hint="eastAsia" w:ascii="仿宋" w:hAnsi="仿宋" w:eastAsia="仿宋" w:cs="仿宋"/>
          <w:spacing w:val="6"/>
          <w:szCs w:val="21"/>
          <w:highlight w:val="none"/>
          <w:u w:val="single"/>
        </w:rPr>
        <w:t>标 的 名 称</w:t>
      </w:r>
      <w:r>
        <w:rPr>
          <w:rFonts w:hint="eastAsia" w:ascii="仿宋" w:hAnsi="仿宋" w:eastAsia="仿宋" w:cs="仿宋"/>
          <w:spacing w:val="6"/>
          <w:szCs w:val="21"/>
          <w:highlight w:val="none"/>
        </w:rPr>
        <w:t>)，制造商为(</w:t>
      </w:r>
      <w:r>
        <w:rPr>
          <w:rFonts w:hint="eastAsia" w:ascii="仿宋" w:hAnsi="仿宋" w:eastAsia="仿宋" w:cs="仿宋"/>
          <w:spacing w:val="6"/>
          <w:szCs w:val="21"/>
          <w:highlight w:val="none"/>
          <w:u w:val="single"/>
        </w:rPr>
        <w:t>单 位 名 称</w:t>
      </w:r>
      <w:r>
        <w:rPr>
          <w:rFonts w:hint="eastAsia" w:ascii="仿宋" w:hAnsi="仿宋" w:eastAsia="仿宋" w:cs="仿宋"/>
          <w:spacing w:val="6"/>
          <w:szCs w:val="21"/>
          <w:highlight w:val="none"/>
        </w:rPr>
        <w:t>)，从业人员</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人，其中残疾人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人，为符合条件的残疾人福利性单位；</w:t>
      </w: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w:t>
      </w:r>
    </w:p>
    <w:p>
      <w:pPr>
        <w:spacing w:line="360" w:lineRule="auto"/>
        <w:ind w:firstLine="444" w:firstLineChars="200"/>
        <w:rPr>
          <w:rFonts w:hint="eastAsia" w:ascii="仿宋" w:hAnsi="仿宋" w:eastAsia="仿宋" w:cs="仿宋"/>
          <w:spacing w:val="6"/>
          <w:szCs w:val="21"/>
          <w:highlight w:val="none"/>
        </w:rPr>
      </w:pPr>
    </w:p>
    <w:p>
      <w:pPr>
        <w:spacing w:line="360" w:lineRule="auto"/>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本单位对上述声明的真实性负责。如有虚假，将依法承担相应责任。</w:t>
      </w:r>
    </w:p>
    <w:p>
      <w:pPr>
        <w:spacing w:line="360" w:lineRule="auto"/>
        <w:ind w:firstLine="444" w:firstLineChars="200"/>
        <w:rPr>
          <w:rFonts w:hint="eastAsia" w:ascii="仿宋" w:hAnsi="仿宋" w:eastAsia="仿宋" w:cs="仿宋"/>
          <w:spacing w:val="6"/>
          <w:szCs w:val="21"/>
          <w:highlight w:val="none"/>
        </w:rPr>
      </w:pPr>
    </w:p>
    <w:p>
      <w:pPr>
        <w:spacing w:line="360" w:lineRule="auto"/>
        <w:ind w:firstLine="444" w:firstLineChars="200"/>
        <w:rPr>
          <w:rFonts w:hint="eastAsia" w:ascii="仿宋" w:hAnsi="仿宋" w:eastAsia="仿宋" w:cs="仿宋"/>
          <w:spacing w:val="6"/>
          <w:szCs w:val="21"/>
          <w:highlight w:val="none"/>
        </w:rPr>
      </w:pPr>
    </w:p>
    <w:p>
      <w:pPr>
        <w:tabs>
          <w:tab w:val="left" w:pos="4860"/>
        </w:tabs>
        <w:spacing w:line="360" w:lineRule="auto"/>
        <w:ind w:right="1560" w:firstLine="444" w:firstLineChars="200"/>
        <w:jc w:val="center"/>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                          单位名称：</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（盖单位章）：</w:t>
      </w:r>
    </w:p>
    <w:p>
      <w:pPr>
        <w:tabs>
          <w:tab w:val="left" w:pos="4860"/>
        </w:tabs>
        <w:spacing w:line="360" w:lineRule="auto"/>
        <w:ind w:right="1560" w:firstLine="444" w:firstLineChars="200"/>
        <w:jc w:val="left"/>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 </w:t>
      </w:r>
    </w:p>
    <w:p>
      <w:pPr>
        <w:tabs>
          <w:tab w:val="left" w:pos="4860"/>
        </w:tabs>
        <w:spacing w:line="360" w:lineRule="auto"/>
        <w:ind w:right="1560" w:firstLine="444" w:firstLineChars="200"/>
        <w:jc w:val="center"/>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                   日     期：    年   月  日</w:t>
      </w:r>
    </w:p>
    <w:p>
      <w:pPr>
        <w:tabs>
          <w:tab w:val="left" w:pos="4860"/>
        </w:tabs>
        <w:spacing w:line="360" w:lineRule="auto"/>
        <w:ind w:right="1560" w:firstLine="444" w:firstLineChars="200"/>
        <w:jc w:val="left"/>
        <w:rPr>
          <w:rFonts w:hint="eastAsia" w:ascii="仿宋" w:hAnsi="仿宋" w:eastAsia="仿宋" w:cs="仿宋"/>
          <w:spacing w:val="6"/>
          <w:szCs w:val="21"/>
          <w:highlight w:val="none"/>
        </w:rPr>
      </w:pPr>
    </w:p>
    <w:p>
      <w:pPr>
        <w:tabs>
          <w:tab w:val="left" w:pos="4860"/>
        </w:tabs>
        <w:ind w:right="1559"/>
        <w:jc w:val="left"/>
        <w:rPr>
          <w:rFonts w:hint="eastAsia" w:ascii="仿宋" w:hAnsi="仿宋" w:eastAsia="仿宋" w:cs="仿宋"/>
          <w:szCs w:val="21"/>
          <w:highlight w:val="none"/>
        </w:rPr>
      </w:pPr>
      <w:r>
        <w:rPr>
          <w:rFonts w:hint="eastAsia" w:ascii="仿宋" w:hAnsi="仿宋" w:eastAsia="仿宋" w:cs="仿宋"/>
          <w:szCs w:val="21"/>
          <w:highlight w:val="none"/>
        </w:rPr>
        <w:t>说明：</w:t>
      </w:r>
    </w:p>
    <w:p>
      <w:pPr>
        <w:adjustRightInd w:val="0"/>
        <w:snapToGrid w:val="0"/>
        <w:spacing w:line="360" w:lineRule="exact"/>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（1）填报前请认真阅读</w:t>
      </w:r>
      <w:r>
        <w:rPr>
          <w:rFonts w:hint="eastAsia" w:ascii="仿宋" w:hAnsi="仿宋" w:eastAsia="仿宋" w:cs="仿宋"/>
          <w:spacing w:val="6"/>
          <w:szCs w:val="21"/>
          <w:highlight w:val="none"/>
        </w:rPr>
        <w:t>《财政部、民政部、中国残疾人联合会关于促进残疾人就业政府采购政策的通知》（财库</w:t>
      </w:r>
      <w:r>
        <w:rPr>
          <w:rFonts w:hint="eastAsia" w:ascii="仿宋" w:hAnsi="仿宋" w:eastAsia="仿宋" w:cs="仿宋"/>
          <w:szCs w:val="21"/>
          <w:highlight w:val="none"/>
        </w:rPr>
        <w:t>〔2017〕141</w:t>
      </w:r>
      <w:r>
        <w:rPr>
          <w:rFonts w:hint="eastAsia" w:ascii="仿宋" w:hAnsi="仿宋" w:eastAsia="仿宋" w:cs="仿宋"/>
          <w:spacing w:val="6"/>
          <w:szCs w:val="21"/>
          <w:highlight w:val="none"/>
        </w:rPr>
        <w:t>号）的规定。</w:t>
      </w:r>
    </w:p>
    <w:p>
      <w:pPr>
        <w:adjustRightInd w:val="0"/>
        <w:snapToGrid w:val="0"/>
        <w:spacing w:line="360" w:lineRule="exact"/>
        <w:ind w:firstLine="525" w:firstLineChars="250"/>
        <w:rPr>
          <w:rFonts w:hint="eastAsia" w:ascii="仿宋" w:hAnsi="仿宋" w:eastAsia="仿宋" w:cs="仿宋"/>
          <w:bCs/>
          <w:szCs w:val="21"/>
          <w:highlight w:val="none"/>
        </w:rPr>
      </w:pPr>
      <w:r>
        <w:rPr>
          <w:rFonts w:hint="eastAsia" w:ascii="仿宋" w:hAnsi="仿宋" w:eastAsia="仿宋" w:cs="仿宋"/>
          <w:szCs w:val="21"/>
          <w:highlight w:val="none"/>
        </w:rPr>
        <w:t>（2）供应商属于残疾人福利性单位的，必须填报全部货物制造商的数据，</w:t>
      </w:r>
      <w:r>
        <w:rPr>
          <w:rFonts w:hint="eastAsia" w:ascii="仿宋" w:hAnsi="仿宋" w:eastAsia="仿宋" w:cs="仿宋"/>
          <w:bCs/>
          <w:szCs w:val="21"/>
          <w:highlight w:val="none"/>
        </w:rPr>
        <w:t>未按要求提供、</w:t>
      </w:r>
      <w:r>
        <w:rPr>
          <w:rFonts w:hint="eastAsia" w:ascii="仿宋" w:hAnsi="仿宋" w:eastAsia="仿宋" w:cs="仿宋"/>
          <w:szCs w:val="21"/>
          <w:highlight w:val="none"/>
        </w:rPr>
        <w:t>填报</w:t>
      </w:r>
      <w:r>
        <w:rPr>
          <w:rFonts w:hint="eastAsia" w:ascii="仿宋" w:hAnsi="仿宋" w:eastAsia="仿宋" w:cs="仿宋"/>
          <w:bCs/>
          <w:szCs w:val="21"/>
          <w:highlight w:val="none"/>
        </w:rPr>
        <w:t>或者非残疾人福利性单位制造货物的，不享受报价扣除优惠政策。</w:t>
      </w:r>
    </w:p>
    <w:p>
      <w:pPr>
        <w:adjustRightInd w:val="0"/>
        <w:snapToGrid w:val="0"/>
        <w:spacing w:before="50" w:line="360" w:lineRule="auto"/>
        <w:jc w:val="center"/>
        <w:rPr>
          <w:rFonts w:hint="eastAsia" w:ascii="仿宋" w:hAnsi="仿宋" w:eastAsia="仿宋" w:cs="仿宋"/>
          <w:b/>
          <w:bCs/>
          <w:color w:val="auto"/>
          <w:sz w:val="24"/>
          <w:szCs w:val="24"/>
        </w:rPr>
      </w:pPr>
    </w:p>
    <w:p>
      <w:pPr>
        <w:adjustRightInd w:val="0"/>
        <w:snapToGrid w:val="0"/>
        <w:spacing w:before="50" w:line="360" w:lineRule="auto"/>
        <w:jc w:val="both"/>
        <w:rPr>
          <w:rFonts w:hint="eastAsia" w:ascii="楷体" w:hAnsi="楷体" w:eastAsia="楷体" w:cs="楷体"/>
          <w:b/>
          <w:bCs/>
          <w:color w:val="auto"/>
          <w:sz w:val="24"/>
          <w:szCs w:val="24"/>
          <w:lang w:val="en-US" w:eastAsia="zh-CN"/>
        </w:rPr>
      </w:pPr>
    </w:p>
    <w:p>
      <w:pPr>
        <w:pStyle w:val="2"/>
        <w:rPr>
          <w:rFonts w:hint="eastAsia"/>
          <w:lang w:val="en-US" w:eastAsia="zh-CN"/>
        </w:rPr>
      </w:pPr>
    </w:p>
    <w:p>
      <w:pPr>
        <w:adjustRightInd w:val="0"/>
        <w:snapToGrid w:val="0"/>
        <w:spacing w:before="50" w:line="360" w:lineRule="auto"/>
        <w:jc w:val="center"/>
        <w:outlineLvl w:val="0"/>
        <w:rPr>
          <w:rFonts w:hint="eastAsia" w:ascii="黑体" w:hAnsi="黑体" w:eastAsia="黑体" w:cs="黑体"/>
          <w:b w:val="0"/>
          <w:bCs w:val="0"/>
          <w:color w:val="auto"/>
          <w:sz w:val="24"/>
          <w:szCs w:val="24"/>
        </w:rPr>
      </w:pPr>
      <w:bookmarkStart w:id="503" w:name="_Toc21186"/>
      <w:r>
        <w:rPr>
          <w:rFonts w:hint="eastAsia" w:ascii="黑体" w:hAnsi="黑体" w:eastAsia="黑体" w:cs="黑体"/>
          <w:b w:val="0"/>
          <w:bCs w:val="0"/>
          <w:color w:val="auto"/>
          <w:sz w:val="24"/>
          <w:szCs w:val="24"/>
          <w:lang w:val="en-US" w:eastAsia="zh-CN"/>
        </w:rPr>
        <w:t>格式:</w:t>
      </w:r>
      <w:r>
        <w:rPr>
          <w:rFonts w:hint="eastAsia" w:ascii="黑体" w:hAnsi="黑体" w:eastAsia="黑体" w:cs="黑体"/>
          <w:b w:val="0"/>
          <w:bCs w:val="0"/>
          <w:color w:val="auto"/>
          <w:sz w:val="24"/>
          <w:szCs w:val="24"/>
        </w:rPr>
        <w:t>1</w:t>
      </w:r>
      <w:r>
        <w:rPr>
          <w:rFonts w:hint="eastAsia" w:ascii="黑体" w:hAnsi="黑体" w:eastAsia="黑体" w:cs="黑体"/>
          <w:b w:val="0"/>
          <w:bCs w:val="0"/>
          <w:color w:val="auto"/>
          <w:sz w:val="24"/>
          <w:szCs w:val="24"/>
          <w:lang w:val="en-US" w:eastAsia="zh-CN"/>
        </w:rPr>
        <w:t>0</w:t>
      </w:r>
      <w:r>
        <w:rPr>
          <w:rFonts w:hint="eastAsia" w:ascii="黑体" w:hAnsi="黑体" w:eastAsia="黑体" w:cs="黑体"/>
          <w:b w:val="0"/>
          <w:bCs w:val="0"/>
          <w:color w:val="auto"/>
          <w:sz w:val="24"/>
          <w:szCs w:val="24"/>
        </w:rPr>
        <w:t>-3.监狱企业证明</w:t>
      </w:r>
      <w:bookmarkEnd w:id="50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rPr>
      </w:pPr>
      <w:r>
        <w:rPr>
          <w:rFonts w:hint="eastAsia" w:ascii="仿宋" w:hAnsi="仿宋" w:eastAsia="仿宋" w:cs="仿宋"/>
          <w:color w:val="auto"/>
          <w:szCs w:val="21"/>
        </w:rPr>
        <w:t>说明：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楷体" w:hAnsi="楷体" w:eastAsia="楷体" w:cs="楷体"/>
          <w:b/>
          <w:color w:val="auto"/>
          <w:spacing w:val="4"/>
          <w:szCs w:val="21"/>
        </w:rPr>
      </w:pPr>
      <w:r>
        <w:rPr>
          <w:rFonts w:hint="eastAsia" w:ascii="仿宋" w:hAnsi="仿宋" w:eastAsia="仿宋" w:cs="仿宋"/>
          <w:color w:val="auto"/>
          <w:szCs w:val="21"/>
        </w:rPr>
        <w:t>监狱企业参加政府采购活动时，应当提供由省级以上监狱管理局、戒毒管理局（含新疆生产建设兵团）出具的属于监狱企业的证明文件，非监狱企业无需提供。</w:t>
      </w:r>
    </w:p>
    <w:bookmarkEnd w:id="499"/>
    <w:bookmarkEnd w:id="500"/>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ascii="楷体" w:hAnsi="楷体" w:eastAsia="楷体" w:cs="楷体"/>
          <w:color w:val="0000FF"/>
          <w:szCs w:val="21"/>
        </w:rPr>
      </w:pPr>
    </w:p>
    <w:p>
      <w:pPr>
        <w:pStyle w:val="148"/>
        <w:ind w:firstLine="0" w:firstLineChars="0"/>
        <w:rPr>
          <w:rFonts w:hint="eastAsia" w:ascii="仿宋" w:hAnsi="仿宋" w:eastAsia="仿宋" w:cs="仿宋"/>
          <w:sz w:val="21"/>
          <w:szCs w:val="21"/>
        </w:rPr>
      </w:pPr>
    </w:p>
    <w:sectPr>
      <w:headerReference r:id="rId11" w:type="default"/>
      <w:footerReference r:id="rId12" w:type="default"/>
      <w:pgSz w:w="11906" w:h="16838"/>
      <w:pgMar w:top="1701" w:right="1417" w:bottom="141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6113B-B4A4-4FB5-969B-5107AF5638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embedRegular r:id="rId2" w:fontKey="{FBCD1FAB-A3DF-4A1D-9CB2-7322C1A9360F}"/>
  </w:font>
  <w:font w:name="仿宋">
    <w:panose1 w:val="02010609060101010101"/>
    <w:charset w:val="86"/>
    <w:family w:val="auto"/>
    <w:pitch w:val="default"/>
    <w:sig w:usb0="800002BF" w:usb1="38CF7CFA" w:usb2="00000016" w:usb3="00000000" w:csb0="00040001" w:csb1="00000000"/>
    <w:embedRegular r:id="rId3" w:fontKey="{52CDC454-AEC9-40B1-8202-88F456E8E26D}"/>
  </w:font>
  <w:font w:name="MS Sans Serif">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4" w:fontKey="{EED1696A-AF69-46F6-84C7-D51A967CC934}"/>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embedRegular r:id="rId5" w:fontKey="{F4C9FD93-5766-4444-97F0-7E38A2E8DDE0}"/>
  </w:font>
  <w:font w:name="方正粗黑宋简体">
    <w:panose1 w:val="02000000000000000000"/>
    <w:charset w:val="86"/>
    <w:family w:val="auto"/>
    <w:pitch w:val="default"/>
    <w:sig w:usb0="A00002BF" w:usb1="184F6CFA" w:usb2="00000012" w:usb3="00000000" w:csb0="00040001" w:csb1="00000000"/>
    <w:embedRegular r:id="rId6" w:fontKey="{357CC6C1-650D-4BEF-94D5-4193D7F0D8DF}"/>
  </w:font>
  <w:font w:name="新宋体">
    <w:panose1 w:val="02010609030101010101"/>
    <w:charset w:val="86"/>
    <w:family w:val="auto"/>
    <w:pitch w:val="default"/>
    <w:sig w:usb0="00000283" w:usb1="288F0000" w:usb2="00000006" w:usb3="00000000" w:csb0="00040001" w:csb1="00000000"/>
    <w:embedRegular r:id="rId7" w:fontKey="{76EB6A54-C945-42CF-A6E8-8128FFF708D4}"/>
  </w:font>
  <w:font w:name="Wingdings 2">
    <w:panose1 w:val="05020102010507070707"/>
    <w:charset w:val="02"/>
    <w:family w:val="auto"/>
    <w:pitch w:val="default"/>
    <w:sig w:usb0="00000000" w:usb1="00000000" w:usb2="00000000" w:usb3="00000000" w:csb0="80000000" w:csb1="00000000"/>
    <w:embedRegular r:id="rId8" w:fontKey="{844C2DD7-4A8A-4D1F-AE33-9B4F91A15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407"/>
        <w:tab w:val="left" w:pos="5256"/>
        <w:tab w:val="clear" w:pos="4153"/>
        <w:tab w:val="clear" w:pos="8306"/>
      </w:tabs>
      <w:rPr>
        <w:rFonts w:ascii="方正粗黑宋简体" w:hAnsi="方正粗黑宋简体" w:eastAsia="方正粗黑宋简体" w:cs="方正粗黑宋简体"/>
        <w:b/>
        <w:bCs/>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407"/>
        <w:tab w:val="left" w:pos="5256"/>
        <w:tab w:val="clear" w:pos="4153"/>
        <w:tab w:val="clear" w:pos="8306"/>
      </w:tabs>
      <w:rPr>
        <w:rFonts w:ascii="方正粗黑宋简体" w:hAnsi="方正粗黑宋简体" w:eastAsia="方正粗黑宋简体" w:cs="方正粗黑宋简体"/>
        <w:b/>
        <w:bCs/>
        <w:u w:val="doub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407"/>
        <w:tab w:val="left" w:pos="5256"/>
        <w:tab w:val="clear" w:pos="4153"/>
        <w:tab w:val="clear" w:pos="8306"/>
      </w:tabs>
      <w:rPr>
        <w:rFonts w:ascii="方正粗黑宋简体" w:hAnsi="方正粗黑宋简体" w:eastAsia="方正粗黑宋简体" w:cs="方正粗黑宋简体"/>
        <w:b/>
        <w:bCs/>
        <w:u w:val="doub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37</w:t>
                    </w:r>
                    <w:r>
                      <w:fldChar w:fldCharType="end"/>
                    </w:r>
                  </w:p>
                </w:txbxContent>
              </v:textbox>
            </v:shape>
          </w:pict>
        </mc:Fallback>
      </mc:AlternateConten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firstLine="2520" w:firstLineChars="1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tabs>
        <w:tab w:val="right" w:pos="0"/>
        <w:tab w:val="clear" w:pos="4153"/>
        <w:tab w:val="clear" w:pos="8306"/>
      </w:tabs>
      <w:jc w:val="both"/>
      <w:rPr>
        <w:rFonts w:ascii="楷体" w:hAnsi="楷体" w:eastAsia="楷体" w:cs="楷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3663B"/>
    <w:multiLevelType w:val="singleLevel"/>
    <w:tmpl w:val="9E63663B"/>
    <w:lvl w:ilvl="0" w:tentative="0">
      <w:start w:val="9"/>
      <w:numFmt w:val="decimal"/>
      <w:suff w:val="nothing"/>
      <w:lvlText w:val="%1、"/>
      <w:lvlJc w:val="left"/>
    </w:lvl>
  </w:abstractNum>
  <w:abstractNum w:abstractNumId="1">
    <w:nsid w:val="AB74938F"/>
    <w:multiLevelType w:val="singleLevel"/>
    <w:tmpl w:val="AB74938F"/>
    <w:lvl w:ilvl="0" w:tentative="0">
      <w:start w:val="12"/>
      <w:numFmt w:val="chineseCounting"/>
      <w:suff w:val="nothing"/>
      <w:lvlText w:val="%1、"/>
      <w:lvlJc w:val="left"/>
      <w:rPr>
        <w:rFonts w:hint="eastAsia" w:cs="Times New Roman"/>
      </w:rPr>
    </w:lvl>
  </w:abstractNum>
  <w:abstractNum w:abstractNumId="2">
    <w:nsid w:val="E3E5D7A4"/>
    <w:multiLevelType w:val="singleLevel"/>
    <w:tmpl w:val="E3E5D7A4"/>
    <w:lvl w:ilvl="0" w:tentative="0">
      <w:start w:val="2"/>
      <w:numFmt w:val="chineseCounting"/>
      <w:suff w:val="space"/>
      <w:lvlText w:val="%1、"/>
      <w:lvlJc w:val="left"/>
      <w:rPr>
        <w:rFonts w:hint="eastAsia"/>
      </w:rPr>
    </w:lvl>
  </w:abstractNum>
  <w:abstractNum w:abstractNumId="3">
    <w:nsid w:val="E844762E"/>
    <w:multiLevelType w:val="singleLevel"/>
    <w:tmpl w:val="E844762E"/>
    <w:lvl w:ilvl="0" w:tentative="0">
      <w:start w:val="4"/>
      <w:numFmt w:val="decimal"/>
      <w:suff w:val="nothing"/>
      <w:lvlText w:val="（%1）"/>
      <w:lvlJc w:val="left"/>
    </w:lvl>
  </w:abstractNum>
  <w:abstractNum w:abstractNumId="4">
    <w:nsid w:val="F790F017"/>
    <w:multiLevelType w:val="singleLevel"/>
    <w:tmpl w:val="F790F017"/>
    <w:lvl w:ilvl="0" w:tentative="0">
      <w:start w:val="1"/>
      <w:numFmt w:val="decimal"/>
      <w:lvlText w:val="(%1)"/>
      <w:lvlJc w:val="left"/>
      <w:pPr>
        <w:ind w:left="425" w:hanging="425"/>
      </w:pPr>
      <w:rPr>
        <w:rFonts w:hint="default"/>
      </w:rPr>
    </w:lvl>
  </w:abstractNum>
  <w:abstractNum w:abstractNumId="5">
    <w:nsid w:val="FA4BA8C5"/>
    <w:multiLevelType w:val="singleLevel"/>
    <w:tmpl w:val="FA4BA8C5"/>
    <w:lvl w:ilvl="0" w:tentative="0">
      <w:start w:val="5"/>
      <w:numFmt w:val="chineseCounting"/>
      <w:suff w:val="space"/>
      <w:lvlText w:val="第%1章"/>
      <w:lvlJc w:val="left"/>
      <w:rPr>
        <w:rFonts w:hint="eastAsia"/>
      </w:rPr>
    </w:lvl>
  </w:abstractNum>
  <w:abstractNum w:abstractNumId="6">
    <w:nsid w:val="0101F33F"/>
    <w:multiLevelType w:val="singleLevel"/>
    <w:tmpl w:val="0101F33F"/>
    <w:lvl w:ilvl="0" w:tentative="0">
      <w:start w:val="1"/>
      <w:numFmt w:val="decimal"/>
      <w:suff w:val="nothing"/>
      <w:lvlText w:val="%1、"/>
      <w:lvlJc w:val="left"/>
      <w:pPr>
        <w:ind w:left="480" w:leftChars="0" w:firstLine="0" w:firstLineChars="0"/>
      </w:pPr>
    </w:lvl>
  </w:abstractNum>
  <w:abstractNum w:abstractNumId="7">
    <w:nsid w:val="15862541"/>
    <w:multiLevelType w:val="singleLevel"/>
    <w:tmpl w:val="15862541"/>
    <w:lvl w:ilvl="0" w:tentative="0">
      <w:start w:val="6"/>
      <w:numFmt w:val="chineseCounting"/>
      <w:suff w:val="nothing"/>
      <w:lvlText w:val="%1、"/>
      <w:lvlJc w:val="left"/>
      <w:rPr>
        <w:rFonts w:hint="eastAsia"/>
      </w:rPr>
    </w:lvl>
  </w:abstractNum>
  <w:abstractNum w:abstractNumId="8">
    <w:nsid w:val="1BE02A9C"/>
    <w:multiLevelType w:val="singleLevel"/>
    <w:tmpl w:val="1BE02A9C"/>
    <w:lvl w:ilvl="0" w:tentative="0">
      <w:start w:val="1"/>
      <w:numFmt w:val="decimal"/>
      <w:suff w:val="nothing"/>
      <w:lvlText w:val="%1、"/>
      <w:lvlJc w:val="left"/>
    </w:lvl>
  </w:abstractNum>
  <w:abstractNum w:abstractNumId="9">
    <w:nsid w:val="6850222B"/>
    <w:multiLevelType w:val="singleLevel"/>
    <w:tmpl w:val="6850222B"/>
    <w:lvl w:ilvl="0" w:tentative="0">
      <w:start w:val="1"/>
      <w:numFmt w:val="decimal"/>
      <w:suff w:val="space"/>
      <w:lvlText w:val="%1."/>
      <w:lvlJc w:val="left"/>
    </w:lvl>
  </w:abstractNum>
  <w:abstractNum w:abstractNumId="10">
    <w:nsid w:val="7773FD86"/>
    <w:multiLevelType w:val="singleLevel"/>
    <w:tmpl w:val="7773FD86"/>
    <w:lvl w:ilvl="0" w:tentative="0">
      <w:start w:val="1"/>
      <w:numFmt w:val="decimal"/>
      <w:suff w:val="nothing"/>
      <w:lvlText w:val="%1）"/>
      <w:lvlJc w:val="left"/>
    </w:lvl>
  </w:abstractNum>
  <w:num w:numId="1">
    <w:abstractNumId w:val="7"/>
  </w:num>
  <w:num w:numId="2">
    <w:abstractNumId w:val="9"/>
  </w:num>
  <w:num w:numId="3">
    <w:abstractNumId w:val="4"/>
  </w:num>
  <w:num w:numId="4">
    <w:abstractNumId w:val="8"/>
  </w:num>
  <w:num w:numId="5">
    <w:abstractNumId w:val="5"/>
  </w:num>
  <w:num w:numId="6">
    <w:abstractNumId w:val="1"/>
  </w:num>
  <w:num w:numId="7">
    <w:abstractNumId w:val="10"/>
  </w:num>
  <w:num w:numId="8">
    <w:abstractNumId w:val="2"/>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M1NTEwMTJjMDU4MGM2NmZhMjIzYjk2ZGZhZmYifQ=="/>
  </w:docVars>
  <w:rsids>
    <w:rsidRoot w:val="00172A27"/>
    <w:rsid w:val="000001D1"/>
    <w:rsid w:val="00003574"/>
    <w:rsid w:val="0000688B"/>
    <w:rsid w:val="0000731E"/>
    <w:rsid w:val="00007BCE"/>
    <w:rsid w:val="00007DED"/>
    <w:rsid w:val="00016C5D"/>
    <w:rsid w:val="00021E99"/>
    <w:rsid w:val="00023F5F"/>
    <w:rsid w:val="00025A75"/>
    <w:rsid w:val="00025A93"/>
    <w:rsid w:val="00025E20"/>
    <w:rsid w:val="000267EF"/>
    <w:rsid w:val="00037BE7"/>
    <w:rsid w:val="00040C24"/>
    <w:rsid w:val="000415D5"/>
    <w:rsid w:val="00043C5B"/>
    <w:rsid w:val="00043EA3"/>
    <w:rsid w:val="0004459A"/>
    <w:rsid w:val="00045266"/>
    <w:rsid w:val="00047899"/>
    <w:rsid w:val="000478F1"/>
    <w:rsid w:val="000538D8"/>
    <w:rsid w:val="000554EC"/>
    <w:rsid w:val="00056052"/>
    <w:rsid w:val="000568B9"/>
    <w:rsid w:val="00056A12"/>
    <w:rsid w:val="00061C52"/>
    <w:rsid w:val="0006415F"/>
    <w:rsid w:val="0006580D"/>
    <w:rsid w:val="00071935"/>
    <w:rsid w:val="000740A9"/>
    <w:rsid w:val="000A06D1"/>
    <w:rsid w:val="000A756F"/>
    <w:rsid w:val="000B1DF8"/>
    <w:rsid w:val="000B41D0"/>
    <w:rsid w:val="000D10E4"/>
    <w:rsid w:val="000D548B"/>
    <w:rsid w:val="000D6161"/>
    <w:rsid w:val="000D7181"/>
    <w:rsid w:val="000E1026"/>
    <w:rsid w:val="000E2A9D"/>
    <w:rsid w:val="000E2E8A"/>
    <w:rsid w:val="000E3FC3"/>
    <w:rsid w:val="000E4F4A"/>
    <w:rsid w:val="000E751C"/>
    <w:rsid w:val="000E7FF9"/>
    <w:rsid w:val="000F552C"/>
    <w:rsid w:val="000F73EF"/>
    <w:rsid w:val="000F7B80"/>
    <w:rsid w:val="00100D67"/>
    <w:rsid w:val="00105780"/>
    <w:rsid w:val="001075B9"/>
    <w:rsid w:val="00110934"/>
    <w:rsid w:val="00116098"/>
    <w:rsid w:val="00116F6D"/>
    <w:rsid w:val="00120A77"/>
    <w:rsid w:val="00124490"/>
    <w:rsid w:val="00130A0E"/>
    <w:rsid w:val="00140B69"/>
    <w:rsid w:val="0014684D"/>
    <w:rsid w:val="0015178F"/>
    <w:rsid w:val="00153055"/>
    <w:rsid w:val="001566DD"/>
    <w:rsid w:val="001675EC"/>
    <w:rsid w:val="00170817"/>
    <w:rsid w:val="00172A27"/>
    <w:rsid w:val="00190D7C"/>
    <w:rsid w:val="001927A2"/>
    <w:rsid w:val="0019653E"/>
    <w:rsid w:val="001A4114"/>
    <w:rsid w:val="001A4DBA"/>
    <w:rsid w:val="001A6DE3"/>
    <w:rsid w:val="001A722B"/>
    <w:rsid w:val="001B1981"/>
    <w:rsid w:val="001B55DB"/>
    <w:rsid w:val="001B66DA"/>
    <w:rsid w:val="001C04AD"/>
    <w:rsid w:val="001C59BE"/>
    <w:rsid w:val="001C7AB4"/>
    <w:rsid w:val="001E5215"/>
    <w:rsid w:val="001F0DF9"/>
    <w:rsid w:val="001F18AF"/>
    <w:rsid w:val="001F4501"/>
    <w:rsid w:val="001F5C0C"/>
    <w:rsid w:val="001F78C7"/>
    <w:rsid w:val="0020175C"/>
    <w:rsid w:val="00202095"/>
    <w:rsid w:val="002102D0"/>
    <w:rsid w:val="0021317D"/>
    <w:rsid w:val="00217C44"/>
    <w:rsid w:val="00223D99"/>
    <w:rsid w:val="0023610B"/>
    <w:rsid w:val="00240247"/>
    <w:rsid w:val="002415D4"/>
    <w:rsid w:val="00252DF9"/>
    <w:rsid w:val="002535FA"/>
    <w:rsid w:val="002554A6"/>
    <w:rsid w:val="00257358"/>
    <w:rsid w:val="002637F5"/>
    <w:rsid w:val="002678AD"/>
    <w:rsid w:val="00271B91"/>
    <w:rsid w:val="00277883"/>
    <w:rsid w:val="002819BA"/>
    <w:rsid w:val="00292358"/>
    <w:rsid w:val="00296B29"/>
    <w:rsid w:val="002A0181"/>
    <w:rsid w:val="002A29D7"/>
    <w:rsid w:val="002A6938"/>
    <w:rsid w:val="002B0F0C"/>
    <w:rsid w:val="002C1F71"/>
    <w:rsid w:val="002C3F57"/>
    <w:rsid w:val="002C5303"/>
    <w:rsid w:val="002D31F8"/>
    <w:rsid w:val="002D6365"/>
    <w:rsid w:val="002D7D44"/>
    <w:rsid w:val="002E0C92"/>
    <w:rsid w:val="002E1026"/>
    <w:rsid w:val="002E64B8"/>
    <w:rsid w:val="002F2887"/>
    <w:rsid w:val="0030105E"/>
    <w:rsid w:val="00306D7D"/>
    <w:rsid w:val="00310844"/>
    <w:rsid w:val="00314905"/>
    <w:rsid w:val="00321E99"/>
    <w:rsid w:val="00327CB3"/>
    <w:rsid w:val="00342768"/>
    <w:rsid w:val="00344818"/>
    <w:rsid w:val="003477E8"/>
    <w:rsid w:val="003505B2"/>
    <w:rsid w:val="0035109D"/>
    <w:rsid w:val="003515F6"/>
    <w:rsid w:val="003533C2"/>
    <w:rsid w:val="00354FDF"/>
    <w:rsid w:val="00361116"/>
    <w:rsid w:val="003628A6"/>
    <w:rsid w:val="00364C39"/>
    <w:rsid w:val="00365574"/>
    <w:rsid w:val="003663D3"/>
    <w:rsid w:val="0037121B"/>
    <w:rsid w:val="00371980"/>
    <w:rsid w:val="00373909"/>
    <w:rsid w:val="003816B4"/>
    <w:rsid w:val="00381BE5"/>
    <w:rsid w:val="00382DD4"/>
    <w:rsid w:val="00386E29"/>
    <w:rsid w:val="00390CB7"/>
    <w:rsid w:val="00391228"/>
    <w:rsid w:val="00391D63"/>
    <w:rsid w:val="00393BA0"/>
    <w:rsid w:val="003A0B49"/>
    <w:rsid w:val="003A0E5A"/>
    <w:rsid w:val="003A265C"/>
    <w:rsid w:val="003A2F33"/>
    <w:rsid w:val="003A4CAB"/>
    <w:rsid w:val="003A5276"/>
    <w:rsid w:val="003A5F48"/>
    <w:rsid w:val="003B5F4D"/>
    <w:rsid w:val="003B5FAC"/>
    <w:rsid w:val="003C18B2"/>
    <w:rsid w:val="003C2A60"/>
    <w:rsid w:val="003C2AC9"/>
    <w:rsid w:val="003C34E1"/>
    <w:rsid w:val="003C3DF7"/>
    <w:rsid w:val="003D1806"/>
    <w:rsid w:val="003D190A"/>
    <w:rsid w:val="003D3FFF"/>
    <w:rsid w:val="003D7D82"/>
    <w:rsid w:val="003E1465"/>
    <w:rsid w:val="003E353F"/>
    <w:rsid w:val="003F530F"/>
    <w:rsid w:val="003F646A"/>
    <w:rsid w:val="0040410C"/>
    <w:rsid w:val="0040706D"/>
    <w:rsid w:val="00410E6B"/>
    <w:rsid w:val="00414040"/>
    <w:rsid w:val="00415036"/>
    <w:rsid w:val="004154F0"/>
    <w:rsid w:val="00415FE4"/>
    <w:rsid w:val="00416A1B"/>
    <w:rsid w:val="00417F64"/>
    <w:rsid w:val="00425116"/>
    <w:rsid w:val="004263A5"/>
    <w:rsid w:val="00426E89"/>
    <w:rsid w:val="004303B6"/>
    <w:rsid w:val="00434130"/>
    <w:rsid w:val="00450A5C"/>
    <w:rsid w:val="0045474D"/>
    <w:rsid w:val="004570FA"/>
    <w:rsid w:val="00460A44"/>
    <w:rsid w:val="004666E5"/>
    <w:rsid w:val="004723FC"/>
    <w:rsid w:val="00487E43"/>
    <w:rsid w:val="004937A8"/>
    <w:rsid w:val="004A0DC0"/>
    <w:rsid w:val="004A2A93"/>
    <w:rsid w:val="004A344A"/>
    <w:rsid w:val="004A3A3C"/>
    <w:rsid w:val="004A58C3"/>
    <w:rsid w:val="004B3EA0"/>
    <w:rsid w:val="004B41C3"/>
    <w:rsid w:val="004B7976"/>
    <w:rsid w:val="004C0969"/>
    <w:rsid w:val="004C1197"/>
    <w:rsid w:val="004C1EBA"/>
    <w:rsid w:val="004C26BC"/>
    <w:rsid w:val="004C7C70"/>
    <w:rsid w:val="004D1130"/>
    <w:rsid w:val="004D508D"/>
    <w:rsid w:val="004E6D75"/>
    <w:rsid w:val="004F06BD"/>
    <w:rsid w:val="004F0A05"/>
    <w:rsid w:val="005002CA"/>
    <w:rsid w:val="0050235F"/>
    <w:rsid w:val="00502757"/>
    <w:rsid w:val="005033C4"/>
    <w:rsid w:val="00512F09"/>
    <w:rsid w:val="005138F7"/>
    <w:rsid w:val="00514B25"/>
    <w:rsid w:val="00521B18"/>
    <w:rsid w:val="00522546"/>
    <w:rsid w:val="00530D85"/>
    <w:rsid w:val="005344F9"/>
    <w:rsid w:val="00537CD7"/>
    <w:rsid w:val="00540431"/>
    <w:rsid w:val="00543D5A"/>
    <w:rsid w:val="005452CE"/>
    <w:rsid w:val="00546DAC"/>
    <w:rsid w:val="00547641"/>
    <w:rsid w:val="00551E65"/>
    <w:rsid w:val="00557BAC"/>
    <w:rsid w:val="00567A8B"/>
    <w:rsid w:val="00573358"/>
    <w:rsid w:val="00574049"/>
    <w:rsid w:val="00576DF1"/>
    <w:rsid w:val="00580DAE"/>
    <w:rsid w:val="00581016"/>
    <w:rsid w:val="0058322B"/>
    <w:rsid w:val="00590499"/>
    <w:rsid w:val="005926F9"/>
    <w:rsid w:val="005A47F7"/>
    <w:rsid w:val="005B31E8"/>
    <w:rsid w:val="005B786E"/>
    <w:rsid w:val="005C1340"/>
    <w:rsid w:val="005C1EAA"/>
    <w:rsid w:val="005D1FA6"/>
    <w:rsid w:val="005D236D"/>
    <w:rsid w:val="005E2E81"/>
    <w:rsid w:val="005E50E6"/>
    <w:rsid w:val="005F406B"/>
    <w:rsid w:val="005F7CC3"/>
    <w:rsid w:val="0060031E"/>
    <w:rsid w:val="00613E79"/>
    <w:rsid w:val="006152F0"/>
    <w:rsid w:val="00615453"/>
    <w:rsid w:val="00615B20"/>
    <w:rsid w:val="00620F37"/>
    <w:rsid w:val="006254AD"/>
    <w:rsid w:val="00626C25"/>
    <w:rsid w:val="00627B0D"/>
    <w:rsid w:val="0063217D"/>
    <w:rsid w:val="0063285F"/>
    <w:rsid w:val="00634A92"/>
    <w:rsid w:val="00635093"/>
    <w:rsid w:val="0063598D"/>
    <w:rsid w:val="00640943"/>
    <w:rsid w:val="00641902"/>
    <w:rsid w:val="006449D4"/>
    <w:rsid w:val="00646B40"/>
    <w:rsid w:val="006474BF"/>
    <w:rsid w:val="006507A3"/>
    <w:rsid w:val="0065523A"/>
    <w:rsid w:val="00672E1A"/>
    <w:rsid w:val="0067342F"/>
    <w:rsid w:val="00676A6B"/>
    <w:rsid w:val="00677485"/>
    <w:rsid w:val="00681115"/>
    <w:rsid w:val="00687E93"/>
    <w:rsid w:val="00693C54"/>
    <w:rsid w:val="006A51BD"/>
    <w:rsid w:val="006B2DEB"/>
    <w:rsid w:val="006B39BE"/>
    <w:rsid w:val="006D2800"/>
    <w:rsid w:val="006D5089"/>
    <w:rsid w:val="006E52A9"/>
    <w:rsid w:val="006E6D69"/>
    <w:rsid w:val="006F0CF3"/>
    <w:rsid w:val="006F5041"/>
    <w:rsid w:val="00704F31"/>
    <w:rsid w:val="00710D5A"/>
    <w:rsid w:val="007221CC"/>
    <w:rsid w:val="00724418"/>
    <w:rsid w:val="0073324F"/>
    <w:rsid w:val="0073493A"/>
    <w:rsid w:val="0073688F"/>
    <w:rsid w:val="007412AC"/>
    <w:rsid w:val="00744990"/>
    <w:rsid w:val="00745AFE"/>
    <w:rsid w:val="007558F4"/>
    <w:rsid w:val="00764EE4"/>
    <w:rsid w:val="00765B31"/>
    <w:rsid w:val="007707F4"/>
    <w:rsid w:val="00770C17"/>
    <w:rsid w:val="00773E79"/>
    <w:rsid w:val="00774DDA"/>
    <w:rsid w:val="00777804"/>
    <w:rsid w:val="007830AF"/>
    <w:rsid w:val="007908EB"/>
    <w:rsid w:val="00794688"/>
    <w:rsid w:val="007958D5"/>
    <w:rsid w:val="00796486"/>
    <w:rsid w:val="007A0C10"/>
    <w:rsid w:val="007A6318"/>
    <w:rsid w:val="007C2318"/>
    <w:rsid w:val="007C28EA"/>
    <w:rsid w:val="007C60BF"/>
    <w:rsid w:val="007D0A06"/>
    <w:rsid w:val="00800AF1"/>
    <w:rsid w:val="008051AE"/>
    <w:rsid w:val="0081426F"/>
    <w:rsid w:val="00816D81"/>
    <w:rsid w:val="0082316D"/>
    <w:rsid w:val="00823688"/>
    <w:rsid w:val="00834949"/>
    <w:rsid w:val="00836DC5"/>
    <w:rsid w:val="008501C1"/>
    <w:rsid w:val="008503E7"/>
    <w:rsid w:val="00850DEF"/>
    <w:rsid w:val="008542D5"/>
    <w:rsid w:val="0085579A"/>
    <w:rsid w:val="008643F1"/>
    <w:rsid w:val="0086769A"/>
    <w:rsid w:val="00873284"/>
    <w:rsid w:val="00873972"/>
    <w:rsid w:val="00876AD6"/>
    <w:rsid w:val="00885E16"/>
    <w:rsid w:val="008866A7"/>
    <w:rsid w:val="00890942"/>
    <w:rsid w:val="008A0175"/>
    <w:rsid w:val="008B0ED7"/>
    <w:rsid w:val="008B2E16"/>
    <w:rsid w:val="008B7B4F"/>
    <w:rsid w:val="008C09BD"/>
    <w:rsid w:val="008C34F0"/>
    <w:rsid w:val="008C57C4"/>
    <w:rsid w:val="008D06A0"/>
    <w:rsid w:val="008D5140"/>
    <w:rsid w:val="008E2261"/>
    <w:rsid w:val="008E27DF"/>
    <w:rsid w:val="008E4E42"/>
    <w:rsid w:val="008E63DC"/>
    <w:rsid w:val="008F53E3"/>
    <w:rsid w:val="009001A6"/>
    <w:rsid w:val="009011B9"/>
    <w:rsid w:val="009024EB"/>
    <w:rsid w:val="009134BF"/>
    <w:rsid w:val="009165DF"/>
    <w:rsid w:val="00916DB7"/>
    <w:rsid w:val="00924411"/>
    <w:rsid w:val="00924D8F"/>
    <w:rsid w:val="00926DB5"/>
    <w:rsid w:val="00927A35"/>
    <w:rsid w:val="00930BFE"/>
    <w:rsid w:val="009318C7"/>
    <w:rsid w:val="00934514"/>
    <w:rsid w:val="0093720B"/>
    <w:rsid w:val="00947146"/>
    <w:rsid w:val="009537BB"/>
    <w:rsid w:val="009572B9"/>
    <w:rsid w:val="009639CC"/>
    <w:rsid w:val="00971BDE"/>
    <w:rsid w:val="009762E1"/>
    <w:rsid w:val="00976EFB"/>
    <w:rsid w:val="00990375"/>
    <w:rsid w:val="00994C10"/>
    <w:rsid w:val="009A0312"/>
    <w:rsid w:val="009A28B2"/>
    <w:rsid w:val="009A2F9C"/>
    <w:rsid w:val="009C1497"/>
    <w:rsid w:val="009C2DE3"/>
    <w:rsid w:val="009C41B0"/>
    <w:rsid w:val="009C5392"/>
    <w:rsid w:val="009C5A2A"/>
    <w:rsid w:val="009C614F"/>
    <w:rsid w:val="009C62CC"/>
    <w:rsid w:val="009C6F6C"/>
    <w:rsid w:val="009C7915"/>
    <w:rsid w:val="009D299C"/>
    <w:rsid w:val="009E0214"/>
    <w:rsid w:val="009F1EFC"/>
    <w:rsid w:val="00A02D3B"/>
    <w:rsid w:val="00A07F6F"/>
    <w:rsid w:val="00A11E4C"/>
    <w:rsid w:val="00A14BDA"/>
    <w:rsid w:val="00A151A1"/>
    <w:rsid w:val="00A15F00"/>
    <w:rsid w:val="00A20D22"/>
    <w:rsid w:val="00A215FC"/>
    <w:rsid w:val="00A24DDD"/>
    <w:rsid w:val="00A27CE2"/>
    <w:rsid w:val="00A35302"/>
    <w:rsid w:val="00A36608"/>
    <w:rsid w:val="00A42026"/>
    <w:rsid w:val="00A42635"/>
    <w:rsid w:val="00A4500C"/>
    <w:rsid w:val="00A45241"/>
    <w:rsid w:val="00A46062"/>
    <w:rsid w:val="00A477EB"/>
    <w:rsid w:val="00A545F0"/>
    <w:rsid w:val="00A575F7"/>
    <w:rsid w:val="00A57FA7"/>
    <w:rsid w:val="00A60859"/>
    <w:rsid w:val="00A60B7C"/>
    <w:rsid w:val="00A6760D"/>
    <w:rsid w:val="00A7181A"/>
    <w:rsid w:val="00A74082"/>
    <w:rsid w:val="00A76D18"/>
    <w:rsid w:val="00A823C6"/>
    <w:rsid w:val="00A82964"/>
    <w:rsid w:val="00A82C07"/>
    <w:rsid w:val="00A90A2C"/>
    <w:rsid w:val="00A945D0"/>
    <w:rsid w:val="00A966BD"/>
    <w:rsid w:val="00A97B83"/>
    <w:rsid w:val="00AB4EDF"/>
    <w:rsid w:val="00AB518A"/>
    <w:rsid w:val="00AB5757"/>
    <w:rsid w:val="00AB68D7"/>
    <w:rsid w:val="00AC42E4"/>
    <w:rsid w:val="00AD05F1"/>
    <w:rsid w:val="00AE1699"/>
    <w:rsid w:val="00AE4279"/>
    <w:rsid w:val="00AE4CFC"/>
    <w:rsid w:val="00AF01A2"/>
    <w:rsid w:val="00AF2F14"/>
    <w:rsid w:val="00B04A90"/>
    <w:rsid w:val="00B06B90"/>
    <w:rsid w:val="00B14B61"/>
    <w:rsid w:val="00B17AB6"/>
    <w:rsid w:val="00B21030"/>
    <w:rsid w:val="00B230F5"/>
    <w:rsid w:val="00B2358E"/>
    <w:rsid w:val="00B24E35"/>
    <w:rsid w:val="00B24E4D"/>
    <w:rsid w:val="00B30BBC"/>
    <w:rsid w:val="00B4435C"/>
    <w:rsid w:val="00B44C5E"/>
    <w:rsid w:val="00B50BD9"/>
    <w:rsid w:val="00B55527"/>
    <w:rsid w:val="00B618E6"/>
    <w:rsid w:val="00B65A33"/>
    <w:rsid w:val="00B66E16"/>
    <w:rsid w:val="00B8033E"/>
    <w:rsid w:val="00B928D6"/>
    <w:rsid w:val="00B93CFD"/>
    <w:rsid w:val="00BA1966"/>
    <w:rsid w:val="00BA2477"/>
    <w:rsid w:val="00BA5904"/>
    <w:rsid w:val="00BA59A5"/>
    <w:rsid w:val="00BA7E17"/>
    <w:rsid w:val="00BB182C"/>
    <w:rsid w:val="00BB2B1A"/>
    <w:rsid w:val="00BC3580"/>
    <w:rsid w:val="00BC6DDA"/>
    <w:rsid w:val="00BD3CC8"/>
    <w:rsid w:val="00BD4FB8"/>
    <w:rsid w:val="00BE46A7"/>
    <w:rsid w:val="00BE4F32"/>
    <w:rsid w:val="00BF62B9"/>
    <w:rsid w:val="00C06CA2"/>
    <w:rsid w:val="00C109EC"/>
    <w:rsid w:val="00C12ED9"/>
    <w:rsid w:val="00C21B50"/>
    <w:rsid w:val="00C21BE8"/>
    <w:rsid w:val="00C23308"/>
    <w:rsid w:val="00C26E2C"/>
    <w:rsid w:val="00C30454"/>
    <w:rsid w:val="00C31B42"/>
    <w:rsid w:val="00C34221"/>
    <w:rsid w:val="00C34EBB"/>
    <w:rsid w:val="00C35341"/>
    <w:rsid w:val="00C36E1C"/>
    <w:rsid w:val="00C40E63"/>
    <w:rsid w:val="00C43810"/>
    <w:rsid w:val="00C441D9"/>
    <w:rsid w:val="00C51859"/>
    <w:rsid w:val="00C54EFA"/>
    <w:rsid w:val="00C570AA"/>
    <w:rsid w:val="00C61BDA"/>
    <w:rsid w:val="00C6210A"/>
    <w:rsid w:val="00C709E2"/>
    <w:rsid w:val="00C72FE6"/>
    <w:rsid w:val="00C76C8A"/>
    <w:rsid w:val="00C8361C"/>
    <w:rsid w:val="00C83CC6"/>
    <w:rsid w:val="00C91522"/>
    <w:rsid w:val="00C97C58"/>
    <w:rsid w:val="00CA29DF"/>
    <w:rsid w:val="00CA77B8"/>
    <w:rsid w:val="00CB14A8"/>
    <w:rsid w:val="00CC10F6"/>
    <w:rsid w:val="00CD0C6F"/>
    <w:rsid w:val="00CD2E76"/>
    <w:rsid w:val="00CD3E33"/>
    <w:rsid w:val="00CD56CF"/>
    <w:rsid w:val="00CE10FB"/>
    <w:rsid w:val="00CE22BD"/>
    <w:rsid w:val="00CE2415"/>
    <w:rsid w:val="00CF29DA"/>
    <w:rsid w:val="00CF5A45"/>
    <w:rsid w:val="00CF79D4"/>
    <w:rsid w:val="00D00892"/>
    <w:rsid w:val="00D0367F"/>
    <w:rsid w:val="00D05E12"/>
    <w:rsid w:val="00D13F57"/>
    <w:rsid w:val="00D16C0D"/>
    <w:rsid w:val="00D2003F"/>
    <w:rsid w:val="00D217ED"/>
    <w:rsid w:val="00D21C13"/>
    <w:rsid w:val="00D232F4"/>
    <w:rsid w:val="00D2501C"/>
    <w:rsid w:val="00D26C05"/>
    <w:rsid w:val="00D32FDA"/>
    <w:rsid w:val="00D3392A"/>
    <w:rsid w:val="00D341BE"/>
    <w:rsid w:val="00D40CB5"/>
    <w:rsid w:val="00D41493"/>
    <w:rsid w:val="00D43727"/>
    <w:rsid w:val="00D45C40"/>
    <w:rsid w:val="00D4628D"/>
    <w:rsid w:val="00D5777A"/>
    <w:rsid w:val="00D65A80"/>
    <w:rsid w:val="00D75B46"/>
    <w:rsid w:val="00D819DA"/>
    <w:rsid w:val="00D8528A"/>
    <w:rsid w:val="00D87AD1"/>
    <w:rsid w:val="00D9108E"/>
    <w:rsid w:val="00D91092"/>
    <w:rsid w:val="00D940BE"/>
    <w:rsid w:val="00D94DD5"/>
    <w:rsid w:val="00D954C3"/>
    <w:rsid w:val="00D967A7"/>
    <w:rsid w:val="00DA4464"/>
    <w:rsid w:val="00DA47FC"/>
    <w:rsid w:val="00DB4559"/>
    <w:rsid w:val="00DB474E"/>
    <w:rsid w:val="00DB7A71"/>
    <w:rsid w:val="00DC0BD8"/>
    <w:rsid w:val="00DC6F9D"/>
    <w:rsid w:val="00DD7263"/>
    <w:rsid w:val="00DF07D4"/>
    <w:rsid w:val="00DF3C76"/>
    <w:rsid w:val="00E10F24"/>
    <w:rsid w:val="00E24C6E"/>
    <w:rsid w:val="00E265D6"/>
    <w:rsid w:val="00E2789C"/>
    <w:rsid w:val="00E3248F"/>
    <w:rsid w:val="00E33490"/>
    <w:rsid w:val="00E37326"/>
    <w:rsid w:val="00E42272"/>
    <w:rsid w:val="00E434D5"/>
    <w:rsid w:val="00E45A88"/>
    <w:rsid w:val="00E521C9"/>
    <w:rsid w:val="00E535CB"/>
    <w:rsid w:val="00E550FA"/>
    <w:rsid w:val="00E60070"/>
    <w:rsid w:val="00E62A9B"/>
    <w:rsid w:val="00E63F21"/>
    <w:rsid w:val="00E65E38"/>
    <w:rsid w:val="00E662AA"/>
    <w:rsid w:val="00E7384A"/>
    <w:rsid w:val="00E81B9E"/>
    <w:rsid w:val="00E82D93"/>
    <w:rsid w:val="00E8446E"/>
    <w:rsid w:val="00E84907"/>
    <w:rsid w:val="00E84E70"/>
    <w:rsid w:val="00E86DD7"/>
    <w:rsid w:val="00E91D92"/>
    <w:rsid w:val="00E92D8E"/>
    <w:rsid w:val="00E95F4D"/>
    <w:rsid w:val="00EA1B50"/>
    <w:rsid w:val="00EA3F4F"/>
    <w:rsid w:val="00EA3F68"/>
    <w:rsid w:val="00EA6C7A"/>
    <w:rsid w:val="00EA779B"/>
    <w:rsid w:val="00EA780E"/>
    <w:rsid w:val="00EB32F8"/>
    <w:rsid w:val="00EB3824"/>
    <w:rsid w:val="00EB4028"/>
    <w:rsid w:val="00EB5D39"/>
    <w:rsid w:val="00EB6CCC"/>
    <w:rsid w:val="00EC1B97"/>
    <w:rsid w:val="00EC2D92"/>
    <w:rsid w:val="00EC76DC"/>
    <w:rsid w:val="00ED0C48"/>
    <w:rsid w:val="00ED1724"/>
    <w:rsid w:val="00ED22E5"/>
    <w:rsid w:val="00ED3543"/>
    <w:rsid w:val="00ED5CF2"/>
    <w:rsid w:val="00ED66D4"/>
    <w:rsid w:val="00EE0DAC"/>
    <w:rsid w:val="00EE26C4"/>
    <w:rsid w:val="00EE64FF"/>
    <w:rsid w:val="00EF1B53"/>
    <w:rsid w:val="00EF68F6"/>
    <w:rsid w:val="00F14796"/>
    <w:rsid w:val="00F1504E"/>
    <w:rsid w:val="00F21E47"/>
    <w:rsid w:val="00F311E3"/>
    <w:rsid w:val="00F31C52"/>
    <w:rsid w:val="00F36430"/>
    <w:rsid w:val="00F37DAD"/>
    <w:rsid w:val="00F47E69"/>
    <w:rsid w:val="00F507C4"/>
    <w:rsid w:val="00F51F49"/>
    <w:rsid w:val="00F63F09"/>
    <w:rsid w:val="00F74586"/>
    <w:rsid w:val="00F75001"/>
    <w:rsid w:val="00F759FC"/>
    <w:rsid w:val="00FA34FE"/>
    <w:rsid w:val="00FA440B"/>
    <w:rsid w:val="00FA5088"/>
    <w:rsid w:val="00FA5FBE"/>
    <w:rsid w:val="00FB2898"/>
    <w:rsid w:val="00FB4FFC"/>
    <w:rsid w:val="00FC1C8D"/>
    <w:rsid w:val="00FC357F"/>
    <w:rsid w:val="00FC4750"/>
    <w:rsid w:val="00FC6D00"/>
    <w:rsid w:val="00FD0DF1"/>
    <w:rsid w:val="00FD7B30"/>
    <w:rsid w:val="00FE7E50"/>
    <w:rsid w:val="00FF7340"/>
    <w:rsid w:val="01025257"/>
    <w:rsid w:val="010406F0"/>
    <w:rsid w:val="010630B7"/>
    <w:rsid w:val="010C7E9E"/>
    <w:rsid w:val="010E511B"/>
    <w:rsid w:val="010F5F14"/>
    <w:rsid w:val="011F3521"/>
    <w:rsid w:val="011F615F"/>
    <w:rsid w:val="01233176"/>
    <w:rsid w:val="012706AB"/>
    <w:rsid w:val="0128739E"/>
    <w:rsid w:val="012E7B68"/>
    <w:rsid w:val="01322AFC"/>
    <w:rsid w:val="013A354A"/>
    <w:rsid w:val="013B0B11"/>
    <w:rsid w:val="013C440B"/>
    <w:rsid w:val="01413242"/>
    <w:rsid w:val="01473AEC"/>
    <w:rsid w:val="014E1872"/>
    <w:rsid w:val="0151411F"/>
    <w:rsid w:val="015D1E37"/>
    <w:rsid w:val="01653AE8"/>
    <w:rsid w:val="016632ED"/>
    <w:rsid w:val="016636B2"/>
    <w:rsid w:val="016672C7"/>
    <w:rsid w:val="01685067"/>
    <w:rsid w:val="01704337"/>
    <w:rsid w:val="01731B42"/>
    <w:rsid w:val="017731D3"/>
    <w:rsid w:val="01774323"/>
    <w:rsid w:val="018D5596"/>
    <w:rsid w:val="018F047A"/>
    <w:rsid w:val="019F5EC4"/>
    <w:rsid w:val="01A854A9"/>
    <w:rsid w:val="01AB4F1E"/>
    <w:rsid w:val="01B32A10"/>
    <w:rsid w:val="01BD680B"/>
    <w:rsid w:val="01BF098D"/>
    <w:rsid w:val="01C13FA1"/>
    <w:rsid w:val="01C57BC6"/>
    <w:rsid w:val="01CC68B2"/>
    <w:rsid w:val="01CF196D"/>
    <w:rsid w:val="01D52FA5"/>
    <w:rsid w:val="01D74CA6"/>
    <w:rsid w:val="01D933E1"/>
    <w:rsid w:val="01E93984"/>
    <w:rsid w:val="01F42D45"/>
    <w:rsid w:val="01F45283"/>
    <w:rsid w:val="02036662"/>
    <w:rsid w:val="021745C2"/>
    <w:rsid w:val="021B5C89"/>
    <w:rsid w:val="021D04ED"/>
    <w:rsid w:val="02210B68"/>
    <w:rsid w:val="02243EDA"/>
    <w:rsid w:val="022452B7"/>
    <w:rsid w:val="022551F2"/>
    <w:rsid w:val="02261EF1"/>
    <w:rsid w:val="022703AD"/>
    <w:rsid w:val="0229183F"/>
    <w:rsid w:val="0231390E"/>
    <w:rsid w:val="023A7077"/>
    <w:rsid w:val="023E0FE9"/>
    <w:rsid w:val="024B2775"/>
    <w:rsid w:val="02522323"/>
    <w:rsid w:val="02560D18"/>
    <w:rsid w:val="0263791D"/>
    <w:rsid w:val="026608A3"/>
    <w:rsid w:val="02663939"/>
    <w:rsid w:val="02690DFF"/>
    <w:rsid w:val="026C11F6"/>
    <w:rsid w:val="026E7117"/>
    <w:rsid w:val="02721E35"/>
    <w:rsid w:val="02774F22"/>
    <w:rsid w:val="027E0D1B"/>
    <w:rsid w:val="02805EE0"/>
    <w:rsid w:val="028A598A"/>
    <w:rsid w:val="02916F11"/>
    <w:rsid w:val="02985606"/>
    <w:rsid w:val="02A470ED"/>
    <w:rsid w:val="02AA14B7"/>
    <w:rsid w:val="02AA2A56"/>
    <w:rsid w:val="02AC4631"/>
    <w:rsid w:val="02B66C79"/>
    <w:rsid w:val="02B725D1"/>
    <w:rsid w:val="02C10352"/>
    <w:rsid w:val="02C71A3B"/>
    <w:rsid w:val="02CC33B0"/>
    <w:rsid w:val="02CD46AB"/>
    <w:rsid w:val="02D21057"/>
    <w:rsid w:val="02D35D36"/>
    <w:rsid w:val="02D53789"/>
    <w:rsid w:val="02E01AEF"/>
    <w:rsid w:val="02E368F4"/>
    <w:rsid w:val="02F14DF7"/>
    <w:rsid w:val="02FC78AB"/>
    <w:rsid w:val="03081DBE"/>
    <w:rsid w:val="03090592"/>
    <w:rsid w:val="030B5A0E"/>
    <w:rsid w:val="032835A4"/>
    <w:rsid w:val="032B229C"/>
    <w:rsid w:val="032F29C8"/>
    <w:rsid w:val="032F4404"/>
    <w:rsid w:val="0331568B"/>
    <w:rsid w:val="03316FEA"/>
    <w:rsid w:val="033B5B20"/>
    <w:rsid w:val="034E457C"/>
    <w:rsid w:val="03502D9E"/>
    <w:rsid w:val="035171EA"/>
    <w:rsid w:val="03537909"/>
    <w:rsid w:val="03541594"/>
    <w:rsid w:val="03572FF7"/>
    <w:rsid w:val="03583C5B"/>
    <w:rsid w:val="035C330F"/>
    <w:rsid w:val="035C6F76"/>
    <w:rsid w:val="035C72B7"/>
    <w:rsid w:val="03613E17"/>
    <w:rsid w:val="036E6271"/>
    <w:rsid w:val="037524B1"/>
    <w:rsid w:val="0377715F"/>
    <w:rsid w:val="03843EB7"/>
    <w:rsid w:val="03854ED7"/>
    <w:rsid w:val="038A6C1D"/>
    <w:rsid w:val="038E7A37"/>
    <w:rsid w:val="03903044"/>
    <w:rsid w:val="03912F9C"/>
    <w:rsid w:val="0393747F"/>
    <w:rsid w:val="03A15A64"/>
    <w:rsid w:val="03A36CC6"/>
    <w:rsid w:val="03A74512"/>
    <w:rsid w:val="03A81B5B"/>
    <w:rsid w:val="03AB7930"/>
    <w:rsid w:val="03AE2F25"/>
    <w:rsid w:val="03B21C17"/>
    <w:rsid w:val="03BB4A4D"/>
    <w:rsid w:val="03C02301"/>
    <w:rsid w:val="03D67670"/>
    <w:rsid w:val="03DC737C"/>
    <w:rsid w:val="03DF364B"/>
    <w:rsid w:val="03F17BE7"/>
    <w:rsid w:val="03F364ED"/>
    <w:rsid w:val="03FE3903"/>
    <w:rsid w:val="03FF5892"/>
    <w:rsid w:val="04010D18"/>
    <w:rsid w:val="040343BA"/>
    <w:rsid w:val="04060440"/>
    <w:rsid w:val="041132F7"/>
    <w:rsid w:val="04136AEB"/>
    <w:rsid w:val="04167C75"/>
    <w:rsid w:val="0423650B"/>
    <w:rsid w:val="04245B63"/>
    <w:rsid w:val="04435E69"/>
    <w:rsid w:val="04491C62"/>
    <w:rsid w:val="044E143B"/>
    <w:rsid w:val="045124FD"/>
    <w:rsid w:val="04570EC2"/>
    <w:rsid w:val="04583A35"/>
    <w:rsid w:val="045C717F"/>
    <w:rsid w:val="04671EF4"/>
    <w:rsid w:val="046B67C0"/>
    <w:rsid w:val="046D152E"/>
    <w:rsid w:val="04747EE2"/>
    <w:rsid w:val="04766CDF"/>
    <w:rsid w:val="047C7A9D"/>
    <w:rsid w:val="0487573F"/>
    <w:rsid w:val="048D7275"/>
    <w:rsid w:val="048F7135"/>
    <w:rsid w:val="049646C6"/>
    <w:rsid w:val="0499310D"/>
    <w:rsid w:val="049B5000"/>
    <w:rsid w:val="049E5C27"/>
    <w:rsid w:val="049F59DB"/>
    <w:rsid w:val="04A30C83"/>
    <w:rsid w:val="04A85C50"/>
    <w:rsid w:val="04B23788"/>
    <w:rsid w:val="04B45DFC"/>
    <w:rsid w:val="04B67A1F"/>
    <w:rsid w:val="04B807B5"/>
    <w:rsid w:val="04B9760A"/>
    <w:rsid w:val="04BF768B"/>
    <w:rsid w:val="04C26841"/>
    <w:rsid w:val="04D34700"/>
    <w:rsid w:val="04D55D20"/>
    <w:rsid w:val="04DE566C"/>
    <w:rsid w:val="04DF3AA2"/>
    <w:rsid w:val="04E8504B"/>
    <w:rsid w:val="04F239EA"/>
    <w:rsid w:val="04F803B4"/>
    <w:rsid w:val="0503187D"/>
    <w:rsid w:val="050B6048"/>
    <w:rsid w:val="05107E95"/>
    <w:rsid w:val="0518640C"/>
    <w:rsid w:val="051A565C"/>
    <w:rsid w:val="051B5E4F"/>
    <w:rsid w:val="051C42D9"/>
    <w:rsid w:val="051E4707"/>
    <w:rsid w:val="051F77E0"/>
    <w:rsid w:val="05216AB0"/>
    <w:rsid w:val="05254C4B"/>
    <w:rsid w:val="05266E07"/>
    <w:rsid w:val="052C745C"/>
    <w:rsid w:val="052D413A"/>
    <w:rsid w:val="053022E6"/>
    <w:rsid w:val="054C76DB"/>
    <w:rsid w:val="05574853"/>
    <w:rsid w:val="055A4472"/>
    <w:rsid w:val="055A4F5B"/>
    <w:rsid w:val="055F0502"/>
    <w:rsid w:val="05620EEE"/>
    <w:rsid w:val="0568352B"/>
    <w:rsid w:val="056A659B"/>
    <w:rsid w:val="056B3271"/>
    <w:rsid w:val="056E0FA3"/>
    <w:rsid w:val="05741727"/>
    <w:rsid w:val="05773B83"/>
    <w:rsid w:val="05846278"/>
    <w:rsid w:val="058709AC"/>
    <w:rsid w:val="058D2915"/>
    <w:rsid w:val="058D3375"/>
    <w:rsid w:val="059A3D38"/>
    <w:rsid w:val="05B6103A"/>
    <w:rsid w:val="05BE5662"/>
    <w:rsid w:val="05C034C2"/>
    <w:rsid w:val="05C2554E"/>
    <w:rsid w:val="05C303C2"/>
    <w:rsid w:val="05C479C1"/>
    <w:rsid w:val="05C641A8"/>
    <w:rsid w:val="05C70A3A"/>
    <w:rsid w:val="05D2174B"/>
    <w:rsid w:val="05D415D2"/>
    <w:rsid w:val="05D60639"/>
    <w:rsid w:val="05E035C8"/>
    <w:rsid w:val="05E33394"/>
    <w:rsid w:val="05F13345"/>
    <w:rsid w:val="05FE35CB"/>
    <w:rsid w:val="0607620B"/>
    <w:rsid w:val="06077020"/>
    <w:rsid w:val="06212938"/>
    <w:rsid w:val="062563B7"/>
    <w:rsid w:val="06355945"/>
    <w:rsid w:val="06366E1F"/>
    <w:rsid w:val="063F322C"/>
    <w:rsid w:val="0640241D"/>
    <w:rsid w:val="065326BA"/>
    <w:rsid w:val="065A5F02"/>
    <w:rsid w:val="065D7BB8"/>
    <w:rsid w:val="06650E74"/>
    <w:rsid w:val="066856F7"/>
    <w:rsid w:val="066F10E5"/>
    <w:rsid w:val="06710E08"/>
    <w:rsid w:val="06712932"/>
    <w:rsid w:val="06712C5C"/>
    <w:rsid w:val="06753754"/>
    <w:rsid w:val="06785C0C"/>
    <w:rsid w:val="06785CC5"/>
    <w:rsid w:val="067D72CA"/>
    <w:rsid w:val="067F5942"/>
    <w:rsid w:val="06886262"/>
    <w:rsid w:val="068C4828"/>
    <w:rsid w:val="0694697B"/>
    <w:rsid w:val="06951832"/>
    <w:rsid w:val="06976776"/>
    <w:rsid w:val="06A8208A"/>
    <w:rsid w:val="06AB3CE9"/>
    <w:rsid w:val="06B372D2"/>
    <w:rsid w:val="06B9290C"/>
    <w:rsid w:val="06C95CD2"/>
    <w:rsid w:val="06C96A9A"/>
    <w:rsid w:val="06CE129C"/>
    <w:rsid w:val="06CE605A"/>
    <w:rsid w:val="06D039AA"/>
    <w:rsid w:val="06D070E0"/>
    <w:rsid w:val="06D54320"/>
    <w:rsid w:val="06DC570A"/>
    <w:rsid w:val="06E428AE"/>
    <w:rsid w:val="06EC66E0"/>
    <w:rsid w:val="06EF2B18"/>
    <w:rsid w:val="06F17688"/>
    <w:rsid w:val="06F5700D"/>
    <w:rsid w:val="06F834E1"/>
    <w:rsid w:val="07007DF2"/>
    <w:rsid w:val="070E48A8"/>
    <w:rsid w:val="07107CDD"/>
    <w:rsid w:val="07231C3E"/>
    <w:rsid w:val="072C14BC"/>
    <w:rsid w:val="072E0960"/>
    <w:rsid w:val="073D0077"/>
    <w:rsid w:val="074000D4"/>
    <w:rsid w:val="074436C4"/>
    <w:rsid w:val="07482783"/>
    <w:rsid w:val="075B5D40"/>
    <w:rsid w:val="075E75DE"/>
    <w:rsid w:val="075F6ABF"/>
    <w:rsid w:val="07667F1E"/>
    <w:rsid w:val="076F655B"/>
    <w:rsid w:val="077641BC"/>
    <w:rsid w:val="07766079"/>
    <w:rsid w:val="07785D40"/>
    <w:rsid w:val="07791FF5"/>
    <w:rsid w:val="077957BD"/>
    <w:rsid w:val="077C3172"/>
    <w:rsid w:val="0787506D"/>
    <w:rsid w:val="07944C75"/>
    <w:rsid w:val="079C6C37"/>
    <w:rsid w:val="07A8669E"/>
    <w:rsid w:val="07AD02C2"/>
    <w:rsid w:val="07BA10AF"/>
    <w:rsid w:val="07BD1686"/>
    <w:rsid w:val="07BE5E08"/>
    <w:rsid w:val="07BE7320"/>
    <w:rsid w:val="07CF0F2B"/>
    <w:rsid w:val="07D2175A"/>
    <w:rsid w:val="07D27038"/>
    <w:rsid w:val="07E37708"/>
    <w:rsid w:val="07F61794"/>
    <w:rsid w:val="07F84B9D"/>
    <w:rsid w:val="07F920F7"/>
    <w:rsid w:val="07FF4AE3"/>
    <w:rsid w:val="08064B71"/>
    <w:rsid w:val="080705AC"/>
    <w:rsid w:val="080F49BC"/>
    <w:rsid w:val="08180F83"/>
    <w:rsid w:val="081A5EBB"/>
    <w:rsid w:val="082302F0"/>
    <w:rsid w:val="083145CC"/>
    <w:rsid w:val="0837398B"/>
    <w:rsid w:val="083B1353"/>
    <w:rsid w:val="084542FA"/>
    <w:rsid w:val="086B2CF3"/>
    <w:rsid w:val="08790EE0"/>
    <w:rsid w:val="087D1EE5"/>
    <w:rsid w:val="08805332"/>
    <w:rsid w:val="089A78D1"/>
    <w:rsid w:val="08A239EC"/>
    <w:rsid w:val="08A42432"/>
    <w:rsid w:val="08A62A3D"/>
    <w:rsid w:val="08A702C5"/>
    <w:rsid w:val="08A8408F"/>
    <w:rsid w:val="08AC4765"/>
    <w:rsid w:val="08AF1B78"/>
    <w:rsid w:val="08B41F78"/>
    <w:rsid w:val="08B42694"/>
    <w:rsid w:val="08B96CC2"/>
    <w:rsid w:val="08C747C6"/>
    <w:rsid w:val="08D27869"/>
    <w:rsid w:val="08D37973"/>
    <w:rsid w:val="08D82B3D"/>
    <w:rsid w:val="08DE41BC"/>
    <w:rsid w:val="08E04D02"/>
    <w:rsid w:val="08E32FAB"/>
    <w:rsid w:val="08E46921"/>
    <w:rsid w:val="08E76D23"/>
    <w:rsid w:val="08E80388"/>
    <w:rsid w:val="08EA30B1"/>
    <w:rsid w:val="08EE3343"/>
    <w:rsid w:val="08EF6444"/>
    <w:rsid w:val="08F0477C"/>
    <w:rsid w:val="08F32F05"/>
    <w:rsid w:val="08F85810"/>
    <w:rsid w:val="09010F98"/>
    <w:rsid w:val="090224FD"/>
    <w:rsid w:val="090622E9"/>
    <w:rsid w:val="090F0984"/>
    <w:rsid w:val="0910103B"/>
    <w:rsid w:val="091726AD"/>
    <w:rsid w:val="091F01AC"/>
    <w:rsid w:val="0922463B"/>
    <w:rsid w:val="09245334"/>
    <w:rsid w:val="092709CC"/>
    <w:rsid w:val="09310546"/>
    <w:rsid w:val="09325175"/>
    <w:rsid w:val="093305F6"/>
    <w:rsid w:val="093550BB"/>
    <w:rsid w:val="09380D20"/>
    <w:rsid w:val="09397181"/>
    <w:rsid w:val="093A562A"/>
    <w:rsid w:val="093B2C75"/>
    <w:rsid w:val="093B3112"/>
    <w:rsid w:val="093C2BB9"/>
    <w:rsid w:val="093F01AA"/>
    <w:rsid w:val="09481600"/>
    <w:rsid w:val="094D7901"/>
    <w:rsid w:val="0953513A"/>
    <w:rsid w:val="09550B60"/>
    <w:rsid w:val="095F6932"/>
    <w:rsid w:val="09620B4A"/>
    <w:rsid w:val="09652BB3"/>
    <w:rsid w:val="096A7E55"/>
    <w:rsid w:val="096B1405"/>
    <w:rsid w:val="097717CE"/>
    <w:rsid w:val="09797D80"/>
    <w:rsid w:val="097C6C09"/>
    <w:rsid w:val="09843655"/>
    <w:rsid w:val="09855EF7"/>
    <w:rsid w:val="09857BE6"/>
    <w:rsid w:val="09880765"/>
    <w:rsid w:val="0989460B"/>
    <w:rsid w:val="098950E4"/>
    <w:rsid w:val="098C7D6A"/>
    <w:rsid w:val="09945775"/>
    <w:rsid w:val="09974094"/>
    <w:rsid w:val="09987570"/>
    <w:rsid w:val="099C0271"/>
    <w:rsid w:val="099C4235"/>
    <w:rsid w:val="09A01E43"/>
    <w:rsid w:val="09A17925"/>
    <w:rsid w:val="09AA059E"/>
    <w:rsid w:val="09AB0C6C"/>
    <w:rsid w:val="09B117EC"/>
    <w:rsid w:val="09BB513D"/>
    <w:rsid w:val="09BB5640"/>
    <w:rsid w:val="09BC6592"/>
    <w:rsid w:val="09C73642"/>
    <w:rsid w:val="09C97885"/>
    <w:rsid w:val="09CC3506"/>
    <w:rsid w:val="09D82239"/>
    <w:rsid w:val="09DC279A"/>
    <w:rsid w:val="09DC2F25"/>
    <w:rsid w:val="09E8009E"/>
    <w:rsid w:val="09EB65D4"/>
    <w:rsid w:val="09EB7F84"/>
    <w:rsid w:val="09EC69BC"/>
    <w:rsid w:val="09FE2E11"/>
    <w:rsid w:val="0A084819"/>
    <w:rsid w:val="0A0B3B88"/>
    <w:rsid w:val="0A1966F1"/>
    <w:rsid w:val="0A1E548F"/>
    <w:rsid w:val="0A303C8D"/>
    <w:rsid w:val="0A330130"/>
    <w:rsid w:val="0A394B01"/>
    <w:rsid w:val="0A455F3A"/>
    <w:rsid w:val="0A461266"/>
    <w:rsid w:val="0A5C4871"/>
    <w:rsid w:val="0A645C0D"/>
    <w:rsid w:val="0A690F3D"/>
    <w:rsid w:val="0A6D20CC"/>
    <w:rsid w:val="0A6F3963"/>
    <w:rsid w:val="0A702A09"/>
    <w:rsid w:val="0A725B69"/>
    <w:rsid w:val="0A727A88"/>
    <w:rsid w:val="0A7F5428"/>
    <w:rsid w:val="0A811DA6"/>
    <w:rsid w:val="0A8445D2"/>
    <w:rsid w:val="0A8F7D96"/>
    <w:rsid w:val="0A91731D"/>
    <w:rsid w:val="0A9B15DC"/>
    <w:rsid w:val="0A9D7A3C"/>
    <w:rsid w:val="0AA425D9"/>
    <w:rsid w:val="0AA76A5B"/>
    <w:rsid w:val="0AAA7336"/>
    <w:rsid w:val="0AB1728C"/>
    <w:rsid w:val="0ABA3BC3"/>
    <w:rsid w:val="0ABA7F8F"/>
    <w:rsid w:val="0ABD60F9"/>
    <w:rsid w:val="0AC23E3F"/>
    <w:rsid w:val="0ACC39CC"/>
    <w:rsid w:val="0ACF538E"/>
    <w:rsid w:val="0AD15B6C"/>
    <w:rsid w:val="0AD77065"/>
    <w:rsid w:val="0AEC6F17"/>
    <w:rsid w:val="0AF13F44"/>
    <w:rsid w:val="0AF21B8E"/>
    <w:rsid w:val="0AF93024"/>
    <w:rsid w:val="0AFE26FA"/>
    <w:rsid w:val="0B0018BE"/>
    <w:rsid w:val="0B002F7C"/>
    <w:rsid w:val="0B02456B"/>
    <w:rsid w:val="0B0446A8"/>
    <w:rsid w:val="0B074D1F"/>
    <w:rsid w:val="0B0D396B"/>
    <w:rsid w:val="0B0D60CD"/>
    <w:rsid w:val="0B13687B"/>
    <w:rsid w:val="0B16128B"/>
    <w:rsid w:val="0B1B59FF"/>
    <w:rsid w:val="0B2372FD"/>
    <w:rsid w:val="0B253B02"/>
    <w:rsid w:val="0B2705B5"/>
    <w:rsid w:val="0B38256E"/>
    <w:rsid w:val="0B3F323F"/>
    <w:rsid w:val="0B431FE7"/>
    <w:rsid w:val="0B451EB6"/>
    <w:rsid w:val="0B4C5520"/>
    <w:rsid w:val="0B4F3D9B"/>
    <w:rsid w:val="0B5240C9"/>
    <w:rsid w:val="0B5C55FA"/>
    <w:rsid w:val="0B5C5CCF"/>
    <w:rsid w:val="0B5E6917"/>
    <w:rsid w:val="0B652373"/>
    <w:rsid w:val="0B666D1E"/>
    <w:rsid w:val="0B695884"/>
    <w:rsid w:val="0B912077"/>
    <w:rsid w:val="0BA615B0"/>
    <w:rsid w:val="0BAC77A0"/>
    <w:rsid w:val="0BAD2F53"/>
    <w:rsid w:val="0BB16B2D"/>
    <w:rsid w:val="0BB35344"/>
    <w:rsid w:val="0BB6147E"/>
    <w:rsid w:val="0BB7245D"/>
    <w:rsid w:val="0BB83010"/>
    <w:rsid w:val="0BBE2B75"/>
    <w:rsid w:val="0BC111A4"/>
    <w:rsid w:val="0BC244E8"/>
    <w:rsid w:val="0BC32E34"/>
    <w:rsid w:val="0BC82B63"/>
    <w:rsid w:val="0BCD26DF"/>
    <w:rsid w:val="0BD97354"/>
    <w:rsid w:val="0BE01596"/>
    <w:rsid w:val="0BE33F83"/>
    <w:rsid w:val="0BE52B17"/>
    <w:rsid w:val="0BE96318"/>
    <w:rsid w:val="0BF64430"/>
    <w:rsid w:val="0BF6735D"/>
    <w:rsid w:val="0C0036EF"/>
    <w:rsid w:val="0C01398D"/>
    <w:rsid w:val="0C0C7AFE"/>
    <w:rsid w:val="0C157849"/>
    <w:rsid w:val="0C177D5B"/>
    <w:rsid w:val="0C1E4EE9"/>
    <w:rsid w:val="0C2374C7"/>
    <w:rsid w:val="0C2506CA"/>
    <w:rsid w:val="0C260E40"/>
    <w:rsid w:val="0C2B1B44"/>
    <w:rsid w:val="0C3355FF"/>
    <w:rsid w:val="0C387C38"/>
    <w:rsid w:val="0C3D037F"/>
    <w:rsid w:val="0C420B00"/>
    <w:rsid w:val="0C4258DA"/>
    <w:rsid w:val="0C4576A1"/>
    <w:rsid w:val="0C467614"/>
    <w:rsid w:val="0C5259C0"/>
    <w:rsid w:val="0C5A04F2"/>
    <w:rsid w:val="0C665DD1"/>
    <w:rsid w:val="0C677E6B"/>
    <w:rsid w:val="0C6E5B73"/>
    <w:rsid w:val="0C6F560F"/>
    <w:rsid w:val="0C752494"/>
    <w:rsid w:val="0C7768F3"/>
    <w:rsid w:val="0C787C92"/>
    <w:rsid w:val="0C7D3CE3"/>
    <w:rsid w:val="0C7E7EA9"/>
    <w:rsid w:val="0C82079B"/>
    <w:rsid w:val="0C8873DF"/>
    <w:rsid w:val="0C8918EA"/>
    <w:rsid w:val="0C8C3269"/>
    <w:rsid w:val="0C9054C9"/>
    <w:rsid w:val="0C937D2A"/>
    <w:rsid w:val="0CA3265E"/>
    <w:rsid w:val="0CB17F5E"/>
    <w:rsid w:val="0CB43E7E"/>
    <w:rsid w:val="0CB769C1"/>
    <w:rsid w:val="0CB93393"/>
    <w:rsid w:val="0CBE135E"/>
    <w:rsid w:val="0CC31C91"/>
    <w:rsid w:val="0CD80E04"/>
    <w:rsid w:val="0CD86B28"/>
    <w:rsid w:val="0CF13273"/>
    <w:rsid w:val="0D0062D2"/>
    <w:rsid w:val="0D027C53"/>
    <w:rsid w:val="0D10028E"/>
    <w:rsid w:val="0D225312"/>
    <w:rsid w:val="0D265864"/>
    <w:rsid w:val="0D266DE0"/>
    <w:rsid w:val="0D2D0849"/>
    <w:rsid w:val="0D2E66FE"/>
    <w:rsid w:val="0D3144DB"/>
    <w:rsid w:val="0D3857DA"/>
    <w:rsid w:val="0D413CAF"/>
    <w:rsid w:val="0D4A0077"/>
    <w:rsid w:val="0D4B7BC4"/>
    <w:rsid w:val="0D4C612B"/>
    <w:rsid w:val="0D4E797E"/>
    <w:rsid w:val="0D516A99"/>
    <w:rsid w:val="0D5648AD"/>
    <w:rsid w:val="0D591B77"/>
    <w:rsid w:val="0D606660"/>
    <w:rsid w:val="0D646361"/>
    <w:rsid w:val="0D6627C9"/>
    <w:rsid w:val="0D663BA0"/>
    <w:rsid w:val="0D6B5658"/>
    <w:rsid w:val="0D6F5B9E"/>
    <w:rsid w:val="0D731382"/>
    <w:rsid w:val="0D770ACD"/>
    <w:rsid w:val="0D78730D"/>
    <w:rsid w:val="0D7B0452"/>
    <w:rsid w:val="0D89119D"/>
    <w:rsid w:val="0D976785"/>
    <w:rsid w:val="0DA12C8B"/>
    <w:rsid w:val="0DA97995"/>
    <w:rsid w:val="0DAE5B76"/>
    <w:rsid w:val="0DBB1EA3"/>
    <w:rsid w:val="0DC33F69"/>
    <w:rsid w:val="0DC61F74"/>
    <w:rsid w:val="0DC91B5B"/>
    <w:rsid w:val="0DD55424"/>
    <w:rsid w:val="0DD93333"/>
    <w:rsid w:val="0DE53880"/>
    <w:rsid w:val="0DE82A71"/>
    <w:rsid w:val="0DE8376D"/>
    <w:rsid w:val="0DEC271C"/>
    <w:rsid w:val="0DF21D57"/>
    <w:rsid w:val="0DF80A7F"/>
    <w:rsid w:val="0DF91E0E"/>
    <w:rsid w:val="0DFB4D33"/>
    <w:rsid w:val="0E0A6FEB"/>
    <w:rsid w:val="0E0C334B"/>
    <w:rsid w:val="0E1E2BD5"/>
    <w:rsid w:val="0E2511AE"/>
    <w:rsid w:val="0E290B9F"/>
    <w:rsid w:val="0E316CFE"/>
    <w:rsid w:val="0E34151F"/>
    <w:rsid w:val="0E3578B3"/>
    <w:rsid w:val="0E386406"/>
    <w:rsid w:val="0E436B4F"/>
    <w:rsid w:val="0E4D2933"/>
    <w:rsid w:val="0E4D775F"/>
    <w:rsid w:val="0E517013"/>
    <w:rsid w:val="0E55118D"/>
    <w:rsid w:val="0E5B3B28"/>
    <w:rsid w:val="0E690E71"/>
    <w:rsid w:val="0E691818"/>
    <w:rsid w:val="0E692DF4"/>
    <w:rsid w:val="0E6D0968"/>
    <w:rsid w:val="0E6E6065"/>
    <w:rsid w:val="0E745939"/>
    <w:rsid w:val="0E782497"/>
    <w:rsid w:val="0E783377"/>
    <w:rsid w:val="0E7B6838"/>
    <w:rsid w:val="0E7C4589"/>
    <w:rsid w:val="0E7E443A"/>
    <w:rsid w:val="0E804564"/>
    <w:rsid w:val="0E84027B"/>
    <w:rsid w:val="0E896379"/>
    <w:rsid w:val="0E8A5BD3"/>
    <w:rsid w:val="0E8E36BE"/>
    <w:rsid w:val="0E9153B9"/>
    <w:rsid w:val="0E96772B"/>
    <w:rsid w:val="0E975FBA"/>
    <w:rsid w:val="0E992B0C"/>
    <w:rsid w:val="0E9E70EB"/>
    <w:rsid w:val="0EA51E4A"/>
    <w:rsid w:val="0EA726C2"/>
    <w:rsid w:val="0EA85542"/>
    <w:rsid w:val="0EAF24CD"/>
    <w:rsid w:val="0EB46A5E"/>
    <w:rsid w:val="0EB910F2"/>
    <w:rsid w:val="0EB93F2E"/>
    <w:rsid w:val="0EBC4CE7"/>
    <w:rsid w:val="0ECF0DC1"/>
    <w:rsid w:val="0ED1566D"/>
    <w:rsid w:val="0ED30206"/>
    <w:rsid w:val="0ED60140"/>
    <w:rsid w:val="0EDA5ECF"/>
    <w:rsid w:val="0EDB32C2"/>
    <w:rsid w:val="0EEB1B6E"/>
    <w:rsid w:val="0EED6E20"/>
    <w:rsid w:val="0EEE7275"/>
    <w:rsid w:val="0EF00AAA"/>
    <w:rsid w:val="0EF122C5"/>
    <w:rsid w:val="0EF343CB"/>
    <w:rsid w:val="0EFB7611"/>
    <w:rsid w:val="0EFD6EFA"/>
    <w:rsid w:val="0EFF6669"/>
    <w:rsid w:val="0F0410BF"/>
    <w:rsid w:val="0F095C5A"/>
    <w:rsid w:val="0F0D36DB"/>
    <w:rsid w:val="0F17176A"/>
    <w:rsid w:val="0F2074A2"/>
    <w:rsid w:val="0F2127E3"/>
    <w:rsid w:val="0F25029A"/>
    <w:rsid w:val="0F26095E"/>
    <w:rsid w:val="0F27601A"/>
    <w:rsid w:val="0F2C2C72"/>
    <w:rsid w:val="0F2E2179"/>
    <w:rsid w:val="0F327F41"/>
    <w:rsid w:val="0F390247"/>
    <w:rsid w:val="0F3A651B"/>
    <w:rsid w:val="0F40581B"/>
    <w:rsid w:val="0F410646"/>
    <w:rsid w:val="0F4D3652"/>
    <w:rsid w:val="0F4E168D"/>
    <w:rsid w:val="0F54537A"/>
    <w:rsid w:val="0F5B677D"/>
    <w:rsid w:val="0F5C1F1A"/>
    <w:rsid w:val="0F60021F"/>
    <w:rsid w:val="0F642AB0"/>
    <w:rsid w:val="0F6611E9"/>
    <w:rsid w:val="0F6F7597"/>
    <w:rsid w:val="0F707E3B"/>
    <w:rsid w:val="0F777CE1"/>
    <w:rsid w:val="0F792848"/>
    <w:rsid w:val="0F7A6D43"/>
    <w:rsid w:val="0F7E4FDA"/>
    <w:rsid w:val="0F8108A1"/>
    <w:rsid w:val="0F815631"/>
    <w:rsid w:val="0F847455"/>
    <w:rsid w:val="0F8569F7"/>
    <w:rsid w:val="0F8A0B2E"/>
    <w:rsid w:val="0F9705F3"/>
    <w:rsid w:val="0F9A4609"/>
    <w:rsid w:val="0F9E7BE2"/>
    <w:rsid w:val="0F9F71DD"/>
    <w:rsid w:val="0FA770A6"/>
    <w:rsid w:val="0FA933E6"/>
    <w:rsid w:val="0FB04B23"/>
    <w:rsid w:val="0FB122A5"/>
    <w:rsid w:val="0FC10769"/>
    <w:rsid w:val="0FC66D1D"/>
    <w:rsid w:val="0FC80FBA"/>
    <w:rsid w:val="0FCB2D53"/>
    <w:rsid w:val="0FD53F5C"/>
    <w:rsid w:val="0FD74963"/>
    <w:rsid w:val="0FDA53E6"/>
    <w:rsid w:val="0FDB19F3"/>
    <w:rsid w:val="0FE03B0E"/>
    <w:rsid w:val="0FE95707"/>
    <w:rsid w:val="0FED1A64"/>
    <w:rsid w:val="0FF57744"/>
    <w:rsid w:val="0FFF3A48"/>
    <w:rsid w:val="10037FD6"/>
    <w:rsid w:val="10103D20"/>
    <w:rsid w:val="10157EC6"/>
    <w:rsid w:val="10163BD7"/>
    <w:rsid w:val="10174D56"/>
    <w:rsid w:val="102800DF"/>
    <w:rsid w:val="10283B4A"/>
    <w:rsid w:val="102E0F06"/>
    <w:rsid w:val="103A35E8"/>
    <w:rsid w:val="103E7309"/>
    <w:rsid w:val="104240CC"/>
    <w:rsid w:val="1046612D"/>
    <w:rsid w:val="10527A4D"/>
    <w:rsid w:val="10567EA3"/>
    <w:rsid w:val="105F0A00"/>
    <w:rsid w:val="106F038A"/>
    <w:rsid w:val="10700D1C"/>
    <w:rsid w:val="10705E81"/>
    <w:rsid w:val="10803FE4"/>
    <w:rsid w:val="10811B03"/>
    <w:rsid w:val="10817ED4"/>
    <w:rsid w:val="10834B6E"/>
    <w:rsid w:val="10855999"/>
    <w:rsid w:val="108A57EF"/>
    <w:rsid w:val="108B7E44"/>
    <w:rsid w:val="10994BCC"/>
    <w:rsid w:val="10AA0004"/>
    <w:rsid w:val="10B92487"/>
    <w:rsid w:val="10BA43E4"/>
    <w:rsid w:val="10BD4993"/>
    <w:rsid w:val="10D13AAF"/>
    <w:rsid w:val="10D876FD"/>
    <w:rsid w:val="10DF51A5"/>
    <w:rsid w:val="10E01044"/>
    <w:rsid w:val="10E53C52"/>
    <w:rsid w:val="10E5667A"/>
    <w:rsid w:val="10F178FC"/>
    <w:rsid w:val="10F26ECE"/>
    <w:rsid w:val="10F361C8"/>
    <w:rsid w:val="10F9103E"/>
    <w:rsid w:val="10F91B6C"/>
    <w:rsid w:val="10FE13B7"/>
    <w:rsid w:val="110B7C52"/>
    <w:rsid w:val="110F7BCA"/>
    <w:rsid w:val="11140836"/>
    <w:rsid w:val="11145CD5"/>
    <w:rsid w:val="11191FB0"/>
    <w:rsid w:val="111B3388"/>
    <w:rsid w:val="111F6620"/>
    <w:rsid w:val="11296D7D"/>
    <w:rsid w:val="112B2D58"/>
    <w:rsid w:val="112D6CCD"/>
    <w:rsid w:val="11346CBB"/>
    <w:rsid w:val="1136367A"/>
    <w:rsid w:val="1138638C"/>
    <w:rsid w:val="1141513C"/>
    <w:rsid w:val="11475D7F"/>
    <w:rsid w:val="114F42AC"/>
    <w:rsid w:val="11524E35"/>
    <w:rsid w:val="115C2B36"/>
    <w:rsid w:val="115D0F31"/>
    <w:rsid w:val="115D6662"/>
    <w:rsid w:val="1161138F"/>
    <w:rsid w:val="117B6FDE"/>
    <w:rsid w:val="117D0E6B"/>
    <w:rsid w:val="117D1F24"/>
    <w:rsid w:val="11856872"/>
    <w:rsid w:val="118A5840"/>
    <w:rsid w:val="11905502"/>
    <w:rsid w:val="119D7CDF"/>
    <w:rsid w:val="11A75388"/>
    <w:rsid w:val="11A774A2"/>
    <w:rsid w:val="11AD3988"/>
    <w:rsid w:val="11B337B3"/>
    <w:rsid w:val="11B558FB"/>
    <w:rsid w:val="11B83F88"/>
    <w:rsid w:val="11BC7A8B"/>
    <w:rsid w:val="11BF6E86"/>
    <w:rsid w:val="11C74789"/>
    <w:rsid w:val="11CF523C"/>
    <w:rsid w:val="11D573F1"/>
    <w:rsid w:val="11D97477"/>
    <w:rsid w:val="11DB3D68"/>
    <w:rsid w:val="11DC17E5"/>
    <w:rsid w:val="11E26E81"/>
    <w:rsid w:val="11E62697"/>
    <w:rsid w:val="11EE6709"/>
    <w:rsid w:val="11F55274"/>
    <w:rsid w:val="11F61DE1"/>
    <w:rsid w:val="11F756AC"/>
    <w:rsid w:val="11F96B9E"/>
    <w:rsid w:val="11FB690E"/>
    <w:rsid w:val="11FD099E"/>
    <w:rsid w:val="12020F04"/>
    <w:rsid w:val="12030064"/>
    <w:rsid w:val="120431A6"/>
    <w:rsid w:val="12060A64"/>
    <w:rsid w:val="12123C76"/>
    <w:rsid w:val="121D1E44"/>
    <w:rsid w:val="123846C6"/>
    <w:rsid w:val="123A0811"/>
    <w:rsid w:val="123A1BC7"/>
    <w:rsid w:val="123D0729"/>
    <w:rsid w:val="12430DB7"/>
    <w:rsid w:val="12595C90"/>
    <w:rsid w:val="125E1917"/>
    <w:rsid w:val="126200E0"/>
    <w:rsid w:val="126A5674"/>
    <w:rsid w:val="126E4812"/>
    <w:rsid w:val="126E7316"/>
    <w:rsid w:val="1270230E"/>
    <w:rsid w:val="1273125A"/>
    <w:rsid w:val="127A0E51"/>
    <w:rsid w:val="127C1D14"/>
    <w:rsid w:val="127E27F8"/>
    <w:rsid w:val="127F4C3B"/>
    <w:rsid w:val="12844361"/>
    <w:rsid w:val="12886B37"/>
    <w:rsid w:val="128C5B57"/>
    <w:rsid w:val="12953363"/>
    <w:rsid w:val="129C72D0"/>
    <w:rsid w:val="12B31436"/>
    <w:rsid w:val="12C20952"/>
    <w:rsid w:val="12C2248A"/>
    <w:rsid w:val="12C25A5C"/>
    <w:rsid w:val="12C43058"/>
    <w:rsid w:val="12C43E6C"/>
    <w:rsid w:val="12DB0083"/>
    <w:rsid w:val="12E2722C"/>
    <w:rsid w:val="12E91757"/>
    <w:rsid w:val="12EA6227"/>
    <w:rsid w:val="12F300FC"/>
    <w:rsid w:val="12F46CDB"/>
    <w:rsid w:val="12FE572C"/>
    <w:rsid w:val="13066BF4"/>
    <w:rsid w:val="1311486C"/>
    <w:rsid w:val="13121A44"/>
    <w:rsid w:val="13133314"/>
    <w:rsid w:val="13133606"/>
    <w:rsid w:val="131336A3"/>
    <w:rsid w:val="13195901"/>
    <w:rsid w:val="131B5B61"/>
    <w:rsid w:val="13247EE9"/>
    <w:rsid w:val="132858DD"/>
    <w:rsid w:val="13291AED"/>
    <w:rsid w:val="132F1D05"/>
    <w:rsid w:val="133178C3"/>
    <w:rsid w:val="13327A2D"/>
    <w:rsid w:val="133448AB"/>
    <w:rsid w:val="13365156"/>
    <w:rsid w:val="13375E3E"/>
    <w:rsid w:val="13394A5B"/>
    <w:rsid w:val="133B0E26"/>
    <w:rsid w:val="133C6F2C"/>
    <w:rsid w:val="133D3E1D"/>
    <w:rsid w:val="134355D0"/>
    <w:rsid w:val="1345127B"/>
    <w:rsid w:val="1346033A"/>
    <w:rsid w:val="134B5829"/>
    <w:rsid w:val="135320A0"/>
    <w:rsid w:val="13652812"/>
    <w:rsid w:val="136E1102"/>
    <w:rsid w:val="137335D6"/>
    <w:rsid w:val="13750690"/>
    <w:rsid w:val="137544B5"/>
    <w:rsid w:val="138473F4"/>
    <w:rsid w:val="138F1256"/>
    <w:rsid w:val="139F0672"/>
    <w:rsid w:val="13A77CA3"/>
    <w:rsid w:val="13A91391"/>
    <w:rsid w:val="13B46C9C"/>
    <w:rsid w:val="13B64198"/>
    <w:rsid w:val="13BB1256"/>
    <w:rsid w:val="13BB7AF1"/>
    <w:rsid w:val="13D32386"/>
    <w:rsid w:val="13D37F26"/>
    <w:rsid w:val="13E0569F"/>
    <w:rsid w:val="13E3314C"/>
    <w:rsid w:val="13E612FE"/>
    <w:rsid w:val="13E75DFD"/>
    <w:rsid w:val="13E76B83"/>
    <w:rsid w:val="13E837EA"/>
    <w:rsid w:val="13EB3FA7"/>
    <w:rsid w:val="13EC1B9A"/>
    <w:rsid w:val="13F6735D"/>
    <w:rsid w:val="14076624"/>
    <w:rsid w:val="14167D0C"/>
    <w:rsid w:val="14192C7F"/>
    <w:rsid w:val="14193DDF"/>
    <w:rsid w:val="141F3F11"/>
    <w:rsid w:val="141F6313"/>
    <w:rsid w:val="14285B9F"/>
    <w:rsid w:val="142B1B6F"/>
    <w:rsid w:val="142D0DCF"/>
    <w:rsid w:val="143234B8"/>
    <w:rsid w:val="143B682F"/>
    <w:rsid w:val="14430869"/>
    <w:rsid w:val="144642C2"/>
    <w:rsid w:val="14473911"/>
    <w:rsid w:val="1449056A"/>
    <w:rsid w:val="144B0486"/>
    <w:rsid w:val="14514AA1"/>
    <w:rsid w:val="14575A62"/>
    <w:rsid w:val="145D7B7C"/>
    <w:rsid w:val="14634B8B"/>
    <w:rsid w:val="14663D16"/>
    <w:rsid w:val="1468208E"/>
    <w:rsid w:val="14700BC5"/>
    <w:rsid w:val="14717F10"/>
    <w:rsid w:val="14751383"/>
    <w:rsid w:val="1478586C"/>
    <w:rsid w:val="14804384"/>
    <w:rsid w:val="14846D45"/>
    <w:rsid w:val="14895A0D"/>
    <w:rsid w:val="148D62F6"/>
    <w:rsid w:val="14900E65"/>
    <w:rsid w:val="14901F26"/>
    <w:rsid w:val="149061E2"/>
    <w:rsid w:val="14940A62"/>
    <w:rsid w:val="149439E8"/>
    <w:rsid w:val="149E502B"/>
    <w:rsid w:val="14A17B0B"/>
    <w:rsid w:val="14AE46DC"/>
    <w:rsid w:val="14BD1EEC"/>
    <w:rsid w:val="14BF2B7A"/>
    <w:rsid w:val="14C57DC4"/>
    <w:rsid w:val="14C60BDA"/>
    <w:rsid w:val="14C945A1"/>
    <w:rsid w:val="14CB5D47"/>
    <w:rsid w:val="14CB6C20"/>
    <w:rsid w:val="14D07641"/>
    <w:rsid w:val="14D10F1F"/>
    <w:rsid w:val="14D1402F"/>
    <w:rsid w:val="14D250B0"/>
    <w:rsid w:val="14D643C7"/>
    <w:rsid w:val="14DA2A3F"/>
    <w:rsid w:val="14DD0368"/>
    <w:rsid w:val="14DD1F5E"/>
    <w:rsid w:val="14E01004"/>
    <w:rsid w:val="14E2050C"/>
    <w:rsid w:val="14EA13E7"/>
    <w:rsid w:val="14EA179D"/>
    <w:rsid w:val="14F3527D"/>
    <w:rsid w:val="14F96B98"/>
    <w:rsid w:val="14FF6FA9"/>
    <w:rsid w:val="15064C19"/>
    <w:rsid w:val="150F1768"/>
    <w:rsid w:val="151503B1"/>
    <w:rsid w:val="151A799E"/>
    <w:rsid w:val="151B18EE"/>
    <w:rsid w:val="151F5ECE"/>
    <w:rsid w:val="15281DF5"/>
    <w:rsid w:val="152F5F1F"/>
    <w:rsid w:val="153070B7"/>
    <w:rsid w:val="1537146E"/>
    <w:rsid w:val="153E533A"/>
    <w:rsid w:val="15406575"/>
    <w:rsid w:val="154632BC"/>
    <w:rsid w:val="154E4F2D"/>
    <w:rsid w:val="15553CF3"/>
    <w:rsid w:val="155A7A47"/>
    <w:rsid w:val="156E19C3"/>
    <w:rsid w:val="15720975"/>
    <w:rsid w:val="15744809"/>
    <w:rsid w:val="157C1BA6"/>
    <w:rsid w:val="158A3CED"/>
    <w:rsid w:val="158E0A15"/>
    <w:rsid w:val="159C2A32"/>
    <w:rsid w:val="15A0556A"/>
    <w:rsid w:val="15A2287A"/>
    <w:rsid w:val="15A64B0B"/>
    <w:rsid w:val="15AA2092"/>
    <w:rsid w:val="15B3006A"/>
    <w:rsid w:val="15BD43DB"/>
    <w:rsid w:val="15C05DCC"/>
    <w:rsid w:val="15C62C1A"/>
    <w:rsid w:val="15C7380D"/>
    <w:rsid w:val="15C7675B"/>
    <w:rsid w:val="15C92532"/>
    <w:rsid w:val="15D737D6"/>
    <w:rsid w:val="15DF0F1F"/>
    <w:rsid w:val="15E20F74"/>
    <w:rsid w:val="15E92732"/>
    <w:rsid w:val="15ED4AC0"/>
    <w:rsid w:val="15F80BFE"/>
    <w:rsid w:val="15FB627D"/>
    <w:rsid w:val="160025F7"/>
    <w:rsid w:val="160A7D69"/>
    <w:rsid w:val="16224384"/>
    <w:rsid w:val="162E2C1B"/>
    <w:rsid w:val="162E3FBD"/>
    <w:rsid w:val="16384275"/>
    <w:rsid w:val="163B2B4A"/>
    <w:rsid w:val="16480FBB"/>
    <w:rsid w:val="165C25AB"/>
    <w:rsid w:val="16680BED"/>
    <w:rsid w:val="166D339A"/>
    <w:rsid w:val="167067A1"/>
    <w:rsid w:val="1673211A"/>
    <w:rsid w:val="167635DC"/>
    <w:rsid w:val="167E57ED"/>
    <w:rsid w:val="16894BB3"/>
    <w:rsid w:val="168A28EF"/>
    <w:rsid w:val="16901082"/>
    <w:rsid w:val="169C19E3"/>
    <w:rsid w:val="169C5A2D"/>
    <w:rsid w:val="16A06C9B"/>
    <w:rsid w:val="16A239DF"/>
    <w:rsid w:val="16A85731"/>
    <w:rsid w:val="16AE2A59"/>
    <w:rsid w:val="16B24ED1"/>
    <w:rsid w:val="16C53EB0"/>
    <w:rsid w:val="16C5620B"/>
    <w:rsid w:val="16CC3B80"/>
    <w:rsid w:val="16D048C7"/>
    <w:rsid w:val="16D10E49"/>
    <w:rsid w:val="16D663B2"/>
    <w:rsid w:val="16DC22DD"/>
    <w:rsid w:val="16DD5A00"/>
    <w:rsid w:val="16E46EAC"/>
    <w:rsid w:val="16E606C2"/>
    <w:rsid w:val="16E7513A"/>
    <w:rsid w:val="16E871EA"/>
    <w:rsid w:val="16EB6327"/>
    <w:rsid w:val="16F73C11"/>
    <w:rsid w:val="16FB22AF"/>
    <w:rsid w:val="16FB313E"/>
    <w:rsid w:val="16FB5840"/>
    <w:rsid w:val="16FD1D31"/>
    <w:rsid w:val="16FE7A78"/>
    <w:rsid w:val="17007A6D"/>
    <w:rsid w:val="17050780"/>
    <w:rsid w:val="17101BDC"/>
    <w:rsid w:val="171A3023"/>
    <w:rsid w:val="172E13CB"/>
    <w:rsid w:val="17366AFA"/>
    <w:rsid w:val="173739DE"/>
    <w:rsid w:val="173B1EE5"/>
    <w:rsid w:val="17437528"/>
    <w:rsid w:val="17464469"/>
    <w:rsid w:val="174834AA"/>
    <w:rsid w:val="17487180"/>
    <w:rsid w:val="175129AF"/>
    <w:rsid w:val="1758511E"/>
    <w:rsid w:val="17594756"/>
    <w:rsid w:val="1766551B"/>
    <w:rsid w:val="176A4D8F"/>
    <w:rsid w:val="176A67B6"/>
    <w:rsid w:val="1772642F"/>
    <w:rsid w:val="17737BD2"/>
    <w:rsid w:val="17757E00"/>
    <w:rsid w:val="177F6633"/>
    <w:rsid w:val="17814289"/>
    <w:rsid w:val="17854E2C"/>
    <w:rsid w:val="17923D7B"/>
    <w:rsid w:val="179D0C9C"/>
    <w:rsid w:val="179E6E5A"/>
    <w:rsid w:val="17A56670"/>
    <w:rsid w:val="17B150CB"/>
    <w:rsid w:val="17B23598"/>
    <w:rsid w:val="17B47768"/>
    <w:rsid w:val="17C045CA"/>
    <w:rsid w:val="17C85CEA"/>
    <w:rsid w:val="17CE79E2"/>
    <w:rsid w:val="17D2125F"/>
    <w:rsid w:val="17D355F8"/>
    <w:rsid w:val="17D40AAA"/>
    <w:rsid w:val="17D7760C"/>
    <w:rsid w:val="17D87834"/>
    <w:rsid w:val="17DF4479"/>
    <w:rsid w:val="17E20DEE"/>
    <w:rsid w:val="17E72060"/>
    <w:rsid w:val="17EB564C"/>
    <w:rsid w:val="17EB5B9A"/>
    <w:rsid w:val="17F857CD"/>
    <w:rsid w:val="17FD24FB"/>
    <w:rsid w:val="18021634"/>
    <w:rsid w:val="1806796E"/>
    <w:rsid w:val="180B5020"/>
    <w:rsid w:val="180E18D0"/>
    <w:rsid w:val="180F4CBE"/>
    <w:rsid w:val="18125949"/>
    <w:rsid w:val="18187E60"/>
    <w:rsid w:val="181E44F2"/>
    <w:rsid w:val="182007DD"/>
    <w:rsid w:val="182D786E"/>
    <w:rsid w:val="18345F0A"/>
    <w:rsid w:val="183A1736"/>
    <w:rsid w:val="1843207A"/>
    <w:rsid w:val="184366BE"/>
    <w:rsid w:val="18452548"/>
    <w:rsid w:val="18453F28"/>
    <w:rsid w:val="184753A6"/>
    <w:rsid w:val="18491FB8"/>
    <w:rsid w:val="184C12B5"/>
    <w:rsid w:val="184E5188"/>
    <w:rsid w:val="1853177E"/>
    <w:rsid w:val="18566ECD"/>
    <w:rsid w:val="18572F18"/>
    <w:rsid w:val="185840A4"/>
    <w:rsid w:val="185A3167"/>
    <w:rsid w:val="186B64F4"/>
    <w:rsid w:val="18710E9B"/>
    <w:rsid w:val="187208E1"/>
    <w:rsid w:val="187404F8"/>
    <w:rsid w:val="187B23E5"/>
    <w:rsid w:val="187D2E0E"/>
    <w:rsid w:val="187D363C"/>
    <w:rsid w:val="187D3B10"/>
    <w:rsid w:val="18865AB8"/>
    <w:rsid w:val="188E0F9F"/>
    <w:rsid w:val="189646A7"/>
    <w:rsid w:val="189664AC"/>
    <w:rsid w:val="189C7F66"/>
    <w:rsid w:val="189D6459"/>
    <w:rsid w:val="18A07947"/>
    <w:rsid w:val="18AD3980"/>
    <w:rsid w:val="18AE5289"/>
    <w:rsid w:val="18B00122"/>
    <w:rsid w:val="18B32BB8"/>
    <w:rsid w:val="18B456BB"/>
    <w:rsid w:val="18B771D9"/>
    <w:rsid w:val="18BC4DD8"/>
    <w:rsid w:val="18BD4376"/>
    <w:rsid w:val="18C16AB9"/>
    <w:rsid w:val="18C55223"/>
    <w:rsid w:val="18C6568D"/>
    <w:rsid w:val="18C959BB"/>
    <w:rsid w:val="18D40345"/>
    <w:rsid w:val="18D90BFD"/>
    <w:rsid w:val="18D951B2"/>
    <w:rsid w:val="18E05C0E"/>
    <w:rsid w:val="18E5314F"/>
    <w:rsid w:val="18F00CE8"/>
    <w:rsid w:val="18F91118"/>
    <w:rsid w:val="18FE68C5"/>
    <w:rsid w:val="19065E45"/>
    <w:rsid w:val="190938BB"/>
    <w:rsid w:val="190A56D7"/>
    <w:rsid w:val="19166CB4"/>
    <w:rsid w:val="19202945"/>
    <w:rsid w:val="192129FB"/>
    <w:rsid w:val="1921612B"/>
    <w:rsid w:val="19287DCA"/>
    <w:rsid w:val="193D4B9A"/>
    <w:rsid w:val="19415BBC"/>
    <w:rsid w:val="1949405B"/>
    <w:rsid w:val="194B7E2B"/>
    <w:rsid w:val="19583977"/>
    <w:rsid w:val="196315DB"/>
    <w:rsid w:val="19643E2F"/>
    <w:rsid w:val="19703B9A"/>
    <w:rsid w:val="197455B0"/>
    <w:rsid w:val="197C42BF"/>
    <w:rsid w:val="1984139E"/>
    <w:rsid w:val="19850A52"/>
    <w:rsid w:val="198812BF"/>
    <w:rsid w:val="198C2994"/>
    <w:rsid w:val="198C7FDB"/>
    <w:rsid w:val="1994394A"/>
    <w:rsid w:val="1999563E"/>
    <w:rsid w:val="199E2772"/>
    <w:rsid w:val="19A33352"/>
    <w:rsid w:val="19AF75D4"/>
    <w:rsid w:val="19B72A18"/>
    <w:rsid w:val="19C00CEE"/>
    <w:rsid w:val="19CA676F"/>
    <w:rsid w:val="19CF4BC1"/>
    <w:rsid w:val="19D15A82"/>
    <w:rsid w:val="19D32BA5"/>
    <w:rsid w:val="19D413CD"/>
    <w:rsid w:val="19D95A8C"/>
    <w:rsid w:val="19DF1331"/>
    <w:rsid w:val="19DF68D4"/>
    <w:rsid w:val="19E16672"/>
    <w:rsid w:val="19E25F19"/>
    <w:rsid w:val="19E43194"/>
    <w:rsid w:val="19E62568"/>
    <w:rsid w:val="19E74261"/>
    <w:rsid w:val="19E96C61"/>
    <w:rsid w:val="19F510C4"/>
    <w:rsid w:val="19FA6D1A"/>
    <w:rsid w:val="19FB54BF"/>
    <w:rsid w:val="19FE1B56"/>
    <w:rsid w:val="1A060AB9"/>
    <w:rsid w:val="1A0A6B4F"/>
    <w:rsid w:val="1A0F1ED8"/>
    <w:rsid w:val="1A1342AB"/>
    <w:rsid w:val="1A1507A3"/>
    <w:rsid w:val="1A15521C"/>
    <w:rsid w:val="1A191D64"/>
    <w:rsid w:val="1A2017A7"/>
    <w:rsid w:val="1A2053A5"/>
    <w:rsid w:val="1A237D40"/>
    <w:rsid w:val="1A257439"/>
    <w:rsid w:val="1A266FD5"/>
    <w:rsid w:val="1A2C4317"/>
    <w:rsid w:val="1A304070"/>
    <w:rsid w:val="1A3B09B0"/>
    <w:rsid w:val="1A3F47B6"/>
    <w:rsid w:val="1A4965F9"/>
    <w:rsid w:val="1A4C0978"/>
    <w:rsid w:val="1A537548"/>
    <w:rsid w:val="1A53771E"/>
    <w:rsid w:val="1A5B1B46"/>
    <w:rsid w:val="1A5F3F04"/>
    <w:rsid w:val="1A6166F7"/>
    <w:rsid w:val="1A6C3697"/>
    <w:rsid w:val="1A6F7E37"/>
    <w:rsid w:val="1A7056AF"/>
    <w:rsid w:val="1A760501"/>
    <w:rsid w:val="1A886E5C"/>
    <w:rsid w:val="1A8A0995"/>
    <w:rsid w:val="1A901D46"/>
    <w:rsid w:val="1A9B0477"/>
    <w:rsid w:val="1A9E0E31"/>
    <w:rsid w:val="1A9E387E"/>
    <w:rsid w:val="1A9F0FB4"/>
    <w:rsid w:val="1AA519C2"/>
    <w:rsid w:val="1AA62311"/>
    <w:rsid w:val="1AB14C16"/>
    <w:rsid w:val="1AB64567"/>
    <w:rsid w:val="1AB64BE3"/>
    <w:rsid w:val="1ABA602A"/>
    <w:rsid w:val="1ABA785B"/>
    <w:rsid w:val="1ABD3F9F"/>
    <w:rsid w:val="1ABE55FB"/>
    <w:rsid w:val="1AC33166"/>
    <w:rsid w:val="1ACA3561"/>
    <w:rsid w:val="1ACB4062"/>
    <w:rsid w:val="1ACD2E49"/>
    <w:rsid w:val="1AD63A7C"/>
    <w:rsid w:val="1AD80FFE"/>
    <w:rsid w:val="1AE050F9"/>
    <w:rsid w:val="1AE612D2"/>
    <w:rsid w:val="1AE67C07"/>
    <w:rsid w:val="1AE849EB"/>
    <w:rsid w:val="1AEB2ADF"/>
    <w:rsid w:val="1AEC61C2"/>
    <w:rsid w:val="1AEE2E3A"/>
    <w:rsid w:val="1AF06330"/>
    <w:rsid w:val="1AF5342C"/>
    <w:rsid w:val="1AFF1FA4"/>
    <w:rsid w:val="1B0C419E"/>
    <w:rsid w:val="1B0C4FCA"/>
    <w:rsid w:val="1B195FF9"/>
    <w:rsid w:val="1B1E1D95"/>
    <w:rsid w:val="1B22725F"/>
    <w:rsid w:val="1B2B151F"/>
    <w:rsid w:val="1B3B1532"/>
    <w:rsid w:val="1B431BAD"/>
    <w:rsid w:val="1B4668FD"/>
    <w:rsid w:val="1B47394A"/>
    <w:rsid w:val="1B4C033F"/>
    <w:rsid w:val="1B535D43"/>
    <w:rsid w:val="1B5946A7"/>
    <w:rsid w:val="1B6D5FC7"/>
    <w:rsid w:val="1B6E1A71"/>
    <w:rsid w:val="1B702586"/>
    <w:rsid w:val="1B7116D9"/>
    <w:rsid w:val="1B7F5C31"/>
    <w:rsid w:val="1B82359E"/>
    <w:rsid w:val="1B83325B"/>
    <w:rsid w:val="1B855280"/>
    <w:rsid w:val="1B8561FB"/>
    <w:rsid w:val="1B8C4C67"/>
    <w:rsid w:val="1B965F1C"/>
    <w:rsid w:val="1B996642"/>
    <w:rsid w:val="1B9B6355"/>
    <w:rsid w:val="1B9C5B8F"/>
    <w:rsid w:val="1BA0313F"/>
    <w:rsid w:val="1BA11472"/>
    <w:rsid w:val="1BA70410"/>
    <w:rsid w:val="1BBD4972"/>
    <w:rsid w:val="1BBD645F"/>
    <w:rsid w:val="1BC82E20"/>
    <w:rsid w:val="1BD06D0C"/>
    <w:rsid w:val="1BD31F37"/>
    <w:rsid w:val="1BD35A60"/>
    <w:rsid w:val="1BDD0D8B"/>
    <w:rsid w:val="1BE40E64"/>
    <w:rsid w:val="1BE745F6"/>
    <w:rsid w:val="1BF11408"/>
    <w:rsid w:val="1BF64E60"/>
    <w:rsid w:val="1C0124E9"/>
    <w:rsid w:val="1C17662B"/>
    <w:rsid w:val="1C190F77"/>
    <w:rsid w:val="1C24335F"/>
    <w:rsid w:val="1C25283A"/>
    <w:rsid w:val="1C2E0D4F"/>
    <w:rsid w:val="1C367A66"/>
    <w:rsid w:val="1C412E6E"/>
    <w:rsid w:val="1C42342B"/>
    <w:rsid w:val="1C4D5CB3"/>
    <w:rsid w:val="1C4E0B38"/>
    <w:rsid w:val="1C4F6772"/>
    <w:rsid w:val="1C50745E"/>
    <w:rsid w:val="1C532A4B"/>
    <w:rsid w:val="1C6041F4"/>
    <w:rsid w:val="1C645BE7"/>
    <w:rsid w:val="1C6A04B1"/>
    <w:rsid w:val="1C7469E6"/>
    <w:rsid w:val="1C7A236C"/>
    <w:rsid w:val="1C7B54B3"/>
    <w:rsid w:val="1C7F3319"/>
    <w:rsid w:val="1C8262D2"/>
    <w:rsid w:val="1C8979E9"/>
    <w:rsid w:val="1C8D63EE"/>
    <w:rsid w:val="1C915D04"/>
    <w:rsid w:val="1C9A1204"/>
    <w:rsid w:val="1CA166F4"/>
    <w:rsid w:val="1CA23D4E"/>
    <w:rsid w:val="1CA9131B"/>
    <w:rsid w:val="1CB02D41"/>
    <w:rsid w:val="1CB464E2"/>
    <w:rsid w:val="1CB57848"/>
    <w:rsid w:val="1CB81A6B"/>
    <w:rsid w:val="1CB90C5D"/>
    <w:rsid w:val="1CC27F50"/>
    <w:rsid w:val="1CC44476"/>
    <w:rsid w:val="1CC76F56"/>
    <w:rsid w:val="1CCC4EAC"/>
    <w:rsid w:val="1CD16DFB"/>
    <w:rsid w:val="1CD32A5C"/>
    <w:rsid w:val="1CEF0C9B"/>
    <w:rsid w:val="1CF80A69"/>
    <w:rsid w:val="1CF900BE"/>
    <w:rsid w:val="1CFA107F"/>
    <w:rsid w:val="1CFB1C06"/>
    <w:rsid w:val="1CFE0476"/>
    <w:rsid w:val="1D035F76"/>
    <w:rsid w:val="1D0668A7"/>
    <w:rsid w:val="1D0D567D"/>
    <w:rsid w:val="1D13566F"/>
    <w:rsid w:val="1D155D79"/>
    <w:rsid w:val="1D1A2745"/>
    <w:rsid w:val="1D1E1AD4"/>
    <w:rsid w:val="1D225F18"/>
    <w:rsid w:val="1D3276E9"/>
    <w:rsid w:val="1D350989"/>
    <w:rsid w:val="1D397920"/>
    <w:rsid w:val="1D3F6620"/>
    <w:rsid w:val="1D4126F8"/>
    <w:rsid w:val="1D450938"/>
    <w:rsid w:val="1D5223E3"/>
    <w:rsid w:val="1D5F5F9E"/>
    <w:rsid w:val="1D617129"/>
    <w:rsid w:val="1D6313FC"/>
    <w:rsid w:val="1D69133D"/>
    <w:rsid w:val="1D6A20D8"/>
    <w:rsid w:val="1D6D6AF8"/>
    <w:rsid w:val="1D6F5B7C"/>
    <w:rsid w:val="1D826115"/>
    <w:rsid w:val="1D85210C"/>
    <w:rsid w:val="1D854F7E"/>
    <w:rsid w:val="1D880945"/>
    <w:rsid w:val="1D8944CB"/>
    <w:rsid w:val="1D8D71AD"/>
    <w:rsid w:val="1D9C22DF"/>
    <w:rsid w:val="1D9E51F9"/>
    <w:rsid w:val="1DA2428A"/>
    <w:rsid w:val="1DAE0C00"/>
    <w:rsid w:val="1DAE3F9A"/>
    <w:rsid w:val="1DB4670F"/>
    <w:rsid w:val="1DC44C30"/>
    <w:rsid w:val="1DC8687B"/>
    <w:rsid w:val="1DCC6A7B"/>
    <w:rsid w:val="1DD26768"/>
    <w:rsid w:val="1DD33F61"/>
    <w:rsid w:val="1DD97A28"/>
    <w:rsid w:val="1DDA0C7D"/>
    <w:rsid w:val="1DDA3D7F"/>
    <w:rsid w:val="1DF054EF"/>
    <w:rsid w:val="1DF1585D"/>
    <w:rsid w:val="1DF83A39"/>
    <w:rsid w:val="1DF84814"/>
    <w:rsid w:val="1DFB6E89"/>
    <w:rsid w:val="1E070091"/>
    <w:rsid w:val="1E0A2569"/>
    <w:rsid w:val="1E1156A5"/>
    <w:rsid w:val="1E146959"/>
    <w:rsid w:val="1E1E6542"/>
    <w:rsid w:val="1E232351"/>
    <w:rsid w:val="1E245234"/>
    <w:rsid w:val="1E2750AE"/>
    <w:rsid w:val="1E4569AA"/>
    <w:rsid w:val="1E4F5C2D"/>
    <w:rsid w:val="1E5E1958"/>
    <w:rsid w:val="1E6E1784"/>
    <w:rsid w:val="1E6E7C03"/>
    <w:rsid w:val="1E701A13"/>
    <w:rsid w:val="1E71052F"/>
    <w:rsid w:val="1E790E87"/>
    <w:rsid w:val="1E7970A7"/>
    <w:rsid w:val="1E7A25F2"/>
    <w:rsid w:val="1E854DDF"/>
    <w:rsid w:val="1E8A4916"/>
    <w:rsid w:val="1E992CB5"/>
    <w:rsid w:val="1EAD3FA1"/>
    <w:rsid w:val="1EB24BCB"/>
    <w:rsid w:val="1EB5212B"/>
    <w:rsid w:val="1EB853CE"/>
    <w:rsid w:val="1EBA3D0C"/>
    <w:rsid w:val="1EC03EB1"/>
    <w:rsid w:val="1EC5054E"/>
    <w:rsid w:val="1EC6392B"/>
    <w:rsid w:val="1EC90621"/>
    <w:rsid w:val="1ECA7330"/>
    <w:rsid w:val="1ECB24E7"/>
    <w:rsid w:val="1ECC6B68"/>
    <w:rsid w:val="1ECE28CE"/>
    <w:rsid w:val="1ED62E6A"/>
    <w:rsid w:val="1EE260EC"/>
    <w:rsid w:val="1EE55DEE"/>
    <w:rsid w:val="1EE667FC"/>
    <w:rsid w:val="1EE84B34"/>
    <w:rsid w:val="1EED130A"/>
    <w:rsid w:val="1EEF431A"/>
    <w:rsid w:val="1EF04684"/>
    <w:rsid w:val="1EF17BDE"/>
    <w:rsid w:val="1EF42E9D"/>
    <w:rsid w:val="1EF64135"/>
    <w:rsid w:val="1EFA6E2D"/>
    <w:rsid w:val="1F00281D"/>
    <w:rsid w:val="1F0E2B05"/>
    <w:rsid w:val="1F0F6E1E"/>
    <w:rsid w:val="1F120F82"/>
    <w:rsid w:val="1F123204"/>
    <w:rsid w:val="1F1330A4"/>
    <w:rsid w:val="1F1570AA"/>
    <w:rsid w:val="1F172367"/>
    <w:rsid w:val="1F254E34"/>
    <w:rsid w:val="1F2932A1"/>
    <w:rsid w:val="1F2E35D6"/>
    <w:rsid w:val="1F2F5C11"/>
    <w:rsid w:val="1F32664F"/>
    <w:rsid w:val="1F4247F1"/>
    <w:rsid w:val="1F48621D"/>
    <w:rsid w:val="1F4924CA"/>
    <w:rsid w:val="1F4C66F0"/>
    <w:rsid w:val="1F626E72"/>
    <w:rsid w:val="1F6D0F27"/>
    <w:rsid w:val="1F6F11A0"/>
    <w:rsid w:val="1F702630"/>
    <w:rsid w:val="1F722FB1"/>
    <w:rsid w:val="1F7307D9"/>
    <w:rsid w:val="1F7C2A8B"/>
    <w:rsid w:val="1F7F4C80"/>
    <w:rsid w:val="1F831664"/>
    <w:rsid w:val="1F865A8B"/>
    <w:rsid w:val="1F8762C8"/>
    <w:rsid w:val="1F8D282B"/>
    <w:rsid w:val="1F90473C"/>
    <w:rsid w:val="1F930E2E"/>
    <w:rsid w:val="1F951283"/>
    <w:rsid w:val="1F970130"/>
    <w:rsid w:val="1F9D0A44"/>
    <w:rsid w:val="1F9D3B43"/>
    <w:rsid w:val="1FA25546"/>
    <w:rsid w:val="1FA51D91"/>
    <w:rsid w:val="1FAB7093"/>
    <w:rsid w:val="1FAC0548"/>
    <w:rsid w:val="1FB236C4"/>
    <w:rsid w:val="1FB40AEE"/>
    <w:rsid w:val="1FB61228"/>
    <w:rsid w:val="1FB65F17"/>
    <w:rsid w:val="1FC03C62"/>
    <w:rsid w:val="1FCF3A1C"/>
    <w:rsid w:val="1FD55365"/>
    <w:rsid w:val="1FD83DFD"/>
    <w:rsid w:val="1FD930B0"/>
    <w:rsid w:val="1FE346CD"/>
    <w:rsid w:val="1FE43F25"/>
    <w:rsid w:val="1FE43FA1"/>
    <w:rsid w:val="1FF107B1"/>
    <w:rsid w:val="1FF11E30"/>
    <w:rsid w:val="1FF13B6E"/>
    <w:rsid w:val="1FF20A5C"/>
    <w:rsid w:val="20001E8C"/>
    <w:rsid w:val="20031903"/>
    <w:rsid w:val="20067B7E"/>
    <w:rsid w:val="200A3D59"/>
    <w:rsid w:val="200B326A"/>
    <w:rsid w:val="200C5749"/>
    <w:rsid w:val="20122506"/>
    <w:rsid w:val="201955DF"/>
    <w:rsid w:val="201D10FE"/>
    <w:rsid w:val="201E5EB6"/>
    <w:rsid w:val="201E65A8"/>
    <w:rsid w:val="20230F6D"/>
    <w:rsid w:val="202E1291"/>
    <w:rsid w:val="20301677"/>
    <w:rsid w:val="20304A05"/>
    <w:rsid w:val="2031541D"/>
    <w:rsid w:val="20326101"/>
    <w:rsid w:val="20341112"/>
    <w:rsid w:val="20376EBA"/>
    <w:rsid w:val="2046078D"/>
    <w:rsid w:val="2059524D"/>
    <w:rsid w:val="20665FED"/>
    <w:rsid w:val="206B3403"/>
    <w:rsid w:val="206B75C0"/>
    <w:rsid w:val="2076034B"/>
    <w:rsid w:val="20767256"/>
    <w:rsid w:val="207A1ABC"/>
    <w:rsid w:val="207D516F"/>
    <w:rsid w:val="20893FDE"/>
    <w:rsid w:val="208E4BAC"/>
    <w:rsid w:val="20997C9A"/>
    <w:rsid w:val="209E2744"/>
    <w:rsid w:val="20A2611A"/>
    <w:rsid w:val="20A71359"/>
    <w:rsid w:val="20AA26F3"/>
    <w:rsid w:val="20AD246C"/>
    <w:rsid w:val="20AE6A88"/>
    <w:rsid w:val="20B35E4D"/>
    <w:rsid w:val="20B3781D"/>
    <w:rsid w:val="20B66B40"/>
    <w:rsid w:val="20BA0E51"/>
    <w:rsid w:val="20C020BF"/>
    <w:rsid w:val="20C5585B"/>
    <w:rsid w:val="20CB1088"/>
    <w:rsid w:val="20CF64D3"/>
    <w:rsid w:val="20D314FF"/>
    <w:rsid w:val="20D724A8"/>
    <w:rsid w:val="20DB5E28"/>
    <w:rsid w:val="20E636A9"/>
    <w:rsid w:val="20EF45EB"/>
    <w:rsid w:val="20F261A5"/>
    <w:rsid w:val="210465DC"/>
    <w:rsid w:val="2106633C"/>
    <w:rsid w:val="210A4B79"/>
    <w:rsid w:val="210E6B8D"/>
    <w:rsid w:val="210F1CCD"/>
    <w:rsid w:val="2116509A"/>
    <w:rsid w:val="211A444D"/>
    <w:rsid w:val="211D393E"/>
    <w:rsid w:val="21226BEF"/>
    <w:rsid w:val="212528F5"/>
    <w:rsid w:val="21332707"/>
    <w:rsid w:val="213666C6"/>
    <w:rsid w:val="21391F84"/>
    <w:rsid w:val="213D47A6"/>
    <w:rsid w:val="213F684B"/>
    <w:rsid w:val="21416690"/>
    <w:rsid w:val="21427D5F"/>
    <w:rsid w:val="215347EE"/>
    <w:rsid w:val="21562473"/>
    <w:rsid w:val="2158338F"/>
    <w:rsid w:val="215C0EF4"/>
    <w:rsid w:val="215C4D90"/>
    <w:rsid w:val="215D04AF"/>
    <w:rsid w:val="215D53B4"/>
    <w:rsid w:val="216055F0"/>
    <w:rsid w:val="21642844"/>
    <w:rsid w:val="2173206D"/>
    <w:rsid w:val="21822366"/>
    <w:rsid w:val="218C34CB"/>
    <w:rsid w:val="218F12E5"/>
    <w:rsid w:val="21AB6CD0"/>
    <w:rsid w:val="21BC11F2"/>
    <w:rsid w:val="21BE4D6A"/>
    <w:rsid w:val="21D01E62"/>
    <w:rsid w:val="21D03B15"/>
    <w:rsid w:val="21E645E2"/>
    <w:rsid w:val="21E85460"/>
    <w:rsid w:val="21E94A97"/>
    <w:rsid w:val="21F212E4"/>
    <w:rsid w:val="21F40328"/>
    <w:rsid w:val="21F579C8"/>
    <w:rsid w:val="21FD4613"/>
    <w:rsid w:val="22031BCC"/>
    <w:rsid w:val="221176DE"/>
    <w:rsid w:val="22242A1A"/>
    <w:rsid w:val="2226014F"/>
    <w:rsid w:val="22284042"/>
    <w:rsid w:val="222B624F"/>
    <w:rsid w:val="22340E6A"/>
    <w:rsid w:val="223E5856"/>
    <w:rsid w:val="22412DE8"/>
    <w:rsid w:val="224A746D"/>
    <w:rsid w:val="225260A7"/>
    <w:rsid w:val="2254329B"/>
    <w:rsid w:val="22545998"/>
    <w:rsid w:val="225F7E5E"/>
    <w:rsid w:val="226A32AB"/>
    <w:rsid w:val="228428FE"/>
    <w:rsid w:val="22930250"/>
    <w:rsid w:val="22994A3D"/>
    <w:rsid w:val="229C2060"/>
    <w:rsid w:val="229C26D3"/>
    <w:rsid w:val="22AA6462"/>
    <w:rsid w:val="22AD0A60"/>
    <w:rsid w:val="22B41A8C"/>
    <w:rsid w:val="22B723CD"/>
    <w:rsid w:val="22B967CD"/>
    <w:rsid w:val="22BC230F"/>
    <w:rsid w:val="22C36737"/>
    <w:rsid w:val="22C371B4"/>
    <w:rsid w:val="22C40161"/>
    <w:rsid w:val="22C7765D"/>
    <w:rsid w:val="22CB28BB"/>
    <w:rsid w:val="22D0368D"/>
    <w:rsid w:val="22DB2858"/>
    <w:rsid w:val="22DC6267"/>
    <w:rsid w:val="22EF5FA2"/>
    <w:rsid w:val="22F66267"/>
    <w:rsid w:val="22FF110E"/>
    <w:rsid w:val="23016467"/>
    <w:rsid w:val="23021BF0"/>
    <w:rsid w:val="23143234"/>
    <w:rsid w:val="23173DA3"/>
    <w:rsid w:val="231941AC"/>
    <w:rsid w:val="231E2482"/>
    <w:rsid w:val="232E0462"/>
    <w:rsid w:val="232F3FCA"/>
    <w:rsid w:val="233A1B2D"/>
    <w:rsid w:val="233D20F9"/>
    <w:rsid w:val="23460E68"/>
    <w:rsid w:val="234D545C"/>
    <w:rsid w:val="23502731"/>
    <w:rsid w:val="23517B9F"/>
    <w:rsid w:val="235C394C"/>
    <w:rsid w:val="235E7EA4"/>
    <w:rsid w:val="23694A75"/>
    <w:rsid w:val="236F6395"/>
    <w:rsid w:val="2378526F"/>
    <w:rsid w:val="23865F54"/>
    <w:rsid w:val="23895462"/>
    <w:rsid w:val="238B745B"/>
    <w:rsid w:val="23927D67"/>
    <w:rsid w:val="23965114"/>
    <w:rsid w:val="239B39E3"/>
    <w:rsid w:val="23A16659"/>
    <w:rsid w:val="23A3342A"/>
    <w:rsid w:val="23A62D1E"/>
    <w:rsid w:val="23A632DC"/>
    <w:rsid w:val="23A92FE5"/>
    <w:rsid w:val="23AE3967"/>
    <w:rsid w:val="23B208BE"/>
    <w:rsid w:val="23B36F94"/>
    <w:rsid w:val="23B64CDA"/>
    <w:rsid w:val="23B6748A"/>
    <w:rsid w:val="23B67E0E"/>
    <w:rsid w:val="23B9512F"/>
    <w:rsid w:val="23C22991"/>
    <w:rsid w:val="23C263D2"/>
    <w:rsid w:val="23CD6B32"/>
    <w:rsid w:val="23CF3744"/>
    <w:rsid w:val="23D41292"/>
    <w:rsid w:val="23DF21DE"/>
    <w:rsid w:val="23E822B1"/>
    <w:rsid w:val="23EB0A86"/>
    <w:rsid w:val="23F3706B"/>
    <w:rsid w:val="23F639C1"/>
    <w:rsid w:val="23F925C2"/>
    <w:rsid w:val="24035710"/>
    <w:rsid w:val="240A1E6F"/>
    <w:rsid w:val="240D11BD"/>
    <w:rsid w:val="240E3ECF"/>
    <w:rsid w:val="24127C13"/>
    <w:rsid w:val="24263981"/>
    <w:rsid w:val="242644BF"/>
    <w:rsid w:val="2431571F"/>
    <w:rsid w:val="243472A5"/>
    <w:rsid w:val="24415EA3"/>
    <w:rsid w:val="24443A64"/>
    <w:rsid w:val="244A3C1A"/>
    <w:rsid w:val="24507EB3"/>
    <w:rsid w:val="245B41B9"/>
    <w:rsid w:val="245E1D5D"/>
    <w:rsid w:val="24683E43"/>
    <w:rsid w:val="24783A8F"/>
    <w:rsid w:val="24820F66"/>
    <w:rsid w:val="24875A24"/>
    <w:rsid w:val="248810D3"/>
    <w:rsid w:val="24881E0B"/>
    <w:rsid w:val="248C5E79"/>
    <w:rsid w:val="248E4918"/>
    <w:rsid w:val="249258B0"/>
    <w:rsid w:val="24941068"/>
    <w:rsid w:val="249703AA"/>
    <w:rsid w:val="249D415B"/>
    <w:rsid w:val="24AB2738"/>
    <w:rsid w:val="24C26913"/>
    <w:rsid w:val="24DB1234"/>
    <w:rsid w:val="24DD371D"/>
    <w:rsid w:val="24E3339E"/>
    <w:rsid w:val="24E97D18"/>
    <w:rsid w:val="24F26082"/>
    <w:rsid w:val="24F66C50"/>
    <w:rsid w:val="25001CF4"/>
    <w:rsid w:val="250255F5"/>
    <w:rsid w:val="250E6800"/>
    <w:rsid w:val="251240A0"/>
    <w:rsid w:val="251E5A26"/>
    <w:rsid w:val="25210B30"/>
    <w:rsid w:val="25356592"/>
    <w:rsid w:val="25365AE4"/>
    <w:rsid w:val="253B11D0"/>
    <w:rsid w:val="253D7401"/>
    <w:rsid w:val="25431F83"/>
    <w:rsid w:val="25462EE4"/>
    <w:rsid w:val="254B3D2B"/>
    <w:rsid w:val="254E54EE"/>
    <w:rsid w:val="25516A1A"/>
    <w:rsid w:val="255866A0"/>
    <w:rsid w:val="25586F13"/>
    <w:rsid w:val="25606D83"/>
    <w:rsid w:val="25683697"/>
    <w:rsid w:val="25711C6D"/>
    <w:rsid w:val="25726B2C"/>
    <w:rsid w:val="257B14DB"/>
    <w:rsid w:val="257B2E9F"/>
    <w:rsid w:val="257F4470"/>
    <w:rsid w:val="25824A35"/>
    <w:rsid w:val="25865DF7"/>
    <w:rsid w:val="258960E4"/>
    <w:rsid w:val="259207B1"/>
    <w:rsid w:val="259A7872"/>
    <w:rsid w:val="25B02CAD"/>
    <w:rsid w:val="25BC44A3"/>
    <w:rsid w:val="25BD73D6"/>
    <w:rsid w:val="25BF57FD"/>
    <w:rsid w:val="25CA5681"/>
    <w:rsid w:val="25CC304D"/>
    <w:rsid w:val="25D1410B"/>
    <w:rsid w:val="25D3454C"/>
    <w:rsid w:val="25D72BD8"/>
    <w:rsid w:val="25DB1205"/>
    <w:rsid w:val="25E334EA"/>
    <w:rsid w:val="25E72020"/>
    <w:rsid w:val="25F2630E"/>
    <w:rsid w:val="25F609D5"/>
    <w:rsid w:val="25FC6022"/>
    <w:rsid w:val="25FF1B34"/>
    <w:rsid w:val="26067F9E"/>
    <w:rsid w:val="2618759D"/>
    <w:rsid w:val="261A700A"/>
    <w:rsid w:val="261B28E7"/>
    <w:rsid w:val="261F4517"/>
    <w:rsid w:val="26202FCC"/>
    <w:rsid w:val="262F430D"/>
    <w:rsid w:val="26313B27"/>
    <w:rsid w:val="26315941"/>
    <w:rsid w:val="263F7366"/>
    <w:rsid w:val="265F481B"/>
    <w:rsid w:val="2661076B"/>
    <w:rsid w:val="26622FBA"/>
    <w:rsid w:val="266269BA"/>
    <w:rsid w:val="26634A29"/>
    <w:rsid w:val="266A209B"/>
    <w:rsid w:val="266D0437"/>
    <w:rsid w:val="267100DA"/>
    <w:rsid w:val="26726B95"/>
    <w:rsid w:val="26754641"/>
    <w:rsid w:val="26782D55"/>
    <w:rsid w:val="267A724D"/>
    <w:rsid w:val="267D264E"/>
    <w:rsid w:val="26861921"/>
    <w:rsid w:val="26864920"/>
    <w:rsid w:val="26872AA1"/>
    <w:rsid w:val="268836D7"/>
    <w:rsid w:val="268D57C7"/>
    <w:rsid w:val="26910013"/>
    <w:rsid w:val="269130F1"/>
    <w:rsid w:val="26A32151"/>
    <w:rsid w:val="26A47779"/>
    <w:rsid w:val="26A86F43"/>
    <w:rsid w:val="26AA1D34"/>
    <w:rsid w:val="26B763D2"/>
    <w:rsid w:val="26C051FA"/>
    <w:rsid w:val="26C2163A"/>
    <w:rsid w:val="26C6156E"/>
    <w:rsid w:val="26C84235"/>
    <w:rsid w:val="26CB00B2"/>
    <w:rsid w:val="26CF3DC0"/>
    <w:rsid w:val="26D71EFD"/>
    <w:rsid w:val="26DA11DF"/>
    <w:rsid w:val="26DC3817"/>
    <w:rsid w:val="26E86CE3"/>
    <w:rsid w:val="26ED0722"/>
    <w:rsid w:val="26F163F5"/>
    <w:rsid w:val="26F930CC"/>
    <w:rsid w:val="2702431D"/>
    <w:rsid w:val="27052D67"/>
    <w:rsid w:val="270B33C9"/>
    <w:rsid w:val="270C6486"/>
    <w:rsid w:val="270E4748"/>
    <w:rsid w:val="27113B08"/>
    <w:rsid w:val="271167D4"/>
    <w:rsid w:val="271863D4"/>
    <w:rsid w:val="27205EB5"/>
    <w:rsid w:val="27276904"/>
    <w:rsid w:val="272A11E3"/>
    <w:rsid w:val="27324B59"/>
    <w:rsid w:val="27335775"/>
    <w:rsid w:val="27343E98"/>
    <w:rsid w:val="27353395"/>
    <w:rsid w:val="273E5571"/>
    <w:rsid w:val="27427F2B"/>
    <w:rsid w:val="27480C39"/>
    <w:rsid w:val="274D238C"/>
    <w:rsid w:val="27594EFE"/>
    <w:rsid w:val="275C05BC"/>
    <w:rsid w:val="276122DC"/>
    <w:rsid w:val="276172CD"/>
    <w:rsid w:val="276832E7"/>
    <w:rsid w:val="277E0C97"/>
    <w:rsid w:val="277E1C6B"/>
    <w:rsid w:val="27826575"/>
    <w:rsid w:val="278E3226"/>
    <w:rsid w:val="278F23BE"/>
    <w:rsid w:val="279948BC"/>
    <w:rsid w:val="279B6828"/>
    <w:rsid w:val="279F6F21"/>
    <w:rsid w:val="27A21C97"/>
    <w:rsid w:val="27AB2CA6"/>
    <w:rsid w:val="27AC7C18"/>
    <w:rsid w:val="27AD123F"/>
    <w:rsid w:val="27C064F1"/>
    <w:rsid w:val="27C22E19"/>
    <w:rsid w:val="27C546B8"/>
    <w:rsid w:val="27C66C59"/>
    <w:rsid w:val="27C941A8"/>
    <w:rsid w:val="27C9620D"/>
    <w:rsid w:val="27CC7BF6"/>
    <w:rsid w:val="27CF1C1C"/>
    <w:rsid w:val="27DE2332"/>
    <w:rsid w:val="27E42F2A"/>
    <w:rsid w:val="27E80919"/>
    <w:rsid w:val="27E94829"/>
    <w:rsid w:val="27EA454F"/>
    <w:rsid w:val="27EB05C2"/>
    <w:rsid w:val="27F53C39"/>
    <w:rsid w:val="27FB25DF"/>
    <w:rsid w:val="27FB7291"/>
    <w:rsid w:val="27FD399F"/>
    <w:rsid w:val="27FF6D1F"/>
    <w:rsid w:val="2801780A"/>
    <w:rsid w:val="280179BA"/>
    <w:rsid w:val="280323B3"/>
    <w:rsid w:val="28090902"/>
    <w:rsid w:val="280D4CA8"/>
    <w:rsid w:val="280F556C"/>
    <w:rsid w:val="28141908"/>
    <w:rsid w:val="281C07C0"/>
    <w:rsid w:val="281E3135"/>
    <w:rsid w:val="282044D8"/>
    <w:rsid w:val="28206CB8"/>
    <w:rsid w:val="28217A4B"/>
    <w:rsid w:val="283260E3"/>
    <w:rsid w:val="283667A0"/>
    <w:rsid w:val="28375FB1"/>
    <w:rsid w:val="28417EF6"/>
    <w:rsid w:val="284969C6"/>
    <w:rsid w:val="284D0EA4"/>
    <w:rsid w:val="28520636"/>
    <w:rsid w:val="28565FE4"/>
    <w:rsid w:val="285707E6"/>
    <w:rsid w:val="285916C0"/>
    <w:rsid w:val="285B010B"/>
    <w:rsid w:val="285F36CB"/>
    <w:rsid w:val="286715E1"/>
    <w:rsid w:val="28700869"/>
    <w:rsid w:val="28733B36"/>
    <w:rsid w:val="28764FBE"/>
    <w:rsid w:val="2882120E"/>
    <w:rsid w:val="2886448A"/>
    <w:rsid w:val="28881BDD"/>
    <w:rsid w:val="28885231"/>
    <w:rsid w:val="288F542E"/>
    <w:rsid w:val="289A7D66"/>
    <w:rsid w:val="289D5E84"/>
    <w:rsid w:val="28A67993"/>
    <w:rsid w:val="28AF4EC4"/>
    <w:rsid w:val="28B540C6"/>
    <w:rsid w:val="28C17634"/>
    <w:rsid w:val="28C459EB"/>
    <w:rsid w:val="28C50E13"/>
    <w:rsid w:val="28C5692B"/>
    <w:rsid w:val="28CF6423"/>
    <w:rsid w:val="28D34E2F"/>
    <w:rsid w:val="28DD0510"/>
    <w:rsid w:val="28E538B9"/>
    <w:rsid w:val="28F36F76"/>
    <w:rsid w:val="28F463E0"/>
    <w:rsid w:val="29031D99"/>
    <w:rsid w:val="29045B2F"/>
    <w:rsid w:val="29084714"/>
    <w:rsid w:val="290E201D"/>
    <w:rsid w:val="291175A9"/>
    <w:rsid w:val="291F1157"/>
    <w:rsid w:val="292A6C56"/>
    <w:rsid w:val="292D7A53"/>
    <w:rsid w:val="29336BF5"/>
    <w:rsid w:val="29363439"/>
    <w:rsid w:val="29485E0E"/>
    <w:rsid w:val="29621139"/>
    <w:rsid w:val="2962286D"/>
    <w:rsid w:val="2968587B"/>
    <w:rsid w:val="296B731F"/>
    <w:rsid w:val="29737439"/>
    <w:rsid w:val="297843D7"/>
    <w:rsid w:val="297B25F8"/>
    <w:rsid w:val="297F1C71"/>
    <w:rsid w:val="297F7440"/>
    <w:rsid w:val="29893098"/>
    <w:rsid w:val="298E52C4"/>
    <w:rsid w:val="299A0710"/>
    <w:rsid w:val="299A6286"/>
    <w:rsid w:val="29A42CE5"/>
    <w:rsid w:val="29A56F9F"/>
    <w:rsid w:val="29A7021E"/>
    <w:rsid w:val="29AC26A7"/>
    <w:rsid w:val="29AE7AF9"/>
    <w:rsid w:val="29B21CC5"/>
    <w:rsid w:val="29B475EC"/>
    <w:rsid w:val="29C13593"/>
    <w:rsid w:val="29C4541F"/>
    <w:rsid w:val="29C63B75"/>
    <w:rsid w:val="29C67614"/>
    <w:rsid w:val="29C70471"/>
    <w:rsid w:val="29CE2AC2"/>
    <w:rsid w:val="29D31BA8"/>
    <w:rsid w:val="29D7040F"/>
    <w:rsid w:val="29E2016D"/>
    <w:rsid w:val="29E23A09"/>
    <w:rsid w:val="29E91D93"/>
    <w:rsid w:val="29F37C02"/>
    <w:rsid w:val="2A102AB3"/>
    <w:rsid w:val="2A1511EE"/>
    <w:rsid w:val="2A1C549D"/>
    <w:rsid w:val="2A247C87"/>
    <w:rsid w:val="2A256F3B"/>
    <w:rsid w:val="2A285C84"/>
    <w:rsid w:val="2A351818"/>
    <w:rsid w:val="2A370ABE"/>
    <w:rsid w:val="2A3A13CF"/>
    <w:rsid w:val="2A3E529F"/>
    <w:rsid w:val="2A41369B"/>
    <w:rsid w:val="2A484F0D"/>
    <w:rsid w:val="2A4E0A4E"/>
    <w:rsid w:val="2A543BB1"/>
    <w:rsid w:val="2A611BAA"/>
    <w:rsid w:val="2A691C72"/>
    <w:rsid w:val="2A737394"/>
    <w:rsid w:val="2A753B41"/>
    <w:rsid w:val="2A807AD5"/>
    <w:rsid w:val="2A862E98"/>
    <w:rsid w:val="2A865889"/>
    <w:rsid w:val="2A897FDE"/>
    <w:rsid w:val="2A9203F3"/>
    <w:rsid w:val="2A932B48"/>
    <w:rsid w:val="2A933BA3"/>
    <w:rsid w:val="2AA23EE1"/>
    <w:rsid w:val="2AA46FE2"/>
    <w:rsid w:val="2AB03325"/>
    <w:rsid w:val="2AB23C68"/>
    <w:rsid w:val="2ADC686A"/>
    <w:rsid w:val="2AE0119A"/>
    <w:rsid w:val="2AE431B2"/>
    <w:rsid w:val="2AE6012C"/>
    <w:rsid w:val="2AE83FEA"/>
    <w:rsid w:val="2AE85186"/>
    <w:rsid w:val="2AE86FAA"/>
    <w:rsid w:val="2AF3793F"/>
    <w:rsid w:val="2AF87AE6"/>
    <w:rsid w:val="2AFA3CB3"/>
    <w:rsid w:val="2AFB125F"/>
    <w:rsid w:val="2B084E73"/>
    <w:rsid w:val="2B0A3199"/>
    <w:rsid w:val="2B0F153B"/>
    <w:rsid w:val="2B123D82"/>
    <w:rsid w:val="2B1A7704"/>
    <w:rsid w:val="2B213062"/>
    <w:rsid w:val="2B2253B5"/>
    <w:rsid w:val="2B23788F"/>
    <w:rsid w:val="2B26384F"/>
    <w:rsid w:val="2B2678F1"/>
    <w:rsid w:val="2B295402"/>
    <w:rsid w:val="2B2B58AA"/>
    <w:rsid w:val="2B311B81"/>
    <w:rsid w:val="2B413B51"/>
    <w:rsid w:val="2B4E7D59"/>
    <w:rsid w:val="2B544E32"/>
    <w:rsid w:val="2B583793"/>
    <w:rsid w:val="2B5A5DE6"/>
    <w:rsid w:val="2B5B323B"/>
    <w:rsid w:val="2B5E2A64"/>
    <w:rsid w:val="2B6571B2"/>
    <w:rsid w:val="2B8151CA"/>
    <w:rsid w:val="2B9141E6"/>
    <w:rsid w:val="2B9B6245"/>
    <w:rsid w:val="2BA82862"/>
    <w:rsid w:val="2BA86309"/>
    <w:rsid w:val="2BA97739"/>
    <w:rsid w:val="2BAC1606"/>
    <w:rsid w:val="2BBF5C96"/>
    <w:rsid w:val="2BCD2D4A"/>
    <w:rsid w:val="2BD223DC"/>
    <w:rsid w:val="2BD25787"/>
    <w:rsid w:val="2BD75ACC"/>
    <w:rsid w:val="2BDA0834"/>
    <w:rsid w:val="2BE96CAF"/>
    <w:rsid w:val="2BEB1A8A"/>
    <w:rsid w:val="2BEC15E7"/>
    <w:rsid w:val="2BEC2295"/>
    <w:rsid w:val="2BEF14DE"/>
    <w:rsid w:val="2BFF43EC"/>
    <w:rsid w:val="2C024146"/>
    <w:rsid w:val="2C031DE7"/>
    <w:rsid w:val="2C05145A"/>
    <w:rsid w:val="2C055387"/>
    <w:rsid w:val="2C057B0A"/>
    <w:rsid w:val="2C12152F"/>
    <w:rsid w:val="2C177385"/>
    <w:rsid w:val="2C186CD6"/>
    <w:rsid w:val="2C1A1AEF"/>
    <w:rsid w:val="2C1C6B4B"/>
    <w:rsid w:val="2C2664E1"/>
    <w:rsid w:val="2C2E2294"/>
    <w:rsid w:val="2C31196C"/>
    <w:rsid w:val="2C3846B1"/>
    <w:rsid w:val="2C3D7F61"/>
    <w:rsid w:val="2C4659D1"/>
    <w:rsid w:val="2C47345C"/>
    <w:rsid w:val="2C5F0DF2"/>
    <w:rsid w:val="2C5F3333"/>
    <w:rsid w:val="2C616936"/>
    <w:rsid w:val="2C7238CB"/>
    <w:rsid w:val="2C7A0C19"/>
    <w:rsid w:val="2C7E7B78"/>
    <w:rsid w:val="2C812EA2"/>
    <w:rsid w:val="2C8B4906"/>
    <w:rsid w:val="2C9168B2"/>
    <w:rsid w:val="2C94110D"/>
    <w:rsid w:val="2C9A4907"/>
    <w:rsid w:val="2CA73D56"/>
    <w:rsid w:val="2CA755BA"/>
    <w:rsid w:val="2CAA2A60"/>
    <w:rsid w:val="2CBB1B1D"/>
    <w:rsid w:val="2CBE6DD2"/>
    <w:rsid w:val="2CBF3182"/>
    <w:rsid w:val="2CC7282D"/>
    <w:rsid w:val="2CC95FB1"/>
    <w:rsid w:val="2CC96C87"/>
    <w:rsid w:val="2CCE56C3"/>
    <w:rsid w:val="2CCF5A74"/>
    <w:rsid w:val="2CE233FF"/>
    <w:rsid w:val="2CE535D5"/>
    <w:rsid w:val="2D0204E4"/>
    <w:rsid w:val="2D026B2C"/>
    <w:rsid w:val="2D043AB6"/>
    <w:rsid w:val="2D070A1A"/>
    <w:rsid w:val="2D077F81"/>
    <w:rsid w:val="2D0F26C8"/>
    <w:rsid w:val="2D112F7E"/>
    <w:rsid w:val="2D114165"/>
    <w:rsid w:val="2D1F057D"/>
    <w:rsid w:val="2D2167CD"/>
    <w:rsid w:val="2D29159E"/>
    <w:rsid w:val="2D2C3818"/>
    <w:rsid w:val="2D2D1F08"/>
    <w:rsid w:val="2D2F2CFF"/>
    <w:rsid w:val="2D330825"/>
    <w:rsid w:val="2D332906"/>
    <w:rsid w:val="2D337771"/>
    <w:rsid w:val="2D347831"/>
    <w:rsid w:val="2D3642EE"/>
    <w:rsid w:val="2D4179CC"/>
    <w:rsid w:val="2D464245"/>
    <w:rsid w:val="2D4A4D2A"/>
    <w:rsid w:val="2D4A7CAA"/>
    <w:rsid w:val="2D4D00A7"/>
    <w:rsid w:val="2D4E7C8C"/>
    <w:rsid w:val="2D6334E2"/>
    <w:rsid w:val="2D64092D"/>
    <w:rsid w:val="2D6C5C4E"/>
    <w:rsid w:val="2D6F6B86"/>
    <w:rsid w:val="2D720499"/>
    <w:rsid w:val="2D736897"/>
    <w:rsid w:val="2D771BD6"/>
    <w:rsid w:val="2D7F0A19"/>
    <w:rsid w:val="2D8A5626"/>
    <w:rsid w:val="2D8B17F7"/>
    <w:rsid w:val="2D8F2EC8"/>
    <w:rsid w:val="2D8F4CEF"/>
    <w:rsid w:val="2D92460E"/>
    <w:rsid w:val="2D954B15"/>
    <w:rsid w:val="2D98579B"/>
    <w:rsid w:val="2D987406"/>
    <w:rsid w:val="2D9E5931"/>
    <w:rsid w:val="2DA5335E"/>
    <w:rsid w:val="2DAA35F3"/>
    <w:rsid w:val="2DAC3027"/>
    <w:rsid w:val="2DB075AC"/>
    <w:rsid w:val="2DB33C5F"/>
    <w:rsid w:val="2DB44C75"/>
    <w:rsid w:val="2DBC0F60"/>
    <w:rsid w:val="2DC47B75"/>
    <w:rsid w:val="2DCD78C7"/>
    <w:rsid w:val="2DD34127"/>
    <w:rsid w:val="2DD92C6B"/>
    <w:rsid w:val="2DDB6766"/>
    <w:rsid w:val="2DE118D6"/>
    <w:rsid w:val="2DE55BFE"/>
    <w:rsid w:val="2DE749D0"/>
    <w:rsid w:val="2DEE32C4"/>
    <w:rsid w:val="2DF160E0"/>
    <w:rsid w:val="2DF24BA0"/>
    <w:rsid w:val="2DF61CAB"/>
    <w:rsid w:val="2E00350F"/>
    <w:rsid w:val="2E063581"/>
    <w:rsid w:val="2E072FAB"/>
    <w:rsid w:val="2E07699B"/>
    <w:rsid w:val="2E0B788F"/>
    <w:rsid w:val="2E0D3348"/>
    <w:rsid w:val="2E0F6DDB"/>
    <w:rsid w:val="2E100418"/>
    <w:rsid w:val="2E12312C"/>
    <w:rsid w:val="2E1B4072"/>
    <w:rsid w:val="2E1D6BF6"/>
    <w:rsid w:val="2E233935"/>
    <w:rsid w:val="2E2A3CE5"/>
    <w:rsid w:val="2E2B30C4"/>
    <w:rsid w:val="2E2E56E6"/>
    <w:rsid w:val="2E3D4B5C"/>
    <w:rsid w:val="2E445064"/>
    <w:rsid w:val="2E4D3099"/>
    <w:rsid w:val="2E5004EA"/>
    <w:rsid w:val="2E574E2B"/>
    <w:rsid w:val="2E620F20"/>
    <w:rsid w:val="2E623BE1"/>
    <w:rsid w:val="2E6656DB"/>
    <w:rsid w:val="2E6B7793"/>
    <w:rsid w:val="2E6D586C"/>
    <w:rsid w:val="2E6F5850"/>
    <w:rsid w:val="2E7637CA"/>
    <w:rsid w:val="2E792EEA"/>
    <w:rsid w:val="2E7A1B86"/>
    <w:rsid w:val="2E7A3BD9"/>
    <w:rsid w:val="2E7B5AD6"/>
    <w:rsid w:val="2E8A573C"/>
    <w:rsid w:val="2E8A76DC"/>
    <w:rsid w:val="2E8F2FC6"/>
    <w:rsid w:val="2E976EDC"/>
    <w:rsid w:val="2E9C4DDE"/>
    <w:rsid w:val="2EA15F30"/>
    <w:rsid w:val="2EA45C45"/>
    <w:rsid w:val="2EB05AAA"/>
    <w:rsid w:val="2EB8593F"/>
    <w:rsid w:val="2EBE762F"/>
    <w:rsid w:val="2EBF0A2B"/>
    <w:rsid w:val="2EC17D7C"/>
    <w:rsid w:val="2EC5279E"/>
    <w:rsid w:val="2EC643F0"/>
    <w:rsid w:val="2ECB4E45"/>
    <w:rsid w:val="2ED41B94"/>
    <w:rsid w:val="2EDA3568"/>
    <w:rsid w:val="2EDA6985"/>
    <w:rsid w:val="2EE04780"/>
    <w:rsid w:val="2EE45B77"/>
    <w:rsid w:val="2EEA31AC"/>
    <w:rsid w:val="2EEC7263"/>
    <w:rsid w:val="2EF05EF2"/>
    <w:rsid w:val="2EF51FEB"/>
    <w:rsid w:val="2EFC3C85"/>
    <w:rsid w:val="2EFD3A6B"/>
    <w:rsid w:val="2EFF4313"/>
    <w:rsid w:val="2F013F9D"/>
    <w:rsid w:val="2F0E41DD"/>
    <w:rsid w:val="2F190D3C"/>
    <w:rsid w:val="2F250735"/>
    <w:rsid w:val="2F286E8F"/>
    <w:rsid w:val="2F294C45"/>
    <w:rsid w:val="2F2B1BEC"/>
    <w:rsid w:val="2F310135"/>
    <w:rsid w:val="2F3242E7"/>
    <w:rsid w:val="2F38003B"/>
    <w:rsid w:val="2F3874DF"/>
    <w:rsid w:val="2F3A6C5E"/>
    <w:rsid w:val="2F44342B"/>
    <w:rsid w:val="2F481420"/>
    <w:rsid w:val="2F536595"/>
    <w:rsid w:val="2F590670"/>
    <w:rsid w:val="2F6346FF"/>
    <w:rsid w:val="2F651E4E"/>
    <w:rsid w:val="2F68177C"/>
    <w:rsid w:val="2F710B77"/>
    <w:rsid w:val="2F7F1E1E"/>
    <w:rsid w:val="2F90787C"/>
    <w:rsid w:val="2FA57CD1"/>
    <w:rsid w:val="2FA92A30"/>
    <w:rsid w:val="2FA92EAB"/>
    <w:rsid w:val="2FAA30C6"/>
    <w:rsid w:val="2FAE0D43"/>
    <w:rsid w:val="2FB50062"/>
    <w:rsid w:val="2FBD578F"/>
    <w:rsid w:val="2FC73D6E"/>
    <w:rsid w:val="2FC77CD8"/>
    <w:rsid w:val="2FCA2075"/>
    <w:rsid w:val="2FCD29B2"/>
    <w:rsid w:val="2FD41AF9"/>
    <w:rsid w:val="2FD56685"/>
    <w:rsid w:val="2FD75E22"/>
    <w:rsid w:val="2FD972AD"/>
    <w:rsid w:val="2FDE6C5E"/>
    <w:rsid w:val="2FE01154"/>
    <w:rsid w:val="2FE04EFB"/>
    <w:rsid w:val="2FED2A41"/>
    <w:rsid w:val="2FF04DDC"/>
    <w:rsid w:val="2FF169AF"/>
    <w:rsid w:val="2FFD1B52"/>
    <w:rsid w:val="30007DA5"/>
    <w:rsid w:val="301B1EF3"/>
    <w:rsid w:val="30275D16"/>
    <w:rsid w:val="302855A9"/>
    <w:rsid w:val="302877F0"/>
    <w:rsid w:val="3031337D"/>
    <w:rsid w:val="30346F8A"/>
    <w:rsid w:val="303833EA"/>
    <w:rsid w:val="303C3C98"/>
    <w:rsid w:val="304556A4"/>
    <w:rsid w:val="30473907"/>
    <w:rsid w:val="304E377B"/>
    <w:rsid w:val="3053006C"/>
    <w:rsid w:val="30542DB5"/>
    <w:rsid w:val="30621303"/>
    <w:rsid w:val="30677645"/>
    <w:rsid w:val="30697DB0"/>
    <w:rsid w:val="307027F0"/>
    <w:rsid w:val="30842714"/>
    <w:rsid w:val="30896BCA"/>
    <w:rsid w:val="30965933"/>
    <w:rsid w:val="309826C8"/>
    <w:rsid w:val="3099695A"/>
    <w:rsid w:val="30A44754"/>
    <w:rsid w:val="30A6777C"/>
    <w:rsid w:val="30AB726A"/>
    <w:rsid w:val="30AD3A67"/>
    <w:rsid w:val="30AD499B"/>
    <w:rsid w:val="30B50D5D"/>
    <w:rsid w:val="30B82D56"/>
    <w:rsid w:val="30C56DCA"/>
    <w:rsid w:val="30D52283"/>
    <w:rsid w:val="30D605AE"/>
    <w:rsid w:val="30E06295"/>
    <w:rsid w:val="30E36B98"/>
    <w:rsid w:val="30ED387E"/>
    <w:rsid w:val="30F3714A"/>
    <w:rsid w:val="30F559A0"/>
    <w:rsid w:val="310011E7"/>
    <w:rsid w:val="310622A1"/>
    <w:rsid w:val="311B4D71"/>
    <w:rsid w:val="311F1B9B"/>
    <w:rsid w:val="312249D0"/>
    <w:rsid w:val="312C79C4"/>
    <w:rsid w:val="3130258A"/>
    <w:rsid w:val="31346121"/>
    <w:rsid w:val="31350B00"/>
    <w:rsid w:val="31357AC7"/>
    <w:rsid w:val="313620D6"/>
    <w:rsid w:val="31405230"/>
    <w:rsid w:val="3152520E"/>
    <w:rsid w:val="31752179"/>
    <w:rsid w:val="317C0EDE"/>
    <w:rsid w:val="317C724B"/>
    <w:rsid w:val="317D198B"/>
    <w:rsid w:val="31816A40"/>
    <w:rsid w:val="31822B8C"/>
    <w:rsid w:val="31823CF4"/>
    <w:rsid w:val="3183403E"/>
    <w:rsid w:val="31845EEE"/>
    <w:rsid w:val="318B3087"/>
    <w:rsid w:val="318E0D72"/>
    <w:rsid w:val="31A3134F"/>
    <w:rsid w:val="31A3348F"/>
    <w:rsid w:val="31AB7396"/>
    <w:rsid w:val="31C337AC"/>
    <w:rsid w:val="31CA45A8"/>
    <w:rsid w:val="31D11C69"/>
    <w:rsid w:val="31DC3FB0"/>
    <w:rsid w:val="31EF5153"/>
    <w:rsid w:val="31F2079F"/>
    <w:rsid w:val="31F47C1D"/>
    <w:rsid w:val="31F87ED3"/>
    <w:rsid w:val="31F960C4"/>
    <w:rsid w:val="31FA277A"/>
    <w:rsid w:val="32007446"/>
    <w:rsid w:val="320B6605"/>
    <w:rsid w:val="320C0D78"/>
    <w:rsid w:val="3215068A"/>
    <w:rsid w:val="32160A2B"/>
    <w:rsid w:val="32172888"/>
    <w:rsid w:val="32185EDE"/>
    <w:rsid w:val="321A63B7"/>
    <w:rsid w:val="321E10B9"/>
    <w:rsid w:val="322220B5"/>
    <w:rsid w:val="322C427B"/>
    <w:rsid w:val="32344E80"/>
    <w:rsid w:val="32362139"/>
    <w:rsid w:val="32397B0D"/>
    <w:rsid w:val="323C6A56"/>
    <w:rsid w:val="32440FD5"/>
    <w:rsid w:val="324A639A"/>
    <w:rsid w:val="324D19AD"/>
    <w:rsid w:val="32542A45"/>
    <w:rsid w:val="32565A52"/>
    <w:rsid w:val="325A762C"/>
    <w:rsid w:val="3262246D"/>
    <w:rsid w:val="32625925"/>
    <w:rsid w:val="32671142"/>
    <w:rsid w:val="32695856"/>
    <w:rsid w:val="326E20AB"/>
    <w:rsid w:val="326E7E26"/>
    <w:rsid w:val="32774C80"/>
    <w:rsid w:val="327837DF"/>
    <w:rsid w:val="327A694C"/>
    <w:rsid w:val="327B3782"/>
    <w:rsid w:val="32850221"/>
    <w:rsid w:val="328712F3"/>
    <w:rsid w:val="32891103"/>
    <w:rsid w:val="328F0C58"/>
    <w:rsid w:val="329329BF"/>
    <w:rsid w:val="32961755"/>
    <w:rsid w:val="329C0D99"/>
    <w:rsid w:val="329D27BF"/>
    <w:rsid w:val="32A03C5E"/>
    <w:rsid w:val="32A647DA"/>
    <w:rsid w:val="32B80E85"/>
    <w:rsid w:val="32BD0970"/>
    <w:rsid w:val="32C71332"/>
    <w:rsid w:val="32C80C7B"/>
    <w:rsid w:val="32C828E4"/>
    <w:rsid w:val="32CB3EDA"/>
    <w:rsid w:val="32CF7659"/>
    <w:rsid w:val="32D075CC"/>
    <w:rsid w:val="32EF14C3"/>
    <w:rsid w:val="32F060B6"/>
    <w:rsid w:val="32F8281B"/>
    <w:rsid w:val="32F9367A"/>
    <w:rsid w:val="32FF2EE8"/>
    <w:rsid w:val="33044978"/>
    <w:rsid w:val="330653FC"/>
    <w:rsid w:val="330E0ED3"/>
    <w:rsid w:val="33155E0E"/>
    <w:rsid w:val="33192395"/>
    <w:rsid w:val="331D08E7"/>
    <w:rsid w:val="332B28ED"/>
    <w:rsid w:val="332B7C19"/>
    <w:rsid w:val="333504CC"/>
    <w:rsid w:val="3335572E"/>
    <w:rsid w:val="333C5CC2"/>
    <w:rsid w:val="333D1C7A"/>
    <w:rsid w:val="3341447E"/>
    <w:rsid w:val="334210EB"/>
    <w:rsid w:val="334B4BDE"/>
    <w:rsid w:val="334E0991"/>
    <w:rsid w:val="33507614"/>
    <w:rsid w:val="3356610A"/>
    <w:rsid w:val="335B78D3"/>
    <w:rsid w:val="335F3539"/>
    <w:rsid w:val="3361514A"/>
    <w:rsid w:val="336931DF"/>
    <w:rsid w:val="336B7771"/>
    <w:rsid w:val="336D5381"/>
    <w:rsid w:val="337338BF"/>
    <w:rsid w:val="337C0142"/>
    <w:rsid w:val="33805EB0"/>
    <w:rsid w:val="338B5000"/>
    <w:rsid w:val="3390565C"/>
    <w:rsid w:val="3391496F"/>
    <w:rsid w:val="33934480"/>
    <w:rsid w:val="33976C5B"/>
    <w:rsid w:val="33A16D7F"/>
    <w:rsid w:val="33A51F6D"/>
    <w:rsid w:val="33AB52CC"/>
    <w:rsid w:val="33AC2366"/>
    <w:rsid w:val="33B21B0D"/>
    <w:rsid w:val="33B221AD"/>
    <w:rsid w:val="33B22CAA"/>
    <w:rsid w:val="33B271A0"/>
    <w:rsid w:val="33D05B5D"/>
    <w:rsid w:val="33D10827"/>
    <w:rsid w:val="33D25F46"/>
    <w:rsid w:val="33D42027"/>
    <w:rsid w:val="33D56B35"/>
    <w:rsid w:val="33D82A47"/>
    <w:rsid w:val="33D91C17"/>
    <w:rsid w:val="33DE44F4"/>
    <w:rsid w:val="33E5078D"/>
    <w:rsid w:val="33E87D94"/>
    <w:rsid w:val="33E90420"/>
    <w:rsid w:val="33F702BA"/>
    <w:rsid w:val="34150D19"/>
    <w:rsid w:val="34166608"/>
    <w:rsid w:val="342A5239"/>
    <w:rsid w:val="343105F8"/>
    <w:rsid w:val="34312280"/>
    <w:rsid w:val="34337579"/>
    <w:rsid w:val="34361C49"/>
    <w:rsid w:val="34363F6C"/>
    <w:rsid w:val="343F0918"/>
    <w:rsid w:val="344014EC"/>
    <w:rsid w:val="344076F8"/>
    <w:rsid w:val="3443661F"/>
    <w:rsid w:val="3447358C"/>
    <w:rsid w:val="344E2FA5"/>
    <w:rsid w:val="34503BC2"/>
    <w:rsid w:val="3455325A"/>
    <w:rsid w:val="34573BFE"/>
    <w:rsid w:val="346135E4"/>
    <w:rsid w:val="346808B5"/>
    <w:rsid w:val="34683049"/>
    <w:rsid w:val="34706117"/>
    <w:rsid w:val="347425C8"/>
    <w:rsid w:val="347F6718"/>
    <w:rsid w:val="348331C5"/>
    <w:rsid w:val="34836143"/>
    <w:rsid w:val="348913E7"/>
    <w:rsid w:val="348A5967"/>
    <w:rsid w:val="348B6FC3"/>
    <w:rsid w:val="34944293"/>
    <w:rsid w:val="34944E9D"/>
    <w:rsid w:val="34945E6C"/>
    <w:rsid w:val="349B7F45"/>
    <w:rsid w:val="349C3739"/>
    <w:rsid w:val="34A0570C"/>
    <w:rsid w:val="34A51A7E"/>
    <w:rsid w:val="34A570CB"/>
    <w:rsid w:val="34B22884"/>
    <w:rsid w:val="34BB5B73"/>
    <w:rsid w:val="34BE76F7"/>
    <w:rsid w:val="34C064B9"/>
    <w:rsid w:val="34C557AB"/>
    <w:rsid w:val="34C747A1"/>
    <w:rsid w:val="34CD333A"/>
    <w:rsid w:val="34D449B3"/>
    <w:rsid w:val="34E7122E"/>
    <w:rsid w:val="34EA406D"/>
    <w:rsid w:val="34F21601"/>
    <w:rsid w:val="34F6201E"/>
    <w:rsid w:val="34FA68B4"/>
    <w:rsid w:val="34FE16D1"/>
    <w:rsid w:val="35016803"/>
    <w:rsid w:val="350201A0"/>
    <w:rsid w:val="35164976"/>
    <w:rsid w:val="351C3180"/>
    <w:rsid w:val="351E4A64"/>
    <w:rsid w:val="35211249"/>
    <w:rsid w:val="352C2DAC"/>
    <w:rsid w:val="352C496C"/>
    <w:rsid w:val="353719BF"/>
    <w:rsid w:val="353F5204"/>
    <w:rsid w:val="354332C6"/>
    <w:rsid w:val="35515CD9"/>
    <w:rsid w:val="355574F6"/>
    <w:rsid w:val="355E6877"/>
    <w:rsid w:val="355F3EB4"/>
    <w:rsid w:val="35785E21"/>
    <w:rsid w:val="357E0820"/>
    <w:rsid w:val="35831E3A"/>
    <w:rsid w:val="35894D48"/>
    <w:rsid w:val="358B6440"/>
    <w:rsid w:val="358D5606"/>
    <w:rsid w:val="359E056B"/>
    <w:rsid w:val="359F479A"/>
    <w:rsid w:val="35B5144B"/>
    <w:rsid w:val="35BC34CC"/>
    <w:rsid w:val="35C1015C"/>
    <w:rsid w:val="35C602C9"/>
    <w:rsid w:val="35D56CB4"/>
    <w:rsid w:val="35D655F5"/>
    <w:rsid w:val="35D90794"/>
    <w:rsid w:val="35D91F70"/>
    <w:rsid w:val="35E61D23"/>
    <w:rsid w:val="35ED0CEB"/>
    <w:rsid w:val="35EE423C"/>
    <w:rsid w:val="35F01E35"/>
    <w:rsid w:val="35F47DCC"/>
    <w:rsid w:val="360C09B0"/>
    <w:rsid w:val="360F18B9"/>
    <w:rsid w:val="361338D7"/>
    <w:rsid w:val="361343E3"/>
    <w:rsid w:val="361753B0"/>
    <w:rsid w:val="361C6A78"/>
    <w:rsid w:val="361E5532"/>
    <w:rsid w:val="36214AC5"/>
    <w:rsid w:val="36242C4C"/>
    <w:rsid w:val="36252C37"/>
    <w:rsid w:val="36293EA3"/>
    <w:rsid w:val="362949F9"/>
    <w:rsid w:val="362F228B"/>
    <w:rsid w:val="36344DA8"/>
    <w:rsid w:val="364273AB"/>
    <w:rsid w:val="36434A65"/>
    <w:rsid w:val="364E1A8D"/>
    <w:rsid w:val="364E70EF"/>
    <w:rsid w:val="364F4412"/>
    <w:rsid w:val="36515F02"/>
    <w:rsid w:val="365160BD"/>
    <w:rsid w:val="3652559C"/>
    <w:rsid w:val="365A167E"/>
    <w:rsid w:val="365D0C8B"/>
    <w:rsid w:val="36624375"/>
    <w:rsid w:val="36666DDD"/>
    <w:rsid w:val="366F3BCE"/>
    <w:rsid w:val="36703B69"/>
    <w:rsid w:val="36744533"/>
    <w:rsid w:val="3680621E"/>
    <w:rsid w:val="36830A83"/>
    <w:rsid w:val="36873CC3"/>
    <w:rsid w:val="36892FFB"/>
    <w:rsid w:val="36906807"/>
    <w:rsid w:val="369D5193"/>
    <w:rsid w:val="36A17371"/>
    <w:rsid w:val="36A42362"/>
    <w:rsid w:val="36A6615F"/>
    <w:rsid w:val="36A81126"/>
    <w:rsid w:val="36A86AA6"/>
    <w:rsid w:val="36A900E9"/>
    <w:rsid w:val="36B27227"/>
    <w:rsid w:val="36C002C8"/>
    <w:rsid w:val="36D224CC"/>
    <w:rsid w:val="36D918CE"/>
    <w:rsid w:val="36DE6396"/>
    <w:rsid w:val="36E22979"/>
    <w:rsid w:val="36EF4B3C"/>
    <w:rsid w:val="36F35D72"/>
    <w:rsid w:val="36F459C2"/>
    <w:rsid w:val="36F740A2"/>
    <w:rsid w:val="370926C4"/>
    <w:rsid w:val="3709622F"/>
    <w:rsid w:val="370A5B3C"/>
    <w:rsid w:val="370E6520"/>
    <w:rsid w:val="3710667B"/>
    <w:rsid w:val="3715690A"/>
    <w:rsid w:val="37157DCE"/>
    <w:rsid w:val="37214F52"/>
    <w:rsid w:val="37266CF4"/>
    <w:rsid w:val="3727708F"/>
    <w:rsid w:val="372B2E07"/>
    <w:rsid w:val="37311606"/>
    <w:rsid w:val="373E174D"/>
    <w:rsid w:val="373F32DB"/>
    <w:rsid w:val="373F7EC3"/>
    <w:rsid w:val="374D28F1"/>
    <w:rsid w:val="375326D6"/>
    <w:rsid w:val="37565F83"/>
    <w:rsid w:val="3765089F"/>
    <w:rsid w:val="376511E5"/>
    <w:rsid w:val="37661C1C"/>
    <w:rsid w:val="376C6090"/>
    <w:rsid w:val="37711C99"/>
    <w:rsid w:val="37844E02"/>
    <w:rsid w:val="37854E00"/>
    <w:rsid w:val="378D3D30"/>
    <w:rsid w:val="378E02F2"/>
    <w:rsid w:val="3792586C"/>
    <w:rsid w:val="37A305D8"/>
    <w:rsid w:val="37A61F65"/>
    <w:rsid w:val="37A66F07"/>
    <w:rsid w:val="37A97E73"/>
    <w:rsid w:val="37AA15AE"/>
    <w:rsid w:val="37AF022F"/>
    <w:rsid w:val="37B9513C"/>
    <w:rsid w:val="37BA7028"/>
    <w:rsid w:val="37BF3E37"/>
    <w:rsid w:val="37C47521"/>
    <w:rsid w:val="37C47E91"/>
    <w:rsid w:val="37C87FD8"/>
    <w:rsid w:val="37CD6F8F"/>
    <w:rsid w:val="37D241E0"/>
    <w:rsid w:val="37D82AEA"/>
    <w:rsid w:val="37DB33F9"/>
    <w:rsid w:val="37EA2378"/>
    <w:rsid w:val="37EE2A12"/>
    <w:rsid w:val="37FD17A7"/>
    <w:rsid w:val="37FF5505"/>
    <w:rsid w:val="38013108"/>
    <w:rsid w:val="38030A26"/>
    <w:rsid w:val="38054744"/>
    <w:rsid w:val="380B2608"/>
    <w:rsid w:val="380F3E59"/>
    <w:rsid w:val="38100AB9"/>
    <w:rsid w:val="381C00C8"/>
    <w:rsid w:val="381E650B"/>
    <w:rsid w:val="3827016E"/>
    <w:rsid w:val="382A2A41"/>
    <w:rsid w:val="382E6895"/>
    <w:rsid w:val="38455ACD"/>
    <w:rsid w:val="384C3CA2"/>
    <w:rsid w:val="384D6FBD"/>
    <w:rsid w:val="38576A5F"/>
    <w:rsid w:val="385B7AD9"/>
    <w:rsid w:val="385E65D1"/>
    <w:rsid w:val="385F4ACD"/>
    <w:rsid w:val="386926C1"/>
    <w:rsid w:val="386E0533"/>
    <w:rsid w:val="386E19E9"/>
    <w:rsid w:val="388667B9"/>
    <w:rsid w:val="3891486E"/>
    <w:rsid w:val="389362FC"/>
    <w:rsid w:val="38961B7F"/>
    <w:rsid w:val="389A0FDE"/>
    <w:rsid w:val="38A038B5"/>
    <w:rsid w:val="38A5485A"/>
    <w:rsid w:val="38A82A76"/>
    <w:rsid w:val="38AB467F"/>
    <w:rsid w:val="38B02007"/>
    <w:rsid w:val="38B130DD"/>
    <w:rsid w:val="38C72A8E"/>
    <w:rsid w:val="38D062BC"/>
    <w:rsid w:val="38D16BAC"/>
    <w:rsid w:val="38E2656A"/>
    <w:rsid w:val="38E35FF9"/>
    <w:rsid w:val="38E770F9"/>
    <w:rsid w:val="38F0737E"/>
    <w:rsid w:val="38F16642"/>
    <w:rsid w:val="38FB5039"/>
    <w:rsid w:val="38FD4910"/>
    <w:rsid w:val="39002C43"/>
    <w:rsid w:val="39096AFA"/>
    <w:rsid w:val="391571D9"/>
    <w:rsid w:val="391B7555"/>
    <w:rsid w:val="39204227"/>
    <w:rsid w:val="39210241"/>
    <w:rsid w:val="39210DF4"/>
    <w:rsid w:val="39215B28"/>
    <w:rsid w:val="392431DD"/>
    <w:rsid w:val="39250638"/>
    <w:rsid w:val="39282C3F"/>
    <w:rsid w:val="39287583"/>
    <w:rsid w:val="392E1E9F"/>
    <w:rsid w:val="3936121C"/>
    <w:rsid w:val="393C32BF"/>
    <w:rsid w:val="39452567"/>
    <w:rsid w:val="39465B31"/>
    <w:rsid w:val="394D4967"/>
    <w:rsid w:val="395213BF"/>
    <w:rsid w:val="395414D5"/>
    <w:rsid w:val="39633132"/>
    <w:rsid w:val="396D319B"/>
    <w:rsid w:val="396E010A"/>
    <w:rsid w:val="396E4DB1"/>
    <w:rsid w:val="396F4EF8"/>
    <w:rsid w:val="396F5908"/>
    <w:rsid w:val="39776D6F"/>
    <w:rsid w:val="397A4C3A"/>
    <w:rsid w:val="39825504"/>
    <w:rsid w:val="39826A0B"/>
    <w:rsid w:val="398737A0"/>
    <w:rsid w:val="398A0B50"/>
    <w:rsid w:val="39912B88"/>
    <w:rsid w:val="3991350E"/>
    <w:rsid w:val="39A34494"/>
    <w:rsid w:val="39A63D89"/>
    <w:rsid w:val="39A903AD"/>
    <w:rsid w:val="39BA7DF9"/>
    <w:rsid w:val="39C33146"/>
    <w:rsid w:val="39C42A21"/>
    <w:rsid w:val="39C55D33"/>
    <w:rsid w:val="39C65EEE"/>
    <w:rsid w:val="39CD38D0"/>
    <w:rsid w:val="39D2128E"/>
    <w:rsid w:val="39D50425"/>
    <w:rsid w:val="39DF3995"/>
    <w:rsid w:val="39DF4D2E"/>
    <w:rsid w:val="39E300DD"/>
    <w:rsid w:val="39EB0270"/>
    <w:rsid w:val="39F058F3"/>
    <w:rsid w:val="39F678D2"/>
    <w:rsid w:val="39F87D81"/>
    <w:rsid w:val="39FA1AAE"/>
    <w:rsid w:val="39FB0C79"/>
    <w:rsid w:val="3A03755E"/>
    <w:rsid w:val="3A150081"/>
    <w:rsid w:val="3A2841BD"/>
    <w:rsid w:val="3A2C181C"/>
    <w:rsid w:val="3A2C47DA"/>
    <w:rsid w:val="3A2C7406"/>
    <w:rsid w:val="3A2E3312"/>
    <w:rsid w:val="3A320ACC"/>
    <w:rsid w:val="3A33276F"/>
    <w:rsid w:val="3A424542"/>
    <w:rsid w:val="3A670E99"/>
    <w:rsid w:val="3A6725FB"/>
    <w:rsid w:val="3A68016E"/>
    <w:rsid w:val="3A747612"/>
    <w:rsid w:val="3A771772"/>
    <w:rsid w:val="3A7823CD"/>
    <w:rsid w:val="3A7A0930"/>
    <w:rsid w:val="3A7C5722"/>
    <w:rsid w:val="3A7F49A9"/>
    <w:rsid w:val="3A89323E"/>
    <w:rsid w:val="3A8C5F1E"/>
    <w:rsid w:val="3A923C4B"/>
    <w:rsid w:val="3A937D61"/>
    <w:rsid w:val="3A9B5364"/>
    <w:rsid w:val="3AA368F3"/>
    <w:rsid w:val="3AA618CD"/>
    <w:rsid w:val="3AB44E21"/>
    <w:rsid w:val="3AB64D17"/>
    <w:rsid w:val="3AB85BDC"/>
    <w:rsid w:val="3AC14C1B"/>
    <w:rsid w:val="3AC60033"/>
    <w:rsid w:val="3AC66FCA"/>
    <w:rsid w:val="3AD05BAC"/>
    <w:rsid w:val="3AE32280"/>
    <w:rsid w:val="3AE376FB"/>
    <w:rsid w:val="3AE55B98"/>
    <w:rsid w:val="3AE94BAA"/>
    <w:rsid w:val="3AF25148"/>
    <w:rsid w:val="3AF25942"/>
    <w:rsid w:val="3AFF538E"/>
    <w:rsid w:val="3B0063EE"/>
    <w:rsid w:val="3B0A12C3"/>
    <w:rsid w:val="3B0B60FC"/>
    <w:rsid w:val="3B0F6BFC"/>
    <w:rsid w:val="3B19064C"/>
    <w:rsid w:val="3B1D57F3"/>
    <w:rsid w:val="3B215530"/>
    <w:rsid w:val="3B220ACF"/>
    <w:rsid w:val="3B285FB9"/>
    <w:rsid w:val="3B2A2D74"/>
    <w:rsid w:val="3B2B5A2B"/>
    <w:rsid w:val="3B30731A"/>
    <w:rsid w:val="3B351CE2"/>
    <w:rsid w:val="3B4047B4"/>
    <w:rsid w:val="3B43339B"/>
    <w:rsid w:val="3B4B4855"/>
    <w:rsid w:val="3B547579"/>
    <w:rsid w:val="3B562689"/>
    <w:rsid w:val="3B5D412E"/>
    <w:rsid w:val="3B640DBE"/>
    <w:rsid w:val="3B73452E"/>
    <w:rsid w:val="3B78793E"/>
    <w:rsid w:val="3B870D3D"/>
    <w:rsid w:val="3B874DA0"/>
    <w:rsid w:val="3B9814B7"/>
    <w:rsid w:val="3B9C619D"/>
    <w:rsid w:val="3B9D4C55"/>
    <w:rsid w:val="3BA27A9A"/>
    <w:rsid w:val="3BAB0584"/>
    <w:rsid w:val="3BB43871"/>
    <w:rsid w:val="3BBB29B9"/>
    <w:rsid w:val="3BBC7DBA"/>
    <w:rsid w:val="3BBD6EF2"/>
    <w:rsid w:val="3BC960F5"/>
    <w:rsid w:val="3BC97FF5"/>
    <w:rsid w:val="3BD87404"/>
    <w:rsid w:val="3BDF3710"/>
    <w:rsid w:val="3BE3161A"/>
    <w:rsid w:val="3BED54F7"/>
    <w:rsid w:val="3BF5780A"/>
    <w:rsid w:val="3BFC345C"/>
    <w:rsid w:val="3BFC6E7C"/>
    <w:rsid w:val="3BFD584F"/>
    <w:rsid w:val="3BFF6834"/>
    <w:rsid w:val="3C003C3E"/>
    <w:rsid w:val="3C057C49"/>
    <w:rsid w:val="3C0D4B53"/>
    <w:rsid w:val="3C123FB4"/>
    <w:rsid w:val="3C147605"/>
    <w:rsid w:val="3C1629F6"/>
    <w:rsid w:val="3C174D23"/>
    <w:rsid w:val="3C1B4977"/>
    <w:rsid w:val="3C1F085F"/>
    <w:rsid w:val="3C2078B9"/>
    <w:rsid w:val="3C2E703F"/>
    <w:rsid w:val="3C3176E4"/>
    <w:rsid w:val="3C3912DA"/>
    <w:rsid w:val="3C3944C4"/>
    <w:rsid w:val="3C395BEF"/>
    <w:rsid w:val="3C4073E3"/>
    <w:rsid w:val="3C43245D"/>
    <w:rsid w:val="3C51526A"/>
    <w:rsid w:val="3C5352D5"/>
    <w:rsid w:val="3C536A3E"/>
    <w:rsid w:val="3C5A1CFC"/>
    <w:rsid w:val="3C610757"/>
    <w:rsid w:val="3C6E499C"/>
    <w:rsid w:val="3C6F47B4"/>
    <w:rsid w:val="3C7127CF"/>
    <w:rsid w:val="3C85137E"/>
    <w:rsid w:val="3C8C40D0"/>
    <w:rsid w:val="3C8D5EA8"/>
    <w:rsid w:val="3C8F72B2"/>
    <w:rsid w:val="3C992016"/>
    <w:rsid w:val="3C9A569B"/>
    <w:rsid w:val="3C9E6C12"/>
    <w:rsid w:val="3CA2271E"/>
    <w:rsid w:val="3CA91DA7"/>
    <w:rsid w:val="3CAB5D31"/>
    <w:rsid w:val="3CAE7300"/>
    <w:rsid w:val="3CAE7F47"/>
    <w:rsid w:val="3CB4252B"/>
    <w:rsid w:val="3CB533DC"/>
    <w:rsid w:val="3CB60A45"/>
    <w:rsid w:val="3CB773B7"/>
    <w:rsid w:val="3CBE0C16"/>
    <w:rsid w:val="3CBE56B3"/>
    <w:rsid w:val="3CD0071A"/>
    <w:rsid w:val="3CD72D15"/>
    <w:rsid w:val="3CEB4B36"/>
    <w:rsid w:val="3CEC2CEF"/>
    <w:rsid w:val="3CEC3BE9"/>
    <w:rsid w:val="3CF22945"/>
    <w:rsid w:val="3CF30D8E"/>
    <w:rsid w:val="3D0B3822"/>
    <w:rsid w:val="3D0F521E"/>
    <w:rsid w:val="3D103C1D"/>
    <w:rsid w:val="3D13000F"/>
    <w:rsid w:val="3D175B11"/>
    <w:rsid w:val="3D1D3A0F"/>
    <w:rsid w:val="3D294D95"/>
    <w:rsid w:val="3D33738A"/>
    <w:rsid w:val="3D362002"/>
    <w:rsid w:val="3D3C271F"/>
    <w:rsid w:val="3D3D4D35"/>
    <w:rsid w:val="3D4520CB"/>
    <w:rsid w:val="3D4F6DA3"/>
    <w:rsid w:val="3D5E0E86"/>
    <w:rsid w:val="3D6320C7"/>
    <w:rsid w:val="3D64203D"/>
    <w:rsid w:val="3D6A321F"/>
    <w:rsid w:val="3D6D598F"/>
    <w:rsid w:val="3D7106E4"/>
    <w:rsid w:val="3D74502A"/>
    <w:rsid w:val="3D7C687D"/>
    <w:rsid w:val="3D8323D1"/>
    <w:rsid w:val="3D84413D"/>
    <w:rsid w:val="3D8E0023"/>
    <w:rsid w:val="3D921265"/>
    <w:rsid w:val="3D9609BF"/>
    <w:rsid w:val="3D9655B0"/>
    <w:rsid w:val="3D9A0645"/>
    <w:rsid w:val="3D9E2A2A"/>
    <w:rsid w:val="3D9E6736"/>
    <w:rsid w:val="3D9E7490"/>
    <w:rsid w:val="3DAC47F5"/>
    <w:rsid w:val="3DB9030A"/>
    <w:rsid w:val="3DC35BBB"/>
    <w:rsid w:val="3DCD15ED"/>
    <w:rsid w:val="3DD07587"/>
    <w:rsid w:val="3DD2086E"/>
    <w:rsid w:val="3DD879A2"/>
    <w:rsid w:val="3DE2207B"/>
    <w:rsid w:val="3DED532B"/>
    <w:rsid w:val="3DF4008C"/>
    <w:rsid w:val="3DF47E41"/>
    <w:rsid w:val="3DF75981"/>
    <w:rsid w:val="3DF9261D"/>
    <w:rsid w:val="3DFF2E3A"/>
    <w:rsid w:val="3E057486"/>
    <w:rsid w:val="3E064D71"/>
    <w:rsid w:val="3E077380"/>
    <w:rsid w:val="3E117624"/>
    <w:rsid w:val="3E12533A"/>
    <w:rsid w:val="3E135119"/>
    <w:rsid w:val="3E192FB0"/>
    <w:rsid w:val="3E1D0ED7"/>
    <w:rsid w:val="3E25297A"/>
    <w:rsid w:val="3E2A4B55"/>
    <w:rsid w:val="3E2A7EC8"/>
    <w:rsid w:val="3E2F6C79"/>
    <w:rsid w:val="3E3B315E"/>
    <w:rsid w:val="3E3D60A2"/>
    <w:rsid w:val="3E484FA9"/>
    <w:rsid w:val="3E4D5C48"/>
    <w:rsid w:val="3E5E47A0"/>
    <w:rsid w:val="3E5E50CC"/>
    <w:rsid w:val="3E6350CF"/>
    <w:rsid w:val="3E64332B"/>
    <w:rsid w:val="3E692EA8"/>
    <w:rsid w:val="3E6D0D01"/>
    <w:rsid w:val="3E6E4385"/>
    <w:rsid w:val="3E744FD2"/>
    <w:rsid w:val="3E78332B"/>
    <w:rsid w:val="3E7A5B53"/>
    <w:rsid w:val="3E86299B"/>
    <w:rsid w:val="3E90687A"/>
    <w:rsid w:val="3E9E4429"/>
    <w:rsid w:val="3E9F3A2D"/>
    <w:rsid w:val="3EA2228D"/>
    <w:rsid w:val="3EA36239"/>
    <w:rsid w:val="3EA637B9"/>
    <w:rsid w:val="3EB562C8"/>
    <w:rsid w:val="3EBA0C12"/>
    <w:rsid w:val="3EBA44DD"/>
    <w:rsid w:val="3EC95630"/>
    <w:rsid w:val="3ECE2B10"/>
    <w:rsid w:val="3ED4786F"/>
    <w:rsid w:val="3ED90ADE"/>
    <w:rsid w:val="3EDB5133"/>
    <w:rsid w:val="3EE74FCA"/>
    <w:rsid w:val="3EEB0C33"/>
    <w:rsid w:val="3EEC4A1C"/>
    <w:rsid w:val="3EF43670"/>
    <w:rsid w:val="3F0D09C6"/>
    <w:rsid w:val="3F1858E5"/>
    <w:rsid w:val="3F220865"/>
    <w:rsid w:val="3F2266FA"/>
    <w:rsid w:val="3F2A6D9C"/>
    <w:rsid w:val="3F2B015C"/>
    <w:rsid w:val="3F2B2BFA"/>
    <w:rsid w:val="3F3009D6"/>
    <w:rsid w:val="3F313F9D"/>
    <w:rsid w:val="3F3D16B2"/>
    <w:rsid w:val="3F451A0C"/>
    <w:rsid w:val="3F466C65"/>
    <w:rsid w:val="3F4861B3"/>
    <w:rsid w:val="3F4A4ECD"/>
    <w:rsid w:val="3F5468F1"/>
    <w:rsid w:val="3F5D71D2"/>
    <w:rsid w:val="3F601D02"/>
    <w:rsid w:val="3F6649AC"/>
    <w:rsid w:val="3F6C2EC4"/>
    <w:rsid w:val="3F806876"/>
    <w:rsid w:val="3F824144"/>
    <w:rsid w:val="3F8D4D8A"/>
    <w:rsid w:val="3F8E28FC"/>
    <w:rsid w:val="3F8E7C5C"/>
    <w:rsid w:val="3F90688E"/>
    <w:rsid w:val="3F931FA7"/>
    <w:rsid w:val="3F9B5174"/>
    <w:rsid w:val="3F9F16BA"/>
    <w:rsid w:val="3FA1485B"/>
    <w:rsid w:val="3FA3278D"/>
    <w:rsid w:val="3FB65876"/>
    <w:rsid w:val="3FBA1552"/>
    <w:rsid w:val="3FBF7FF0"/>
    <w:rsid w:val="3FC3686F"/>
    <w:rsid w:val="3FC43071"/>
    <w:rsid w:val="3FC5683B"/>
    <w:rsid w:val="3FCD5832"/>
    <w:rsid w:val="3FD17545"/>
    <w:rsid w:val="3FD32A54"/>
    <w:rsid w:val="3FD467B1"/>
    <w:rsid w:val="3FDD5930"/>
    <w:rsid w:val="3FEE6221"/>
    <w:rsid w:val="3FF62489"/>
    <w:rsid w:val="3FFA2657"/>
    <w:rsid w:val="3FFD41CB"/>
    <w:rsid w:val="4004673E"/>
    <w:rsid w:val="40061013"/>
    <w:rsid w:val="4012771F"/>
    <w:rsid w:val="40157535"/>
    <w:rsid w:val="40167108"/>
    <w:rsid w:val="40222BD2"/>
    <w:rsid w:val="402C7E9E"/>
    <w:rsid w:val="402D7572"/>
    <w:rsid w:val="40454EB3"/>
    <w:rsid w:val="404D099E"/>
    <w:rsid w:val="404E3D49"/>
    <w:rsid w:val="40501179"/>
    <w:rsid w:val="405109CB"/>
    <w:rsid w:val="405169FF"/>
    <w:rsid w:val="40536C06"/>
    <w:rsid w:val="40544A7B"/>
    <w:rsid w:val="40551F62"/>
    <w:rsid w:val="40556AC9"/>
    <w:rsid w:val="405C39B3"/>
    <w:rsid w:val="406039D7"/>
    <w:rsid w:val="40624441"/>
    <w:rsid w:val="40631F71"/>
    <w:rsid w:val="406377FC"/>
    <w:rsid w:val="40645038"/>
    <w:rsid w:val="406500F9"/>
    <w:rsid w:val="4068232A"/>
    <w:rsid w:val="40691494"/>
    <w:rsid w:val="4076423A"/>
    <w:rsid w:val="40781753"/>
    <w:rsid w:val="4083081C"/>
    <w:rsid w:val="40880C4C"/>
    <w:rsid w:val="409018E3"/>
    <w:rsid w:val="40923AAA"/>
    <w:rsid w:val="40953ACA"/>
    <w:rsid w:val="409C4F35"/>
    <w:rsid w:val="40AB152F"/>
    <w:rsid w:val="40AF22FA"/>
    <w:rsid w:val="40AF42D0"/>
    <w:rsid w:val="40B5033B"/>
    <w:rsid w:val="40B929D3"/>
    <w:rsid w:val="40BA59C9"/>
    <w:rsid w:val="40BF573E"/>
    <w:rsid w:val="40CA7373"/>
    <w:rsid w:val="40CC48C5"/>
    <w:rsid w:val="40CF2E62"/>
    <w:rsid w:val="40D44847"/>
    <w:rsid w:val="40D64A42"/>
    <w:rsid w:val="40D865F2"/>
    <w:rsid w:val="40E148C3"/>
    <w:rsid w:val="40E25F73"/>
    <w:rsid w:val="40E5218B"/>
    <w:rsid w:val="40E93E87"/>
    <w:rsid w:val="40EA4DD9"/>
    <w:rsid w:val="40EF4CAC"/>
    <w:rsid w:val="40F938BC"/>
    <w:rsid w:val="41050DCA"/>
    <w:rsid w:val="410E7D80"/>
    <w:rsid w:val="410F5F95"/>
    <w:rsid w:val="411249BA"/>
    <w:rsid w:val="411A0004"/>
    <w:rsid w:val="411C21C4"/>
    <w:rsid w:val="41202712"/>
    <w:rsid w:val="41285F8B"/>
    <w:rsid w:val="413D3794"/>
    <w:rsid w:val="413E07FC"/>
    <w:rsid w:val="413E0EB4"/>
    <w:rsid w:val="414020C9"/>
    <w:rsid w:val="414C0934"/>
    <w:rsid w:val="41507411"/>
    <w:rsid w:val="41534872"/>
    <w:rsid w:val="41632FC2"/>
    <w:rsid w:val="4163336D"/>
    <w:rsid w:val="416B3CF2"/>
    <w:rsid w:val="416E350A"/>
    <w:rsid w:val="41737986"/>
    <w:rsid w:val="417B2A0A"/>
    <w:rsid w:val="417C3618"/>
    <w:rsid w:val="418639B0"/>
    <w:rsid w:val="41864B10"/>
    <w:rsid w:val="418826F0"/>
    <w:rsid w:val="41886A2A"/>
    <w:rsid w:val="41916E61"/>
    <w:rsid w:val="419C287B"/>
    <w:rsid w:val="41A11E72"/>
    <w:rsid w:val="41AC59BD"/>
    <w:rsid w:val="41B044F0"/>
    <w:rsid w:val="41B54C3A"/>
    <w:rsid w:val="41C7188C"/>
    <w:rsid w:val="41CD3834"/>
    <w:rsid w:val="41CD5FE7"/>
    <w:rsid w:val="41D07917"/>
    <w:rsid w:val="41D31431"/>
    <w:rsid w:val="41D50F5F"/>
    <w:rsid w:val="41D83122"/>
    <w:rsid w:val="41E26596"/>
    <w:rsid w:val="41E308C1"/>
    <w:rsid w:val="41E34A2C"/>
    <w:rsid w:val="41E464F5"/>
    <w:rsid w:val="41E73432"/>
    <w:rsid w:val="41EB01D0"/>
    <w:rsid w:val="41EB2983"/>
    <w:rsid w:val="41ED737D"/>
    <w:rsid w:val="41F3403B"/>
    <w:rsid w:val="41FB48E8"/>
    <w:rsid w:val="41FB6FAE"/>
    <w:rsid w:val="4206188F"/>
    <w:rsid w:val="420E33D3"/>
    <w:rsid w:val="421409D8"/>
    <w:rsid w:val="4216324D"/>
    <w:rsid w:val="42166070"/>
    <w:rsid w:val="421E5AD3"/>
    <w:rsid w:val="42203300"/>
    <w:rsid w:val="4223186B"/>
    <w:rsid w:val="42272CD1"/>
    <w:rsid w:val="42291B13"/>
    <w:rsid w:val="422E05A3"/>
    <w:rsid w:val="423E31E9"/>
    <w:rsid w:val="424232BD"/>
    <w:rsid w:val="424566C9"/>
    <w:rsid w:val="42471B3D"/>
    <w:rsid w:val="4249759E"/>
    <w:rsid w:val="42556165"/>
    <w:rsid w:val="425C481B"/>
    <w:rsid w:val="425D5562"/>
    <w:rsid w:val="4263590F"/>
    <w:rsid w:val="426538A8"/>
    <w:rsid w:val="426822C7"/>
    <w:rsid w:val="42735D9D"/>
    <w:rsid w:val="42776F67"/>
    <w:rsid w:val="42781869"/>
    <w:rsid w:val="427B3389"/>
    <w:rsid w:val="427D639B"/>
    <w:rsid w:val="427E71BE"/>
    <w:rsid w:val="4280395E"/>
    <w:rsid w:val="42806B54"/>
    <w:rsid w:val="42836263"/>
    <w:rsid w:val="42883A2D"/>
    <w:rsid w:val="428F7215"/>
    <w:rsid w:val="42976DB5"/>
    <w:rsid w:val="42A17092"/>
    <w:rsid w:val="42AD1BF5"/>
    <w:rsid w:val="42AE41C8"/>
    <w:rsid w:val="42B730DB"/>
    <w:rsid w:val="42C11292"/>
    <w:rsid w:val="42C66783"/>
    <w:rsid w:val="42CD74E5"/>
    <w:rsid w:val="42D20090"/>
    <w:rsid w:val="42D84563"/>
    <w:rsid w:val="42DF7855"/>
    <w:rsid w:val="42E21EE9"/>
    <w:rsid w:val="42E628D1"/>
    <w:rsid w:val="42EF6EF9"/>
    <w:rsid w:val="42F450D4"/>
    <w:rsid w:val="42F53A7D"/>
    <w:rsid w:val="42F57109"/>
    <w:rsid w:val="42F81964"/>
    <w:rsid w:val="42FE588B"/>
    <w:rsid w:val="42FF356E"/>
    <w:rsid w:val="430A69C2"/>
    <w:rsid w:val="430D56E1"/>
    <w:rsid w:val="430E51EC"/>
    <w:rsid w:val="430E70E6"/>
    <w:rsid w:val="4311795F"/>
    <w:rsid w:val="43236458"/>
    <w:rsid w:val="432D4F18"/>
    <w:rsid w:val="433136EE"/>
    <w:rsid w:val="433406EF"/>
    <w:rsid w:val="434B7778"/>
    <w:rsid w:val="435535EE"/>
    <w:rsid w:val="4358257E"/>
    <w:rsid w:val="43595C23"/>
    <w:rsid w:val="4363120F"/>
    <w:rsid w:val="43743267"/>
    <w:rsid w:val="4378537B"/>
    <w:rsid w:val="437A3A78"/>
    <w:rsid w:val="438020CF"/>
    <w:rsid w:val="43893EEA"/>
    <w:rsid w:val="438A6919"/>
    <w:rsid w:val="438B7716"/>
    <w:rsid w:val="438E2BAF"/>
    <w:rsid w:val="43903EF1"/>
    <w:rsid w:val="43903FA1"/>
    <w:rsid w:val="4394585A"/>
    <w:rsid w:val="43945C3F"/>
    <w:rsid w:val="43977B2C"/>
    <w:rsid w:val="43A41837"/>
    <w:rsid w:val="43B0192B"/>
    <w:rsid w:val="43B02353"/>
    <w:rsid w:val="43B50996"/>
    <w:rsid w:val="43B85A29"/>
    <w:rsid w:val="43BD34BF"/>
    <w:rsid w:val="43C00B56"/>
    <w:rsid w:val="43C26584"/>
    <w:rsid w:val="43C475D9"/>
    <w:rsid w:val="43C57E2B"/>
    <w:rsid w:val="43CA049A"/>
    <w:rsid w:val="43D45027"/>
    <w:rsid w:val="43D46DDA"/>
    <w:rsid w:val="43E32410"/>
    <w:rsid w:val="43E657FC"/>
    <w:rsid w:val="43EA6FCB"/>
    <w:rsid w:val="43F2306E"/>
    <w:rsid w:val="43FB3116"/>
    <w:rsid w:val="43FB7B5F"/>
    <w:rsid w:val="44005588"/>
    <w:rsid w:val="44085B1D"/>
    <w:rsid w:val="440E40E5"/>
    <w:rsid w:val="440F325D"/>
    <w:rsid w:val="44134450"/>
    <w:rsid w:val="44192C16"/>
    <w:rsid w:val="441F16F2"/>
    <w:rsid w:val="442340BC"/>
    <w:rsid w:val="44243BD2"/>
    <w:rsid w:val="442D2ABF"/>
    <w:rsid w:val="442F18C7"/>
    <w:rsid w:val="4430732D"/>
    <w:rsid w:val="44331FF5"/>
    <w:rsid w:val="44442D00"/>
    <w:rsid w:val="44447FD2"/>
    <w:rsid w:val="445223DA"/>
    <w:rsid w:val="44620064"/>
    <w:rsid w:val="44680347"/>
    <w:rsid w:val="447B5C01"/>
    <w:rsid w:val="447C5981"/>
    <w:rsid w:val="447E4DF0"/>
    <w:rsid w:val="44841DBB"/>
    <w:rsid w:val="448443DE"/>
    <w:rsid w:val="44863E9E"/>
    <w:rsid w:val="44943FB6"/>
    <w:rsid w:val="449C24BE"/>
    <w:rsid w:val="449D2878"/>
    <w:rsid w:val="44A55A08"/>
    <w:rsid w:val="44AB30C7"/>
    <w:rsid w:val="44AC4C4C"/>
    <w:rsid w:val="44AE749A"/>
    <w:rsid w:val="44B43896"/>
    <w:rsid w:val="44B50D14"/>
    <w:rsid w:val="44B63D6A"/>
    <w:rsid w:val="44BB3A24"/>
    <w:rsid w:val="44BC6E7E"/>
    <w:rsid w:val="44BD5B69"/>
    <w:rsid w:val="44BD6356"/>
    <w:rsid w:val="44BE3C77"/>
    <w:rsid w:val="44C05E5C"/>
    <w:rsid w:val="44C51584"/>
    <w:rsid w:val="44CF7E69"/>
    <w:rsid w:val="44D178A4"/>
    <w:rsid w:val="44D56CFD"/>
    <w:rsid w:val="44D71602"/>
    <w:rsid w:val="44DD66EA"/>
    <w:rsid w:val="44E346A3"/>
    <w:rsid w:val="44E41E72"/>
    <w:rsid w:val="44E93A5D"/>
    <w:rsid w:val="44F21FDA"/>
    <w:rsid w:val="44F3541C"/>
    <w:rsid w:val="44F95EAE"/>
    <w:rsid w:val="45001DF7"/>
    <w:rsid w:val="45047938"/>
    <w:rsid w:val="450B354C"/>
    <w:rsid w:val="450D4275"/>
    <w:rsid w:val="450F5BA1"/>
    <w:rsid w:val="45151EAC"/>
    <w:rsid w:val="45201701"/>
    <w:rsid w:val="45207FDB"/>
    <w:rsid w:val="4525716B"/>
    <w:rsid w:val="452A28B5"/>
    <w:rsid w:val="45342C3E"/>
    <w:rsid w:val="454100D0"/>
    <w:rsid w:val="45476FB4"/>
    <w:rsid w:val="454E693C"/>
    <w:rsid w:val="454F3AF6"/>
    <w:rsid w:val="45580313"/>
    <w:rsid w:val="45587850"/>
    <w:rsid w:val="45634F1C"/>
    <w:rsid w:val="45645F7D"/>
    <w:rsid w:val="456E13F2"/>
    <w:rsid w:val="456E19ED"/>
    <w:rsid w:val="45725278"/>
    <w:rsid w:val="45733E45"/>
    <w:rsid w:val="4574248F"/>
    <w:rsid w:val="45766C7A"/>
    <w:rsid w:val="458460BE"/>
    <w:rsid w:val="45876384"/>
    <w:rsid w:val="45877724"/>
    <w:rsid w:val="458D0AB3"/>
    <w:rsid w:val="45926214"/>
    <w:rsid w:val="45992DB5"/>
    <w:rsid w:val="459933EC"/>
    <w:rsid w:val="459B02C1"/>
    <w:rsid w:val="459E5C8E"/>
    <w:rsid w:val="45A04E65"/>
    <w:rsid w:val="45A2648D"/>
    <w:rsid w:val="45A93F6A"/>
    <w:rsid w:val="45B31113"/>
    <w:rsid w:val="45B40195"/>
    <w:rsid w:val="45BC47AC"/>
    <w:rsid w:val="45C40C47"/>
    <w:rsid w:val="45C933BF"/>
    <w:rsid w:val="45CD1D7E"/>
    <w:rsid w:val="45CF0A8E"/>
    <w:rsid w:val="45D41C65"/>
    <w:rsid w:val="45D84609"/>
    <w:rsid w:val="45DC672A"/>
    <w:rsid w:val="45DF7268"/>
    <w:rsid w:val="45E76415"/>
    <w:rsid w:val="45E925FD"/>
    <w:rsid w:val="45EB4679"/>
    <w:rsid w:val="45EB517D"/>
    <w:rsid w:val="45F20A8C"/>
    <w:rsid w:val="45F8417E"/>
    <w:rsid w:val="45FC4C7C"/>
    <w:rsid w:val="45FC593F"/>
    <w:rsid w:val="460726F2"/>
    <w:rsid w:val="460D5F3F"/>
    <w:rsid w:val="461434FC"/>
    <w:rsid w:val="461B0AF4"/>
    <w:rsid w:val="46284E65"/>
    <w:rsid w:val="463552A5"/>
    <w:rsid w:val="46424FE5"/>
    <w:rsid w:val="46464134"/>
    <w:rsid w:val="46511D4F"/>
    <w:rsid w:val="465C05A9"/>
    <w:rsid w:val="46617DC8"/>
    <w:rsid w:val="46662D74"/>
    <w:rsid w:val="46683DD2"/>
    <w:rsid w:val="467A2C9B"/>
    <w:rsid w:val="46802328"/>
    <w:rsid w:val="468909EE"/>
    <w:rsid w:val="468F2500"/>
    <w:rsid w:val="46913456"/>
    <w:rsid w:val="46996A6C"/>
    <w:rsid w:val="469B0357"/>
    <w:rsid w:val="469D622F"/>
    <w:rsid w:val="46A55454"/>
    <w:rsid w:val="46AA7FFF"/>
    <w:rsid w:val="46AC3AB5"/>
    <w:rsid w:val="46BE4A73"/>
    <w:rsid w:val="46BF1C9A"/>
    <w:rsid w:val="46C14065"/>
    <w:rsid w:val="46C455B1"/>
    <w:rsid w:val="46C9790B"/>
    <w:rsid w:val="46C97B2D"/>
    <w:rsid w:val="46CA7A15"/>
    <w:rsid w:val="46CB5ED0"/>
    <w:rsid w:val="46D05939"/>
    <w:rsid w:val="46DD0655"/>
    <w:rsid w:val="46E46EB2"/>
    <w:rsid w:val="46EA3CF0"/>
    <w:rsid w:val="46EB2263"/>
    <w:rsid w:val="46EE5AF5"/>
    <w:rsid w:val="46F024A2"/>
    <w:rsid w:val="46F3661D"/>
    <w:rsid w:val="46F908C6"/>
    <w:rsid w:val="47022EFF"/>
    <w:rsid w:val="47041385"/>
    <w:rsid w:val="47087211"/>
    <w:rsid w:val="470D7F27"/>
    <w:rsid w:val="470E02B0"/>
    <w:rsid w:val="47156CF4"/>
    <w:rsid w:val="47162A84"/>
    <w:rsid w:val="47183182"/>
    <w:rsid w:val="471D245A"/>
    <w:rsid w:val="472034CE"/>
    <w:rsid w:val="472B2D3B"/>
    <w:rsid w:val="472E7F47"/>
    <w:rsid w:val="47396D37"/>
    <w:rsid w:val="473E5135"/>
    <w:rsid w:val="473F5079"/>
    <w:rsid w:val="47466B02"/>
    <w:rsid w:val="475A6745"/>
    <w:rsid w:val="4763428D"/>
    <w:rsid w:val="47642241"/>
    <w:rsid w:val="476A5CC5"/>
    <w:rsid w:val="476E6059"/>
    <w:rsid w:val="476F2784"/>
    <w:rsid w:val="477130FF"/>
    <w:rsid w:val="4772724E"/>
    <w:rsid w:val="47827D4A"/>
    <w:rsid w:val="478B35DA"/>
    <w:rsid w:val="478E5BE5"/>
    <w:rsid w:val="479557BD"/>
    <w:rsid w:val="47964626"/>
    <w:rsid w:val="4798738A"/>
    <w:rsid w:val="479A06F6"/>
    <w:rsid w:val="47A05946"/>
    <w:rsid w:val="47A87783"/>
    <w:rsid w:val="47AE1528"/>
    <w:rsid w:val="47B61F7A"/>
    <w:rsid w:val="47BE5BC6"/>
    <w:rsid w:val="47BF7BAD"/>
    <w:rsid w:val="47C03032"/>
    <w:rsid w:val="47CB02E1"/>
    <w:rsid w:val="47D20B5B"/>
    <w:rsid w:val="47D51448"/>
    <w:rsid w:val="47D941A0"/>
    <w:rsid w:val="47DB42A1"/>
    <w:rsid w:val="47E6764E"/>
    <w:rsid w:val="47E85BDB"/>
    <w:rsid w:val="47ED6863"/>
    <w:rsid w:val="47EE4BF1"/>
    <w:rsid w:val="48030FE7"/>
    <w:rsid w:val="480539D9"/>
    <w:rsid w:val="48130394"/>
    <w:rsid w:val="481608EC"/>
    <w:rsid w:val="48203C3B"/>
    <w:rsid w:val="48213C72"/>
    <w:rsid w:val="48254B0C"/>
    <w:rsid w:val="48274FDD"/>
    <w:rsid w:val="482D0EBE"/>
    <w:rsid w:val="482D1FF0"/>
    <w:rsid w:val="482F565B"/>
    <w:rsid w:val="483802BB"/>
    <w:rsid w:val="483A1096"/>
    <w:rsid w:val="483A1E36"/>
    <w:rsid w:val="48430C94"/>
    <w:rsid w:val="48446300"/>
    <w:rsid w:val="48482DDE"/>
    <w:rsid w:val="484A1A20"/>
    <w:rsid w:val="48593F6E"/>
    <w:rsid w:val="485A47E2"/>
    <w:rsid w:val="48602C27"/>
    <w:rsid w:val="48631525"/>
    <w:rsid w:val="4864156E"/>
    <w:rsid w:val="48693111"/>
    <w:rsid w:val="486A5A24"/>
    <w:rsid w:val="48786194"/>
    <w:rsid w:val="48795E2E"/>
    <w:rsid w:val="487A4826"/>
    <w:rsid w:val="4881358D"/>
    <w:rsid w:val="48925C56"/>
    <w:rsid w:val="48951B29"/>
    <w:rsid w:val="489A5C3B"/>
    <w:rsid w:val="48A111EC"/>
    <w:rsid w:val="48B00A3D"/>
    <w:rsid w:val="48B0562C"/>
    <w:rsid w:val="48BA396D"/>
    <w:rsid w:val="48BD66D5"/>
    <w:rsid w:val="48C03203"/>
    <w:rsid w:val="48C1363A"/>
    <w:rsid w:val="48C37B85"/>
    <w:rsid w:val="48C5233D"/>
    <w:rsid w:val="48C97C9E"/>
    <w:rsid w:val="48CA25BD"/>
    <w:rsid w:val="48D33595"/>
    <w:rsid w:val="48E4687B"/>
    <w:rsid w:val="48E75653"/>
    <w:rsid w:val="48EA2900"/>
    <w:rsid w:val="48EA51FF"/>
    <w:rsid w:val="48F13FFA"/>
    <w:rsid w:val="48F21359"/>
    <w:rsid w:val="48F60D0E"/>
    <w:rsid w:val="48F9510E"/>
    <w:rsid w:val="490778E5"/>
    <w:rsid w:val="490F2EE9"/>
    <w:rsid w:val="49122F08"/>
    <w:rsid w:val="49210E08"/>
    <w:rsid w:val="49235AF7"/>
    <w:rsid w:val="49241DC9"/>
    <w:rsid w:val="493332DD"/>
    <w:rsid w:val="493560F8"/>
    <w:rsid w:val="49402BAA"/>
    <w:rsid w:val="49431CB9"/>
    <w:rsid w:val="494731B7"/>
    <w:rsid w:val="49481196"/>
    <w:rsid w:val="494871CB"/>
    <w:rsid w:val="494F4D4F"/>
    <w:rsid w:val="49526418"/>
    <w:rsid w:val="49620054"/>
    <w:rsid w:val="4969094F"/>
    <w:rsid w:val="496B323D"/>
    <w:rsid w:val="496F1C12"/>
    <w:rsid w:val="49715538"/>
    <w:rsid w:val="4974266E"/>
    <w:rsid w:val="49786E6B"/>
    <w:rsid w:val="49795753"/>
    <w:rsid w:val="497E02DF"/>
    <w:rsid w:val="497E3ED3"/>
    <w:rsid w:val="4985786B"/>
    <w:rsid w:val="49942651"/>
    <w:rsid w:val="49A168B8"/>
    <w:rsid w:val="49A521FF"/>
    <w:rsid w:val="49AA0AE3"/>
    <w:rsid w:val="49AA2C41"/>
    <w:rsid w:val="49B01EB3"/>
    <w:rsid w:val="49B6098D"/>
    <w:rsid w:val="49B645D4"/>
    <w:rsid w:val="49BA0415"/>
    <w:rsid w:val="49C2278B"/>
    <w:rsid w:val="49C66E58"/>
    <w:rsid w:val="49DF11B1"/>
    <w:rsid w:val="49E704A2"/>
    <w:rsid w:val="49E774CB"/>
    <w:rsid w:val="49EA6C02"/>
    <w:rsid w:val="49EB68F6"/>
    <w:rsid w:val="49EC24BE"/>
    <w:rsid w:val="49F04F78"/>
    <w:rsid w:val="49F42EAF"/>
    <w:rsid w:val="49F455A7"/>
    <w:rsid w:val="49FC1171"/>
    <w:rsid w:val="4A00000B"/>
    <w:rsid w:val="4A0103F4"/>
    <w:rsid w:val="4A104E6C"/>
    <w:rsid w:val="4A136529"/>
    <w:rsid w:val="4A16422F"/>
    <w:rsid w:val="4A215A03"/>
    <w:rsid w:val="4A27646E"/>
    <w:rsid w:val="4A323F3D"/>
    <w:rsid w:val="4A344AE9"/>
    <w:rsid w:val="4A3D67CF"/>
    <w:rsid w:val="4A425D06"/>
    <w:rsid w:val="4A4369BA"/>
    <w:rsid w:val="4A4C6FBE"/>
    <w:rsid w:val="4A4D1A57"/>
    <w:rsid w:val="4A517389"/>
    <w:rsid w:val="4A5F196C"/>
    <w:rsid w:val="4A656CC0"/>
    <w:rsid w:val="4A666492"/>
    <w:rsid w:val="4A6D5080"/>
    <w:rsid w:val="4A90390A"/>
    <w:rsid w:val="4A925361"/>
    <w:rsid w:val="4AA2290B"/>
    <w:rsid w:val="4AA551E5"/>
    <w:rsid w:val="4AA64139"/>
    <w:rsid w:val="4AAC2AB8"/>
    <w:rsid w:val="4AAF1AD6"/>
    <w:rsid w:val="4ABA4045"/>
    <w:rsid w:val="4ABF1B6F"/>
    <w:rsid w:val="4ABF5206"/>
    <w:rsid w:val="4AD45BE7"/>
    <w:rsid w:val="4AD67E57"/>
    <w:rsid w:val="4ADC36A7"/>
    <w:rsid w:val="4ADC543C"/>
    <w:rsid w:val="4AEC0E24"/>
    <w:rsid w:val="4AEE1F11"/>
    <w:rsid w:val="4AFE2B37"/>
    <w:rsid w:val="4B0D061D"/>
    <w:rsid w:val="4B0F322E"/>
    <w:rsid w:val="4B1027F5"/>
    <w:rsid w:val="4B136759"/>
    <w:rsid w:val="4B143F83"/>
    <w:rsid w:val="4B1525AC"/>
    <w:rsid w:val="4B160D93"/>
    <w:rsid w:val="4B1760E2"/>
    <w:rsid w:val="4B180E1F"/>
    <w:rsid w:val="4B1B22CE"/>
    <w:rsid w:val="4B246132"/>
    <w:rsid w:val="4B315990"/>
    <w:rsid w:val="4B490C3D"/>
    <w:rsid w:val="4B4C149F"/>
    <w:rsid w:val="4B4D05A0"/>
    <w:rsid w:val="4B4E38DF"/>
    <w:rsid w:val="4B501B8D"/>
    <w:rsid w:val="4B5B01EF"/>
    <w:rsid w:val="4B5C0362"/>
    <w:rsid w:val="4B691B8B"/>
    <w:rsid w:val="4B6A443A"/>
    <w:rsid w:val="4B6A5083"/>
    <w:rsid w:val="4B7047A6"/>
    <w:rsid w:val="4B766EBF"/>
    <w:rsid w:val="4B7947AB"/>
    <w:rsid w:val="4B7C6A25"/>
    <w:rsid w:val="4B811C8B"/>
    <w:rsid w:val="4B8526AE"/>
    <w:rsid w:val="4B927F14"/>
    <w:rsid w:val="4B983265"/>
    <w:rsid w:val="4B98764D"/>
    <w:rsid w:val="4BA101F4"/>
    <w:rsid w:val="4BA14881"/>
    <w:rsid w:val="4BAC094F"/>
    <w:rsid w:val="4BAE4F66"/>
    <w:rsid w:val="4BB13B4A"/>
    <w:rsid w:val="4BB25BCD"/>
    <w:rsid w:val="4BB40B8D"/>
    <w:rsid w:val="4BBE173C"/>
    <w:rsid w:val="4BC11745"/>
    <w:rsid w:val="4BC44B03"/>
    <w:rsid w:val="4BC46898"/>
    <w:rsid w:val="4BC66ACD"/>
    <w:rsid w:val="4BC7483D"/>
    <w:rsid w:val="4BCB09D3"/>
    <w:rsid w:val="4BCF29E5"/>
    <w:rsid w:val="4BD011D0"/>
    <w:rsid w:val="4BD14E08"/>
    <w:rsid w:val="4BD3645C"/>
    <w:rsid w:val="4BD87856"/>
    <w:rsid w:val="4BDD514F"/>
    <w:rsid w:val="4BE32B7C"/>
    <w:rsid w:val="4BE35E21"/>
    <w:rsid w:val="4BF12C1F"/>
    <w:rsid w:val="4BF64D73"/>
    <w:rsid w:val="4BF74DFD"/>
    <w:rsid w:val="4BFA734D"/>
    <w:rsid w:val="4C133AE6"/>
    <w:rsid w:val="4C147561"/>
    <w:rsid w:val="4C1A6876"/>
    <w:rsid w:val="4C1F021C"/>
    <w:rsid w:val="4C20075F"/>
    <w:rsid w:val="4C213DD0"/>
    <w:rsid w:val="4C242F2C"/>
    <w:rsid w:val="4C2857B5"/>
    <w:rsid w:val="4C375463"/>
    <w:rsid w:val="4C3970CF"/>
    <w:rsid w:val="4C421935"/>
    <w:rsid w:val="4C465589"/>
    <w:rsid w:val="4C502A2B"/>
    <w:rsid w:val="4C5060E3"/>
    <w:rsid w:val="4C54729E"/>
    <w:rsid w:val="4C5707B7"/>
    <w:rsid w:val="4C6B1B56"/>
    <w:rsid w:val="4C717308"/>
    <w:rsid w:val="4C737F5C"/>
    <w:rsid w:val="4C822679"/>
    <w:rsid w:val="4C892284"/>
    <w:rsid w:val="4C911CC5"/>
    <w:rsid w:val="4C9804CF"/>
    <w:rsid w:val="4C994A82"/>
    <w:rsid w:val="4C9E0AB0"/>
    <w:rsid w:val="4CA96713"/>
    <w:rsid w:val="4CAD7009"/>
    <w:rsid w:val="4CB01CC5"/>
    <w:rsid w:val="4CB31DA7"/>
    <w:rsid w:val="4CBC66FF"/>
    <w:rsid w:val="4CC6067D"/>
    <w:rsid w:val="4CCA4C76"/>
    <w:rsid w:val="4CCB6C1A"/>
    <w:rsid w:val="4CCE1172"/>
    <w:rsid w:val="4CD20363"/>
    <w:rsid w:val="4CD83091"/>
    <w:rsid w:val="4CE62E7B"/>
    <w:rsid w:val="4CEC0CB3"/>
    <w:rsid w:val="4CF0229C"/>
    <w:rsid w:val="4CF20C8D"/>
    <w:rsid w:val="4CFD2E6C"/>
    <w:rsid w:val="4D020261"/>
    <w:rsid w:val="4D057171"/>
    <w:rsid w:val="4D082D99"/>
    <w:rsid w:val="4D084097"/>
    <w:rsid w:val="4D0C6D1C"/>
    <w:rsid w:val="4D1F7EC6"/>
    <w:rsid w:val="4D2D4ADE"/>
    <w:rsid w:val="4D3202D6"/>
    <w:rsid w:val="4D364793"/>
    <w:rsid w:val="4D3D11F9"/>
    <w:rsid w:val="4D457ABE"/>
    <w:rsid w:val="4D4B7D88"/>
    <w:rsid w:val="4D4C2881"/>
    <w:rsid w:val="4D5337E2"/>
    <w:rsid w:val="4D594F9E"/>
    <w:rsid w:val="4D5A7AA9"/>
    <w:rsid w:val="4D687C5F"/>
    <w:rsid w:val="4D724100"/>
    <w:rsid w:val="4D7955DB"/>
    <w:rsid w:val="4D7D31BB"/>
    <w:rsid w:val="4D7E3211"/>
    <w:rsid w:val="4D8E11DC"/>
    <w:rsid w:val="4D8F5613"/>
    <w:rsid w:val="4D9E321C"/>
    <w:rsid w:val="4DA22C6C"/>
    <w:rsid w:val="4DAF5830"/>
    <w:rsid w:val="4DB50BA7"/>
    <w:rsid w:val="4DB96D3C"/>
    <w:rsid w:val="4DBD4CC9"/>
    <w:rsid w:val="4DD704FD"/>
    <w:rsid w:val="4DD86E28"/>
    <w:rsid w:val="4DD95D49"/>
    <w:rsid w:val="4DDE5FE8"/>
    <w:rsid w:val="4DF05839"/>
    <w:rsid w:val="4DF14E4D"/>
    <w:rsid w:val="4DF70635"/>
    <w:rsid w:val="4DFA5859"/>
    <w:rsid w:val="4E04799E"/>
    <w:rsid w:val="4E151B46"/>
    <w:rsid w:val="4E153677"/>
    <w:rsid w:val="4E1B3AE7"/>
    <w:rsid w:val="4E22791C"/>
    <w:rsid w:val="4E2C7591"/>
    <w:rsid w:val="4E3D5A9F"/>
    <w:rsid w:val="4E401788"/>
    <w:rsid w:val="4E405573"/>
    <w:rsid w:val="4E425E54"/>
    <w:rsid w:val="4E546612"/>
    <w:rsid w:val="4E556067"/>
    <w:rsid w:val="4E611E87"/>
    <w:rsid w:val="4E623D23"/>
    <w:rsid w:val="4E624E01"/>
    <w:rsid w:val="4E6323B1"/>
    <w:rsid w:val="4E6362B5"/>
    <w:rsid w:val="4E6D178C"/>
    <w:rsid w:val="4E7D351D"/>
    <w:rsid w:val="4E7D3526"/>
    <w:rsid w:val="4E8165ED"/>
    <w:rsid w:val="4E871CB0"/>
    <w:rsid w:val="4E89116B"/>
    <w:rsid w:val="4E8C46CD"/>
    <w:rsid w:val="4E8E281D"/>
    <w:rsid w:val="4E903417"/>
    <w:rsid w:val="4E904841"/>
    <w:rsid w:val="4E934504"/>
    <w:rsid w:val="4E9955D3"/>
    <w:rsid w:val="4EAC4841"/>
    <w:rsid w:val="4EAE41F2"/>
    <w:rsid w:val="4EAF55F6"/>
    <w:rsid w:val="4EB071E2"/>
    <w:rsid w:val="4EB470B0"/>
    <w:rsid w:val="4EB87E70"/>
    <w:rsid w:val="4EC8471E"/>
    <w:rsid w:val="4ECB17EA"/>
    <w:rsid w:val="4ECC445F"/>
    <w:rsid w:val="4ECF34BC"/>
    <w:rsid w:val="4ED551B9"/>
    <w:rsid w:val="4ED8787F"/>
    <w:rsid w:val="4ED916D9"/>
    <w:rsid w:val="4ED91731"/>
    <w:rsid w:val="4EDB7EFA"/>
    <w:rsid w:val="4EDC3BA7"/>
    <w:rsid w:val="4EDF7525"/>
    <w:rsid w:val="4EE37128"/>
    <w:rsid w:val="4EE66CE6"/>
    <w:rsid w:val="4EEE2AE5"/>
    <w:rsid w:val="4EEF0046"/>
    <w:rsid w:val="4EF4707B"/>
    <w:rsid w:val="4F0633A3"/>
    <w:rsid w:val="4F120590"/>
    <w:rsid w:val="4F1E65C4"/>
    <w:rsid w:val="4F233716"/>
    <w:rsid w:val="4F2D391B"/>
    <w:rsid w:val="4F304E9B"/>
    <w:rsid w:val="4F32218F"/>
    <w:rsid w:val="4F3378AA"/>
    <w:rsid w:val="4F3501F1"/>
    <w:rsid w:val="4F3D6CFB"/>
    <w:rsid w:val="4F3F6FDA"/>
    <w:rsid w:val="4F42646A"/>
    <w:rsid w:val="4F440A73"/>
    <w:rsid w:val="4F442CA7"/>
    <w:rsid w:val="4F4626F3"/>
    <w:rsid w:val="4F466B71"/>
    <w:rsid w:val="4F4F3A50"/>
    <w:rsid w:val="4F4F4AAC"/>
    <w:rsid w:val="4F514971"/>
    <w:rsid w:val="4F603056"/>
    <w:rsid w:val="4F712267"/>
    <w:rsid w:val="4F761658"/>
    <w:rsid w:val="4F7A7262"/>
    <w:rsid w:val="4F7C3A8C"/>
    <w:rsid w:val="4F8016F7"/>
    <w:rsid w:val="4F81666F"/>
    <w:rsid w:val="4F891C8A"/>
    <w:rsid w:val="4F8A0700"/>
    <w:rsid w:val="4F9149F0"/>
    <w:rsid w:val="4F933090"/>
    <w:rsid w:val="4F9960B4"/>
    <w:rsid w:val="4FA26DF0"/>
    <w:rsid w:val="4FA71C3F"/>
    <w:rsid w:val="4FA849FF"/>
    <w:rsid w:val="4FB0116F"/>
    <w:rsid w:val="4FB638C8"/>
    <w:rsid w:val="4FB87677"/>
    <w:rsid w:val="4FBD387E"/>
    <w:rsid w:val="4FC75A8C"/>
    <w:rsid w:val="4FD16F4A"/>
    <w:rsid w:val="4FD83B9A"/>
    <w:rsid w:val="4FE71017"/>
    <w:rsid w:val="4FF67D2C"/>
    <w:rsid w:val="4FF86D14"/>
    <w:rsid w:val="4FFB3517"/>
    <w:rsid w:val="4FFD70C9"/>
    <w:rsid w:val="50093D33"/>
    <w:rsid w:val="50132FC7"/>
    <w:rsid w:val="501D38E3"/>
    <w:rsid w:val="50201A3A"/>
    <w:rsid w:val="504170FD"/>
    <w:rsid w:val="50443097"/>
    <w:rsid w:val="5045110F"/>
    <w:rsid w:val="504518F6"/>
    <w:rsid w:val="50455FF6"/>
    <w:rsid w:val="504A0043"/>
    <w:rsid w:val="5057531D"/>
    <w:rsid w:val="505C22AC"/>
    <w:rsid w:val="50637781"/>
    <w:rsid w:val="50665446"/>
    <w:rsid w:val="506B5A22"/>
    <w:rsid w:val="506F2C48"/>
    <w:rsid w:val="50746686"/>
    <w:rsid w:val="50773DEE"/>
    <w:rsid w:val="507A101F"/>
    <w:rsid w:val="5080306A"/>
    <w:rsid w:val="509506E1"/>
    <w:rsid w:val="5097368B"/>
    <w:rsid w:val="5098108E"/>
    <w:rsid w:val="50985133"/>
    <w:rsid w:val="50AA35CF"/>
    <w:rsid w:val="50AF7AE3"/>
    <w:rsid w:val="50B22315"/>
    <w:rsid w:val="50B63C8F"/>
    <w:rsid w:val="50B90185"/>
    <w:rsid w:val="50C3182D"/>
    <w:rsid w:val="50C8748C"/>
    <w:rsid w:val="50D233A0"/>
    <w:rsid w:val="50DC4A98"/>
    <w:rsid w:val="50E20F10"/>
    <w:rsid w:val="50E472D7"/>
    <w:rsid w:val="50E77275"/>
    <w:rsid w:val="50EC1BBB"/>
    <w:rsid w:val="50EE4733"/>
    <w:rsid w:val="51066A14"/>
    <w:rsid w:val="510947F3"/>
    <w:rsid w:val="510D66B8"/>
    <w:rsid w:val="510E2ADE"/>
    <w:rsid w:val="511A35BB"/>
    <w:rsid w:val="511C76C2"/>
    <w:rsid w:val="512077E0"/>
    <w:rsid w:val="51212B5C"/>
    <w:rsid w:val="5121641A"/>
    <w:rsid w:val="51291073"/>
    <w:rsid w:val="51295F2B"/>
    <w:rsid w:val="51321274"/>
    <w:rsid w:val="51337BBE"/>
    <w:rsid w:val="51391438"/>
    <w:rsid w:val="514433B9"/>
    <w:rsid w:val="514F59B8"/>
    <w:rsid w:val="51560987"/>
    <w:rsid w:val="515A0D15"/>
    <w:rsid w:val="515A5FD6"/>
    <w:rsid w:val="515A775F"/>
    <w:rsid w:val="516011E5"/>
    <w:rsid w:val="51622E6A"/>
    <w:rsid w:val="51637002"/>
    <w:rsid w:val="51697E59"/>
    <w:rsid w:val="516F1EF6"/>
    <w:rsid w:val="51720EE2"/>
    <w:rsid w:val="517214F6"/>
    <w:rsid w:val="517332EE"/>
    <w:rsid w:val="5176055B"/>
    <w:rsid w:val="51761B0B"/>
    <w:rsid w:val="51772678"/>
    <w:rsid w:val="51876C31"/>
    <w:rsid w:val="518A02EE"/>
    <w:rsid w:val="519523ED"/>
    <w:rsid w:val="51991502"/>
    <w:rsid w:val="51995E77"/>
    <w:rsid w:val="519E45A0"/>
    <w:rsid w:val="51A72937"/>
    <w:rsid w:val="51AE08DE"/>
    <w:rsid w:val="51AF3848"/>
    <w:rsid w:val="51B06247"/>
    <w:rsid w:val="51B715A5"/>
    <w:rsid w:val="51B832DD"/>
    <w:rsid w:val="51BC398E"/>
    <w:rsid w:val="51C550B7"/>
    <w:rsid w:val="51C67FA4"/>
    <w:rsid w:val="51CE247B"/>
    <w:rsid w:val="51D23892"/>
    <w:rsid w:val="51D56D08"/>
    <w:rsid w:val="51D63165"/>
    <w:rsid w:val="51D7423C"/>
    <w:rsid w:val="51DB7CDE"/>
    <w:rsid w:val="51E75F9F"/>
    <w:rsid w:val="51F41F1C"/>
    <w:rsid w:val="51FE62B2"/>
    <w:rsid w:val="51FF3326"/>
    <w:rsid w:val="520576D7"/>
    <w:rsid w:val="520D330B"/>
    <w:rsid w:val="521B39FF"/>
    <w:rsid w:val="5224663F"/>
    <w:rsid w:val="522F6B53"/>
    <w:rsid w:val="52315453"/>
    <w:rsid w:val="52360985"/>
    <w:rsid w:val="52390325"/>
    <w:rsid w:val="523A5457"/>
    <w:rsid w:val="523C2E68"/>
    <w:rsid w:val="525556B3"/>
    <w:rsid w:val="525F6318"/>
    <w:rsid w:val="52693198"/>
    <w:rsid w:val="526A0369"/>
    <w:rsid w:val="526C4CDA"/>
    <w:rsid w:val="52700E00"/>
    <w:rsid w:val="52745380"/>
    <w:rsid w:val="5277292A"/>
    <w:rsid w:val="52814CDF"/>
    <w:rsid w:val="52857C4A"/>
    <w:rsid w:val="52964F60"/>
    <w:rsid w:val="529E79C7"/>
    <w:rsid w:val="52A122EE"/>
    <w:rsid w:val="52A54CEA"/>
    <w:rsid w:val="52B30298"/>
    <w:rsid w:val="52B937B8"/>
    <w:rsid w:val="52BE1053"/>
    <w:rsid w:val="52C823F6"/>
    <w:rsid w:val="52CA2036"/>
    <w:rsid w:val="52D779C4"/>
    <w:rsid w:val="52E60694"/>
    <w:rsid w:val="52F0611B"/>
    <w:rsid w:val="52FB474A"/>
    <w:rsid w:val="52FD6003"/>
    <w:rsid w:val="530D63A6"/>
    <w:rsid w:val="53120A6B"/>
    <w:rsid w:val="5313479C"/>
    <w:rsid w:val="5328420C"/>
    <w:rsid w:val="533601E1"/>
    <w:rsid w:val="53383605"/>
    <w:rsid w:val="533A6331"/>
    <w:rsid w:val="534310B6"/>
    <w:rsid w:val="534E2894"/>
    <w:rsid w:val="534E4D46"/>
    <w:rsid w:val="534F3D4D"/>
    <w:rsid w:val="53517349"/>
    <w:rsid w:val="53560201"/>
    <w:rsid w:val="53567845"/>
    <w:rsid w:val="53630B05"/>
    <w:rsid w:val="5366763A"/>
    <w:rsid w:val="53692CC0"/>
    <w:rsid w:val="53695265"/>
    <w:rsid w:val="536C6E22"/>
    <w:rsid w:val="536D3E13"/>
    <w:rsid w:val="536E6BE2"/>
    <w:rsid w:val="53740BBC"/>
    <w:rsid w:val="5376681E"/>
    <w:rsid w:val="537B2AFE"/>
    <w:rsid w:val="537D6236"/>
    <w:rsid w:val="53806E9A"/>
    <w:rsid w:val="53875E4B"/>
    <w:rsid w:val="538F6FC6"/>
    <w:rsid w:val="53917BE2"/>
    <w:rsid w:val="53961EE9"/>
    <w:rsid w:val="53A45A0C"/>
    <w:rsid w:val="53A52105"/>
    <w:rsid w:val="53AA66D0"/>
    <w:rsid w:val="53B023D3"/>
    <w:rsid w:val="53B927C7"/>
    <w:rsid w:val="53C25AAB"/>
    <w:rsid w:val="53C95059"/>
    <w:rsid w:val="53CB28ED"/>
    <w:rsid w:val="53D82074"/>
    <w:rsid w:val="53E219B9"/>
    <w:rsid w:val="53EC2E02"/>
    <w:rsid w:val="53EC62F1"/>
    <w:rsid w:val="53F52A10"/>
    <w:rsid w:val="53F90CF3"/>
    <w:rsid w:val="53FF23EC"/>
    <w:rsid w:val="54047BB4"/>
    <w:rsid w:val="540F5DB4"/>
    <w:rsid w:val="541A1393"/>
    <w:rsid w:val="54207A3B"/>
    <w:rsid w:val="542E0A83"/>
    <w:rsid w:val="54351929"/>
    <w:rsid w:val="54362CC1"/>
    <w:rsid w:val="54365BBC"/>
    <w:rsid w:val="5437569C"/>
    <w:rsid w:val="54376B4D"/>
    <w:rsid w:val="54402E0E"/>
    <w:rsid w:val="544E0F69"/>
    <w:rsid w:val="54566D72"/>
    <w:rsid w:val="545C7D98"/>
    <w:rsid w:val="545D373A"/>
    <w:rsid w:val="54694499"/>
    <w:rsid w:val="546B7882"/>
    <w:rsid w:val="54734E8E"/>
    <w:rsid w:val="547B1C41"/>
    <w:rsid w:val="547E67EF"/>
    <w:rsid w:val="54856614"/>
    <w:rsid w:val="54926BC9"/>
    <w:rsid w:val="54A05F51"/>
    <w:rsid w:val="54A45DB4"/>
    <w:rsid w:val="54A650FD"/>
    <w:rsid w:val="54A807DB"/>
    <w:rsid w:val="54B9745A"/>
    <w:rsid w:val="54C05289"/>
    <w:rsid w:val="54C1246F"/>
    <w:rsid w:val="54C478EC"/>
    <w:rsid w:val="54D56BB9"/>
    <w:rsid w:val="54D83F1C"/>
    <w:rsid w:val="54DA233B"/>
    <w:rsid w:val="54DA77FE"/>
    <w:rsid w:val="54ED6045"/>
    <w:rsid w:val="54F74E66"/>
    <w:rsid w:val="54F8791E"/>
    <w:rsid w:val="54F9581D"/>
    <w:rsid w:val="5500128A"/>
    <w:rsid w:val="55022E67"/>
    <w:rsid w:val="55043DC5"/>
    <w:rsid w:val="550A36D5"/>
    <w:rsid w:val="550A5C75"/>
    <w:rsid w:val="55165D36"/>
    <w:rsid w:val="55170AF0"/>
    <w:rsid w:val="551E2DF7"/>
    <w:rsid w:val="55214DED"/>
    <w:rsid w:val="55304E9F"/>
    <w:rsid w:val="55406311"/>
    <w:rsid w:val="554546CA"/>
    <w:rsid w:val="55482A3F"/>
    <w:rsid w:val="55516335"/>
    <w:rsid w:val="555519FA"/>
    <w:rsid w:val="55553F6C"/>
    <w:rsid w:val="555B30C2"/>
    <w:rsid w:val="555E3CF6"/>
    <w:rsid w:val="556007AB"/>
    <w:rsid w:val="55635CE6"/>
    <w:rsid w:val="55701C3E"/>
    <w:rsid w:val="557622B6"/>
    <w:rsid w:val="5576686F"/>
    <w:rsid w:val="558545F2"/>
    <w:rsid w:val="558A2ABC"/>
    <w:rsid w:val="558B3F82"/>
    <w:rsid w:val="559202F5"/>
    <w:rsid w:val="55961EF1"/>
    <w:rsid w:val="559659F1"/>
    <w:rsid w:val="559E3E3E"/>
    <w:rsid w:val="559F62EB"/>
    <w:rsid w:val="55B55BE8"/>
    <w:rsid w:val="55BB4E7D"/>
    <w:rsid w:val="55C70849"/>
    <w:rsid w:val="55D1398B"/>
    <w:rsid w:val="55D42A82"/>
    <w:rsid w:val="55DB4F23"/>
    <w:rsid w:val="55E75D6D"/>
    <w:rsid w:val="55F821AD"/>
    <w:rsid w:val="55FC688F"/>
    <w:rsid w:val="5607163D"/>
    <w:rsid w:val="560776BA"/>
    <w:rsid w:val="56093F1D"/>
    <w:rsid w:val="560F6B61"/>
    <w:rsid w:val="561419F5"/>
    <w:rsid w:val="561A371B"/>
    <w:rsid w:val="56210A17"/>
    <w:rsid w:val="56227CF1"/>
    <w:rsid w:val="562716C2"/>
    <w:rsid w:val="56282E28"/>
    <w:rsid w:val="562C5745"/>
    <w:rsid w:val="562F46D0"/>
    <w:rsid w:val="56311020"/>
    <w:rsid w:val="56316023"/>
    <w:rsid w:val="56395C76"/>
    <w:rsid w:val="563A5E08"/>
    <w:rsid w:val="56407AC6"/>
    <w:rsid w:val="56414CB7"/>
    <w:rsid w:val="56451AD1"/>
    <w:rsid w:val="564F5678"/>
    <w:rsid w:val="565F0764"/>
    <w:rsid w:val="566302EC"/>
    <w:rsid w:val="5664252E"/>
    <w:rsid w:val="566808A7"/>
    <w:rsid w:val="566A066C"/>
    <w:rsid w:val="56793300"/>
    <w:rsid w:val="567B2482"/>
    <w:rsid w:val="567F71C8"/>
    <w:rsid w:val="568709D5"/>
    <w:rsid w:val="568D6340"/>
    <w:rsid w:val="568F2401"/>
    <w:rsid w:val="56901BDC"/>
    <w:rsid w:val="569B1228"/>
    <w:rsid w:val="569C2F3C"/>
    <w:rsid w:val="569E74BB"/>
    <w:rsid w:val="56A21304"/>
    <w:rsid w:val="56A7705B"/>
    <w:rsid w:val="56A91802"/>
    <w:rsid w:val="56B03C08"/>
    <w:rsid w:val="56B10558"/>
    <w:rsid w:val="56B33C58"/>
    <w:rsid w:val="56BA3E74"/>
    <w:rsid w:val="56BD207F"/>
    <w:rsid w:val="56BD5128"/>
    <w:rsid w:val="56C433BA"/>
    <w:rsid w:val="56C64E25"/>
    <w:rsid w:val="56C82DA8"/>
    <w:rsid w:val="56D078BA"/>
    <w:rsid w:val="56D45E5C"/>
    <w:rsid w:val="56D91D97"/>
    <w:rsid w:val="56DF4893"/>
    <w:rsid w:val="56E22F03"/>
    <w:rsid w:val="56E26BE2"/>
    <w:rsid w:val="56F24081"/>
    <w:rsid w:val="56F25262"/>
    <w:rsid w:val="56FE2675"/>
    <w:rsid w:val="570A2276"/>
    <w:rsid w:val="570B1A7A"/>
    <w:rsid w:val="570F7836"/>
    <w:rsid w:val="5714338E"/>
    <w:rsid w:val="571D5BFC"/>
    <w:rsid w:val="5720093F"/>
    <w:rsid w:val="5730692C"/>
    <w:rsid w:val="57345D28"/>
    <w:rsid w:val="573A494F"/>
    <w:rsid w:val="57491534"/>
    <w:rsid w:val="57536E12"/>
    <w:rsid w:val="57554930"/>
    <w:rsid w:val="575753D8"/>
    <w:rsid w:val="575B58D7"/>
    <w:rsid w:val="57605623"/>
    <w:rsid w:val="57761F9B"/>
    <w:rsid w:val="577C1325"/>
    <w:rsid w:val="577E2CCC"/>
    <w:rsid w:val="57832BB2"/>
    <w:rsid w:val="578850E6"/>
    <w:rsid w:val="578E7FF5"/>
    <w:rsid w:val="579239D5"/>
    <w:rsid w:val="57A21425"/>
    <w:rsid w:val="57A40B2C"/>
    <w:rsid w:val="57A718D3"/>
    <w:rsid w:val="57AE0B41"/>
    <w:rsid w:val="57AE372B"/>
    <w:rsid w:val="57B601AF"/>
    <w:rsid w:val="57B63FF7"/>
    <w:rsid w:val="57C251E5"/>
    <w:rsid w:val="57C37B7C"/>
    <w:rsid w:val="57CE1194"/>
    <w:rsid w:val="57D20CF9"/>
    <w:rsid w:val="57D70DFA"/>
    <w:rsid w:val="57DA6CB4"/>
    <w:rsid w:val="57DF62FB"/>
    <w:rsid w:val="57DF7CFC"/>
    <w:rsid w:val="57E22064"/>
    <w:rsid w:val="57E77237"/>
    <w:rsid w:val="57F3032E"/>
    <w:rsid w:val="57F62A11"/>
    <w:rsid w:val="57F85246"/>
    <w:rsid w:val="57FD1B47"/>
    <w:rsid w:val="580A5CD8"/>
    <w:rsid w:val="58120418"/>
    <w:rsid w:val="58190256"/>
    <w:rsid w:val="58220A53"/>
    <w:rsid w:val="58251422"/>
    <w:rsid w:val="58255662"/>
    <w:rsid w:val="58265CA2"/>
    <w:rsid w:val="582E72C4"/>
    <w:rsid w:val="58346D63"/>
    <w:rsid w:val="583C2242"/>
    <w:rsid w:val="584420FC"/>
    <w:rsid w:val="584E7218"/>
    <w:rsid w:val="58612014"/>
    <w:rsid w:val="58627E5A"/>
    <w:rsid w:val="58690477"/>
    <w:rsid w:val="586A5CCC"/>
    <w:rsid w:val="586F60E6"/>
    <w:rsid w:val="58716063"/>
    <w:rsid w:val="58736AA2"/>
    <w:rsid w:val="587839A2"/>
    <w:rsid w:val="587F20DC"/>
    <w:rsid w:val="587F48DF"/>
    <w:rsid w:val="5884037B"/>
    <w:rsid w:val="588551C2"/>
    <w:rsid w:val="58875A0C"/>
    <w:rsid w:val="58880A1A"/>
    <w:rsid w:val="588B516F"/>
    <w:rsid w:val="588E04FC"/>
    <w:rsid w:val="58922E4E"/>
    <w:rsid w:val="5892322A"/>
    <w:rsid w:val="5895405F"/>
    <w:rsid w:val="58A44D10"/>
    <w:rsid w:val="58A52F73"/>
    <w:rsid w:val="58A53206"/>
    <w:rsid w:val="58A91F0E"/>
    <w:rsid w:val="58AB15FA"/>
    <w:rsid w:val="58AB1DB2"/>
    <w:rsid w:val="58AC400B"/>
    <w:rsid w:val="58AD704A"/>
    <w:rsid w:val="58AF65F5"/>
    <w:rsid w:val="58B0262C"/>
    <w:rsid w:val="58B367AB"/>
    <w:rsid w:val="58B47A23"/>
    <w:rsid w:val="58B527CA"/>
    <w:rsid w:val="58B974BA"/>
    <w:rsid w:val="58BC2098"/>
    <w:rsid w:val="58C723AC"/>
    <w:rsid w:val="58CB31E8"/>
    <w:rsid w:val="58D75C5B"/>
    <w:rsid w:val="58D768DB"/>
    <w:rsid w:val="58DC4A1E"/>
    <w:rsid w:val="58E05334"/>
    <w:rsid w:val="58E053F2"/>
    <w:rsid w:val="58E25D56"/>
    <w:rsid w:val="58EA0663"/>
    <w:rsid w:val="58F1062B"/>
    <w:rsid w:val="58FC6A20"/>
    <w:rsid w:val="59005F03"/>
    <w:rsid w:val="59026A77"/>
    <w:rsid w:val="59124742"/>
    <w:rsid w:val="59144AEF"/>
    <w:rsid w:val="592562E1"/>
    <w:rsid w:val="59276CA7"/>
    <w:rsid w:val="59280687"/>
    <w:rsid w:val="59296AD1"/>
    <w:rsid w:val="593055E0"/>
    <w:rsid w:val="59356D28"/>
    <w:rsid w:val="59357C33"/>
    <w:rsid w:val="593D06D0"/>
    <w:rsid w:val="5943714D"/>
    <w:rsid w:val="59453215"/>
    <w:rsid w:val="59453B20"/>
    <w:rsid w:val="594A6607"/>
    <w:rsid w:val="59525D72"/>
    <w:rsid w:val="59590F80"/>
    <w:rsid w:val="59601C75"/>
    <w:rsid w:val="5963054E"/>
    <w:rsid w:val="59631B70"/>
    <w:rsid w:val="596B2F32"/>
    <w:rsid w:val="597647D2"/>
    <w:rsid w:val="5977223D"/>
    <w:rsid w:val="597A40A4"/>
    <w:rsid w:val="59872692"/>
    <w:rsid w:val="598C1F56"/>
    <w:rsid w:val="598F568D"/>
    <w:rsid w:val="599562AA"/>
    <w:rsid w:val="599E722A"/>
    <w:rsid w:val="59A12B3D"/>
    <w:rsid w:val="59A3044D"/>
    <w:rsid w:val="59A83CD5"/>
    <w:rsid w:val="59AF2D18"/>
    <w:rsid w:val="59B95A0D"/>
    <w:rsid w:val="59B9781F"/>
    <w:rsid w:val="59C117EC"/>
    <w:rsid w:val="59CB5CD1"/>
    <w:rsid w:val="59D10207"/>
    <w:rsid w:val="59D25759"/>
    <w:rsid w:val="59E00C69"/>
    <w:rsid w:val="59E257CD"/>
    <w:rsid w:val="59E74652"/>
    <w:rsid w:val="59E85EE8"/>
    <w:rsid w:val="59EA24B6"/>
    <w:rsid w:val="59F0003E"/>
    <w:rsid w:val="59F002FD"/>
    <w:rsid w:val="59F02980"/>
    <w:rsid w:val="59F17145"/>
    <w:rsid w:val="59F518B1"/>
    <w:rsid w:val="59FD5116"/>
    <w:rsid w:val="5A067105"/>
    <w:rsid w:val="5A081B9B"/>
    <w:rsid w:val="5A0B56F0"/>
    <w:rsid w:val="5A220068"/>
    <w:rsid w:val="5A224CA3"/>
    <w:rsid w:val="5A2257FF"/>
    <w:rsid w:val="5A280956"/>
    <w:rsid w:val="5A3553B3"/>
    <w:rsid w:val="5A365C4A"/>
    <w:rsid w:val="5A3B47A6"/>
    <w:rsid w:val="5A3C2295"/>
    <w:rsid w:val="5A42336F"/>
    <w:rsid w:val="5A45605A"/>
    <w:rsid w:val="5A5076BF"/>
    <w:rsid w:val="5A5D190B"/>
    <w:rsid w:val="5A5D6EED"/>
    <w:rsid w:val="5A615AEF"/>
    <w:rsid w:val="5A687CB9"/>
    <w:rsid w:val="5A6D68F3"/>
    <w:rsid w:val="5A75669D"/>
    <w:rsid w:val="5A7A7A0E"/>
    <w:rsid w:val="5A7F7162"/>
    <w:rsid w:val="5A8323EE"/>
    <w:rsid w:val="5A885AA9"/>
    <w:rsid w:val="5A937FAD"/>
    <w:rsid w:val="5AA136BD"/>
    <w:rsid w:val="5AA77FE6"/>
    <w:rsid w:val="5AAE752B"/>
    <w:rsid w:val="5AAF2E19"/>
    <w:rsid w:val="5AB15913"/>
    <w:rsid w:val="5AB2700F"/>
    <w:rsid w:val="5AC44733"/>
    <w:rsid w:val="5ACD0501"/>
    <w:rsid w:val="5ACD255B"/>
    <w:rsid w:val="5AD60089"/>
    <w:rsid w:val="5ADA35B4"/>
    <w:rsid w:val="5AE74502"/>
    <w:rsid w:val="5AE932AF"/>
    <w:rsid w:val="5AEB1796"/>
    <w:rsid w:val="5AF630A4"/>
    <w:rsid w:val="5AF73743"/>
    <w:rsid w:val="5AFF16B3"/>
    <w:rsid w:val="5AFF416B"/>
    <w:rsid w:val="5B0008AA"/>
    <w:rsid w:val="5B031853"/>
    <w:rsid w:val="5B0543E9"/>
    <w:rsid w:val="5B076DE8"/>
    <w:rsid w:val="5B0D253B"/>
    <w:rsid w:val="5B10309C"/>
    <w:rsid w:val="5B155C31"/>
    <w:rsid w:val="5B21162A"/>
    <w:rsid w:val="5B246E44"/>
    <w:rsid w:val="5B2A29B4"/>
    <w:rsid w:val="5B2A6CBA"/>
    <w:rsid w:val="5B315D02"/>
    <w:rsid w:val="5B364E45"/>
    <w:rsid w:val="5B3F15ED"/>
    <w:rsid w:val="5B42726A"/>
    <w:rsid w:val="5B4A5024"/>
    <w:rsid w:val="5B4E1F7C"/>
    <w:rsid w:val="5B4E6197"/>
    <w:rsid w:val="5B5178CC"/>
    <w:rsid w:val="5B540D70"/>
    <w:rsid w:val="5B6063AD"/>
    <w:rsid w:val="5B656418"/>
    <w:rsid w:val="5B681DB7"/>
    <w:rsid w:val="5B6A058F"/>
    <w:rsid w:val="5B6E458E"/>
    <w:rsid w:val="5B6E71D2"/>
    <w:rsid w:val="5B7159D0"/>
    <w:rsid w:val="5B740991"/>
    <w:rsid w:val="5B8171BC"/>
    <w:rsid w:val="5B8410AA"/>
    <w:rsid w:val="5B886EF0"/>
    <w:rsid w:val="5B90760C"/>
    <w:rsid w:val="5B9519A0"/>
    <w:rsid w:val="5B952EC4"/>
    <w:rsid w:val="5B977B3E"/>
    <w:rsid w:val="5BAD110F"/>
    <w:rsid w:val="5BAF16CD"/>
    <w:rsid w:val="5BB228BB"/>
    <w:rsid w:val="5BB277E5"/>
    <w:rsid w:val="5BB36F6F"/>
    <w:rsid w:val="5BB64D50"/>
    <w:rsid w:val="5BC3708A"/>
    <w:rsid w:val="5BCC27FF"/>
    <w:rsid w:val="5BCC3E36"/>
    <w:rsid w:val="5BCE7A03"/>
    <w:rsid w:val="5BE017D7"/>
    <w:rsid w:val="5BEA1AED"/>
    <w:rsid w:val="5BEB01EF"/>
    <w:rsid w:val="5BFE631F"/>
    <w:rsid w:val="5C005573"/>
    <w:rsid w:val="5C0160F9"/>
    <w:rsid w:val="5C03649B"/>
    <w:rsid w:val="5C082390"/>
    <w:rsid w:val="5C09327B"/>
    <w:rsid w:val="5C0C2E43"/>
    <w:rsid w:val="5C112EF5"/>
    <w:rsid w:val="5C1523B5"/>
    <w:rsid w:val="5C171F2B"/>
    <w:rsid w:val="5C1D761B"/>
    <w:rsid w:val="5C1D76F0"/>
    <w:rsid w:val="5C2075C5"/>
    <w:rsid w:val="5C311D40"/>
    <w:rsid w:val="5C3E0EEB"/>
    <w:rsid w:val="5C410A70"/>
    <w:rsid w:val="5C425D34"/>
    <w:rsid w:val="5C447CC6"/>
    <w:rsid w:val="5C4C5DC4"/>
    <w:rsid w:val="5C4F2ABE"/>
    <w:rsid w:val="5C560E8B"/>
    <w:rsid w:val="5C581538"/>
    <w:rsid w:val="5C5D7036"/>
    <w:rsid w:val="5C655A5D"/>
    <w:rsid w:val="5C675690"/>
    <w:rsid w:val="5C681BB9"/>
    <w:rsid w:val="5C69772C"/>
    <w:rsid w:val="5C6A7270"/>
    <w:rsid w:val="5C724ECE"/>
    <w:rsid w:val="5C776BEB"/>
    <w:rsid w:val="5C7A0780"/>
    <w:rsid w:val="5C7C107F"/>
    <w:rsid w:val="5C7D022F"/>
    <w:rsid w:val="5C7D6575"/>
    <w:rsid w:val="5C8D037D"/>
    <w:rsid w:val="5C8F1E5C"/>
    <w:rsid w:val="5C93378D"/>
    <w:rsid w:val="5C982768"/>
    <w:rsid w:val="5C9B4AD0"/>
    <w:rsid w:val="5C9E7696"/>
    <w:rsid w:val="5CA11271"/>
    <w:rsid w:val="5CA5749C"/>
    <w:rsid w:val="5CB20BC0"/>
    <w:rsid w:val="5CEB100F"/>
    <w:rsid w:val="5CF314B1"/>
    <w:rsid w:val="5CF54303"/>
    <w:rsid w:val="5CFD2382"/>
    <w:rsid w:val="5D060565"/>
    <w:rsid w:val="5D06624C"/>
    <w:rsid w:val="5D100A1E"/>
    <w:rsid w:val="5D101E72"/>
    <w:rsid w:val="5D104837"/>
    <w:rsid w:val="5D1324BB"/>
    <w:rsid w:val="5D153410"/>
    <w:rsid w:val="5D15731A"/>
    <w:rsid w:val="5D1719BE"/>
    <w:rsid w:val="5D291DEC"/>
    <w:rsid w:val="5D302B88"/>
    <w:rsid w:val="5D320DEA"/>
    <w:rsid w:val="5D42535B"/>
    <w:rsid w:val="5D43432D"/>
    <w:rsid w:val="5D4A0A83"/>
    <w:rsid w:val="5D4A5585"/>
    <w:rsid w:val="5D550D64"/>
    <w:rsid w:val="5D56381F"/>
    <w:rsid w:val="5D594602"/>
    <w:rsid w:val="5D6A19E7"/>
    <w:rsid w:val="5D730E85"/>
    <w:rsid w:val="5D736B83"/>
    <w:rsid w:val="5D7B5336"/>
    <w:rsid w:val="5D7D0750"/>
    <w:rsid w:val="5D872699"/>
    <w:rsid w:val="5D8E4A80"/>
    <w:rsid w:val="5D97482E"/>
    <w:rsid w:val="5D975E75"/>
    <w:rsid w:val="5D980BB0"/>
    <w:rsid w:val="5D991484"/>
    <w:rsid w:val="5D992333"/>
    <w:rsid w:val="5DA41E0E"/>
    <w:rsid w:val="5DA564C3"/>
    <w:rsid w:val="5DB904F2"/>
    <w:rsid w:val="5DBD6FCC"/>
    <w:rsid w:val="5DC62146"/>
    <w:rsid w:val="5DCA5E64"/>
    <w:rsid w:val="5DD003BA"/>
    <w:rsid w:val="5DD264D2"/>
    <w:rsid w:val="5DD73A48"/>
    <w:rsid w:val="5DDA038E"/>
    <w:rsid w:val="5DDE6637"/>
    <w:rsid w:val="5DE82F2E"/>
    <w:rsid w:val="5DEA42B1"/>
    <w:rsid w:val="5DEC7F96"/>
    <w:rsid w:val="5DF05963"/>
    <w:rsid w:val="5DFA7592"/>
    <w:rsid w:val="5DFD3FAD"/>
    <w:rsid w:val="5DFD4F08"/>
    <w:rsid w:val="5E016CB2"/>
    <w:rsid w:val="5E045272"/>
    <w:rsid w:val="5E081327"/>
    <w:rsid w:val="5E172F8A"/>
    <w:rsid w:val="5E1B4FC3"/>
    <w:rsid w:val="5E242673"/>
    <w:rsid w:val="5E3A042E"/>
    <w:rsid w:val="5E4573E6"/>
    <w:rsid w:val="5E48755C"/>
    <w:rsid w:val="5E4B5FC3"/>
    <w:rsid w:val="5E53627F"/>
    <w:rsid w:val="5E543EA2"/>
    <w:rsid w:val="5E544516"/>
    <w:rsid w:val="5E584E27"/>
    <w:rsid w:val="5E5924B6"/>
    <w:rsid w:val="5E5D35A9"/>
    <w:rsid w:val="5E5F20CF"/>
    <w:rsid w:val="5E607B56"/>
    <w:rsid w:val="5E6F4974"/>
    <w:rsid w:val="5E714676"/>
    <w:rsid w:val="5E7E12F3"/>
    <w:rsid w:val="5E8D79D1"/>
    <w:rsid w:val="5EA3535A"/>
    <w:rsid w:val="5EA70A2B"/>
    <w:rsid w:val="5EAE06BC"/>
    <w:rsid w:val="5EB60E9B"/>
    <w:rsid w:val="5EC12312"/>
    <w:rsid w:val="5ECA07FC"/>
    <w:rsid w:val="5ECD4F14"/>
    <w:rsid w:val="5EDD0873"/>
    <w:rsid w:val="5EE80A93"/>
    <w:rsid w:val="5EFD40EF"/>
    <w:rsid w:val="5F0169F0"/>
    <w:rsid w:val="5F047935"/>
    <w:rsid w:val="5F056362"/>
    <w:rsid w:val="5F066FFE"/>
    <w:rsid w:val="5F091819"/>
    <w:rsid w:val="5F0B766A"/>
    <w:rsid w:val="5F110760"/>
    <w:rsid w:val="5F1265AF"/>
    <w:rsid w:val="5F206838"/>
    <w:rsid w:val="5F260AC4"/>
    <w:rsid w:val="5F266591"/>
    <w:rsid w:val="5F28678B"/>
    <w:rsid w:val="5F385E54"/>
    <w:rsid w:val="5F3B09B7"/>
    <w:rsid w:val="5F3C3AE7"/>
    <w:rsid w:val="5F3E6B31"/>
    <w:rsid w:val="5F3E70B8"/>
    <w:rsid w:val="5F412860"/>
    <w:rsid w:val="5F422122"/>
    <w:rsid w:val="5F4F0B04"/>
    <w:rsid w:val="5F550FE6"/>
    <w:rsid w:val="5F5A1DAA"/>
    <w:rsid w:val="5F5E1FCD"/>
    <w:rsid w:val="5F604A40"/>
    <w:rsid w:val="5F641218"/>
    <w:rsid w:val="5F6B324B"/>
    <w:rsid w:val="5F705205"/>
    <w:rsid w:val="5F712E5B"/>
    <w:rsid w:val="5F750588"/>
    <w:rsid w:val="5F7C5F81"/>
    <w:rsid w:val="5F8D346E"/>
    <w:rsid w:val="5F8E0B94"/>
    <w:rsid w:val="5FA20747"/>
    <w:rsid w:val="5FA7486B"/>
    <w:rsid w:val="5FAC361E"/>
    <w:rsid w:val="5FB901E6"/>
    <w:rsid w:val="5FBC2D4D"/>
    <w:rsid w:val="5FC43B63"/>
    <w:rsid w:val="5FD33CED"/>
    <w:rsid w:val="5FDD4249"/>
    <w:rsid w:val="5FE57A85"/>
    <w:rsid w:val="5FE73BAF"/>
    <w:rsid w:val="5FE908F1"/>
    <w:rsid w:val="5FEA5105"/>
    <w:rsid w:val="5FED58A6"/>
    <w:rsid w:val="5FF65C5C"/>
    <w:rsid w:val="5FFD0473"/>
    <w:rsid w:val="60052348"/>
    <w:rsid w:val="600F2C0B"/>
    <w:rsid w:val="601577B0"/>
    <w:rsid w:val="60166A1A"/>
    <w:rsid w:val="60294D47"/>
    <w:rsid w:val="6031180D"/>
    <w:rsid w:val="6037544B"/>
    <w:rsid w:val="603A230F"/>
    <w:rsid w:val="60426A1E"/>
    <w:rsid w:val="604840F1"/>
    <w:rsid w:val="604B08BC"/>
    <w:rsid w:val="605272AE"/>
    <w:rsid w:val="60547ECC"/>
    <w:rsid w:val="6062560E"/>
    <w:rsid w:val="606D484F"/>
    <w:rsid w:val="6072238C"/>
    <w:rsid w:val="60751DA9"/>
    <w:rsid w:val="60787F3E"/>
    <w:rsid w:val="607B1E49"/>
    <w:rsid w:val="60825473"/>
    <w:rsid w:val="60884FAA"/>
    <w:rsid w:val="608F4044"/>
    <w:rsid w:val="609B46CE"/>
    <w:rsid w:val="609D79A4"/>
    <w:rsid w:val="60A22FC2"/>
    <w:rsid w:val="60A6027A"/>
    <w:rsid w:val="60A81A7B"/>
    <w:rsid w:val="60A905E6"/>
    <w:rsid w:val="60B4503A"/>
    <w:rsid w:val="60B86D82"/>
    <w:rsid w:val="60C7539C"/>
    <w:rsid w:val="60CF2095"/>
    <w:rsid w:val="60D166D9"/>
    <w:rsid w:val="60D42507"/>
    <w:rsid w:val="60D825EB"/>
    <w:rsid w:val="60DF6273"/>
    <w:rsid w:val="60DF62DD"/>
    <w:rsid w:val="60E77D8B"/>
    <w:rsid w:val="60F33A68"/>
    <w:rsid w:val="60F83285"/>
    <w:rsid w:val="610B3189"/>
    <w:rsid w:val="61112CC5"/>
    <w:rsid w:val="6129750A"/>
    <w:rsid w:val="61297FB1"/>
    <w:rsid w:val="612B06F8"/>
    <w:rsid w:val="613121CE"/>
    <w:rsid w:val="613930BB"/>
    <w:rsid w:val="613961C3"/>
    <w:rsid w:val="61413A23"/>
    <w:rsid w:val="614268C0"/>
    <w:rsid w:val="61473059"/>
    <w:rsid w:val="615062B2"/>
    <w:rsid w:val="615902D6"/>
    <w:rsid w:val="615B70AE"/>
    <w:rsid w:val="616278FA"/>
    <w:rsid w:val="61693036"/>
    <w:rsid w:val="616C3CAF"/>
    <w:rsid w:val="616E6854"/>
    <w:rsid w:val="61721B91"/>
    <w:rsid w:val="61765658"/>
    <w:rsid w:val="61766367"/>
    <w:rsid w:val="617B3EB0"/>
    <w:rsid w:val="618C46F3"/>
    <w:rsid w:val="619464D0"/>
    <w:rsid w:val="61952E01"/>
    <w:rsid w:val="619B714A"/>
    <w:rsid w:val="619C13C0"/>
    <w:rsid w:val="619C1EE1"/>
    <w:rsid w:val="619E56BE"/>
    <w:rsid w:val="61A41770"/>
    <w:rsid w:val="61A52EFB"/>
    <w:rsid w:val="61AF33B2"/>
    <w:rsid w:val="61AF513A"/>
    <w:rsid w:val="61B200DF"/>
    <w:rsid w:val="61B51378"/>
    <w:rsid w:val="61C77E1D"/>
    <w:rsid w:val="61CB0AE0"/>
    <w:rsid w:val="61D20D31"/>
    <w:rsid w:val="61D80E95"/>
    <w:rsid w:val="61D830B4"/>
    <w:rsid w:val="61DA69D6"/>
    <w:rsid w:val="61DB05B0"/>
    <w:rsid w:val="61E423F3"/>
    <w:rsid w:val="61E66FAD"/>
    <w:rsid w:val="61E72943"/>
    <w:rsid w:val="61EA7A45"/>
    <w:rsid w:val="61F849D0"/>
    <w:rsid w:val="62092205"/>
    <w:rsid w:val="620A596A"/>
    <w:rsid w:val="621C3279"/>
    <w:rsid w:val="62214D5D"/>
    <w:rsid w:val="62233ED9"/>
    <w:rsid w:val="622371F3"/>
    <w:rsid w:val="622436D5"/>
    <w:rsid w:val="62292616"/>
    <w:rsid w:val="622D1B48"/>
    <w:rsid w:val="622F4FDA"/>
    <w:rsid w:val="62303EAD"/>
    <w:rsid w:val="62336ADB"/>
    <w:rsid w:val="62363732"/>
    <w:rsid w:val="62394D24"/>
    <w:rsid w:val="62397C85"/>
    <w:rsid w:val="624D6882"/>
    <w:rsid w:val="624E0148"/>
    <w:rsid w:val="62593E93"/>
    <w:rsid w:val="62604BC8"/>
    <w:rsid w:val="62622139"/>
    <w:rsid w:val="626474A1"/>
    <w:rsid w:val="62653DB1"/>
    <w:rsid w:val="626A337F"/>
    <w:rsid w:val="626F7FD3"/>
    <w:rsid w:val="62766143"/>
    <w:rsid w:val="62790A24"/>
    <w:rsid w:val="627B425A"/>
    <w:rsid w:val="627C0A32"/>
    <w:rsid w:val="628425E8"/>
    <w:rsid w:val="629B4CDD"/>
    <w:rsid w:val="629F2C81"/>
    <w:rsid w:val="62A02BB8"/>
    <w:rsid w:val="62A206CB"/>
    <w:rsid w:val="62A42440"/>
    <w:rsid w:val="62A47915"/>
    <w:rsid w:val="62A668AD"/>
    <w:rsid w:val="62A80347"/>
    <w:rsid w:val="62A9664F"/>
    <w:rsid w:val="62A96B96"/>
    <w:rsid w:val="62AF33EC"/>
    <w:rsid w:val="62B064D1"/>
    <w:rsid w:val="62B30F46"/>
    <w:rsid w:val="62B701F8"/>
    <w:rsid w:val="62B82C24"/>
    <w:rsid w:val="62BC5D49"/>
    <w:rsid w:val="62BD1BF7"/>
    <w:rsid w:val="62BE5E0D"/>
    <w:rsid w:val="62C74375"/>
    <w:rsid w:val="62CA1A9C"/>
    <w:rsid w:val="62CA52E5"/>
    <w:rsid w:val="62CD5E5E"/>
    <w:rsid w:val="62D07784"/>
    <w:rsid w:val="62D5720F"/>
    <w:rsid w:val="62D57BBC"/>
    <w:rsid w:val="62D821AA"/>
    <w:rsid w:val="62DB3373"/>
    <w:rsid w:val="62E5724A"/>
    <w:rsid w:val="62E94D32"/>
    <w:rsid w:val="62EC67D1"/>
    <w:rsid w:val="62ED7760"/>
    <w:rsid w:val="62F95834"/>
    <w:rsid w:val="63135493"/>
    <w:rsid w:val="631B1F17"/>
    <w:rsid w:val="63213E09"/>
    <w:rsid w:val="63231877"/>
    <w:rsid w:val="63290D0E"/>
    <w:rsid w:val="6339025A"/>
    <w:rsid w:val="63453AAA"/>
    <w:rsid w:val="63456297"/>
    <w:rsid w:val="634E684D"/>
    <w:rsid w:val="63522164"/>
    <w:rsid w:val="63576530"/>
    <w:rsid w:val="635C4E3D"/>
    <w:rsid w:val="63625431"/>
    <w:rsid w:val="636B52CA"/>
    <w:rsid w:val="637627B1"/>
    <w:rsid w:val="637717A7"/>
    <w:rsid w:val="638045B8"/>
    <w:rsid w:val="63820823"/>
    <w:rsid w:val="63823A2B"/>
    <w:rsid w:val="638924B9"/>
    <w:rsid w:val="638B05B3"/>
    <w:rsid w:val="63907BC8"/>
    <w:rsid w:val="63953FA2"/>
    <w:rsid w:val="639E7020"/>
    <w:rsid w:val="63A02825"/>
    <w:rsid w:val="63A12146"/>
    <w:rsid w:val="63A1789A"/>
    <w:rsid w:val="63A41837"/>
    <w:rsid w:val="63B964E3"/>
    <w:rsid w:val="63C13FA7"/>
    <w:rsid w:val="63C93A26"/>
    <w:rsid w:val="63EA2B19"/>
    <w:rsid w:val="63EB238C"/>
    <w:rsid w:val="63ED2B9F"/>
    <w:rsid w:val="63F049C9"/>
    <w:rsid w:val="63F45328"/>
    <w:rsid w:val="63F5554C"/>
    <w:rsid w:val="640203E4"/>
    <w:rsid w:val="64022E4D"/>
    <w:rsid w:val="64043057"/>
    <w:rsid w:val="6409004D"/>
    <w:rsid w:val="64093558"/>
    <w:rsid w:val="640D32C8"/>
    <w:rsid w:val="64147548"/>
    <w:rsid w:val="64181C84"/>
    <w:rsid w:val="642951CF"/>
    <w:rsid w:val="6431102D"/>
    <w:rsid w:val="64336A57"/>
    <w:rsid w:val="64401555"/>
    <w:rsid w:val="64475D95"/>
    <w:rsid w:val="644A74A8"/>
    <w:rsid w:val="644C70A9"/>
    <w:rsid w:val="644D47BC"/>
    <w:rsid w:val="64537D84"/>
    <w:rsid w:val="64613A5C"/>
    <w:rsid w:val="64670EC5"/>
    <w:rsid w:val="64676364"/>
    <w:rsid w:val="646F7DBD"/>
    <w:rsid w:val="647457FE"/>
    <w:rsid w:val="64790DF5"/>
    <w:rsid w:val="647A0298"/>
    <w:rsid w:val="649005D2"/>
    <w:rsid w:val="649A577A"/>
    <w:rsid w:val="649E363B"/>
    <w:rsid w:val="649F00CF"/>
    <w:rsid w:val="64A16EE3"/>
    <w:rsid w:val="64A21A5D"/>
    <w:rsid w:val="64A82A69"/>
    <w:rsid w:val="64B13131"/>
    <w:rsid w:val="64B2338B"/>
    <w:rsid w:val="64B25C4D"/>
    <w:rsid w:val="64B266BC"/>
    <w:rsid w:val="64C05BC2"/>
    <w:rsid w:val="64C31CAB"/>
    <w:rsid w:val="64C7375A"/>
    <w:rsid w:val="64C77667"/>
    <w:rsid w:val="64E63BF8"/>
    <w:rsid w:val="64EF172D"/>
    <w:rsid w:val="64F16116"/>
    <w:rsid w:val="650A1F74"/>
    <w:rsid w:val="650B415C"/>
    <w:rsid w:val="650D6B24"/>
    <w:rsid w:val="65133541"/>
    <w:rsid w:val="651562AD"/>
    <w:rsid w:val="651A0FD2"/>
    <w:rsid w:val="65217819"/>
    <w:rsid w:val="652860EA"/>
    <w:rsid w:val="653470EC"/>
    <w:rsid w:val="65370D10"/>
    <w:rsid w:val="65377B98"/>
    <w:rsid w:val="65386D76"/>
    <w:rsid w:val="653A5281"/>
    <w:rsid w:val="65516674"/>
    <w:rsid w:val="65565168"/>
    <w:rsid w:val="655A46DF"/>
    <w:rsid w:val="65606A50"/>
    <w:rsid w:val="656B410C"/>
    <w:rsid w:val="657049D2"/>
    <w:rsid w:val="6575005D"/>
    <w:rsid w:val="65784F38"/>
    <w:rsid w:val="657C3984"/>
    <w:rsid w:val="657E48E9"/>
    <w:rsid w:val="65827289"/>
    <w:rsid w:val="658412FD"/>
    <w:rsid w:val="658B1A1D"/>
    <w:rsid w:val="658D609C"/>
    <w:rsid w:val="65A30255"/>
    <w:rsid w:val="65A97F43"/>
    <w:rsid w:val="65BA30BC"/>
    <w:rsid w:val="65CC5374"/>
    <w:rsid w:val="65CF6B53"/>
    <w:rsid w:val="65D81C57"/>
    <w:rsid w:val="65DA531D"/>
    <w:rsid w:val="65DB74E5"/>
    <w:rsid w:val="65DC479B"/>
    <w:rsid w:val="65DE105D"/>
    <w:rsid w:val="65E35BFA"/>
    <w:rsid w:val="65E41B08"/>
    <w:rsid w:val="65F86E84"/>
    <w:rsid w:val="660128BA"/>
    <w:rsid w:val="66026F49"/>
    <w:rsid w:val="660C60E0"/>
    <w:rsid w:val="661A4767"/>
    <w:rsid w:val="661F566C"/>
    <w:rsid w:val="663100BD"/>
    <w:rsid w:val="6636008C"/>
    <w:rsid w:val="66374470"/>
    <w:rsid w:val="663A4474"/>
    <w:rsid w:val="663C4415"/>
    <w:rsid w:val="663D79F4"/>
    <w:rsid w:val="66471DF5"/>
    <w:rsid w:val="66494A65"/>
    <w:rsid w:val="664B0DDC"/>
    <w:rsid w:val="664E7184"/>
    <w:rsid w:val="66587006"/>
    <w:rsid w:val="665D2648"/>
    <w:rsid w:val="66614409"/>
    <w:rsid w:val="666176C6"/>
    <w:rsid w:val="66680654"/>
    <w:rsid w:val="666D42C5"/>
    <w:rsid w:val="667575D4"/>
    <w:rsid w:val="66780783"/>
    <w:rsid w:val="667978DA"/>
    <w:rsid w:val="667B0FBC"/>
    <w:rsid w:val="66807B4C"/>
    <w:rsid w:val="66836E9B"/>
    <w:rsid w:val="66863385"/>
    <w:rsid w:val="66910366"/>
    <w:rsid w:val="66933A06"/>
    <w:rsid w:val="669750D6"/>
    <w:rsid w:val="66976E3D"/>
    <w:rsid w:val="6698599F"/>
    <w:rsid w:val="66A129E2"/>
    <w:rsid w:val="66A7761F"/>
    <w:rsid w:val="66AA0E1D"/>
    <w:rsid w:val="66AF04D3"/>
    <w:rsid w:val="66AF0505"/>
    <w:rsid w:val="66AF4860"/>
    <w:rsid w:val="66B63460"/>
    <w:rsid w:val="66BC7E3F"/>
    <w:rsid w:val="66BD46B3"/>
    <w:rsid w:val="66C21D72"/>
    <w:rsid w:val="66C27853"/>
    <w:rsid w:val="66C43B6B"/>
    <w:rsid w:val="66C45DAA"/>
    <w:rsid w:val="66C4632F"/>
    <w:rsid w:val="66C85874"/>
    <w:rsid w:val="66C93B8F"/>
    <w:rsid w:val="66CC5E15"/>
    <w:rsid w:val="66CE7D0D"/>
    <w:rsid w:val="66D256A6"/>
    <w:rsid w:val="66D74261"/>
    <w:rsid w:val="66D74DFB"/>
    <w:rsid w:val="66DF124E"/>
    <w:rsid w:val="66EE50C6"/>
    <w:rsid w:val="66EE58B9"/>
    <w:rsid w:val="66F12905"/>
    <w:rsid w:val="66F467C8"/>
    <w:rsid w:val="66FA65F2"/>
    <w:rsid w:val="66FE67A3"/>
    <w:rsid w:val="670303C5"/>
    <w:rsid w:val="670738FD"/>
    <w:rsid w:val="67101304"/>
    <w:rsid w:val="67113C2F"/>
    <w:rsid w:val="67140AA1"/>
    <w:rsid w:val="67153C75"/>
    <w:rsid w:val="67163F04"/>
    <w:rsid w:val="671A4130"/>
    <w:rsid w:val="671B59D4"/>
    <w:rsid w:val="671C2A6E"/>
    <w:rsid w:val="671E3476"/>
    <w:rsid w:val="67206C55"/>
    <w:rsid w:val="672B0763"/>
    <w:rsid w:val="672B265C"/>
    <w:rsid w:val="672D4CE8"/>
    <w:rsid w:val="672F2C8D"/>
    <w:rsid w:val="672F6329"/>
    <w:rsid w:val="673616CF"/>
    <w:rsid w:val="673B5C55"/>
    <w:rsid w:val="673D3C8F"/>
    <w:rsid w:val="67474D73"/>
    <w:rsid w:val="674F2381"/>
    <w:rsid w:val="675B04ED"/>
    <w:rsid w:val="675D5FFF"/>
    <w:rsid w:val="676D3C75"/>
    <w:rsid w:val="67772930"/>
    <w:rsid w:val="677821E1"/>
    <w:rsid w:val="677B41A8"/>
    <w:rsid w:val="677F18A5"/>
    <w:rsid w:val="678604F5"/>
    <w:rsid w:val="678878D3"/>
    <w:rsid w:val="678B6429"/>
    <w:rsid w:val="678C3055"/>
    <w:rsid w:val="679152F5"/>
    <w:rsid w:val="6798447B"/>
    <w:rsid w:val="679E22C6"/>
    <w:rsid w:val="67A10D18"/>
    <w:rsid w:val="67A23BDC"/>
    <w:rsid w:val="67A7391E"/>
    <w:rsid w:val="67AE69D9"/>
    <w:rsid w:val="67BB6E96"/>
    <w:rsid w:val="67D23AD1"/>
    <w:rsid w:val="67D26883"/>
    <w:rsid w:val="67D86D04"/>
    <w:rsid w:val="67DC1D21"/>
    <w:rsid w:val="67E40A16"/>
    <w:rsid w:val="67EA0773"/>
    <w:rsid w:val="67EA52E9"/>
    <w:rsid w:val="67EB56F4"/>
    <w:rsid w:val="67F84261"/>
    <w:rsid w:val="67FB6A66"/>
    <w:rsid w:val="6800222E"/>
    <w:rsid w:val="680B3E54"/>
    <w:rsid w:val="68161043"/>
    <w:rsid w:val="68176832"/>
    <w:rsid w:val="681E5F31"/>
    <w:rsid w:val="681F6FED"/>
    <w:rsid w:val="68277B3D"/>
    <w:rsid w:val="682D2573"/>
    <w:rsid w:val="683E0A50"/>
    <w:rsid w:val="68413EAE"/>
    <w:rsid w:val="684203A6"/>
    <w:rsid w:val="684A5A9C"/>
    <w:rsid w:val="684D1769"/>
    <w:rsid w:val="68554384"/>
    <w:rsid w:val="6855588C"/>
    <w:rsid w:val="68556DB7"/>
    <w:rsid w:val="68592AB6"/>
    <w:rsid w:val="685C4E09"/>
    <w:rsid w:val="685F0936"/>
    <w:rsid w:val="68624715"/>
    <w:rsid w:val="6863592F"/>
    <w:rsid w:val="6867242F"/>
    <w:rsid w:val="68747C16"/>
    <w:rsid w:val="687717BE"/>
    <w:rsid w:val="687A6A6A"/>
    <w:rsid w:val="687D4111"/>
    <w:rsid w:val="688519C8"/>
    <w:rsid w:val="68897E3B"/>
    <w:rsid w:val="688D537F"/>
    <w:rsid w:val="689072CA"/>
    <w:rsid w:val="689845BC"/>
    <w:rsid w:val="689A0B09"/>
    <w:rsid w:val="689F668A"/>
    <w:rsid w:val="68A526BE"/>
    <w:rsid w:val="68A6753E"/>
    <w:rsid w:val="68B71C0F"/>
    <w:rsid w:val="68B848FE"/>
    <w:rsid w:val="68B91A87"/>
    <w:rsid w:val="68B934E7"/>
    <w:rsid w:val="68C85F71"/>
    <w:rsid w:val="68D054EC"/>
    <w:rsid w:val="68D6542B"/>
    <w:rsid w:val="68D66F36"/>
    <w:rsid w:val="68DC3034"/>
    <w:rsid w:val="68DE6FE0"/>
    <w:rsid w:val="68E07E46"/>
    <w:rsid w:val="68E12774"/>
    <w:rsid w:val="68EF3417"/>
    <w:rsid w:val="68FD36D6"/>
    <w:rsid w:val="68FD7DAA"/>
    <w:rsid w:val="690812C7"/>
    <w:rsid w:val="69104817"/>
    <w:rsid w:val="69165117"/>
    <w:rsid w:val="691952EA"/>
    <w:rsid w:val="691E2042"/>
    <w:rsid w:val="691F3444"/>
    <w:rsid w:val="6921078D"/>
    <w:rsid w:val="692176F7"/>
    <w:rsid w:val="69250889"/>
    <w:rsid w:val="692A18A6"/>
    <w:rsid w:val="692C3B5D"/>
    <w:rsid w:val="692F7B60"/>
    <w:rsid w:val="69300723"/>
    <w:rsid w:val="69345FFB"/>
    <w:rsid w:val="69367B16"/>
    <w:rsid w:val="69374285"/>
    <w:rsid w:val="69450FB5"/>
    <w:rsid w:val="69462BAC"/>
    <w:rsid w:val="694B76BF"/>
    <w:rsid w:val="694B7CE4"/>
    <w:rsid w:val="694E3F32"/>
    <w:rsid w:val="69536FA2"/>
    <w:rsid w:val="695817BF"/>
    <w:rsid w:val="696459E5"/>
    <w:rsid w:val="69676738"/>
    <w:rsid w:val="6976545F"/>
    <w:rsid w:val="69797085"/>
    <w:rsid w:val="6983333C"/>
    <w:rsid w:val="69852899"/>
    <w:rsid w:val="698535EE"/>
    <w:rsid w:val="6985524D"/>
    <w:rsid w:val="699024A8"/>
    <w:rsid w:val="69942A67"/>
    <w:rsid w:val="69987BF8"/>
    <w:rsid w:val="699A592F"/>
    <w:rsid w:val="69AF5B70"/>
    <w:rsid w:val="69B01140"/>
    <w:rsid w:val="69BA535F"/>
    <w:rsid w:val="69C60EF3"/>
    <w:rsid w:val="69C6146F"/>
    <w:rsid w:val="69CA142B"/>
    <w:rsid w:val="69CB659D"/>
    <w:rsid w:val="69CD7EA5"/>
    <w:rsid w:val="69D47242"/>
    <w:rsid w:val="69D6713E"/>
    <w:rsid w:val="69E72461"/>
    <w:rsid w:val="69E97057"/>
    <w:rsid w:val="69EE2548"/>
    <w:rsid w:val="69F0277F"/>
    <w:rsid w:val="69F17170"/>
    <w:rsid w:val="69F82255"/>
    <w:rsid w:val="69FA3512"/>
    <w:rsid w:val="69FB2499"/>
    <w:rsid w:val="69FE37E8"/>
    <w:rsid w:val="6A11089C"/>
    <w:rsid w:val="6A13077F"/>
    <w:rsid w:val="6A154662"/>
    <w:rsid w:val="6A1D1C45"/>
    <w:rsid w:val="6A2829D5"/>
    <w:rsid w:val="6A2F0D03"/>
    <w:rsid w:val="6A352C4D"/>
    <w:rsid w:val="6A3C476E"/>
    <w:rsid w:val="6A3C5C50"/>
    <w:rsid w:val="6A496454"/>
    <w:rsid w:val="6A4F71BD"/>
    <w:rsid w:val="6A5A1A64"/>
    <w:rsid w:val="6A5C6A9E"/>
    <w:rsid w:val="6A613E3E"/>
    <w:rsid w:val="6A690D02"/>
    <w:rsid w:val="6A6D5D88"/>
    <w:rsid w:val="6A6E131B"/>
    <w:rsid w:val="6A790AE9"/>
    <w:rsid w:val="6A815C41"/>
    <w:rsid w:val="6A861B6A"/>
    <w:rsid w:val="6A8D5E18"/>
    <w:rsid w:val="6A8D7966"/>
    <w:rsid w:val="6A9637F1"/>
    <w:rsid w:val="6A9A2F82"/>
    <w:rsid w:val="6AA61BD5"/>
    <w:rsid w:val="6AA75C43"/>
    <w:rsid w:val="6AAB2E1F"/>
    <w:rsid w:val="6AB10B3B"/>
    <w:rsid w:val="6AB41A70"/>
    <w:rsid w:val="6ADA4C85"/>
    <w:rsid w:val="6ADD0559"/>
    <w:rsid w:val="6AE4100F"/>
    <w:rsid w:val="6AE503DD"/>
    <w:rsid w:val="6AF6131B"/>
    <w:rsid w:val="6AFA6A28"/>
    <w:rsid w:val="6AFC7F36"/>
    <w:rsid w:val="6B033938"/>
    <w:rsid w:val="6B046CD8"/>
    <w:rsid w:val="6B06537A"/>
    <w:rsid w:val="6B0A14A9"/>
    <w:rsid w:val="6B0C355D"/>
    <w:rsid w:val="6B0D7733"/>
    <w:rsid w:val="6B0E6094"/>
    <w:rsid w:val="6B1505DC"/>
    <w:rsid w:val="6B1D4EBD"/>
    <w:rsid w:val="6B273059"/>
    <w:rsid w:val="6B281980"/>
    <w:rsid w:val="6B2B4D4D"/>
    <w:rsid w:val="6B2C5F48"/>
    <w:rsid w:val="6B390C4A"/>
    <w:rsid w:val="6B3A3E42"/>
    <w:rsid w:val="6B3F1521"/>
    <w:rsid w:val="6B434DBF"/>
    <w:rsid w:val="6B465A4C"/>
    <w:rsid w:val="6B4A6F42"/>
    <w:rsid w:val="6B4B5D7A"/>
    <w:rsid w:val="6B4C6A0B"/>
    <w:rsid w:val="6B4F230B"/>
    <w:rsid w:val="6B5044E8"/>
    <w:rsid w:val="6B541A51"/>
    <w:rsid w:val="6B551FB0"/>
    <w:rsid w:val="6B594C06"/>
    <w:rsid w:val="6B5A5F3A"/>
    <w:rsid w:val="6B6602D4"/>
    <w:rsid w:val="6B6A4609"/>
    <w:rsid w:val="6B713AFC"/>
    <w:rsid w:val="6B776D6A"/>
    <w:rsid w:val="6B786979"/>
    <w:rsid w:val="6B7A2D3C"/>
    <w:rsid w:val="6B7F55B6"/>
    <w:rsid w:val="6B891181"/>
    <w:rsid w:val="6B8F2271"/>
    <w:rsid w:val="6B914359"/>
    <w:rsid w:val="6B915AEF"/>
    <w:rsid w:val="6B956FBF"/>
    <w:rsid w:val="6B99570E"/>
    <w:rsid w:val="6B9E600C"/>
    <w:rsid w:val="6BA64AA6"/>
    <w:rsid w:val="6BAA7D79"/>
    <w:rsid w:val="6BAD3CC3"/>
    <w:rsid w:val="6BAE5124"/>
    <w:rsid w:val="6BAE515B"/>
    <w:rsid w:val="6BAF689F"/>
    <w:rsid w:val="6BB169FA"/>
    <w:rsid w:val="6BC75BA0"/>
    <w:rsid w:val="6BCF4934"/>
    <w:rsid w:val="6BD3587A"/>
    <w:rsid w:val="6BD61512"/>
    <w:rsid w:val="6BEA02F6"/>
    <w:rsid w:val="6BF02587"/>
    <w:rsid w:val="6BF06CEF"/>
    <w:rsid w:val="6BF120AB"/>
    <w:rsid w:val="6BFF2E10"/>
    <w:rsid w:val="6C0A4481"/>
    <w:rsid w:val="6C0B3EA2"/>
    <w:rsid w:val="6C0E4447"/>
    <w:rsid w:val="6C114A6F"/>
    <w:rsid w:val="6C136B41"/>
    <w:rsid w:val="6C171153"/>
    <w:rsid w:val="6C1D0D3F"/>
    <w:rsid w:val="6C201E87"/>
    <w:rsid w:val="6C27128A"/>
    <w:rsid w:val="6C2A410A"/>
    <w:rsid w:val="6C2C2CDA"/>
    <w:rsid w:val="6C352B60"/>
    <w:rsid w:val="6C3918BB"/>
    <w:rsid w:val="6C3C237F"/>
    <w:rsid w:val="6C3D2D59"/>
    <w:rsid w:val="6C3D635E"/>
    <w:rsid w:val="6C3D6575"/>
    <w:rsid w:val="6C3F2032"/>
    <w:rsid w:val="6C407923"/>
    <w:rsid w:val="6C441487"/>
    <w:rsid w:val="6C4763E0"/>
    <w:rsid w:val="6C4C032F"/>
    <w:rsid w:val="6C4C3B13"/>
    <w:rsid w:val="6C504887"/>
    <w:rsid w:val="6C505E13"/>
    <w:rsid w:val="6C531D06"/>
    <w:rsid w:val="6C5A76D6"/>
    <w:rsid w:val="6C646850"/>
    <w:rsid w:val="6C676DB1"/>
    <w:rsid w:val="6C686B68"/>
    <w:rsid w:val="6C7012B2"/>
    <w:rsid w:val="6C7A018E"/>
    <w:rsid w:val="6C7C024E"/>
    <w:rsid w:val="6C7D4FCF"/>
    <w:rsid w:val="6C7E003F"/>
    <w:rsid w:val="6C8514BC"/>
    <w:rsid w:val="6C870C26"/>
    <w:rsid w:val="6C921C8C"/>
    <w:rsid w:val="6C9D2B43"/>
    <w:rsid w:val="6C9F282E"/>
    <w:rsid w:val="6CA275A7"/>
    <w:rsid w:val="6CA53844"/>
    <w:rsid w:val="6CA92135"/>
    <w:rsid w:val="6CB54A05"/>
    <w:rsid w:val="6CC73E7F"/>
    <w:rsid w:val="6CD2251E"/>
    <w:rsid w:val="6CD32ADC"/>
    <w:rsid w:val="6CD469F6"/>
    <w:rsid w:val="6CD670B7"/>
    <w:rsid w:val="6CDA3704"/>
    <w:rsid w:val="6CDB448E"/>
    <w:rsid w:val="6CDD25F0"/>
    <w:rsid w:val="6CE02B65"/>
    <w:rsid w:val="6CE36424"/>
    <w:rsid w:val="6CE6448A"/>
    <w:rsid w:val="6CE751B3"/>
    <w:rsid w:val="6CF95798"/>
    <w:rsid w:val="6CFB1497"/>
    <w:rsid w:val="6D004A94"/>
    <w:rsid w:val="6D0A32B8"/>
    <w:rsid w:val="6D0B2A82"/>
    <w:rsid w:val="6D0C736B"/>
    <w:rsid w:val="6D0E25DA"/>
    <w:rsid w:val="6D1378AB"/>
    <w:rsid w:val="6D1A595F"/>
    <w:rsid w:val="6D1B3C6B"/>
    <w:rsid w:val="6D294397"/>
    <w:rsid w:val="6D2B55F1"/>
    <w:rsid w:val="6D48320F"/>
    <w:rsid w:val="6D495388"/>
    <w:rsid w:val="6D4A48C4"/>
    <w:rsid w:val="6D504FD7"/>
    <w:rsid w:val="6D564289"/>
    <w:rsid w:val="6D680932"/>
    <w:rsid w:val="6D696D99"/>
    <w:rsid w:val="6D704C21"/>
    <w:rsid w:val="6D860EF1"/>
    <w:rsid w:val="6D8624E4"/>
    <w:rsid w:val="6D8D5BE7"/>
    <w:rsid w:val="6D9A07AB"/>
    <w:rsid w:val="6D9F19A7"/>
    <w:rsid w:val="6DA537D4"/>
    <w:rsid w:val="6DA847F1"/>
    <w:rsid w:val="6DAB127A"/>
    <w:rsid w:val="6DB16F6A"/>
    <w:rsid w:val="6DB450BF"/>
    <w:rsid w:val="6DB46B58"/>
    <w:rsid w:val="6DBF657D"/>
    <w:rsid w:val="6DC6179E"/>
    <w:rsid w:val="6DD17B96"/>
    <w:rsid w:val="6DD62303"/>
    <w:rsid w:val="6DDC0FB6"/>
    <w:rsid w:val="6DDD5A49"/>
    <w:rsid w:val="6DDF754D"/>
    <w:rsid w:val="6DE1781F"/>
    <w:rsid w:val="6DE52928"/>
    <w:rsid w:val="6DE917BA"/>
    <w:rsid w:val="6DF436D6"/>
    <w:rsid w:val="6DF64C64"/>
    <w:rsid w:val="6E00353A"/>
    <w:rsid w:val="6E027C69"/>
    <w:rsid w:val="6E036338"/>
    <w:rsid w:val="6E0A7B90"/>
    <w:rsid w:val="6E0B2CC5"/>
    <w:rsid w:val="6E0C327A"/>
    <w:rsid w:val="6E1514DC"/>
    <w:rsid w:val="6E257130"/>
    <w:rsid w:val="6E3866E0"/>
    <w:rsid w:val="6E3C5A03"/>
    <w:rsid w:val="6E464149"/>
    <w:rsid w:val="6E4C47B8"/>
    <w:rsid w:val="6E513B07"/>
    <w:rsid w:val="6E564E4C"/>
    <w:rsid w:val="6E577F27"/>
    <w:rsid w:val="6E652636"/>
    <w:rsid w:val="6E6B2770"/>
    <w:rsid w:val="6E6B2E90"/>
    <w:rsid w:val="6E6D7A63"/>
    <w:rsid w:val="6E6F5EC6"/>
    <w:rsid w:val="6E752ECE"/>
    <w:rsid w:val="6E785ACB"/>
    <w:rsid w:val="6E7A6E47"/>
    <w:rsid w:val="6E7F796A"/>
    <w:rsid w:val="6E841BF5"/>
    <w:rsid w:val="6E8A3BC5"/>
    <w:rsid w:val="6E8E6BA7"/>
    <w:rsid w:val="6E903638"/>
    <w:rsid w:val="6E923636"/>
    <w:rsid w:val="6E991D93"/>
    <w:rsid w:val="6E9D5013"/>
    <w:rsid w:val="6E9F4313"/>
    <w:rsid w:val="6EA31405"/>
    <w:rsid w:val="6EAC1849"/>
    <w:rsid w:val="6EB1286D"/>
    <w:rsid w:val="6EB86D79"/>
    <w:rsid w:val="6EB95C61"/>
    <w:rsid w:val="6EC066F9"/>
    <w:rsid w:val="6EC06FC3"/>
    <w:rsid w:val="6ED56D94"/>
    <w:rsid w:val="6EE236B3"/>
    <w:rsid w:val="6EE25B38"/>
    <w:rsid w:val="6EE5306F"/>
    <w:rsid w:val="6EEA73EF"/>
    <w:rsid w:val="6EEC7F84"/>
    <w:rsid w:val="6EEF42DE"/>
    <w:rsid w:val="6EF043F6"/>
    <w:rsid w:val="6EF3044D"/>
    <w:rsid w:val="6EFA5422"/>
    <w:rsid w:val="6F04295A"/>
    <w:rsid w:val="6F0664C1"/>
    <w:rsid w:val="6F070989"/>
    <w:rsid w:val="6F085098"/>
    <w:rsid w:val="6F1378A3"/>
    <w:rsid w:val="6F1D297C"/>
    <w:rsid w:val="6F2679C6"/>
    <w:rsid w:val="6F290730"/>
    <w:rsid w:val="6F2A45AA"/>
    <w:rsid w:val="6F303C9D"/>
    <w:rsid w:val="6F385849"/>
    <w:rsid w:val="6F3B0827"/>
    <w:rsid w:val="6F4045CE"/>
    <w:rsid w:val="6F43752F"/>
    <w:rsid w:val="6F451D58"/>
    <w:rsid w:val="6F4632E7"/>
    <w:rsid w:val="6F563EC8"/>
    <w:rsid w:val="6F5C0BBA"/>
    <w:rsid w:val="6F5E0334"/>
    <w:rsid w:val="6F684202"/>
    <w:rsid w:val="6F6872BA"/>
    <w:rsid w:val="6F693509"/>
    <w:rsid w:val="6F6B2A36"/>
    <w:rsid w:val="6F71237B"/>
    <w:rsid w:val="6F7D3980"/>
    <w:rsid w:val="6F7F75BF"/>
    <w:rsid w:val="6F81095A"/>
    <w:rsid w:val="6F815F0F"/>
    <w:rsid w:val="6F907CBC"/>
    <w:rsid w:val="6F97449F"/>
    <w:rsid w:val="6FA05F0D"/>
    <w:rsid w:val="6FA46DD8"/>
    <w:rsid w:val="6FAD533B"/>
    <w:rsid w:val="6FB05B0B"/>
    <w:rsid w:val="6FB51D19"/>
    <w:rsid w:val="6FCC0F58"/>
    <w:rsid w:val="6FCF3E0A"/>
    <w:rsid w:val="6FDD5EAF"/>
    <w:rsid w:val="6FDE1D83"/>
    <w:rsid w:val="6FDF3610"/>
    <w:rsid w:val="6FDF5C87"/>
    <w:rsid w:val="6FE119B9"/>
    <w:rsid w:val="6FE12A77"/>
    <w:rsid w:val="6FE70C3C"/>
    <w:rsid w:val="6FF464B2"/>
    <w:rsid w:val="70002350"/>
    <w:rsid w:val="70033C75"/>
    <w:rsid w:val="700770A0"/>
    <w:rsid w:val="700D5CF4"/>
    <w:rsid w:val="701449B7"/>
    <w:rsid w:val="70146F5A"/>
    <w:rsid w:val="70184F84"/>
    <w:rsid w:val="7023042F"/>
    <w:rsid w:val="702F7850"/>
    <w:rsid w:val="70302060"/>
    <w:rsid w:val="70326667"/>
    <w:rsid w:val="70377E6F"/>
    <w:rsid w:val="70460696"/>
    <w:rsid w:val="70482DE3"/>
    <w:rsid w:val="704C5AD8"/>
    <w:rsid w:val="704D1189"/>
    <w:rsid w:val="704E71DD"/>
    <w:rsid w:val="704F12E5"/>
    <w:rsid w:val="705C6F7B"/>
    <w:rsid w:val="7065135A"/>
    <w:rsid w:val="706E4582"/>
    <w:rsid w:val="70706F10"/>
    <w:rsid w:val="70777B6C"/>
    <w:rsid w:val="7078785C"/>
    <w:rsid w:val="708011EB"/>
    <w:rsid w:val="708566AC"/>
    <w:rsid w:val="7085737F"/>
    <w:rsid w:val="708927B2"/>
    <w:rsid w:val="709730BC"/>
    <w:rsid w:val="70A33291"/>
    <w:rsid w:val="70A44B41"/>
    <w:rsid w:val="70AD38F3"/>
    <w:rsid w:val="70B358DD"/>
    <w:rsid w:val="70BD7C14"/>
    <w:rsid w:val="70C006BD"/>
    <w:rsid w:val="70C20550"/>
    <w:rsid w:val="70C6066D"/>
    <w:rsid w:val="70C715EF"/>
    <w:rsid w:val="70C925B1"/>
    <w:rsid w:val="70CD1896"/>
    <w:rsid w:val="70D31804"/>
    <w:rsid w:val="70D425F3"/>
    <w:rsid w:val="70D80B1B"/>
    <w:rsid w:val="70DF74E1"/>
    <w:rsid w:val="70E60EF4"/>
    <w:rsid w:val="70F41D36"/>
    <w:rsid w:val="71043EBA"/>
    <w:rsid w:val="7105230D"/>
    <w:rsid w:val="71080E6A"/>
    <w:rsid w:val="710A6495"/>
    <w:rsid w:val="710B6BAC"/>
    <w:rsid w:val="711D6DEE"/>
    <w:rsid w:val="711F1595"/>
    <w:rsid w:val="71245110"/>
    <w:rsid w:val="71257102"/>
    <w:rsid w:val="71264FDA"/>
    <w:rsid w:val="71277B50"/>
    <w:rsid w:val="712D0B62"/>
    <w:rsid w:val="712D3800"/>
    <w:rsid w:val="71306E04"/>
    <w:rsid w:val="713479DC"/>
    <w:rsid w:val="71386A31"/>
    <w:rsid w:val="713D4675"/>
    <w:rsid w:val="713E57F4"/>
    <w:rsid w:val="7141418F"/>
    <w:rsid w:val="714B10AD"/>
    <w:rsid w:val="714F6A99"/>
    <w:rsid w:val="71591323"/>
    <w:rsid w:val="7162147F"/>
    <w:rsid w:val="7162598C"/>
    <w:rsid w:val="716D6406"/>
    <w:rsid w:val="717643C7"/>
    <w:rsid w:val="717938D8"/>
    <w:rsid w:val="71825AE7"/>
    <w:rsid w:val="718978AC"/>
    <w:rsid w:val="718A2427"/>
    <w:rsid w:val="718E3FD3"/>
    <w:rsid w:val="71A75045"/>
    <w:rsid w:val="71A94D89"/>
    <w:rsid w:val="71AA6AF9"/>
    <w:rsid w:val="71AB2ABA"/>
    <w:rsid w:val="71BA144C"/>
    <w:rsid w:val="71BB7BC0"/>
    <w:rsid w:val="71BE4EBA"/>
    <w:rsid w:val="71CA79F7"/>
    <w:rsid w:val="71D177E1"/>
    <w:rsid w:val="71D353C3"/>
    <w:rsid w:val="71D71E19"/>
    <w:rsid w:val="71DD40FD"/>
    <w:rsid w:val="71DE7B55"/>
    <w:rsid w:val="71DF6A65"/>
    <w:rsid w:val="71DF6A69"/>
    <w:rsid w:val="71EA0570"/>
    <w:rsid w:val="71EE1350"/>
    <w:rsid w:val="71F72789"/>
    <w:rsid w:val="71FC0B66"/>
    <w:rsid w:val="720337ED"/>
    <w:rsid w:val="72205F72"/>
    <w:rsid w:val="722144EA"/>
    <w:rsid w:val="722B365E"/>
    <w:rsid w:val="722C2936"/>
    <w:rsid w:val="7230299A"/>
    <w:rsid w:val="7233656A"/>
    <w:rsid w:val="72357904"/>
    <w:rsid w:val="72414E18"/>
    <w:rsid w:val="72461B17"/>
    <w:rsid w:val="7246219B"/>
    <w:rsid w:val="724904F1"/>
    <w:rsid w:val="72571065"/>
    <w:rsid w:val="72575BC1"/>
    <w:rsid w:val="725C7C37"/>
    <w:rsid w:val="725D17CA"/>
    <w:rsid w:val="72605C00"/>
    <w:rsid w:val="72622CD8"/>
    <w:rsid w:val="726269B9"/>
    <w:rsid w:val="72782C48"/>
    <w:rsid w:val="72802811"/>
    <w:rsid w:val="7285320F"/>
    <w:rsid w:val="72886D4D"/>
    <w:rsid w:val="72A22CFB"/>
    <w:rsid w:val="72AB2147"/>
    <w:rsid w:val="72AB6FAC"/>
    <w:rsid w:val="72AC3554"/>
    <w:rsid w:val="72B017B9"/>
    <w:rsid w:val="72B8745F"/>
    <w:rsid w:val="72BA4DF4"/>
    <w:rsid w:val="72C0584E"/>
    <w:rsid w:val="72C42615"/>
    <w:rsid w:val="72CA5978"/>
    <w:rsid w:val="72CE0048"/>
    <w:rsid w:val="72CF6757"/>
    <w:rsid w:val="72D22C80"/>
    <w:rsid w:val="72D618E2"/>
    <w:rsid w:val="72D70A16"/>
    <w:rsid w:val="72D92C0B"/>
    <w:rsid w:val="72DA103A"/>
    <w:rsid w:val="72EF3290"/>
    <w:rsid w:val="72F61DEA"/>
    <w:rsid w:val="72FA6C2B"/>
    <w:rsid w:val="73030993"/>
    <w:rsid w:val="731C0C59"/>
    <w:rsid w:val="731E04C3"/>
    <w:rsid w:val="731F5F4E"/>
    <w:rsid w:val="73280DA0"/>
    <w:rsid w:val="732915F3"/>
    <w:rsid w:val="732B3796"/>
    <w:rsid w:val="732B3D2D"/>
    <w:rsid w:val="732D3105"/>
    <w:rsid w:val="732F2259"/>
    <w:rsid w:val="733A612A"/>
    <w:rsid w:val="733B6156"/>
    <w:rsid w:val="733C4EBA"/>
    <w:rsid w:val="733D635F"/>
    <w:rsid w:val="73442AC9"/>
    <w:rsid w:val="734671DB"/>
    <w:rsid w:val="73490EB6"/>
    <w:rsid w:val="7349576A"/>
    <w:rsid w:val="734A07C1"/>
    <w:rsid w:val="734B131D"/>
    <w:rsid w:val="734D2174"/>
    <w:rsid w:val="73500B01"/>
    <w:rsid w:val="735E1106"/>
    <w:rsid w:val="735F00E2"/>
    <w:rsid w:val="735F02EA"/>
    <w:rsid w:val="73612E7B"/>
    <w:rsid w:val="73685AE7"/>
    <w:rsid w:val="7372408B"/>
    <w:rsid w:val="73782D86"/>
    <w:rsid w:val="737C6E2F"/>
    <w:rsid w:val="737F01CC"/>
    <w:rsid w:val="73812055"/>
    <w:rsid w:val="738D5656"/>
    <w:rsid w:val="739369E5"/>
    <w:rsid w:val="739A12BD"/>
    <w:rsid w:val="739F4932"/>
    <w:rsid w:val="73A02C6D"/>
    <w:rsid w:val="73AD7B3F"/>
    <w:rsid w:val="73C908D4"/>
    <w:rsid w:val="73CF3B5C"/>
    <w:rsid w:val="73D678EC"/>
    <w:rsid w:val="73D73BD1"/>
    <w:rsid w:val="73DC0984"/>
    <w:rsid w:val="73E034D2"/>
    <w:rsid w:val="73E317AA"/>
    <w:rsid w:val="73E320F1"/>
    <w:rsid w:val="73E42D5A"/>
    <w:rsid w:val="73E9296E"/>
    <w:rsid w:val="73EA4857"/>
    <w:rsid w:val="73ED2655"/>
    <w:rsid w:val="73F6594A"/>
    <w:rsid w:val="73F95753"/>
    <w:rsid w:val="7409239E"/>
    <w:rsid w:val="740D3898"/>
    <w:rsid w:val="740F4CA4"/>
    <w:rsid w:val="74105CDC"/>
    <w:rsid w:val="741144D9"/>
    <w:rsid w:val="74127D6E"/>
    <w:rsid w:val="7414194E"/>
    <w:rsid w:val="741F64E0"/>
    <w:rsid w:val="74285696"/>
    <w:rsid w:val="742F2BB2"/>
    <w:rsid w:val="743050EA"/>
    <w:rsid w:val="74351337"/>
    <w:rsid w:val="743554AC"/>
    <w:rsid w:val="74355F6C"/>
    <w:rsid w:val="74366164"/>
    <w:rsid w:val="743828A3"/>
    <w:rsid w:val="743E5B55"/>
    <w:rsid w:val="74497B3A"/>
    <w:rsid w:val="744B344D"/>
    <w:rsid w:val="744B3FED"/>
    <w:rsid w:val="74522B4B"/>
    <w:rsid w:val="745237DB"/>
    <w:rsid w:val="745B25CA"/>
    <w:rsid w:val="745E246B"/>
    <w:rsid w:val="74651597"/>
    <w:rsid w:val="746732CF"/>
    <w:rsid w:val="74690512"/>
    <w:rsid w:val="746907DC"/>
    <w:rsid w:val="746A6EB9"/>
    <w:rsid w:val="746B4E22"/>
    <w:rsid w:val="74770B6E"/>
    <w:rsid w:val="747E2702"/>
    <w:rsid w:val="747F1ADE"/>
    <w:rsid w:val="7480089B"/>
    <w:rsid w:val="7492774C"/>
    <w:rsid w:val="749B1F5A"/>
    <w:rsid w:val="749C2B79"/>
    <w:rsid w:val="74A83421"/>
    <w:rsid w:val="74AF0B63"/>
    <w:rsid w:val="74B01101"/>
    <w:rsid w:val="74B942A9"/>
    <w:rsid w:val="74BA3143"/>
    <w:rsid w:val="74BD4185"/>
    <w:rsid w:val="74BF3F35"/>
    <w:rsid w:val="74C43285"/>
    <w:rsid w:val="74CC09E4"/>
    <w:rsid w:val="74CD6C2B"/>
    <w:rsid w:val="74D03B5B"/>
    <w:rsid w:val="74D55403"/>
    <w:rsid w:val="74D715D2"/>
    <w:rsid w:val="74DD33CD"/>
    <w:rsid w:val="74EB4B62"/>
    <w:rsid w:val="74EC0CBD"/>
    <w:rsid w:val="74EE65C9"/>
    <w:rsid w:val="74F17E67"/>
    <w:rsid w:val="74F92A23"/>
    <w:rsid w:val="74FA4857"/>
    <w:rsid w:val="7501360F"/>
    <w:rsid w:val="75017E79"/>
    <w:rsid w:val="750307CC"/>
    <w:rsid w:val="750E3901"/>
    <w:rsid w:val="75101A97"/>
    <w:rsid w:val="75107EE1"/>
    <w:rsid w:val="7516629F"/>
    <w:rsid w:val="751B301C"/>
    <w:rsid w:val="751F0F18"/>
    <w:rsid w:val="7527212C"/>
    <w:rsid w:val="752B5A68"/>
    <w:rsid w:val="752C2D53"/>
    <w:rsid w:val="752E58C3"/>
    <w:rsid w:val="753033B2"/>
    <w:rsid w:val="753743C3"/>
    <w:rsid w:val="7538148C"/>
    <w:rsid w:val="753C67E9"/>
    <w:rsid w:val="753C7AD6"/>
    <w:rsid w:val="75403DF3"/>
    <w:rsid w:val="7541332D"/>
    <w:rsid w:val="75413676"/>
    <w:rsid w:val="75443B78"/>
    <w:rsid w:val="75444FE7"/>
    <w:rsid w:val="7548720D"/>
    <w:rsid w:val="75490C80"/>
    <w:rsid w:val="754D1420"/>
    <w:rsid w:val="755224CE"/>
    <w:rsid w:val="75533D8A"/>
    <w:rsid w:val="75572C76"/>
    <w:rsid w:val="755F0F16"/>
    <w:rsid w:val="75603FDF"/>
    <w:rsid w:val="75700484"/>
    <w:rsid w:val="75712D54"/>
    <w:rsid w:val="757220A4"/>
    <w:rsid w:val="757E0BA8"/>
    <w:rsid w:val="75840190"/>
    <w:rsid w:val="7586114C"/>
    <w:rsid w:val="758626CB"/>
    <w:rsid w:val="75885554"/>
    <w:rsid w:val="758A06FA"/>
    <w:rsid w:val="758D351E"/>
    <w:rsid w:val="75944BD7"/>
    <w:rsid w:val="759471ED"/>
    <w:rsid w:val="75974B6F"/>
    <w:rsid w:val="75975F78"/>
    <w:rsid w:val="75A062DE"/>
    <w:rsid w:val="75B13345"/>
    <w:rsid w:val="75C57DD8"/>
    <w:rsid w:val="75C81DD2"/>
    <w:rsid w:val="75CA3F25"/>
    <w:rsid w:val="75DF38CC"/>
    <w:rsid w:val="75E22EA2"/>
    <w:rsid w:val="75E65D5E"/>
    <w:rsid w:val="75E722D5"/>
    <w:rsid w:val="75E726D1"/>
    <w:rsid w:val="75E72CC8"/>
    <w:rsid w:val="75F2229F"/>
    <w:rsid w:val="75F42EC0"/>
    <w:rsid w:val="75FF2103"/>
    <w:rsid w:val="76041F8B"/>
    <w:rsid w:val="7608051D"/>
    <w:rsid w:val="76085CDD"/>
    <w:rsid w:val="76101010"/>
    <w:rsid w:val="76114870"/>
    <w:rsid w:val="76216387"/>
    <w:rsid w:val="762421EC"/>
    <w:rsid w:val="76255932"/>
    <w:rsid w:val="76290195"/>
    <w:rsid w:val="763406CC"/>
    <w:rsid w:val="76430CF6"/>
    <w:rsid w:val="76444440"/>
    <w:rsid w:val="76450352"/>
    <w:rsid w:val="764826DA"/>
    <w:rsid w:val="764E6ACD"/>
    <w:rsid w:val="76543CF9"/>
    <w:rsid w:val="765607F1"/>
    <w:rsid w:val="765C2BA3"/>
    <w:rsid w:val="765F3B81"/>
    <w:rsid w:val="766455BD"/>
    <w:rsid w:val="76654D76"/>
    <w:rsid w:val="76697525"/>
    <w:rsid w:val="766D69AA"/>
    <w:rsid w:val="766E0DC1"/>
    <w:rsid w:val="766F54E7"/>
    <w:rsid w:val="76714747"/>
    <w:rsid w:val="767818C2"/>
    <w:rsid w:val="76784911"/>
    <w:rsid w:val="767A2B37"/>
    <w:rsid w:val="767C27C8"/>
    <w:rsid w:val="767E256B"/>
    <w:rsid w:val="768565CC"/>
    <w:rsid w:val="768C46E8"/>
    <w:rsid w:val="76947BF8"/>
    <w:rsid w:val="7697721F"/>
    <w:rsid w:val="76A5271F"/>
    <w:rsid w:val="76B178AE"/>
    <w:rsid w:val="76BC61A3"/>
    <w:rsid w:val="76C13E64"/>
    <w:rsid w:val="76CD6157"/>
    <w:rsid w:val="76D325D0"/>
    <w:rsid w:val="76D505F5"/>
    <w:rsid w:val="76D64F23"/>
    <w:rsid w:val="76E14188"/>
    <w:rsid w:val="76E957FA"/>
    <w:rsid w:val="76EA5208"/>
    <w:rsid w:val="76EE0562"/>
    <w:rsid w:val="76EE2280"/>
    <w:rsid w:val="76F11F9D"/>
    <w:rsid w:val="76F31C74"/>
    <w:rsid w:val="76F54799"/>
    <w:rsid w:val="76F91F92"/>
    <w:rsid w:val="76F94957"/>
    <w:rsid w:val="76FB67AB"/>
    <w:rsid w:val="770519A8"/>
    <w:rsid w:val="77116379"/>
    <w:rsid w:val="77120D46"/>
    <w:rsid w:val="77166ABB"/>
    <w:rsid w:val="772072B5"/>
    <w:rsid w:val="77285ACB"/>
    <w:rsid w:val="772A3AE4"/>
    <w:rsid w:val="773A3875"/>
    <w:rsid w:val="7746543E"/>
    <w:rsid w:val="77503315"/>
    <w:rsid w:val="77552B9D"/>
    <w:rsid w:val="77650792"/>
    <w:rsid w:val="777E2AB0"/>
    <w:rsid w:val="777F1B75"/>
    <w:rsid w:val="77887E1F"/>
    <w:rsid w:val="779111A1"/>
    <w:rsid w:val="7797351F"/>
    <w:rsid w:val="77B061D0"/>
    <w:rsid w:val="77B22302"/>
    <w:rsid w:val="77B2559F"/>
    <w:rsid w:val="77B26C04"/>
    <w:rsid w:val="77B82D36"/>
    <w:rsid w:val="77BC129C"/>
    <w:rsid w:val="77E24E65"/>
    <w:rsid w:val="77E5599B"/>
    <w:rsid w:val="77EB7B02"/>
    <w:rsid w:val="77F11B43"/>
    <w:rsid w:val="77F45B94"/>
    <w:rsid w:val="77F613B0"/>
    <w:rsid w:val="77F70518"/>
    <w:rsid w:val="780104EC"/>
    <w:rsid w:val="78024ECD"/>
    <w:rsid w:val="7807209D"/>
    <w:rsid w:val="780F35B1"/>
    <w:rsid w:val="780F55B9"/>
    <w:rsid w:val="780F64A6"/>
    <w:rsid w:val="781528BF"/>
    <w:rsid w:val="781F103C"/>
    <w:rsid w:val="78240B68"/>
    <w:rsid w:val="7826497F"/>
    <w:rsid w:val="782819B6"/>
    <w:rsid w:val="78294297"/>
    <w:rsid w:val="782F1EFA"/>
    <w:rsid w:val="784210C5"/>
    <w:rsid w:val="78470F94"/>
    <w:rsid w:val="78486B06"/>
    <w:rsid w:val="78506296"/>
    <w:rsid w:val="78526BB1"/>
    <w:rsid w:val="78531F73"/>
    <w:rsid w:val="78536AF7"/>
    <w:rsid w:val="78570355"/>
    <w:rsid w:val="78621B07"/>
    <w:rsid w:val="78690F47"/>
    <w:rsid w:val="786D40E6"/>
    <w:rsid w:val="787C35D6"/>
    <w:rsid w:val="787F215D"/>
    <w:rsid w:val="78855C1C"/>
    <w:rsid w:val="78915591"/>
    <w:rsid w:val="78966779"/>
    <w:rsid w:val="789F1F48"/>
    <w:rsid w:val="78A20485"/>
    <w:rsid w:val="78A25098"/>
    <w:rsid w:val="78A346D2"/>
    <w:rsid w:val="78A42C1F"/>
    <w:rsid w:val="78A74FEC"/>
    <w:rsid w:val="78A833D9"/>
    <w:rsid w:val="78AB3B50"/>
    <w:rsid w:val="78B55333"/>
    <w:rsid w:val="78BF7039"/>
    <w:rsid w:val="78C52AEE"/>
    <w:rsid w:val="78CA5B8B"/>
    <w:rsid w:val="78D51EEC"/>
    <w:rsid w:val="78DE6ADA"/>
    <w:rsid w:val="78E462BE"/>
    <w:rsid w:val="78EA354B"/>
    <w:rsid w:val="78EB54A5"/>
    <w:rsid w:val="78EB5E8E"/>
    <w:rsid w:val="78EC6147"/>
    <w:rsid w:val="78F93B8F"/>
    <w:rsid w:val="78FB4ABB"/>
    <w:rsid w:val="78FD0F21"/>
    <w:rsid w:val="79057967"/>
    <w:rsid w:val="79084F92"/>
    <w:rsid w:val="790A4903"/>
    <w:rsid w:val="791123BF"/>
    <w:rsid w:val="791540B4"/>
    <w:rsid w:val="79162D3A"/>
    <w:rsid w:val="79167DFB"/>
    <w:rsid w:val="7924594A"/>
    <w:rsid w:val="792A7415"/>
    <w:rsid w:val="792B57CD"/>
    <w:rsid w:val="7932612A"/>
    <w:rsid w:val="79331D91"/>
    <w:rsid w:val="794530F9"/>
    <w:rsid w:val="794873CE"/>
    <w:rsid w:val="794A2BB3"/>
    <w:rsid w:val="794C6C15"/>
    <w:rsid w:val="794F114D"/>
    <w:rsid w:val="795004E4"/>
    <w:rsid w:val="795106F3"/>
    <w:rsid w:val="79537A79"/>
    <w:rsid w:val="79611CE8"/>
    <w:rsid w:val="79667330"/>
    <w:rsid w:val="7967142D"/>
    <w:rsid w:val="79672F39"/>
    <w:rsid w:val="797015A1"/>
    <w:rsid w:val="79701E0F"/>
    <w:rsid w:val="797B2155"/>
    <w:rsid w:val="798968C0"/>
    <w:rsid w:val="798C4E9C"/>
    <w:rsid w:val="79917A47"/>
    <w:rsid w:val="799406C3"/>
    <w:rsid w:val="79941CFA"/>
    <w:rsid w:val="79983415"/>
    <w:rsid w:val="799D7146"/>
    <w:rsid w:val="79A328AA"/>
    <w:rsid w:val="79B44662"/>
    <w:rsid w:val="79B471DA"/>
    <w:rsid w:val="79BB1D8B"/>
    <w:rsid w:val="79C76DA2"/>
    <w:rsid w:val="79C9227A"/>
    <w:rsid w:val="79CC385B"/>
    <w:rsid w:val="79CE4DBD"/>
    <w:rsid w:val="79CE5CB5"/>
    <w:rsid w:val="79D407D2"/>
    <w:rsid w:val="79D6394B"/>
    <w:rsid w:val="79E539A0"/>
    <w:rsid w:val="79E82FCC"/>
    <w:rsid w:val="79F237AD"/>
    <w:rsid w:val="7A011488"/>
    <w:rsid w:val="7A0344E2"/>
    <w:rsid w:val="7A0547A5"/>
    <w:rsid w:val="7A155ADF"/>
    <w:rsid w:val="7A1F411B"/>
    <w:rsid w:val="7A200DB6"/>
    <w:rsid w:val="7A233866"/>
    <w:rsid w:val="7A242E19"/>
    <w:rsid w:val="7A294988"/>
    <w:rsid w:val="7A317848"/>
    <w:rsid w:val="7A356BD9"/>
    <w:rsid w:val="7A392099"/>
    <w:rsid w:val="7A3E2666"/>
    <w:rsid w:val="7A42348A"/>
    <w:rsid w:val="7A4B5D2D"/>
    <w:rsid w:val="7A5216AD"/>
    <w:rsid w:val="7A524FFA"/>
    <w:rsid w:val="7A543119"/>
    <w:rsid w:val="7A580CBC"/>
    <w:rsid w:val="7A5E7D4D"/>
    <w:rsid w:val="7A625229"/>
    <w:rsid w:val="7A657EA0"/>
    <w:rsid w:val="7A711524"/>
    <w:rsid w:val="7A7817F2"/>
    <w:rsid w:val="7A781D75"/>
    <w:rsid w:val="7A8A4A55"/>
    <w:rsid w:val="7A8C3633"/>
    <w:rsid w:val="7A94741C"/>
    <w:rsid w:val="7A9F61F6"/>
    <w:rsid w:val="7AAB1A59"/>
    <w:rsid w:val="7ABC7695"/>
    <w:rsid w:val="7AC45AAC"/>
    <w:rsid w:val="7ACD4328"/>
    <w:rsid w:val="7ADC503B"/>
    <w:rsid w:val="7ADF15AD"/>
    <w:rsid w:val="7AE13B16"/>
    <w:rsid w:val="7AE26091"/>
    <w:rsid w:val="7AE35E8A"/>
    <w:rsid w:val="7AE53D22"/>
    <w:rsid w:val="7AEB0534"/>
    <w:rsid w:val="7AEF1577"/>
    <w:rsid w:val="7AF35A3F"/>
    <w:rsid w:val="7AFB7F56"/>
    <w:rsid w:val="7B0B4C26"/>
    <w:rsid w:val="7B0F496B"/>
    <w:rsid w:val="7B1168A9"/>
    <w:rsid w:val="7B3310B5"/>
    <w:rsid w:val="7B337241"/>
    <w:rsid w:val="7B3B1E3C"/>
    <w:rsid w:val="7B506A29"/>
    <w:rsid w:val="7B5348F9"/>
    <w:rsid w:val="7B541FCD"/>
    <w:rsid w:val="7B542FB9"/>
    <w:rsid w:val="7B545181"/>
    <w:rsid w:val="7B5B00FF"/>
    <w:rsid w:val="7B63597F"/>
    <w:rsid w:val="7B697E7E"/>
    <w:rsid w:val="7B6C42EB"/>
    <w:rsid w:val="7B6D6151"/>
    <w:rsid w:val="7B7C356E"/>
    <w:rsid w:val="7B8474C3"/>
    <w:rsid w:val="7B971DCD"/>
    <w:rsid w:val="7B971FAA"/>
    <w:rsid w:val="7BA84421"/>
    <w:rsid w:val="7BAD2923"/>
    <w:rsid w:val="7BB17F1C"/>
    <w:rsid w:val="7BB217F7"/>
    <w:rsid w:val="7BC550AC"/>
    <w:rsid w:val="7BD01353"/>
    <w:rsid w:val="7BD304A3"/>
    <w:rsid w:val="7BD63726"/>
    <w:rsid w:val="7BD7386C"/>
    <w:rsid w:val="7BD74EAB"/>
    <w:rsid w:val="7BDB29CB"/>
    <w:rsid w:val="7BE552CE"/>
    <w:rsid w:val="7BE81177"/>
    <w:rsid w:val="7BE96892"/>
    <w:rsid w:val="7BEE15CE"/>
    <w:rsid w:val="7BF2699E"/>
    <w:rsid w:val="7BF56759"/>
    <w:rsid w:val="7BF62EBA"/>
    <w:rsid w:val="7BF63E4B"/>
    <w:rsid w:val="7C01687D"/>
    <w:rsid w:val="7C1B6C68"/>
    <w:rsid w:val="7C1F420D"/>
    <w:rsid w:val="7C2C0C23"/>
    <w:rsid w:val="7C2E0B57"/>
    <w:rsid w:val="7C3C02AF"/>
    <w:rsid w:val="7C3F37A6"/>
    <w:rsid w:val="7C4922C0"/>
    <w:rsid w:val="7C4C190A"/>
    <w:rsid w:val="7C581FDD"/>
    <w:rsid w:val="7C5D08D4"/>
    <w:rsid w:val="7C5E6EF9"/>
    <w:rsid w:val="7C606D2C"/>
    <w:rsid w:val="7C6756A8"/>
    <w:rsid w:val="7C7074C9"/>
    <w:rsid w:val="7C751A11"/>
    <w:rsid w:val="7C83527D"/>
    <w:rsid w:val="7C8F1C48"/>
    <w:rsid w:val="7C934AB7"/>
    <w:rsid w:val="7C990BD4"/>
    <w:rsid w:val="7CA1331E"/>
    <w:rsid w:val="7CAB21F2"/>
    <w:rsid w:val="7CB454D9"/>
    <w:rsid w:val="7CB71255"/>
    <w:rsid w:val="7CBD52B4"/>
    <w:rsid w:val="7CCB3D06"/>
    <w:rsid w:val="7CD335C8"/>
    <w:rsid w:val="7CDB4082"/>
    <w:rsid w:val="7CDB55FB"/>
    <w:rsid w:val="7CE25BA9"/>
    <w:rsid w:val="7CE37367"/>
    <w:rsid w:val="7CE66762"/>
    <w:rsid w:val="7CEA58C8"/>
    <w:rsid w:val="7CF64FFC"/>
    <w:rsid w:val="7CFD01CF"/>
    <w:rsid w:val="7D084EF7"/>
    <w:rsid w:val="7D086284"/>
    <w:rsid w:val="7D0959F5"/>
    <w:rsid w:val="7D0A5F10"/>
    <w:rsid w:val="7D0E4148"/>
    <w:rsid w:val="7D161B1F"/>
    <w:rsid w:val="7D1B2194"/>
    <w:rsid w:val="7D1C0988"/>
    <w:rsid w:val="7D1C4721"/>
    <w:rsid w:val="7D2210C8"/>
    <w:rsid w:val="7D231E82"/>
    <w:rsid w:val="7D247E0E"/>
    <w:rsid w:val="7D285865"/>
    <w:rsid w:val="7D297ADB"/>
    <w:rsid w:val="7D2C4708"/>
    <w:rsid w:val="7D3A6C63"/>
    <w:rsid w:val="7D3B6128"/>
    <w:rsid w:val="7D402C79"/>
    <w:rsid w:val="7D453719"/>
    <w:rsid w:val="7D467A78"/>
    <w:rsid w:val="7D4E1C68"/>
    <w:rsid w:val="7D510BF8"/>
    <w:rsid w:val="7D56072F"/>
    <w:rsid w:val="7D5D7CCC"/>
    <w:rsid w:val="7D5F41FC"/>
    <w:rsid w:val="7D6405A2"/>
    <w:rsid w:val="7D6D2B6B"/>
    <w:rsid w:val="7D76324B"/>
    <w:rsid w:val="7D7D743F"/>
    <w:rsid w:val="7D822B71"/>
    <w:rsid w:val="7D832D44"/>
    <w:rsid w:val="7D83464C"/>
    <w:rsid w:val="7D883AF2"/>
    <w:rsid w:val="7D883AF5"/>
    <w:rsid w:val="7D922DBB"/>
    <w:rsid w:val="7D931B19"/>
    <w:rsid w:val="7DA301D8"/>
    <w:rsid w:val="7DB60C96"/>
    <w:rsid w:val="7DBF0BB2"/>
    <w:rsid w:val="7DC42184"/>
    <w:rsid w:val="7DC443B2"/>
    <w:rsid w:val="7DD5372D"/>
    <w:rsid w:val="7DDE731B"/>
    <w:rsid w:val="7DDF172D"/>
    <w:rsid w:val="7DE22E96"/>
    <w:rsid w:val="7DE81EBB"/>
    <w:rsid w:val="7DEB5500"/>
    <w:rsid w:val="7DEC570F"/>
    <w:rsid w:val="7DF0341D"/>
    <w:rsid w:val="7DF14386"/>
    <w:rsid w:val="7DF74740"/>
    <w:rsid w:val="7DFA4C46"/>
    <w:rsid w:val="7DFD21D7"/>
    <w:rsid w:val="7E055EE1"/>
    <w:rsid w:val="7E087BDF"/>
    <w:rsid w:val="7E0B4528"/>
    <w:rsid w:val="7E0D389A"/>
    <w:rsid w:val="7E217EFC"/>
    <w:rsid w:val="7E2D4218"/>
    <w:rsid w:val="7E2D5462"/>
    <w:rsid w:val="7E361B13"/>
    <w:rsid w:val="7E3D0B26"/>
    <w:rsid w:val="7E3E785A"/>
    <w:rsid w:val="7E420F5B"/>
    <w:rsid w:val="7E431F37"/>
    <w:rsid w:val="7E495B86"/>
    <w:rsid w:val="7E4A15D1"/>
    <w:rsid w:val="7E534F52"/>
    <w:rsid w:val="7E5735CD"/>
    <w:rsid w:val="7E585E0E"/>
    <w:rsid w:val="7E5D24BC"/>
    <w:rsid w:val="7E6D5430"/>
    <w:rsid w:val="7E6F077A"/>
    <w:rsid w:val="7E6F1098"/>
    <w:rsid w:val="7E7525CD"/>
    <w:rsid w:val="7E7540B6"/>
    <w:rsid w:val="7E7C1FDF"/>
    <w:rsid w:val="7E80283D"/>
    <w:rsid w:val="7E875255"/>
    <w:rsid w:val="7E910CC6"/>
    <w:rsid w:val="7E9123D2"/>
    <w:rsid w:val="7E976C25"/>
    <w:rsid w:val="7E9A3766"/>
    <w:rsid w:val="7E9C4B8F"/>
    <w:rsid w:val="7EA53E7E"/>
    <w:rsid w:val="7EA8467A"/>
    <w:rsid w:val="7EAE6DDB"/>
    <w:rsid w:val="7EB454B8"/>
    <w:rsid w:val="7EB640A0"/>
    <w:rsid w:val="7EC31200"/>
    <w:rsid w:val="7EC536A9"/>
    <w:rsid w:val="7EC907D7"/>
    <w:rsid w:val="7ECD673B"/>
    <w:rsid w:val="7ECF1E1F"/>
    <w:rsid w:val="7ED56FFA"/>
    <w:rsid w:val="7EDA3CD5"/>
    <w:rsid w:val="7EDB2F51"/>
    <w:rsid w:val="7EE175A8"/>
    <w:rsid w:val="7EE17752"/>
    <w:rsid w:val="7EF127AC"/>
    <w:rsid w:val="7EF14A8E"/>
    <w:rsid w:val="7EF16833"/>
    <w:rsid w:val="7EF41360"/>
    <w:rsid w:val="7EF67B72"/>
    <w:rsid w:val="7F061002"/>
    <w:rsid w:val="7F076C05"/>
    <w:rsid w:val="7F0940C4"/>
    <w:rsid w:val="7F0A7EBE"/>
    <w:rsid w:val="7F0E33F6"/>
    <w:rsid w:val="7F16215D"/>
    <w:rsid w:val="7F1C364B"/>
    <w:rsid w:val="7F1E7DC0"/>
    <w:rsid w:val="7F202CCC"/>
    <w:rsid w:val="7F207FF4"/>
    <w:rsid w:val="7F243AD8"/>
    <w:rsid w:val="7F244CB3"/>
    <w:rsid w:val="7F313DAF"/>
    <w:rsid w:val="7F3161E6"/>
    <w:rsid w:val="7F3D5299"/>
    <w:rsid w:val="7F405F6B"/>
    <w:rsid w:val="7F494D54"/>
    <w:rsid w:val="7F5205DD"/>
    <w:rsid w:val="7F556AC1"/>
    <w:rsid w:val="7F592109"/>
    <w:rsid w:val="7F5A0C56"/>
    <w:rsid w:val="7F695109"/>
    <w:rsid w:val="7F6B1BBD"/>
    <w:rsid w:val="7F737E3D"/>
    <w:rsid w:val="7F7A29D8"/>
    <w:rsid w:val="7F880C19"/>
    <w:rsid w:val="7F8828A7"/>
    <w:rsid w:val="7F8D5082"/>
    <w:rsid w:val="7F9A0A49"/>
    <w:rsid w:val="7F9A1DCB"/>
    <w:rsid w:val="7F9B093D"/>
    <w:rsid w:val="7F9D4429"/>
    <w:rsid w:val="7F9E43D0"/>
    <w:rsid w:val="7FA01878"/>
    <w:rsid w:val="7FA134F4"/>
    <w:rsid w:val="7FA237FE"/>
    <w:rsid w:val="7FB41B9B"/>
    <w:rsid w:val="7FC8224C"/>
    <w:rsid w:val="7FCA48B6"/>
    <w:rsid w:val="7FCB374B"/>
    <w:rsid w:val="7FCC0473"/>
    <w:rsid w:val="7FCD7E8E"/>
    <w:rsid w:val="7FCF19B5"/>
    <w:rsid w:val="7FD10DB4"/>
    <w:rsid w:val="7FD15A06"/>
    <w:rsid w:val="7FD37AF2"/>
    <w:rsid w:val="7FE5421D"/>
    <w:rsid w:val="7FF475CA"/>
    <w:rsid w:val="7FF7544F"/>
    <w:rsid w:val="7FF825AB"/>
    <w:rsid w:val="7FFA0D46"/>
    <w:rsid w:val="7FFA7A5E"/>
    <w:rsid w:val="7FFE1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jc w:val="center"/>
      <w:outlineLvl w:val="0"/>
    </w:pPr>
    <w:rPr>
      <w:rFonts w:ascii="宋体" w:hAnsi="宋体"/>
      <w:b/>
      <w:sz w:val="36"/>
    </w:rPr>
  </w:style>
  <w:style w:type="paragraph" w:styleId="4">
    <w:name w:val="heading 2"/>
    <w:basedOn w:val="1"/>
    <w:next w:val="1"/>
    <w:link w:val="216"/>
    <w:qFormat/>
    <w:uiPriority w:val="0"/>
    <w:pPr>
      <w:spacing w:line="360" w:lineRule="auto"/>
      <w:jc w:val="center"/>
      <w:outlineLvl w:val="1"/>
    </w:pPr>
    <w:rPr>
      <w:rFonts w:ascii="Arial" w:hAnsi="Arial" w:eastAsia="黑体"/>
      <w:b/>
      <w:bCs/>
      <w:kern w:val="0"/>
      <w:sz w:val="32"/>
      <w:szCs w:val="32"/>
    </w:rPr>
  </w:style>
  <w:style w:type="paragraph" w:styleId="5">
    <w:name w:val="heading 3"/>
    <w:basedOn w:val="1"/>
    <w:next w:val="1"/>
    <w:link w:val="186"/>
    <w:qFormat/>
    <w:uiPriority w:val="0"/>
    <w:pPr>
      <w:keepNext/>
      <w:keepLines/>
      <w:autoSpaceDE w:val="0"/>
      <w:autoSpaceDN w:val="0"/>
      <w:adjustRightInd w:val="0"/>
      <w:spacing w:before="360" w:after="120"/>
      <w:jc w:val="left"/>
      <w:outlineLvl w:val="2"/>
    </w:pPr>
    <w:rPr>
      <w:rFonts w:ascii="宋体"/>
      <w:b/>
      <w:sz w:val="24"/>
      <w:u w:val="single"/>
    </w:rPr>
  </w:style>
  <w:style w:type="paragraph" w:styleId="6">
    <w:name w:val="heading 4"/>
    <w:basedOn w:val="1"/>
    <w:next w:val="1"/>
    <w:link w:val="225"/>
    <w:qFormat/>
    <w:uiPriority w:val="0"/>
    <w:pPr>
      <w:keepNext/>
      <w:outlineLvl w:val="3"/>
    </w:pPr>
    <w:rPr>
      <w:color w:val="FF0000"/>
      <w:sz w:val="28"/>
      <w:u w:val="single"/>
    </w:rPr>
  </w:style>
  <w:style w:type="paragraph" w:styleId="7">
    <w:name w:val="heading 5"/>
    <w:basedOn w:val="1"/>
    <w:next w:val="1"/>
    <w:link w:val="206"/>
    <w:qFormat/>
    <w:uiPriority w:val="0"/>
    <w:pPr>
      <w:keepNext/>
      <w:keepLines/>
      <w:spacing w:before="280" w:after="290" w:line="372" w:lineRule="auto"/>
      <w:outlineLvl w:val="4"/>
    </w:pPr>
    <w:rPr>
      <w:b/>
      <w:sz w:val="28"/>
    </w:rPr>
  </w:style>
  <w:style w:type="paragraph" w:styleId="8">
    <w:name w:val="heading 6"/>
    <w:basedOn w:val="1"/>
    <w:next w:val="1"/>
    <w:link w:val="19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209"/>
    <w:qFormat/>
    <w:uiPriority w:val="0"/>
    <w:pPr>
      <w:keepNext/>
      <w:keepLines/>
      <w:spacing w:before="240" w:after="64" w:line="317" w:lineRule="auto"/>
      <w:outlineLvl w:val="6"/>
    </w:pPr>
    <w:rPr>
      <w:b/>
      <w:sz w:val="24"/>
    </w:rPr>
  </w:style>
  <w:style w:type="paragraph" w:styleId="10">
    <w:name w:val="heading 8"/>
    <w:basedOn w:val="1"/>
    <w:next w:val="1"/>
    <w:link w:val="20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235"/>
    <w:qFormat/>
    <w:uiPriority w:val="0"/>
    <w:pPr>
      <w:keepNext/>
      <w:keepLines/>
      <w:spacing w:before="240" w:after="64" w:line="317"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7"/>
    <w:qFormat/>
    <w:uiPriority w:val="0"/>
    <w:pPr>
      <w:jc w:val="center"/>
    </w:pPr>
  </w:style>
  <w:style w:type="paragraph" w:styleId="12">
    <w:name w:val="table of authorities"/>
    <w:basedOn w:val="1"/>
    <w:next w:val="1"/>
    <w:unhideWhenUsed/>
    <w:qFormat/>
    <w:uiPriority w:val="99"/>
    <w:pPr>
      <w:ind w:left="420" w:leftChars="200"/>
    </w:pPr>
  </w:style>
  <w:style w:type="paragraph" w:styleId="13">
    <w:name w:val="Normal Indent"/>
    <w:basedOn w:val="1"/>
    <w:next w:val="14"/>
    <w:qFormat/>
    <w:uiPriority w:val="0"/>
    <w:pPr>
      <w:adjustRightInd w:val="0"/>
      <w:spacing w:line="312" w:lineRule="atLeast"/>
      <w:ind w:firstLine="420"/>
      <w:textAlignment w:val="baseline"/>
    </w:pPr>
    <w:rPr>
      <w:rFonts w:ascii="宋体"/>
      <w:kern w:val="0"/>
    </w:rPr>
  </w:style>
  <w:style w:type="paragraph" w:styleId="14">
    <w:name w:val="Body Text First Indent 2"/>
    <w:basedOn w:val="15"/>
    <w:next w:val="1"/>
    <w:qFormat/>
    <w:uiPriority w:val="0"/>
    <w:pPr>
      <w:ind w:firstLine="420" w:firstLineChars="200"/>
    </w:pPr>
    <w:rPr>
      <w:sz w:val="21"/>
    </w:rPr>
  </w:style>
  <w:style w:type="paragraph" w:styleId="15">
    <w:name w:val="Body Text Indent"/>
    <w:basedOn w:val="1"/>
    <w:link w:val="181"/>
    <w:qFormat/>
    <w:uiPriority w:val="0"/>
    <w:pPr>
      <w:spacing w:after="120"/>
      <w:ind w:left="420" w:leftChars="200"/>
    </w:pPr>
    <w:rPr>
      <w:b/>
      <w:color w:val="000000"/>
      <w:kern w:val="0"/>
      <w:sz w:val="24"/>
      <w:szCs w:val="24"/>
    </w:rPr>
  </w:style>
  <w:style w:type="paragraph" w:styleId="16">
    <w:name w:val="caption"/>
    <w:basedOn w:val="1"/>
    <w:next w:val="1"/>
    <w:qFormat/>
    <w:uiPriority w:val="35"/>
    <w:rPr>
      <w:rFonts w:ascii="Calibri Light" w:hAnsi="Calibri Light" w:eastAsia="黑体"/>
      <w:sz w:val="20"/>
    </w:rPr>
  </w:style>
  <w:style w:type="paragraph" w:styleId="17">
    <w:name w:val="Document Map"/>
    <w:basedOn w:val="1"/>
    <w:link w:val="212"/>
    <w:qFormat/>
    <w:uiPriority w:val="0"/>
    <w:pPr>
      <w:shd w:val="clear" w:color="auto" w:fill="000080"/>
    </w:pPr>
  </w:style>
  <w:style w:type="paragraph" w:styleId="18">
    <w:name w:val="toa heading"/>
    <w:basedOn w:val="1"/>
    <w:next w:val="1"/>
    <w:qFormat/>
    <w:uiPriority w:val="0"/>
    <w:pPr>
      <w:autoSpaceDE w:val="0"/>
      <w:autoSpaceDN w:val="0"/>
      <w:adjustRightInd w:val="0"/>
      <w:spacing w:before="120"/>
      <w:jc w:val="left"/>
    </w:pPr>
    <w:rPr>
      <w:rFonts w:ascii="Arial" w:hAnsi="Arial"/>
      <w:kern w:val="0"/>
      <w:sz w:val="24"/>
    </w:rPr>
  </w:style>
  <w:style w:type="paragraph" w:styleId="19">
    <w:name w:val="annotation text"/>
    <w:basedOn w:val="1"/>
    <w:qFormat/>
    <w:uiPriority w:val="0"/>
    <w:pPr>
      <w:jc w:val="left"/>
    </w:pPr>
  </w:style>
  <w:style w:type="paragraph" w:styleId="20">
    <w:name w:val="Body Text 3"/>
    <w:basedOn w:val="1"/>
    <w:qFormat/>
    <w:uiPriority w:val="0"/>
    <w:pPr>
      <w:widowControl/>
      <w:ind w:right="-108"/>
    </w:pPr>
    <w:rPr>
      <w:b/>
      <w:sz w:val="24"/>
    </w:rPr>
  </w:style>
  <w:style w:type="paragraph" w:styleId="21">
    <w:name w:val="Block Text"/>
    <w:basedOn w:val="1"/>
    <w:next w:val="22"/>
    <w:qFormat/>
    <w:uiPriority w:val="0"/>
    <w:pPr>
      <w:spacing w:after="120"/>
      <w:ind w:left="1440" w:leftChars="700" w:rightChars="700"/>
    </w:pPr>
  </w:style>
  <w:style w:type="paragraph" w:styleId="22">
    <w:name w:val="Plain Text"/>
    <w:basedOn w:val="1"/>
    <w:next w:val="1"/>
    <w:link w:val="217"/>
    <w:qFormat/>
    <w:uiPriority w:val="0"/>
    <w:rPr>
      <w:rFonts w:ascii="宋体" w:hAnsi="Courier New"/>
    </w:rPr>
  </w:style>
  <w:style w:type="paragraph" w:styleId="23">
    <w:name w:val="toc 3"/>
    <w:basedOn w:val="1"/>
    <w:next w:val="1"/>
    <w:qFormat/>
    <w:uiPriority w:val="0"/>
    <w:pPr>
      <w:spacing w:beforeLines="100" w:line="360" w:lineRule="auto"/>
      <w:ind w:left="480" w:firstLine="480" w:firstLineChars="200"/>
      <w:jc w:val="left"/>
    </w:pPr>
    <w:rPr>
      <w:i/>
      <w:sz w:val="24"/>
    </w:rPr>
  </w:style>
  <w:style w:type="paragraph" w:styleId="24">
    <w:name w:val="Date"/>
    <w:basedOn w:val="1"/>
    <w:next w:val="1"/>
    <w:link w:val="184"/>
    <w:qFormat/>
    <w:uiPriority w:val="0"/>
    <w:pPr>
      <w:ind w:left="100" w:leftChars="2500"/>
    </w:pPr>
  </w:style>
  <w:style w:type="paragraph" w:styleId="25">
    <w:name w:val="Body Text Indent 2"/>
    <w:basedOn w:val="1"/>
    <w:link w:val="214"/>
    <w:qFormat/>
    <w:uiPriority w:val="0"/>
    <w:pPr>
      <w:spacing w:after="120" w:line="480" w:lineRule="auto"/>
      <w:ind w:left="420" w:leftChars="200"/>
    </w:pPr>
  </w:style>
  <w:style w:type="paragraph" w:styleId="26">
    <w:name w:val="endnote text"/>
    <w:basedOn w:val="1"/>
    <w:qFormat/>
    <w:uiPriority w:val="0"/>
    <w:pPr>
      <w:snapToGrid w:val="0"/>
      <w:jc w:val="left"/>
    </w:pPr>
  </w:style>
  <w:style w:type="paragraph" w:styleId="27">
    <w:name w:val="Balloon Text"/>
    <w:basedOn w:val="1"/>
    <w:link w:val="189"/>
    <w:qFormat/>
    <w:uiPriority w:val="0"/>
    <w:rPr>
      <w:sz w:val="18"/>
    </w:rPr>
  </w:style>
  <w:style w:type="paragraph" w:styleId="28">
    <w:name w:val="footer"/>
    <w:basedOn w:val="1"/>
    <w:next w:val="2"/>
    <w:link w:val="199"/>
    <w:qFormat/>
    <w:uiPriority w:val="0"/>
    <w:pPr>
      <w:tabs>
        <w:tab w:val="center" w:pos="4153"/>
        <w:tab w:val="right" w:pos="8306"/>
      </w:tabs>
      <w:snapToGrid w:val="0"/>
      <w:jc w:val="left"/>
    </w:pPr>
    <w:rPr>
      <w:kern w:val="0"/>
      <w:sz w:val="18"/>
    </w:rPr>
  </w:style>
  <w:style w:type="paragraph" w:styleId="29">
    <w:name w:val="header"/>
    <w:basedOn w:val="1"/>
    <w:next w:val="30"/>
    <w:link w:val="208"/>
    <w:qFormat/>
    <w:uiPriority w:val="0"/>
    <w:pPr>
      <w:pBdr>
        <w:bottom w:val="single" w:color="auto" w:sz="6" w:space="1"/>
      </w:pBdr>
      <w:tabs>
        <w:tab w:val="center" w:pos="4153"/>
        <w:tab w:val="right" w:pos="8306"/>
      </w:tabs>
      <w:snapToGrid w:val="0"/>
      <w:jc w:val="center"/>
    </w:pPr>
    <w:rPr>
      <w:sz w:val="18"/>
    </w:rPr>
  </w:style>
  <w:style w:type="paragraph" w:customStyle="1" w:styleId="30">
    <w:name w:val="自定义页眉"/>
    <w:basedOn w:val="29"/>
    <w:qFormat/>
    <w:uiPriority w:val="0"/>
    <w:pPr>
      <w:pBdr>
        <w:bottom w:val="thickThinMediumGap" w:color="auto" w:sz="18" w:space="1"/>
      </w:pBdr>
    </w:pPr>
    <w:rPr>
      <w:rFonts w:eastAsia="华文行楷"/>
      <w:sz w:val="21"/>
    </w:rPr>
  </w:style>
  <w:style w:type="paragraph" w:styleId="31">
    <w:name w:val="toc 1"/>
    <w:basedOn w:val="1"/>
    <w:next w:val="1"/>
    <w:qFormat/>
    <w:uiPriority w:val="39"/>
    <w:pPr>
      <w:widowControl/>
      <w:jc w:val="left"/>
    </w:pPr>
    <w:rPr>
      <w:kern w:val="0"/>
      <w:sz w:val="20"/>
    </w:rPr>
  </w:style>
  <w:style w:type="paragraph" w:styleId="32">
    <w:name w:val="Body Text Indent 3"/>
    <w:basedOn w:val="1"/>
    <w:link w:val="202"/>
    <w:qFormat/>
    <w:uiPriority w:val="0"/>
    <w:pPr>
      <w:spacing w:after="120"/>
      <w:ind w:left="420" w:leftChars="200"/>
    </w:pPr>
    <w:rPr>
      <w:sz w:val="16"/>
    </w:rPr>
  </w:style>
  <w:style w:type="paragraph" w:styleId="33">
    <w:name w:val="toc 2"/>
    <w:basedOn w:val="1"/>
    <w:next w:val="1"/>
    <w:qFormat/>
    <w:uiPriority w:val="39"/>
    <w:pPr>
      <w:spacing w:beforeLines="100" w:line="360" w:lineRule="auto"/>
      <w:ind w:left="240" w:firstLine="480" w:firstLineChars="200"/>
      <w:jc w:val="left"/>
    </w:pPr>
    <w:rPr>
      <w:smallCaps/>
      <w:sz w:val="24"/>
    </w:rPr>
  </w:style>
  <w:style w:type="paragraph" w:styleId="34">
    <w:name w:val="toc 9"/>
    <w:basedOn w:val="1"/>
    <w:next w:val="1"/>
    <w:qFormat/>
    <w:uiPriority w:val="0"/>
    <w:pPr>
      <w:ind w:left="3360" w:leftChars="1600"/>
    </w:pPr>
    <w:rPr>
      <w:rFonts w:hAnsi="Calibri"/>
    </w:rPr>
  </w:style>
  <w:style w:type="paragraph" w:styleId="35">
    <w:name w:val="Body Text 2"/>
    <w:basedOn w:val="1"/>
    <w:link w:val="226"/>
    <w:qFormat/>
    <w:uiPriority w:val="0"/>
    <w:rPr>
      <w:sz w:val="30"/>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Title"/>
    <w:basedOn w:val="1"/>
    <w:qFormat/>
    <w:uiPriority w:val="0"/>
    <w:pPr>
      <w:spacing w:before="120" w:after="120"/>
      <w:jc w:val="center"/>
    </w:pPr>
    <w:rPr>
      <w:rFonts w:eastAsia="黑体"/>
      <w:b/>
      <w:sz w:val="32"/>
    </w:rPr>
  </w:style>
  <w:style w:type="paragraph" w:styleId="38">
    <w:name w:val="annotation subject"/>
    <w:basedOn w:val="19"/>
    <w:next w:val="19"/>
    <w:qFormat/>
    <w:uiPriority w:val="0"/>
    <w:rPr>
      <w:b/>
    </w:rPr>
  </w:style>
  <w:style w:type="paragraph" w:styleId="39">
    <w:name w:val="Body Text First Indent"/>
    <w:basedOn w:val="2"/>
    <w:qFormat/>
    <w:uiPriority w:val="0"/>
    <w:pPr>
      <w:spacing w:after="120"/>
      <w:ind w:firstLine="420" w:firstLineChars="100"/>
    </w:pPr>
    <w:rPr>
      <w:sz w:val="18"/>
      <w:szCs w:val="18"/>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rPr>
  </w:style>
  <w:style w:type="character" w:styleId="44">
    <w:name w:val="endnote reference"/>
    <w:qFormat/>
    <w:uiPriority w:val="0"/>
    <w:rPr>
      <w:vertAlign w:val="superscript"/>
    </w:rPr>
  </w:style>
  <w:style w:type="character" w:styleId="45">
    <w:name w:val="page number"/>
    <w:basedOn w:val="42"/>
    <w:qFormat/>
    <w:uiPriority w:val="0"/>
  </w:style>
  <w:style w:type="character" w:styleId="46">
    <w:name w:val="FollowedHyperlink"/>
    <w:qFormat/>
    <w:uiPriority w:val="0"/>
    <w:rPr>
      <w:color w:val="333333"/>
      <w:u w:val="none"/>
    </w:rPr>
  </w:style>
  <w:style w:type="character" w:styleId="47">
    <w:name w:val="Emphasis"/>
    <w:qFormat/>
    <w:uiPriority w:val="0"/>
  </w:style>
  <w:style w:type="character" w:styleId="48">
    <w:name w:val="HTML Definition"/>
    <w:basedOn w:val="42"/>
    <w:qFormat/>
    <w:uiPriority w:val="0"/>
    <w:rPr>
      <w:i/>
    </w:rPr>
  </w:style>
  <w:style w:type="character" w:styleId="49">
    <w:name w:val="Hyperlink"/>
    <w:basedOn w:val="42"/>
    <w:qFormat/>
    <w:uiPriority w:val="0"/>
    <w:rPr>
      <w:color w:val="333333"/>
      <w:u w:val="none"/>
    </w:rPr>
  </w:style>
  <w:style w:type="character" w:styleId="50">
    <w:name w:val="HTML Code"/>
    <w:qFormat/>
    <w:uiPriority w:val="0"/>
    <w:rPr>
      <w:rFonts w:ascii="Consolas" w:hAnsi="Consolas" w:eastAsia="Consolas" w:cs="Consolas"/>
      <w:color w:val="C7254E"/>
      <w:sz w:val="21"/>
      <w:szCs w:val="21"/>
      <w:shd w:val="clear" w:color="auto" w:fill="F9F2F4"/>
    </w:rPr>
  </w:style>
  <w:style w:type="character" w:styleId="51">
    <w:name w:val="annotation reference"/>
    <w:qFormat/>
    <w:uiPriority w:val="0"/>
    <w:rPr>
      <w:sz w:val="21"/>
    </w:rPr>
  </w:style>
  <w:style w:type="character" w:styleId="52">
    <w:name w:val="HTML Keyboard"/>
    <w:qFormat/>
    <w:uiPriority w:val="0"/>
    <w:rPr>
      <w:rFonts w:hint="default" w:ascii="Consolas" w:hAnsi="Consolas" w:eastAsia="Consolas" w:cs="Consolas"/>
      <w:color w:val="FFFFFF"/>
      <w:sz w:val="21"/>
      <w:szCs w:val="21"/>
      <w:shd w:val="clear" w:color="auto" w:fill="333333"/>
    </w:rPr>
  </w:style>
  <w:style w:type="character" w:styleId="53">
    <w:name w:val="HTML Sample"/>
    <w:qFormat/>
    <w:uiPriority w:val="0"/>
    <w:rPr>
      <w:rFonts w:hint="default" w:ascii="Consolas" w:hAnsi="Consolas" w:eastAsia="Consolas" w:cs="Consolas"/>
      <w:sz w:val="21"/>
      <w:szCs w:val="21"/>
    </w:rPr>
  </w:style>
  <w:style w:type="paragraph" w:customStyle="1" w:styleId="54">
    <w:name w:val="Char"/>
    <w:basedOn w:val="1"/>
    <w:qFormat/>
    <w:uiPriority w:val="0"/>
    <w:pPr>
      <w:spacing w:line="360" w:lineRule="auto"/>
    </w:pPr>
    <w:rPr>
      <w:rFonts w:ascii="仿宋_GB2312" w:eastAsia="仿宋_GB2312"/>
      <w:b/>
      <w:sz w:val="32"/>
    </w:rPr>
  </w:style>
  <w:style w:type="character" w:customStyle="1" w:styleId="55">
    <w:name w:val="标题 1 Char"/>
    <w:link w:val="3"/>
    <w:qFormat/>
    <w:uiPriority w:val="0"/>
    <w:rPr>
      <w:rFonts w:ascii="宋体" w:hAnsi="宋体" w:eastAsia="宋体"/>
      <w:b/>
      <w:kern w:val="2"/>
      <w:sz w:val="36"/>
      <w:lang w:val="en-US" w:eastAsia="zh-CN" w:bidi="ar-SA"/>
    </w:rPr>
  </w:style>
  <w:style w:type="paragraph" w:customStyle="1" w:styleId="56">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57">
    <w:name w:val="正文A"/>
    <w:basedOn w:val="1"/>
    <w:qFormat/>
    <w:uiPriority w:val="0"/>
    <w:pPr>
      <w:adjustRightInd w:val="0"/>
      <w:snapToGrid w:val="0"/>
      <w:spacing w:line="360" w:lineRule="auto"/>
      <w:ind w:firstLine="480" w:firstLineChars="200"/>
    </w:pPr>
    <w:rPr>
      <w:rFonts w:ascii="宋体" w:hAnsi="宋体"/>
      <w:sz w:val="24"/>
    </w:rPr>
  </w:style>
  <w:style w:type="paragraph" w:customStyle="1" w:styleId="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0">
    <w:name w:val="Char3"/>
    <w:basedOn w:val="1"/>
    <w:qFormat/>
    <w:uiPriority w:val="0"/>
    <w:pPr>
      <w:widowControl/>
      <w:spacing w:after="160" w:line="240" w:lineRule="exact"/>
      <w:jc w:val="left"/>
    </w:pPr>
  </w:style>
  <w:style w:type="paragraph" w:customStyle="1" w:styleId="61">
    <w:name w:val="样式 标题 2H2l2I2 + 宋体"/>
    <w:basedOn w:val="4"/>
    <w:qFormat/>
    <w:uiPriority w:val="0"/>
    <w:pPr>
      <w:keepNext/>
      <w:keepLines/>
      <w:widowControl/>
      <w:spacing w:before="180" w:after="120"/>
      <w:ind w:left="720" w:hanging="720"/>
      <w:jc w:val="left"/>
    </w:pPr>
  </w:style>
  <w:style w:type="paragraph" w:customStyle="1" w:styleId="62">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63">
    <w:name w:val="xl33"/>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6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65">
    <w:name w:val="title12"/>
    <w:basedOn w:val="1"/>
    <w:qFormat/>
    <w:uiPriority w:val="0"/>
    <w:pPr>
      <w:spacing w:before="100"/>
      <w:jc w:val="left"/>
    </w:pPr>
    <w:rPr>
      <w:b/>
      <w:kern w:val="0"/>
      <w:sz w:val="15"/>
      <w:szCs w:val="15"/>
    </w:rPr>
  </w:style>
  <w:style w:type="paragraph" w:customStyle="1" w:styleId="66">
    <w:name w:val="目录"/>
    <w:basedOn w:val="1"/>
    <w:qFormat/>
    <w:uiPriority w:val="0"/>
    <w:pPr>
      <w:widowControl/>
      <w:jc w:val="center"/>
    </w:pPr>
    <w:rPr>
      <w:rFonts w:ascii="宋体"/>
      <w:b/>
      <w:kern w:val="0"/>
      <w:sz w:val="36"/>
    </w:rPr>
  </w:style>
  <w:style w:type="paragraph" w:customStyle="1" w:styleId="67">
    <w:name w:val="列表编号2"/>
    <w:basedOn w:val="68"/>
    <w:qFormat/>
    <w:uiPriority w:val="0"/>
    <w:pPr>
      <w:tabs>
        <w:tab w:val="left" w:pos="900"/>
        <w:tab w:val="left" w:pos="1588"/>
      </w:tabs>
      <w:ind w:left="1588" w:hanging="794"/>
    </w:pPr>
  </w:style>
  <w:style w:type="paragraph" w:customStyle="1" w:styleId="68">
    <w:name w:val="列表编号1"/>
    <w:basedOn w:val="1"/>
    <w:qFormat/>
    <w:uiPriority w:val="0"/>
    <w:pPr>
      <w:tabs>
        <w:tab w:val="left" w:pos="900"/>
      </w:tabs>
      <w:spacing w:beforeLines="100" w:line="360" w:lineRule="auto"/>
      <w:ind w:left="900" w:hanging="420"/>
    </w:pPr>
    <w:rPr>
      <w:sz w:val="24"/>
    </w:rPr>
  </w:style>
  <w:style w:type="paragraph" w:customStyle="1" w:styleId="69">
    <w:name w:val="正文缩进2格"/>
    <w:basedOn w:val="1"/>
    <w:link w:val="192"/>
    <w:qFormat/>
    <w:uiPriority w:val="0"/>
    <w:pPr>
      <w:spacing w:line="600" w:lineRule="exact"/>
      <w:ind w:firstLine="639" w:firstLineChars="206"/>
    </w:pPr>
    <w:rPr>
      <w:rFonts w:ascii="仿宋_GB2312" w:hAnsi="宋体" w:eastAsia="仿宋_GB2312"/>
      <w:sz w:val="31"/>
    </w:rPr>
  </w:style>
  <w:style w:type="paragraph" w:styleId="70">
    <w:name w:val="List Paragraph"/>
    <w:basedOn w:val="1"/>
    <w:qFormat/>
    <w:uiPriority w:val="0"/>
    <w:pPr>
      <w:ind w:firstLine="420" w:firstLineChars="200"/>
    </w:pPr>
    <w:rPr>
      <w:rFonts w:ascii="Calibri" w:hAnsi="Calibri"/>
      <w:sz w:val="24"/>
      <w:szCs w:val="22"/>
    </w:rPr>
  </w:style>
  <w:style w:type="paragraph" w:customStyle="1" w:styleId="71">
    <w:name w:val="正文+首行缩进2字符"/>
    <w:basedOn w:val="1"/>
    <w:qFormat/>
    <w:uiPriority w:val="0"/>
    <w:pPr>
      <w:adjustRightInd w:val="0"/>
      <w:snapToGrid w:val="0"/>
      <w:spacing w:before="100" w:beforeAutospacing="1" w:after="100" w:afterAutospacing="1"/>
    </w:pPr>
    <w:rPr>
      <w:rFonts w:ascii="宋体" w:hAnsi="宋体"/>
      <w:snapToGrid w:val="0"/>
      <w:spacing w:val="10"/>
      <w:kern w:val="0"/>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74">
    <w:name w:val="正文文本缩进 31"/>
    <w:basedOn w:val="1"/>
    <w:qFormat/>
    <w:uiPriority w:val="0"/>
    <w:pPr>
      <w:adjustRightInd w:val="0"/>
      <w:spacing w:after="240"/>
      <w:ind w:left="792" w:firstLine="480"/>
      <w:textAlignment w:val="baseline"/>
    </w:pPr>
    <w:rPr>
      <w:sz w:val="24"/>
    </w:rPr>
  </w:style>
  <w:style w:type="paragraph" w:customStyle="1" w:styleId="75">
    <w:name w:val="样式 标题 3 + 宋体"/>
    <w:basedOn w:val="5"/>
    <w:link w:val="196"/>
    <w:qFormat/>
    <w:uiPriority w:val="0"/>
    <w:pPr>
      <w:keepNext w:val="0"/>
      <w:widowControl/>
      <w:tabs>
        <w:tab w:val="left" w:pos="1080"/>
      </w:tabs>
      <w:autoSpaceDE/>
      <w:autoSpaceDN/>
      <w:adjustRightInd/>
      <w:spacing w:before="0"/>
      <w:ind w:left="1021" w:hanging="794"/>
      <w:jc w:val="both"/>
    </w:pPr>
    <w:rPr>
      <w:rFonts w:hAnsi="宋体"/>
      <w:b w:val="0"/>
      <w:snapToGrid w:val="0"/>
      <w:kern w:val="0"/>
      <w:u w:val="none"/>
    </w:rPr>
  </w:style>
  <w:style w:type="paragraph" w:customStyle="1" w:styleId="76">
    <w:name w:val="xl34"/>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77">
    <w:name w:val="页脚1"/>
    <w:basedOn w:val="1"/>
    <w:qFormat/>
    <w:uiPriority w:val="0"/>
    <w:pPr>
      <w:tabs>
        <w:tab w:val="center" w:pos="4153"/>
        <w:tab w:val="right" w:pos="8306"/>
      </w:tabs>
      <w:adjustRightInd w:val="0"/>
      <w:spacing w:line="240" w:lineRule="atLeast"/>
      <w:jc w:val="left"/>
      <w:textAlignment w:val="baseline"/>
    </w:pPr>
    <w:rPr>
      <w:sz w:val="18"/>
    </w:rPr>
  </w:style>
  <w:style w:type="paragraph" w:customStyle="1" w:styleId="78">
    <w:name w:val="toc2"/>
    <w:basedOn w:val="3"/>
    <w:qFormat/>
    <w:uiPriority w:val="0"/>
    <w:pPr>
      <w:keepNext/>
      <w:tabs>
        <w:tab w:val="left" w:pos="840"/>
      </w:tabs>
      <w:spacing w:before="240" w:after="60"/>
      <w:jc w:val="both"/>
    </w:pPr>
    <w:rPr>
      <w:rFonts w:ascii="Arial" w:hAnsi="Arial"/>
      <w:b w:val="0"/>
      <w:kern w:val="32"/>
      <w:sz w:val="22"/>
    </w:rPr>
  </w:style>
  <w:style w:type="paragraph" w:customStyle="1" w:styleId="79">
    <w:name w:val="i."/>
    <w:basedOn w:val="1"/>
    <w:qFormat/>
    <w:uiPriority w:val="0"/>
    <w:pPr>
      <w:widowControl/>
      <w:tabs>
        <w:tab w:val="left" w:pos="2041"/>
        <w:tab w:val="left" w:pos="2308"/>
      </w:tabs>
      <w:spacing w:before="60" w:after="60" w:line="264" w:lineRule="auto"/>
      <w:ind w:left="2041" w:hanging="453"/>
    </w:pPr>
    <w:rPr>
      <w:sz w:val="22"/>
    </w:rPr>
  </w:style>
  <w:style w:type="paragraph" w:customStyle="1" w:styleId="80">
    <w:name w:val="xiao b"/>
    <w:basedOn w:val="1"/>
    <w:qFormat/>
    <w:uiPriority w:val="0"/>
    <w:pPr>
      <w:jc w:val="center"/>
    </w:pPr>
    <w:rPr>
      <w:rFonts w:eastAsia="黑体"/>
      <w:sz w:val="24"/>
    </w:rPr>
  </w:style>
  <w:style w:type="paragraph" w:customStyle="1" w:styleId="81">
    <w:name w:val="表中"/>
    <w:basedOn w:val="1"/>
    <w:qFormat/>
    <w:uiPriority w:val="0"/>
    <w:pPr>
      <w:tabs>
        <w:tab w:val="left" w:pos="2619"/>
      </w:tabs>
      <w:adjustRightInd w:val="0"/>
      <w:spacing w:before="60" w:line="360" w:lineRule="auto"/>
      <w:ind w:right="26" w:rightChars="26"/>
    </w:pPr>
    <w:rPr>
      <w:rFonts w:ascii="宋体" w:hAnsi="宋体"/>
      <w:b/>
      <w:snapToGrid w:val="0"/>
      <w:kern w:val="0"/>
      <w:sz w:val="24"/>
    </w:rPr>
  </w:style>
  <w:style w:type="paragraph" w:customStyle="1" w:styleId="82">
    <w:name w:val="font9"/>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83">
    <w:name w:val="font8"/>
    <w:basedOn w:val="1"/>
    <w:qFormat/>
    <w:uiPriority w:val="0"/>
    <w:pPr>
      <w:widowControl/>
      <w:spacing w:before="100" w:beforeAutospacing="1" w:after="100" w:afterAutospacing="1"/>
      <w:jc w:val="left"/>
    </w:pPr>
    <w:rPr>
      <w:rFonts w:ascii="MS Sans Serif" w:hAnsi="MS Sans Serif"/>
      <w:color w:val="FF0000"/>
      <w:kern w:val="0"/>
      <w:sz w:val="20"/>
    </w:rPr>
  </w:style>
  <w:style w:type="paragraph" w:customStyle="1" w:styleId="84">
    <w:name w:val="tit"/>
    <w:basedOn w:val="1"/>
    <w:qFormat/>
    <w:uiPriority w:val="0"/>
    <w:pPr>
      <w:pBdr>
        <w:left w:val="single" w:color="auto" w:sz="6" w:space="4"/>
      </w:pBdr>
      <w:tabs>
        <w:tab w:val="left" w:pos="1021"/>
        <w:tab w:val="left" w:pos="5245"/>
      </w:tabs>
      <w:spacing w:before="60" w:after="60" w:line="520" w:lineRule="exact"/>
      <w:jc w:val="center"/>
    </w:pPr>
    <w:rPr>
      <w:rFonts w:ascii="Arial" w:hAnsi="Arial" w:eastAsia="仿宋_GB2312"/>
      <w:kern w:val="0"/>
    </w:rPr>
  </w:style>
  <w:style w:type="paragraph" w:customStyle="1" w:styleId="85">
    <w:name w:val="xl4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86">
    <w:name w:val="列表1"/>
    <w:basedOn w:val="1"/>
    <w:qFormat/>
    <w:uiPriority w:val="0"/>
    <w:pPr>
      <w:adjustRightInd w:val="0"/>
      <w:spacing w:after="120" w:line="300" w:lineRule="auto"/>
      <w:ind w:left="2387" w:hanging="227"/>
      <w:textAlignment w:val="baseline"/>
    </w:pPr>
    <w:rPr>
      <w:rFonts w:ascii="宋体" w:hAnsi="宋体"/>
      <w:sz w:val="24"/>
    </w:rPr>
  </w:style>
  <w:style w:type="paragraph" w:customStyle="1" w:styleId="87">
    <w:name w:val="C503-正文格式"/>
    <w:basedOn w:val="1"/>
    <w:qFormat/>
    <w:uiPriority w:val="0"/>
    <w:pPr>
      <w:widowControl/>
      <w:ind w:firstLine="560" w:firstLineChars="200"/>
      <w:jc w:val="left"/>
    </w:pPr>
    <w:rPr>
      <w:rFonts w:ascii="仿宋" w:hAnsi="仿宋" w:eastAsia="仿宋" w:cs="宋体"/>
      <w:kern w:val="0"/>
    </w:rPr>
  </w:style>
  <w:style w:type="paragraph" w:customStyle="1" w:styleId="8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89">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0">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2">
    <w:name w:val="_Style 87"/>
    <w:basedOn w:val="3"/>
    <w:next w:val="1"/>
    <w:qFormat/>
    <w:uiPriority w:val="0"/>
    <w:pPr>
      <w:keepNext/>
      <w:keepLines/>
      <w:widowControl/>
      <w:spacing w:before="480" w:line="276" w:lineRule="auto"/>
      <w:jc w:val="left"/>
      <w:outlineLvl w:val="9"/>
    </w:pPr>
    <w:rPr>
      <w:rFonts w:ascii="Cambria" w:hAnsi="Cambria"/>
      <w:bCs/>
      <w:color w:val="365F91"/>
      <w:kern w:val="0"/>
      <w:sz w:val="28"/>
      <w:szCs w:val="28"/>
    </w:rPr>
  </w:style>
  <w:style w:type="paragraph" w:customStyle="1" w:styleId="93">
    <w:name w:val="缺省文本"/>
    <w:basedOn w:val="1"/>
    <w:qFormat/>
    <w:uiPriority w:val="0"/>
    <w:pPr>
      <w:autoSpaceDE w:val="0"/>
      <w:autoSpaceDN w:val="0"/>
      <w:adjustRightInd w:val="0"/>
      <w:jc w:val="left"/>
    </w:pPr>
    <w:rPr>
      <w:kern w:val="0"/>
      <w:sz w:val="24"/>
    </w:rPr>
  </w:style>
  <w:style w:type="paragraph" w:customStyle="1" w:styleId="94">
    <w:name w:val="&lt;=&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95">
    <w:name w:val="正文 + 宋体"/>
    <w:basedOn w:val="1"/>
    <w:qFormat/>
    <w:uiPriority w:val="0"/>
    <w:pPr>
      <w:spacing w:line="380" w:lineRule="exact"/>
      <w:jc w:val="center"/>
    </w:pPr>
    <w:rPr>
      <w:sz w:val="24"/>
      <w:szCs w:val="24"/>
    </w:rPr>
  </w:style>
  <w:style w:type="paragraph" w:customStyle="1" w:styleId="96">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97">
    <w:name w:val="xl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98">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rPr>
  </w:style>
  <w:style w:type="paragraph" w:customStyle="1" w:styleId="99">
    <w:name w:val="List Paragraph11"/>
    <w:basedOn w:val="1"/>
    <w:qFormat/>
    <w:uiPriority w:val="0"/>
    <w:pPr>
      <w:ind w:firstLine="420" w:firstLineChars="200"/>
    </w:pPr>
  </w:style>
  <w:style w:type="paragraph" w:customStyle="1" w:styleId="10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01">
    <w:name w:val="标书正文"/>
    <w:basedOn w:val="1"/>
    <w:qFormat/>
    <w:uiPriority w:val="0"/>
    <w:pPr>
      <w:adjustRightInd w:val="0"/>
      <w:spacing w:line="360" w:lineRule="auto"/>
      <w:ind w:left="840" w:hanging="840"/>
      <w:textAlignment w:val="baseline"/>
    </w:pPr>
    <w:rPr>
      <w:rFonts w:ascii="楷体_GB2312" w:eastAsia="楷体_GB2312"/>
      <w:kern w:val="0"/>
      <w:sz w:val="24"/>
    </w:rPr>
  </w:style>
  <w:style w:type="paragraph" w:customStyle="1" w:styleId="102">
    <w:name w:val="Char Char Char Char Char Char Char"/>
    <w:basedOn w:val="1"/>
    <w:qFormat/>
    <w:uiPriority w:val="0"/>
    <w:pPr>
      <w:widowControl/>
      <w:tabs>
        <w:tab w:val="left" w:pos="720"/>
      </w:tabs>
      <w:spacing w:line="360" w:lineRule="auto"/>
      <w:ind w:left="720"/>
      <w:jc w:val="left"/>
    </w:pPr>
    <w:rPr>
      <w:rFonts w:ascii="宋体"/>
      <w:kern w:val="0"/>
    </w:rPr>
  </w:style>
  <w:style w:type="paragraph" w:customStyle="1" w:styleId="103">
    <w:name w:val="无间隔1"/>
    <w:qFormat/>
    <w:uiPriority w:val="1"/>
    <w:pPr>
      <w:widowControl w:val="0"/>
      <w:spacing w:line="300" w:lineRule="auto"/>
    </w:pPr>
    <w:rPr>
      <w:rFonts w:ascii="Calibri" w:hAnsi="Calibri" w:eastAsia="宋体" w:cs="黑体"/>
      <w:kern w:val="2"/>
      <w:sz w:val="21"/>
      <w:szCs w:val="22"/>
      <w:lang w:val="en-US" w:eastAsia="zh-CN" w:bidi="ar-SA"/>
    </w:rPr>
  </w:style>
  <w:style w:type="paragraph" w:customStyle="1" w:styleId="104">
    <w:name w:val="符号参数位1级"/>
    <w:basedOn w:val="1"/>
    <w:qFormat/>
    <w:uiPriority w:val="0"/>
    <w:pPr>
      <w:tabs>
        <w:tab w:val="left" w:pos="5670"/>
      </w:tabs>
      <w:adjustRightInd w:val="0"/>
      <w:spacing w:before="60"/>
      <w:ind w:left="851" w:hanging="284"/>
      <w:jc w:val="left"/>
      <w:textAlignment w:val="baseline"/>
    </w:pPr>
    <w:rPr>
      <w:kern w:val="0"/>
      <w:sz w:val="2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6">
    <w:name w:val="Table Paragraph"/>
    <w:basedOn w:val="1"/>
    <w:qFormat/>
    <w:uiPriority w:val="1"/>
    <w:rPr>
      <w:rFonts w:ascii="宋体" w:hAnsi="宋体" w:cs="宋体"/>
      <w:lang w:val="zh-CN" w:bidi="zh-CN"/>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08">
    <w:name w:val="(a)items"/>
    <w:basedOn w:val="1"/>
    <w:qFormat/>
    <w:uiPriority w:val="0"/>
    <w:pPr>
      <w:tabs>
        <w:tab w:val="left" w:pos="1980"/>
      </w:tabs>
      <w:adjustRightInd w:val="0"/>
      <w:spacing w:after="240"/>
      <w:ind w:left="1980" w:leftChars="680" w:hanging="348" w:hangingChars="145"/>
      <w:textAlignment w:val="baseline"/>
    </w:pPr>
    <w:rPr>
      <w:sz w:val="24"/>
    </w:rPr>
  </w:style>
  <w:style w:type="paragraph" w:customStyle="1" w:styleId="109">
    <w:name w:val="表头"/>
    <w:basedOn w:val="1"/>
    <w:qFormat/>
    <w:uiPriority w:val="0"/>
    <w:pPr>
      <w:spacing w:beforeLines="50" w:afterLines="50"/>
      <w:ind w:right="-21" w:rightChars="-21"/>
      <w:jc w:val="center"/>
    </w:pPr>
    <w:rPr>
      <w:rFonts w:ascii="宋体"/>
      <w:b/>
      <w:sz w:val="24"/>
    </w:rPr>
  </w:style>
  <w:style w:type="paragraph" w:customStyle="1" w:styleId="110">
    <w:name w:val="Char Char Char"/>
    <w:basedOn w:val="1"/>
    <w:qFormat/>
    <w:uiPriority w:val="0"/>
    <w:rPr>
      <w:rFonts w:ascii="Tahoma" w:hAnsi="Tahoma"/>
      <w:sz w:val="24"/>
    </w:rPr>
  </w:style>
  <w:style w:type="paragraph" w:customStyle="1" w:styleId="111">
    <w:name w:val="xl32"/>
    <w:basedOn w:val="1"/>
    <w:qFormat/>
    <w:uiPriority w:val="0"/>
    <w:pPr>
      <w:widowControl/>
      <w:pBdr>
        <w:bottom w:val="single" w:color="auto" w:sz="4" w:space="0"/>
      </w:pBdr>
      <w:spacing w:before="100" w:beforeAutospacing="1" w:after="100" w:afterAutospacing="1"/>
      <w:jc w:val="center"/>
    </w:pPr>
    <w:rPr>
      <w:rFonts w:hint="eastAsia" w:ascii="宋体" w:hAnsi="宋体"/>
      <w:kern w:val="0"/>
      <w:sz w:val="24"/>
    </w:rPr>
  </w:style>
  <w:style w:type="paragraph" w:customStyle="1" w:styleId="112">
    <w:name w:val="图标题文字"/>
    <w:basedOn w:val="113"/>
    <w:qFormat/>
    <w:uiPriority w:val="0"/>
    <w:pPr>
      <w:spacing w:line="300" w:lineRule="exact"/>
      <w:jc w:val="center"/>
    </w:pPr>
    <w:rPr>
      <w:b/>
      <w:sz w:val="28"/>
    </w:rPr>
  </w:style>
  <w:style w:type="paragraph" w:customStyle="1" w:styleId="113">
    <w:name w:val="文本框文字"/>
    <w:basedOn w:val="1"/>
    <w:qFormat/>
    <w:uiPriority w:val="0"/>
    <w:pPr>
      <w:spacing w:line="280" w:lineRule="exact"/>
    </w:pPr>
  </w:style>
  <w:style w:type="paragraph" w:customStyle="1" w:styleId="114">
    <w:name w:val="title1"/>
    <w:basedOn w:val="1"/>
    <w:qFormat/>
    <w:uiPriority w:val="0"/>
    <w:pPr>
      <w:spacing w:before="100" w:line="300" w:lineRule="atLeast"/>
      <w:jc w:val="left"/>
    </w:pPr>
    <w:rPr>
      <w:b/>
      <w:kern w:val="0"/>
      <w:sz w:val="16"/>
      <w:szCs w:val="16"/>
    </w:rPr>
  </w:style>
  <w:style w:type="paragraph" w:customStyle="1" w:styleId="11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FF0000"/>
      <w:kern w:val="0"/>
      <w:sz w:val="24"/>
    </w:rPr>
  </w:style>
  <w:style w:type="paragraph" w:customStyle="1" w:styleId="116">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8">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9">
    <w:name w:val="xl37"/>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120">
    <w:name w:val="table text contents"/>
    <w:basedOn w:val="121"/>
    <w:qFormat/>
    <w:uiPriority w:val="0"/>
    <w:pPr>
      <w:ind w:left="0" w:firstLine="0" w:firstLineChars="0"/>
      <w:jc w:val="center"/>
    </w:pPr>
  </w:style>
  <w:style w:type="paragraph" w:customStyle="1" w:styleId="121">
    <w:name w:val="table text"/>
    <w:basedOn w:val="1"/>
    <w:qFormat/>
    <w:uiPriority w:val="0"/>
    <w:pPr>
      <w:spacing w:line="0" w:lineRule="atLeast"/>
      <w:ind w:left="220" w:hanging="220" w:hangingChars="100"/>
    </w:pPr>
    <w:rPr>
      <w:sz w:val="22"/>
    </w:rPr>
  </w:style>
  <w:style w:type="paragraph" w:customStyle="1" w:styleId="122">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23">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24">
    <w:name w:val="标题 2 + 楷体_GB2312"/>
    <w:basedOn w:val="4"/>
    <w:qFormat/>
    <w:uiPriority w:val="0"/>
    <w:pPr>
      <w:keepNext/>
      <w:ind w:firstLine="240" w:firstLineChars="100"/>
      <w:jc w:val="both"/>
    </w:pPr>
    <w:rPr>
      <w:rFonts w:ascii="楷体_GB2312" w:eastAsia="楷体_GB2312"/>
      <w:b w:val="0"/>
    </w:rPr>
  </w:style>
  <w:style w:type="paragraph" w:customStyle="1" w:styleId="125">
    <w:name w:val="Char1"/>
    <w:basedOn w:val="1"/>
    <w:qFormat/>
    <w:uiPriority w:val="0"/>
    <w:rPr>
      <w:szCs w:val="21"/>
    </w:rPr>
  </w:style>
  <w:style w:type="paragraph" w:customStyle="1" w:styleId="126">
    <w:name w:val="图"/>
    <w:basedOn w:val="1"/>
    <w:qFormat/>
    <w:uiPriority w:val="0"/>
    <w:pPr>
      <w:keepNext/>
      <w:spacing w:before="60" w:after="60" w:line="300" w:lineRule="auto"/>
      <w:jc w:val="center"/>
      <w:textAlignment w:val="center"/>
    </w:pPr>
    <w:rPr>
      <w:snapToGrid w:val="0"/>
      <w:spacing w:val="20"/>
      <w:sz w:val="24"/>
    </w:rPr>
  </w:style>
  <w:style w:type="paragraph" w:customStyle="1" w:styleId="127">
    <w:name w:val="样式1"/>
    <w:basedOn w:val="1"/>
    <w:qFormat/>
    <w:uiPriority w:val="0"/>
    <w:pPr>
      <w:tabs>
        <w:tab w:val="left" w:pos="425"/>
        <w:tab w:val="left" w:pos="3969"/>
      </w:tabs>
      <w:adjustRightInd w:val="0"/>
      <w:spacing w:before="120" w:line="300" w:lineRule="auto"/>
      <w:ind w:left="425" w:hanging="425"/>
      <w:jc w:val="left"/>
      <w:textAlignment w:val="baseline"/>
    </w:pPr>
    <w:rPr>
      <w:rFonts w:ascii="宋体"/>
      <w:kern w:val="0"/>
      <w:sz w:val="28"/>
    </w:rPr>
  </w:style>
  <w:style w:type="paragraph" w:customStyle="1" w:styleId="128">
    <w:name w:val="样式 标题 4 + 宋体"/>
    <w:basedOn w:val="6"/>
    <w:qFormat/>
    <w:uiPriority w:val="0"/>
    <w:pPr>
      <w:keepNext w:val="0"/>
      <w:keepLines/>
      <w:widowControl/>
      <w:spacing w:after="120"/>
      <w:ind w:left="1531" w:hanging="1077"/>
    </w:pPr>
    <w:rPr>
      <w:rFonts w:ascii="宋体" w:hAnsi="宋体"/>
      <w:color w:val="auto"/>
      <w:kern w:val="0"/>
      <w:sz w:val="24"/>
      <w:u w:val="none"/>
    </w:rPr>
  </w:style>
  <w:style w:type="paragraph" w:customStyle="1" w:styleId="129">
    <w:name w:val="多级编号 1"/>
    <w:basedOn w:val="1"/>
    <w:qFormat/>
    <w:uiPriority w:val="0"/>
    <w:pPr>
      <w:tabs>
        <w:tab w:val="left" w:pos="814"/>
      </w:tabs>
      <w:adjustRightInd w:val="0"/>
      <w:spacing w:before="120" w:line="300" w:lineRule="auto"/>
      <w:ind w:left="425" w:hanging="425"/>
      <w:jc w:val="left"/>
      <w:textAlignment w:val="baseline"/>
    </w:pPr>
    <w:rPr>
      <w:kern w:val="0"/>
      <w:position w:val="20"/>
      <w:sz w:val="28"/>
    </w:rPr>
  </w:style>
  <w:style w:type="paragraph" w:customStyle="1" w:styleId="130">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1">
    <w:name w:val="title11"/>
    <w:basedOn w:val="1"/>
    <w:qFormat/>
    <w:uiPriority w:val="0"/>
    <w:pPr>
      <w:spacing w:before="150" w:line="450" w:lineRule="atLeast"/>
      <w:jc w:val="left"/>
    </w:pPr>
    <w:rPr>
      <w:b/>
      <w:kern w:val="0"/>
      <w:sz w:val="24"/>
      <w:szCs w:val="24"/>
    </w:rPr>
  </w:style>
  <w:style w:type="paragraph" w:customStyle="1" w:styleId="132">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33">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134">
    <w:name w:val="Char1 Char Char Char1"/>
    <w:basedOn w:val="1"/>
    <w:qFormat/>
    <w:uiPriority w:val="0"/>
    <w:pPr>
      <w:widowControl/>
      <w:spacing w:after="160" w:line="240" w:lineRule="exact"/>
      <w:jc w:val="left"/>
    </w:pPr>
    <w:rPr>
      <w:rFonts w:ascii="Verdana" w:hAnsi="Verdana" w:eastAsia="仿宋_GB2312"/>
      <w:kern w:val="0"/>
      <w:sz w:val="28"/>
      <w:lang w:eastAsia="en-US"/>
    </w:rPr>
  </w:style>
  <w:style w:type="paragraph" w:customStyle="1" w:styleId="135">
    <w:name w:val="正文文本缩进 21"/>
    <w:basedOn w:val="1"/>
    <w:qFormat/>
    <w:uiPriority w:val="0"/>
    <w:pPr>
      <w:adjustRightInd w:val="0"/>
      <w:spacing w:after="240"/>
      <w:ind w:left="1080" w:firstLine="480"/>
      <w:textAlignment w:val="baseline"/>
    </w:pPr>
    <w:rPr>
      <w:sz w:val="24"/>
    </w:rPr>
  </w:style>
  <w:style w:type="paragraph" w:customStyle="1" w:styleId="136">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38">
    <w:name w:val="(i)tems"/>
    <w:basedOn w:val="1"/>
    <w:qFormat/>
    <w:uiPriority w:val="0"/>
    <w:pPr>
      <w:tabs>
        <w:tab w:val="left" w:pos="360"/>
      </w:tabs>
      <w:adjustRightInd w:val="0"/>
      <w:spacing w:after="240"/>
      <w:ind w:left="360" w:hanging="360"/>
      <w:textAlignment w:val="baseline"/>
    </w:pPr>
    <w:rPr>
      <w:sz w:val="24"/>
    </w:rPr>
  </w:style>
  <w:style w:type="paragraph" w:customStyle="1" w:styleId="139">
    <w:name w:val="p0"/>
    <w:basedOn w:val="1"/>
    <w:qFormat/>
    <w:uiPriority w:val="0"/>
    <w:pPr>
      <w:widowControl/>
      <w:jc w:val="left"/>
    </w:pPr>
    <w:rPr>
      <w:rFonts w:ascii="Calibri" w:hAnsi="Calibri" w:cs="宋体"/>
      <w:kern w:val="0"/>
      <w:sz w:val="24"/>
      <w:szCs w:val="24"/>
    </w:rPr>
  </w:style>
  <w:style w:type="paragraph" w:customStyle="1" w:styleId="140">
    <w:name w:val="xl28"/>
    <w:basedOn w:val="1"/>
    <w:qFormat/>
    <w:uiPriority w:val="0"/>
    <w:pPr>
      <w:widowControl/>
      <w:spacing w:before="100" w:after="100"/>
      <w:jc w:val="center"/>
    </w:pPr>
    <w:rPr>
      <w:rFonts w:ascii="Arial Unicode MS" w:hAnsi="Arial Unicode MS"/>
      <w:kern w:val="0"/>
      <w:sz w:val="24"/>
    </w:rPr>
  </w:style>
  <w:style w:type="paragraph" w:customStyle="1" w:styleId="141">
    <w:name w:val="项目编号2"/>
    <w:basedOn w:val="142"/>
    <w:qFormat/>
    <w:uiPriority w:val="0"/>
    <w:pPr>
      <w:tabs>
        <w:tab w:val="left" w:pos="360"/>
        <w:tab w:val="left" w:pos="927"/>
      </w:tabs>
      <w:ind w:left="360" w:hanging="360"/>
    </w:pPr>
  </w:style>
  <w:style w:type="paragraph" w:customStyle="1" w:styleId="142">
    <w:name w:val="项目编号1"/>
    <w:basedOn w:val="1"/>
    <w:qFormat/>
    <w:uiPriority w:val="0"/>
    <w:pPr>
      <w:tabs>
        <w:tab w:val="left" w:pos="927"/>
      </w:tabs>
      <w:spacing w:beforeLines="100" w:line="360" w:lineRule="auto"/>
      <w:ind w:left="907" w:hanging="340"/>
    </w:pPr>
    <w:rPr>
      <w:sz w:val="24"/>
    </w:rPr>
  </w:style>
  <w:style w:type="paragraph" w:customStyle="1" w:styleId="143">
    <w:name w:val="基准标题"/>
    <w:basedOn w:val="2"/>
    <w:next w:val="2"/>
    <w:qFormat/>
    <w:uiPriority w:val="0"/>
    <w:pPr>
      <w:keepNext/>
      <w:keepLines/>
      <w:widowControl/>
      <w:tabs>
        <w:tab w:val="left" w:pos="2619"/>
      </w:tabs>
      <w:adjustRightInd w:val="0"/>
      <w:spacing w:before="60" w:line="240" w:lineRule="atLeast"/>
      <w:ind w:right="26" w:rightChars="26"/>
      <w:jc w:val="left"/>
    </w:pPr>
    <w:rPr>
      <w:rFonts w:ascii="Garamond" w:hAnsi="Garamond"/>
      <w:b/>
      <w:kern w:val="20"/>
    </w:rPr>
  </w:style>
  <w:style w:type="paragraph" w:customStyle="1" w:styleId="144">
    <w:name w:val="数字编号"/>
    <w:basedOn w:val="1"/>
    <w:qFormat/>
    <w:uiPriority w:val="0"/>
    <w:pPr>
      <w:tabs>
        <w:tab w:val="left" w:pos="3969"/>
      </w:tabs>
      <w:adjustRightInd w:val="0"/>
      <w:spacing w:before="120" w:line="300" w:lineRule="auto"/>
      <w:ind w:firstLine="567"/>
      <w:jc w:val="left"/>
      <w:textAlignment w:val="baseline"/>
    </w:pPr>
    <w:rPr>
      <w:kern w:val="0"/>
      <w:position w:val="20"/>
      <w:sz w:val="28"/>
    </w:rPr>
  </w:style>
  <w:style w:type="paragraph" w:customStyle="1" w:styleId="145">
    <w:name w:val="1."/>
    <w:basedOn w:val="1"/>
    <w:qFormat/>
    <w:uiPriority w:val="0"/>
    <w:pPr>
      <w:widowControl/>
      <w:tabs>
        <w:tab w:val="left" w:pos="1134"/>
      </w:tabs>
      <w:spacing w:before="60" w:after="60" w:line="264" w:lineRule="auto"/>
      <w:ind w:left="1134" w:hanging="454"/>
    </w:pPr>
    <w:rPr>
      <w:sz w:val="22"/>
    </w:rPr>
  </w:style>
  <w:style w:type="paragraph" w:customStyle="1" w:styleId="146">
    <w:name w:val="样式 标题 5 + 宋体"/>
    <w:basedOn w:val="7"/>
    <w:qFormat/>
    <w:uiPriority w:val="0"/>
    <w:pPr>
      <w:keepNext w:val="0"/>
      <w:widowControl/>
      <w:tabs>
        <w:tab w:val="left" w:pos="1800"/>
      </w:tabs>
      <w:spacing w:before="0" w:after="120" w:line="240" w:lineRule="auto"/>
      <w:ind w:left="1985" w:hanging="1305"/>
    </w:pPr>
    <w:rPr>
      <w:rFonts w:ascii="宋体" w:hAnsi="宋体"/>
      <w:b w:val="0"/>
      <w:kern w:val="0"/>
      <w:sz w:val="24"/>
    </w:rPr>
  </w:style>
  <w:style w:type="paragraph" w:customStyle="1" w:styleId="147">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148">
    <w:name w:val="正文缩进1"/>
    <w:basedOn w:val="1"/>
    <w:qFormat/>
    <w:uiPriority w:val="0"/>
    <w:pPr>
      <w:ind w:firstLine="420" w:firstLineChars="200"/>
    </w:p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0">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51">
    <w:name w:val="xl35"/>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2">
    <w:name w:val="Char2"/>
    <w:basedOn w:val="17"/>
    <w:qFormat/>
    <w:uiPriority w:val="0"/>
  </w:style>
  <w:style w:type="paragraph" w:customStyle="1" w:styleId="153">
    <w:name w:val="xl36"/>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4">
    <w:name w:val="tex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55">
    <w:name w:val="comments"/>
    <w:basedOn w:val="1"/>
    <w:qFormat/>
    <w:uiPriority w:val="0"/>
    <w:pPr>
      <w:adjustRightInd w:val="0"/>
      <w:spacing w:after="100"/>
      <w:ind w:left="2340" w:leftChars="975"/>
      <w:textAlignment w:val="baseline"/>
    </w:pPr>
    <w:rPr>
      <w:sz w:val="24"/>
    </w:rPr>
  </w:style>
  <w:style w:type="paragraph" w:customStyle="1" w:styleId="1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57">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158">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样式 样式 MYSTY1 + 首行缩进:  2 字符 + 段前: 0.5 行 段后: 0.5 行"/>
    <w:basedOn w:val="1"/>
    <w:qFormat/>
    <w:uiPriority w:val="0"/>
    <w:pPr>
      <w:tabs>
        <w:tab w:val="left" w:pos="525"/>
      </w:tabs>
      <w:spacing w:beforeLines="50" w:afterLines="50"/>
      <w:ind w:left="420" w:hanging="420"/>
      <w:jc w:val="left"/>
    </w:pPr>
    <w:rPr>
      <w:b/>
      <w:sz w:val="24"/>
    </w:rPr>
  </w:style>
  <w:style w:type="paragraph" w:customStyle="1" w:styleId="16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3">
    <w:name w:val="xl38"/>
    <w:basedOn w:val="1"/>
    <w:qFormat/>
    <w:uiPriority w:val="0"/>
    <w:pPr>
      <w:widowControl/>
      <w:spacing w:before="100" w:beforeAutospacing="1" w:after="100" w:afterAutospacing="1"/>
      <w:jc w:val="center"/>
    </w:pPr>
    <w:rPr>
      <w:rFonts w:ascii="宋体" w:hAnsi="宋体"/>
      <w:kern w:val="0"/>
      <w:sz w:val="24"/>
    </w:rPr>
  </w:style>
  <w:style w:type="paragraph" w:customStyle="1" w:styleId="164">
    <w:name w:val="sma."/>
    <w:basedOn w:val="1"/>
    <w:qFormat/>
    <w:uiPriority w:val="0"/>
    <w:pPr>
      <w:widowControl/>
      <w:tabs>
        <w:tab w:val="left" w:pos="1588"/>
      </w:tabs>
      <w:spacing w:before="60" w:after="60" w:line="264" w:lineRule="auto"/>
      <w:ind w:left="1588" w:hanging="454"/>
    </w:pPr>
    <w:rPr>
      <w:sz w:val="22"/>
    </w:rPr>
  </w:style>
  <w:style w:type="paragraph" w:customStyle="1" w:styleId="165">
    <w:name w:val="==&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6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8">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styleId="16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71">
    <w:name w:val="图表"/>
    <w:basedOn w:val="16"/>
    <w:qFormat/>
    <w:uiPriority w:val="0"/>
    <w:pPr>
      <w:jc w:val="center"/>
    </w:pPr>
    <w:rPr>
      <w:rFonts w:ascii="Times New Roman" w:hAnsi="Times New Roman" w:eastAsia="宋体" w:cs="宋体"/>
      <w:sz w:val="21"/>
    </w:rPr>
  </w:style>
  <w:style w:type="paragraph" w:customStyle="1" w:styleId="172">
    <w:name w:val="样式 红正文 + 首行缩进:  2 字符1"/>
    <w:basedOn w:val="1"/>
    <w:qFormat/>
    <w:uiPriority w:val="0"/>
    <w:pPr>
      <w:adjustRightInd w:val="0"/>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173">
    <w:name w:val="参数值"/>
    <w:basedOn w:val="1"/>
    <w:qFormat/>
    <w:uiPriority w:val="0"/>
    <w:pPr>
      <w:tabs>
        <w:tab w:val="left" w:pos="5670"/>
      </w:tabs>
      <w:adjustRightInd w:val="0"/>
      <w:spacing w:line="300" w:lineRule="auto"/>
      <w:ind w:left="1134"/>
      <w:textAlignment w:val="baseline"/>
    </w:pPr>
    <w:rPr>
      <w:rFonts w:ascii="宋体"/>
      <w:sz w:val="28"/>
    </w:rPr>
  </w:style>
  <w:style w:type="paragraph" w:customStyle="1" w:styleId="174">
    <w:name w:val="表头－h"/>
    <w:basedOn w:val="1"/>
    <w:next w:val="1"/>
    <w:qFormat/>
    <w:uiPriority w:val="0"/>
    <w:pPr>
      <w:keepNext/>
      <w:widowControl/>
      <w:adjustRightInd w:val="0"/>
      <w:snapToGrid w:val="0"/>
      <w:ind w:firstLine="357"/>
      <w:jc w:val="center"/>
    </w:pPr>
    <w:rPr>
      <w:rFonts w:ascii="Arial" w:hAnsi="Arial"/>
      <w:b/>
      <w:spacing w:val="4"/>
      <w:kern w:val="0"/>
      <w:sz w:val="28"/>
    </w:rPr>
  </w:style>
  <w:style w:type="paragraph" w:customStyle="1" w:styleId="175">
    <w:name w:val="_Style 19"/>
    <w:basedOn w:val="1"/>
    <w:next w:val="1"/>
    <w:qFormat/>
    <w:uiPriority w:val="0"/>
    <w:pPr>
      <w:spacing w:after="120"/>
    </w:pPr>
  </w:style>
  <w:style w:type="paragraph" w:customStyle="1" w:styleId="176">
    <w:name w:val="list closer"/>
    <w:basedOn w:val="86"/>
    <w:qFormat/>
    <w:uiPriority w:val="0"/>
    <w:pPr>
      <w:ind w:left="1200" w:leftChars="1200" w:hanging="1980" w:hangingChars="825"/>
    </w:pPr>
  </w:style>
  <w:style w:type="paragraph" w:customStyle="1" w:styleId="177">
    <w:name w:val="title13"/>
    <w:basedOn w:val="1"/>
    <w:qFormat/>
    <w:uiPriority w:val="0"/>
    <w:pPr>
      <w:spacing w:before="150"/>
      <w:jc w:val="left"/>
    </w:pPr>
    <w:rPr>
      <w:b/>
      <w:kern w:val="0"/>
      <w:sz w:val="22"/>
      <w:szCs w:val="22"/>
    </w:rPr>
  </w:style>
  <w:style w:type="paragraph" w:customStyle="1" w:styleId="178">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79">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customStyle="1" w:styleId="180">
    <w:name w:val="myp1111"/>
    <w:basedOn w:val="42"/>
    <w:qFormat/>
    <w:uiPriority w:val="0"/>
  </w:style>
  <w:style w:type="character" w:customStyle="1" w:styleId="181">
    <w:name w:val="正文文本缩进 Char"/>
    <w:link w:val="15"/>
    <w:qFormat/>
    <w:uiPriority w:val="0"/>
    <w:rPr>
      <w:rFonts w:ascii="Times New Roman" w:hAnsi="Times New Roman" w:eastAsia="宋体" w:cs="Times New Roman"/>
      <w:b/>
      <w:color w:val="000000"/>
      <w:sz w:val="24"/>
      <w:szCs w:val="24"/>
    </w:rPr>
  </w:style>
  <w:style w:type="character" w:customStyle="1" w:styleId="182">
    <w:name w:val="huei12b1"/>
    <w:qFormat/>
    <w:uiPriority w:val="0"/>
    <w:rPr>
      <w:b/>
      <w:color w:val="333333"/>
      <w:sz w:val="24"/>
    </w:rPr>
  </w:style>
  <w:style w:type="character" w:customStyle="1" w:styleId="183">
    <w:name w:val="标题 5 Char Char"/>
    <w:qFormat/>
    <w:uiPriority w:val="0"/>
    <w:rPr>
      <w:rFonts w:eastAsia="宋体"/>
      <w:b/>
      <w:kern w:val="2"/>
      <w:sz w:val="28"/>
      <w:lang w:val="en-US" w:eastAsia="zh-CN"/>
    </w:rPr>
  </w:style>
  <w:style w:type="character" w:customStyle="1" w:styleId="184">
    <w:name w:val="日期 Char"/>
    <w:link w:val="24"/>
    <w:qFormat/>
    <w:uiPriority w:val="0"/>
    <w:rPr>
      <w:kern w:val="2"/>
      <w:sz w:val="21"/>
      <w:lang w:bidi="ar-SA"/>
    </w:rPr>
  </w:style>
  <w:style w:type="character" w:customStyle="1" w:styleId="185">
    <w:name w:val="t151"/>
    <w:qFormat/>
    <w:uiPriority w:val="0"/>
    <w:rPr>
      <w:rFonts w:hint="default" w:ascii="ˎ̥" w:hAnsi="ˎ̥"/>
      <w:color w:val="B34300"/>
      <w:sz w:val="24"/>
    </w:rPr>
  </w:style>
  <w:style w:type="character" w:customStyle="1" w:styleId="186">
    <w:name w:val="标题 3 Char"/>
    <w:link w:val="5"/>
    <w:qFormat/>
    <w:uiPriority w:val="0"/>
    <w:rPr>
      <w:rFonts w:ascii="宋体" w:eastAsia="宋体"/>
      <w:b/>
      <w:kern w:val="2"/>
      <w:sz w:val="24"/>
      <w:u w:val="single"/>
      <w:lang w:val="en-US" w:eastAsia="zh-CN" w:bidi="ar-SA"/>
    </w:rPr>
  </w:style>
  <w:style w:type="character" w:customStyle="1" w:styleId="187">
    <w:name w:val="phone"/>
    <w:qFormat/>
    <w:uiPriority w:val="0"/>
    <w:rPr>
      <w:color w:val="FF8833"/>
      <w:sz w:val="18"/>
      <w:szCs w:val="18"/>
    </w:rPr>
  </w:style>
  <w:style w:type="character" w:customStyle="1" w:styleId="188">
    <w:name w:val="number"/>
    <w:qFormat/>
    <w:uiPriority w:val="0"/>
    <w:rPr>
      <w:color w:val="FF8833"/>
      <w:sz w:val="18"/>
      <w:szCs w:val="18"/>
    </w:rPr>
  </w:style>
  <w:style w:type="character" w:customStyle="1" w:styleId="189">
    <w:name w:val="批注框文本 Char"/>
    <w:link w:val="27"/>
    <w:qFormat/>
    <w:uiPriority w:val="0"/>
    <w:rPr>
      <w:rFonts w:eastAsia="宋体"/>
      <w:kern w:val="2"/>
      <w:sz w:val="18"/>
      <w:lang w:val="en-US" w:eastAsia="zh-CN" w:bidi="ar-SA"/>
    </w:rPr>
  </w:style>
  <w:style w:type="character" w:customStyle="1" w:styleId="190">
    <w:name w:val="纯文本 Char Char"/>
    <w:qFormat/>
    <w:uiPriority w:val="0"/>
    <w:rPr>
      <w:rFonts w:ascii="宋体" w:hAnsi="Courier New" w:eastAsia="宋体" w:cs="Courier New"/>
      <w:szCs w:val="21"/>
    </w:rPr>
  </w:style>
  <w:style w:type="character" w:customStyle="1" w:styleId="191">
    <w:name w:val="stclosebtn"/>
    <w:basedOn w:val="42"/>
    <w:qFormat/>
    <w:uiPriority w:val="0"/>
  </w:style>
  <w:style w:type="character" w:customStyle="1" w:styleId="192">
    <w:name w:val="正文缩进2格 Char Char"/>
    <w:link w:val="69"/>
    <w:qFormat/>
    <w:uiPriority w:val="0"/>
    <w:rPr>
      <w:rFonts w:ascii="仿宋_GB2312" w:hAnsi="宋体" w:eastAsia="仿宋_GB2312"/>
      <w:kern w:val="2"/>
      <w:sz w:val="31"/>
      <w:lang w:val="en-US" w:eastAsia="zh-CN" w:bidi="ar-SA"/>
    </w:rPr>
  </w:style>
  <w:style w:type="character" w:customStyle="1" w:styleId="193">
    <w:name w:val="beforeinfotext"/>
    <w:qFormat/>
    <w:uiPriority w:val="0"/>
    <w:rPr>
      <w:color w:val="666666"/>
    </w:rPr>
  </w:style>
  <w:style w:type="character" w:customStyle="1" w:styleId="194">
    <w:name w:val="标题 6 Char"/>
    <w:link w:val="8"/>
    <w:qFormat/>
    <w:uiPriority w:val="0"/>
    <w:rPr>
      <w:rFonts w:ascii="Arial" w:hAnsi="Arial" w:eastAsia="黑体"/>
      <w:b/>
      <w:kern w:val="2"/>
      <w:sz w:val="24"/>
      <w:lang w:val="en-US" w:eastAsia="zh-CN" w:bidi="ar-SA"/>
    </w:rPr>
  </w:style>
  <w:style w:type="character" w:customStyle="1" w:styleId="195">
    <w:name w:val="old"/>
    <w:qFormat/>
    <w:uiPriority w:val="0"/>
    <w:rPr>
      <w:color w:val="999999"/>
    </w:rPr>
  </w:style>
  <w:style w:type="character" w:customStyle="1" w:styleId="196">
    <w:name w:val="样式 标题 3 + 宋体 Char Char"/>
    <w:link w:val="75"/>
    <w:qFormat/>
    <w:uiPriority w:val="0"/>
    <w:rPr>
      <w:rFonts w:ascii="宋体" w:hAnsi="宋体" w:eastAsia="宋体"/>
      <w:snapToGrid w:val="0"/>
      <w:sz w:val="24"/>
      <w:lang w:val="en-US" w:eastAsia="zh-CN" w:bidi="ar-SA"/>
    </w:rPr>
  </w:style>
  <w:style w:type="character" w:customStyle="1" w:styleId="197">
    <w:name w:val="正文文本 Char"/>
    <w:link w:val="2"/>
    <w:qFormat/>
    <w:uiPriority w:val="0"/>
    <w:rPr>
      <w:rFonts w:eastAsia="宋体"/>
      <w:kern w:val="2"/>
      <w:sz w:val="21"/>
      <w:lang w:val="en-US" w:eastAsia="zh-CN" w:bidi="ar-SA"/>
    </w:rPr>
  </w:style>
  <w:style w:type="character" w:customStyle="1" w:styleId="198">
    <w:name w:val="页眉 Char1"/>
    <w:qFormat/>
    <w:uiPriority w:val="0"/>
    <w:rPr>
      <w:rFonts w:ascii="Times New Roman" w:hAnsi="Times New Roman" w:eastAsia="宋体" w:cs="Times New Roman"/>
      <w:sz w:val="18"/>
      <w:szCs w:val="18"/>
    </w:rPr>
  </w:style>
  <w:style w:type="character" w:customStyle="1" w:styleId="199">
    <w:name w:val="页脚 Char"/>
    <w:link w:val="28"/>
    <w:qFormat/>
    <w:uiPriority w:val="0"/>
    <w:rPr>
      <w:rFonts w:ascii="Times New Roman" w:hAnsi="Times New Roman" w:eastAsia="宋体" w:cs="Times New Roman"/>
      <w:kern w:val="0"/>
      <w:sz w:val="18"/>
      <w:szCs w:val="20"/>
    </w:rPr>
  </w:style>
  <w:style w:type="character" w:customStyle="1" w:styleId="200">
    <w:name w:val="glyphicon4"/>
    <w:basedOn w:val="42"/>
    <w:qFormat/>
    <w:uiPriority w:val="0"/>
  </w:style>
  <w:style w:type="character" w:customStyle="1" w:styleId="201">
    <w:name w:val="标题 8 Char"/>
    <w:link w:val="10"/>
    <w:qFormat/>
    <w:uiPriority w:val="0"/>
    <w:rPr>
      <w:rFonts w:ascii="Arial" w:hAnsi="Arial" w:eastAsia="黑体"/>
      <w:kern w:val="2"/>
      <w:sz w:val="24"/>
      <w:lang w:val="en-US" w:eastAsia="zh-CN" w:bidi="ar-SA"/>
    </w:rPr>
  </w:style>
  <w:style w:type="character" w:customStyle="1" w:styleId="202">
    <w:name w:val="正文文本缩进 3 Char"/>
    <w:link w:val="32"/>
    <w:qFormat/>
    <w:uiPriority w:val="0"/>
    <w:rPr>
      <w:rFonts w:eastAsia="宋体"/>
      <w:kern w:val="2"/>
      <w:sz w:val="16"/>
      <w:lang w:val="en-US" w:eastAsia="zh-CN" w:bidi="ar-SA"/>
    </w:rPr>
  </w:style>
  <w:style w:type="character" w:customStyle="1" w:styleId="203">
    <w:name w:val="indent"/>
    <w:basedOn w:val="42"/>
    <w:qFormat/>
    <w:uiPriority w:val="0"/>
  </w:style>
  <w:style w:type="character" w:customStyle="1" w:styleId="204">
    <w:name w:val="button"/>
    <w:basedOn w:val="42"/>
    <w:qFormat/>
    <w:uiPriority w:val="0"/>
  </w:style>
  <w:style w:type="character" w:customStyle="1" w:styleId="205">
    <w:name w:val="Footer-Even Char Char"/>
    <w:qFormat/>
    <w:uiPriority w:val="0"/>
    <w:rPr>
      <w:rFonts w:eastAsia="宋体"/>
      <w:kern w:val="2"/>
      <w:sz w:val="18"/>
      <w:lang w:val="en-US" w:eastAsia="zh-CN" w:bidi="ar-SA"/>
    </w:rPr>
  </w:style>
  <w:style w:type="character" w:customStyle="1" w:styleId="206">
    <w:name w:val="标题 5 Char"/>
    <w:link w:val="7"/>
    <w:qFormat/>
    <w:uiPriority w:val="0"/>
    <w:rPr>
      <w:rFonts w:eastAsia="宋体"/>
      <w:b/>
      <w:kern w:val="2"/>
      <w:sz w:val="28"/>
      <w:lang w:val="en-US" w:eastAsia="zh-CN" w:bidi="ar-SA"/>
    </w:rPr>
  </w:style>
  <w:style w:type="character" w:customStyle="1" w:styleId="207">
    <w:name w:val="普通文字 Char"/>
    <w:qFormat/>
    <w:uiPriority w:val="0"/>
    <w:rPr>
      <w:rFonts w:ascii="宋体" w:hAnsi="Courier New" w:eastAsia="宋体" w:cs="Times New Roman"/>
      <w:szCs w:val="21"/>
    </w:rPr>
  </w:style>
  <w:style w:type="character" w:customStyle="1" w:styleId="208">
    <w:name w:val="页眉 Char"/>
    <w:link w:val="29"/>
    <w:qFormat/>
    <w:uiPriority w:val="0"/>
    <w:rPr>
      <w:kern w:val="2"/>
      <w:sz w:val="18"/>
      <w:lang w:bidi="ar-SA"/>
    </w:rPr>
  </w:style>
  <w:style w:type="character" w:customStyle="1" w:styleId="209">
    <w:name w:val="标题 7 Char"/>
    <w:link w:val="9"/>
    <w:qFormat/>
    <w:uiPriority w:val="0"/>
    <w:rPr>
      <w:rFonts w:eastAsia="宋体"/>
      <w:b/>
      <w:kern w:val="2"/>
      <w:sz w:val="24"/>
      <w:lang w:val="en-US" w:eastAsia="zh-CN" w:bidi="ar-SA"/>
    </w:rPr>
  </w:style>
  <w:style w:type="character" w:customStyle="1" w:styleId="210">
    <w:name w:val="日期 Char Char"/>
    <w:qFormat/>
    <w:uiPriority w:val="0"/>
    <w:rPr>
      <w:rFonts w:ascii="Times New Roman" w:hAnsi="Times New Roman" w:eastAsia="宋体" w:cs="Times New Roman"/>
      <w:b/>
      <w:sz w:val="32"/>
      <w:szCs w:val="20"/>
    </w:rPr>
  </w:style>
  <w:style w:type="character" w:customStyle="1" w:styleId="211">
    <w:name w:val="proollist"/>
    <w:basedOn w:val="42"/>
    <w:qFormat/>
    <w:uiPriority w:val="0"/>
  </w:style>
  <w:style w:type="character" w:customStyle="1" w:styleId="212">
    <w:name w:val="文档结构图 Char"/>
    <w:link w:val="17"/>
    <w:qFormat/>
    <w:uiPriority w:val="0"/>
    <w:rPr>
      <w:rFonts w:eastAsia="宋体"/>
      <w:kern w:val="2"/>
      <w:sz w:val="21"/>
      <w:lang w:val="en-US" w:eastAsia="zh-CN" w:bidi="ar-SA"/>
    </w:rPr>
  </w:style>
  <w:style w:type="character" w:customStyle="1" w:styleId="213">
    <w:name w:val="hour_pm"/>
    <w:basedOn w:val="42"/>
    <w:qFormat/>
    <w:uiPriority w:val="0"/>
  </w:style>
  <w:style w:type="character" w:customStyle="1" w:styleId="214">
    <w:name w:val="正文文本缩进 2 Char"/>
    <w:link w:val="25"/>
    <w:qFormat/>
    <w:uiPriority w:val="0"/>
    <w:rPr>
      <w:rFonts w:eastAsia="宋体"/>
      <w:kern w:val="2"/>
      <w:sz w:val="21"/>
      <w:lang w:val="en-US" w:eastAsia="zh-CN" w:bidi="ar-SA"/>
    </w:rPr>
  </w:style>
  <w:style w:type="character" w:customStyle="1" w:styleId="215">
    <w:name w:val="text1"/>
    <w:basedOn w:val="42"/>
    <w:qFormat/>
    <w:uiPriority w:val="0"/>
  </w:style>
  <w:style w:type="character" w:customStyle="1" w:styleId="216">
    <w:name w:val="标题 2 Char"/>
    <w:link w:val="4"/>
    <w:qFormat/>
    <w:uiPriority w:val="0"/>
    <w:rPr>
      <w:rFonts w:ascii="Arial" w:hAnsi="Arial" w:eastAsia="黑体" w:cs="Times New Roman"/>
      <w:b/>
      <w:bCs/>
      <w:sz w:val="32"/>
      <w:szCs w:val="32"/>
    </w:rPr>
  </w:style>
  <w:style w:type="character" w:customStyle="1" w:styleId="217">
    <w:name w:val="纯文本 Char"/>
    <w:link w:val="22"/>
    <w:qFormat/>
    <w:uiPriority w:val="0"/>
    <w:rPr>
      <w:rFonts w:ascii="宋体" w:hAnsi="Courier New" w:eastAsia="宋体"/>
      <w:kern w:val="2"/>
      <w:sz w:val="21"/>
      <w:lang w:val="en-US" w:eastAsia="zh-CN" w:bidi="ar-SA"/>
    </w:rPr>
  </w:style>
  <w:style w:type="character" w:customStyle="1" w:styleId="218">
    <w:name w:val="zi71"/>
    <w:qFormat/>
    <w:uiPriority w:val="0"/>
    <w:rPr>
      <w:color w:val="000000"/>
      <w:sz w:val="20"/>
      <w:u w:val="none"/>
    </w:rPr>
  </w:style>
  <w:style w:type="character" w:customStyle="1" w:styleId="219">
    <w:name w:val="Char Char2"/>
    <w:qFormat/>
    <w:uiPriority w:val="0"/>
    <w:rPr>
      <w:rFonts w:ascii="Arial" w:hAnsi="Arial" w:eastAsia="黑体"/>
      <w:b/>
      <w:bCs/>
      <w:kern w:val="2"/>
      <w:sz w:val="32"/>
      <w:szCs w:val="32"/>
      <w:lang w:val="en-US" w:eastAsia="zh-CN" w:bidi="ar-SA"/>
    </w:rPr>
  </w:style>
  <w:style w:type="character" w:customStyle="1" w:styleId="220">
    <w:name w:val="页眉 Char Char"/>
    <w:qFormat/>
    <w:uiPriority w:val="0"/>
    <w:rPr>
      <w:rFonts w:ascii="Times New Roman" w:hAnsi="Times New Roman" w:eastAsia="宋体" w:cs="Times New Roman"/>
      <w:sz w:val="18"/>
      <w:szCs w:val="18"/>
    </w:rPr>
  </w:style>
  <w:style w:type="character" w:customStyle="1" w:styleId="221">
    <w:name w:val="页码1"/>
    <w:qFormat/>
    <w:uiPriority w:val="0"/>
    <w:rPr>
      <w:rFonts w:hint="default" w:ascii="Times New Roman"/>
    </w:rPr>
  </w:style>
  <w:style w:type="character" w:customStyle="1" w:styleId="222">
    <w:name w:val="f141"/>
    <w:qFormat/>
    <w:uiPriority w:val="0"/>
    <w:rPr>
      <w:sz w:val="21"/>
    </w:rPr>
  </w:style>
  <w:style w:type="character" w:customStyle="1" w:styleId="223">
    <w:name w:val="hover3"/>
    <w:qFormat/>
    <w:uiPriority w:val="0"/>
    <w:rPr>
      <w:shd w:val="clear" w:color="auto" w:fill="EEEEEE"/>
    </w:rPr>
  </w:style>
  <w:style w:type="character" w:customStyle="1" w:styleId="224">
    <w:name w:val="tmpztreemove_arrow"/>
    <w:qFormat/>
    <w:uiPriority w:val="0"/>
    <w:rPr>
      <w:shd w:val="clear" w:color="auto" w:fill="FFFFFF"/>
    </w:rPr>
  </w:style>
  <w:style w:type="character" w:customStyle="1" w:styleId="225">
    <w:name w:val="标题 4 Char"/>
    <w:link w:val="6"/>
    <w:qFormat/>
    <w:uiPriority w:val="0"/>
    <w:rPr>
      <w:rFonts w:eastAsia="宋体"/>
      <w:color w:val="FF0000"/>
      <w:kern w:val="2"/>
      <w:sz w:val="28"/>
      <w:u w:val="single"/>
      <w:lang w:val="en-US" w:eastAsia="zh-CN" w:bidi="ar-SA"/>
    </w:rPr>
  </w:style>
  <w:style w:type="character" w:customStyle="1" w:styleId="226">
    <w:name w:val="正文文本 2 Char"/>
    <w:link w:val="35"/>
    <w:qFormat/>
    <w:uiPriority w:val="0"/>
    <w:rPr>
      <w:rFonts w:eastAsia="宋体"/>
      <w:kern w:val="2"/>
      <w:sz w:val="30"/>
      <w:lang w:val="en-US" w:eastAsia="zh-CN" w:bidi="ar-SA"/>
    </w:rPr>
  </w:style>
  <w:style w:type="character" w:customStyle="1" w:styleId="227">
    <w:name w:val="paramname3"/>
    <w:qFormat/>
    <w:uiPriority w:val="0"/>
    <w:rPr>
      <w:color w:val="999999"/>
    </w:rPr>
  </w:style>
  <w:style w:type="character" w:customStyle="1" w:styleId="228">
    <w:name w:val="Char Char7"/>
    <w:qFormat/>
    <w:uiPriority w:val="0"/>
    <w:rPr>
      <w:rFonts w:ascii="Times New Roman" w:hAnsi="Times New Roman" w:eastAsia="宋体"/>
    </w:rPr>
  </w:style>
  <w:style w:type="character" w:customStyle="1" w:styleId="229">
    <w:name w:val="标题 3 Char1 Char"/>
    <w:qFormat/>
    <w:uiPriority w:val="0"/>
    <w:rPr>
      <w:rFonts w:ascii="Times New Roman" w:hAnsi="Times New Roman" w:eastAsia="宋体"/>
      <w:b/>
      <w:sz w:val="32"/>
    </w:rPr>
  </w:style>
  <w:style w:type="character" w:customStyle="1" w:styleId="230">
    <w:name w:val="Heading 2 Char"/>
    <w:qFormat/>
    <w:locked/>
    <w:uiPriority w:val="0"/>
    <w:rPr>
      <w:rFonts w:ascii="Arial" w:hAnsi="Arial" w:eastAsia="黑体" w:cs="Times New Roman"/>
      <w:b/>
      <w:bCs/>
      <w:sz w:val="32"/>
      <w:szCs w:val="32"/>
    </w:rPr>
  </w:style>
  <w:style w:type="character" w:customStyle="1" w:styleId="231">
    <w:name w:val="hour_am"/>
    <w:basedOn w:val="42"/>
    <w:qFormat/>
    <w:uiPriority w:val="0"/>
  </w:style>
  <w:style w:type="character" w:customStyle="1" w:styleId="232">
    <w:name w:val="spantable1"/>
    <w:qFormat/>
    <w:uiPriority w:val="0"/>
    <w:rPr>
      <w:rFonts w:hint="default" w:ascii="ˎ̥" w:hAnsi="ˎ̥"/>
      <w:sz w:val="18"/>
    </w:rPr>
  </w:style>
  <w:style w:type="character" w:customStyle="1" w:styleId="233">
    <w:name w:val="标题 1 Char Char"/>
    <w:qFormat/>
    <w:uiPriority w:val="0"/>
    <w:rPr>
      <w:rFonts w:ascii="Times New Roman" w:hAnsi="Times New Roman" w:eastAsia="宋体" w:cs="Times New Roman"/>
      <w:b/>
      <w:bCs/>
      <w:kern w:val="44"/>
      <w:sz w:val="44"/>
      <w:szCs w:val="44"/>
    </w:rPr>
  </w:style>
  <w:style w:type="character" w:customStyle="1" w:styleId="234">
    <w:name w:val="正文文字 Char"/>
    <w:qFormat/>
    <w:uiPriority w:val="0"/>
    <w:rPr>
      <w:rFonts w:eastAsia="宋体"/>
      <w:kern w:val="2"/>
      <w:sz w:val="21"/>
      <w:lang w:val="en-US" w:eastAsia="zh-CN"/>
    </w:rPr>
  </w:style>
  <w:style w:type="character" w:customStyle="1" w:styleId="235">
    <w:name w:val="标题 9 Char"/>
    <w:link w:val="11"/>
    <w:qFormat/>
    <w:uiPriority w:val="0"/>
    <w:rPr>
      <w:rFonts w:ascii="Arial" w:hAnsi="Arial" w:eastAsia="黑体"/>
      <w:kern w:val="2"/>
      <w:sz w:val="21"/>
      <w:lang w:val="en-US" w:eastAsia="zh-CN" w:bidi="ar-SA"/>
    </w:rPr>
  </w:style>
  <w:style w:type="paragraph" w:customStyle="1" w:styleId="236">
    <w:name w:val="title15"/>
    <w:basedOn w:val="1"/>
    <w:qFormat/>
    <w:uiPriority w:val="0"/>
    <w:pPr>
      <w:spacing w:before="120"/>
      <w:jc w:val="left"/>
    </w:pPr>
    <w:rPr>
      <w:b/>
      <w:kern w:val="0"/>
      <w:sz w:val="18"/>
      <w:szCs w:val="18"/>
    </w:rPr>
  </w:style>
  <w:style w:type="character" w:styleId="237">
    <w:name w:val="Placeholder Text"/>
    <w:semiHidden/>
    <w:qFormat/>
    <w:uiPriority w:val="99"/>
    <w:rPr>
      <w:color w:val="808080"/>
    </w:rPr>
  </w:style>
  <w:style w:type="paragraph" w:customStyle="1" w:styleId="238">
    <w:name w:val="title14"/>
    <w:basedOn w:val="1"/>
    <w:qFormat/>
    <w:uiPriority w:val="0"/>
    <w:pPr>
      <w:spacing w:before="100"/>
      <w:jc w:val="left"/>
    </w:pPr>
    <w:rPr>
      <w:b/>
      <w:kern w:val="0"/>
      <w:sz w:val="15"/>
      <w:szCs w:val="15"/>
    </w:rPr>
  </w:style>
  <w:style w:type="table" w:customStyle="1" w:styleId="239">
    <w:name w:val="TableGrid"/>
    <w:qFormat/>
    <w:uiPriority w:val="0"/>
    <w:tblPr>
      <w:tblCellMar>
        <w:top w:w="0" w:type="dxa"/>
        <w:left w:w="0" w:type="dxa"/>
        <w:bottom w:w="0" w:type="dxa"/>
        <w:right w:w="0" w:type="dxa"/>
      </w:tblCellMar>
    </w:tblPr>
  </w:style>
  <w:style w:type="character" w:customStyle="1" w:styleId="240">
    <w:name w:val="font61"/>
    <w:basedOn w:val="42"/>
    <w:qFormat/>
    <w:uiPriority w:val="0"/>
    <w:rPr>
      <w:rFonts w:ascii="Arial" w:hAnsi="Arial" w:cs="Arial"/>
      <w:color w:val="000000"/>
      <w:sz w:val="24"/>
      <w:szCs w:val="24"/>
      <w:u w:val="none"/>
    </w:rPr>
  </w:style>
  <w:style w:type="character" w:customStyle="1" w:styleId="241">
    <w:name w:val="font31"/>
    <w:basedOn w:val="42"/>
    <w:qFormat/>
    <w:uiPriority w:val="0"/>
    <w:rPr>
      <w:rFonts w:hint="eastAsia" w:ascii="仿宋" w:hAnsi="仿宋" w:eastAsia="仿宋" w:cs="仿宋"/>
      <w:color w:val="000000"/>
      <w:sz w:val="24"/>
      <w:szCs w:val="24"/>
      <w:u w:val="none"/>
    </w:rPr>
  </w:style>
  <w:style w:type="character" w:customStyle="1" w:styleId="242">
    <w:name w:val="font21"/>
    <w:basedOn w:val="42"/>
    <w:qFormat/>
    <w:uiPriority w:val="0"/>
    <w:rPr>
      <w:rFonts w:hint="eastAsia" w:ascii="仿宋" w:hAnsi="仿宋" w:eastAsia="仿宋" w:cs="仿宋"/>
      <w:b/>
      <w:bCs/>
      <w:color w:val="000000"/>
      <w:sz w:val="24"/>
      <w:szCs w:val="24"/>
      <w:u w:val="none"/>
    </w:rPr>
  </w:style>
  <w:style w:type="paragraph" w:customStyle="1" w:styleId="243">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首行缩进"/>
    <w:basedOn w:val="1"/>
    <w:qFormat/>
    <w:uiPriority w:val="0"/>
    <w:pPr>
      <w:spacing w:line="360" w:lineRule="auto"/>
      <w:ind w:firstLine="480" w:firstLineChars="200"/>
    </w:pPr>
    <w:rPr>
      <w:sz w:val="24"/>
      <w:szCs w:val="22"/>
      <w:lang w:val="zh-CN"/>
    </w:rPr>
  </w:style>
  <w:style w:type="paragraph" w:customStyle="1" w:styleId="245">
    <w:name w:val="FUNO2"/>
    <w:next w:val="1"/>
    <w:qFormat/>
    <w:uiPriority w:val="0"/>
    <w:pPr>
      <w:spacing w:beforeLines="50" w:afterLines="50"/>
      <w:outlineLvl w:val="1"/>
    </w:pPr>
    <w:rPr>
      <w:rFonts w:ascii="Arial Unicode MS" w:hAnsi="Arial Unicode MS" w:eastAsia="宋体" w:cs="Times New Roman"/>
      <w:b/>
      <w:kern w:val="2"/>
      <w:sz w:val="36"/>
      <w:szCs w:val="22"/>
      <w:lang w:val="en-US" w:eastAsia="zh-CN" w:bidi="ar-SA"/>
    </w:rPr>
  </w:style>
  <w:style w:type="paragraph" w:customStyle="1" w:styleId="246">
    <w:name w:val="FUNO3"/>
    <w:next w:val="1"/>
    <w:qFormat/>
    <w:uiPriority w:val="0"/>
    <w:pPr>
      <w:spacing w:beforeLines="50" w:afterLines="50"/>
      <w:outlineLvl w:val="2"/>
    </w:pPr>
    <w:rPr>
      <w:rFonts w:ascii="Arial Unicode MS" w:hAnsi="Arial Unicode MS" w:eastAsia="宋体" w:cs="Times New Roman"/>
      <w:b/>
      <w:kern w:val="2"/>
      <w:sz w:val="32"/>
      <w:szCs w:val="22"/>
      <w:lang w:val="en-US" w:eastAsia="zh-CN" w:bidi="ar-SA"/>
    </w:rPr>
  </w:style>
  <w:style w:type="paragraph" w:customStyle="1" w:styleId="247">
    <w:name w:val="FUNO1"/>
    <w:next w:val="1"/>
    <w:qFormat/>
    <w:uiPriority w:val="0"/>
    <w:pPr>
      <w:spacing w:beforeLines="50" w:afterLines="50"/>
      <w:outlineLvl w:val="0"/>
    </w:pPr>
    <w:rPr>
      <w:rFonts w:ascii="Arial Unicode MS" w:hAnsi="Arial Unicode MS" w:eastAsia="黑体" w:cs="Times New Roman"/>
      <w:b/>
      <w:kern w:val="2"/>
      <w:sz w:val="44"/>
      <w:szCs w:val="22"/>
      <w:lang w:val="en-US" w:eastAsia="zh-CN" w:bidi="ar-SA"/>
    </w:rPr>
  </w:style>
  <w:style w:type="character" w:customStyle="1" w:styleId="248">
    <w:name w:val="font81"/>
    <w:basedOn w:val="42"/>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50376</Words>
  <Characters>54465</Characters>
  <Lines>267</Lines>
  <Paragraphs>75</Paragraphs>
  <TotalTime>83</TotalTime>
  <ScaleCrop>false</ScaleCrop>
  <LinksUpToDate>false</LinksUpToDate>
  <CharactersWithSpaces>60838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2021-09-17T09:02:00Z</dcterms:created>
  <dc:creator>lx</dc:creator>
  <cp:lastModifiedBy>懛鰦</cp:lastModifiedBy>
  <cp:lastPrinted>2022-07-11T04:17:20Z</cp:lastPrinted>
  <dcterms:modified xsi:type="dcterms:W3CDTF">2022-07-11T06:54:54Z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KSOSaveFontToCloudKey">
    <vt:lpwstr>0_btnclosed</vt:lpwstr>
  </property>
  <property fmtid="{D5CDD505-2E9C-101B-9397-08002B2CF9AE}" pid="4" name="ICV">
    <vt:lpwstr>9ED15F5D991A4A798F276215DB6DEF53</vt:lpwstr>
  </property>
</Properties>
</file>