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9A" w:rsidRDefault="00C53404" w:rsidP="003B709A">
      <w:pPr>
        <w:pStyle w:val="1"/>
        <w:tabs>
          <w:tab w:val="left" w:pos="0"/>
        </w:tabs>
        <w:autoSpaceDE w:val="0"/>
        <w:autoSpaceDN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关于</w:t>
      </w:r>
      <w:r w:rsidR="00AA38FB" w:rsidRPr="00AA38FB">
        <w:rPr>
          <w:rFonts w:ascii="华文中宋" w:eastAsia="华文中宋" w:hAnsi="华文中宋" w:hint="eastAsia"/>
        </w:rPr>
        <w:t>西安市人民检察院网络安全态势感知平台和防病毒网关建设项目</w:t>
      </w:r>
      <w:r>
        <w:rPr>
          <w:rFonts w:ascii="华文中宋" w:eastAsia="华文中宋" w:hAnsi="华文中宋" w:hint="eastAsia"/>
        </w:rPr>
        <w:t>的</w:t>
      </w:r>
      <w:r w:rsidR="00D67DA6">
        <w:rPr>
          <w:rFonts w:ascii="华文中宋" w:eastAsia="华文中宋" w:hAnsi="华文中宋" w:hint="eastAsia"/>
        </w:rPr>
        <w:t>中标</w:t>
      </w:r>
      <w:r w:rsidR="003B709A">
        <w:rPr>
          <w:rFonts w:ascii="华文中宋" w:eastAsia="华文中宋" w:hAnsi="华文中宋" w:hint="eastAsia"/>
        </w:rPr>
        <w:t>结果公告</w:t>
      </w:r>
    </w:p>
    <w:p w:rsidR="003B709A" w:rsidRPr="00AA38FB" w:rsidRDefault="003B709A" w:rsidP="003B709A">
      <w:pPr>
        <w:rPr>
          <w:rFonts w:ascii="仿宋" w:eastAsia="仿宋" w:hAnsi="仿宋"/>
          <w:sz w:val="28"/>
          <w:szCs w:val="28"/>
        </w:rPr>
      </w:pPr>
      <w:r w:rsidRPr="004E342D">
        <w:rPr>
          <w:rFonts w:ascii="黑体" w:eastAsia="黑体" w:hAnsi="黑体" w:hint="eastAsia"/>
          <w:sz w:val="28"/>
          <w:szCs w:val="28"/>
        </w:rPr>
        <w:t>一</w:t>
      </w:r>
      <w:r w:rsidRPr="004E342D">
        <w:rPr>
          <w:rFonts w:ascii="黑体" w:eastAsia="黑体" w:hAnsi="黑体"/>
          <w:sz w:val="28"/>
          <w:szCs w:val="28"/>
        </w:rPr>
        <w:t>、</w:t>
      </w:r>
      <w:r w:rsidRPr="004E342D">
        <w:rPr>
          <w:rFonts w:ascii="黑体" w:eastAsia="黑体" w:hAnsi="黑体" w:hint="eastAsia"/>
          <w:sz w:val="28"/>
          <w:szCs w:val="28"/>
        </w:rPr>
        <w:t>项目编号：</w:t>
      </w:r>
      <w:r w:rsidR="00FE7349">
        <w:rPr>
          <w:rFonts w:ascii="黑体" w:eastAsia="黑体" w:hAnsi="黑体" w:hint="eastAsia"/>
          <w:sz w:val="28"/>
          <w:szCs w:val="28"/>
        </w:rPr>
        <w:t>X</w:t>
      </w:r>
      <w:r w:rsidR="00FE7349" w:rsidRPr="00AA38FB">
        <w:rPr>
          <w:rFonts w:ascii="仿宋" w:eastAsia="仿宋" w:hAnsi="仿宋" w:hint="eastAsia"/>
          <w:sz w:val="28"/>
          <w:szCs w:val="28"/>
        </w:rPr>
        <w:t>CZX</w:t>
      </w:r>
      <w:r w:rsidR="002346A3" w:rsidRPr="00AA38FB">
        <w:rPr>
          <w:rFonts w:ascii="仿宋" w:eastAsia="仿宋" w:hAnsi="仿宋" w:hint="eastAsia"/>
          <w:sz w:val="28"/>
          <w:szCs w:val="28"/>
        </w:rPr>
        <w:t>202</w:t>
      </w:r>
      <w:r w:rsidR="00AA38FB" w:rsidRPr="00AA38FB">
        <w:rPr>
          <w:rFonts w:ascii="仿宋" w:eastAsia="仿宋" w:hAnsi="仿宋" w:hint="eastAsia"/>
          <w:sz w:val="28"/>
          <w:szCs w:val="28"/>
        </w:rPr>
        <w:t>2-0029</w:t>
      </w:r>
    </w:p>
    <w:p w:rsidR="00CB0909" w:rsidRPr="00AA38FB" w:rsidRDefault="00AA38FB" w:rsidP="00CB0909">
      <w:pPr>
        <w:ind w:left="1960" w:hangingChars="700" w:hanging="196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="00CB0909" w:rsidRPr="00CB0909">
        <w:rPr>
          <w:rFonts w:ascii="黑体" w:eastAsia="黑体" w:hAnsi="黑体" w:hint="eastAsia"/>
          <w:sz w:val="28"/>
          <w:szCs w:val="28"/>
        </w:rPr>
        <w:t>备案编号：</w:t>
      </w:r>
      <w:r w:rsidRPr="00AA38FB">
        <w:rPr>
          <w:rFonts w:ascii="仿宋" w:eastAsia="仿宋" w:hAnsi="仿宋" w:hint="eastAsia"/>
          <w:sz w:val="28"/>
          <w:szCs w:val="28"/>
        </w:rPr>
        <w:t>ZCBN-西安市-2022-00616</w:t>
      </w:r>
    </w:p>
    <w:p w:rsidR="00AA38FB" w:rsidRPr="00AA38FB" w:rsidRDefault="003B709A" w:rsidP="00D91C67">
      <w:pPr>
        <w:ind w:left="1960" w:hangingChars="700" w:hanging="196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 w:rsidR="00AA38FB">
        <w:rPr>
          <w:rFonts w:ascii="黑体" w:eastAsia="黑体" w:hAnsi="黑体" w:hint="eastAsia"/>
          <w:sz w:val="28"/>
          <w:szCs w:val="28"/>
        </w:rPr>
        <w:t>项目名称:</w:t>
      </w:r>
      <w:r w:rsidR="00AA38FB" w:rsidRPr="00AA38FB">
        <w:rPr>
          <w:rFonts w:ascii="仿宋" w:eastAsia="仿宋" w:hAnsi="仿宋" w:hint="eastAsia"/>
          <w:sz w:val="28"/>
          <w:szCs w:val="28"/>
        </w:rPr>
        <w:t>西安市人民检察院网络安全态势感知平台和防病毒网关建设项目</w:t>
      </w:r>
    </w:p>
    <w:p w:rsidR="00FB1A76" w:rsidRDefault="00F65175" w:rsidP="00D91C67">
      <w:pPr>
        <w:ind w:left="1960" w:hangingChars="700" w:hanging="19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C91AB5">
        <w:rPr>
          <w:rFonts w:ascii="黑体" w:eastAsia="黑体" w:hAnsi="黑体" w:hint="eastAsia"/>
          <w:sz w:val="28"/>
          <w:szCs w:val="28"/>
        </w:rPr>
        <w:t>中标</w:t>
      </w:r>
      <w:r w:rsidR="003B709A">
        <w:rPr>
          <w:rFonts w:ascii="黑体" w:eastAsia="黑体" w:hAnsi="黑体" w:hint="eastAsia"/>
          <w:sz w:val="28"/>
          <w:szCs w:val="28"/>
        </w:rPr>
        <w:t>信息</w:t>
      </w:r>
    </w:p>
    <w:p w:rsidR="00AA38FB" w:rsidRDefault="003B709A" w:rsidP="003B709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D974DA" w:rsidRPr="00D974DA">
        <w:rPr>
          <w:rFonts w:ascii="仿宋" w:eastAsia="仿宋" w:hAnsi="仿宋" w:hint="eastAsia"/>
          <w:sz w:val="28"/>
          <w:szCs w:val="28"/>
        </w:rPr>
        <w:t>陕西联拓永欣信息工程有限公司</w:t>
      </w:r>
    </w:p>
    <w:p w:rsidR="00D91C67" w:rsidRDefault="003B709A" w:rsidP="003B709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A38FB">
        <w:rPr>
          <w:rFonts w:ascii="仿宋" w:eastAsia="仿宋" w:hAnsi="仿宋"/>
          <w:sz w:val="28"/>
          <w:szCs w:val="28"/>
        </w:rPr>
        <w:t xml:space="preserve"> </w:t>
      </w:r>
      <w:r w:rsidR="00D974DA">
        <w:rPr>
          <w:rFonts w:ascii="仿宋" w:eastAsia="仿宋" w:hAnsi="仿宋" w:hint="eastAsia"/>
          <w:sz w:val="28"/>
          <w:szCs w:val="28"/>
        </w:rPr>
        <w:t>陕西省西安市碑林区测绘路4号院内一层</w:t>
      </w:r>
    </w:p>
    <w:p w:rsidR="00D91C67" w:rsidRDefault="003B709A" w:rsidP="003B709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D974DA">
        <w:rPr>
          <w:rFonts w:ascii="仿宋" w:eastAsia="仿宋" w:hAnsi="仿宋" w:hint="eastAsia"/>
          <w:sz w:val="28"/>
          <w:szCs w:val="28"/>
        </w:rPr>
        <w:t>598000.00元</w:t>
      </w:r>
      <w:r w:rsidR="00AA38FB">
        <w:rPr>
          <w:rFonts w:ascii="仿宋" w:eastAsia="仿宋" w:hAnsi="仿宋"/>
          <w:sz w:val="28"/>
          <w:szCs w:val="28"/>
        </w:rPr>
        <w:t xml:space="preserve"> </w:t>
      </w:r>
    </w:p>
    <w:p w:rsidR="00D974DA" w:rsidRDefault="00A4692A" w:rsidP="00D974D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</w:t>
      </w:r>
      <w:r>
        <w:rPr>
          <w:rFonts w:ascii="仿宋" w:eastAsia="仿宋" w:hAnsi="仿宋" w:hint="eastAsia"/>
          <w:sz w:val="28"/>
          <w:szCs w:val="28"/>
        </w:rPr>
        <w:t>：</w:t>
      </w:r>
      <w:r w:rsidR="00D974DA">
        <w:rPr>
          <w:rFonts w:ascii="仿宋" w:eastAsia="仿宋" w:hAnsi="仿宋" w:hint="eastAsia"/>
          <w:sz w:val="28"/>
          <w:szCs w:val="28"/>
        </w:rPr>
        <w:t>李娜娜</w:t>
      </w:r>
    </w:p>
    <w:p w:rsidR="00D974DA" w:rsidRDefault="00D67DA6" w:rsidP="00D974D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7DA6">
        <w:rPr>
          <w:rFonts w:ascii="仿宋" w:eastAsia="仿宋" w:hAnsi="仿宋"/>
          <w:sz w:val="28"/>
          <w:szCs w:val="28"/>
        </w:rPr>
        <w:t>联系电话：</w:t>
      </w:r>
      <w:r w:rsidR="00D974DA">
        <w:rPr>
          <w:rFonts w:ascii="仿宋" w:eastAsia="仿宋" w:hAnsi="仿宋" w:hint="eastAsia"/>
          <w:sz w:val="28"/>
          <w:szCs w:val="28"/>
        </w:rPr>
        <w:t>18829075165</w:t>
      </w:r>
    </w:p>
    <w:p w:rsidR="003B709A" w:rsidRDefault="003B709A" w:rsidP="003B70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7A64C2" w:rsidTr="00A8603F">
        <w:trPr>
          <w:trHeight w:val="401"/>
        </w:trPr>
        <w:tc>
          <w:tcPr>
            <w:tcW w:w="8080" w:type="dxa"/>
          </w:tcPr>
          <w:p w:rsidR="007A64C2" w:rsidRDefault="007A64C2" w:rsidP="007A64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货物类</w:t>
            </w:r>
          </w:p>
        </w:tc>
      </w:tr>
      <w:tr w:rsidR="007A64C2" w:rsidTr="00A8603F">
        <w:trPr>
          <w:trHeight w:val="395"/>
        </w:trPr>
        <w:tc>
          <w:tcPr>
            <w:tcW w:w="8080" w:type="dxa"/>
          </w:tcPr>
          <w:p w:rsidR="007A64C2" w:rsidRDefault="007A64C2" w:rsidP="003B709A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详见</w:t>
            </w:r>
            <w:r>
              <w:rPr>
                <w:rFonts w:ascii="黑体" w:eastAsia="黑体" w:hAnsi="黑体"/>
                <w:sz w:val="28"/>
                <w:szCs w:val="28"/>
              </w:rPr>
              <w:t>附件</w:t>
            </w:r>
          </w:p>
        </w:tc>
      </w:tr>
    </w:tbl>
    <w:p w:rsidR="00CB0909" w:rsidRPr="00CB0909" w:rsidRDefault="00D91C67" w:rsidP="003B709A">
      <w:pPr>
        <w:rPr>
          <w:rFonts w:ascii="仿宋" w:eastAsia="仿宋" w:hAnsi="仿宋" w:cs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/>
          <w:sz w:val="28"/>
          <w:szCs w:val="28"/>
        </w:rPr>
        <w:t>评审</w:t>
      </w:r>
      <w:r>
        <w:rPr>
          <w:rFonts w:ascii="黑体" w:eastAsia="黑体" w:hAnsi="黑体" w:hint="eastAsia"/>
          <w:sz w:val="28"/>
          <w:szCs w:val="28"/>
        </w:rPr>
        <w:t>专家</w:t>
      </w:r>
      <w:r>
        <w:rPr>
          <w:rFonts w:ascii="黑体" w:eastAsia="黑体" w:hAnsi="黑体"/>
          <w:sz w:val="28"/>
          <w:szCs w:val="28"/>
        </w:rPr>
        <w:t>名单：</w:t>
      </w:r>
      <w:r w:rsidR="00AA38FB">
        <w:rPr>
          <w:rFonts w:ascii="仿宋" w:eastAsia="仿宋" w:hAnsi="仿宋" w:cs="宋体" w:hint="eastAsia"/>
          <w:sz w:val="28"/>
          <w:szCs w:val="28"/>
        </w:rPr>
        <w:t>傅中华、强爱宁、徐君、王亚洲、高辉</w:t>
      </w:r>
    </w:p>
    <w:p w:rsidR="003B709A" w:rsidRDefault="00D91C67" w:rsidP="003B709A">
      <w:pPr>
        <w:rPr>
          <w:rFonts w:ascii="仿宋" w:eastAsia="仿宋" w:hAnsi="仿宋" w:cs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3B709A">
        <w:rPr>
          <w:rFonts w:ascii="黑体" w:eastAsia="黑体" w:hAnsi="黑体" w:hint="eastAsia"/>
          <w:sz w:val="28"/>
          <w:szCs w:val="28"/>
        </w:rPr>
        <w:t>、公告期限：</w:t>
      </w:r>
      <w:r w:rsidR="003B709A">
        <w:rPr>
          <w:rFonts w:ascii="仿宋" w:eastAsia="仿宋" w:hAnsi="仿宋" w:cs="宋体" w:hint="eastAsia"/>
          <w:sz w:val="28"/>
          <w:szCs w:val="28"/>
        </w:rPr>
        <w:t>自本公告发布之日起</w:t>
      </w:r>
      <w:r w:rsidR="003B709A">
        <w:rPr>
          <w:rFonts w:ascii="仿宋" w:eastAsia="仿宋" w:hAnsi="仿宋" w:cs="宋体"/>
          <w:sz w:val="28"/>
          <w:szCs w:val="28"/>
        </w:rPr>
        <w:t>1</w:t>
      </w:r>
      <w:r w:rsidR="003B709A">
        <w:rPr>
          <w:rFonts w:ascii="仿宋" w:eastAsia="仿宋" w:hAnsi="仿宋" w:cs="宋体" w:hint="eastAsia"/>
          <w:sz w:val="28"/>
          <w:szCs w:val="28"/>
        </w:rPr>
        <w:t>个工作日。</w:t>
      </w:r>
    </w:p>
    <w:p w:rsidR="003B709A" w:rsidRDefault="00D91C67" w:rsidP="003B709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</w:t>
      </w:r>
      <w:r w:rsidR="003B709A"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190A99" w:rsidRPr="00190A99" w:rsidRDefault="00AA38FB" w:rsidP="00D83422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190A99" w:rsidRPr="005C7A82">
        <w:rPr>
          <w:rFonts w:ascii="仿宋" w:eastAsia="仿宋" w:hAnsi="仿宋" w:hint="eastAsia"/>
          <w:sz w:val="28"/>
          <w:szCs w:val="28"/>
        </w:rPr>
        <w:t>请</w:t>
      </w:r>
      <w:r w:rsidR="0083450C" w:rsidRPr="005C7A82">
        <w:rPr>
          <w:rFonts w:ascii="仿宋" w:eastAsia="仿宋" w:hAnsi="仿宋" w:hint="eastAsia"/>
          <w:sz w:val="28"/>
          <w:szCs w:val="28"/>
        </w:rPr>
        <w:t>中标</w:t>
      </w:r>
      <w:r w:rsidR="00843E16">
        <w:rPr>
          <w:rFonts w:ascii="仿宋" w:eastAsia="仿宋" w:hAnsi="仿宋" w:hint="eastAsia"/>
          <w:sz w:val="28"/>
          <w:szCs w:val="28"/>
        </w:rPr>
        <w:t>供应商</w:t>
      </w:r>
      <w:r w:rsidR="00190A99" w:rsidRPr="005C7A82">
        <w:rPr>
          <w:rFonts w:ascii="仿宋" w:eastAsia="仿宋" w:hAnsi="仿宋" w:hint="eastAsia"/>
          <w:sz w:val="28"/>
          <w:szCs w:val="28"/>
        </w:rPr>
        <w:t>于本项目公告期届满之日起前往西安市公共资源交易中心</w:t>
      </w:r>
      <w:r w:rsidR="005C7A82" w:rsidRPr="005C7A82">
        <w:rPr>
          <w:rFonts w:ascii="仿宋" w:eastAsia="仿宋" w:hAnsi="仿宋" w:hint="eastAsia"/>
          <w:sz w:val="28"/>
          <w:szCs w:val="28"/>
        </w:rPr>
        <w:t>八楼</w:t>
      </w:r>
      <w:r w:rsidR="00190A99" w:rsidRPr="005C7A82">
        <w:rPr>
          <w:rFonts w:ascii="仿宋" w:eastAsia="仿宋" w:hAnsi="仿宋" w:hint="eastAsia"/>
          <w:sz w:val="28"/>
          <w:szCs w:val="28"/>
        </w:rPr>
        <w:t>领取</w:t>
      </w:r>
      <w:r w:rsidR="0083450C" w:rsidRPr="005C7A82">
        <w:rPr>
          <w:rFonts w:ascii="仿宋" w:eastAsia="仿宋" w:hAnsi="仿宋" w:hint="eastAsia"/>
          <w:sz w:val="28"/>
          <w:szCs w:val="28"/>
        </w:rPr>
        <w:t>中标</w:t>
      </w:r>
      <w:r w:rsidR="00190A99" w:rsidRPr="005C7A82">
        <w:rPr>
          <w:rFonts w:ascii="仿宋" w:eastAsia="仿宋" w:hAnsi="仿宋" w:hint="eastAsia"/>
          <w:sz w:val="28"/>
          <w:szCs w:val="28"/>
        </w:rPr>
        <w:t>通知书（同时须提交纸质投标文件一正两副，内容与电子投标文件完全一致）</w:t>
      </w:r>
      <w:r w:rsidR="00190A99" w:rsidRPr="00190A99">
        <w:rPr>
          <w:rFonts w:ascii="仿宋" w:eastAsia="仿宋" w:hAnsi="仿宋" w:cs="宋体" w:hint="eastAsia"/>
          <w:sz w:val="28"/>
          <w:szCs w:val="28"/>
        </w:rPr>
        <w:t>。</w:t>
      </w:r>
    </w:p>
    <w:p w:rsidR="003B709A" w:rsidRPr="008A307F" w:rsidRDefault="00D91C67" w:rsidP="008A307F">
      <w:pPr>
        <w:rPr>
          <w:rFonts w:ascii="仿宋" w:eastAsia="仿宋" w:hAnsi="仿宋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八</w:t>
      </w:r>
      <w:r w:rsidR="003B709A">
        <w:rPr>
          <w:rFonts w:ascii="黑体" w:eastAsia="黑体" w:hAnsi="黑体" w:cs="宋体" w:hint="eastAsia"/>
          <w:sz w:val="28"/>
          <w:szCs w:val="28"/>
        </w:rPr>
        <w:t>、凡对本次公告内容提出询问，请按以下方式联系。</w:t>
      </w:r>
    </w:p>
    <w:p w:rsidR="003B709A" w:rsidRPr="00C24EC3" w:rsidRDefault="003B709A" w:rsidP="00C24EC3">
      <w:pPr>
        <w:pStyle w:val="af1"/>
        <w:spacing w:line="500" w:lineRule="exact"/>
        <w:ind w:firstLineChars="300" w:firstLine="843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C24EC3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1.采购人信息</w:t>
      </w:r>
    </w:p>
    <w:p w:rsidR="006D770D" w:rsidRPr="00C24EC3" w:rsidRDefault="003B709A" w:rsidP="00C24EC3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C24EC3">
        <w:rPr>
          <w:rFonts w:ascii="仿宋" w:eastAsia="仿宋" w:hAnsi="仿宋" w:hint="eastAsia"/>
          <w:sz w:val="28"/>
          <w:szCs w:val="28"/>
        </w:rPr>
        <w:lastRenderedPageBreak/>
        <w:t>名    称：</w:t>
      </w:r>
      <w:r w:rsidR="00AA38FB" w:rsidRPr="00C24EC3">
        <w:rPr>
          <w:rFonts w:ascii="仿宋" w:eastAsia="仿宋" w:hAnsi="仿宋" w:hint="eastAsia"/>
          <w:sz w:val="28"/>
          <w:szCs w:val="28"/>
        </w:rPr>
        <w:t>西安市人民检察院</w:t>
      </w:r>
    </w:p>
    <w:p w:rsidR="005C7A82" w:rsidRPr="00C24EC3" w:rsidRDefault="003B709A" w:rsidP="00C24EC3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C24EC3">
        <w:rPr>
          <w:rFonts w:ascii="仿宋" w:eastAsia="仿宋" w:hAnsi="仿宋" w:hint="eastAsia"/>
          <w:sz w:val="28"/>
          <w:szCs w:val="28"/>
        </w:rPr>
        <w:t>地    址：</w:t>
      </w:r>
      <w:r w:rsidR="00AA38FB" w:rsidRPr="00C24EC3">
        <w:rPr>
          <w:rFonts w:ascii="仿宋" w:eastAsia="仿宋" w:hAnsi="仿宋" w:hint="eastAsia"/>
          <w:sz w:val="28"/>
          <w:szCs w:val="28"/>
        </w:rPr>
        <w:t>西安市北二环东段569号</w:t>
      </w:r>
    </w:p>
    <w:p w:rsidR="005C7A82" w:rsidRPr="00C24EC3" w:rsidRDefault="003B709A" w:rsidP="00C24EC3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C24EC3">
        <w:rPr>
          <w:rFonts w:ascii="仿宋" w:eastAsia="仿宋" w:hAnsi="仿宋" w:hint="eastAsia"/>
          <w:sz w:val="28"/>
          <w:szCs w:val="28"/>
        </w:rPr>
        <w:t>联系方式：</w:t>
      </w:r>
      <w:r w:rsidR="00AA38FB" w:rsidRPr="00C24EC3">
        <w:rPr>
          <w:rFonts w:ascii="仿宋" w:eastAsia="仿宋" w:hAnsi="仿宋"/>
          <w:sz w:val="28"/>
          <w:szCs w:val="28"/>
        </w:rPr>
        <w:t>13700223598</w:t>
      </w:r>
    </w:p>
    <w:p w:rsidR="00D83422" w:rsidRPr="00AA38FB" w:rsidRDefault="00D83422" w:rsidP="00AA38FB">
      <w:pPr>
        <w:pStyle w:val="af1"/>
        <w:spacing w:line="500" w:lineRule="exact"/>
        <w:ind w:firstLineChars="300" w:firstLine="843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AA38FB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2.</w:t>
      </w:r>
      <w:r w:rsidRPr="00AA38FB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采购代理机构</w:t>
      </w:r>
      <w:r w:rsidRPr="00AA38FB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信息</w:t>
      </w:r>
    </w:p>
    <w:p w:rsidR="00D83422" w:rsidRPr="00AA38FB" w:rsidRDefault="00D83422" w:rsidP="00AA38FB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AA38FB">
        <w:rPr>
          <w:rFonts w:ascii="仿宋" w:eastAsia="仿宋" w:hAnsi="仿宋" w:hint="eastAsia"/>
          <w:sz w:val="28"/>
          <w:szCs w:val="28"/>
        </w:rPr>
        <w:t>名    称：西安市市级单位政府采购中心</w:t>
      </w:r>
    </w:p>
    <w:p w:rsidR="00D83422" w:rsidRPr="00AA38FB" w:rsidRDefault="00D83422" w:rsidP="00AA38FB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AA38FB">
        <w:rPr>
          <w:rFonts w:ascii="仿宋" w:eastAsia="仿宋" w:hAnsi="仿宋" w:hint="eastAsia"/>
          <w:sz w:val="28"/>
          <w:szCs w:val="28"/>
        </w:rPr>
        <w:t>地　  址：西安市</w:t>
      </w:r>
      <w:r w:rsidRPr="00AA38FB">
        <w:rPr>
          <w:rFonts w:ascii="仿宋" w:eastAsia="仿宋" w:hAnsi="仿宋"/>
          <w:sz w:val="28"/>
          <w:szCs w:val="28"/>
        </w:rPr>
        <w:t>未央区文景北路</w:t>
      </w:r>
      <w:r w:rsidRPr="00AA38FB">
        <w:rPr>
          <w:rFonts w:ascii="仿宋" w:eastAsia="仿宋" w:hAnsi="仿宋" w:hint="eastAsia"/>
          <w:sz w:val="28"/>
          <w:szCs w:val="28"/>
        </w:rPr>
        <w:t>16号白桦林</w:t>
      </w:r>
      <w:r w:rsidRPr="00AA38FB">
        <w:rPr>
          <w:rFonts w:ascii="仿宋" w:eastAsia="仿宋" w:hAnsi="仿宋"/>
          <w:sz w:val="28"/>
          <w:szCs w:val="28"/>
        </w:rPr>
        <w:t>国际B座</w:t>
      </w:r>
    </w:p>
    <w:p w:rsidR="00D83422" w:rsidRPr="00AA38FB" w:rsidRDefault="00D83422" w:rsidP="00AA38FB">
      <w:pPr>
        <w:spacing w:line="500" w:lineRule="exact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AA38FB">
        <w:rPr>
          <w:rFonts w:ascii="仿宋" w:eastAsia="仿宋" w:hAnsi="仿宋" w:hint="eastAsia"/>
          <w:sz w:val="28"/>
          <w:szCs w:val="28"/>
        </w:rPr>
        <w:t>联系方式：029-86510029、86510365转分机</w:t>
      </w:r>
      <w:r w:rsidR="00AA38FB">
        <w:rPr>
          <w:rFonts w:ascii="仿宋" w:eastAsia="仿宋" w:hAnsi="仿宋" w:hint="eastAsia"/>
          <w:sz w:val="28"/>
          <w:szCs w:val="28"/>
        </w:rPr>
        <w:t>80851</w:t>
      </w:r>
    </w:p>
    <w:p w:rsidR="00D83422" w:rsidRPr="00D83E3A" w:rsidRDefault="00D83422" w:rsidP="00D83422">
      <w:pPr>
        <w:pStyle w:val="af1"/>
        <w:spacing w:line="500" w:lineRule="exact"/>
        <w:ind w:firstLineChars="300" w:firstLine="843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D83E3A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3.项目联系人：</w:t>
      </w:r>
    </w:p>
    <w:p w:rsidR="00D83422" w:rsidRPr="00AA38FB" w:rsidRDefault="00D83422" w:rsidP="00D83422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项目联系人：李老师 </w:t>
      </w:r>
      <w:r>
        <w:rPr>
          <w:rFonts w:ascii="仿宋" w:eastAsia="仿宋" w:hAnsi="仿宋" w:hint="eastAsia"/>
          <w:sz w:val="28"/>
          <w:szCs w:val="28"/>
        </w:rPr>
        <w:br/>
      </w:r>
      <w:r w:rsidRPr="00AA38FB">
        <w:rPr>
          <w:rFonts w:ascii="仿宋" w:eastAsia="仿宋" w:hAnsi="仿宋" w:hint="eastAsia"/>
          <w:sz w:val="28"/>
          <w:szCs w:val="28"/>
        </w:rPr>
        <w:t xml:space="preserve">      电　  话：029-86510029、86510365转分机80806</w:t>
      </w:r>
    </w:p>
    <w:p w:rsidR="00843E16" w:rsidRDefault="001A2D0B" w:rsidP="00AA38FB">
      <w:pPr>
        <w:rPr>
          <w:rFonts w:ascii="黑体" w:eastAsia="黑体" w:hAnsi="黑体" w:cs="宋体"/>
          <w:sz w:val="28"/>
          <w:szCs w:val="28"/>
        </w:rPr>
      </w:pPr>
      <w:r w:rsidRPr="001A2D0B">
        <w:rPr>
          <w:rFonts w:ascii="黑体" w:eastAsia="黑体" w:hAnsi="黑体" w:cs="宋体" w:hint="eastAsia"/>
          <w:sz w:val="28"/>
          <w:szCs w:val="28"/>
        </w:rPr>
        <w:t>九</w:t>
      </w:r>
      <w:r w:rsidRPr="001A2D0B">
        <w:rPr>
          <w:rFonts w:ascii="黑体" w:eastAsia="黑体" w:hAnsi="黑体" w:cs="宋体"/>
          <w:sz w:val="28"/>
          <w:szCs w:val="28"/>
        </w:rPr>
        <w:t>、附件</w:t>
      </w:r>
    </w:p>
    <w:p w:rsidR="008D5ACE" w:rsidRDefault="008D5ACE" w:rsidP="008D5ACE">
      <w:pPr>
        <w:jc w:val="center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分项报价表</w:t>
      </w:r>
    </w:p>
    <w:p w:rsidR="008D5ACE" w:rsidRPr="008D5ACE" w:rsidRDefault="008D5ACE" w:rsidP="008D5ACE">
      <w:pPr>
        <w:ind w:rightChars="83" w:right="183"/>
        <w:jc w:val="right"/>
        <w:rPr>
          <w:rFonts w:ascii="黑体" w:eastAsia="黑体" w:hAnsi="黑体" w:cs="宋体" w:hint="eastAsia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 xml:space="preserve">                 </w:t>
      </w:r>
      <w:r w:rsidRPr="008D5ACE">
        <w:rPr>
          <w:rFonts w:ascii="黑体" w:eastAsia="黑体" w:hAnsi="黑体" w:cs="宋体" w:hint="eastAsia"/>
          <w:sz w:val="28"/>
          <w:szCs w:val="28"/>
        </w:rPr>
        <w:t xml:space="preserve"> 单位</w:t>
      </w:r>
      <w:r w:rsidRPr="008D5ACE">
        <w:rPr>
          <w:rFonts w:ascii="黑体" w:eastAsia="黑体" w:hAnsi="黑体" w:cs="宋体"/>
          <w:sz w:val="28"/>
          <w:szCs w:val="28"/>
        </w:rPr>
        <w:t>：元</w:t>
      </w:r>
    </w:p>
    <w:tbl>
      <w:tblPr>
        <w:tblStyle w:val="TableNormal"/>
        <w:tblW w:w="4960" w:type="pc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991"/>
        <w:gridCol w:w="853"/>
        <w:gridCol w:w="2410"/>
        <w:gridCol w:w="700"/>
        <w:gridCol w:w="860"/>
        <w:gridCol w:w="568"/>
        <w:gridCol w:w="1134"/>
        <w:gridCol w:w="1132"/>
      </w:tblGrid>
      <w:tr w:rsidR="008D5ACE" w:rsidTr="008D5ACE">
        <w:trPr>
          <w:trHeight w:val="587"/>
        </w:trPr>
        <w:tc>
          <w:tcPr>
            <w:tcW w:w="234" w:type="pct"/>
            <w:tcBorders>
              <w:bottom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31"/>
              <w:ind w:left="17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一</w:t>
            </w:r>
          </w:p>
        </w:tc>
        <w:tc>
          <w:tcPr>
            <w:tcW w:w="4766" w:type="pct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31"/>
              <w:ind w:left="31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产品供应费</w:t>
            </w:r>
          </w:p>
        </w:tc>
      </w:tr>
      <w:tr w:rsidR="008D5ACE" w:rsidTr="008D5ACE">
        <w:trPr>
          <w:trHeight w:val="710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ind w:left="92" w:right="75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ind w:right="114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1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ind w:left="99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制造商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line="371" w:lineRule="exact"/>
              <w:ind w:right="169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制造商性质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ind w:left="124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58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总价</w:t>
            </w:r>
          </w:p>
        </w:tc>
      </w:tr>
      <w:tr w:rsidR="008D5ACE" w:rsidTr="008D5ACE">
        <w:trPr>
          <w:trHeight w:val="660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3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8D5ACE" w:rsidRDefault="008D5ACE" w:rsidP="00AF2111">
            <w:pPr>
              <w:pStyle w:val="TableParagraph"/>
              <w:spacing w:before="1"/>
              <w:ind w:left="17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w w:val="99"/>
                <w:sz w:val="21"/>
                <w:szCs w:val="21"/>
              </w:rPr>
              <w:t>1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5" w:line="320" w:lineRule="atLeast"/>
              <w:ind w:left="55" w:right="27" w:firstLine="105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安全态势分析与安全运营平台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天融信</w:t>
            </w:r>
          </w:p>
        </w:tc>
        <w:tc>
          <w:tcPr>
            <w:tcW w:w="1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型号：TopSA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规格：软硬件一体形态，提供态势分析、安全监测、安全处置、安全分析、资产管理、治理中心、知识情报等功能模块。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硬件平台：2U，双CPU，64G内存，256GB SSD硬盘+8TB SATA硬盘，支持RAID，4千兆光口卡+6千兆电口卡，双电源。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北京天融信网络安全技术有限公司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5"/>
                <w:sz w:val="21"/>
                <w:szCs w:val="21"/>
              </w:rPr>
              <w:t>大型企业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256200.00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256200.00</w:t>
            </w:r>
          </w:p>
        </w:tc>
      </w:tr>
      <w:tr w:rsidR="008D5ACE" w:rsidTr="008D5ACE">
        <w:trPr>
          <w:trHeight w:val="587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8D5ACE" w:rsidRDefault="008D5ACE" w:rsidP="00AF2111">
            <w:pPr>
              <w:pStyle w:val="TableParagraph"/>
              <w:ind w:left="17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w w:val="99"/>
                <w:sz w:val="21"/>
                <w:szCs w:val="21"/>
              </w:rPr>
              <w:t>2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224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数据采集探针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天融信</w:t>
            </w:r>
          </w:p>
        </w:tc>
        <w:tc>
          <w:tcPr>
            <w:tcW w:w="1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型号：TopTVD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2U机架式结构 最大配置为50个接口，默认包括5个扩展槽位， 6个10/100/1000BASE-T接口（其中1个HA口，1个管理口），4个千兆SFP插槽，2个USB口，1个RJ45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lastRenderedPageBreak/>
              <w:t>串口；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默认冗余电源，自带液晶屏； 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含： 3年打包升级许可，包含攻击检测规则库、应用识别库、地理信息库、僵尸主机规则库、威胁情报库、URL分类库。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最大并发连接数：150W综合检测能力：3G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lastRenderedPageBreak/>
              <w:t>北京天融信网络安全技术有限公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lastRenderedPageBreak/>
              <w:t>司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5"/>
                <w:sz w:val="21"/>
                <w:szCs w:val="21"/>
              </w:rPr>
              <w:lastRenderedPageBreak/>
              <w:t>大型企业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149700.00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149700.00</w:t>
            </w:r>
          </w:p>
        </w:tc>
      </w:tr>
      <w:tr w:rsidR="008D5ACE" w:rsidTr="008D5ACE">
        <w:trPr>
          <w:trHeight w:val="900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8D5ACE" w:rsidRDefault="008D5ACE" w:rsidP="00AF2111">
            <w:pPr>
              <w:pStyle w:val="TableParagraph"/>
              <w:spacing w:before="137"/>
              <w:ind w:left="17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w w:val="99"/>
                <w:sz w:val="21"/>
                <w:szCs w:val="21"/>
              </w:rPr>
              <w:t>3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20" w:line="440" w:lineRule="exact"/>
              <w:ind w:leftChars="-155" w:left="580" w:right="135" w:hanging="921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>病毒</w:t>
            </w:r>
            <w:r>
              <w:rPr>
                <w:color w:val="000000"/>
                <w:sz w:val="21"/>
                <w:szCs w:val="21"/>
              </w:rPr>
              <w:t>过滤网关系统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天融信</w:t>
            </w:r>
          </w:p>
        </w:tc>
        <w:tc>
          <w:tcPr>
            <w:tcW w:w="1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型号：TopFilter 8000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1U机箱， 最大配置为24个接口， 默认包括2个可插拨的扩展槽，2个SFP插槽和6个10/100/1000BASE-T接口（默认电口具有1组Bypass）， 单电源； 默认含快速扫描防病毒查杀和深度扫描防病毒查杀，含3年病毒库升级服务许可（快速+深度）。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整机吞吐率：2Gbps最大并发连接数：200W病毒检测吞吐率：500Mbps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北京天融信网络安全技术有限公司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5"/>
                <w:sz w:val="21"/>
                <w:szCs w:val="21"/>
              </w:rPr>
              <w:t>大型企业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165300.00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165300.00</w:t>
            </w:r>
          </w:p>
        </w:tc>
      </w:tr>
      <w:tr w:rsidR="008D5ACE" w:rsidTr="008D5ACE">
        <w:trPr>
          <w:trHeight w:val="586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8D5ACE" w:rsidRDefault="008D5ACE" w:rsidP="00AF2111">
            <w:pPr>
              <w:pStyle w:val="TableParagraph"/>
              <w:ind w:left="17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w w:val="99"/>
                <w:sz w:val="21"/>
                <w:szCs w:val="21"/>
              </w:rPr>
              <w:t>4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225"/>
              <w:ind w:left="139" w:right="112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管理工作站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联想</w:t>
            </w:r>
          </w:p>
        </w:tc>
        <w:tc>
          <w:tcPr>
            <w:tcW w:w="1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型号：PRO16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CPU:AMD Ryzen R7 6800H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核心数:八核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操作系统:Windows11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视频接口:HDMI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音频接口:3.5mm音频接口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Type-C 接口</w:t>
            </w:r>
            <w:r>
              <w:rPr>
                <w:rFonts w:hint="eastAsia"/>
                <w:color w:val="000000"/>
                <w:sz w:val="21"/>
                <w:szCs w:val="21"/>
              </w:rPr>
              <w:tab/>
              <w:t>1个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其他接口:USB-A 3.2 Gen 1×2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屏幕物理分辨率2560×1600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屏幕:雾面屏16英寸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内存类型:LPDDR5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硬盘容量:512GB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显卡类型:独立显卡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显存4G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Geforce ® RTX 3050 Ti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显存类型：GDDR6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无线网卡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ab/>
              <w:t>WiFi6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摄像头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ab/>
              <w:t>1080P全高清IR摄像头 含人脸识别</w:t>
            </w:r>
          </w:p>
          <w:p w:rsidR="008D5ACE" w:rsidRDefault="008D5ACE" w:rsidP="00AF2111">
            <w:pPr>
              <w:pStyle w:val="TableParagraph"/>
              <w:spacing w:line="24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电池：75Wh电池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联想集团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5"/>
                <w:sz w:val="21"/>
                <w:szCs w:val="21"/>
              </w:rPr>
              <w:t>大型企业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6800.00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6800.00</w:t>
            </w:r>
          </w:p>
        </w:tc>
      </w:tr>
      <w:tr w:rsidR="008D5ACE" w:rsidTr="008D5ACE">
        <w:trPr>
          <w:trHeight w:val="587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31"/>
              <w:ind w:left="17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二</w:t>
            </w:r>
          </w:p>
        </w:tc>
        <w:tc>
          <w:tcPr>
            <w:tcW w:w="4766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31"/>
              <w:ind w:left="31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其他费用</w:t>
            </w:r>
          </w:p>
        </w:tc>
      </w:tr>
      <w:tr w:rsidR="008D5ACE" w:rsidTr="008D5ACE">
        <w:trPr>
          <w:trHeight w:val="587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32"/>
              <w:ind w:left="92" w:right="75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32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费用名称</w:t>
            </w:r>
          </w:p>
        </w:tc>
        <w:tc>
          <w:tcPr>
            <w:tcW w:w="359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spacing w:before="132"/>
              <w:ind w:left="2841" w:right="2816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费用描述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0F0F0"/>
          </w:tcPr>
          <w:p w:rsidR="008D5ACE" w:rsidRDefault="008D5ACE" w:rsidP="00AF2111">
            <w:pPr>
              <w:pStyle w:val="TableParagraph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8D5ACE" w:rsidTr="008D5ACE">
        <w:trPr>
          <w:trHeight w:val="586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44"/>
              <w:ind w:left="13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33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安全服务</w:t>
            </w:r>
          </w:p>
        </w:tc>
        <w:tc>
          <w:tcPr>
            <w:tcW w:w="359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提供三年原厂专家支持服务，包括安全巡检、安全通告、平台分析研判、 漏洞验证等服务，每年提供2次研判分析报告。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ACE" w:rsidRDefault="008D5ACE" w:rsidP="008D5ACE">
            <w:pPr>
              <w:pStyle w:val="TableParagraph"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20000.00</w:t>
            </w:r>
          </w:p>
        </w:tc>
      </w:tr>
      <w:tr w:rsidR="008D5ACE" w:rsidTr="008D5ACE">
        <w:trPr>
          <w:trHeight w:val="586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44"/>
              <w:ind w:left="13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33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机柜清理</w:t>
            </w:r>
          </w:p>
        </w:tc>
        <w:tc>
          <w:tcPr>
            <w:tcW w:w="359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旧机柜清洗、旧件拆除、整理。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ACE" w:rsidRDefault="008D5ACE" w:rsidP="008D5ACE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0.00</w:t>
            </w:r>
          </w:p>
        </w:tc>
      </w:tr>
      <w:tr w:rsidR="008D5ACE" w:rsidTr="008D5ACE">
        <w:trPr>
          <w:trHeight w:val="586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TableParagraph"/>
              <w:spacing w:before="144"/>
              <w:ind w:left="13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33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线路敷设</w:t>
            </w:r>
          </w:p>
        </w:tc>
        <w:tc>
          <w:tcPr>
            <w:tcW w:w="359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网线、光纤跳线、设备电源线、电视高清线电源线敷设、整理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ACE" w:rsidRDefault="008D5ACE" w:rsidP="008D5ACE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0.00</w:t>
            </w:r>
          </w:p>
        </w:tc>
      </w:tr>
      <w:tr w:rsidR="008D5ACE" w:rsidTr="008D5ACE">
        <w:trPr>
          <w:trHeight w:val="574"/>
        </w:trPr>
        <w:tc>
          <w:tcPr>
            <w:tcW w:w="234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44"/>
              <w:ind w:left="13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spacing w:before="133"/>
              <w:ind w:left="139" w:right="114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显示屏安装</w:t>
            </w:r>
          </w:p>
        </w:tc>
        <w:tc>
          <w:tcPr>
            <w:tcW w:w="359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5ACE" w:rsidRDefault="008D5ACE" w:rsidP="00AF2111">
            <w:pPr>
              <w:pStyle w:val="TableParagrap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态势感知平台显示用显示屏幕的安装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D5ACE" w:rsidRDefault="008D5ACE" w:rsidP="008D5ACE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0.00</w:t>
            </w:r>
          </w:p>
        </w:tc>
      </w:tr>
      <w:tr w:rsidR="008D5ACE" w:rsidTr="008D5ACE">
        <w:trPr>
          <w:trHeight w:val="586"/>
        </w:trPr>
        <w:tc>
          <w:tcPr>
            <w:tcW w:w="4376" w:type="pct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:rsidR="008D5ACE" w:rsidRDefault="008D5ACE" w:rsidP="00AF2111">
            <w:pPr>
              <w:pStyle w:val="15"/>
              <w:ind w:firstLine="420"/>
              <w:jc w:val="center"/>
              <w:rPr>
                <w:rFonts w:ascii="宋体" w:eastAsia="宋体" w:hAnsi="宋体"/>
                <w:b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合计：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val="en-US" w:eastAsia="zh-CN"/>
              </w:rPr>
              <w:t>人民币伍拾玖万捌仟圆整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</w:tcBorders>
          </w:tcPr>
          <w:p w:rsidR="008D5ACE" w:rsidRDefault="008D5ACE" w:rsidP="008D5ACE">
            <w:pPr>
              <w:pStyle w:val="TableParagraph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598000.00</w:t>
            </w:r>
          </w:p>
        </w:tc>
      </w:tr>
    </w:tbl>
    <w:p w:rsidR="001A4F24" w:rsidRDefault="001A4F24" w:rsidP="001A2D0B">
      <w:pPr>
        <w:rPr>
          <w:rFonts w:ascii="黑体" w:eastAsia="黑体" w:hAnsi="黑体" w:cs="宋体"/>
          <w:noProof/>
          <w:sz w:val="28"/>
          <w:szCs w:val="28"/>
        </w:rPr>
      </w:pPr>
    </w:p>
    <w:p w:rsidR="001A2D0B" w:rsidRPr="001A2D0B" w:rsidRDefault="001A2D0B" w:rsidP="001A2D0B">
      <w:pPr>
        <w:rPr>
          <w:rFonts w:ascii="黑体" w:eastAsia="黑体" w:hAnsi="黑体" w:cs="宋体"/>
          <w:sz w:val="28"/>
          <w:szCs w:val="28"/>
        </w:rPr>
      </w:pPr>
    </w:p>
    <w:p w:rsidR="00A05327" w:rsidRPr="005C7A82" w:rsidRDefault="00AA38FB" w:rsidP="005C7A82">
      <w:pPr>
        <w:ind w:rightChars="-431" w:right="-948" w:firstLineChars="300" w:firstLine="840"/>
        <w:rPr>
          <w:rFonts w:ascii="仿宋" w:eastAsia="仿宋" w:hAnsi="仿宋"/>
          <w:sz w:val="28"/>
          <w:szCs w:val="28"/>
        </w:rPr>
      </w:pPr>
      <w:bookmarkStart w:id="1" w:name="_TOC_250005"/>
      <w:bookmarkEnd w:id="1"/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="00A05327" w:rsidRPr="005C7A82">
        <w:rPr>
          <w:rFonts w:ascii="仿宋" w:eastAsia="仿宋" w:hAnsi="仿宋"/>
          <w:sz w:val="28"/>
          <w:szCs w:val="28"/>
        </w:rPr>
        <w:t>西安市市级单位政府采购中心</w:t>
      </w:r>
    </w:p>
    <w:p w:rsidR="00A05327" w:rsidRPr="00C24EC3" w:rsidRDefault="00A05327" w:rsidP="005C7A82">
      <w:pPr>
        <w:ind w:firstLineChars="2000" w:firstLine="5600"/>
        <w:rPr>
          <w:rFonts w:ascii="仿宋" w:eastAsia="仿宋" w:hAnsi="仿宋"/>
          <w:sz w:val="28"/>
          <w:szCs w:val="28"/>
        </w:rPr>
      </w:pPr>
      <w:r w:rsidRPr="00C24EC3">
        <w:rPr>
          <w:rFonts w:ascii="仿宋" w:eastAsia="仿宋" w:hAnsi="仿宋" w:hint="eastAsia"/>
          <w:sz w:val="28"/>
          <w:szCs w:val="28"/>
        </w:rPr>
        <w:t>202</w:t>
      </w:r>
      <w:r w:rsidR="005C7A82" w:rsidRPr="00C24EC3">
        <w:rPr>
          <w:rFonts w:ascii="仿宋" w:eastAsia="仿宋" w:hAnsi="仿宋"/>
          <w:sz w:val="28"/>
          <w:szCs w:val="28"/>
        </w:rPr>
        <w:t>2</w:t>
      </w:r>
      <w:r w:rsidRPr="00C24EC3">
        <w:rPr>
          <w:rFonts w:ascii="仿宋" w:eastAsia="仿宋" w:hAnsi="仿宋" w:hint="eastAsia"/>
          <w:sz w:val="28"/>
          <w:szCs w:val="28"/>
        </w:rPr>
        <w:t>年</w:t>
      </w:r>
      <w:r w:rsidR="00F62F19" w:rsidRPr="00C24EC3">
        <w:rPr>
          <w:rFonts w:ascii="仿宋" w:eastAsia="仿宋" w:hAnsi="仿宋"/>
          <w:sz w:val="28"/>
          <w:szCs w:val="28"/>
        </w:rPr>
        <w:t>7</w:t>
      </w:r>
      <w:r w:rsidRPr="00C24EC3">
        <w:rPr>
          <w:rFonts w:ascii="仿宋" w:eastAsia="仿宋" w:hAnsi="仿宋" w:hint="eastAsia"/>
          <w:sz w:val="28"/>
          <w:szCs w:val="28"/>
        </w:rPr>
        <w:t>月</w:t>
      </w:r>
      <w:r w:rsidR="00C24EC3" w:rsidRPr="00C24EC3">
        <w:rPr>
          <w:rFonts w:ascii="仿宋" w:eastAsia="仿宋" w:hAnsi="仿宋"/>
          <w:sz w:val="28"/>
          <w:szCs w:val="28"/>
        </w:rPr>
        <w:t>26</w:t>
      </w:r>
      <w:r w:rsidRPr="00C24EC3">
        <w:rPr>
          <w:rFonts w:ascii="仿宋" w:eastAsia="仿宋" w:hAnsi="仿宋" w:hint="eastAsia"/>
          <w:sz w:val="28"/>
          <w:szCs w:val="28"/>
        </w:rPr>
        <w:t>日</w:t>
      </w:r>
    </w:p>
    <w:p w:rsidR="007608AC" w:rsidRDefault="007608AC" w:rsidP="0050598D">
      <w:pPr>
        <w:spacing w:line="360" w:lineRule="auto"/>
        <w:ind w:right="840" w:firstLineChars="300" w:firstLine="840"/>
        <w:rPr>
          <w:rFonts w:ascii="仿宋" w:eastAsia="仿宋" w:hAnsi="仿宋"/>
          <w:sz w:val="28"/>
          <w:szCs w:val="28"/>
        </w:rPr>
      </w:pPr>
    </w:p>
    <w:p w:rsidR="007608AC" w:rsidRDefault="007608AC" w:rsidP="0050598D">
      <w:pPr>
        <w:spacing w:line="360" w:lineRule="auto"/>
        <w:ind w:right="840" w:firstLineChars="300" w:firstLine="840"/>
        <w:rPr>
          <w:rFonts w:ascii="仿宋" w:eastAsia="仿宋" w:hAnsi="仿宋"/>
          <w:sz w:val="28"/>
          <w:szCs w:val="28"/>
        </w:rPr>
      </w:pPr>
    </w:p>
    <w:p w:rsidR="007608AC" w:rsidRDefault="007608AC" w:rsidP="00843E16">
      <w:pPr>
        <w:tabs>
          <w:tab w:val="left" w:pos="1560"/>
        </w:tabs>
        <w:spacing w:line="360" w:lineRule="auto"/>
        <w:ind w:right="840"/>
        <w:rPr>
          <w:rFonts w:ascii="仿宋" w:eastAsia="仿宋" w:hAnsi="仿宋"/>
          <w:sz w:val="28"/>
          <w:szCs w:val="28"/>
        </w:rPr>
      </w:pPr>
    </w:p>
    <w:sectPr w:rsidR="007608AC" w:rsidSect="004C5416">
      <w:pgSz w:w="11906" w:h="16838"/>
      <w:pgMar w:top="1440" w:right="991" w:bottom="1327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39" w:rsidRDefault="00FA4D39" w:rsidP="00FF152F">
      <w:pPr>
        <w:spacing w:after="0"/>
      </w:pPr>
      <w:r>
        <w:separator/>
      </w:r>
    </w:p>
  </w:endnote>
  <w:endnote w:type="continuationSeparator" w:id="0">
    <w:p w:rsidR="00FA4D39" w:rsidRDefault="00FA4D39" w:rsidP="00FF15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UI"/>
    <w:charset w:val="86"/>
    <w:family w:val="swiss"/>
    <w:pitch w:val="default"/>
    <w:sig w:usb0="00000000" w:usb1="2A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39" w:rsidRDefault="00FA4D39" w:rsidP="00FF152F">
      <w:pPr>
        <w:spacing w:after="0"/>
      </w:pPr>
      <w:r>
        <w:separator/>
      </w:r>
    </w:p>
  </w:footnote>
  <w:footnote w:type="continuationSeparator" w:id="0">
    <w:p w:rsidR="00FA4D39" w:rsidRDefault="00FA4D39" w:rsidP="00FF15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A70"/>
    <w:multiLevelType w:val="singleLevel"/>
    <w:tmpl w:val="0DF17A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F5099A3"/>
    <w:multiLevelType w:val="singleLevel"/>
    <w:tmpl w:val="6F5099A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448D"/>
    <w:rsid w:val="00007D1A"/>
    <w:rsid w:val="00011728"/>
    <w:rsid w:val="00016A47"/>
    <w:rsid w:val="000234C3"/>
    <w:rsid w:val="0002599B"/>
    <w:rsid w:val="00040F26"/>
    <w:rsid w:val="000411D2"/>
    <w:rsid w:val="00041D70"/>
    <w:rsid w:val="00056C42"/>
    <w:rsid w:val="00056F2A"/>
    <w:rsid w:val="000A6AAE"/>
    <w:rsid w:val="000B772D"/>
    <w:rsid w:val="000D479F"/>
    <w:rsid w:val="000E014C"/>
    <w:rsid w:val="00102C0A"/>
    <w:rsid w:val="00125A5C"/>
    <w:rsid w:val="00125BD3"/>
    <w:rsid w:val="001333D2"/>
    <w:rsid w:val="001350BB"/>
    <w:rsid w:val="00136AF0"/>
    <w:rsid w:val="00151A33"/>
    <w:rsid w:val="001613A2"/>
    <w:rsid w:val="00190A99"/>
    <w:rsid w:val="0019462E"/>
    <w:rsid w:val="001963B1"/>
    <w:rsid w:val="001A2D0B"/>
    <w:rsid w:val="001A4F24"/>
    <w:rsid w:val="001D5D2A"/>
    <w:rsid w:val="001E1870"/>
    <w:rsid w:val="001E1F9E"/>
    <w:rsid w:val="001E4D14"/>
    <w:rsid w:val="00200056"/>
    <w:rsid w:val="0021508D"/>
    <w:rsid w:val="0022216C"/>
    <w:rsid w:val="00232E92"/>
    <w:rsid w:val="002346A3"/>
    <w:rsid w:val="002555ED"/>
    <w:rsid w:val="0026431C"/>
    <w:rsid w:val="00272C71"/>
    <w:rsid w:val="0027574D"/>
    <w:rsid w:val="002758F2"/>
    <w:rsid w:val="00290870"/>
    <w:rsid w:val="002908A0"/>
    <w:rsid w:val="00291FC2"/>
    <w:rsid w:val="00292B21"/>
    <w:rsid w:val="002A4C5F"/>
    <w:rsid w:val="002A558B"/>
    <w:rsid w:val="002B2C25"/>
    <w:rsid w:val="002C1B09"/>
    <w:rsid w:val="002C35FB"/>
    <w:rsid w:val="002C58CF"/>
    <w:rsid w:val="002C5A92"/>
    <w:rsid w:val="002D34B8"/>
    <w:rsid w:val="002E7BB7"/>
    <w:rsid w:val="0030689F"/>
    <w:rsid w:val="00323B43"/>
    <w:rsid w:val="00356EFC"/>
    <w:rsid w:val="00363B6C"/>
    <w:rsid w:val="0036448D"/>
    <w:rsid w:val="00372416"/>
    <w:rsid w:val="00373694"/>
    <w:rsid w:val="003736F1"/>
    <w:rsid w:val="003742D4"/>
    <w:rsid w:val="00380381"/>
    <w:rsid w:val="00381210"/>
    <w:rsid w:val="0038193C"/>
    <w:rsid w:val="00382618"/>
    <w:rsid w:val="003A426C"/>
    <w:rsid w:val="003A570F"/>
    <w:rsid w:val="003B709A"/>
    <w:rsid w:val="003C1A0A"/>
    <w:rsid w:val="003C3A7D"/>
    <w:rsid w:val="003C5D99"/>
    <w:rsid w:val="003C7414"/>
    <w:rsid w:val="003D1E3F"/>
    <w:rsid w:val="003D37D8"/>
    <w:rsid w:val="003F3D76"/>
    <w:rsid w:val="003F5C31"/>
    <w:rsid w:val="00400AC7"/>
    <w:rsid w:val="00425914"/>
    <w:rsid w:val="004358AB"/>
    <w:rsid w:val="00456B05"/>
    <w:rsid w:val="00457F05"/>
    <w:rsid w:val="00460111"/>
    <w:rsid w:val="0046495C"/>
    <w:rsid w:val="004818F2"/>
    <w:rsid w:val="00482212"/>
    <w:rsid w:val="00482D1C"/>
    <w:rsid w:val="00490FF7"/>
    <w:rsid w:val="00494F06"/>
    <w:rsid w:val="0049797F"/>
    <w:rsid w:val="004A33C4"/>
    <w:rsid w:val="004A7112"/>
    <w:rsid w:val="004A7A8D"/>
    <w:rsid w:val="004B08BD"/>
    <w:rsid w:val="004C11CB"/>
    <w:rsid w:val="004C5416"/>
    <w:rsid w:val="004C7BD1"/>
    <w:rsid w:val="004D1EE9"/>
    <w:rsid w:val="004D2ADD"/>
    <w:rsid w:val="004E50F9"/>
    <w:rsid w:val="004F3653"/>
    <w:rsid w:val="004F691A"/>
    <w:rsid w:val="0050598D"/>
    <w:rsid w:val="00512D29"/>
    <w:rsid w:val="005177AB"/>
    <w:rsid w:val="005254F1"/>
    <w:rsid w:val="00525542"/>
    <w:rsid w:val="00540E62"/>
    <w:rsid w:val="0054730C"/>
    <w:rsid w:val="00550BA8"/>
    <w:rsid w:val="005511F5"/>
    <w:rsid w:val="005512D6"/>
    <w:rsid w:val="005549B7"/>
    <w:rsid w:val="00555318"/>
    <w:rsid w:val="00564056"/>
    <w:rsid w:val="00593827"/>
    <w:rsid w:val="005B61B7"/>
    <w:rsid w:val="005B667E"/>
    <w:rsid w:val="005C6810"/>
    <w:rsid w:val="005C7A82"/>
    <w:rsid w:val="005F0597"/>
    <w:rsid w:val="005F2960"/>
    <w:rsid w:val="005F3F80"/>
    <w:rsid w:val="005F5DFD"/>
    <w:rsid w:val="005F6068"/>
    <w:rsid w:val="005F7A06"/>
    <w:rsid w:val="00617425"/>
    <w:rsid w:val="00631E58"/>
    <w:rsid w:val="00643D94"/>
    <w:rsid w:val="006440AB"/>
    <w:rsid w:val="00655D77"/>
    <w:rsid w:val="00655FCC"/>
    <w:rsid w:val="00670715"/>
    <w:rsid w:val="00672702"/>
    <w:rsid w:val="0067647B"/>
    <w:rsid w:val="006767D6"/>
    <w:rsid w:val="00682F55"/>
    <w:rsid w:val="00684037"/>
    <w:rsid w:val="0068774D"/>
    <w:rsid w:val="006B241F"/>
    <w:rsid w:val="006C4123"/>
    <w:rsid w:val="006D770D"/>
    <w:rsid w:val="006E692F"/>
    <w:rsid w:val="006F1312"/>
    <w:rsid w:val="006F23FA"/>
    <w:rsid w:val="007005D2"/>
    <w:rsid w:val="00714D0D"/>
    <w:rsid w:val="007212E0"/>
    <w:rsid w:val="00721569"/>
    <w:rsid w:val="00721EE2"/>
    <w:rsid w:val="00723063"/>
    <w:rsid w:val="00736BB2"/>
    <w:rsid w:val="00736F36"/>
    <w:rsid w:val="00743819"/>
    <w:rsid w:val="007448BE"/>
    <w:rsid w:val="00745DD8"/>
    <w:rsid w:val="00746D9C"/>
    <w:rsid w:val="007543E9"/>
    <w:rsid w:val="00754E95"/>
    <w:rsid w:val="007608AC"/>
    <w:rsid w:val="0076553D"/>
    <w:rsid w:val="0077676F"/>
    <w:rsid w:val="00782232"/>
    <w:rsid w:val="0079044A"/>
    <w:rsid w:val="00792D5B"/>
    <w:rsid w:val="007A2EA1"/>
    <w:rsid w:val="007A64C2"/>
    <w:rsid w:val="007B7E78"/>
    <w:rsid w:val="007C2E9C"/>
    <w:rsid w:val="007D31B1"/>
    <w:rsid w:val="007D455F"/>
    <w:rsid w:val="007F1D37"/>
    <w:rsid w:val="008043EB"/>
    <w:rsid w:val="00815402"/>
    <w:rsid w:val="0081643D"/>
    <w:rsid w:val="00817362"/>
    <w:rsid w:val="00821361"/>
    <w:rsid w:val="0083450C"/>
    <w:rsid w:val="00834EC6"/>
    <w:rsid w:val="00843E16"/>
    <w:rsid w:val="008459E2"/>
    <w:rsid w:val="00853D26"/>
    <w:rsid w:val="00860940"/>
    <w:rsid w:val="00877CA1"/>
    <w:rsid w:val="00881B09"/>
    <w:rsid w:val="008A307F"/>
    <w:rsid w:val="008A67DB"/>
    <w:rsid w:val="008B7726"/>
    <w:rsid w:val="008C09E5"/>
    <w:rsid w:val="008C0AF0"/>
    <w:rsid w:val="008C4CB7"/>
    <w:rsid w:val="008D5ACE"/>
    <w:rsid w:val="008E64EB"/>
    <w:rsid w:val="008F2071"/>
    <w:rsid w:val="008F4062"/>
    <w:rsid w:val="008F69B1"/>
    <w:rsid w:val="009005CC"/>
    <w:rsid w:val="0090466B"/>
    <w:rsid w:val="0090475B"/>
    <w:rsid w:val="0091666E"/>
    <w:rsid w:val="00927B12"/>
    <w:rsid w:val="0093079D"/>
    <w:rsid w:val="00930914"/>
    <w:rsid w:val="00932D2A"/>
    <w:rsid w:val="009360A7"/>
    <w:rsid w:val="00940B7D"/>
    <w:rsid w:val="00957B9F"/>
    <w:rsid w:val="00962130"/>
    <w:rsid w:val="0096598C"/>
    <w:rsid w:val="00967BAA"/>
    <w:rsid w:val="009714C1"/>
    <w:rsid w:val="00991F70"/>
    <w:rsid w:val="009B243F"/>
    <w:rsid w:val="009B6837"/>
    <w:rsid w:val="009D1864"/>
    <w:rsid w:val="009E26A3"/>
    <w:rsid w:val="009F1F2C"/>
    <w:rsid w:val="00A05327"/>
    <w:rsid w:val="00A23A06"/>
    <w:rsid w:val="00A24747"/>
    <w:rsid w:val="00A36E59"/>
    <w:rsid w:val="00A37455"/>
    <w:rsid w:val="00A4692A"/>
    <w:rsid w:val="00A56C44"/>
    <w:rsid w:val="00A57053"/>
    <w:rsid w:val="00A61D2F"/>
    <w:rsid w:val="00A7152D"/>
    <w:rsid w:val="00A75700"/>
    <w:rsid w:val="00A76FA7"/>
    <w:rsid w:val="00A7786F"/>
    <w:rsid w:val="00A8603F"/>
    <w:rsid w:val="00A90932"/>
    <w:rsid w:val="00A912E3"/>
    <w:rsid w:val="00A94CE2"/>
    <w:rsid w:val="00A95C21"/>
    <w:rsid w:val="00A972A4"/>
    <w:rsid w:val="00AA38FB"/>
    <w:rsid w:val="00AA47AB"/>
    <w:rsid w:val="00AA73DF"/>
    <w:rsid w:val="00AB0999"/>
    <w:rsid w:val="00AB4019"/>
    <w:rsid w:val="00AB732A"/>
    <w:rsid w:val="00AC6AE2"/>
    <w:rsid w:val="00AD7C16"/>
    <w:rsid w:val="00AE07FB"/>
    <w:rsid w:val="00AE264A"/>
    <w:rsid w:val="00AE3115"/>
    <w:rsid w:val="00AE7129"/>
    <w:rsid w:val="00AF20D3"/>
    <w:rsid w:val="00B1173C"/>
    <w:rsid w:val="00B14D66"/>
    <w:rsid w:val="00B16AAF"/>
    <w:rsid w:val="00B203D1"/>
    <w:rsid w:val="00B33568"/>
    <w:rsid w:val="00B45286"/>
    <w:rsid w:val="00B504C8"/>
    <w:rsid w:val="00B845C4"/>
    <w:rsid w:val="00BA7F71"/>
    <w:rsid w:val="00BB445E"/>
    <w:rsid w:val="00BC075E"/>
    <w:rsid w:val="00BD17EE"/>
    <w:rsid w:val="00BD3ECC"/>
    <w:rsid w:val="00BE2033"/>
    <w:rsid w:val="00BF4A17"/>
    <w:rsid w:val="00BF67C0"/>
    <w:rsid w:val="00C23666"/>
    <w:rsid w:val="00C24EC3"/>
    <w:rsid w:val="00C346FB"/>
    <w:rsid w:val="00C41399"/>
    <w:rsid w:val="00C53404"/>
    <w:rsid w:val="00C57D6C"/>
    <w:rsid w:val="00C75247"/>
    <w:rsid w:val="00C76196"/>
    <w:rsid w:val="00C84BE5"/>
    <w:rsid w:val="00C8700B"/>
    <w:rsid w:val="00C91AB5"/>
    <w:rsid w:val="00C968A2"/>
    <w:rsid w:val="00CB0909"/>
    <w:rsid w:val="00CB1040"/>
    <w:rsid w:val="00CB35B8"/>
    <w:rsid w:val="00CB6A9B"/>
    <w:rsid w:val="00CC3534"/>
    <w:rsid w:val="00CC3E2C"/>
    <w:rsid w:val="00CE3C6A"/>
    <w:rsid w:val="00CE64EA"/>
    <w:rsid w:val="00CF105B"/>
    <w:rsid w:val="00CF6707"/>
    <w:rsid w:val="00D145F3"/>
    <w:rsid w:val="00D17040"/>
    <w:rsid w:val="00D17051"/>
    <w:rsid w:val="00D20108"/>
    <w:rsid w:val="00D3766B"/>
    <w:rsid w:val="00D54564"/>
    <w:rsid w:val="00D60EB5"/>
    <w:rsid w:val="00D67DA6"/>
    <w:rsid w:val="00D83422"/>
    <w:rsid w:val="00D85AE6"/>
    <w:rsid w:val="00D91C67"/>
    <w:rsid w:val="00D92926"/>
    <w:rsid w:val="00D974DA"/>
    <w:rsid w:val="00DA4EF8"/>
    <w:rsid w:val="00DB04AA"/>
    <w:rsid w:val="00DB732D"/>
    <w:rsid w:val="00DB7A48"/>
    <w:rsid w:val="00DD087E"/>
    <w:rsid w:val="00DD3940"/>
    <w:rsid w:val="00DD721C"/>
    <w:rsid w:val="00DE1244"/>
    <w:rsid w:val="00DE5C58"/>
    <w:rsid w:val="00DF446B"/>
    <w:rsid w:val="00E00535"/>
    <w:rsid w:val="00E0698F"/>
    <w:rsid w:val="00E17FB8"/>
    <w:rsid w:val="00E225F8"/>
    <w:rsid w:val="00E27F63"/>
    <w:rsid w:val="00E37267"/>
    <w:rsid w:val="00E4242E"/>
    <w:rsid w:val="00E47DC9"/>
    <w:rsid w:val="00E51E7F"/>
    <w:rsid w:val="00E67FCA"/>
    <w:rsid w:val="00E751DE"/>
    <w:rsid w:val="00E7724F"/>
    <w:rsid w:val="00E800D2"/>
    <w:rsid w:val="00E86484"/>
    <w:rsid w:val="00EB1D66"/>
    <w:rsid w:val="00EB284D"/>
    <w:rsid w:val="00EB2E6A"/>
    <w:rsid w:val="00EC0F3C"/>
    <w:rsid w:val="00EC5A22"/>
    <w:rsid w:val="00ED6126"/>
    <w:rsid w:val="00F0304F"/>
    <w:rsid w:val="00F0546B"/>
    <w:rsid w:val="00F118CD"/>
    <w:rsid w:val="00F178ED"/>
    <w:rsid w:val="00F210F6"/>
    <w:rsid w:val="00F4087A"/>
    <w:rsid w:val="00F4767D"/>
    <w:rsid w:val="00F62F19"/>
    <w:rsid w:val="00F65175"/>
    <w:rsid w:val="00F90B6B"/>
    <w:rsid w:val="00F9503F"/>
    <w:rsid w:val="00FA3AE7"/>
    <w:rsid w:val="00FA44AB"/>
    <w:rsid w:val="00FA4D39"/>
    <w:rsid w:val="00FB0EDC"/>
    <w:rsid w:val="00FB1571"/>
    <w:rsid w:val="00FB1A76"/>
    <w:rsid w:val="00FE184F"/>
    <w:rsid w:val="00FE3642"/>
    <w:rsid w:val="00FE473E"/>
    <w:rsid w:val="00FE7349"/>
    <w:rsid w:val="00FF152F"/>
    <w:rsid w:val="00FF193D"/>
    <w:rsid w:val="00FF41E6"/>
    <w:rsid w:val="00FF771A"/>
    <w:rsid w:val="019F69BD"/>
    <w:rsid w:val="02417264"/>
    <w:rsid w:val="03AD6E1A"/>
    <w:rsid w:val="04442417"/>
    <w:rsid w:val="04B930B4"/>
    <w:rsid w:val="08D6139D"/>
    <w:rsid w:val="0B691F80"/>
    <w:rsid w:val="108257D1"/>
    <w:rsid w:val="10C24D3B"/>
    <w:rsid w:val="131D5AA0"/>
    <w:rsid w:val="13C807D4"/>
    <w:rsid w:val="148C345C"/>
    <w:rsid w:val="16ED208D"/>
    <w:rsid w:val="186873A0"/>
    <w:rsid w:val="1CD92DBF"/>
    <w:rsid w:val="22AF4D88"/>
    <w:rsid w:val="2377429F"/>
    <w:rsid w:val="25E15029"/>
    <w:rsid w:val="26252D04"/>
    <w:rsid w:val="281E42F9"/>
    <w:rsid w:val="285E6044"/>
    <w:rsid w:val="2A640D4D"/>
    <w:rsid w:val="2A7B30FD"/>
    <w:rsid w:val="2B141854"/>
    <w:rsid w:val="2B6C7DE3"/>
    <w:rsid w:val="30EF3074"/>
    <w:rsid w:val="31C512D0"/>
    <w:rsid w:val="32814DB2"/>
    <w:rsid w:val="32931682"/>
    <w:rsid w:val="36F63EE5"/>
    <w:rsid w:val="38176E4B"/>
    <w:rsid w:val="3DB466B1"/>
    <w:rsid w:val="3ED85A51"/>
    <w:rsid w:val="40ED5791"/>
    <w:rsid w:val="40F14384"/>
    <w:rsid w:val="41194023"/>
    <w:rsid w:val="438C42C5"/>
    <w:rsid w:val="47981F34"/>
    <w:rsid w:val="4C9D6EBF"/>
    <w:rsid w:val="4EC363CA"/>
    <w:rsid w:val="4EC75405"/>
    <w:rsid w:val="4ED14FAB"/>
    <w:rsid w:val="4F073DA1"/>
    <w:rsid w:val="53465EC5"/>
    <w:rsid w:val="55574484"/>
    <w:rsid w:val="56F2776F"/>
    <w:rsid w:val="5BB14895"/>
    <w:rsid w:val="5BBF3AF7"/>
    <w:rsid w:val="5BF805DF"/>
    <w:rsid w:val="5C6403F6"/>
    <w:rsid w:val="5F992642"/>
    <w:rsid w:val="603C04E3"/>
    <w:rsid w:val="69DE5100"/>
    <w:rsid w:val="6BBF7DBB"/>
    <w:rsid w:val="6D7E6093"/>
    <w:rsid w:val="6E0A04BB"/>
    <w:rsid w:val="70DB2923"/>
    <w:rsid w:val="70DD5746"/>
    <w:rsid w:val="766B7018"/>
    <w:rsid w:val="775E7E1E"/>
    <w:rsid w:val="79815969"/>
    <w:rsid w:val="7A004C6A"/>
    <w:rsid w:val="7B601D41"/>
    <w:rsid w:val="7CF56B98"/>
    <w:rsid w:val="7D4C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36D572"/>
  <w15:docId w15:val="{7B2A62D2-C35A-495B-8FF3-8D1A766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9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7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A73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A73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A73DF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A73D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A7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AA73DF"/>
    <w:pPr>
      <w:spacing w:after="0"/>
    </w:pPr>
    <w:rPr>
      <w:rFonts w:cs="Times New Roman"/>
      <w:sz w:val="24"/>
    </w:rPr>
  </w:style>
  <w:style w:type="paragraph" w:styleId="aa">
    <w:name w:val="Title"/>
    <w:basedOn w:val="a"/>
    <w:next w:val="a"/>
    <w:link w:val="ab"/>
    <w:uiPriority w:val="10"/>
    <w:qFormat/>
    <w:rsid w:val="00AA73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c">
    <w:name w:val="Table Grid"/>
    <w:basedOn w:val="a1"/>
    <w:qFormat/>
    <w:rsid w:val="00AA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A73DF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A73DF"/>
  </w:style>
  <w:style w:type="character" w:styleId="HTML0">
    <w:name w:val="HTML Typewriter"/>
    <w:basedOn w:val="a0"/>
    <w:uiPriority w:val="99"/>
    <w:semiHidden/>
    <w:unhideWhenUsed/>
    <w:rsid w:val="00AA73DF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rsid w:val="00AA73DF"/>
  </w:style>
  <w:style w:type="character" w:styleId="HTML2">
    <w:name w:val="HTML Variable"/>
    <w:basedOn w:val="a0"/>
    <w:uiPriority w:val="99"/>
    <w:semiHidden/>
    <w:unhideWhenUsed/>
    <w:qFormat/>
    <w:rsid w:val="00AA73DF"/>
  </w:style>
  <w:style w:type="character" w:styleId="ae">
    <w:name w:val="Hyperlink"/>
    <w:basedOn w:val="a0"/>
    <w:uiPriority w:val="99"/>
    <w:semiHidden/>
    <w:unhideWhenUsed/>
    <w:qFormat/>
    <w:rsid w:val="00AA73DF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AA73DF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  <w:rsid w:val="00AA73DF"/>
  </w:style>
  <w:style w:type="character" w:styleId="HTML5">
    <w:name w:val="HTML Keyboard"/>
    <w:basedOn w:val="a0"/>
    <w:uiPriority w:val="99"/>
    <w:semiHidden/>
    <w:unhideWhenUsed/>
    <w:qFormat/>
    <w:rsid w:val="00AA73DF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AA73DF"/>
    <w:rPr>
      <w:rFonts w:ascii="monospace" w:eastAsia="monospace" w:hAnsi="monospace" w:cs="monospace" w:hint="default"/>
    </w:rPr>
  </w:style>
  <w:style w:type="character" w:customStyle="1" w:styleId="10">
    <w:name w:val="标题 1 字符"/>
    <w:basedOn w:val="a0"/>
    <w:link w:val="1"/>
    <w:uiPriority w:val="9"/>
    <w:qFormat/>
    <w:rsid w:val="00AA73DF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AA73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sid w:val="00AA73D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AA73DF"/>
    <w:rPr>
      <w:rFonts w:ascii="Tahoma" w:hAnsi="Tahoma"/>
      <w:b/>
      <w:bCs/>
      <w:sz w:val="32"/>
      <w:szCs w:val="32"/>
    </w:rPr>
  </w:style>
  <w:style w:type="paragraph" w:styleId="af">
    <w:name w:val="List Paragraph"/>
    <w:basedOn w:val="a"/>
    <w:uiPriority w:val="99"/>
    <w:qFormat/>
    <w:rsid w:val="00AA73DF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AA73DF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A73DF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A73DF"/>
    <w:rPr>
      <w:rFonts w:ascii="Tahoma" w:hAnsi="Tahoma"/>
      <w:sz w:val="18"/>
      <w:szCs w:val="18"/>
    </w:rPr>
  </w:style>
  <w:style w:type="paragraph" w:customStyle="1" w:styleId="Default">
    <w:name w:val="Default"/>
    <w:link w:val="DefaultChar"/>
    <w:qFormat/>
    <w:rsid w:val="00AA73DF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4">
    <w:name w:val="※正文（缩进4）"/>
    <w:basedOn w:val="af0"/>
    <w:qFormat/>
    <w:rsid w:val="00AA73DF"/>
    <w:pPr>
      <w:ind w:firstLineChars="400" w:firstLine="400"/>
    </w:pPr>
  </w:style>
  <w:style w:type="paragraph" w:customStyle="1" w:styleId="af0">
    <w:name w:val="※正文"/>
    <w:basedOn w:val="a"/>
    <w:next w:val="a"/>
    <w:qFormat/>
    <w:rsid w:val="00AA73DF"/>
    <w:pPr>
      <w:wordWrap w:val="0"/>
    </w:pPr>
  </w:style>
  <w:style w:type="table" w:customStyle="1" w:styleId="11">
    <w:name w:val="网格型1"/>
    <w:basedOn w:val="a1"/>
    <w:uiPriority w:val="59"/>
    <w:qFormat/>
    <w:rsid w:val="00AA73D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Plain Text"/>
    <w:basedOn w:val="a"/>
    <w:link w:val="af2"/>
    <w:qFormat/>
    <w:rsid w:val="003B709A"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character" w:customStyle="1" w:styleId="af2">
    <w:name w:val="纯文本 字符"/>
    <w:basedOn w:val="a0"/>
    <w:link w:val="af1"/>
    <w:qFormat/>
    <w:rsid w:val="003B709A"/>
    <w:rPr>
      <w:rFonts w:ascii="宋体" w:eastAsiaTheme="minorEastAsia" w:hAnsi="Courier New" w:cstheme="minorBidi"/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50598D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50598D"/>
    <w:rPr>
      <w:rFonts w:ascii="Tahoma" w:eastAsia="微软雅黑" w:hAnsi="Tahoma" w:cstheme="minorBidi"/>
      <w:sz w:val="22"/>
      <w:szCs w:val="22"/>
    </w:rPr>
  </w:style>
  <w:style w:type="character" w:customStyle="1" w:styleId="DefaultChar">
    <w:name w:val="Default Char"/>
    <w:link w:val="Default"/>
    <w:qFormat/>
    <w:locked/>
    <w:rsid w:val="00817362"/>
    <w:rPr>
      <w:rFonts w:ascii="Arial" w:hAnsi="Arial"/>
      <w:color w:val="000000"/>
      <w:sz w:val="24"/>
      <w:szCs w:val="24"/>
    </w:rPr>
  </w:style>
  <w:style w:type="paragraph" w:customStyle="1" w:styleId="Z">
    <w:name w:val="※章节标题（第Z部分分项）"/>
    <w:basedOn w:val="a"/>
    <w:qFormat/>
    <w:rsid w:val="0096598C"/>
    <w:pPr>
      <w:adjustRightInd/>
      <w:snapToGrid/>
      <w:spacing w:after="0"/>
      <w:jc w:val="center"/>
      <w:outlineLvl w:val="2"/>
    </w:pPr>
    <w:rPr>
      <w:rFonts w:ascii="Calibri Light" w:eastAsia="黑体" w:hAnsi="Calibri Light" w:cs="Times New Roman"/>
      <w:color w:val="1F4E79"/>
      <w:kern w:val="2"/>
      <w:sz w:val="32"/>
      <w:szCs w:val="36"/>
    </w:rPr>
  </w:style>
  <w:style w:type="paragraph" w:customStyle="1" w:styleId="af5">
    <w:name w:val="正本"/>
    <w:next w:val="af6"/>
    <w:qFormat/>
    <w:rsid w:val="001333D2"/>
    <w:pPr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customStyle="1" w:styleId="af7">
    <w:name w:val="表格"/>
    <w:next w:val="af6"/>
    <w:qFormat/>
    <w:rsid w:val="001333D2"/>
    <w:pPr>
      <w:jc w:val="center"/>
    </w:pPr>
    <w:rPr>
      <w:kern w:val="2"/>
      <w:sz w:val="21"/>
      <w:szCs w:val="24"/>
    </w:rPr>
  </w:style>
  <w:style w:type="paragraph" w:styleId="af6">
    <w:name w:val="No Spacing"/>
    <w:uiPriority w:val="99"/>
    <w:semiHidden/>
    <w:unhideWhenUsed/>
    <w:rsid w:val="001333D2"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F2960"/>
    <w:pPr>
      <w:widowControl w:val="0"/>
      <w:autoSpaceDE w:val="0"/>
      <w:autoSpaceDN w:val="0"/>
      <w:adjustRightInd/>
      <w:snapToGrid/>
      <w:spacing w:after="0"/>
      <w:ind w:left="103"/>
    </w:pPr>
    <w:rPr>
      <w:rFonts w:ascii="宋体" w:eastAsia="宋体" w:hAnsi="宋体" w:cs="宋体"/>
      <w:color w:val="000000" w:themeColor="text1"/>
      <w:szCs w:val="20"/>
      <w:lang w:eastAsia="en-US"/>
    </w:rPr>
  </w:style>
  <w:style w:type="table" w:customStyle="1" w:styleId="TableNormal">
    <w:name w:val="Table Normal"/>
    <w:uiPriority w:val="2"/>
    <w:unhideWhenUsed/>
    <w:qFormat/>
    <w:rsid w:val="005F2960"/>
    <w:pPr>
      <w:widowControl w:val="0"/>
      <w:autoSpaceDE w:val="0"/>
      <w:autoSpaceDN w:val="0"/>
    </w:pPr>
    <w:rPr>
      <w:rFonts w:ascii="宋体" w:hAnsi="宋体"/>
      <w:color w:val="000000" w:themeColor="text1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next w:val="a"/>
    <w:link w:val="af9"/>
    <w:uiPriority w:val="99"/>
    <w:unhideWhenUsed/>
    <w:qFormat/>
    <w:rsid w:val="00A05327"/>
    <w:pPr>
      <w:widowControl w:val="0"/>
      <w:adjustRightInd/>
      <w:snapToGrid/>
      <w:spacing w:after="120"/>
      <w:jc w:val="both"/>
    </w:pPr>
    <w:rPr>
      <w:rFonts w:ascii="宋体" w:eastAsia="宋体" w:hAnsi="宋体"/>
      <w:color w:val="000000" w:themeColor="text1"/>
      <w:kern w:val="2"/>
      <w:sz w:val="24"/>
      <w:szCs w:val="20"/>
    </w:rPr>
  </w:style>
  <w:style w:type="character" w:customStyle="1" w:styleId="af9">
    <w:name w:val="正文文本 字符"/>
    <w:basedOn w:val="a0"/>
    <w:link w:val="af8"/>
    <w:uiPriority w:val="99"/>
    <w:qFormat/>
    <w:rsid w:val="00A05327"/>
    <w:rPr>
      <w:rFonts w:ascii="宋体" w:hAnsi="宋体" w:cstheme="minorBidi"/>
      <w:color w:val="000000" w:themeColor="text1"/>
      <w:kern w:val="2"/>
      <w:sz w:val="24"/>
    </w:rPr>
  </w:style>
  <w:style w:type="paragraph" w:customStyle="1" w:styleId="12">
    <w:name w:val="1正文"/>
    <w:basedOn w:val="a"/>
    <w:link w:val="1Char"/>
    <w:qFormat/>
    <w:rsid w:val="00A05327"/>
    <w:pPr>
      <w:adjustRightInd/>
      <w:spacing w:after="0" w:line="360" w:lineRule="auto"/>
      <w:ind w:firstLineChars="200" w:firstLine="480"/>
      <w:jc w:val="both"/>
    </w:pPr>
    <w:rPr>
      <w:rFonts w:ascii="宋体" w:eastAsia="宋体" w:hAnsi="宋体" w:cs="Times New Roman"/>
      <w:bCs/>
      <w:kern w:val="2"/>
      <w:sz w:val="24"/>
      <w:szCs w:val="24"/>
      <w:lang w:val="zh-CN"/>
    </w:rPr>
  </w:style>
  <w:style w:type="character" w:customStyle="1" w:styleId="1Char">
    <w:name w:val="1正文 Char"/>
    <w:link w:val="12"/>
    <w:qFormat/>
    <w:rsid w:val="00A05327"/>
    <w:rPr>
      <w:rFonts w:ascii="宋体" w:hAnsi="宋体"/>
      <w:bCs/>
      <w:kern w:val="2"/>
      <w:sz w:val="24"/>
      <w:szCs w:val="24"/>
      <w:lang w:val="zh-CN"/>
    </w:rPr>
  </w:style>
  <w:style w:type="paragraph" w:styleId="afa">
    <w:name w:val="Document Map"/>
    <w:basedOn w:val="a"/>
    <w:link w:val="afb"/>
    <w:uiPriority w:val="99"/>
    <w:semiHidden/>
    <w:unhideWhenUsed/>
    <w:rsid w:val="00DD087E"/>
    <w:rPr>
      <w:rFonts w:ascii="宋体" w:eastAsia="宋体"/>
      <w:sz w:val="18"/>
      <w:szCs w:val="18"/>
    </w:rPr>
  </w:style>
  <w:style w:type="character" w:customStyle="1" w:styleId="afb">
    <w:name w:val="文档结构图 字符"/>
    <w:basedOn w:val="a0"/>
    <w:link w:val="afa"/>
    <w:uiPriority w:val="99"/>
    <w:semiHidden/>
    <w:rsid w:val="00DD087E"/>
    <w:rPr>
      <w:rFonts w:ascii="宋体" w:hAnsi="Tahoma" w:cstheme="minorBidi"/>
      <w:sz w:val="18"/>
      <w:szCs w:val="18"/>
    </w:rPr>
  </w:style>
  <w:style w:type="paragraph" w:customStyle="1" w:styleId="15">
    <w:name w:val="正文 小四宋体（首行缩进两字+1.5倍行距）"/>
    <w:basedOn w:val="a"/>
    <w:qFormat/>
    <w:rsid w:val="008D5ACE"/>
    <w:pPr>
      <w:widowControl w:val="0"/>
      <w:autoSpaceDE w:val="0"/>
      <w:autoSpaceDN w:val="0"/>
      <w:adjustRightInd/>
      <w:snapToGrid/>
      <w:spacing w:after="0" w:line="360" w:lineRule="auto"/>
      <w:ind w:firstLineChars="200" w:firstLine="480"/>
      <w:jc w:val="both"/>
    </w:pPr>
    <w:rPr>
      <w:rFonts w:ascii="Arial" w:eastAsia="微软雅黑 Light" w:hAnsi="Arial" w:cs="宋体"/>
      <w:kern w:val="2"/>
      <w:sz w:val="24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AE48D-B138-42C3-9D4E-5A22C69B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295</Words>
  <Characters>1687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李翠</cp:lastModifiedBy>
  <cp:revision>383</cp:revision>
  <cp:lastPrinted>2022-07-25T09:46:00Z</cp:lastPrinted>
  <dcterms:created xsi:type="dcterms:W3CDTF">2014-03-06T02:21:00Z</dcterms:created>
  <dcterms:modified xsi:type="dcterms:W3CDTF">2022-07-25T09:47:00Z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