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6542" w:firstLineChars="1481"/>
        <w:rPr>
          <w:rFonts w:hint="eastAsia" w:ascii="宋体" w:hAnsi="宋体" w:eastAsia="宋体" w:cs="宋体"/>
          <w:b/>
          <w:bCs/>
          <w:color w:val="auto"/>
          <w:kern w:val="1"/>
          <w:sz w:val="36"/>
          <w:szCs w:val="36"/>
        </w:rPr>
      </w:pPr>
      <w:r>
        <w:rPr>
          <w:rFonts w:hint="eastAsia" w:ascii="宋体" w:hAnsi="宋体" w:eastAsia="宋体" w:cs="宋体"/>
          <w:b/>
          <w:color w:val="auto"/>
          <w:sz w:val="44"/>
          <w:szCs w:val="44"/>
          <w:bdr w:val="single" w:color="auto" w:sz="4" w:space="0"/>
          <w:shd w:val="pct10" w:color="auto" w:fill="FFFFFF"/>
        </w:rPr>
        <w:t>政府采购</w:t>
      </w:r>
    </w:p>
    <w:p>
      <w:pPr>
        <w:ind w:left="0" w:leftChars="0" w:firstLine="181" w:firstLineChars="41"/>
        <w:jc w:val="both"/>
        <w:rPr>
          <w:rFonts w:hint="eastAsia" w:ascii="宋体" w:hAnsi="宋体" w:eastAsia="宋体" w:cs="宋体"/>
          <w:b/>
          <w:bCs/>
          <w:color w:val="auto"/>
          <w:kern w:val="1"/>
          <w:sz w:val="44"/>
          <w:szCs w:val="44"/>
          <w:lang w:val="en-US" w:eastAsia="zh-CN"/>
        </w:rPr>
      </w:pPr>
    </w:p>
    <w:p>
      <w:pPr>
        <w:ind w:left="0" w:leftChars="0" w:firstLine="181" w:firstLineChars="41"/>
        <w:jc w:val="both"/>
        <w:rPr>
          <w:rFonts w:hint="eastAsia" w:ascii="宋体" w:hAnsi="宋体" w:eastAsia="宋体" w:cs="宋体"/>
          <w:b/>
          <w:bCs/>
          <w:color w:val="auto"/>
          <w:kern w:val="1"/>
          <w:sz w:val="44"/>
          <w:szCs w:val="44"/>
          <w:lang w:val="en-US" w:eastAsia="zh-CN"/>
        </w:rPr>
      </w:pPr>
      <w:r>
        <w:rPr>
          <w:rFonts w:hint="eastAsia" w:ascii="宋体" w:hAnsi="宋体" w:eastAsia="宋体" w:cs="宋体"/>
          <w:b/>
          <w:bCs/>
          <w:color w:val="auto"/>
          <w:kern w:val="1"/>
          <w:sz w:val="44"/>
          <w:szCs w:val="44"/>
          <w:lang w:val="en-US" w:eastAsia="zh-CN"/>
        </w:rPr>
        <w:t>西安市教育局教师资格认定工作服务项目</w:t>
      </w:r>
    </w:p>
    <w:p>
      <w:pPr>
        <w:pStyle w:val="27"/>
        <w:ind w:firstLine="180"/>
        <w:rPr>
          <w:rFonts w:hint="eastAsia" w:ascii="宋体" w:hAnsi="宋体" w:eastAsia="宋体" w:cs="宋体"/>
          <w:color w:val="auto"/>
        </w:rPr>
      </w:pPr>
    </w:p>
    <w:p>
      <w:pPr>
        <w:spacing w:line="360" w:lineRule="auto"/>
        <w:ind w:firstLine="1054" w:firstLineChars="500"/>
        <w:jc w:val="both"/>
        <w:rPr>
          <w:rFonts w:hint="eastAsia" w:ascii="宋体" w:hAnsi="宋体" w:eastAsia="宋体" w:cs="宋体"/>
          <w:b/>
          <w:bCs/>
          <w:color w:val="auto"/>
          <w:kern w:val="1"/>
          <w:sz w:val="21"/>
          <w:szCs w:val="21"/>
        </w:rPr>
      </w:pPr>
    </w:p>
    <w:p>
      <w:pPr>
        <w:pStyle w:val="15"/>
        <w:rPr>
          <w:rFonts w:hint="eastAsia" w:ascii="宋体" w:hAnsi="宋体" w:eastAsia="宋体" w:cs="宋体"/>
          <w:color w:val="auto"/>
        </w:rPr>
      </w:pPr>
    </w:p>
    <w:p>
      <w:pPr>
        <w:spacing w:line="360" w:lineRule="auto"/>
        <w:ind w:left="0" w:leftChars="0" w:firstLine="1968" w:firstLineChars="350"/>
        <w:jc w:val="both"/>
        <w:rPr>
          <w:rFonts w:hint="eastAsia" w:ascii="宋体" w:hAnsi="宋体" w:eastAsia="宋体" w:cs="宋体"/>
          <w:b/>
          <w:bCs/>
          <w:color w:val="auto"/>
          <w:kern w:val="1"/>
          <w:sz w:val="56"/>
          <w:szCs w:val="56"/>
        </w:rPr>
      </w:pPr>
    </w:p>
    <w:p>
      <w:pPr>
        <w:spacing w:line="360" w:lineRule="auto"/>
        <w:ind w:left="0" w:leftChars="0" w:firstLine="1906" w:firstLineChars="339"/>
        <w:jc w:val="both"/>
        <w:rPr>
          <w:rFonts w:hint="eastAsia" w:ascii="宋体" w:hAnsi="宋体" w:eastAsia="宋体" w:cs="宋体"/>
          <w:b/>
          <w:bCs/>
          <w:color w:val="auto"/>
          <w:kern w:val="1"/>
          <w:sz w:val="56"/>
          <w:szCs w:val="56"/>
        </w:rPr>
      </w:pPr>
      <w:r>
        <w:rPr>
          <w:rFonts w:hint="eastAsia" w:ascii="宋体" w:hAnsi="宋体" w:eastAsia="宋体" w:cs="宋体"/>
          <w:b/>
          <w:bCs/>
          <w:color w:val="auto"/>
          <w:kern w:val="1"/>
          <w:sz w:val="56"/>
          <w:szCs w:val="56"/>
          <w:lang w:val="en-US" w:eastAsia="zh-CN"/>
        </w:rPr>
        <w:t>竞争性</w:t>
      </w:r>
      <w:r>
        <w:rPr>
          <w:rFonts w:hint="eastAsia" w:ascii="宋体" w:hAnsi="宋体" w:eastAsia="宋体" w:cs="宋体"/>
          <w:b/>
          <w:bCs/>
          <w:color w:val="auto"/>
          <w:kern w:val="1"/>
          <w:sz w:val="56"/>
          <w:szCs w:val="56"/>
        </w:rPr>
        <w:t>磋商文件</w:t>
      </w:r>
    </w:p>
    <w:p>
      <w:pP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                  </w:t>
      </w:r>
    </w:p>
    <w:p>
      <w:pPr>
        <w:pStyle w:val="14"/>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pStyle w:val="14"/>
        <w:rPr>
          <w:rFonts w:hint="eastAsia" w:ascii="宋体" w:hAnsi="宋体" w:eastAsia="宋体" w:cs="宋体"/>
          <w:color w:val="auto"/>
        </w:rPr>
      </w:pPr>
    </w:p>
    <w:p>
      <w:pPr>
        <w:spacing w:line="600" w:lineRule="auto"/>
        <w:rPr>
          <w:rFonts w:hint="eastAsia" w:ascii="宋体" w:hAnsi="宋体" w:eastAsia="宋体" w:cs="宋体"/>
          <w:b/>
          <w:bCs/>
          <w:color w:val="auto"/>
          <w:kern w:val="1"/>
          <w:sz w:val="16"/>
          <w:szCs w:val="16"/>
        </w:rPr>
      </w:pPr>
    </w:p>
    <w:p>
      <w:pPr>
        <w:spacing w:line="600" w:lineRule="auto"/>
        <w:ind w:firstLine="402" w:firstLineChars="100"/>
        <w:rPr>
          <w:rFonts w:hint="eastAsia" w:ascii="宋体" w:hAnsi="宋体" w:eastAsia="宋体" w:cs="宋体"/>
          <w:b/>
          <w:bCs/>
          <w:color w:val="auto"/>
          <w:kern w:val="1"/>
          <w:sz w:val="40"/>
          <w:szCs w:val="40"/>
        </w:rPr>
      </w:pPr>
    </w:p>
    <w:p>
      <w:pPr>
        <w:spacing w:line="600" w:lineRule="auto"/>
        <w:ind w:firstLine="402" w:firstLineChars="100"/>
        <w:rPr>
          <w:rFonts w:hint="eastAsia" w:ascii="宋体" w:hAnsi="宋体" w:eastAsia="宋体" w:cs="宋体"/>
          <w:b/>
          <w:bCs/>
          <w:color w:val="auto"/>
          <w:kern w:val="1"/>
          <w:sz w:val="40"/>
          <w:szCs w:val="40"/>
          <w:lang w:eastAsia="zh-CN"/>
        </w:rPr>
      </w:pPr>
      <w:r>
        <w:rPr>
          <w:rFonts w:hint="eastAsia" w:ascii="宋体" w:hAnsi="宋体" w:eastAsia="宋体" w:cs="宋体"/>
          <w:b/>
          <w:bCs/>
          <w:color w:val="auto"/>
          <w:kern w:val="1"/>
          <w:sz w:val="40"/>
          <w:szCs w:val="40"/>
        </w:rPr>
        <w:t>项 目</w:t>
      </w:r>
      <w:r>
        <w:rPr>
          <w:rFonts w:hint="eastAsia" w:ascii="宋体" w:hAnsi="宋体" w:eastAsia="宋体" w:cs="宋体"/>
          <w:b/>
          <w:bCs/>
          <w:color w:val="auto"/>
          <w:kern w:val="1"/>
          <w:sz w:val="40"/>
          <w:szCs w:val="40"/>
          <w:lang w:val="en-US" w:eastAsia="zh-CN"/>
        </w:rPr>
        <w:t xml:space="preserve"> </w:t>
      </w:r>
      <w:r>
        <w:rPr>
          <w:rFonts w:hint="eastAsia" w:ascii="宋体" w:hAnsi="宋体" w:eastAsia="宋体" w:cs="宋体"/>
          <w:b/>
          <w:bCs/>
          <w:color w:val="auto"/>
          <w:kern w:val="1"/>
          <w:sz w:val="40"/>
          <w:szCs w:val="40"/>
        </w:rPr>
        <w:t>编 号：</w:t>
      </w:r>
      <w:r>
        <w:rPr>
          <w:rFonts w:hint="eastAsia" w:ascii="宋体" w:hAnsi="宋体" w:eastAsia="宋体" w:cs="宋体"/>
          <w:b/>
          <w:bCs/>
          <w:color w:val="auto"/>
          <w:sz w:val="44"/>
          <w:szCs w:val="44"/>
          <w:lang w:eastAsia="zh-CN"/>
        </w:rPr>
        <w:t>TZZB-Z-2022161C</w:t>
      </w:r>
    </w:p>
    <w:p>
      <w:pPr>
        <w:pStyle w:val="48"/>
        <w:spacing w:before="0" w:line="600" w:lineRule="auto"/>
        <w:ind w:firstLine="402" w:firstLineChars="100"/>
        <w:rPr>
          <w:rFonts w:hint="eastAsia" w:ascii="宋体" w:hAnsi="宋体" w:eastAsia="宋体" w:cs="宋体"/>
          <w:bCs/>
          <w:color w:val="auto"/>
          <w:kern w:val="1"/>
          <w:sz w:val="40"/>
          <w:szCs w:val="40"/>
          <w:lang w:eastAsia="zh-CN"/>
        </w:rPr>
      </w:pPr>
      <w:r>
        <w:rPr>
          <w:rFonts w:hint="eastAsia" w:ascii="宋体" w:hAnsi="宋体" w:eastAsia="宋体" w:cs="宋体"/>
          <w:bCs/>
          <w:color w:val="auto"/>
          <w:kern w:val="1"/>
          <w:sz w:val="40"/>
          <w:szCs w:val="40"/>
        </w:rPr>
        <w:t>采   购  人：</w:t>
      </w:r>
      <w:r>
        <w:rPr>
          <w:rFonts w:hint="eastAsia" w:ascii="宋体" w:hAnsi="宋体" w:eastAsia="宋体" w:cs="宋体"/>
          <w:bCs/>
          <w:color w:val="auto"/>
          <w:kern w:val="1"/>
          <w:sz w:val="40"/>
          <w:szCs w:val="40"/>
          <w:lang w:eastAsia="zh-CN"/>
        </w:rPr>
        <w:t>西安市教育局</w:t>
      </w:r>
    </w:p>
    <w:p>
      <w:pPr>
        <w:spacing w:line="600" w:lineRule="auto"/>
        <w:ind w:firstLine="402" w:firstLineChars="100"/>
        <w:rPr>
          <w:rFonts w:hint="eastAsia" w:ascii="宋体" w:hAnsi="宋体" w:eastAsia="宋体" w:cs="宋体"/>
          <w:b/>
          <w:bCs/>
          <w:color w:val="auto"/>
          <w:kern w:val="1"/>
          <w:sz w:val="40"/>
          <w:szCs w:val="40"/>
        </w:rPr>
      </w:pPr>
      <w:r>
        <w:rPr>
          <w:rFonts w:hint="eastAsia" w:ascii="宋体" w:hAnsi="宋体" w:eastAsia="宋体" w:cs="宋体"/>
          <w:b/>
          <w:bCs/>
          <w:color w:val="auto"/>
          <w:kern w:val="1"/>
          <w:sz w:val="40"/>
          <w:szCs w:val="40"/>
        </w:rPr>
        <w:t>采购代理机构：同正项目管理有限公司</w:t>
      </w:r>
    </w:p>
    <w:p>
      <w:pPr>
        <w:pStyle w:val="16"/>
        <w:spacing w:line="600" w:lineRule="auto"/>
        <w:ind w:left="0" w:leftChars="0" w:firstLine="2530" w:firstLineChars="630"/>
        <w:jc w:val="both"/>
        <w:rPr>
          <w:rFonts w:hint="eastAsia" w:ascii="宋体" w:hAnsi="宋体" w:eastAsia="宋体" w:cs="宋体"/>
          <w:color w:val="auto"/>
          <w:sz w:val="36"/>
          <w:szCs w:val="36"/>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40"/>
          <w:szCs w:val="40"/>
        </w:rPr>
        <w:t>二〇二</w:t>
      </w:r>
      <w:r>
        <w:rPr>
          <w:rFonts w:hint="eastAsia" w:ascii="宋体" w:hAnsi="宋体" w:eastAsia="宋体" w:cs="宋体"/>
          <w:b/>
          <w:bCs/>
          <w:color w:val="auto"/>
          <w:sz w:val="40"/>
          <w:szCs w:val="40"/>
          <w:lang w:val="en-US" w:eastAsia="zh-CN"/>
        </w:rPr>
        <w:t>二</w:t>
      </w:r>
      <w:r>
        <w:rPr>
          <w:rFonts w:hint="eastAsia" w:ascii="宋体" w:hAnsi="宋体" w:eastAsia="宋体" w:cs="宋体"/>
          <w:b/>
          <w:bCs/>
          <w:color w:val="auto"/>
          <w:sz w:val="40"/>
          <w:szCs w:val="40"/>
        </w:rPr>
        <w:t>年</w:t>
      </w:r>
      <w:r>
        <w:rPr>
          <w:rFonts w:hint="eastAsia" w:ascii="宋体" w:hAnsi="宋体" w:eastAsia="宋体" w:cs="宋体"/>
          <w:b/>
          <w:bCs/>
          <w:color w:val="auto"/>
          <w:sz w:val="40"/>
          <w:szCs w:val="40"/>
          <w:lang w:val="en-US" w:eastAsia="zh-CN"/>
        </w:rPr>
        <w:t>六</w:t>
      </w:r>
      <w:r>
        <w:rPr>
          <w:rFonts w:hint="eastAsia" w:ascii="宋体" w:hAnsi="宋体" w:eastAsia="宋体" w:cs="宋体"/>
          <w:b/>
          <w:bCs/>
          <w:color w:val="auto"/>
          <w:sz w:val="40"/>
          <w:szCs w:val="40"/>
        </w:rPr>
        <w:t>月</w:t>
      </w: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40"/>
        </w:rPr>
      </w:pP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40"/>
        </w:rPr>
      </w:pP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rPr>
      </w:pPr>
      <w:r>
        <w:rPr>
          <w:rFonts w:hint="eastAsia" w:ascii="宋体" w:hAnsi="宋体" w:eastAsia="宋体" w:cs="宋体"/>
          <w:b/>
          <w:bCs/>
          <w:color w:val="auto"/>
          <w:sz w:val="32"/>
          <w:szCs w:val="40"/>
        </w:rPr>
        <w:t>目</w:t>
      </w:r>
      <w:r>
        <w:rPr>
          <w:rFonts w:hint="eastAsia" w:ascii="宋体" w:hAnsi="宋体" w:eastAsia="宋体" w:cs="宋体"/>
          <w:b/>
          <w:bCs/>
          <w:color w:val="auto"/>
          <w:sz w:val="32"/>
          <w:szCs w:val="40"/>
          <w:lang w:val="en-US" w:eastAsia="zh-CN"/>
        </w:rPr>
        <w:t xml:space="preserve">    </w:t>
      </w:r>
      <w:r>
        <w:rPr>
          <w:rFonts w:hint="eastAsia" w:ascii="宋体" w:hAnsi="宋体" w:eastAsia="宋体" w:cs="宋体"/>
          <w:b/>
          <w:bCs/>
          <w:color w:val="auto"/>
          <w:sz w:val="32"/>
          <w:szCs w:val="40"/>
        </w:rPr>
        <w:t>录</w:t>
      </w:r>
    </w:p>
    <w:sdt>
      <w:sdtPr>
        <w:rPr>
          <w:rFonts w:hint="eastAsia" w:ascii="宋体" w:hAnsi="宋体" w:eastAsia="宋体" w:cs="宋体"/>
          <w:color w:val="auto"/>
          <w:kern w:val="2"/>
          <w:sz w:val="21"/>
          <w:szCs w:val="24"/>
          <w:lang w:val="en-US" w:eastAsia="zh-CN" w:bidi="ar-SA"/>
        </w:rPr>
        <w:id w:val="147465076"/>
        <w15:color w:val="DBDBDB"/>
        <w:docPartObj>
          <w:docPartGallery w:val="Table of Contents"/>
          <w:docPartUnique/>
        </w:docPartObj>
      </w:sdtPr>
      <w:sdtEndPr>
        <w:rPr>
          <w:rFonts w:hint="eastAsia" w:ascii="宋体" w:hAnsi="宋体" w:eastAsia="宋体" w:cs="宋体"/>
          <w:color w:val="auto"/>
          <w:kern w:val="0"/>
          <w:sz w:val="21"/>
          <w:szCs w:val="4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rPr>
          </w:pPr>
        </w:p>
        <w:p>
          <w:pPr>
            <w:pStyle w:val="46"/>
            <w:keepNext w:val="0"/>
            <w:keepLines w:val="0"/>
            <w:pageBreakBefore w:val="0"/>
            <w:tabs>
              <w:tab w:val="right" w:leader="dot" w:pos="8306"/>
            </w:tabs>
            <w:kinsoku/>
            <w:wordWrap/>
            <w:overflowPunct/>
            <w:topLinePunct w:val="0"/>
            <w:bidi w:val="0"/>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32"/>
              <w:szCs w:val="40"/>
            </w:rPr>
            <w:fldChar w:fldCharType="begin"/>
          </w:r>
          <w:r>
            <w:rPr>
              <w:rFonts w:hint="eastAsia" w:ascii="宋体" w:hAnsi="宋体" w:eastAsia="宋体" w:cs="宋体"/>
              <w:color w:val="auto"/>
              <w:sz w:val="32"/>
              <w:szCs w:val="40"/>
            </w:rPr>
            <w:instrText xml:space="preserve">TOC \o "1-1" \h \u </w:instrText>
          </w:r>
          <w:r>
            <w:rPr>
              <w:rFonts w:hint="eastAsia" w:ascii="宋体" w:hAnsi="宋体" w:eastAsia="宋体" w:cs="宋体"/>
              <w:color w:val="auto"/>
              <w:sz w:val="32"/>
              <w:szCs w:val="40"/>
            </w:rPr>
            <w:fldChar w:fldCharType="separate"/>
          </w:r>
          <w:r>
            <w:rPr>
              <w:rFonts w:hint="eastAsia" w:ascii="宋体" w:hAnsi="宋体" w:eastAsia="宋体" w:cs="宋体"/>
              <w:color w:val="auto"/>
              <w:sz w:val="28"/>
              <w:szCs w:val="56"/>
            </w:rPr>
            <w:fldChar w:fldCharType="begin"/>
          </w:r>
          <w:r>
            <w:rPr>
              <w:rFonts w:hint="eastAsia" w:ascii="宋体" w:hAnsi="宋体" w:eastAsia="宋体" w:cs="宋体"/>
              <w:color w:val="auto"/>
              <w:sz w:val="28"/>
              <w:szCs w:val="56"/>
            </w:rPr>
            <w:instrText xml:space="preserve"> HYPERLINK \l _Toc10336 </w:instrText>
          </w:r>
          <w:r>
            <w:rPr>
              <w:rFonts w:hint="eastAsia" w:ascii="宋体" w:hAnsi="宋体" w:eastAsia="宋体" w:cs="宋体"/>
              <w:color w:val="auto"/>
              <w:sz w:val="28"/>
              <w:szCs w:val="56"/>
            </w:rPr>
            <w:fldChar w:fldCharType="separate"/>
          </w:r>
          <w:r>
            <w:rPr>
              <w:rFonts w:hint="eastAsia" w:ascii="宋体" w:hAnsi="宋体" w:eastAsia="宋体" w:cs="宋体"/>
              <w:color w:val="auto"/>
              <w:sz w:val="28"/>
              <w:szCs w:val="48"/>
            </w:rPr>
            <w:t>第一章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_Toc10336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56"/>
            </w:rPr>
            <w:fldChar w:fldCharType="end"/>
          </w:r>
        </w:p>
        <w:p>
          <w:pPr>
            <w:pStyle w:val="46"/>
            <w:keepNext w:val="0"/>
            <w:keepLines w:val="0"/>
            <w:pageBreakBefore w:val="0"/>
            <w:tabs>
              <w:tab w:val="right" w:leader="dot" w:pos="8306"/>
            </w:tabs>
            <w:kinsoku/>
            <w:wordWrap/>
            <w:overflowPunct/>
            <w:topLinePunct w:val="0"/>
            <w:bidi w:val="0"/>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56"/>
            </w:rPr>
            <w:fldChar w:fldCharType="begin"/>
          </w:r>
          <w:r>
            <w:rPr>
              <w:rFonts w:hint="eastAsia" w:ascii="宋体" w:hAnsi="宋体" w:eastAsia="宋体" w:cs="宋体"/>
              <w:color w:val="auto"/>
              <w:sz w:val="28"/>
              <w:szCs w:val="56"/>
            </w:rPr>
            <w:instrText xml:space="preserve"> HYPERLINK \l _Toc31752 </w:instrText>
          </w:r>
          <w:r>
            <w:rPr>
              <w:rFonts w:hint="eastAsia" w:ascii="宋体" w:hAnsi="宋体" w:eastAsia="宋体" w:cs="宋体"/>
              <w:color w:val="auto"/>
              <w:sz w:val="28"/>
              <w:szCs w:val="56"/>
            </w:rPr>
            <w:fldChar w:fldCharType="separate"/>
          </w:r>
          <w:r>
            <w:rPr>
              <w:rFonts w:hint="eastAsia" w:ascii="宋体" w:hAnsi="宋体" w:eastAsia="宋体" w:cs="宋体"/>
              <w:color w:val="auto"/>
              <w:sz w:val="28"/>
              <w:szCs w:val="52"/>
            </w:rPr>
            <w:t>第二章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56"/>
            </w:rPr>
            <w:fldChar w:fldCharType="end"/>
          </w:r>
        </w:p>
        <w:p>
          <w:pPr>
            <w:pStyle w:val="46"/>
            <w:keepNext w:val="0"/>
            <w:keepLines w:val="0"/>
            <w:pageBreakBefore w:val="0"/>
            <w:tabs>
              <w:tab w:val="right" w:leader="dot" w:pos="8306"/>
            </w:tabs>
            <w:kinsoku/>
            <w:wordWrap/>
            <w:overflowPunct/>
            <w:topLinePunct w:val="0"/>
            <w:bidi w:val="0"/>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56"/>
            </w:rPr>
            <w:fldChar w:fldCharType="begin"/>
          </w:r>
          <w:r>
            <w:rPr>
              <w:rFonts w:hint="eastAsia" w:ascii="宋体" w:hAnsi="宋体" w:eastAsia="宋体" w:cs="宋体"/>
              <w:color w:val="auto"/>
              <w:sz w:val="28"/>
              <w:szCs w:val="56"/>
            </w:rPr>
            <w:instrText xml:space="preserve"> HYPERLINK \l _Toc17229 </w:instrText>
          </w:r>
          <w:r>
            <w:rPr>
              <w:rFonts w:hint="eastAsia" w:ascii="宋体" w:hAnsi="宋体" w:eastAsia="宋体" w:cs="宋体"/>
              <w:color w:val="auto"/>
              <w:sz w:val="28"/>
              <w:szCs w:val="56"/>
            </w:rPr>
            <w:fldChar w:fldCharType="separate"/>
          </w:r>
          <w:r>
            <w:rPr>
              <w:rFonts w:hint="eastAsia" w:ascii="宋体" w:hAnsi="宋体" w:eastAsia="宋体" w:cs="宋体"/>
              <w:color w:val="auto"/>
              <w:sz w:val="28"/>
              <w:szCs w:val="48"/>
            </w:rPr>
            <w:t>第三章 评审办法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_Toc17229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56"/>
            </w:rPr>
            <w:fldChar w:fldCharType="end"/>
          </w:r>
        </w:p>
        <w:p>
          <w:pPr>
            <w:pStyle w:val="46"/>
            <w:keepNext w:val="0"/>
            <w:keepLines w:val="0"/>
            <w:pageBreakBefore w:val="0"/>
            <w:tabs>
              <w:tab w:val="right" w:leader="dot" w:pos="8306"/>
            </w:tabs>
            <w:kinsoku/>
            <w:wordWrap/>
            <w:overflowPunct/>
            <w:topLinePunct w:val="0"/>
            <w:bidi w:val="0"/>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56"/>
            </w:rPr>
            <w:fldChar w:fldCharType="begin"/>
          </w:r>
          <w:r>
            <w:rPr>
              <w:rFonts w:hint="eastAsia" w:ascii="宋体" w:hAnsi="宋体" w:eastAsia="宋体" w:cs="宋体"/>
              <w:color w:val="auto"/>
              <w:sz w:val="28"/>
              <w:szCs w:val="56"/>
            </w:rPr>
            <w:instrText xml:space="preserve"> HYPERLINK \l _Toc20405 </w:instrText>
          </w:r>
          <w:r>
            <w:rPr>
              <w:rFonts w:hint="eastAsia" w:ascii="宋体" w:hAnsi="宋体" w:eastAsia="宋体" w:cs="宋体"/>
              <w:color w:val="auto"/>
              <w:sz w:val="28"/>
              <w:szCs w:val="56"/>
            </w:rPr>
            <w:fldChar w:fldCharType="separate"/>
          </w:r>
          <w:r>
            <w:rPr>
              <w:rFonts w:hint="eastAsia" w:ascii="宋体" w:hAnsi="宋体" w:eastAsia="宋体" w:cs="宋体"/>
              <w:color w:val="auto"/>
              <w:sz w:val="28"/>
              <w:szCs w:val="52"/>
              <w:highlight w:val="none"/>
            </w:rPr>
            <w:t>第四章 采购内容及具体要求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_Toc20405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56"/>
            </w:rPr>
            <w:fldChar w:fldCharType="end"/>
          </w:r>
        </w:p>
        <w:p>
          <w:pPr>
            <w:pStyle w:val="46"/>
            <w:keepNext w:val="0"/>
            <w:keepLines w:val="0"/>
            <w:pageBreakBefore w:val="0"/>
            <w:tabs>
              <w:tab w:val="right" w:leader="dot" w:pos="8306"/>
            </w:tabs>
            <w:kinsoku/>
            <w:wordWrap/>
            <w:overflowPunct/>
            <w:topLinePunct w:val="0"/>
            <w:bidi w:val="0"/>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56"/>
            </w:rPr>
            <w:fldChar w:fldCharType="begin"/>
          </w:r>
          <w:r>
            <w:rPr>
              <w:rFonts w:hint="eastAsia" w:ascii="宋体" w:hAnsi="宋体" w:eastAsia="宋体" w:cs="宋体"/>
              <w:color w:val="auto"/>
              <w:sz w:val="28"/>
              <w:szCs w:val="56"/>
            </w:rPr>
            <w:instrText xml:space="preserve"> HYPERLINK \l _Toc7111 </w:instrText>
          </w:r>
          <w:r>
            <w:rPr>
              <w:rFonts w:hint="eastAsia" w:ascii="宋体" w:hAnsi="宋体" w:eastAsia="宋体" w:cs="宋体"/>
              <w:color w:val="auto"/>
              <w:sz w:val="28"/>
              <w:szCs w:val="56"/>
            </w:rPr>
            <w:fldChar w:fldCharType="separate"/>
          </w:r>
          <w:r>
            <w:rPr>
              <w:rFonts w:hint="eastAsia" w:ascii="宋体" w:hAnsi="宋体" w:eastAsia="宋体" w:cs="宋体"/>
              <w:bCs/>
              <w:color w:val="auto"/>
              <w:sz w:val="28"/>
              <w:szCs w:val="52"/>
              <w:highlight w:val="none"/>
            </w:rPr>
            <w:t xml:space="preserve">第五章 </w:t>
          </w:r>
          <w:r>
            <w:rPr>
              <w:rFonts w:hint="eastAsia" w:ascii="宋体" w:hAnsi="宋体" w:eastAsia="宋体" w:cs="宋体"/>
              <w:bCs/>
              <w:color w:val="auto"/>
              <w:sz w:val="28"/>
              <w:szCs w:val="52"/>
              <w:highlight w:val="none"/>
              <w:lang w:val="en-US" w:eastAsia="zh-CN"/>
            </w:rPr>
            <w:t>拟签订的合同文本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_Toc7111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56"/>
            </w:rPr>
            <w:fldChar w:fldCharType="end"/>
          </w:r>
        </w:p>
        <w:p>
          <w:pPr>
            <w:pStyle w:val="46"/>
            <w:keepNext w:val="0"/>
            <w:keepLines w:val="0"/>
            <w:pageBreakBefore w:val="0"/>
            <w:tabs>
              <w:tab w:val="right" w:leader="dot" w:pos="8306"/>
            </w:tabs>
            <w:kinsoku/>
            <w:wordWrap/>
            <w:overflowPunct/>
            <w:topLinePunct w:val="0"/>
            <w:bidi w:val="0"/>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56"/>
            </w:rPr>
            <w:fldChar w:fldCharType="begin"/>
          </w:r>
          <w:r>
            <w:rPr>
              <w:rFonts w:hint="eastAsia" w:ascii="宋体" w:hAnsi="宋体" w:eastAsia="宋体" w:cs="宋体"/>
              <w:color w:val="auto"/>
              <w:sz w:val="28"/>
              <w:szCs w:val="56"/>
            </w:rPr>
            <w:instrText xml:space="preserve"> HYPERLINK \l _Toc11039 </w:instrText>
          </w:r>
          <w:r>
            <w:rPr>
              <w:rFonts w:hint="eastAsia" w:ascii="宋体" w:hAnsi="宋体" w:eastAsia="宋体" w:cs="宋体"/>
              <w:color w:val="auto"/>
              <w:sz w:val="28"/>
              <w:szCs w:val="56"/>
            </w:rPr>
            <w:fldChar w:fldCharType="separate"/>
          </w:r>
          <w:r>
            <w:rPr>
              <w:rFonts w:hint="eastAsia" w:ascii="宋体" w:hAnsi="宋体" w:eastAsia="宋体" w:cs="宋体"/>
              <w:bCs/>
              <w:color w:val="auto"/>
              <w:sz w:val="28"/>
              <w:szCs w:val="52"/>
            </w:rPr>
            <w:t>第六章</w:t>
          </w:r>
          <w:r>
            <w:rPr>
              <w:rFonts w:hint="eastAsia" w:ascii="宋体" w:hAnsi="宋体" w:eastAsia="宋体" w:cs="宋体"/>
              <w:bCs/>
              <w:color w:val="auto"/>
              <w:sz w:val="28"/>
              <w:szCs w:val="52"/>
              <w:lang w:val="en-US" w:eastAsia="zh-CN"/>
            </w:rPr>
            <w:t xml:space="preserve"> </w:t>
          </w:r>
          <w:r>
            <w:rPr>
              <w:rFonts w:hint="eastAsia" w:ascii="宋体" w:hAnsi="宋体" w:eastAsia="宋体" w:cs="宋体"/>
              <w:bCs/>
              <w:color w:val="auto"/>
              <w:sz w:val="28"/>
              <w:szCs w:val="52"/>
            </w:rPr>
            <w:t>磋商响应文件格式及构成</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_Toc11039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56"/>
            </w:rPr>
            <w:fldChar w:fldCharType="end"/>
          </w:r>
        </w:p>
        <w:p>
          <w:pPr>
            <w:pStyle w:val="46"/>
            <w:keepNext w:val="0"/>
            <w:keepLines w:val="0"/>
            <w:pageBreakBefore w:val="0"/>
            <w:tabs>
              <w:tab w:val="right" w:leader="dot" w:pos="8306"/>
            </w:tabs>
            <w:kinsoku/>
            <w:wordWrap/>
            <w:overflowPunct/>
            <w:topLinePunct w:val="0"/>
            <w:bidi w:val="0"/>
            <w:snapToGrid/>
            <w:spacing w:line="480" w:lineRule="auto"/>
            <w:textAlignment w:val="auto"/>
            <w:rPr>
              <w:rFonts w:hint="eastAsia" w:ascii="宋体" w:hAnsi="宋体" w:eastAsia="宋体" w:cs="宋体"/>
              <w:color w:val="auto"/>
            </w:rPr>
          </w:pPr>
        </w:p>
        <w:p>
          <w:pPr>
            <w:pStyle w:val="10"/>
            <w:keepNext w:val="0"/>
            <w:keepLines w:val="0"/>
            <w:pageBreakBefore w:val="0"/>
            <w:kinsoku/>
            <w:wordWrap/>
            <w:overflowPunct/>
            <w:topLinePunct w:val="0"/>
            <w:bidi w:val="0"/>
            <w:snapToGrid/>
            <w:spacing w:after="0" w:line="480" w:lineRule="auto"/>
            <w:textAlignment w:val="auto"/>
            <w:rPr>
              <w:rFonts w:hint="eastAsia" w:ascii="宋体" w:hAnsi="宋体" w:eastAsia="宋体" w:cs="宋体"/>
              <w:color w:val="auto"/>
              <w:sz w:val="32"/>
              <w:szCs w:val="40"/>
            </w:rPr>
          </w:pPr>
          <w:r>
            <w:rPr>
              <w:rFonts w:hint="eastAsia" w:ascii="宋体" w:hAnsi="宋体" w:eastAsia="宋体" w:cs="宋体"/>
              <w:color w:val="auto"/>
              <w:szCs w:val="40"/>
            </w:rPr>
            <w:fldChar w:fldCharType="end"/>
          </w:r>
        </w:p>
      </w:sdtContent>
    </w:sdt>
    <w:p>
      <w:pPr>
        <w:pStyle w:val="10"/>
        <w:ind w:firstLine="422"/>
        <w:rPr>
          <w:rFonts w:hint="eastAsia" w:ascii="宋体" w:hAnsi="宋体" w:eastAsia="宋体" w:cs="宋体"/>
          <w:b/>
          <w:color w:val="auto"/>
        </w:rPr>
      </w:pPr>
    </w:p>
    <w:p>
      <w:pPr>
        <w:pStyle w:val="10"/>
        <w:ind w:firstLine="422"/>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r>
        <w:rPr>
          <w:rFonts w:hint="eastAsia" w:ascii="宋体" w:hAnsi="宋体" w:eastAsia="宋体" w:cs="宋体"/>
          <w:b/>
          <w:color w:val="auto"/>
        </w:rPr>
        <w:tab/>
      </w:r>
      <w:bookmarkStart w:id="0" w:name="_Toc10336"/>
      <w:bookmarkStart w:id="1" w:name="_Toc16907"/>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1687" w:firstLineChars="800"/>
        <w:outlineLvl w:val="9"/>
        <w:rPr>
          <w:rFonts w:hint="eastAsia" w:ascii="宋体" w:hAnsi="宋体" w:eastAsia="宋体" w:cs="宋体"/>
          <w:b/>
          <w:color w:val="auto"/>
        </w:rPr>
      </w:pPr>
    </w:p>
    <w:p>
      <w:pPr>
        <w:kinsoku w:val="0"/>
        <w:spacing w:line="360" w:lineRule="auto"/>
        <w:ind w:firstLine="2570" w:firstLineChars="800"/>
        <w:outlineLvl w:val="9"/>
        <w:rPr>
          <w:rFonts w:hint="eastAsia" w:ascii="宋体" w:hAnsi="宋体" w:eastAsia="宋体" w:cs="宋体"/>
          <w:b/>
          <w:color w:val="auto"/>
          <w:sz w:val="32"/>
          <w:szCs w:val="32"/>
        </w:rPr>
      </w:pPr>
    </w:p>
    <w:p>
      <w:pPr>
        <w:kinsoku w:val="0"/>
        <w:spacing w:line="360" w:lineRule="auto"/>
        <w:ind w:firstLine="2570" w:firstLineChars="800"/>
        <w:outlineLvl w:val="9"/>
        <w:rPr>
          <w:rFonts w:hint="eastAsia" w:ascii="宋体" w:hAnsi="宋体" w:eastAsia="宋体" w:cs="宋体"/>
          <w:b/>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single" w:color="auto" w:sz="2" w:space="1"/>
            <w:right w:val="none" w:sz="0" w:space="0"/>
          </w:pgBorders>
          <w:pgNumType w:fmt="decimal" w:start="1"/>
          <w:cols w:space="720" w:num="1"/>
          <w:docGrid w:linePitch="312" w:charSpace="0"/>
        </w:sectPr>
      </w:pPr>
    </w:p>
    <w:p>
      <w:pPr>
        <w:kinsoku w:val="0"/>
        <w:spacing w:line="360" w:lineRule="auto"/>
        <w:ind w:firstLine="2570" w:firstLineChars="800"/>
        <w:outlineLvl w:val="9"/>
        <w:rPr>
          <w:rFonts w:hint="eastAsia" w:ascii="宋体" w:hAnsi="宋体" w:eastAsia="宋体" w:cs="宋体"/>
          <w:b/>
          <w:bCs/>
          <w:color w:val="auto"/>
          <w:kern w:val="1"/>
          <w:sz w:val="24"/>
        </w:rPr>
      </w:pPr>
      <w:r>
        <w:rPr>
          <w:rFonts w:hint="eastAsia" w:ascii="宋体" w:hAnsi="宋体" w:eastAsia="宋体" w:cs="宋体"/>
          <w:b/>
          <w:color w:val="auto"/>
          <w:sz w:val="32"/>
          <w:szCs w:val="32"/>
        </w:rPr>
        <w:t>第一章  竞争性磋商公告</w:t>
      </w:r>
      <w:bookmarkEnd w:id="0"/>
      <w:bookmarkEnd w:id="1"/>
      <w:bookmarkStart w:id="2" w:name="_Toc20171"/>
      <w:bookmarkStart w:id="3" w:name="_Toc32318"/>
      <w:bookmarkStart w:id="4" w:name="_Toc14446_WPSOffice_Level1"/>
      <w:bookmarkStart w:id="5" w:name="_Toc27575"/>
      <w:bookmarkStart w:id="6" w:name="_Toc32576_WPSOffice_Level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843" w:firstLineChars="300"/>
        <w:jc w:val="both"/>
        <w:textAlignment w:val="baseline"/>
        <w:rPr>
          <w:rFonts w:hint="eastAsia" w:ascii="宋体" w:hAnsi="宋体" w:eastAsia="宋体" w:cs="宋体"/>
          <w:b/>
          <w:bCs/>
          <w:i w:val="0"/>
          <w:iCs w:val="0"/>
          <w:caps w:val="0"/>
          <w:color w:val="auto"/>
          <w:spacing w:val="0"/>
          <w:sz w:val="28"/>
          <w:szCs w:val="28"/>
          <w:shd w:val="clear" w:fill="FFFFFF"/>
          <w:vertAlign w:val="baseline"/>
          <w:lang w:eastAsia="zh-CN"/>
        </w:rPr>
      </w:pPr>
      <w:bookmarkStart w:id="7" w:name="_Toc31752"/>
      <w:bookmarkStart w:id="8" w:name="_Toc21456"/>
      <w:r>
        <w:rPr>
          <w:rFonts w:hint="eastAsia" w:ascii="宋体" w:hAnsi="宋体" w:eastAsia="宋体" w:cs="宋体"/>
          <w:b/>
          <w:bCs/>
          <w:i w:val="0"/>
          <w:iCs w:val="0"/>
          <w:caps w:val="0"/>
          <w:color w:val="auto"/>
          <w:spacing w:val="0"/>
          <w:sz w:val="28"/>
          <w:szCs w:val="28"/>
          <w:shd w:val="clear" w:fill="FFFFFF"/>
          <w:vertAlign w:val="baseline"/>
          <w:lang w:eastAsia="zh-CN"/>
        </w:rPr>
        <w:t>西安市教育局教师资格认定工作服务项目竞争性磋商公告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项目概况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西安市教育局教师资格认定工作服务</w:t>
      </w:r>
      <w:r>
        <w:rPr>
          <w:rFonts w:hint="eastAsia" w:ascii="宋体" w:hAnsi="宋体" w:eastAsia="宋体" w:cs="宋体"/>
          <w:i w:val="0"/>
          <w:iCs w:val="0"/>
          <w:caps w:val="0"/>
          <w:color w:val="auto"/>
          <w:spacing w:val="0"/>
          <w:sz w:val="24"/>
          <w:szCs w:val="24"/>
          <w:shd w:val="clear" w:fill="FFFFFF"/>
          <w:vertAlign w:val="baseline"/>
        </w:rPr>
        <w:t>项目</w:t>
      </w:r>
      <w:r>
        <w:rPr>
          <w:rFonts w:hint="eastAsia" w:ascii="宋体" w:hAnsi="宋体" w:eastAsia="宋体" w:cs="宋体"/>
          <w:i w:val="0"/>
          <w:iCs w:val="0"/>
          <w:caps w:val="0"/>
          <w:color w:val="auto"/>
          <w:spacing w:val="0"/>
          <w:sz w:val="24"/>
          <w:szCs w:val="24"/>
          <w:shd w:val="clear" w:fill="FFFFFF"/>
          <w:vertAlign w:val="baseline"/>
          <w:lang w:val="en-US" w:eastAsia="zh-CN"/>
        </w:rPr>
        <w:t>采购项目</w:t>
      </w:r>
      <w:r>
        <w:rPr>
          <w:rFonts w:hint="eastAsia" w:ascii="宋体" w:hAnsi="宋体" w:eastAsia="宋体" w:cs="宋体"/>
          <w:i w:val="0"/>
          <w:iCs w:val="0"/>
          <w:caps w:val="0"/>
          <w:color w:val="auto"/>
          <w:spacing w:val="0"/>
          <w:sz w:val="24"/>
          <w:szCs w:val="24"/>
          <w:shd w:val="clear" w:fill="FFFFFF"/>
          <w:vertAlign w:val="baseline"/>
        </w:rPr>
        <w:t>的潜在供应商应在</w:t>
      </w:r>
      <w:r>
        <w:rPr>
          <w:rFonts w:hint="eastAsia" w:ascii="宋体" w:hAnsi="宋体" w:eastAsia="宋体" w:cs="宋体"/>
          <w:i w:val="0"/>
          <w:iCs w:val="0"/>
          <w:caps w:val="0"/>
          <w:color w:val="auto"/>
          <w:spacing w:val="0"/>
          <w:sz w:val="24"/>
          <w:szCs w:val="24"/>
          <w:shd w:val="clear" w:fill="FFFFFF"/>
          <w:vertAlign w:val="baseline"/>
          <w:lang w:val="en-US" w:eastAsia="zh-CN"/>
        </w:rPr>
        <w:t>西安市雁塔区科技二路71号竹园·天寰国际1107室</w:t>
      </w:r>
      <w:r>
        <w:rPr>
          <w:rFonts w:hint="eastAsia" w:ascii="宋体" w:hAnsi="宋体" w:eastAsia="宋体" w:cs="宋体"/>
          <w:i w:val="0"/>
          <w:iCs w:val="0"/>
          <w:caps w:val="0"/>
          <w:color w:val="auto"/>
          <w:spacing w:val="0"/>
          <w:sz w:val="24"/>
          <w:szCs w:val="24"/>
          <w:shd w:val="clear" w:fill="FFFFFF"/>
          <w:vertAlign w:val="baseline"/>
        </w:rPr>
        <w:t>获取采购文件，并于</w:t>
      </w:r>
      <w:bookmarkStart w:id="325" w:name="_GoBack"/>
      <w:bookmarkEnd w:id="325"/>
      <w:r>
        <w:rPr>
          <w:rFonts w:hint="eastAsia" w:ascii="宋体" w:hAnsi="宋体" w:eastAsia="宋体" w:cs="宋体"/>
          <w:i w:val="0"/>
          <w:iCs w:val="0"/>
          <w:caps w:val="0"/>
          <w:color w:val="auto"/>
          <w:spacing w:val="0"/>
          <w:sz w:val="24"/>
          <w:szCs w:val="24"/>
          <w:shd w:val="clear" w:fill="FFFFFF"/>
          <w:vertAlign w:val="baseline"/>
        </w:rPr>
        <w:t>2022年0</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07</w:t>
      </w:r>
      <w:r>
        <w:rPr>
          <w:rFonts w:hint="eastAsia" w:ascii="宋体" w:hAnsi="宋体" w:eastAsia="宋体" w:cs="宋体"/>
          <w:i w:val="0"/>
          <w:iCs w:val="0"/>
          <w:caps w:val="0"/>
          <w:color w:val="auto"/>
          <w:spacing w:val="0"/>
          <w:sz w:val="24"/>
          <w:szCs w:val="24"/>
          <w:shd w:val="clear" w:fill="FFFFFF"/>
          <w:vertAlign w:val="baseline"/>
        </w:rPr>
        <w:t>日14时30分（北京时间）前提交响应文件。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一、项目基本情况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TZZB-Z-2022161C</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项目名称：西安市教育局</w:t>
      </w:r>
      <w:r>
        <w:rPr>
          <w:rFonts w:hint="eastAsia" w:ascii="宋体" w:hAnsi="宋体" w:eastAsia="宋体" w:cs="宋体"/>
          <w:i w:val="0"/>
          <w:iCs w:val="0"/>
          <w:caps w:val="0"/>
          <w:color w:val="auto"/>
          <w:spacing w:val="0"/>
          <w:sz w:val="24"/>
          <w:szCs w:val="24"/>
          <w:shd w:val="clear" w:fill="FFFFFF"/>
          <w:vertAlign w:val="baseline"/>
          <w:lang w:eastAsia="zh-CN"/>
        </w:rPr>
        <w:t>教师资格认定工作服务项目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100</w:t>
      </w:r>
      <w:r>
        <w:rPr>
          <w:rFonts w:hint="eastAsia" w:ascii="宋体" w:hAnsi="宋体" w:eastAsia="宋体" w:cs="宋体"/>
          <w:i w:val="0"/>
          <w:iCs w:val="0"/>
          <w:caps w:val="0"/>
          <w:color w:val="auto"/>
          <w:spacing w:val="0"/>
          <w:sz w:val="24"/>
          <w:szCs w:val="24"/>
          <w:shd w:val="clear" w:fill="FFFFFF"/>
          <w:vertAlign w:val="baseline"/>
        </w:rPr>
        <w:t>0,000.00元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西安市教育局教师资格认定工作服务项目</w:t>
      </w:r>
      <w:r>
        <w:rPr>
          <w:rFonts w:hint="eastAsia" w:ascii="宋体" w:hAnsi="宋体" w:eastAsia="宋体" w:cs="宋体"/>
          <w:i w:val="0"/>
          <w:iCs w:val="0"/>
          <w:caps w:val="0"/>
          <w:color w:val="auto"/>
          <w:spacing w:val="0"/>
          <w:sz w:val="24"/>
          <w:szCs w:val="24"/>
          <w:shd w:val="clear" w:fill="FFFFFF"/>
          <w:vertAlign w:val="baseline"/>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100</w:t>
      </w:r>
      <w:r>
        <w:rPr>
          <w:rFonts w:hint="eastAsia" w:ascii="宋体" w:hAnsi="宋体" w:eastAsia="宋体" w:cs="宋体"/>
          <w:i w:val="0"/>
          <w:iCs w:val="0"/>
          <w:caps w:val="0"/>
          <w:color w:val="auto"/>
          <w:spacing w:val="0"/>
          <w:sz w:val="24"/>
          <w:szCs w:val="24"/>
          <w:shd w:val="clear" w:fill="FFFFFF"/>
          <w:vertAlign w:val="baseline"/>
        </w:rPr>
        <w:t>0,000.00元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100</w:t>
      </w:r>
      <w:r>
        <w:rPr>
          <w:rFonts w:hint="eastAsia" w:ascii="宋体" w:hAnsi="宋体" w:eastAsia="宋体" w:cs="宋体"/>
          <w:i w:val="0"/>
          <w:iCs w:val="0"/>
          <w:caps w:val="0"/>
          <w:color w:val="auto"/>
          <w:spacing w:val="0"/>
          <w:sz w:val="24"/>
          <w:szCs w:val="24"/>
          <w:shd w:val="clear" w:fill="FFFFFF"/>
          <w:vertAlign w:val="baseline"/>
        </w:rPr>
        <w:t>0,000.00元</w:t>
      </w:r>
    </w:p>
    <w:tbl>
      <w:tblPr>
        <w:tblStyle w:val="28"/>
        <w:tblW w:w="8647" w:type="dxa"/>
        <w:tblInd w:w="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4"/>
        <w:gridCol w:w="1249"/>
        <w:gridCol w:w="1500"/>
        <w:gridCol w:w="1038"/>
        <w:gridCol w:w="1326"/>
        <w:gridCol w:w="1480"/>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57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4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3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26"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参数及要求</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7" w:hRule="atLeast"/>
        </w:trPr>
        <w:tc>
          <w:tcPr>
            <w:tcW w:w="57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4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其他教育服务</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教师资格认定工作服务</w:t>
            </w:r>
            <w:r>
              <w:rPr>
                <w:rFonts w:hint="eastAsia" w:ascii="宋体" w:hAnsi="宋体" w:eastAsia="宋体" w:cs="宋体"/>
                <w:color w:val="auto"/>
                <w:sz w:val="24"/>
                <w:szCs w:val="24"/>
                <w:lang w:val="en-US" w:eastAsia="zh-CN"/>
              </w:rPr>
              <w:t>项目</w:t>
            </w:r>
          </w:p>
        </w:tc>
        <w:tc>
          <w:tcPr>
            <w:tcW w:w="103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326"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right"/>
              <w:textAlignment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100</w:t>
            </w:r>
            <w:r>
              <w:rPr>
                <w:rFonts w:hint="eastAsia" w:ascii="宋体" w:hAnsi="宋体" w:eastAsia="宋体" w:cs="宋体"/>
                <w:i w:val="0"/>
                <w:iCs w:val="0"/>
                <w:caps w:val="0"/>
                <w:color w:val="auto"/>
                <w:spacing w:val="0"/>
                <w:sz w:val="24"/>
                <w:szCs w:val="24"/>
                <w:shd w:val="clear" w:fill="FFFFFF"/>
                <w:vertAlign w:val="baseline"/>
              </w:rPr>
              <w:t>0,000.00</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right"/>
              <w:textAlignment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100</w:t>
            </w:r>
            <w:r>
              <w:rPr>
                <w:rFonts w:hint="eastAsia" w:ascii="宋体" w:hAnsi="宋体" w:eastAsia="宋体" w:cs="宋体"/>
                <w:i w:val="0"/>
                <w:iCs w:val="0"/>
                <w:caps w:val="0"/>
                <w:color w:val="auto"/>
                <w:spacing w:val="0"/>
                <w:sz w:val="24"/>
                <w:szCs w:val="24"/>
                <w:shd w:val="clear" w:fill="FFFFFF"/>
                <w:vertAlign w:val="baseline"/>
              </w:rPr>
              <w:t>0,000.00</w:t>
            </w: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合同履行期限：自合同签订之日起至本次所有服务工作完成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二、申请人的资格要求：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西安市教育局教师资格认定工作服务项目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)落实政府采购政策需满足的资格要求如下:本项目专门面向</w:t>
      </w:r>
      <w:r>
        <w:rPr>
          <w:rFonts w:hint="eastAsia" w:ascii="宋体" w:hAnsi="宋体" w:eastAsia="宋体" w:cs="宋体"/>
          <w:i w:val="0"/>
          <w:iCs w:val="0"/>
          <w:caps w:val="0"/>
          <w:color w:val="auto"/>
          <w:spacing w:val="0"/>
          <w:sz w:val="24"/>
          <w:szCs w:val="24"/>
          <w:shd w:val="clear" w:fill="FFFFFF"/>
          <w:vertAlign w:val="baseline"/>
          <w:lang w:val="en-US" w:eastAsia="zh-CN"/>
        </w:rPr>
        <w:t>小微</w:t>
      </w:r>
      <w:r>
        <w:rPr>
          <w:rFonts w:hint="eastAsia" w:ascii="宋体" w:hAnsi="宋体" w:eastAsia="宋体" w:cs="宋体"/>
          <w:i w:val="0"/>
          <w:iCs w:val="0"/>
          <w:caps w:val="0"/>
          <w:color w:val="auto"/>
          <w:spacing w:val="0"/>
          <w:sz w:val="24"/>
          <w:szCs w:val="24"/>
          <w:shd w:val="clear" w:fill="FFFFFF"/>
          <w:vertAlign w:val="baseline"/>
        </w:rPr>
        <w:t>企业采购（残疾人福利性单位及监狱企业视同小型、微型企业）</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西安市教育局教师资格认定工作服务项目</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320" w:right="0" w:firstLine="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（1）法定代表人直接参加磋商的，须出具法人身份证；法定代表人授权代表参加磋商的，须出具法定代表人授权书及授权代表身份证；</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2）供应商不得为“信用中国”网站（www.creditchina.gov.cn）中列入“失信被执行人（中国执行信息公开网http://zxgk.court.gov.cn/shixin/）”和“税收违法黑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三、获取采购文件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时间：2022年0</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27</w:t>
      </w:r>
      <w:r>
        <w:rPr>
          <w:rFonts w:hint="eastAsia" w:ascii="宋体" w:hAnsi="宋体" w:eastAsia="宋体" w:cs="宋体"/>
          <w:i w:val="0"/>
          <w:iCs w:val="0"/>
          <w:caps w:val="0"/>
          <w:color w:val="auto"/>
          <w:spacing w:val="0"/>
          <w:sz w:val="24"/>
          <w:szCs w:val="24"/>
          <w:shd w:val="clear" w:fill="FFFFFF"/>
          <w:vertAlign w:val="baseline"/>
        </w:rPr>
        <w:t>日至2022年0</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01</w:t>
      </w:r>
      <w:r>
        <w:rPr>
          <w:rFonts w:hint="eastAsia" w:ascii="宋体" w:hAnsi="宋体" w:eastAsia="宋体" w:cs="宋体"/>
          <w:i w:val="0"/>
          <w:iCs w:val="0"/>
          <w:caps w:val="0"/>
          <w:color w:val="auto"/>
          <w:spacing w:val="0"/>
          <w:sz w:val="24"/>
          <w:szCs w:val="24"/>
          <w:shd w:val="clear" w:fill="FFFFFF"/>
          <w:vertAlign w:val="baseline"/>
        </w:rPr>
        <w:t>日，每天上午08:00:00至12:00:00，下午1</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:00:00至18:00:00（北京时间,法定节假日除外）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地点：西安市雁塔区科技二路71号竹园·天寰国际1107室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方式：</w:t>
      </w:r>
      <w:r>
        <w:rPr>
          <w:rFonts w:hint="eastAsia" w:ascii="宋体" w:hAnsi="宋体" w:eastAsia="宋体" w:cs="宋体"/>
          <w:i w:val="0"/>
          <w:iCs w:val="0"/>
          <w:caps w:val="0"/>
          <w:color w:val="auto"/>
          <w:spacing w:val="0"/>
          <w:sz w:val="24"/>
          <w:szCs w:val="24"/>
          <w:shd w:val="clear" w:fill="FFFFFF"/>
          <w:vertAlign w:val="baseline"/>
          <w:lang w:val="en-US" w:eastAsia="zh-CN"/>
        </w:rPr>
        <w:t>现场获取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四、响应文件提交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截止时间：2022年0</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07</w:t>
      </w:r>
      <w:r>
        <w:rPr>
          <w:rFonts w:hint="eastAsia" w:ascii="宋体" w:hAnsi="宋体" w:eastAsia="宋体" w:cs="宋体"/>
          <w:i w:val="0"/>
          <w:iCs w:val="0"/>
          <w:caps w:val="0"/>
          <w:color w:val="auto"/>
          <w:spacing w:val="0"/>
          <w:sz w:val="24"/>
          <w:szCs w:val="24"/>
          <w:shd w:val="clear" w:fill="FFFFFF"/>
          <w:vertAlign w:val="baseline"/>
        </w:rPr>
        <w:t>日14时30分00秒（北京时间）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地点：西安市雁塔区科技二路71号竹园·天寰国际1107室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五、开启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时间：2022年0</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07</w:t>
      </w:r>
      <w:r>
        <w:rPr>
          <w:rFonts w:hint="eastAsia" w:ascii="宋体" w:hAnsi="宋体" w:eastAsia="宋体" w:cs="宋体"/>
          <w:i w:val="0"/>
          <w:iCs w:val="0"/>
          <w:caps w:val="0"/>
          <w:color w:val="auto"/>
          <w:spacing w:val="0"/>
          <w:sz w:val="24"/>
          <w:szCs w:val="24"/>
          <w:shd w:val="clear" w:fill="FFFFFF"/>
          <w:vertAlign w:val="baseline"/>
        </w:rPr>
        <w:t>日14时30分00秒 （北京时间）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地点：西安市雁塔区科技二路71号竹园·天寰国际1107室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六、公告期限</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七、其他补充事宜</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本次采购落实政府采购政策：（1）《财政部司法部关于政府采购支持监狱企业发展有关问题的通知》（财库〔2014〕68号）；（2）《三部门联合发布关于促进残疾人就业政府采购政策的通知》（财库〔2017〕141号）；（3）《财政部发展改革委生态环境市场监管总局关于调整优化节能产品、环境标志产品政府采购执行机制的通知》（财库〔2019〕9号）;（4）《陕西省中小企业政府采购信用融资办法》（陕财办采〔2018〕23号）；（5）《政府采购促进中小企业发展管理办法》（财库〔2020〕46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4.领取磋商文件时需出示经办人身份证原件，并提交企业介绍信原件及加盖公章的经办人身份证复印件一份；磋商文件须至代理机构现场领取，谢绝邮寄。</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5.根据《西安市财政局关于促进政府采购公平竞争优化营商环境的通知》要求：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baseline"/>
        <w:rPr>
          <w:rFonts w:hint="eastAsia" w:ascii="宋体" w:hAnsi="宋体" w:eastAsia="宋体" w:cs="宋体"/>
          <w:b/>
          <w:bCs/>
          <w:color w:val="auto"/>
          <w:kern w:val="0"/>
          <w:sz w:val="24"/>
          <w:szCs w:val="24"/>
          <w:u w:val="none"/>
          <w:lang w:val="en-US" w:eastAsia="zh-CN" w:bidi="ar"/>
        </w:rPr>
      </w:pPr>
      <w:r>
        <w:rPr>
          <w:rFonts w:hint="eastAsia" w:ascii="宋体" w:hAnsi="宋体" w:eastAsia="宋体" w:cs="宋体"/>
          <w:b/>
          <w:bCs/>
          <w:color w:val="auto"/>
          <w:kern w:val="0"/>
          <w:sz w:val="24"/>
          <w:szCs w:val="24"/>
          <w:u w:val="none"/>
          <w:lang w:val="en-US" w:eastAsia="zh-CN" w:bidi="ar"/>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240" w:firstLineChars="10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1.采购人信息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名称：</w:t>
      </w:r>
      <w:r>
        <w:rPr>
          <w:rFonts w:hint="eastAsia" w:ascii="宋体" w:hAnsi="宋体" w:eastAsia="宋体" w:cs="宋体"/>
          <w:i w:val="0"/>
          <w:iCs w:val="0"/>
          <w:caps w:val="0"/>
          <w:color w:val="auto"/>
          <w:spacing w:val="0"/>
          <w:sz w:val="24"/>
          <w:szCs w:val="24"/>
          <w:shd w:val="clear" w:fill="FFFFFF"/>
          <w:vertAlign w:val="baseline"/>
          <w:lang w:eastAsia="zh-CN"/>
        </w:rPr>
        <w:t>西安市教育局</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地址：西安市凤城八路109号市政府6号楼</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联系方式：029-89160882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240" w:firstLineChars="10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2.采购代理机构信息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名称：同正项目管理有限公司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地址：西安市雁塔区科技二路71号竹园·天寰国际1107室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联系方式：029-65652860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240" w:firstLineChars="10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3.项目联系方式</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项目联系人：张工</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电话：029-65652860</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right"/>
        <w:textAlignment w:val="baseline"/>
        <w:rPr>
          <w:rFonts w:hint="eastAsia" w:ascii="宋体" w:hAnsi="宋体" w:eastAsia="宋体" w:cs="宋体"/>
          <w:i w:val="0"/>
          <w:iCs w:val="0"/>
          <w:caps w:val="0"/>
          <w:color w:val="auto"/>
          <w:spacing w:val="0"/>
          <w:sz w:val="24"/>
          <w:szCs w:val="24"/>
          <w:shd w:val="clear" w:fill="FFFFFF"/>
          <w:vertAlign w:val="baseline"/>
        </w:rPr>
      </w:pP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righ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同正项目管理有限公司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20"/>
        <w:jc w:val="center"/>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2022年0</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24</w:t>
      </w:r>
      <w:r>
        <w:rPr>
          <w:rFonts w:hint="eastAsia" w:ascii="宋体" w:hAnsi="宋体" w:eastAsia="宋体" w:cs="宋体"/>
          <w:i w:val="0"/>
          <w:iCs w:val="0"/>
          <w:caps w:val="0"/>
          <w:color w:val="auto"/>
          <w:spacing w:val="0"/>
          <w:sz w:val="24"/>
          <w:szCs w:val="24"/>
          <w:shd w:val="clear" w:fill="FFFFFF"/>
          <w:vertAlign w:val="baseline"/>
        </w:rPr>
        <w:t>日</w:t>
      </w:r>
    </w:p>
    <w:p>
      <w:pPr>
        <w:kinsoku w:val="0"/>
        <w:spacing w:line="600" w:lineRule="exact"/>
        <w:ind w:firstLine="2530" w:firstLineChars="700"/>
        <w:jc w:val="both"/>
        <w:outlineLvl w:val="0"/>
        <w:rPr>
          <w:rFonts w:hint="eastAsia" w:ascii="宋体" w:hAnsi="宋体" w:eastAsia="宋体" w:cs="宋体"/>
          <w:b/>
          <w:color w:val="auto"/>
          <w:sz w:val="36"/>
          <w:szCs w:val="36"/>
        </w:rPr>
      </w:pPr>
    </w:p>
    <w:p>
      <w:pPr>
        <w:kinsoku w:val="0"/>
        <w:spacing w:line="600" w:lineRule="exact"/>
        <w:ind w:firstLine="2530" w:firstLineChars="700"/>
        <w:jc w:val="both"/>
        <w:outlineLvl w:val="0"/>
        <w:rPr>
          <w:rFonts w:hint="eastAsia" w:ascii="宋体" w:hAnsi="宋体" w:eastAsia="宋体" w:cs="宋体"/>
          <w:b/>
          <w:color w:val="auto"/>
          <w:sz w:val="36"/>
          <w:szCs w:val="36"/>
        </w:rPr>
      </w:pPr>
    </w:p>
    <w:p>
      <w:pPr>
        <w:kinsoku w:val="0"/>
        <w:spacing w:line="600" w:lineRule="exact"/>
        <w:ind w:firstLine="2530" w:firstLineChars="700"/>
        <w:jc w:val="both"/>
        <w:outlineLvl w:val="0"/>
        <w:rPr>
          <w:rFonts w:hint="eastAsia" w:ascii="宋体" w:hAnsi="宋体" w:eastAsia="宋体" w:cs="宋体"/>
          <w:b/>
          <w:color w:val="auto"/>
          <w:sz w:val="36"/>
          <w:szCs w:val="36"/>
        </w:rPr>
      </w:pPr>
    </w:p>
    <w:p>
      <w:pPr>
        <w:kinsoku w:val="0"/>
        <w:spacing w:line="600" w:lineRule="exact"/>
        <w:ind w:firstLine="2530" w:firstLineChars="700"/>
        <w:jc w:val="both"/>
        <w:outlineLvl w:val="0"/>
        <w:rPr>
          <w:rFonts w:hint="eastAsia" w:ascii="宋体" w:hAnsi="宋体" w:eastAsia="宋体" w:cs="宋体"/>
          <w:b/>
          <w:color w:val="auto"/>
          <w:sz w:val="36"/>
          <w:szCs w:val="36"/>
        </w:rPr>
      </w:pPr>
    </w:p>
    <w:p>
      <w:pPr>
        <w:kinsoku w:val="0"/>
        <w:spacing w:line="600" w:lineRule="exact"/>
        <w:ind w:firstLine="2530" w:firstLineChars="700"/>
        <w:jc w:val="both"/>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第二章  供应商须知</w:t>
      </w:r>
      <w:bookmarkEnd w:id="7"/>
      <w:bookmarkEnd w:id="8"/>
    </w:p>
    <w:p>
      <w:pPr>
        <w:pStyle w:val="24"/>
        <w:spacing w:line="360" w:lineRule="auto"/>
        <w:ind w:firstLine="0"/>
        <w:jc w:val="center"/>
        <w:outlineLvl w:val="1"/>
        <w:rPr>
          <w:rFonts w:hint="eastAsia" w:ascii="宋体" w:hAnsi="宋体" w:eastAsia="宋体" w:cs="宋体"/>
          <w:b/>
          <w:bCs/>
          <w:color w:val="auto"/>
          <w:sz w:val="30"/>
        </w:rPr>
      </w:pPr>
      <w:r>
        <w:rPr>
          <w:rFonts w:hint="eastAsia" w:ascii="宋体" w:hAnsi="宋体" w:eastAsia="宋体" w:cs="宋体"/>
          <w:b/>
          <w:bCs/>
          <w:color w:val="auto"/>
          <w:sz w:val="30"/>
          <w:lang w:val="en-US" w:eastAsia="zh-CN"/>
        </w:rPr>
        <w:t xml:space="preserve"> </w:t>
      </w:r>
      <w:bookmarkStart w:id="9" w:name="_Toc3449"/>
      <w:r>
        <w:rPr>
          <w:rFonts w:hint="eastAsia" w:ascii="宋体" w:hAnsi="宋体" w:eastAsia="宋体" w:cs="宋体"/>
          <w:b/>
          <w:bCs/>
          <w:color w:val="auto"/>
          <w:sz w:val="30"/>
        </w:rPr>
        <w:t>供应商须知前附表</w:t>
      </w:r>
      <w:bookmarkEnd w:id="9"/>
    </w:p>
    <w:tbl>
      <w:tblPr>
        <w:tblStyle w:val="28"/>
        <w:tblW w:w="9943" w:type="dxa"/>
        <w:jc w:val="center"/>
        <w:tblLayout w:type="fixed"/>
        <w:tblCellMar>
          <w:top w:w="0" w:type="dxa"/>
          <w:left w:w="108" w:type="dxa"/>
          <w:bottom w:w="0" w:type="dxa"/>
          <w:right w:w="108" w:type="dxa"/>
        </w:tblCellMar>
      </w:tblPr>
      <w:tblGrid>
        <w:gridCol w:w="728"/>
        <w:gridCol w:w="1745"/>
        <w:gridCol w:w="7470"/>
      </w:tblGrid>
      <w:tr>
        <w:tblPrEx>
          <w:tblCellMar>
            <w:top w:w="0" w:type="dxa"/>
            <w:left w:w="108" w:type="dxa"/>
            <w:bottom w:w="0" w:type="dxa"/>
            <w:right w:w="108" w:type="dxa"/>
          </w:tblCellMar>
        </w:tblPrEx>
        <w:trPr>
          <w:trHeight w:val="565"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w:t>
            </w:r>
          </w:p>
        </w:tc>
        <w:tc>
          <w:tcPr>
            <w:tcW w:w="74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要求与说明</w:t>
            </w:r>
          </w:p>
        </w:tc>
      </w:tr>
      <w:tr>
        <w:tblPrEx>
          <w:tblCellMar>
            <w:top w:w="0" w:type="dxa"/>
            <w:left w:w="108" w:type="dxa"/>
            <w:bottom w:w="0" w:type="dxa"/>
            <w:right w:w="108" w:type="dxa"/>
          </w:tblCellMar>
        </w:tblPrEx>
        <w:trPr>
          <w:trHeight w:val="52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45" w:type="dxa"/>
            <w:tcBorders>
              <w:top w:val="single" w:color="000000" w:sz="4" w:space="0"/>
              <w:left w:val="single" w:color="000000" w:sz="4" w:space="0"/>
              <w:bottom w:val="single" w:color="auto" w:sz="4" w:space="0"/>
              <w:right w:val="single" w:color="000000" w:sz="4" w:space="0"/>
            </w:tcBorders>
            <w:vAlign w:val="center"/>
          </w:tcPr>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西安市教育局教师资格认定工作服务项目</w:t>
            </w:r>
          </w:p>
        </w:tc>
      </w:tr>
      <w:tr>
        <w:tblPrEx>
          <w:tblCellMar>
            <w:top w:w="0" w:type="dxa"/>
            <w:left w:w="108" w:type="dxa"/>
            <w:bottom w:w="0" w:type="dxa"/>
            <w:right w:w="108" w:type="dxa"/>
          </w:tblCellMar>
        </w:tblPrEx>
        <w:trPr>
          <w:trHeight w:val="553"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45" w:type="dxa"/>
            <w:tcBorders>
              <w:top w:val="single" w:color="000000" w:sz="4" w:space="0"/>
              <w:left w:val="single" w:color="000000" w:sz="4" w:space="0"/>
              <w:bottom w:val="single" w:color="auto" w:sz="4" w:space="0"/>
              <w:right w:val="single" w:color="000000" w:sz="4" w:space="0"/>
            </w:tcBorders>
            <w:vAlign w:val="center"/>
          </w:tcPr>
          <w:p>
            <w:pPr>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采购项目编号</w:t>
            </w:r>
          </w:p>
        </w:tc>
        <w:tc>
          <w:tcPr>
            <w:tcW w:w="7470" w:type="dxa"/>
            <w:tcBorders>
              <w:top w:val="single" w:color="000000" w:sz="4" w:space="0"/>
              <w:left w:val="single" w:color="000000" w:sz="4" w:space="0"/>
              <w:bottom w:val="single" w:color="000000" w:sz="4" w:space="0"/>
              <w:right w:val="single" w:color="000000" w:sz="4" w:space="0"/>
            </w:tcBorders>
            <w:vAlign w:val="center"/>
          </w:tcPr>
          <w:p>
            <w:pPr>
              <w:pStyle w:val="26"/>
              <w:spacing w:before="0" w:beforeAutospacing="0" w:after="0" w:afterAutospacing="0" w:line="360" w:lineRule="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TZZB-Z-2022161C</w:t>
            </w:r>
          </w:p>
        </w:tc>
      </w:tr>
      <w:tr>
        <w:tblPrEx>
          <w:tblCellMar>
            <w:top w:w="0" w:type="dxa"/>
            <w:left w:w="108" w:type="dxa"/>
            <w:bottom w:w="0" w:type="dxa"/>
            <w:right w:w="108" w:type="dxa"/>
          </w:tblCellMar>
        </w:tblPrEx>
        <w:trPr>
          <w:trHeight w:val="1125"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45"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采购人信息</w:t>
            </w:r>
          </w:p>
        </w:tc>
        <w:tc>
          <w:tcPr>
            <w:tcW w:w="7470" w:type="dxa"/>
            <w:tcBorders>
              <w:top w:val="single" w:color="000000" w:sz="4" w:space="0"/>
              <w:left w:val="single" w:color="000000" w:sz="4" w:space="0"/>
              <w:bottom w:val="single" w:color="000000" w:sz="4" w:space="0"/>
              <w:right w:val="single" w:color="000000" w:sz="4" w:space="0"/>
            </w:tcBorders>
            <w:vAlign w:val="center"/>
          </w:tcPr>
          <w:p>
            <w:pPr>
              <w:pStyle w:val="8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名称：西安市教育局</w:t>
            </w:r>
          </w:p>
          <w:p>
            <w:pPr>
              <w:pStyle w:val="8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地址：西安市凤城八路109号市政府6号楼</w:t>
            </w:r>
          </w:p>
          <w:p>
            <w:pPr>
              <w:pStyle w:val="81"/>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联系方式：029-89160882</w:t>
            </w:r>
          </w:p>
        </w:tc>
      </w:tr>
      <w:tr>
        <w:tblPrEx>
          <w:tblCellMar>
            <w:top w:w="0" w:type="dxa"/>
            <w:left w:w="108" w:type="dxa"/>
            <w:bottom w:w="0" w:type="dxa"/>
            <w:right w:w="108" w:type="dxa"/>
          </w:tblCellMar>
        </w:tblPrEx>
        <w:trPr>
          <w:trHeight w:val="1338"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45"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机构信息</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采购代理机构名称：同正项目管理有限公司</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西安市雁塔区科技二路71号竹园·天寰国际1107室</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张</w:t>
            </w:r>
            <w:r>
              <w:rPr>
                <w:rFonts w:hint="eastAsia" w:ascii="宋体" w:hAnsi="宋体" w:eastAsia="宋体" w:cs="宋体"/>
                <w:color w:val="auto"/>
                <w:sz w:val="24"/>
                <w:szCs w:val="24"/>
                <w:lang w:val="en-US" w:eastAsia="zh-CN"/>
              </w:rPr>
              <w:t>工</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shd w:val="clear" w:color="auto" w:fill="FFFFFF"/>
                <w:lang w:eastAsia="zh-CN"/>
              </w:rPr>
              <w:t xml:space="preserve">029-65652860  </w:t>
            </w:r>
          </w:p>
        </w:tc>
      </w:tr>
      <w:tr>
        <w:tblPrEx>
          <w:tblCellMar>
            <w:top w:w="0" w:type="dxa"/>
            <w:left w:w="108" w:type="dxa"/>
            <w:bottom w:w="0" w:type="dxa"/>
            <w:right w:w="108" w:type="dxa"/>
          </w:tblCellMar>
        </w:tblPrEx>
        <w:trPr>
          <w:trHeight w:val="659"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4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rPr>
              <w:t>见第四章《采购内容及具体要求》</w:t>
            </w:r>
          </w:p>
        </w:tc>
      </w:tr>
      <w:tr>
        <w:tblPrEx>
          <w:tblCellMar>
            <w:top w:w="0" w:type="dxa"/>
            <w:left w:w="108" w:type="dxa"/>
            <w:bottom w:w="0" w:type="dxa"/>
            <w:right w:w="108" w:type="dxa"/>
          </w:tblCellMar>
        </w:tblPrEx>
        <w:trPr>
          <w:trHeight w:val="668"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4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组织方式</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部门集中采购</w:t>
            </w:r>
          </w:p>
        </w:tc>
      </w:tr>
      <w:tr>
        <w:tblPrEx>
          <w:tblCellMar>
            <w:top w:w="0" w:type="dxa"/>
            <w:left w:w="108" w:type="dxa"/>
            <w:bottom w:w="0" w:type="dxa"/>
            <w:right w:w="108" w:type="dxa"/>
          </w:tblCellMar>
        </w:tblPrEx>
        <w:trPr>
          <w:trHeight w:val="702"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45"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采购预算价</w:t>
            </w:r>
          </w:p>
        </w:tc>
        <w:tc>
          <w:tcPr>
            <w:tcW w:w="7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aps w:val="0"/>
                <w:color w:val="auto"/>
                <w:spacing w:val="0"/>
                <w:kern w:val="2"/>
                <w:sz w:val="24"/>
                <w:szCs w:val="24"/>
                <w:shd w:val="clear" w:fill="FFFFFF"/>
                <w:lang w:val="en-US" w:eastAsia="zh-CN" w:bidi="ar-SA"/>
              </w:rPr>
            </w:pPr>
            <w:r>
              <w:rPr>
                <w:rFonts w:hint="eastAsia" w:ascii="宋体" w:hAnsi="宋体" w:eastAsia="宋体" w:cs="宋体"/>
                <w:i w:val="0"/>
                <w:caps w:val="0"/>
                <w:color w:val="auto"/>
                <w:spacing w:val="0"/>
                <w:kern w:val="2"/>
                <w:sz w:val="24"/>
                <w:szCs w:val="24"/>
                <w:shd w:val="clear" w:fill="FFFFFF"/>
                <w:lang w:val="en-US" w:eastAsia="zh-CN" w:bidi="ar-SA"/>
              </w:rPr>
              <w:t>总预算1000,000.00元</w:t>
            </w:r>
          </w:p>
          <w:p>
            <w:pPr>
              <w:rPr>
                <w:rFonts w:hint="eastAsia" w:ascii="宋体" w:hAnsi="宋体" w:eastAsia="宋体" w:cs="宋体"/>
                <w:color w:val="auto"/>
                <w:sz w:val="24"/>
                <w:szCs w:val="24"/>
                <w:lang w:val="en-US"/>
              </w:rPr>
            </w:pPr>
            <w:r>
              <w:rPr>
                <w:rFonts w:hint="eastAsia" w:ascii="宋体" w:hAnsi="宋体" w:eastAsia="宋体" w:cs="宋体"/>
                <w:i w:val="0"/>
                <w:caps w:val="0"/>
                <w:color w:val="auto"/>
                <w:spacing w:val="0"/>
                <w:kern w:val="2"/>
                <w:sz w:val="24"/>
                <w:szCs w:val="24"/>
                <w:shd w:val="clear" w:fill="FFFFFF"/>
                <w:lang w:val="en-US" w:eastAsia="zh-CN" w:bidi="ar-SA"/>
              </w:rPr>
              <w:t>最高限价：1000,000.00元（供应商报价不得高于采购预算及最高限价）</w:t>
            </w:r>
          </w:p>
        </w:tc>
      </w:tr>
      <w:tr>
        <w:tblPrEx>
          <w:tblCellMar>
            <w:top w:w="0" w:type="dxa"/>
            <w:left w:w="108" w:type="dxa"/>
            <w:bottom w:w="0" w:type="dxa"/>
            <w:right w:w="108" w:type="dxa"/>
          </w:tblCellMar>
        </w:tblPrEx>
        <w:trPr>
          <w:trHeight w:val="668" w:hRule="atLeast"/>
          <w:jc w:val="center"/>
        </w:trPr>
        <w:tc>
          <w:tcPr>
            <w:tcW w:w="728"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45"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c>
          <w:tcPr>
            <w:tcW w:w="7470" w:type="dxa"/>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有效期为 90 天</w:t>
            </w:r>
          </w:p>
        </w:tc>
      </w:tr>
      <w:tr>
        <w:tblPrEx>
          <w:tblCellMar>
            <w:top w:w="0" w:type="dxa"/>
            <w:left w:w="108" w:type="dxa"/>
            <w:bottom w:w="0" w:type="dxa"/>
            <w:right w:w="108" w:type="dxa"/>
          </w:tblCellMar>
        </w:tblPrEx>
        <w:trPr>
          <w:trHeight w:val="76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文件份数</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磋商响应文件正本1份、副本2份，</w:t>
            </w:r>
            <w:r>
              <w:rPr>
                <w:rFonts w:hint="eastAsia" w:ascii="宋体" w:hAnsi="宋体" w:eastAsia="宋体" w:cs="宋体"/>
                <w:color w:val="auto"/>
                <w:sz w:val="24"/>
                <w:szCs w:val="24"/>
                <w:lang w:val="en-US" w:eastAsia="zh-CN"/>
              </w:rPr>
              <w:t>首次</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1份，磋商响应文件电子版U盘</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份</w:t>
            </w:r>
            <w:r>
              <w:rPr>
                <w:rFonts w:hint="eastAsia" w:ascii="宋体" w:hAnsi="宋体" w:eastAsia="宋体" w:cs="宋体"/>
                <w:color w:val="auto"/>
                <w:kern w:val="1"/>
                <w:sz w:val="24"/>
                <w:szCs w:val="24"/>
              </w:rPr>
              <w:t>（</w:t>
            </w:r>
            <w:r>
              <w:rPr>
                <w:rFonts w:hint="eastAsia" w:ascii="宋体" w:hAnsi="宋体" w:eastAsia="宋体" w:cs="宋体"/>
                <w:color w:val="auto"/>
                <w:kern w:val="1"/>
                <w:sz w:val="24"/>
                <w:szCs w:val="24"/>
                <w:highlight w:val="none"/>
              </w:rPr>
              <w:t>随</w:t>
            </w:r>
            <w:r>
              <w:rPr>
                <w:rFonts w:hint="eastAsia" w:ascii="宋体" w:hAnsi="宋体" w:eastAsia="宋体" w:cs="宋体"/>
                <w:color w:val="auto"/>
                <w:kern w:val="1"/>
                <w:sz w:val="24"/>
                <w:szCs w:val="24"/>
                <w:highlight w:val="none"/>
                <w:lang w:val="en-US" w:eastAsia="zh-CN"/>
              </w:rPr>
              <w:t>首次</w:t>
            </w:r>
            <w:r>
              <w:rPr>
                <w:rFonts w:hint="eastAsia" w:ascii="宋体" w:hAnsi="宋体" w:eastAsia="宋体" w:cs="宋体"/>
                <w:color w:val="auto"/>
                <w:kern w:val="1"/>
                <w:sz w:val="24"/>
                <w:szCs w:val="24"/>
                <w:highlight w:val="none"/>
                <w:lang w:eastAsia="zh-CN"/>
              </w:rPr>
              <w:t>报价一览表</w:t>
            </w:r>
            <w:r>
              <w:rPr>
                <w:rFonts w:hint="eastAsia" w:ascii="宋体" w:hAnsi="宋体" w:eastAsia="宋体" w:cs="宋体"/>
                <w:color w:val="auto"/>
                <w:kern w:val="1"/>
                <w:sz w:val="24"/>
                <w:szCs w:val="24"/>
                <w:highlight w:val="none"/>
              </w:rPr>
              <w:t>封装</w:t>
            </w:r>
            <w:r>
              <w:rPr>
                <w:rFonts w:hint="eastAsia" w:ascii="宋体" w:hAnsi="宋体" w:eastAsia="宋体" w:cs="宋体"/>
                <w:color w:val="auto"/>
                <w:kern w:val="1"/>
                <w:sz w:val="24"/>
                <w:szCs w:val="24"/>
              </w:rPr>
              <w:t>）</w:t>
            </w:r>
          </w:p>
        </w:tc>
      </w:tr>
      <w:tr>
        <w:tblPrEx>
          <w:tblCellMar>
            <w:top w:w="0" w:type="dxa"/>
            <w:left w:w="108" w:type="dxa"/>
            <w:bottom w:w="0" w:type="dxa"/>
            <w:right w:w="108" w:type="dxa"/>
          </w:tblCellMar>
        </w:tblPrEx>
        <w:trPr>
          <w:trHeight w:val="753" w:hRule="atLeast"/>
          <w:jc w:val="center"/>
        </w:trPr>
        <w:tc>
          <w:tcPr>
            <w:tcW w:w="728"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评审方法</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详见《第三章》评审方法（综合评分法）</w:t>
            </w:r>
          </w:p>
        </w:tc>
      </w:tr>
      <w:tr>
        <w:tblPrEx>
          <w:tblCellMar>
            <w:top w:w="0" w:type="dxa"/>
            <w:left w:w="108" w:type="dxa"/>
            <w:bottom w:w="0" w:type="dxa"/>
            <w:right w:w="108" w:type="dxa"/>
          </w:tblCellMar>
        </w:tblPrEx>
        <w:trPr>
          <w:trHeight w:val="3852"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7470"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rPr>
              <w:t>满足《中华人民共和国政府采购法》第二十二条规定</w:t>
            </w:r>
          </w:p>
          <w:p>
            <w:pPr>
              <w:pStyle w:val="59"/>
              <w:keepNext w:val="0"/>
              <w:keepLines w:val="0"/>
              <w:pageBreakBefore w:val="0"/>
              <w:widowControl/>
              <w:kinsoku/>
              <w:wordWrap/>
              <w:overflowPunct/>
              <w:topLinePunct w:val="0"/>
              <w:autoSpaceDE/>
              <w:autoSpaceDN/>
              <w:bidi w:val="0"/>
              <w:adjustRightInd/>
              <w:snapToGrid w:val="0"/>
              <w:spacing w:before="0" w:after="0" w:line="240" w:lineRule="auto"/>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i w:val="0"/>
                <w:caps w:val="0"/>
                <w:color w:val="auto"/>
                <w:spacing w:val="0"/>
                <w:kern w:val="2"/>
                <w:sz w:val="24"/>
                <w:szCs w:val="24"/>
                <w:shd w:val="clear" w:fill="FFFFFF"/>
                <w:lang w:val="en-US" w:eastAsia="zh-CN" w:bidi="ar-SA"/>
              </w:rPr>
              <w:t>2.落实政府采购政策需满足的资格要求：</w:t>
            </w:r>
            <w:r>
              <w:rPr>
                <w:rFonts w:hint="eastAsia" w:ascii="宋体" w:hAnsi="宋体" w:eastAsia="宋体" w:cs="宋体"/>
                <w:b w:val="0"/>
                <w:i w:val="0"/>
                <w:iCs w:val="0"/>
                <w:caps w:val="0"/>
                <w:color w:val="auto"/>
                <w:spacing w:val="0"/>
                <w:kern w:val="0"/>
                <w:sz w:val="24"/>
                <w:szCs w:val="24"/>
                <w:shd w:val="clear" w:fill="FFFFFF"/>
                <w:vertAlign w:val="baseline"/>
                <w:lang w:val="en-US" w:eastAsia="zh-CN" w:bidi="ar"/>
              </w:rPr>
              <w:t>本项目专门面向小微企业采购（残疾人福利性单位及监狱企业视同小型、微型企业）</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shd w:val="clear" w:fill="FFFFFF"/>
              </w:rPr>
              <w:t>3</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rPr>
              <w:t>本项目的特定资格要求：</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法定代表人直接参加磋商的，须出具法人身份证；法定代表人授权代表参加磋商的，须出具法定代表人授权书及授权代表身份证；</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lang w:eastAsia="zh-CN"/>
              </w:rPr>
              <w:t>）供应商不得为“信用中国”网站（www.creditchina.gov.cn）中列入“失信被执行人（中国执行信息公开网http://zxgk.court.gov.cn/shixin/）”和“税收违法黑名单”的供应商，不得为中国政府采购网（www.ccgp.gov.cn）政府采购“严重违法失信行为记录名单”中被财政部门禁止参加政府采购活动的供应商</w:t>
            </w:r>
          </w:p>
        </w:tc>
      </w:tr>
      <w:tr>
        <w:tblPrEx>
          <w:tblCellMar>
            <w:top w:w="0" w:type="dxa"/>
            <w:left w:w="108" w:type="dxa"/>
            <w:bottom w:w="0" w:type="dxa"/>
            <w:right w:w="108" w:type="dxa"/>
          </w:tblCellMar>
        </w:tblPrEx>
        <w:trPr>
          <w:trHeight w:val="614" w:hRule="atLeast"/>
          <w:jc w:val="center"/>
        </w:trPr>
        <w:tc>
          <w:tcPr>
            <w:tcW w:w="728"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资格</w:t>
            </w:r>
          </w:p>
          <w:p>
            <w:pPr>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证明材料</w:t>
            </w:r>
          </w:p>
        </w:tc>
        <w:tc>
          <w:tcPr>
            <w:tcW w:w="7470" w:type="dxa"/>
            <w:tcBorders>
              <w:top w:val="single" w:color="000000" w:sz="4" w:space="0"/>
              <w:left w:val="single" w:color="000000" w:sz="4" w:space="0"/>
              <w:bottom w:val="single" w:color="000000" w:sz="4" w:space="0"/>
              <w:right w:val="single" w:color="000000" w:sz="4" w:space="0"/>
            </w:tcBorders>
            <w:vAlign w:val="center"/>
          </w:tcPr>
          <w:p>
            <w:pPr>
              <w:numPr>
                <w:ilvl w:val="0"/>
                <w:numId w:val="1"/>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具有独立承担民事责任能力的法人、其他组织或自然人，并出具合法有效的营业执照或事业单位法人证书等国家规定的相关证明，自然人参与的提供其身份证明。</w:t>
            </w:r>
          </w:p>
          <w:p>
            <w:pPr>
              <w:numPr>
                <w:ilvl w:val="0"/>
                <w:numId w:val="1"/>
              </w:numP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财务状况：提供20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或202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年任意一年度的完整有效的财务审计报告，或</w:t>
            </w:r>
            <w:r>
              <w:rPr>
                <w:rFonts w:hint="eastAsia" w:ascii="宋体" w:hAnsi="宋体" w:eastAsia="宋体" w:cs="宋体"/>
                <w:color w:val="auto"/>
                <w:sz w:val="24"/>
                <w:szCs w:val="24"/>
                <w:highlight w:val="none"/>
                <w:lang w:val="en-US" w:eastAsia="zh-CN"/>
              </w:rPr>
              <w:t>磋商截止</w:t>
            </w:r>
            <w:r>
              <w:rPr>
                <w:rFonts w:hint="eastAsia" w:ascii="宋体" w:hAnsi="宋体" w:eastAsia="宋体" w:cs="宋体"/>
                <w:color w:val="auto"/>
                <w:sz w:val="24"/>
                <w:szCs w:val="24"/>
                <w:highlight w:val="none"/>
              </w:rPr>
              <w:t>时间前三个月内其基本存款账户开户银行出具的资信证明，或政府采购信用担保机构出具的投标担保函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其他组织和自然人提供银行出具的资信证明</w:t>
            </w:r>
            <w:r>
              <w:rPr>
                <w:rFonts w:hint="eastAsia" w:ascii="宋体" w:hAnsi="宋体" w:eastAsia="宋体" w:cs="宋体"/>
                <w:color w:val="auto"/>
                <w:sz w:val="24"/>
                <w:szCs w:val="24"/>
                <w:highlight w:val="none"/>
                <w:lang w:eastAsia="zh-CN"/>
              </w:rPr>
              <w:t>。</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3、税收缴纳证明：提供响应文件递交截止时间前</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个月内任意1个月的缴费凭据；（依法免税的供应商应提供相关文件证明）；</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4、社会保障资金缴纳证明：提供响应文件递交截止时间前</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个月内任意1个月的社会保障资金缴存单据或社保机构开具的社会保险参保缴费情况证明，依法不需要缴纳社会保障资金的单位应提供相关证明材料；</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5、提供具有履行本合同所必需的设备和专业技术能力的</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6、提供参加政府采购活动前三年内在经营活动中没有重大违法记录的书面声明</w:t>
            </w:r>
            <w:r>
              <w:rPr>
                <w:rFonts w:hint="eastAsia" w:ascii="宋体" w:hAnsi="宋体" w:eastAsia="宋体" w:cs="宋体"/>
                <w:color w:val="auto"/>
                <w:sz w:val="24"/>
                <w:szCs w:val="24"/>
                <w:highlight w:val="none"/>
                <w:lang w:eastAsia="zh-CN"/>
              </w:rPr>
              <w:t>；</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 xml:space="preserve">法定代表人直接参加磋商的，须出具法人身份证；法定代表人授权代表参加磋商的，须出具法定代表人授权书及授权代表身份证； </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供应商不得为“信用中国”网站（www.creditchina.gov.cn）中列入“失信被执行人（中国执行信息公开网http://zxgk.court.gov.cn/shixin/）”和“税收违法黑名单”的供应商，不得为中国政府采购网（www.ccgp.gov.cn）政府采购“严重违法失信行为记录名单”中被财政部门禁止参加政府采购活动的供应商；</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 供应商须出具中小企业声明函。本项目专门面向小微企业采购（残疾人福利性单位及监狱企业视同小型、微型企业）</w:t>
            </w:r>
          </w:p>
          <w:p>
            <w:pP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供应商</w:t>
            </w:r>
            <w:r>
              <w:rPr>
                <w:rFonts w:hint="eastAsia" w:ascii="宋体" w:hAnsi="宋体" w:eastAsia="宋体" w:cs="宋体"/>
                <w:b/>
                <w:bCs/>
                <w:color w:val="auto"/>
                <w:sz w:val="24"/>
                <w:szCs w:val="24"/>
                <w:highlight w:val="none"/>
                <w:u w:val="none"/>
                <w:lang w:val="en-US" w:eastAsia="zh-CN"/>
              </w:rPr>
              <w:t>按磋商文件第六章格式要求将对应的资格证明材料编入磋商响应</w:t>
            </w:r>
            <w:r>
              <w:rPr>
                <w:rFonts w:hint="eastAsia" w:ascii="宋体" w:hAnsi="宋体" w:eastAsia="宋体" w:cs="宋体"/>
                <w:b/>
                <w:bCs/>
                <w:color w:val="auto"/>
                <w:sz w:val="24"/>
                <w:szCs w:val="24"/>
                <w:highlight w:val="none"/>
                <w:u w:val="none"/>
              </w:rPr>
              <w:t>文件正副本内（</w:t>
            </w:r>
            <w:r>
              <w:rPr>
                <w:rFonts w:hint="eastAsia" w:ascii="宋体" w:hAnsi="宋体" w:eastAsia="宋体" w:cs="宋体"/>
                <w:b/>
                <w:bCs/>
                <w:color w:val="auto"/>
                <w:sz w:val="24"/>
                <w:szCs w:val="24"/>
                <w:highlight w:val="none"/>
                <w:u w:val="none"/>
                <w:lang w:val="en-US" w:eastAsia="zh-CN"/>
              </w:rPr>
              <w:t>磋商</w:t>
            </w:r>
            <w:r>
              <w:rPr>
                <w:rFonts w:hint="eastAsia" w:ascii="宋体" w:hAnsi="宋体" w:eastAsia="宋体" w:cs="宋体"/>
                <w:b/>
                <w:bCs/>
                <w:color w:val="auto"/>
                <w:sz w:val="24"/>
                <w:szCs w:val="24"/>
                <w:highlight w:val="none"/>
                <w:u w:val="none"/>
              </w:rPr>
              <w:t>代表身份证原件现场核验），由磋商小组进行资格审查，审查过程中若供应商资格证明文件无效或缺项的视为资格审查不通过，其磋商响应文件按无效响应文件处理。</w:t>
            </w:r>
          </w:p>
          <w:p>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限制性</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要求</w:t>
            </w:r>
          </w:p>
          <w:p>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单位负责人为同一人或者存在直接控股、管理关系的不同</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，不得参加同一项目的政府采购活动。</w:t>
            </w:r>
          </w:p>
          <w:p>
            <w:pPr>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除单一来源采购项目外，为采购项目提供过整体设计、规范编制或者项目管理、监理、检测等服务的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，不得再参加同一项目的其他采购活动。</w:t>
            </w:r>
          </w:p>
        </w:tc>
      </w:tr>
      <w:tr>
        <w:tblPrEx>
          <w:tblCellMar>
            <w:top w:w="0" w:type="dxa"/>
            <w:left w:w="108" w:type="dxa"/>
            <w:bottom w:w="0" w:type="dxa"/>
            <w:right w:w="108" w:type="dxa"/>
          </w:tblCellMar>
        </w:tblPrEx>
        <w:trPr>
          <w:trHeight w:val="601" w:hRule="atLeast"/>
          <w:jc w:val="center"/>
        </w:trPr>
        <w:tc>
          <w:tcPr>
            <w:tcW w:w="72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p>
            <w:pPr>
              <w:jc w:val="center"/>
              <w:rPr>
                <w:rFonts w:hint="eastAsia" w:ascii="宋体" w:hAnsi="宋体" w:eastAsia="宋体" w:cs="宋体"/>
                <w:color w:val="auto"/>
                <w:sz w:val="24"/>
                <w:szCs w:val="24"/>
                <w:lang w:val="en-US" w:eastAsia="zh-CN"/>
              </w:rPr>
            </w:pPr>
          </w:p>
        </w:tc>
        <w:tc>
          <w:tcPr>
            <w:tcW w:w="174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服务期</w:t>
            </w:r>
          </w:p>
        </w:tc>
        <w:tc>
          <w:tcPr>
            <w:tcW w:w="7470" w:type="dxa"/>
            <w:tcBorders>
              <w:top w:val="single" w:color="000000" w:sz="4"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after="0"/>
              <w:ind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自合同签订之日起至本次所有服务工作完成</w:t>
            </w:r>
          </w:p>
        </w:tc>
      </w:tr>
      <w:tr>
        <w:tblPrEx>
          <w:tblCellMar>
            <w:top w:w="0" w:type="dxa"/>
            <w:left w:w="108" w:type="dxa"/>
            <w:bottom w:w="0" w:type="dxa"/>
            <w:right w:w="108" w:type="dxa"/>
          </w:tblCellMar>
        </w:tblPrEx>
        <w:trPr>
          <w:trHeight w:val="657"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c>
          <w:tcPr>
            <w:tcW w:w="174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747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成交单位与西安市教育局签订合同并进行资金结算：合同签订后30日内全额支付</w:t>
            </w:r>
          </w:p>
        </w:tc>
      </w:tr>
      <w:tr>
        <w:tblPrEx>
          <w:tblCellMar>
            <w:top w:w="0" w:type="dxa"/>
            <w:left w:w="108" w:type="dxa"/>
            <w:bottom w:w="0" w:type="dxa"/>
            <w:right w:w="108" w:type="dxa"/>
          </w:tblCellMar>
        </w:tblPrEx>
        <w:trPr>
          <w:trHeight w:val="724" w:hRule="atLeast"/>
          <w:jc w:val="center"/>
        </w:trPr>
        <w:tc>
          <w:tcPr>
            <w:tcW w:w="728"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相关费用及</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本项目由成交人向采购代理机构缴纳</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代理服务费，招标代理服务费的收取依据原国家计委《招标代理服务收费管理暂行办法》（计价格[2002]1980号）、国家发展和改革委员会《国家发展改革委办公厅关于招标代理服务收费有关问题的通知》（发改办价格[2003]857号）和《国家发展改革委关于降低部分建设项目收费标准规范收费行为等有关问题的通知》（发改价格[2011]534号）文件的相关规定收取，此服务费响应人可考虑在总报价中，采购人不再另行支付，服务费具体金额后续见本项目采购结果公告。</w:t>
            </w:r>
          </w:p>
          <w:p>
            <w:pPr>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采购代理服务费的缴纳方式：在领取《成交通知书》时向采购代理机构一次性全额缴纳采购代理服务费。</w:t>
            </w:r>
          </w:p>
          <w:p>
            <w:pPr>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采购代理服务费以转账形式缴纳至以下账户：</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缴纳账户户名：同正项目管理有限公司 </w:t>
            </w:r>
          </w:p>
          <w:p>
            <w:pPr>
              <w:rPr>
                <w:rFonts w:hint="eastAsia" w:ascii="宋体" w:hAnsi="宋体" w:eastAsia="宋体" w:cs="宋体"/>
                <w:color w:val="auto"/>
                <w:sz w:val="24"/>
                <w:szCs w:val="24"/>
              </w:rPr>
            </w:pPr>
            <w:r>
              <w:rPr>
                <w:rFonts w:hint="eastAsia" w:ascii="宋体" w:hAnsi="宋体" w:eastAsia="宋体" w:cs="宋体"/>
                <w:color w:val="auto"/>
                <w:sz w:val="24"/>
                <w:szCs w:val="24"/>
              </w:rPr>
              <w:t>开户行：中信银行股份有限公司西安经济技术开发区支行</w:t>
            </w:r>
          </w:p>
          <w:p>
            <w:pPr>
              <w:rPr>
                <w:rFonts w:hint="eastAsia" w:ascii="宋体" w:hAnsi="宋体" w:eastAsia="宋体" w:cs="宋体"/>
                <w:color w:val="auto"/>
                <w:sz w:val="24"/>
                <w:szCs w:val="24"/>
              </w:rPr>
            </w:pPr>
            <w:r>
              <w:rPr>
                <w:rFonts w:hint="eastAsia" w:ascii="宋体" w:hAnsi="宋体" w:eastAsia="宋体" w:cs="宋体"/>
                <w:color w:val="auto"/>
                <w:sz w:val="24"/>
                <w:szCs w:val="24"/>
              </w:rPr>
              <w:t>账号：7251210182600131313</w:t>
            </w:r>
          </w:p>
        </w:tc>
      </w:tr>
      <w:tr>
        <w:tblPrEx>
          <w:tblCellMar>
            <w:top w:w="0" w:type="dxa"/>
            <w:left w:w="108" w:type="dxa"/>
            <w:bottom w:w="0" w:type="dxa"/>
            <w:right w:w="108" w:type="dxa"/>
          </w:tblCellMar>
        </w:tblPrEx>
        <w:trPr>
          <w:trHeight w:val="196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供应商注册登记</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请各供应商自行在陕西省政府采购网主页面资料下载区下载《陕西省政府采购管理系统供应商用户手册》，并按操作手册流程注册登记。</w:t>
            </w:r>
          </w:p>
        </w:tc>
      </w:tr>
      <w:tr>
        <w:tblPrEx>
          <w:tblCellMar>
            <w:top w:w="0" w:type="dxa"/>
            <w:left w:w="108" w:type="dxa"/>
            <w:bottom w:w="0" w:type="dxa"/>
            <w:right w:w="108" w:type="dxa"/>
          </w:tblCellMar>
        </w:tblPrEx>
        <w:trPr>
          <w:trHeight w:val="89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所属行业</w:t>
            </w:r>
          </w:p>
        </w:tc>
        <w:tc>
          <w:tcPr>
            <w:tcW w:w="7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本项目属性为</w:t>
            </w:r>
            <w:r>
              <w:rPr>
                <w:rFonts w:hint="eastAsia" w:ascii="宋体" w:hAnsi="宋体" w:eastAsia="宋体" w:cs="宋体"/>
                <w:color w:val="auto"/>
                <w:sz w:val="24"/>
                <w:szCs w:val="24"/>
                <w:lang w:val="en-US" w:eastAsia="zh-CN"/>
              </w:rPr>
              <w:t>服务类</w:t>
            </w:r>
            <w:r>
              <w:rPr>
                <w:rFonts w:hint="eastAsia" w:ascii="宋体" w:hAnsi="宋体" w:eastAsia="宋体" w:cs="宋体"/>
                <w:color w:val="auto"/>
                <w:sz w:val="24"/>
                <w:szCs w:val="24"/>
              </w:rPr>
              <w:t>。</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本项目采购标的所属行业为：</w:t>
            </w:r>
            <w:r>
              <w:rPr>
                <w:rFonts w:hint="eastAsia" w:ascii="宋体" w:hAnsi="宋体" w:eastAsia="宋体" w:cs="宋体"/>
                <w:color w:val="auto"/>
                <w:sz w:val="24"/>
                <w:szCs w:val="24"/>
                <w:lang w:val="en-US" w:eastAsia="zh-CN"/>
              </w:rPr>
              <w:t>其他未列明行业</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（从业人员300人以下的为中小微型企业。其中，从业人员100人及以上的为中型企业；从业人员10人及以上的为小型企业；从业人员10人以下的为微型企业。）</w:t>
            </w:r>
          </w:p>
        </w:tc>
      </w:tr>
    </w:tbl>
    <w:p>
      <w:pPr>
        <w:pStyle w:val="24"/>
        <w:numPr>
          <w:ilvl w:val="0"/>
          <w:numId w:val="0"/>
        </w:numPr>
        <w:spacing w:line="360" w:lineRule="auto"/>
        <w:ind w:left="3570" w:leftChars="0"/>
        <w:jc w:val="both"/>
        <w:rPr>
          <w:rFonts w:hint="eastAsia" w:ascii="宋体" w:hAnsi="宋体" w:eastAsia="宋体" w:cs="宋体"/>
          <w:b/>
          <w:bCs/>
          <w:color w:val="auto"/>
          <w:sz w:val="18"/>
          <w:szCs w:val="18"/>
        </w:rPr>
      </w:pPr>
    </w:p>
    <w:tbl>
      <w:tblPr>
        <w:tblStyle w:val="28"/>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35"/>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1" w:type="dxa"/>
          </w:tcPr>
          <w:p>
            <w:pPr>
              <w:pStyle w:val="9"/>
              <w:keepNext w:val="0"/>
              <w:keepLines w:val="0"/>
              <w:pageBreakBefore w:val="0"/>
              <w:widowControl w:val="0"/>
              <w:kinsoku/>
              <w:wordWrap/>
              <w:overflowPunct/>
              <w:topLinePunct w:val="0"/>
              <w:autoSpaceDE/>
              <w:autoSpaceDN/>
              <w:bidi w:val="0"/>
              <w:adjustRightInd/>
              <w:snapToGrid/>
              <w:spacing w:before="469" w:beforeLines="150" w:line="276" w:lineRule="auto"/>
              <w:ind w:firstLine="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735" w:type="dxa"/>
          </w:tcPr>
          <w:p>
            <w:pPr>
              <w:pStyle w:val="9"/>
              <w:keepNext w:val="0"/>
              <w:keepLines w:val="0"/>
              <w:pageBreakBefore w:val="0"/>
              <w:widowControl w:val="0"/>
              <w:kinsoku/>
              <w:wordWrap/>
              <w:overflowPunct/>
              <w:topLinePunct w:val="0"/>
              <w:autoSpaceDE/>
              <w:autoSpaceDN/>
              <w:bidi w:val="0"/>
              <w:adjustRightInd/>
              <w:snapToGrid/>
              <w:spacing w:before="469" w:beforeLines="150" w:line="360" w:lineRule="auto"/>
              <w:ind w:firstLine="241" w:firstLineChars="100"/>
              <w:jc w:val="both"/>
              <w:textAlignment w:val="auto"/>
              <w:rPr>
                <w:rFonts w:hint="eastAsia" w:ascii="宋体" w:hAnsi="宋体" w:eastAsia="宋体" w:cs="宋体"/>
                <w:b/>
                <w:color w:val="auto"/>
                <w:sz w:val="24"/>
                <w:szCs w:val="24"/>
              </w:rPr>
            </w:pPr>
            <w:r>
              <w:rPr>
                <w:rFonts w:hint="eastAsia" w:ascii="宋体" w:hAnsi="宋体" w:eastAsia="宋体" w:cs="宋体"/>
                <w:b/>
                <w:bCs/>
                <w:color w:val="auto"/>
                <w:kern w:val="2"/>
                <w:sz w:val="24"/>
                <w:szCs w:val="24"/>
                <w:lang w:val="en-US" w:eastAsia="zh-CN" w:bidi="ar-SA"/>
              </w:rPr>
              <w:t>工作内容</w:t>
            </w:r>
          </w:p>
        </w:tc>
        <w:tc>
          <w:tcPr>
            <w:tcW w:w="7401" w:type="dxa"/>
            <w:vAlign w:val="center"/>
          </w:tcPr>
          <w:p>
            <w:pPr>
              <w:pStyle w:val="9"/>
              <w:spacing w:beforeLines="50" w:line="276"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时间安排及注意事项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31"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发布公告</w:t>
            </w:r>
          </w:p>
        </w:tc>
        <w:tc>
          <w:tcPr>
            <w:tcW w:w="7401" w:type="dxa"/>
            <w:vAlign w:val="center"/>
          </w:tcPr>
          <w:p>
            <w:pPr>
              <w:pStyle w:val="9"/>
              <w:spacing w:line="276" w:lineRule="auto"/>
              <w:ind w:right="115" w:rightChars="55"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p>
          <w:p>
            <w:pPr>
              <w:pStyle w:val="9"/>
              <w:spacing w:line="276" w:lineRule="auto"/>
              <w:ind w:right="115" w:rightChars="55"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公告媒体：陕西省政府采购网</w:t>
            </w:r>
          </w:p>
          <w:p>
            <w:pPr>
              <w:pStyle w:val="9"/>
              <w:spacing w:line="276" w:lineRule="auto"/>
              <w:ind w:right="115" w:rightChars="55"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31"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竞争性磋商文件</w:t>
            </w:r>
            <w:r>
              <w:rPr>
                <w:rFonts w:hint="eastAsia" w:ascii="宋体" w:hAnsi="宋体" w:eastAsia="宋体" w:cs="宋体"/>
                <w:color w:val="auto"/>
                <w:sz w:val="24"/>
                <w:szCs w:val="24"/>
                <w:lang w:val="en-US" w:eastAsia="zh-CN"/>
              </w:rPr>
              <w:t>获取</w:t>
            </w:r>
          </w:p>
        </w:tc>
        <w:tc>
          <w:tcPr>
            <w:tcW w:w="7401" w:type="dxa"/>
            <w:vAlign w:val="center"/>
          </w:tcPr>
          <w:p>
            <w:pPr>
              <w:pStyle w:val="9"/>
              <w:spacing w:beforeLines="50" w:line="276" w:lineRule="auto"/>
              <w:ind w:right="115" w:rightChars="55"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竞争性磋商文件发售：202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日（法定工作时间）</w:t>
            </w:r>
          </w:p>
          <w:p>
            <w:pPr>
              <w:pStyle w:val="9"/>
              <w:spacing w:line="276" w:lineRule="auto"/>
              <w:ind w:right="115" w:rightChars="55"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地点：同正项目管理有限公司</w:t>
            </w:r>
          </w:p>
          <w:p>
            <w:pPr>
              <w:pStyle w:val="9"/>
              <w:spacing w:line="276" w:lineRule="auto"/>
              <w:ind w:right="115" w:rightChars="55"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w:t>
            </w:r>
            <w:r>
              <w:rPr>
                <w:rFonts w:hint="eastAsia" w:ascii="宋体" w:hAnsi="宋体" w:eastAsia="宋体" w:cs="宋体"/>
                <w:color w:val="auto"/>
                <w:sz w:val="24"/>
                <w:szCs w:val="24"/>
                <w:highlight w:val="none"/>
                <w:lang w:val="en-US" w:eastAsia="zh-CN"/>
              </w:rPr>
              <w:t>工</w:t>
            </w:r>
          </w:p>
          <w:p>
            <w:pPr>
              <w:pStyle w:val="9"/>
              <w:spacing w:afterLines="50" w:line="276" w:lineRule="auto"/>
              <w:ind w:right="115" w:rightChars="55"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029-65652860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1" w:type="dxa"/>
            <w:vAlign w:val="center"/>
          </w:tcPr>
          <w:p>
            <w:pPr>
              <w:pStyle w:val="9"/>
              <w:spacing w:beforeLines="50" w:line="276" w:lineRule="auto"/>
              <w:ind w:firstLine="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3</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7401" w:type="dxa"/>
            <w:vAlign w:val="center"/>
          </w:tcPr>
          <w:p>
            <w:pPr>
              <w:pStyle w:val="10"/>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31"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答疑时间</w:t>
            </w:r>
          </w:p>
        </w:tc>
        <w:tc>
          <w:tcPr>
            <w:tcW w:w="7401" w:type="dxa"/>
            <w:vAlign w:val="center"/>
          </w:tcPr>
          <w:p>
            <w:pPr>
              <w:pStyle w:val="9"/>
              <w:spacing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答疑时间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日18时00分前</w:t>
            </w:r>
            <w:r>
              <w:rPr>
                <w:rFonts w:hint="eastAsia" w:ascii="宋体" w:hAnsi="宋体" w:eastAsia="宋体" w:cs="宋体"/>
                <w:color w:val="auto"/>
                <w:sz w:val="24"/>
                <w:szCs w:val="24"/>
              </w:rPr>
              <w:t>；</w:t>
            </w:r>
          </w:p>
          <w:p>
            <w:pPr>
              <w:pStyle w:val="9"/>
              <w:spacing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答疑递交方式：书面提交，送同正项目管理有限公司招标代理部(</w:t>
            </w:r>
            <w:r>
              <w:rPr>
                <w:rFonts w:hint="eastAsia" w:ascii="宋体" w:hAnsi="宋体" w:eastAsia="宋体" w:cs="宋体"/>
                <w:color w:val="auto"/>
                <w:sz w:val="24"/>
                <w:szCs w:val="24"/>
                <w:lang w:eastAsia="zh-CN"/>
              </w:rPr>
              <w:t>西安市雁塔区科技二路71号竹园·天寰国际1107室</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31"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竞争性磋商文件澄清或修改时间</w:t>
            </w:r>
          </w:p>
        </w:tc>
        <w:tc>
          <w:tcPr>
            <w:tcW w:w="7401" w:type="dxa"/>
            <w:vAlign w:val="center"/>
          </w:tcPr>
          <w:p>
            <w:pPr>
              <w:pStyle w:val="9"/>
              <w:spacing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澄清（修改）时间：磋商响应文件递交截</w:t>
            </w:r>
            <w:r>
              <w:rPr>
                <w:rFonts w:hint="eastAsia" w:ascii="宋体" w:hAnsi="宋体" w:eastAsia="宋体" w:cs="宋体"/>
                <w:color w:val="auto"/>
                <w:sz w:val="24"/>
                <w:szCs w:val="24"/>
                <w:lang w:val="en-US" w:eastAsia="zh-CN"/>
              </w:rPr>
              <w:t>止</w:t>
            </w:r>
            <w:r>
              <w:rPr>
                <w:rFonts w:hint="eastAsia" w:ascii="宋体" w:hAnsi="宋体" w:eastAsia="宋体" w:cs="宋体"/>
                <w:color w:val="auto"/>
                <w:sz w:val="24"/>
                <w:szCs w:val="24"/>
              </w:rPr>
              <w:t>时间5日前；</w:t>
            </w:r>
          </w:p>
          <w:p>
            <w:pPr>
              <w:pStyle w:val="9"/>
              <w:spacing w:beforeLines="50"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获取方式：采购代理机构书面通知所有报名磋商供应商。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31" w:type="dxa"/>
            <w:vAlign w:val="center"/>
          </w:tcPr>
          <w:p>
            <w:pPr>
              <w:pStyle w:val="9"/>
              <w:spacing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磋商响应文件递交截止时间</w:t>
            </w:r>
          </w:p>
        </w:tc>
        <w:tc>
          <w:tcPr>
            <w:tcW w:w="7401" w:type="dxa"/>
            <w:vAlign w:val="center"/>
          </w:tcPr>
          <w:p>
            <w:pPr>
              <w:tabs>
                <w:tab w:val="left" w:pos="1440"/>
              </w:tabs>
              <w:spacing w:line="276" w:lineRule="auto"/>
              <w:ind w:right="115" w:rightChars="5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磋商响应文件递交截止时间</w:t>
            </w:r>
            <w:r>
              <w:rPr>
                <w:rFonts w:hint="eastAsia" w:ascii="宋体" w:hAnsi="宋体" w:eastAsia="宋体" w:cs="宋体"/>
                <w:color w:val="auto"/>
                <w:sz w:val="24"/>
                <w:szCs w:val="24"/>
                <w:lang w:val="en-US" w:eastAsia="zh-CN"/>
              </w:rPr>
              <w:t>：同采购公告</w:t>
            </w:r>
            <w:r>
              <w:rPr>
                <w:rFonts w:hint="eastAsia" w:ascii="宋体" w:hAnsi="宋体" w:eastAsia="宋体" w:cs="宋体"/>
                <w:color w:val="auto"/>
                <w:sz w:val="24"/>
                <w:szCs w:val="24"/>
                <w:lang w:val="zh-CN"/>
              </w:rPr>
              <w:t>，</w:t>
            </w:r>
          </w:p>
          <w:p>
            <w:pPr>
              <w:tabs>
                <w:tab w:val="left" w:pos="1440"/>
              </w:tabs>
              <w:spacing w:line="276" w:lineRule="auto"/>
              <w:ind w:right="115" w:rightChars="5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磋商截止时间后送达的磋商响应文件将被拒收。</w:t>
            </w:r>
          </w:p>
          <w:p>
            <w:pPr>
              <w:spacing w:line="35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磋商响应文件递交地点：</w:t>
            </w:r>
            <w:r>
              <w:rPr>
                <w:rFonts w:hint="eastAsia" w:ascii="宋体" w:hAnsi="宋体" w:eastAsia="宋体" w:cs="宋体"/>
                <w:color w:val="auto"/>
                <w:sz w:val="24"/>
                <w:szCs w:val="24"/>
                <w:lang w:val="en-US" w:eastAsia="zh-CN"/>
              </w:rPr>
              <w:t>同采购公告</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31" w:type="dxa"/>
            <w:vAlign w:val="center"/>
          </w:tcPr>
          <w:p>
            <w:pPr>
              <w:pStyle w:val="9"/>
              <w:spacing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35" w:type="dxa"/>
            <w:vAlign w:val="center"/>
          </w:tcPr>
          <w:p>
            <w:pPr>
              <w:pStyle w:val="24"/>
              <w:spacing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7401" w:type="dxa"/>
            <w:vAlign w:val="center"/>
          </w:tcPr>
          <w:p>
            <w:pPr>
              <w:spacing w:line="35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本项目不收取保证金，根据西安市财政局关于《促进政府采购公平竞争优化营商环境》的通知，供应商参与西安市政府采购活动，免交</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工本费及保证金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31" w:type="dxa"/>
            <w:vAlign w:val="center"/>
          </w:tcPr>
          <w:p>
            <w:pPr>
              <w:pStyle w:val="9"/>
              <w:spacing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35" w:type="dxa"/>
            <w:vAlign w:val="center"/>
          </w:tcPr>
          <w:p>
            <w:pPr>
              <w:pStyle w:val="9"/>
              <w:spacing w:after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响应文件开启</w:t>
            </w:r>
            <w:r>
              <w:rPr>
                <w:rFonts w:hint="eastAsia" w:ascii="宋体" w:hAnsi="宋体" w:eastAsia="宋体" w:cs="宋体"/>
                <w:color w:val="auto"/>
                <w:sz w:val="24"/>
                <w:szCs w:val="24"/>
              </w:rPr>
              <w:t>时间和地点</w:t>
            </w:r>
          </w:p>
        </w:tc>
        <w:tc>
          <w:tcPr>
            <w:tcW w:w="7401" w:type="dxa"/>
            <w:vAlign w:val="center"/>
          </w:tcPr>
          <w:p>
            <w:pPr>
              <w:pStyle w:val="9"/>
              <w:spacing w:beforeLines="50" w:line="240" w:lineRule="auto"/>
              <w:ind w:right="115" w:rightChars="55" w:firstLine="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开启</w:t>
            </w: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lang w:val="zh-CN"/>
              </w:rPr>
              <w:t>20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分</w:t>
            </w:r>
          </w:p>
          <w:p>
            <w:pPr>
              <w:pStyle w:val="9"/>
              <w:spacing w:beforeLines="50" w:line="24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开启</w:t>
            </w:r>
            <w:r>
              <w:rPr>
                <w:rFonts w:hint="eastAsia" w:ascii="宋体" w:hAnsi="宋体" w:eastAsia="宋体" w:cs="宋体"/>
                <w:color w:val="auto"/>
                <w:sz w:val="24"/>
                <w:szCs w:val="24"/>
              </w:rPr>
              <w:t>地点: 同正项目管理有限公司会议室(</w:t>
            </w:r>
            <w:r>
              <w:rPr>
                <w:rFonts w:hint="eastAsia" w:ascii="宋体" w:hAnsi="宋体" w:eastAsia="宋体" w:cs="宋体"/>
                <w:color w:val="auto"/>
                <w:sz w:val="24"/>
                <w:szCs w:val="24"/>
                <w:lang w:eastAsia="zh-CN"/>
              </w:rPr>
              <w:t>西安市雁塔区科技二路71号竹园·天寰国际1107室</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31" w:type="dxa"/>
            <w:vAlign w:val="center"/>
          </w:tcPr>
          <w:p>
            <w:pPr>
              <w:pStyle w:val="9"/>
              <w:spacing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采购结果公告</w:t>
            </w:r>
          </w:p>
        </w:tc>
        <w:tc>
          <w:tcPr>
            <w:tcW w:w="7401" w:type="dxa"/>
            <w:vAlign w:val="center"/>
          </w:tcPr>
          <w:p>
            <w:pPr>
              <w:pStyle w:val="9"/>
              <w:spacing w:beforeLines="50"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成交公告发布时间：在确定成交供应商后2个工作日内</w:t>
            </w:r>
          </w:p>
          <w:p>
            <w:pPr>
              <w:pStyle w:val="9"/>
              <w:spacing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公告期限：1个工作日</w:t>
            </w:r>
          </w:p>
          <w:p>
            <w:pPr>
              <w:pStyle w:val="9"/>
              <w:spacing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公告媒体：陕西省政府采购网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1" w:type="dxa"/>
            <w:vAlign w:val="center"/>
          </w:tcPr>
          <w:p>
            <w:pPr>
              <w:pStyle w:val="9"/>
              <w:spacing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成交通知书</w:t>
            </w:r>
          </w:p>
        </w:tc>
        <w:tc>
          <w:tcPr>
            <w:tcW w:w="7401" w:type="dxa"/>
            <w:vAlign w:val="center"/>
          </w:tcPr>
          <w:p>
            <w:pPr>
              <w:pStyle w:val="9"/>
              <w:spacing w:beforeLines="50"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发放时间：发布本项目采购结果公告同时向成交供应商发出成交通知书</w:t>
            </w:r>
          </w:p>
          <w:p>
            <w:pPr>
              <w:pStyle w:val="9"/>
              <w:spacing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发放方式：书面发放给成交供应商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1" w:type="dxa"/>
            <w:vAlign w:val="center"/>
          </w:tcPr>
          <w:p>
            <w:pPr>
              <w:pStyle w:val="9"/>
              <w:spacing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735" w:type="dxa"/>
            <w:vAlign w:val="center"/>
          </w:tcPr>
          <w:p>
            <w:pPr>
              <w:pStyle w:val="9"/>
              <w:spacing w:beforeLines="50" w:line="276"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签订合同</w:t>
            </w:r>
          </w:p>
        </w:tc>
        <w:tc>
          <w:tcPr>
            <w:tcW w:w="7401" w:type="dxa"/>
            <w:vAlign w:val="center"/>
          </w:tcPr>
          <w:p>
            <w:pPr>
              <w:pStyle w:val="9"/>
              <w:spacing w:beforeLines="50" w:line="276"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签订时间：在成交通知书发出之日起30日内</w:t>
            </w:r>
          </w:p>
          <w:p>
            <w:pPr>
              <w:pStyle w:val="26"/>
              <w:spacing w:before="0" w:beforeAutospacing="0" w:after="0" w:afterAutospacing="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lang w:val="en-US" w:eastAsia="zh-CN"/>
              </w:rPr>
              <w:t>西安市教育局</w:t>
            </w:r>
          </w:p>
        </w:tc>
      </w:tr>
    </w:tbl>
    <w:p>
      <w:pPr>
        <w:kinsoku w:val="0"/>
        <w:spacing w:line="440" w:lineRule="exact"/>
        <w:rPr>
          <w:rFonts w:hint="eastAsia" w:ascii="宋体" w:hAnsi="宋体" w:eastAsia="宋体" w:cs="宋体"/>
          <w:color w:val="auto"/>
          <w:szCs w:val="21"/>
        </w:rPr>
      </w:pPr>
      <w:r>
        <w:rPr>
          <w:rFonts w:hint="eastAsia" w:ascii="宋体" w:hAnsi="宋体" w:eastAsia="宋体" w:cs="宋体"/>
          <w:color w:val="auto"/>
          <w:sz w:val="24"/>
          <w:szCs w:val="24"/>
        </w:rPr>
        <w:t>注：供应商须知前附表与磋商文件正文不一致的以供应商须知前附表为准。</w:t>
      </w:r>
    </w:p>
    <w:bookmarkEnd w:id="2"/>
    <w:bookmarkEnd w:id="3"/>
    <w:bookmarkEnd w:id="4"/>
    <w:bookmarkEnd w:id="5"/>
    <w:bookmarkEnd w:id="6"/>
    <w:p>
      <w:pPr>
        <w:keepNext w:val="0"/>
        <w:keepLines w:val="0"/>
        <w:pageBreakBefore w:val="0"/>
        <w:kinsoku w:val="0"/>
        <w:wordWrap/>
        <w:overflowPunct/>
        <w:topLinePunct w:val="0"/>
        <w:autoSpaceDE/>
        <w:autoSpaceDN/>
        <w:bidi w:val="0"/>
        <w:snapToGrid/>
        <w:spacing w:line="360" w:lineRule="auto"/>
        <w:textAlignment w:val="auto"/>
        <w:outlineLvl w:val="1"/>
        <w:rPr>
          <w:rFonts w:hint="eastAsia" w:ascii="宋体" w:hAnsi="宋体" w:eastAsia="宋体" w:cs="宋体"/>
          <w:b/>
          <w:color w:val="auto"/>
          <w:sz w:val="28"/>
          <w:szCs w:val="28"/>
        </w:rPr>
      </w:pPr>
      <w:bookmarkStart w:id="10" w:name="_Toc4120"/>
    </w:p>
    <w:p>
      <w:pPr>
        <w:keepNext w:val="0"/>
        <w:keepLines w:val="0"/>
        <w:pageBreakBefore w:val="0"/>
        <w:kinsoku w:val="0"/>
        <w:wordWrap/>
        <w:overflowPunct/>
        <w:topLinePunct w:val="0"/>
        <w:autoSpaceDE/>
        <w:autoSpaceDN/>
        <w:bidi w:val="0"/>
        <w:snapToGrid/>
        <w:spacing w:line="360" w:lineRule="auto"/>
        <w:textAlignment w:val="auto"/>
        <w:outlineLvl w:val="1"/>
        <w:rPr>
          <w:rFonts w:hint="eastAsia" w:ascii="宋体" w:hAnsi="宋体" w:eastAsia="宋体" w:cs="宋体"/>
          <w:b/>
          <w:color w:val="auto"/>
          <w:szCs w:val="21"/>
        </w:rPr>
      </w:pPr>
      <w:r>
        <w:rPr>
          <w:rFonts w:hint="eastAsia" w:ascii="宋体" w:hAnsi="宋体" w:eastAsia="宋体" w:cs="宋体"/>
          <w:b/>
          <w:color w:val="auto"/>
          <w:sz w:val="28"/>
          <w:szCs w:val="28"/>
        </w:rPr>
        <w:t>一、总则</w:t>
      </w:r>
      <w:bookmarkEnd w:id="10"/>
    </w:p>
    <w:p>
      <w:pPr>
        <w:keepNext w:val="0"/>
        <w:keepLines w:val="0"/>
        <w:pageBreakBefore w:val="0"/>
        <w:kinsoku w:val="0"/>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释义</w:t>
      </w:r>
    </w:p>
    <w:p>
      <w:pPr>
        <w:keepNext w:val="0"/>
        <w:keepLines w:val="0"/>
        <w:pageBreakBefore w:val="0"/>
        <w:kinsoku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1.1采   购   人：</w:t>
      </w:r>
      <w:r>
        <w:rPr>
          <w:rFonts w:hint="eastAsia" w:ascii="宋体" w:hAnsi="宋体" w:eastAsia="宋体" w:cs="宋体"/>
          <w:color w:val="auto"/>
          <w:sz w:val="24"/>
          <w:szCs w:val="24"/>
          <w:lang w:val="en-US" w:eastAsia="zh-CN"/>
        </w:rPr>
        <w:t>西安市教育局</w:t>
      </w:r>
    </w:p>
    <w:p>
      <w:pPr>
        <w:keepNext w:val="0"/>
        <w:keepLines w:val="0"/>
        <w:pageBreakBefore w:val="0"/>
        <w:tabs>
          <w:tab w:val="left" w:pos="980"/>
        </w:tabs>
        <w:kinsoku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采购代理机构：同正项目管理有限公司</w:t>
      </w:r>
    </w:p>
    <w:p>
      <w:pPr>
        <w:keepNext w:val="0"/>
        <w:keepLines w:val="0"/>
        <w:pageBreakBefore w:val="0"/>
        <w:tabs>
          <w:tab w:val="left" w:pos="980"/>
        </w:tabs>
        <w:kinsoku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cyan"/>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监督管</w:t>
      </w:r>
      <w:r>
        <w:rPr>
          <w:rFonts w:hint="eastAsia" w:ascii="宋体" w:hAnsi="宋体" w:eastAsia="宋体" w:cs="宋体"/>
          <w:color w:val="auto"/>
          <w:sz w:val="24"/>
          <w:szCs w:val="24"/>
          <w:highlight w:val="none"/>
        </w:rPr>
        <w:t>理部门：</w:t>
      </w:r>
      <w:r>
        <w:rPr>
          <w:rFonts w:hint="eastAsia" w:ascii="宋体" w:hAnsi="宋体" w:eastAsia="宋体" w:cs="宋体"/>
          <w:color w:val="auto"/>
          <w:sz w:val="24"/>
          <w:szCs w:val="24"/>
          <w:highlight w:val="none"/>
          <w:lang w:val="en-US" w:eastAsia="zh-CN"/>
        </w:rPr>
        <w:t>西安市财政局</w:t>
      </w:r>
    </w:p>
    <w:p>
      <w:pPr>
        <w:pStyle w:val="26"/>
        <w:keepNext w:val="0"/>
        <w:keepLines w:val="0"/>
        <w:pageBreakBefore w:val="0"/>
        <w:wordWrap/>
        <w:overflowPunct/>
        <w:topLinePunct w:val="0"/>
        <w:autoSpaceDE/>
        <w:autoSpaceDN/>
        <w:bidi w:val="0"/>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标        书：磋商文件与磋商响应文件的统称，竞争性磋商文件编制依据为《中华人民共和国政府采购法》、《中华人民共和国政府采购法实施条例》（第658号）、《政府采购竞争性磋商采购方式管理暂行办法》等相关法律法规文件。</w:t>
      </w:r>
    </w:p>
    <w:p>
      <w:pPr>
        <w:keepNext w:val="0"/>
        <w:keepLines w:val="0"/>
        <w:pageBreakBefore w:val="0"/>
        <w:tabs>
          <w:tab w:val="left" w:pos="980"/>
        </w:tabs>
        <w:kinsoku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磋商供应商：符合《中华人民共和国政府采购法》第二十二条、《中华人民共和国国务院令（第658号）》第十七条规定的及本次磋商特定资格条件，且从采购代理机构</w:t>
      </w:r>
      <w:r>
        <w:rPr>
          <w:rFonts w:hint="eastAsia" w:ascii="宋体" w:hAnsi="宋体" w:eastAsia="宋体" w:cs="宋体"/>
          <w:color w:val="auto"/>
          <w:sz w:val="24"/>
          <w:szCs w:val="24"/>
          <w:lang w:val="en-US" w:eastAsia="zh-CN"/>
        </w:rPr>
        <w:t>领取</w:t>
      </w:r>
      <w:r>
        <w:rPr>
          <w:rFonts w:hint="eastAsia" w:ascii="宋体" w:hAnsi="宋体" w:eastAsia="宋体" w:cs="宋体"/>
          <w:color w:val="auto"/>
          <w:sz w:val="24"/>
          <w:szCs w:val="24"/>
        </w:rPr>
        <w:t>竞争性磋商文件，并自愿参加磋商活动的磋商供应商。</w:t>
      </w:r>
    </w:p>
    <w:p>
      <w:pPr>
        <w:keepNext w:val="0"/>
        <w:keepLines w:val="0"/>
        <w:pageBreakBefore w:val="0"/>
        <w:tabs>
          <w:tab w:val="left" w:pos="980"/>
        </w:tabs>
        <w:kinsoku w:val="0"/>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磋商供应商</w:t>
      </w:r>
    </w:p>
    <w:p>
      <w:pPr>
        <w:keepNext w:val="0"/>
        <w:keepLines w:val="0"/>
        <w:pageBreakBefore w:val="0"/>
        <w:tabs>
          <w:tab w:val="left" w:pos="766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合格的磋商供应商应具备以下条件：</w:t>
      </w:r>
    </w:p>
    <w:p>
      <w:pPr>
        <w:keepNext w:val="0"/>
        <w:keepLines w:val="0"/>
        <w:pageBreakBefore w:val="0"/>
        <w:tabs>
          <w:tab w:val="left" w:pos="766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z w:val="24"/>
          <w:szCs w:val="24"/>
        </w:rPr>
        <w:t>2.1.1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具备且满足</w:t>
      </w:r>
      <w:r>
        <w:rPr>
          <w:rFonts w:hint="eastAsia" w:ascii="宋体" w:hAnsi="宋体" w:eastAsia="宋体" w:cs="宋体"/>
          <w:color w:val="auto"/>
          <w:sz w:val="24"/>
          <w:szCs w:val="24"/>
          <w:lang w:val="en-US" w:eastAsia="zh-CN"/>
        </w:rPr>
        <w:t>竞争性磋商供应商资格</w:t>
      </w:r>
      <w:r>
        <w:rPr>
          <w:rFonts w:hint="eastAsia" w:ascii="宋体" w:hAnsi="宋体" w:eastAsia="宋体" w:cs="宋体"/>
          <w:color w:val="auto"/>
          <w:sz w:val="24"/>
          <w:szCs w:val="24"/>
        </w:rPr>
        <w:t>要求的</w:t>
      </w:r>
      <w:r>
        <w:rPr>
          <w:rFonts w:hint="eastAsia" w:ascii="宋体" w:hAnsi="宋体" w:eastAsia="宋体" w:cs="宋体"/>
          <w:color w:val="auto"/>
          <w:spacing w:val="-4"/>
          <w:sz w:val="24"/>
          <w:szCs w:val="24"/>
        </w:rPr>
        <w:t>；</w:t>
      </w:r>
    </w:p>
    <w:p>
      <w:pPr>
        <w:keepNext w:val="0"/>
        <w:keepLines w:val="0"/>
        <w:pageBreakBefore w:val="0"/>
        <w:tabs>
          <w:tab w:val="left" w:pos="766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在</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val="en-US" w:eastAsia="zh-CN"/>
        </w:rPr>
        <w:t>领取</w:t>
      </w:r>
      <w:r>
        <w:rPr>
          <w:rFonts w:hint="eastAsia" w:ascii="宋体" w:hAnsi="宋体" w:eastAsia="宋体" w:cs="宋体"/>
          <w:color w:val="auto"/>
          <w:sz w:val="24"/>
          <w:szCs w:val="24"/>
        </w:rPr>
        <w:t>竞争性磋商文件并登记的；</w:t>
      </w:r>
      <w:r>
        <w:rPr>
          <w:rFonts w:hint="eastAsia" w:ascii="宋体" w:hAnsi="宋体" w:eastAsia="宋体" w:cs="宋体"/>
          <w:color w:val="auto"/>
          <w:sz w:val="24"/>
          <w:szCs w:val="24"/>
        </w:rPr>
        <w:tab/>
      </w:r>
    </w:p>
    <w:p>
      <w:pPr>
        <w:keepNext w:val="0"/>
        <w:keepLines w:val="0"/>
        <w:pageBreakBefore w:val="0"/>
        <w:tabs>
          <w:tab w:val="left" w:pos="766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一个磋商供应商只能提交一个磋商响应文件，法定代表人为同一人的两个及两个以上法人，不得同时参加本项目</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w:t>
      </w:r>
    </w:p>
    <w:p>
      <w:pPr>
        <w:keepNext w:val="0"/>
        <w:keepLines w:val="0"/>
        <w:pageBreakBefore w:val="0"/>
        <w:tabs>
          <w:tab w:val="left" w:pos="766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有隶属关系的两个公司或有控股关系的两个公司不能同时参加同一项目的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遵守国家、陕西省有关政府采购的法律、条例和法规；</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6 </w:t>
      </w:r>
      <w:r>
        <w:rPr>
          <w:rFonts w:hint="eastAsia" w:ascii="宋体" w:hAnsi="宋体" w:eastAsia="宋体" w:cs="宋体"/>
          <w:color w:val="auto"/>
          <w:sz w:val="24"/>
          <w:szCs w:val="24"/>
        </w:rPr>
        <w:t>竞争性磋商文件和法律、行政法规规定的其他条件。</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磋商供应商存在下列情形之一，属于不合格磋商供应商，其磋商响应文件或</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资格将被取消：</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与采购人、采购代理机构存在隶属关系或者其他利害关系；</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与其他磋商供应商的法定代表人（或者负责人）为同一人，或者与其他磋商供应商存在控股、管理关系；</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提供虚假材料谋取成交资格；</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采取不正当手段诋毁、排挤其他磋商供应商；</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与采购人、采购代理机构、其他磋商供应商恶意串通；</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向采购人、采购代理机构、磋商小组成员行贿或者提供其他不正当利益；  </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拒绝有关部门的监督检查或者向监督检查部门提供虚假情况；</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因违法经营受到刑事处罚或者责令停产停业、吊销许可证或者执照、较大数额罚款等行政处罚。</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有下列情形之一的，视为磋商供应商相互恶意串通</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，其磋商响应文件或</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资格将被取消：</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2.3.1（一）供应商直接或者间接从采购人或者采购代理机构处获得其他供应商的相关情况并修改其响应文件；</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（二）供应商按照采购人或者采购代理机构的授意撤换、修改响应文件；</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（三）供应商之间协商报价、技术方案等响应文件的实质性内容；</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（四）属于同一集团、协会、商会等组织成员的供应商按照该组织要求协同参加政府采购活动；</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（五）供应商之间事先约定由某一特定供应商成交；</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（六）供应商与采购人或者采购代理机构之间、供应商相互之间，为谋求特定供应商成交或者排斥其他供应商的其他串通行为。</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（七）不同供应商的投标文件由同一单位或者个人编制；</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（八）不同供应商委托同一单位或者个人办理投标事宜；</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（九）不同供应商的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文件载明的项目管理成员为同一人；</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（十）不同供应商的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文件异常一致或者磋商报价呈规律性差异；</w:t>
      </w:r>
    </w:p>
    <w:p>
      <w:pPr>
        <w:keepNext w:val="0"/>
        <w:keepLines w:val="0"/>
        <w:pageBreakBefore w:val="0"/>
        <w:wordWrap/>
        <w:overflowPunct/>
        <w:topLinePunct w:val="0"/>
        <w:autoSpaceDE/>
        <w:autoSpaceDN/>
        <w:bidi w:val="0"/>
        <w:snapToGrid/>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（十一）不同供应商的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文件相互混装；</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rPr>
        <w:t>2.3.2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本项目依据《中华人民共和国政府采购法》</w:t>
      </w:r>
      <w:r>
        <w:rPr>
          <w:rFonts w:hint="eastAsia" w:ascii="宋体" w:hAnsi="宋体" w:eastAsia="宋体" w:cs="宋体"/>
          <w:color w:val="auto"/>
          <w:sz w:val="24"/>
          <w:szCs w:val="24"/>
          <w:lang w:val="en-US" w:eastAsia="zh-CN"/>
        </w:rPr>
        <w:t>及相关法律法规</w:t>
      </w:r>
      <w:r>
        <w:rPr>
          <w:rFonts w:hint="eastAsia" w:ascii="宋体" w:hAnsi="宋体" w:eastAsia="宋体" w:cs="宋体"/>
          <w:color w:val="auto"/>
          <w:sz w:val="24"/>
          <w:szCs w:val="24"/>
        </w:rPr>
        <w:t>，落实政府采购“优先购买节能环保产品、扶持小微企业、监狱企业、福利企业”等相关政策</w:t>
      </w:r>
      <w:r>
        <w:rPr>
          <w:rFonts w:hint="eastAsia" w:ascii="宋体" w:hAnsi="宋体" w:eastAsia="宋体" w:cs="宋体"/>
          <w:color w:val="auto"/>
          <w:kern w:val="1"/>
          <w:sz w:val="24"/>
          <w:szCs w:val="24"/>
        </w:rPr>
        <w:t>。</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节能产品或者环保产品：依据《国务院办公厅关于建立政府强制采购节能产品制度的通知》（国办发〔2007〕51号）、《节能产品政府采购实施意见》（财库[2004]185号）、《环境标志产品政府采购实施的意见》（财库[2006]90号）之规定执行。</w:t>
      </w:r>
    </w:p>
    <w:p>
      <w:pPr>
        <w:keepNext w:val="0"/>
        <w:keepLines w:val="0"/>
        <w:pageBreakBefore w:val="0"/>
        <w:tabs>
          <w:tab w:val="left" w:pos="980"/>
        </w:tabs>
        <w:kinsoku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中小企业：依据《政府采购促进中小企业发展管理办法》(财库〔2020〕46号）之规定执行。本项目专门面向</w:t>
      </w:r>
      <w:r>
        <w:rPr>
          <w:rFonts w:hint="eastAsia" w:ascii="宋体" w:hAnsi="宋体" w:eastAsia="宋体" w:cs="宋体"/>
          <w:color w:val="auto"/>
          <w:sz w:val="24"/>
          <w:szCs w:val="24"/>
          <w:lang w:val="en-US" w:eastAsia="zh-CN"/>
        </w:rPr>
        <w:t>小微</w:t>
      </w:r>
      <w:r>
        <w:rPr>
          <w:rFonts w:hint="eastAsia" w:ascii="宋体" w:hAnsi="宋体" w:eastAsia="宋体" w:cs="宋体"/>
          <w:color w:val="auto"/>
          <w:sz w:val="24"/>
          <w:szCs w:val="24"/>
        </w:rPr>
        <w:t>企业采购，参加政府采购活动的中小企业应当提供《中小企业声明函》（见第六章响应文件格式），不提供或提供有瑕疵的，资格审查将不予通过。</w:t>
      </w:r>
    </w:p>
    <w:p>
      <w:pPr>
        <w:keepNext w:val="0"/>
        <w:keepLines w:val="0"/>
        <w:pageBreakBefore w:val="0"/>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监狱企业：依照&lt;财政部、司法部关于政府采购支持监狱企业发展有关问题的通知&gt;（财库〔2014〕68号文件）之规定执行。</w:t>
      </w:r>
    </w:p>
    <w:p>
      <w:pPr>
        <w:keepNext w:val="0"/>
        <w:keepLines w:val="0"/>
        <w:pageBreakBefore w:val="0"/>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rPr>
        <w:t>2.3.2.4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残疾人福利性单位：依据《三部门联合发布关于促进残疾人就业政府采购政策的通知》（财库【2017】141号）之规定执行。</w:t>
      </w:r>
    </w:p>
    <w:p>
      <w:pPr>
        <w:keepNext w:val="0"/>
        <w:keepLines w:val="0"/>
        <w:pageBreakBefore w:val="0"/>
        <w:wordWrap/>
        <w:overflowPunct/>
        <w:topLinePunct w:val="0"/>
        <w:autoSpaceDE/>
        <w:autoSpaceDN/>
        <w:bidi w:val="0"/>
        <w:adjustRightInd w:val="0"/>
        <w:snapToGrid/>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的风险：竞争性磋商文件各章内容已对磋商事宜提出明确要求，磋商供应商应认真阅读和充分理解竞争性磋商文件中所有的事项、格式条款和规范要求，任何对竞争性磋商文件的忽略或误解不能作为磋商响应文件存在缺陷或瑕疵的理由；磋商供应商没有按照竞争性磋商文件要求提供全部资料，或对竞争性磋商文件未全面做出实质性响应是磋商供应商的风险，而导致</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不利后果或其磋商响应文件被拒绝、被</w:t>
      </w:r>
      <w:r>
        <w:rPr>
          <w:rFonts w:hint="eastAsia" w:ascii="宋体" w:hAnsi="宋体" w:eastAsia="宋体" w:cs="宋体"/>
          <w:color w:val="auto"/>
          <w:sz w:val="24"/>
          <w:szCs w:val="24"/>
          <w:lang w:val="en-US" w:eastAsia="zh-CN"/>
        </w:rPr>
        <w:t>当作无效响应文件</w:t>
      </w:r>
      <w:r>
        <w:rPr>
          <w:rFonts w:hint="eastAsia" w:ascii="宋体" w:hAnsi="宋体" w:eastAsia="宋体" w:cs="宋体"/>
          <w:color w:val="auto"/>
          <w:sz w:val="24"/>
          <w:szCs w:val="24"/>
        </w:rPr>
        <w:t>的，其责任由磋商供应商自负。</w:t>
      </w:r>
    </w:p>
    <w:p>
      <w:pPr>
        <w:keepNext w:val="0"/>
        <w:keepLines w:val="0"/>
        <w:pageBreakBefore w:val="0"/>
        <w:wordWrap/>
        <w:overflowPunct/>
        <w:topLinePunct w:val="0"/>
        <w:autoSpaceDE/>
        <w:autoSpaceDN/>
        <w:bidi w:val="0"/>
        <w:adjustRightInd w:val="0"/>
        <w:snapToGrid/>
        <w:spacing w:line="360" w:lineRule="auto"/>
        <w:textAlignment w:val="auto"/>
        <w:outlineLvl w:val="1"/>
        <w:rPr>
          <w:rFonts w:hint="eastAsia" w:ascii="宋体" w:hAnsi="宋体" w:eastAsia="宋体" w:cs="宋体"/>
          <w:b/>
          <w:bCs/>
          <w:color w:val="auto"/>
          <w:sz w:val="28"/>
          <w:szCs w:val="28"/>
        </w:rPr>
      </w:pPr>
      <w:bookmarkStart w:id="11" w:name="_Toc28426"/>
      <w:r>
        <w:rPr>
          <w:rFonts w:hint="eastAsia" w:ascii="宋体" w:hAnsi="宋体" w:eastAsia="宋体" w:cs="宋体"/>
          <w:b/>
          <w:bCs/>
          <w:color w:val="auto"/>
          <w:sz w:val="28"/>
          <w:szCs w:val="28"/>
        </w:rPr>
        <w:t>二、竞争性磋商文件</w:t>
      </w:r>
      <w:bookmarkEnd w:id="11"/>
    </w:p>
    <w:p>
      <w:pPr>
        <w:keepNext w:val="0"/>
        <w:keepLines w:val="0"/>
        <w:pageBreakBefore w:val="0"/>
        <w:kinsoku w:val="0"/>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竞争性磋商文件的构成</w:t>
      </w:r>
    </w:p>
    <w:p>
      <w:pPr>
        <w:keepNext w:val="0"/>
        <w:keepLines w:val="0"/>
        <w:pageBreakBefore w:val="0"/>
        <w:tabs>
          <w:tab w:val="left" w:pos="766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竞争性磋商文件是磋商供应商准备磋商响应文件和参加磋商的依据，同时也是评审的重要依据。竞争性磋商文件用以阐明采购项目所需的</w:t>
      </w: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、技术、服务及报价等要求、采购程序、评审办法与标准、有关规定和注意事项以及合同主要条款等。</w:t>
      </w:r>
      <w:bookmarkStart w:id="12" w:name="_Toc183582211"/>
      <w:bookmarkStart w:id="13" w:name="_Toc183682348"/>
      <w:bookmarkStart w:id="14" w:name="_Toc217446040"/>
    </w:p>
    <w:p>
      <w:pPr>
        <w:keepNext w:val="0"/>
        <w:keepLines w:val="0"/>
        <w:pageBreakBefore w:val="0"/>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踏勘现场</w:t>
      </w:r>
    </w:p>
    <w:p>
      <w:pPr>
        <w:keepNext w:val="0"/>
        <w:keepLines w:val="0"/>
        <w:pageBreakBefore w:val="0"/>
        <w:wordWrap/>
        <w:overflowPunct/>
        <w:topLinePunct w:val="0"/>
        <w:autoSpaceDE/>
        <w:autoSpaceDN/>
        <w:bidi w:val="0"/>
        <w:snapToGrid/>
        <w:spacing w:line="360" w:lineRule="auto"/>
        <w:ind w:left="0" w:leftChars="0"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本项目不组织统一踏勘时间，磋商供应商可自行进行踏勘，费用自理。</w:t>
      </w:r>
    </w:p>
    <w:p>
      <w:pPr>
        <w:keepNext w:val="0"/>
        <w:keepLines w:val="0"/>
        <w:pageBreakBefore w:val="0"/>
        <w:wordWrap/>
        <w:overflowPunct/>
        <w:topLinePunct w:val="0"/>
        <w:autoSpaceDE/>
        <w:autoSpaceDN/>
        <w:bidi w:val="0"/>
        <w:adjustRightInd w:val="0"/>
        <w:snapToGrid/>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经采购方允许，供应商可为踏勘目的进入采购方的项目现场，但供应商不得因此使采购方承担有关的责任和蒙受损失；供应商应承担踏勘现场的责任和风险；供应商在现场踏勘期间发生的费用由供应商自负。</w:t>
      </w:r>
    </w:p>
    <w:p>
      <w:pPr>
        <w:keepNext w:val="0"/>
        <w:keepLines w:val="0"/>
        <w:pageBreakBefore w:val="0"/>
        <w:wordWrap/>
        <w:overflowPunct/>
        <w:topLinePunct w:val="0"/>
        <w:autoSpaceDE/>
        <w:autoSpaceDN/>
        <w:bidi w:val="0"/>
        <w:adjustRightInd w:val="0"/>
        <w:snapToGrid/>
        <w:spacing w:line="360" w:lineRule="auto"/>
        <w:ind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采购方不对磋商供应商因踏勘现场而做出的推论、理解和结论负责。一旦成交，成交供应商不得以任何借口，提出额外补偿或延长合同期限的要求。</w:t>
      </w:r>
    </w:p>
    <w:p>
      <w:pPr>
        <w:keepNext w:val="0"/>
        <w:keepLines w:val="0"/>
        <w:pageBreakBefore w:val="0"/>
        <w:tabs>
          <w:tab w:val="left" w:pos="7665"/>
        </w:tabs>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竞争性磋商文件的澄清</w:t>
      </w:r>
      <w:bookmarkEnd w:id="12"/>
      <w:bookmarkEnd w:id="13"/>
      <w:r>
        <w:rPr>
          <w:rFonts w:hint="eastAsia" w:ascii="宋体" w:hAnsi="宋体" w:eastAsia="宋体" w:cs="宋体"/>
          <w:b/>
          <w:color w:val="auto"/>
          <w:sz w:val="24"/>
          <w:szCs w:val="24"/>
        </w:rPr>
        <w:t>和修改</w:t>
      </w:r>
      <w:bookmarkEnd w:id="14"/>
    </w:p>
    <w:p>
      <w:pPr>
        <w:keepNext w:val="0"/>
        <w:keepLines w:val="0"/>
        <w:pageBreakBefore w:val="0"/>
        <w:tabs>
          <w:tab w:val="left" w:pos="72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提交首次响应文件截止之日前，采购人、采购代理机构或者磋商小组可以对已发出的磋商文件进行必要的澄清或者修改</w:t>
      </w:r>
      <w:r>
        <w:rPr>
          <w:rFonts w:hint="eastAsia" w:ascii="宋体" w:hAnsi="宋体" w:eastAsia="宋体" w:cs="宋体"/>
          <w:color w:val="auto"/>
          <w:sz w:val="24"/>
          <w:szCs w:val="24"/>
          <w:lang w:eastAsia="zh-CN"/>
        </w:rPr>
        <w:t>。</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采购人、采购代理机构或者磋商小组对已发出的竞争性磋商文件进行澄清或者修改，将在竞争性磋商文件要求的提交磋商响应文件截止时间</w:t>
      </w:r>
      <w:r>
        <w:rPr>
          <w:rFonts w:hint="eastAsia" w:ascii="宋体" w:hAnsi="宋体" w:eastAsia="宋体" w:cs="宋体"/>
          <w:b/>
          <w:color w:val="auto"/>
          <w:sz w:val="24"/>
          <w:szCs w:val="24"/>
        </w:rPr>
        <w:t>5</w:t>
      </w:r>
      <w:r>
        <w:rPr>
          <w:rFonts w:hint="eastAsia" w:ascii="宋体" w:hAnsi="宋体" w:eastAsia="宋体" w:cs="宋体"/>
          <w:color w:val="auto"/>
          <w:sz w:val="24"/>
          <w:szCs w:val="24"/>
        </w:rPr>
        <w:t>日前进行，并以书面形式将澄清或者修改的内容通知所有购买了竞争性磋商文件的磋商供应商，同时在原信息发布媒体上发布更正公告。该澄清或者修改的内容为竞争性磋商文件的组成部分。磋商供应商在收到上述通知后，应立即以书面形式向采购代理机构确认。如果澄清或者修改发出的时间距规定的递交磋商响应文件截止时间不足5日，将相应顺延其截止时间。</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bCs/>
          <w:color w:val="auto"/>
          <w:sz w:val="24"/>
          <w:szCs w:val="24"/>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 要求采购人或代理机构</w:t>
      </w:r>
      <w:r>
        <w:rPr>
          <w:rFonts w:hint="eastAsia" w:ascii="宋体" w:hAnsi="宋体" w:eastAsia="宋体" w:cs="宋体"/>
          <w:color w:val="auto"/>
          <w:sz w:val="24"/>
          <w:szCs w:val="24"/>
        </w:rPr>
        <w:t>对竞争性磋商文件进行澄清的磋商供应商，或认为有必要与</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采购代理机构进行技术交流的，均应将</w:t>
      </w:r>
      <w:r>
        <w:rPr>
          <w:rFonts w:hint="eastAsia" w:ascii="宋体" w:hAnsi="宋体" w:eastAsia="宋体" w:cs="宋体"/>
          <w:color w:val="auto"/>
          <w:sz w:val="24"/>
          <w:szCs w:val="24"/>
          <w:lang w:val="en-US" w:eastAsia="zh-CN"/>
        </w:rPr>
        <w:t>需要</w:t>
      </w:r>
      <w:r>
        <w:rPr>
          <w:rFonts w:hint="eastAsia" w:ascii="宋体" w:hAnsi="宋体" w:eastAsia="宋体" w:cs="宋体"/>
          <w:color w:val="auto"/>
          <w:sz w:val="24"/>
          <w:szCs w:val="24"/>
        </w:rPr>
        <w:t>澄清的内容，按照竞争性磋商文件</w:t>
      </w:r>
      <w:r>
        <w:rPr>
          <w:rFonts w:hint="eastAsia" w:ascii="宋体" w:hAnsi="宋体" w:eastAsia="宋体" w:cs="宋体"/>
          <w:color w:val="auto"/>
          <w:sz w:val="24"/>
          <w:szCs w:val="24"/>
          <w:lang w:val="en-US" w:eastAsia="zh-CN"/>
        </w:rPr>
        <w:t>供应商须知前附</w:t>
      </w:r>
      <w:r>
        <w:rPr>
          <w:rFonts w:hint="eastAsia" w:ascii="宋体" w:hAnsi="宋体" w:eastAsia="宋体" w:cs="宋体"/>
          <w:color w:val="auto"/>
          <w:sz w:val="24"/>
          <w:szCs w:val="24"/>
        </w:rPr>
        <w:t>表中的要求方式递</w:t>
      </w:r>
      <w:r>
        <w:rPr>
          <w:rFonts w:hint="eastAsia" w:ascii="宋体" w:hAnsi="宋体" w:eastAsia="宋体" w:cs="宋体"/>
          <w:color w:val="auto"/>
          <w:sz w:val="24"/>
          <w:szCs w:val="24"/>
          <w:lang w:val="en-US" w:eastAsia="zh-CN"/>
        </w:rPr>
        <w:t>交采购人、</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采购代理机构以书面形式予以答复（答复中不包括问题的来源），或认为有必要召开答疑会。各磋商供应商须按竞争性磋商文件供应商须知前附表中的要求时间，将</w:t>
      </w:r>
      <w:r>
        <w:rPr>
          <w:rFonts w:hint="eastAsia" w:ascii="宋体" w:hAnsi="宋体" w:eastAsia="宋体" w:cs="宋体"/>
          <w:color w:val="auto"/>
          <w:sz w:val="24"/>
          <w:szCs w:val="24"/>
          <w:lang w:val="en-US" w:eastAsia="zh-CN"/>
        </w:rPr>
        <w:t>需要</w:t>
      </w:r>
      <w:r>
        <w:rPr>
          <w:rFonts w:hint="eastAsia" w:ascii="宋体" w:hAnsi="宋体" w:eastAsia="宋体" w:cs="宋体"/>
          <w:color w:val="auto"/>
          <w:sz w:val="24"/>
          <w:szCs w:val="24"/>
        </w:rPr>
        <w:t>澄清内容送达采购代理机构，超过该时间收到的需澄清的内容，采购代理机构有权不予答复。</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递交磋商响应文件截止时间前，采购代理机构可以视采购具体情况，延长截止时间，并在竞争性磋商文件要求提交磋商响应文件的截止时间前，将变更时间以书面形式通知所有购买了竞争性磋商文件的磋商供应商，同时在原信息发布媒体上发布变更公告。</w:t>
      </w:r>
      <w:bookmarkStart w:id="15" w:name="_Toc183582213"/>
      <w:bookmarkStart w:id="16" w:name="_Toc208848971"/>
      <w:bookmarkStart w:id="17" w:name="_Toc217446041"/>
      <w:bookmarkStart w:id="18" w:name="_Toc183682350"/>
    </w:p>
    <w:bookmarkEnd w:id="15"/>
    <w:bookmarkEnd w:id="16"/>
    <w:bookmarkEnd w:id="17"/>
    <w:bookmarkEnd w:id="18"/>
    <w:p>
      <w:pPr>
        <w:keepNext w:val="0"/>
        <w:keepLines w:val="0"/>
        <w:pageBreakBefore w:val="0"/>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6</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竞争性磋商文件的解释权</w:t>
      </w:r>
    </w:p>
    <w:p>
      <w:pPr>
        <w:keepNext w:val="0"/>
        <w:keepLines w:val="0"/>
        <w:pageBreakBefore w:val="0"/>
        <w:wordWrap/>
        <w:overflowPunct/>
        <w:topLinePunct w:val="0"/>
        <w:autoSpaceDE/>
        <w:autoSpaceDN/>
        <w:bidi w:val="0"/>
        <w:adjustRightInd w:val="0"/>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本项目竞争性磋商文件的解释权归采购代理机构所有，如发现竞争性磋商文件内容与现行法律法规不相符的情况，以现行法律法规为准。</w:t>
      </w:r>
    </w:p>
    <w:p>
      <w:pPr>
        <w:keepNext w:val="0"/>
        <w:keepLines w:val="0"/>
        <w:pageBreakBefore w:val="0"/>
        <w:tabs>
          <w:tab w:val="left" w:pos="7665"/>
        </w:tabs>
        <w:wordWrap/>
        <w:overflowPunct/>
        <w:topLinePunct w:val="0"/>
        <w:autoSpaceDE/>
        <w:autoSpaceDN/>
        <w:bidi w:val="0"/>
        <w:snapToGrid/>
        <w:spacing w:line="360" w:lineRule="auto"/>
        <w:textAlignment w:val="auto"/>
        <w:outlineLvl w:val="1"/>
        <w:rPr>
          <w:rFonts w:hint="eastAsia" w:ascii="宋体" w:hAnsi="宋体" w:eastAsia="宋体" w:cs="宋体"/>
          <w:b/>
          <w:color w:val="auto"/>
          <w:kern w:val="0"/>
          <w:sz w:val="28"/>
          <w:szCs w:val="28"/>
        </w:rPr>
      </w:pPr>
      <w:bookmarkStart w:id="19" w:name="_Toc4547"/>
      <w:r>
        <w:rPr>
          <w:rFonts w:hint="eastAsia" w:ascii="宋体" w:hAnsi="宋体" w:eastAsia="宋体" w:cs="宋体"/>
          <w:b/>
          <w:bCs/>
          <w:color w:val="auto"/>
          <w:sz w:val="28"/>
          <w:szCs w:val="28"/>
        </w:rPr>
        <w:t>三、磋商响应文件</w:t>
      </w:r>
      <w:bookmarkEnd w:id="19"/>
    </w:p>
    <w:p>
      <w:pPr>
        <w:keepNext w:val="0"/>
        <w:keepLines w:val="0"/>
        <w:pageBreakBefore w:val="0"/>
        <w:tabs>
          <w:tab w:val="left" w:pos="720"/>
        </w:tabs>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磋商响应文件的组成</w:t>
      </w:r>
    </w:p>
    <w:p>
      <w:pPr>
        <w:keepNext w:val="0"/>
        <w:keepLines w:val="0"/>
        <w:pageBreakBefore w:val="0"/>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磋商响应文件由下列部分组成：</w:t>
      </w:r>
    </w:p>
    <w:p>
      <w:pPr>
        <w:keepNext w:val="0"/>
        <w:keepLines w:val="0"/>
        <w:pageBreakBefore w:val="0"/>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磋商报价部分：</w:t>
      </w:r>
    </w:p>
    <w:p>
      <w:pPr>
        <w:keepNext w:val="0"/>
        <w:keepLines w:val="0"/>
        <w:pageBreakBefore w:val="0"/>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szCs w:val="24"/>
          <w:highlight w:val="cyan"/>
        </w:rPr>
      </w:pPr>
      <w:r>
        <w:rPr>
          <w:rFonts w:hint="eastAsia" w:ascii="宋体" w:hAnsi="宋体" w:eastAsia="宋体" w:cs="宋体"/>
          <w:color w:val="auto"/>
          <w:sz w:val="24"/>
          <w:szCs w:val="24"/>
        </w:rPr>
        <w:t>7.1.1.1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本项目报价采用固定总价承包，磋商供应商自行考虑并承担风险。即磋商供应商的报价是磋商供应商响应本项目要求的全部工作内容的价格体现，包括磋商供应商完成本项目所需的一切费用，即服务费、税金及其他所有费用的总和。</w:t>
      </w:r>
    </w:p>
    <w:p>
      <w:pPr>
        <w:keepNext w:val="0"/>
        <w:keepLines w:val="0"/>
        <w:pageBreakBefore w:val="0"/>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磋商供应商不得以低于成本的报价参与磋商。磋商小组认为供应商的报价明显低于其他通过符合性审查供应商的报价，有可能影响产品质量或者不能诚信履约的，应当要求其在评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现场合理的时间内提供书面说明，必要时提交相关证明材料；供应商不能证明其报价合理性的，磋商小组应当将其作为无效</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处理。</w:t>
      </w:r>
    </w:p>
    <w:p>
      <w:pPr>
        <w:keepNext w:val="0"/>
        <w:keepLines w:val="0"/>
        <w:pageBreakBefore w:val="0"/>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技术部分：磋商供应商按照竞争性磋商文件要求做出技术响应，主要是针对采购项目的技术指标、参数和技术要求做出的实质性响应和满足。</w:t>
      </w:r>
    </w:p>
    <w:p>
      <w:pPr>
        <w:keepNext w:val="0"/>
        <w:keepLines w:val="0"/>
        <w:pageBreakBefore w:val="0"/>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商务部分：</w:t>
      </w:r>
      <w:r>
        <w:rPr>
          <w:rFonts w:hint="eastAsia" w:ascii="宋体" w:hAnsi="宋体" w:eastAsia="宋体" w:cs="宋体"/>
          <w:bCs/>
          <w:color w:val="auto"/>
          <w:sz w:val="24"/>
          <w:szCs w:val="24"/>
        </w:rPr>
        <w:t>磋商供应商</w:t>
      </w:r>
      <w:r>
        <w:rPr>
          <w:rFonts w:hint="eastAsia" w:ascii="宋体" w:hAnsi="宋体" w:eastAsia="宋体" w:cs="宋体"/>
          <w:color w:val="auto"/>
          <w:sz w:val="24"/>
          <w:szCs w:val="24"/>
        </w:rPr>
        <w:t>按照竞争性磋商文件要求做出完全响应。</w:t>
      </w:r>
    </w:p>
    <w:p>
      <w:pPr>
        <w:pStyle w:val="9"/>
        <w:keepNext w:val="0"/>
        <w:keepLines w:val="0"/>
        <w:pageBreakBefore w:val="0"/>
        <w:wordWrap/>
        <w:overflowPunct/>
        <w:topLinePunct w:val="0"/>
        <w:autoSpaceDE/>
        <w:autoSpaceDN/>
        <w:bidi w:val="0"/>
        <w:snapToGrid/>
        <w:spacing w:line="360" w:lineRule="auto"/>
        <w:ind w:firstLine="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磋商保证金</w:t>
      </w:r>
    </w:p>
    <w:p>
      <w:pPr>
        <w:keepNext w:val="0"/>
        <w:keepLines w:val="0"/>
        <w:pageBreakBefore w:val="0"/>
        <w:wordWrap/>
        <w:overflowPunct/>
        <w:topLinePunct w:val="0"/>
        <w:autoSpaceDE/>
        <w:autoSpaceDN/>
        <w:bidi w:val="0"/>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本项目不收取保证金，根据西安市财政局关于《促进政府采购公平竞争优化营商环境》的通知，供应商参与西安市政府采购活动，免交</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工本费及保证金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 xml:space="preserve">   </w:t>
      </w:r>
    </w:p>
    <w:p>
      <w:pPr>
        <w:keepNext w:val="0"/>
        <w:keepLines w:val="0"/>
        <w:pageBreakBefore w:val="0"/>
        <w:wordWrap/>
        <w:overflowPunct/>
        <w:topLinePunct w:val="0"/>
        <w:autoSpaceDE/>
        <w:autoSpaceDN/>
        <w:bidi w:val="0"/>
        <w:snapToGrid/>
        <w:spacing w:line="360" w:lineRule="auto"/>
        <w:textAlignment w:val="auto"/>
        <w:outlineLvl w:val="2"/>
        <w:rPr>
          <w:rFonts w:hint="eastAsia" w:ascii="宋体" w:hAnsi="宋体" w:eastAsia="宋体" w:cs="宋体"/>
          <w:b/>
          <w:bCs/>
          <w:color w:val="auto"/>
          <w:sz w:val="24"/>
          <w:szCs w:val="24"/>
        </w:rPr>
      </w:pPr>
      <w:bookmarkStart w:id="20" w:name="_Toc7640"/>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磋商响应文件的编制</w:t>
      </w:r>
      <w:bookmarkEnd w:id="20"/>
    </w:p>
    <w:p>
      <w:pPr>
        <w:keepNext w:val="0"/>
        <w:keepLines w:val="0"/>
        <w:pageBreakBefore w:val="0"/>
        <w:tabs>
          <w:tab w:val="left" w:pos="72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磋商供应商应仔细阅读竞争性磋商文件的所有内容，按竞争性磋商文件规定及要求编制磋商响应文件，应当对竞争性磋商文件提出的实质性要求做出响应，并提交完整的磋商响应文件。</w:t>
      </w:r>
    </w:p>
    <w:p>
      <w:pPr>
        <w:keepNext w:val="0"/>
        <w:keepLines w:val="0"/>
        <w:pageBreakBefore w:val="0"/>
        <w:tabs>
          <w:tab w:val="left" w:pos="720"/>
        </w:tabs>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9.2</w:t>
      </w:r>
      <w:r>
        <w:rPr>
          <w:rFonts w:hint="eastAsia" w:ascii="宋体" w:hAnsi="宋体" w:eastAsia="宋体" w:cs="宋体"/>
          <w:color w:val="auto"/>
          <w:sz w:val="24"/>
          <w:szCs w:val="24"/>
          <w:lang w:val="en-US" w:eastAsia="zh-CN"/>
        </w:rPr>
        <w:t xml:space="preserve"> </w:t>
      </w:r>
      <w:r>
        <w:rPr>
          <w:rFonts w:hint="eastAsia" w:ascii="宋体" w:hAnsi="宋体" w:eastAsia="宋体" w:cs="宋体"/>
          <w:bCs/>
          <w:color w:val="auto"/>
          <w:kern w:val="1"/>
          <w:sz w:val="24"/>
          <w:szCs w:val="24"/>
        </w:rPr>
        <w:t>磋商供应商必须保证其编制、递交的磋商响应文件所有内容真实、合法、有效，并承担相应的法律责任。</w:t>
      </w:r>
    </w:p>
    <w:p>
      <w:pPr>
        <w:keepNext w:val="0"/>
        <w:keepLines w:val="0"/>
        <w:pageBreakBefore w:val="0"/>
        <w:tabs>
          <w:tab w:val="left" w:pos="72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9.3</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磋商响应文件的语言：磋商供应商</w:t>
      </w:r>
      <w:r>
        <w:rPr>
          <w:rFonts w:hint="eastAsia" w:ascii="宋体" w:hAnsi="宋体" w:eastAsia="宋体" w:cs="宋体"/>
          <w:color w:val="auto"/>
          <w:sz w:val="24"/>
          <w:szCs w:val="24"/>
        </w:rPr>
        <w:t>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w:t>
      </w:r>
      <w:r>
        <w:rPr>
          <w:rFonts w:hint="eastAsia" w:ascii="宋体" w:hAnsi="宋体" w:eastAsia="宋体" w:cs="宋体"/>
          <w:color w:val="auto"/>
          <w:sz w:val="24"/>
          <w:szCs w:val="24"/>
          <w:lang w:eastAsia="zh-CN"/>
        </w:rPr>
        <w:t>。</w:t>
      </w:r>
    </w:p>
    <w:p>
      <w:pPr>
        <w:keepNext w:val="0"/>
        <w:keepLines w:val="0"/>
        <w:pageBreakBefore w:val="0"/>
        <w:tabs>
          <w:tab w:val="left" w:pos="720"/>
        </w:tabs>
        <w:wordWrap/>
        <w:overflowPunct/>
        <w:topLinePunct w:val="0"/>
        <w:autoSpaceDE/>
        <w:autoSpaceDN/>
        <w:bidi w:val="0"/>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磋商响应文件的计量单位：</w:t>
      </w:r>
      <w:r>
        <w:rPr>
          <w:rFonts w:hint="eastAsia" w:ascii="宋体" w:hAnsi="宋体" w:eastAsia="宋体" w:cs="宋体"/>
          <w:color w:val="auto"/>
          <w:kern w:val="0"/>
          <w:sz w:val="24"/>
          <w:szCs w:val="24"/>
        </w:rPr>
        <w:t>竞争性磋商文件已有明确规定的，使用竞争性磋商文件规定的计量单位；竞争性磋商文件没有规定的，应采用中华人民共和国法定计量单位</w:t>
      </w:r>
      <w:r>
        <w:rPr>
          <w:rFonts w:hint="eastAsia" w:ascii="宋体" w:hAnsi="宋体" w:eastAsia="宋体" w:cs="宋体"/>
          <w:color w:val="auto"/>
          <w:sz w:val="24"/>
          <w:szCs w:val="24"/>
        </w:rPr>
        <w:t>(国际单位制和国家选定的其他计量单位)</w:t>
      </w:r>
      <w:r>
        <w:rPr>
          <w:rFonts w:hint="eastAsia" w:ascii="宋体" w:hAnsi="宋体" w:eastAsia="宋体" w:cs="宋体"/>
          <w:color w:val="auto"/>
          <w:kern w:val="0"/>
          <w:sz w:val="24"/>
          <w:szCs w:val="24"/>
        </w:rPr>
        <w:t>。否则，视为对竞争性磋商文件未作出实质性响应。</w:t>
      </w:r>
    </w:p>
    <w:p>
      <w:pPr>
        <w:keepNext w:val="0"/>
        <w:keepLines w:val="0"/>
        <w:pageBreakBefore w:val="0"/>
        <w:tabs>
          <w:tab w:val="left" w:pos="720"/>
        </w:tabs>
        <w:wordWrap/>
        <w:overflowPunct/>
        <w:topLinePunct w:val="0"/>
        <w:autoSpaceDE/>
        <w:autoSpaceDN/>
        <w:bidi w:val="0"/>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报价使用货币：本次采购项目的报价均以人民币报价。</w:t>
      </w:r>
    </w:p>
    <w:p>
      <w:pPr>
        <w:pStyle w:val="16"/>
        <w:keepNext w:val="0"/>
        <w:keepLines w:val="0"/>
        <w:pageBreakBefore w:val="0"/>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rPr>
        <w:t>9.6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磋商响应文件形式：本项目磋商响应文件应采用书面文件形式，电报、传真、</w:t>
      </w:r>
      <w:r>
        <w:rPr>
          <w:rFonts w:hint="eastAsia" w:ascii="宋体" w:hAnsi="宋体" w:eastAsia="宋体" w:cs="宋体"/>
          <w:color w:val="auto"/>
          <w:kern w:val="1"/>
          <w:sz w:val="24"/>
          <w:szCs w:val="24"/>
        </w:rPr>
        <w:t>电子邮件形式的磋商响应文件不予接受。</w:t>
      </w:r>
    </w:p>
    <w:p>
      <w:pPr>
        <w:keepNext w:val="0"/>
        <w:keepLines w:val="0"/>
        <w:pageBreakBefore w:val="0"/>
        <w:tabs>
          <w:tab w:val="left" w:pos="0"/>
          <w:tab w:val="left" w:pos="42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9.7</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备选方案：本项目不接受备选响应方案，磋商响应文件的报价只允许有一个报价，不接受有任何选择或具有附加条件的报价，否则，在评审时将其视为无效报价。</w:t>
      </w:r>
    </w:p>
    <w:p>
      <w:pPr>
        <w:keepNext w:val="0"/>
        <w:keepLines w:val="0"/>
        <w:pageBreakBefore w:val="0"/>
        <w:tabs>
          <w:tab w:val="left" w:pos="0"/>
          <w:tab w:val="left" w:pos="42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9.8</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磋商响应文件有效期：磋商响应文件有效期自</w:t>
      </w:r>
      <w:r>
        <w:rPr>
          <w:rFonts w:hint="eastAsia" w:ascii="宋体" w:hAnsi="宋体" w:eastAsia="宋体" w:cs="宋体"/>
          <w:color w:val="auto"/>
          <w:kern w:val="1"/>
          <w:sz w:val="24"/>
          <w:szCs w:val="24"/>
          <w:lang w:val="en-US" w:eastAsia="zh-CN"/>
        </w:rPr>
        <w:t>磋商会议</w:t>
      </w:r>
      <w:r>
        <w:rPr>
          <w:rFonts w:hint="eastAsia" w:ascii="宋体" w:hAnsi="宋体" w:eastAsia="宋体" w:cs="宋体"/>
          <w:color w:val="auto"/>
          <w:kern w:val="1"/>
          <w:sz w:val="24"/>
          <w:szCs w:val="24"/>
        </w:rPr>
        <w:t>之日起计算不得少于90天。</w:t>
      </w:r>
    </w:p>
    <w:p>
      <w:pPr>
        <w:keepNext w:val="0"/>
        <w:keepLines w:val="0"/>
        <w:pageBreakBefore w:val="0"/>
        <w:tabs>
          <w:tab w:val="left" w:pos="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9.9</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磋商响应文件格式：磋商供应商应严格按照竞争性磋商文件</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第六章</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《磋商响应文件格式及构成》填写相关内容。除明确允许磋商供应商可以自行编写的外，磋商供应商不得以规定之外的方式填写相关内容。否则，磋商供应商提供的磋商响应文件将作为无效响应文件处理。</w:t>
      </w:r>
    </w:p>
    <w:p>
      <w:pPr>
        <w:keepNext w:val="0"/>
        <w:keepLines w:val="0"/>
        <w:pageBreakBefore w:val="0"/>
        <w:tabs>
          <w:tab w:val="left" w:pos="0"/>
          <w:tab w:val="left" w:pos="42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9.10</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磋商响应文件的签署、盖章</w:t>
      </w:r>
    </w:p>
    <w:p>
      <w:pPr>
        <w:keepNext w:val="0"/>
        <w:keepLines w:val="0"/>
        <w:pageBreakBefore w:val="0"/>
        <w:tabs>
          <w:tab w:val="left" w:pos="0"/>
        </w:tabs>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9.10.1</w:t>
      </w:r>
      <w:r>
        <w:rPr>
          <w:rFonts w:hint="eastAsia" w:ascii="宋体" w:hAnsi="宋体" w:eastAsia="宋体" w:cs="宋体"/>
          <w:bCs/>
          <w:color w:val="auto"/>
          <w:kern w:val="1"/>
          <w:sz w:val="24"/>
          <w:szCs w:val="24"/>
          <w:lang w:val="en-US" w:eastAsia="zh-CN"/>
        </w:rPr>
        <w:t xml:space="preserve"> </w:t>
      </w:r>
      <w:r>
        <w:rPr>
          <w:rFonts w:hint="eastAsia" w:ascii="宋体" w:hAnsi="宋体" w:eastAsia="宋体" w:cs="宋体"/>
          <w:color w:val="auto"/>
          <w:kern w:val="1"/>
          <w:sz w:val="24"/>
          <w:szCs w:val="24"/>
        </w:rPr>
        <w:t>磋商响应文件须由供应商的法定代表人或经法定代表人正式授权的代表签字（</w:t>
      </w:r>
      <w:r>
        <w:rPr>
          <w:rFonts w:hint="eastAsia" w:ascii="宋体" w:hAnsi="宋体" w:eastAsia="宋体" w:cs="宋体"/>
          <w:color w:val="auto"/>
          <w:sz w:val="24"/>
          <w:szCs w:val="24"/>
        </w:rPr>
        <w:t>磋商文件要求磋商响应文件中法定代表人签字处由法定代表人签署，要求授权代表签字处由授权代表签署），若由授权代表签署，须按磋商文件规定的格式出具“法定代表人授权书”附在磋商响应文件中，所有要求签字（名）处，均须由签字（名）者本人用不褪色的蓝(黑)色墨水(汁)书写，不得用任何形式的图章代替）；响应文件的任何行间插字、涂改和增删，改动处须由法定代表人签字并加盖公章方为有效；因字迹潦草或表达不清所引起的后果由供应商自行负责。</w:t>
      </w:r>
    </w:p>
    <w:p>
      <w:pPr>
        <w:keepNext w:val="0"/>
        <w:keepLines w:val="0"/>
        <w:pageBreakBefore w:val="0"/>
        <w:tabs>
          <w:tab w:val="left" w:pos="0"/>
          <w:tab w:val="left" w:pos="420"/>
        </w:tabs>
        <w:wordWrap/>
        <w:overflowPunct/>
        <w:topLinePunct w:val="0"/>
        <w:autoSpaceDE/>
        <w:autoSpaceDN/>
        <w:bidi w:val="0"/>
        <w:snapToGrid/>
        <w:spacing w:line="360" w:lineRule="auto"/>
        <w:ind w:firstLine="481"/>
        <w:textAlignment w:val="auto"/>
        <w:rPr>
          <w:rFonts w:hint="eastAsia" w:ascii="宋体" w:hAnsi="宋体" w:eastAsia="宋体" w:cs="宋体"/>
          <w:color w:val="auto"/>
          <w:kern w:val="1"/>
          <w:sz w:val="24"/>
          <w:szCs w:val="24"/>
        </w:rPr>
      </w:pPr>
      <w:r>
        <w:rPr>
          <w:rFonts w:hint="eastAsia" w:ascii="宋体" w:hAnsi="宋体" w:eastAsia="宋体" w:cs="宋体"/>
          <w:bCs/>
          <w:color w:val="auto"/>
          <w:kern w:val="1"/>
          <w:sz w:val="24"/>
          <w:szCs w:val="24"/>
        </w:rPr>
        <w:t>9.10.2</w:t>
      </w:r>
      <w:r>
        <w:rPr>
          <w:rFonts w:hint="eastAsia" w:ascii="宋体" w:hAnsi="宋体" w:eastAsia="宋体" w:cs="宋体"/>
          <w:bCs/>
          <w:color w:val="auto"/>
          <w:kern w:val="1"/>
          <w:sz w:val="24"/>
          <w:szCs w:val="24"/>
          <w:lang w:val="en-US" w:eastAsia="zh-CN"/>
        </w:rPr>
        <w:t xml:space="preserve"> </w:t>
      </w:r>
      <w:r>
        <w:rPr>
          <w:rFonts w:hint="eastAsia" w:ascii="宋体" w:hAnsi="宋体" w:eastAsia="宋体" w:cs="宋体"/>
          <w:color w:val="auto"/>
          <w:kern w:val="1"/>
          <w:sz w:val="24"/>
          <w:szCs w:val="24"/>
        </w:rPr>
        <w:t>磋商供应商须按竞争性磋商文件要求在指定页面落款处加盖供应商公章。</w:t>
      </w:r>
    </w:p>
    <w:p>
      <w:pPr>
        <w:keepNext w:val="0"/>
        <w:keepLines w:val="0"/>
        <w:pageBreakBefore w:val="0"/>
        <w:tabs>
          <w:tab w:val="left" w:pos="0"/>
          <w:tab w:val="left" w:pos="420"/>
        </w:tabs>
        <w:wordWrap/>
        <w:overflowPunct/>
        <w:topLinePunct w:val="0"/>
        <w:autoSpaceDE/>
        <w:autoSpaceDN/>
        <w:bidi w:val="0"/>
        <w:snapToGrid/>
        <w:spacing w:line="360" w:lineRule="auto"/>
        <w:ind w:firstLine="48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rPr>
        <w:t>9.11</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磋商响应文件的装订、密封及</w:t>
      </w:r>
      <w:r>
        <w:rPr>
          <w:rFonts w:hint="eastAsia" w:ascii="宋体" w:hAnsi="宋体" w:eastAsia="宋体" w:cs="宋体"/>
          <w:color w:val="auto"/>
          <w:kern w:val="1"/>
          <w:sz w:val="24"/>
          <w:szCs w:val="24"/>
          <w:highlight w:val="none"/>
        </w:rPr>
        <w:t>标识</w:t>
      </w:r>
    </w:p>
    <w:p>
      <w:pPr>
        <w:keepNext w:val="0"/>
        <w:keepLines w:val="0"/>
        <w:pageBreakBefore w:val="0"/>
        <w:tabs>
          <w:tab w:val="left" w:pos="0"/>
          <w:tab w:val="left" w:pos="42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9.11.1</w:t>
      </w:r>
      <w:r>
        <w:rPr>
          <w:rFonts w:hint="eastAsia" w:ascii="宋体" w:hAnsi="宋体" w:eastAsia="宋体" w:cs="宋体"/>
          <w:color w:val="auto"/>
          <w:kern w:val="1"/>
          <w:sz w:val="24"/>
          <w:szCs w:val="24"/>
          <w:highlight w:val="none"/>
          <w:lang w:val="en-US" w:eastAsia="zh-CN"/>
        </w:rPr>
        <w:t xml:space="preserve"> </w:t>
      </w:r>
      <w:r>
        <w:rPr>
          <w:rFonts w:hint="eastAsia" w:ascii="宋体" w:hAnsi="宋体" w:eastAsia="宋体" w:cs="宋体"/>
          <w:color w:val="auto"/>
          <w:kern w:val="1"/>
          <w:sz w:val="24"/>
          <w:szCs w:val="24"/>
          <w:highlight w:val="none"/>
        </w:rPr>
        <w:t>磋商响应文件包含正本1份、副本2份、</w:t>
      </w:r>
      <w:r>
        <w:rPr>
          <w:rFonts w:hint="eastAsia" w:ascii="宋体" w:hAnsi="宋体" w:eastAsia="宋体" w:cs="宋体"/>
          <w:color w:val="auto"/>
          <w:kern w:val="1"/>
          <w:sz w:val="24"/>
          <w:szCs w:val="24"/>
          <w:highlight w:val="none"/>
          <w:lang w:val="en-US" w:eastAsia="zh-CN"/>
        </w:rPr>
        <w:t>首次</w:t>
      </w:r>
      <w:r>
        <w:rPr>
          <w:rFonts w:hint="eastAsia" w:ascii="宋体" w:hAnsi="宋体" w:eastAsia="宋体" w:cs="宋体"/>
          <w:color w:val="auto"/>
          <w:kern w:val="1"/>
          <w:sz w:val="24"/>
          <w:szCs w:val="24"/>
          <w:highlight w:val="none"/>
          <w:lang w:eastAsia="zh-CN"/>
        </w:rPr>
        <w:t>报价一览表</w:t>
      </w:r>
      <w:r>
        <w:rPr>
          <w:rFonts w:hint="eastAsia" w:ascii="宋体" w:hAnsi="宋体" w:eastAsia="宋体" w:cs="宋体"/>
          <w:color w:val="auto"/>
          <w:kern w:val="1"/>
          <w:sz w:val="24"/>
          <w:szCs w:val="24"/>
          <w:highlight w:val="none"/>
        </w:rPr>
        <w:t>1份、磋商响应文件电子版U盘</w:t>
      </w:r>
      <w:r>
        <w:rPr>
          <w:rFonts w:hint="eastAsia" w:ascii="宋体" w:hAnsi="宋体" w:eastAsia="宋体" w:cs="宋体"/>
          <w:color w:val="auto"/>
          <w:kern w:val="1"/>
          <w:sz w:val="24"/>
          <w:szCs w:val="24"/>
          <w:highlight w:val="none"/>
          <w:lang w:val="en-US" w:eastAsia="zh-CN"/>
        </w:rPr>
        <w:t>2</w:t>
      </w:r>
      <w:r>
        <w:rPr>
          <w:rFonts w:hint="eastAsia" w:ascii="宋体" w:hAnsi="宋体" w:eastAsia="宋体" w:cs="宋体"/>
          <w:color w:val="auto"/>
          <w:kern w:val="1"/>
          <w:sz w:val="24"/>
          <w:szCs w:val="24"/>
          <w:highlight w:val="none"/>
        </w:rPr>
        <w:t>份（电子文件采用PDF格式，签字和盖章</w:t>
      </w:r>
      <w:r>
        <w:rPr>
          <w:rFonts w:hint="eastAsia" w:ascii="宋体" w:hAnsi="宋体" w:eastAsia="宋体" w:cs="宋体"/>
          <w:color w:val="auto"/>
          <w:kern w:val="1"/>
          <w:sz w:val="24"/>
          <w:szCs w:val="24"/>
          <w:highlight w:val="none"/>
          <w:lang w:val="en-US" w:eastAsia="zh-CN"/>
        </w:rPr>
        <w:t>页</w:t>
      </w:r>
      <w:r>
        <w:rPr>
          <w:rFonts w:hint="eastAsia" w:ascii="宋体" w:hAnsi="宋体" w:eastAsia="宋体" w:cs="宋体"/>
          <w:color w:val="auto"/>
          <w:kern w:val="1"/>
          <w:sz w:val="24"/>
          <w:szCs w:val="24"/>
          <w:highlight w:val="none"/>
        </w:rPr>
        <w:t>可采用电子印章，或将有盖章和签字的纸质页面、证件等扫描文件一起编辑到PDF格式文件中，盖章和签字页不能遗漏。未按规定制作电子文件或</w:t>
      </w:r>
      <w:r>
        <w:rPr>
          <w:rFonts w:hint="eastAsia" w:ascii="宋体" w:hAnsi="宋体" w:eastAsia="宋体" w:cs="宋体"/>
          <w:color w:val="auto"/>
          <w:kern w:val="1"/>
          <w:sz w:val="24"/>
          <w:szCs w:val="24"/>
          <w:highlight w:val="none"/>
          <w:lang w:val="en-US" w:eastAsia="zh-CN"/>
        </w:rPr>
        <w:t>磋商</w:t>
      </w:r>
      <w:r>
        <w:rPr>
          <w:rFonts w:hint="eastAsia" w:ascii="宋体" w:hAnsi="宋体" w:eastAsia="宋体" w:cs="宋体"/>
          <w:color w:val="auto"/>
          <w:kern w:val="1"/>
          <w:sz w:val="24"/>
          <w:szCs w:val="24"/>
          <w:highlight w:val="none"/>
        </w:rPr>
        <w:t>现场电子U盘因自身原因导致无法读取的，按无效</w:t>
      </w:r>
      <w:r>
        <w:rPr>
          <w:rFonts w:hint="eastAsia" w:ascii="宋体" w:hAnsi="宋体" w:eastAsia="宋体" w:cs="宋体"/>
          <w:color w:val="auto"/>
          <w:kern w:val="1"/>
          <w:sz w:val="24"/>
          <w:szCs w:val="24"/>
          <w:highlight w:val="none"/>
          <w:lang w:val="en-US" w:eastAsia="zh-CN"/>
        </w:rPr>
        <w:t>磋商响应</w:t>
      </w:r>
      <w:r>
        <w:rPr>
          <w:rFonts w:hint="eastAsia" w:ascii="宋体" w:hAnsi="宋体" w:eastAsia="宋体" w:cs="宋体"/>
          <w:color w:val="auto"/>
          <w:kern w:val="1"/>
          <w:sz w:val="24"/>
          <w:szCs w:val="24"/>
          <w:highlight w:val="none"/>
        </w:rPr>
        <w:t>文件处理），正本1份、副本2份各自装订成册并加盖骑缝章单独密封，磋商响应文件须在封面及封袋注明“正本”和“副本”字样。如果正本与副本不符，以正本磋商响应文件为准。</w:t>
      </w:r>
    </w:p>
    <w:p>
      <w:pPr>
        <w:keepNext w:val="0"/>
        <w:keepLines w:val="0"/>
        <w:pageBreakBefore w:val="0"/>
        <w:tabs>
          <w:tab w:val="left" w:pos="0"/>
          <w:tab w:val="left" w:pos="420"/>
        </w:tabs>
        <w:wordWrap/>
        <w:overflowPunct/>
        <w:topLinePunct w:val="0"/>
        <w:autoSpaceDE/>
        <w:autoSpaceDN/>
        <w:bidi w:val="0"/>
        <w:snapToGrid/>
        <w:spacing w:line="360" w:lineRule="auto"/>
        <w:ind w:firstLine="48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9.11.2</w:t>
      </w:r>
      <w:r>
        <w:rPr>
          <w:rFonts w:hint="eastAsia" w:ascii="宋体" w:hAnsi="宋体" w:eastAsia="宋体" w:cs="宋体"/>
          <w:color w:val="auto"/>
          <w:kern w:val="1"/>
          <w:sz w:val="24"/>
          <w:szCs w:val="24"/>
          <w:highlight w:val="none"/>
          <w:lang w:val="en-US" w:eastAsia="zh-CN"/>
        </w:rPr>
        <w:t xml:space="preserve"> </w:t>
      </w:r>
      <w:r>
        <w:rPr>
          <w:rFonts w:hint="eastAsia" w:ascii="宋体" w:hAnsi="宋体" w:eastAsia="宋体" w:cs="宋体"/>
          <w:color w:val="auto"/>
          <w:kern w:val="1"/>
          <w:sz w:val="24"/>
          <w:szCs w:val="24"/>
          <w:highlight w:val="none"/>
        </w:rPr>
        <w:t>磋商响应文件的正本、副本、</w:t>
      </w:r>
      <w:r>
        <w:rPr>
          <w:rFonts w:hint="eastAsia" w:ascii="宋体" w:hAnsi="宋体" w:eastAsia="宋体" w:cs="宋体"/>
          <w:color w:val="auto"/>
          <w:kern w:val="1"/>
          <w:sz w:val="24"/>
          <w:szCs w:val="24"/>
          <w:highlight w:val="none"/>
          <w:lang w:eastAsia="zh-CN"/>
        </w:rPr>
        <w:t>报价一览表</w:t>
      </w:r>
      <w:r>
        <w:rPr>
          <w:rFonts w:hint="eastAsia" w:ascii="宋体" w:hAnsi="宋体" w:eastAsia="宋体" w:cs="宋体"/>
          <w:color w:val="auto"/>
          <w:kern w:val="1"/>
          <w:sz w:val="24"/>
          <w:szCs w:val="24"/>
          <w:highlight w:val="none"/>
        </w:rPr>
        <w:t>要求各自分装密封，磋商响应文件电子版U盘</w:t>
      </w:r>
      <w:r>
        <w:rPr>
          <w:rFonts w:hint="eastAsia" w:ascii="宋体" w:hAnsi="宋体" w:cs="宋体"/>
          <w:color w:val="auto"/>
          <w:kern w:val="1"/>
          <w:sz w:val="24"/>
          <w:szCs w:val="24"/>
          <w:highlight w:val="none"/>
          <w:lang w:val="en-US" w:eastAsia="zh-CN"/>
        </w:rPr>
        <w:t>2</w:t>
      </w:r>
      <w:r>
        <w:rPr>
          <w:rFonts w:hint="eastAsia" w:ascii="宋体" w:hAnsi="宋体" w:eastAsia="宋体" w:cs="宋体"/>
          <w:color w:val="auto"/>
          <w:kern w:val="1"/>
          <w:sz w:val="24"/>
          <w:szCs w:val="24"/>
          <w:highlight w:val="none"/>
        </w:rPr>
        <w:t>份随</w:t>
      </w:r>
      <w:r>
        <w:rPr>
          <w:rFonts w:hint="eastAsia" w:ascii="宋体" w:hAnsi="宋体" w:eastAsia="宋体" w:cs="宋体"/>
          <w:color w:val="auto"/>
          <w:kern w:val="1"/>
          <w:sz w:val="24"/>
          <w:szCs w:val="24"/>
          <w:highlight w:val="none"/>
          <w:lang w:eastAsia="zh-CN"/>
        </w:rPr>
        <w:t>报价一览表</w:t>
      </w:r>
      <w:r>
        <w:rPr>
          <w:rFonts w:hint="eastAsia" w:ascii="宋体" w:hAnsi="宋体" w:eastAsia="宋体" w:cs="宋体"/>
          <w:color w:val="auto"/>
          <w:kern w:val="1"/>
          <w:sz w:val="24"/>
          <w:szCs w:val="24"/>
          <w:highlight w:val="none"/>
        </w:rPr>
        <w:t>封装（封袋不得有破损），同时在封口处加贴封条并在骑缝处加盖磋商供应商公章。</w:t>
      </w:r>
    </w:p>
    <w:p>
      <w:pPr>
        <w:keepNext w:val="0"/>
        <w:keepLines w:val="0"/>
        <w:pageBreakBefore w:val="0"/>
        <w:tabs>
          <w:tab w:val="left" w:pos="0"/>
          <w:tab w:val="left" w:pos="420"/>
        </w:tabs>
        <w:wordWrap/>
        <w:overflowPunct/>
        <w:topLinePunct w:val="0"/>
        <w:autoSpaceDE/>
        <w:autoSpaceDN/>
        <w:bidi w:val="0"/>
        <w:snapToGrid/>
        <w:spacing w:line="360" w:lineRule="auto"/>
        <w:ind w:firstLine="48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highlight w:val="none"/>
        </w:rPr>
        <w:t>9.11.3</w:t>
      </w:r>
      <w:r>
        <w:rPr>
          <w:rFonts w:hint="eastAsia" w:ascii="宋体" w:hAnsi="宋体" w:eastAsia="宋体" w:cs="宋体"/>
          <w:color w:val="auto"/>
          <w:kern w:val="1"/>
          <w:sz w:val="24"/>
          <w:szCs w:val="24"/>
          <w:highlight w:val="none"/>
          <w:lang w:val="en-US" w:eastAsia="zh-CN"/>
        </w:rPr>
        <w:t xml:space="preserve"> </w:t>
      </w:r>
      <w:r>
        <w:rPr>
          <w:rFonts w:hint="eastAsia" w:ascii="宋体" w:hAnsi="宋体" w:eastAsia="宋体" w:cs="宋体"/>
          <w:color w:val="auto"/>
          <w:kern w:val="1"/>
          <w:sz w:val="24"/>
          <w:szCs w:val="24"/>
          <w:highlight w:val="none"/>
        </w:rPr>
        <w:t>正本、副本、</w:t>
      </w:r>
      <w:r>
        <w:rPr>
          <w:rFonts w:hint="eastAsia" w:ascii="宋体" w:hAnsi="宋体" w:eastAsia="宋体" w:cs="宋体"/>
          <w:color w:val="auto"/>
          <w:kern w:val="1"/>
          <w:sz w:val="24"/>
          <w:szCs w:val="24"/>
          <w:highlight w:val="none"/>
          <w:lang w:eastAsia="zh-CN"/>
        </w:rPr>
        <w:t>报价一览表</w:t>
      </w:r>
      <w:r>
        <w:rPr>
          <w:rFonts w:hint="eastAsia" w:ascii="宋体" w:hAnsi="宋体" w:eastAsia="宋体" w:cs="宋体"/>
          <w:color w:val="auto"/>
          <w:kern w:val="1"/>
          <w:sz w:val="24"/>
          <w:szCs w:val="24"/>
        </w:rPr>
        <w:t>封袋标识式样详见格式A.B</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rPr>
        <w:t>不按要求进行标识的文件代理机构不予接收。</w:t>
      </w:r>
    </w:p>
    <w:p>
      <w:pPr>
        <w:keepNext w:val="0"/>
        <w:keepLines w:val="0"/>
        <w:pageBreakBefore w:val="0"/>
        <w:tabs>
          <w:tab w:val="left" w:pos="0"/>
          <w:tab w:val="left" w:pos="420"/>
        </w:tabs>
        <w:wordWrap/>
        <w:overflowPunct/>
        <w:topLinePunct w:val="0"/>
        <w:autoSpaceDE/>
        <w:autoSpaceDN/>
        <w:bidi w:val="0"/>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kern w:val="1"/>
          <w:sz w:val="24"/>
          <w:szCs w:val="24"/>
        </w:rPr>
        <w:t>9.11.4</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sz w:val="24"/>
          <w:szCs w:val="24"/>
        </w:rPr>
        <w:t>磋商响应文件正本和副本</w:t>
      </w:r>
      <w:r>
        <w:rPr>
          <w:rFonts w:hint="eastAsia" w:ascii="宋体" w:hAnsi="宋体" w:eastAsia="宋体" w:cs="宋体"/>
          <w:color w:val="auto"/>
          <w:sz w:val="24"/>
          <w:szCs w:val="24"/>
          <w:lang w:val="zh-CN"/>
        </w:rPr>
        <w:t>一律采用A4纸幅面加胶装分别装订成册，</w:t>
      </w:r>
      <w:r>
        <w:rPr>
          <w:rFonts w:hint="eastAsia" w:ascii="宋体" w:hAnsi="宋体" w:eastAsia="宋体" w:cs="宋体"/>
          <w:bCs/>
          <w:color w:val="auto"/>
          <w:kern w:val="1"/>
          <w:sz w:val="24"/>
          <w:szCs w:val="24"/>
        </w:rPr>
        <w:t>按序从目录开始编制页码。</w:t>
      </w:r>
      <w:r>
        <w:rPr>
          <w:rFonts w:hint="eastAsia" w:ascii="宋体" w:hAnsi="宋体" w:eastAsia="宋体" w:cs="宋体"/>
          <w:color w:val="auto"/>
          <w:sz w:val="24"/>
          <w:szCs w:val="24"/>
        </w:rPr>
        <w:t>文件胶装装订后，页面不可抽取，不得有活动页，无破损、不可拆分。</w:t>
      </w:r>
    </w:p>
    <w:p>
      <w:pPr>
        <w:keepNext w:val="0"/>
        <w:keepLines w:val="0"/>
        <w:pageBreakBefore w:val="0"/>
        <w:tabs>
          <w:tab w:val="left" w:pos="0"/>
          <w:tab w:val="left" w:pos="420"/>
        </w:tabs>
        <w:wordWrap/>
        <w:overflowPunct/>
        <w:topLinePunct w:val="0"/>
        <w:autoSpaceDE/>
        <w:autoSpaceDN/>
        <w:bidi w:val="0"/>
        <w:snapToGrid/>
        <w:spacing w:line="360" w:lineRule="auto"/>
        <w:ind w:firstLine="48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9.12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磋商响应文件的递交</w:t>
      </w:r>
    </w:p>
    <w:p>
      <w:pPr>
        <w:keepNext w:val="0"/>
        <w:keepLines w:val="0"/>
        <w:pageBreakBefore w:val="0"/>
        <w:tabs>
          <w:tab w:val="left" w:pos="0"/>
        </w:tabs>
        <w:wordWrap/>
        <w:overflowPunct/>
        <w:topLinePunct w:val="0"/>
        <w:autoSpaceDE/>
        <w:autoSpaceDN/>
        <w:bidi w:val="0"/>
        <w:snapToGrid/>
        <w:spacing w:line="360" w:lineRule="auto"/>
        <w:textAlignment w:val="auto"/>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 xml:space="preserve">    9.12.1</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sz w:val="24"/>
          <w:szCs w:val="24"/>
        </w:rPr>
        <w:t>磋商供应商应仔细阅读竞争性磋商文件中的所有事项、格式、条款和要求，对竞争性磋商文件的全部内容及要求作出实质性响应，提交相应资料。</w:t>
      </w:r>
    </w:p>
    <w:p>
      <w:pPr>
        <w:keepNext w:val="0"/>
        <w:keepLines w:val="0"/>
        <w:pageBreakBefore w:val="0"/>
        <w:tabs>
          <w:tab w:val="left" w:pos="0"/>
        </w:tabs>
        <w:wordWrap/>
        <w:overflowPunct/>
        <w:topLinePunct w:val="0"/>
        <w:autoSpaceDE/>
        <w:autoSpaceDN/>
        <w:bidi w:val="0"/>
        <w:snapToGrid/>
        <w:spacing w:line="360" w:lineRule="auto"/>
        <w:ind w:firstLine="48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9.12.2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截止磋商响应文件递交时间前</w:t>
      </w:r>
      <w:r>
        <w:rPr>
          <w:rFonts w:hint="eastAsia" w:ascii="宋体" w:hAnsi="宋体" w:eastAsia="宋体" w:cs="宋体"/>
          <w:color w:val="auto"/>
          <w:kern w:val="0"/>
          <w:sz w:val="24"/>
          <w:szCs w:val="24"/>
        </w:rPr>
        <w:t>磋商供应商应将磋商响应文件所有正本、副本、</w:t>
      </w:r>
      <w:r>
        <w:rPr>
          <w:rFonts w:hint="eastAsia" w:ascii="宋体" w:hAnsi="宋体" w:eastAsia="宋体" w:cs="宋体"/>
          <w:color w:val="auto"/>
          <w:kern w:val="0"/>
          <w:sz w:val="24"/>
          <w:szCs w:val="24"/>
          <w:lang w:eastAsia="zh-CN"/>
        </w:rPr>
        <w:t>报价一览表</w:t>
      </w:r>
      <w:r>
        <w:rPr>
          <w:rFonts w:hint="eastAsia" w:ascii="宋体" w:hAnsi="宋体" w:eastAsia="宋体" w:cs="宋体"/>
          <w:color w:val="auto"/>
          <w:kern w:val="0"/>
          <w:sz w:val="24"/>
          <w:szCs w:val="24"/>
        </w:rPr>
        <w:t>等相关资料按要求密封递交</w:t>
      </w:r>
      <w:r>
        <w:rPr>
          <w:rFonts w:hint="eastAsia" w:ascii="宋体" w:hAnsi="宋体" w:eastAsia="宋体" w:cs="宋体"/>
          <w:color w:val="auto"/>
          <w:kern w:val="1"/>
          <w:sz w:val="24"/>
          <w:szCs w:val="24"/>
        </w:rPr>
        <w:t>。</w:t>
      </w:r>
    </w:p>
    <w:p>
      <w:pPr>
        <w:keepNext w:val="0"/>
        <w:keepLines w:val="0"/>
        <w:pageBreakBefore w:val="0"/>
        <w:tabs>
          <w:tab w:val="left" w:pos="0"/>
        </w:tabs>
        <w:wordWrap/>
        <w:overflowPunct/>
        <w:topLinePunct w:val="0"/>
        <w:autoSpaceDE/>
        <w:autoSpaceDN/>
        <w:bidi w:val="0"/>
        <w:snapToGrid/>
        <w:spacing w:line="360" w:lineRule="auto"/>
        <w:ind w:firstLine="480"/>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9.12.3</w:t>
      </w:r>
      <w:r>
        <w:rPr>
          <w:rFonts w:hint="eastAsia" w:ascii="宋体" w:hAnsi="宋体" w:eastAsia="宋体" w:cs="宋体"/>
          <w:bCs/>
          <w:color w:val="auto"/>
          <w:kern w:val="1"/>
          <w:sz w:val="24"/>
          <w:szCs w:val="24"/>
          <w:lang w:val="en-US" w:eastAsia="zh-CN"/>
        </w:rPr>
        <w:t xml:space="preserve"> </w:t>
      </w:r>
      <w:r>
        <w:rPr>
          <w:rFonts w:hint="eastAsia" w:ascii="宋体" w:hAnsi="宋体" w:eastAsia="宋体" w:cs="宋体"/>
          <w:color w:val="auto"/>
          <w:kern w:val="1"/>
          <w:sz w:val="24"/>
          <w:szCs w:val="24"/>
        </w:rPr>
        <w:t>采购代理机构仅负责对磋商响应文件的接收时间、份数和递交人等信息的确认。在宣布递交磋商响应文件时间截止之后，任何人送达、递交的磋商响应文件和文书资料，采购代理机构拒绝接收。</w:t>
      </w:r>
    </w:p>
    <w:p>
      <w:pPr>
        <w:keepNext w:val="0"/>
        <w:keepLines w:val="0"/>
        <w:pageBreakBefore w:val="0"/>
        <w:tabs>
          <w:tab w:val="left" w:pos="0"/>
        </w:tabs>
        <w:wordWrap/>
        <w:overflowPunct/>
        <w:topLinePunct w:val="0"/>
        <w:autoSpaceDE/>
        <w:autoSpaceDN/>
        <w:bidi w:val="0"/>
        <w:snapToGrid/>
        <w:spacing w:line="360" w:lineRule="auto"/>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9.12.4</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核查、信息确认完毕的磋商响应文件由采购代理机构妥善保管，任何人不得擅自拆封、调换和退回。</w:t>
      </w:r>
    </w:p>
    <w:p>
      <w:pPr>
        <w:keepNext w:val="0"/>
        <w:keepLines w:val="0"/>
        <w:pageBreakBefore w:val="0"/>
        <w:tabs>
          <w:tab w:val="left" w:pos="0"/>
        </w:tabs>
        <w:wordWrap/>
        <w:overflowPunct/>
        <w:topLinePunct w:val="0"/>
        <w:autoSpaceDE/>
        <w:autoSpaceDN/>
        <w:bidi w:val="0"/>
        <w:snapToGrid/>
        <w:spacing w:line="360" w:lineRule="auto"/>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10</w:t>
      </w:r>
      <w:r>
        <w:rPr>
          <w:rFonts w:hint="eastAsia" w:ascii="宋体" w:hAnsi="宋体" w:eastAsia="宋体" w:cs="宋体"/>
          <w:b/>
          <w:color w:val="auto"/>
          <w:kern w:val="1"/>
          <w:sz w:val="24"/>
          <w:szCs w:val="24"/>
          <w:lang w:eastAsia="zh-CN"/>
        </w:rPr>
        <w:t>.</w:t>
      </w:r>
      <w:r>
        <w:rPr>
          <w:rFonts w:hint="eastAsia" w:ascii="宋体" w:hAnsi="宋体" w:eastAsia="宋体" w:cs="宋体"/>
          <w:b/>
          <w:color w:val="auto"/>
          <w:kern w:val="1"/>
          <w:sz w:val="24"/>
          <w:szCs w:val="24"/>
        </w:rPr>
        <w:t>磋商响应文件的修改和撤回</w:t>
      </w:r>
    </w:p>
    <w:p>
      <w:pPr>
        <w:keepNext w:val="0"/>
        <w:keepLines w:val="0"/>
        <w:pageBreakBefore w:val="0"/>
        <w:tabs>
          <w:tab w:val="left" w:pos="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10.1</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磋商供应商在递交了磋商响应文件后，可以修改或撤回其磋商响应文件，但必须在规定的磋商响应文件截止时间前，以书面形式通知采购代理机构。</w:t>
      </w:r>
    </w:p>
    <w:p>
      <w:pPr>
        <w:keepNext w:val="0"/>
        <w:keepLines w:val="0"/>
        <w:pageBreakBefore w:val="0"/>
        <w:tabs>
          <w:tab w:val="left" w:pos="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10.2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供应商的修改书或撤回通知书，应由其法定代表人或其被授权委托人签署并盖单位公章，并在密封袋上标注“磋商响应文件修改”或“磋商响应文件撤回通知”字样，“修改文件”作为磋商响应文件的组成部分；采购代理机构不退还磋商供应商已撤回的磋商响应文件（包括纸质和电子版）。</w:t>
      </w:r>
    </w:p>
    <w:p>
      <w:pPr>
        <w:keepNext w:val="0"/>
        <w:keepLines w:val="0"/>
        <w:pageBreakBefore w:val="0"/>
        <w:tabs>
          <w:tab w:val="left" w:pos="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10.3</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磋商供应商撤回磋商响应文件的，采购代理机构自收到磋商供应商书面撤回通知之日起5个工作日内退还已收取的磋商保证金。</w:t>
      </w:r>
    </w:p>
    <w:p>
      <w:pPr>
        <w:keepNext w:val="0"/>
        <w:keepLines w:val="0"/>
        <w:pageBreakBefore w:val="0"/>
        <w:tabs>
          <w:tab w:val="left" w:pos="0"/>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10.4</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在磋商响应文件递交截止时间之后，磋商供应商不得对其递交的磋商响应文件做任何修改或撤回，否则，磋商保证金将不予退还；但磋商供应商在提交最后报价之前，可以根据情况退出磋商。</w:t>
      </w:r>
    </w:p>
    <w:p>
      <w:pPr>
        <w:keepNext w:val="0"/>
        <w:keepLines w:val="0"/>
        <w:pageBreakBefore w:val="0"/>
        <w:tabs>
          <w:tab w:val="left" w:pos="0"/>
          <w:tab w:val="left" w:pos="420"/>
        </w:tabs>
        <w:wordWrap/>
        <w:overflowPunct/>
        <w:topLinePunct w:val="0"/>
        <w:autoSpaceDE/>
        <w:autoSpaceDN/>
        <w:bidi w:val="0"/>
        <w:snapToGrid/>
        <w:spacing w:line="360" w:lineRule="auto"/>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10.5</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无论磋商供应商</w:t>
      </w:r>
      <w:r>
        <w:rPr>
          <w:rFonts w:hint="eastAsia" w:ascii="宋体" w:hAnsi="宋体" w:eastAsia="宋体" w:cs="宋体"/>
          <w:color w:val="auto"/>
          <w:kern w:val="1"/>
          <w:sz w:val="24"/>
          <w:szCs w:val="24"/>
          <w:lang w:val="en-US" w:eastAsia="zh-CN"/>
        </w:rPr>
        <w:t>成交</w:t>
      </w:r>
      <w:r>
        <w:rPr>
          <w:rFonts w:hint="eastAsia" w:ascii="宋体" w:hAnsi="宋体" w:eastAsia="宋体" w:cs="宋体"/>
          <w:color w:val="auto"/>
          <w:kern w:val="1"/>
          <w:sz w:val="24"/>
          <w:szCs w:val="24"/>
        </w:rPr>
        <w:t>与否，其磋商响应文件不予退还。</w:t>
      </w:r>
    </w:p>
    <w:p>
      <w:pPr>
        <w:keepNext w:val="0"/>
        <w:keepLines w:val="0"/>
        <w:pageBreakBefore w:val="0"/>
        <w:wordWrap/>
        <w:overflowPunct/>
        <w:topLinePunct w:val="0"/>
        <w:autoSpaceDE/>
        <w:autoSpaceDN/>
        <w:bidi w:val="0"/>
        <w:adjustRightInd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关于开标现场转变采购方式问题。</w:t>
      </w:r>
    </w:p>
    <w:p>
      <w:pPr>
        <w:keepNext w:val="0"/>
        <w:keepLines w:val="0"/>
        <w:pageBreakBefore w:val="0"/>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依据《陕西省财政厅关于政府采购有关问题的通知（陕财办采资[2016]53号）》、《财政部关于政府采购竞争性磋商采购方式管理暂行办法有关问题的补充通知（财库〔2015〕124号）》</w:t>
      </w:r>
      <w:r>
        <w:rPr>
          <w:rFonts w:hint="eastAsia" w:ascii="宋体" w:hAnsi="宋体" w:eastAsia="宋体" w:cs="宋体"/>
          <w:color w:val="auto"/>
          <w:sz w:val="24"/>
          <w:szCs w:val="24"/>
          <w:lang w:val="en-US" w:eastAsia="zh-CN"/>
        </w:rPr>
        <w:t>文件执行</w:t>
      </w:r>
    </w:p>
    <w:p>
      <w:pPr>
        <w:keepNext w:val="0"/>
        <w:keepLines w:val="0"/>
        <w:pageBreakBefore w:val="0"/>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z w:val="28"/>
          <w:szCs w:val="28"/>
        </w:rPr>
      </w:pPr>
      <w:bookmarkStart w:id="21" w:name="_Toc17418"/>
      <w:r>
        <w:rPr>
          <w:rFonts w:hint="eastAsia" w:ascii="宋体" w:hAnsi="宋体" w:eastAsia="宋体" w:cs="宋体"/>
          <w:b/>
          <w:bCs/>
          <w:color w:val="auto"/>
          <w:sz w:val="28"/>
          <w:szCs w:val="28"/>
        </w:rPr>
        <w:t>四、采购程序</w:t>
      </w:r>
      <w:bookmarkEnd w:id="21"/>
    </w:p>
    <w:p>
      <w:pPr>
        <w:keepNext w:val="0"/>
        <w:keepLines w:val="0"/>
        <w:pageBreakBefore w:val="0"/>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评审工作按下列工作程序进行：</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组建磋商小组；</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r>
        <w:rPr>
          <w:rFonts w:hint="eastAsia" w:ascii="宋体" w:hAnsi="宋体" w:eastAsia="宋体" w:cs="宋体"/>
          <w:color w:val="auto"/>
          <w:sz w:val="24"/>
          <w:szCs w:val="24"/>
          <w:lang w:val="en-US" w:eastAsia="zh-CN"/>
        </w:rPr>
        <w:t xml:space="preserve"> 响应文件开启</w:t>
      </w:r>
      <w:r>
        <w:rPr>
          <w:rFonts w:hint="eastAsia" w:ascii="宋体" w:hAnsi="宋体" w:eastAsia="宋体" w:cs="宋体"/>
          <w:color w:val="auto"/>
          <w:sz w:val="24"/>
          <w:szCs w:val="24"/>
        </w:rPr>
        <w:t>会议；</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磋商响应文件初步评审；</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磋商响应文件的澄清（如有）；</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磋商响应文件详细评审；</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磋商及二次报价</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汇总评审结果；</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推荐成交供应商；</w:t>
      </w:r>
    </w:p>
    <w:p>
      <w:pPr>
        <w:keepNext w:val="0"/>
        <w:keepLines w:val="0"/>
        <w:pageBreakBefore w:val="0"/>
        <w:wordWrap/>
        <w:overflowPunct/>
        <w:topLinePunct w:val="0"/>
        <w:autoSpaceDE/>
        <w:autoSpaceDN/>
        <w:bidi w:val="0"/>
        <w:snapToGrid/>
        <w:spacing w:line="360" w:lineRule="auto"/>
        <w:ind w:firstLine="49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编写评审报告。</w:t>
      </w:r>
    </w:p>
    <w:p>
      <w:pPr>
        <w:keepNext w:val="0"/>
        <w:keepLines w:val="0"/>
        <w:pageBreakBefore w:val="0"/>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响应文件开启</w:t>
      </w:r>
      <w:r>
        <w:rPr>
          <w:rFonts w:hint="eastAsia" w:ascii="宋体" w:hAnsi="宋体" w:eastAsia="宋体" w:cs="宋体"/>
          <w:b/>
          <w:color w:val="auto"/>
          <w:sz w:val="24"/>
          <w:szCs w:val="24"/>
        </w:rPr>
        <w:t>会议：</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 xml:space="preserve"> 响应文件开启会议</w:t>
      </w:r>
      <w:r>
        <w:rPr>
          <w:rFonts w:hint="eastAsia" w:ascii="宋体" w:hAnsi="宋体" w:eastAsia="宋体" w:cs="宋体"/>
          <w:color w:val="auto"/>
          <w:sz w:val="24"/>
          <w:szCs w:val="24"/>
        </w:rPr>
        <w:t>由采购代理机构主持。主持人按照竞争性磋商文件规定的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时间宣布会议开始，会议将按以下程序进行（但不限于）；</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宣布评审开始并致辞；</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宣布会场纪律和有关注意事项。</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宣布参加会议的现场监督人员和主持人、会议记录等会议工作人员，根据磋商响应文件递交签到表宣布参加会议的磋商供应商名单。</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13.1.4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宣布检查磋商响应文件的密封情况。由磋商供应商法定代表人或其被授权委托人确认其磋商响应文件密封情况并签字确认，后由采购代理机构及采购人、监督人进行复核，并现场签字记录。对检查出的不符合密封规定要求的磋商响应文件作为无效文件处理不得启封。</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13.1.6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rPr>
        <w:t>启封磋商响应文件并由记录人员记录</w:t>
      </w:r>
      <w:r>
        <w:rPr>
          <w:rFonts w:hint="eastAsia" w:ascii="宋体" w:hAnsi="宋体" w:eastAsia="宋体" w:cs="宋体"/>
          <w:color w:val="auto"/>
          <w:sz w:val="24"/>
          <w:szCs w:val="24"/>
          <w:lang w:val="en-US" w:eastAsia="zh-CN"/>
        </w:rPr>
        <w:t>首次报价等内容</w:t>
      </w:r>
      <w:r>
        <w:rPr>
          <w:rFonts w:hint="eastAsia" w:ascii="宋体" w:hAnsi="宋体" w:eastAsia="宋体" w:cs="宋体"/>
          <w:color w:val="auto"/>
          <w:sz w:val="24"/>
          <w:szCs w:val="24"/>
        </w:rPr>
        <w:t>。由工作人员按随机顺序对磋商供应商的磋商响应文件正本、副</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当众进行拆封，记录人员对</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lang w:val="en-US" w:eastAsia="zh-CN"/>
        </w:rPr>
        <w:t>中的</w:t>
      </w:r>
      <w:r>
        <w:rPr>
          <w:rFonts w:hint="eastAsia" w:ascii="宋体" w:hAnsi="宋体" w:eastAsia="宋体" w:cs="宋体"/>
          <w:color w:val="auto"/>
          <w:sz w:val="24"/>
          <w:szCs w:val="24"/>
          <w:highlight w:val="none"/>
        </w:rPr>
        <w:t>总报价等内容进行记录，待所有报价记录完毕，经现场</w:t>
      </w:r>
      <w:r>
        <w:rPr>
          <w:rFonts w:hint="eastAsia" w:ascii="宋体" w:hAnsi="宋体" w:eastAsia="宋体" w:cs="宋体"/>
          <w:color w:val="auto"/>
          <w:sz w:val="24"/>
          <w:szCs w:val="24"/>
        </w:rPr>
        <w:t>监督人员核实后，磋商响应文件送至磋商小组进行评审。</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若无样品展示将宣布</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会议结束，磋商供应商等待磋商小组通知单一的与磋商小组进行磋商。</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采购代理机构对评审会议过程进行全程语音同步监控记录，并存档备查。</w:t>
      </w:r>
    </w:p>
    <w:p>
      <w:pPr>
        <w:keepNext w:val="0"/>
        <w:keepLines w:val="0"/>
        <w:pageBreakBefore w:val="0"/>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14</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磋商小组</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磋商小组成员到位后，推荐一名评审委员成员担任磋商小组组长，并由磋商小组组长负责组织该项目评审工作。采购人授权的代表，不得担任磋商小组组长。</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磋商小组成员有下列情形之一的，应当回避：</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采购人或磋商供应商的主要负责人的近亲属；</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与磋商供应商有经济利益关系，可能影响对磋商响应文件公正评审的；</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曾因在招标、评审以及其他与招标投标有关活动中从事违法行为而受过行政处罚或刑事处罚的。</w:t>
      </w:r>
    </w:p>
    <w:p>
      <w:pPr>
        <w:keepNext w:val="0"/>
        <w:keepLines w:val="0"/>
        <w:pageBreakBefore w:val="0"/>
        <w:wordWrap/>
        <w:overflowPunct/>
        <w:topLinePunct w:val="0"/>
        <w:autoSpaceDE/>
        <w:autoSpaceDN/>
        <w:bidi w:val="0"/>
        <w:snapToGrid/>
        <w:spacing w:line="360" w:lineRule="auto"/>
        <w:ind w:firstLine="461"/>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14.4</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本项目采用综合评分法，具体评审方法、评审工作程序等详见《第三章评审方法》章节的规定。</w:t>
      </w:r>
    </w:p>
    <w:p>
      <w:pPr>
        <w:keepNext w:val="0"/>
        <w:keepLines w:val="0"/>
        <w:pageBreakBefore w:val="0"/>
        <w:wordWrap/>
        <w:overflowPunct/>
        <w:topLinePunct w:val="0"/>
        <w:autoSpaceDE/>
        <w:autoSpaceDN/>
        <w:bidi w:val="0"/>
        <w:snapToGrid/>
        <w:spacing w:line="360" w:lineRule="auto"/>
        <w:textAlignment w:val="auto"/>
        <w:rPr>
          <w:rFonts w:hint="eastAsia" w:ascii="宋体" w:hAnsi="宋体" w:eastAsia="宋体" w:cs="宋体"/>
          <w:b/>
          <w:color w:val="auto"/>
          <w:kern w:val="1"/>
          <w:sz w:val="24"/>
          <w:szCs w:val="24"/>
          <w:lang w:eastAsia="zh-CN"/>
        </w:rPr>
      </w:pPr>
      <w:r>
        <w:rPr>
          <w:rFonts w:hint="eastAsia" w:ascii="宋体" w:hAnsi="宋体" w:eastAsia="宋体" w:cs="宋体"/>
          <w:b/>
          <w:color w:val="auto"/>
          <w:kern w:val="1"/>
          <w:sz w:val="24"/>
          <w:szCs w:val="24"/>
        </w:rPr>
        <w:t>15</w:t>
      </w:r>
      <w:r>
        <w:rPr>
          <w:rFonts w:hint="eastAsia" w:ascii="宋体" w:hAnsi="宋体" w:eastAsia="宋体" w:cs="宋体"/>
          <w:b/>
          <w:color w:val="auto"/>
          <w:kern w:val="1"/>
          <w:sz w:val="24"/>
          <w:szCs w:val="24"/>
          <w:lang w:eastAsia="zh-CN"/>
        </w:rPr>
        <w:t>.</w:t>
      </w:r>
      <w:r>
        <w:rPr>
          <w:rFonts w:hint="eastAsia" w:ascii="宋体" w:hAnsi="宋体" w:eastAsia="宋体" w:cs="宋体"/>
          <w:b/>
          <w:color w:val="auto"/>
          <w:kern w:val="1"/>
          <w:sz w:val="24"/>
          <w:szCs w:val="24"/>
          <w:lang w:val="en-US" w:eastAsia="zh-CN"/>
        </w:rPr>
        <w:t>成交</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15.1采购代理机构应当在评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结束后2个工作日内将评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报告送采购人。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采购人或者采购代理机构应当在成交供应商确定后2个工作日内，在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陕西省政府采购网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发布成交结果，同时向成交供应商发出成交通知书，并将磋商文件随成交结果同时公告。成交结果公告应当包括以下内容：</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（一）采购人和采购代理机构的名称、地址和联系方式；</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（二）项目名称和项目编号；</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（三）成交供应商名称、地址和成交金额；</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（四）主要成交标的的名称、</w:t>
      </w:r>
      <w:r>
        <w:rPr>
          <w:rFonts w:hint="eastAsia" w:ascii="宋体" w:hAnsi="宋体" w:eastAsia="宋体" w:cs="宋体"/>
          <w:color w:val="auto"/>
          <w:sz w:val="24"/>
          <w:szCs w:val="24"/>
          <w:lang w:val="en-US" w:eastAsia="zh-CN"/>
        </w:rPr>
        <w:t>服务期</w:t>
      </w:r>
      <w:r>
        <w:rPr>
          <w:rFonts w:hint="eastAsia" w:ascii="宋体" w:hAnsi="宋体" w:eastAsia="宋体" w:cs="宋体"/>
          <w:color w:val="auto"/>
          <w:sz w:val="24"/>
          <w:szCs w:val="24"/>
        </w:rPr>
        <w:t>；</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（五）磋商小组成员名单。</w:t>
      </w:r>
    </w:p>
    <w:p>
      <w:pPr>
        <w:keepNext w:val="0"/>
        <w:keepLines w:val="0"/>
        <w:pageBreakBefore w:val="0"/>
        <w:wordWrap/>
        <w:overflowPunct/>
        <w:topLinePunct w:val="0"/>
        <w:autoSpaceDE/>
        <w:autoSpaceDN/>
        <w:bidi w:val="0"/>
        <w:snapToGrid/>
        <w:spacing w:line="360" w:lineRule="auto"/>
        <w:ind w:left="120" w:leftChars="57"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采用书面推荐供应商参加采购活动的，还应当公告采购人和评审专家的推荐意见。</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成交通知书发出后，采购人不得违法改变</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结果，成交人无正当理由不得放弃。成交供应商因不可抗力或者自身原因不能履行政府采购合同的，采购人可以与排序在成交供应商之后第一位的</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候选人签订政府采购合同，以此类推至第二位。</w:t>
      </w:r>
    </w:p>
    <w:p>
      <w:pPr>
        <w:keepNext w:val="0"/>
        <w:keepLines w:val="0"/>
        <w:pageBreakBefore w:val="0"/>
        <w:wordWrap/>
        <w:overflowPunct/>
        <w:topLinePunct w:val="0"/>
        <w:autoSpaceDE/>
        <w:autoSpaceDN/>
        <w:bidi w:val="0"/>
        <w:snapToGrid/>
        <w:spacing w:line="360" w:lineRule="auto"/>
        <w:textAlignment w:val="auto"/>
        <w:outlineLvl w:val="1"/>
        <w:rPr>
          <w:rFonts w:hint="eastAsia" w:ascii="宋体" w:hAnsi="宋体" w:eastAsia="宋体" w:cs="宋体"/>
          <w:b/>
          <w:color w:val="auto"/>
          <w:sz w:val="28"/>
          <w:szCs w:val="28"/>
        </w:rPr>
      </w:pPr>
      <w:bookmarkStart w:id="22" w:name="_Toc15509"/>
      <w:r>
        <w:rPr>
          <w:rFonts w:hint="eastAsia" w:ascii="宋体" w:hAnsi="宋体" w:eastAsia="宋体" w:cs="宋体"/>
          <w:b/>
          <w:color w:val="auto"/>
          <w:sz w:val="28"/>
          <w:szCs w:val="28"/>
        </w:rPr>
        <w:t>五、签订合同</w:t>
      </w:r>
      <w:bookmarkEnd w:id="22"/>
    </w:p>
    <w:p>
      <w:pPr>
        <w:keepNext w:val="0"/>
        <w:keepLines w:val="0"/>
        <w:pageBreakBefore w:val="0"/>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签订合同</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16.1</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采购人与成交供应商应当在成交通知书发出之日起30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采购代理机构应当督促采购人、成交供应商签订书面合同。由于成交供应商的原因逾期未与采购人签订采购合同的，将视为放弃，取消其</w:t>
      </w:r>
      <w:r>
        <w:rPr>
          <w:rFonts w:hint="eastAsia" w:ascii="宋体" w:hAnsi="宋体" w:eastAsia="宋体" w:cs="宋体"/>
          <w:color w:val="auto"/>
          <w:kern w:val="1"/>
          <w:sz w:val="24"/>
          <w:szCs w:val="24"/>
          <w:lang w:val="en-US" w:eastAsia="zh-CN"/>
        </w:rPr>
        <w:t>成交</w:t>
      </w:r>
      <w:r>
        <w:rPr>
          <w:rFonts w:hint="eastAsia" w:ascii="宋体" w:hAnsi="宋体" w:eastAsia="宋体" w:cs="宋体"/>
          <w:color w:val="auto"/>
          <w:kern w:val="1"/>
          <w:sz w:val="24"/>
          <w:szCs w:val="24"/>
        </w:rPr>
        <w:t>资格，其磋商保证金不予退还；给采购人造成的损失超过磋商保证金数额的，采购人将对其超过部分予以追偿。</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政府采购合同应当包括采购人与</w:t>
      </w:r>
      <w:r>
        <w:rPr>
          <w:rFonts w:hint="eastAsia" w:ascii="宋体" w:hAnsi="宋体" w:eastAsia="宋体" w:cs="宋体"/>
          <w:color w:val="auto"/>
          <w:kern w:val="1"/>
          <w:sz w:val="24"/>
          <w:szCs w:val="24"/>
          <w:lang w:eastAsia="zh-CN"/>
        </w:rPr>
        <w:t>成交供应商</w:t>
      </w:r>
      <w:r>
        <w:rPr>
          <w:rFonts w:hint="eastAsia" w:ascii="宋体" w:hAnsi="宋体" w:eastAsia="宋体" w:cs="宋体"/>
          <w:color w:val="auto"/>
          <w:kern w:val="1"/>
          <w:sz w:val="24"/>
          <w:szCs w:val="24"/>
        </w:rPr>
        <w:t>的名称和住所、标的、数量、质量、价款或者报酬、履行期限及地点和方式、验收要求、违约责任、解决争议的方法等内容。采购人与</w:t>
      </w:r>
      <w:r>
        <w:rPr>
          <w:rFonts w:hint="eastAsia" w:ascii="宋体" w:hAnsi="宋体" w:eastAsia="宋体" w:cs="宋体"/>
          <w:color w:val="auto"/>
          <w:kern w:val="1"/>
          <w:sz w:val="24"/>
          <w:szCs w:val="24"/>
          <w:lang w:eastAsia="zh-CN"/>
        </w:rPr>
        <w:t>成交供应商</w:t>
      </w:r>
      <w:r>
        <w:rPr>
          <w:rFonts w:hint="eastAsia" w:ascii="宋体" w:hAnsi="宋体" w:eastAsia="宋体" w:cs="宋体"/>
          <w:color w:val="auto"/>
          <w:kern w:val="1"/>
          <w:sz w:val="24"/>
          <w:szCs w:val="24"/>
        </w:rPr>
        <w:t>应当根据合同的约定依法履行合同义务。政府采购合同的履行、违约责任和解决争议的方法等适用《中华人民共和国民法典》。</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16.3</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政府采购项目的采购合同自签订之日起七个工作日内，采购人应当将合同副本报同级政府采购监督管理部门和有关部门备案。</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16.4</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采购人应当及时对采购项目进行验收。采购人可以邀请参加本项目的其他供应商或者第三方机构参与验收。参与验收的供应商或者第三方机构的意见作为验收书的参考资料一并存档。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16.5</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成交供应商有下列情形之一的，责令限期改正，情节严重的，列入不良行为记录名单，在1至3年内禁止参加政府采购活动，并予以通报：</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16.5.1成交后无正当理由不与采购人签订合同的；</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16.5.2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未按照采购文件确定的事项签订政府采购合同，或者与采购人另行订立背离合同实质性内容的协议的；</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16.5.3</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拒绝履行合同义务的；</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16.5.4</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违反法律、规章、规范性文件规定的。</w:t>
      </w:r>
    </w:p>
    <w:p>
      <w:pPr>
        <w:keepNext w:val="0"/>
        <w:keepLines w:val="0"/>
        <w:pageBreakBefore w:val="0"/>
        <w:tabs>
          <w:tab w:val="left" w:pos="1155"/>
        </w:tabs>
        <w:wordWrap/>
        <w:overflowPunct/>
        <w:topLinePunct w:val="0"/>
        <w:autoSpaceDE/>
        <w:autoSpaceDN/>
        <w:bidi w:val="0"/>
        <w:snapToGrid/>
        <w:spacing w:line="360" w:lineRule="auto"/>
        <w:textAlignment w:val="auto"/>
        <w:rPr>
          <w:rFonts w:hint="eastAsia" w:ascii="宋体" w:hAnsi="宋体" w:eastAsia="宋体" w:cs="宋体"/>
          <w:b/>
          <w:bCs/>
          <w:color w:val="auto"/>
          <w:kern w:val="1"/>
          <w:sz w:val="24"/>
          <w:szCs w:val="24"/>
        </w:rPr>
      </w:pPr>
      <w:r>
        <w:rPr>
          <w:rFonts w:hint="eastAsia" w:ascii="宋体" w:hAnsi="宋体" w:eastAsia="宋体" w:cs="宋体"/>
          <w:b/>
          <w:color w:val="auto"/>
          <w:kern w:val="1"/>
          <w:sz w:val="24"/>
          <w:szCs w:val="24"/>
        </w:rPr>
        <w:t>17</w:t>
      </w:r>
      <w:r>
        <w:rPr>
          <w:rFonts w:hint="eastAsia" w:ascii="宋体" w:hAnsi="宋体" w:eastAsia="宋体" w:cs="宋体"/>
          <w:b/>
          <w:color w:val="auto"/>
          <w:kern w:val="1"/>
          <w:sz w:val="24"/>
          <w:szCs w:val="24"/>
          <w:lang w:eastAsia="zh-CN"/>
        </w:rPr>
        <w:t>.</w:t>
      </w:r>
      <w:r>
        <w:rPr>
          <w:rFonts w:hint="eastAsia" w:ascii="宋体" w:hAnsi="宋体" w:eastAsia="宋体" w:cs="宋体"/>
          <w:b/>
          <w:bCs/>
          <w:color w:val="auto"/>
          <w:kern w:val="1"/>
          <w:sz w:val="24"/>
          <w:szCs w:val="24"/>
        </w:rPr>
        <w:t>合同履行</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b/>
          <w:bCs/>
          <w:color w:val="auto"/>
          <w:kern w:val="1"/>
          <w:sz w:val="24"/>
          <w:szCs w:val="24"/>
        </w:rPr>
      </w:pPr>
      <w:r>
        <w:rPr>
          <w:rFonts w:hint="eastAsia" w:ascii="宋体" w:hAnsi="宋体" w:eastAsia="宋体" w:cs="宋体"/>
          <w:color w:val="auto"/>
          <w:kern w:val="1"/>
          <w:sz w:val="24"/>
          <w:szCs w:val="24"/>
        </w:rPr>
        <w:t>17.1</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17.2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政府采购合同履行中，采购人需追加与合同标的相同的服务或货物的，在不改变合同其他条款的前提下，可以与磋商供应商签订补充合同。</w:t>
      </w:r>
    </w:p>
    <w:p>
      <w:pPr>
        <w:pStyle w:val="40"/>
        <w:keepNext w:val="0"/>
        <w:keepLines w:val="0"/>
        <w:pageBreakBefore w:val="0"/>
        <w:wordWrap/>
        <w:overflowPunct/>
        <w:topLinePunct w:val="0"/>
        <w:autoSpaceDE/>
        <w:autoSpaceDN/>
        <w:bidi w:val="0"/>
        <w:snapToGrid/>
        <w:ind w:firstLine="420"/>
        <w:textAlignment w:val="auto"/>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17.3 依据《政府采购促进中小企业发展管理办法》(财库〔2020〕46号）要求享受扶持政策获得本项目政府采购合同的，小微企业不得将合同分包给大中型企业，中型企业不得将合同分包给大型企业。</w:t>
      </w:r>
    </w:p>
    <w:p>
      <w:pPr>
        <w:pStyle w:val="40"/>
        <w:keepNext w:val="0"/>
        <w:keepLines w:val="0"/>
        <w:pageBreakBefore w:val="0"/>
        <w:wordWrap/>
        <w:overflowPunct/>
        <w:topLinePunct w:val="0"/>
        <w:autoSpaceDE/>
        <w:autoSpaceDN/>
        <w:bidi w:val="0"/>
        <w:snapToGrid/>
        <w:ind w:firstLine="420"/>
        <w:textAlignment w:val="auto"/>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17.4 本项目不允许分包转包。</w:t>
      </w:r>
    </w:p>
    <w:p>
      <w:pPr>
        <w:keepNext w:val="0"/>
        <w:keepLines w:val="0"/>
        <w:pageBreakBefore w:val="0"/>
        <w:wordWrap/>
        <w:overflowPunct/>
        <w:topLinePunct w:val="0"/>
        <w:autoSpaceDE/>
        <w:autoSpaceDN/>
        <w:bidi w:val="0"/>
        <w:snapToGrid/>
        <w:spacing w:line="360" w:lineRule="auto"/>
        <w:textAlignment w:val="auto"/>
        <w:outlineLvl w:val="1"/>
        <w:rPr>
          <w:rFonts w:hint="eastAsia" w:ascii="宋体" w:hAnsi="宋体" w:eastAsia="宋体" w:cs="宋体"/>
          <w:b/>
          <w:bCs/>
          <w:color w:val="auto"/>
          <w:szCs w:val="21"/>
        </w:rPr>
      </w:pPr>
      <w:bookmarkStart w:id="23" w:name="_Toc29249"/>
      <w:r>
        <w:rPr>
          <w:rFonts w:hint="eastAsia" w:ascii="宋体" w:hAnsi="宋体" w:eastAsia="宋体" w:cs="宋体"/>
          <w:b/>
          <w:color w:val="auto"/>
          <w:kern w:val="1"/>
          <w:sz w:val="28"/>
          <w:szCs w:val="28"/>
        </w:rPr>
        <w:t>六、终止采购</w:t>
      </w:r>
      <w:bookmarkEnd w:id="23"/>
    </w:p>
    <w:p>
      <w:pPr>
        <w:keepNext w:val="0"/>
        <w:keepLines w:val="0"/>
        <w:pageBreakBefore w:val="0"/>
        <w:widowControl/>
        <w:wordWrap/>
        <w:overflowPunct/>
        <w:topLinePunct w:val="0"/>
        <w:autoSpaceDE/>
        <w:autoSpaceDN/>
        <w:bidi w:val="0"/>
        <w:snapToGrid/>
        <w:spacing w:line="360" w:lineRule="auto"/>
        <w:ind w:firstLine="482" w:firstLineChars="200"/>
        <w:textAlignment w:val="auto"/>
        <w:rPr>
          <w:rFonts w:hint="eastAsia" w:ascii="宋体" w:hAnsi="宋体" w:eastAsia="宋体" w:cs="宋体"/>
          <w:b/>
          <w:bCs w:val="0"/>
          <w:snapToGrid w:val="0"/>
          <w:color w:val="auto"/>
          <w:kern w:val="0"/>
          <w:sz w:val="24"/>
          <w:szCs w:val="24"/>
        </w:rPr>
      </w:pPr>
      <w:r>
        <w:rPr>
          <w:rFonts w:hint="eastAsia" w:ascii="宋体" w:hAnsi="宋体" w:eastAsia="宋体" w:cs="宋体"/>
          <w:b/>
          <w:bCs w:val="0"/>
          <w:color w:val="auto"/>
          <w:sz w:val="24"/>
          <w:szCs w:val="24"/>
        </w:rPr>
        <w:t>18</w:t>
      </w:r>
      <w:r>
        <w:rPr>
          <w:rFonts w:hint="eastAsia" w:ascii="宋体" w:hAnsi="宋体" w:eastAsia="宋体" w:cs="宋体"/>
          <w:b/>
          <w:bCs w:val="0"/>
          <w:color w:val="auto"/>
          <w:sz w:val="24"/>
          <w:szCs w:val="24"/>
          <w:lang w:eastAsia="zh-CN"/>
        </w:rPr>
        <w:t>.</w:t>
      </w:r>
      <w:r>
        <w:rPr>
          <w:rFonts w:hint="eastAsia" w:ascii="宋体" w:hAnsi="宋体" w:eastAsia="宋体" w:cs="宋体"/>
          <w:b/>
          <w:bCs w:val="0"/>
          <w:snapToGrid w:val="0"/>
          <w:color w:val="auto"/>
          <w:kern w:val="0"/>
          <w:sz w:val="24"/>
          <w:szCs w:val="24"/>
        </w:rPr>
        <w:t>出现下列情形之一的，采购人或者采购代理机构应当终止采购活动，发布项目终止公告并说明原因，重新开展采购活动：</w:t>
      </w:r>
    </w:p>
    <w:p>
      <w:pPr>
        <w:keepNext w:val="0"/>
        <w:keepLines w:val="0"/>
        <w:pageBreakBefore w:val="0"/>
        <w:widowControl/>
        <w:wordWrap/>
        <w:overflowPunct/>
        <w:topLinePunct w:val="0"/>
        <w:autoSpaceDE/>
        <w:autoSpaceDN/>
        <w:bidi w:val="0"/>
        <w:snapToGrid/>
        <w:spacing w:line="360"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18.1</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因情况变化，不再符合规定的采购方式适用情形的；</w:t>
      </w:r>
    </w:p>
    <w:p>
      <w:pPr>
        <w:keepNext w:val="0"/>
        <w:keepLines w:val="0"/>
        <w:pageBreakBefore w:val="0"/>
        <w:widowControl/>
        <w:wordWrap/>
        <w:overflowPunct/>
        <w:topLinePunct w:val="0"/>
        <w:autoSpaceDE/>
        <w:autoSpaceDN/>
        <w:bidi w:val="0"/>
        <w:snapToGrid/>
        <w:spacing w:line="360" w:lineRule="auto"/>
        <w:ind w:firstLine="645"/>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18.2</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出现影响采购公正的违法、违规行为的；</w:t>
      </w:r>
    </w:p>
    <w:p>
      <w:pPr>
        <w:keepNext w:val="0"/>
        <w:keepLines w:val="0"/>
        <w:pageBreakBefore w:val="0"/>
        <w:widowControl/>
        <w:wordWrap/>
        <w:overflowPunct/>
        <w:topLinePunct w:val="0"/>
        <w:autoSpaceDE/>
        <w:autoSpaceDN/>
        <w:bidi w:val="0"/>
        <w:snapToGrid/>
        <w:spacing w:line="360" w:lineRule="auto"/>
        <w:ind w:firstLine="636"/>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18.3</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采购过程中符合要求的供应商（社会资本）只有1家的，采购人（项目实施机构）或者采购代理机构应当终止竞争性磋商采购活动，发布项目终止公告并说明原因，重新开展采购活动。</w:t>
      </w:r>
    </w:p>
    <w:p>
      <w:pPr>
        <w:keepNext w:val="0"/>
        <w:keepLines w:val="0"/>
        <w:pageBreakBefore w:val="0"/>
        <w:wordWrap/>
        <w:overflowPunct/>
        <w:topLinePunct w:val="0"/>
        <w:autoSpaceDE/>
        <w:autoSpaceDN/>
        <w:bidi w:val="0"/>
        <w:snapToGrid/>
        <w:spacing w:line="360" w:lineRule="auto"/>
        <w:textAlignment w:val="auto"/>
        <w:outlineLvl w:val="1"/>
        <w:rPr>
          <w:rFonts w:hint="eastAsia" w:ascii="宋体" w:hAnsi="宋体" w:eastAsia="宋体" w:cs="宋体"/>
          <w:b/>
          <w:color w:val="auto"/>
          <w:sz w:val="28"/>
          <w:szCs w:val="28"/>
        </w:rPr>
      </w:pPr>
      <w:bookmarkStart w:id="24" w:name="_Toc4418"/>
      <w:r>
        <w:rPr>
          <w:rFonts w:hint="eastAsia" w:ascii="宋体" w:hAnsi="宋体" w:eastAsia="宋体" w:cs="宋体"/>
          <w:b/>
          <w:color w:val="auto"/>
          <w:sz w:val="28"/>
          <w:szCs w:val="28"/>
        </w:rPr>
        <w:t>七、相关费用</w:t>
      </w:r>
      <w:bookmarkEnd w:id="24"/>
    </w:p>
    <w:p>
      <w:pPr>
        <w:keepNext w:val="0"/>
        <w:keepLines w:val="0"/>
        <w:pageBreakBefore w:val="0"/>
        <w:wordWrap/>
        <w:overflowPunct/>
        <w:topLinePunct w:val="0"/>
        <w:autoSpaceDE/>
        <w:autoSpaceDN/>
        <w:bidi w:val="0"/>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采购代理服务费数额及缴纳方式</w:t>
      </w:r>
    </w:p>
    <w:p>
      <w:pPr>
        <w:keepNext w:val="0"/>
        <w:keepLines w:val="0"/>
        <w:pageBreakBefore w:val="0"/>
        <w:wordWrap/>
        <w:overflowPunct/>
        <w:topLinePunct w:val="0"/>
        <w:autoSpaceDE/>
        <w:autoSpaceDN/>
        <w:bidi w:val="0"/>
        <w:snapToGrid/>
        <w:spacing w:line="360" w:lineRule="auto"/>
        <w:ind w:firstLine="57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采购代理服务费数额：成交供应商在领取《成交通知书》的同时，应按国家收费标准向采购代理机构缴纳采购代理服务费，详见《招标代理服务收费标准（2011年）》及本项目采购结果公告。</w:t>
      </w:r>
    </w:p>
    <w:p>
      <w:pPr>
        <w:pStyle w:val="26"/>
        <w:keepNext w:val="0"/>
        <w:keepLines w:val="0"/>
        <w:pageBreakBefore w:val="0"/>
        <w:wordWrap/>
        <w:overflowPunct/>
        <w:topLinePunct w:val="0"/>
        <w:autoSpaceDE/>
        <w:autoSpaceDN/>
        <w:bidi w:val="0"/>
        <w:snapToGrid/>
        <w:spacing w:before="0" w:beforeAutospacing="0" w:after="0" w:afterAutospacing="0" w:line="360" w:lineRule="auto"/>
        <w:ind w:firstLine="42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19.2 采购代理服务费缴纳方式：以银行转账形式。均应从企业基本账户转出，并在“用途”一栏填写</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TZZB-Z-2022161C代</w:t>
      </w:r>
      <w:r>
        <w:rPr>
          <w:rFonts w:hint="eastAsia" w:ascii="宋体" w:hAnsi="宋体" w:eastAsia="宋体" w:cs="宋体"/>
          <w:snapToGrid w:val="0"/>
          <w:color w:val="auto"/>
          <w:kern w:val="0"/>
          <w:sz w:val="24"/>
          <w:szCs w:val="24"/>
          <w:u w:val="single"/>
          <w:lang w:val="en-US" w:eastAsia="zh-CN" w:bidi="ar-SA"/>
        </w:rPr>
        <w:t>理服务费；</w:t>
      </w:r>
    </w:p>
    <w:p>
      <w:pPr>
        <w:keepNext w:val="0"/>
        <w:keepLines w:val="0"/>
        <w:pageBreakBefore w:val="0"/>
        <w:wordWrap/>
        <w:overflowPunct/>
        <w:topLinePunct w:val="0"/>
        <w:autoSpaceDE/>
        <w:autoSpaceDN/>
        <w:bidi w:val="0"/>
        <w:snapToGrid/>
        <w:spacing w:line="360" w:lineRule="auto"/>
        <w:ind w:firstLine="57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采购代理服务费缴纳账户：</w:t>
      </w:r>
    </w:p>
    <w:p>
      <w:pPr>
        <w:keepNext w:val="0"/>
        <w:keepLines w:val="0"/>
        <w:pageBreakBefore w:val="0"/>
        <w:wordWrap/>
        <w:overflowPunct/>
        <w:topLinePunct w:val="0"/>
        <w:autoSpaceDE/>
        <w:autoSpaceDN/>
        <w:bidi w:val="0"/>
        <w:snapToGrid/>
        <w:spacing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账户名称：同正项目管理有限公司</w:t>
      </w:r>
    </w:p>
    <w:p>
      <w:pPr>
        <w:keepNext w:val="0"/>
        <w:keepLines w:val="0"/>
        <w:pageBreakBefore w:val="0"/>
        <w:wordWrap/>
        <w:overflowPunct/>
        <w:topLinePunct w:val="0"/>
        <w:autoSpaceDE/>
        <w:autoSpaceDN/>
        <w:bidi w:val="0"/>
        <w:snapToGrid/>
        <w:spacing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开户银行：中信银行股份有限公司西安经济技术开发区支行</w:t>
      </w:r>
    </w:p>
    <w:p>
      <w:pPr>
        <w:keepNext w:val="0"/>
        <w:keepLines w:val="0"/>
        <w:pageBreakBefore w:val="0"/>
        <w:wordWrap/>
        <w:overflowPunct/>
        <w:topLinePunct w:val="0"/>
        <w:autoSpaceDE/>
        <w:autoSpaceDN/>
        <w:bidi w:val="0"/>
        <w:snapToGrid/>
        <w:spacing w:line="360" w:lineRule="auto"/>
        <w:ind w:firstLine="573"/>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号：7251210182600131313</w:t>
      </w:r>
    </w:p>
    <w:p>
      <w:pPr>
        <w:keepNext w:val="0"/>
        <w:keepLines w:val="0"/>
        <w:pageBreakBefore w:val="0"/>
        <w:wordWrap/>
        <w:overflowPunct/>
        <w:topLinePunct w:val="0"/>
        <w:autoSpaceDE/>
        <w:autoSpaceDN/>
        <w:bidi w:val="0"/>
        <w:snapToGrid/>
        <w:spacing w:line="360" w:lineRule="auto"/>
        <w:textAlignment w:val="auto"/>
        <w:outlineLvl w:val="1"/>
        <w:rPr>
          <w:rFonts w:hint="eastAsia" w:ascii="宋体" w:hAnsi="宋体" w:eastAsia="宋体" w:cs="宋体"/>
          <w:b/>
          <w:bCs/>
          <w:color w:val="auto"/>
          <w:szCs w:val="21"/>
        </w:rPr>
      </w:pPr>
      <w:bookmarkStart w:id="25" w:name="_Toc23140"/>
      <w:r>
        <w:rPr>
          <w:rFonts w:hint="eastAsia" w:ascii="宋体" w:hAnsi="宋体" w:eastAsia="宋体" w:cs="宋体"/>
          <w:b/>
          <w:color w:val="auto"/>
          <w:kern w:val="1"/>
          <w:sz w:val="28"/>
          <w:szCs w:val="28"/>
        </w:rPr>
        <w:t>八、</w:t>
      </w:r>
      <w:r>
        <w:rPr>
          <w:rFonts w:hint="eastAsia" w:ascii="宋体" w:hAnsi="宋体" w:eastAsia="宋体" w:cs="宋体"/>
          <w:b/>
          <w:bCs/>
          <w:color w:val="auto"/>
          <w:sz w:val="28"/>
          <w:szCs w:val="28"/>
        </w:rPr>
        <w:t>质疑与投诉</w:t>
      </w:r>
      <w:bookmarkEnd w:id="25"/>
    </w:p>
    <w:p>
      <w:pPr>
        <w:keepNext w:val="0"/>
        <w:keepLines w:val="0"/>
        <w:pageBreakBefore w:val="0"/>
        <w:tabs>
          <w:tab w:val="left" w:pos="1155"/>
        </w:tabs>
        <w:wordWrap/>
        <w:overflowPunct/>
        <w:topLinePunct w:val="0"/>
        <w:autoSpaceDE/>
        <w:autoSpaceDN/>
        <w:bidi w:val="0"/>
        <w:snapToGrid/>
        <w:spacing w:line="360" w:lineRule="auto"/>
        <w:ind w:firstLine="241" w:firstLineChars="1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关于质疑函的提出与答复：</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sz w:val="24"/>
          <w:szCs w:val="24"/>
        </w:rPr>
        <w:t>.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pPr>
        <w:keepNext w:val="0"/>
        <w:keepLines w:val="0"/>
        <w:pageBreakBefore w:val="0"/>
        <w:tabs>
          <w:tab w:val="left" w:pos="1155"/>
        </w:tabs>
        <w:wordWrap/>
        <w:overflowPunct/>
        <w:topLinePunct w:val="0"/>
        <w:autoSpaceDE/>
        <w:autoSpaceDN/>
        <w:bidi w:val="0"/>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联系人：</w:t>
      </w:r>
      <w:r>
        <w:rPr>
          <w:rFonts w:hint="eastAsia" w:ascii="宋体" w:hAnsi="宋体" w:eastAsia="宋体" w:cs="宋体"/>
          <w:b/>
          <w:color w:val="auto"/>
          <w:sz w:val="24"/>
          <w:szCs w:val="24"/>
          <w:lang w:eastAsia="zh-CN"/>
        </w:rPr>
        <w:t>张</w:t>
      </w:r>
      <w:r>
        <w:rPr>
          <w:rFonts w:hint="eastAsia" w:ascii="宋体" w:hAnsi="宋体" w:eastAsia="宋体" w:cs="宋体"/>
          <w:b/>
          <w:color w:val="auto"/>
          <w:sz w:val="24"/>
          <w:szCs w:val="24"/>
          <w:lang w:val="en-US" w:eastAsia="zh-CN"/>
        </w:rPr>
        <w:t>工</w:t>
      </w:r>
      <w:r>
        <w:rPr>
          <w:rFonts w:hint="eastAsia" w:ascii="宋体" w:hAnsi="宋体" w:eastAsia="宋体" w:cs="宋体"/>
          <w:b/>
          <w:color w:val="auto"/>
          <w:sz w:val="24"/>
          <w:szCs w:val="24"/>
        </w:rPr>
        <w:t xml:space="preserve">          联系电话：</w:t>
      </w:r>
      <w:r>
        <w:rPr>
          <w:rFonts w:hint="eastAsia" w:ascii="宋体" w:hAnsi="宋体" w:eastAsia="宋体" w:cs="宋体"/>
          <w:b/>
          <w:color w:val="auto"/>
          <w:sz w:val="24"/>
          <w:szCs w:val="24"/>
          <w:lang w:val="en-US" w:eastAsia="zh-CN"/>
        </w:rPr>
        <w:t>029-65652860</w:t>
      </w:r>
      <w:r>
        <w:rPr>
          <w:rFonts w:hint="eastAsia" w:ascii="宋体" w:hAnsi="宋体" w:eastAsia="宋体" w:cs="宋体"/>
          <w:b/>
          <w:color w:val="auto"/>
          <w:sz w:val="24"/>
          <w:szCs w:val="24"/>
        </w:rPr>
        <w:t xml:space="preserve">        </w:t>
      </w:r>
    </w:p>
    <w:p>
      <w:pPr>
        <w:keepNext w:val="0"/>
        <w:keepLines w:val="0"/>
        <w:pageBreakBefore w:val="0"/>
        <w:tabs>
          <w:tab w:val="left" w:pos="1155"/>
        </w:tabs>
        <w:wordWrap/>
        <w:overflowPunct/>
        <w:topLinePunct w:val="0"/>
        <w:autoSpaceDE/>
        <w:autoSpaceDN/>
        <w:bidi w:val="0"/>
        <w:snapToGrid/>
        <w:spacing w:line="360" w:lineRule="auto"/>
        <w:ind w:firstLine="482" w:firstLineChars="200"/>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通讯地址：同正项目管理有限公司（</w:t>
      </w:r>
      <w:r>
        <w:rPr>
          <w:rFonts w:hint="eastAsia" w:ascii="宋体" w:hAnsi="宋体" w:eastAsia="宋体" w:cs="宋体"/>
          <w:b/>
          <w:color w:val="auto"/>
          <w:sz w:val="24"/>
          <w:szCs w:val="24"/>
          <w:lang w:eastAsia="zh-CN"/>
        </w:rPr>
        <w:t>西安市雁塔区科技二路71号竹园·天寰国际1107室</w:t>
      </w:r>
      <w:r>
        <w:rPr>
          <w:rFonts w:hint="eastAsia" w:ascii="宋体" w:hAnsi="宋体" w:eastAsia="宋体" w:cs="宋体"/>
          <w:b/>
          <w:color w:val="auto"/>
          <w:sz w:val="24"/>
          <w:szCs w:val="24"/>
        </w:rPr>
        <w:t>）</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供应商提出质疑应当提交质疑函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请供应商自行在《陕西省政府采购网》主页面下载“政府采购供应商质疑函范本”</w:t>
      </w:r>
      <w:r>
        <w:rPr>
          <w:rFonts w:hint="eastAsia" w:ascii="宋体" w:hAnsi="宋体" w:eastAsia="宋体" w:cs="宋体"/>
          <w:bCs/>
          <w:color w:val="auto"/>
          <w:sz w:val="24"/>
          <w:szCs w:val="24"/>
        </w:rPr>
        <w:t>。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pPr>
        <w:keepNext w:val="0"/>
        <w:keepLines w:val="0"/>
        <w:pageBreakBefore w:val="0"/>
        <w:tabs>
          <w:tab w:val="left" w:pos="1155"/>
        </w:tabs>
        <w:wordWrap/>
        <w:overflowPunct/>
        <w:topLinePunct w:val="0"/>
        <w:autoSpaceDE/>
        <w:autoSpaceDN/>
        <w:bidi w:val="0"/>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出现磋商供应商认为采购文件、采购过程和成交结果使自己的权益受到损害的，可以在知道或者应知其权益受到损害之日起七个工作日内，以书面形式向采购人提出质疑</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以供应商收到采购文件之日为起点计算法定质疑期</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磋商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针对同一采购程序环节的质疑原则上应当一次性提出）。</w:t>
      </w:r>
    </w:p>
    <w:p>
      <w:pPr>
        <w:keepNext w:val="0"/>
        <w:keepLines w:val="0"/>
        <w:pageBreakBefore w:val="0"/>
        <w:tabs>
          <w:tab w:val="left" w:pos="1155"/>
        </w:tabs>
        <w:wordWrap/>
        <w:overflowPunct/>
        <w:topLinePunct w:val="0"/>
        <w:autoSpaceDE/>
        <w:autoSpaceDN/>
        <w:bidi w:val="0"/>
        <w:snapToGrid/>
        <w:spacing w:line="360" w:lineRule="auto"/>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中标或者成交候选人中另行确定中标、成交供应商的，应当依法另行确定中标、成交供应商，否则应当重新开展采购活动。质疑答复导致中标、成交结果改变的，采购人或者采购代理机构应当将有关情况书面报告本级财政部门。</w:t>
      </w:r>
    </w:p>
    <w:p>
      <w:pPr>
        <w:keepNext w:val="0"/>
        <w:keepLines w:val="0"/>
        <w:pageBreakBefore w:val="0"/>
        <w:tabs>
          <w:tab w:val="left" w:pos="1155"/>
        </w:tabs>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keepNext w:val="0"/>
        <w:keepLines w:val="0"/>
        <w:pageBreakBefore w:val="0"/>
        <w:tabs>
          <w:tab w:val="left" w:pos="1155"/>
        </w:tabs>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投诉提出</w:t>
      </w:r>
    </w:p>
    <w:p>
      <w:pPr>
        <w:keepNext w:val="0"/>
        <w:keepLines w:val="0"/>
        <w:pageBreakBefore w:val="0"/>
        <w:tabs>
          <w:tab w:val="left" w:pos="1155"/>
        </w:tabs>
        <w:wordWrap/>
        <w:overflowPunct/>
        <w:topLinePunct w:val="0"/>
        <w:autoSpaceDE/>
        <w:autoSpaceDN/>
        <w:bidi w:val="0"/>
        <w:snapToGrid/>
        <w:spacing w:line="360" w:lineRule="auto"/>
        <w:ind w:firstLine="481"/>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tabs>
          <w:tab w:val="left" w:pos="1155"/>
        </w:tabs>
        <w:wordWrap/>
        <w:overflowPunct/>
        <w:topLinePunct w:val="0"/>
        <w:autoSpaceDE/>
        <w:autoSpaceDN/>
        <w:bidi w:val="0"/>
        <w:snapToGrid/>
        <w:spacing w:line="360" w:lineRule="auto"/>
        <w:ind w:firstLine="481"/>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keepNext w:val="0"/>
        <w:keepLines w:val="0"/>
        <w:pageBreakBefore w:val="0"/>
        <w:tabs>
          <w:tab w:val="left" w:pos="1155"/>
        </w:tabs>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法律责任</w:t>
      </w:r>
    </w:p>
    <w:p>
      <w:pPr>
        <w:keepNext w:val="0"/>
        <w:keepLines w:val="0"/>
        <w:pageBreakBefore w:val="0"/>
        <w:tabs>
          <w:tab w:val="left" w:pos="1155"/>
        </w:tabs>
        <w:wordWrap/>
        <w:overflowPunct/>
        <w:topLinePunct w:val="0"/>
        <w:autoSpaceDE/>
        <w:autoSpaceDN/>
        <w:bidi w:val="0"/>
        <w:snapToGrid/>
        <w:spacing w:line="360" w:lineRule="auto"/>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keepNext w:val="0"/>
        <w:keepLines w:val="0"/>
        <w:pageBreakBefore w:val="0"/>
        <w:tabs>
          <w:tab w:val="left" w:pos="1155"/>
        </w:tabs>
        <w:wordWrap/>
        <w:overflowPunct/>
        <w:topLinePunct w:val="0"/>
        <w:autoSpaceDE/>
        <w:autoSpaceDN/>
        <w:bidi w:val="0"/>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其他说明</w:t>
      </w:r>
    </w:p>
    <w:p>
      <w:pPr>
        <w:keepNext w:val="0"/>
        <w:keepLines w:val="0"/>
        <w:pageBreakBefore w:val="0"/>
        <w:tabs>
          <w:tab w:val="left" w:pos="1155"/>
        </w:tabs>
        <w:wordWrap/>
        <w:overflowPunct/>
        <w:topLinePunct w:val="0"/>
        <w:autoSpaceDE/>
        <w:autoSpaceDN/>
        <w:bidi w:val="0"/>
        <w:snapToGrid/>
        <w:spacing w:line="360" w:lineRule="auto"/>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keepNext w:val="0"/>
        <w:keepLines w:val="0"/>
        <w:pageBreakBefore w:val="0"/>
        <w:tabs>
          <w:tab w:val="left" w:pos="1155"/>
        </w:tabs>
        <w:wordWrap/>
        <w:overflowPunct/>
        <w:topLinePunct w:val="0"/>
        <w:autoSpaceDE/>
        <w:autoSpaceDN/>
        <w:bidi w:val="0"/>
        <w:snapToGrid/>
        <w:spacing w:line="360" w:lineRule="auto"/>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3"/>
        <w:keepNext w:val="0"/>
        <w:keepLines w:val="0"/>
        <w:pageBreakBefore w:val="0"/>
        <w:widowControl/>
        <w:wordWrap/>
        <w:overflowPunct/>
        <w:topLinePunct w:val="0"/>
        <w:autoSpaceDE/>
        <w:autoSpaceDN/>
        <w:bidi w:val="0"/>
        <w:snapToGrid/>
        <w:spacing w:before="0" w:after="0" w:line="360" w:lineRule="auto"/>
        <w:ind w:firstLine="480" w:firstLineChars="200"/>
        <w:textAlignment w:val="auto"/>
        <w:rPr>
          <w:rFonts w:hint="eastAsia" w:ascii="宋体" w:hAnsi="宋体" w:eastAsia="宋体" w:cs="宋体"/>
          <w:b w:val="0"/>
          <w:bCs/>
          <w:color w:val="auto"/>
          <w:sz w:val="24"/>
          <w:szCs w:val="24"/>
        </w:rPr>
      </w:pPr>
      <w:bookmarkStart w:id="26" w:name="_Toc10232"/>
      <w:bookmarkStart w:id="27" w:name="_Toc15"/>
      <w:bookmarkStart w:id="28" w:name="_Toc4069"/>
      <w:bookmarkStart w:id="29" w:name="_Toc16726"/>
      <w:bookmarkStart w:id="30" w:name="_Toc6655"/>
      <w:bookmarkStart w:id="31" w:name="_Toc21130"/>
      <w:bookmarkStart w:id="32" w:name="_Toc14206"/>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.3</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质疑与投诉事宜依据《中华人民共和国政府采购法》、《政府采购法实施条例（国务院第658号令）》、《中华人民共和国财政部令第94号--政府采购质疑和投诉办法》及《陕财办采资（2016）53号》规定执行。</w:t>
      </w:r>
      <w:bookmarkEnd w:id="26"/>
      <w:bookmarkEnd w:id="27"/>
      <w:bookmarkEnd w:id="28"/>
      <w:bookmarkEnd w:id="29"/>
      <w:bookmarkEnd w:id="30"/>
      <w:bookmarkEnd w:id="31"/>
      <w:bookmarkEnd w:id="32"/>
    </w:p>
    <w:p>
      <w:pPr>
        <w:keepNext w:val="0"/>
        <w:keepLines w:val="0"/>
        <w:pageBreakBefore w:val="0"/>
        <w:tabs>
          <w:tab w:val="left" w:pos="1155"/>
        </w:tabs>
        <w:wordWrap/>
        <w:overflowPunct/>
        <w:topLinePunct w:val="0"/>
        <w:autoSpaceDE/>
        <w:autoSpaceDN/>
        <w:bidi w:val="0"/>
        <w:snapToGrid/>
        <w:spacing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九、关于供应商注册登记提醒</w:t>
      </w:r>
    </w:p>
    <w:p>
      <w:pPr>
        <w:keepNext w:val="0"/>
        <w:keepLines w:val="0"/>
        <w:pageBreakBefore w:val="0"/>
        <w:tabs>
          <w:tab w:val="left" w:pos="1155"/>
        </w:tabs>
        <w:wordWrap/>
        <w:overflowPunct/>
        <w:topLinePunct w:val="0"/>
        <w:autoSpaceDE/>
        <w:autoSpaceDN/>
        <w:bidi w:val="0"/>
        <w:snapToGrid/>
        <w:spacing w:line="360" w:lineRule="auto"/>
        <w:ind w:firstLine="48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 xml:space="preserve">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w:t>
      </w:r>
    </w:p>
    <w:p>
      <w:pPr>
        <w:keepNext w:val="0"/>
        <w:keepLines w:val="0"/>
        <w:pageBreakBefore w:val="0"/>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请各供应商自行在陕西省政府采购网主页面资料下载区下载《陕西省政府采购管理系统供应商用户手册》</w:t>
      </w:r>
      <w:bookmarkStart w:id="33" w:name="_Toc1745"/>
      <w:bookmarkStart w:id="34" w:name="_Toc6006_WPSOffice_Level1"/>
      <w:bookmarkStart w:id="35" w:name="_Toc22675"/>
      <w:bookmarkStart w:id="36" w:name="_Toc16729"/>
      <w:bookmarkStart w:id="37" w:name="_Toc5771_WPSOffice_Level1"/>
      <w:bookmarkStart w:id="38" w:name="_Toc32525"/>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十、信用担保及信用融资</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25.1陕西省政府采购信用担保及信用融资政策</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25.1.1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25.1.2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25.2西安市政府采购信用担保及信用融资政策</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bCs/>
          <w:color w:val="auto"/>
          <w:sz w:val="24"/>
          <w:szCs w:val="24"/>
          <w:lang w:val="en-US" w:eastAsia="zh-CN"/>
        </w:rPr>
        <w:t>25.2.1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政府采购专栏中查询了解。</w:t>
      </w:r>
    </w:p>
    <w:p>
      <w:pPr>
        <w:keepNext w:val="0"/>
        <w:keepLines w:val="0"/>
        <w:pageBreakBefore w:val="0"/>
        <w:widowControl w:val="0"/>
        <w:kinsoku/>
        <w:wordWrap/>
        <w:overflowPunct/>
        <w:topLinePunct w:val="0"/>
        <w:autoSpaceDE/>
        <w:autoSpaceDN/>
        <w:bidi w:val="0"/>
        <w:adjustRightInd/>
        <w:snapToGrid/>
        <w:spacing w:line="360" w:lineRule="auto"/>
        <w:ind w:firstLine="3614" w:firstLineChars="900"/>
        <w:textAlignment w:val="auto"/>
        <w:outlineLvl w:val="9"/>
        <w:rPr>
          <w:rFonts w:hint="eastAsia" w:ascii="宋体" w:hAnsi="宋体" w:eastAsia="宋体" w:cs="宋体"/>
          <w:b/>
          <w:color w:val="auto"/>
          <w:sz w:val="40"/>
          <w:szCs w:val="40"/>
        </w:rPr>
      </w:pPr>
      <w:bookmarkStart w:id="39" w:name="_Toc8665"/>
    </w:p>
    <w:p>
      <w:pPr>
        <w:spacing w:afterLines="50" w:line="360" w:lineRule="auto"/>
        <w:ind w:firstLine="2891" w:firstLineChars="900"/>
        <w:outlineLvl w:val="9"/>
        <w:rPr>
          <w:rFonts w:hint="eastAsia" w:ascii="宋体" w:hAnsi="宋体" w:eastAsia="宋体" w:cs="宋体"/>
          <w:b/>
          <w:color w:val="auto"/>
          <w:sz w:val="32"/>
          <w:szCs w:val="32"/>
        </w:rPr>
      </w:pPr>
    </w:p>
    <w:p>
      <w:pPr>
        <w:spacing w:afterLines="50" w:line="360" w:lineRule="auto"/>
        <w:ind w:firstLine="2891" w:firstLineChars="900"/>
        <w:outlineLvl w:val="0"/>
        <w:rPr>
          <w:rFonts w:hint="eastAsia" w:ascii="宋体" w:hAnsi="宋体" w:eastAsia="宋体" w:cs="宋体"/>
          <w:b/>
          <w:color w:val="auto"/>
          <w:sz w:val="32"/>
          <w:szCs w:val="32"/>
        </w:rPr>
      </w:pPr>
      <w:bookmarkStart w:id="40" w:name="_Toc17229"/>
    </w:p>
    <w:p>
      <w:pPr>
        <w:spacing w:afterLines="50" w:line="360" w:lineRule="auto"/>
        <w:ind w:firstLine="2891" w:firstLineChars="900"/>
        <w:outlineLvl w:val="0"/>
        <w:rPr>
          <w:rFonts w:hint="eastAsia" w:ascii="宋体" w:hAnsi="宋体" w:eastAsia="宋体" w:cs="宋体"/>
          <w:b/>
          <w:color w:val="auto"/>
          <w:sz w:val="20"/>
          <w:szCs w:val="20"/>
        </w:rPr>
      </w:pPr>
      <w:r>
        <w:rPr>
          <w:rFonts w:hint="eastAsia" w:ascii="宋体" w:hAnsi="宋体" w:eastAsia="宋体" w:cs="宋体"/>
          <w:b/>
          <w:color w:val="auto"/>
          <w:sz w:val="32"/>
          <w:szCs w:val="32"/>
        </w:rPr>
        <w:t>第三章 评审办法</w:t>
      </w:r>
      <w:bookmarkEnd w:id="33"/>
      <w:bookmarkEnd w:id="34"/>
      <w:bookmarkEnd w:id="35"/>
      <w:bookmarkEnd w:id="36"/>
      <w:bookmarkEnd w:id="37"/>
      <w:bookmarkEnd w:id="38"/>
      <w:bookmarkEnd w:id="39"/>
      <w:bookmarkEnd w:id="40"/>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本项目是根据《中华人民共和国政府采购法》及《中华人民共和国政府采购法实施条例》</w:t>
      </w:r>
      <w:r>
        <w:rPr>
          <w:rFonts w:hint="eastAsia" w:ascii="宋体" w:hAnsi="宋体" w:eastAsia="宋体" w:cs="宋体"/>
          <w:color w:val="auto"/>
          <w:sz w:val="24"/>
          <w:szCs w:val="24"/>
          <w:lang w:eastAsia="zh-CN"/>
        </w:rPr>
        <w:t>《政府采购竞争性磋商采购方式管理暂行办法》</w:t>
      </w:r>
      <w:r>
        <w:rPr>
          <w:rFonts w:hint="eastAsia" w:ascii="宋体" w:hAnsi="宋体" w:eastAsia="宋体" w:cs="宋体"/>
          <w:color w:val="auto"/>
          <w:sz w:val="24"/>
          <w:szCs w:val="24"/>
        </w:rPr>
        <w:t>等法律法规的规定，结合采购项目特点制定的评审办法。</w:t>
      </w:r>
    </w:p>
    <w:p>
      <w:pPr>
        <w:spacing w:beforeLines="50" w:afterLines="50" w:line="360" w:lineRule="auto"/>
        <w:outlineLvl w:val="1"/>
        <w:rPr>
          <w:rFonts w:hint="eastAsia" w:ascii="宋体" w:hAnsi="宋体" w:eastAsia="宋体" w:cs="宋体"/>
          <w:b/>
          <w:color w:val="auto"/>
          <w:szCs w:val="21"/>
        </w:rPr>
      </w:pPr>
      <w:bookmarkStart w:id="41" w:name="_Toc12093"/>
      <w:r>
        <w:rPr>
          <w:rFonts w:hint="eastAsia" w:ascii="宋体" w:hAnsi="宋体" w:eastAsia="宋体" w:cs="宋体"/>
          <w:color w:val="auto"/>
          <w:sz w:val="28"/>
          <w:szCs w:val="28"/>
        </w:rPr>
        <w:t>一、</w:t>
      </w:r>
      <w:r>
        <w:rPr>
          <w:rFonts w:hint="eastAsia" w:ascii="宋体" w:hAnsi="宋体" w:eastAsia="宋体" w:cs="宋体"/>
          <w:b/>
          <w:color w:val="auto"/>
          <w:sz w:val="28"/>
          <w:szCs w:val="28"/>
        </w:rPr>
        <w:t>总则</w:t>
      </w:r>
      <w:bookmarkEnd w:id="41"/>
    </w:p>
    <w:p>
      <w:pPr>
        <w:spacing w:beforeLines="50" w:afterLines="50" w:line="360" w:lineRule="auto"/>
        <w:ind w:firstLine="241" w:firstLineChars="100"/>
        <w:outlineLvl w:val="2"/>
        <w:rPr>
          <w:rFonts w:hint="eastAsia" w:ascii="宋体" w:hAnsi="宋体" w:eastAsia="宋体" w:cs="宋体"/>
          <w:color w:val="auto"/>
          <w:sz w:val="24"/>
          <w:szCs w:val="24"/>
        </w:rPr>
      </w:pPr>
      <w:bookmarkStart w:id="42" w:name="_Toc28008"/>
      <w:r>
        <w:rPr>
          <w:rFonts w:hint="eastAsia" w:ascii="宋体" w:hAnsi="宋体" w:eastAsia="宋体" w:cs="宋体"/>
          <w:b/>
          <w:color w:val="auto"/>
          <w:sz w:val="24"/>
          <w:szCs w:val="24"/>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原则</w:t>
      </w:r>
      <w:bookmarkEnd w:id="42"/>
    </w:p>
    <w:p>
      <w:pPr>
        <w:tabs>
          <w:tab w:val="left" w:pos="0"/>
        </w:tabs>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1.1“公平、公正、择优、效益”为本次评审的基本原则，磋商小组按照这一原则的要求，公正、平等地对待各磋商供应商。同时，在评审中恪守以下原则：</w:t>
      </w:r>
    </w:p>
    <w:p>
      <w:pPr>
        <w:tabs>
          <w:tab w:val="left" w:pos="0"/>
        </w:tabs>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统一性原则：磋商小组将按照统一的原则和方法，用统一标准进行评审。</w:t>
      </w:r>
    </w:p>
    <w:p>
      <w:pPr>
        <w:tabs>
          <w:tab w:val="left" w:pos="0"/>
        </w:tabs>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独立性原则:评审工作在磋商小组内部独立进行，不受外界任何因素的干扰和影响。磋商小组成员对其出具的意见承担个人责任。</w:t>
      </w:r>
      <w:r>
        <w:rPr>
          <w:rFonts w:hint="eastAsia" w:ascii="宋体" w:hAnsi="宋体" w:eastAsia="宋体" w:cs="宋体"/>
          <w:color w:val="auto"/>
          <w:kern w:val="0"/>
          <w:sz w:val="24"/>
          <w:szCs w:val="24"/>
        </w:rPr>
        <w:t>磋商供应商试图影响或干预评审的任何行为，将导致其丧失磋商的资格，并承担相应的法律责任。</w:t>
      </w:r>
    </w:p>
    <w:p>
      <w:pPr>
        <w:tabs>
          <w:tab w:val="left" w:pos="0"/>
        </w:tabs>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客观性原则：磋商小组将严格按照竞争性磋商文件要求，对磋商供应商的磋商响应文件进行认真评审；磋商小组对磋商响应文件的评审仅依据磋商响应文件本身，而不依据磋商响应文件以外的任何因素。</w:t>
      </w:r>
    </w:p>
    <w:p>
      <w:pPr>
        <w:tabs>
          <w:tab w:val="left" w:pos="0"/>
        </w:tabs>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tabs>
          <w:tab w:val="left" w:pos="0"/>
        </w:tabs>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综合性原则:磋商小组将综合分析磋商供应商的各项指标，而不以单项指标的优劣评定出成交供应商。</w:t>
      </w:r>
    </w:p>
    <w:p>
      <w:pPr>
        <w:tabs>
          <w:tab w:val="left" w:pos="0"/>
        </w:tabs>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磋商小组有权对整个</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和评审过程中出现的所有问题，根据《中华人民共和国政府采购法》、《中华人民共和国政府采购法实施条例》（第658号）、《政府采购竞争性磋商采购方式管理暂行办法》等相关规定进行处理。</w:t>
      </w:r>
    </w:p>
    <w:p>
      <w:pPr>
        <w:spacing w:beforeLines="50" w:afterLines="50" w:line="360" w:lineRule="auto"/>
        <w:ind w:firstLine="540" w:firstLineChars="224"/>
        <w:outlineLvl w:val="2"/>
        <w:rPr>
          <w:rFonts w:hint="eastAsia" w:ascii="宋体" w:hAnsi="宋体" w:eastAsia="宋体" w:cs="宋体"/>
          <w:b/>
          <w:color w:val="auto"/>
          <w:sz w:val="24"/>
          <w:szCs w:val="24"/>
        </w:rPr>
      </w:pPr>
      <w:bookmarkStart w:id="43" w:name="_Toc16471"/>
      <w:r>
        <w:rPr>
          <w:rFonts w:hint="eastAsia" w:ascii="宋体" w:hAnsi="宋体" w:eastAsia="宋体" w:cs="宋体"/>
          <w:b/>
          <w:color w:val="auto"/>
          <w:sz w:val="24"/>
          <w:szCs w:val="24"/>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磋商小组职责</w:t>
      </w:r>
      <w:bookmarkEnd w:id="43"/>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磋商小组独立履行下列职责：</w:t>
      </w:r>
    </w:p>
    <w:p>
      <w:pPr>
        <w:spacing w:line="360" w:lineRule="auto"/>
        <w:ind w:right="-239" w:rightChars="-114"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审查、评价磋商响应文件是否符合竞争性磋商文件的资格、商务、技术、服务等实质性要求；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要求磋商供应商对磋商响应文件有关事项作出解释或者澄清；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与入围的磋商供应商进行技术和商务磋商；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对磋商响应文件进行比较和评价；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推荐成交候选磋商供应商名单；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向采购人、采购代理机构或者有关部门报告非法干预评审工作的行为。</w:t>
      </w:r>
    </w:p>
    <w:p>
      <w:pPr>
        <w:pStyle w:val="26"/>
        <w:shd w:val="clear" w:color="auto" w:fill="FFFFFF"/>
        <w:spacing w:before="0" w:beforeAutospacing="0" w:after="0" w:afterAutospacing="0"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采购代理机构负责组织评审工作并履行下列职责：</w:t>
      </w:r>
    </w:p>
    <w:p>
      <w:pPr>
        <w:pStyle w:val="26"/>
        <w:spacing w:before="0" w:beforeAutospacing="0" w:after="0" w:afterAutospacing="0"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核对磋商小组成员身份和采购人代表授权函；</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宣布评审纪律；</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公布响应磋商供应商名单，告知磋商小组成员应当回避的情形；</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组织磋商小组成员推选评审小组组长，采购人代表不得担任组长；</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集中保管磋商小组成员及现场工作人员的通讯工具；</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根据磋商小组的要求介绍政府采购相关政策法规、竞争性磋商文件；</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维护评审秩序，监督磋商小组依照竞争性磋商文件规定的采购程序、评审方法和标准进行独立评审，对采购人代表、磋商小组成员的倾向性言论或违法违规行为及时制止和纠正；</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处理与评审有关的其他事项。</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采购人可以在评审前介绍项目背景和采购需求，介绍内容不得含有歧视性、倾向性意见，不得超出竞争性磋商文件所述范围。介绍应当提交书面介绍材料，并随采购文件一并存档。</w:t>
      </w:r>
    </w:p>
    <w:p>
      <w:pPr>
        <w:widowControl/>
        <w:autoSpaceDE w:val="0"/>
        <w:autoSpaceDN w:val="0"/>
        <w:spacing w:line="360" w:lineRule="auto"/>
        <w:ind w:right="51"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磋商小组及其成员，在评审中不得有下列行为：</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确定参与评审至评审结束前私自接触供应商；</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接受供应商提出的与磋商响应文件不一致的澄清或者说明，本章第4.1条规定的情形除外；</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违反评审纪律发表倾向性意见或者征询采购人的倾向性意见；</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对需要专业判断的主观评审因素协商评分；</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在评审过程中擅离职守，影响评审程序正常进行的；</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记录、复制或者带走任何评审资料；</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其他不遵守评审纪律的行为；</w:t>
      </w:r>
    </w:p>
    <w:p>
      <w:pPr>
        <w:pStyle w:val="26"/>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磋商小组成员有前款第一至五项行为之一的，其评审意见无效，</w:t>
      </w:r>
    </w:p>
    <w:p>
      <w:pPr>
        <w:spacing w:beforeLines="50" w:afterLines="50" w:line="360" w:lineRule="auto"/>
        <w:outlineLvl w:val="1"/>
        <w:rPr>
          <w:rFonts w:hint="eastAsia" w:ascii="宋体" w:hAnsi="宋体" w:eastAsia="宋体" w:cs="宋体"/>
          <w:b/>
          <w:color w:val="auto"/>
          <w:sz w:val="28"/>
          <w:szCs w:val="28"/>
        </w:rPr>
      </w:pPr>
      <w:bookmarkStart w:id="44" w:name="_Toc7657"/>
      <w:r>
        <w:rPr>
          <w:rFonts w:hint="eastAsia" w:ascii="宋体" w:hAnsi="宋体" w:eastAsia="宋体" w:cs="宋体"/>
          <w:b/>
          <w:color w:val="auto"/>
          <w:sz w:val="28"/>
          <w:szCs w:val="28"/>
        </w:rPr>
        <w:t>二、评审步骤与评审方法</w:t>
      </w:r>
      <w:bookmarkEnd w:id="44"/>
    </w:p>
    <w:p>
      <w:pPr>
        <w:spacing w:beforeLines="50" w:after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初步审查</w:t>
      </w:r>
    </w:p>
    <w:p>
      <w:pPr>
        <w:tabs>
          <w:tab w:val="left" w:pos="0"/>
        </w:tabs>
        <w:adjustRightInd w:val="0"/>
        <w:snapToGrid w:val="0"/>
        <w:spacing w:beforeLines="100"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资格性审查。磋商小组将依据竞争性磋商文件的规定对磋商供应商进行资格审查，以确定其是否具备相应资格。</w:t>
      </w:r>
      <w:r>
        <w:rPr>
          <w:rFonts w:hint="eastAsia" w:ascii="宋体" w:hAnsi="宋体" w:eastAsia="宋体" w:cs="宋体"/>
          <w:color w:val="auto"/>
          <w:kern w:val="0"/>
          <w:sz w:val="24"/>
          <w:szCs w:val="24"/>
        </w:rPr>
        <w:t>如果磋商供应商不具备资格、不满足竞争性磋商文件所规定的资格标准或提供资格证明文件不全,按无效响应文件处理。（资格审查标准见供应商须知前附表）</w:t>
      </w:r>
    </w:p>
    <w:p>
      <w:pPr>
        <w:tabs>
          <w:tab w:val="left" w:pos="0"/>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符合性审查。磋商小组从磋商响应文件的有效性、完整性和对竞争性磋商文件的响应程度进行符合性审查，以确定其是否对竞争性磋商文件实质性内容作出响应</w:t>
      </w:r>
      <w:r>
        <w:rPr>
          <w:rFonts w:hint="eastAsia" w:ascii="宋体" w:hAnsi="宋体" w:eastAsia="宋体" w:cs="宋体"/>
          <w:color w:val="auto"/>
          <w:kern w:val="0"/>
          <w:sz w:val="24"/>
          <w:szCs w:val="24"/>
        </w:rPr>
        <w:t>（采购人可根据具体项目的情况对实质性要求作特别的具体规定）</w:t>
      </w:r>
      <w:r>
        <w:rPr>
          <w:rFonts w:hint="eastAsia" w:ascii="宋体" w:hAnsi="宋体" w:eastAsia="宋体" w:cs="宋体"/>
          <w:color w:val="auto"/>
          <w:sz w:val="24"/>
          <w:szCs w:val="24"/>
        </w:rPr>
        <w:t>。符合性审查标准如下：</w:t>
      </w:r>
    </w:p>
    <w:tbl>
      <w:tblPr>
        <w:tblStyle w:val="28"/>
        <w:tblW w:w="9475"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50"/>
        <w:gridCol w:w="2852"/>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65"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02" w:type="dxa"/>
            <w:gridSpan w:val="2"/>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1920" w:firstLineChars="8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5"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50"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有效性审查</w:t>
            </w: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（1）响应文件的签署盖章</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6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center"/>
              <w:textAlignment w:val="auto"/>
              <w:rPr>
                <w:rFonts w:hint="eastAsia" w:ascii="宋体" w:hAnsi="宋体" w:eastAsia="宋体" w:cs="宋体"/>
                <w:color w:val="auto"/>
                <w:sz w:val="24"/>
                <w:szCs w:val="24"/>
              </w:rPr>
            </w:pPr>
          </w:p>
        </w:tc>
        <w:tc>
          <w:tcPr>
            <w:tcW w:w="85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（2）响应文件语言、计量单位、报价货币</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center"/>
              <w:textAlignment w:val="auto"/>
              <w:rPr>
                <w:rFonts w:hint="eastAsia" w:ascii="宋体" w:hAnsi="宋体" w:eastAsia="宋体" w:cs="宋体"/>
                <w:color w:val="auto"/>
                <w:sz w:val="24"/>
                <w:szCs w:val="24"/>
              </w:rPr>
            </w:pPr>
          </w:p>
        </w:tc>
        <w:tc>
          <w:tcPr>
            <w:tcW w:w="85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）电子文件</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center"/>
              <w:textAlignment w:val="auto"/>
              <w:rPr>
                <w:rFonts w:hint="eastAsia" w:ascii="宋体" w:hAnsi="宋体" w:eastAsia="宋体" w:cs="宋体"/>
                <w:color w:val="auto"/>
                <w:sz w:val="24"/>
                <w:szCs w:val="24"/>
              </w:rPr>
            </w:pPr>
          </w:p>
        </w:tc>
        <w:tc>
          <w:tcPr>
            <w:tcW w:w="85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）不存在恶意串通的情形</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不存在第二章《供应商须知》第2.3条款规定的任何一种情形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5"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0"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完整性审查</w:t>
            </w: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）响应文件份数</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应符合“</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6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center"/>
              <w:textAlignment w:val="auto"/>
              <w:rPr>
                <w:rFonts w:hint="eastAsia" w:ascii="宋体" w:hAnsi="宋体" w:eastAsia="宋体" w:cs="宋体"/>
                <w:color w:val="auto"/>
                <w:sz w:val="24"/>
                <w:szCs w:val="24"/>
              </w:rPr>
            </w:pPr>
          </w:p>
        </w:tc>
        <w:tc>
          <w:tcPr>
            <w:tcW w:w="85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）响应文件内容</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响应文件内容齐全、无遗漏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服务内容</w:t>
            </w:r>
            <w:r>
              <w:rPr>
                <w:rFonts w:hint="eastAsia" w:ascii="宋体" w:hAnsi="宋体" w:eastAsia="宋体" w:cs="宋体"/>
                <w:color w:val="auto"/>
                <w:sz w:val="24"/>
                <w:szCs w:val="24"/>
                <w:lang w:eastAsia="zh-CN"/>
              </w:rPr>
              <w:t>未出现漏项且与数量要求相符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5"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50"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p>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响应性审查</w:t>
            </w: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）对磋商文件响应程度</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6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p>
        </w:tc>
        <w:tc>
          <w:tcPr>
            <w:tcW w:w="85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服务期</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6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p>
        </w:tc>
        <w:tc>
          <w:tcPr>
            <w:tcW w:w="85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ind w:firstLine="480" w:firstLineChars="200"/>
              <w:jc w:val="both"/>
              <w:textAlignment w:val="auto"/>
              <w:rPr>
                <w:rFonts w:hint="eastAsia" w:ascii="宋体" w:hAnsi="宋体" w:eastAsia="宋体" w:cs="宋体"/>
                <w:color w:val="auto"/>
                <w:sz w:val="24"/>
                <w:szCs w:val="24"/>
              </w:rPr>
            </w:pPr>
          </w:p>
        </w:tc>
        <w:tc>
          <w:tcPr>
            <w:tcW w:w="28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磋商有效期</w:t>
            </w:r>
          </w:p>
        </w:tc>
        <w:tc>
          <w:tcPr>
            <w:tcW w:w="5108" w:type="dxa"/>
            <w:vAlign w:val="center"/>
          </w:tcPr>
          <w:p>
            <w:pPr>
              <w:keepNext w:val="0"/>
              <w:keepLines w:val="0"/>
              <w:pageBreakBefore w:val="0"/>
              <w:widowControl w:val="0"/>
              <w:tabs>
                <w:tab w:val="left" w:pos="0"/>
              </w:tabs>
              <w:kinsoku/>
              <w:wordWrap/>
              <w:overflowPunct/>
              <w:topLinePunct w:val="0"/>
              <w:autoSpaceDE/>
              <w:autoSpaceDN/>
              <w:bidi w:val="0"/>
              <w:adjustRightInd w:val="0"/>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bl>
    <w:p>
      <w:pPr>
        <w:tabs>
          <w:tab w:val="left" w:pos="1080"/>
          <w:tab w:val="left" w:pos="1155"/>
        </w:tabs>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若前款3.1条或3.2条有1项不合格，评审不予通过，作为未实质性响应竞争性磋商文件，按无效</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处理。</w:t>
      </w:r>
    </w:p>
    <w:p>
      <w:pPr>
        <w:tabs>
          <w:tab w:val="left" w:pos="1080"/>
          <w:tab w:val="left" w:pos="1155"/>
        </w:tabs>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磋商小组通过上述评审，确定入围磋商供应商名单，只有入围的磋商供应商才能进入后续评审环节。</w:t>
      </w:r>
    </w:p>
    <w:p>
      <w:pPr>
        <w:spacing w:beforeLines="50" w:after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磋商响应文件的澄清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在对磋商响应文件的有效性、完整性和响应程度进行符合性审查时，可以要求磋商供应商对磋商响应文件中非实质性等有关问题作出必要的澄清、说明或者更正。非实质性偏离是指磋商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文字表述的内容含义不明确；</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同类问题表述不一致；</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有明显文字和计算错误；</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提供的技术信息和数据资料不完整；</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4.1.5磋商响应文件未按竞争性磋商文件要求进行编制目录、页码；</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磋商小组认定的其他非实质性偏离。</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有上述4.1.1-4.1.6情形之一的，磋商小组应当书面要求磋商供应商在规定的时间内予以澄清、说明或补正。磋商供应商有关澄清、说明或者更正不得超出磋商响应文件的范围或者改变磋商响应文件的实质性内容。磋商供应商必须按照磋商小组通知的内容和时间作出书面答复，有关澄清、说明或者更正应以书面形式提交，并由法定代表人或其被授权委托代理人签字；磋商供应商拒不按照要求或不在规定的时间内进行澄清、说明，磋商小组将根据其磋商响应文件按最大风险进行评审。磋商小组不接受磋商供应商主动提出的澄清、说明。</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有效的书面澄清材料，是磋商供应商磋商响应文件的补充材料，成为磋商供应商磋商响应文件的组成部分。</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磋商</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磋商方式：</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5.1.1</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对资格性检查和符合性检查合格的供应商，即入围供应商，进入本次磋商程序。</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5.1.2</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在磋商期间，供应商法定代表人或其授权委托人参加磋商。</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5.1.3</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磋商小组通过随机方式确定参加磋商供应商的磋商顺序，所有成员集中与单一供应商按照顺序分别进行磋商，并给予所有参加磋商的供应商平等的磋商机会。在磋商中，磋商的任何一方不得透露与磋商有关的其他供应商的技术资料、价格和其他信息。</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5.1.4</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技术磋商。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5.1.5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商务磋商。技术磋商结束后，进行商务磋商</w:t>
      </w:r>
      <w:r>
        <w:rPr>
          <w:rFonts w:hint="eastAsia" w:ascii="宋体" w:hAnsi="宋体" w:eastAsia="宋体" w:cs="宋体"/>
          <w:color w:val="auto"/>
          <w:kern w:val="0"/>
          <w:sz w:val="24"/>
          <w:szCs w:val="24"/>
        </w:rPr>
        <w:t>。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设计方案或解决方案的，磋商小组应当按照少数服从多数的原则投票推荐3家以上供应商的设计方案或者解决方案，并要求其在规定时间内提交最后报价。最后报价是供应商响应文件的有效组成部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已提交响应文件的供应商，在提交最后报价之前，可以根据磋商情况退出磋商，采购代理机构应当退还其磋商保证金。</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磋商步骤：</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第一轮磋商。对进入第一轮磋商的供应商再次进行评审、质疑和澄清。在此阶段，磋商小组依据参加磋商的供应商递交的响应文件进行技术和商务磋商，磋商小组可根据实际需要提出方案和技术参数要求，与单一供应商分别进行磋商，并给予所有参加磋商的供应商平等的磋商机会。要求参加磋商的供应商重新承诺技术参数和第二次商务总报价，以满足采购人的最大需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第二轮磋商。对第一轮磋商结果不满意，磋商小组可以再次要求参加磋商的供应商进行第二轮磋商，磋商内容及要求与第一轮磋商相同。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磋商小组应在最后一轮磋商前告知所有符合磋商的供应商是否是最后一次磋商环节。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 磋商</w:t>
      </w:r>
      <w:r>
        <w:rPr>
          <w:rFonts w:hint="eastAsia" w:ascii="宋体" w:hAnsi="宋体" w:eastAsia="宋体" w:cs="宋体"/>
          <w:color w:val="auto"/>
          <w:sz w:val="24"/>
          <w:szCs w:val="24"/>
        </w:rPr>
        <w:t>结束后，磋商小组将对进入最后一轮的供应商进行综合评分。</w:t>
      </w:r>
    </w:p>
    <w:p>
      <w:pPr>
        <w:spacing w:beforeLines="50" w:after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6</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磋商响应文件详细评审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1"/>
          <w:sz w:val="24"/>
          <w:szCs w:val="24"/>
        </w:rPr>
        <w:t>比较与评价。磋商小组应当按照磋商文件中规定的评审方法和标准，只对资格审查和符合性审查合格的响应文件进行商务和技术评估，综合比较与评价，不合格的不再参与评审。</w:t>
      </w:r>
    </w:p>
    <w:p>
      <w:pPr>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评审因素的设定与供应商所提供服务的质量相关，包括报价、技术或者服务水平、履约能力、售后服务等。资格条件不作为评审因素。综合评分法评审标准中的分值设置与评审因素的量化指标相对应。竞争性磋商文件中没有规定的评审标准不得作为评审依据。</w:t>
      </w:r>
    </w:p>
    <w:p>
      <w:pPr>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6.3</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由磋商小组成员独立地根据各项因素的评分标准，结合各磋商供应商的实际情况，分别就报价以外的各项评审因素对各磋商供应商独立评审赋分。</w:t>
      </w:r>
    </w:p>
    <w:p>
      <w:pPr>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6.4</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当排序推荐候选成交供应商名单出现多数</w:t>
      </w:r>
      <w:r>
        <w:rPr>
          <w:rFonts w:hint="eastAsia" w:ascii="宋体" w:hAnsi="宋体" w:eastAsia="宋体" w:cs="宋体"/>
          <w:color w:val="auto"/>
          <w:kern w:val="1"/>
          <w:sz w:val="24"/>
          <w:szCs w:val="24"/>
          <w:lang w:eastAsia="zh-CN"/>
        </w:rPr>
        <w:t>磋商小组</w:t>
      </w:r>
      <w:r>
        <w:rPr>
          <w:rFonts w:hint="eastAsia" w:ascii="宋体" w:hAnsi="宋体" w:eastAsia="宋体" w:cs="宋体"/>
          <w:color w:val="auto"/>
          <w:kern w:val="1"/>
          <w:sz w:val="24"/>
          <w:szCs w:val="24"/>
        </w:rPr>
        <w:t>成员的评审意见比较一致，某一个别</w:t>
      </w:r>
      <w:r>
        <w:rPr>
          <w:rFonts w:hint="eastAsia" w:ascii="宋体" w:hAnsi="宋体" w:eastAsia="宋体" w:cs="宋体"/>
          <w:color w:val="auto"/>
          <w:kern w:val="1"/>
          <w:sz w:val="24"/>
          <w:szCs w:val="24"/>
          <w:lang w:eastAsia="zh-CN"/>
        </w:rPr>
        <w:t>磋商小组</w:t>
      </w:r>
      <w:r>
        <w:rPr>
          <w:rFonts w:hint="eastAsia" w:ascii="宋体" w:hAnsi="宋体" w:eastAsia="宋体" w:cs="宋体"/>
          <w:color w:val="auto"/>
          <w:kern w:val="1"/>
          <w:sz w:val="24"/>
          <w:szCs w:val="24"/>
        </w:rPr>
        <w:t>的赋分畸高畸低，导致排序结果改变的，采购代理机构应当发回该</w:t>
      </w:r>
      <w:r>
        <w:rPr>
          <w:rFonts w:hint="eastAsia" w:ascii="宋体" w:hAnsi="宋体" w:eastAsia="宋体" w:cs="宋体"/>
          <w:color w:val="auto"/>
          <w:kern w:val="1"/>
          <w:sz w:val="24"/>
          <w:szCs w:val="24"/>
          <w:lang w:eastAsia="zh-CN"/>
        </w:rPr>
        <w:t>磋商小组</w:t>
      </w:r>
      <w:r>
        <w:rPr>
          <w:rFonts w:hint="eastAsia" w:ascii="宋体" w:hAnsi="宋体" w:eastAsia="宋体" w:cs="宋体"/>
          <w:color w:val="auto"/>
          <w:kern w:val="1"/>
          <w:sz w:val="24"/>
          <w:szCs w:val="24"/>
        </w:rPr>
        <w:t>重新进行评价，并说明其赋分的合理理由，对拒绝说明、拒绝重新评价的，其个人评审意见与赋分作为无效处理。</w:t>
      </w:r>
    </w:p>
    <w:p>
      <w:pPr>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6.5</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磋商小组成员对需要共同认定的事项存在争议的，应当按照少数服从多数的原则作出结论。持不同意见的磋商小组成员应当在评审报告上签署不同意见及理由，否则视为同意评审报告。</w:t>
      </w:r>
    </w:p>
    <w:p>
      <w:pPr>
        <w:spacing w:beforeLines="50" w:afterLines="50" w:line="360" w:lineRule="auto"/>
        <w:outlineLvl w:val="1"/>
        <w:rPr>
          <w:rFonts w:hint="eastAsia" w:ascii="宋体" w:hAnsi="宋体" w:eastAsia="宋体" w:cs="宋体"/>
          <w:b/>
          <w:color w:val="auto"/>
          <w:sz w:val="28"/>
          <w:szCs w:val="28"/>
        </w:rPr>
      </w:pPr>
      <w:bookmarkStart w:id="45" w:name="_Toc17921"/>
      <w:r>
        <w:rPr>
          <w:rFonts w:hint="eastAsia" w:ascii="宋体" w:hAnsi="宋体" w:eastAsia="宋体" w:cs="宋体"/>
          <w:b/>
          <w:color w:val="auto"/>
          <w:sz w:val="28"/>
          <w:szCs w:val="28"/>
        </w:rPr>
        <w:t>三</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评审细则及标准</w:t>
      </w:r>
      <w:bookmarkEnd w:id="45"/>
    </w:p>
    <w:p>
      <w:pPr>
        <w:spacing w:line="360" w:lineRule="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7</w:t>
      </w:r>
      <w:r>
        <w:rPr>
          <w:rFonts w:hint="eastAsia" w:ascii="宋体" w:hAnsi="宋体" w:eastAsia="宋体" w:cs="宋体"/>
          <w:b/>
          <w:color w:val="auto"/>
          <w:kern w:val="1"/>
          <w:sz w:val="24"/>
          <w:szCs w:val="24"/>
          <w:lang w:eastAsia="zh-CN"/>
        </w:rPr>
        <w:t>.</w:t>
      </w:r>
      <w:r>
        <w:rPr>
          <w:rFonts w:hint="eastAsia" w:ascii="宋体" w:hAnsi="宋体" w:eastAsia="宋体" w:cs="宋体"/>
          <w:b/>
          <w:color w:val="auto"/>
          <w:kern w:val="1"/>
          <w:sz w:val="24"/>
          <w:szCs w:val="24"/>
        </w:rPr>
        <w:t>综合评分法</w:t>
      </w:r>
    </w:p>
    <w:p>
      <w:pPr>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7.1</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本采购项目评审方法采用综合评分法。即磋商响应文件能够最大限度的满足竞争性磋商文件规定的各项综合评分标准，且经评审得分最高的磋商供应商为</w:t>
      </w:r>
      <w:r>
        <w:rPr>
          <w:rFonts w:hint="eastAsia" w:ascii="宋体" w:hAnsi="宋体" w:eastAsia="宋体" w:cs="宋体"/>
          <w:color w:val="auto"/>
          <w:kern w:val="1"/>
          <w:sz w:val="24"/>
          <w:szCs w:val="24"/>
          <w:lang w:val="en-US" w:eastAsia="zh-CN"/>
        </w:rPr>
        <w:t>成交</w:t>
      </w:r>
      <w:r>
        <w:rPr>
          <w:rFonts w:hint="eastAsia" w:ascii="宋体" w:hAnsi="宋体" w:eastAsia="宋体" w:cs="宋体"/>
          <w:color w:val="auto"/>
          <w:kern w:val="1"/>
          <w:sz w:val="24"/>
          <w:szCs w:val="24"/>
        </w:rPr>
        <w:t>候选人。</w:t>
      </w:r>
    </w:p>
    <w:p>
      <w:pPr>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7.2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综合评分法评审标准中的分值设置应当与评审因素的量化指标相对应。竞争性磋商文件中没有规定的评审标准不得作为评审依据。</w:t>
      </w:r>
    </w:p>
    <w:p>
      <w:pPr>
        <w:widowControl/>
        <w:autoSpaceDE w:val="0"/>
        <w:autoSpaceDN w:val="0"/>
        <w:spacing w:beforeLines="50" w:afterLines="50" w:line="360" w:lineRule="auto"/>
        <w:ind w:right="51"/>
        <w:textAlignment w:val="bottom"/>
        <w:rPr>
          <w:rFonts w:hint="eastAsia" w:ascii="宋体" w:hAnsi="宋体" w:eastAsia="宋体" w:cs="宋体"/>
          <w:b/>
          <w:color w:val="auto"/>
          <w:sz w:val="24"/>
          <w:szCs w:val="24"/>
        </w:rPr>
      </w:pPr>
      <w:r>
        <w:rPr>
          <w:rFonts w:hint="eastAsia" w:ascii="宋体" w:hAnsi="宋体" w:eastAsia="宋体" w:cs="宋体"/>
          <w:b/>
          <w:color w:val="auto"/>
          <w:sz w:val="24"/>
          <w:szCs w:val="24"/>
        </w:rPr>
        <w:t>8.评审细则及标准</w:t>
      </w:r>
    </w:p>
    <w:p>
      <w:pPr>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8.1、磋商小组将综合分析磋商供应商的各项评审因素，而不以单项评审因素的优劣评选出成交供应商。对所有磋商供应商的响应评估，都采用相同的程序和标准，严格按照竞争性磋商文件的要求和条件进行。</w:t>
      </w:r>
    </w:p>
    <w:p>
      <w:pPr>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8.2、评审因素包括：报价、技术、商务及对竞争性磋商文件的响应程度。</w:t>
      </w:r>
    </w:p>
    <w:p>
      <w:pPr>
        <w:tabs>
          <w:tab w:val="left" w:pos="1575"/>
        </w:tabs>
        <w:spacing w:line="360" w:lineRule="auto"/>
        <w:ind w:firstLine="482" w:firstLineChars="200"/>
        <w:rPr>
          <w:rFonts w:hint="eastAsia" w:ascii="宋体" w:hAnsi="宋体" w:eastAsia="宋体" w:cs="宋体"/>
          <w:b/>
          <w:bCs/>
          <w:color w:val="auto"/>
          <w:kern w:val="1"/>
          <w:szCs w:val="21"/>
          <w:highlight w:val="none"/>
        </w:rPr>
      </w:pPr>
      <w:r>
        <w:rPr>
          <w:rFonts w:hint="eastAsia" w:ascii="宋体" w:hAnsi="宋体" w:eastAsia="宋体" w:cs="宋体"/>
          <w:b/>
          <w:bCs/>
          <w:color w:val="auto"/>
          <w:kern w:val="1"/>
          <w:sz w:val="24"/>
          <w:szCs w:val="24"/>
          <w:highlight w:val="none"/>
        </w:rPr>
        <w:t>8.5、评审要素一览表如下：</w:t>
      </w:r>
    </w:p>
    <w:tbl>
      <w:tblPr>
        <w:tblStyle w:val="28"/>
        <w:tblW w:w="9461"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07"/>
        <w:gridCol w:w="1290"/>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807" w:type="dxa"/>
            <w:noWrap w:val="0"/>
            <w:vAlign w:val="center"/>
          </w:tcPr>
          <w:p>
            <w:pPr>
              <w:snapToGrid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w:t>
            </w:r>
          </w:p>
          <w:p>
            <w:pPr>
              <w:snapToGrid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w:t>
            </w:r>
          </w:p>
        </w:tc>
        <w:tc>
          <w:tcPr>
            <w:tcW w:w="1290" w:type="dxa"/>
            <w:noWrap w:val="0"/>
            <w:vAlign w:val="center"/>
          </w:tcPr>
          <w:p>
            <w:p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7364" w:type="dxa"/>
            <w:noWrap w:val="0"/>
            <w:vAlign w:val="center"/>
          </w:tcPr>
          <w:p>
            <w:pPr>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评 审</w:t>
            </w:r>
            <w:r>
              <w:rPr>
                <w:rFonts w:hint="eastAsia" w:ascii="宋体" w:hAnsi="宋体" w:eastAsia="宋体" w:cs="宋体"/>
                <w:b/>
                <w:bCs/>
                <w:color w:val="auto"/>
                <w:sz w:val="24"/>
                <w:szCs w:val="24"/>
                <w:highlight w:val="none"/>
                <w:lang w:val="en-US" w:eastAsia="zh-CN"/>
              </w:rPr>
              <w:t xml:space="preserve">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trPr>
        <w:tc>
          <w:tcPr>
            <w:tcW w:w="807" w:type="dxa"/>
            <w:noWrap w:val="0"/>
            <w:vAlign w:val="center"/>
          </w:tcPr>
          <w:p>
            <w:pPr>
              <w:ind w:left="0" w:leftChars="0" w:firstLine="240" w:firstLineChars="100"/>
              <w:jc w:val="center"/>
              <w:rPr>
                <w:rFonts w:hint="eastAsia" w:ascii="宋体" w:hAnsi="宋体" w:eastAsia="宋体" w:cs="宋体"/>
                <w:color w:val="auto"/>
                <w:sz w:val="24"/>
                <w:szCs w:val="24"/>
                <w:highlight w:val="none"/>
              </w:rPr>
            </w:pPr>
          </w:p>
          <w:p>
            <w:pPr>
              <w:ind w:left="0" w:leftChars="0"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pPr>
              <w:pStyle w:val="14"/>
              <w:ind w:left="0" w:leftChars="0" w:firstLine="249" w:firstLineChars="104"/>
              <w:jc w:val="center"/>
              <w:rPr>
                <w:rFonts w:hint="eastAsia" w:ascii="宋体" w:hAnsi="宋体" w:eastAsia="宋体" w:cs="宋体"/>
                <w:color w:val="auto"/>
                <w:sz w:val="24"/>
                <w:szCs w:val="24"/>
                <w:highlight w:val="none"/>
                <w:lang w:val="en-US" w:eastAsia="zh-CN"/>
              </w:rPr>
            </w:pPr>
          </w:p>
        </w:tc>
        <w:tc>
          <w:tcPr>
            <w:tcW w:w="1290" w:type="dxa"/>
            <w:noWrap w:val="0"/>
            <w:vAlign w:val="center"/>
          </w:tcPr>
          <w:p>
            <w:pPr>
              <w:snapToGrid w:val="0"/>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7364" w:type="dxa"/>
            <w:noWrap w:val="0"/>
            <w:vAlign w:val="center"/>
          </w:tcPr>
          <w:p>
            <w:pPr>
              <w:snapToGrid w:val="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价格分统一采用低价优先法计算，即满足磋商文件要求且二次报价价格最低的报价为评审基准价，其价格分为满分。其他供应商的价格分统一按照下列公式计算：</w:t>
            </w:r>
          </w:p>
          <w:p>
            <w:pPr>
              <w:snapToGrid w:val="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报价得分=(评审基准价／二次报价)×15</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shd w:val="clear" w:color="auto" w:fill="FFFFFF"/>
                <w:lang w:val="en-US" w:eastAsia="zh-CN" w:bidi="ar-SA"/>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95" w:hRule="atLeast"/>
        </w:trPr>
        <w:tc>
          <w:tcPr>
            <w:tcW w:w="807" w:type="dxa"/>
            <w:vMerge w:val="restart"/>
            <w:noWrap w:val="0"/>
            <w:vAlign w:val="center"/>
          </w:tcPr>
          <w:p>
            <w:pPr>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w:t>
            </w:r>
          </w:p>
          <w:p>
            <w:pPr>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部分</w:t>
            </w:r>
          </w:p>
        </w:tc>
        <w:tc>
          <w:tcPr>
            <w:tcW w:w="1290"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项目需求理解与分析</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736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供应商对本项目的供应商对本项目实施背景、项目需求、工作目标及工作任务进行理解及分析描述。</w:t>
            </w:r>
          </w:p>
          <w:p>
            <w:pPr>
              <w:pStyle w:val="1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（1）对项目背景分析详细、目标清晰明确、项目需求理解全面深入、工作任务描述精准理解到位的，计10</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15分；</w:t>
            </w:r>
          </w:p>
          <w:p>
            <w:pPr>
              <w:pStyle w:val="1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（2）对项目背景分析较详细、工作目标合理、项目需求理解较为全面、工作任务描述具备一定理解的，计5</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10分；</w:t>
            </w:r>
          </w:p>
          <w:p>
            <w:pPr>
              <w:pStyle w:val="1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（3）对项目背景分析简略粗陋、工作目标叙述不清楚、项目需求理解较差、工作任务描述较差，计1</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5分；</w:t>
            </w:r>
          </w:p>
          <w:p>
            <w:pPr>
              <w:pStyle w:val="1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（4）不进行理解说明或理解说明完全不适用于本项目的得0分。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9" w:hRule="atLeast"/>
        </w:trPr>
        <w:tc>
          <w:tcPr>
            <w:tcW w:w="807" w:type="dxa"/>
            <w:vMerge w:val="continue"/>
            <w:noWrap w:val="0"/>
            <w:vAlign w:val="center"/>
          </w:tcPr>
          <w:p>
            <w:pPr>
              <w:snapToGrid w:val="0"/>
              <w:jc w:val="center"/>
              <w:rPr>
                <w:rFonts w:hint="eastAsia" w:ascii="宋体" w:hAnsi="宋体" w:eastAsia="宋体" w:cs="宋体"/>
                <w:color w:val="auto"/>
                <w:sz w:val="24"/>
                <w:szCs w:val="24"/>
                <w:highlight w:val="none"/>
              </w:rPr>
            </w:pPr>
          </w:p>
        </w:tc>
        <w:tc>
          <w:tcPr>
            <w:tcW w:w="1290"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7364"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根据采购人提出的项目需求及要求编制详细可行的服务方案。</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的项目实施方案进度安排合理，且相关保障措施到位；对各项关键工作安排合理，对本项目的风险预见、风险应对措施完备，有完善的项目解决方案；项目管理方案完整，组织机构合理，人员有保障，分工与职责明确；提出具有建设性的方案优化建议的，根据响应情况得15～20分。</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项目实施方案进度安排较为合理，具备基本保障措施；对各项关键工作安排一般，风险预见、风险应对措施及项目解决方案较为完善；项目管理方案、组织机构、人员、保障，分工与职责基本满足采购人要求，根据响应情况得7～15分。</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（3）供应商对本项目的情况基本了解，有简单的项目实施保障措施、项目管理方案、项目解决方案，组织机构与人员配备基本齐全，分工与职责描述简单，根据响应情况得1～7分。 </w:t>
            </w:r>
          </w:p>
          <w:p>
            <w:pPr>
              <w:pStyle w:val="8"/>
              <w:ind w:left="0" w:leftChars="0" w:firstLine="0" w:firstLineChars="0"/>
              <w:rPr>
                <w:rFonts w:hint="eastAsia" w:ascii="宋体" w:hAnsi="宋体" w:eastAsia="宋体" w:cs="宋体"/>
                <w:color w:val="auto"/>
                <w:sz w:val="24"/>
                <w:szCs w:val="24"/>
                <w:lang w:val="en-US"/>
              </w:rPr>
            </w:pPr>
            <w:r>
              <w:rPr>
                <w:rFonts w:hint="eastAsia" w:ascii="宋体" w:hAnsi="宋体" w:eastAsia="宋体" w:cs="宋体"/>
                <w:b w:val="0"/>
                <w:bCs w:val="0"/>
                <w:color w:val="auto"/>
                <w:kern w:val="2"/>
                <w:sz w:val="24"/>
                <w:szCs w:val="24"/>
                <w:highlight w:val="none"/>
                <w:lang w:val="en-US" w:eastAsia="zh-CN" w:bidi="ar-SA"/>
              </w:rPr>
              <w:t>（4）无服务方案或不适用本项目的得0分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4" w:hRule="atLeast"/>
        </w:trPr>
        <w:tc>
          <w:tcPr>
            <w:tcW w:w="807" w:type="dxa"/>
            <w:vMerge w:val="continue"/>
            <w:noWrap w:val="0"/>
            <w:vAlign w:val="center"/>
          </w:tcPr>
          <w:p>
            <w:pPr>
              <w:snapToGrid w:val="0"/>
              <w:jc w:val="center"/>
              <w:rPr>
                <w:rFonts w:hint="eastAsia" w:ascii="宋体" w:hAnsi="宋体" w:eastAsia="宋体" w:cs="宋体"/>
                <w:color w:val="auto"/>
                <w:sz w:val="24"/>
                <w:szCs w:val="24"/>
                <w:highlight w:val="none"/>
              </w:rPr>
            </w:pPr>
          </w:p>
        </w:tc>
        <w:tc>
          <w:tcPr>
            <w:tcW w:w="1290"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364" w:type="dxa"/>
            <w:noWrap w:val="0"/>
            <w:vAlign w:val="center"/>
          </w:tcPr>
          <w:p>
            <w:pPr>
              <w:snapToGrid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服务承诺内容全面、合理、可行，能较好满足采购人需求的，得5分；服务承诺内容较为全面、基本合理可行，能基本满足采购人需求的，得2</w:t>
            </w:r>
            <w:r>
              <w:rPr>
                <w:rFonts w:hint="eastAsia" w:ascii="宋体" w:hAnsi="宋体" w:eastAsia="宋体" w:cs="宋体"/>
                <w:b w:val="0"/>
                <w:bCs w:val="0"/>
                <w:color w:val="auto"/>
                <w:kern w:val="2"/>
                <w:sz w:val="24"/>
                <w:szCs w:val="24"/>
                <w:highlight w:val="none"/>
                <w:lang w:val="en-US" w:eastAsia="zh-CN" w:bidi="ar-SA"/>
              </w:rPr>
              <w:t>～4分；服务承诺内容简略粗陋，合理性、可行性较差的，</w:t>
            </w:r>
            <w:r>
              <w:rPr>
                <w:rFonts w:hint="eastAsia" w:ascii="宋体" w:hAnsi="宋体" w:eastAsia="宋体" w:cs="宋体"/>
                <w:b w:val="0"/>
                <w:bCs w:val="0"/>
                <w:color w:val="auto"/>
                <w:kern w:val="0"/>
                <w:sz w:val="24"/>
                <w:szCs w:val="24"/>
                <w:highlight w:val="none"/>
              </w:rPr>
              <w:t>得0</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分</w:t>
            </w:r>
            <w:r>
              <w:rPr>
                <w:rFonts w:hint="eastAsia" w:ascii="宋体" w:hAnsi="宋体" w:eastAsia="宋体" w:cs="宋体"/>
                <w:b w:val="0"/>
                <w:bCs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4" w:hRule="atLeast"/>
        </w:trPr>
        <w:tc>
          <w:tcPr>
            <w:tcW w:w="807" w:type="dxa"/>
            <w:vMerge w:val="continue"/>
            <w:noWrap w:val="0"/>
            <w:vAlign w:val="center"/>
          </w:tcPr>
          <w:p>
            <w:pPr>
              <w:snapToGrid w:val="0"/>
              <w:jc w:val="center"/>
              <w:rPr>
                <w:rFonts w:hint="eastAsia" w:ascii="宋体" w:hAnsi="宋体" w:eastAsia="宋体" w:cs="宋体"/>
                <w:color w:val="auto"/>
                <w:sz w:val="24"/>
                <w:szCs w:val="24"/>
                <w:highlight w:val="none"/>
              </w:rPr>
            </w:pPr>
          </w:p>
        </w:tc>
        <w:tc>
          <w:tcPr>
            <w:tcW w:w="1290"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进度计划及保证措施</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c>
          <w:tcPr>
            <w:tcW w:w="7364" w:type="dxa"/>
            <w:noWrap w:val="0"/>
            <w:vAlign w:val="center"/>
          </w:tcPr>
          <w:p>
            <w:pPr>
              <w:snapToGrid w:val="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项目实施关键节点把握准确，进度掌控能力强，得</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分；对项目实施关键节点把握较准确，进度掌控能力较强，得</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分；对项目实施关键节点把握不准确，进度掌控能力一般，得</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分</w:t>
            </w:r>
            <w:r>
              <w:rPr>
                <w:rFonts w:hint="eastAsia" w:ascii="宋体" w:hAnsi="宋体" w:eastAsia="宋体" w:cs="宋体"/>
                <w:b w:val="0"/>
                <w:bCs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trPr>
        <w:tc>
          <w:tcPr>
            <w:tcW w:w="807" w:type="dxa"/>
            <w:vMerge w:val="continue"/>
            <w:noWrap w:val="0"/>
            <w:vAlign w:val="center"/>
          </w:tcPr>
          <w:p>
            <w:pPr>
              <w:snapToGrid w:val="0"/>
              <w:jc w:val="center"/>
              <w:rPr>
                <w:rFonts w:hint="eastAsia" w:ascii="宋体" w:hAnsi="宋体" w:eastAsia="宋体" w:cs="宋体"/>
                <w:color w:val="auto"/>
                <w:sz w:val="24"/>
                <w:szCs w:val="24"/>
                <w:highlight w:val="none"/>
              </w:rPr>
            </w:pPr>
          </w:p>
        </w:tc>
        <w:tc>
          <w:tcPr>
            <w:tcW w:w="1290"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保密、廉洁措施的说明</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364" w:type="dxa"/>
            <w:noWrap w:val="0"/>
            <w:vAlign w:val="center"/>
          </w:tcPr>
          <w:p>
            <w:pPr>
              <w:snapToGrid w:val="0"/>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sz w:val="24"/>
                <w:szCs w:val="24"/>
                <w:highlight w:val="none"/>
                <w:lang w:val="en-US" w:eastAsia="zh-CN"/>
              </w:rPr>
              <w:t>保密、廉洁措施</w:t>
            </w:r>
            <w:r>
              <w:rPr>
                <w:rFonts w:hint="eastAsia" w:ascii="宋体" w:hAnsi="宋体" w:eastAsia="宋体" w:cs="宋体"/>
                <w:b w:val="0"/>
                <w:bCs w:val="0"/>
                <w:color w:val="auto"/>
                <w:kern w:val="0"/>
                <w:sz w:val="24"/>
                <w:szCs w:val="24"/>
                <w:highlight w:val="none"/>
                <w:lang w:val="en-US" w:eastAsia="zh-CN"/>
              </w:rPr>
              <w:t>内容合理、可行，针对性强的，得5分；</w:t>
            </w:r>
            <w:r>
              <w:rPr>
                <w:rFonts w:hint="eastAsia" w:ascii="宋体" w:hAnsi="宋体" w:eastAsia="宋体" w:cs="宋体"/>
                <w:color w:val="auto"/>
                <w:sz w:val="24"/>
                <w:szCs w:val="24"/>
                <w:highlight w:val="none"/>
                <w:lang w:val="en-US" w:eastAsia="zh-CN"/>
              </w:rPr>
              <w:t>保密、廉洁措施</w:t>
            </w:r>
            <w:r>
              <w:rPr>
                <w:rFonts w:hint="eastAsia" w:ascii="宋体" w:hAnsi="宋体" w:eastAsia="宋体" w:cs="宋体"/>
                <w:b w:val="0"/>
                <w:bCs w:val="0"/>
                <w:color w:val="auto"/>
                <w:kern w:val="0"/>
                <w:sz w:val="24"/>
                <w:szCs w:val="24"/>
                <w:highlight w:val="none"/>
                <w:lang w:val="en-US" w:eastAsia="zh-CN"/>
              </w:rPr>
              <w:t>较为全面、基本合理可行的，得2</w:t>
            </w:r>
            <w:r>
              <w:rPr>
                <w:rFonts w:hint="eastAsia" w:ascii="宋体" w:hAnsi="宋体" w:eastAsia="宋体" w:cs="宋体"/>
                <w:b w:val="0"/>
                <w:bCs w:val="0"/>
                <w:color w:val="auto"/>
                <w:kern w:val="2"/>
                <w:sz w:val="24"/>
                <w:szCs w:val="24"/>
                <w:highlight w:val="none"/>
                <w:lang w:val="en-US" w:eastAsia="zh-CN" w:bidi="ar-SA"/>
              </w:rPr>
              <w:t>～4分；</w:t>
            </w:r>
            <w:r>
              <w:rPr>
                <w:rFonts w:hint="eastAsia" w:ascii="宋体" w:hAnsi="宋体" w:eastAsia="宋体" w:cs="宋体"/>
                <w:color w:val="auto"/>
                <w:sz w:val="24"/>
                <w:szCs w:val="24"/>
                <w:highlight w:val="none"/>
                <w:lang w:val="en-US" w:eastAsia="zh-CN"/>
              </w:rPr>
              <w:t>保密、廉洁措施</w:t>
            </w:r>
            <w:r>
              <w:rPr>
                <w:rFonts w:hint="eastAsia" w:ascii="宋体" w:hAnsi="宋体" w:eastAsia="宋体" w:cs="宋体"/>
                <w:b w:val="0"/>
                <w:bCs w:val="0"/>
                <w:color w:val="auto"/>
                <w:kern w:val="2"/>
                <w:sz w:val="24"/>
                <w:szCs w:val="24"/>
                <w:highlight w:val="none"/>
                <w:lang w:val="en-US" w:eastAsia="zh-CN" w:bidi="ar-SA"/>
              </w:rPr>
              <w:t>简略粗陋，合理性、可行性较差的，</w:t>
            </w:r>
            <w:r>
              <w:rPr>
                <w:rFonts w:hint="eastAsia" w:ascii="宋体" w:hAnsi="宋体" w:eastAsia="宋体" w:cs="宋体"/>
                <w:b w:val="0"/>
                <w:bCs w:val="0"/>
                <w:color w:val="auto"/>
                <w:kern w:val="0"/>
                <w:sz w:val="24"/>
                <w:szCs w:val="24"/>
                <w:highlight w:val="none"/>
              </w:rPr>
              <w:t>得0</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分</w:t>
            </w:r>
            <w:r>
              <w:rPr>
                <w:rFonts w:hint="eastAsia" w:ascii="宋体" w:hAnsi="宋体" w:eastAsia="宋体" w:cs="宋体"/>
                <w:b w:val="0"/>
                <w:bCs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trPr>
        <w:tc>
          <w:tcPr>
            <w:tcW w:w="807" w:type="dxa"/>
            <w:vMerge w:val="continue"/>
            <w:noWrap w:val="0"/>
            <w:vAlign w:val="center"/>
          </w:tcPr>
          <w:p>
            <w:pPr>
              <w:snapToGrid w:val="0"/>
              <w:jc w:val="center"/>
              <w:rPr>
                <w:rFonts w:hint="eastAsia" w:ascii="宋体" w:hAnsi="宋体" w:eastAsia="宋体" w:cs="宋体"/>
                <w:color w:val="auto"/>
                <w:sz w:val="24"/>
                <w:szCs w:val="24"/>
                <w:highlight w:val="none"/>
              </w:rPr>
            </w:pPr>
          </w:p>
        </w:tc>
        <w:tc>
          <w:tcPr>
            <w:tcW w:w="1290" w:type="dxa"/>
            <w:noWrap w:val="0"/>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重点难点分析及解决办法</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364" w:type="dxa"/>
            <w:noWrap w:val="0"/>
            <w:vAlign w:val="center"/>
          </w:tcPr>
          <w:p>
            <w:pPr>
              <w:snapToGrid w:val="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正确识别本项目重点难点，分析全面具体透彻，解决对策针对性强的得</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分；重点难点分析较全面，但不够具体和透彻，解决对策较合理可行的得</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分；无重难点分析及解决</w:t>
            </w:r>
            <w:r>
              <w:rPr>
                <w:rFonts w:hint="eastAsia" w:ascii="宋体" w:hAnsi="宋体" w:eastAsia="宋体" w:cs="宋体"/>
                <w:b w:val="0"/>
                <w:bCs w:val="0"/>
                <w:color w:val="auto"/>
                <w:kern w:val="0"/>
                <w:sz w:val="24"/>
                <w:szCs w:val="24"/>
                <w:highlight w:val="none"/>
                <w:lang w:val="en-US" w:eastAsia="zh-CN"/>
              </w:rPr>
              <w:t>对策</w:t>
            </w:r>
            <w:r>
              <w:rPr>
                <w:rFonts w:hint="eastAsia" w:ascii="宋体" w:hAnsi="宋体" w:eastAsia="宋体" w:cs="宋体"/>
                <w:b w:val="0"/>
                <w:bCs w:val="0"/>
                <w:color w:val="auto"/>
                <w:kern w:val="0"/>
                <w:sz w:val="24"/>
                <w:szCs w:val="24"/>
                <w:highlight w:val="none"/>
              </w:rPr>
              <w:t xml:space="preserve">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5" w:hRule="atLeast"/>
        </w:trPr>
        <w:tc>
          <w:tcPr>
            <w:tcW w:w="807" w:type="dxa"/>
            <w:vMerge w:val="restart"/>
            <w:noWrap w:val="0"/>
            <w:vAlign w:val="center"/>
          </w:tcPr>
          <w:p>
            <w:pPr>
              <w:snapToGrid w:val="0"/>
              <w:jc w:val="both"/>
              <w:rPr>
                <w:rFonts w:hint="eastAsia" w:ascii="宋体" w:hAnsi="宋体" w:eastAsia="宋体" w:cs="宋体"/>
                <w:color w:val="auto"/>
                <w:sz w:val="24"/>
                <w:szCs w:val="24"/>
                <w:highlight w:val="none"/>
              </w:rPr>
            </w:pPr>
          </w:p>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部分</w:t>
            </w:r>
          </w:p>
          <w:p>
            <w:pPr>
              <w:snapToGrid w:val="0"/>
              <w:jc w:val="center"/>
              <w:rPr>
                <w:rFonts w:hint="eastAsia" w:ascii="宋体" w:hAnsi="宋体" w:eastAsia="宋体" w:cs="宋体"/>
                <w:color w:val="auto"/>
                <w:sz w:val="24"/>
                <w:szCs w:val="24"/>
                <w:highlight w:val="none"/>
                <w:lang w:val="en-US" w:eastAsia="zh-CN"/>
              </w:rPr>
            </w:pPr>
          </w:p>
        </w:tc>
        <w:tc>
          <w:tcPr>
            <w:tcW w:w="1290" w:type="dxa"/>
            <w:noWrap w:val="0"/>
            <w:vAlign w:val="center"/>
          </w:tcPr>
          <w:p>
            <w:pPr>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拟投入的服务团队</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10分</w:t>
            </w:r>
          </w:p>
        </w:tc>
        <w:tc>
          <w:tcPr>
            <w:tcW w:w="7364" w:type="dxa"/>
            <w:noWrap w:val="0"/>
            <w:vAlign w:val="center"/>
          </w:tcPr>
          <w:p>
            <w:pPr>
              <w:pStyle w:val="40"/>
              <w:numPr>
                <w:ilvl w:val="0"/>
                <w:numId w:val="0"/>
              </w:numPr>
              <w:spacing w:line="240" w:lineRule="auto"/>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供应商所提供配套服务人员，从人数、结构、学历、职务、岗位分工、工作经历等方面赋分：</w:t>
            </w:r>
          </w:p>
          <w:p>
            <w:pPr>
              <w:pStyle w:val="40"/>
              <w:numPr>
                <w:ilvl w:val="0"/>
                <w:numId w:val="0"/>
              </w:numPr>
              <w:spacing w:line="240" w:lineRule="auto"/>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①结合本项目要求，配备满足磋商文件需求且服务好、责任心强的配套服务人员，提供完善的人员概况及人员相关证明资料，能有效保证项目的实际实施。根据响应情况得7～10分</w:t>
            </w:r>
          </w:p>
          <w:p>
            <w:pPr>
              <w:pStyle w:val="40"/>
              <w:numPr>
                <w:ilvl w:val="0"/>
                <w:numId w:val="0"/>
              </w:numPr>
              <w:spacing w:line="240" w:lineRule="auto"/>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②供应商所提供人员配备方案进本完善且合理，基本满足采购人实际需求，根据响应情况得4～7分</w:t>
            </w:r>
          </w:p>
          <w:p>
            <w:pPr>
              <w:pStyle w:val="40"/>
              <w:numPr>
                <w:ilvl w:val="0"/>
                <w:numId w:val="0"/>
              </w:numPr>
              <w:spacing w:line="240" w:lineRule="auto"/>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③供应商所提供针对本项目的人员配备方案较差、存在分配不合理、职责不明确的情况。根据响应情况得1～4分。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trPr>
        <w:tc>
          <w:tcPr>
            <w:tcW w:w="807" w:type="dxa"/>
            <w:vMerge w:val="continue"/>
            <w:noWrap w:val="0"/>
            <w:vAlign w:val="center"/>
          </w:tcPr>
          <w:p>
            <w:pPr>
              <w:snapToGrid w:val="0"/>
              <w:jc w:val="center"/>
              <w:rPr>
                <w:rFonts w:hint="eastAsia" w:ascii="宋体" w:hAnsi="宋体" w:eastAsia="宋体" w:cs="宋体"/>
                <w:color w:val="auto"/>
                <w:sz w:val="24"/>
                <w:szCs w:val="24"/>
                <w:highlight w:val="none"/>
              </w:rPr>
            </w:pPr>
          </w:p>
        </w:tc>
        <w:tc>
          <w:tcPr>
            <w:tcW w:w="1290" w:type="dxa"/>
            <w:noWrap w:val="0"/>
            <w:vAlign w:val="center"/>
          </w:tcPr>
          <w:p>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承担能力及经验比较</w:t>
            </w:r>
          </w:p>
          <w:p>
            <w:pPr>
              <w:snapToGrid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15分</w:t>
            </w:r>
          </w:p>
        </w:tc>
        <w:tc>
          <w:tcPr>
            <w:tcW w:w="7364" w:type="dxa"/>
            <w:noWrap w:val="0"/>
            <w:vAlign w:val="center"/>
          </w:tcPr>
          <w:p>
            <w:pPr>
              <w:snapToGri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供应商承担过</w:t>
            </w:r>
            <w:r>
              <w:rPr>
                <w:rFonts w:hint="eastAsia" w:ascii="宋体" w:hAnsi="宋体" w:eastAsia="宋体" w:cs="宋体"/>
                <w:b w:val="0"/>
                <w:bCs w:val="0"/>
                <w:color w:val="auto"/>
                <w:sz w:val="24"/>
                <w:szCs w:val="24"/>
                <w:highlight w:val="none"/>
                <w:lang w:val="en-US" w:eastAsia="zh-CN"/>
              </w:rPr>
              <w:t>同类</w:t>
            </w:r>
            <w:r>
              <w:rPr>
                <w:rFonts w:hint="eastAsia" w:ascii="宋体" w:hAnsi="宋体" w:eastAsia="宋体" w:cs="宋体"/>
                <w:b w:val="0"/>
                <w:bCs w:val="0"/>
                <w:color w:val="auto"/>
                <w:sz w:val="24"/>
                <w:szCs w:val="24"/>
                <w:highlight w:val="none"/>
              </w:rPr>
              <w:t>服务项目，具备丰富的项目实施经验。可提供相关业绩证明材料（以合同为准）或实施过的案例证明，每提供1份得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分，此项最高</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trPr>
        <w:tc>
          <w:tcPr>
            <w:tcW w:w="807" w:type="dxa"/>
            <w:vMerge w:val="continue"/>
            <w:noWrap w:val="0"/>
            <w:vAlign w:val="center"/>
          </w:tcPr>
          <w:p>
            <w:pPr>
              <w:snapToGrid w:val="0"/>
              <w:jc w:val="center"/>
              <w:rPr>
                <w:rFonts w:hint="eastAsia" w:ascii="宋体" w:hAnsi="宋体" w:eastAsia="宋体" w:cs="宋体"/>
                <w:color w:val="auto"/>
                <w:sz w:val="24"/>
                <w:szCs w:val="24"/>
                <w:highlight w:val="none"/>
              </w:rPr>
            </w:pPr>
          </w:p>
        </w:tc>
        <w:tc>
          <w:tcPr>
            <w:tcW w:w="1290" w:type="dxa"/>
            <w:noWrap w:val="0"/>
            <w:vAlign w:val="center"/>
          </w:tcPr>
          <w:p>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本地化服务能力</w:t>
            </w:r>
          </w:p>
          <w:p>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3分</w:t>
            </w:r>
          </w:p>
        </w:tc>
        <w:tc>
          <w:tcPr>
            <w:tcW w:w="7364" w:type="dxa"/>
            <w:noWrap w:val="0"/>
            <w:vAlign w:val="center"/>
          </w:tcPr>
          <w:p>
            <w:pPr>
              <w:snapToGrid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为保障项目服务，供应商</w:t>
            </w:r>
            <w:r>
              <w:rPr>
                <w:rFonts w:hint="eastAsia" w:ascii="宋体" w:hAnsi="宋体" w:eastAsia="宋体" w:cs="宋体"/>
                <w:b w:val="0"/>
                <w:bCs w:val="0"/>
                <w:color w:val="auto"/>
                <w:sz w:val="24"/>
                <w:szCs w:val="24"/>
                <w:highlight w:val="none"/>
              </w:rPr>
              <w:t>为西安本地企业或在西安，本地设立有分公司的得</w:t>
            </w:r>
            <w:r>
              <w:rPr>
                <w:rFonts w:hint="eastAsia" w:ascii="宋体" w:hAnsi="宋体" w:eastAsia="宋体" w:cs="宋体"/>
                <w:b w:val="0"/>
                <w:bCs w:val="0"/>
                <w:color w:val="auto"/>
                <w:sz w:val="24"/>
                <w:szCs w:val="24"/>
                <w:highlight w:val="none"/>
                <w:lang w:val="en-US" w:eastAsia="zh-CN"/>
              </w:rPr>
              <w:t>3分；供应商为省内（西安市以外）的企业得2分；省外企业得1分。</w:t>
            </w:r>
          </w:p>
          <w:p>
            <w:pPr>
              <w:snapToGrid w:val="0"/>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rPr>
              <w:t>注：以工商注册地为准</w:t>
            </w:r>
          </w:p>
        </w:tc>
      </w:tr>
    </w:tbl>
    <w:p>
      <w:pPr>
        <w:pStyle w:val="10"/>
        <w:ind w:left="0" w:leftChars="0" w:firstLine="0" w:firstLineChars="0"/>
        <w:rPr>
          <w:rFonts w:hint="eastAsia" w:ascii="宋体" w:hAnsi="宋体" w:eastAsia="宋体" w:cs="宋体"/>
          <w:color w:val="auto"/>
        </w:rPr>
      </w:pPr>
    </w:p>
    <w:p>
      <w:pPr>
        <w:spacing w:line="33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 评审得分相同的，按照最后报价由低到高的顺序推荐。评审得分且最后报价相同的，按照技术指标优劣顺序推荐；</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2) 各种计算采用插入法，数字均保留两位小数，第三位“四舍五入”；</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3）磋商响应文件对评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内容无响应的，该项评分按照0分计算；</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4）本项目以人民币为计量币种进行评审。</w:t>
      </w:r>
    </w:p>
    <w:p>
      <w:pPr>
        <w:pStyle w:val="4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bookmarkStart w:id="46" w:name="_Toc13753"/>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无效磋商响应文件</w:t>
      </w:r>
      <w:bookmarkEnd w:id="46"/>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在评审过程中，出现下列情形之一的，应作为无效磋商响应文件：</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磋商响应人未经过正常渠道</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竞争性磋商文件的；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磋商响应人名称与登记领取竞争性磋商文件单位的名称不一致的；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未按照竞争性磋商文件规定和要求对磋商响应文件进行签署、盖章的;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不具备竞争性磋商文件中规定的资格条件和资格审查要求的;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未按照竞争性磋商文件规定的格式要求编制的；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6 </w:t>
      </w:r>
      <w:r>
        <w:rPr>
          <w:rFonts w:hint="eastAsia" w:ascii="宋体" w:hAnsi="宋体" w:eastAsia="宋体" w:cs="宋体"/>
          <w:color w:val="auto"/>
          <w:sz w:val="24"/>
          <w:szCs w:val="24"/>
        </w:rPr>
        <w:t>未按竞争性磋商文件要求提交磋商响应文件；</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7 </w:t>
      </w:r>
      <w:r>
        <w:rPr>
          <w:rFonts w:hint="eastAsia" w:ascii="宋体" w:hAnsi="宋体" w:eastAsia="宋体" w:cs="宋体"/>
          <w:color w:val="auto"/>
          <w:sz w:val="24"/>
          <w:szCs w:val="24"/>
        </w:rPr>
        <w:t>未按竞争性磋商文件要求提交原件的；未按要求提交磋商响应文件份数和内容的；电子标书内容与纸质磋商响应文件内容不一致的；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8 </w:t>
      </w:r>
      <w:r>
        <w:rPr>
          <w:rFonts w:hint="eastAsia" w:ascii="宋体" w:hAnsi="宋体" w:eastAsia="宋体" w:cs="宋体"/>
          <w:color w:val="auto"/>
          <w:sz w:val="24"/>
          <w:szCs w:val="24"/>
        </w:rPr>
        <w:t>进口货物（产品）未办理正常进口手续的（如有）；</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val="en-US" w:eastAsia="zh-CN"/>
        </w:rPr>
        <w:t xml:space="preserve">9 </w:t>
      </w:r>
      <w:r>
        <w:rPr>
          <w:rFonts w:hint="eastAsia" w:ascii="宋体" w:hAnsi="宋体" w:eastAsia="宋体" w:cs="宋体"/>
          <w:color w:val="auto"/>
          <w:sz w:val="24"/>
          <w:szCs w:val="24"/>
        </w:rPr>
        <w:t>提供响应内容出现漏项或数量与要求不符的；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0 </w:t>
      </w:r>
      <w:r>
        <w:rPr>
          <w:rFonts w:hint="eastAsia" w:ascii="宋体" w:hAnsi="宋体" w:eastAsia="宋体" w:cs="宋体"/>
          <w:color w:val="auto"/>
          <w:sz w:val="24"/>
          <w:szCs w:val="24"/>
        </w:rPr>
        <w:t>响应的</w:t>
      </w:r>
      <w:r>
        <w:rPr>
          <w:rFonts w:hint="eastAsia" w:ascii="宋体" w:hAnsi="宋体" w:eastAsia="宋体" w:cs="宋体"/>
          <w:color w:val="auto"/>
          <w:sz w:val="24"/>
          <w:szCs w:val="24"/>
          <w:lang w:val="en-US" w:eastAsia="zh-CN"/>
        </w:rPr>
        <w:t>服务期</w:t>
      </w:r>
      <w:r>
        <w:rPr>
          <w:rFonts w:hint="eastAsia" w:ascii="宋体" w:hAnsi="宋体" w:eastAsia="宋体" w:cs="宋体"/>
          <w:color w:val="auto"/>
          <w:sz w:val="24"/>
          <w:szCs w:val="24"/>
        </w:rPr>
        <w:t>等商务条款不能满足</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要求的；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rPr>
        <w:t>磋商响应人的报价超过了采购人的预算价；</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磋商响应文件中附有采购人不能接受的条件；</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未载明或者载明的采购项目履约时间、方式、数量、技术参数、质量标准明及其他政府采购合同实质性内容与竞争性磋商文件要求不一致；</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技术标准</w:t>
      </w:r>
      <w:r>
        <w:rPr>
          <w:rFonts w:hint="eastAsia" w:ascii="宋体" w:hAnsi="宋体" w:eastAsia="宋体" w:cs="宋体"/>
          <w:color w:val="auto"/>
          <w:sz w:val="24"/>
          <w:szCs w:val="24"/>
        </w:rPr>
        <w:t>）不符合强制执行的国家标准；</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磋商响应文件的关键内容字迹模糊和无法辨认的；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6 </w:t>
      </w:r>
      <w:r>
        <w:rPr>
          <w:rFonts w:hint="eastAsia" w:ascii="宋体" w:hAnsi="宋体" w:eastAsia="宋体" w:cs="宋体"/>
          <w:color w:val="auto"/>
          <w:sz w:val="24"/>
          <w:szCs w:val="24"/>
        </w:rPr>
        <w:t>磋商响应文件不符合竞争性磋商文件规定的其他情形的；</w:t>
      </w:r>
    </w:p>
    <w:p>
      <w:pPr>
        <w:keepNext w:val="0"/>
        <w:keepLines w:val="0"/>
        <w:pageBreakBefore w:val="0"/>
        <w:kinsoku/>
        <w:wordWrap/>
        <w:overflowPunct/>
        <w:topLinePunct w:val="0"/>
        <w:bidi w:val="0"/>
        <w:adjustRightInd/>
        <w:snapToGrid/>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9.1.1</w:t>
      </w:r>
      <w:r>
        <w:rPr>
          <w:rFonts w:hint="eastAsia" w:ascii="宋体" w:hAnsi="宋体" w:eastAsia="宋体" w:cs="宋体"/>
          <w:color w:val="auto"/>
          <w:sz w:val="24"/>
          <w:szCs w:val="24"/>
          <w:lang w:val="en-US" w:eastAsia="zh-CN"/>
        </w:rPr>
        <w:t xml:space="preserve">7 </w:t>
      </w:r>
      <w:r>
        <w:rPr>
          <w:rFonts w:hint="eastAsia" w:ascii="宋体" w:hAnsi="宋体" w:eastAsia="宋体" w:cs="宋体"/>
          <w:color w:val="auto"/>
          <w:sz w:val="24"/>
          <w:szCs w:val="24"/>
        </w:rPr>
        <w:t>磋商响应文件不符合法律法规要求的。</w:t>
      </w:r>
    </w:p>
    <w:p>
      <w:pPr>
        <w:keepNext w:val="0"/>
        <w:keepLines w:val="0"/>
        <w:pageBreakBefore w:val="0"/>
        <w:kinsoku/>
        <w:wordWrap/>
        <w:overflowPunct/>
        <w:topLinePunct w:val="0"/>
        <w:bidi w:val="0"/>
        <w:adjustRightInd/>
        <w:snapToGrid/>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10</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特殊情况的处理</w:t>
      </w:r>
    </w:p>
    <w:p>
      <w:pPr>
        <w:keepNext w:val="0"/>
        <w:keepLines w:val="0"/>
        <w:pageBreakBefore w:val="0"/>
        <w:widowControl/>
        <w:kinsoku/>
        <w:wordWrap/>
        <w:overflowPunct/>
        <w:topLinePunct w:val="0"/>
        <w:autoSpaceDE w:val="0"/>
        <w:autoSpaceDN w:val="0"/>
        <w:bidi w:val="0"/>
        <w:adjustRightInd/>
        <w:snapToGrid/>
        <w:spacing w:line="360" w:lineRule="auto"/>
        <w:ind w:right="53"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10.1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磋商响应文件中如果出现前后不一致的，按照下列规定修正：</w:t>
      </w:r>
    </w:p>
    <w:p>
      <w:pPr>
        <w:keepNext w:val="0"/>
        <w:keepLines w:val="0"/>
        <w:pageBreakBefore w:val="0"/>
        <w:widowControl/>
        <w:kinsoku/>
        <w:wordWrap/>
        <w:overflowPunct/>
        <w:topLinePunct w:val="0"/>
        <w:autoSpaceDE w:val="0"/>
        <w:autoSpaceDN w:val="0"/>
        <w:bidi w:val="0"/>
        <w:adjustRightInd/>
        <w:snapToGrid/>
        <w:spacing w:line="360" w:lineRule="auto"/>
        <w:ind w:right="53"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10.1.1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响应文件中</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内容与响应文件中相应内容不一致的，以</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为准；大写金额和小写金额不一致的，以大写金额为准；单价金额小数点或者百分比有明显错位的，以响应报价表的总价为准，并修改单价；总价金额与按单价汇总金额不一致的，以单价金额计算结果为准。</w:t>
      </w:r>
    </w:p>
    <w:p>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磋商响应文件中图表与文字表述不一致的，以文字表述为准；</w:t>
      </w:r>
    </w:p>
    <w:p>
      <w:pPr>
        <w:keepNext w:val="0"/>
        <w:keepLines w:val="0"/>
        <w:pageBreakBefore w:val="0"/>
        <w:widowControl/>
        <w:kinsoku/>
        <w:wordWrap/>
        <w:overflowPunct/>
        <w:topLinePunct w:val="0"/>
        <w:autoSpaceDE w:val="0"/>
        <w:autoSpaceDN w:val="0"/>
        <w:bidi w:val="0"/>
        <w:adjustRightInd/>
        <w:snapToGrid/>
        <w:spacing w:line="360" w:lineRule="auto"/>
        <w:ind w:right="53"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10.1.3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磋商响应文件正本与副本不一致的，以正本为准；</w:t>
      </w:r>
    </w:p>
    <w:p>
      <w:pPr>
        <w:keepNext w:val="0"/>
        <w:keepLines w:val="0"/>
        <w:pageBreakBefore w:val="0"/>
        <w:kinsoku/>
        <w:wordWrap/>
        <w:overflowPunct/>
        <w:topLinePunct w:val="0"/>
        <w:bidi w:val="0"/>
        <w:adjustRightInd/>
        <w:snapToGrid/>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10.1.4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对不同文字文本磋商响应文件的解释发生异议的，以中文文本为准；</w:t>
      </w:r>
    </w:p>
    <w:p>
      <w:pPr>
        <w:keepNext w:val="0"/>
        <w:keepLines w:val="0"/>
        <w:pageBreakBefore w:val="0"/>
        <w:kinsoku/>
        <w:wordWrap/>
        <w:overflowPunct/>
        <w:topLinePunct w:val="0"/>
        <w:bidi w:val="0"/>
        <w:adjustRightInd/>
        <w:snapToGrid/>
        <w:spacing w:line="360" w:lineRule="auto"/>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10.1.5</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同时出现两种以上不一致的，按照前款规定的顺序修正。修正后的报价按照本章4.1条的规定经响应人确认后产生约束力，响应人不确认的，其磋商无效。</w:t>
      </w:r>
    </w:p>
    <w:p>
      <w:pPr>
        <w:keepNext w:val="0"/>
        <w:keepLines w:val="0"/>
        <w:pageBreakBefore w:val="0"/>
        <w:widowControl/>
        <w:kinsoku/>
        <w:wordWrap/>
        <w:overflowPunct/>
        <w:topLinePunct w:val="0"/>
        <w:autoSpaceDE w:val="0"/>
        <w:autoSpaceDN w:val="0"/>
        <w:bidi w:val="0"/>
        <w:adjustRightInd/>
        <w:snapToGrid/>
        <w:spacing w:line="360" w:lineRule="auto"/>
        <w:ind w:right="53"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10.2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磋商响应文件中，若某项内容为零报价、无报价，经磋商小组评审后，报价得分为零，不参与磋商报价分值的计算。</w:t>
      </w:r>
    </w:p>
    <w:p>
      <w:pPr>
        <w:pStyle w:val="26"/>
        <w:keepNext w:val="0"/>
        <w:keepLines w:val="0"/>
        <w:pageBreakBefore w:val="0"/>
        <w:kinsoku/>
        <w:wordWrap/>
        <w:overflowPunct/>
        <w:topLinePunct w:val="0"/>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评审过程中，若出现本评审办法以外的特殊情况时，将暂停评审，待磋商小组商榷后，再进行评定。</w:t>
      </w:r>
    </w:p>
    <w:p>
      <w:pPr>
        <w:pStyle w:val="26"/>
        <w:keepNext w:val="0"/>
        <w:keepLines w:val="0"/>
        <w:pageBreakBefore w:val="0"/>
        <w:kinsoku/>
        <w:wordWrap/>
        <w:overflowPunct/>
        <w:topLinePunct w:val="0"/>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评审结果汇总完成后，除下列情形外，任何人不得修改评审结果：</w:t>
      </w:r>
    </w:p>
    <w:p>
      <w:pPr>
        <w:pStyle w:val="26"/>
        <w:keepNext w:val="0"/>
        <w:keepLines w:val="0"/>
        <w:pageBreakBefore w:val="0"/>
        <w:kinsoku/>
        <w:wordWrap/>
        <w:overflowPunct/>
        <w:topLinePunct w:val="0"/>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分值汇总计算错误的；</w:t>
      </w:r>
    </w:p>
    <w:p>
      <w:pPr>
        <w:pStyle w:val="26"/>
        <w:keepNext w:val="0"/>
        <w:keepLines w:val="0"/>
        <w:pageBreakBefore w:val="0"/>
        <w:kinsoku/>
        <w:wordWrap/>
        <w:overflowPunct/>
        <w:topLinePunct w:val="0"/>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分项评分超出评分标准范围的；</w:t>
      </w:r>
    </w:p>
    <w:p>
      <w:pPr>
        <w:pStyle w:val="26"/>
        <w:keepNext w:val="0"/>
        <w:keepLines w:val="0"/>
        <w:pageBreakBefore w:val="0"/>
        <w:kinsoku/>
        <w:wordWrap/>
        <w:overflowPunct/>
        <w:topLinePunct w:val="0"/>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磋商小组成员对客观评审因素评分不一致的；</w:t>
      </w:r>
    </w:p>
    <w:p>
      <w:pPr>
        <w:pStyle w:val="26"/>
        <w:keepNext w:val="0"/>
        <w:keepLines w:val="0"/>
        <w:pageBreakBefore w:val="0"/>
        <w:kinsoku/>
        <w:wordWrap/>
        <w:overflowPunct/>
        <w:topLinePunct w:val="0"/>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10.4.4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经磋商小组认定评分畸高、畸低的。</w:t>
      </w:r>
    </w:p>
    <w:p>
      <w:pPr>
        <w:pStyle w:val="26"/>
        <w:keepNext w:val="0"/>
        <w:keepLines w:val="0"/>
        <w:pageBreakBefore w:val="0"/>
        <w:kinsoku/>
        <w:wordWrap/>
        <w:overflowPunct/>
        <w:topLinePunct w:val="0"/>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报告签署前，经复核发现存在以上情形之一的，磋商小组应当当场修改</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结果，并在</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报告中记载；</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报告签署后，采购人或者采购代理机构发现存在以上情形之一的，应当组织原磋商小组进行重新评审，重新评审改变</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结果的，书面报告本级财政部门。响应人对</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报告提出质疑的，采购人或者采购代理机构可以组织原磋商小组进行重新评审，重新评审改变</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结果的，应当书面报告本级财政部门。</w:t>
      </w:r>
    </w:p>
    <w:p>
      <w:pPr>
        <w:pStyle w:val="26"/>
        <w:keepNext w:val="0"/>
        <w:keepLines w:val="0"/>
        <w:pageBreakBefore w:val="0"/>
        <w:widowControl/>
        <w:kinsoku/>
        <w:wordWrap/>
        <w:overflowPunct/>
        <w:topLinePunct w:val="0"/>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磋商小组发现磋商文件存在歧义、重大缺陷导致</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工作无法进行，或者磋商文件内容违反国家有关强制性规定的，应当停止</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工作，与采购人或者采购代理机构沟通并作书面记录。采购人或者采购代理机构确认后，应当修改磋商文件，重新组织采购活动。</w:t>
      </w:r>
    </w:p>
    <w:p>
      <w:pPr>
        <w:keepNext w:val="0"/>
        <w:keepLines w:val="0"/>
        <w:pageBreakBefore w:val="0"/>
        <w:widowControl/>
        <w:kinsoku/>
        <w:wordWrap/>
        <w:overflowPunct/>
        <w:topLinePunct w:val="0"/>
        <w:autoSpaceDE w:val="0"/>
        <w:autoSpaceDN w:val="0"/>
        <w:bidi w:val="0"/>
        <w:adjustRightInd/>
        <w:snapToGrid/>
        <w:spacing w:line="360" w:lineRule="auto"/>
        <w:ind w:right="51"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10.7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排名第一的</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候选人，主动放弃成交或因不可抗力不能履行合同或被查实存在影响成交结果的违法行为等情形，已不再符合成交条件的，采购人可以按照磋商小组提出的</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候选人名单排序依次确定第二</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候选人为成交人，也可以根据实际情况需要，依法重新组织采购活动。</w:t>
      </w:r>
    </w:p>
    <w:p>
      <w:pPr>
        <w:keepNext w:val="0"/>
        <w:keepLines w:val="0"/>
        <w:pageBreakBefore w:val="0"/>
        <w:widowControl/>
        <w:kinsoku/>
        <w:wordWrap/>
        <w:overflowPunct/>
        <w:topLinePunct w:val="0"/>
        <w:autoSpaceDE w:val="0"/>
        <w:autoSpaceDN w:val="0"/>
        <w:bidi w:val="0"/>
        <w:adjustRightInd/>
        <w:snapToGrid/>
        <w:spacing w:line="360" w:lineRule="auto"/>
        <w:ind w:right="53"/>
        <w:textAlignment w:val="bottom"/>
        <w:rPr>
          <w:rFonts w:hint="eastAsia" w:ascii="宋体" w:hAnsi="宋体" w:eastAsia="宋体" w:cs="宋体"/>
          <w:b/>
          <w:color w:val="auto"/>
          <w:sz w:val="24"/>
          <w:szCs w:val="24"/>
        </w:rPr>
      </w:pPr>
      <w:r>
        <w:rPr>
          <w:rFonts w:hint="eastAsia" w:ascii="宋体" w:hAnsi="宋体" w:eastAsia="宋体" w:cs="宋体"/>
          <w:b/>
          <w:color w:val="auto"/>
          <w:sz w:val="24"/>
          <w:szCs w:val="24"/>
        </w:rPr>
        <w:t>11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成交</w:t>
      </w:r>
      <w:r>
        <w:rPr>
          <w:rFonts w:hint="eastAsia" w:ascii="宋体" w:hAnsi="宋体" w:eastAsia="宋体" w:cs="宋体"/>
          <w:b/>
          <w:color w:val="auto"/>
          <w:sz w:val="24"/>
          <w:szCs w:val="24"/>
        </w:rPr>
        <w:t>结果</w:t>
      </w:r>
    </w:p>
    <w:p>
      <w:pPr>
        <w:keepNext w:val="0"/>
        <w:keepLines w:val="0"/>
        <w:pageBreakBefore w:val="0"/>
        <w:widowControl/>
        <w:kinsoku/>
        <w:wordWrap/>
        <w:overflowPunct/>
        <w:topLinePunct w:val="0"/>
        <w:bidi w:val="0"/>
        <w:adjustRightInd/>
        <w:snapToGrid/>
        <w:spacing w:beforeLines="50" w:line="360" w:lineRule="auto"/>
        <w:ind w:firstLine="470" w:firstLineChars="196"/>
        <w:jc w:val="left"/>
        <w:rPr>
          <w:rFonts w:hint="eastAsia" w:ascii="宋体" w:hAnsi="宋体" w:eastAsia="宋体" w:cs="宋体"/>
          <w:color w:val="auto"/>
          <w:sz w:val="24"/>
          <w:szCs w:val="24"/>
        </w:rPr>
      </w:pPr>
      <w:bookmarkStart w:id="47" w:name="_Toc217446063"/>
      <w:bookmarkStart w:id="48" w:name="_Toc183582238"/>
      <w:bookmarkStart w:id="49" w:name="_Toc183682375"/>
      <w:r>
        <w:rPr>
          <w:rFonts w:hint="eastAsia" w:ascii="宋体" w:hAnsi="宋体" w:eastAsia="宋体" w:cs="宋体"/>
          <w:color w:val="auto"/>
          <w:sz w:val="24"/>
          <w:szCs w:val="24"/>
        </w:rPr>
        <w:t>11.1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采购人从评审报告中推荐的</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候选磋商响应人中，按照排序由高到低的原则确定成交人。</w:t>
      </w:r>
    </w:p>
    <w:p>
      <w:pPr>
        <w:keepNext w:val="0"/>
        <w:keepLines w:val="0"/>
        <w:pageBreakBefore w:val="0"/>
        <w:widowControl/>
        <w:kinsoku/>
        <w:wordWrap/>
        <w:overflowPunct/>
        <w:topLinePunct w:val="0"/>
        <w:bidi w:val="0"/>
        <w:adjustRightInd/>
        <w:snapToGrid/>
        <w:spacing w:beforeLines="50" w:line="360" w:lineRule="auto"/>
        <w:ind w:firstLine="470" w:firstLineChars="196"/>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结果按评审后得分由高到低顺序排列。得分相同的，按</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rPr>
        <w:t>报价由低到高顺序排列。得分且</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rPr>
        <w:t>报价相同的并列。磋商响应文件满足磋商文件全部实质性要求，且按照评审因素的量化指标评审得分最高的响应人为排名第一的</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候选人。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12、确定</w:t>
      </w:r>
      <w:r>
        <w:rPr>
          <w:rFonts w:hint="eastAsia" w:ascii="宋体" w:hAnsi="宋体" w:eastAsia="宋体" w:cs="宋体"/>
          <w:b/>
          <w:color w:val="auto"/>
          <w:sz w:val="24"/>
          <w:szCs w:val="24"/>
          <w:lang w:val="en-US" w:eastAsia="zh-CN"/>
        </w:rPr>
        <w:t>成交</w:t>
      </w:r>
      <w:r>
        <w:rPr>
          <w:rFonts w:hint="eastAsia" w:ascii="宋体" w:hAnsi="宋体" w:eastAsia="宋体" w:cs="宋体"/>
          <w:b/>
          <w:color w:val="auto"/>
          <w:sz w:val="24"/>
          <w:szCs w:val="24"/>
        </w:rPr>
        <w:t>候选人</w:t>
      </w:r>
    </w:p>
    <w:p>
      <w:pPr>
        <w:keepNext w:val="0"/>
        <w:keepLines w:val="0"/>
        <w:pageBreakBefore w:val="0"/>
        <w:tabs>
          <w:tab w:val="left" w:pos="0"/>
        </w:tabs>
        <w:kinsoku/>
        <w:wordWrap/>
        <w:overflowPunct/>
        <w:topLinePunct w:val="0"/>
        <w:bidi w:val="0"/>
        <w:adjustRightInd/>
        <w:snapToGrid/>
        <w:spacing w:line="360" w:lineRule="auto"/>
        <w:ind w:firstLine="480"/>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12.1、采购代理机构应当在</w:t>
      </w:r>
      <w:r>
        <w:rPr>
          <w:rFonts w:hint="eastAsia" w:ascii="宋体" w:hAnsi="宋体" w:eastAsia="宋体" w:cs="宋体"/>
          <w:bCs/>
          <w:color w:val="auto"/>
          <w:kern w:val="1"/>
          <w:sz w:val="24"/>
          <w:szCs w:val="24"/>
          <w:lang w:eastAsia="zh-CN"/>
        </w:rPr>
        <w:t>评审</w:t>
      </w:r>
      <w:r>
        <w:rPr>
          <w:rFonts w:hint="eastAsia" w:ascii="宋体" w:hAnsi="宋体" w:eastAsia="宋体" w:cs="宋体"/>
          <w:bCs/>
          <w:color w:val="auto"/>
          <w:kern w:val="1"/>
          <w:sz w:val="24"/>
          <w:szCs w:val="24"/>
        </w:rPr>
        <w:t>结束后2个工作日内将</w:t>
      </w:r>
      <w:r>
        <w:rPr>
          <w:rFonts w:hint="eastAsia" w:ascii="宋体" w:hAnsi="宋体" w:eastAsia="宋体" w:cs="宋体"/>
          <w:bCs/>
          <w:color w:val="auto"/>
          <w:kern w:val="1"/>
          <w:sz w:val="24"/>
          <w:szCs w:val="24"/>
          <w:lang w:eastAsia="zh-CN"/>
        </w:rPr>
        <w:t>评审</w:t>
      </w:r>
      <w:r>
        <w:rPr>
          <w:rFonts w:hint="eastAsia" w:ascii="宋体" w:hAnsi="宋体" w:eastAsia="宋体" w:cs="宋体"/>
          <w:bCs/>
          <w:color w:val="auto"/>
          <w:kern w:val="1"/>
          <w:sz w:val="24"/>
          <w:szCs w:val="24"/>
        </w:rPr>
        <w:t>报告送采购人。采购人应当自收到</w:t>
      </w:r>
      <w:r>
        <w:rPr>
          <w:rFonts w:hint="eastAsia" w:ascii="宋体" w:hAnsi="宋体" w:eastAsia="宋体" w:cs="宋体"/>
          <w:bCs/>
          <w:color w:val="auto"/>
          <w:kern w:val="1"/>
          <w:sz w:val="24"/>
          <w:szCs w:val="24"/>
          <w:lang w:eastAsia="zh-CN"/>
        </w:rPr>
        <w:t>评审</w:t>
      </w:r>
      <w:r>
        <w:rPr>
          <w:rFonts w:hint="eastAsia" w:ascii="宋体" w:hAnsi="宋体" w:eastAsia="宋体" w:cs="宋体"/>
          <w:bCs/>
          <w:color w:val="auto"/>
          <w:kern w:val="1"/>
          <w:sz w:val="24"/>
          <w:szCs w:val="24"/>
        </w:rPr>
        <w:t>报告之日起5个工作日内，在</w:t>
      </w:r>
      <w:r>
        <w:rPr>
          <w:rFonts w:hint="eastAsia" w:ascii="宋体" w:hAnsi="宋体" w:eastAsia="宋体" w:cs="宋体"/>
          <w:bCs/>
          <w:color w:val="auto"/>
          <w:kern w:val="1"/>
          <w:sz w:val="24"/>
          <w:szCs w:val="24"/>
          <w:lang w:eastAsia="zh-CN"/>
        </w:rPr>
        <w:t>评审</w:t>
      </w:r>
      <w:r>
        <w:rPr>
          <w:rFonts w:hint="eastAsia" w:ascii="宋体" w:hAnsi="宋体" w:eastAsia="宋体" w:cs="宋体"/>
          <w:bCs/>
          <w:color w:val="auto"/>
          <w:kern w:val="1"/>
          <w:sz w:val="24"/>
          <w:szCs w:val="24"/>
        </w:rPr>
        <w:t>报告确定的成交候选人名单中按顺序确定成交人。成交候选人并列的，由采购人或者采购人委托磋商小组按照磋商文件规定的方式确定成交人。采购人在收到</w:t>
      </w:r>
      <w:r>
        <w:rPr>
          <w:rFonts w:hint="eastAsia" w:ascii="宋体" w:hAnsi="宋体" w:eastAsia="宋体" w:cs="宋体"/>
          <w:bCs/>
          <w:color w:val="auto"/>
          <w:kern w:val="1"/>
          <w:sz w:val="24"/>
          <w:szCs w:val="24"/>
          <w:lang w:eastAsia="zh-CN"/>
        </w:rPr>
        <w:t>评审</w:t>
      </w:r>
      <w:r>
        <w:rPr>
          <w:rFonts w:hint="eastAsia" w:ascii="宋体" w:hAnsi="宋体" w:eastAsia="宋体" w:cs="宋体"/>
          <w:bCs/>
          <w:color w:val="auto"/>
          <w:kern w:val="1"/>
          <w:sz w:val="24"/>
          <w:szCs w:val="24"/>
        </w:rPr>
        <w:t>报告5个工作日内未按</w:t>
      </w:r>
      <w:r>
        <w:rPr>
          <w:rFonts w:hint="eastAsia" w:ascii="宋体" w:hAnsi="宋体" w:eastAsia="宋体" w:cs="宋体"/>
          <w:bCs/>
          <w:color w:val="auto"/>
          <w:kern w:val="1"/>
          <w:sz w:val="24"/>
          <w:szCs w:val="24"/>
          <w:lang w:eastAsia="zh-CN"/>
        </w:rPr>
        <w:t>评审</w:t>
      </w:r>
      <w:r>
        <w:rPr>
          <w:rFonts w:hint="eastAsia" w:ascii="宋体" w:hAnsi="宋体" w:eastAsia="宋体" w:cs="宋体"/>
          <w:bCs/>
          <w:color w:val="auto"/>
          <w:kern w:val="1"/>
          <w:sz w:val="24"/>
          <w:szCs w:val="24"/>
        </w:rPr>
        <w:t>报告推荐的成交候选人顺序确定</w:t>
      </w:r>
      <w:r>
        <w:rPr>
          <w:rFonts w:hint="eastAsia" w:ascii="宋体" w:hAnsi="宋体" w:eastAsia="宋体" w:cs="宋体"/>
          <w:bCs/>
          <w:color w:val="auto"/>
          <w:kern w:val="1"/>
          <w:sz w:val="24"/>
          <w:szCs w:val="24"/>
          <w:lang w:eastAsia="zh-CN"/>
        </w:rPr>
        <w:t>成交供应商</w:t>
      </w:r>
      <w:r>
        <w:rPr>
          <w:rFonts w:hint="eastAsia" w:ascii="宋体" w:hAnsi="宋体" w:eastAsia="宋体" w:cs="宋体"/>
          <w:bCs/>
          <w:color w:val="auto"/>
          <w:kern w:val="1"/>
          <w:sz w:val="24"/>
          <w:szCs w:val="24"/>
        </w:rPr>
        <w:t>，又不能说明合法理由的，视同按</w:t>
      </w:r>
      <w:r>
        <w:rPr>
          <w:rFonts w:hint="eastAsia" w:ascii="宋体" w:hAnsi="宋体" w:eastAsia="宋体" w:cs="宋体"/>
          <w:bCs/>
          <w:color w:val="auto"/>
          <w:kern w:val="1"/>
          <w:sz w:val="24"/>
          <w:szCs w:val="24"/>
          <w:lang w:eastAsia="zh-CN"/>
        </w:rPr>
        <w:t>评审</w:t>
      </w:r>
      <w:r>
        <w:rPr>
          <w:rFonts w:hint="eastAsia" w:ascii="宋体" w:hAnsi="宋体" w:eastAsia="宋体" w:cs="宋体"/>
          <w:bCs/>
          <w:color w:val="auto"/>
          <w:kern w:val="1"/>
          <w:sz w:val="24"/>
          <w:szCs w:val="24"/>
        </w:rPr>
        <w:t>报告推荐的顺序确定排名第一的成交候选人为成交人。</w:t>
      </w:r>
    </w:p>
    <w:p>
      <w:pPr>
        <w:keepNext w:val="0"/>
        <w:keepLines w:val="0"/>
        <w:pageBreakBefore w:val="0"/>
        <w:tabs>
          <w:tab w:val="left" w:pos="0"/>
        </w:tabs>
        <w:kinsoku/>
        <w:wordWrap/>
        <w:overflowPunct/>
        <w:topLinePunct w:val="0"/>
        <w:bidi w:val="0"/>
        <w:adjustRightInd/>
        <w:snapToGrid/>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12.2</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采购人或者采购代理机构应当自成交人确定之日起2个工作日内，在省级以上财政部门指定的媒体（《陕西省政府采购网》）公告成交结果，磋商文件应当随成交结果同时公告。成交结果公告内容应当包括采购人及其委托的采购代理机构的名称、地址、联系方式，项目名称和项目编号，成交人名称、地址和成交金额，主要成交标的的名称、</w:t>
      </w:r>
      <w:r>
        <w:rPr>
          <w:rFonts w:hint="eastAsia" w:ascii="宋体" w:hAnsi="宋体" w:eastAsia="宋体" w:cs="宋体"/>
          <w:color w:val="auto"/>
          <w:kern w:val="1"/>
          <w:sz w:val="24"/>
          <w:szCs w:val="24"/>
          <w:lang w:val="en-US" w:eastAsia="zh-CN"/>
        </w:rPr>
        <w:t>工期、质量</w:t>
      </w:r>
      <w:r>
        <w:rPr>
          <w:rFonts w:hint="eastAsia" w:ascii="宋体" w:hAnsi="宋体" w:eastAsia="宋体" w:cs="宋体"/>
          <w:color w:val="auto"/>
          <w:kern w:val="1"/>
          <w:sz w:val="24"/>
          <w:szCs w:val="24"/>
        </w:rPr>
        <w:t>要求，成交公告期限以及评审专家名单。成交公告期限为1个工作日。</w:t>
      </w:r>
    </w:p>
    <w:p>
      <w:pPr>
        <w:keepNext w:val="0"/>
        <w:keepLines w:val="0"/>
        <w:pageBreakBefore w:val="0"/>
        <w:tabs>
          <w:tab w:val="left" w:pos="0"/>
        </w:tabs>
        <w:kinsoku/>
        <w:wordWrap/>
        <w:overflowPunct/>
        <w:topLinePunct w:val="0"/>
        <w:bidi w:val="0"/>
        <w:adjustRightInd/>
        <w:snapToGrid/>
        <w:spacing w:line="360" w:lineRule="auto"/>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12.3</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在公告成交结果的同时，采购人或者采购代理机构应当向成交人发出成交通知书。</w:t>
      </w:r>
    </w:p>
    <w:p>
      <w:pPr>
        <w:keepNext w:val="0"/>
        <w:keepLines w:val="0"/>
        <w:pageBreakBefore w:val="0"/>
        <w:kinsoku/>
        <w:wordWrap/>
        <w:overflowPunct/>
        <w:topLinePunct w:val="0"/>
        <w:bidi w:val="0"/>
        <w:adjustRightInd/>
        <w:snapToGrid/>
        <w:spacing w:beforeLines="50" w:afterLines="50"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13</w:t>
      </w:r>
      <w:bookmarkEnd w:id="47"/>
      <w:bookmarkEnd w:id="48"/>
      <w:bookmarkEnd w:id="49"/>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成交通知书</w:t>
      </w:r>
    </w:p>
    <w:p>
      <w:pPr>
        <w:keepNext w:val="0"/>
        <w:keepLines w:val="0"/>
        <w:pageBreakBefore w:val="0"/>
        <w:widowControl/>
        <w:kinsoku/>
        <w:wordWrap/>
        <w:overflowPunct/>
        <w:topLinePunct w:val="0"/>
        <w:bidi w:val="0"/>
        <w:adjustRightInd/>
        <w:snapToGrid/>
        <w:spacing w:line="360" w:lineRule="auto"/>
        <w:ind w:firstLine="470" w:firstLineChars="196"/>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成交通知书是合同文件的组成部分，对采购人和成交人具有同等法律效力。</w:t>
      </w:r>
      <w:r>
        <w:rPr>
          <w:rFonts w:hint="eastAsia" w:ascii="宋体" w:hAnsi="宋体" w:eastAsia="宋体" w:cs="宋体"/>
          <w:color w:val="auto"/>
          <w:kern w:val="0"/>
          <w:sz w:val="24"/>
          <w:szCs w:val="24"/>
        </w:rPr>
        <w:t>成交通知书发出后，采购人改变</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结果或者成交人放弃成交，应按相关法律、规章、规范性文件的要求承担相应的法律责任。</w:t>
      </w:r>
    </w:p>
    <w:p>
      <w:pPr>
        <w:keepNext w:val="0"/>
        <w:keepLines w:val="0"/>
        <w:pageBreakBefore w:val="0"/>
        <w:tabs>
          <w:tab w:val="left" w:pos="7665"/>
        </w:tabs>
        <w:kinsoku/>
        <w:wordWrap/>
        <w:overflowPunct/>
        <w:topLinePunct w:val="0"/>
        <w:bidi w:val="0"/>
        <w:adjustRightInd/>
        <w:snapToGrid/>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成交人应当在接到采购代理机构通知之日起5个工作日内，领取《成交通知书》。</w:t>
      </w:r>
    </w:p>
    <w:p>
      <w:pPr>
        <w:keepNext w:val="0"/>
        <w:keepLines w:val="0"/>
        <w:pageBreakBefore w:val="0"/>
        <w:tabs>
          <w:tab w:val="left" w:pos="7665"/>
        </w:tabs>
        <w:kinsoku/>
        <w:wordWrap/>
        <w:overflowPunct/>
        <w:topLinePunct w:val="0"/>
        <w:bidi w:val="0"/>
        <w:adjustRightInd/>
        <w:snapToGrid/>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13.3在《成交通知书》发出后，发现成交人有政府采购法律法规规章制度规定的成交无效情形的，采购代理机构在取得有权主体认定后，应当宣布发出的成交通知书无效，并收回发出的成交通知书（成交人也应当缴回），依法重新确定成交人或者重新开展采购活动。</w:t>
      </w:r>
    </w:p>
    <w:p>
      <w:pPr>
        <w:keepNext w:val="0"/>
        <w:keepLines w:val="0"/>
        <w:pageBreakBefore w:val="0"/>
        <w:tabs>
          <w:tab w:val="left" w:pos="7665"/>
        </w:tabs>
        <w:kinsoku/>
        <w:wordWrap/>
        <w:overflowPunct/>
        <w:topLinePunct w:val="0"/>
        <w:bidi w:val="0"/>
        <w:adjustRightInd/>
        <w:snapToGrid/>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成交人在收到采购代理机构的成交通知书后5日内，应按照磋商响应人须知前列表的规定，向采购人提交履约磋商保证金或履约担保。</w:t>
      </w:r>
    </w:p>
    <w:p>
      <w:pPr>
        <w:keepNext w:val="0"/>
        <w:keepLines w:val="0"/>
        <w:pageBreakBefore w:val="0"/>
        <w:tabs>
          <w:tab w:val="left" w:pos="7665"/>
        </w:tabs>
        <w:kinsoku/>
        <w:wordWrap/>
        <w:overflowPunct/>
        <w:topLinePunct w:val="0"/>
        <w:bidi w:val="0"/>
        <w:adjustRightInd/>
        <w:snapToGrid/>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color w:val="auto"/>
          <w:sz w:val="24"/>
          <w:szCs w:val="24"/>
        </w:rPr>
        <w:t>13.5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成交人</w:t>
      </w:r>
      <w:r>
        <w:rPr>
          <w:rFonts w:hint="eastAsia" w:ascii="宋体" w:hAnsi="宋体" w:eastAsia="宋体" w:cs="宋体"/>
          <w:color w:val="auto"/>
          <w:spacing w:val="4"/>
          <w:sz w:val="24"/>
          <w:szCs w:val="24"/>
        </w:rPr>
        <w:t>没有按照本章第13.4条</w:t>
      </w:r>
      <w:r>
        <w:rPr>
          <w:rFonts w:hint="eastAsia" w:ascii="宋体" w:hAnsi="宋体" w:eastAsia="宋体" w:cs="宋体"/>
          <w:color w:val="auto"/>
          <w:kern w:val="0"/>
          <w:sz w:val="24"/>
          <w:szCs w:val="24"/>
          <w:lang w:val="zh-CN"/>
        </w:rPr>
        <w:t>款</w:t>
      </w:r>
      <w:r>
        <w:rPr>
          <w:rFonts w:hint="eastAsia" w:ascii="宋体" w:hAnsi="宋体" w:eastAsia="宋体" w:cs="宋体"/>
          <w:color w:val="auto"/>
          <w:spacing w:val="4"/>
          <w:sz w:val="24"/>
          <w:szCs w:val="24"/>
        </w:rPr>
        <w:t>规定</w:t>
      </w:r>
      <w:r>
        <w:rPr>
          <w:rFonts w:hint="eastAsia" w:ascii="宋体" w:hAnsi="宋体" w:eastAsia="宋体" w:cs="宋体"/>
          <w:color w:val="auto"/>
          <w:sz w:val="24"/>
          <w:szCs w:val="24"/>
        </w:rPr>
        <w:t>提交履约磋商保证金或履约担保的</w:t>
      </w:r>
      <w:r>
        <w:rPr>
          <w:rFonts w:hint="eastAsia" w:ascii="宋体" w:hAnsi="宋体" w:eastAsia="宋体" w:cs="宋体"/>
          <w:color w:val="auto"/>
          <w:spacing w:val="4"/>
          <w:sz w:val="24"/>
          <w:szCs w:val="24"/>
        </w:rPr>
        <w:t>，视为放弃</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资格</w:t>
      </w:r>
      <w:r>
        <w:rPr>
          <w:rFonts w:hint="eastAsia" w:ascii="宋体" w:hAnsi="宋体" w:eastAsia="宋体" w:cs="宋体"/>
          <w:color w:val="auto"/>
          <w:spacing w:val="4"/>
          <w:sz w:val="24"/>
          <w:szCs w:val="24"/>
        </w:rPr>
        <w:t>，</w:t>
      </w:r>
      <w:r>
        <w:rPr>
          <w:rFonts w:hint="eastAsia" w:ascii="宋体" w:hAnsi="宋体" w:eastAsia="宋体" w:cs="宋体"/>
          <w:color w:val="auto"/>
          <w:spacing w:val="2"/>
          <w:sz w:val="24"/>
          <w:szCs w:val="24"/>
        </w:rPr>
        <w:t>其磋商保证金不予退还。</w:t>
      </w:r>
      <w:bookmarkStart w:id="50" w:name="_Toc14096"/>
      <w:bookmarkStart w:id="51" w:name="_Toc32636"/>
      <w:bookmarkStart w:id="52" w:name="_Toc22070"/>
      <w:bookmarkStart w:id="53" w:name="_Toc1447_WPSOffice_Level1"/>
      <w:bookmarkStart w:id="54" w:name="_Toc27716_WPSOffice_Level1"/>
      <w:bookmarkStart w:id="55" w:name="_Toc6433"/>
    </w:p>
    <w:p>
      <w:pPr>
        <w:keepNext w:val="0"/>
        <w:keepLines w:val="0"/>
        <w:pageBreakBefore w:val="0"/>
        <w:widowControl w:val="0"/>
        <w:kinsoku/>
        <w:wordWrap/>
        <w:overflowPunct/>
        <w:topLinePunct w:val="0"/>
        <w:autoSpaceDE/>
        <w:autoSpaceDN/>
        <w:bidi w:val="0"/>
        <w:adjustRightInd w:val="0"/>
        <w:snapToGrid w:val="0"/>
        <w:spacing w:line="360" w:lineRule="auto"/>
        <w:ind w:firstLine="1446" w:firstLineChars="600"/>
        <w:textAlignment w:val="auto"/>
        <w:outlineLvl w:val="9"/>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2168" w:firstLineChars="600"/>
        <w:textAlignment w:val="auto"/>
        <w:outlineLvl w:val="9"/>
        <w:rPr>
          <w:rFonts w:hint="eastAsia" w:ascii="宋体" w:hAnsi="宋体" w:eastAsia="宋体" w:cs="宋体"/>
          <w:b/>
          <w:color w:val="auto"/>
          <w:sz w:val="36"/>
          <w:szCs w:val="36"/>
          <w:highlight w:val="none"/>
        </w:rPr>
      </w:pPr>
    </w:p>
    <w:p>
      <w:pPr>
        <w:pStyle w:val="15"/>
        <w:rPr>
          <w:rFonts w:hint="eastAsia" w:ascii="宋体" w:hAnsi="宋体" w:eastAsia="宋体" w:cs="宋体"/>
          <w:b/>
          <w:color w:val="auto"/>
          <w:sz w:val="36"/>
          <w:szCs w:val="36"/>
          <w:highlight w:val="none"/>
        </w:rPr>
      </w:pPr>
    </w:p>
    <w:p>
      <w:pPr>
        <w:pStyle w:val="16"/>
        <w:rPr>
          <w:rFonts w:hint="eastAsia" w:ascii="宋体" w:hAnsi="宋体" w:eastAsia="宋体" w:cs="宋体"/>
          <w:b/>
          <w:color w:val="auto"/>
          <w:sz w:val="36"/>
          <w:szCs w:val="36"/>
          <w:highlight w:val="none"/>
        </w:rPr>
      </w:pPr>
    </w:p>
    <w:p>
      <w:pPr>
        <w:pStyle w:val="16"/>
        <w:rPr>
          <w:rFonts w:hint="eastAsia" w:ascii="宋体" w:hAnsi="宋体" w:eastAsia="宋体" w:cs="宋体"/>
          <w:b/>
          <w:color w:val="auto"/>
          <w:sz w:val="36"/>
          <w:szCs w:val="36"/>
          <w:highlight w:val="none"/>
        </w:rPr>
      </w:pPr>
    </w:p>
    <w:p>
      <w:pPr>
        <w:pStyle w:val="16"/>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bookmarkStart w:id="56" w:name="_Toc20405"/>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807" w:firstLineChars="500"/>
        <w:textAlignment w:val="auto"/>
        <w:outlineLvl w:val="0"/>
        <w:rPr>
          <w:rFonts w:hint="eastAsia" w:ascii="宋体" w:hAnsi="宋体" w:eastAsia="宋体" w:cs="宋体"/>
          <w:b w:val="0"/>
          <w:bCs/>
          <w:color w:val="auto"/>
          <w:kern w:val="0"/>
          <w:sz w:val="22"/>
          <w:szCs w:val="22"/>
          <w:highlight w:val="none"/>
        </w:rPr>
      </w:pPr>
      <w:r>
        <w:rPr>
          <w:rFonts w:hint="eastAsia" w:ascii="宋体" w:hAnsi="宋体" w:eastAsia="宋体" w:cs="宋体"/>
          <w:b/>
          <w:color w:val="auto"/>
          <w:sz w:val="36"/>
          <w:szCs w:val="36"/>
          <w:highlight w:val="none"/>
        </w:rPr>
        <w:t>第四章 采购内容及具体要求</w:t>
      </w:r>
      <w:bookmarkEnd w:id="50"/>
      <w:bookmarkEnd w:id="51"/>
      <w:bookmarkEnd w:id="52"/>
      <w:bookmarkEnd w:id="53"/>
      <w:bookmarkEnd w:id="54"/>
      <w:bookmarkEnd w:id="55"/>
      <w:bookmarkEnd w:id="56"/>
      <w:bookmarkStart w:id="57" w:name="_Toc17780"/>
      <w:bookmarkStart w:id="58" w:name="_Toc2292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bookmarkStart w:id="59" w:name="_Toc28845"/>
      <w:r>
        <w:rPr>
          <w:rFonts w:hint="eastAsia" w:ascii="宋体" w:hAnsi="宋体" w:eastAsia="宋体" w:cs="宋体"/>
          <w:b/>
          <w:bCs/>
          <w:color w:val="auto"/>
          <w:sz w:val="24"/>
          <w:szCs w:val="24"/>
          <w:highlight w:val="none"/>
          <w:lang w:eastAsia="zh-CN"/>
        </w:rPr>
        <w:t>一、基本情况及背景情况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highlight w:val="none"/>
          <w:lang w:eastAsia="zh-CN"/>
        </w:rPr>
        <w:t>依据教育部关于印发《中小学教师资格考试暂行办法》、《中小学教师资格定期注册暂行办法》的通知，为认真贯彻《中华人民共和国教师法》《教师资格条例》《〈教师资格条例〉实施办法和教育部教师资格认定指导中心《关于做好2022年教师资格制度实施工作的通知》（教资字〔2022〕1号）要求，切实高效的完成全年共计约1.6万名社会人员的教师资格认定初审工作，包含但不限于全年的现场确认、数据核对及证书打印、发证等工作。完成2022年度教师全市教师资格定期注册复审工作。完成2021年度教师资格认定资料收集整理工作。根据西安市教育局的工作部署，组织开展全年教师资格工作，预算金额</w:t>
      </w:r>
      <w:r>
        <w:rPr>
          <w:rFonts w:hint="eastAsia" w:ascii="宋体" w:hAnsi="宋体" w:eastAsia="宋体" w:cs="宋体"/>
          <w:b w:val="0"/>
          <w:bCs w:val="0"/>
          <w:color w:val="auto"/>
          <w:sz w:val="24"/>
          <w:szCs w:val="24"/>
          <w:highlight w:val="none"/>
          <w:lang w:val="en-US" w:eastAsia="zh-CN"/>
        </w:rPr>
        <w:t>100万</w:t>
      </w:r>
      <w:r>
        <w:rPr>
          <w:rFonts w:hint="eastAsia" w:ascii="宋体" w:hAnsi="宋体" w:eastAsia="宋体" w:cs="宋体"/>
          <w:b w:val="0"/>
          <w:bCs w:val="0"/>
          <w:color w:val="auto"/>
          <w:sz w:val="24"/>
          <w:szCs w:val="24"/>
          <w:highlight w:val="none"/>
          <w:lang w:eastAsia="zh-CN"/>
        </w:rPr>
        <w:t>元。</w:t>
      </w:r>
    </w:p>
    <w:p>
      <w:pPr>
        <w:pStyle w:val="4"/>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采购具体需求</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1.现场确认、发证：</w:t>
      </w:r>
      <w:r>
        <w:rPr>
          <w:rFonts w:hint="eastAsia" w:ascii="宋体" w:hAnsi="宋体" w:eastAsia="宋体" w:cs="宋体"/>
          <w:b w:val="0"/>
          <w:bCs w:val="0"/>
          <w:color w:val="auto"/>
          <w:sz w:val="24"/>
          <w:szCs w:val="24"/>
        </w:rPr>
        <w:t>按照</w:t>
      </w:r>
      <w:r>
        <w:rPr>
          <w:rFonts w:hint="eastAsia" w:ascii="宋体" w:hAnsi="宋体" w:eastAsia="宋体" w:cs="宋体"/>
          <w:b w:val="0"/>
          <w:bCs w:val="0"/>
          <w:color w:val="auto"/>
          <w:sz w:val="24"/>
          <w:szCs w:val="24"/>
          <w:lang w:val="en-US" w:eastAsia="zh-CN"/>
        </w:rPr>
        <w:t>教师资格认定相关要求对场地进行合理化布置来进行现场确认。场地内至少横向摆放办公桌椅用于开设窗口，每个窗口间隔至少1米，每个窗口纵向设置至少50米排队通道，各窗口间用铁马或警戒带隔离，每条通道排队人员横向竖向分别间隔1米。电源延申至每个窗口。场地内采用不低于10M网络专线接通互联网，WIFI网络全覆盖。在认定场地内单独设置一间资料室用于在认定期间临时存放认定材料。室外场地按窗横向设置排队通道，纵向排队距离不小于100米，各通道间使用铁马间隔，遇雨天或高温天气时整个区域使用可拆卸遮阳棚覆盖。场地入口设置防疫检查区，场地全域每天至少使用专用消杀喷雾工具及专业消杀剂消毒3次。现场确认、发证时间不少于15天。供应商需提供1.8万个档案袋，供应商需提供现场确认使用的计算机、网络、测温仪、扩音喇叭等设备，工作人员需全部到位。现场需配置不少于25台计算机，要求CPU 主频2.4GHz及以上，内存容量8G及以上，硬盘容量SSD 256及以上，操作系统Windows 7及以上，支持无线网络和有线网络传输。投标人需制定现场确认工作方案，并合理分配工作人员。要求现场工作人员不低于110人，窗口人员需了解教师资格认定工作要求，有教师资格认定、定期注册相关工作经验。要求人员统一工装，佩戴统一工作牌，全年开展2次。</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2.数据核对及证书打印：</w:t>
      </w:r>
      <w:r>
        <w:rPr>
          <w:rFonts w:hint="eastAsia" w:ascii="宋体" w:hAnsi="宋体" w:eastAsia="宋体" w:cs="宋体"/>
          <w:b w:val="0"/>
          <w:bCs w:val="0"/>
          <w:color w:val="auto"/>
          <w:sz w:val="24"/>
          <w:szCs w:val="24"/>
          <w:lang w:val="en-US" w:eastAsia="zh-CN"/>
        </w:rPr>
        <w:t>现场认定结束后需进行数据核对及证书打印，要求室内工作场地300平米以上，场地可保证认定材料安全，网络覆盖，提供不少于25台计算机，要求CPU 主频2.4GHz及以上，内存容量8G及以上，硬盘容量SSD 256及以上，操作系统Windows 7及以上，支持无线网络和有线网络传输。要求工作人员不少于80人，工作人员需了解教师资格认定工作要求，有教师资格认定、定期注册相关工作经验。要求对约8万份资料逐项进行核对并按科目进行分类统计，全部登记造册并整理成电子表格。按照要求格式对证书进行打印，打印机要求针式打印机，24针击打式打印，打印证书错误率低于0.1%。按照现场认定和制证后的结果制作名单。整个数据核对证书打印工作要求在现场确认结束后20个日历日内完成。全年开展2次。</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kern w:val="0"/>
          <w:sz w:val="24"/>
          <w:szCs w:val="24"/>
          <w:lang w:val="en-US"/>
        </w:rPr>
      </w:pPr>
      <w:r>
        <w:rPr>
          <w:rFonts w:hint="eastAsia" w:ascii="宋体" w:hAnsi="宋体" w:eastAsia="宋体" w:cs="宋体"/>
          <w:b/>
          <w:bCs/>
          <w:color w:val="auto"/>
          <w:kern w:val="0"/>
          <w:sz w:val="24"/>
          <w:szCs w:val="24"/>
          <w:lang w:val="en-US" w:eastAsia="zh-CN" w:bidi="ar-SA"/>
        </w:rPr>
        <w:t>3.教师资格定期注册：</w:t>
      </w:r>
      <w:r>
        <w:rPr>
          <w:rFonts w:hint="eastAsia" w:ascii="宋体" w:hAnsi="宋体" w:eastAsia="宋体" w:cs="宋体"/>
          <w:b w:val="0"/>
          <w:bCs w:val="0"/>
          <w:color w:val="auto"/>
          <w:kern w:val="0"/>
          <w:sz w:val="24"/>
          <w:szCs w:val="24"/>
        </w:rPr>
        <w:t>在教师资格定期注册过程中，对全市</w:t>
      </w:r>
      <w:r>
        <w:rPr>
          <w:rFonts w:hint="eastAsia" w:ascii="宋体" w:hAnsi="宋体" w:eastAsia="宋体" w:cs="宋体"/>
          <w:b w:val="0"/>
          <w:bCs w:val="0"/>
          <w:color w:val="auto"/>
          <w:kern w:val="0"/>
          <w:sz w:val="24"/>
          <w:szCs w:val="24"/>
          <w:lang w:val="en-US" w:eastAsia="zh-CN"/>
        </w:rPr>
        <w:t>约6万名</w:t>
      </w:r>
      <w:r>
        <w:rPr>
          <w:rFonts w:hint="eastAsia" w:ascii="宋体" w:hAnsi="宋体" w:eastAsia="宋体" w:cs="宋体"/>
          <w:b w:val="0"/>
          <w:bCs w:val="0"/>
          <w:color w:val="auto"/>
          <w:kern w:val="0"/>
          <w:sz w:val="24"/>
          <w:szCs w:val="24"/>
        </w:rPr>
        <w:t>教师县级初审信息进行资格复核，复核内容包含定期注册系统中教师填写的信息，教师资格证书以及《教师资格定期注册申请表》</w:t>
      </w:r>
      <w:r>
        <w:rPr>
          <w:rFonts w:hint="eastAsia" w:ascii="宋体" w:hAnsi="宋体" w:eastAsia="宋体" w:cs="宋体"/>
          <w:b w:val="0"/>
          <w:bCs w:val="0"/>
          <w:color w:val="auto"/>
          <w:kern w:val="0"/>
          <w:sz w:val="24"/>
          <w:szCs w:val="24"/>
          <w:lang w:val="en-US" w:eastAsia="zh-CN"/>
        </w:rPr>
        <w:t>等信息。</w:t>
      </w:r>
      <w:r>
        <w:rPr>
          <w:rFonts w:hint="eastAsia" w:ascii="宋体" w:hAnsi="宋体" w:eastAsia="宋体" w:cs="宋体"/>
          <w:b w:val="0"/>
          <w:bCs w:val="0"/>
          <w:color w:val="auto"/>
          <w:sz w:val="24"/>
          <w:szCs w:val="24"/>
          <w:lang w:val="en-US" w:eastAsia="zh-CN"/>
        </w:rPr>
        <w:t>提供不少于20台计算机，要求CPU 主频2.4GHz及以上，内存容量8G及以上，硬盘容量SSD 256及以上，操作系统Windows 7及以上，支持无线网络和有线网络传输。要求工作人员不少于60人，工作人员需了解教师资格工作要求，有教师资格认定、定期注册相关工作经验。能够熟练操作计算机，要求复核工作在30个日历日内完成。</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lang w:val="en-US" w:eastAsia="zh-CN"/>
        </w:rPr>
        <w:t>4.教师资格认定资料收集整理工作：</w:t>
      </w:r>
      <w:r>
        <w:rPr>
          <w:rFonts w:hint="eastAsia" w:ascii="宋体" w:hAnsi="宋体" w:eastAsia="宋体" w:cs="宋体"/>
          <w:b w:val="0"/>
          <w:bCs w:val="0"/>
          <w:color w:val="auto"/>
          <w:sz w:val="24"/>
          <w:szCs w:val="24"/>
          <w:highlight w:val="none"/>
          <w:lang w:val="en-US" w:eastAsia="zh-CN"/>
        </w:rPr>
        <w:t>将2021年度教师资格认定工作中产生的约10115份认定材料进行收集整理，收集整理工作要符合</w:t>
      </w:r>
      <w:r>
        <w:rPr>
          <w:rFonts w:hint="eastAsia" w:ascii="宋体" w:hAnsi="宋体" w:eastAsia="宋体" w:cs="宋体"/>
          <w:b w:val="0"/>
          <w:bCs w:val="0"/>
          <w:color w:val="auto"/>
          <w:sz w:val="24"/>
          <w:szCs w:val="24"/>
        </w:rPr>
        <w:t>西安市归档文件整理实施细则（试行）的要求，对未进行规范化整理的资料按照管理要求进行分类、组件、排列、修整、扫描、编制页号、规范目录、文件级目录著录、录入、图像处理、数据质量检验、数据整理存储、档案实体装订、归档、装订、装盒、排架、编目等工作。</w:t>
      </w:r>
      <w:r>
        <w:rPr>
          <w:rFonts w:hint="eastAsia" w:ascii="宋体" w:hAnsi="宋体" w:eastAsia="宋体" w:cs="宋体"/>
          <w:b w:val="0"/>
          <w:bCs w:val="0"/>
          <w:color w:val="auto"/>
          <w:sz w:val="24"/>
          <w:szCs w:val="24"/>
          <w:lang w:val="en-US" w:eastAsia="zh-CN"/>
        </w:rPr>
        <w:t>扫描图片格式要求JPG格式，分辨率达到300DPI及以上。</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三、其他需求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1.供应商自行提供在项目实施中需要用到的电脑、打印机、制证机、扫描仪、消杀设备、体温仪等一切设备及耗材。</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2.供应商需严格落实各级防疫措施，在安全可控前提下组织实施。</w:t>
      </w:r>
    </w:p>
    <w:p>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付款方式：</w:t>
      </w:r>
      <w:r>
        <w:rPr>
          <w:rFonts w:hint="eastAsia" w:ascii="宋体" w:hAnsi="宋体" w:eastAsia="宋体" w:cs="宋体"/>
          <w:color w:val="auto"/>
          <w:kern w:val="2"/>
          <w:sz w:val="24"/>
          <w:szCs w:val="24"/>
          <w:highlight w:val="none"/>
          <w:shd w:val="clear" w:color="auto" w:fill="FFFFFF"/>
          <w:lang w:val="en-US" w:eastAsia="zh-CN" w:bidi="ar-SA"/>
        </w:rPr>
        <w:t>成交单位与西安市教育局签订合同并进行资金结算，合同签订后30日内全额支付。</w:t>
      </w:r>
    </w:p>
    <w:p>
      <w:pPr>
        <w:pStyle w:val="3"/>
        <w:jc w:val="center"/>
        <w:outlineLvl w:val="9"/>
        <w:rPr>
          <w:rFonts w:hint="eastAsia" w:ascii="宋体" w:hAnsi="宋体" w:eastAsia="宋体" w:cs="宋体"/>
          <w:bCs/>
          <w:color w:val="auto"/>
          <w:sz w:val="36"/>
          <w:szCs w:val="36"/>
          <w:highlight w:val="none"/>
        </w:rPr>
      </w:pPr>
    </w:p>
    <w:p>
      <w:pPr>
        <w:pStyle w:val="3"/>
        <w:jc w:val="center"/>
        <w:rPr>
          <w:rFonts w:hint="eastAsia" w:ascii="宋体" w:hAnsi="宋体" w:eastAsia="宋体" w:cs="宋体"/>
          <w:color w:val="auto"/>
          <w:szCs w:val="21"/>
          <w:highlight w:val="none"/>
        </w:rPr>
      </w:pPr>
      <w:bookmarkStart w:id="60" w:name="_Toc7111"/>
      <w:r>
        <w:rPr>
          <w:rFonts w:hint="eastAsia" w:ascii="宋体" w:hAnsi="宋体" w:eastAsia="宋体" w:cs="宋体"/>
          <w:bCs/>
          <w:color w:val="auto"/>
          <w:sz w:val="36"/>
          <w:szCs w:val="36"/>
          <w:highlight w:val="none"/>
        </w:rPr>
        <w:t>第五章</w:t>
      </w:r>
      <w:bookmarkEnd w:id="57"/>
      <w:bookmarkStart w:id="61" w:name="_Toc29953"/>
      <w:bookmarkStart w:id="62" w:name="_Toc14631"/>
      <w:bookmarkStart w:id="63" w:name="_Toc16389_WPSOffice_Level1"/>
      <w:bookmarkStart w:id="64" w:name="_Toc32362_WPSOffice_Level1"/>
      <w:r>
        <w:rPr>
          <w:rFonts w:hint="eastAsia" w:ascii="宋体" w:hAnsi="宋体" w:eastAsia="宋体" w:cs="宋体"/>
          <w:bCs/>
          <w:color w:val="auto"/>
          <w:sz w:val="36"/>
          <w:szCs w:val="36"/>
          <w:highlight w:val="none"/>
        </w:rPr>
        <w:t xml:space="preserve"> </w:t>
      </w:r>
      <w:r>
        <w:rPr>
          <w:rFonts w:hint="eastAsia" w:ascii="宋体" w:hAnsi="宋体" w:eastAsia="宋体" w:cs="宋体"/>
          <w:bCs/>
          <w:color w:val="auto"/>
          <w:sz w:val="36"/>
          <w:szCs w:val="36"/>
          <w:highlight w:val="none"/>
          <w:lang w:val="en-US" w:eastAsia="zh-CN"/>
        </w:rPr>
        <w:t xml:space="preserve">  </w:t>
      </w:r>
      <w:bookmarkEnd w:id="58"/>
      <w:bookmarkStart w:id="65" w:name="_Toc12086"/>
      <w:r>
        <w:rPr>
          <w:rFonts w:hint="eastAsia" w:ascii="宋体" w:hAnsi="宋体" w:eastAsia="宋体" w:cs="宋体"/>
          <w:bCs/>
          <w:color w:val="auto"/>
          <w:sz w:val="36"/>
          <w:szCs w:val="36"/>
          <w:highlight w:val="none"/>
          <w:lang w:val="en-US" w:eastAsia="zh-CN"/>
        </w:rPr>
        <w:t>拟签订的合同文本</w:t>
      </w:r>
      <w:bookmarkEnd w:id="59"/>
      <w:bookmarkEnd w:id="60"/>
      <w:r>
        <w:rPr>
          <w:rFonts w:hint="eastAsia" w:ascii="宋体" w:hAnsi="宋体" w:eastAsia="宋体" w:cs="宋体"/>
          <w:color w:val="auto"/>
          <w:szCs w:val="21"/>
          <w:highlight w:val="none"/>
        </w:rPr>
        <w:t xml:space="preserve"> </w:t>
      </w:r>
    </w:p>
    <w:p>
      <w:pPr>
        <w:pStyle w:val="41"/>
        <w:spacing w:line="360" w:lineRule="auto"/>
        <w:ind w:firstLine="480"/>
        <w:rPr>
          <w:rFonts w:hint="eastAsia" w:ascii="宋体" w:hAnsi="宋体" w:eastAsia="宋体" w:cs="宋体"/>
          <w:color w:val="auto"/>
          <w:sz w:val="24"/>
          <w:szCs w:val="24"/>
          <w:highlight w:val="none"/>
        </w:rPr>
      </w:pPr>
      <w:bookmarkStart w:id="66" w:name="_Toc6591"/>
      <w:r>
        <w:rPr>
          <w:rFonts w:hint="eastAsia" w:ascii="宋体" w:hAnsi="宋体" w:eastAsia="宋体" w:cs="宋体"/>
          <w:color w:val="auto"/>
          <w:sz w:val="24"/>
          <w:szCs w:val="24"/>
          <w:highlight w:val="none"/>
        </w:rPr>
        <w:t xml:space="preserve">签订地点： </w:t>
      </w:r>
    </w:p>
    <w:p>
      <w:pPr>
        <w:pStyle w:val="4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pPr>
        <w:pStyle w:val="41"/>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采购人（甲方）：</w:t>
      </w:r>
      <w:r>
        <w:rPr>
          <w:rFonts w:hint="eastAsia" w:ascii="宋体" w:hAnsi="宋体" w:eastAsia="宋体" w:cs="宋体"/>
          <w:color w:val="auto"/>
          <w:sz w:val="24"/>
          <w:szCs w:val="24"/>
          <w:highlight w:val="none"/>
          <w:lang w:val="en-US" w:eastAsia="zh-CN"/>
        </w:rPr>
        <w:t>西安市教育局</w:t>
      </w:r>
    </w:p>
    <w:p>
      <w:pPr>
        <w:pStyle w:val="4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p>
    <w:p>
      <w:pPr>
        <w:pStyle w:val="41"/>
        <w:spacing w:before="120" w:line="360" w:lineRule="auto"/>
        <w:ind w:left="239" w:leftChars="114"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根据《中华人民共和国政府采购法》及实施条例、《中华人民共和国民法典》和甲方采购项目（</w:t>
      </w:r>
      <w:r>
        <w:rPr>
          <w:rFonts w:hint="eastAsia" w:ascii="宋体" w:hAnsi="宋体" w:eastAsia="宋体" w:cs="宋体"/>
          <w:color w:val="auto"/>
          <w:sz w:val="24"/>
          <w:szCs w:val="24"/>
          <w:highlight w:val="none"/>
          <w:u w:val="single"/>
        </w:rPr>
        <w:t>采购项目编号：</w:t>
      </w:r>
      <w:r>
        <w:rPr>
          <w:rFonts w:hint="eastAsia" w:ascii="宋体" w:hAnsi="宋体" w:eastAsia="宋体" w:cs="宋体"/>
          <w:color w:val="auto"/>
          <w:sz w:val="24"/>
          <w:szCs w:val="24"/>
          <w:highlight w:val="none"/>
          <w:u w:val="single"/>
          <w:lang w:val="en-US" w:eastAsia="zh-CN"/>
        </w:rPr>
        <w:t>TZZB-Z-2022161C</w:t>
      </w:r>
      <w:r>
        <w:rPr>
          <w:rFonts w:hint="eastAsia" w:ascii="宋体" w:hAnsi="宋体" w:eastAsia="宋体" w:cs="宋体"/>
          <w:color w:val="auto"/>
          <w:sz w:val="24"/>
          <w:szCs w:val="24"/>
          <w:highlight w:val="none"/>
        </w:rPr>
        <w:t>）的磋商文件、响应文件等有关规定，为确保甲方采购项目的顺利实施，甲、乙双方在平等自愿原则下签订本合同，并共同遵守如下条款：</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项目基本情况</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第二条 服务期限</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地点</w:t>
      </w:r>
    </w:p>
    <w:p>
      <w:pPr>
        <w:tabs>
          <w:tab w:val="left" w:pos="1379"/>
        </w:tabs>
        <w:spacing w:beforeLines="50" w:afterLines="50" w:line="360" w:lineRule="auto"/>
        <w:ind w:firstLine="480" w:firstLineChars="200"/>
        <w:rPr>
          <w:rFonts w:hint="eastAsia" w:ascii="宋体" w:hAnsi="宋体" w:eastAsia="宋体" w:cs="宋体"/>
          <w:color w:val="auto"/>
          <w:sz w:val="24"/>
          <w:szCs w:val="24"/>
          <w:highlight w:val="none"/>
        </w:rPr>
      </w:pPr>
      <w:bookmarkStart w:id="67" w:name="_Toc237145406"/>
      <w:bookmarkStart w:id="68" w:name="_Toc185395249"/>
      <w:bookmarkStart w:id="69" w:name="_Toc211854449"/>
      <w:bookmarkStart w:id="70" w:name="_Toc282696226"/>
      <w:bookmarkStart w:id="71" w:name="_Toc225670751"/>
      <w:bookmarkStart w:id="72" w:name="_Toc225244852"/>
      <w:bookmarkStart w:id="73" w:name="_Toc212019594"/>
      <w:bookmarkStart w:id="74" w:name="_Toc241833903"/>
      <w:bookmarkStart w:id="75" w:name="_Toc225654644"/>
      <w:bookmarkStart w:id="76" w:name="_Toc232492928"/>
      <w:bookmarkStart w:id="77" w:name="_Toc247334841"/>
      <w:bookmarkStart w:id="78" w:name="_Toc283019214"/>
      <w:bookmarkStart w:id="79" w:name="_Toc239233914"/>
      <w:bookmarkStart w:id="80" w:name="_Toc238984975"/>
      <w:bookmarkStart w:id="81" w:name="_Toc239568418"/>
      <w:bookmarkStart w:id="82" w:name="_Toc286993786"/>
      <w:bookmarkStart w:id="83" w:name="_Toc211911348"/>
      <w:bookmarkStart w:id="84" w:name="_Toc25176886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tabs>
          <w:tab w:val="left" w:pos="1379"/>
        </w:tabs>
        <w:spacing w:beforeLines="5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第三条服务内容与质量标准</w:t>
      </w:r>
    </w:p>
    <w:p>
      <w:pPr>
        <w:pStyle w:val="4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质量标准：乙方应保证所提供的服务，符合合同规定的技术要求。如不符时，乙方应负全责并尽快处理解决，由此造成的损失和相关费用由乙方负责，甲方保留终止合同及索赔的权利。</w:t>
      </w:r>
    </w:p>
    <w:p>
      <w:pPr>
        <w:tabs>
          <w:tab w:val="left" w:pos="1379"/>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第四条服务费用</w:t>
      </w:r>
    </w:p>
    <w:p>
      <w:pPr>
        <w:pStyle w:val="41"/>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1.服务总费用为人民币</w:t>
      </w:r>
      <w:r>
        <w:rPr>
          <w:rFonts w:hint="eastAsia" w:ascii="宋体" w:hAnsi="宋体" w:eastAsia="宋体" w:cs="宋体"/>
          <w:color w:val="auto"/>
          <w:sz w:val="24"/>
          <w:szCs w:val="24"/>
          <w:highlight w:val="none"/>
          <w:u w:val="single"/>
        </w:rPr>
        <w:t xml:space="preserve">（大写）：             元， ￥           </w:t>
      </w:r>
      <w:r>
        <w:rPr>
          <w:rFonts w:hint="eastAsia" w:ascii="宋体" w:hAnsi="宋体" w:eastAsia="宋体" w:cs="宋体"/>
          <w:color w:val="auto"/>
          <w:sz w:val="24"/>
          <w:szCs w:val="24"/>
          <w:highlight w:val="none"/>
          <w:u w:val="single"/>
          <w:lang w:val="en-US" w:eastAsia="zh-CN"/>
        </w:rPr>
        <w:t xml:space="preserve">   </w:t>
      </w:r>
    </w:p>
    <w:p>
      <w:pPr>
        <w:pStyle w:val="41"/>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2.本项目服务费用由以下组成：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3.甲方无须另向乙方支付本合同规定之外的其他任何费用</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服务费支付方式</w:t>
      </w:r>
    </w:p>
    <w:p>
      <w:pPr>
        <w:pStyle w:val="41"/>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执行本项目磋商文件要求</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知识产权</w:t>
      </w:r>
    </w:p>
    <w:p>
      <w:pPr>
        <w:pStyle w:val="4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乙方应保证所提供的服务或其任何一部分均不会侵犯任何第三方的专利权、商标权或著作权。</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无产权瑕疵条款</w:t>
      </w:r>
    </w:p>
    <w:p>
      <w:pPr>
        <w:tabs>
          <w:tab w:val="left" w:pos="14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pPr>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甲方的权利和义务</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2.甲方有权依据双方签订的考评办法对乙方提供的服务进行定期考评。当考评结果未达到标准时，有权依据考评办法约定的数额扣除履约保证金。</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3.负责检查监督乙方管理工作的实施及制度的执行情况。</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4.根据本合同规定，按时向乙方支付应付服务费用。</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5.国家法律、法规所规定由甲方承担的其它责任。</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乙方的权利和义务</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1.对本合同规定的委托服务范围内的项目享有管理权及服务义务。</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2.根据本合同的规定向甲方收取相关服务费用，并有权在本项目管理范围内管理及合理使用。</w:t>
      </w:r>
    </w:p>
    <w:p>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3.及时向甲方通告本项目服务范围内有关服务的重大事项，及时配合处理投诉。</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接受项目行业管理部门及政府有关部门的指导，接受甲方的监督。</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5.国家法律、法规所规定由乙方承担的其它责任。</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违约责任</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1.甲乙双方必须遵守本合同并执行合同中的各项规定，保证本合同的正常履行。</w:t>
      </w:r>
    </w:p>
    <w:p>
      <w:pPr>
        <w:spacing w:line="36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不可抗力事件处理</w:t>
      </w:r>
    </w:p>
    <w:p>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3.不可抗力事件延续XX天以上，双方应通过友好协商，确定是否继续履行合同。</w:t>
      </w: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bookmarkStart w:id="85" w:name="_Toc212019599"/>
      <w:bookmarkStart w:id="86" w:name="_Toc238984980"/>
      <w:bookmarkStart w:id="87" w:name="_Toc286993792"/>
      <w:bookmarkStart w:id="88" w:name="_Toc247334846"/>
      <w:bookmarkStart w:id="89" w:name="_Toc239568423"/>
      <w:bookmarkStart w:id="90" w:name="_Toc225670756"/>
      <w:bookmarkStart w:id="91" w:name="_Toc239233919"/>
      <w:bookmarkStart w:id="92" w:name="_Toc225244857"/>
      <w:bookmarkStart w:id="93" w:name="_Toc251768867"/>
      <w:bookmarkStart w:id="94" w:name="_Toc225654649"/>
      <w:bookmarkStart w:id="95" w:name="_Toc211911353"/>
      <w:bookmarkStart w:id="96" w:name="_Toc185395254"/>
      <w:bookmarkStart w:id="97" w:name="_Toc211854454"/>
      <w:bookmarkStart w:id="98" w:name="_Toc241833908"/>
      <w:bookmarkStart w:id="99" w:name="_Toc232492933"/>
      <w:bookmarkStart w:id="100" w:name="_Toc237145411"/>
      <w:r>
        <w:rPr>
          <w:rFonts w:hint="eastAsia" w:ascii="宋体" w:hAnsi="宋体" w:eastAsia="宋体" w:cs="宋体"/>
          <w:b/>
          <w:color w:val="auto"/>
          <w:sz w:val="24"/>
          <w:szCs w:val="24"/>
          <w:highlight w:val="none"/>
        </w:rPr>
        <w:t>第十三条  合同的变更和终止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除《中华人民共和国政府采购法》第49条、第50条第二款规定的情形外，本合同一经签订，甲乙双方不得擅自变更、中止或终止合同。</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解决合同纠纷的方式</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4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1.在执行本合同中发生的或与本合同有关的争端，双方应通过友好协商解决，经协商在XX天内不能达成协议时，则采取：向甲方所在地有管辖权的人民法院提起诉讼；</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bookmarkStart w:id="101" w:name="_Toc185395255"/>
      <w:bookmarkStart w:id="102" w:name="_Toc286993793"/>
      <w:bookmarkStart w:id="103" w:name="_Toc211911354"/>
      <w:bookmarkStart w:id="104" w:name="_Toc283019219"/>
      <w:bookmarkStart w:id="105" w:name="_Toc251768868"/>
      <w:bookmarkStart w:id="106" w:name="_Toc232492934"/>
      <w:bookmarkStart w:id="107" w:name="_Toc211854455"/>
      <w:bookmarkStart w:id="108" w:name="_Toc282696231"/>
      <w:bookmarkStart w:id="109" w:name="_Toc238984981"/>
      <w:bookmarkStart w:id="110" w:name="_Toc212019600"/>
      <w:bookmarkStart w:id="111" w:name="_Toc225670757"/>
      <w:bookmarkStart w:id="112" w:name="_Toc239233920"/>
      <w:bookmarkStart w:id="113" w:name="_Toc241833909"/>
      <w:bookmarkStart w:id="114" w:name="_Toc247334847"/>
      <w:bookmarkStart w:id="115" w:name="_Toc225654650"/>
      <w:bookmarkStart w:id="116" w:name="_Toc225244858"/>
      <w:bookmarkStart w:id="117" w:name="_Toc237145412"/>
      <w:bookmarkStart w:id="118" w:name="_Toc239568424"/>
      <w:r>
        <w:rPr>
          <w:rFonts w:hint="eastAsia" w:ascii="宋体" w:hAnsi="宋体" w:eastAsia="宋体" w:cs="宋体"/>
          <w:b/>
          <w:color w:val="auto"/>
          <w:sz w:val="24"/>
          <w:szCs w:val="24"/>
          <w:highlight w:val="none"/>
        </w:rPr>
        <w:t>第十四条  合同</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宋体" w:hAnsi="宋体" w:eastAsia="宋体" w:cs="宋体"/>
          <w:b/>
          <w:color w:val="auto"/>
          <w:sz w:val="24"/>
          <w:szCs w:val="24"/>
          <w:highlight w:val="none"/>
        </w:rPr>
        <w:t>生效及其他</w:t>
      </w:r>
    </w:p>
    <w:p>
      <w:pPr>
        <w:pStyle w:val="4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1.合同经双方法定代表人或授权委托代理人签字并加盖单位公章后生效。</w:t>
      </w:r>
    </w:p>
    <w:p>
      <w:pPr>
        <w:pStyle w:val="4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pPr>
        <w:pStyle w:val="4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3.本合同一式份，自双方签章之日起起效。甲方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份，乙方</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份，政府采购代理机构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具有同等法律效力。</w:t>
      </w:r>
    </w:p>
    <w:p>
      <w:pPr>
        <w:tabs>
          <w:tab w:val="left" w:pos="1379"/>
        </w:tabs>
        <w:spacing w:beforeLines="5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附件</w:t>
      </w:r>
    </w:p>
    <w:p>
      <w:pPr>
        <w:pStyle w:val="4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1.项目竞争性磋商文件</w:t>
      </w:r>
    </w:p>
    <w:p>
      <w:pPr>
        <w:pStyle w:val="45"/>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2.项目修改澄清文件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若有</w:t>
      </w:r>
      <w:r>
        <w:rPr>
          <w:rFonts w:hint="eastAsia" w:ascii="宋体" w:hAnsi="宋体" w:eastAsia="宋体" w:cs="宋体"/>
          <w:color w:val="auto"/>
          <w:sz w:val="24"/>
          <w:szCs w:val="24"/>
          <w:highlight w:val="none"/>
          <w:lang w:eastAsia="zh-CN"/>
        </w:rPr>
        <w:t>）</w:t>
      </w:r>
    </w:p>
    <w:p>
      <w:pPr>
        <w:pStyle w:val="4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3.项目响应文件</w:t>
      </w:r>
    </w:p>
    <w:p>
      <w:pPr>
        <w:pStyle w:val="4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4.成交通知书</w:t>
      </w:r>
    </w:p>
    <w:p>
      <w:pPr>
        <w:pStyle w:val="4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     方：   （盖章）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乙    方：   （盖章）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法定代表人（委托代理人）：         法定代表人（委托代理人）：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14"/>
        <w:spacing w:line="360" w:lineRule="auto"/>
        <w:ind w:firstLine="1054" w:firstLineChars="500"/>
        <w:outlineLvl w:val="9"/>
        <w:rPr>
          <w:rFonts w:hint="eastAsia" w:ascii="宋体" w:hAnsi="宋体" w:eastAsia="宋体" w:cs="宋体"/>
          <w:b/>
          <w:bCs/>
          <w:color w:val="auto"/>
          <w:szCs w:val="21"/>
          <w:highlight w:val="none"/>
        </w:rPr>
      </w:pPr>
    </w:p>
    <w:p>
      <w:pPr>
        <w:shd w:val="clear" w:color="auto" w:fill="FFFFFF"/>
        <w:spacing w:line="360" w:lineRule="auto"/>
        <w:ind w:firstLine="420" w:firstLineChars="200"/>
        <w:rPr>
          <w:rFonts w:hint="eastAsia" w:ascii="宋体" w:hAnsi="宋体" w:eastAsia="宋体" w:cs="宋体"/>
          <w:color w:val="auto"/>
          <w:szCs w:val="16"/>
          <w:highlight w:val="none"/>
        </w:rPr>
      </w:pPr>
    </w:p>
    <w:p>
      <w:pPr>
        <w:pStyle w:val="14"/>
        <w:jc w:val="both"/>
        <w:outlineLvl w:val="9"/>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bookmarkStart w:id="119" w:name="_Toc11039"/>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p>
    <w:p>
      <w:pPr>
        <w:pStyle w:val="14"/>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第六章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磋商响应文件格式及构成</w:t>
      </w:r>
      <w:bookmarkEnd w:id="61"/>
      <w:bookmarkEnd w:id="62"/>
      <w:bookmarkEnd w:id="63"/>
      <w:bookmarkEnd w:id="64"/>
      <w:bookmarkEnd w:id="65"/>
      <w:bookmarkEnd w:id="66"/>
      <w:bookmarkEnd w:id="119"/>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1、磋商响应文件格式由本章目录所列第1部分至第</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部分构成。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2、磋商响应人应认真审阅本章内容，并参照格式要求编制磋商响应文件。凡未按格式要求编制磋商响应文件而造成的不利后果，由磋商响应人自行承担。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3、磋商响应文件正、副本不相符的，以正本为准。</w:t>
      </w:r>
    </w:p>
    <w:p>
      <w:pPr>
        <w:spacing w:line="360" w:lineRule="auto"/>
        <w:jc w:val="center"/>
        <w:rPr>
          <w:rFonts w:hint="eastAsia" w:ascii="宋体" w:hAnsi="宋体" w:eastAsia="宋体" w:cs="宋体"/>
          <w:color w:val="auto"/>
          <w:szCs w:val="21"/>
        </w:rPr>
      </w:pPr>
    </w:p>
    <w:p>
      <w:pPr>
        <w:pStyle w:val="14"/>
        <w:rPr>
          <w:rFonts w:hint="eastAsia" w:ascii="宋体" w:hAnsi="宋体" w:eastAsia="宋体" w:cs="宋体"/>
          <w:color w:val="auto"/>
          <w:sz w:val="48"/>
          <w:szCs w:val="44"/>
        </w:rPr>
      </w:pPr>
    </w:p>
    <w:p>
      <w:pPr>
        <w:pStyle w:val="14"/>
        <w:rPr>
          <w:rFonts w:hint="eastAsia" w:ascii="宋体" w:hAnsi="宋体" w:eastAsia="宋体" w:cs="宋体"/>
          <w:color w:val="auto"/>
          <w:sz w:val="48"/>
          <w:szCs w:val="44"/>
        </w:rPr>
      </w:pPr>
    </w:p>
    <w:p>
      <w:pPr>
        <w:pStyle w:val="14"/>
        <w:rPr>
          <w:rFonts w:hint="eastAsia" w:ascii="宋体" w:hAnsi="宋体" w:eastAsia="宋体" w:cs="宋体"/>
          <w:color w:val="auto"/>
          <w:sz w:val="48"/>
          <w:szCs w:val="44"/>
        </w:rPr>
      </w:pPr>
    </w:p>
    <w:p>
      <w:pPr>
        <w:pStyle w:val="14"/>
        <w:rPr>
          <w:rFonts w:hint="eastAsia" w:ascii="宋体" w:hAnsi="宋体" w:eastAsia="宋体" w:cs="宋体"/>
          <w:color w:val="auto"/>
          <w:sz w:val="48"/>
          <w:szCs w:val="44"/>
        </w:rPr>
      </w:pPr>
    </w:p>
    <w:p>
      <w:pPr>
        <w:pStyle w:val="14"/>
        <w:rPr>
          <w:rFonts w:hint="eastAsia" w:ascii="宋体" w:hAnsi="宋体" w:eastAsia="宋体" w:cs="宋体"/>
          <w:color w:val="auto"/>
          <w:sz w:val="48"/>
          <w:szCs w:val="44"/>
        </w:rPr>
      </w:pPr>
    </w:p>
    <w:p>
      <w:pPr>
        <w:pStyle w:val="14"/>
        <w:rPr>
          <w:rFonts w:hint="eastAsia" w:ascii="宋体" w:hAnsi="宋体" w:eastAsia="宋体" w:cs="宋体"/>
          <w:color w:val="auto"/>
          <w:sz w:val="48"/>
          <w:szCs w:val="44"/>
        </w:rPr>
      </w:pPr>
    </w:p>
    <w:p>
      <w:pPr>
        <w:pStyle w:val="14"/>
        <w:rPr>
          <w:rFonts w:hint="eastAsia" w:ascii="宋体" w:hAnsi="宋体" w:eastAsia="宋体" w:cs="宋体"/>
          <w:color w:val="auto"/>
          <w:sz w:val="48"/>
          <w:szCs w:val="44"/>
        </w:rPr>
      </w:pPr>
    </w:p>
    <w:p>
      <w:pPr>
        <w:pStyle w:val="14"/>
        <w:rPr>
          <w:rFonts w:hint="eastAsia" w:ascii="宋体" w:hAnsi="宋体" w:eastAsia="宋体" w:cs="宋体"/>
          <w:color w:val="auto"/>
          <w:sz w:val="48"/>
          <w:szCs w:val="44"/>
        </w:rPr>
      </w:pPr>
    </w:p>
    <w:p>
      <w:pPr>
        <w:rPr>
          <w:rFonts w:hint="eastAsia" w:ascii="宋体" w:hAnsi="宋体" w:eastAsia="宋体" w:cs="宋体"/>
          <w:color w:val="auto"/>
          <w:sz w:val="52"/>
          <w:szCs w:val="52"/>
        </w:rPr>
      </w:pPr>
    </w:p>
    <w:p>
      <w:pPr>
        <w:spacing w:line="960" w:lineRule="auto"/>
        <w:ind w:firstLine="361" w:firstLineChars="100"/>
        <w:rPr>
          <w:rFonts w:hint="eastAsia" w:ascii="宋体" w:hAnsi="宋体" w:eastAsia="宋体" w:cs="宋体"/>
          <w:b/>
          <w:bCs/>
          <w:color w:val="auto"/>
          <w:sz w:val="36"/>
          <w:szCs w:val="36"/>
        </w:rPr>
      </w:pPr>
    </w:p>
    <w:p>
      <w:pPr>
        <w:pStyle w:val="14"/>
        <w:jc w:val="center"/>
        <w:outlineLvl w:val="9"/>
        <w:rPr>
          <w:rFonts w:hint="eastAsia" w:ascii="宋体" w:hAnsi="宋体" w:eastAsia="宋体" w:cs="宋体"/>
          <w:b/>
          <w:bCs/>
          <w:color w:val="auto"/>
          <w:kern w:val="1"/>
          <w:sz w:val="36"/>
          <w:szCs w:val="36"/>
          <w:lang w:eastAsia="zh-CN"/>
        </w:rPr>
      </w:pPr>
      <w:bookmarkStart w:id="120" w:name="_Toc9026"/>
    </w:p>
    <w:bookmarkEnd w:id="120"/>
    <w:p>
      <w:pPr>
        <w:pStyle w:val="14"/>
        <w:jc w:val="center"/>
        <w:rPr>
          <w:rFonts w:hint="eastAsia" w:ascii="宋体" w:hAnsi="宋体" w:eastAsia="宋体" w:cs="宋体"/>
          <w:b/>
          <w:bCs/>
          <w:color w:val="auto"/>
          <w:kern w:val="1"/>
          <w:sz w:val="36"/>
          <w:szCs w:val="36"/>
          <w:lang w:eastAsia="zh-CN"/>
        </w:rPr>
      </w:pPr>
    </w:p>
    <w:p>
      <w:pPr>
        <w:pStyle w:val="14"/>
        <w:jc w:val="center"/>
        <w:outlineLvl w:val="0"/>
        <w:rPr>
          <w:rFonts w:hint="eastAsia" w:ascii="宋体" w:hAnsi="宋体" w:eastAsia="宋体" w:cs="宋体"/>
          <w:b/>
          <w:bCs/>
          <w:color w:val="auto"/>
          <w:kern w:val="1"/>
          <w:sz w:val="40"/>
          <w:szCs w:val="40"/>
          <w:lang w:eastAsia="zh-CN"/>
        </w:rPr>
      </w:pPr>
      <w:bookmarkStart w:id="121" w:name="_Toc3100"/>
    </w:p>
    <w:bookmarkEnd w:id="121"/>
    <w:p>
      <w:pPr>
        <w:pStyle w:val="14"/>
        <w:jc w:val="center"/>
        <w:outlineLvl w:val="0"/>
        <w:rPr>
          <w:rFonts w:hint="eastAsia" w:ascii="宋体" w:hAnsi="宋体" w:eastAsia="宋体" w:cs="宋体"/>
          <w:b/>
          <w:bCs/>
          <w:color w:val="auto"/>
          <w:kern w:val="1"/>
          <w:sz w:val="40"/>
          <w:szCs w:val="40"/>
          <w:lang w:eastAsia="zh-CN"/>
        </w:rPr>
      </w:pPr>
    </w:p>
    <w:p>
      <w:pPr>
        <w:pStyle w:val="14"/>
        <w:jc w:val="center"/>
        <w:outlineLvl w:val="0"/>
        <w:rPr>
          <w:rFonts w:hint="eastAsia" w:ascii="宋体" w:hAnsi="宋体" w:eastAsia="宋体" w:cs="宋体"/>
          <w:b/>
          <w:bCs/>
          <w:color w:val="auto"/>
          <w:kern w:val="1"/>
          <w:sz w:val="40"/>
          <w:szCs w:val="40"/>
          <w:lang w:eastAsia="zh-CN"/>
        </w:rPr>
      </w:pPr>
    </w:p>
    <w:p>
      <w:pPr>
        <w:pStyle w:val="14"/>
        <w:jc w:val="center"/>
        <w:outlineLvl w:val="0"/>
        <w:rPr>
          <w:rFonts w:hint="eastAsia" w:ascii="宋体" w:hAnsi="宋体" w:eastAsia="宋体" w:cs="宋体"/>
          <w:color w:val="auto"/>
          <w:sz w:val="22"/>
          <w:szCs w:val="28"/>
        </w:rPr>
      </w:pPr>
      <w:r>
        <w:rPr>
          <w:rFonts w:hint="eastAsia" w:ascii="宋体" w:hAnsi="宋体" w:eastAsia="宋体" w:cs="宋体"/>
          <w:b/>
          <w:bCs/>
          <w:color w:val="auto"/>
          <w:kern w:val="1"/>
          <w:sz w:val="40"/>
          <w:szCs w:val="40"/>
          <w:lang w:eastAsia="zh-CN"/>
        </w:rPr>
        <w:t>西安市教育局教师资格认定工作服务项目</w:t>
      </w:r>
    </w:p>
    <w:p>
      <w:pPr>
        <w:outlineLvl w:val="0"/>
        <w:rPr>
          <w:rFonts w:hint="eastAsia" w:ascii="宋体" w:hAnsi="宋体" w:eastAsia="宋体" w:cs="宋体"/>
          <w:color w:val="auto"/>
          <w:sz w:val="22"/>
          <w:szCs w:val="28"/>
          <w:lang w:val="en-US" w:eastAsia="zh-CN"/>
        </w:rPr>
      </w:pPr>
      <w:r>
        <w:rPr>
          <w:rFonts w:hint="eastAsia" w:ascii="宋体" w:hAnsi="宋体" w:eastAsia="宋体" w:cs="宋体"/>
          <w:color w:val="auto"/>
          <w:sz w:val="22"/>
          <w:szCs w:val="28"/>
          <w:lang w:val="en-US" w:eastAsia="zh-CN"/>
        </w:rPr>
        <w:t xml:space="preserve">                    </w:t>
      </w:r>
      <w:bookmarkStart w:id="122" w:name="_Toc16137"/>
      <w:r>
        <w:rPr>
          <w:rFonts w:hint="eastAsia" w:ascii="宋体" w:hAnsi="宋体" w:eastAsia="宋体" w:cs="宋体"/>
          <w:b/>
          <w:bCs/>
          <w:color w:val="auto"/>
          <w:kern w:val="1"/>
          <w:sz w:val="28"/>
          <w:szCs w:val="28"/>
          <w:lang w:val="en-US" w:eastAsia="zh-CN" w:bidi="ar-SA"/>
        </w:rPr>
        <w:t>（项目编号：TZZB-Z-2022161C）</w:t>
      </w:r>
      <w:bookmarkEnd w:id="122"/>
    </w:p>
    <w:p>
      <w:pPr>
        <w:pStyle w:val="14"/>
        <w:rPr>
          <w:rFonts w:hint="eastAsia" w:ascii="宋体" w:hAnsi="宋体" w:eastAsia="宋体" w:cs="宋体"/>
          <w:color w:val="auto"/>
        </w:rPr>
      </w:pPr>
    </w:p>
    <w:p>
      <w:pPr>
        <w:rPr>
          <w:rFonts w:hint="eastAsia" w:ascii="宋体" w:hAnsi="宋体" w:eastAsia="宋体" w:cs="宋体"/>
          <w:color w:val="auto"/>
        </w:rPr>
      </w:pPr>
    </w:p>
    <w:p>
      <w:pPr>
        <w:pStyle w:val="10"/>
        <w:rPr>
          <w:rFonts w:hint="eastAsia" w:ascii="宋体" w:hAnsi="宋体" w:eastAsia="宋体" w:cs="宋体"/>
          <w:color w:val="auto"/>
        </w:rPr>
      </w:pPr>
    </w:p>
    <w:p>
      <w:pPr>
        <w:pStyle w:val="10"/>
        <w:rPr>
          <w:rFonts w:hint="eastAsia" w:ascii="宋体" w:hAnsi="宋体" w:eastAsia="宋体" w:cs="宋体"/>
          <w:color w:val="auto"/>
        </w:rPr>
      </w:pPr>
    </w:p>
    <w:p>
      <w:pPr>
        <w:rPr>
          <w:rFonts w:hint="eastAsia" w:ascii="宋体" w:hAnsi="宋体" w:eastAsia="宋体" w:cs="宋体"/>
          <w:color w:val="auto"/>
        </w:rPr>
      </w:pPr>
    </w:p>
    <w:p>
      <w:pPr>
        <w:spacing w:line="360" w:lineRule="auto"/>
        <w:jc w:val="center"/>
        <w:outlineLvl w:val="0"/>
        <w:rPr>
          <w:rFonts w:hint="eastAsia" w:ascii="宋体" w:hAnsi="宋体" w:eastAsia="宋体" w:cs="宋体"/>
          <w:b/>
          <w:color w:val="auto"/>
          <w:sz w:val="40"/>
          <w:szCs w:val="32"/>
        </w:rPr>
      </w:pPr>
      <w:bookmarkStart w:id="123" w:name="_Toc932_WPSOffice_Level1"/>
      <w:bookmarkStart w:id="124" w:name="_Toc2870"/>
      <w:bookmarkStart w:id="125" w:name="_Toc9534_WPSOffice_Level1"/>
      <w:bookmarkStart w:id="126" w:name="_Toc2888"/>
      <w:bookmarkStart w:id="127" w:name="_Toc23495"/>
      <w:bookmarkStart w:id="128" w:name="_Toc2737_WPSOffice_Level1"/>
      <w:bookmarkStart w:id="129" w:name="_Toc9370"/>
      <w:bookmarkStart w:id="130" w:name="_Toc26043"/>
      <w:bookmarkStart w:id="131" w:name="_Toc31582_WPSOffice_Level1"/>
    </w:p>
    <w:p>
      <w:pPr>
        <w:spacing w:line="360" w:lineRule="auto"/>
        <w:jc w:val="center"/>
        <w:outlineLvl w:val="0"/>
        <w:rPr>
          <w:rFonts w:hint="eastAsia" w:ascii="宋体" w:hAnsi="宋体" w:eastAsia="宋体" w:cs="宋体"/>
          <w:b/>
          <w:color w:val="auto"/>
          <w:sz w:val="44"/>
          <w:szCs w:val="36"/>
        </w:rPr>
      </w:pPr>
      <w:r>
        <w:rPr>
          <w:rFonts w:hint="eastAsia" w:ascii="宋体" w:hAnsi="宋体" w:eastAsia="宋体" w:cs="宋体"/>
          <w:b/>
          <w:color w:val="auto"/>
          <w:sz w:val="40"/>
          <w:szCs w:val="32"/>
        </w:rPr>
        <w:t>磋商响应文件</w:t>
      </w:r>
      <w:bookmarkEnd w:id="123"/>
      <w:bookmarkEnd w:id="124"/>
      <w:bookmarkEnd w:id="125"/>
      <w:bookmarkEnd w:id="126"/>
      <w:bookmarkEnd w:id="127"/>
      <w:bookmarkEnd w:id="128"/>
      <w:bookmarkEnd w:id="129"/>
      <w:bookmarkEnd w:id="130"/>
      <w:bookmarkEnd w:id="131"/>
    </w:p>
    <w:p>
      <w:pPr>
        <w:spacing w:line="360" w:lineRule="auto"/>
        <w:jc w:val="center"/>
        <w:outlineLvl w:val="0"/>
        <w:rPr>
          <w:rFonts w:hint="eastAsia" w:ascii="宋体" w:hAnsi="宋体" w:eastAsia="宋体" w:cs="宋体"/>
          <w:b/>
          <w:bCs/>
          <w:color w:val="auto"/>
          <w:sz w:val="40"/>
          <w:szCs w:val="32"/>
        </w:rPr>
      </w:pPr>
      <w:bookmarkStart w:id="132" w:name="_Toc15907_WPSOffice_Level1"/>
      <w:bookmarkStart w:id="133" w:name="_Toc22164_WPSOffice_Level1"/>
      <w:bookmarkStart w:id="134" w:name="_Toc17069"/>
      <w:bookmarkStart w:id="135" w:name="_Toc9819"/>
      <w:bookmarkStart w:id="136" w:name="_Toc28651"/>
      <w:bookmarkStart w:id="137" w:name="_Toc14277"/>
      <w:bookmarkStart w:id="138" w:name="_Toc7991_WPSOffice_Level1"/>
      <w:bookmarkStart w:id="139" w:name="_Toc5626_WPSOffice_Level1"/>
      <w:bookmarkStart w:id="140" w:name="_Toc32624"/>
      <w:r>
        <w:rPr>
          <w:rFonts w:hint="eastAsia" w:ascii="宋体" w:hAnsi="宋体" w:eastAsia="宋体" w:cs="宋体"/>
          <w:b/>
          <w:bCs/>
          <w:color w:val="auto"/>
          <w:sz w:val="40"/>
          <w:szCs w:val="32"/>
        </w:rPr>
        <w:t>（正本或副本）</w:t>
      </w:r>
      <w:bookmarkEnd w:id="132"/>
      <w:bookmarkEnd w:id="133"/>
      <w:bookmarkEnd w:id="134"/>
      <w:bookmarkEnd w:id="135"/>
      <w:bookmarkEnd w:id="136"/>
      <w:bookmarkEnd w:id="137"/>
      <w:bookmarkEnd w:id="138"/>
      <w:bookmarkEnd w:id="139"/>
      <w:bookmarkEnd w:id="140"/>
    </w:p>
    <w:p>
      <w:pPr>
        <w:spacing w:line="720" w:lineRule="exact"/>
        <w:rPr>
          <w:rFonts w:hint="eastAsia" w:ascii="宋体" w:hAnsi="宋体" w:eastAsia="宋体" w:cs="宋体"/>
          <w:color w:val="auto"/>
          <w:sz w:val="32"/>
        </w:rPr>
      </w:pPr>
    </w:p>
    <w:p>
      <w:pPr>
        <w:rPr>
          <w:rFonts w:hint="eastAsia" w:ascii="宋体" w:hAnsi="宋体" w:eastAsia="宋体" w:cs="宋体"/>
          <w:color w:val="auto"/>
          <w:sz w:val="32"/>
        </w:rPr>
      </w:pPr>
    </w:p>
    <w:p>
      <w:pPr>
        <w:pStyle w:val="14"/>
        <w:rPr>
          <w:rFonts w:hint="eastAsia" w:ascii="宋体" w:hAnsi="宋体" w:eastAsia="宋体" w:cs="宋体"/>
          <w:color w:val="auto"/>
        </w:rPr>
      </w:pPr>
    </w:p>
    <w:p>
      <w:pPr>
        <w:rPr>
          <w:rFonts w:hint="eastAsia" w:ascii="宋体" w:hAnsi="宋体" w:eastAsia="宋体" w:cs="宋体"/>
          <w:color w:val="auto"/>
          <w:sz w:val="32"/>
        </w:rPr>
      </w:pPr>
    </w:p>
    <w:p>
      <w:pPr>
        <w:rPr>
          <w:rFonts w:hint="eastAsia" w:ascii="宋体" w:hAnsi="宋体" w:eastAsia="宋体" w:cs="宋体"/>
          <w:color w:val="auto"/>
          <w:sz w:val="32"/>
        </w:rPr>
      </w:pPr>
    </w:p>
    <w:p>
      <w:pPr>
        <w:pStyle w:val="14"/>
        <w:rPr>
          <w:rFonts w:hint="eastAsia" w:ascii="宋体" w:hAnsi="宋体" w:eastAsia="宋体" w:cs="宋体"/>
          <w:color w:val="auto"/>
        </w:rPr>
      </w:pPr>
    </w:p>
    <w:p>
      <w:pPr>
        <w:rPr>
          <w:rFonts w:hint="eastAsia" w:ascii="宋体" w:hAnsi="宋体" w:eastAsia="宋体" w:cs="宋体"/>
          <w:color w:val="auto"/>
        </w:rPr>
      </w:pPr>
    </w:p>
    <w:p>
      <w:pPr>
        <w:pStyle w:val="14"/>
        <w:rPr>
          <w:rFonts w:hint="eastAsia" w:ascii="宋体" w:hAnsi="宋体" w:eastAsia="宋体" w:cs="宋体"/>
          <w:color w:val="auto"/>
        </w:rPr>
      </w:pPr>
    </w:p>
    <w:p>
      <w:pPr>
        <w:spacing w:line="360" w:lineRule="auto"/>
        <w:ind w:firstLine="498" w:firstLineChars="177"/>
        <w:outlineLvl w:val="9"/>
        <w:rPr>
          <w:rFonts w:hint="eastAsia" w:ascii="宋体" w:hAnsi="宋体" w:eastAsia="宋体" w:cs="宋体"/>
          <w:b/>
          <w:bCs/>
          <w:color w:val="auto"/>
          <w:sz w:val="28"/>
          <w:szCs w:val="32"/>
        </w:rPr>
      </w:pPr>
      <w:bookmarkStart w:id="141" w:name="_Toc24793_WPSOffice_Level1"/>
      <w:bookmarkStart w:id="142" w:name="_Toc2788_WPSOffice_Level1"/>
      <w:bookmarkStart w:id="143" w:name="_Toc9996"/>
      <w:bookmarkStart w:id="144" w:name="_Toc16704"/>
      <w:bookmarkStart w:id="145" w:name="_Toc1270_WPSOffice_Level1"/>
      <w:bookmarkStart w:id="146" w:name="_Toc1094_WPSOffice_Level1"/>
      <w:bookmarkStart w:id="147" w:name="_Toc7673"/>
      <w:bookmarkStart w:id="148" w:name="_Toc23212"/>
    </w:p>
    <w:p>
      <w:pPr>
        <w:spacing w:line="360" w:lineRule="auto"/>
        <w:ind w:firstLine="498" w:firstLineChars="177"/>
        <w:outlineLvl w:val="9"/>
        <w:rPr>
          <w:rFonts w:hint="eastAsia" w:ascii="宋体" w:hAnsi="宋体" w:eastAsia="宋体" w:cs="宋体"/>
          <w:b/>
          <w:bCs/>
          <w:color w:val="auto"/>
          <w:sz w:val="28"/>
          <w:szCs w:val="32"/>
        </w:rPr>
      </w:pPr>
    </w:p>
    <w:p>
      <w:pPr>
        <w:spacing w:line="360" w:lineRule="auto"/>
        <w:ind w:firstLine="498" w:firstLineChars="177"/>
        <w:outlineLvl w:val="0"/>
        <w:rPr>
          <w:rFonts w:hint="eastAsia" w:ascii="宋体" w:hAnsi="宋体" w:eastAsia="宋体" w:cs="宋体"/>
          <w:b/>
          <w:bCs/>
          <w:color w:val="auto"/>
          <w:sz w:val="28"/>
          <w:szCs w:val="32"/>
          <w:u w:val="single"/>
        </w:rPr>
      </w:pPr>
      <w:bookmarkStart w:id="149" w:name="_Toc6008"/>
      <w:r>
        <w:rPr>
          <w:rFonts w:hint="eastAsia" w:ascii="宋体" w:hAnsi="宋体" w:eastAsia="宋体" w:cs="宋体"/>
          <w:b/>
          <w:bCs/>
          <w:color w:val="auto"/>
          <w:sz w:val="28"/>
          <w:szCs w:val="32"/>
        </w:rPr>
        <w:t>供 应 商：</w:t>
      </w:r>
      <w:bookmarkEnd w:id="141"/>
      <w:bookmarkEnd w:id="142"/>
      <w:bookmarkEnd w:id="143"/>
      <w:bookmarkEnd w:id="144"/>
      <w:bookmarkEnd w:id="145"/>
      <w:bookmarkEnd w:id="146"/>
      <w:r>
        <w:rPr>
          <w:rFonts w:hint="eastAsia" w:ascii="宋体" w:hAnsi="宋体" w:eastAsia="宋体" w:cs="宋体"/>
          <w:b/>
          <w:bCs/>
          <w:color w:val="auto"/>
          <w:sz w:val="28"/>
          <w:szCs w:val="32"/>
          <w:u w:val="single"/>
          <w:lang w:val="en-US" w:eastAsia="zh-CN"/>
        </w:rPr>
        <w:t xml:space="preserve">                                  </w:t>
      </w:r>
      <w:r>
        <w:rPr>
          <w:rFonts w:hint="eastAsia" w:ascii="宋体" w:hAnsi="宋体" w:eastAsia="宋体" w:cs="宋体"/>
          <w:b/>
          <w:bCs/>
          <w:color w:val="auto"/>
          <w:sz w:val="28"/>
          <w:szCs w:val="32"/>
          <w:u w:val="single"/>
        </w:rPr>
        <w:t>(公章)</w:t>
      </w:r>
      <w:bookmarkEnd w:id="147"/>
      <w:bookmarkEnd w:id="148"/>
      <w:bookmarkEnd w:id="149"/>
    </w:p>
    <w:p>
      <w:pPr>
        <w:spacing w:line="360" w:lineRule="auto"/>
        <w:ind w:firstLine="498" w:firstLineChars="177"/>
        <w:outlineLvl w:val="0"/>
        <w:rPr>
          <w:rFonts w:hint="eastAsia" w:ascii="宋体" w:hAnsi="宋体" w:eastAsia="宋体" w:cs="宋体"/>
          <w:b/>
          <w:bCs/>
          <w:color w:val="auto"/>
          <w:sz w:val="28"/>
          <w:u w:val="single"/>
        </w:rPr>
      </w:pPr>
      <w:bookmarkStart w:id="150" w:name="_Toc21036"/>
      <w:bookmarkStart w:id="151" w:name="_Toc13385"/>
      <w:bookmarkStart w:id="152" w:name="_Toc32451_WPSOffice_Level1"/>
      <w:bookmarkStart w:id="153" w:name="_Toc16462_WPSOffice_Level1"/>
      <w:bookmarkStart w:id="154" w:name="_Toc905"/>
      <w:bookmarkStart w:id="155" w:name="_Toc25454_WPSOffice_Level1"/>
      <w:bookmarkStart w:id="156" w:name="_Toc24198"/>
      <w:bookmarkStart w:id="157" w:name="_Toc9319_WPSOffice_Level1"/>
      <w:bookmarkStart w:id="158" w:name="_Toc4692"/>
      <w:r>
        <w:rPr>
          <w:rFonts w:hint="eastAsia" w:ascii="宋体" w:hAnsi="宋体" w:eastAsia="宋体" w:cs="宋体"/>
          <w:b/>
          <w:bCs/>
          <w:color w:val="auto"/>
          <w:sz w:val="28"/>
          <w:u w:val="none"/>
        </w:rPr>
        <w:t>法定代表人或其被授权委托代理人 ：</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u w:val="single"/>
          <w:lang w:val="en-US" w:eastAsia="zh-CN"/>
        </w:rPr>
        <w:t xml:space="preserve">        </w:t>
      </w:r>
      <w:r>
        <w:rPr>
          <w:rFonts w:hint="eastAsia" w:ascii="宋体" w:hAnsi="宋体" w:eastAsia="宋体" w:cs="宋体"/>
          <w:b/>
          <w:bCs/>
          <w:color w:val="auto"/>
          <w:sz w:val="28"/>
          <w:u w:val="single"/>
        </w:rPr>
        <w:t>（签字）</w:t>
      </w:r>
      <w:bookmarkEnd w:id="150"/>
      <w:bookmarkEnd w:id="151"/>
      <w:bookmarkEnd w:id="152"/>
      <w:bookmarkEnd w:id="153"/>
      <w:bookmarkEnd w:id="154"/>
      <w:bookmarkEnd w:id="155"/>
      <w:bookmarkEnd w:id="156"/>
      <w:bookmarkEnd w:id="157"/>
      <w:bookmarkEnd w:id="158"/>
    </w:p>
    <w:p>
      <w:pPr>
        <w:spacing w:line="360" w:lineRule="auto"/>
        <w:ind w:firstLine="498" w:firstLineChars="177"/>
        <w:outlineLvl w:val="0"/>
        <w:rPr>
          <w:rFonts w:hint="eastAsia" w:ascii="宋体" w:hAnsi="宋体" w:eastAsia="宋体" w:cs="宋体"/>
          <w:b/>
          <w:bCs/>
          <w:color w:val="auto"/>
          <w:sz w:val="28"/>
          <w:u w:val="single"/>
          <w:lang w:val="en-US" w:eastAsia="zh-CN"/>
        </w:rPr>
      </w:pPr>
      <w:bookmarkStart w:id="159" w:name="_Toc32478"/>
      <w:bookmarkStart w:id="160" w:name="_Toc19601"/>
      <w:bookmarkStart w:id="161" w:name="_Toc28358"/>
      <w:bookmarkStart w:id="162" w:name="_Toc6982_WPSOffice_Level1"/>
      <w:bookmarkStart w:id="163" w:name="_Toc9550"/>
      <w:bookmarkStart w:id="164" w:name="_Toc21192_WPSOffice_Level1"/>
      <w:bookmarkStart w:id="165" w:name="_Toc6125_WPSOffice_Level1"/>
      <w:bookmarkStart w:id="166" w:name="_Toc29630_WPSOffice_Level1"/>
      <w:bookmarkStart w:id="167" w:name="_Toc4449"/>
      <w:r>
        <w:rPr>
          <w:rFonts w:hint="eastAsia" w:ascii="宋体" w:hAnsi="宋体" w:eastAsia="宋体" w:cs="宋体"/>
          <w:b/>
          <w:bCs/>
          <w:color w:val="auto"/>
          <w:sz w:val="28"/>
        </w:rPr>
        <w:t>日    期：</w:t>
      </w:r>
      <w:bookmarkEnd w:id="159"/>
      <w:bookmarkEnd w:id="160"/>
      <w:bookmarkEnd w:id="161"/>
      <w:bookmarkEnd w:id="162"/>
      <w:bookmarkEnd w:id="163"/>
      <w:bookmarkEnd w:id="164"/>
      <w:bookmarkEnd w:id="165"/>
      <w:bookmarkEnd w:id="166"/>
      <w:bookmarkEnd w:id="167"/>
      <w:bookmarkStart w:id="168" w:name="_Toc32102_WPSOffice_Level1"/>
      <w:bookmarkStart w:id="169" w:name="_Toc6310_WPSOffice_Level1"/>
      <w:bookmarkStart w:id="170" w:name="_Toc25620"/>
      <w:bookmarkStart w:id="171" w:name="_Toc10984"/>
      <w:bookmarkStart w:id="172" w:name="_Toc6405_WPSOffice_Level1"/>
      <w:bookmarkStart w:id="173" w:name="_Toc23100"/>
      <w:r>
        <w:rPr>
          <w:rFonts w:hint="eastAsia" w:ascii="宋体" w:hAnsi="宋体" w:eastAsia="宋体" w:cs="宋体"/>
          <w:b/>
          <w:bCs/>
          <w:color w:val="auto"/>
          <w:sz w:val="28"/>
          <w:u w:val="single"/>
          <w:lang w:val="en-US" w:eastAsia="zh-CN"/>
        </w:rPr>
        <w:t xml:space="preserve">                                        </w:t>
      </w:r>
    </w:p>
    <w:p>
      <w:pPr>
        <w:jc w:val="center"/>
        <w:outlineLvl w:val="9"/>
        <w:rPr>
          <w:rFonts w:hint="eastAsia" w:ascii="宋体" w:hAnsi="宋体" w:eastAsia="宋体" w:cs="宋体"/>
          <w:b/>
          <w:bCs/>
          <w:color w:val="auto"/>
          <w:sz w:val="44"/>
          <w:szCs w:val="44"/>
        </w:rPr>
      </w:pPr>
    </w:p>
    <w:p>
      <w:pPr>
        <w:jc w:val="center"/>
        <w:outlineLvl w:val="9"/>
        <w:rPr>
          <w:rFonts w:hint="eastAsia" w:ascii="宋体" w:hAnsi="宋体" w:eastAsia="宋体" w:cs="宋体"/>
          <w:b/>
          <w:bCs/>
          <w:color w:val="auto"/>
          <w:sz w:val="44"/>
          <w:szCs w:val="44"/>
        </w:rPr>
      </w:pPr>
    </w:p>
    <w:p>
      <w:pPr>
        <w:pStyle w:val="10"/>
        <w:rPr>
          <w:rFonts w:hint="eastAsia" w:ascii="宋体" w:hAnsi="宋体" w:eastAsia="宋体" w:cs="宋体"/>
          <w:color w:val="auto"/>
        </w:rPr>
      </w:pPr>
    </w:p>
    <w:p>
      <w:pPr>
        <w:jc w:val="center"/>
        <w:outlineLvl w:val="0"/>
        <w:rPr>
          <w:rFonts w:hint="eastAsia" w:ascii="宋体" w:hAnsi="宋体" w:eastAsia="宋体" w:cs="宋体"/>
          <w:b/>
          <w:bCs/>
          <w:color w:val="auto"/>
          <w:sz w:val="44"/>
          <w:szCs w:val="44"/>
        </w:rPr>
      </w:pPr>
      <w:bookmarkStart w:id="174" w:name="_Toc7452"/>
      <w:bookmarkStart w:id="175" w:name="_Toc22851"/>
    </w:p>
    <w:p>
      <w:pPr>
        <w:jc w:val="center"/>
        <w:outlineLvl w:val="0"/>
        <w:rPr>
          <w:rFonts w:hint="eastAsia" w:ascii="宋体" w:hAnsi="宋体" w:eastAsia="宋体" w:cs="宋体"/>
          <w:b/>
          <w:bCs/>
          <w:color w:val="auto"/>
          <w:sz w:val="44"/>
          <w:szCs w:val="44"/>
        </w:rPr>
      </w:pPr>
    </w:p>
    <w:p>
      <w:pPr>
        <w:jc w:val="center"/>
        <w:outlineLvl w:val="0"/>
        <w:rPr>
          <w:rFonts w:hint="eastAsia" w:ascii="宋体" w:hAnsi="宋体" w:eastAsia="宋体" w:cs="宋体"/>
          <w:b/>
          <w:bCs/>
          <w:color w:val="auto"/>
          <w:sz w:val="48"/>
          <w:szCs w:val="48"/>
        </w:rPr>
      </w:pPr>
      <w:r>
        <w:rPr>
          <w:rFonts w:hint="eastAsia" w:ascii="宋体" w:hAnsi="宋体" w:eastAsia="宋体" w:cs="宋体"/>
          <w:b/>
          <w:bCs/>
          <w:color w:val="auto"/>
          <w:sz w:val="44"/>
          <w:szCs w:val="44"/>
        </w:rPr>
        <w:t>目    录</w:t>
      </w:r>
      <w:bookmarkEnd w:id="168"/>
      <w:bookmarkEnd w:id="169"/>
      <w:bookmarkEnd w:id="170"/>
      <w:bookmarkEnd w:id="171"/>
      <w:bookmarkEnd w:id="172"/>
      <w:bookmarkEnd w:id="173"/>
      <w:bookmarkEnd w:id="174"/>
      <w:bookmarkEnd w:id="175"/>
    </w:p>
    <w:p>
      <w:pPr>
        <w:spacing w:line="480" w:lineRule="exact"/>
        <w:ind w:firstLine="640" w:firstLineChars="200"/>
        <w:rPr>
          <w:rFonts w:hint="eastAsia" w:ascii="宋体" w:hAnsi="宋体" w:eastAsia="宋体" w:cs="宋体"/>
          <w:color w:val="auto"/>
          <w:sz w:val="32"/>
          <w:szCs w:val="32"/>
        </w:rPr>
      </w:pPr>
    </w:p>
    <w:p>
      <w:pPr>
        <w:spacing w:line="360" w:lineRule="exact"/>
        <w:ind w:firstLine="420" w:firstLineChars="200"/>
        <w:rPr>
          <w:rFonts w:hint="eastAsia" w:ascii="宋体" w:hAnsi="宋体" w:eastAsia="宋体" w:cs="宋体"/>
          <w:color w:val="auto"/>
          <w:szCs w:val="21"/>
        </w:rPr>
      </w:pPr>
    </w:p>
    <w:p>
      <w:pPr>
        <w:spacing w:line="360" w:lineRule="exact"/>
        <w:ind w:firstLine="480" w:firstLineChars="200"/>
        <w:outlineLvl w:val="0"/>
        <w:rPr>
          <w:rFonts w:hint="eastAsia" w:ascii="宋体" w:hAnsi="宋体" w:eastAsia="宋体" w:cs="宋体"/>
          <w:color w:val="auto"/>
          <w:sz w:val="24"/>
          <w:szCs w:val="24"/>
        </w:rPr>
      </w:pPr>
      <w:bookmarkStart w:id="176" w:name="_Toc13643"/>
      <w:bookmarkStart w:id="177" w:name="_Toc7372_WPSOffice_Level1"/>
      <w:bookmarkStart w:id="178" w:name="_Toc19308"/>
      <w:bookmarkStart w:id="179" w:name="_Toc27957_WPSOffice_Level1"/>
      <w:bookmarkStart w:id="180" w:name="_Toc20483"/>
      <w:bookmarkStart w:id="181" w:name="_Toc26011_WPSOffice_Level1"/>
      <w:bookmarkStart w:id="182" w:name="_Toc1826_WPSOffice_Level1"/>
      <w:bookmarkStart w:id="183" w:name="_Toc7719"/>
      <w:bookmarkStart w:id="184" w:name="_Toc22020"/>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部分   响应函</w:t>
      </w:r>
      <w:bookmarkEnd w:id="176"/>
      <w:bookmarkEnd w:id="177"/>
      <w:bookmarkEnd w:id="178"/>
      <w:bookmarkEnd w:id="179"/>
      <w:bookmarkEnd w:id="180"/>
      <w:bookmarkEnd w:id="181"/>
      <w:bookmarkEnd w:id="182"/>
      <w:bookmarkEnd w:id="183"/>
      <w:bookmarkEnd w:id="184"/>
    </w:p>
    <w:p>
      <w:pPr>
        <w:spacing w:line="360" w:lineRule="exact"/>
        <w:ind w:firstLine="480" w:firstLineChars="200"/>
        <w:rPr>
          <w:rFonts w:hint="eastAsia" w:ascii="宋体" w:hAnsi="宋体" w:eastAsia="宋体" w:cs="宋体"/>
          <w:color w:val="auto"/>
          <w:sz w:val="24"/>
          <w:szCs w:val="24"/>
        </w:rPr>
      </w:pPr>
    </w:p>
    <w:p>
      <w:pPr>
        <w:spacing w:line="360" w:lineRule="exact"/>
        <w:ind w:firstLine="480" w:firstLineChars="200"/>
        <w:outlineLvl w:val="0"/>
        <w:rPr>
          <w:rFonts w:hint="eastAsia" w:ascii="宋体" w:hAnsi="宋体" w:eastAsia="宋体" w:cs="宋体"/>
          <w:color w:val="auto"/>
          <w:sz w:val="24"/>
          <w:szCs w:val="24"/>
          <w:highlight w:val="red"/>
          <w:lang w:eastAsia="zh-CN"/>
        </w:rPr>
      </w:pPr>
      <w:bookmarkStart w:id="185" w:name="_Toc29746"/>
      <w:bookmarkStart w:id="186" w:name="_Toc10747_WPSOffice_Level1"/>
      <w:bookmarkStart w:id="187" w:name="_Toc18583"/>
      <w:bookmarkStart w:id="188" w:name="_Toc31964"/>
      <w:bookmarkStart w:id="189" w:name="_Toc18583_WPSOffice_Level1"/>
      <w:bookmarkStart w:id="190" w:name="_Toc12722"/>
      <w:bookmarkStart w:id="191" w:name="_Toc8906"/>
      <w:bookmarkStart w:id="192" w:name="_Toc12021_WPSOffice_Level1"/>
      <w:bookmarkStart w:id="193" w:name="_Toc9881_WPSOffice_Level1"/>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部分  </w:t>
      </w:r>
      <w:r>
        <w:rPr>
          <w:rFonts w:hint="eastAsia" w:ascii="宋体" w:hAnsi="宋体" w:eastAsia="宋体" w:cs="宋体"/>
          <w:color w:val="auto"/>
          <w:sz w:val="24"/>
          <w:szCs w:val="24"/>
          <w:highlight w:val="none"/>
        </w:rPr>
        <w:t xml:space="preserve"> </w:t>
      </w:r>
      <w:bookmarkEnd w:id="185"/>
      <w:bookmarkEnd w:id="186"/>
      <w:bookmarkEnd w:id="187"/>
      <w:bookmarkEnd w:id="188"/>
      <w:bookmarkEnd w:id="189"/>
      <w:bookmarkEnd w:id="190"/>
      <w:bookmarkEnd w:id="191"/>
      <w:bookmarkEnd w:id="192"/>
      <w:bookmarkEnd w:id="193"/>
      <w:r>
        <w:rPr>
          <w:rFonts w:hint="eastAsia" w:ascii="宋体" w:hAnsi="宋体" w:eastAsia="宋体" w:cs="宋体"/>
          <w:color w:val="auto"/>
          <w:sz w:val="24"/>
          <w:szCs w:val="24"/>
          <w:highlight w:val="none"/>
          <w:lang w:val="en-US" w:eastAsia="zh-CN"/>
        </w:rPr>
        <w:t>报价部分</w:t>
      </w:r>
    </w:p>
    <w:p>
      <w:pPr>
        <w:spacing w:line="360" w:lineRule="exact"/>
        <w:ind w:firstLine="480" w:firstLineChars="200"/>
        <w:rPr>
          <w:rFonts w:hint="eastAsia" w:ascii="宋体" w:hAnsi="宋体" w:eastAsia="宋体" w:cs="宋体"/>
          <w:color w:val="auto"/>
          <w:sz w:val="24"/>
          <w:szCs w:val="24"/>
        </w:rPr>
      </w:pPr>
    </w:p>
    <w:p>
      <w:pPr>
        <w:spacing w:line="360" w:lineRule="exact"/>
        <w:ind w:firstLine="480" w:firstLineChars="200"/>
        <w:outlineLvl w:val="0"/>
        <w:rPr>
          <w:rFonts w:hint="eastAsia" w:ascii="宋体" w:hAnsi="宋体" w:eastAsia="宋体" w:cs="宋体"/>
          <w:color w:val="auto"/>
          <w:sz w:val="24"/>
          <w:szCs w:val="24"/>
          <w:lang w:val="en-US" w:eastAsia="zh-CN"/>
        </w:rPr>
      </w:pPr>
      <w:bookmarkStart w:id="194" w:name="_Toc28844"/>
      <w:bookmarkStart w:id="195" w:name="_Toc13364"/>
      <w:bookmarkStart w:id="196" w:name="_Toc8226_WPSOffice_Level1"/>
      <w:bookmarkStart w:id="197" w:name="_Toc27976"/>
      <w:bookmarkStart w:id="198" w:name="_Toc9979"/>
      <w:bookmarkStart w:id="199" w:name="_Toc26384_WPSOffice_Level1"/>
      <w:bookmarkStart w:id="200" w:name="_Toc25195_WPSOffice_Level1"/>
      <w:bookmarkStart w:id="201" w:name="_Toc4728_WPSOffice_Level1"/>
      <w:bookmarkStart w:id="202" w:name="_Toc10297"/>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部分   </w:t>
      </w:r>
      <w:bookmarkEnd w:id="194"/>
      <w:bookmarkEnd w:id="195"/>
      <w:bookmarkEnd w:id="196"/>
      <w:bookmarkEnd w:id="197"/>
      <w:bookmarkEnd w:id="198"/>
      <w:bookmarkEnd w:id="199"/>
      <w:bookmarkEnd w:id="200"/>
      <w:bookmarkEnd w:id="201"/>
      <w:r>
        <w:rPr>
          <w:rFonts w:hint="eastAsia" w:ascii="宋体" w:hAnsi="宋体" w:eastAsia="宋体" w:cs="宋体"/>
          <w:color w:val="auto"/>
          <w:sz w:val="24"/>
          <w:szCs w:val="24"/>
          <w:lang w:val="en-US" w:eastAsia="zh-CN"/>
        </w:rPr>
        <w:t>技术方案</w:t>
      </w:r>
      <w:bookmarkEnd w:id="202"/>
    </w:p>
    <w:p>
      <w:pPr>
        <w:spacing w:line="360" w:lineRule="exact"/>
        <w:ind w:firstLine="480" w:firstLineChars="200"/>
        <w:rPr>
          <w:rFonts w:hint="eastAsia" w:ascii="宋体" w:hAnsi="宋体" w:eastAsia="宋体" w:cs="宋体"/>
          <w:color w:val="auto"/>
          <w:sz w:val="24"/>
          <w:szCs w:val="24"/>
        </w:rPr>
      </w:pPr>
    </w:p>
    <w:p>
      <w:pPr>
        <w:spacing w:line="360" w:lineRule="exact"/>
        <w:ind w:firstLine="480" w:firstLineChars="200"/>
        <w:outlineLvl w:val="0"/>
        <w:rPr>
          <w:rFonts w:hint="eastAsia" w:ascii="宋体" w:hAnsi="宋体" w:eastAsia="宋体" w:cs="宋体"/>
          <w:color w:val="auto"/>
          <w:sz w:val="24"/>
          <w:szCs w:val="24"/>
        </w:rPr>
      </w:pPr>
      <w:bookmarkStart w:id="203" w:name="_Toc7055"/>
      <w:bookmarkStart w:id="204" w:name="_Toc12952"/>
      <w:bookmarkStart w:id="205" w:name="_Toc23870_WPSOffice_Level1"/>
      <w:bookmarkStart w:id="206" w:name="_Toc29748"/>
      <w:bookmarkStart w:id="207" w:name="_Toc28311"/>
      <w:bookmarkStart w:id="208" w:name="_Toc18706_WPSOffice_Level1"/>
      <w:bookmarkStart w:id="209" w:name="_Toc23101_WPSOffice_Level1"/>
      <w:bookmarkStart w:id="210" w:name="_Toc8405"/>
      <w:bookmarkStart w:id="211" w:name="_Toc31659_WPSOffice_Level1"/>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部分   商务响应</w:t>
      </w:r>
      <w:bookmarkEnd w:id="203"/>
      <w:bookmarkEnd w:id="204"/>
      <w:bookmarkEnd w:id="205"/>
      <w:bookmarkEnd w:id="206"/>
      <w:bookmarkEnd w:id="207"/>
      <w:bookmarkEnd w:id="208"/>
      <w:bookmarkEnd w:id="209"/>
      <w:bookmarkEnd w:id="210"/>
      <w:bookmarkEnd w:id="211"/>
    </w:p>
    <w:p>
      <w:pPr>
        <w:spacing w:line="360" w:lineRule="exact"/>
        <w:ind w:firstLine="480" w:firstLineChars="200"/>
        <w:rPr>
          <w:rFonts w:hint="eastAsia" w:ascii="宋体" w:hAnsi="宋体" w:eastAsia="宋体" w:cs="宋体"/>
          <w:color w:val="auto"/>
          <w:sz w:val="24"/>
          <w:szCs w:val="24"/>
        </w:rPr>
      </w:pPr>
    </w:p>
    <w:p>
      <w:pPr>
        <w:spacing w:line="360" w:lineRule="exact"/>
        <w:ind w:firstLine="480" w:firstLineChars="200"/>
        <w:outlineLvl w:val="0"/>
        <w:rPr>
          <w:rFonts w:hint="eastAsia" w:ascii="宋体" w:hAnsi="宋体" w:eastAsia="宋体" w:cs="宋体"/>
          <w:color w:val="auto"/>
          <w:sz w:val="24"/>
          <w:szCs w:val="24"/>
        </w:rPr>
      </w:pPr>
      <w:bookmarkStart w:id="212" w:name="_Toc22418_WPSOffice_Level1"/>
      <w:bookmarkStart w:id="213" w:name="_Toc13442_WPSOffice_Level1"/>
      <w:bookmarkStart w:id="214" w:name="_Toc20874"/>
      <w:bookmarkStart w:id="215" w:name="_Toc19012_WPSOffice_Level1"/>
      <w:bookmarkStart w:id="216" w:name="_Toc26395"/>
      <w:bookmarkStart w:id="217" w:name="_Toc15145"/>
      <w:bookmarkStart w:id="218" w:name="_Toc13214_WPSOffice_Level1"/>
      <w:bookmarkStart w:id="219" w:name="_Toc21497"/>
      <w:bookmarkStart w:id="220" w:name="_Toc21910"/>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部分  </w:t>
      </w:r>
      <w:bookmarkEnd w:id="212"/>
      <w:bookmarkEnd w:id="213"/>
      <w:bookmarkEnd w:id="214"/>
      <w:bookmarkEnd w:id="215"/>
      <w:bookmarkEnd w:id="216"/>
      <w:bookmarkEnd w:id="217"/>
      <w:bookmarkEnd w:id="218"/>
      <w:bookmarkEnd w:id="219"/>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其他材料及</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认为有必要说明、阐述的事项</w:t>
      </w:r>
      <w:bookmarkEnd w:id="220"/>
    </w:p>
    <w:p>
      <w:pPr>
        <w:spacing w:line="360" w:lineRule="exact"/>
        <w:ind w:firstLine="480" w:firstLineChars="200"/>
        <w:rPr>
          <w:rFonts w:hint="eastAsia" w:ascii="宋体" w:hAnsi="宋体" w:eastAsia="宋体" w:cs="宋体"/>
          <w:color w:val="auto"/>
          <w:sz w:val="24"/>
          <w:szCs w:val="24"/>
        </w:rPr>
      </w:pPr>
    </w:p>
    <w:p>
      <w:pPr>
        <w:spacing w:line="360" w:lineRule="exact"/>
        <w:ind w:firstLine="480" w:firstLineChars="200"/>
        <w:outlineLvl w:val="0"/>
        <w:rPr>
          <w:rFonts w:hint="eastAsia" w:ascii="宋体" w:hAnsi="宋体" w:eastAsia="宋体" w:cs="宋体"/>
          <w:color w:val="auto"/>
          <w:sz w:val="24"/>
          <w:szCs w:val="24"/>
        </w:rPr>
      </w:pPr>
      <w:bookmarkStart w:id="221" w:name="_Toc26261"/>
      <w:bookmarkStart w:id="222" w:name="_Toc24331_WPSOffice_Level1"/>
      <w:bookmarkStart w:id="223" w:name="_Toc20316_WPSOffice_Level1"/>
      <w:bookmarkStart w:id="224" w:name="_Toc28155"/>
      <w:bookmarkStart w:id="225" w:name="_Toc4766"/>
      <w:bookmarkStart w:id="226" w:name="_Toc26630_WPSOffice_Level1"/>
      <w:bookmarkStart w:id="227" w:name="_Toc20530_WPSOffice_Level1"/>
      <w:bookmarkStart w:id="228" w:name="_Toc28550"/>
      <w:bookmarkStart w:id="229" w:name="_Toc25700"/>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部分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资格证明</w:t>
      </w:r>
      <w:bookmarkEnd w:id="221"/>
      <w:bookmarkEnd w:id="222"/>
      <w:bookmarkEnd w:id="223"/>
      <w:bookmarkEnd w:id="224"/>
      <w:bookmarkEnd w:id="225"/>
      <w:bookmarkEnd w:id="226"/>
      <w:bookmarkEnd w:id="227"/>
      <w:bookmarkEnd w:id="228"/>
      <w:bookmarkEnd w:id="229"/>
    </w:p>
    <w:p>
      <w:pPr>
        <w:spacing w:line="480" w:lineRule="exact"/>
        <w:ind w:firstLine="480" w:firstLineChars="200"/>
        <w:rPr>
          <w:rFonts w:hint="eastAsia" w:ascii="宋体" w:hAnsi="宋体" w:eastAsia="宋体" w:cs="宋体"/>
          <w:color w:val="auto"/>
          <w:sz w:val="24"/>
          <w:szCs w:val="24"/>
        </w:rPr>
      </w:pPr>
    </w:p>
    <w:p>
      <w:pPr>
        <w:pStyle w:val="14"/>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pPr>
        <w:spacing w:line="480" w:lineRule="exact"/>
        <w:ind w:firstLine="420" w:firstLineChars="200"/>
        <w:rPr>
          <w:rFonts w:hint="eastAsia" w:ascii="宋体" w:hAnsi="宋体" w:eastAsia="宋体" w:cs="宋体"/>
          <w:color w:val="auto"/>
          <w:szCs w:val="21"/>
        </w:rPr>
      </w:pPr>
    </w:p>
    <w:p>
      <w:pPr>
        <w:spacing w:line="480" w:lineRule="exact"/>
        <w:ind w:firstLine="640" w:firstLineChars="200"/>
        <w:rPr>
          <w:rFonts w:hint="eastAsia" w:ascii="宋体" w:hAnsi="宋体" w:eastAsia="宋体" w:cs="宋体"/>
          <w:color w:val="auto"/>
          <w:sz w:val="32"/>
          <w:szCs w:val="32"/>
        </w:rPr>
      </w:pPr>
    </w:p>
    <w:p>
      <w:pPr>
        <w:spacing w:line="480" w:lineRule="exact"/>
        <w:ind w:firstLine="640" w:firstLineChars="200"/>
        <w:rPr>
          <w:rFonts w:hint="eastAsia" w:ascii="宋体" w:hAnsi="宋体" w:eastAsia="宋体" w:cs="宋体"/>
          <w:color w:val="auto"/>
          <w:sz w:val="32"/>
          <w:szCs w:val="32"/>
        </w:rPr>
      </w:pPr>
    </w:p>
    <w:p>
      <w:pPr>
        <w:spacing w:line="480" w:lineRule="exact"/>
        <w:ind w:firstLine="640" w:firstLineChars="200"/>
        <w:rPr>
          <w:rFonts w:hint="eastAsia" w:ascii="宋体" w:hAnsi="宋体" w:eastAsia="宋体" w:cs="宋体"/>
          <w:color w:val="auto"/>
          <w:sz w:val="32"/>
          <w:szCs w:val="32"/>
        </w:rPr>
      </w:pPr>
    </w:p>
    <w:p>
      <w:pPr>
        <w:spacing w:line="480" w:lineRule="exact"/>
        <w:ind w:firstLine="640" w:firstLineChars="200"/>
        <w:rPr>
          <w:rFonts w:hint="eastAsia" w:ascii="宋体" w:hAnsi="宋体" w:eastAsia="宋体" w:cs="宋体"/>
          <w:color w:val="auto"/>
          <w:sz w:val="32"/>
          <w:szCs w:val="32"/>
        </w:rPr>
      </w:pPr>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bookmarkStart w:id="230" w:name="_Toc32075"/>
      <w:bookmarkStart w:id="231" w:name="_Toc19706"/>
      <w:bookmarkStart w:id="232" w:name="_Toc26784"/>
      <w:bookmarkStart w:id="233" w:name="_Toc13760_WPSOffice_Level1"/>
      <w:bookmarkStart w:id="234" w:name="_Toc17055_WPSOffice_Level1"/>
      <w:bookmarkStart w:id="235" w:name="_Toc28655_WPSOffice_Level1"/>
      <w:bookmarkStart w:id="236" w:name="_Toc17212"/>
      <w:bookmarkStart w:id="237" w:name="_Toc22565"/>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p>
    <w:p>
      <w:pPr>
        <w:tabs>
          <w:tab w:val="left" w:pos="1260"/>
        </w:tabs>
        <w:spacing w:line="440" w:lineRule="exact"/>
        <w:jc w:val="both"/>
        <w:outlineLvl w:val="0"/>
        <w:rPr>
          <w:rFonts w:hint="eastAsia" w:ascii="宋体" w:hAnsi="宋体" w:eastAsia="宋体" w:cs="宋体"/>
          <w:b/>
          <w:bCs/>
          <w:color w:val="auto"/>
          <w:sz w:val="32"/>
          <w:szCs w:val="40"/>
        </w:rPr>
      </w:pPr>
    </w:p>
    <w:p>
      <w:pPr>
        <w:tabs>
          <w:tab w:val="left" w:pos="1260"/>
        </w:tabs>
        <w:spacing w:line="440" w:lineRule="exact"/>
        <w:ind w:firstLine="2891" w:firstLineChars="900"/>
        <w:jc w:val="both"/>
        <w:outlineLvl w:val="0"/>
        <w:rPr>
          <w:rFonts w:hint="eastAsia" w:ascii="宋体" w:hAnsi="宋体" w:eastAsia="宋体" w:cs="宋体"/>
          <w:b/>
          <w:bCs/>
          <w:color w:val="auto"/>
          <w:sz w:val="32"/>
          <w:szCs w:val="40"/>
        </w:rPr>
      </w:pPr>
    </w:p>
    <w:p>
      <w:pPr>
        <w:tabs>
          <w:tab w:val="left" w:pos="1260"/>
        </w:tabs>
        <w:spacing w:line="440" w:lineRule="exact"/>
        <w:ind w:firstLine="2891" w:firstLineChars="900"/>
        <w:jc w:val="both"/>
        <w:outlineLvl w:val="0"/>
        <w:rPr>
          <w:rFonts w:hint="eastAsia" w:ascii="宋体" w:hAnsi="宋体" w:eastAsia="宋体" w:cs="宋体"/>
          <w:b/>
          <w:bCs/>
          <w:color w:val="auto"/>
          <w:sz w:val="24"/>
          <w:lang w:eastAsia="zh-CN"/>
        </w:rPr>
      </w:pPr>
      <w:r>
        <w:rPr>
          <w:rFonts w:hint="eastAsia" w:ascii="宋体" w:hAnsi="宋体" w:eastAsia="宋体" w:cs="宋体"/>
          <w:b/>
          <w:bCs/>
          <w:color w:val="auto"/>
          <w:sz w:val="32"/>
          <w:szCs w:val="40"/>
        </w:rPr>
        <w:t>第</w:t>
      </w:r>
      <w:r>
        <w:rPr>
          <w:rFonts w:hint="eastAsia" w:ascii="宋体" w:hAnsi="宋体" w:eastAsia="宋体" w:cs="宋体"/>
          <w:b/>
          <w:bCs/>
          <w:color w:val="auto"/>
          <w:sz w:val="32"/>
          <w:szCs w:val="40"/>
          <w:lang w:val="en-US" w:eastAsia="zh-CN"/>
        </w:rPr>
        <w:t>1</w:t>
      </w:r>
      <w:r>
        <w:rPr>
          <w:rFonts w:hint="eastAsia" w:ascii="宋体" w:hAnsi="宋体" w:eastAsia="宋体" w:cs="宋体"/>
          <w:b/>
          <w:bCs/>
          <w:color w:val="auto"/>
          <w:sz w:val="32"/>
          <w:szCs w:val="40"/>
        </w:rPr>
        <w:t>部分  响应函</w:t>
      </w:r>
      <w:bookmarkEnd w:id="230"/>
      <w:bookmarkEnd w:id="231"/>
      <w:bookmarkEnd w:id="232"/>
      <w:bookmarkEnd w:id="233"/>
      <w:bookmarkEnd w:id="234"/>
      <w:bookmarkEnd w:id="235"/>
      <w:bookmarkEnd w:id="236"/>
      <w:bookmarkEnd w:id="237"/>
    </w:p>
    <w:p>
      <w:pPr>
        <w:pStyle w:val="1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sz w:val="21"/>
          <w:szCs w:val="21"/>
        </w:rPr>
      </w:pPr>
    </w:p>
    <w:p>
      <w:pPr>
        <w:pStyle w:val="1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致：同正项目管理有限公司</w:t>
      </w:r>
    </w:p>
    <w:p>
      <w:pPr>
        <w:pStyle w:val="1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我方已仔细研究了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的竞争性磋商文件（项目编号：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；）的全部内容，知悉参加</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的风险，我方承诺接受竞争性磋商文件的全部条款且无任何异议，决定参加贵单位组织的本项目</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。我方正式授权</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代表我方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（磋商响应人的名称）</w:t>
      </w:r>
      <w:r>
        <w:rPr>
          <w:rFonts w:hint="eastAsia" w:ascii="宋体" w:hAnsi="宋体" w:eastAsia="宋体" w:cs="宋体"/>
          <w:color w:val="auto"/>
          <w:sz w:val="24"/>
          <w:szCs w:val="24"/>
        </w:rPr>
        <w:t>全权处理本项目</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的有关事宜。</w:t>
      </w:r>
    </w:p>
    <w:p>
      <w:pPr>
        <w:pStyle w:val="18"/>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一、我方提交响应文件正本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份、副</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w:t>
      </w:r>
      <w:r>
        <w:rPr>
          <w:rFonts w:hint="eastAsia" w:ascii="宋体" w:hAnsi="宋体" w:eastAsia="宋体" w:cs="宋体"/>
          <w:color w:val="auto"/>
          <w:sz w:val="24"/>
          <w:szCs w:val="24"/>
          <w:highlight w:val="none"/>
          <w:lang w:val="en-US" w:eastAsia="zh-CN"/>
        </w:rPr>
        <w:t>首次</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rPr>
        <w:t>含磋商响应文件电子版U盘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份）。并保证磋商响应文件提供的数据和材料真实、准确。否则，愿承担《中华人民共和国政府采购法》第七十七条规定的法律责任。</w:t>
      </w:r>
    </w:p>
    <w:p>
      <w:pPr>
        <w:pStyle w:val="18"/>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二、我方</w:t>
      </w:r>
      <w:r>
        <w:rPr>
          <w:rFonts w:hint="eastAsia" w:ascii="宋体" w:hAnsi="宋体" w:eastAsia="宋体" w:cs="宋体"/>
          <w:color w:val="auto"/>
          <w:sz w:val="24"/>
          <w:szCs w:val="24"/>
          <w:lang w:val="en-US" w:eastAsia="zh-CN"/>
        </w:rPr>
        <w:t>根据</w:t>
      </w:r>
      <w:r>
        <w:rPr>
          <w:rFonts w:hint="eastAsia" w:ascii="宋体" w:hAnsi="宋体" w:eastAsia="宋体" w:cs="宋体"/>
          <w:color w:val="auto"/>
          <w:sz w:val="24"/>
          <w:szCs w:val="24"/>
        </w:rPr>
        <w:t>竞争性磋商文件</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szCs w:val="24"/>
        </w:rPr>
        <w:t>，磋商报价为人民币大写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pStyle w:val="18"/>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、我方已仔细阅读了竞争性磋商文件的全部内容，并同意和放弃对竞争性磋商文件不明或误解而询问、质疑和投诉的权利。</w:t>
      </w:r>
    </w:p>
    <w:p>
      <w:pPr>
        <w:pStyle w:val="18"/>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、我方承诺遵守《中华人民共和国政府采购法》及其实施条例的有关规定，保证在获得成交资格后：</w:t>
      </w:r>
    </w:p>
    <w:p>
      <w:pPr>
        <w:pStyle w:val="18"/>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按照竞争性磋商文件确定的事项签订政府采购合同，履行双方所签订的合同，并承担合同规定的责任和义务；保证合同签订生效后内完成项目的实施，并交付采购人验收、使用；（2）我方保证按规定和标准向贵方缴纳采购代理服务费</w:t>
      </w:r>
      <w:r>
        <w:rPr>
          <w:rFonts w:hint="eastAsia" w:ascii="宋体" w:hAnsi="宋体" w:eastAsia="宋体" w:cs="宋体"/>
          <w:color w:val="auto"/>
          <w:sz w:val="24"/>
          <w:szCs w:val="24"/>
          <w:lang w:eastAsia="zh-CN"/>
        </w:rPr>
        <w:t>。</w:t>
      </w:r>
    </w:p>
    <w:p>
      <w:pPr>
        <w:pStyle w:val="18"/>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 xml:space="preserve">、我方的磋商响应文件自磋商之日起计算有效期为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w:t>
      </w:r>
    </w:p>
    <w:p>
      <w:pPr>
        <w:pStyle w:val="18"/>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、有关本项目的所有函电，请按下列地址联系：</w:t>
      </w:r>
    </w:p>
    <w:p>
      <w:pPr>
        <w:pStyle w:val="18"/>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磋商响应人名称：（盖章）</w:t>
      </w:r>
    </w:p>
    <w:p>
      <w:pPr>
        <w:pStyle w:val="18"/>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法定代表人或其被授权委托代理人：（签字）</w:t>
      </w:r>
    </w:p>
    <w:p>
      <w:pPr>
        <w:pStyle w:val="18"/>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通讯地址：</w:t>
      </w:r>
      <w:r>
        <w:rPr>
          <w:rFonts w:hint="eastAsia" w:ascii="宋体" w:hAnsi="宋体" w:eastAsia="宋体" w:cs="宋体"/>
          <w:bCs/>
          <w:color w:val="auto"/>
          <w:sz w:val="24"/>
          <w:szCs w:val="24"/>
          <w:lang w:val="en-US" w:eastAsia="zh-CN"/>
        </w:rPr>
        <w:t xml:space="preserve">             电话：</w:t>
      </w:r>
    </w:p>
    <w:p>
      <w:pPr>
        <w:pStyle w:val="18"/>
        <w:spacing w:line="360" w:lineRule="auto"/>
        <w:ind w:firstLine="480" w:firstLineChars="200"/>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邮政编码：</w:t>
      </w:r>
      <w:r>
        <w:rPr>
          <w:rFonts w:hint="eastAsia" w:ascii="宋体" w:hAnsi="宋体" w:eastAsia="宋体" w:cs="宋体"/>
          <w:bCs/>
          <w:color w:val="auto"/>
          <w:sz w:val="24"/>
          <w:szCs w:val="24"/>
          <w:lang w:val="en-US" w:eastAsia="zh-CN"/>
        </w:rPr>
        <w:t xml:space="preserve">             电子邮件：</w:t>
      </w:r>
    </w:p>
    <w:p>
      <w:pPr>
        <w:snapToGrid w:val="0"/>
        <w:spacing w:line="360" w:lineRule="auto"/>
        <w:ind w:left="0" w:leftChars="0" w:firstLine="1747" w:firstLineChars="725"/>
        <w:outlineLvl w:val="9"/>
        <w:rPr>
          <w:rFonts w:hint="eastAsia" w:ascii="宋体" w:hAnsi="宋体" w:eastAsia="宋体" w:cs="宋体"/>
          <w:b/>
          <w:color w:val="auto"/>
          <w:sz w:val="24"/>
          <w:szCs w:val="24"/>
        </w:rPr>
      </w:pPr>
      <w:bookmarkStart w:id="238" w:name="_Toc15332_WPSOffice_Level1"/>
      <w:bookmarkStart w:id="239" w:name="_Toc9381"/>
      <w:bookmarkStart w:id="240" w:name="_Toc13450"/>
      <w:bookmarkStart w:id="241" w:name="_Toc25249"/>
      <w:bookmarkStart w:id="242" w:name="_Toc7813_WPSOffice_Level1"/>
      <w:bookmarkStart w:id="243" w:name="_Toc523311247"/>
      <w:bookmarkStart w:id="244" w:name="_Toc29854"/>
      <w:bookmarkStart w:id="245" w:name="_Toc24502_WPSOffice_Level1"/>
    </w:p>
    <w:p>
      <w:pPr>
        <w:snapToGrid w:val="0"/>
        <w:spacing w:line="360" w:lineRule="auto"/>
        <w:ind w:left="0" w:leftChars="0" w:firstLine="2650" w:firstLineChars="825"/>
        <w:outlineLvl w:val="0"/>
        <w:rPr>
          <w:rFonts w:hint="eastAsia" w:ascii="宋体" w:hAnsi="宋体" w:eastAsia="宋体" w:cs="宋体"/>
          <w:b/>
          <w:color w:val="auto"/>
          <w:sz w:val="32"/>
          <w:szCs w:val="32"/>
          <w:highlight w:val="none"/>
          <w:lang w:val="en-US" w:eastAsia="zh-CN"/>
        </w:rPr>
      </w:pPr>
      <w:bookmarkStart w:id="246" w:name="_Toc29866"/>
      <w:r>
        <w:rPr>
          <w:rFonts w:hint="eastAsia" w:ascii="宋体" w:hAnsi="宋体" w:eastAsia="宋体" w:cs="宋体"/>
          <w:b/>
          <w:color w:val="auto"/>
          <w:sz w:val="32"/>
          <w:szCs w:val="32"/>
        </w:rPr>
        <w:t>第</w:t>
      </w:r>
      <w:r>
        <w:rPr>
          <w:rFonts w:hint="eastAsia" w:ascii="宋体" w:hAnsi="宋体" w:eastAsia="宋体" w:cs="宋体"/>
          <w:b/>
          <w:color w:val="auto"/>
          <w:sz w:val="32"/>
          <w:szCs w:val="32"/>
          <w:lang w:val="en-US" w:eastAsia="zh-CN"/>
        </w:rPr>
        <w:t>2</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w:t>
      </w:r>
      <w:bookmarkEnd w:id="238"/>
      <w:bookmarkEnd w:id="239"/>
      <w:bookmarkEnd w:id="240"/>
      <w:bookmarkEnd w:id="241"/>
      <w:bookmarkEnd w:id="242"/>
      <w:bookmarkEnd w:id="243"/>
      <w:bookmarkEnd w:id="244"/>
      <w:bookmarkEnd w:id="245"/>
      <w:bookmarkEnd w:id="246"/>
      <w:r>
        <w:rPr>
          <w:rFonts w:hint="eastAsia" w:ascii="宋体" w:hAnsi="宋体" w:eastAsia="宋体" w:cs="宋体"/>
          <w:b/>
          <w:color w:val="auto"/>
          <w:sz w:val="32"/>
          <w:szCs w:val="32"/>
          <w:highlight w:val="none"/>
          <w:lang w:val="en-US" w:eastAsia="zh-CN"/>
        </w:rPr>
        <w:t>报价部分</w:t>
      </w:r>
    </w:p>
    <w:p>
      <w:pPr>
        <w:tabs>
          <w:tab w:val="left" w:pos="7920"/>
        </w:tabs>
        <w:spacing w:line="240" w:lineRule="exact"/>
        <w:rPr>
          <w:rFonts w:hint="eastAsia" w:ascii="宋体" w:hAnsi="宋体" w:eastAsia="宋体" w:cs="宋体"/>
          <w:color w:val="auto"/>
          <w:sz w:val="32"/>
          <w:szCs w:val="44"/>
          <w:highlight w:val="none"/>
        </w:rPr>
      </w:pPr>
    </w:p>
    <w:p>
      <w:pPr>
        <w:spacing w:line="480" w:lineRule="exact"/>
        <w:jc w:val="center"/>
        <w:outlineLvl w:val="1"/>
        <w:rPr>
          <w:rFonts w:hint="eastAsia" w:ascii="宋体" w:hAnsi="宋体" w:eastAsia="宋体" w:cs="宋体"/>
          <w:b/>
          <w:bCs/>
          <w:color w:val="auto"/>
          <w:sz w:val="30"/>
          <w:szCs w:val="30"/>
        </w:rPr>
      </w:pPr>
      <w:bookmarkStart w:id="247" w:name="_Toc32515"/>
      <w:bookmarkStart w:id="248" w:name="_Toc31257"/>
      <w:bookmarkStart w:id="249" w:name="_Toc4645"/>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eastAsia="zh-CN"/>
        </w:rPr>
        <w:t>报价一览表</w:t>
      </w:r>
      <w:r>
        <w:rPr>
          <w:rFonts w:hint="eastAsia" w:ascii="宋体" w:hAnsi="宋体" w:eastAsia="宋体" w:cs="宋体"/>
          <w:b/>
          <w:bCs/>
          <w:color w:val="auto"/>
          <w:sz w:val="30"/>
          <w:szCs w:val="30"/>
          <w:highlight w:val="none"/>
        </w:rPr>
        <w:t>（首次</w:t>
      </w:r>
      <w:r>
        <w:rPr>
          <w:rFonts w:hint="eastAsia" w:ascii="宋体" w:hAnsi="宋体" w:eastAsia="宋体" w:cs="宋体"/>
          <w:b/>
          <w:bCs/>
          <w:color w:val="auto"/>
          <w:sz w:val="30"/>
          <w:szCs w:val="30"/>
        </w:rPr>
        <w:t>）</w:t>
      </w:r>
      <w:bookmarkEnd w:id="247"/>
      <w:bookmarkEnd w:id="248"/>
      <w:bookmarkEnd w:id="249"/>
    </w:p>
    <w:p>
      <w:pPr>
        <w:tabs>
          <w:tab w:val="right" w:leader="dot" w:pos="9022"/>
        </w:tabs>
        <w:autoSpaceDE w:val="0"/>
        <w:autoSpaceDN w:val="0"/>
        <w:adjustRightInd w:val="0"/>
        <w:spacing w:line="400" w:lineRule="exact"/>
        <w:ind w:firstLine="120" w:firstLineChars="50"/>
        <w:jc w:val="left"/>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响应人名称：                                      人民币：元</w:t>
      </w:r>
    </w:p>
    <w:tbl>
      <w:tblPr>
        <w:tblStyle w:val="28"/>
        <w:tblW w:w="90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80" w:type="dxa"/>
            <w:vAlign w:val="center"/>
          </w:tcPr>
          <w:p>
            <w:pPr>
              <w:tabs>
                <w:tab w:val="right" w:leader="dot" w:pos="9022"/>
              </w:tabs>
              <w:spacing w:line="400" w:lineRule="exact"/>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项目名称</w:t>
            </w:r>
          </w:p>
        </w:tc>
        <w:tc>
          <w:tcPr>
            <w:tcW w:w="7103" w:type="dxa"/>
            <w:vAlign w:val="center"/>
          </w:tcPr>
          <w:p>
            <w:pPr>
              <w:tabs>
                <w:tab w:val="right" w:leader="dot" w:pos="9022"/>
              </w:tabs>
              <w:spacing w:line="400" w:lineRule="exact"/>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980" w:type="dxa"/>
            <w:vAlign w:val="center"/>
          </w:tcPr>
          <w:p>
            <w:pPr>
              <w:tabs>
                <w:tab w:val="right" w:leader="dot" w:pos="9022"/>
              </w:tabs>
              <w:spacing w:line="400" w:lineRule="exact"/>
              <w:ind w:left="440" w:hanging="480" w:hangingChars="200"/>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总报价小写</w:t>
            </w:r>
          </w:p>
        </w:tc>
        <w:tc>
          <w:tcPr>
            <w:tcW w:w="7103" w:type="dxa"/>
            <w:vAlign w:val="center"/>
          </w:tcPr>
          <w:p>
            <w:pPr>
              <w:tabs>
                <w:tab w:val="right" w:leader="dot" w:pos="9022"/>
              </w:tabs>
              <w:spacing w:line="400" w:lineRule="exact"/>
              <w:jc w:val="center"/>
              <w:rPr>
                <w:rFonts w:hint="eastAsia" w:ascii="宋体" w:hAnsi="宋体" w:eastAsia="宋体" w:cs="宋体"/>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80" w:type="dxa"/>
            <w:vAlign w:val="center"/>
          </w:tcPr>
          <w:p>
            <w:pPr>
              <w:tabs>
                <w:tab w:val="right" w:leader="dot" w:pos="9022"/>
              </w:tabs>
              <w:spacing w:line="400" w:lineRule="exact"/>
              <w:ind w:left="440" w:hanging="480" w:hangingChars="200"/>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rPr>
              <w:t>总报价大写</w:t>
            </w:r>
          </w:p>
        </w:tc>
        <w:tc>
          <w:tcPr>
            <w:tcW w:w="7103" w:type="dxa"/>
            <w:vAlign w:val="center"/>
          </w:tcPr>
          <w:p>
            <w:pPr>
              <w:tabs>
                <w:tab w:val="right" w:leader="dot" w:pos="9022"/>
              </w:tabs>
              <w:spacing w:line="400" w:lineRule="exact"/>
              <w:jc w:val="center"/>
              <w:rPr>
                <w:rFonts w:hint="eastAsia" w:ascii="宋体" w:hAnsi="宋体" w:eastAsia="宋体" w:cs="宋体"/>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80" w:type="dxa"/>
            <w:vAlign w:val="center"/>
          </w:tcPr>
          <w:p>
            <w:pPr>
              <w:tabs>
                <w:tab w:val="right" w:leader="dot" w:pos="9022"/>
              </w:tabs>
              <w:spacing w:line="400" w:lineRule="exact"/>
              <w:jc w:val="center"/>
              <w:rPr>
                <w:rFonts w:hint="eastAsia" w:ascii="宋体" w:hAnsi="宋体" w:eastAsia="宋体" w:cs="宋体"/>
                <w:bCs/>
                <w:caps/>
                <w:color w:val="auto"/>
                <w:sz w:val="24"/>
                <w:szCs w:val="24"/>
              </w:rPr>
            </w:pPr>
            <w:r>
              <w:rPr>
                <w:rFonts w:hint="eastAsia" w:ascii="宋体" w:hAnsi="宋体" w:eastAsia="宋体" w:cs="宋体"/>
                <w:bCs/>
                <w:caps/>
                <w:color w:val="auto"/>
                <w:sz w:val="24"/>
                <w:szCs w:val="24"/>
                <w:lang w:val="en-US" w:eastAsia="zh-CN"/>
              </w:rPr>
              <w:t>服务期</w:t>
            </w:r>
          </w:p>
        </w:tc>
        <w:tc>
          <w:tcPr>
            <w:tcW w:w="7103" w:type="dxa"/>
            <w:vAlign w:val="center"/>
          </w:tcPr>
          <w:p>
            <w:pPr>
              <w:tabs>
                <w:tab w:val="right" w:leader="dot" w:pos="9022"/>
              </w:tabs>
              <w:spacing w:line="400" w:lineRule="exact"/>
              <w:jc w:val="center"/>
              <w:rPr>
                <w:rFonts w:hint="eastAsia" w:ascii="宋体" w:hAnsi="宋体" w:eastAsia="宋体" w:cs="宋体"/>
                <w:bCs/>
                <w:caps/>
                <w:color w:val="auto"/>
                <w:sz w:val="24"/>
                <w:szCs w:val="24"/>
                <w:lang w:eastAsia="zh-CN"/>
              </w:rPr>
            </w:pPr>
          </w:p>
        </w:tc>
      </w:tr>
    </w:tbl>
    <w:p>
      <w:pPr>
        <w:pStyle w:val="18"/>
        <w:spacing w:after="0" w:line="360" w:lineRule="auto"/>
        <w:ind w:left="0" w:leftChars="0"/>
        <w:rPr>
          <w:rFonts w:hint="eastAsia" w:ascii="宋体" w:hAnsi="宋体" w:eastAsia="宋体" w:cs="宋体"/>
          <w:color w:val="auto"/>
          <w:sz w:val="24"/>
          <w:szCs w:val="24"/>
        </w:rPr>
      </w:pPr>
      <w:bookmarkStart w:id="250" w:name="_Toc1657"/>
    </w:p>
    <w:p>
      <w:pPr>
        <w:pStyle w:val="18"/>
        <w:spacing w:after="0" w:line="360" w:lineRule="auto"/>
        <w:ind w:left="480" w:leftChars="0" w:hanging="480" w:hangingChars="200"/>
        <w:rPr>
          <w:rFonts w:hint="eastAsia" w:ascii="宋体" w:hAnsi="宋体" w:eastAsia="宋体" w:cs="宋体"/>
          <w:color w:val="auto"/>
          <w:sz w:val="24"/>
          <w:szCs w:val="24"/>
        </w:rPr>
      </w:pPr>
      <w:r>
        <w:rPr>
          <w:rFonts w:hint="eastAsia" w:ascii="宋体" w:hAnsi="宋体" w:eastAsia="宋体" w:cs="宋体"/>
          <w:color w:val="auto"/>
          <w:sz w:val="24"/>
          <w:szCs w:val="24"/>
        </w:rPr>
        <w:t>说明：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1.报价应按总报价填写，精确到小数点后两位，大小写不一致时，以大写为准；</w:t>
      </w:r>
    </w:p>
    <w:p>
      <w:pPr>
        <w:pStyle w:val="18"/>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一览表”以项目为单位填写；</w:t>
      </w:r>
    </w:p>
    <w:p>
      <w:pPr>
        <w:spacing w:line="480" w:lineRule="exact"/>
        <w:ind w:firstLine="2409" w:firstLineChars="1000"/>
        <w:outlineLvl w:val="9"/>
        <w:rPr>
          <w:rFonts w:hint="eastAsia" w:ascii="宋体" w:hAnsi="宋体" w:eastAsia="宋体" w:cs="宋体"/>
          <w:b/>
          <w:bCs/>
          <w:color w:val="auto"/>
          <w:sz w:val="24"/>
          <w:szCs w:val="24"/>
        </w:rPr>
      </w:pPr>
      <w:bookmarkStart w:id="251" w:name="_Toc26888"/>
    </w:p>
    <w:p>
      <w:pPr>
        <w:spacing w:line="480" w:lineRule="exact"/>
        <w:jc w:val="center"/>
        <w:outlineLvl w:val="9"/>
        <w:rPr>
          <w:rFonts w:hint="eastAsia" w:ascii="宋体" w:hAnsi="宋体" w:eastAsia="宋体" w:cs="宋体"/>
          <w:b/>
          <w:bCs/>
          <w:color w:val="auto"/>
          <w:sz w:val="24"/>
          <w:szCs w:val="24"/>
          <w:lang w:val="en-US" w:eastAsia="zh-CN"/>
        </w:rPr>
      </w:pPr>
      <w:bookmarkStart w:id="252" w:name="_Toc26277"/>
    </w:p>
    <w:p>
      <w:pPr>
        <w:spacing w:line="360" w:lineRule="auto"/>
        <w:ind w:right="-161" w:firstLine="5520" w:firstLineChars="2300"/>
        <w:rPr>
          <w:rFonts w:hint="eastAsia" w:ascii="宋体" w:hAnsi="宋体" w:eastAsia="宋体" w:cs="宋体"/>
          <w:color w:val="auto"/>
          <w:sz w:val="24"/>
          <w:szCs w:val="24"/>
          <w:highlight w:val="none"/>
        </w:rPr>
      </w:pPr>
    </w:p>
    <w:p>
      <w:pPr>
        <w:spacing w:line="360" w:lineRule="auto"/>
        <w:ind w:right="-161" w:firstLine="5520" w:firstLineChars="2300"/>
        <w:rPr>
          <w:rFonts w:hint="eastAsia" w:ascii="宋体" w:hAnsi="宋体" w:eastAsia="宋体" w:cs="宋体"/>
          <w:color w:val="auto"/>
          <w:sz w:val="24"/>
          <w:szCs w:val="24"/>
          <w:highlight w:val="none"/>
        </w:rPr>
      </w:pPr>
    </w:p>
    <w:p>
      <w:pPr>
        <w:spacing w:line="360" w:lineRule="auto"/>
        <w:ind w:right="-161"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磋商响应人：</w:t>
      </w:r>
      <w:r>
        <w:rPr>
          <w:rFonts w:hint="eastAsia" w:ascii="宋体" w:hAnsi="宋体" w:eastAsia="宋体" w:cs="宋体"/>
          <w:color w:val="auto"/>
          <w:sz w:val="24"/>
          <w:szCs w:val="24"/>
          <w:highlight w:val="none"/>
          <w:u w:val="single"/>
        </w:rPr>
        <w:t xml:space="preserve">    （公章）</w:t>
      </w:r>
    </w:p>
    <w:p>
      <w:pPr>
        <w:pStyle w:val="14"/>
        <w:rPr>
          <w:rFonts w:hint="eastAsia" w:ascii="宋体" w:hAnsi="宋体" w:eastAsia="宋体" w:cs="宋体"/>
          <w:color w:val="auto"/>
          <w:sz w:val="24"/>
          <w:szCs w:val="24"/>
          <w:highlight w:val="none"/>
        </w:rPr>
      </w:pPr>
    </w:p>
    <w:p>
      <w:pPr>
        <w:spacing w:line="360" w:lineRule="auto"/>
        <w:ind w:right="-161"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法定代表人或被授权代表：</w:t>
      </w:r>
      <w:r>
        <w:rPr>
          <w:rFonts w:hint="eastAsia" w:ascii="宋体" w:hAnsi="宋体" w:eastAsia="宋体" w:cs="宋体"/>
          <w:color w:val="auto"/>
          <w:sz w:val="24"/>
          <w:szCs w:val="24"/>
          <w:highlight w:val="none"/>
          <w:u w:val="single"/>
        </w:rPr>
        <w:t>（签字）</w:t>
      </w:r>
    </w:p>
    <w:p>
      <w:pPr>
        <w:pStyle w:val="14"/>
        <w:rPr>
          <w:rFonts w:hint="eastAsia" w:ascii="宋体" w:hAnsi="宋体" w:eastAsia="宋体" w:cs="宋体"/>
          <w:color w:val="auto"/>
          <w:sz w:val="24"/>
          <w:szCs w:val="24"/>
          <w:highlight w:val="none"/>
        </w:rPr>
      </w:pPr>
    </w:p>
    <w:p>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pStyle w:val="10"/>
        <w:rPr>
          <w:rFonts w:hint="eastAsia" w:ascii="宋体" w:hAnsi="宋体" w:eastAsia="宋体" w:cs="宋体"/>
          <w:b/>
          <w:bCs/>
          <w:color w:val="auto"/>
          <w:sz w:val="24"/>
          <w:szCs w:val="24"/>
          <w:lang w:val="en-US" w:eastAsia="zh-CN"/>
        </w:rPr>
      </w:pPr>
    </w:p>
    <w:p>
      <w:pPr>
        <w:spacing w:line="480" w:lineRule="exact"/>
        <w:jc w:val="center"/>
        <w:outlineLvl w:val="1"/>
        <w:rPr>
          <w:rFonts w:hint="eastAsia" w:ascii="宋体" w:hAnsi="宋体" w:eastAsia="宋体" w:cs="宋体"/>
          <w:b/>
          <w:bCs/>
          <w:color w:val="auto"/>
          <w:sz w:val="30"/>
          <w:szCs w:val="30"/>
          <w:highlight w:val="none"/>
          <w:lang w:val="en-US" w:eastAsia="zh-CN"/>
        </w:rPr>
      </w:pPr>
    </w:p>
    <w:p>
      <w:pPr>
        <w:spacing w:line="480" w:lineRule="exact"/>
        <w:jc w:val="center"/>
        <w:outlineLvl w:val="1"/>
        <w:rPr>
          <w:rFonts w:hint="eastAsia" w:ascii="宋体" w:hAnsi="宋体" w:eastAsia="宋体" w:cs="宋体"/>
          <w:b/>
          <w:bCs/>
          <w:color w:val="auto"/>
          <w:sz w:val="30"/>
          <w:szCs w:val="30"/>
          <w:highlight w:val="none"/>
          <w:lang w:val="en-US" w:eastAsia="zh-CN"/>
        </w:rPr>
      </w:pPr>
    </w:p>
    <w:p>
      <w:pPr>
        <w:spacing w:line="480" w:lineRule="exact"/>
        <w:jc w:val="center"/>
        <w:outlineLvl w:val="1"/>
        <w:rPr>
          <w:rFonts w:hint="eastAsia" w:ascii="宋体" w:hAnsi="宋体" w:eastAsia="宋体" w:cs="宋体"/>
          <w:b/>
          <w:bCs/>
          <w:color w:val="auto"/>
          <w:sz w:val="30"/>
          <w:szCs w:val="30"/>
          <w:highlight w:val="none"/>
          <w:lang w:val="en-US" w:eastAsia="zh-CN"/>
        </w:rPr>
      </w:pPr>
    </w:p>
    <w:p>
      <w:pPr>
        <w:spacing w:line="480" w:lineRule="exact"/>
        <w:jc w:val="center"/>
        <w:outlineLvl w:val="1"/>
        <w:rPr>
          <w:rFonts w:hint="eastAsia" w:ascii="宋体" w:hAnsi="宋体" w:eastAsia="宋体" w:cs="宋体"/>
          <w:b/>
          <w:bCs/>
          <w:color w:val="auto"/>
          <w:sz w:val="30"/>
          <w:szCs w:val="30"/>
          <w:highlight w:val="none"/>
          <w:lang w:val="en-US" w:eastAsia="zh-CN"/>
        </w:rPr>
      </w:pPr>
    </w:p>
    <w:p>
      <w:pPr>
        <w:spacing w:line="480" w:lineRule="exact"/>
        <w:jc w:val="center"/>
        <w:outlineLvl w:val="1"/>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.2</w:t>
      </w:r>
      <w:bookmarkEnd w:id="250"/>
      <w:bookmarkEnd w:id="251"/>
      <w:bookmarkEnd w:id="252"/>
      <w:r>
        <w:rPr>
          <w:rFonts w:hint="eastAsia" w:ascii="宋体" w:hAnsi="宋体" w:eastAsia="宋体" w:cs="宋体"/>
          <w:b/>
          <w:bCs/>
          <w:color w:val="auto"/>
          <w:sz w:val="30"/>
          <w:szCs w:val="30"/>
          <w:highlight w:val="none"/>
          <w:lang w:val="en-US" w:eastAsia="zh-CN"/>
        </w:rPr>
        <w:t xml:space="preserve"> 分项报价表</w:t>
      </w:r>
    </w:p>
    <w:p>
      <w:pPr>
        <w:rPr>
          <w:rFonts w:hint="eastAsia" w:ascii="宋体" w:hAnsi="宋体" w:eastAsia="宋体" w:cs="宋体"/>
          <w:color w:val="auto"/>
          <w:sz w:val="18"/>
          <w:szCs w:val="21"/>
        </w:rPr>
      </w:pPr>
    </w:p>
    <w:p>
      <w:pPr>
        <w:spacing w:line="360" w:lineRule="auto"/>
        <w:ind w:right="-16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格式自拟，针对本项目服务内容编制详细的报价清单。（供应商应列明提供相关服务价格明细）</w:t>
      </w:r>
    </w:p>
    <w:p>
      <w:pPr>
        <w:pStyle w:val="1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4"/>
        <w:rPr>
          <w:rFonts w:hint="eastAsia" w:ascii="宋体" w:hAnsi="宋体" w:eastAsia="宋体" w:cs="宋体"/>
          <w:color w:val="auto"/>
          <w:sz w:val="24"/>
          <w:highlight w:val="none"/>
        </w:rPr>
      </w:pPr>
    </w:p>
    <w:p>
      <w:pPr>
        <w:pStyle w:val="14"/>
        <w:rPr>
          <w:rFonts w:hint="eastAsia" w:ascii="宋体" w:hAnsi="宋体" w:eastAsia="宋体" w:cs="宋体"/>
          <w:color w:val="auto"/>
          <w:sz w:val="24"/>
          <w:highlight w:val="none"/>
        </w:rPr>
      </w:pPr>
    </w:p>
    <w:p>
      <w:pPr>
        <w:pStyle w:val="14"/>
        <w:rPr>
          <w:rFonts w:hint="eastAsia" w:ascii="宋体" w:hAnsi="宋体" w:eastAsia="宋体" w:cs="宋体"/>
          <w:color w:val="auto"/>
          <w:sz w:val="21"/>
          <w:szCs w:val="21"/>
          <w:highlight w:val="none"/>
        </w:rPr>
      </w:pPr>
    </w:p>
    <w:p>
      <w:pPr>
        <w:pStyle w:val="14"/>
        <w:rPr>
          <w:rFonts w:hint="eastAsia" w:ascii="宋体" w:hAnsi="宋体" w:eastAsia="宋体" w:cs="宋体"/>
          <w:color w:val="auto"/>
          <w:sz w:val="21"/>
          <w:szCs w:val="21"/>
          <w:highlight w:val="none"/>
        </w:rPr>
      </w:pPr>
    </w:p>
    <w:p>
      <w:pPr>
        <w:pStyle w:val="14"/>
        <w:rPr>
          <w:rFonts w:hint="eastAsia" w:ascii="宋体" w:hAnsi="宋体" w:eastAsia="宋体" w:cs="宋体"/>
          <w:color w:val="auto"/>
          <w:sz w:val="21"/>
          <w:szCs w:val="21"/>
          <w:highlight w:val="none"/>
        </w:rPr>
      </w:pPr>
    </w:p>
    <w:p>
      <w:pPr>
        <w:pStyle w:val="14"/>
        <w:rPr>
          <w:rFonts w:hint="eastAsia" w:ascii="宋体" w:hAnsi="宋体" w:eastAsia="宋体" w:cs="宋体"/>
          <w:color w:val="auto"/>
          <w:sz w:val="21"/>
          <w:szCs w:val="21"/>
          <w:highlight w:val="none"/>
        </w:rPr>
      </w:pPr>
    </w:p>
    <w:p>
      <w:pPr>
        <w:pStyle w:val="14"/>
        <w:rPr>
          <w:rFonts w:hint="eastAsia" w:ascii="宋体" w:hAnsi="宋体" w:eastAsia="宋体" w:cs="宋体"/>
          <w:color w:val="auto"/>
          <w:sz w:val="21"/>
          <w:szCs w:val="21"/>
          <w:highlight w:val="none"/>
        </w:rPr>
      </w:pPr>
    </w:p>
    <w:p>
      <w:pPr>
        <w:pStyle w:val="14"/>
        <w:rPr>
          <w:rFonts w:hint="eastAsia" w:ascii="宋体" w:hAnsi="宋体" w:eastAsia="宋体" w:cs="宋体"/>
          <w:color w:val="auto"/>
          <w:sz w:val="21"/>
          <w:szCs w:val="21"/>
          <w:highlight w:val="none"/>
        </w:rPr>
      </w:pPr>
    </w:p>
    <w:p>
      <w:pPr>
        <w:pStyle w:val="14"/>
        <w:rPr>
          <w:rFonts w:hint="eastAsia" w:ascii="宋体" w:hAnsi="宋体" w:eastAsia="宋体" w:cs="宋体"/>
          <w:color w:val="auto"/>
          <w:sz w:val="21"/>
          <w:szCs w:val="21"/>
          <w:highlight w:val="none"/>
        </w:rPr>
      </w:pPr>
    </w:p>
    <w:p>
      <w:pPr>
        <w:rPr>
          <w:rFonts w:hint="eastAsia" w:ascii="宋体" w:hAnsi="宋体" w:eastAsia="宋体" w:cs="宋体"/>
          <w:color w:val="auto"/>
        </w:rPr>
      </w:pPr>
      <w:bookmarkStart w:id="253" w:name="_Toc5444_WPSOffice_Level1"/>
      <w:bookmarkStart w:id="254" w:name="_Toc16940_WPSOffice_Level1"/>
      <w:bookmarkStart w:id="255" w:name="_Toc8082_WPSOffice_Level1"/>
      <w:bookmarkStart w:id="256" w:name="_Toc19797"/>
      <w:bookmarkStart w:id="257" w:name="_Toc10414"/>
    </w:p>
    <w:p>
      <w:pPr>
        <w:spacing w:line="480" w:lineRule="exact"/>
        <w:jc w:val="center"/>
        <w:outlineLvl w:val="0"/>
        <w:rPr>
          <w:rFonts w:hint="eastAsia" w:ascii="宋体" w:hAnsi="宋体" w:eastAsia="宋体" w:cs="宋体"/>
          <w:b/>
          <w:bCs/>
          <w:color w:val="auto"/>
          <w:sz w:val="30"/>
          <w:szCs w:val="30"/>
        </w:rPr>
      </w:pPr>
      <w:bookmarkStart w:id="258" w:name="_Toc15243"/>
      <w:bookmarkStart w:id="259" w:name="_Toc2418"/>
      <w:bookmarkStart w:id="260" w:name="_Toc21046"/>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3</w:t>
      </w:r>
      <w:r>
        <w:rPr>
          <w:rFonts w:hint="eastAsia" w:ascii="宋体" w:hAnsi="宋体" w:eastAsia="宋体" w:cs="宋体"/>
          <w:b/>
          <w:bCs/>
          <w:color w:val="auto"/>
          <w:sz w:val="30"/>
          <w:szCs w:val="30"/>
        </w:rPr>
        <w:t xml:space="preserve">部分  </w:t>
      </w:r>
      <w:bookmarkEnd w:id="253"/>
      <w:bookmarkEnd w:id="254"/>
      <w:bookmarkEnd w:id="255"/>
      <w:bookmarkEnd w:id="256"/>
      <w:bookmarkEnd w:id="257"/>
      <w:bookmarkEnd w:id="258"/>
      <w:bookmarkEnd w:id="259"/>
      <w:r>
        <w:rPr>
          <w:rFonts w:hint="eastAsia" w:ascii="宋体" w:hAnsi="宋体" w:eastAsia="宋体" w:cs="宋体"/>
          <w:b/>
          <w:bCs/>
          <w:color w:val="auto"/>
          <w:sz w:val="30"/>
          <w:szCs w:val="30"/>
          <w:lang w:val="en-US" w:eastAsia="zh-CN"/>
        </w:rPr>
        <w:t>技术</w:t>
      </w:r>
      <w:bookmarkEnd w:id="260"/>
      <w:r>
        <w:rPr>
          <w:rFonts w:hint="eastAsia" w:ascii="宋体" w:hAnsi="宋体" w:eastAsia="宋体" w:cs="宋体"/>
          <w:b/>
          <w:bCs/>
          <w:color w:val="auto"/>
          <w:sz w:val="30"/>
          <w:szCs w:val="30"/>
          <w:lang w:val="en-US" w:eastAsia="zh-CN"/>
        </w:rPr>
        <w:t>部分</w:t>
      </w:r>
    </w:p>
    <w:p>
      <w:pPr>
        <w:tabs>
          <w:tab w:val="right" w:leader="dot" w:pos="9022"/>
        </w:tabs>
        <w:autoSpaceDE w:val="0"/>
        <w:autoSpaceDN w:val="0"/>
        <w:adjustRightInd w:val="0"/>
        <w:spacing w:line="460" w:lineRule="exact"/>
        <w:ind w:firstLine="480" w:firstLineChars="200"/>
        <w:jc w:val="left"/>
        <w:rPr>
          <w:rFonts w:hint="eastAsia" w:ascii="宋体" w:hAnsi="宋体" w:eastAsia="宋体" w:cs="宋体"/>
          <w:bCs/>
          <w:cap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由</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根据第三章 《评审</w:t>
      </w:r>
      <w:r>
        <w:rPr>
          <w:rFonts w:hint="eastAsia" w:ascii="宋体" w:hAnsi="宋体" w:eastAsia="宋体" w:cs="宋体"/>
          <w:bCs/>
          <w:color w:val="auto"/>
          <w:sz w:val="24"/>
          <w:szCs w:val="24"/>
          <w:highlight w:val="none"/>
          <w:lang w:val="en-US" w:eastAsia="zh-CN"/>
        </w:rPr>
        <w:t>办法</w:t>
      </w:r>
      <w:r>
        <w:rPr>
          <w:rFonts w:hint="eastAsia" w:ascii="宋体" w:hAnsi="宋体" w:eastAsia="宋体" w:cs="宋体"/>
          <w:bCs/>
          <w:color w:val="auto"/>
          <w:sz w:val="24"/>
          <w:szCs w:val="24"/>
          <w:highlight w:val="none"/>
        </w:rPr>
        <w:t>》内评审要素一览表</w:t>
      </w:r>
      <w:r>
        <w:rPr>
          <w:rFonts w:hint="eastAsia" w:ascii="宋体" w:hAnsi="宋体" w:eastAsia="宋体" w:cs="宋体"/>
          <w:bCs/>
          <w:color w:val="auto"/>
          <w:sz w:val="24"/>
          <w:szCs w:val="24"/>
          <w:highlight w:val="none"/>
          <w:lang w:val="en-US" w:eastAsia="zh-CN"/>
        </w:rPr>
        <w:t>技术部分</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val="en-US" w:eastAsia="zh-CN"/>
        </w:rPr>
        <w:t>评审标准</w:t>
      </w:r>
      <w:r>
        <w:rPr>
          <w:rFonts w:hint="eastAsia" w:ascii="宋体" w:hAnsi="宋体" w:eastAsia="宋体" w:cs="宋体"/>
          <w:bCs/>
          <w:color w:val="auto"/>
          <w:sz w:val="24"/>
          <w:szCs w:val="24"/>
          <w:highlight w:val="none"/>
        </w:rPr>
        <w:t>，结合</w:t>
      </w:r>
      <w:r>
        <w:rPr>
          <w:rFonts w:hint="eastAsia" w:ascii="宋体" w:hAnsi="宋体" w:eastAsia="宋体" w:cs="宋体"/>
          <w:bCs/>
          <w:color w:val="auto"/>
          <w:sz w:val="24"/>
          <w:szCs w:val="24"/>
          <w:highlight w:val="none"/>
          <w:lang w:val="en-US" w:eastAsia="zh-CN"/>
        </w:rPr>
        <w:t>本项目需求编制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以下内容格式自拟。</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项目需求理解与分析</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服务方案</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服务承诺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进度计划及保证措施</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保密、廉洁措施的说明</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重点难点分析及解决办法</w:t>
      </w:r>
    </w:p>
    <w:p>
      <w:pPr>
        <w:pStyle w:val="8"/>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highlight w:val="none"/>
          <w:lang w:val="en-US"/>
        </w:rPr>
      </w:pP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580" w:lineRule="exact"/>
        <w:jc w:val="left"/>
        <w:rPr>
          <w:rFonts w:hint="eastAsia" w:ascii="宋体" w:hAnsi="宋体" w:eastAsia="宋体" w:cs="宋体"/>
          <w:b/>
          <w:color w:val="auto"/>
          <w:sz w:val="22"/>
          <w:szCs w:val="22"/>
          <w:highlight w:val="none"/>
        </w:rPr>
      </w:pPr>
    </w:p>
    <w:p>
      <w:pPr>
        <w:spacing w:line="480" w:lineRule="exact"/>
        <w:jc w:val="both"/>
        <w:outlineLvl w:val="9"/>
        <w:rPr>
          <w:rFonts w:hint="eastAsia" w:ascii="宋体" w:hAnsi="宋体" w:eastAsia="宋体" w:cs="宋体"/>
          <w:b/>
          <w:bCs/>
          <w:color w:val="auto"/>
          <w:sz w:val="30"/>
          <w:szCs w:val="30"/>
          <w:lang w:val="en-US" w:eastAsia="zh-CN"/>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bookmarkStart w:id="261" w:name="_Toc27732_WPSOffice_Level1"/>
      <w:bookmarkStart w:id="262" w:name="_Toc10330"/>
      <w:bookmarkStart w:id="263" w:name="_Toc30713"/>
      <w:bookmarkStart w:id="264" w:name="_Toc19944_WPSOffice_Level1"/>
      <w:bookmarkStart w:id="265" w:name="_Toc10273_WPSOffice_Level1"/>
      <w:bookmarkStart w:id="266" w:name="_Toc8744"/>
      <w:bookmarkStart w:id="267" w:name="_Toc25808"/>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spacing w:line="480" w:lineRule="exact"/>
        <w:ind w:firstLine="2409" w:firstLineChars="800"/>
        <w:jc w:val="both"/>
        <w:outlineLvl w:val="0"/>
        <w:rPr>
          <w:rFonts w:hint="eastAsia" w:ascii="宋体" w:hAnsi="宋体" w:eastAsia="宋体" w:cs="宋体"/>
          <w:b/>
          <w:bCs/>
          <w:color w:val="auto"/>
          <w:sz w:val="30"/>
          <w:szCs w:val="30"/>
          <w:lang w:val="en-US" w:eastAsia="zh-CN"/>
        </w:rPr>
      </w:pPr>
      <w:bookmarkStart w:id="268" w:name="_Toc15757"/>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4</w:t>
      </w:r>
      <w:r>
        <w:rPr>
          <w:rFonts w:hint="eastAsia" w:ascii="宋体" w:hAnsi="宋体" w:eastAsia="宋体" w:cs="宋体"/>
          <w:b/>
          <w:bCs/>
          <w:color w:val="auto"/>
          <w:sz w:val="30"/>
          <w:szCs w:val="30"/>
        </w:rPr>
        <w:t>部分  商务</w:t>
      </w:r>
      <w:bookmarkEnd w:id="261"/>
      <w:bookmarkEnd w:id="262"/>
      <w:bookmarkEnd w:id="263"/>
      <w:bookmarkEnd w:id="264"/>
      <w:bookmarkEnd w:id="265"/>
      <w:bookmarkEnd w:id="266"/>
      <w:bookmarkEnd w:id="267"/>
      <w:bookmarkEnd w:id="268"/>
      <w:r>
        <w:rPr>
          <w:rFonts w:hint="eastAsia" w:ascii="宋体" w:hAnsi="宋体" w:eastAsia="宋体" w:cs="宋体"/>
          <w:b/>
          <w:bCs/>
          <w:color w:val="auto"/>
          <w:sz w:val="30"/>
          <w:szCs w:val="30"/>
          <w:lang w:val="en-US" w:eastAsia="zh-CN"/>
        </w:rPr>
        <w:t>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由供应商根据第三章 《评审</w:t>
      </w:r>
      <w:r>
        <w:rPr>
          <w:rFonts w:hint="eastAsia" w:ascii="宋体" w:hAnsi="宋体" w:eastAsia="宋体" w:cs="宋体"/>
          <w:bCs/>
          <w:color w:val="auto"/>
          <w:sz w:val="24"/>
          <w:szCs w:val="24"/>
          <w:lang w:val="en-US" w:eastAsia="zh-CN"/>
        </w:rPr>
        <w:t>办法</w:t>
      </w:r>
      <w:r>
        <w:rPr>
          <w:rFonts w:hint="eastAsia" w:ascii="宋体" w:hAnsi="宋体" w:eastAsia="宋体" w:cs="宋体"/>
          <w:bCs/>
          <w:color w:val="auto"/>
          <w:sz w:val="24"/>
          <w:szCs w:val="24"/>
        </w:rPr>
        <w:t>》内评审要素一览表</w:t>
      </w:r>
      <w:r>
        <w:rPr>
          <w:rFonts w:hint="eastAsia" w:ascii="宋体" w:hAnsi="宋体" w:eastAsia="宋体" w:cs="宋体"/>
          <w:bCs/>
          <w:color w:val="auto"/>
          <w:sz w:val="24"/>
          <w:szCs w:val="24"/>
          <w:lang w:val="en-US" w:eastAsia="zh-CN"/>
        </w:rPr>
        <w:t>商务部分</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val="en-US" w:eastAsia="zh-CN"/>
        </w:rPr>
        <w:t>评审标准</w:t>
      </w:r>
      <w:r>
        <w:rPr>
          <w:rFonts w:hint="eastAsia" w:ascii="宋体" w:hAnsi="宋体" w:eastAsia="宋体" w:cs="宋体"/>
          <w:bCs/>
          <w:color w:val="auto"/>
          <w:sz w:val="24"/>
          <w:szCs w:val="24"/>
        </w:rPr>
        <w:t>进行编制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提供部分格式如下，格式之外可自行拓展。</w:t>
      </w:r>
    </w:p>
    <w:p>
      <w:pPr>
        <w:keepNext w:val="0"/>
        <w:keepLines w:val="0"/>
        <w:pageBreakBefore w:val="0"/>
        <w:widowControl w:val="0"/>
        <w:numPr>
          <w:ilvl w:val="0"/>
          <w:numId w:val="0"/>
        </w:numPr>
        <w:tabs>
          <w:tab w:val="right" w:leader="dot" w:pos="9022"/>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一、拟投入的服务团队（按本节格式1/2填报）</w:t>
      </w:r>
    </w:p>
    <w:p>
      <w:pPr>
        <w:keepNext w:val="0"/>
        <w:keepLines w:val="0"/>
        <w:pageBreakBefore w:val="0"/>
        <w:widowControl w:val="0"/>
        <w:numPr>
          <w:ilvl w:val="0"/>
          <w:numId w:val="0"/>
        </w:numPr>
        <w:tabs>
          <w:tab w:val="right" w:leader="dot" w:pos="9022"/>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二、承担能力及经验比较（按本节格式3填报）</w:t>
      </w:r>
    </w:p>
    <w:p>
      <w:pPr>
        <w:jc w:val="center"/>
        <w:rPr>
          <w:rFonts w:hint="eastAsia" w:ascii="宋体" w:hAnsi="宋体" w:eastAsia="宋体" w:cs="宋体"/>
          <w:b/>
          <w:bCs/>
          <w:color w:val="auto"/>
          <w:kern w:val="2"/>
          <w:sz w:val="24"/>
          <w:szCs w:val="24"/>
          <w:highlight w:val="none"/>
          <w:lang w:val="en-US" w:eastAsia="zh-CN" w:bidi="ar-SA"/>
        </w:rPr>
      </w:pPr>
      <w:bookmarkStart w:id="269" w:name="_Toc1779_WPSOffice_Level1"/>
      <w:bookmarkStart w:id="270" w:name="_Toc23204"/>
      <w:bookmarkStart w:id="271" w:name="_Toc8868"/>
      <w:bookmarkStart w:id="272" w:name="_Toc1138_WPSOffice_Level1"/>
      <w:bookmarkStart w:id="273" w:name="_Toc17338_WPSOffice_Level1"/>
      <w:bookmarkStart w:id="274" w:name="_Toc26039"/>
      <w:bookmarkStart w:id="275" w:name="_Toc2029"/>
    </w:p>
    <w:p>
      <w:pPr>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p>
    <w:p>
      <w:pPr>
        <w:ind w:firstLine="1687" w:firstLineChars="7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格式1：拟投入本项目人员配备表</w:t>
      </w:r>
    </w:p>
    <w:p>
      <w:pPr>
        <w:pStyle w:val="14"/>
        <w:rPr>
          <w:rFonts w:hint="eastAsia" w:ascii="宋体" w:hAnsi="宋体" w:eastAsia="宋体" w:cs="宋体"/>
          <w:color w:val="auto"/>
          <w:highlight w:val="none"/>
        </w:rPr>
      </w:pPr>
    </w:p>
    <w:tbl>
      <w:tblPr>
        <w:tblStyle w:val="28"/>
        <w:tblW w:w="887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23"/>
        <w:gridCol w:w="1342"/>
        <w:gridCol w:w="1826"/>
        <w:gridCol w:w="1522"/>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342"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8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拟任岗位</w:t>
            </w:r>
          </w:p>
        </w:tc>
        <w:tc>
          <w:tcPr>
            <w:tcW w:w="1522"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分工</w:t>
            </w:r>
          </w:p>
        </w:tc>
        <w:tc>
          <w:tcPr>
            <w:tcW w:w="2238" w:type="dxa"/>
            <w:noWrap/>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获得的奖项或证书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rPr>
                <w:rFonts w:hint="eastAsia" w:ascii="宋体" w:hAnsi="宋体" w:eastAsia="宋体" w:cs="宋体"/>
                <w:color w:val="auto"/>
                <w:sz w:val="21"/>
                <w:szCs w:val="21"/>
                <w:highlight w:val="none"/>
              </w:rPr>
            </w:pPr>
          </w:p>
        </w:tc>
        <w:tc>
          <w:tcPr>
            <w:tcW w:w="2238" w:type="dxa"/>
            <w:noWrap/>
            <w:vAlign w:val="center"/>
          </w:tcPr>
          <w:p>
            <w:pPr>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26" w:type="dxa"/>
            <w:noWrap/>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3" w:type="dxa"/>
            <w:noWrap/>
            <w:vAlign w:val="center"/>
          </w:tcPr>
          <w:p>
            <w:pPr>
              <w:spacing w:line="360" w:lineRule="auto"/>
              <w:jc w:val="center"/>
              <w:rPr>
                <w:rFonts w:hint="eastAsia" w:ascii="宋体" w:hAnsi="宋体" w:eastAsia="宋体" w:cs="宋体"/>
                <w:color w:val="auto"/>
                <w:sz w:val="21"/>
                <w:szCs w:val="21"/>
                <w:highlight w:val="none"/>
              </w:rPr>
            </w:pPr>
          </w:p>
        </w:tc>
        <w:tc>
          <w:tcPr>
            <w:tcW w:w="1342" w:type="dxa"/>
            <w:noWrap/>
            <w:vAlign w:val="center"/>
          </w:tcPr>
          <w:p>
            <w:pPr>
              <w:spacing w:line="360" w:lineRule="auto"/>
              <w:jc w:val="center"/>
              <w:rPr>
                <w:rFonts w:hint="eastAsia" w:ascii="宋体" w:hAnsi="宋体" w:eastAsia="宋体" w:cs="宋体"/>
                <w:color w:val="auto"/>
                <w:sz w:val="21"/>
                <w:szCs w:val="21"/>
                <w:highlight w:val="none"/>
              </w:rPr>
            </w:pPr>
          </w:p>
        </w:tc>
        <w:tc>
          <w:tcPr>
            <w:tcW w:w="1826" w:type="dxa"/>
            <w:noWrap/>
            <w:vAlign w:val="center"/>
          </w:tcPr>
          <w:p>
            <w:pPr>
              <w:spacing w:line="360" w:lineRule="auto"/>
              <w:jc w:val="center"/>
              <w:rPr>
                <w:rFonts w:hint="eastAsia" w:ascii="宋体" w:hAnsi="宋体" w:eastAsia="宋体" w:cs="宋体"/>
                <w:color w:val="auto"/>
                <w:sz w:val="21"/>
                <w:szCs w:val="21"/>
                <w:highlight w:val="none"/>
              </w:rPr>
            </w:pPr>
          </w:p>
        </w:tc>
        <w:tc>
          <w:tcPr>
            <w:tcW w:w="1522" w:type="dxa"/>
            <w:noWrap/>
            <w:vAlign w:val="center"/>
          </w:tcPr>
          <w:p>
            <w:pPr>
              <w:spacing w:line="360" w:lineRule="auto"/>
              <w:jc w:val="center"/>
              <w:rPr>
                <w:rFonts w:hint="eastAsia" w:ascii="宋体" w:hAnsi="宋体" w:eastAsia="宋体" w:cs="宋体"/>
                <w:color w:val="auto"/>
                <w:sz w:val="21"/>
                <w:szCs w:val="21"/>
                <w:highlight w:val="none"/>
              </w:rPr>
            </w:pPr>
          </w:p>
        </w:tc>
        <w:tc>
          <w:tcPr>
            <w:tcW w:w="2238" w:type="dxa"/>
            <w:noWrap/>
            <w:vAlign w:val="center"/>
          </w:tcPr>
          <w:p>
            <w:pPr>
              <w:spacing w:line="360" w:lineRule="auto"/>
              <w:jc w:val="center"/>
              <w:rPr>
                <w:rFonts w:hint="eastAsia" w:ascii="宋体" w:hAnsi="宋体" w:eastAsia="宋体" w:cs="宋体"/>
                <w:color w:val="auto"/>
                <w:sz w:val="21"/>
                <w:szCs w:val="21"/>
                <w:highlight w:val="none"/>
              </w:rPr>
            </w:pPr>
          </w:p>
        </w:tc>
      </w:tr>
    </w:tbl>
    <w:p>
      <w:pPr>
        <w:rPr>
          <w:rFonts w:hint="eastAsia" w:ascii="宋体" w:hAnsi="宋体" w:eastAsia="宋体" w:cs="宋体"/>
          <w:color w:val="auto"/>
          <w:sz w:val="21"/>
          <w:szCs w:val="21"/>
          <w:highlight w:val="none"/>
        </w:rPr>
      </w:pPr>
    </w:p>
    <w:p>
      <w:pPr>
        <w:adjustRightIn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numPr>
          <w:ilvl w:val="0"/>
          <w:numId w:val="3"/>
        </w:numPr>
        <w:adjustRightIn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根据项目</w:t>
      </w:r>
      <w:r>
        <w:rPr>
          <w:rFonts w:hint="eastAsia" w:ascii="宋体" w:hAnsi="宋体" w:eastAsia="宋体" w:cs="宋体"/>
          <w:color w:val="auto"/>
          <w:szCs w:val="21"/>
          <w:highlight w:val="none"/>
          <w:lang w:val="en-US" w:eastAsia="zh-CN"/>
        </w:rPr>
        <w:t>类型</w:t>
      </w:r>
      <w:r>
        <w:rPr>
          <w:rFonts w:hint="eastAsia" w:ascii="宋体" w:hAnsi="宋体" w:eastAsia="宋体" w:cs="宋体"/>
          <w:color w:val="auto"/>
          <w:szCs w:val="21"/>
          <w:highlight w:val="none"/>
        </w:rPr>
        <w:t>配备适合的专业人员</w:t>
      </w:r>
    </w:p>
    <w:p>
      <w:pPr>
        <w:numPr>
          <w:ilvl w:val="0"/>
          <w:numId w:val="0"/>
        </w:numPr>
        <w:adjustRightIn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可自行对本表进行扩展，以能够完整体现拟用人员业务水平为原则</w:t>
      </w:r>
    </w:p>
    <w:p>
      <w:pPr>
        <w:rPr>
          <w:rFonts w:hint="eastAsia" w:ascii="宋体" w:hAnsi="宋体" w:eastAsia="宋体" w:cs="宋体"/>
          <w:color w:val="auto"/>
          <w:highlight w:val="none"/>
        </w:rPr>
      </w:pPr>
    </w:p>
    <w:p>
      <w:pPr>
        <w:spacing w:line="480" w:lineRule="exact"/>
        <w:jc w:val="both"/>
        <w:outlineLvl w:val="9"/>
        <w:rPr>
          <w:rFonts w:hint="eastAsia" w:ascii="宋体" w:hAnsi="宋体" w:eastAsia="宋体" w:cs="宋体"/>
          <w:b/>
          <w:bCs/>
          <w:color w:val="auto"/>
          <w:sz w:val="21"/>
          <w:szCs w:val="21"/>
          <w:highlight w:val="none"/>
        </w:rPr>
      </w:pPr>
    </w:p>
    <w:p>
      <w:pPr>
        <w:tabs>
          <w:tab w:val="right" w:leader="dot" w:pos="9022"/>
        </w:tabs>
        <w:autoSpaceDE w:val="0"/>
        <w:autoSpaceDN w:val="0"/>
        <w:adjustRightInd w:val="0"/>
        <w:spacing w:line="520" w:lineRule="exact"/>
        <w:ind w:firstLine="2566" w:firstLineChars="1222"/>
        <w:rPr>
          <w:rFonts w:hint="eastAsia" w:ascii="宋体" w:hAnsi="宋体" w:eastAsia="宋体" w:cs="宋体"/>
          <w:bCs/>
          <w:caps/>
          <w:color w:val="auto"/>
          <w:sz w:val="21"/>
          <w:szCs w:val="21"/>
          <w:highlight w:val="none"/>
        </w:rPr>
      </w:pPr>
      <w:r>
        <w:rPr>
          <w:rFonts w:hint="eastAsia" w:ascii="宋体" w:hAnsi="宋体" w:eastAsia="宋体" w:cs="宋体"/>
          <w:bCs/>
          <w:caps/>
          <w:color w:val="auto"/>
          <w:sz w:val="21"/>
          <w:szCs w:val="21"/>
          <w:highlight w:val="none"/>
          <w:lang w:val="en-US" w:eastAsia="zh-CN"/>
        </w:rPr>
        <w:t>磋商响应</w:t>
      </w:r>
      <w:r>
        <w:rPr>
          <w:rFonts w:hint="eastAsia" w:ascii="宋体" w:hAnsi="宋体" w:eastAsia="宋体" w:cs="宋体"/>
          <w:bCs/>
          <w:caps/>
          <w:color w:val="auto"/>
          <w:sz w:val="21"/>
          <w:szCs w:val="21"/>
          <w:highlight w:val="none"/>
        </w:rPr>
        <w:t>人：</w:t>
      </w:r>
      <w:r>
        <w:rPr>
          <w:rFonts w:hint="eastAsia" w:ascii="宋体" w:hAnsi="宋体" w:eastAsia="宋体" w:cs="宋体"/>
          <w:bCs/>
          <w:caps/>
          <w:color w:val="auto"/>
          <w:sz w:val="21"/>
          <w:szCs w:val="21"/>
          <w:highlight w:val="none"/>
          <w:u w:val="single"/>
        </w:rPr>
        <w:t xml:space="preserve">   </w:t>
      </w:r>
      <w:r>
        <w:rPr>
          <w:rFonts w:hint="eastAsia" w:ascii="宋体" w:hAnsi="宋体" w:eastAsia="宋体" w:cs="宋体"/>
          <w:bCs/>
          <w:caps/>
          <w:color w:val="auto"/>
          <w:sz w:val="21"/>
          <w:szCs w:val="21"/>
          <w:highlight w:val="none"/>
          <w:u w:val="single"/>
          <w:lang w:val="en-US" w:eastAsia="zh-CN"/>
        </w:rPr>
        <w:t xml:space="preserve">                      </w:t>
      </w:r>
      <w:r>
        <w:rPr>
          <w:rFonts w:hint="eastAsia" w:ascii="宋体" w:hAnsi="宋体" w:eastAsia="宋体" w:cs="宋体"/>
          <w:bCs/>
          <w:caps/>
          <w:color w:val="auto"/>
          <w:sz w:val="21"/>
          <w:szCs w:val="21"/>
          <w:highlight w:val="none"/>
          <w:u w:val="single"/>
        </w:rPr>
        <w:t xml:space="preserve"> </w:t>
      </w:r>
      <w:r>
        <w:rPr>
          <w:rFonts w:hint="eastAsia" w:ascii="宋体" w:hAnsi="宋体" w:eastAsia="宋体" w:cs="宋体"/>
          <w:bCs/>
          <w:caps/>
          <w:color w:val="auto"/>
          <w:sz w:val="21"/>
          <w:szCs w:val="21"/>
          <w:highlight w:val="none"/>
        </w:rPr>
        <w:t>(公章)</w:t>
      </w:r>
    </w:p>
    <w:p>
      <w:pPr>
        <w:tabs>
          <w:tab w:val="right" w:leader="dot" w:pos="9022"/>
        </w:tabs>
        <w:autoSpaceDE w:val="0"/>
        <w:autoSpaceDN w:val="0"/>
        <w:adjustRightInd w:val="0"/>
        <w:spacing w:line="520" w:lineRule="exact"/>
        <w:ind w:firstLine="2566" w:firstLineChars="1222"/>
        <w:rPr>
          <w:rFonts w:hint="eastAsia" w:ascii="宋体" w:hAnsi="宋体" w:eastAsia="宋体" w:cs="宋体"/>
          <w:bCs/>
          <w:caps/>
          <w:color w:val="auto"/>
          <w:sz w:val="21"/>
          <w:szCs w:val="21"/>
          <w:highlight w:val="none"/>
          <w:lang w:val="en-US" w:eastAsia="zh-CN"/>
        </w:rPr>
      </w:pPr>
      <w:r>
        <w:rPr>
          <w:rFonts w:hint="eastAsia" w:ascii="宋体" w:hAnsi="宋体" w:eastAsia="宋体" w:cs="宋体"/>
          <w:bCs/>
          <w:caps/>
          <w:color w:val="auto"/>
          <w:sz w:val="21"/>
          <w:szCs w:val="21"/>
          <w:highlight w:val="none"/>
        </w:rPr>
        <w:t>法定代表人或被授权代表：</w:t>
      </w:r>
      <w:r>
        <w:rPr>
          <w:rFonts w:hint="eastAsia" w:ascii="宋体" w:hAnsi="宋体" w:eastAsia="宋体" w:cs="宋体"/>
          <w:bCs/>
          <w:caps/>
          <w:color w:val="auto"/>
          <w:sz w:val="21"/>
          <w:szCs w:val="21"/>
          <w:highlight w:val="none"/>
          <w:u w:val="single"/>
        </w:rPr>
        <w:t xml:space="preserve"> </w:t>
      </w:r>
      <w:r>
        <w:rPr>
          <w:rFonts w:hint="eastAsia" w:ascii="宋体" w:hAnsi="宋体" w:eastAsia="宋体" w:cs="宋体"/>
          <w:bCs/>
          <w:caps/>
          <w:color w:val="auto"/>
          <w:sz w:val="21"/>
          <w:szCs w:val="21"/>
          <w:highlight w:val="none"/>
          <w:u w:val="single"/>
          <w:lang w:val="en-US" w:eastAsia="zh-CN"/>
        </w:rPr>
        <w:t xml:space="preserve">            </w:t>
      </w:r>
      <w:r>
        <w:rPr>
          <w:rFonts w:hint="eastAsia" w:ascii="宋体" w:hAnsi="宋体" w:eastAsia="宋体" w:cs="宋体"/>
          <w:bCs/>
          <w:caps/>
          <w:color w:val="auto"/>
          <w:sz w:val="21"/>
          <w:szCs w:val="21"/>
          <w:highlight w:val="none"/>
        </w:rPr>
        <w:t>（签字）</w:t>
      </w:r>
      <w:r>
        <w:rPr>
          <w:rFonts w:hint="eastAsia" w:ascii="宋体" w:hAnsi="宋体" w:eastAsia="宋体" w:cs="宋体"/>
          <w:bCs/>
          <w:caps/>
          <w:color w:val="auto"/>
          <w:sz w:val="21"/>
          <w:szCs w:val="21"/>
          <w:highlight w:val="none"/>
          <w:lang w:val="en-US" w:eastAsia="zh-CN"/>
        </w:rPr>
        <w:t xml:space="preserve">   </w:t>
      </w:r>
    </w:p>
    <w:p>
      <w:pPr>
        <w:tabs>
          <w:tab w:val="right" w:leader="dot" w:pos="9022"/>
        </w:tabs>
        <w:autoSpaceDE w:val="0"/>
        <w:autoSpaceDN w:val="0"/>
        <w:adjustRightInd w:val="0"/>
        <w:spacing w:line="520" w:lineRule="exact"/>
        <w:ind w:firstLine="2566" w:firstLineChars="1222"/>
        <w:rPr>
          <w:rFonts w:hint="eastAsia" w:ascii="宋体" w:hAnsi="宋体" w:eastAsia="宋体" w:cs="宋体"/>
          <w:bCs/>
          <w:caps/>
          <w:color w:val="auto"/>
          <w:sz w:val="21"/>
          <w:szCs w:val="21"/>
          <w:highlight w:val="none"/>
          <w:lang w:val="en-US" w:eastAsia="zh-CN"/>
        </w:rPr>
      </w:pPr>
      <w:r>
        <w:rPr>
          <w:rFonts w:hint="eastAsia" w:ascii="宋体" w:hAnsi="宋体" w:eastAsia="宋体" w:cs="宋体"/>
          <w:bCs/>
          <w:caps/>
          <w:color w:val="auto"/>
          <w:sz w:val="21"/>
          <w:szCs w:val="21"/>
          <w:highlight w:val="none"/>
        </w:rPr>
        <w:t>日    期：</w:t>
      </w:r>
      <w:r>
        <w:rPr>
          <w:rFonts w:hint="eastAsia" w:ascii="宋体" w:hAnsi="宋体" w:eastAsia="宋体" w:cs="宋体"/>
          <w:bCs/>
          <w:caps/>
          <w:color w:val="auto"/>
          <w:sz w:val="21"/>
          <w:szCs w:val="21"/>
          <w:highlight w:val="none"/>
          <w:lang w:val="en-US" w:eastAsia="zh-CN"/>
        </w:rPr>
        <w:t xml:space="preserve">    年   月  日</w:t>
      </w:r>
    </w:p>
    <w:p>
      <w:pPr>
        <w:jc w:val="center"/>
        <w:rPr>
          <w:rFonts w:hint="eastAsia" w:ascii="宋体" w:hAnsi="宋体" w:eastAsia="宋体" w:cs="宋体"/>
          <w:b/>
          <w:bCs/>
          <w:color w:val="auto"/>
          <w:kern w:val="2"/>
          <w:sz w:val="24"/>
          <w:szCs w:val="24"/>
          <w:highlight w:val="none"/>
          <w:lang w:val="en-US" w:eastAsia="zh-CN" w:bidi="ar-SA"/>
        </w:rPr>
      </w:pPr>
    </w:p>
    <w:p>
      <w:pPr>
        <w:jc w:val="center"/>
        <w:rPr>
          <w:rFonts w:hint="eastAsia" w:ascii="宋体" w:hAnsi="宋体" w:eastAsia="宋体" w:cs="宋体"/>
          <w:b/>
          <w:bCs/>
          <w:color w:val="auto"/>
          <w:kern w:val="2"/>
          <w:sz w:val="24"/>
          <w:szCs w:val="24"/>
          <w:highlight w:val="none"/>
          <w:lang w:val="en-US" w:eastAsia="zh-CN" w:bidi="ar-SA"/>
        </w:rPr>
      </w:pPr>
    </w:p>
    <w:p>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格式2:人员简历表</w:t>
      </w:r>
    </w:p>
    <w:p>
      <w:pPr>
        <w:pStyle w:val="9"/>
        <w:rPr>
          <w:rFonts w:hint="eastAsia" w:ascii="宋体" w:hAnsi="宋体" w:eastAsia="宋体" w:cs="宋体"/>
          <w:color w:val="auto"/>
          <w:highlight w:val="none"/>
        </w:rPr>
      </w:pPr>
    </w:p>
    <w:tbl>
      <w:tblPr>
        <w:tblStyle w:val="28"/>
        <w:tblW w:w="9000"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450"/>
        <w:gridCol w:w="1666"/>
        <w:gridCol w:w="1325"/>
        <w:gridCol w:w="1629"/>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姓名</w:t>
            </w:r>
          </w:p>
        </w:tc>
        <w:tc>
          <w:tcPr>
            <w:tcW w:w="145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年龄</w:t>
            </w:r>
          </w:p>
        </w:tc>
        <w:tc>
          <w:tcPr>
            <w:tcW w:w="13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学历</w:t>
            </w: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bidi="ar"/>
              </w:rPr>
              <w:t>获得的奖项或证书</w:t>
            </w:r>
          </w:p>
        </w:tc>
        <w:tc>
          <w:tcPr>
            <w:tcW w:w="7595" w:type="dxa"/>
            <w:gridSpan w:val="5"/>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职业</w:t>
            </w:r>
          </w:p>
        </w:tc>
        <w:tc>
          <w:tcPr>
            <w:tcW w:w="145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职务</w:t>
            </w:r>
          </w:p>
        </w:tc>
        <w:tc>
          <w:tcPr>
            <w:tcW w:w="13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拟在本合同</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任职</w:t>
            </w: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毕业学校</w:t>
            </w:r>
          </w:p>
        </w:tc>
        <w:tc>
          <w:tcPr>
            <w:tcW w:w="7595" w:type="dxa"/>
            <w:gridSpan w:val="5"/>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时间</w:t>
            </w: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参加过的类似项目</w:t>
            </w: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担任职务</w:t>
            </w: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4441" w:type="dxa"/>
            <w:gridSpan w:val="3"/>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62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c>
          <w:tcPr>
            <w:tcW w:w="152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p>
        </w:tc>
      </w:tr>
    </w:tbl>
    <w:p>
      <w:pPr>
        <w:pStyle w:val="20"/>
        <w:rPr>
          <w:rFonts w:hint="eastAsia" w:ascii="宋体" w:hAnsi="宋体" w:eastAsia="宋体" w:cs="宋体"/>
          <w:bCs/>
          <w:caps/>
          <w:color w:val="auto"/>
          <w:sz w:val="21"/>
          <w:szCs w:val="21"/>
          <w:highlight w:val="none"/>
          <w:lang w:val="en-US" w:eastAsia="zh-CN"/>
        </w:rPr>
      </w:pPr>
    </w:p>
    <w:p>
      <w:pPr>
        <w:pStyle w:val="20"/>
        <w:rPr>
          <w:rFonts w:hint="eastAsia" w:ascii="宋体" w:hAnsi="宋体" w:eastAsia="宋体" w:cs="宋体"/>
          <w:b/>
          <w:bCs/>
          <w:color w:val="auto"/>
          <w:sz w:val="30"/>
          <w:szCs w:val="30"/>
          <w:lang w:eastAsia="zh-CN"/>
        </w:rPr>
      </w:pPr>
      <w:r>
        <w:rPr>
          <w:rFonts w:hint="eastAsia" w:ascii="宋体" w:hAnsi="宋体" w:eastAsia="宋体" w:cs="宋体"/>
          <w:bCs/>
          <w:caps/>
          <w:color w:val="auto"/>
          <w:sz w:val="21"/>
          <w:szCs w:val="21"/>
          <w:highlight w:val="none"/>
          <w:lang w:val="en-US" w:eastAsia="zh-CN"/>
        </w:rPr>
        <w:t>注：对配备表内的人员分别进行填报，并附身份证复印件、获得的奖项或证书、学历证等材料。</w:t>
      </w:r>
    </w:p>
    <w:p>
      <w:pPr>
        <w:jc w:val="center"/>
        <w:rPr>
          <w:rFonts w:hint="eastAsia" w:ascii="宋体" w:hAnsi="宋体" w:eastAsia="宋体" w:cs="宋体"/>
          <w:b/>
          <w:bCs/>
          <w:color w:val="auto"/>
          <w:kern w:val="2"/>
          <w:sz w:val="24"/>
          <w:szCs w:val="24"/>
          <w:highlight w:val="none"/>
          <w:lang w:val="en-US" w:eastAsia="zh-CN" w:bidi="ar-SA"/>
        </w:rPr>
      </w:pPr>
    </w:p>
    <w:p>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格式3：同类服务项目</w:t>
      </w:r>
    </w:p>
    <w:p>
      <w:pPr>
        <w:pStyle w:val="14"/>
        <w:rPr>
          <w:rFonts w:hint="eastAsia" w:ascii="宋体" w:hAnsi="宋体" w:eastAsia="宋体" w:cs="宋体"/>
          <w:color w:val="auto"/>
          <w:highlight w:val="none"/>
        </w:rPr>
      </w:pPr>
    </w:p>
    <w:tbl>
      <w:tblPr>
        <w:tblStyle w:val="28"/>
        <w:tblW w:w="9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9"/>
        <w:gridCol w:w="1097"/>
        <w:gridCol w:w="2179"/>
        <w:gridCol w:w="1243"/>
        <w:gridCol w:w="1196"/>
        <w:gridCol w:w="1953"/>
        <w:gridCol w:w="10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97"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17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w:t>
            </w: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日期</w:t>
            </w:r>
          </w:p>
        </w:tc>
        <w:tc>
          <w:tcPr>
            <w:tcW w:w="10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1" w:hRule="atLeast"/>
          <w:jc w:val="center"/>
        </w:trPr>
        <w:tc>
          <w:tcPr>
            <w:tcW w:w="5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ind w:left="1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ind w:left="1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ind w:left="1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ind w:left="1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097" w:type="dxa"/>
            <w:vAlign w:val="center"/>
          </w:tcPr>
          <w:p>
            <w:pPr>
              <w:spacing w:line="360" w:lineRule="auto"/>
              <w:jc w:val="center"/>
              <w:rPr>
                <w:rFonts w:hint="eastAsia" w:ascii="宋体" w:hAnsi="宋体" w:eastAsia="宋体" w:cs="宋体"/>
                <w:color w:val="auto"/>
                <w:sz w:val="21"/>
                <w:szCs w:val="21"/>
                <w:highlight w:val="none"/>
              </w:rPr>
            </w:pPr>
          </w:p>
        </w:tc>
        <w:tc>
          <w:tcPr>
            <w:tcW w:w="2179" w:type="dxa"/>
            <w:vAlign w:val="center"/>
          </w:tcPr>
          <w:p>
            <w:pPr>
              <w:spacing w:line="360" w:lineRule="auto"/>
              <w:jc w:val="center"/>
              <w:rPr>
                <w:rFonts w:hint="eastAsia" w:ascii="宋体" w:hAnsi="宋体" w:eastAsia="宋体" w:cs="宋体"/>
                <w:color w:val="auto"/>
                <w:sz w:val="21"/>
                <w:szCs w:val="21"/>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78" w:type="dxa"/>
            <w:vAlign w:val="center"/>
          </w:tcPr>
          <w:p>
            <w:pPr>
              <w:spacing w:line="360" w:lineRule="auto"/>
              <w:jc w:val="center"/>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表后</w:t>
      </w:r>
      <w:r>
        <w:rPr>
          <w:rFonts w:hint="eastAsia" w:ascii="宋体" w:hAnsi="宋体" w:eastAsia="宋体" w:cs="宋体"/>
          <w:color w:val="auto"/>
          <w:sz w:val="21"/>
          <w:szCs w:val="21"/>
          <w:highlight w:val="none"/>
          <w:lang w:val="en-US" w:eastAsia="zh-CN"/>
        </w:rPr>
        <w:t>按填报的业绩顺序</w:t>
      </w:r>
      <w:r>
        <w:rPr>
          <w:rFonts w:hint="eastAsia" w:ascii="宋体" w:hAnsi="宋体" w:eastAsia="宋体" w:cs="宋体"/>
          <w:color w:val="auto"/>
          <w:sz w:val="21"/>
          <w:szCs w:val="21"/>
          <w:highlight w:val="none"/>
        </w:rPr>
        <w:t>附相关业绩证明材料（以合同为准）或实施过的案例证明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应清晰可辨认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加盖公章。</w:t>
      </w:r>
    </w:p>
    <w:p>
      <w:pPr>
        <w:rPr>
          <w:rFonts w:hint="eastAsia" w:ascii="宋体" w:hAnsi="宋体" w:eastAsia="宋体" w:cs="宋体"/>
          <w:b/>
          <w:bCs/>
          <w:color w:val="auto"/>
          <w:sz w:val="30"/>
          <w:szCs w:val="30"/>
          <w:highlight w:val="none"/>
        </w:rPr>
      </w:pPr>
    </w:p>
    <w:p>
      <w:pPr>
        <w:pStyle w:val="10"/>
        <w:rPr>
          <w:rFonts w:hint="eastAsia" w:ascii="宋体" w:hAnsi="宋体" w:eastAsia="宋体" w:cs="宋体"/>
          <w:b/>
          <w:bCs/>
          <w:color w:val="auto"/>
          <w:sz w:val="30"/>
          <w:szCs w:val="30"/>
          <w:highlight w:val="none"/>
        </w:rPr>
      </w:pPr>
    </w:p>
    <w:p>
      <w:pPr>
        <w:rPr>
          <w:rFonts w:hint="eastAsia" w:ascii="宋体" w:hAnsi="宋体" w:eastAsia="宋体" w:cs="宋体"/>
          <w:b/>
          <w:bCs/>
          <w:color w:val="auto"/>
          <w:sz w:val="30"/>
          <w:szCs w:val="30"/>
          <w:highlight w:val="none"/>
        </w:rPr>
      </w:pPr>
    </w:p>
    <w:p>
      <w:pPr>
        <w:spacing w:line="480" w:lineRule="exact"/>
        <w:jc w:val="center"/>
        <w:outlineLvl w:val="0"/>
        <w:rPr>
          <w:rFonts w:hint="eastAsia" w:ascii="宋体" w:hAnsi="宋体" w:eastAsia="宋体" w:cs="宋体"/>
          <w:b/>
          <w:bCs/>
          <w:color w:val="auto"/>
          <w:sz w:val="30"/>
          <w:szCs w:val="30"/>
        </w:rPr>
      </w:pPr>
      <w:bookmarkStart w:id="276" w:name="_Toc17093"/>
    </w:p>
    <w:p>
      <w:pPr>
        <w:spacing w:line="480" w:lineRule="exact"/>
        <w:jc w:val="center"/>
        <w:outlineLvl w:val="0"/>
        <w:rPr>
          <w:rFonts w:hint="eastAsia" w:ascii="宋体" w:hAnsi="宋体" w:eastAsia="宋体" w:cs="宋体"/>
          <w:b/>
          <w:bCs/>
          <w:color w:val="auto"/>
          <w:sz w:val="30"/>
          <w:szCs w:val="30"/>
        </w:rPr>
      </w:pPr>
    </w:p>
    <w:p>
      <w:pPr>
        <w:spacing w:line="480" w:lineRule="exact"/>
        <w:jc w:val="center"/>
        <w:outlineLvl w:val="0"/>
        <w:rPr>
          <w:rFonts w:hint="eastAsia" w:ascii="宋体" w:hAnsi="宋体" w:eastAsia="宋体" w:cs="宋体"/>
          <w:b/>
          <w:bCs/>
          <w:color w:val="auto"/>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5</w:t>
      </w:r>
      <w:r>
        <w:rPr>
          <w:rFonts w:hint="eastAsia" w:ascii="宋体" w:hAnsi="宋体" w:eastAsia="宋体" w:cs="宋体"/>
          <w:b/>
          <w:bCs/>
          <w:color w:val="auto"/>
          <w:sz w:val="30"/>
          <w:szCs w:val="30"/>
        </w:rPr>
        <w:t xml:space="preserve">部分  </w:t>
      </w:r>
      <w:bookmarkEnd w:id="269"/>
      <w:bookmarkEnd w:id="270"/>
      <w:bookmarkEnd w:id="271"/>
      <w:bookmarkEnd w:id="272"/>
      <w:bookmarkEnd w:id="273"/>
      <w:bookmarkEnd w:id="274"/>
      <w:bookmarkEnd w:id="275"/>
      <w:r>
        <w:rPr>
          <w:rFonts w:hint="eastAsia" w:ascii="宋体" w:hAnsi="宋体" w:eastAsia="宋体" w:cs="宋体"/>
          <w:b/>
          <w:bCs/>
          <w:color w:val="auto"/>
          <w:sz w:val="30"/>
          <w:szCs w:val="30"/>
          <w:lang w:val="en-US" w:eastAsia="zh-CN"/>
        </w:rPr>
        <w:t>其他材料及供应商认为有必要说明、阐述的事项</w:t>
      </w:r>
      <w:bookmarkEnd w:id="276"/>
    </w:p>
    <w:p>
      <w:pPr>
        <w:spacing w:line="440" w:lineRule="exact"/>
        <w:rPr>
          <w:rFonts w:hint="eastAsia" w:ascii="宋体" w:hAnsi="宋体" w:eastAsia="宋体" w:cs="宋体"/>
          <w:b w:val="0"/>
          <w:bCs w:val="0"/>
          <w:color w:val="auto"/>
          <w:sz w:val="24"/>
          <w:szCs w:val="24"/>
        </w:rPr>
      </w:pPr>
      <w:r>
        <w:rPr>
          <w:rFonts w:hint="eastAsia" w:ascii="宋体" w:hAnsi="宋体" w:eastAsia="宋体" w:cs="宋体"/>
          <w:b/>
          <w:bCs/>
          <w:color w:val="auto"/>
        </w:rPr>
        <w:t xml:space="preserve"> </w:t>
      </w:r>
      <w:r>
        <w:rPr>
          <w:rFonts w:hint="eastAsia" w:ascii="宋体" w:hAnsi="宋体" w:eastAsia="宋体" w:cs="宋体"/>
          <w:b/>
          <w:bCs/>
          <w:color w:val="auto"/>
          <w:lang w:val="en-US" w:eastAsia="zh-CN"/>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val="0"/>
          <w:bCs w:val="0"/>
          <w:color w:val="auto"/>
          <w:sz w:val="24"/>
          <w:szCs w:val="24"/>
        </w:rPr>
        <w:t>格式自定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认为有必要提供而增加其竞争性的其它资料</w:t>
      </w:r>
    </w:p>
    <w:p>
      <w:pPr>
        <w:spacing w:line="44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pPr>
        <w:spacing w:line="400" w:lineRule="exact"/>
        <w:ind w:firstLine="180" w:firstLineChars="50"/>
        <w:jc w:val="center"/>
        <w:rPr>
          <w:rFonts w:hint="eastAsia" w:ascii="宋体" w:hAnsi="宋体" w:eastAsia="宋体" w:cs="宋体"/>
          <w:color w:val="auto"/>
          <w:sz w:val="36"/>
          <w:szCs w:val="36"/>
          <w:u w:val="single"/>
        </w:rPr>
      </w:pPr>
    </w:p>
    <w:p>
      <w:pPr>
        <w:spacing w:line="400" w:lineRule="exact"/>
        <w:ind w:firstLine="180" w:firstLineChars="50"/>
        <w:jc w:val="center"/>
        <w:rPr>
          <w:rFonts w:hint="eastAsia" w:ascii="宋体" w:hAnsi="宋体" w:eastAsia="宋体" w:cs="宋体"/>
          <w:color w:val="auto"/>
          <w:sz w:val="36"/>
          <w:szCs w:val="36"/>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bookmarkStart w:id="277" w:name="_Toc20085"/>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p>
      <w:pPr>
        <w:spacing w:line="400" w:lineRule="exact"/>
        <w:ind w:firstLine="141" w:firstLineChars="50"/>
        <w:jc w:val="center"/>
        <w:outlineLvl w:val="9"/>
        <w:rPr>
          <w:rFonts w:hint="eastAsia" w:ascii="宋体" w:hAnsi="宋体" w:eastAsia="宋体" w:cs="宋体"/>
          <w:b/>
          <w:bCs/>
          <w:color w:val="auto"/>
          <w:sz w:val="28"/>
          <w:szCs w:val="28"/>
          <w:u w:val="single"/>
        </w:rPr>
      </w:pPr>
    </w:p>
    <w:bookmarkEnd w:id="277"/>
    <w:p>
      <w:pPr>
        <w:widowControl/>
        <w:spacing w:line="480" w:lineRule="exact"/>
        <w:jc w:val="center"/>
        <w:outlineLvl w:val="1"/>
        <w:rPr>
          <w:rFonts w:hint="eastAsia" w:ascii="宋体" w:hAnsi="宋体" w:eastAsia="宋体" w:cs="宋体"/>
          <w:b/>
          <w:color w:val="auto"/>
          <w:sz w:val="28"/>
          <w:szCs w:val="28"/>
        </w:rPr>
      </w:pPr>
      <w:bookmarkStart w:id="278" w:name="_Toc24821"/>
    </w:p>
    <w:p>
      <w:pPr>
        <w:widowControl/>
        <w:spacing w:line="480" w:lineRule="exact"/>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陕西省政府采购磋商响应人</w:t>
      </w:r>
      <w:bookmarkEnd w:id="278"/>
      <w:bookmarkStart w:id="279" w:name="_Toc12914"/>
      <w:r>
        <w:rPr>
          <w:rFonts w:hint="eastAsia" w:ascii="宋体" w:hAnsi="宋体" w:eastAsia="宋体" w:cs="宋体"/>
          <w:b/>
          <w:color w:val="auto"/>
          <w:sz w:val="28"/>
          <w:szCs w:val="28"/>
        </w:rPr>
        <w:t>拒绝政府采购领域商业贿赂</w:t>
      </w:r>
    </w:p>
    <w:p>
      <w:pPr>
        <w:widowControl/>
        <w:spacing w:line="480" w:lineRule="exact"/>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承诺书</w:t>
      </w:r>
      <w:bookmarkEnd w:id="279"/>
    </w:p>
    <w:p>
      <w:pPr>
        <w:jc w:val="center"/>
        <w:outlineLvl w:val="1"/>
        <w:rPr>
          <w:rFonts w:hint="eastAsia" w:ascii="宋体" w:hAnsi="宋体" w:eastAsia="宋体" w:cs="宋体"/>
          <w:bCs/>
          <w:color w:val="auto"/>
          <w:sz w:val="24"/>
          <w:szCs w:val="24"/>
        </w:rPr>
      </w:pPr>
      <w:bookmarkStart w:id="280" w:name="_Toc8242"/>
      <w:r>
        <w:rPr>
          <w:rFonts w:hint="eastAsia" w:ascii="宋体" w:hAnsi="宋体" w:eastAsia="宋体" w:cs="宋体"/>
          <w:bCs/>
          <w:color w:val="auto"/>
          <w:sz w:val="24"/>
          <w:szCs w:val="24"/>
        </w:rPr>
        <w:t>（执行陕财办采管[2006]21号文件）</w:t>
      </w:r>
      <w:bookmarkEnd w:id="280"/>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为响应党中央、国务院关于治理政府采购领域商业贿赂行为的号召，我公司在此庄严承诺：</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1、在参与政府采购活动中遵纪守法、诚信经营、公平竞标。</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2、不向政府采购人、采购代理机构和政府采购评审专家进行任何形式的商业贿赂以谋取交易机会。</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3、不向政府采购代理机构和采购人提供虚假资格文件或采用虚假应标方式参与政府采购市场竞争并谋取中标、成交。</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4、不采取“围标、陪标”等商业欺诈手段获得政府采购</w:t>
      </w:r>
      <w:r>
        <w:rPr>
          <w:rFonts w:hint="eastAsia" w:ascii="宋体" w:hAnsi="宋体" w:eastAsia="宋体" w:cs="宋体"/>
          <w:color w:val="auto"/>
          <w:sz w:val="24"/>
          <w:szCs w:val="24"/>
          <w:lang w:val="en-US" w:eastAsia="zh-CN"/>
        </w:rPr>
        <w:t>订</w:t>
      </w:r>
      <w:r>
        <w:rPr>
          <w:rFonts w:hint="eastAsia" w:ascii="宋体" w:hAnsi="宋体" w:eastAsia="宋体" w:cs="宋体"/>
          <w:color w:val="auto"/>
          <w:sz w:val="24"/>
          <w:szCs w:val="24"/>
        </w:rPr>
        <w:t>单。</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5、不采取不正当手段诋毁、排挤其他磋商响应人。</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6、不在提供商品和服务时“偷梁换柱、以次充好”损害采购人的合法权益。</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7、不与采购人、采购代理机构政府采购评审专家或其它磋商响应人恶意串通，进行质疑和投诉，维护政府采购市场秩序。</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8、尊重和接受政府采购监督管理部门的监督和政府采购代理机构招标采购要求，承担因违约行为给采购人造成的损失。</w:t>
      </w:r>
    </w:p>
    <w:p>
      <w:pPr>
        <w:widowControl/>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9、不发生其他有悖于政府采购公开、公平、公正和诚信原则的行为。</w:t>
      </w:r>
    </w:p>
    <w:p>
      <w:pPr>
        <w:widowControl/>
        <w:spacing w:line="480" w:lineRule="exact"/>
        <w:ind w:firstLine="480" w:firstLineChars="200"/>
        <w:rPr>
          <w:rFonts w:hint="eastAsia" w:ascii="宋体" w:hAnsi="宋体" w:eastAsia="宋体" w:cs="宋体"/>
          <w:color w:val="auto"/>
          <w:sz w:val="24"/>
          <w:szCs w:val="24"/>
        </w:rPr>
      </w:pP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磋商响应人：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（盖章）</w:t>
      </w:r>
    </w:p>
    <w:p>
      <w:pPr>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全权代表：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邮  编：</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p>
    <w:p>
      <w:pPr>
        <w:spacing w:line="480" w:lineRule="exact"/>
        <w:ind w:firstLine="480" w:firstLineChars="200"/>
        <w:rPr>
          <w:rFonts w:hint="eastAsia" w:ascii="宋体" w:hAnsi="宋体" w:eastAsia="宋体" w:cs="宋体"/>
          <w:color w:val="auto"/>
          <w:sz w:val="24"/>
          <w:szCs w:val="24"/>
        </w:rPr>
      </w:pPr>
    </w:p>
    <w:p>
      <w:pPr>
        <w:spacing w:line="480" w:lineRule="exact"/>
        <w:ind w:firstLine="6240" w:firstLineChars="26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pPr>
        <w:pStyle w:val="10"/>
        <w:rPr>
          <w:rFonts w:hint="eastAsia" w:ascii="宋体" w:hAnsi="宋体" w:eastAsia="宋体" w:cs="宋体"/>
          <w:color w:val="auto"/>
          <w:sz w:val="24"/>
          <w:szCs w:val="24"/>
        </w:rPr>
      </w:pPr>
    </w:p>
    <w:p>
      <w:pPr>
        <w:spacing w:line="480" w:lineRule="exact"/>
        <w:jc w:val="center"/>
        <w:rPr>
          <w:rFonts w:hint="eastAsia" w:ascii="宋体" w:hAnsi="宋体" w:eastAsia="宋体" w:cs="宋体"/>
          <w:b/>
          <w:bCs/>
          <w:color w:val="auto"/>
          <w:sz w:val="36"/>
          <w:szCs w:val="44"/>
        </w:rPr>
      </w:pPr>
    </w:p>
    <w:p>
      <w:pPr>
        <w:spacing w:line="480" w:lineRule="exact"/>
        <w:jc w:val="center"/>
        <w:rPr>
          <w:rFonts w:hint="eastAsia" w:ascii="宋体" w:hAnsi="宋体" w:eastAsia="宋体" w:cs="宋体"/>
          <w:b/>
          <w:bCs/>
          <w:color w:val="auto"/>
          <w:sz w:val="36"/>
          <w:szCs w:val="44"/>
        </w:rPr>
      </w:pPr>
    </w:p>
    <w:p>
      <w:pPr>
        <w:numPr>
          <w:ilvl w:val="0"/>
          <w:numId w:val="0"/>
        </w:numPr>
        <w:spacing w:line="480" w:lineRule="exact"/>
        <w:ind w:firstLine="2409" w:firstLineChars="800"/>
        <w:jc w:val="both"/>
        <w:outlineLvl w:val="0"/>
        <w:rPr>
          <w:rFonts w:hint="eastAsia" w:ascii="宋体" w:hAnsi="宋体" w:eastAsia="宋体" w:cs="宋体"/>
          <w:color w:val="auto"/>
        </w:rPr>
      </w:pPr>
      <w:bookmarkStart w:id="281" w:name="_Toc25254"/>
      <w:bookmarkStart w:id="282" w:name="_Toc30907"/>
      <w:bookmarkStart w:id="283" w:name="_Toc3990_WPSOffice_Level1"/>
      <w:bookmarkStart w:id="284" w:name="_Toc9169"/>
      <w:bookmarkStart w:id="285" w:name="_Toc21532"/>
      <w:bookmarkStart w:id="286" w:name="_Toc30009"/>
      <w:bookmarkStart w:id="287" w:name="_Toc2458_WPSOffice_Level1"/>
      <w:bookmarkStart w:id="288" w:name="_Toc13409_WPSOffice_Level1"/>
      <w:r>
        <w:rPr>
          <w:rFonts w:hint="eastAsia" w:ascii="宋体" w:hAnsi="宋体" w:eastAsia="宋体" w:cs="宋体"/>
          <w:b/>
          <w:bCs/>
          <w:color w:val="auto"/>
          <w:sz w:val="30"/>
          <w:szCs w:val="30"/>
          <w:lang w:val="en-US" w:eastAsia="zh-CN"/>
        </w:rPr>
        <w:t>第6部分  供应商</w:t>
      </w:r>
      <w:r>
        <w:rPr>
          <w:rFonts w:hint="eastAsia" w:ascii="宋体" w:hAnsi="宋体" w:eastAsia="宋体" w:cs="宋体"/>
          <w:b/>
          <w:bCs/>
          <w:color w:val="auto"/>
          <w:sz w:val="30"/>
          <w:szCs w:val="30"/>
        </w:rPr>
        <w:t>资格证明</w:t>
      </w:r>
      <w:bookmarkEnd w:id="281"/>
      <w:bookmarkEnd w:id="282"/>
      <w:bookmarkEnd w:id="283"/>
      <w:bookmarkEnd w:id="284"/>
      <w:bookmarkEnd w:id="285"/>
      <w:bookmarkEnd w:id="286"/>
      <w:bookmarkEnd w:id="287"/>
      <w:bookmarkEnd w:id="288"/>
    </w:p>
    <w:p>
      <w:pPr>
        <w:rPr>
          <w:rFonts w:hint="eastAsia" w:ascii="宋体" w:hAnsi="宋体" w:eastAsia="宋体" w:cs="宋体"/>
          <w:color w:val="auto"/>
          <w:sz w:val="24"/>
          <w:szCs w:val="24"/>
        </w:rPr>
      </w:pP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按本节格式要求将资格证明材料编入磋商响应文件正副本内（磋商代表身份证原件现场核验），由磋商小组进行资格审查，审查过程中若供应商资格证明文件无效或缺项的视为资格审查不通过，其磋商响应文件按无效响应文件处理。</w:t>
      </w:r>
    </w:p>
    <w:p>
      <w:pPr>
        <w:pStyle w:val="10"/>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rPr>
          <w:rFonts w:hint="eastAsia" w:ascii="宋体" w:hAnsi="宋体" w:eastAsia="宋体" w:cs="宋体"/>
          <w:color w:val="auto"/>
          <w:sz w:val="32"/>
          <w:szCs w:val="40"/>
          <w:lang w:val="en-US" w:eastAsia="zh-CN"/>
        </w:rPr>
      </w:pPr>
      <w:r>
        <w:rPr>
          <w:rFonts w:hint="eastAsia" w:ascii="宋体" w:hAnsi="宋体" w:eastAsia="宋体" w:cs="宋体"/>
          <w:color w:val="auto"/>
          <w:sz w:val="32"/>
          <w:szCs w:val="40"/>
          <w:lang w:val="en-US" w:eastAsia="zh-CN"/>
        </w:rPr>
        <w:t xml:space="preserve">               </w:t>
      </w: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ind w:firstLine="2560" w:firstLineChars="800"/>
        <w:rPr>
          <w:rFonts w:hint="eastAsia" w:ascii="宋体" w:hAnsi="宋体" w:eastAsia="宋体" w:cs="宋体"/>
          <w:color w:val="auto"/>
          <w:sz w:val="32"/>
          <w:szCs w:val="40"/>
          <w:lang w:val="en-US" w:eastAsia="zh-CN"/>
        </w:rPr>
      </w:pPr>
    </w:p>
    <w:p>
      <w:pPr>
        <w:rPr>
          <w:rFonts w:hint="eastAsia" w:ascii="宋体" w:hAnsi="宋体" w:eastAsia="宋体" w:cs="宋体"/>
          <w:color w:val="auto"/>
          <w:sz w:val="32"/>
          <w:szCs w:val="40"/>
          <w:lang w:val="en-US" w:eastAsia="zh-CN"/>
        </w:rPr>
      </w:pPr>
    </w:p>
    <w:p>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p>
    <w:p>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p>
    <w:p>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p>
    <w:p>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p>
    <w:p>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.法定代表人（单位负责人）身份证明</w:t>
      </w:r>
    </w:p>
    <w:p>
      <w:pPr>
        <w:snapToGrid w:val="0"/>
        <w:spacing w:line="480" w:lineRule="auto"/>
        <w:rPr>
          <w:rFonts w:hint="eastAsia" w:ascii="宋体" w:hAnsi="宋体" w:eastAsia="宋体" w:cs="宋体"/>
          <w:color w:val="auto"/>
          <w:sz w:val="24"/>
          <w:szCs w:val="24"/>
          <w:highlight w:val="none"/>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名称）的法定代表人（单位负责人）。</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 w:val="24"/>
          <w:szCs w:val="24"/>
          <w:highlight w:val="none"/>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附：法定代表人身份证复印件</w:t>
      </w:r>
    </w:p>
    <w:p>
      <w:pPr>
        <w:snapToGrid w:val="0"/>
        <w:spacing w:line="480" w:lineRule="auto"/>
        <w:rPr>
          <w:rFonts w:hint="eastAsia" w:ascii="宋体" w:hAnsi="宋体" w:eastAsia="宋体" w:cs="宋体"/>
          <w:color w:val="auto"/>
          <w:sz w:val="24"/>
          <w:szCs w:val="24"/>
          <w:highlight w:val="none"/>
        </w:rPr>
      </w:pPr>
    </w:p>
    <w:tbl>
      <w:tblPr>
        <w:tblStyle w:val="28"/>
        <w:tblpPr w:leftFromText="180" w:rightFromText="180" w:vertAnchor="text" w:horzAnchor="margin" w:tblpXSpec="center" w:tblpY="104"/>
        <w:tblW w:w="8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8408" w:type="dxa"/>
            <w:vAlign w:val="center"/>
          </w:tcPr>
          <w:p>
            <w:pPr>
              <w:snapToGrid w:val="0"/>
              <w:spacing w:line="480" w:lineRule="auto"/>
              <w:jc w:val="center"/>
              <w:rPr>
                <w:rFonts w:hint="eastAsia" w:ascii="宋体" w:hAnsi="宋体" w:eastAsia="宋体" w:cs="宋体"/>
                <w:color w:val="auto"/>
                <w:sz w:val="24"/>
                <w:szCs w:val="24"/>
                <w:highlight w:val="none"/>
              </w:rPr>
            </w:pPr>
          </w:p>
          <w:p>
            <w:pPr>
              <w:snapToGrid w:val="0"/>
              <w:spacing w:line="480" w:lineRule="auto"/>
              <w:jc w:val="center"/>
              <w:rPr>
                <w:rFonts w:hint="eastAsia" w:ascii="宋体" w:hAnsi="宋体" w:eastAsia="宋体" w:cs="宋体"/>
                <w:color w:val="auto"/>
                <w:sz w:val="24"/>
                <w:szCs w:val="24"/>
                <w:highlight w:val="none"/>
              </w:rPr>
            </w:pPr>
          </w:p>
          <w:p>
            <w:pPr>
              <w:autoSpaceDE w:val="0"/>
              <w:autoSpaceDN w:val="0"/>
              <w:adjustRightInd w:val="0"/>
              <w:snapToGrid w:val="0"/>
              <w:spacing w:before="156" w:beforeLines="50"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法定代表人身份证复印件</w:t>
            </w:r>
          </w:p>
          <w:p>
            <w:pPr>
              <w:snapToGrid w:val="0"/>
              <w:spacing w:line="480" w:lineRule="auto"/>
              <w:jc w:val="center"/>
              <w:rPr>
                <w:rFonts w:hint="eastAsia" w:ascii="宋体" w:hAnsi="宋体" w:eastAsia="宋体" w:cs="宋体"/>
                <w:color w:val="auto"/>
                <w:sz w:val="24"/>
                <w:szCs w:val="24"/>
                <w:highlight w:val="none"/>
              </w:rPr>
            </w:pPr>
          </w:p>
          <w:p>
            <w:pPr>
              <w:snapToGrid w:val="0"/>
              <w:spacing w:line="480" w:lineRule="auto"/>
              <w:jc w:val="both"/>
              <w:rPr>
                <w:rFonts w:hint="eastAsia" w:ascii="宋体" w:hAnsi="宋体" w:eastAsia="宋体" w:cs="宋体"/>
                <w:color w:val="auto"/>
                <w:sz w:val="24"/>
                <w:szCs w:val="24"/>
                <w:highlight w:val="none"/>
              </w:rPr>
            </w:pPr>
          </w:p>
        </w:tc>
      </w:tr>
    </w:tbl>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firstLine="240" w:firstLineChars="100"/>
        <w:rPr>
          <w:rFonts w:hint="eastAsia" w:ascii="宋体" w:hAnsi="宋体" w:eastAsia="宋体" w:cs="宋体"/>
          <w:color w:val="auto"/>
          <w:sz w:val="24"/>
          <w:szCs w:val="24"/>
          <w:highlight w:val="none"/>
        </w:rPr>
      </w:pPr>
    </w:p>
    <w:p>
      <w:pPr>
        <w:adjustRightInd w:val="0"/>
        <w:snapToGrid w:val="0"/>
        <w:spacing w:line="360" w:lineRule="auto"/>
        <w:ind w:right="420" w:firstLine="3720" w:firstLineChars="1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adjustRightInd w:val="0"/>
        <w:snapToGrid w:val="0"/>
        <w:spacing w:line="360" w:lineRule="auto"/>
        <w:ind w:right="420" w:firstLine="5520" w:firstLineChars="2300"/>
        <w:rPr>
          <w:rFonts w:hint="eastAsia" w:ascii="宋体" w:hAnsi="宋体" w:eastAsia="宋体" w:cs="宋体"/>
          <w:color w:val="auto"/>
          <w:sz w:val="24"/>
          <w:szCs w:val="24"/>
          <w:highlight w:val="none"/>
        </w:rPr>
      </w:pPr>
    </w:p>
    <w:p>
      <w:pPr>
        <w:adjustRightInd w:val="0"/>
        <w:snapToGrid w:val="0"/>
        <w:spacing w:line="360" w:lineRule="auto"/>
        <w:ind w:right="420" w:firstLine="4860" w:firstLineChars="20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pPr>
        <w:adjustRightInd w:val="0"/>
        <w:snapToGrid w:val="0"/>
        <w:spacing w:line="360" w:lineRule="auto"/>
        <w:ind w:right="420" w:firstLine="240" w:firstLineChars="100"/>
        <w:rPr>
          <w:rFonts w:hint="eastAsia" w:ascii="宋体" w:hAnsi="宋体" w:eastAsia="宋体" w:cs="宋体"/>
          <w:color w:val="auto"/>
          <w:sz w:val="24"/>
          <w:szCs w:val="24"/>
          <w:highlight w:val="none"/>
        </w:rPr>
      </w:pPr>
    </w:p>
    <w:p>
      <w:pPr>
        <w:adjustRightInd w:val="0"/>
        <w:snapToGrid w:val="0"/>
        <w:spacing w:line="360" w:lineRule="auto"/>
        <w:ind w:right="42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说明：仅限法定代表人参加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时提供</w:t>
      </w:r>
    </w:p>
    <w:p>
      <w:pPr>
        <w:adjustRightInd w:val="0"/>
        <w:snapToGrid w:val="0"/>
        <w:spacing w:line="360" w:lineRule="auto"/>
        <w:ind w:right="420" w:firstLine="3132" w:firstLineChars="1300"/>
        <w:rPr>
          <w:rFonts w:hint="eastAsia" w:ascii="宋体" w:hAnsi="宋体" w:eastAsia="宋体" w:cs="宋体"/>
          <w:b/>
          <w:bCs/>
          <w:color w:val="auto"/>
          <w:sz w:val="24"/>
          <w:szCs w:val="24"/>
          <w:highlight w:val="none"/>
        </w:rPr>
      </w:pPr>
    </w:p>
    <w:p>
      <w:pPr>
        <w:adjustRightInd w:val="0"/>
        <w:snapToGrid w:val="0"/>
        <w:spacing w:line="360" w:lineRule="auto"/>
        <w:ind w:right="420" w:firstLine="3132" w:firstLineChars="1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.法定代表人授权委托书</w:t>
      </w:r>
    </w:p>
    <w:p>
      <w:pPr>
        <w:spacing w:line="400" w:lineRule="exact"/>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（供应商名称）的法定代表人（单位负责人），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（姓名）为我方代理人。代理人根据授权，以我方的名义签署、澄清确认、递交、撤回、修改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（采购项目）</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lang w:val="zh-CN"/>
        </w:rPr>
        <w:t>文件、签订合同和全权处理一切与之有关的事宜，</w:t>
      </w:r>
      <w:r>
        <w:rPr>
          <w:rFonts w:hint="eastAsia" w:ascii="宋体" w:hAnsi="宋体" w:eastAsia="宋体" w:cs="宋体"/>
          <w:color w:val="auto"/>
          <w:kern w:val="0"/>
          <w:sz w:val="24"/>
          <w:szCs w:val="24"/>
          <w:highlight w:val="none"/>
        </w:rPr>
        <w:t>其法律后果由我方承担。</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委托期限</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附：法定代表人（单位负责人）身份证复印件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委托代理人身份证复印件</w:t>
      </w:r>
    </w:p>
    <w:tbl>
      <w:tblPr>
        <w:tblStyle w:val="28"/>
        <w:tblW w:w="8131" w:type="dxa"/>
        <w:tblInd w:w="540" w:type="dxa"/>
        <w:tblLayout w:type="fixed"/>
        <w:tblCellMar>
          <w:top w:w="0" w:type="dxa"/>
          <w:left w:w="108" w:type="dxa"/>
          <w:bottom w:w="0" w:type="dxa"/>
          <w:right w:w="108" w:type="dxa"/>
        </w:tblCellMar>
      </w:tblPr>
      <w:tblGrid>
        <w:gridCol w:w="4081"/>
        <w:gridCol w:w="4050"/>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法定代表人（单位负责人）身份证复印件（</w:t>
            </w:r>
            <w:r>
              <w:rPr>
                <w:rFonts w:hint="eastAsia" w:ascii="宋体" w:hAnsi="宋体" w:eastAsia="宋体" w:cs="宋体"/>
                <w:color w:val="auto"/>
                <w:sz w:val="24"/>
                <w:szCs w:val="24"/>
                <w:highlight w:val="none"/>
                <w:lang w:val="en-US" w:eastAsia="zh-CN"/>
              </w:rPr>
              <w:t>正、反面</w:t>
            </w:r>
            <w:r>
              <w:rPr>
                <w:rFonts w:hint="eastAsia" w:ascii="宋体" w:hAnsi="宋体" w:eastAsia="宋体" w:cs="宋体"/>
                <w:color w:val="auto"/>
                <w:sz w:val="24"/>
                <w:szCs w:val="24"/>
                <w:highlight w:val="none"/>
                <w:lang w:val="zh-CN"/>
              </w:rPr>
              <w:t>）</w:t>
            </w:r>
          </w:p>
        </w:tc>
        <w:tc>
          <w:tcPr>
            <w:tcW w:w="40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委托代理人身份证复印件</w:t>
            </w:r>
          </w:p>
          <w:p>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正、反面</w:t>
            </w:r>
            <w:r>
              <w:rPr>
                <w:rFonts w:hint="eastAsia" w:ascii="宋体" w:hAnsi="宋体" w:eastAsia="宋体" w:cs="宋体"/>
                <w:color w:val="auto"/>
                <w:sz w:val="24"/>
                <w:szCs w:val="24"/>
                <w:highlight w:val="none"/>
                <w:lang w:val="zh-CN"/>
              </w:rPr>
              <w:t>）</w:t>
            </w:r>
          </w:p>
        </w:tc>
      </w:tr>
    </w:tbl>
    <w:p>
      <w:pPr>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ind w:firstLine="480" w:firstLineChars="200"/>
        <w:rPr>
          <w:rFonts w:hint="eastAsia" w:ascii="宋体" w:hAnsi="宋体" w:eastAsia="宋体" w:cs="宋体"/>
          <w:color w:val="auto"/>
          <w:sz w:val="24"/>
          <w:szCs w:val="24"/>
          <w:highlight w:val="none"/>
        </w:rPr>
      </w:pPr>
    </w:p>
    <w:p>
      <w:pPr>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法定代表人（单位负责人）: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w:t>
      </w:r>
    </w:p>
    <w:p>
      <w:pPr>
        <w:ind w:firstLine="3960" w:firstLineChars="1650"/>
        <w:rPr>
          <w:rFonts w:hint="eastAsia" w:ascii="宋体" w:hAnsi="宋体" w:eastAsia="宋体" w:cs="宋体"/>
          <w:color w:val="auto"/>
          <w:sz w:val="24"/>
          <w:szCs w:val="24"/>
          <w:highlight w:val="none"/>
        </w:rPr>
      </w:pPr>
    </w:p>
    <w:p>
      <w:pPr>
        <w:ind w:firstLine="3240" w:firstLineChars="13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ind w:firstLine="3960" w:firstLineChars="1650"/>
        <w:rPr>
          <w:rFonts w:hint="eastAsia" w:ascii="宋体" w:hAnsi="宋体" w:eastAsia="宋体" w:cs="宋体"/>
          <w:color w:val="auto"/>
          <w:sz w:val="24"/>
          <w:szCs w:val="24"/>
          <w:highlight w:val="none"/>
        </w:rPr>
      </w:pPr>
    </w:p>
    <w:p>
      <w:pPr>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     </w:t>
      </w:r>
    </w:p>
    <w:p>
      <w:pPr>
        <w:ind w:firstLine="3240" w:firstLineChars="1350"/>
        <w:jc w:val="left"/>
        <w:rPr>
          <w:rFonts w:hint="eastAsia" w:ascii="宋体" w:hAnsi="宋体" w:eastAsia="宋体" w:cs="宋体"/>
          <w:color w:val="auto"/>
          <w:sz w:val="24"/>
          <w:szCs w:val="24"/>
          <w:highlight w:val="none"/>
        </w:rPr>
      </w:pPr>
    </w:p>
    <w:p>
      <w:pPr>
        <w:ind w:firstLine="3240" w:firstLineChars="13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ind w:firstLine="480" w:firstLineChars="200"/>
        <w:rPr>
          <w:rFonts w:hint="eastAsia" w:ascii="宋体" w:hAnsi="宋体" w:eastAsia="宋体" w:cs="宋体"/>
          <w:color w:val="auto"/>
          <w:sz w:val="24"/>
          <w:szCs w:val="24"/>
          <w:highlight w:val="none"/>
        </w:rPr>
      </w:pPr>
    </w:p>
    <w:p>
      <w:pPr>
        <w:ind w:firstLine="3120" w:firstLineChars="13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授权委托日期：20</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ind w:firstLine="480" w:firstLineChars="200"/>
        <w:rPr>
          <w:rFonts w:hint="eastAsia" w:ascii="宋体" w:hAnsi="宋体" w:eastAsia="宋体" w:cs="宋体"/>
          <w:color w:val="auto"/>
          <w:sz w:val="24"/>
          <w:szCs w:val="24"/>
          <w:highlight w:val="none"/>
          <w:lang w:val="zh-CN"/>
        </w:rPr>
      </w:pPr>
    </w:p>
    <w:p>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说明：仅限委托代理人参加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时提供。</w:t>
      </w:r>
    </w:p>
    <w:p>
      <w:pPr>
        <w:pStyle w:val="10"/>
        <w:rPr>
          <w:rFonts w:hint="eastAsia" w:ascii="宋体" w:hAnsi="宋体" w:eastAsia="宋体" w:cs="宋体"/>
          <w:color w:val="auto"/>
          <w:sz w:val="20"/>
          <w:szCs w:val="18"/>
          <w:highlight w:val="none"/>
        </w:rPr>
      </w:pPr>
    </w:p>
    <w:p>
      <w:pPr>
        <w:snapToGrid w:val="0"/>
        <w:spacing w:line="360" w:lineRule="auto"/>
        <w:ind w:firstLine="240" w:firstLineChars="1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供应商为</w:t>
      </w:r>
      <w:r>
        <w:rPr>
          <w:rFonts w:hint="eastAsia" w:ascii="宋体" w:hAnsi="宋体" w:eastAsia="宋体" w:cs="宋体"/>
          <w:color w:val="auto"/>
          <w:sz w:val="24"/>
          <w:szCs w:val="24"/>
          <w:highlight w:val="none"/>
        </w:rPr>
        <w:t xml:space="preserve">具有独立承担民事责任能力的法人、其他组织或自然人，并出具合法有效的营业执照或事业单位法人证书等国家规定的相关证明，自然人参与的提供其身份证明。 </w:t>
      </w:r>
      <w:r>
        <w:rPr>
          <w:rFonts w:hint="eastAsia" w:ascii="宋体" w:hAnsi="宋体" w:eastAsia="宋体" w:cs="宋体"/>
          <w:b/>
          <w:bCs/>
          <w:color w:val="auto"/>
          <w:sz w:val="24"/>
          <w:szCs w:val="24"/>
          <w:highlight w:val="none"/>
          <w:u w:val="double"/>
        </w:rPr>
        <w:t xml:space="preserve"> （</w:t>
      </w:r>
      <w:r>
        <w:rPr>
          <w:rFonts w:hint="eastAsia" w:ascii="宋体" w:hAnsi="宋体" w:eastAsia="宋体" w:cs="宋体"/>
          <w:b/>
          <w:bCs/>
          <w:color w:val="auto"/>
          <w:sz w:val="24"/>
          <w:szCs w:val="24"/>
          <w:highlight w:val="none"/>
          <w:u w:val="double"/>
          <w:lang w:val="en-US" w:eastAsia="zh-CN"/>
        </w:rPr>
        <w:t>材料应清晰可辨认并加盖公章</w:t>
      </w:r>
      <w:r>
        <w:rPr>
          <w:rFonts w:hint="eastAsia" w:ascii="宋体" w:hAnsi="宋体" w:eastAsia="宋体" w:cs="宋体"/>
          <w:b/>
          <w:bCs/>
          <w:color w:val="auto"/>
          <w:sz w:val="24"/>
          <w:szCs w:val="24"/>
          <w:highlight w:val="none"/>
          <w:u w:val="double"/>
        </w:rPr>
        <w:t>）</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财务状况：提供20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或202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年任意一年度的完整有效的财务审计报告，或磋商截止时间前三个月内其基本存款账户开户银行出具的资信证明，或政府采购信用担保机构出具的投标担保函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其他组织和自然人提供银行出具的资信证明；</w:t>
      </w:r>
      <w:r>
        <w:rPr>
          <w:rFonts w:hint="eastAsia" w:ascii="宋体" w:hAnsi="宋体" w:eastAsia="宋体" w:cs="宋体"/>
          <w:b/>
          <w:bCs/>
          <w:color w:val="auto"/>
          <w:sz w:val="24"/>
          <w:szCs w:val="24"/>
          <w:highlight w:val="none"/>
          <w:u w:val="double"/>
        </w:rPr>
        <w:t>（</w:t>
      </w:r>
      <w:r>
        <w:rPr>
          <w:rFonts w:hint="eastAsia" w:ascii="宋体" w:hAnsi="宋体" w:eastAsia="宋体" w:cs="宋体"/>
          <w:b/>
          <w:bCs/>
          <w:color w:val="auto"/>
          <w:sz w:val="24"/>
          <w:szCs w:val="24"/>
          <w:highlight w:val="none"/>
          <w:u w:val="double"/>
          <w:lang w:val="en-US" w:eastAsia="zh-CN"/>
        </w:rPr>
        <w:t>材料应清晰可辨认并加盖公章</w:t>
      </w:r>
      <w:r>
        <w:rPr>
          <w:rFonts w:hint="eastAsia" w:ascii="宋体" w:hAnsi="宋体" w:eastAsia="宋体" w:cs="宋体"/>
          <w:b/>
          <w:bCs/>
          <w:color w:val="auto"/>
          <w:sz w:val="24"/>
          <w:szCs w:val="24"/>
          <w:highlight w:val="none"/>
          <w:u w:val="double"/>
        </w:rPr>
        <w:t>）</w:t>
      </w:r>
    </w:p>
    <w:p>
      <w:pPr>
        <w:snapToGrid w:val="0"/>
        <w:spacing w:line="360" w:lineRule="auto"/>
        <w:ind w:firstLine="240" w:firstLineChars="1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税收缴纳证明：提供响应文件递交截止时间前</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个月内任意1个月的缴费凭据；（依法免税的供应商应提供相关文件证明）；</w:t>
      </w:r>
      <w:r>
        <w:rPr>
          <w:rFonts w:hint="eastAsia" w:ascii="宋体" w:hAnsi="宋体" w:eastAsia="宋体" w:cs="宋体"/>
          <w:b/>
          <w:bCs/>
          <w:color w:val="auto"/>
          <w:sz w:val="24"/>
          <w:szCs w:val="24"/>
          <w:highlight w:val="none"/>
          <w:u w:val="double"/>
        </w:rPr>
        <w:t>（</w:t>
      </w:r>
      <w:r>
        <w:rPr>
          <w:rFonts w:hint="eastAsia" w:ascii="宋体" w:hAnsi="宋体" w:eastAsia="宋体" w:cs="宋体"/>
          <w:b/>
          <w:bCs/>
          <w:color w:val="auto"/>
          <w:sz w:val="24"/>
          <w:szCs w:val="24"/>
          <w:highlight w:val="none"/>
          <w:u w:val="double"/>
          <w:lang w:val="en-US" w:eastAsia="zh-CN"/>
        </w:rPr>
        <w:t>材料应清晰可辨认并加盖公章</w:t>
      </w:r>
      <w:r>
        <w:rPr>
          <w:rFonts w:hint="eastAsia" w:ascii="宋体" w:hAnsi="宋体" w:eastAsia="宋体" w:cs="宋体"/>
          <w:b/>
          <w:bCs/>
          <w:color w:val="auto"/>
          <w:sz w:val="24"/>
          <w:szCs w:val="24"/>
          <w:highlight w:val="none"/>
          <w:u w:val="double"/>
        </w:rPr>
        <w:t>）</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社会保障资金缴纳证明：提供响应文件递交截止时间前</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个月内任意1个月的社会保障资金缴存单据或社保机构开具的社会保险参保缴费情况证明，依法不需要缴纳社会保障资金的单位应提供相关证明材料；</w:t>
      </w:r>
      <w:r>
        <w:rPr>
          <w:rFonts w:hint="eastAsia" w:ascii="宋体" w:hAnsi="宋体" w:eastAsia="宋体" w:cs="宋体"/>
          <w:b/>
          <w:bCs/>
          <w:color w:val="auto"/>
          <w:sz w:val="24"/>
          <w:szCs w:val="24"/>
          <w:highlight w:val="none"/>
          <w:u w:val="double"/>
        </w:rPr>
        <w:t>（</w:t>
      </w:r>
      <w:r>
        <w:rPr>
          <w:rFonts w:hint="eastAsia" w:ascii="宋体" w:hAnsi="宋体" w:eastAsia="宋体" w:cs="宋体"/>
          <w:b/>
          <w:bCs/>
          <w:color w:val="auto"/>
          <w:sz w:val="24"/>
          <w:szCs w:val="24"/>
          <w:highlight w:val="none"/>
          <w:u w:val="double"/>
          <w:lang w:val="en-US" w:eastAsia="zh-CN"/>
        </w:rPr>
        <w:t>材料应清晰可辨认并加盖公章</w:t>
      </w:r>
      <w:r>
        <w:rPr>
          <w:rFonts w:hint="eastAsia" w:ascii="宋体" w:hAnsi="宋体" w:eastAsia="宋体" w:cs="宋体"/>
          <w:b/>
          <w:bCs/>
          <w:color w:val="auto"/>
          <w:sz w:val="24"/>
          <w:szCs w:val="24"/>
          <w:highlight w:val="none"/>
          <w:u w:val="double"/>
        </w:rPr>
        <w:t>）</w:t>
      </w:r>
    </w:p>
    <w:p>
      <w:pPr>
        <w:snapToGrid w:val="0"/>
        <w:spacing w:line="360" w:lineRule="auto"/>
        <w:ind w:firstLine="240" w:firstLineChars="100"/>
        <w:rPr>
          <w:rFonts w:hint="eastAsia" w:ascii="宋体" w:hAnsi="宋体" w:eastAsia="宋体" w:cs="宋体"/>
          <w:b/>
          <w:bCs/>
          <w:color w:val="auto"/>
          <w:sz w:val="24"/>
          <w:szCs w:val="24"/>
          <w:highlight w:val="none"/>
          <w:u w:val="doubl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提供具有履行本合同所必需的设备和专业技术能力的</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b/>
          <w:bCs/>
          <w:color w:val="auto"/>
          <w:sz w:val="24"/>
          <w:szCs w:val="24"/>
          <w:highlight w:val="none"/>
          <w:u w:val="double"/>
          <w:lang w:val="en-US" w:eastAsia="zh-CN"/>
        </w:rPr>
        <w:t>（格式自拟，加盖公章）</w:t>
      </w:r>
    </w:p>
    <w:p>
      <w:pPr>
        <w:snapToGrid w:val="0"/>
        <w:spacing w:line="360" w:lineRule="auto"/>
        <w:ind w:firstLine="240" w:firstLineChars="100"/>
        <w:rPr>
          <w:rFonts w:hint="eastAsia" w:ascii="宋体" w:hAnsi="宋体" w:eastAsia="宋体" w:cs="宋体"/>
          <w:b/>
          <w:bCs/>
          <w:color w:val="auto"/>
          <w:sz w:val="24"/>
          <w:szCs w:val="24"/>
          <w:highlight w:val="none"/>
          <w:u w:val="doubl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提供参加政府采购活动前三年内在经营活动中没有重大违法记录的书面声明</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double"/>
          <w:lang w:val="en-US" w:eastAsia="zh-CN"/>
        </w:rPr>
        <w:t>（格式自拟，加盖公章）</w:t>
      </w:r>
    </w:p>
    <w:p>
      <w:pPr>
        <w:numPr>
          <w:ilvl w:val="0"/>
          <w:numId w:val="0"/>
        </w:numPr>
        <w:snapToGrid w:val="0"/>
        <w:spacing w:line="360" w:lineRule="auto"/>
        <w:ind w:firstLine="240" w:firstLineChars="100"/>
        <w:rPr>
          <w:rFonts w:hint="eastAsia" w:ascii="宋体" w:hAnsi="宋体" w:eastAsia="宋体" w:cs="宋体"/>
          <w:b/>
          <w:bCs/>
          <w:color w:val="auto"/>
          <w:sz w:val="24"/>
          <w:szCs w:val="24"/>
          <w:highlight w:val="none"/>
          <w:u w:val="doubl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供应商不得为“信用中国”网站（www.creditchina.gov.cn）中列入“失信被执行人（中国执行信息公开网http://zxgk.court.gov.cn/shixin/）”和“税收违法黑名单”的供应商，不得为中国政府采购网（www.ccgp.gov.cn）政府采购“严重违法失信行为记录名单”中被财政部门禁止参加政府采购活动的供应商；</w:t>
      </w:r>
      <w:r>
        <w:rPr>
          <w:rFonts w:hint="eastAsia" w:ascii="宋体" w:hAnsi="宋体" w:eastAsia="宋体" w:cs="宋体"/>
          <w:b/>
          <w:bCs/>
          <w:color w:val="auto"/>
          <w:sz w:val="24"/>
          <w:szCs w:val="24"/>
          <w:highlight w:val="none"/>
          <w:u w:val="double"/>
        </w:rPr>
        <w:t>（★此项由采购代理机构在投标截止时间前3日内查询，查询结果以电子图片或者纸质版存档并作为资格审查资料的一部分）</w:t>
      </w:r>
    </w:p>
    <w:p>
      <w:pPr>
        <w:spacing w:beforeLines="50" w:afterLines="100"/>
        <w:rPr>
          <w:rFonts w:hint="eastAsia" w:ascii="宋体" w:hAnsi="宋体" w:eastAsia="宋体" w:cs="宋体"/>
          <w:bCs/>
          <w:color w:val="auto"/>
          <w:spacing w:val="4"/>
          <w:sz w:val="24"/>
        </w:rPr>
      </w:pPr>
    </w:p>
    <w:p>
      <w:pPr>
        <w:spacing w:line="480" w:lineRule="exact"/>
        <w:jc w:val="left"/>
        <w:rPr>
          <w:rFonts w:hint="eastAsia" w:ascii="宋体" w:hAnsi="宋体" w:eastAsia="宋体" w:cs="宋体"/>
          <w:b/>
          <w:color w:val="auto"/>
          <w:sz w:val="28"/>
          <w:szCs w:val="21"/>
        </w:rPr>
      </w:pPr>
    </w:p>
    <w:p>
      <w:pPr>
        <w:spacing w:line="480" w:lineRule="exact"/>
        <w:jc w:val="left"/>
        <w:rPr>
          <w:rFonts w:hint="eastAsia" w:ascii="宋体" w:hAnsi="宋体" w:eastAsia="宋体" w:cs="宋体"/>
          <w:b/>
          <w:color w:val="auto"/>
          <w:sz w:val="28"/>
          <w:szCs w:val="21"/>
        </w:rPr>
      </w:pPr>
    </w:p>
    <w:p>
      <w:pPr>
        <w:spacing w:line="480" w:lineRule="exact"/>
        <w:jc w:val="left"/>
        <w:rPr>
          <w:rFonts w:hint="eastAsia" w:ascii="宋体" w:hAnsi="宋体" w:eastAsia="宋体" w:cs="宋体"/>
          <w:b/>
          <w:color w:val="auto"/>
          <w:sz w:val="28"/>
          <w:szCs w:val="21"/>
        </w:rPr>
      </w:pPr>
    </w:p>
    <w:p>
      <w:pPr>
        <w:spacing w:line="480" w:lineRule="exact"/>
        <w:jc w:val="left"/>
        <w:outlineLvl w:val="9"/>
        <w:rPr>
          <w:rFonts w:hint="eastAsia" w:ascii="宋体" w:hAnsi="宋体" w:eastAsia="宋体" w:cs="宋体"/>
          <w:b/>
          <w:color w:val="auto"/>
          <w:sz w:val="28"/>
          <w:szCs w:val="21"/>
          <w:lang w:val="en-US" w:eastAsia="zh-CN"/>
        </w:rPr>
      </w:pPr>
      <w:bookmarkStart w:id="289" w:name="_Toc4424"/>
    </w:p>
    <w:bookmarkEnd w:id="289"/>
    <w:p>
      <w:pPr>
        <w:tabs>
          <w:tab w:val="left" w:pos="3600"/>
        </w:tabs>
        <w:adjustRightInd w:val="0"/>
        <w:snapToGrid w:val="0"/>
        <w:jc w:val="left"/>
        <w:outlineLvl w:val="1"/>
        <w:rPr>
          <w:rFonts w:hint="eastAsia" w:ascii="宋体" w:hAnsi="宋体" w:eastAsia="宋体" w:cs="宋体"/>
          <w:b w:val="0"/>
          <w:bCs w:val="0"/>
          <w:color w:val="auto"/>
          <w:sz w:val="24"/>
          <w:szCs w:val="24"/>
          <w:highlight w:val="none"/>
          <w:lang w:val="en-US" w:eastAsia="zh-CN"/>
        </w:rPr>
      </w:pPr>
      <w:bookmarkStart w:id="290" w:name="_Toc11372"/>
      <w:bookmarkStart w:id="291" w:name="_Toc29427"/>
      <w:r>
        <w:rPr>
          <w:rFonts w:hint="eastAsia" w:ascii="宋体" w:hAnsi="宋体" w:eastAsia="宋体" w:cs="宋体"/>
          <w:b w:val="0"/>
          <w:bCs w:val="0"/>
          <w:color w:val="auto"/>
          <w:sz w:val="24"/>
          <w:szCs w:val="24"/>
          <w:highlight w:val="none"/>
          <w:lang w:val="en-US" w:eastAsia="zh-CN"/>
        </w:rPr>
        <w:t>10.供应商须出具中小企业声明函。本项目专门面向小微企业采购（残疾人福利性单位及监狱企业视同小型、微型企业）</w:t>
      </w:r>
    </w:p>
    <w:p>
      <w:pPr>
        <w:tabs>
          <w:tab w:val="left" w:pos="3600"/>
        </w:tabs>
        <w:adjustRightInd w:val="0"/>
        <w:snapToGrid w:val="0"/>
        <w:jc w:val="center"/>
        <w:outlineLvl w:val="1"/>
        <w:rPr>
          <w:rFonts w:hint="eastAsia" w:ascii="宋体" w:hAnsi="宋体" w:eastAsia="宋体" w:cs="宋体"/>
          <w:b/>
          <w:bCs/>
          <w:color w:val="auto"/>
          <w:sz w:val="24"/>
          <w:szCs w:val="24"/>
          <w:highlight w:val="none"/>
          <w:lang w:val="en-US" w:eastAsia="zh-CN"/>
        </w:rPr>
      </w:pPr>
    </w:p>
    <w:p>
      <w:pPr>
        <w:tabs>
          <w:tab w:val="left" w:pos="3600"/>
        </w:tabs>
        <w:adjustRightInd w:val="0"/>
        <w:snapToGrid w:val="0"/>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中小企业声明函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pPr>
        <w:pStyle w:val="14"/>
        <w:rPr>
          <w:rFonts w:hint="eastAsia" w:ascii="宋体" w:hAnsi="宋体" w:eastAsia="宋体" w:cs="宋体"/>
          <w:color w:val="auto"/>
          <w:sz w:val="24"/>
          <w:szCs w:val="24"/>
          <w:lang w:val="en-US" w:eastAsia="zh-CN"/>
        </w:rPr>
      </w:pPr>
    </w:p>
    <w:p>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本公司郑重声明，根据《政府采购促进中小企业发展管理办法》（财库﹝2020﹞46 号）的规定，本公司参加 </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（采购标的）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（采购文件所列明的行业）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tabs>
          <w:tab w:val="left" w:pos="3600"/>
        </w:tabs>
        <w:adjustRightInd w:val="0"/>
        <w:snapToGrid w:val="0"/>
        <w:ind w:firstLine="2409" w:firstLineChars="1000"/>
        <w:rPr>
          <w:rFonts w:hint="eastAsia" w:ascii="宋体" w:hAnsi="宋体" w:eastAsia="宋体" w:cs="宋体"/>
          <w:b/>
          <w:bCs/>
          <w:color w:val="auto"/>
          <w:sz w:val="24"/>
          <w:szCs w:val="24"/>
          <w:highlight w:val="none"/>
        </w:rPr>
      </w:pPr>
    </w:p>
    <w:p>
      <w:pPr>
        <w:tabs>
          <w:tab w:val="left" w:pos="3600"/>
        </w:tabs>
        <w:adjustRightInd w:val="0"/>
        <w:snapToGrid w:val="0"/>
        <w:ind w:firstLine="2409" w:firstLineChars="1000"/>
        <w:rPr>
          <w:rFonts w:hint="eastAsia" w:ascii="宋体" w:hAnsi="宋体" w:eastAsia="宋体" w:cs="宋体"/>
          <w:b/>
          <w:bCs/>
          <w:color w:val="auto"/>
          <w:sz w:val="24"/>
          <w:szCs w:val="24"/>
          <w:highlight w:val="none"/>
        </w:rPr>
      </w:pPr>
    </w:p>
    <w:p>
      <w:pPr>
        <w:tabs>
          <w:tab w:val="left" w:pos="3600"/>
        </w:tabs>
        <w:adjustRightInd w:val="0"/>
        <w:snapToGrid w:val="0"/>
        <w:ind w:firstLine="2520" w:firstLineChars="10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企业名称：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(盖单位章) </w:t>
      </w:r>
    </w:p>
    <w:p>
      <w:pPr>
        <w:tabs>
          <w:tab w:val="left" w:pos="3600"/>
        </w:tabs>
        <w:adjustRightInd w:val="0"/>
        <w:snapToGrid w:val="0"/>
        <w:ind w:firstLine="2520" w:firstLineChars="1000"/>
        <w:rPr>
          <w:rFonts w:hint="eastAsia" w:ascii="宋体" w:hAnsi="宋体" w:eastAsia="宋体" w:cs="宋体"/>
          <w:color w:val="auto"/>
          <w:spacing w:val="6"/>
          <w:sz w:val="24"/>
          <w:szCs w:val="24"/>
          <w:highlight w:val="none"/>
        </w:rPr>
      </w:pPr>
    </w:p>
    <w:p>
      <w:pPr>
        <w:tabs>
          <w:tab w:val="left" w:pos="3600"/>
        </w:tabs>
        <w:adjustRightInd w:val="0"/>
        <w:snapToGrid w:val="0"/>
        <w:ind w:firstLine="3780" w:firstLineChars="1500"/>
        <w:rPr>
          <w:rFonts w:hint="eastAsia"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日    期：     年    月    日</w:t>
      </w:r>
    </w:p>
    <w:p>
      <w:pPr>
        <w:tabs>
          <w:tab w:val="left" w:pos="3600"/>
        </w:tabs>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tabs>
          <w:tab w:val="left" w:pos="3600"/>
        </w:tabs>
        <w:adjustRightInd w:val="0"/>
        <w:snapToGrid w:val="0"/>
        <w:rPr>
          <w:rFonts w:hint="eastAsia" w:ascii="宋体" w:hAnsi="宋体" w:eastAsia="宋体" w:cs="宋体"/>
          <w:color w:val="auto"/>
          <w:sz w:val="24"/>
          <w:szCs w:val="24"/>
          <w:highlight w:val="none"/>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p>
    <w:p>
      <w:pPr>
        <w:tabs>
          <w:tab w:val="left" w:pos="3600"/>
        </w:tabs>
        <w:adjustRightInd w:val="0"/>
        <w:snapToGrid w:val="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w:t>
      </w:r>
    </w:p>
    <w:p>
      <w:pPr>
        <w:tabs>
          <w:tab w:val="left" w:pos="3600"/>
        </w:tabs>
        <w:adjustRightInd w:val="0"/>
        <w:snapToGrid w:val="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（1）填报前请认真阅读《中小企业划型标准规定》（工信部联企业〔2011〕300号）和《政府采购促进中小企业发展管理办法》(财库〔2020〕46号)相关规定。</w:t>
      </w:r>
    </w:p>
    <w:p>
      <w:pPr>
        <w:tabs>
          <w:tab w:val="left" w:pos="3600"/>
        </w:tabs>
        <w:adjustRightInd w:val="0"/>
        <w:snapToGrid w:val="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（2）从业人员、营业收入、资产总额填报上一年度数据，无上一年度数据的新成立企业可不填报。响应文件其他地方与《中小企业声明函》数据不一致的，以《中小企业声明函》为准。</w:t>
      </w:r>
    </w:p>
    <w:p>
      <w:pPr>
        <w:tabs>
          <w:tab w:val="left" w:pos="3600"/>
        </w:tabs>
        <w:adjustRightInd w:val="0"/>
        <w:snapToGrid w:val="0"/>
        <w:ind w:firstLine="1446" w:firstLineChars="600"/>
        <w:outlineLvl w:val="9"/>
        <w:rPr>
          <w:rFonts w:hint="eastAsia" w:ascii="宋体" w:hAnsi="宋体" w:eastAsia="宋体" w:cs="宋体"/>
          <w:b/>
          <w:bCs/>
          <w:color w:val="auto"/>
          <w:sz w:val="24"/>
          <w:szCs w:val="24"/>
          <w:highlight w:val="cyan"/>
          <w:lang w:val="en-US" w:eastAsia="zh-CN"/>
        </w:rPr>
      </w:pPr>
    </w:p>
    <w:p>
      <w:pPr>
        <w:pStyle w:val="10"/>
        <w:rPr>
          <w:rFonts w:hint="eastAsia" w:ascii="宋体" w:hAnsi="宋体" w:eastAsia="宋体" w:cs="宋体"/>
          <w:color w:val="auto"/>
          <w:lang w:val="en-US" w:eastAsia="zh-CN"/>
        </w:rPr>
      </w:pPr>
    </w:p>
    <w:p>
      <w:pPr>
        <w:tabs>
          <w:tab w:val="left" w:pos="3600"/>
        </w:tabs>
        <w:adjustRightInd w:val="0"/>
        <w:snapToGrid w:val="0"/>
        <w:ind w:firstLine="2891" w:firstLineChars="1200"/>
        <w:outlineLvl w:val="1"/>
        <w:rPr>
          <w:rFonts w:hint="eastAsia" w:ascii="宋体" w:hAnsi="宋体" w:eastAsia="宋体" w:cs="宋体"/>
          <w:b/>
          <w:bCs/>
          <w:color w:val="auto"/>
          <w:sz w:val="24"/>
          <w:szCs w:val="24"/>
          <w:highlight w:val="none"/>
          <w:lang w:val="en-US" w:eastAsia="zh-CN"/>
        </w:rPr>
      </w:pPr>
    </w:p>
    <w:p>
      <w:pPr>
        <w:tabs>
          <w:tab w:val="left" w:pos="3600"/>
        </w:tabs>
        <w:adjustRightInd w:val="0"/>
        <w:snapToGrid w:val="0"/>
        <w:ind w:firstLine="2891" w:firstLineChars="1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（2）</w:t>
      </w:r>
      <w:r>
        <w:rPr>
          <w:rFonts w:hint="eastAsia" w:ascii="宋体" w:hAnsi="宋体" w:eastAsia="宋体" w:cs="宋体"/>
          <w:b/>
          <w:bCs/>
          <w:color w:val="auto"/>
          <w:sz w:val="24"/>
          <w:szCs w:val="24"/>
          <w:highlight w:val="none"/>
        </w:rPr>
        <w:t>疾人福利性单位声明函</w:t>
      </w:r>
    </w:p>
    <w:p>
      <w:pPr>
        <w:spacing w:line="360" w:lineRule="auto"/>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号）的规定，本单位为符合条件的残疾人福利性单位，且本单位参加______单位的______项目采购活动由本单位提供服务）</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pStyle w:val="9"/>
        <w:spacing w:line="360" w:lineRule="auto"/>
        <w:ind w:firstLine="3276" w:firstLineChars="13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9"/>
        <w:spacing w:line="360" w:lineRule="auto"/>
        <w:ind w:firstLine="570"/>
        <w:rPr>
          <w:rFonts w:hint="eastAsia" w:ascii="宋体" w:hAnsi="宋体" w:eastAsia="宋体" w:cs="宋体"/>
          <w:color w:val="auto"/>
          <w:sz w:val="24"/>
          <w:szCs w:val="24"/>
          <w:highlight w:val="none"/>
        </w:rPr>
      </w:pPr>
    </w:p>
    <w:p>
      <w:pPr>
        <w:pStyle w:val="9"/>
        <w:spacing w:line="360" w:lineRule="auto"/>
        <w:ind w:firstLine="3530" w:firstLineChars="1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9"/>
        <w:spacing w:line="360" w:lineRule="auto"/>
        <w:ind w:firstLine="570"/>
        <w:rPr>
          <w:rFonts w:hint="eastAsia" w:ascii="宋体" w:hAnsi="宋体" w:eastAsia="宋体" w:cs="宋体"/>
          <w:color w:val="auto"/>
          <w:sz w:val="24"/>
          <w:szCs w:val="24"/>
          <w:highlight w:val="none"/>
        </w:rPr>
      </w:pPr>
    </w:p>
    <w:p>
      <w:pPr>
        <w:pStyle w:val="9"/>
        <w:spacing w:line="360" w:lineRule="auto"/>
        <w:ind w:firstLine="3770" w:firstLineChars="15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before="50" w:line="360" w:lineRule="auto"/>
        <w:jc w:val="left"/>
        <w:rPr>
          <w:rFonts w:hint="eastAsia" w:ascii="宋体" w:hAnsi="宋体" w:eastAsia="宋体" w:cs="宋体"/>
          <w:b/>
          <w:color w:val="auto"/>
          <w:sz w:val="24"/>
          <w:szCs w:val="24"/>
          <w:highlight w:val="none"/>
        </w:rPr>
      </w:pPr>
    </w:p>
    <w:p>
      <w:pPr>
        <w:adjustRightInd w:val="0"/>
        <w:snapToGrid w:val="0"/>
        <w:spacing w:before="50" w:line="360" w:lineRule="auto"/>
        <w:jc w:val="left"/>
        <w:rPr>
          <w:rFonts w:hint="eastAsia" w:ascii="宋体" w:hAnsi="宋体" w:eastAsia="宋体" w:cs="宋体"/>
          <w:b/>
          <w:color w:val="auto"/>
          <w:sz w:val="36"/>
          <w:szCs w:val="36"/>
          <w:highlight w:val="none"/>
        </w:rPr>
      </w:pPr>
    </w:p>
    <w:p>
      <w:pPr>
        <w:pStyle w:val="20"/>
        <w:rPr>
          <w:rFonts w:hint="eastAsia" w:ascii="宋体" w:hAnsi="宋体" w:eastAsia="宋体" w:cs="宋体"/>
          <w:b/>
          <w:color w:val="auto"/>
          <w:sz w:val="36"/>
          <w:szCs w:val="36"/>
          <w:highlight w:val="none"/>
        </w:rPr>
      </w:pPr>
    </w:p>
    <w:p>
      <w:pPr>
        <w:pStyle w:val="20"/>
        <w:rPr>
          <w:rFonts w:hint="eastAsia" w:ascii="宋体" w:hAnsi="宋体" w:eastAsia="宋体" w:cs="宋体"/>
          <w:b/>
          <w:color w:val="auto"/>
          <w:sz w:val="36"/>
          <w:szCs w:val="36"/>
          <w:highlight w:val="none"/>
        </w:rPr>
      </w:pPr>
    </w:p>
    <w:p>
      <w:pPr>
        <w:pStyle w:val="20"/>
        <w:rPr>
          <w:rFonts w:hint="eastAsia" w:ascii="宋体" w:hAnsi="宋体" w:eastAsia="宋体" w:cs="宋体"/>
          <w:b/>
          <w:color w:val="auto"/>
          <w:sz w:val="36"/>
          <w:szCs w:val="36"/>
          <w:highlight w:val="none"/>
        </w:rPr>
      </w:pPr>
    </w:p>
    <w:p>
      <w:pPr>
        <w:adjustRightInd w:val="0"/>
        <w:snapToGrid w:val="0"/>
        <w:spacing w:line="360" w:lineRule="exact"/>
        <w:rPr>
          <w:rFonts w:hint="eastAsia" w:ascii="宋体" w:hAnsi="宋体" w:eastAsia="宋体" w:cs="宋体"/>
          <w:color w:val="auto"/>
          <w:szCs w:val="21"/>
          <w:highlight w:val="none"/>
        </w:rPr>
      </w:pPr>
    </w:p>
    <w:p>
      <w:pPr>
        <w:adjustRightInd w:val="0"/>
        <w:snapToGrid w:val="0"/>
        <w:spacing w:line="360" w:lineRule="exact"/>
        <w:rPr>
          <w:rFonts w:hint="eastAsia" w:ascii="宋体" w:hAnsi="宋体" w:eastAsia="宋体" w:cs="宋体"/>
          <w:color w:val="auto"/>
          <w:szCs w:val="21"/>
          <w:highlight w:val="none"/>
        </w:rPr>
      </w:pPr>
    </w:p>
    <w:p>
      <w:pPr>
        <w:adjustRightInd w:val="0"/>
        <w:snapToGrid w:val="0"/>
        <w:spacing w:line="360" w:lineRule="exact"/>
        <w:rPr>
          <w:rFonts w:hint="eastAsia" w:ascii="宋体" w:hAnsi="宋体" w:eastAsia="宋体" w:cs="宋体"/>
          <w:color w:val="auto"/>
          <w:szCs w:val="21"/>
          <w:highlight w:val="none"/>
        </w:rPr>
      </w:pPr>
    </w:p>
    <w:p>
      <w:pPr>
        <w:adjustRightInd w:val="0"/>
        <w:snapToGrid w:val="0"/>
        <w:spacing w:line="360" w:lineRule="exact"/>
        <w:rPr>
          <w:rFonts w:hint="eastAsia" w:ascii="宋体" w:hAnsi="宋体" w:eastAsia="宋体" w:cs="宋体"/>
          <w:color w:val="auto"/>
          <w:szCs w:val="21"/>
          <w:highlight w:val="none"/>
        </w:rPr>
      </w:pPr>
    </w:p>
    <w:p>
      <w:pPr>
        <w:adjustRightInd w:val="0"/>
        <w:snapToGrid w:val="0"/>
        <w:spacing w:line="360" w:lineRule="exact"/>
        <w:rPr>
          <w:rFonts w:hint="eastAsia" w:ascii="宋体" w:hAnsi="宋体" w:eastAsia="宋体" w:cs="宋体"/>
          <w:color w:val="auto"/>
          <w:szCs w:val="21"/>
          <w:highlight w:val="none"/>
        </w:rPr>
      </w:pPr>
    </w:p>
    <w:p>
      <w:pPr>
        <w:adjustRightInd w:val="0"/>
        <w:snapToGrid w:val="0"/>
        <w:spacing w:line="360" w:lineRule="exact"/>
        <w:rPr>
          <w:rFonts w:hint="eastAsia" w:ascii="宋体" w:hAnsi="宋体" w:eastAsia="宋体" w:cs="宋体"/>
          <w:color w:val="auto"/>
          <w:szCs w:val="21"/>
          <w:highlight w:val="none"/>
        </w:rPr>
      </w:pPr>
    </w:p>
    <w:p>
      <w:pPr>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不属于残疾人福利单位的，无须提供；</w:t>
      </w:r>
    </w:p>
    <w:p>
      <w:pPr>
        <w:adjustRightInd w:val="0"/>
        <w:snapToGrid w:val="0"/>
        <w:spacing w:before="50" w:line="360" w:lineRule="auto"/>
        <w:jc w:val="center"/>
        <w:outlineLvl w:val="9"/>
        <w:rPr>
          <w:rFonts w:hint="eastAsia" w:ascii="宋体" w:hAnsi="宋体" w:eastAsia="宋体" w:cs="宋体"/>
          <w:b/>
          <w:bCs/>
          <w:color w:val="auto"/>
          <w:sz w:val="24"/>
          <w:szCs w:val="24"/>
          <w:highlight w:val="none"/>
        </w:rPr>
      </w:pPr>
    </w:p>
    <w:p>
      <w:pPr>
        <w:adjustRightInd w:val="0"/>
        <w:snapToGrid w:val="0"/>
        <w:spacing w:before="50" w:line="360" w:lineRule="auto"/>
        <w:jc w:val="center"/>
        <w:outlineLvl w:val="1"/>
        <w:rPr>
          <w:rFonts w:hint="eastAsia" w:ascii="宋体" w:hAnsi="宋体" w:eastAsia="宋体" w:cs="宋体"/>
          <w:b/>
          <w:bCs/>
          <w:color w:val="auto"/>
          <w:sz w:val="28"/>
          <w:szCs w:val="28"/>
          <w:highlight w:val="none"/>
        </w:rPr>
      </w:pPr>
    </w:p>
    <w:p>
      <w:pPr>
        <w:adjustRightInd w:val="0"/>
        <w:snapToGrid w:val="0"/>
        <w:spacing w:before="50" w:line="360" w:lineRule="auto"/>
        <w:jc w:val="center"/>
        <w:outlineLvl w:val="1"/>
        <w:rPr>
          <w:rFonts w:hint="eastAsia" w:ascii="宋体" w:hAnsi="宋体" w:eastAsia="宋体" w:cs="宋体"/>
          <w:b/>
          <w:bCs/>
          <w:color w:val="auto"/>
          <w:sz w:val="28"/>
          <w:szCs w:val="28"/>
          <w:highlight w:val="none"/>
          <w:lang w:val="en-US" w:eastAsia="zh-CN"/>
        </w:rPr>
      </w:pPr>
    </w:p>
    <w:p>
      <w:pPr>
        <w:adjustRightInd w:val="0"/>
        <w:snapToGrid w:val="0"/>
        <w:spacing w:before="50"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监狱企业证明</w:t>
      </w:r>
    </w:p>
    <w:p>
      <w:pPr>
        <w:keepNext w:val="0"/>
        <w:keepLines w:val="0"/>
        <w:pageBreakBefore w:val="0"/>
        <w:widowControl w:val="0"/>
        <w:kinsoku/>
        <w:wordWrap/>
        <w:overflowPunct/>
        <w:topLinePunct w:val="0"/>
        <w:autoSpaceDE/>
        <w:autoSpaceDN/>
        <w:bidi w:val="0"/>
        <w:adjustRightInd w:val="0"/>
        <w:snapToGrid w:val="0"/>
        <w:spacing w:line="360" w:lineRule="exact"/>
        <w:ind w:left="630" w:leftChars="30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val="0"/>
        <w:snapToGrid w:val="0"/>
        <w:spacing w:line="360" w:lineRule="exact"/>
        <w:ind w:left="630" w:leftChars="30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监狱企业参加政府采购活动时，应当提供由省级以上监狱管理局、戒毒管理局（含新疆生产建设兵团）出具的属于监狱企业的证明文件。</w:t>
      </w:r>
    </w:p>
    <w:p>
      <w:pPr>
        <w:adjustRightInd w:val="0"/>
        <w:snapToGrid w:val="0"/>
        <w:spacing w:line="360" w:lineRule="exact"/>
        <w:ind w:left="630" w:leftChars="3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不属于监狱企业的，无须提供；</w:t>
      </w:r>
    </w:p>
    <w:p>
      <w:pPr>
        <w:pStyle w:val="8"/>
        <w:rPr>
          <w:rFonts w:hint="eastAsia" w:ascii="宋体" w:hAnsi="宋体" w:eastAsia="宋体" w:cs="宋体"/>
          <w:color w:val="auto"/>
          <w:sz w:val="24"/>
          <w:szCs w:val="24"/>
        </w:rPr>
      </w:pPr>
    </w:p>
    <w:p>
      <w:pPr>
        <w:rPr>
          <w:rFonts w:hint="eastAsia" w:ascii="宋体" w:hAnsi="宋体" w:eastAsia="宋体" w:cs="宋体"/>
          <w:color w:val="auto"/>
        </w:rPr>
      </w:pPr>
    </w:p>
    <w:p>
      <w:pPr>
        <w:pStyle w:val="2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p>
    <w:p>
      <w:pPr>
        <w:pStyle w:val="14"/>
        <w:outlineLvl w:val="0"/>
        <w:rPr>
          <w:rFonts w:hint="eastAsia" w:ascii="宋体" w:hAnsi="宋体" w:eastAsia="宋体" w:cs="宋体"/>
          <w:b/>
          <w:bCs/>
          <w:color w:val="auto"/>
          <w:sz w:val="32"/>
          <w:szCs w:val="40"/>
        </w:rPr>
      </w:pPr>
      <w:r>
        <w:rPr>
          <w:rFonts w:hint="eastAsia" w:ascii="宋体" w:hAnsi="宋体" w:eastAsia="宋体" w:cs="宋体"/>
          <w:b/>
          <w:bCs/>
          <w:color w:val="auto"/>
          <w:sz w:val="32"/>
          <w:szCs w:val="40"/>
        </w:rPr>
        <w:t>格式A</w:t>
      </w:r>
      <w:bookmarkEnd w:id="290"/>
      <w:bookmarkEnd w:id="291"/>
    </w:p>
    <w:p>
      <w:pPr>
        <w:pStyle w:val="14"/>
        <w:ind w:firstLine="1606" w:firstLineChars="500"/>
        <w:outlineLvl w:val="0"/>
        <w:rPr>
          <w:rFonts w:hint="eastAsia" w:ascii="宋体" w:hAnsi="宋体" w:eastAsia="宋体" w:cs="宋体"/>
          <w:color w:val="auto"/>
        </w:rPr>
      </w:pPr>
      <w:bookmarkStart w:id="292" w:name="_Toc8711"/>
      <w:bookmarkStart w:id="293" w:name="_Toc10581_WPSOffice_Level1"/>
      <w:bookmarkStart w:id="294" w:name="_Toc5088"/>
      <w:bookmarkStart w:id="295" w:name="_Toc12103"/>
      <w:bookmarkStart w:id="296" w:name="_Toc7908"/>
      <w:bookmarkStart w:id="297" w:name="_Toc16261_WPSOffice_Level1"/>
      <w:bookmarkStart w:id="298" w:name="_Toc396_WPSOffice_Level1"/>
      <w:bookmarkStart w:id="299" w:name="_Toc28598_WPSOffice_Level1"/>
      <w:bookmarkStart w:id="300" w:name="_Toc8511"/>
      <w:r>
        <w:rPr>
          <w:rFonts w:hint="eastAsia" w:ascii="宋体" w:hAnsi="宋体" w:eastAsia="宋体" w:cs="宋体"/>
          <w:b/>
          <w:bCs/>
          <w:color w:val="auto"/>
          <w:sz w:val="32"/>
          <w:szCs w:val="40"/>
        </w:rPr>
        <w:t>磋商响应文件封袋正面标识式样</w:t>
      </w:r>
      <w:bookmarkEnd w:id="292"/>
      <w:bookmarkEnd w:id="293"/>
      <w:bookmarkEnd w:id="294"/>
      <w:bookmarkEnd w:id="295"/>
      <w:bookmarkEnd w:id="296"/>
      <w:bookmarkEnd w:id="297"/>
      <w:bookmarkEnd w:id="298"/>
      <w:bookmarkEnd w:id="299"/>
      <w:bookmarkEnd w:id="300"/>
    </w:p>
    <w:p>
      <w:pPr>
        <w:rPr>
          <w:rFonts w:hint="eastAsia" w:ascii="宋体" w:hAnsi="宋体" w:eastAsia="宋体" w:cs="宋体"/>
          <w:b/>
          <w:color w:val="auto"/>
          <w:sz w:val="32"/>
          <w:szCs w:val="32"/>
        </w:rPr>
      </w:pPr>
      <w:r>
        <w:rPr>
          <w:rFonts w:hint="eastAsia" w:ascii="宋体" w:hAnsi="宋体" w:eastAsia="宋体" w:cs="宋体"/>
          <w:b/>
          <w:color w:val="auto"/>
          <w:sz w:val="36"/>
          <w:szCs w:val="36"/>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238125</wp:posOffset>
                </wp:positionV>
                <wp:extent cx="5335905" cy="3230880"/>
                <wp:effectExtent l="19050" t="19050" r="29845" b="26670"/>
                <wp:wrapNone/>
                <wp:docPr id="1" name="文本框 1"/>
                <wp:cNvGraphicFramePr/>
                <a:graphic xmlns:a="http://schemas.openxmlformats.org/drawingml/2006/main">
                  <a:graphicData uri="http://schemas.microsoft.com/office/word/2010/wordprocessingShape">
                    <wps:wsp>
                      <wps:cNvSpPr txBox="1"/>
                      <wps:spPr>
                        <a:xfrm>
                          <a:off x="0" y="0"/>
                          <a:ext cx="5335905" cy="307086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hint="eastAsia" w:ascii="宋体" w:hAnsi="宋体" w:eastAsia="宋体" w:cs="宋体"/>
                              </w:rPr>
                            </w:pPr>
                            <w:r>
                              <w:rPr>
                                <w:rFonts w:hint="eastAsia" w:ascii="宋体" w:hAnsi="宋体" w:eastAsia="宋体" w:cs="宋体"/>
                              </w:rPr>
                              <w:t>致：同正项目管理有限公司      项目编号：</w:t>
                            </w:r>
                          </w:p>
                          <w:p>
                            <w:pPr>
                              <w:spacing w:line="440" w:lineRule="exact"/>
                              <w:rPr>
                                <w:rFonts w:hint="eastAsia" w:ascii="宋体" w:hAnsi="宋体" w:eastAsia="宋体" w:cs="宋体"/>
                              </w:rPr>
                            </w:pPr>
                            <w:r>
                              <w:rPr>
                                <w:rFonts w:hint="eastAsia" w:ascii="宋体" w:hAnsi="宋体" w:eastAsia="宋体" w:cs="宋体"/>
                              </w:rPr>
                              <w:t>项目名称：</w:t>
                            </w:r>
                          </w:p>
                          <w:p>
                            <w:pPr>
                              <w:spacing w:line="440" w:lineRule="exact"/>
                              <w:jc w:val="center"/>
                              <w:rPr>
                                <w:rFonts w:hint="eastAsia" w:ascii="宋体" w:hAnsi="宋体" w:eastAsia="宋体" w:cs="宋体"/>
                                <w:sz w:val="36"/>
                                <w:szCs w:val="36"/>
                              </w:rPr>
                            </w:pPr>
                          </w:p>
                          <w:p>
                            <w:pPr>
                              <w:spacing w:line="440" w:lineRule="exact"/>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磋 商 响 应 文 件（正本或副本）</w:t>
                            </w:r>
                          </w:p>
                          <w:p>
                            <w:pPr>
                              <w:rPr>
                                <w:rFonts w:hint="eastAsia" w:ascii="宋体" w:hAnsi="宋体" w:eastAsia="宋体" w:cs="宋体"/>
                                <w:szCs w:val="21"/>
                                <w:highlight w:val="none"/>
                              </w:rPr>
                            </w:pPr>
                          </w:p>
                          <w:p>
                            <w:pPr>
                              <w:pStyle w:val="10"/>
                              <w:rPr>
                                <w:rFonts w:hint="eastAsia" w:ascii="宋体" w:hAnsi="宋体" w:eastAsia="宋体" w:cs="宋体"/>
                              </w:rPr>
                            </w:pP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磋商响应人名称：（公章）</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邮    编：</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通讯地址：  </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联系人电话：</w:t>
                            </w:r>
                          </w:p>
                          <w:p>
                            <w:pPr>
                              <w:pStyle w:val="10"/>
                              <w:rPr>
                                <w:rFonts w:hint="eastAsia" w:ascii="华文中宋" w:hAnsi="华文中宋" w:eastAsia="华文中宋" w:cs="华文中宋"/>
                                <w:szCs w:val="21"/>
                                <w:highlight w:val="none"/>
                              </w:rPr>
                            </w:pPr>
                          </w:p>
                          <w:p>
                            <w:pPr>
                              <w:rPr>
                                <w:rFonts w:hint="eastAsia" w:ascii="华文中宋" w:hAnsi="华文中宋" w:eastAsia="华文中宋" w:cs="华文中宋"/>
                                <w:szCs w:val="21"/>
                                <w:highlight w:val="none"/>
                              </w:rPr>
                            </w:pPr>
                          </w:p>
                          <w:p>
                            <w:pPr>
                              <w:pStyle w:val="10"/>
                              <w:rPr>
                                <w:rFonts w:hint="eastAsia" w:ascii="华文中宋" w:hAnsi="华文中宋" w:eastAsia="华文中宋" w:cs="华文中宋"/>
                                <w:szCs w:val="21"/>
                                <w:highlight w:val="none"/>
                              </w:rPr>
                            </w:pPr>
                          </w:p>
                          <w:p>
                            <w:pPr>
                              <w:rPr>
                                <w:rFonts w:hint="eastAsia"/>
                              </w:rPr>
                            </w:pPr>
                          </w:p>
                          <w:p>
                            <w:pPr>
                              <w:spacing w:line="440" w:lineRule="exact"/>
                              <w:rPr>
                                <w:rFonts w:ascii="仿宋_GB2312" w:eastAsia="仿宋_GB2312"/>
                                <w:szCs w:val="21"/>
                              </w:rPr>
                            </w:pPr>
                          </w:p>
                          <w:p/>
                        </w:txbxContent>
                      </wps:txbx>
                      <wps:bodyPr vert="horz" wrap="square" anchor="t" upright="1"/>
                    </wps:wsp>
                  </a:graphicData>
                </a:graphic>
              </wp:anchor>
            </w:drawing>
          </mc:Choice>
          <mc:Fallback>
            <w:pict>
              <v:shape id="_x0000_s1026" o:spid="_x0000_s1026" o:spt="202" type="#_x0000_t202" style="position:absolute;left:0pt;margin-left:-1.5pt;margin-top:18.75pt;height:254.4pt;width:420.15pt;z-index:251659264;mso-width-relative:page;mso-height-relative:page;" fillcolor="#FFFFFF" filled="t" stroked="t" coordsize="21600,21600" o:gfxdata="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98nbYAAAACQEAAA8AAAAAAAAAAQAgAAAAIgAAAGRycy9kb3ducmV2LnhtbFBLAQIU&#10;ABQAAAAIAIdO4kBriuA3LAIAAGsEAAAOAAAAAAAAAAEAIAAAACcBAABkcnMvZTJvRG9jLnhtbFBL&#10;BQYAAAAABgAGAFkBAADFBQAAAAA=&#10;">
                <v:fill on="t" focussize="0,0"/>
                <v:stroke weight="3pt" color="#000000" linestyle="thinThin" joinstyle="miter"/>
                <v:imagedata o:title=""/>
                <o:lock v:ext="edit" aspectratio="f"/>
                <v:textbox>
                  <w:txbxContent>
                    <w:p>
                      <w:pPr>
                        <w:spacing w:line="440" w:lineRule="exact"/>
                        <w:rPr>
                          <w:rFonts w:hint="eastAsia" w:ascii="宋体" w:hAnsi="宋体" w:eastAsia="宋体" w:cs="宋体"/>
                        </w:rPr>
                      </w:pPr>
                      <w:r>
                        <w:rPr>
                          <w:rFonts w:hint="eastAsia" w:ascii="宋体" w:hAnsi="宋体" w:eastAsia="宋体" w:cs="宋体"/>
                        </w:rPr>
                        <w:t>致：同正项目管理有限公司      项目编号：</w:t>
                      </w:r>
                    </w:p>
                    <w:p>
                      <w:pPr>
                        <w:spacing w:line="440" w:lineRule="exact"/>
                        <w:rPr>
                          <w:rFonts w:hint="eastAsia" w:ascii="宋体" w:hAnsi="宋体" w:eastAsia="宋体" w:cs="宋体"/>
                        </w:rPr>
                      </w:pPr>
                      <w:r>
                        <w:rPr>
                          <w:rFonts w:hint="eastAsia" w:ascii="宋体" w:hAnsi="宋体" w:eastAsia="宋体" w:cs="宋体"/>
                        </w:rPr>
                        <w:t>项目名称：</w:t>
                      </w:r>
                    </w:p>
                    <w:p>
                      <w:pPr>
                        <w:spacing w:line="440" w:lineRule="exact"/>
                        <w:jc w:val="center"/>
                        <w:rPr>
                          <w:rFonts w:hint="eastAsia" w:ascii="宋体" w:hAnsi="宋体" w:eastAsia="宋体" w:cs="宋体"/>
                          <w:sz w:val="36"/>
                          <w:szCs w:val="36"/>
                        </w:rPr>
                      </w:pPr>
                    </w:p>
                    <w:p>
                      <w:pPr>
                        <w:spacing w:line="440" w:lineRule="exact"/>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磋 商 响 应 文 件（正本或副本）</w:t>
                      </w:r>
                    </w:p>
                    <w:p>
                      <w:pPr>
                        <w:rPr>
                          <w:rFonts w:hint="eastAsia" w:ascii="宋体" w:hAnsi="宋体" w:eastAsia="宋体" w:cs="宋体"/>
                          <w:szCs w:val="21"/>
                          <w:highlight w:val="none"/>
                        </w:rPr>
                      </w:pPr>
                    </w:p>
                    <w:p>
                      <w:pPr>
                        <w:pStyle w:val="10"/>
                        <w:rPr>
                          <w:rFonts w:hint="eastAsia" w:ascii="宋体" w:hAnsi="宋体" w:eastAsia="宋体" w:cs="宋体"/>
                        </w:rPr>
                      </w:pP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磋商响应人名称：（公章）</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邮    编：</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通讯地址：  </w:t>
                      </w: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联系人电话：</w:t>
                      </w:r>
                    </w:p>
                    <w:p>
                      <w:pPr>
                        <w:pStyle w:val="10"/>
                        <w:rPr>
                          <w:rFonts w:hint="eastAsia" w:ascii="华文中宋" w:hAnsi="华文中宋" w:eastAsia="华文中宋" w:cs="华文中宋"/>
                          <w:szCs w:val="21"/>
                          <w:highlight w:val="none"/>
                        </w:rPr>
                      </w:pPr>
                    </w:p>
                    <w:p>
                      <w:pPr>
                        <w:rPr>
                          <w:rFonts w:hint="eastAsia" w:ascii="华文中宋" w:hAnsi="华文中宋" w:eastAsia="华文中宋" w:cs="华文中宋"/>
                          <w:szCs w:val="21"/>
                          <w:highlight w:val="none"/>
                        </w:rPr>
                      </w:pPr>
                    </w:p>
                    <w:p>
                      <w:pPr>
                        <w:pStyle w:val="10"/>
                        <w:rPr>
                          <w:rFonts w:hint="eastAsia" w:ascii="华文中宋" w:hAnsi="华文中宋" w:eastAsia="华文中宋" w:cs="华文中宋"/>
                          <w:szCs w:val="21"/>
                          <w:highlight w:val="none"/>
                        </w:rPr>
                      </w:pPr>
                    </w:p>
                    <w:p>
                      <w:pPr>
                        <w:rPr>
                          <w:rFonts w:hint="eastAsia"/>
                        </w:rPr>
                      </w:pPr>
                    </w:p>
                    <w:p>
                      <w:pPr>
                        <w:spacing w:line="440" w:lineRule="exact"/>
                        <w:rPr>
                          <w:rFonts w:ascii="仿宋_GB2312" w:eastAsia="仿宋_GB2312"/>
                          <w:szCs w:val="21"/>
                        </w:rPr>
                      </w:pPr>
                    </w:p>
                    <w:p/>
                  </w:txbxContent>
                </v:textbox>
              </v:shape>
            </w:pict>
          </mc:Fallback>
        </mc:AlternateContent>
      </w:r>
    </w:p>
    <w:p>
      <w:pPr>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jc w:val="center"/>
        <w:outlineLvl w:val="0"/>
        <w:rPr>
          <w:rFonts w:hint="eastAsia" w:ascii="宋体" w:hAnsi="宋体" w:eastAsia="宋体" w:cs="宋体"/>
          <w:color w:val="auto"/>
          <w:sz w:val="32"/>
          <w:szCs w:val="32"/>
        </w:rPr>
      </w:pPr>
      <w:bookmarkStart w:id="301" w:name="_Toc1869"/>
      <w:bookmarkStart w:id="302" w:name="_Toc27939_WPSOffice_Level1"/>
      <w:bookmarkStart w:id="303" w:name="_Toc1883"/>
      <w:bookmarkStart w:id="304" w:name="_Toc803"/>
      <w:bookmarkStart w:id="305" w:name="_Toc12278_WPSOffice_Level1"/>
      <w:bookmarkStart w:id="306" w:name="_Toc5781"/>
      <w:bookmarkStart w:id="307" w:name="_Toc25303"/>
      <w:r>
        <w:rPr>
          <w:rFonts w:hint="eastAsia" w:ascii="宋体" w:hAnsi="宋体" w:eastAsia="宋体" w:cs="宋体"/>
          <w:b/>
          <w:color w:val="auto"/>
          <w:sz w:val="32"/>
          <w:szCs w:val="32"/>
        </w:rPr>
        <w:t>磋商响应文件封袋正面标识式样</w:t>
      </w:r>
      <w:bookmarkEnd w:id="301"/>
      <w:bookmarkEnd w:id="302"/>
      <w:bookmarkEnd w:id="303"/>
      <w:bookmarkEnd w:id="304"/>
      <w:bookmarkEnd w:id="305"/>
      <w:bookmarkEnd w:id="306"/>
      <w:bookmarkEnd w:id="307"/>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kinsoku w:val="0"/>
        <w:spacing w:line="360" w:lineRule="atLeast"/>
        <w:jc w:val="center"/>
        <w:rPr>
          <w:rFonts w:hint="eastAsia" w:ascii="宋体" w:hAnsi="宋体" w:eastAsia="宋体" w:cs="宋体"/>
          <w:b/>
          <w:color w:val="auto"/>
          <w:sz w:val="32"/>
          <w:szCs w:val="32"/>
        </w:rPr>
      </w:pPr>
    </w:p>
    <w:p>
      <w:pPr>
        <w:kinsoku w:val="0"/>
        <w:spacing w:line="360" w:lineRule="atLeast"/>
        <w:jc w:val="center"/>
        <w:outlineLvl w:val="0"/>
        <w:rPr>
          <w:rFonts w:hint="eastAsia" w:ascii="宋体" w:hAnsi="宋体" w:eastAsia="宋体" w:cs="宋体"/>
          <w:b/>
          <w:color w:val="auto"/>
          <w:szCs w:val="21"/>
        </w:rPr>
      </w:pPr>
      <w:bookmarkStart w:id="308" w:name="_Toc31076"/>
      <w:bookmarkStart w:id="309" w:name="_Toc24802_WPSOffice_Level1"/>
      <w:bookmarkStart w:id="310" w:name="_Toc9907"/>
      <w:bookmarkStart w:id="311" w:name="_Toc1387"/>
      <w:bookmarkStart w:id="312" w:name="_Toc12519_WPSOffice_Level1"/>
      <w:bookmarkStart w:id="313" w:name="_Toc9317"/>
      <w:bookmarkStart w:id="314" w:name="_Toc28331"/>
      <w:r>
        <w:rPr>
          <w:rFonts w:hint="eastAsia" w:ascii="宋体" w:hAnsi="宋体" w:eastAsia="宋体" w:cs="宋体"/>
          <w:b/>
          <w:color w:val="auto"/>
          <w:sz w:val="32"/>
          <w:szCs w:val="32"/>
          <w:lang w:eastAsia="zh-CN"/>
        </w:rPr>
        <w:t>报价一览表</w:t>
      </w:r>
      <w:r>
        <w:rPr>
          <w:rFonts w:hint="eastAsia" w:ascii="宋体" w:hAnsi="宋体" w:eastAsia="宋体" w:cs="宋体"/>
          <w:b/>
          <w:color w:val="auto"/>
          <w:sz w:val="32"/>
          <w:szCs w:val="32"/>
        </w:rPr>
        <w:t>封袋正面标识式样</w:t>
      </w:r>
      <w:bookmarkEnd w:id="308"/>
      <w:bookmarkEnd w:id="309"/>
      <w:bookmarkEnd w:id="310"/>
      <w:bookmarkEnd w:id="311"/>
      <w:bookmarkEnd w:id="312"/>
      <w:bookmarkEnd w:id="313"/>
      <w:bookmarkEnd w:id="314"/>
    </w:p>
    <w:p>
      <w:pPr>
        <w:rPr>
          <w:rFonts w:hint="eastAsia" w:ascii="宋体" w:hAnsi="宋体" w:eastAsia="宋体" w:cs="宋体"/>
          <w:color w:val="auto"/>
        </w:rPr>
      </w:pPr>
    </w:p>
    <w:p>
      <w:pPr>
        <w:rPr>
          <w:rFonts w:hint="eastAsia" w:ascii="宋体" w:hAnsi="宋体" w:eastAsia="宋体" w:cs="宋体"/>
          <w:color w:val="auto"/>
        </w:rPr>
      </w:pPr>
    </w:p>
    <w:p>
      <w:pPr>
        <w:outlineLvl w:val="9"/>
        <w:rPr>
          <w:rFonts w:hint="eastAsia" w:ascii="宋体" w:hAnsi="宋体" w:eastAsia="宋体" w:cs="宋体"/>
          <w:b/>
          <w:color w:val="auto"/>
          <w:sz w:val="32"/>
          <w:szCs w:val="32"/>
          <w:highlight w:val="none"/>
          <w:lang w:val="en-US" w:eastAsia="zh-CN"/>
        </w:rPr>
      </w:pPr>
      <w:bookmarkStart w:id="315" w:name="_Toc243"/>
      <w:bookmarkStart w:id="316" w:name="_Toc26848"/>
      <w:bookmarkStart w:id="317" w:name="_Toc1424_WPSOffice_Level1"/>
      <w:bookmarkStart w:id="318" w:name="_Toc28975"/>
      <w:bookmarkStart w:id="319" w:name="_Toc30231"/>
      <w:bookmarkStart w:id="320" w:name="_Toc3966_WPSOffice_Level1"/>
    </w:p>
    <w:p>
      <w:pPr>
        <w:outlineLvl w:val="0"/>
        <w:rPr>
          <w:rFonts w:hint="eastAsia" w:ascii="宋体" w:hAnsi="宋体" w:eastAsia="宋体" w:cs="宋体"/>
          <w:b/>
          <w:color w:val="auto"/>
          <w:sz w:val="32"/>
          <w:szCs w:val="32"/>
          <w:highlight w:val="none"/>
          <w:lang w:val="en-US" w:eastAsia="zh-CN"/>
        </w:rPr>
      </w:pPr>
      <w:bookmarkStart w:id="321" w:name="_Toc32255"/>
      <w:r>
        <w:rPr>
          <w:rFonts w:hint="eastAsia" w:ascii="宋体" w:hAnsi="宋体" w:eastAsia="宋体" w:cs="宋体"/>
          <w:b/>
          <w:color w:val="auto"/>
          <w:sz w:val="32"/>
          <w:szCs w:val="32"/>
          <w:highlight w:val="none"/>
          <w:lang w:val="en-US" w:eastAsia="zh-CN"/>
        </w:rPr>
        <w:t>格式B</w:t>
      </w:r>
      <w:bookmarkEnd w:id="321"/>
    </w:p>
    <w:p>
      <w:pPr>
        <w:ind w:firstLine="1928" w:firstLineChars="600"/>
        <w:outlineLvl w:val="0"/>
        <w:rPr>
          <w:rFonts w:hint="eastAsia" w:ascii="宋体" w:hAnsi="宋体" w:eastAsia="宋体" w:cs="宋体"/>
          <w:b/>
          <w:color w:val="auto"/>
          <w:sz w:val="32"/>
          <w:szCs w:val="32"/>
        </w:rPr>
      </w:pPr>
      <w:bookmarkStart w:id="322" w:name="_Toc2312"/>
      <w:r>
        <w:rPr>
          <w:rFonts w:hint="eastAsia" w:ascii="宋体" w:hAnsi="宋体" w:eastAsia="宋体" w:cs="宋体"/>
          <w:b/>
          <w:color w:val="auto"/>
          <w:sz w:val="32"/>
          <w:szCs w:val="32"/>
          <w:highlight w:val="none"/>
          <w:lang w:eastAsia="zh-CN"/>
        </w:rPr>
        <w:t>报价一览表</w:t>
      </w:r>
      <w:r>
        <w:rPr>
          <w:rFonts w:hint="eastAsia" w:ascii="宋体" w:hAnsi="宋体" w:eastAsia="宋体" w:cs="宋体"/>
          <w:b/>
          <w:color w:val="auto"/>
          <w:sz w:val="32"/>
          <w:szCs w:val="32"/>
          <w:highlight w:val="none"/>
        </w:rPr>
        <w:t>封</w:t>
      </w:r>
      <w:r>
        <w:rPr>
          <w:rFonts w:hint="eastAsia" w:ascii="宋体" w:hAnsi="宋体" w:eastAsia="宋体" w:cs="宋体"/>
          <w:b/>
          <w:color w:val="auto"/>
          <w:sz w:val="32"/>
          <w:szCs w:val="32"/>
        </w:rPr>
        <w:t>袋正面标识式样</w:t>
      </w:r>
      <w:bookmarkEnd w:id="315"/>
      <w:bookmarkEnd w:id="316"/>
      <w:bookmarkEnd w:id="317"/>
      <w:bookmarkEnd w:id="318"/>
      <w:bookmarkEnd w:id="319"/>
      <w:bookmarkEnd w:id="320"/>
      <w:bookmarkEnd w:id="322"/>
    </w:p>
    <w:p>
      <w:pPr>
        <w:pStyle w:val="10"/>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b/>
          <w:color w:val="auto"/>
          <w:sz w:val="36"/>
          <w:szCs w:val="36"/>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38735</wp:posOffset>
                </wp:positionV>
                <wp:extent cx="5273675" cy="3408680"/>
                <wp:effectExtent l="19050" t="19050" r="28575" b="26670"/>
                <wp:wrapNone/>
                <wp:docPr id="2" name="文本框 2"/>
                <wp:cNvGraphicFramePr/>
                <a:graphic xmlns:a="http://schemas.openxmlformats.org/drawingml/2006/main">
                  <a:graphicData uri="http://schemas.microsoft.com/office/word/2010/wordprocessingShape">
                    <wps:wsp>
                      <wps:cNvSpPr txBox="1"/>
                      <wps:spPr>
                        <a:xfrm>
                          <a:off x="0" y="0"/>
                          <a:ext cx="5273675" cy="30276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hint="eastAsia" w:ascii="宋体" w:hAnsi="宋体" w:eastAsia="宋体" w:cs="宋体"/>
                              </w:rPr>
                            </w:pPr>
                            <w:r>
                              <w:rPr>
                                <w:rFonts w:hint="eastAsia" w:ascii="宋体" w:hAnsi="宋体" w:eastAsia="宋体" w:cs="宋体"/>
                              </w:rPr>
                              <w:t>致：同正项目管理有限公司           项目编号：</w:t>
                            </w:r>
                          </w:p>
                          <w:p>
                            <w:pPr>
                              <w:spacing w:line="440" w:lineRule="exact"/>
                              <w:rPr>
                                <w:rFonts w:hint="eastAsia" w:ascii="宋体" w:hAnsi="宋体" w:eastAsia="宋体" w:cs="宋体"/>
                              </w:rPr>
                            </w:pPr>
                            <w:r>
                              <w:rPr>
                                <w:rFonts w:hint="eastAsia" w:ascii="宋体" w:hAnsi="宋体" w:eastAsia="宋体" w:cs="宋体"/>
                              </w:rPr>
                              <w:t xml:space="preserve">项目名称： </w:t>
                            </w:r>
                          </w:p>
                          <w:p>
                            <w:pPr>
                              <w:spacing w:line="440" w:lineRule="exact"/>
                              <w:jc w:val="center"/>
                              <w:rPr>
                                <w:rFonts w:hint="eastAsia" w:ascii="宋体" w:hAnsi="宋体" w:eastAsia="宋体" w:cs="宋体"/>
                                <w:sz w:val="36"/>
                                <w:szCs w:val="36"/>
                                <w:highlight w:val="none"/>
                              </w:rPr>
                            </w:pPr>
                          </w:p>
                          <w:p>
                            <w:pPr>
                              <w:spacing w:line="440" w:lineRule="exact"/>
                              <w:jc w:val="center"/>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lang w:eastAsia="zh-CN"/>
                              </w:rPr>
                              <w:t>报价一览表</w:t>
                            </w:r>
                          </w:p>
                          <w:p>
                            <w:pPr>
                              <w:spacing w:line="440" w:lineRule="exact"/>
                              <w:jc w:val="center"/>
                              <w:rPr>
                                <w:rFonts w:hint="eastAsia" w:ascii="宋体" w:hAnsi="宋体" w:eastAsia="宋体" w:cs="宋体"/>
                                <w:szCs w:val="21"/>
                                <w:highlight w:val="none"/>
                              </w:rPr>
                            </w:pPr>
                          </w:p>
                          <w:p>
                            <w:pPr>
                              <w:pStyle w:val="10"/>
                              <w:rPr>
                                <w:rFonts w:hint="eastAsia" w:ascii="宋体" w:hAnsi="宋体" w:eastAsia="宋体" w:cs="宋体"/>
                              </w:rPr>
                            </w:pPr>
                          </w:p>
                          <w:p>
                            <w:pPr>
                              <w:rPr>
                                <w:rFonts w:hint="eastAsia" w:ascii="宋体" w:hAnsi="宋体" w:eastAsia="宋体" w:cs="宋体"/>
                                <w:szCs w:val="21"/>
                                <w:highlight w:val="none"/>
                              </w:rPr>
                            </w:pP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磋商响应人名称：（公章）</w:t>
                            </w:r>
                          </w:p>
                          <w:p>
                            <w:pPr>
                              <w:rPr>
                                <w:rFonts w:hint="eastAsia" w:ascii="宋体" w:hAnsi="宋体" w:eastAsia="宋体" w:cs="宋体"/>
                                <w:szCs w:val="21"/>
                                <w:highlight w:val="none"/>
                              </w:rPr>
                            </w:pPr>
                            <w:r>
                              <w:rPr>
                                <w:rFonts w:hint="eastAsia" w:ascii="宋体" w:hAnsi="宋体" w:eastAsia="宋体" w:cs="宋体"/>
                                <w:szCs w:val="21"/>
                                <w:highlight w:val="none"/>
                              </w:rPr>
                              <w:t>封装内容：</w:t>
                            </w:r>
                            <w:r>
                              <w:rPr>
                                <w:rFonts w:hint="eastAsia" w:ascii="宋体" w:hAnsi="宋体" w:eastAsia="宋体" w:cs="宋体"/>
                                <w:szCs w:val="21"/>
                                <w:highlight w:val="none"/>
                                <w:lang w:eastAsia="zh-CN"/>
                              </w:rPr>
                              <w:t>报价一览表</w:t>
                            </w:r>
                            <w:r>
                              <w:rPr>
                                <w:rFonts w:hint="eastAsia" w:ascii="宋体" w:hAnsi="宋体" w:eastAsia="宋体" w:cs="宋体"/>
                                <w:szCs w:val="21"/>
                                <w:highlight w:val="none"/>
                              </w:rPr>
                              <w:t>原件及磋商响应文件电子U盘</w:t>
                            </w:r>
                          </w:p>
                          <w:p>
                            <w:pPr>
                              <w:rPr>
                                <w:rFonts w:hint="eastAsia" w:ascii="宋体" w:hAnsi="宋体" w:eastAsia="宋体" w:cs="宋体"/>
                                <w:szCs w:val="21"/>
                                <w:highlight w:val="none"/>
                              </w:rPr>
                            </w:pPr>
                            <w:r>
                              <w:rPr>
                                <w:rFonts w:hint="eastAsia" w:ascii="宋体" w:hAnsi="宋体" w:eastAsia="宋体" w:cs="宋体"/>
                                <w:szCs w:val="21"/>
                                <w:highlight w:val="none"/>
                              </w:rPr>
                              <w:t>邮    编：</w:t>
                            </w:r>
                          </w:p>
                          <w:p>
                            <w:pPr>
                              <w:rPr>
                                <w:rFonts w:hint="eastAsia" w:ascii="宋体" w:hAnsi="宋体" w:eastAsia="宋体" w:cs="宋体"/>
                                <w:szCs w:val="21"/>
                                <w:highlight w:val="none"/>
                              </w:rPr>
                            </w:pPr>
                            <w:r>
                              <w:rPr>
                                <w:rFonts w:hint="eastAsia" w:ascii="宋体" w:hAnsi="宋体" w:eastAsia="宋体" w:cs="宋体"/>
                                <w:szCs w:val="21"/>
                                <w:highlight w:val="none"/>
                              </w:rPr>
                              <w:t xml:space="preserve">通讯地址：  </w:t>
                            </w:r>
                          </w:p>
                          <w:p>
                            <w:pPr>
                              <w:rPr>
                                <w:rFonts w:hint="eastAsia" w:ascii="宋体" w:hAnsi="宋体" w:eastAsia="宋体" w:cs="宋体"/>
                                <w:szCs w:val="21"/>
                                <w:highlight w:val="none"/>
                              </w:rPr>
                            </w:pPr>
                            <w:r>
                              <w:rPr>
                                <w:rFonts w:hint="eastAsia" w:ascii="宋体" w:hAnsi="宋体" w:eastAsia="宋体" w:cs="宋体"/>
                                <w:szCs w:val="21"/>
                                <w:highlight w:val="none"/>
                              </w:rPr>
                              <w:t>联系人电话：</w:t>
                            </w:r>
                          </w:p>
                          <w:p>
                            <w:pPr>
                              <w:rPr>
                                <w:rFonts w:hint="eastAsia" w:ascii="华文中宋" w:hAnsi="华文中宋" w:eastAsia="华文中宋" w:cs="华文中宋"/>
                                <w:szCs w:val="21"/>
                              </w:rPr>
                            </w:pPr>
                          </w:p>
                        </w:txbxContent>
                      </wps:txbx>
                      <wps:bodyPr vert="horz" wrap="square" anchor="t" upright="1"/>
                    </wps:wsp>
                  </a:graphicData>
                </a:graphic>
              </wp:anchor>
            </w:drawing>
          </mc:Choice>
          <mc:Fallback>
            <w:pict>
              <v:shape id="_x0000_s1026" o:spid="_x0000_s1026" o:spt="202" type="#_x0000_t202" style="position:absolute;left:0pt;margin-left:4.7pt;margin-top:3.05pt;height:268.4pt;width:415.25pt;z-index:251660288;mso-width-relative:page;mso-height-relative:page;" fillcolor="#FFFFFF" filled="t" stroked="t" coordsize="21600,21600" o:gfxdata="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B+elLXAAAABwEAAA8AAAAAAAAAAQAgAAAAIgAAAGRycy9kb3ducmV2LnhtbFBLAQIU&#10;ABQAAAAIAIdO4kB2wTiFLQIAAGsEAAAOAAAAAAAAAAEAIAAAACYBAABkcnMvZTJvRG9jLnhtbFBL&#10;BQYAAAAABgAGAFkBAADFBQAAAAA=&#10;">
                <v:fill on="t" focussize="0,0"/>
                <v:stroke weight="3pt" color="#000000" linestyle="thinThin" joinstyle="miter"/>
                <v:imagedata o:title=""/>
                <o:lock v:ext="edit" aspectratio="f"/>
                <v:textbox>
                  <w:txbxContent>
                    <w:p>
                      <w:pPr>
                        <w:spacing w:line="440" w:lineRule="exact"/>
                        <w:rPr>
                          <w:rFonts w:hint="eastAsia" w:ascii="宋体" w:hAnsi="宋体" w:eastAsia="宋体" w:cs="宋体"/>
                        </w:rPr>
                      </w:pPr>
                      <w:r>
                        <w:rPr>
                          <w:rFonts w:hint="eastAsia" w:ascii="宋体" w:hAnsi="宋体" w:eastAsia="宋体" w:cs="宋体"/>
                        </w:rPr>
                        <w:t>致：同正项目管理有限公司           项目编号：</w:t>
                      </w:r>
                    </w:p>
                    <w:p>
                      <w:pPr>
                        <w:spacing w:line="440" w:lineRule="exact"/>
                        <w:rPr>
                          <w:rFonts w:hint="eastAsia" w:ascii="宋体" w:hAnsi="宋体" w:eastAsia="宋体" w:cs="宋体"/>
                        </w:rPr>
                      </w:pPr>
                      <w:r>
                        <w:rPr>
                          <w:rFonts w:hint="eastAsia" w:ascii="宋体" w:hAnsi="宋体" w:eastAsia="宋体" w:cs="宋体"/>
                        </w:rPr>
                        <w:t xml:space="preserve">项目名称： </w:t>
                      </w:r>
                    </w:p>
                    <w:p>
                      <w:pPr>
                        <w:spacing w:line="440" w:lineRule="exact"/>
                        <w:jc w:val="center"/>
                        <w:rPr>
                          <w:rFonts w:hint="eastAsia" w:ascii="宋体" w:hAnsi="宋体" w:eastAsia="宋体" w:cs="宋体"/>
                          <w:sz w:val="36"/>
                          <w:szCs w:val="36"/>
                          <w:highlight w:val="none"/>
                        </w:rPr>
                      </w:pPr>
                    </w:p>
                    <w:p>
                      <w:pPr>
                        <w:spacing w:line="440" w:lineRule="exact"/>
                        <w:jc w:val="center"/>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lang w:eastAsia="zh-CN"/>
                        </w:rPr>
                        <w:t>报价一览表</w:t>
                      </w:r>
                    </w:p>
                    <w:p>
                      <w:pPr>
                        <w:spacing w:line="440" w:lineRule="exact"/>
                        <w:jc w:val="center"/>
                        <w:rPr>
                          <w:rFonts w:hint="eastAsia" w:ascii="宋体" w:hAnsi="宋体" w:eastAsia="宋体" w:cs="宋体"/>
                          <w:szCs w:val="21"/>
                          <w:highlight w:val="none"/>
                        </w:rPr>
                      </w:pPr>
                    </w:p>
                    <w:p>
                      <w:pPr>
                        <w:pStyle w:val="10"/>
                        <w:rPr>
                          <w:rFonts w:hint="eastAsia" w:ascii="宋体" w:hAnsi="宋体" w:eastAsia="宋体" w:cs="宋体"/>
                        </w:rPr>
                      </w:pPr>
                    </w:p>
                    <w:p>
                      <w:pPr>
                        <w:rPr>
                          <w:rFonts w:hint="eastAsia" w:ascii="宋体" w:hAnsi="宋体" w:eastAsia="宋体" w:cs="宋体"/>
                          <w:szCs w:val="21"/>
                          <w:highlight w:val="none"/>
                        </w:rPr>
                      </w:pPr>
                    </w:p>
                    <w:p>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磋商响应人名称：（公章）</w:t>
                      </w:r>
                    </w:p>
                    <w:p>
                      <w:pPr>
                        <w:rPr>
                          <w:rFonts w:hint="eastAsia" w:ascii="宋体" w:hAnsi="宋体" w:eastAsia="宋体" w:cs="宋体"/>
                          <w:szCs w:val="21"/>
                          <w:highlight w:val="none"/>
                        </w:rPr>
                      </w:pPr>
                      <w:r>
                        <w:rPr>
                          <w:rFonts w:hint="eastAsia" w:ascii="宋体" w:hAnsi="宋体" w:eastAsia="宋体" w:cs="宋体"/>
                          <w:szCs w:val="21"/>
                          <w:highlight w:val="none"/>
                        </w:rPr>
                        <w:t>封装内容：</w:t>
                      </w:r>
                      <w:r>
                        <w:rPr>
                          <w:rFonts w:hint="eastAsia" w:ascii="宋体" w:hAnsi="宋体" w:eastAsia="宋体" w:cs="宋体"/>
                          <w:szCs w:val="21"/>
                          <w:highlight w:val="none"/>
                          <w:lang w:eastAsia="zh-CN"/>
                        </w:rPr>
                        <w:t>报价一览表</w:t>
                      </w:r>
                      <w:r>
                        <w:rPr>
                          <w:rFonts w:hint="eastAsia" w:ascii="宋体" w:hAnsi="宋体" w:eastAsia="宋体" w:cs="宋体"/>
                          <w:szCs w:val="21"/>
                          <w:highlight w:val="none"/>
                        </w:rPr>
                        <w:t>原件及磋商响应文件电子U盘</w:t>
                      </w:r>
                    </w:p>
                    <w:p>
                      <w:pPr>
                        <w:rPr>
                          <w:rFonts w:hint="eastAsia" w:ascii="宋体" w:hAnsi="宋体" w:eastAsia="宋体" w:cs="宋体"/>
                          <w:szCs w:val="21"/>
                          <w:highlight w:val="none"/>
                        </w:rPr>
                      </w:pPr>
                      <w:r>
                        <w:rPr>
                          <w:rFonts w:hint="eastAsia" w:ascii="宋体" w:hAnsi="宋体" w:eastAsia="宋体" w:cs="宋体"/>
                          <w:szCs w:val="21"/>
                          <w:highlight w:val="none"/>
                        </w:rPr>
                        <w:t>邮    编：</w:t>
                      </w:r>
                    </w:p>
                    <w:p>
                      <w:pPr>
                        <w:rPr>
                          <w:rFonts w:hint="eastAsia" w:ascii="宋体" w:hAnsi="宋体" w:eastAsia="宋体" w:cs="宋体"/>
                          <w:szCs w:val="21"/>
                          <w:highlight w:val="none"/>
                        </w:rPr>
                      </w:pPr>
                      <w:r>
                        <w:rPr>
                          <w:rFonts w:hint="eastAsia" w:ascii="宋体" w:hAnsi="宋体" w:eastAsia="宋体" w:cs="宋体"/>
                          <w:szCs w:val="21"/>
                          <w:highlight w:val="none"/>
                        </w:rPr>
                        <w:t xml:space="preserve">通讯地址：  </w:t>
                      </w:r>
                    </w:p>
                    <w:p>
                      <w:pPr>
                        <w:rPr>
                          <w:rFonts w:hint="eastAsia" w:ascii="宋体" w:hAnsi="宋体" w:eastAsia="宋体" w:cs="宋体"/>
                          <w:szCs w:val="21"/>
                          <w:highlight w:val="none"/>
                        </w:rPr>
                      </w:pPr>
                      <w:r>
                        <w:rPr>
                          <w:rFonts w:hint="eastAsia" w:ascii="宋体" w:hAnsi="宋体" w:eastAsia="宋体" w:cs="宋体"/>
                          <w:szCs w:val="21"/>
                          <w:highlight w:val="none"/>
                        </w:rPr>
                        <w:t>联系人电话：</w:t>
                      </w:r>
                    </w:p>
                    <w:p>
                      <w:pPr>
                        <w:rPr>
                          <w:rFonts w:hint="eastAsia" w:ascii="华文中宋" w:hAnsi="华文中宋" w:eastAsia="华文中宋" w:cs="华文中宋"/>
                          <w:szCs w:val="21"/>
                        </w:rPr>
                      </w:pPr>
                    </w:p>
                  </w:txbxContent>
                </v:textbox>
              </v:shape>
            </w:pict>
          </mc:Fallback>
        </mc:AlternateContent>
      </w: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spacing w:line="500" w:lineRule="exact"/>
        <w:jc w:val="center"/>
        <w:rPr>
          <w:rFonts w:hint="eastAsia" w:ascii="宋体" w:hAnsi="宋体" w:eastAsia="宋体" w:cs="宋体"/>
          <w:color w:val="auto"/>
        </w:rPr>
      </w:pPr>
    </w:p>
    <w:p>
      <w:pPr>
        <w:spacing w:line="500" w:lineRule="exact"/>
        <w:jc w:val="center"/>
        <w:rPr>
          <w:rFonts w:hint="eastAsia" w:ascii="宋体" w:hAnsi="宋体" w:eastAsia="宋体" w:cs="宋体"/>
          <w:color w:val="auto"/>
        </w:rPr>
      </w:pPr>
    </w:p>
    <w:p>
      <w:pPr>
        <w:spacing w:line="440" w:lineRule="exact"/>
        <w:jc w:val="center"/>
        <w:rPr>
          <w:rFonts w:hint="eastAsia" w:ascii="宋体" w:hAnsi="宋体" w:eastAsia="宋体" w:cs="宋体"/>
          <w:b/>
          <w:bCs/>
          <w:color w:val="auto"/>
          <w:sz w:val="36"/>
          <w:szCs w:val="36"/>
        </w:rPr>
      </w:pPr>
    </w:p>
    <w:p>
      <w:pPr>
        <w:rPr>
          <w:rFonts w:hint="eastAsia" w:ascii="宋体" w:hAnsi="宋体" w:eastAsia="宋体" w:cs="宋体"/>
          <w:color w:val="auto"/>
        </w:rPr>
      </w:pPr>
    </w:p>
    <w:p>
      <w:pPr>
        <w:pStyle w:val="14"/>
        <w:rPr>
          <w:rFonts w:hint="eastAsia" w:ascii="宋体" w:hAnsi="宋体" w:eastAsia="宋体" w:cs="宋体"/>
          <w:color w:val="auto"/>
        </w:rPr>
      </w:pPr>
    </w:p>
    <w:p>
      <w:pPr>
        <w:tabs>
          <w:tab w:val="left" w:pos="544"/>
        </w:tabs>
        <w:jc w:val="left"/>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ab/>
      </w:r>
      <w:bookmarkStart w:id="323" w:name="_Toc32141"/>
      <w:bookmarkStart w:id="324" w:name="_Toc28138"/>
      <w:r>
        <w:rPr>
          <w:rFonts w:hint="eastAsia" w:ascii="宋体" w:hAnsi="宋体" w:eastAsia="宋体" w:cs="宋体"/>
          <w:b/>
          <w:color w:val="auto"/>
          <w:sz w:val="32"/>
          <w:szCs w:val="32"/>
        </w:rPr>
        <w:t>格式C</w:t>
      </w:r>
      <w:bookmarkEnd w:id="323"/>
      <w:bookmarkEnd w:id="324"/>
    </w:p>
    <w:p>
      <w:pPr>
        <w:rPr>
          <w:rFonts w:hint="eastAsia" w:ascii="宋体" w:hAnsi="宋体" w:eastAsia="宋体" w:cs="宋体"/>
          <w:color w:val="auto"/>
        </w:rPr>
      </w:pPr>
    </w:p>
    <w:sectPr>
      <w:footerReference r:id="rId7" w:type="default"/>
      <w:pgSz w:w="11906" w:h="16838"/>
      <w:pgMar w:top="1440" w:right="1800" w:bottom="1440" w:left="1800" w:header="851" w:footer="992" w:gutter="0"/>
      <w:pgBorders>
        <w:top w:val="none" w:sz="0" w:space="0"/>
        <w:left w:val="none" w:sz="0" w:space="0"/>
        <w:bottom w:val="single" w:color="auto" w:sz="2" w:space="1"/>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distribute"/>
      <w:rPr>
        <w:rFonts w:ascii="宋体" w:hAns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宋体" w:hAnsi="宋体" w:eastAsia="宋体" w:cs="宋体"/>
        <w:sz w:val="16"/>
        <w:szCs w:val="22"/>
        <w:lang w:val="en-US"/>
      </w:rPr>
    </w:pPr>
    <w:r>
      <w:rPr>
        <w:rFonts w:hint="eastAsia" w:ascii="宋体" w:hAnsi="宋体" w:eastAsia="宋体" w:cs="宋体"/>
        <w:sz w:val="16"/>
        <w:szCs w:val="22"/>
      </w:rPr>
      <w:t xml:space="preserve">同正项目管理有限公司                    </w:t>
    </w:r>
    <w:r>
      <w:rPr>
        <w:rFonts w:hint="eastAsia" w:ascii="宋体" w:hAnsi="宋体" w:eastAsia="宋体" w:cs="宋体"/>
        <w:sz w:val="16"/>
        <w:szCs w:val="22"/>
        <w:lang w:val="en-US" w:eastAsia="zh-CN"/>
      </w:rPr>
      <w:t xml:space="preserve">           </w:t>
    </w:r>
    <w:r>
      <w:rPr>
        <w:rFonts w:hint="eastAsia" w:ascii="宋体" w:hAnsi="宋体" w:eastAsia="宋体" w:cs="宋体"/>
        <w:sz w:val="16"/>
        <w:szCs w:val="22"/>
      </w:rPr>
      <w:t xml:space="preserve">      </w:t>
    </w:r>
    <w:r>
      <w:rPr>
        <w:rFonts w:hint="eastAsia" w:ascii="宋体" w:hAnsi="宋体" w:eastAsia="宋体" w:cs="宋体"/>
        <w:sz w:val="16"/>
        <w:szCs w:val="22"/>
        <w:lang w:val="en-US" w:eastAsia="zh-CN"/>
      </w:rPr>
      <w:t xml:space="preserve">                                  029-65652860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宋体" w:hAnsi="宋体" w:eastAsia="宋体" w:cs="宋体"/>
        <w:sz w:val="16"/>
        <w:szCs w:val="22"/>
        <w:lang w:val="en-US"/>
      </w:rPr>
    </w:pPr>
    <w:r>
      <w:rPr>
        <w:rFonts w:hint="eastAsia" w:ascii="宋体" w:hAnsi="宋体" w:eastAsia="宋体" w:cs="宋体"/>
        <w:sz w:val="16"/>
        <w:szCs w:val="22"/>
      </w:rPr>
      <mc:AlternateContent>
        <mc:Choice Requires="wps">
          <w:drawing>
            <wp:anchor distT="0" distB="0" distL="114300" distR="114300" simplePos="0" relativeHeight="251661312" behindDoc="0" locked="0" layoutInCell="1" allowOverlap="1">
              <wp:simplePos x="0" y="0"/>
              <wp:positionH relativeFrom="margin">
                <wp:posOffset>2592705</wp:posOffset>
              </wp:positionH>
              <wp:positionV relativeFrom="paragraph">
                <wp:posOffset>196850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204.15pt;margin-top:15.5pt;height:144pt;width:144pt;mso-position-horizontal-relative:margin;mso-wrap-style:none;z-index:251661312;mso-width-relative:page;mso-height-relative:page;" filled="f" stroked="f" coordsize="21600,21600" o:gfxdata="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Ba5E3Y&#10;AAAACgEAAA8AAAAAAAAAAQAgAAAAIgAAAGRycy9kb3ducmV2LnhtbFBLAQIUABQAAAAIAIdO4kA7&#10;4aDI5wEAAMgDAAAOAAAAAAAAAAEAIAAAACcBAABkcnMvZTJvRG9jLnhtbFBLBQYAAAAABgAGAFkB&#10;AACABQAAAAA=&#10;">
              <v:fill on="f" focussize="0,0"/>
              <v:stroke on="f" weight="1.25pt"/>
              <v:imagedata o:title=""/>
              <o:lock v:ext="edit" aspectratio="f"/>
              <v:textbox inset="0mm,0mm,0mm,0mm" style="mso-fit-shape-to-text:t;">
                <w:txbxContent>
                  <w:p>
                    <w:pPr>
                      <w:pStyle w:val="2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p>
                </w:txbxContent>
              </v:textbox>
            </v:shape>
          </w:pict>
        </mc:Fallback>
      </mc:AlternateContent>
    </w:r>
    <w:r>
      <w:rPr>
        <w:rFonts w:hint="eastAsia" w:ascii="宋体" w:hAnsi="宋体" w:eastAsia="宋体" w:cs="宋体"/>
        <w:sz w:val="16"/>
        <w:szCs w:val="22"/>
      </w:rPr>
      <w:t xml:space="preserve">同正项目管理有限公司                    </w:t>
    </w:r>
    <w:r>
      <w:rPr>
        <w:rFonts w:hint="eastAsia" w:ascii="宋体" w:hAnsi="宋体" w:eastAsia="宋体" w:cs="宋体"/>
        <w:sz w:val="16"/>
        <w:szCs w:val="22"/>
        <w:lang w:val="en-US" w:eastAsia="zh-CN"/>
      </w:rPr>
      <w:t xml:space="preserve">           </w:t>
    </w:r>
    <w:r>
      <w:rPr>
        <w:rFonts w:hint="eastAsia" w:ascii="宋体" w:hAnsi="宋体" w:eastAsia="宋体" w:cs="宋体"/>
        <w:sz w:val="16"/>
        <w:szCs w:val="22"/>
      </w:rPr>
      <w:t xml:space="preserve">      </w:t>
    </w:r>
    <w:r>
      <w:rPr>
        <w:rFonts w:hint="eastAsia" w:ascii="宋体" w:hAnsi="宋体" w:eastAsia="宋体" w:cs="宋体"/>
        <w:sz w:val="16"/>
        <w:szCs w:val="22"/>
        <w:lang w:val="en-US" w:eastAsia="zh-CN"/>
      </w:rPr>
      <w:t xml:space="preserve">                                  029-65652860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distribute"/>
      <w:rPr>
        <w:sz w:val="28"/>
        <w:szCs w:val="28"/>
        <w:u w:val="single"/>
      </w:rPr>
    </w:pPr>
  </w:p>
  <w:p>
    <w:pPr>
      <w:pStyle w:val="21"/>
      <w:jc w:val="distribute"/>
      <w:rPr>
        <w:b/>
        <w:sz w:val="28"/>
        <w:szCs w:val="28"/>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right" w:pos="0"/>
        <w:tab w:val="clear" w:pos="4153"/>
        <w:tab w:val="clear" w:pos="8306"/>
      </w:tabs>
      <w:jc w:val="both"/>
      <w:rPr>
        <w:rFonts w:hint="eastAsia" w:ascii="宋体" w:hAnsi="宋体" w:eastAsia="宋体" w:cs="宋体"/>
        <w:b/>
        <w:bCs/>
        <w:sz w:val="16"/>
        <w:szCs w:val="16"/>
        <w:u w:val="single"/>
      </w:rPr>
    </w:pPr>
    <w:r>
      <w:rPr>
        <w:rFonts w:hint="eastAsia" w:ascii="宋体" w:hAnsi="宋体" w:eastAsia="宋体" w:cs="宋体"/>
        <w:b w:val="0"/>
        <w:bCs/>
        <w:color w:val="auto"/>
        <w:sz w:val="16"/>
        <w:szCs w:val="16"/>
        <w:u w:val="single"/>
        <w:lang w:eastAsia="zh-CN"/>
      </w:rPr>
      <w:t>西安市教育局教师资格认定工作服务项目</w:t>
    </w:r>
    <w:r>
      <w:rPr>
        <w:rFonts w:hint="eastAsia" w:ascii="宋体" w:hAnsi="宋体" w:eastAsia="宋体" w:cs="宋体"/>
        <w:b w:val="0"/>
        <w:bCs/>
        <w:color w:val="auto"/>
        <w:sz w:val="16"/>
        <w:szCs w:val="16"/>
        <w:u w:val="single"/>
        <w:lang w:val="en-US" w:eastAsia="zh-CN"/>
      </w:rPr>
      <w:t xml:space="preserve">                                                           磋商文件</w:t>
    </w:r>
  </w:p>
  <w:p>
    <w:pPr>
      <w:pStyle w:val="21"/>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0F124"/>
    <w:multiLevelType w:val="singleLevel"/>
    <w:tmpl w:val="9D40F124"/>
    <w:lvl w:ilvl="0" w:tentative="0">
      <w:start w:val="1"/>
      <w:numFmt w:val="chineseCounting"/>
      <w:suff w:val="nothing"/>
      <w:lvlText w:val="%1、"/>
      <w:lvlJc w:val="left"/>
      <w:rPr>
        <w:rFonts w:hint="eastAsia"/>
      </w:rPr>
    </w:lvl>
  </w:abstractNum>
  <w:abstractNum w:abstractNumId="1">
    <w:nsid w:val="AE23A8B8"/>
    <w:multiLevelType w:val="singleLevel"/>
    <w:tmpl w:val="AE23A8B8"/>
    <w:lvl w:ilvl="0" w:tentative="0">
      <w:start w:val="1"/>
      <w:numFmt w:val="decimal"/>
      <w:suff w:val="nothing"/>
      <w:lvlText w:val="%1、"/>
      <w:lvlJc w:val="left"/>
    </w:lvl>
  </w:abstractNum>
  <w:abstractNum w:abstractNumId="2">
    <w:nsid w:val="7DE9D8C3"/>
    <w:multiLevelType w:val="singleLevel"/>
    <w:tmpl w:val="7DE9D8C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DM1NTEwMTJjMDU4MGM2NmZhMjIzYjk2ZGZhZmYifQ=="/>
  </w:docVars>
  <w:rsids>
    <w:rsidRoot w:val="57C57BE5"/>
    <w:rsid w:val="00005102"/>
    <w:rsid w:val="000217FC"/>
    <w:rsid w:val="000675C1"/>
    <w:rsid w:val="000943E4"/>
    <w:rsid w:val="000C4F74"/>
    <w:rsid w:val="000E45C9"/>
    <w:rsid w:val="0013491E"/>
    <w:rsid w:val="00140EAB"/>
    <w:rsid w:val="00165D25"/>
    <w:rsid w:val="001670D6"/>
    <w:rsid w:val="00191154"/>
    <w:rsid w:val="001B2429"/>
    <w:rsid w:val="001B5CC2"/>
    <w:rsid w:val="001C18A9"/>
    <w:rsid w:val="0020158F"/>
    <w:rsid w:val="002265D0"/>
    <w:rsid w:val="00270D0E"/>
    <w:rsid w:val="002B03F0"/>
    <w:rsid w:val="003245F4"/>
    <w:rsid w:val="00325AF0"/>
    <w:rsid w:val="00364DBE"/>
    <w:rsid w:val="003C0721"/>
    <w:rsid w:val="003D0404"/>
    <w:rsid w:val="003D762A"/>
    <w:rsid w:val="0042258B"/>
    <w:rsid w:val="004A507E"/>
    <w:rsid w:val="004C1446"/>
    <w:rsid w:val="004D6C36"/>
    <w:rsid w:val="005101D9"/>
    <w:rsid w:val="0054138E"/>
    <w:rsid w:val="00555479"/>
    <w:rsid w:val="00585865"/>
    <w:rsid w:val="005C2BEE"/>
    <w:rsid w:val="005D32BA"/>
    <w:rsid w:val="005D3642"/>
    <w:rsid w:val="005D5EE3"/>
    <w:rsid w:val="005E0AA6"/>
    <w:rsid w:val="006059CC"/>
    <w:rsid w:val="0061297D"/>
    <w:rsid w:val="00634650"/>
    <w:rsid w:val="006444CC"/>
    <w:rsid w:val="006572AC"/>
    <w:rsid w:val="00661BBB"/>
    <w:rsid w:val="006951D3"/>
    <w:rsid w:val="00695E48"/>
    <w:rsid w:val="006B1662"/>
    <w:rsid w:val="006E7754"/>
    <w:rsid w:val="00752F26"/>
    <w:rsid w:val="00757B0D"/>
    <w:rsid w:val="007706A2"/>
    <w:rsid w:val="00796042"/>
    <w:rsid w:val="007C10AF"/>
    <w:rsid w:val="007F059B"/>
    <w:rsid w:val="00811002"/>
    <w:rsid w:val="00823145"/>
    <w:rsid w:val="00844043"/>
    <w:rsid w:val="00855403"/>
    <w:rsid w:val="008B23E7"/>
    <w:rsid w:val="008D430A"/>
    <w:rsid w:val="008D6B63"/>
    <w:rsid w:val="008E2A0E"/>
    <w:rsid w:val="00940690"/>
    <w:rsid w:val="00954CE1"/>
    <w:rsid w:val="009713C3"/>
    <w:rsid w:val="00992A33"/>
    <w:rsid w:val="009F1CF7"/>
    <w:rsid w:val="00A01BE5"/>
    <w:rsid w:val="00A14B57"/>
    <w:rsid w:val="00A247DD"/>
    <w:rsid w:val="00A91DDE"/>
    <w:rsid w:val="00AA0AD3"/>
    <w:rsid w:val="00AA7DFE"/>
    <w:rsid w:val="00AB1BB7"/>
    <w:rsid w:val="00AE18E4"/>
    <w:rsid w:val="00B14102"/>
    <w:rsid w:val="00B354DB"/>
    <w:rsid w:val="00B918E7"/>
    <w:rsid w:val="00BD6301"/>
    <w:rsid w:val="00C252DD"/>
    <w:rsid w:val="00C31A0F"/>
    <w:rsid w:val="00C34DAD"/>
    <w:rsid w:val="00C546B9"/>
    <w:rsid w:val="00C65146"/>
    <w:rsid w:val="00C655C0"/>
    <w:rsid w:val="00C73824"/>
    <w:rsid w:val="00C861FD"/>
    <w:rsid w:val="00C8689B"/>
    <w:rsid w:val="00C91038"/>
    <w:rsid w:val="00CE4A90"/>
    <w:rsid w:val="00CF6380"/>
    <w:rsid w:val="00D128E4"/>
    <w:rsid w:val="00D56D6C"/>
    <w:rsid w:val="00D708A5"/>
    <w:rsid w:val="00D83C84"/>
    <w:rsid w:val="00DC4A2A"/>
    <w:rsid w:val="00DC6664"/>
    <w:rsid w:val="00E03E07"/>
    <w:rsid w:val="00E04FBB"/>
    <w:rsid w:val="00E374D2"/>
    <w:rsid w:val="00E47330"/>
    <w:rsid w:val="00ED5DBF"/>
    <w:rsid w:val="00F01C44"/>
    <w:rsid w:val="00F13DB9"/>
    <w:rsid w:val="00F2219C"/>
    <w:rsid w:val="00F71011"/>
    <w:rsid w:val="00F743EB"/>
    <w:rsid w:val="00F77D20"/>
    <w:rsid w:val="00FB108D"/>
    <w:rsid w:val="0101664F"/>
    <w:rsid w:val="01043003"/>
    <w:rsid w:val="010639A1"/>
    <w:rsid w:val="010F1DB0"/>
    <w:rsid w:val="010F48F2"/>
    <w:rsid w:val="01134C76"/>
    <w:rsid w:val="01174529"/>
    <w:rsid w:val="01210A04"/>
    <w:rsid w:val="012203B1"/>
    <w:rsid w:val="013356DD"/>
    <w:rsid w:val="01384F35"/>
    <w:rsid w:val="013A29A5"/>
    <w:rsid w:val="013C5DA3"/>
    <w:rsid w:val="013E7E0C"/>
    <w:rsid w:val="01405E2E"/>
    <w:rsid w:val="01432B0B"/>
    <w:rsid w:val="01463293"/>
    <w:rsid w:val="014A4677"/>
    <w:rsid w:val="015714FF"/>
    <w:rsid w:val="0159355E"/>
    <w:rsid w:val="01595E03"/>
    <w:rsid w:val="015A4E0F"/>
    <w:rsid w:val="015C4AC3"/>
    <w:rsid w:val="016074B6"/>
    <w:rsid w:val="01620E31"/>
    <w:rsid w:val="017165B7"/>
    <w:rsid w:val="01752180"/>
    <w:rsid w:val="01765B10"/>
    <w:rsid w:val="01791337"/>
    <w:rsid w:val="017E2460"/>
    <w:rsid w:val="017E6FD5"/>
    <w:rsid w:val="017F2E23"/>
    <w:rsid w:val="018D624A"/>
    <w:rsid w:val="018E678F"/>
    <w:rsid w:val="01915323"/>
    <w:rsid w:val="01983C3A"/>
    <w:rsid w:val="019F4465"/>
    <w:rsid w:val="019F7556"/>
    <w:rsid w:val="01A249C3"/>
    <w:rsid w:val="01A35FDD"/>
    <w:rsid w:val="01AB42B5"/>
    <w:rsid w:val="01B61ACC"/>
    <w:rsid w:val="01B73B9F"/>
    <w:rsid w:val="01BA61B0"/>
    <w:rsid w:val="01C15518"/>
    <w:rsid w:val="01C67620"/>
    <w:rsid w:val="01CC6FD1"/>
    <w:rsid w:val="01D05F9E"/>
    <w:rsid w:val="01D25761"/>
    <w:rsid w:val="01D302AB"/>
    <w:rsid w:val="01D520AC"/>
    <w:rsid w:val="01DF2BF6"/>
    <w:rsid w:val="01E22320"/>
    <w:rsid w:val="01E30A6C"/>
    <w:rsid w:val="01E33883"/>
    <w:rsid w:val="01E71986"/>
    <w:rsid w:val="01E865A5"/>
    <w:rsid w:val="01E92B4B"/>
    <w:rsid w:val="01F33516"/>
    <w:rsid w:val="01FE5297"/>
    <w:rsid w:val="020405FB"/>
    <w:rsid w:val="0206080A"/>
    <w:rsid w:val="02082318"/>
    <w:rsid w:val="0218567C"/>
    <w:rsid w:val="021A332F"/>
    <w:rsid w:val="021E42CE"/>
    <w:rsid w:val="02276073"/>
    <w:rsid w:val="02331B4D"/>
    <w:rsid w:val="02344F2A"/>
    <w:rsid w:val="02387ED8"/>
    <w:rsid w:val="023B60D9"/>
    <w:rsid w:val="023C0157"/>
    <w:rsid w:val="023E52A8"/>
    <w:rsid w:val="023E5673"/>
    <w:rsid w:val="02474DBD"/>
    <w:rsid w:val="024C2922"/>
    <w:rsid w:val="024E7075"/>
    <w:rsid w:val="025444F6"/>
    <w:rsid w:val="025964A8"/>
    <w:rsid w:val="025A0673"/>
    <w:rsid w:val="025E4D0D"/>
    <w:rsid w:val="02614E03"/>
    <w:rsid w:val="0265752A"/>
    <w:rsid w:val="02662DDA"/>
    <w:rsid w:val="02670A70"/>
    <w:rsid w:val="027651D7"/>
    <w:rsid w:val="0277762D"/>
    <w:rsid w:val="0278115B"/>
    <w:rsid w:val="027956B3"/>
    <w:rsid w:val="027B29FE"/>
    <w:rsid w:val="027E3B8F"/>
    <w:rsid w:val="027E498A"/>
    <w:rsid w:val="02896366"/>
    <w:rsid w:val="028B42ED"/>
    <w:rsid w:val="028C1E59"/>
    <w:rsid w:val="029449AE"/>
    <w:rsid w:val="02973364"/>
    <w:rsid w:val="02995A6E"/>
    <w:rsid w:val="029A570C"/>
    <w:rsid w:val="029F046B"/>
    <w:rsid w:val="02A56E94"/>
    <w:rsid w:val="02AF47BD"/>
    <w:rsid w:val="02AF6749"/>
    <w:rsid w:val="02B10651"/>
    <w:rsid w:val="02B32C00"/>
    <w:rsid w:val="02B51250"/>
    <w:rsid w:val="02B82118"/>
    <w:rsid w:val="02B86FD1"/>
    <w:rsid w:val="02B92C36"/>
    <w:rsid w:val="02B9373A"/>
    <w:rsid w:val="02BA21E0"/>
    <w:rsid w:val="02C71A55"/>
    <w:rsid w:val="02C73884"/>
    <w:rsid w:val="02CA1348"/>
    <w:rsid w:val="02CB3E9D"/>
    <w:rsid w:val="02D202F4"/>
    <w:rsid w:val="02D61B19"/>
    <w:rsid w:val="02D67089"/>
    <w:rsid w:val="02DC515B"/>
    <w:rsid w:val="02DF57A3"/>
    <w:rsid w:val="02E03B0B"/>
    <w:rsid w:val="02E5274E"/>
    <w:rsid w:val="02E62B5F"/>
    <w:rsid w:val="02E64D83"/>
    <w:rsid w:val="02EC7CC7"/>
    <w:rsid w:val="02ED323A"/>
    <w:rsid w:val="02EF069F"/>
    <w:rsid w:val="02F050E5"/>
    <w:rsid w:val="02F5188A"/>
    <w:rsid w:val="02F77BFE"/>
    <w:rsid w:val="02F92D08"/>
    <w:rsid w:val="02FA6695"/>
    <w:rsid w:val="02FB5E83"/>
    <w:rsid w:val="02FE740B"/>
    <w:rsid w:val="03047A93"/>
    <w:rsid w:val="030643AC"/>
    <w:rsid w:val="030A1D4E"/>
    <w:rsid w:val="030A720E"/>
    <w:rsid w:val="030B2CE9"/>
    <w:rsid w:val="03147E15"/>
    <w:rsid w:val="0318336B"/>
    <w:rsid w:val="031C2EFA"/>
    <w:rsid w:val="031E230C"/>
    <w:rsid w:val="03200295"/>
    <w:rsid w:val="03217967"/>
    <w:rsid w:val="03242BEE"/>
    <w:rsid w:val="03306EED"/>
    <w:rsid w:val="03317638"/>
    <w:rsid w:val="03342C00"/>
    <w:rsid w:val="033F5AFA"/>
    <w:rsid w:val="03560CCD"/>
    <w:rsid w:val="03577B75"/>
    <w:rsid w:val="035904E7"/>
    <w:rsid w:val="03596E20"/>
    <w:rsid w:val="035C6DF3"/>
    <w:rsid w:val="035E6FC3"/>
    <w:rsid w:val="03622291"/>
    <w:rsid w:val="03673737"/>
    <w:rsid w:val="036D1E2D"/>
    <w:rsid w:val="036D32DB"/>
    <w:rsid w:val="03762472"/>
    <w:rsid w:val="03764359"/>
    <w:rsid w:val="03784EEF"/>
    <w:rsid w:val="037C58B0"/>
    <w:rsid w:val="037E249A"/>
    <w:rsid w:val="03877E67"/>
    <w:rsid w:val="03881F82"/>
    <w:rsid w:val="03882A6A"/>
    <w:rsid w:val="0388325C"/>
    <w:rsid w:val="038C2E09"/>
    <w:rsid w:val="039408B9"/>
    <w:rsid w:val="0394407D"/>
    <w:rsid w:val="0399107D"/>
    <w:rsid w:val="039A1DCA"/>
    <w:rsid w:val="03A910E8"/>
    <w:rsid w:val="03AD764F"/>
    <w:rsid w:val="03AF6D5E"/>
    <w:rsid w:val="03B629A7"/>
    <w:rsid w:val="03BA790C"/>
    <w:rsid w:val="03BC5272"/>
    <w:rsid w:val="03BD259D"/>
    <w:rsid w:val="03BE07F6"/>
    <w:rsid w:val="03BF0819"/>
    <w:rsid w:val="03C341FE"/>
    <w:rsid w:val="03C9502B"/>
    <w:rsid w:val="03CA4654"/>
    <w:rsid w:val="03CB7DC1"/>
    <w:rsid w:val="03D775BB"/>
    <w:rsid w:val="03D82EC9"/>
    <w:rsid w:val="03DB1FCC"/>
    <w:rsid w:val="03DC7A85"/>
    <w:rsid w:val="03DD30A2"/>
    <w:rsid w:val="03DE758C"/>
    <w:rsid w:val="03E34012"/>
    <w:rsid w:val="03E35EE8"/>
    <w:rsid w:val="03E5288F"/>
    <w:rsid w:val="03E65CD3"/>
    <w:rsid w:val="03E8296A"/>
    <w:rsid w:val="03EB3731"/>
    <w:rsid w:val="03EB3B1B"/>
    <w:rsid w:val="03ED1D90"/>
    <w:rsid w:val="03EE2141"/>
    <w:rsid w:val="03F44172"/>
    <w:rsid w:val="03F818A0"/>
    <w:rsid w:val="03F92BF3"/>
    <w:rsid w:val="03FE0002"/>
    <w:rsid w:val="040306D8"/>
    <w:rsid w:val="040325B7"/>
    <w:rsid w:val="040422D1"/>
    <w:rsid w:val="04061520"/>
    <w:rsid w:val="040C7261"/>
    <w:rsid w:val="04111911"/>
    <w:rsid w:val="0416382B"/>
    <w:rsid w:val="04221A98"/>
    <w:rsid w:val="04253296"/>
    <w:rsid w:val="04277401"/>
    <w:rsid w:val="04283373"/>
    <w:rsid w:val="04331AE6"/>
    <w:rsid w:val="043375BF"/>
    <w:rsid w:val="044A0CC0"/>
    <w:rsid w:val="044A2BFC"/>
    <w:rsid w:val="044B2A28"/>
    <w:rsid w:val="044B7643"/>
    <w:rsid w:val="044F71F2"/>
    <w:rsid w:val="0464480F"/>
    <w:rsid w:val="0465567B"/>
    <w:rsid w:val="046861D4"/>
    <w:rsid w:val="046F1C4F"/>
    <w:rsid w:val="04746CAE"/>
    <w:rsid w:val="047A4D4E"/>
    <w:rsid w:val="047E434B"/>
    <w:rsid w:val="04864B2A"/>
    <w:rsid w:val="048955BC"/>
    <w:rsid w:val="048B18A6"/>
    <w:rsid w:val="048B2844"/>
    <w:rsid w:val="048C2CED"/>
    <w:rsid w:val="04934AF3"/>
    <w:rsid w:val="049835BA"/>
    <w:rsid w:val="04983E5B"/>
    <w:rsid w:val="04A46ABE"/>
    <w:rsid w:val="04A83B16"/>
    <w:rsid w:val="04A86601"/>
    <w:rsid w:val="04A9250C"/>
    <w:rsid w:val="04B90EA8"/>
    <w:rsid w:val="04BA2023"/>
    <w:rsid w:val="04C8561E"/>
    <w:rsid w:val="04D8694C"/>
    <w:rsid w:val="04DC3A25"/>
    <w:rsid w:val="04EF34D9"/>
    <w:rsid w:val="04F45930"/>
    <w:rsid w:val="04FA7286"/>
    <w:rsid w:val="05042944"/>
    <w:rsid w:val="05046AF5"/>
    <w:rsid w:val="05071546"/>
    <w:rsid w:val="05136D97"/>
    <w:rsid w:val="051571B7"/>
    <w:rsid w:val="051D273A"/>
    <w:rsid w:val="051F41F1"/>
    <w:rsid w:val="052113FD"/>
    <w:rsid w:val="0529752A"/>
    <w:rsid w:val="052D6C99"/>
    <w:rsid w:val="05302694"/>
    <w:rsid w:val="05304794"/>
    <w:rsid w:val="05327C4D"/>
    <w:rsid w:val="05344B10"/>
    <w:rsid w:val="05345EEE"/>
    <w:rsid w:val="0535302A"/>
    <w:rsid w:val="0538303E"/>
    <w:rsid w:val="054C4064"/>
    <w:rsid w:val="05602BCA"/>
    <w:rsid w:val="056114C6"/>
    <w:rsid w:val="056411A9"/>
    <w:rsid w:val="05656B3A"/>
    <w:rsid w:val="05686195"/>
    <w:rsid w:val="056B1BF1"/>
    <w:rsid w:val="056D3A24"/>
    <w:rsid w:val="05743534"/>
    <w:rsid w:val="05750DAA"/>
    <w:rsid w:val="058017A0"/>
    <w:rsid w:val="058352B5"/>
    <w:rsid w:val="058613C7"/>
    <w:rsid w:val="058921E4"/>
    <w:rsid w:val="058B2FD4"/>
    <w:rsid w:val="058C0DC7"/>
    <w:rsid w:val="05973F29"/>
    <w:rsid w:val="059C3031"/>
    <w:rsid w:val="059F0DB6"/>
    <w:rsid w:val="05A75DDB"/>
    <w:rsid w:val="05B22A76"/>
    <w:rsid w:val="05B25919"/>
    <w:rsid w:val="05B2689E"/>
    <w:rsid w:val="05B57E60"/>
    <w:rsid w:val="05B86E63"/>
    <w:rsid w:val="05BB5425"/>
    <w:rsid w:val="05BE0E82"/>
    <w:rsid w:val="05BF5EAD"/>
    <w:rsid w:val="05C56376"/>
    <w:rsid w:val="05C94EDD"/>
    <w:rsid w:val="05D43109"/>
    <w:rsid w:val="05D64CDC"/>
    <w:rsid w:val="05E659AB"/>
    <w:rsid w:val="05ED0708"/>
    <w:rsid w:val="05EE467B"/>
    <w:rsid w:val="05EE603E"/>
    <w:rsid w:val="05F62598"/>
    <w:rsid w:val="05FB5D7F"/>
    <w:rsid w:val="05FC53AF"/>
    <w:rsid w:val="05FD1F45"/>
    <w:rsid w:val="060043AE"/>
    <w:rsid w:val="06022418"/>
    <w:rsid w:val="06031DDE"/>
    <w:rsid w:val="06060248"/>
    <w:rsid w:val="060B2484"/>
    <w:rsid w:val="060B4C5B"/>
    <w:rsid w:val="060F7468"/>
    <w:rsid w:val="06104AF9"/>
    <w:rsid w:val="061C5CAD"/>
    <w:rsid w:val="0623356C"/>
    <w:rsid w:val="063D4FC3"/>
    <w:rsid w:val="063E20C4"/>
    <w:rsid w:val="0641699B"/>
    <w:rsid w:val="06422E36"/>
    <w:rsid w:val="0642509B"/>
    <w:rsid w:val="0643547B"/>
    <w:rsid w:val="06475B98"/>
    <w:rsid w:val="064B49D1"/>
    <w:rsid w:val="06513353"/>
    <w:rsid w:val="06513AC4"/>
    <w:rsid w:val="06636668"/>
    <w:rsid w:val="066C6990"/>
    <w:rsid w:val="066E19F9"/>
    <w:rsid w:val="06744AC1"/>
    <w:rsid w:val="06772216"/>
    <w:rsid w:val="0678384D"/>
    <w:rsid w:val="0689649A"/>
    <w:rsid w:val="068A3BCA"/>
    <w:rsid w:val="06905524"/>
    <w:rsid w:val="06906EA6"/>
    <w:rsid w:val="06977527"/>
    <w:rsid w:val="069E365D"/>
    <w:rsid w:val="06A326ED"/>
    <w:rsid w:val="06A951CF"/>
    <w:rsid w:val="06AA14EB"/>
    <w:rsid w:val="06AC1398"/>
    <w:rsid w:val="06AE2F9C"/>
    <w:rsid w:val="06B148B7"/>
    <w:rsid w:val="06BB3693"/>
    <w:rsid w:val="06CC1A2E"/>
    <w:rsid w:val="06CF2F35"/>
    <w:rsid w:val="06CF4799"/>
    <w:rsid w:val="06D4587E"/>
    <w:rsid w:val="06D540B9"/>
    <w:rsid w:val="06D57B1D"/>
    <w:rsid w:val="06DF6A8F"/>
    <w:rsid w:val="06E602B4"/>
    <w:rsid w:val="06E824CA"/>
    <w:rsid w:val="06FA0DFD"/>
    <w:rsid w:val="06FE155F"/>
    <w:rsid w:val="06FE1F07"/>
    <w:rsid w:val="07000EC5"/>
    <w:rsid w:val="07003A38"/>
    <w:rsid w:val="07016019"/>
    <w:rsid w:val="070A4535"/>
    <w:rsid w:val="071176D3"/>
    <w:rsid w:val="07122F58"/>
    <w:rsid w:val="07143FF4"/>
    <w:rsid w:val="07180AE8"/>
    <w:rsid w:val="071C42A6"/>
    <w:rsid w:val="07253937"/>
    <w:rsid w:val="07262C3C"/>
    <w:rsid w:val="07281460"/>
    <w:rsid w:val="07285F1A"/>
    <w:rsid w:val="072C3415"/>
    <w:rsid w:val="072C7228"/>
    <w:rsid w:val="073604F1"/>
    <w:rsid w:val="073876C9"/>
    <w:rsid w:val="073A1AF5"/>
    <w:rsid w:val="073A21FE"/>
    <w:rsid w:val="073D7452"/>
    <w:rsid w:val="07480805"/>
    <w:rsid w:val="074B414C"/>
    <w:rsid w:val="0751106F"/>
    <w:rsid w:val="075552F4"/>
    <w:rsid w:val="07561F1B"/>
    <w:rsid w:val="075966D0"/>
    <w:rsid w:val="075B281B"/>
    <w:rsid w:val="075B5BB1"/>
    <w:rsid w:val="075C7DAA"/>
    <w:rsid w:val="07625617"/>
    <w:rsid w:val="07634076"/>
    <w:rsid w:val="07641A40"/>
    <w:rsid w:val="0766457A"/>
    <w:rsid w:val="076B1597"/>
    <w:rsid w:val="076E0DE3"/>
    <w:rsid w:val="076F6888"/>
    <w:rsid w:val="07776586"/>
    <w:rsid w:val="077857EA"/>
    <w:rsid w:val="07791F77"/>
    <w:rsid w:val="077F390B"/>
    <w:rsid w:val="078049F7"/>
    <w:rsid w:val="07883525"/>
    <w:rsid w:val="07890548"/>
    <w:rsid w:val="07897554"/>
    <w:rsid w:val="078D6717"/>
    <w:rsid w:val="079566CE"/>
    <w:rsid w:val="07972C84"/>
    <w:rsid w:val="07976F92"/>
    <w:rsid w:val="079D2AFD"/>
    <w:rsid w:val="079E75D7"/>
    <w:rsid w:val="07A174CB"/>
    <w:rsid w:val="07A42009"/>
    <w:rsid w:val="07C209F0"/>
    <w:rsid w:val="07C36E93"/>
    <w:rsid w:val="07C67EF8"/>
    <w:rsid w:val="07C7380C"/>
    <w:rsid w:val="07CB0100"/>
    <w:rsid w:val="07EA4CE3"/>
    <w:rsid w:val="07ED142F"/>
    <w:rsid w:val="07F22DD4"/>
    <w:rsid w:val="07F25F78"/>
    <w:rsid w:val="07F40D23"/>
    <w:rsid w:val="07F443C0"/>
    <w:rsid w:val="07F47DAD"/>
    <w:rsid w:val="07F5427D"/>
    <w:rsid w:val="07F77382"/>
    <w:rsid w:val="07FA3DBD"/>
    <w:rsid w:val="08032826"/>
    <w:rsid w:val="08061EF8"/>
    <w:rsid w:val="080652AA"/>
    <w:rsid w:val="08072C9C"/>
    <w:rsid w:val="081147CE"/>
    <w:rsid w:val="08131E04"/>
    <w:rsid w:val="081D40AC"/>
    <w:rsid w:val="08234C8C"/>
    <w:rsid w:val="08257123"/>
    <w:rsid w:val="08263885"/>
    <w:rsid w:val="082F28BF"/>
    <w:rsid w:val="083042EB"/>
    <w:rsid w:val="083B2064"/>
    <w:rsid w:val="085063AC"/>
    <w:rsid w:val="085542CE"/>
    <w:rsid w:val="08652D8D"/>
    <w:rsid w:val="08682AA5"/>
    <w:rsid w:val="086846DE"/>
    <w:rsid w:val="086A4FCD"/>
    <w:rsid w:val="086F18AD"/>
    <w:rsid w:val="08730E67"/>
    <w:rsid w:val="08752D0D"/>
    <w:rsid w:val="08777520"/>
    <w:rsid w:val="08814CA9"/>
    <w:rsid w:val="0886629E"/>
    <w:rsid w:val="088C29A5"/>
    <w:rsid w:val="088E0C28"/>
    <w:rsid w:val="08902385"/>
    <w:rsid w:val="089336C2"/>
    <w:rsid w:val="08A24086"/>
    <w:rsid w:val="08A52DD5"/>
    <w:rsid w:val="08A52E90"/>
    <w:rsid w:val="08B02DA3"/>
    <w:rsid w:val="08B3287F"/>
    <w:rsid w:val="08B64DF2"/>
    <w:rsid w:val="08BB5426"/>
    <w:rsid w:val="08BD16CF"/>
    <w:rsid w:val="08C26AFE"/>
    <w:rsid w:val="08C94B90"/>
    <w:rsid w:val="08CE638B"/>
    <w:rsid w:val="08E67336"/>
    <w:rsid w:val="08E7163A"/>
    <w:rsid w:val="08E74357"/>
    <w:rsid w:val="08EB205A"/>
    <w:rsid w:val="08ED43A0"/>
    <w:rsid w:val="08EE29A5"/>
    <w:rsid w:val="08F00C11"/>
    <w:rsid w:val="08F90EE1"/>
    <w:rsid w:val="090701F2"/>
    <w:rsid w:val="09097F73"/>
    <w:rsid w:val="090B564A"/>
    <w:rsid w:val="09120CF8"/>
    <w:rsid w:val="09225A9B"/>
    <w:rsid w:val="092545D6"/>
    <w:rsid w:val="092C2974"/>
    <w:rsid w:val="092D0CBC"/>
    <w:rsid w:val="092E0662"/>
    <w:rsid w:val="092E5E27"/>
    <w:rsid w:val="09310F40"/>
    <w:rsid w:val="093A467D"/>
    <w:rsid w:val="093B449D"/>
    <w:rsid w:val="09423612"/>
    <w:rsid w:val="094967A7"/>
    <w:rsid w:val="094D42D0"/>
    <w:rsid w:val="095D6322"/>
    <w:rsid w:val="096574D1"/>
    <w:rsid w:val="096D628C"/>
    <w:rsid w:val="097038DA"/>
    <w:rsid w:val="09781078"/>
    <w:rsid w:val="097D030A"/>
    <w:rsid w:val="09881861"/>
    <w:rsid w:val="09975262"/>
    <w:rsid w:val="099C263F"/>
    <w:rsid w:val="09A05029"/>
    <w:rsid w:val="09A1452C"/>
    <w:rsid w:val="09A9771F"/>
    <w:rsid w:val="09AE2F4D"/>
    <w:rsid w:val="09AE362B"/>
    <w:rsid w:val="09B17C73"/>
    <w:rsid w:val="09B82930"/>
    <w:rsid w:val="09C07114"/>
    <w:rsid w:val="09C83435"/>
    <w:rsid w:val="09CA7044"/>
    <w:rsid w:val="09D87DE5"/>
    <w:rsid w:val="09D92CC0"/>
    <w:rsid w:val="09DA0F7A"/>
    <w:rsid w:val="09E824FB"/>
    <w:rsid w:val="09E85BD3"/>
    <w:rsid w:val="09EF578D"/>
    <w:rsid w:val="09F812ED"/>
    <w:rsid w:val="09F8397F"/>
    <w:rsid w:val="0A0E53AB"/>
    <w:rsid w:val="0A161F92"/>
    <w:rsid w:val="0A2959F4"/>
    <w:rsid w:val="0A330266"/>
    <w:rsid w:val="0A3D4F73"/>
    <w:rsid w:val="0A4D7E3C"/>
    <w:rsid w:val="0A504048"/>
    <w:rsid w:val="0A5E670D"/>
    <w:rsid w:val="0A5F567A"/>
    <w:rsid w:val="0A60497A"/>
    <w:rsid w:val="0A640D7D"/>
    <w:rsid w:val="0A65043A"/>
    <w:rsid w:val="0A6E78AC"/>
    <w:rsid w:val="0A727390"/>
    <w:rsid w:val="0A7277B4"/>
    <w:rsid w:val="0A752C74"/>
    <w:rsid w:val="0A757573"/>
    <w:rsid w:val="0A791C02"/>
    <w:rsid w:val="0A7A6BC0"/>
    <w:rsid w:val="0A7B51F2"/>
    <w:rsid w:val="0A7C75A0"/>
    <w:rsid w:val="0A844EC5"/>
    <w:rsid w:val="0A860139"/>
    <w:rsid w:val="0A875314"/>
    <w:rsid w:val="0A8D2C8A"/>
    <w:rsid w:val="0A9142CB"/>
    <w:rsid w:val="0A956601"/>
    <w:rsid w:val="0A9C5D7E"/>
    <w:rsid w:val="0A9D53A4"/>
    <w:rsid w:val="0A9E1997"/>
    <w:rsid w:val="0AA80EF3"/>
    <w:rsid w:val="0AB21116"/>
    <w:rsid w:val="0ABA6756"/>
    <w:rsid w:val="0ABB484B"/>
    <w:rsid w:val="0ABB5A72"/>
    <w:rsid w:val="0ABC041F"/>
    <w:rsid w:val="0ABF1ED6"/>
    <w:rsid w:val="0AC07AA8"/>
    <w:rsid w:val="0AC13566"/>
    <w:rsid w:val="0AC63EAB"/>
    <w:rsid w:val="0ACF0DCD"/>
    <w:rsid w:val="0AE21362"/>
    <w:rsid w:val="0AE45D42"/>
    <w:rsid w:val="0AE75CFA"/>
    <w:rsid w:val="0AE83C95"/>
    <w:rsid w:val="0AE84FA5"/>
    <w:rsid w:val="0AF50895"/>
    <w:rsid w:val="0AF555F9"/>
    <w:rsid w:val="0AF71CA7"/>
    <w:rsid w:val="0AF914D1"/>
    <w:rsid w:val="0AF95048"/>
    <w:rsid w:val="0B04223A"/>
    <w:rsid w:val="0B0431A5"/>
    <w:rsid w:val="0B0620CF"/>
    <w:rsid w:val="0B161F7E"/>
    <w:rsid w:val="0B2A559F"/>
    <w:rsid w:val="0B2C4FA0"/>
    <w:rsid w:val="0B3B1F64"/>
    <w:rsid w:val="0B427522"/>
    <w:rsid w:val="0B440899"/>
    <w:rsid w:val="0B5022AB"/>
    <w:rsid w:val="0B54499A"/>
    <w:rsid w:val="0B5B02CC"/>
    <w:rsid w:val="0B5B2E42"/>
    <w:rsid w:val="0B5D77AC"/>
    <w:rsid w:val="0B602619"/>
    <w:rsid w:val="0B6C6087"/>
    <w:rsid w:val="0B7233C0"/>
    <w:rsid w:val="0B761704"/>
    <w:rsid w:val="0B764052"/>
    <w:rsid w:val="0B77222F"/>
    <w:rsid w:val="0B7B5DDE"/>
    <w:rsid w:val="0B7D587B"/>
    <w:rsid w:val="0B7F686C"/>
    <w:rsid w:val="0B841710"/>
    <w:rsid w:val="0B842E4F"/>
    <w:rsid w:val="0B860EB1"/>
    <w:rsid w:val="0B89205B"/>
    <w:rsid w:val="0B926469"/>
    <w:rsid w:val="0B9B2BA8"/>
    <w:rsid w:val="0B9D7B85"/>
    <w:rsid w:val="0B9F4F5C"/>
    <w:rsid w:val="0BA44E80"/>
    <w:rsid w:val="0BA9664B"/>
    <w:rsid w:val="0BAB07D7"/>
    <w:rsid w:val="0BAC4B30"/>
    <w:rsid w:val="0BAF510E"/>
    <w:rsid w:val="0BB13F42"/>
    <w:rsid w:val="0BB82570"/>
    <w:rsid w:val="0BC31997"/>
    <w:rsid w:val="0BC32FF9"/>
    <w:rsid w:val="0BC77592"/>
    <w:rsid w:val="0BCE1C68"/>
    <w:rsid w:val="0BD22E3D"/>
    <w:rsid w:val="0BD31C1D"/>
    <w:rsid w:val="0BE06388"/>
    <w:rsid w:val="0BEC40AC"/>
    <w:rsid w:val="0BEC72DB"/>
    <w:rsid w:val="0BF71F85"/>
    <w:rsid w:val="0BFF1E2C"/>
    <w:rsid w:val="0C06347B"/>
    <w:rsid w:val="0C1473F3"/>
    <w:rsid w:val="0C17154F"/>
    <w:rsid w:val="0C19254F"/>
    <w:rsid w:val="0C3013BB"/>
    <w:rsid w:val="0C304327"/>
    <w:rsid w:val="0C3231B7"/>
    <w:rsid w:val="0C35305B"/>
    <w:rsid w:val="0C3A2F00"/>
    <w:rsid w:val="0C3B4378"/>
    <w:rsid w:val="0C3D0932"/>
    <w:rsid w:val="0C40740E"/>
    <w:rsid w:val="0C42498D"/>
    <w:rsid w:val="0C4428DF"/>
    <w:rsid w:val="0C447FC2"/>
    <w:rsid w:val="0C4768A1"/>
    <w:rsid w:val="0C517E6C"/>
    <w:rsid w:val="0C52000E"/>
    <w:rsid w:val="0C584FCE"/>
    <w:rsid w:val="0C591231"/>
    <w:rsid w:val="0C597785"/>
    <w:rsid w:val="0C5A47C3"/>
    <w:rsid w:val="0C5E1509"/>
    <w:rsid w:val="0C6002ED"/>
    <w:rsid w:val="0C6224BF"/>
    <w:rsid w:val="0C652AF0"/>
    <w:rsid w:val="0C675FEA"/>
    <w:rsid w:val="0C691E43"/>
    <w:rsid w:val="0C722D17"/>
    <w:rsid w:val="0C744161"/>
    <w:rsid w:val="0C7F7444"/>
    <w:rsid w:val="0C805E7D"/>
    <w:rsid w:val="0C851FE1"/>
    <w:rsid w:val="0C8D54D3"/>
    <w:rsid w:val="0C8E253E"/>
    <w:rsid w:val="0C90592D"/>
    <w:rsid w:val="0C915E4F"/>
    <w:rsid w:val="0C9309DA"/>
    <w:rsid w:val="0C94478A"/>
    <w:rsid w:val="0C963536"/>
    <w:rsid w:val="0C971DD3"/>
    <w:rsid w:val="0C97592F"/>
    <w:rsid w:val="0C9D4705"/>
    <w:rsid w:val="0C9E48E8"/>
    <w:rsid w:val="0CB45DB3"/>
    <w:rsid w:val="0CB628CC"/>
    <w:rsid w:val="0CB657C6"/>
    <w:rsid w:val="0CBD44D8"/>
    <w:rsid w:val="0CCB378C"/>
    <w:rsid w:val="0CCF511E"/>
    <w:rsid w:val="0CD32E34"/>
    <w:rsid w:val="0CD43756"/>
    <w:rsid w:val="0CD94BEA"/>
    <w:rsid w:val="0CDD0845"/>
    <w:rsid w:val="0CDE222F"/>
    <w:rsid w:val="0CE02FC7"/>
    <w:rsid w:val="0CE817BF"/>
    <w:rsid w:val="0CEB5187"/>
    <w:rsid w:val="0CEC647B"/>
    <w:rsid w:val="0CEE3374"/>
    <w:rsid w:val="0CEE43C0"/>
    <w:rsid w:val="0CF76A2D"/>
    <w:rsid w:val="0CFB148C"/>
    <w:rsid w:val="0D04316F"/>
    <w:rsid w:val="0D0726CD"/>
    <w:rsid w:val="0D1165BF"/>
    <w:rsid w:val="0D137D31"/>
    <w:rsid w:val="0D227E90"/>
    <w:rsid w:val="0D25175B"/>
    <w:rsid w:val="0D283653"/>
    <w:rsid w:val="0D322C48"/>
    <w:rsid w:val="0D342E7C"/>
    <w:rsid w:val="0D3B1712"/>
    <w:rsid w:val="0D3C2075"/>
    <w:rsid w:val="0D411534"/>
    <w:rsid w:val="0D45206F"/>
    <w:rsid w:val="0D4977E2"/>
    <w:rsid w:val="0D591B11"/>
    <w:rsid w:val="0D5C2629"/>
    <w:rsid w:val="0D623D7E"/>
    <w:rsid w:val="0D6309D2"/>
    <w:rsid w:val="0D641868"/>
    <w:rsid w:val="0D6A329E"/>
    <w:rsid w:val="0D6A7C92"/>
    <w:rsid w:val="0D701A1B"/>
    <w:rsid w:val="0D8056B7"/>
    <w:rsid w:val="0D885E53"/>
    <w:rsid w:val="0D8E7661"/>
    <w:rsid w:val="0D90048E"/>
    <w:rsid w:val="0D9102D8"/>
    <w:rsid w:val="0D980A40"/>
    <w:rsid w:val="0DA304D9"/>
    <w:rsid w:val="0DA87870"/>
    <w:rsid w:val="0DB67654"/>
    <w:rsid w:val="0DBD5DC9"/>
    <w:rsid w:val="0DBE2FD0"/>
    <w:rsid w:val="0DBF0492"/>
    <w:rsid w:val="0DC069EB"/>
    <w:rsid w:val="0DC75B1D"/>
    <w:rsid w:val="0DCF298D"/>
    <w:rsid w:val="0DD00E3F"/>
    <w:rsid w:val="0DDB4AB1"/>
    <w:rsid w:val="0DE00EA7"/>
    <w:rsid w:val="0DE05871"/>
    <w:rsid w:val="0DE17919"/>
    <w:rsid w:val="0DE25610"/>
    <w:rsid w:val="0DE604E2"/>
    <w:rsid w:val="0DEE5B45"/>
    <w:rsid w:val="0DEF450C"/>
    <w:rsid w:val="0DF36CBD"/>
    <w:rsid w:val="0DF70DA6"/>
    <w:rsid w:val="0DFD0798"/>
    <w:rsid w:val="0DFE7687"/>
    <w:rsid w:val="0DFF4F4B"/>
    <w:rsid w:val="0E0604D0"/>
    <w:rsid w:val="0E1B38AB"/>
    <w:rsid w:val="0E1E1017"/>
    <w:rsid w:val="0E1F1149"/>
    <w:rsid w:val="0E2265F8"/>
    <w:rsid w:val="0E226CC8"/>
    <w:rsid w:val="0E2505D1"/>
    <w:rsid w:val="0E2606C7"/>
    <w:rsid w:val="0E343C7B"/>
    <w:rsid w:val="0E3B0016"/>
    <w:rsid w:val="0E3F3583"/>
    <w:rsid w:val="0E454CD6"/>
    <w:rsid w:val="0E457081"/>
    <w:rsid w:val="0E461FB5"/>
    <w:rsid w:val="0E4709CC"/>
    <w:rsid w:val="0E48210F"/>
    <w:rsid w:val="0E487D44"/>
    <w:rsid w:val="0E497418"/>
    <w:rsid w:val="0E4C52FE"/>
    <w:rsid w:val="0E514B8C"/>
    <w:rsid w:val="0E5329DF"/>
    <w:rsid w:val="0E536992"/>
    <w:rsid w:val="0E643DBA"/>
    <w:rsid w:val="0E682482"/>
    <w:rsid w:val="0E6948C2"/>
    <w:rsid w:val="0E6D7852"/>
    <w:rsid w:val="0E7025AA"/>
    <w:rsid w:val="0E733FFF"/>
    <w:rsid w:val="0E841179"/>
    <w:rsid w:val="0E8A2A67"/>
    <w:rsid w:val="0E8F5466"/>
    <w:rsid w:val="0E931190"/>
    <w:rsid w:val="0E975D96"/>
    <w:rsid w:val="0E976332"/>
    <w:rsid w:val="0E9919B5"/>
    <w:rsid w:val="0E9A4005"/>
    <w:rsid w:val="0EA739C8"/>
    <w:rsid w:val="0EB1427A"/>
    <w:rsid w:val="0EBA5EF8"/>
    <w:rsid w:val="0EBA7B5C"/>
    <w:rsid w:val="0EC96A6D"/>
    <w:rsid w:val="0ECB1390"/>
    <w:rsid w:val="0ED3589E"/>
    <w:rsid w:val="0ED37110"/>
    <w:rsid w:val="0EDB6EF7"/>
    <w:rsid w:val="0EDD2EA4"/>
    <w:rsid w:val="0EDF19E8"/>
    <w:rsid w:val="0EE260CB"/>
    <w:rsid w:val="0EED2D5B"/>
    <w:rsid w:val="0EEE3723"/>
    <w:rsid w:val="0EEE4A2B"/>
    <w:rsid w:val="0EF37C88"/>
    <w:rsid w:val="0EFD57CD"/>
    <w:rsid w:val="0F0209B6"/>
    <w:rsid w:val="0F0227BC"/>
    <w:rsid w:val="0F040FAF"/>
    <w:rsid w:val="0F096531"/>
    <w:rsid w:val="0F0B7E63"/>
    <w:rsid w:val="0F0C791F"/>
    <w:rsid w:val="0F0E5416"/>
    <w:rsid w:val="0F1B6220"/>
    <w:rsid w:val="0F2371BE"/>
    <w:rsid w:val="0F242FBD"/>
    <w:rsid w:val="0F3662D0"/>
    <w:rsid w:val="0F377A3E"/>
    <w:rsid w:val="0F392C45"/>
    <w:rsid w:val="0F457894"/>
    <w:rsid w:val="0F4A46BC"/>
    <w:rsid w:val="0F4B7B1F"/>
    <w:rsid w:val="0F55126F"/>
    <w:rsid w:val="0F580DB7"/>
    <w:rsid w:val="0F5B4568"/>
    <w:rsid w:val="0F5D1A04"/>
    <w:rsid w:val="0F5D43D0"/>
    <w:rsid w:val="0F5F3EF3"/>
    <w:rsid w:val="0F6259FA"/>
    <w:rsid w:val="0F661543"/>
    <w:rsid w:val="0F6D28EA"/>
    <w:rsid w:val="0F6E110A"/>
    <w:rsid w:val="0F7015FC"/>
    <w:rsid w:val="0F711A61"/>
    <w:rsid w:val="0F72038A"/>
    <w:rsid w:val="0F7355CF"/>
    <w:rsid w:val="0F7531AA"/>
    <w:rsid w:val="0F76748F"/>
    <w:rsid w:val="0F7E7B3B"/>
    <w:rsid w:val="0F7F132A"/>
    <w:rsid w:val="0F7F174F"/>
    <w:rsid w:val="0F8A4190"/>
    <w:rsid w:val="0F907BE6"/>
    <w:rsid w:val="0F963B17"/>
    <w:rsid w:val="0FA14F53"/>
    <w:rsid w:val="0FAA6C2C"/>
    <w:rsid w:val="0FAB787D"/>
    <w:rsid w:val="0FB3361B"/>
    <w:rsid w:val="0FB75081"/>
    <w:rsid w:val="0FB80AD8"/>
    <w:rsid w:val="0FB91667"/>
    <w:rsid w:val="0FBC54CF"/>
    <w:rsid w:val="0FC20BE7"/>
    <w:rsid w:val="0FCB33B1"/>
    <w:rsid w:val="0FCD6161"/>
    <w:rsid w:val="0FD04DF1"/>
    <w:rsid w:val="0FDB0B4B"/>
    <w:rsid w:val="0FE07D3E"/>
    <w:rsid w:val="0FE243CA"/>
    <w:rsid w:val="0FE53F55"/>
    <w:rsid w:val="0FE71032"/>
    <w:rsid w:val="0FEE1DD6"/>
    <w:rsid w:val="0FF27688"/>
    <w:rsid w:val="0FF74C8C"/>
    <w:rsid w:val="0FF75A25"/>
    <w:rsid w:val="0FF94348"/>
    <w:rsid w:val="0FFA6620"/>
    <w:rsid w:val="0FFC0270"/>
    <w:rsid w:val="10081E6B"/>
    <w:rsid w:val="1008723D"/>
    <w:rsid w:val="100A5F0B"/>
    <w:rsid w:val="100B08BE"/>
    <w:rsid w:val="10136F7B"/>
    <w:rsid w:val="10174DEC"/>
    <w:rsid w:val="10202917"/>
    <w:rsid w:val="10250E97"/>
    <w:rsid w:val="10297717"/>
    <w:rsid w:val="10341235"/>
    <w:rsid w:val="10380ED8"/>
    <w:rsid w:val="10390007"/>
    <w:rsid w:val="10396F07"/>
    <w:rsid w:val="103C4E07"/>
    <w:rsid w:val="103E3AAF"/>
    <w:rsid w:val="10436D47"/>
    <w:rsid w:val="105477D0"/>
    <w:rsid w:val="10555B18"/>
    <w:rsid w:val="105642D3"/>
    <w:rsid w:val="105C1E83"/>
    <w:rsid w:val="106605B0"/>
    <w:rsid w:val="106B2C84"/>
    <w:rsid w:val="10797901"/>
    <w:rsid w:val="107B3E67"/>
    <w:rsid w:val="10805404"/>
    <w:rsid w:val="10826E3B"/>
    <w:rsid w:val="10831130"/>
    <w:rsid w:val="10877756"/>
    <w:rsid w:val="10903B35"/>
    <w:rsid w:val="10A03409"/>
    <w:rsid w:val="10A4675D"/>
    <w:rsid w:val="10AB6F34"/>
    <w:rsid w:val="10AC13A7"/>
    <w:rsid w:val="10AC2039"/>
    <w:rsid w:val="10AD6046"/>
    <w:rsid w:val="10B670F3"/>
    <w:rsid w:val="10BA2263"/>
    <w:rsid w:val="10BB37E4"/>
    <w:rsid w:val="10BC3B0C"/>
    <w:rsid w:val="10BF6C70"/>
    <w:rsid w:val="10C27E23"/>
    <w:rsid w:val="10CA54CF"/>
    <w:rsid w:val="10CA7843"/>
    <w:rsid w:val="10D20B4E"/>
    <w:rsid w:val="10D51D66"/>
    <w:rsid w:val="10D6417F"/>
    <w:rsid w:val="10D96881"/>
    <w:rsid w:val="10DB1C9F"/>
    <w:rsid w:val="10DD732A"/>
    <w:rsid w:val="10E74BCE"/>
    <w:rsid w:val="10EA7D81"/>
    <w:rsid w:val="11000096"/>
    <w:rsid w:val="110173B6"/>
    <w:rsid w:val="110F0319"/>
    <w:rsid w:val="11121E03"/>
    <w:rsid w:val="11134566"/>
    <w:rsid w:val="1116582D"/>
    <w:rsid w:val="111A4F15"/>
    <w:rsid w:val="111B6540"/>
    <w:rsid w:val="112616FB"/>
    <w:rsid w:val="11351034"/>
    <w:rsid w:val="11393C55"/>
    <w:rsid w:val="11402091"/>
    <w:rsid w:val="114967E6"/>
    <w:rsid w:val="11546BB8"/>
    <w:rsid w:val="11560650"/>
    <w:rsid w:val="11585711"/>
    <w:rsid w:val="11631BA9"/>
    <w:rsid w:val="116E2F51"/>
    <w:rsid w:val="1170063A"/>
    <w:rsid w:val="11720664"/>
    <w:rsid w:val="117551F5"/>
    <w:rsid w:val="11794860"/>
    <w:rsid w:val="118439DB"/>
    <w:rsid w:val="11885BB6"/>
    <w:rsid w:val="118926C3"/>
    <w:rsid w:val="11933E8F"/>
    <w:rsid w:val="119B0719"/>
    <w:rsid w:val="119B0DDD"/>
    <w:rsid w:val="119C5249"/>
    <w:rsid w:val="11A129B7"/>
    <w:rsid w:val="11A736B0"/>
    <w:rsid w:val="11AC24AC"/>
    <w:rsid w:val="11D23AD5"/>
    <w:rsid w:val="11D9428E"/>
    <w:rsid w:val="11DE5B10"/>
    <w:rsid w:val="11DF0F39"/>
    <w:rsid w:val="11E2588B"/>
    <w:rsid w:val="11E45382"/>
    <w:rsid w:val="11EA7D33"/>
    <w:rsid w:val="11EB2900"/>
    <w:rsid w:val="11F76FD8"/>
    <w:rsid w:val="11F83AF8"/>
    <w:rsid w:val="11FF08E4"/>
    <w:rsid w:val="12076AE2"/>
    <w:rsid w:val="120B1C50"/>
    <w:rsid w:val="12117D7B"/>
    <w:rsid w:val="121462D7"/>
    <w:rsid w:val="12336F35"/>
    <w:rsid w:val="124C3EDE"/>
    <w:rsid w:val="1258469B"/>
    <w:rsid w:val="12645AF2"/>
    <w:rsid w:val="126B3EC3"/>
    <w:rsid w:val="126D0E31"/>
    <w:rsid w:val="126D12E6"/>
    <w:rsid w:val="1279470E"/>
    <w:rsid w:val="128132D6"/>
    <w:rsid w:val="12833871"/>
    <w:rsid w:val="12844FF2"/>
    <w:rsid w:val="128E33C1"/>
    <w:rsid w:val="12915FE3"/>
    <w:rsid w:val="12A61A03"/>
    <w:rsid w:val="12AB1CD2"/>
    <w:rsid w:val="12AC2580"/>
    <w:rsid w:val="12AF1FA5"/>
    <w:rsid w:val="12B146D4"/>
    <w:rsid w:val="12C30882"/>
    <w:rsid w:val="12C9146A"/>
    <w:rsid w:val="12CB0B63"/>
    <w:rsid w:val="12CF1390"/>
    <w:rsid w:val="12D36776"/>
    <w:rsid w:val="12DC4F98"/>
    <w:rsid w:val="12E26012"/>
    <w:rsid w:val="12E30F09"/>
    <w:rsid w:val="12E51BCC"/>
    <w:rsid w:val="12E903BD"/>
    <w:rsid w:val="12EA392A"/>
    <w:rsid w:val="12F124D9"/>
    <w:rsid w:val="12F2576C"/>
    <w:rsid w:val="12FE268A"/>
    <w:rsid w:val="12FE392F"/>
    <w:rsid w:val="1300557D"/>
    <w:rsid w:val="13040B84"/>
    <w:rsid w:val="130A4B6A"/>
    <w:rsid w:val="131112E0"/>
    <w:rsid w:val="13111CE9"/>
    <w:rsid w:val="13171699"/>
    <w:rsid w:val="131D4027"/>
    <w:rsid w:val="132056F9"/>
    <w:rsid w:val="13212F58"/>
    <w:rsid w:val="13264EF5"/>
    <w:rsid w:val="13311EC5"/>
    <w:rsid w:val="13323726"/>
    <w:rsid w:val="134058A3"/>
    <w:rsid w:val="13444630"/>
    <w:rsid w:val="13491142"/>
    <w:rsid w:val="13491C91"/>
    <w:rsid w:val="134C5331"/>
    <w:rsid w:val="134E485B"/>
    <w:rsid w:val="135A2D3D"/>
    <w:rsid w:val="135D1A70"/>
    <w:rsid w:val="13603635"/>
    <w:rsid w:val="13633A56"/>
    <w:rsid w:val="136E2F71"/>
    <w:rsid w:val="136F7D4E"/>
    <w:rsid w:val="13755BB3"/>
    <w:rsid w:val="137C66BE"/>
    <w:rsid w:val="138006D2"/>
    <w:rsid w:val="138012D2"/>
    <w:rsid w:val="13804B80"/>
    <w:rsid w:val="13845A1A"/>
    <w:rsid w:val="138903B2"/>
    <w:rsid w:val="1389317A"/>
    <w:rsid w:val="138B44AF"/>
    <w:rsid w:val="139360DD"/>
    <w:rsid w:val="139D1B69"/>
    <w:rsid w:val="13A03939"/>
    <w:rsid w:val="13A33B28"/>
    <w:rsid w:val="13B3580B"/>
    <w:rsid w:val="13B54278"/>
    <w:rsid w:val="13C0517C"/>
    <w:rsid w:val="13C20407"/>
    <w:rsid w:val="13C967EF"/>
    <w:rsid w:val="13CB74E6"/>
    <w:rsid w:val="13CE28FA"/>
    <w:rsid w:val="13D755FC"/>
    <w:rsid w:val="13D77826"/>
    <w:rsid w:val="13DD2454"/>
    <w:rsid w:val="13DF76C3"/>
    <w:rsid w:val="13E0017A"/>
    <w:rsid w:val="13E07CED"/>
    <w:rsid w:val="13E95DFD"/>
    <w:rsid w:val="13F24292"/>
    <w:rsid w:val="13F340D4"/>
    <w:rsid w:val="13F4173B"/>
    <w:rsid w:val="13FB19A1"/>
    <w:rsid w:val="14076290"/>
    <w:rsid w:val="140A0D93"/>
    <w:rsid w:val="140F5055"/>
    <w:rsid w:val="14124332"/>
    <w:rsid w:val="1414592B"/>
    <w:rsid w:val="14180B0C"/>
    <w:rsid w:val="14186A03"/>
    <w:rsid w:val="14276FAA"/>
    <w:rsid w:val="142D1A7D"/>
    <w:rsid w:val="14301641"/>
    <w:rsid w:val="1436322E"/>
    <w:rsid w:val="143639C6"/>
    <w:rsid w:val="143769C2"/>
    <w:rsid w:val="14383ECC"/>
    <w:rsid w:val="14477D3B"/>
    <w:rsid w:val="1449508F"/>
    <w:rsid w:val="14582D24"/>
    <w:rsid w:val="145F25A1"/>
    <w:rsid w:val="145F388D"/>
    <w:rsid w:val="14641165"/>
    <w:rsid w:val="146B158C"/>
    <w:rsid w:val="146B5EA2"/>
    <w:rsid w:val="147057DD"/>
    <w:rsid w:val="14717CCD"/>
    <w:rsid w:val="147B2374"/>
    <w:rsid w:val="14835145"/>
    <w:rsid w:val="148B2B1D"/>
    <w:rsid w:val="14992BC0"/>
    <w:rsid w:val="149945F4"/>
    <w:rsid w:val="14A447A3"/>
    <w:rsid w:val="14A82B7D"/>
    <w:rsid w:val="14AC2E0B"/>
    <w:rsid w:val="14AE6300"/>
    <w:rsid w:val="14B060F5"/>
    <w:rsid w:val="14B346E6"/>
    <w:rsid w:val="14B651BB"/>
    <w:rsid w:val="14BF6114"/>
    <w:rsid w:val="14C67239"/>
    <w:rsid w:val="14C80FCD"/>
    <w:rsid w:val="14C94207"/>
    <w:rsid w:val="14CB0561"/>
    <w:rsid w:val="14CB35E3"/>
    <w:rsid w:val="14D07B5A"/>
    <w:rsid w:val="14D13D67"/>
    <w:rsid w:val="14D7277E"/>
    <w:rsid w:val="14D7425D"/>
    <w:rsid w:val="14DD3CA8"/>
    <w:rsid w:val="14DF38D9"/>
    <w:rsid w:val="14EF3B94"/>
    <w:rsid w:val="14F01DBD"/>
    <w:rsid w:val="14F16521"/>
    <w:rsid w:val="14F57B17"/>
    <w:rsid w:val="14FF343A"/>
    <w:rsid w:val="15051404"/>
    <w:rsid w:val="150C0D5B"/>
    <w:rsid w:val="150F24BB"/>
    <w:rsid w:val="151133A1"/>
    <w:rsid w:val="15187D9E"/>
    <w:rsid w:val="151D00EA"/>
    <w:rsid w:val="151F046B"/>
    <w:rsid w:val="15205ED3"/>
    <w:rsid w:val="15207671"/>
    <w:rsid w:val="153234C8"/>
    <w:rsid w:val="15384CD9"/>
    <w:rsid w:val="15451E90"/>
    <w:rsid w:val="154D213C"/>
    <w:rsid w:val="15532BA9"/>
    <w:rsid w:val="15595CB0"/>
    <w:rsid w:val="155A4AA0"/>
    <w:rsid w:val="155C389D"/>
    <w:rsid w:val="15640886"/>
    <w:rsid w:val="1564149D"/>
    <w:rsid w:val="156445D8"/>
    <w:rsid w:val="15671D54"/>
    <w:rsid w:val="156B76BF"/>
    <w:rsid w:val="15712E7C"/>
    <w:rsid w:val="15756DFE"/>
    <w:rsid w:val="157638F5"/>
    <w:rsid w:val="15783A2A"/>
    <w:rsid w:val="157D5725"/>
    <w:rsid w:val="157E1EFA"/>
    <w:rsid w:val="1583715A"/>
    <w:rsid w:val="158713C9"/>
    <w:rsid w:val="158957C9"/>
    <w:rsid w:val="158C0877"/>
    <w:rsid w:val="15956C76"/>
    <w:rsid w:val="159D7523"/>
    <w:rsid w:val="15A22D8C"/>
    <w:rsid w:val="15A66F68"/>
    <w:rsid w:val="15AD2900"/>
    <w:rsid w:val="15AE31F1"/>
    <w:rsid w:val="15B021A4"/>
    <w:rsid w:val="15B31823"/>
    <w:rsid w:val="15BC0CCE"/>
    <w:rsid w:val="15BD1974"/>
    <w:rsid w:val="15C922C2"/>
    <w:rsid w:val="15C96278"/>
    <w:rsid w:val="15CD4391"/>
    <w:rsid w:val="15D21E3A"/>
    <w:rsid w:val="15D929A3"/>
    <w:rsid w:val="15DF4D87"/>
    <w:rsid w:val="15E05068"/>
    <w:rsid w:val="15E64163"/>
    <w:rsid w:val="15E82E13"/>
    <w:rsid w:val="15F1270C"/>
    <w:rsid w:val="15F21407"/>
    <w:rsid w:val="15F4656B"/>
    <w:rsid w:val="15F85E28"/>
    <w:rsid w:val="15F932C5"/>
    <w:rsid w:val="15FE59DC"/>
    <w:rsid w:val="160161FA"/>
    <w:rsid w:val="1602006C"/>
    <w:rsid w:val="160550C9"/>
    <w:rsid w:val="160E4001"/>
    <w:rsid w:val="16112275"/>
    <w:rsid w:val="16116018"/>
    <w:rsid w:val="16117880"/>
    <w:rsid w:val="16182F02"/>
    <w:rsid w:val="161916C3"/>
    <w:rsid w:val="161E0E87"/>
    <w:rsid w:val="161E5D61"/>
    <w:rsid w:val="161F4565"/>
    <w:rsid w:val="162C5FC1"/>
    <w:rsid w:val="163136A6"/>
    <w:rsid w:val="16383183"/>
    <w:rsid w:val="16573930"/>
    <w:rsid w:val="165A3A18"/>
    <w:rsid w:val="165B2F3A"/>
    <w:rsid w:val="165F6ECF"/>
    <w:rsid w:val="16683E7F"/>
    <w:rsid w:val="1669099E"/>
    <w:rsid w:val="166B54B0"/>
    <w:rsid w:val="166F45EF"/>
    <w:rsid w:val="16734402"/>
    <w:rsid w:val="167C630A"/>
    <w:rsid w:val="167E098D"/>
    <w:rsid w:val="167E5BFE"/>
    <w:rsid w:val="16800157"/>
    <w:rsid w:val="16805B6B"/>
    <w:rsid w:val="168B28A8"/>
    <w:rsid w:val="1692198D"/>
    <w:rsid w:val="16A5520F"/>
    <w:rsid w:val="16AA5E0D"/>
    <w:rsid w:val="16B63E9C"/>
    <w:rsid w:val="16B70846"/>
    <w:rsid w:val="16BD0215"/>
    <w:rsid w:val="16C11A1C"/>
    <w:rsid w:val="16CA0655"/>
    <w:rsid w:val="16CB42B7"/>
    <w:rsid w:val="16D23844"/>
    <w:rsid w:val="16D37E6B"/>
    <w:rsid w:val="16DA7BC3"/>
    <w:rsid w:val="16DB6211"/>
    <w:rsid w:val="16E05784"/>
    <w:rsid w:val="16E2435D"/>
    <w:rsid w:val="16E6314C"/>
    <w:rsid w:val="16E876EC"/>
    <w:rsid w:val="16F046D6"/>
    <w:rsid w:val="16F1244F"/>
    <w:rsid w:val="16F51E76"/>
    <w:rsid w:val="16F63C6E"/>
    <w:rsid w:val="16F65B2D"/>
    <w:rsid w:val="1700279B"/>
    <w:rsid w:val="1705209A"/>
    <w:rsid w:val="17084BF7"/>
    <w:rsid w:val="170F2956"/>
    <w:rsid w:val="1713710B"/>
    <w:rsid w:val="171658EE"/>
    <w:rsid w:val="171A3331"/>
    <w:rsid w:val="171E16DF"/>
    <w:rsid w:val="17230043"/>
    <w:rsid w:val="17233A58"/>
    <w:rsid w:val="172A18C9"/>
    <w:rsid w:val="172A1B84"/>
    <w:rsid w:val="172F0C21"/>
    <w:rsid w:val="17334547"/>
    <w:rsid w:val="17346F01"/>
    <w:rsid w:val="173968B8"/>
    <w:rsid w:val="17467717"/>
    <w:rsid w:val="17494A62"/>
    <w:rsid w:val="174E0816"/>
    <w:rsid w:val="174F34A7"/>
    <w:rsid w:val="175676FD"/>
    <w:rsid w:val="175F516D"/>
    <w:rsid w:val="17633086"/>
    <w:rsid w:val="17654071"/>
    <w:rsid w:val="176904D0"/>
    <w:rsid w:val="176C68A5"/>
    <w:rsid w:val="176F3FA2"/>
    <w:rsid w:val="17747FF1"/>
    <w:rsid w:val="178100B2"/>
    <w:rsid w:val="17820010"/>
    <w:rsid w:val="17823441"/>
    <w:rsid w:val="178B287E"/>
    <w:rsid w:val="178C2FBD"/>
    <w:rsid w:val="178D2993"/>
    <w:rsid w:val="17907069"/>
    <w:rsid w:val="179B3FEB"/>
    <w:rsid w:val="179C5255"/>
    <w:rsid w:val="179C6483"/>
    <w:rsid w:val="179E14CD"/>
    <w:rsid w:val="179E6EA9"/>
    <w:rsid w:val="17A07F24"/>
    <w:rsid w:val="17A728DB"/>
    <w:rsid w:val="17A76437"/>
    <w:rsid w:val="17B4105F"/>
    <w:rsid w:val="17B5012D"/>
    <w:rsid w:val="17B62320"/>
    <w:rsid w:val="17BB3247"/>
    <w:rsid w:val="17BC558B"/>
    <w:rsid w:val="17C65324"/>
    <w:rsid w:val="17C979DB"/>
    <w:rsid w:val="17CD4ACB"/>
    <w:rsid w:val="17D62E56"/>
    <w:rsid w:val="17D973CB"/>
    <w:rsid w:val="17E35410"/>
    <w:rsid w:val="17E51886"/>
    <w:rsid w:val="17E9701D"/>
    <w:rsid w:val="17EB189B"/>
    <w:rsid w:val="17EB6C6C"/>
    <w:rsid w:val="17ED67B3"/>
    <w:rsid w:val="17EE0797"/>
    <w:rsid w:val="17EE309E"/>
    <w:rsid w:val="17F51D53"/>
    <w:rsid w:val="180001D8"/>
    <w:rsid w:val="18076060"/>
    <w:rsid w:val="1816401F"/>
    <w:rsid w:val="18167A61"/>
    <w:rsid w:val="181844C9"/>
    <w:rsid w:val="18293EE4"/>
    <w:rsid w:val="182C5CD5"/>
    <w:rsid w:val="18312090"/>
    <w:rsid w:val="18322359"/>
    <w:rsid w:val="183259E8"/>
    <w:rsid w:val="183621F4"/>
    <w:rsid w:val="183B180E"/>
    <w:rsid w:val="183C07DC"/>
    <w:rsid w:val="183D0F68"/>
    <w:rsid w:val="183D2FB6"/>
    <w:rsid w:val="18413BF7"/>
    <w:rsid w:val="184212AE"/>
    <w:rsid w:val="18486359"/>
    <w:rsid w:val="184A4F16"/>
    <w:rsid w:val="184C2897"/>
    <w:rsid w:val="18504E7B"/>
    <w:rsid w:val="1851338C"/>
    <w:rsid w:val="18561372"/>
    <w:rsid w:val="18583BD5"/>
    <w:rsid w:val="185A60CE"/>
    <w:rsid w:val="185D0CAD"/>
    <w:rsid w:val="18636704"/>
    <w:rsid w:val="1867229D"/>
    <w:rsid w:val="1867233F"/>
    <w:rsid w:val="186B77D4"/>
    <w:rsid w:val="18721BFE"/>
    <w:rsid w:val="187C2963"/>
    <w:rsid w:val="187D257D"/>
    <w:rsid w:val="187E5C8A"/>
    <w:rsid w:val="187F0F57"/>
    <w:rsid w:val="188810F8"/>
    <w:rsid w:val="18896633"/>
    <w:rsid w:val="188B5EE1"/>
    <w:rsid w:val="188D2130"/>
    <w:rsid w:val="189079C4"/>
    <w:rsid w:val="18912F76"/>
    <w:rsid w:val="189319A3"/>
    <w:rsid w:val="1896672E"/>
    <w:rsid w:val="189E65B2"/>
    <w:rsid w:val="18A032A7"/>
    <w:rsid w:val="18A614A7"/>
    <w:rsid w:val="18AD2ACB"/>
    <w:rsid w:val="18AE6F9D"/>
    <w:rsid w:val="18B56288"/>
    <w:rsid w:val="18BA7F9C"/>
    <w:rsid w:val="18BF544C"/>
    <w:rsid w:val="18C57F7D"/>
    <w:rsid w:val="18D0065A"/>
    <w:rsid w:val="18D11836"/>
    <w:rsid w:val="18D170A8"/>
    <w:rsid w:val="18DC6D96"/>
    <w:rsid w:val="18E57016"/>
    <w:rsid w:val="18F56CC2"/>
    <w:rsid w:val="18F93C51"/>
    <w:rsid w:val="18FC7284"/>
    <w:rsid w:val="1902289E"/>
    <w:rsid w:val="190776DC"/>
    <w:rsid w:val="190C6513"/>
    <w:rsid w:val="190C6B4F"/>
    <w:rsid w:val="19180693"/>
    <w:rsid w:val="191E4E1F"/>
    <w:rsid w:val="191F20A5"/>
    <w:rsid w:val="1926297D"/>
    <w:rsid w:val="192755C9"/>
    <w:rsid w:val="192E154C"/>
    <w:rsid w:val="19394341"/>
    <w:rsid w:val="193F130B"/>
    <w:rsid w:val="193F5F5B"/>
    <w:rsid w:val="19414B97"/>
    <w:rsid w:val="19474F75"/>
    <w:rsid w:val="1948761B"/>
    <w:rsid w:val="194A1770"/>
    <w:rsid w:val="194B56AB"/>
    <w:rsid w:val="194F266E"/>
    <w:rsid w:val="19570D43"/>
    <w:rsid w:val="195711D2"/>
    <w:rsid w:val="195E6FCA"/>
    <w:rsid w:val="1965248E"/>
    <w:rsid w:val="196560A7"/>
    <w:rsid w:val="19662948"/>
    <w:rsid w:val="196D31ED"/>
    <w:rsid w:val="196F3042"/>
    <w:rsid w:val="197303CB"/>
    <w:rsid w:val="19741B89"/>
    <w:rsid w:val="197A1953"/>
    <w:rsid w:val="197A4F59"/>
    <w:rsid w:val="197D629D"/>
    <w:rsid w:val="197D7FCB"/>
    <w:rsid w:val="197E643C"/>
    <w:rsid w:val="19877FC9"/>
    <w:rsid w:val="19997A18"/>
    <w:rsid w:val="199E52BD"/>
    <w:rsid w:val="19AC7A30"/>
    <w:rsid w:val="19B003FE"/>
    <w:rsid w:val="19B05D6D"/>
    <w:rsid w:val="19B32BE3"/>
    <w:rsid w:val="19C407FB"/>
    <w:rsid w:val="19C60564"/>
    <w:rsid w:val="19CB27A0"/>
    <w:rsid w:val="19D20A64"/>
    <w:rsid w:val="19D7682C"/>
    <w:rsid w:val="19D81351"/>
    <w:rsid w:val="19DA5D39"/>
    <w:rsid w:val="19E27BFB"/>
    <w:rsid w:val="19E6796C"/>
    <w:rsid w:val="19EE22D6"/>
    <w:rsid w:val="19FA7CCE"/>
    <w:rsid w:val="19FC40D1"/>
    <w:rsid w:val="19FF35B1"/>
    <w:rsid w:val="1A024A91"/>
    <w:rsid w:val="1A04207E"/>
    <w:rsid w:val="1A1B271A"/>
    <w:rsid w:val="1A2C51C6"/>
    <w:rsid w:val="1A311A09"/>
    <w:rsid w:val="1A345C36"/>
    <w:rsid w:val="1A364C8F"/>
    <w:rsid w:val="1A3B41EE"/>
    <w:rsid w:val="1A3C504E"/>
    <w:rsid w:val="1A4D77FC"/>
    <w:rsid w:val="1A4F4B6A"/>
    <w:rsid w:val="1A5E39E2"/>
    <w:rsid w:val="1A632499"/>
    <w:rsid w:val="1A6D0988"/>
    <w:rsid w:val="1A6E521D"/>
    <w:rsid w:val="1A700C82"/>
    <w:rsid w:val="1A751971"/>
    <w:rsid w:val="1A7A2BE2"/>
    <w:rsid w:val="1A7C5EDA"/>
    <w:rsid w:val="1A820F63"/>
    <w:rsid w:val="1A880046"/>
    <w:rsid w:val="1A912EEE"/>
    <w:rsid w:val="1A91580C"/>
    <w:rsid w:val="1A951405"/>
    <w:rsid w:val="1A9B2099"/>
    <w:rsid w:val="1A9E3A87"/>
    <w:rsid w:val="1A9F5BC2"/>
    <w:rsid w:val="1AA02FCB"/>
    <w:rsid w:val="1AA67B04"/>
    <w:rsid w:val="1AA76802"/>
    <w:rsid w:val="1AAC10B8"/>
    <w:rsid w:val="1AB466BF"/>
    <w:rsid w:val="1AB616D9"/>
    <w:rsid w:val="1AB97219"/>
    <w:rsid w:val="1ABD361D"/>
    <w:rsid w:val="1ABD5307"/>
    <w:rsid w:val="1AC34369"/>
    <w:rsid w:val="1AD42B5F"/>
    <w:rsid w:val="1AD512C3"/>
    <w:rsid w:val="1ADB4F34"/>
    <w:rsid w:val="1ADC0095"/>
    <w:rsid w:val="1ADE4D07"/>
    <w:rsid w:val="1AEA1873"/>
    <w:rsid w:val="1AEF165B"/>
    <w:rsid w:val="1AEF5FE3"/>
    <w:rsid w:val="1AF46A3F"/>
    <w:rsid w:val="1AF776D6"/>
    <w:rsid w:val="1AFC030E"/>
    <w:rsid w:val="1B0131D6"/>
    <w:rsid w:val="1B016F75"/>
    <w:rsid w:val="1B0A3ECB"/>
    <w:rsid w:val="1B0B3181"/>
    <w:rsid w:val="1B0D439F"/>
    <w:rsid w:val="1B101EF7"/>
    <w:rsid w:val="1B102125"/>
    <w:rsid w:val="1B174707"/>
    <w:rsid w:val="1B2079C0"/>
    <w:rsid w:val="1B230CDF"/>
    <w:rsid w:val="1B497968"/>
    <w:rsid w:val="1B4A27A7"/>
    <w:rsid w:val="1B4A4815"/>
    <w:rsid w:val="1B537AC3"/>
    <w:rsid w:val="1B56723E"/>
    <w:rsid w:val="1B5D5BD9"/>
    <w:rsid w:val="1B6376C3"/>
    <w:rsid w:val="1B65327C"/>
    <w:rsid w:val="1B6F4509"/>
    <w:rsid w:val="1B754588"/>
    <w:rsid w:val="1B792196"/>
    <w:rsid w:val="1B85584C"/>
    <w:rsid w:val="1B886252"/>
    <w:rsid w:val="1B892C29"/>
    <w:rsid w:val="1B905864"/>
    <w:rsid w:val="1B971508"/>
    <w:rsid w:val="1B9951CE"/>
    <w:rsid w:val="1B9A49E4"/>
    <w:rsid w:val="1B9F3883"/>
    <w:rsid w:val="1BB07B43"/>
    <w:rsid w:val="1BBC7C86"/>
    <w:rsid w:val="1BBF3289"/>
    <w:rsid w:val="1BBF631B"/>
    <w:rsid w:val="1BC23855"/>
    <w:rsid w:val="1BC57777"/>
    <w:rsid w:val="1BCA3D2F"/>
    <w:rsid w:val="1BD01E2D"/>
    <w:rsid w:val="1BD55B4F"/>
    <w:rsid w:val="1BD82B15"/>
    <w:rsid w:val="1BD97324"/>
    <w:rsid w:val="1BDB68C3"/>
    <w:rsid w:val="1BDB6C57"/>
    <w:rsid w:val="1BDC4E11"/>
    <w:rsid w:val="1BE26520"/>
    <w:rsid w:val="1BE83E54"/>
    <w:rsid w:val="1BE9537A"/>
    <w:rsid w:val="1BF339A9"/>
    <w:rsid w:val="1BF56719"/>
    <w:rsid w:val="1BFB5C64"/>
    <w:rsid w:val="1BFB7E8A"/>
    <w:rsid w:val="1C142692"/>
    <w:rsid w:val="1C1667F6"/>
    <w:rsid w:val="1C17697D"/>
    <w:rsid w:val="1C186EA5"/>
    <w:rsid w:val="1C2010A0"/>
    <w:rsid w:val="1C224636"/>
    <w:rsid w:val="1C263B1C"/>
    <w:rsid w:val="1C267301"/>
    <w:rsid w:val="1C2C039E"/>
    <w:rsid w:val="1C2E32A6"/>
    <w:rsid w:val="1C33267E"/>
    <w:rsid w:val="1C3D2AD4"/>
    <w:rsid w:val="1C424989"/>
    <w:rsid w:val="1C425C87"/>
    <w:rsid w:val="1C4B1713"/>
    <w:rsid w:val="1C4F2A34"/>
    <w:rsid w:val="1C530FD9"/>
    <w:rsid w:val="1C5D3484"/>
    <w:rsid w:val="1C611DFF"/>
    <w:rsid w:val="1C6E67AE"/>
    <w:rsid w:val="1C6F0D48"/>
    <w:rsid w:val="1C742D8B"/>
    <w:rsid w:val="1C746A0C"/>
    <w:rsid w:val="1C7927F1"/>
    <w:rsid w:val="1C7B60E4"/>
    <w:rsid w:val="1C856AEA"/>
    <w:rsid w:val="1C867345"/>
    <w:rsid w:val="1C8838BA"/>
    <w:rsid w:val="1C8E1268"/>
    <w:rsid w:val="1C900F26"/>
    <w:rsid w:val="1C932114"/>
    <w:rsid w:val="1C932998"/>
    <w:rsid w:val="1C9B0F75"/>
    <w:rsid w:val="1C9B7909"/>
    <w:rsid w:val="1CA613B3"/>
    <w:rsid w:val="1CA76BE7"/>
    <w:rsid w:val="1CA80F14"/>
    <w:rsid w:val="1CA87A52"/>
    <w:rsid w:val="1CAB4C1C"/>
    <w:rsid w:val="1CB264D0"/>
    <w:rsid w:val="1CB5457D"/>
    <w:rsid w:val="1CBA25A7"/>
    <w:rsid w:val="1CC55F03"/>
    <w:rsid w:val="1CD82FA8"/>
    <w:rsid w:val="1CDB6A20"/>
    <w:rsid w:val="1CDF25DA"/>
    <w:rsid w:val="1CDF6D85"/>
    <w:rsid w:val="1CE72C15"/>
    <w:rsid w:val="1CF52004"/>
    <w:rsid w:val="1CFD3CE6"/>
    <w:rsid w:val="1D011C8D"/>
    <w:rsid w:val="1D0F188D"/>
    <w:rsid w:val="1D1502E7"/>
    <w:rsid w:val="1D1D526F"/>
    <w:rsid w:val="1D221DEB"/>
    <w:rsid w:val="1D2C2C30"/>
    <w:rsid w:val="1D2E67E1"/>
    <w:rsid w:val="1D361C80"/>
    <w:rsid w:val="1D3B7393"/>
    <w:rsid w:val="1D41463B"/>
    <w:rsid w:val="1D5042C5"/>
    <w:rsid w:val="1D552567"/>
    <w:rsid w:val="1D596885"/>
    <w:rsid w:val="1D5B7056"/>
    <w:rsid w:val="1D5B7CCC"/>
    <w:rsid w:val="1D6404E4"/>
    <w:rsid w:val="1D660A59"/>
    <w:rsid w:val="1D6D1C70"/>
    <w:rsid w:val="1D74500E"/>
    <w:rsid w:val="1D745AEB"/>
    <w:rsid w:val="1D763860"/>
    <w:rsid w:val="1D791FC7"/>
    <w:rsid w:val="1D7B2840"/>
    <w:rsid w:val="1D7D5827"/>
    <w:rsid w:val="1D861C7D"/>
    <w:rsid w:val="1D863B00"/>
    <w:rsid w:val="1D876DEB"/>
    <w:rsid w:val="1D8E0085"/>
    <w:rsid w:val="1D8E71B6"/>
    <w:rsid w:val="1D8F2DD5"/>
    <w:rsid w:val="1D9543D6"/>
    <w:rsid w:val="1D9F211C"/>
    <w:rsid w:val="1D9F42E9"/>
    <w:rsid w:val="1DA03CC0"/>
    <w:rsid w:val="1DA862F0"/>
    <w:rsid w:val="1DAA68DE"/>
    <w:rsid w:val="1DAA78A9"/>
    <w:rsid w:val="1DAC20C9"/>
    <w:rsid w:val="1DB046A2"/>
    <w:rsid w:val="1DB25ACC"/>
    <w:rsid w:val="1DB33130"/>
    <w:rsid w:val="1DB5105A"/>
    <w:rsid w:val="1DB65305"/>
    <w:rsid w:val="1DBA34EC"/>
    <w:rsid w:val="1DBC4E46"/>
    <w:rsid w:val="1DBE4210"/>
    <w:rsid w:val="1DC22CBF"/>
    <w:rsid w:val="1DC85359"/>
    <w:rsid w:val="1DCF3FF5"/>
    <w:rsid w:val="1DD1747E"/>
    <w:rsid w:val="1DD22C60"/>
    <w:rsid w:val="1DD421C9"/>
    <w:rsid w:val="1DDC108B"/>
    <w:rsid w:val="1DED01CC"/>
    <w:rsid w:val="1DEE7CF7"/>
    <w:rsid w:val="1DF045FE"/>
    <w:rsid w:val="1DF27F59"/>
    <w:rsid w:val="1DF4614E"/>
    <w:rsid w:val="1DF92D37"/>
    <w:rsid w:val="1DFC3B59"/>
    <w:rsid w:val="1DFD0625"/>
    <w:rsid w:val="1E0008C9"/>
    <w:rsid w:val="1E033DFC"/>
    <w:rsid w:val="1E041D39"/>
    <w:rsid w:val="1E0F2FEF"/>
    <w:rsid w:val="1E1862E1"/>
    <w:rsid w:val="1E1E54FA"/>
    <w:rsid w:val="1E22348F"/>
    <w:rsid w:val="1E270653"/>
    <w:rsid w:val="1E2D51E3"/>
    <w:rsid w:val="1E301693"/>
    <w:rsid w:val="1E320A01"/>
    <w:rsid w:val="1E363964"/>
    <w:rsid w:val="1E3819A8"/>
    <w:rsid w:val="1E3935FC"/>
    <w:rsid w:val="1E3B4997"/>
    <w:rsid w:val="1E404C09"/>
    <w:rsid w:val="1E420084"/>
    <w:rsid w:val="1E4478C4"/>
    <w:rsid w:val="1E454C7D"/>
    <w:rsid w:val="1E4C056D"/>
    <w:rsid w:val="1E4F03DE"/>
    <w:rsid w:val="1E506F85"/>
    <w:rsid w:val="1E544F74"/>
    <w:rsid w:val="1E5E5F93"/>
    <w:rsid w:val="1E647982"/>
    <w:rsid w:val="1E647B2F"/>
    <w:rsid w:val="1E660290"/>
    <w:rsid w:val="1E6A2FF8"/>
    <w:rsid w:val="1E6C3238"/>
    <w:rsid w:val="1E701175"/>
    <w:rsid w:val="1E7279EA"/>
    <w:rsid w:val="1E73404E"/>
    <w:rsid w:val="1E7519B9"/>
    <w:rsid w:val="1E7964C0"/>
    <w:rsid w:val="1E7A2E3A"/>
    <w:rsid w:val="1E7B33AF"/>
    <w:rsid w:val="1E7E0571"/>
    <w:rsid w:val="1E8018DF"/>
    <w:rsid w:val="1E834B61"/>
    <w:rsid w:val="1E882466"/>
    <w:rsid w:val="1E887CC3"/>
    <w:rsid w:val="1E8D7670"/>
    <w:rsid w:val="1EB44B82"/>
    <w:rsid w:val="1EB63404"/>
    <w:rsid w:val="1EB742A5"/>
    <w:rsid w:val="1EB9343A"/>
    <w:rsid w:val="1EBA2EF4"/>
    <w:rsid w:val="1EBB24DF"/>
    <w:rsid w:val="1EBC2140"/>
    <w:rsid w:val="1EC31491"/>
    <w:rsid w:val="1EC96474"/>
    <w:rsid w:val="1ED024B1"/>
    <w:rsid w:val="1EE27A40"/>
    <w:rsid w:val="1EE922B8"/>
    <w:rsid w:val="1EEB4BEF"/>
    <w:rsid w:val="1EEE2C1C"/>
    <w:rsid w:val="1EFD0D3B"/>
    <w:rsid w:val="1F0851BC"/>
    <w:rsid w:val="1F0C5149"/>
    <w:rsid w:val="1F0E79CF"/>
    <w:rsid w:val="1F0F22AB"/>
    <w:rsid w:val="1F191227"/>
    <w:rsid w:val="1F1D0C04"/>
    <w:rsid w:val="1F236228"/>
    <w:rsid w:val="1F261C67"/>
    <w:rsid w:val="1F2D599E"/>
    <w:rsid w:val="1F2E422D"/>
    <w:rsid w:val="1F2E4B28"/>
    <w:rsid w:val="1F311AC3"/>
    <w:rsid w:val="1F3464FE"/>
    <w:rsid w:val="1F3C7252"/>
    <w:rsid w:val="1F4E6C57"/>
    <w:rsid w:val="1F5350F7"/>
    <w:rsid w:val="1F555A28"/>
    <w:rsid w:val="1F5701D1"/>
    <w:rsid w:val="1F572973"/>
    <w:rsid w:val="1F585820"/>
    <w:rsid w:val="1F5B73B8"/>
    <w:rsid w:val="1F5C5EDB"/>
    <w:rsid w:val="1F644C07"/>
    <w:rsid w:val="1F67113C"/>
    <w:rsid w:val="1F6B57FA"/>
    <w:rsid w:val="1F6E3CDF"/>
    <w:rsid w:val="1F710BB1"/>
    <w:rsid w:val="1F712787"/>
    <w:rsid w:val="1F796EED"/>
    <w:rsid w:val="1F7C5AAA"/>
    <w:rsid w:val="1F7C77B8"/>
    <w:rsid w:val="1F7E2B4A"/>
    <w:rsid w:val="1F7F3B41"/>
    <w:rsid w:val="1F843502"/>
    <w:rsid w:val="1F884358"/>
    <w:rsid w:val="1F8D1F13"/>
    <w:rsid w:val="1F904AFD"/>
    <w:rsid w:val="1F91061F"/>
    <w:rsid w:val="1F9B12F2"/>
    <w:rsid w:val="1FA91638"/>
    <w:rsid w:val="1FA955D5"/>
    <w:rsid w:val="1FB12B06"/>
    <w:rsid w:val="1FB6369B"/>
    <w:rsid w:val="1FC17751"/>
    <w:rsid w:val="1FC758B2"/>
    <w:rsid w:val="1FCC05A0"/>
    <w:rsid w:val="1FCD06AC"/>
    <w:rsid w:val="1FCF1C1D"/>
    <w:rsid w:val="1FD674E6"/>
    <w:rsid w:val="1FD836C5"/>
    <w:rsid w:val="1FD9685B"/>
    <w:rsid w:val="1FDA21B1"/>
    <w:rsid w:val="1FE50B62"/>
    <w:rsid w:val="1FE701FE"/>
    <w:rsid w:val="1FE95AC6"/>
    <w:rsid w:val="1FEF345E"/>
    <w:rsid w:val="1FF3194D"/>
    <w:rsid w:val="1FF6772F"/>
    <w:rsid w:val="1FFE6CD2"/>
    <w:rsid w:val="20016901"/>
    <w:rsid w:val="20021A63"/>
    <w:rsid w:val="20043300"/>
    <w:rsid w:val="200A5AFC"/>
    <w:rsid w:val="200B307F"/>
    <w:rsid w:val="20100AD0"/>
    <w:rsid w:val="201111A5"/>
    <w:rsid w:val="20122F9E"/>
    <w:rsid w:val="20126C3D"/>
    <w:rsid w:val="201709B7"/>
    <w:rsid w:val="20214AED"/>
    <w:rsid w:val="20226924"/>
    <w:rsid w:val="20273B26"/>
    <w:rsid w:val="20282555"/>
    <w:rsid w:val="20292515"/>
    <w:rsid w:val="203502FF"/>
    <w:rsid w:val="203561AF"/>
    <w:rsid w:val="203A539D"/>
    <w:rsid w:val="203C307F"/>
    <w:rsid w:val="203F7087"/>
    <w:rsid w:val="205565BD"/>
    <w:rsid w:val="205729C5"/>
    <w:rsid w:val="20586E69"/>
    <w:rsid w:val="205A3941"/>
    <w:rsid w:val="205A3EEF"/>
    <w:rsid w:val="205E3D53"/>
    <w:rsid w:val="20634598"/>
    <w:rsid w:val="20654856"/>
    <w:rsid w:val="206703A7"/>
    <w:rsid w:val="20694C56"/>
    <w:rsid w:val="20703557"/>
    <w:rsid w:val="20787E17"/>
    <w:rsid w:val="207A02F7"/>
    <w:rsid w:val="207A17EC"/>
    <w:rsid w:val="207D3F19"/>
    <w:rsid w:val="20807415"/>
    <w:rsid w:val="20852A31"/>
    <w:rsid w:val="208676A0"/>
    <w:rsid w:val="20884518"/>
    <w:rsid w:val="208F60CF"/>
    <w:rsid w:val="209D366C"/>
    <w:rsid w:val="20A3017E"/>
    <w:rsid w:val="20A334E4"/>
    <w:rsid w:val="20A65DF8"/>
    <w:rsid w:val="20A83503"/>
    <w:rsid w:val="20AA3D5B"/>
    <w:rsid w:val="20AD2576"/>
    <w:rsid w:val="20B13B50"/>
    <w:rsid w:val="20BF1246"/>
    <w:rsid w:val="20C5635A"/>
    <w:rsid w:val="20CA3197"/>
    <w:rsid w:val="20CC4243"/>
    <w:rsid w:val="20CD76A5"/>
    <w:rsid w:val="20D92368"/>
    <w:rsid w:val="20DC28AC"/>
    <w:rsid w:val="20DC786E"/>
    <w:rsid w:val="20DD683F"/>
    <w:rsid w:val="20DE5663"/>
    <w:rsid w:val="20DF4A10"/>
    <w:rsid w:val="20E05FA6"/>
    <w:rsid w:val="20E06E5E"/>
    <w:rsid w:val="20E112FC"/>
    <w:rsid w:val="20E14A84"/>
    <w:rsid w:val="20E730CA"/>
    <w:rsid w:val="20F004F7"/>
    <w:rsid w:val="20F12A91"/>
    <w:rsid w:val="20F315B0"/>
    <w:rsid w:val="20F5118D"/>
    <w:rsid w:val="21020255"/>
    <w:rsid w:val="21032678"/>
    <w:rsid w:val="210D19A6"/>
    <w:rsid w:val="210D6BC0"/>
    <w:rsid w:val="21110DC5"/>
    <w:rsid w:val="21111EDC"/>
    <w:rsid w:val="211260D5"/>
    <w:rsid w:val="21156058"/>
    <w:rsid w:val="211A69E0"/>
    <w:rsid w:val="21211637"/>
    <w:rsid w:val="21231F1B"/>
    <w:rsid w:val="21260D15"/>
    <w:rsid w:val="21293D11"/>
    <w:rsid w:val="212A0CF9"/>
    <w:rsid w:val="212E4CE8"/>
    <w:rsid w:val="212E649E"/>
    <w:rsid w:val="212F77C6"/>
    <w:rsid w:val="213E6513"/>
    <w:rsid w:val="21415B4F"/>
    <w:rsid w:val="21447156"/>
    <w:rsid w:val="21520636"/>
    <w:rsid w:val="215451AC"/>
    <w:rsid w:val="21561462"/>
    <w:rsid w:val="215A3C49"/>
    <w:rsid w:val="215D36CA"/>
    <w:rsid w:val="21657BF8"/>
    <w:rsid w:val="216C6C87"/>
    <w:rsid w:val="21700ECD"/>
    <w:rsid w:val="21854EB9"/>
    <w:rsid w:val="2192120D"/>
    <w:rsid w:val="21941D90"/>
    <w:rsid w:val="219464FF"/>
    <w:rsid w:val="21AB3214"/>
    <w:rsid w:val="21B622BD"/>
    <w:rsid w:val="21C90130"/>
    <w:rsid w:val="21CA1240"/>
    <w:rsid w:val="21CB3A77"/>
    <w:rsid w:val="21CD0527"/>
    <w:rsid w:val="21D061AB"/>
    <w:rsid w:val="21D10E8D"/>
    <w:rsid w:val="21D13380"/>
    <w:rsid w:val="21D3389C"/>
    <w:rsid w:val="21D61594"/>
    <w:rsid w:val="21D666CD"/>
    <w:rsid w:val="21DE60F4"/>
    <w:rsid w:val="21E84388"/>
    <w:rsid w:val="21EA02CF"/>
    <w:rsid w:val="21F20697"/>
    <w:rsid w:val="21FB10CA"/>
    <w:rsid w:val="21FF5A24"/>
    <w:rsid w:val="221B7AA5"/>
    <w:rsid w:val="22252EB1"/>
    <w:rsid w:val="22273FAE"/>
    <w:rsid w:val="22335B48"/>
    <w:rsid w:val="22347B67"/>
    <w:rsid w:val="22351401"/>
    <w:rsid w:val="223F3ED6"/>
    <w:rsid w:val="22404711"/>
    <w:rsid w:val="224402D9"/>
    <w:rsid w:val="22457CA0"/>
    <w:rsid w:val="22471A78"/>
    <w:rsid w:val="2248022A"/>
    <w:rsid w:val="22517C73"/>
    <w:rsid w:val="225C7B95"/>
    <w:rsid w:val="22603DB2"/>
    <w:rsid w:val="226A2D27"/>
    <w:rsid w:val="226B3BBE"/>
    <w:rsid w:val="227222C8"/>
    <w:rsid w:val="227E7BA5"/>
    <w:rsid w:val="22834738"/>
    <w:rsid w:val="22863494"/>
    <w:rsid w:val="22890DA5"/>
    <w:rsid w:val="228D1298"/>
    <w:rsid w:val="228E44F3"/>
    <w:rsid w:val="22971276"/>
    <w:rsid w:val="229C56D0"/>
    <w:rsid w:val="22A03560"/>
    <w:rsid w:val="22A145FC"/>
    <w:rsid w:val="22A53F0A"/>
    <w:rsid w:val="22A719E1"/>
    <w:rsid w:val="22A87042"/>
    <w:rsid w:val="22AA6EB3"/>
    <w:rsid w:val="22AC5EB8"/>
    <w:rsid w:val="22B26A6A"/>
    <w:rsid w:val="22B63D85"/>
    <w:rsid w:val="22BD5EF0"/>
    <w:rsid w:val="22BF1CB4"/>
    <w:rsid w:val="22C127BE"/>
    <w:rsid w:val="22C12F5F"/>
    <w:rsid w:val="22C449BE"/>
    <w:rsid w:val="22C87D1B"/>
    <w:rsid w:val="22E82DA4"/>
    <w:rsid w:val="22E9059E"/>
    <w:rsid w:val="22F24EAF"/>
    <w:rsid w:val="22F27B28"/>
    <w:rsid w:val="22FB4672"/>
    <w:rsid w:val="230B0BDE"/>
    <w:rsid w:val="230C373A"/>
    <w:rsid w:val="23155396"/>
    <w:rsid w:val="231B3B15"/>
    <w:rsid w:val="231D4894"/>
    <w:rsid w:val="23214C0D"/>
    <w:rsid w:val="2325313C"/>
    <w:rsid w:val="232C638A"/>
    <w:rsid w:val="232D4A27"/>
    <w:rsid w:val="2333717D"/>
    <w:rsid w:val="2338088B"/>
    <w:rsid w:val="233C0CE3"/>
    <w:rsid w:val="23422AFB"/>
    <w:rsid w:val="234D39C2"/>
    <w:rsid w:val="234F26DF"/>
    <w:rsid w:val="23571659"/>
    <w:rsid w:val="2359152A"/>
    <w:rsid w:val="23651871"/>
    <w:rsid w:val="236726E7"/>
    <w:rsid w:val="2369111C"/>
    <w:rsid w:val="23821238"/>
    <w:rsid w:val="2383244E"/>
    <w:rsid w:val="23854DC7"/>
    <w:rsid w:val="23897B7D"/>
    <w:rsid w:val="238F44FB"/>
    <w:rsid w:val="23946018"/>
    <w:rsid w:val="23983A20"/>
    <w:rsid w:val="239F05E7"/>
    <w:rsid w:val="23AD06CF"/>
    <w:rsid w:val="23AE1A31"/>
    <w:rsid w:val="23B151CE"/>
    <w:rsid w:val="23C212E7"/>
    <w:rsid w:val="23C5141E"/>
    <w:rsid w:val="23CA2768"/>
    <w:rsid w:val="23CD3618"/>
    <w:rsid w:val="23D40657"/>
    <w:rsid w:val="23D662A2"/>
    <w:rsid w:val="23DB45F2"/>
    <w:rsid w:val="23DD12F7"/>
    <w:rsid w:val="23E07165"/>
    <w:rsid w:val="23E74F41"/>
    <w:rsid w:val="23EB5117"/>
    <w:rsid w:val="23EE3D82"/>
    <w:rsid w:val="23EF5723"/>
    <w:rsid w:val="23F127DA"/>
    <w:rsid w:val="23F55382"/>
    <w:rsid w:val="23F56B1F"/>
    <w:rsid w:val="23F9323F"/>
    <w:rsid w:val="23FA1FE5"/>
    <w:rsid w:val="24045D87"/>
    <w:rsid w:val="24052E78"/>
    <w:rsid w:val="240834CF"/>
    <w:rsid w:val="240D4CCB"/>
    <w:rsid w:val="24123DA9"/>
    <w:rsid w:val="241412AC"/>
    <w:rsid w:val="24156657"/>
    <w:rsid w:val="24167F0D"/>
    <w:rsid w:val="24206D61"/>
    <w:rsid w:val="24231F59"/>
    <w:rsid w:val="242342EB"/>
    <w:rsid w:val="242D4CA3"/>
    <w:rsid w:val="243215B8"/>
    <w:rsid w:val="24334A9E"/>
    <w:rsid w:val="24340262"/>
    <w:rsid w:val="243472A5"/>
    <w:rsid w:val="243E743F"/>
    <w:rsid w:val="24410021"/>
    <w:rsid w:val="2449175D"/>
    <w:rsid w:val="24574981"/>
    <w:rsid w:val="2458575C"/>
    <w:rsid w:val="245C4C5C"/>
    <w:rsid w:val="246510CC"/>
    <w:rsid w:val="24665E4F"/>
    <w:rsid w:val="2467795C"/>
    <w:rsid w:val="246D00D0"/>
    <w:rsid w:val="24716A2E"/>
    <w:rsid w:val="2474622B"/>
    <w:rsid w:val="2476477C"/>
    <w:rsid w:val="24766B59"/>
    <w:rsid w:val="247B23D8"/>
    <w:rsid w:val="248542C8"/>
    <w:rsid w:val="248759A0"/>
    <w:rsid w:val="249366A6"/>
    <w:rsid w:val="24945EAE"/>
    <w:rsid w:val="24A103D2"/>
    <w:rsid w:val="24A32A4D"/>
    <w:rsid w:val="24A736F2"/>
    <w:rsid w:val="24AB2EFD"/>
    <w:rsid w:val="24AC385C"/>
    <w:rsid w:val="24B0594D"/>
    <w:rsid w:val="24B4796E"/>
    <w:rsid w:val="24B64A7C"/>
    <w:rsid w:val="24BA707C"/>
    <w:rsid w:val="24C31D74"/>
    <w:rsid w:val="24C63DAC"/>
    <w:rsid w:val="24C832F8"/>
    <w:rsid w:val="24C9291C"/>
    <w:rsid w:val="24CC0BC9"/>
    <w:rsid w:val="24DB41A5"/>
    <w:rsid w:val="24DF1884"/>
    <w:rsid w:val="24E171E0"/>
    <w:rsid w:val="24E17CEC"/>
    <w:rsid w:val="24E22DCF"/>
    <w:rsid w:val="24E24220"/>
    <w:rsid w:val="24E76F70"/>
    <w:rsid w:val="24E93551"/>
    <w:rsid w:val="24F5112A"/>
    <w:rsid w:val="24F60605"/>
    <w:rsid w:val="24FA6740"/>
    <w:rsid w:val="24FE740F"/>
    <w:rsid w:val="250300A5"/>
    <w:rsid w:val="250B2F3C"/>
    <w:rsid w:val="251025DC"/>
    <w:rsid w:val="25170633"/>
    <w:rsid w:val="251A3D6A"/>
    <w:rsid w:val="251B1C76"/>
    <w:rsid w:val="251D1C6C"/>
    <w:rsid w:val="25262D8D"/>
    <w:rsid w:val="25273A69"/>
    <w:rsid w:val="25327F2A"/>
    <w:rsid w:val="25352160"/>
    <w:rsid w:val="25383126"/>
    <w:rsid w:val="253D0D41"/>
    <w:rsid w:val="25404894"/>
    <w:rsid w:val="25411191"/>
    <w:rsid w:val="25470C0C"/>
    <w:rsid w:val="255721C3"/>
    <w:rsid w:val="255A47B8"/>
    <w:rsid w:val="257513A3"/>
    <w:rsid w:val="257623B3"/>
    <w:rsid w:val="25764501"/>
    <w:rsid w:val="257C522C"/>
    <w:rsid w:val="257E384B"/>
    <w:rsid w:val="257F1B1A"/>
    <w:rsid w:val="25852C6A"/>
    <w:rsid w:val="258712C1"/>
    <w:rsid w:val="258867AC"/>
    <w:rsid w:val="25900E53"/>
    <w:rsid w:val="259049B8"/>
    <w:rsid w:val="25975712"/>
    <w:rsid w:val="259C2622"/>
    <w:rsid w:val="25A27728"/>
    <w:rsid w:val="25A920CF"/>
    <w:rsid w:val="25AD6702"/>
    <w:rsid w:val="25BA3DD7"/>
    <w:rsid w:val="25C00980"/>
    <w:rsid w:val="25C1612A"/>
    <w:rsid w:val="25C3498C"/>
    <w:rsid w:val="25C811E1"/>
    <w:rsid w:val="25D83FA9"/>
    <w:rsid w:val="25DF0A79"/>
    <w:rsid w:val="25E326B2"/>
    <w:rsid w:val="25E940BF"/>
    <w:rsid w:val="25EF3DCB"/>
    <w:rsid w:val="25F02755"/>
    <w:rsid w:val="25F16AB4"/>
    <w:rsid w:val="25F2150F"/>
    <w:rsid w:val="25F3318F"/>
    <w:rsid w:val="25F413E1"/>
    <w:rsid w:val="25F77BF2"/>
    <w:rsid w:val="25F846D4"/>
    <w:rsid w:val="25FB64A4"/>
    <w:rsid w:val="260450DB"/>
    <w:rsid w:val="26061884"/>
    <w:rsid w:val="260627C1"/>
    <w:rsid w:val="26073B12"/>
    <w:rsid w:val="260809E9"/>
    <w:rsid w:val="26101C52"/>
    <w:rsid w:val="261512F5"/>
    <w:rsid w:val="261C37E8"/>
    <w:rsid w:val="261D5F1C"/>
    <w:rsid w:val="262335AB"/>
    <w:rsid w:val="2630217C"/>
    <w:rsid w:val="26346052"/>
    <w:rsid w:val="263A198C"/>
    <w:rsid w:val="263B3BAD"/>
    <w:rsid w:val="263E73E7"/>
    <w:rsid w:val="26526108"/>
    <w:rsid w:val="26555F8A"/>
    <w:rsid w:val="265D270F"/>
    <w:rsid w:val="265F25D3"/>
    <w:rsid w:val="266474D8"/>
    <w:rsid w:val="266D4CF0"/>
    <w:rsid w:val="26784270"/>
    <w:rsid w:val="267843CE"/>
    <w:rsid w:val="267B0F23"/>
    <w:rsid w:val="267C5EE9"/>
    <w:rsid w:val="267D02BD"/>
    <w:rsid w:val="26876DE5"/>
    <w:rsid w:val="268A6BC2"/>
    <w:rsid w:val="268F7F25"/>
    <w:rsid w:val="26912275"/>
    <w:rsid w:val="26943792"/>
    <w:rsid w:val="26984E2B"/>
    <w:rsid w:val="269E3BF3"/>
    <w:rsid w:val="26A12EEC"/>
    <w:rsid w:val="26A728EA"/>
    <w:rsid w:val="26AA3870"/>
    <w:rsid w:val="26AD778B"/>
    <w:rsid w:val="26AF4429"/>
    <w:rsid w:val="26BB2A4F"/>
    <w:rsid w:val="26BE34F6"/>
    <w:rsid w:val="26C2230F"/>
    <w:rsid w:val="26C3253E"/>
    <w:rsid w:val="26C45DF5"/>
    <w:rsid w:val="26C91CBC"/>
    <w:rsid w:val="26CA4E17"/>
    <w:rsid w:val="26DD7F07"/>
    <w:rsid w:val="26E156DF"/>
    <w:rsid w:val="26E25864"/>
    <w:rsid w:val="26E31456"/>
    <w:rsid w:val="26EA5383"/>
    <w:rsid w:val="26F03ABB"/>
    <w:rsid w:val="26F50AF6"/>
    <w:rsid w:val="26FD280E"/>
    <w:rsid w:val="270C13CE"/>
    <w:rsid w:val="270F7E03"/>
    <w:rsid w:val="27102996"/>
    <w:rsid w:val="27111B1F"/>
    <w:rsid w:val="271162D9"/>
    <w:rsid w:val="271E2F7F"/>
    <w:rsid w:val="271E5FEA"/>
    <w:rsid w:val="272551B8"/>
    <w:rsid w:val="27270BAA"/>
    <w:rsid w:val="27287119"/>
    <w:rsid w:val="272B1A0A"/>
    <w:rsid w:val="272D16D7"/>
    <w:rsid w:val="27327090"/>
    <w:rsid w:val="27353546"/>
    <w:rsid w:val="273601EC"/>
    <w:rsid w:val="2736669F"/>
    <w:rsid w:val="273B646C"/>
    <w:rsid w:val="2743728F"/>
    <w:rsid w:val="274823FF"/>
    <w:rsid w:val="274F0E1C"/>
    <w:rsid w:val="27517EC2"/>
    <w:rsid w:val="275250B3"/>
    <w:rsid w:val="275C41E3"/>
    <w:rsid w:val="2764526E"/>
    <w:rsid w:val="27654D58"/>
    <w:rsid w:val="27662F92"/>
    <w:rsid w:val="276B14C3"/>
    <w:rsid w:val="276D7292"/>
    <w:rsid w:val="277F618B"/>
    <w:rsid w:val="278E69AC"/>
    <w:rsid w:val="2791794B"/>
    <w:rsid w:val="27963BCF"/>
    <w:rsid w:val="279C1FEF"/>
    <w:rsid w:val="279F6515"/>
    <w:rsid w:val="27A20950"/>
    <w:rsid w:val="27A651D3"/>
    <w:rsid w:val="27AB2DB4"/>
    <w:rsid w:val="27AC1848"/>
    <w:rsid w:val="27BB7A1B"/>
    <w:rsid w:val="27BD4D96"/>
    <w:rsid w:val="27BF5A1F"/>
    <w:rsid w:val="27C33C03"/>
    <w:rsid w:val="27C4506D"/>
    <w:rsid w:val="27C53DD5"/>
    <w:rsid w:val="27CA0744"/>
    <w:rsid w:val="27CA43CF"/>
    <w:rsid w:val="27CE2BC4"/>
    <w:rsid w:val="27CF275D"/>
    <w:rsid w:val="27CF5EFF"/>
    <w:rsid w:val="27D636C1"/>
    <w:rsid w:val="27D710F0"/>
    <w:rsid w:val="27D84356"/>
    <w:rsid w:val="27DC6B6D"/>
    <w:rsid w:val="27DD2318"/>
    <w:rsid w:val="27E014F2"/>
    <w:rsid w:val="27E17DFF"/>
    <w:rsid w:val="27E21246"/>
    <w:rsid w:val="27E379D5"/>
    <w:rsid w:val="27E52BED"/>
    <w:rsid w:val="27E666A0"/>
    <w:rsid w:val="27EC7E96"/>
    <w:rsid w:val="27EF12F0"/>
    <w:rsid w:val="27EF442A"/>
    <w:rsid w:val="27FC78AA"/>
    <w:rsid w:val="27FD085A"/>
    <w:rsid w:val="28042655"/>
    <w:rsid w:val="28081174"/>
    <w:rsid w:val="28087664"/>
    <w:rsid w:val="28141D23"/>
    <w:rsid w:val="281A7F4A"/>
    <w:rsid w:val="281F79A2"/>
    <w:rsid w:val="28216CD6"/>
    <w:rsid w:val="28217CBE"/>
    <w:rsid w:val="28363815"/>
    <w:rsid w:val="2843399C"/>
    <w:rsid w:val="284D67AE"/>
    <w:rsid w:val="28504854"/>
    <w:rsid w:val="285A0F76"/>
    <w:rsid w:val="285E411F"/>
    <w:rsid w:val="285E4CDB"/>
    <w:rsid w:val="286514A0"/>
    <w:rsid w:val="28700753"/>
    <w:rsid w:val="287C7AB4"/>
    <w:rsid w:val="288003CD"/>
    <w:rsid w:val="28832674"/>
    <w:rsid w:val="28862DE3"/>
    <w:rsid w:val="288C5ECC"/>
    <w:rsid w:val="289544F3"/>
    <w:rsid w:val="28986B17"/>
    <w:rsid w:val="289A5099"/>
    <w:rsid w:val="289F315B"/>
    <w:rsid w:val="28AB7D65"/>
    <w:rsid w:val="28B121EF"/>
    <w:rsid w:val="28C2197F"/>
    <w:rsid w:val="28C22C60"/>
    <w:rsid w:val="28C5461E"/>
    <w:rsid w:val="28C73704"/>
    <w:rsid w:val="28E53AFA"/>
    <w:rsid w:val="28E60D8A"/>
    <w:rsid w:val="28E84B02"/>
    <w:rsid w:val="28E916DD"/>
    <w:rsid w:val="28F20F4C"/>
    <w:rsid w:val="28F93AB3"/>
    <w:rsid w:val="28F96DC7"/>
    <w:rsid w:val="28FE1F8C"/>
    <w:rsid w:val="28FE3ED7"/>
    <w:rsid w:val="29060C75"/>
    <w:rsid w:val="290B3F61"/>
    <w:rsid w:val="291C1902"/>
    <w:rsid w:val="292003E5"/>
    <w:rsid w:val="2921402B"/>
    <w:rsid w:val="29224B74"/>
    <w:rsid w:val="2925586D"/>
    <w:rsid w:val="29267CAD"/>
    <w:rsid w:val="29291A97"/>
    <w:rsid w:val="29342A37"/>
    <w:rsid w:val="2944354B"/>
    <w:rsid w:val="29445EC3"/>
    <w:rsid w:val="294A1589"/>
    <w:rsid w:val="294E6319"/>
    <w:rsid w:val="294E6D0B"/>
    <w:rsid w:val="294F253E"/>
    <w:rsid w:val="29504EBA"/>
    <w:rsid w:val="29563FE2"/>
    <w:rsid w:val="29567CBD"/>
    <w:rsid w:val="29593ADC"/>
    <w:rsid w:val="295F4194"/>
    <w:rsid w:val="2963662A"/>
    <w:rsid w:val="29646368"/>
    <w:rsid w:val="296641FF"/>
    <w:rsid w:val="29692A46"/>
    <w:rsid w:val="297A5ABE"/>
    <w:rsid w:val="297B1453"/>
    <w:rsid w:val="297C274F"/>
    <w:rsid w:val="297F5E64"/>
    <w:rsid w:val="29824698"/>
    <w:rsid w:val="29870205"/>
    <w:rsid w:val="298C0695"/>
    <w:rsid w:val="29935DF2"/>
    <w:rsid w:val="29946A38"/>
    <w:rsid w:val="29983AA3"/>
    <w:rsid w:val="299D1AE8"/>
    <w:rsid w:val="29A3292C"/>
    <w:rsid w:val="29A33E08"/>
    <w:rsid w:val="29A3610A"/>
    <w:rsid w:val="29A50DCC"/>
    <w:rsid w:val="29BA7FE7"/>
    <w:rsid w:val="29C15A7E"/>
    <w:rsid w:val="29C64B04"/>
    <w:rsid w:val="29CA787B"/>
    <w:rsid w:val="29CD7CA7"/>
    <w:rsid w:val="29D07BCA"/>
    <w:rsid w:val="29D250CB"/>
    <w:rsid w:val="29DC6C80"/>
    <w:rsid w:val="29E510F0"/>
    <w:rsid w:val="29EA541E"/>
    <w:rsid w:val="29EB6A85"/>
    <w:rsid w:val="29EE62D5"/>
    <w:rsid w:val="29F75A3E"/>
    <w:rsid w:val="29FB7F12"/>
    <w:rsid w:val="29FC41BF"/>
    <w:rsid w:val="2A002DA4"/>
    <w:rsid w:val="2A081016"/>
    <w:rsid w:val="2A0C0E2D"/>
    <w:rsid w:val="2A0D2AA5"/>
    <w:rsid w:val="2A0D6691"/>
    <w:rsid w:val="2A14099C"/>
    <w:rsid w:val="2A1750BB"/>
    <w:rsid w:val="2A197071"/>
    <w:rsid w:val="2A213702"/>
    <w:rsid w:val="2A230534"/>
    <w:rsid w:val="2A301CF4"/>
    <w:rsid w:val="2A32629E"/>
    <w:rsid w:val="2A3D21DE"/>
    <w:rsid w:val="2A4132FC"/>
    <w:rsid w:val="2A435AF3"/>
    <w:rsid w:val="2A475D22"/>
    <w:rsid w:val="2A4775F8"/>
    <w:rsid w:val="2A4920D4"/>
    <w:rsid w:val="2A4A3F4F"/>
    <w:rsid w:val="2A4B234B"/>
    <w:rsid w:val="2A555CF7"/>
    <w:rsid w:val="2A564E60"/>
    <w:rsid w:val="2A5E4F8A"/>
    <w:rsid w:val="2A67003D"/>
    <w:rsid w:val="2A6B694A"/>
    <w:rsid w:val="2A6D00FC"/>
    <w:rsid w:val="2A6D6825"/>
    <w:rsid w:val="2A715553"/>
    <w:rsid w:val="2A73652A"/>
    <w:rsid w:val="2A743218"/>
    <w:rsid w:val="2A756613"/>
    <w:rsid w:val="2A763803"/>
    <w:rsid w:val="2A7664A5"/>
    <w:rsid w:val="2A7F22E8"/>
    <w:rsid w:val="2A812FFC"/>
    <w:rsid w:val="2A8316C7"/>
    <w:rsid w:val="2A844CE7"/>
    <w:rsid w:val="2A8766A6"/>
    <w:rsid w:val="2A884B89"/>
    <w:rsid w:val="2A88659C"/>
    <w:rsid w:val="2A8A087B"/>
    <w:rsid w:val="2A9663E5"/>
    <w:rsid w:val="2A992837"/>
    <w:rsid w:val="2A9F1298"/>
    <w:rsid w:val="2AA54580"/>
    <w:rsid w:val="2AA9541C"/>
    <w:rsid w:val="2AB90EB3"/>
    <w:rsid w:val="2ABD2B71"/>
    <w:rsid w:val="2ABE1FB8"/>
    <w:rsid w:val="2AC670C5"/>
    <w:rsid w:val="2AC86999"/>
    <w:rsid w:val="2ACE41EE"/>
    <w:rsid w:val="2ACF129B"/>
    <w:rsid w:val="2AD03086"/>
    <w:rsid w:val="2AD55D15"/>
    <w:rsid w:val="2AD72AF4"/>
    <w:rsid w:val="2AE25574"/>
    <w:rsid w:val="2AE55DA8"/>
    <w:rsid w:val="2AED63FF"/>
    <w:rsid w:val="2AF54342"/>
    <w:rsid w:val="2AF66886"/>
    <w:rsid w:val="2AFC78FE"/>
    <w:rsid w:val="2AFE0733"/>
    <w:rsid w:val="2B1060D0"/>
    <w:rsid w:val="2B174AD2"/>
    <w:rsid w:val="2B183D13"/>
    <w:rsid w:val="2B1C3012"/>
    <w:rsid w:val="2B1E1311"/>
    <w:rsid w:val="2B1E304D"/>
    <w:rsid w:val="2B2060B1"/>
    <w:rsid w:val="2B22156A"/>
    <w:rsid w:val="2B231894"/>
    <w:rsid w:val="2B270D24"/>
    <w:rsid w:val="2B2A2E14"/>
    <w:rsid w:val="2B3158BE"/>
    <w:rsid w:val="2B380336"/>
    <w:rsid w:val="2B3B6C3E"/>
    <w:rsid w:val="2B3C756E"/>
    <w:rsid w:val="2B430715"/>
    <w:rsid w:val="2B5130FB"/>
    <w:rsid w:val="2B517F38"/>
    <w:rsid w:val="2B557BCC"/>
    <w:rsid w:val="2B5D00FC"/>
    <w:rsid w:val="2B791D82"/>
    <w:rsid w:val="2B7A717C"/>
    <w:rsid w:val="2B853872"/>
    <w:rsid w:val="2B89111F"/>
    <w:rsid w:val="2B9511DB"/>
    <w:rsid w:val="2B95737E"/>
    <w:rsid w:val="2B9956B4"/>
    <w:rsid w:val="2B9F792E"/>
    <w:rsid w:val="2BA22E9F"/>
    <w:rsid w:val="2BAA37DA"/>
    <w:rsid w:val="2BAA522C"/>
    <w:rsid w:val="2BAF5F44"/>
    <w:rsid w:val="2BB72E35"/>
    <w:rsid w:val="2BB93BD6"/>
    <w:rsid w:val="2BC8392E"/>
    <w:rsid w:val="2BC929C8"/>
    <w:rsid w:val="2BCA2271"/>
    <w:rsid w:val="2BCC7471"/>
    <w:rsid w:val="2BCD020C"/>
    <w:rsid w:val="2BCE04E7"/>
    <w:rsid w:val="2BD4709B"/>
    <w:rsid w:val="2BD675C6"/>
    <w:rsid w:val="2BDB5AB8"/>
    <w:rsid w:val="2BDE2908"/>
    <w:rsid w:val="2BDF134D"/>
    <w:rsid w:val="2BE4303E"/>
    <w:rsid w:val="2BE43D03"/>
    <w:rsid w:val="2BE64FF4"/>
    <w:rsid w:val="2BFC2982"/>
    <w:rsid w:val="2C013324"/>
    <w:rsid w:val="2C036A81"/>
    <w:rsid w:val="2C04179C"/>
    <w:rsid w:val="2C086453"/>
    <w:rsid w:val="2C0B2FB1"/>
    <w:rsid w:val="2C0B7FA1"/>
    <w:rsid w:val="2C163734"/>
    <w:rsid w:val="2C1B5102"/>
    <w:rsid w:val="2C24254B"/>
    <w:rsid w:val="2C302F07"/>
    <w:rsid w:val="2C324995"/>
    <w:rsid w:val="2C380015"/>
    <w:rsid w:val="2C3A0DFA"/>
    <w:rsid w:val="2C3F3DAC"/>
    <w:rsid w:val="2C401DDB"/>
    <w:rsid w:val="2C4066AE"/>
    <w:rsid w:val="2C44436D"/>
    <w:rsid w:val="2C4636C1"/>
    <w:rsid w:val="2C465205"/>
    <w:rsid w:val="2C4A3BC1"/>
    <w:rsid w:val="2C4C57BC"/>
    <w:rsid w:val="2C4F122F"/>
    <w:rsid w:val="2C646AD0"/>
    <w:rsid w:val="2C6946A0"/>
    <w:rsid w:val="2C6E4890"/>
    <w:rsid w:val="2C7037DE"/>
    <w:rsid w:val="2C753E05"/>
    <w:rsid w:val="2C893C16"/>
    <w:rsid w:val="2C8D5810"/>
    <w:rsid w:val="2C8E4EAE"/>
    <w:rsid w:val="2C910971"/>
    <w:rsid w:val="2C946F09"/>
    <w:rsid w:val="2C9C17D4"/>
    <w:rsid w:val="2C9D1970"/>
    <w:rsid w:val="2C9D1C1E"/>
    <w:rsid w:val="2CA05F3B"/>
    <w:rsid w:val="2CAA40F6"/>
    <w:rsid w:val="2CAD03B9"/>
    <w:rsid w:val="2CAE7103"/>
    <w:rsid w:val="2CB6278A"/>
    <w:rsid w:val="2CB7597F"/>
    <w:rsid w:val="2CBA2FAC"/>
    <w:rsid w:val="2CBE00DF"/>
    <w:rsid w:val="2CBE6A82"/>
    <w:rsid w:val="2CC21D1A"/>
    <w:rsid w:val="2CC428C4"/>
    <w:rsid w:val="2CC56B38"/>
    <w:rsid w:val="2CD14BF3"/>
    <w:rsid w:val="2CDA64FB"/>
    <w:rsid w:val="2CDD2207"/>
    <w:rsid w:val="2CE101E6"/>
    <w:rsid w:val="2CE367D5"/>
    <w:rsid w:val="2CE370FE"/>
    <w:rsid w:val="2CF050A7"/>
    <w:rsid w:val="2CF568ED"/>
    <w:rsid w:val="2CF81AFE"/>
    <w:rsid w:val="2CF85341"/>
    <w:rsid w:val="2CFB12A7"/>
    <w:rsid w:val="2CFC0B7C"/>
    <w:rsid w:val="2CFD263D"/>
    <w:rsid w:val="2CFD3058"/>
    <w:rsid w:val="2D0532B5"/>
    <w:rsid w:val="2D0550A0"/>
    <w:rsid w:val="2D082D4D"/>
    <w:rsid w:val="2D094D6F"/>
    <w:rsid w:val="2D126C39"/>
    <w:rsid w:val="2D157422"/>
    <w:rsid w:val="2D212FC3"/>
    <w:rsid w:val="2D226B5D"/>
    <w:rsid w:val="2D256D40"/>
    <w:rsid w:val="2D2613AC"/>
    <w:rsid w:val="2D2E55FE"/>
    <w:rsid w:val="2D322A6D"/>
    <w:rsid w:val="2D364E92"/>
    <w:rsid w:val="2D377F78"/>
    <w:rsid w:val="2D396567"/>
    <w:rsid w:val="2D3E2D0D"/>
    <w:rsid w:val="2D3E56EF"/>
    <w:rsid w:val="2D4314BF"/>
    <w:rsid w:val="2D4407FE"/>
    <w:rsid w:val="2D440F91"/>
    <w:rsid w:val="2D444EDC"/>
    <w:rsid w:val="2D4D142A"/>
    <w:rsid w:val="2D541D69"/>
    <w:rsid w:val="2D563F12"/>
    <w:rsid w:val="2D5A7F5C"/>
    <w:rsid w:val="2D667E8C"/>
    <w:rsid w:val="2D740DEB"/>
    <w:rsid w:val="2D7A163D"/>
    <w:rsid w:val="2D7C1000"/>
    <w:rsid w:val="2D884D73"/>
    <w:rsid w:val="2D8F2083"/>
    <w:rsid w:val="2D98498D"/>
    <w:rsid w:val="2DA433FF"/>
    <w:rsid w:val="2DA74E45"/>
    <w:rsid w:val="2DAA1FD8"/>
    <w:rsid w:val="2DAC273A"/>
    <w:rsid w:val="2DAF3B63"/>
    <w:rsid w:val="2DB77CCC"/>
    <w:rsid w:val="2DBA3D01"/>
    <w:rsid w:val="2DC02B91"/>
    <w:rsid w:val="2DC516C4"/>
    <w:rsid w:val="2DC55411"/>
    <w:rsid w:val="2DC871BF"/>
    <w:rsid w:val="2DCD708B"/>
    <w:rsid w:val="2DD67B7F"/>
    <w:rsid w:val="2DDB1CBE"/>
    <w:rsid w:val="2DDD4CE4"/>
    <w:rsid w:val="2DDD7A33"/>
    <w:rsid w:val="2DE75FF0"/>
    <w:rsid w:val="2E1819E5"/>
    <w:rsid w:val="2E1B6448"/>
    <w:rsid w:val="2E1C325F"/>
    <w:rsid w:val="2E265082"/>
    <w:rsid w:val="2E2B22F3"/>
    <w:rsid w:val="2E312AA7"/>
    <w:rsid w:val="2E34206E"/>
    <w:rsid w:val="2E357B56"/>
    <w:rsid w:val="2E501070"/>
    <w:rsid w:val="2E575534"/>
    <w:rsid w:val="2E68409A"/>
    <w:rsid w:val="2E6A0A44"/>
    <w:rsid w:val="2E6A2876"/>
    <w:rsid w:val="2E732D82"/>
    <w:rsid w:val="2E78469A"/>
    <w:rsid w:val="2E7B389F"/>
    <w:rsid w:val="2E80118E"/>
    <w:rsid w:val="2E802636"/>
    <w:rsid w:val="2E81453C"/>
    <w:rsid w:val="2E857C1B"/>
    <w:rsid w:val="2E8E7EF9"/>
    <w:rsid w:val="2E9077CD"/>
    <w:rsid w:val="2E995DB1"/>
    <w:rsid w:val="2EAD380E"/>
    <w:rsid w:val="2EAF7956"/>
    <w:rsid w:val="2EB111F6"/>
    <w:rsid w:val="2EB1657E"/>
    <w:rsid w:val="2EB44642"/>
    <w:rsid w:val="2EB623EA"/>
    <w:rsid w:val="2EB70623"/>
    <w:rsid w:val="2EB85B60"/>
    <w:rsid w:val="2EBB0299"/>
    <w:rsid w:val="2EC72B9E"/>
    <w:rsid w:val="2ECE02F6"/>
    <w:rsid w:val="2ED3452F"/>
    <w:rsid w:val="2ED410F4"/>
    <w:rsid w:val="2ED46CED"/>
    <w:rsid w:val="2ED751C2"/>
    <w:rsid w:val="2ED834D9"/>
    <w:rsid w:val="2EDA0F9F"/>
    <w:rsid w:val="2EDE70B6"/>
    <w:rsid w:val="2EE712DB"/>
    <w:rsid w:val="2EEA3BA7"/>
    <w:rsid w:val="2EEA5313"/>
    <w:rsid w:val="2EEB304D"/>
    <w:rsid w:val="2EEB72F0"/>
    <w:rsid w:val="2EED7864"/>
    <w:rsid w:val="2EF15619"/>
    <w:rsid w:val="2EF36252"/>
    <w:rsid w:val="2EF409E5"/>
    <w:rsid w:val="2EF42A5C"/>
    <w:rsid w:val="2EF74DA9"/>
    <w:rsid w:val="2EFD430A"/>
    <w:rsid w:val="2F053EE7"/>
    <w:rsid w:val="2F11321C"/>
    <w:rsid w:val="2F1528BC"/>
    <w:rsid w:val="2F172493"/>
    <w:rsid w:val="2F1E0D7F"/>
    <w:rsid w:val="2F1E127D"/>
    <w:rsid w:val="2F1F6B2E"/>
    <w:rsid w:val="2F21054A"/>
    <w:rsid w:val="2F2126E0"/>
    <w:rsid w:val="2F215BF0"/>
    <w:rsid w:val="2F2334E9"/>
    <w:rsid w:val="2F2F7566"/>
    <w:rsid w:val="2F3B2BE2"/>
    <w:rsid w:val="2F455284"/>
    <w:rsid w:val="2F463A32"/>
    <w:rsid w:val="2F4B1ED6"/>
    <w:rsid w:val="2F4F781A"/>
    <w:rsid w:val="2F534EEF"/>
    <w:rsid w:val="2F566D63"/>
    <w:rsid w:val="2F577628"/>
    <w:rsid w:val="2F632ECE"/>
    <w:rsid w:val="2F670836"/>
    <w:rsid w:val="2F683721"/>
    <w:rsid w:val="2F7017B9"/>
    <w:rsid w:val="2F71134F"/>
    <w:rsid w:val="2F71364F"/>
    <w:rsid w:val="2F745C4C"/>
    <w:rsid w:val="2F75135F"/>
    <w:rsid w:val="2F775BFA"/>
    <w:rsid w:val="2F7A0311"/>
    <w:rsid w:val="2F7C4128"/>
    <w:rsid w:val="2F813FEA"/>
    <w:rsid w:val="2F823722"/>
    <w:rsid w:val="2F8A6EF6"/>
    <w:rsid w:val="2F8F7796"/>
    <w:rsid w:val="2F9429B5"/>
    <w:rsid w:val="2F951AAF"/>
    <w:rsid w:val="2F960885"/>
    <w:rsid w:val="2F965EC1"/>
    <w:rsid w:val="2F9C28D3"/>
    <w:rsid w:val="2FA401A8"/>
    <w:rsid w:val="2FA56733"/>
    <w:rsid w:val="2FAB0620"/>
    <w:rsid w:val="2FB65D80"/>
    <w:rsid w:val="2FB75B93"/>
    <w:rsid w:val="2FBD6DB8"/>
    <w:rsid w:val="2FBF6B30"/>
    <w:rsid w:val="2FC30CB9"/>
    <w:rsid w:val="2FC55472"/>
    <w:rsid w:val="2FC736C3"/>
    <w:rsid w:val="2FC7479E"/>
    <w:rsid w:val="2FCA6E38"/>
    <w:rsid w:val="2FCD6B8F"/>
    <w:rsid w:val="2FCE5617"/>
    <w:rsid w:val="2FD3743B"/>
    <w:rsid w:val="2FD56CB3"/>
    <w:rsid w:val="2FD57359"/>
    <w:rsid w:val="2FDC4F4C"/>
    <w:rsid w:val="2FE378AA"/>
    <w:rsid w:val="2FEA6DBE"/>
    <w:rsid w:val="2FEE1EE2"/>
    <w:rsid w:val="2FF06DBB"/>
    <w:rsid w:val="2FF07873"/>
    <w:rsid w:val="2FF80EF4"/>
    <w:rsid w:val="2FF92BD1"/>
    <w:rsid w:val="2FFA12B6"/>
    <w:rsid w:val="2FFA5B64"/>
    <w:rsid w:val="2FFC17E2"/>
    <w:rsid w:val="2FFC6D2D"/>
    <w:rsid w:val="2FFC7B3B"/>
    <w:rsid w:val="2FFD74BD"/>
    <w:rsid w:val="30022BC5"/>
    <w:rsid w:val="300D096E"/>
    <w:rsid w:val="301663F8"/>
    <w:rsid w:val="301937F3"/>
    <w:rsid w:val="301971B4"/>
    <w:rsid w:val="302A2E2F"/>
    <w:rsid w:val="302B203C"/>
    <w:rsid w:val="3032349C"/>
    <w:rsid w:val="3038103A"/>
    <w:rsid w:val="30440FBB"/>
    <w:rsid w:val="30457D0B"/>
    <w:rsid w:val="30490E65"/>
    <w:rsid w:val="305642E9"/>
    <w:rsid w:val="305B225F"/>
    <w:rsid w:val="306853C2"/>
    <w:rsid w:val="306B5FD5"/>
    <w:rsid w:val="30712A43"/>
    <w:rsid w:val="307153DD"/>
    <w:rsid w:val="30747E94"/>
    <w:rsid w:val="307C38D8"/>
    <w:rsid w:val="307E658E"/>
    <w:rsid w:val="308869CD"/>
    <w:rsid w:val="3089308E"/>
    <w:rsid w:val="308C0523"/>
    <w:rsid w:val="308F46F2"/>
    <w:rsid w:val="3092629B"/>
    <w:rsid w:val="309A4933"/>
    <w:rsid w:val="309D1C6D"/>
    <w:rsid w:val="30A038FD"/>
    <w:rsid w:val="30A35FDD"/>
    <w:rsid w:val="30A85440"/>
    <w:rsid w:val="30B11720"/>
    <w:rsid w:val="30B70A6B"/>
    <w:rsid w:val="30BA64C1"/>
    <w:rsid w:val="30BF2D44"/>
    <w:rsid w:val="30C22EE3"/>
    <w:rsid w:val="30C37839"/>
    <w:rsid w:val="30C64273"/>
    <w:rsid w:val="30CB17A9"/>
    <w:rsid w:val="30CC3413"/>
    <w:rsid w:val="30CF2889"/>
    <w:rsid w:val="30D15DFC"/>
    <w:rsid w:val="30D4246E"/>
    <w:rsid w:val="30D42AB3"/>
    <w:rsid w:val="30D75825"/>
    <w:rsid w:val="30D879A5"/>
    <w:rsid w:val="30DB0C35"/>
    <w:rsid w:val="30DD6B11"/>
    <w:rsid w:val="30E0390A"/>
    <w:rsid w:val="30E53B50"/>
    <w:rsid w:val="30E60FF7"/>
    <w:rsid w:val="30F843EE"/>
    <w:rsid w:val="30FA440B"/>
    <w:rsid w:val="31094338"/>
    <w:rsid w:val="310C2959"/>
    <w:rsid w:val="31143B51"/>
    <w:rsid w:val="31173FAC"/>
    <w:rsid w:val="311C08C7"/>
    <w:rsid w:val="31250EBD"/>
    <w:rsid w:val="31251EEE"/>
    <w:rsid w:val="312A45FF"/>
    <w:rsid w:val="312D3690"/>
    <w:rsid w:val="31353510"/>
    <w:rsid w:val="31443496"/>
    <w:rsid w:val="3145441E"/>
    <w:rsid w:val="314855D0"/>
    <w:rsid w:val="31493476"/>
    <w:rsid w:val="315024A4"/>
    <w:rsid w:val="3152447A"/>
    <w:rsid w:val="3158696F"/>
    <w:rsid w:val="31643E27"/>
    <w:rsid w:val="31665052"/>
    <w:rsid w:val="316A2EEF"/>
    <w:rsid w:val="316B039D"/>
    <w:rsid w:val="316B5238"/>
    <w:rsid w:val="31721E9E"/>
    <w:rsid w:val="31752B86"/>
    <w:rsid w:val="31765AB1"/>
    <w:rsid w:val="31774F8B"/>
    <w:rsid w:val="317A4C6F"/>
    <w:rsid w:val="317B7061"/>
    <w:rsid w:val="31804F82"/>
    <w:rsid w:val="31820ADC"/>
    <w:rsid w:val="31843C1D"/>
    <w:rsid w:val="31846C2A"/>
    <w:rsid w:val="31850B26"/>
    <w:rsid w:val="31877AF9"/>
    <w:rsid w:val="318E3DE7"/>
    <w:rsid w:val="31934D6E"/>
    <w:rsid w:val="31946461"/>
    <w:rsid w:val="319B3432"/>
    <w:rsid w:val="31AC673D"/>
    <w:rsid w:val="31B16074"/>
    <w:rsid w:val="31B32D51"/>
    <w:rsid w:val="31B4470D"/>
    <w:rsid w:val="31B9703B"/>
    <w:rsid w:val="31BB4A9D"/>
    <w:rsid w:val="31BE29EA"/>
    <w:rsid w:val="31C27844"/>
    <w:rsid w:val="31C82429"/>
    <w:rsid w:val="31C972B1"/>
    <w:rsid w:val="31D2228D"/>
    <w:rsid w:val="31D3625C"/>
    <w:rsid w:val="31D538CD"/>
    <w:rsid w:val="31DD76C6"/>
    <w:rsid w:val="31E4302C"/>
    <w:rsid w:val="31E95A47"/>
    <w:rsid w:val="31EE7615"/>
    <w:rsid w:val="31F1273D"/>
    <w:rsid w:val="31F24E9C"/>
    <w:rsid w:val="31F77B64"/>
    <w:rsid w:val="31FB6C0D"/>
    <w:rsid w:val="31FD1B66"/>
    <w:rsid w:val="31FD318B"/>
    <w:rsid w:val="320077B3"/>
    <w:rsid w:val="32030304"/>
    <w:rsid w:val="320608E7"/>
    <w:rsid w:val="320655B5"/>
    <w:rsid w:val="320C0B0A"/>
    <w:rsid w:val="3214262B"/>
    <w:rsid w:val="321954AA"/>
    <w:rsid w:val="321D341F"/>
    <w:rsid w:val="321F602B"/>
    <w:rsid w:val="32236BAB"/>
    <w:rsid w:val="322418E0"/>
    <w:rsid w:val="3224684B"/>
    <w:rsid w:val="322C3DA8"/>
    <w:rsid w:val="322D10B6"/>
    <w:rsid w:val="323446AD"/>
    <w:rsid w:val="32351D5A"/>
    <w:rsid w:val="323A39FE"/>
    <w:rsid w:val="323B5411"/>
    <w:rsid w:val="32425283"/>
    <w:rsid w:val="32457FA7"/>
    <w:rsid w:val="32462F60"/>
    <w:rsid w:val="32487CF1"/>
    <w:rsid w:val="324F719B"/>
    <w:rsid w:val="32530D65"/>
    <w:rsid w:val="325464F8"/>
    <w:rsid w:val="325E12CB"/>
    <w:rsid w:val="32606502"/>
    <w:rsid w:val="32635237"/>
    <w:rsid w:val="3266355A"/>
    <w:rsid w:val="326E7586"/>
    <w:rsid w:val="327312CE"/>
    <w:rsid w:val="327D4380"/>
    <w:rsid w:val="32885D15"/>
    <w:rsid w:val="328F1F84"/>
    <w:rsid w:val="3290116A"/>
    <w:rsid w:val="32903855"/>
    <w:rsid w:val="329218EF"/>
    <w:rsid w:val="32981C46"/>
    <w:rsid w:val="329A6698"/>
    <w:rsid w:val="329E2990"/>
    <w:rsid w:val="32A80B7F"/>
    <w:rsid w:val="32A97847"/>
    <w:rsid w:val="32AC094E"/>
    <w:rsid w:val="32AE7E18"/>
    <w:rsid w:val="32B378B1"/>
    <w:rsid w:val="32B4779F"/>
    <w:rsid w:val="32B87A4D"/>
    <w:rsid w:val="32BA4C0D"/>
    <w:rsid w:val="32C02D59"/>
    <w:rsid w:val="32C07B21"/>
    <w:rsid w:val="32C32C7A"/>
    <w:rsid w:val="32CC271F"/>
    <w:rsid w:val="32CC5458"/>
    <w:rsid w:val="32CE2BFC"/>
    <w:rsid w:val="32D05AEF"/>
    <w:rsid w:val="32D13A2C"/>
    <w:rsid w:val="32DB0040"/>
    <w:rsid w:val="32DB1233"/>
    <w:rsid w:val="32DD5CB9"/>
    <w:rsid w:val="32DF0D23"/>
    <w:rsid w:val="32DF371C"/>
    <w:rsid w:val="32E016E5"/>
    <w:rsid w:val="32E3428C"/>
    <w:rsid w:val="32EC3AC9"/>
    <w:rsid w:val="32ED6980"/>
    <w:rsid w:val="32EE7A96"/>
    <w:rsid w:val="32F10A57"/>
    <w:rsid w:val="32FC5931"/>
    <w:rsid w:val="330842C4"/>
    <w:rsid w:val="33095248"/>
    <w:rsid w:val="331161A3"/>
    <w:rsid w:val="3312388F"/>
    <w:rsid w:val="33150659"/>
    <w:rsid w:val="33241EBA"/>
    <w:rsid w:val="333077D1"/>
    <w:rsid w:val="33327F97"/>
    <w:rsid w:val="33332418"/>
    <w:rsid w:val="3334406B"/>
    <w:rsid w:val="33406CD0"/>
    <w:rsid w:val="33430220"/>
    <w:rsid w:val="3344584B"/>
    <w:rsid w:val="33461B53"/>
    <w:rsid w:val="334B38A8"/>
    <w:rsid w:val="335644B0"/>
    <w:rsid w:val="335B53DA"/>
    <w:rsid w:val="335C4808"/>
    <w:rsid w:val="3362602D"/>
    <w:rsid w:val="336F568E"/>
    <w:rsid w:val="33777D8F"/>
    <w:rsid w:val="338077B5"/>
    <w:rsid w:val="33827391"/>
    <w:rsid w:val="338366A8"/>
    <w:rsid w:val="33840E46"/>
    <w:rsid w:val="33966BC8"/>
    <w:rsid w:val="339819E5"/>
    <w:rsid w:val="33A930CA"/>
    <w:rsid w:val="33B300E3"/>
    <w:rsid w:val="33BA67AC"/>
    <w:rsid w:val="33BF0098"/>
    <w:rsid w:val="33C0417D"/>
    <w:rsid w:val="33C32D7B"/>
    <w:rsid w:val="33C41BCC"/>
    <w:rsid w:val="33CA7054"/>
    <w:rsid w:val="33CF4C1C"/>
    <w:rsid w:val="33D47AAF"/>
    <w:rsid w:val="33DC39DD"/>
    <w:rsid w:val="33DD4A3C"/>
    <w:rsid w:val="33DE703E"/>
    <w:rsid w:val="33E06629"/>
    <w:rsid w:val="33E10A32"/>
    <w:rsid w:val="33E32A51"/>
    <w:rsid w:val="33FB66D9"/>
    <w:rsid w:val="34025F58"/>
    <w:rsid w:val="34052E0A"/>
    <w:rsid w:val="34073332"/>
    <w:rsid w:val="340754EB"/>
    <w:rsid w:val="34120D75"/>
    <w:rsid w:val="342166DB"/>
    <w:rsid w:val="342C02B3"/>
    <w:rsid w:val="34310E08"/>
    <w:rsid w:val="34395602"/>
    <w:rsid w:val="343B45AF"/>
    <w:rsid w:val="343E2B9A"/>
    <w:rsid w:val="343E4293"/>
    <w:rsid w:val="344015BF"/>
    <w:rsid w:val="34471CA0"/>
    <w:rsid w:val="3452416A"/>
    <w:rsid w:val="345D10D1"/>
    <w:rsid w:val="34621AD3"/>
    <w:rsid w:val="34681112"/>
    <w:rsid w:val="34696A4C"/>
    <w:rsid w:val="346D6CAD"/>
    <w:rsid w:val="346E732A"/>
    <w:rsid w:val="34730082"/>
    <w:rsid w:val="347808CC"/>
    <w:rsid w:val="34795676"/>
    <w:rsid w:val="347B2954"/>
    <w:rsid w:val="347C23F8"/>
    <w:rsid w:val="34801189"/>
    <w:rsid w:val="34847DD4"/>
    <w:rsid w:val="3485622E"/>
    <w:rsid w:val="34917D3D"/>
    <w:rsid w:val="349767AE"/>
    <w:rsid w:val="34992064"/>
    <w:rsid w:val="349D752D"/>
    <w:rsid w:val="349E28C2"/>
    <w:rsid w:val="349F106B"/>
    <w:rsid w:val="34A2765E"/>
    <w:rsid w:val="34A65998"/>
    <w:rsid w:val="34B84F26"/>
    <w:rsid w:val="34BB5469"/>
    <w:rsid w:val="34BE5636"/>
    <w:rsid w:val="34C233FA"/>
    <w:rsid w:val="34C56B2F"/>
    <w:rsid w:val="34CD37D7"/>
    <w:rsid w:val="34D40964"/>
    <w:rsid w:val="34D954F3"/>
    <w:rsid w:val="34DA3E98"/>
    <w:rsid w:val="34EF3700"/>
    <w:rsid w:val="34F3422C"/>
    <w:rsid w:val="34F9043A"/>
    <w:rsid w:val="34FA1297"/>
    <w:rsid w:val="34FD3BDC"/>
    <w:rsid w:val="34FD45E0"/>
    <w:rsid w:val="34FF745B"/>
    <w:rsid w:val="35074E8C"/>
    <w:rsid w:val="35094B0E"/>
    <w:rsid w:val="3511103B"/>
    <w:rsid w:val="35132F06"/>
    <w:rsid w:val="35191297"/>
    <w:rsid w:val="352E1AEE"/>
    <w:rsid w:val="353B1625"/>
    <w:rsid w:val="353C69CF"/>
    <w:rsid w:val="353F29DC"/>
    <w:rsid w:val="35416D8A"/>
    <w:rsid w:val="35451BDE"/>
    <w:rsid w:val="354F1C1B"/>
    <w:rsid w:val="35505DD8"/>
    <w:rsid w:val="35513B1F"/>
    <w:rsid w:val="35524C0F"/>
    <w:rsid w:val="355B340A"/>
    <w:rsid w:val="35626CE7"/>
    <w:rsid w:val="35634C45"/>
    <w:rsid w:val="356841E3"/>
    <w:rsid w:val="356D2DDF"/>
    <w:rsid w:val="357E4A3F"/>
    <w:rsid w:val="35864F09"/>
    <w:rsid w:val="35874E4E"/>
    <w:rsid w:val="358E1DBE"/>
    <w:rsid w:val="35914D34"/>
    <w:rsid w:val="359445DE"/>
    <w:rsid w:val="359C2B5C"/>
    <w:rsid w:val="35A216D2"/>
    <w:rsid w:val="35A2333E"/>
    <w:rsid w:val="35A46067"/>
    <w:rsid w:val="35A74000"/>
    <w:rsid w:val="35B45750"/>
    <w:rsid w:val="35B91BF5"/>
    <w:rsid w:val="35BC0C34"/>
    <w:rsid w:val="35C41858"/>
    <w:rsid w:val="35CB32AB"/>
    <w:rsid w:val="35CD47DE"/>
    <w:rsid w:val="35CF5144"/>
    <w:rsid w:val="35DA5093"/>
    <w:rsid w:val="35DE56D3"/>
    <w:rsid w:val="35E50E11"/>
    <w:rsid w:val="35EA170E"/>
    <w:rsid w:val="35F24B47"/>
    <w:rsid w:val="36036CED"/>
    <w:rsid w:val="36095779"/>
    <w:rsid w:val="361F77F0"/>
    <w:rsid w:val="36230C6E"/>
    <w:rsid w:val="36245108"/>
    <w:rsid w:val="362A64C1"/>
    <w:rsid w:val="36326339"/>
    <w:rsid w:val="36350A75"/>
    <w:rsid w:val="363E7FF9"/>
    <w:rsid w:val="36474247"/>
    <w:rsid w:val="364E2122"/>
    <w:rsid w:val="365767BF"/>
    <w:rsid w:val="365A127E"/>
    <w:rsid w:val="365B403E"/>
    <w:rsid w:val="36657792"/>
    <w:rsid w:val="367433D2"/>
    <w:rsid w:val="367464D7"/>
    <w:rsid w:val="36777D22"/>
    <w:rsid w:val="3681331C"/>
    <w:rsid w:val="36820E79"/>
    <w:rsid w:val="36824968"/>
    <w:rsid w:val="368422B0"/>
    <w:rsid w:val="36845A4F"/>
    <w:rsid w:val="36874BAC"/>
    <w:rsid w:val="36883B00"/>
    <w:rsid w:val="36933FFC"/>
    <w:rsid w:val="36950936"/>
    <w:rsid w:val="36953C5B"/>
    <w:rsid w:val="36984011"/>
    <w:rsid w:val="36A123A7"/>
    <w:rsid w:val="36A523E9"/>
    <w:rsid w:val="36B12C89"/>
    <w:rsid w:val="36B24AC0"/>
    <w:rsid w:val="36B42421"/>
    <w:rsid w:val="36C15D63"/>
    <w:rsid w:val="36CB6682"/>
    <w:rsid w:val="36CE1D91"/>
    <w:rsid w:val="36D20A2B"/>
    <w:rsid w:val="36D90399"/>
    <w:rsid w:val="36E90975"/>
    <w:rsid w:val="36E9561C"/>
    <w:rsid w:val="36EA2120"/>
    <w:rsid w:val="36EB56CA"/>
    <w:rsid w:val="36EC1C61"/>
    <w:rsid w:val="36EF10C5"/>
    <w:rsid w:val="36EF3933"/>
    <w:rsid w:val="36F33602"/>
    <w:rsid w:val="36F732B3"/>
    <w:rsid w:val="36FC372C"/>
    <w:rsid w:val="36FC48D2"/>
    <w:rsid w:val="370351CC"/>
    <w:rsid w:val="370408D3"/>
    <w:rsid w:val="370943D4"/>
    <w:rsid w:val="371C2D8A"/>
    <w:rsid w:val="372067C3"/>
    <w:rsid w:val="37284563"/>
    <w:rsid w:val="372B4E86"/>
    <w:rsid w:val="373B7CA8"/>
    <w:rsid w:val="374412C0"/>
    <w:rsid w:val="374B142E"/>
    <w:rsid w:val="374B56AF"/>
    <w:rsid w:val="374E46DE"/>
    <w:rsid w:val="375D77BA"/>
    <w:rsid w:val="376477E4"/>
    <w:rsid w:val="37730C19"/>
    <w:rsid w:val="37731AD0"/>
    <w:rsid w:val="37737F55"/>
    <w:rsid w:val="377A7026"/>
    <w:rsid w:val="377E78F4"/>
    <w:rsid w:val="3787196C"/>
    <w:rsid w:val="378B01B2"/>
    <w:rsid w:val="37944597"/>
    <w:rsid w:val="379715B9"/>
    <w:rsid w:val="379F34F1"/>
    <w:rsid w:val="379F40E6"/>
    <w:rsid w:val="37A113AD"/>
    <w:rsid w:val="37A478CB"/>
    <w:rsid w:val="37A65A4A"/>
    <w:rsid w:val="37A80747"/>
    <w:rsid w:val="37B072A4"/>
    <w:rsid w:val="37B476A2"/>
    <w:rsid w:val="37BE7421"/>
    <w:rsid w:val="37C164F5"/>
    <w:rsid w:val="37C374A8"/>
    <w:rsid w:val="37C67AC0"/>
    <w:rsid w:val="37C72E52"/>
    <w:rsid w:val="37CF2BBD"/>
    <w:rsid w:val="37D57FF7"/>
    <w:rsid w:val="37D74E1C"/>
    <w:rsid w:val="37D95C7A"/>
    <w:rsid w:val="37DC699C"/>
    <w:rsid w:val="37DE7EC6"/>
    <w:rsid w:val="37ED76DB"/>
    <w:rsid w:val="37FD1CB9"/>
    <w:rsid w:val="37FF19EB"/>
    <w:rsid w:val="38030DE8"/>
    <w:rsid w:val="380A4A95"/>
    <w:rsid w:val="380E1EC0"/>
    <w:rsid w:val="38137D99"/>
    <w:rsid w:val="38156F85"/>
    <w:rsid w:val="381A475A"/>
    <w:rsid w:val="381A56BC"/>
    <w:rsid w:val="381C0CD1"/>
    <w:rsid w:val="381C34E4"/>
    <w:rsid w:val="381F4A96"/>
    <w:rsid w:val="382456C2"/>
    <w:rsid w:val="38342348"/>
    <w:rsid w:val="383A0415"/>
    <w:rsid w:val="38425ED6"/>
    <w:rsid w:val="384C6E5B"/>
    <w:rsid w:val="384F46D6"/>
    <w:rsid w:val="385059D0"/>
    <w:rsid w:val="38561B3D"/>
    <w:rsid w:val="38651EB7"/>
    <w:rsid w:val="38702EF5"/>
    <w:rsid w:val="38774AEC"/>
    <w:rsid w:val="38787C50"/>
    <w:rsid w:val="38810817"/>
    <w:rsid w:val="38856A31"/>
    <w:rsid w:val="388760E5"/>
    <w:rsid w:val="38885992"/>
    <w:rsid w:val="38940853"/>
    <w:rsid w:val="38A17D40"/>
    <w:rsid w:val="38AA3106"/>
    <w:rsid w:val="38B91D97"/>
    <w:rsid w:val="38BE4E9B"/>
    <w:rsid w:val="38DA0739"/>
    <w:rsid w:val="38DB124C"/>
    <w:rsid w:val="38E457B3"/>
    <w:rsid w:val="38EB1B4B"/>
    <w:rsid w:val="38F15CE8"/>
    <w:rsid w:val="38F561DB"/>
    <w:rsid w:val="38F634E1"/>
    <w:rsid w:val="38FB64A8"/>
    <w:rsid w:val="38FF546C"/>
    <w:rsid w:val="390419E5"/>
    <w:rsid w:val="39054FC0"/>
    <w:rsid w:val="39063E33"/>
    <w:rsid w:val="390A08E4"/>
    <w:rsid w:val="390B6B3A"/>
    <w:rsid w:val="390C23CF"/>
    <w:rsid w:val="390C2BAF"/>
    <w:rsid w:val="39190353"/>
    <w:rsid w:val="391B7E33"/>
    <w:rsid w:val="392348BA"/>
    <w:rsid w:val="39285E70"/>
    <w:rsid w:val="393A0AB6"/>
    <w:rsid w:val="393D0CE9"/>
    <w:rsid w:val="393E413E"/>
    <w:rsid w:val="393F4DB5"/>
    <w:rsid w:val="39430031"/>
    <w:rsid w:val="394D2538"/>
    <w:rsid w:val="395272C9"/>
    <w:rsid w:val="39545FAE"/>
    <w:rsid w:val="39566392"/>
    <w:rsid w:val="395946EE"/>
    <w:rsid w:val="395A11B4"/>
    <w:rsid w:val="39647832"/>
    <w:rsid w:val="396907EC"/>
    <w:rsid w:val="396A0D49"/>
    <w:rsid w:val="396A3D03"/>
    <w:rsid w:val="39771C72"/>
    <w:rsid w:val="39772A69"/>
    <w:rsid w:val="39776E4A"/>
    <w:rsid w:val="399258EC"/>
    <w:rsid w:val="3992797E"/>
    <w:rsid w:val="3998050D"/>
    <w:rsid w:val="39983FFD"/>
    <w:rsid w:val="39995D60"/>
    <w:rsid w:val="399B0CCA"/>
    <w:rsid w:val="39A04C8F"/>
    <w:rsid w:val="39A64751"/>
    <w:rsid w:val="39AE1E50"/>
    <w:rsid w:val="39AF13D0"/>
    <w:rsid w:val="39B14740"/>
    <w:rsid w:val="39BD1693"/>
    <w:rsid w:val="39C1586B"/>
    <w:rsid w:val="39C40D7E"/>
    <w:rsid w:val="39C93C2B"/>
    <w:rsid w:val="39D74476"/>
    <w:rsid w:val="39DB3D45"/>
    <w:rsid w:val="39E05020"/>
    <w:rsid w:val="39E62AA8"/>
    <w:rsid w:val="39EB1301"/>
    <w:rsid w:val="39F04834"/>
    <w:rsid w:val="39F96B1C"/>
    <w:rsid w:val="39FB6041"/>
    <w:rsid w:val="39FD651A"/>
    <w:rsid w:val="3A0D261A"/>
    <w:rsid w:val="3A0E0140"/>
    <w:rsid w:val="3A120D3C"/>
    <w:rsid w:val="3A154599"/>
    <w:rsid w:val="3A1A4F91"/>
    <w:rsid w:val="3A1C1095"/>
    <w:rsid w:val="3A1F385D"/>
    <w:rsid w:val="3A1F7622"/>
    <w:rsid w:val="3A233BEC"/>
    <w:rsid w:val="3A262604"/>
    <w:rsid w:val="3A360FBD"/>
    <w:rsid w:val="3A3A2170"/>
    <w:rsid w:val="3A3E11C4"/>
    <w:rsid w:val="3A402EF7"/>
    <w:rsid w:val="3A5013F5"/>
    <w:rsid w:val="3A592975"/>
    <w:rsid w:val="3A604D47"/>
    <w:rsid w:val="3A623055"/>
    <w:rsid w:val="3A640F10"/>
    <w:rsid w:val="3A680EC8"/>
    <w:rsid w:val="3A684185"/>
    <w:rsid w:val="3A697571"/>
    <w:rsid w:val="3A7631F2"/>
    <w:rsid w:val="3A776CA3"/>
    <w:rsid w:val="3A7B152E"/>
    <w:rsid w:val="3A7E7074"/>
    <w:rsid w:val="3A8B3F6F"/>
    <w:rsid w:val="3A99494F"/>
    <w:rsid w:val="3AA04F88"/>
    <w:rsid w:val="3AA1542A"/>
    <w:rsid w:val="3AA547DA"/>
    <w:rsid w:val="3AA676D7"/>
    <w:rsid w:val="3AC37E2C"/>
    <w:rsid w:val="3AC51738"/>
    <w:rsid w:val="3AC60C81"/>
    <w:rsid w:val="3AD06EEC"/>
    <w:rsid w:val="3AD3696C"/>
    <w:rsid w:val="3AD94CBD"/>
    <w:rsid w:val="3ADA3581"/>
    <w:rsid w:val="3ADE0084"/>
    <w:rsid w:val="3AED226D"/>
    <w:rsid w:val="3AF40148"/>
    <w:rsid w:val="3AF75646"/>
    <w:rsid w:val="3AFB50FA"/>
    <w:rsid w:val="3AFE527A"/>
    <w:rsid w:val="3B073926"/>
    <w:rsid w:val="3B0C3E1E"/>
    <w:rsid w:val="3B1C63AB"/>
    <w:rsid w:val="3B210A03"/>
    <w:rsid w:val="3B2B0E5F"/>
    <w:rsid w:val="3B306ABD"/>
    <w:rsid w:val="3B311838"/>
    <w:rsid w:val="3B347DC9"/>
    <w:rsid w:val="3B354E17"/>
    <w:rsid w:val="3B3B7D53"/>
    <w:rsid w:val="3B3C5ADE"/>
    <w:rsid w:val="3B3D118D"/>
    <w:rsid w:val="3B3F6016"/>
    <w:rsid w:val="3B405170"/>
    <w:rsid w:val="3B405225"/>
    <w:rsid w:val="3B4263A9"/>
    <w:rsid w:val="3B43040B"/>
    <w:rsid w:val="3B457B92"/>
    <w:rsid w:val="3B46033C"/>
    <w:rsid w:val="3B4643FE"/>
    <w:rsid w:val="3B4974F4"/>
    <w:rsid w:val="3B4A1564"/>
    <w:rsid w:val="3B5B09B6"/>
    <w:rsid w:val="3B6D4064"/>
    <w:rsid w:val="3B712840"/>
    <w:rsid w:val="3B746A85"/>
    <w:rsid w:val="3B755B98"/>
    <w:rsid w:val="3B7A2102"/>
    <w:rsid w:val="3B7B5BAF"/>
    <w:rsid w:val="3B8068D5"/>
    <w:rsid w:val="3B867D96"/>
    <w:rsid w:val="3B873AC1"/>
    <w:rsid w:val="3B8D6AEC"/>
    <w:rsid w:val="3B902ED6"/>
    <w:rsid w:val="3B9221EB"/>
    <w:rsid w:val="3B965664"/>
    <w:rsid w:val="3B972445"/>
    <w:rsid w:val="3B9A26E0"/>
    <w:rsid w:val="3BAE04A9"/>
    <w:rsid w:val="3BB54D17"/>
    <w:rsid w:val="3BB85612"/>
    <w:rsid w:val="3BC1314C"/>
    <w:rsid w:val="3BC5014D"/>
    <w:rsid w:val="3BC90C93"/>
    <w:rsid w:val="3BCB68FA"/>
    <w:rsid w:val="3BCC540A"/>
    <w:rsid w:val="3BD13CF5"/>
    <w:rsid w:val="3BD466BC"/>
    <w:rsid w:val="3BD57116"/>
    <w:rsid w:val="3BDE2277"/>
    <w:rsid w:val="3BE337DE"/>
    <w:rsid w:val="3BE51ED5"/>
    <w:rsid w:val="3BE6496B"/>
    <w:rsid w:val="3BE831D6"/>
    <w:rsid w:val="3C005DF9"/>
    <w:rsid w:val="3C007004"/>
    <w:rsid w:val="3C071466"/>
    <w:rsid w:val="3C137DEB"/>
    <w:rsid w:val="3C1A22C0"/>
    <w:rsid w:val="3C261670"/>
    <w:rsid w:val="3C292100"/>
    <w:rsid w:val="3C355E58"/>
    <w:rsid w:val="3C4811FF"/>
    <w:rsid w:val="3C4A2A75"/>
    <w:rsid w:val="3C4D4F50"/>
    <w:rsid w:val="3C5544AF"/>
    <w:rsid w:val="3C586B33"/>
    <w:rsid w:val="3C5E41C8"/>
    <w:rsid w:val="3C600405"/>
    <w:rsid w:val="3C640B89"/>
    <w:rsid w:val="3C647619"/>
    <w:rsid w:val="3C6C5BAF"/>
    <w:rsid w:val="3C7600D8"/>
    <w:rsid w:val="3C7719FC"/>
    <w:rsid w:val="3C850B8E"/>
    <w:rsid w:val="3C8538A8"/>
    <w:rsid w:val="3C890D0F"/>
    <w:rsid w:val="3C93198A"/>
    <w:rsid w:val="3C9C181F"/>
    <w:rsid w:val="3CA54054"/>
    <w:rsid w:val="3CA561B2"/>
    <w:rsid w:val="3CAC61B9"/>
    <w:rsid w:val="3CBB028F"/>
    <w:rsid w:val="3CBC60AC"/>
    <w:rsid w:val="3CBE7882"/>
    <w:rsid w:val="3CC93932"/>
    <w:rsid w:val="3CCE428A"/>
    <w:rsid w:val="3CCE7943"/>
    <w:rsid w:val="3CD4545D"/>
    <w:rsid w:val="3CD53E0B"/>
    <w:rsid w:val="3CD740D9"/>
    <w:rsid w:val="3CD77157"/>
    <w:rsid w:val="3CDF6121"/>
    <w:rsid w:val="3CE121A4"/>
    <w:rsid w:val="3CF924D6"/>
    <w:rsid w:val="3CFB05C8"/>
    <w:rsid w:val="3D010873"/>
    <w:rsid w:val="3D066668"/>
    <w:rsid w:val="3D0B1056"/>
    <w:rsid w:val="3D0D0286"/>
    <w:rsid w:val="3D156E43"/>
    <w:rsid w:val="3D1710FF"/>
    <w:rsid w:val="3D1D7521"/>
    <w:rsid w:val="3D1E4B3E"/>
    <w:rsid w:val="3D202FDF"/>
    <w:rsid w:val="3D211F38"/>
    <w:rsid w:val="3D2F0168"/>
    <w:rsid w:val="3D2F1099"/>
    <w:rsid w:val="3D314825"/>
    <w:rsid w:val="3D37527B"/>
    <w:rsid w:val="3D3815B7"/>
    <w:rsid w:val="3D396D53"/>
    <w:rsid w:val="3D3F41E3"/>
    <w:rsid w:val="3D3F49DE"/>
    <w:rsid w:val="3D46298E"/>
    <w:rsid w:val="3D522B92"/>
    <w:rsid w:val="3D536596"/>
    <w:rsid w:val="3D584C28"/>
    <w:rsid w:val="3D597924"/>
    <w:rsid w:val="3D63528E"/>
    <w:rsid w:val="3D753476"/>
    <w:rsid w:val="3D7657E4"/>
    <w:rsid w:val="3D766625"/>
    <w:rsid w:val="3D7D6B03"/>
    <w:rsid w:val="3D7D71B9"/>
    <w:rsid w:val="3D82490B"/>
    <w:rsid w:val="3D90471D"/>
    <w:rsid w:val="3D993037"/>
    <w:rsid w:val="3D9A0AB3"/>
    <w:rsid w:val="3D9F7153"/>
    <w:rsid w:val="3DA87500"/>
    <w:rsid w:val="3DA9291F"/>
    <w:rsid w:val="3DAB4D51"/>
    <w:rsid w:val="3DAD247D"/>
    <w:rsid w:val="3DB31FE5"/>
    <w:rsid w:val="3DB41CF7"/>
    <w:rsid w:val="3DB919A7"/>
    <w:rsid w:val="3DBA100F"/>
    <w:rsid w:val="3DBB5757"/>
    <w:rsid w:val="3DBC44ED"/>
    <w:rsid w:val="3DC41242"/>
    <w:rsid w:val="3DC92739"/>
    <w:rsid w:val="3DCA0783"/>
    <w:rsid w:val="3DCC7CD1"/>
    <w:rsid w:val="3DCE30E8"/>
    <w:rsid w:val="3DD24631"/>
    <w:rsid w:val="3DDA0A65"/>
    <w:rsid w:val="3DE136AC"/>
    <w:rsid w:val="3DE34698"/>
    <w:rsid w:val="3DEC1BCD"/>
    <w:rsid w:val="3DF32229"/>
    <w:rsid w:val="3DF35FB5"/>
    <w:rsid w:val="3DF41320"/>
    <w:rsid w:val="3DF456C1"/>
    <w:rsid w:val="3DF8713D"/>
    <w:rsid w:val="3DFF04CC"/>
    <w:rsid w:val="3E053629"/>
    <w:rsid w:val="3E0D1755"/>
    <w:rsid w:val="3E107484"/>
    <w:rsid w:val="3E122073"/>
    <w:rsid w:val="3E1B237E"/>
    <w:rsid w:val="3E2A6BEF"/>
    <w:rsid w:val="3E2D2302"/>
    <w:rsid w:val="3E2E435E"/>
    <w:rsid w:val="3E2F5BB9"/>
    <w:rsid w:val="3E303E2F"/>
    <w:rsid w:val="3E35121C"/>
    <w:rsid w:val="3E370B49"/>
    <w:rsid w:val="3E49077E"/>
    <w:rsid w:val="3E4A15E4"/>
    <w:rsid w:val="3E4A2FFE"/>
    <w:rsid w:val="3E4F3C50"/>
    <w:rsid w:val="3E640E56"/>
    <w:rsid w:val="3E6D7898"/>
    <w:rsid w:val="3E733530"/>
    <w:rsid w:val="3E7900B6"/>
    <w:rsid w:val="3E79454C"/>
    <w:rsid w:val="3E7A7BEA"/>
    <w:rsid w:val="3E7D204D"/>
    <w:rsid w:val="3E7E485D"/>
    <w:rsid w:val="3E8C62E5"/>
    <w:rsid w:val="3E911A17"/>
    <w:rsid w:val="3E9832B4"/>
    <w:rsid w:val="3EA4016F"/>
    <w:rsid w:val="3EAB6872"/>
    <w:rsid w:val="3EB4093C"/>
    <w:rsid w:val="3EB61168"/>
    <w:rsid w:val="3EB970C8"/>
    <w:rsid w:val="3EBA2D2C"/>
    <w:rsid w:val="3EBC0B1B"/>
    <w:rsid w:val="3EBF1115"/>
    <w:rsid w:val="3ECE4B7B"/>
    <w:rsid w:val="3ECF5579"/>
    <w:rsid w:val="3ED50133"/>
    <w:rsid w:val="3ED716A0"/>
    <w:rsid w:val="3EDF1DAF"/>
    <w:rsid w:val="3EE94F99"/>
    <w:rsid w:val="3EEB0A50"/>
    <w:rsid w:val="3EF14D35"/>
    <w:rsid w:val="3EF65F89"/>
    <w:rsid w:val="3EF71B36"/>
    <w:rsid w:val="3EF95BC8"/>
    <w:rsid w:val="3EFC6D76"/>
    <w:rsid w:val="3F054D30"/>
    <w:rsid w:val="3F132A73"/>
    <w:rsid w:val="3F19380F"/>
    <w:rsid w:val="3F1B2C46"/>
    <w:rsid w:val="3F1D0756"/>
    <w:rsid w:val="3F1D3204"/>
    <w:rsid w:val="3F21203B"/>
    <w:rsid w:val="3F2222F5"/>
    <w:rsid w:val="3F25039D"/>
    <w:rsid w:val="3F260044"/>
    <w:rsid w:val="3F2651FD"/>
    <w:rsid w:val="3F301AC1"/>
    <w:rsid w:val="3F3256FF"/>
    <w:rsid w:val="3F414B6B"/>
    <w:rsid w:val="3F456E38"/>
    <w:rsid w:val="3F4659AC"/>
    <w:rsid w:val="3F4A3B8C"/>
    <w:rsid w:val="3F583F6D"/>
    <w:rsid w:val="3F606827"/>
    <w:rsid w:val="3F620005"/>
    <w:rsid w:val="3F63466C"/>
    <w:rsid w:val="3F665646"/>
    <w:rsid w:val="3F6800B8"/>
    <w:rsid w:val="3F7232D4"/>
    <w:rsid w:val="3F73770F"/>
    <w:rsid w:val="3F7602E5"/>
    <w:rsid w:val="3F776316"/>
    <w:rsid w:val="3F872501"/>
    <w:rsid w:val="3F8923BA"/>
    <w:rsid w:val="3F9B1F6D"/>
    <w:rsid w:val="3F9C34E7"/>
    <w:rsid w:val="3FA15ABC"/>
    <w:rsid w:val="3FA44C1E"/>
    <w:rsid w:val="3FA50C4E"/>
    <w:rsid w:val="3FBD21E3"/>
    <w:rsid w:val="3FCF2437"/>
    <w:rsid w:val="3FD3556B"/>
    <w:rsid w:val="3FD91A42"/>
    <w:rsid w:val="3FE30B8B"/>
    <w:rsid w:val="3FF00151"/>
    <w:rsid w:val="3FF214DE"/>
    <w:rsid w:val="3FF94FBF"/>
    <w:rsid w:val="3FFF0C57"/>
    <w:rsid w:val="40000C19"/>
    <w:rsid w:val="40004D4D"/>
    <w:rsid w:val="40060F31"/>
    <w:rsid w:val="400700E8"/>
    <w:rsid w:val="400B4E32"/>
    <w:rsid w:val="40146FF9"/>
    <w:rsid w:val="40190FB2"/>
    <w:rsid w:val="401E4F87"/>
    <w:rsid w:val="401F5033"/>
    <w:rsid w:val="40243246"/>
    <w:rsid w:val="40267F92"/>
    <w:rsid w:val="402D448F"/>
    <w:rsid w:val="402F0CB7"/>
    <w:rsid w:val="403326AF"/>
    <w:rsid w:val="403B298C"/>
    <w:rsid w:val="40423CE2"/>
    <w:rsid w:val="4047334D"/>
    <w:rsid w:val="40637612"/>
    <w:rsid w:val="40664F69"/>
    <w:rsid w:val="406B4CDA"/>
    <w:rsid w:val="40790754"/>
    <w:rsid w:val="407C46BF"/>
    <w:rsid w:val="40836CB8"/>
    <w:rsid w:val="408500D5"/>
    <w:rsid w:val="408907CA"/>
    <w:rsid w:val="408C7A79"/>
    <w:rsid w:val="40907480"/>
    <w:rsid w:val="409464A5"/>
    <w:rsid w:val="409E4BC6"/>
    <w:rsid w:val="40A17EC4"/>
    <w:rsid w:val="40AD6A09"/>
    <w:rsid w:val="40B44B88"/>
    <w:rsid w:val="40CA6521"/>
    <w:rsid w:val="40CC553D"/>
    <w:rsid w:val="40D05EC1"/>
    <w:rsid w:val="40D27342"/>
    <w:rsid w:val="40D86800"/>
    <w:rsid w:val="40D917AF"/>
    <w:rsid w:val="40D92BB8"/>
    <w:rsid w:val="40DA4490"/>
    <w:rsid w:val="40E37A07"/>
    <w:rsid w:val="40EB3B6C"/>
    <w:rsid w:val="40ED5921"/>
    <w:rsid w:val="40FA75E9"/>
    <w:rsid w:val="40FE69AF"/>
    <w:rsid w:val="41087027"/>
    <w:rsid w:val="410A27A5"/>
    <w:rsid w:val="410D2F00"/>
    <w:rsid w:val="410D7677"/>
    <w:rsid w:val="411159B2"/>
    <w:rsid w:val="411C245E"/>
    <w:rsid w:val="411D4DA8"/>
    <w:rsid w:val="412047BA"/>
    <w:rsid w:val="41205C5E"/>
    <w:rsid w:val="41246C88"/>
    <w:rsid w:val="412678BE"/>
    <w:rsid w:val="412820AF"/>
    <w:rsid w:val="412D5385"/>
    <w:rsid w:val="412F1112"/>
    <w:rsid w:val="413277DF"/>
    <w:rsid w:val="413D69A4"/>
    <w:rsid w:val="41405083"/>
    <w:rsid w:val="41473131"/>
    <w:rsid w:val="414A4CAA"/>
    <w:rsid w:val="414D0CFB"/>
    <w:rsid w:val="41516090"/>
    <w:rsid w:val="415313C1"/>
    <w:rsid w:val="415428DD"/>
    <w:rsid w:val="415E375B"/>
    <w:rsid w:val="4166482C"/>
    <w:rsid w:val="416C731F"/>
    <w:rsid w:val="41716D7F"/>
    <w:rsid w:val="417251F2"/>
    <w:rsid w:val="417A6026"/>
    <w:rsid w:val="417C6487"/>
    <w:rsid w:val="417E5963"/>
    <w:rsid w:val="41801923"/>
    <w:rsid w:val="41835391"/>
    <w:rsid w:val="418366AB"/>
    <w:rsid w:val="418F7381"/>
    <w:rsid w:val="41927E1B"/>
    <w:rsid w:val="41960106"/>
    <w:rsid w:val="41963411"/>
    <w:rsid w:val="419B464E"/>
    <w:rsid w:val="41A70966"/>
    <w:rsid w:val="41B10597"/>
    <w:rsid w:val="41C620D2"/>
    <w:rsid w:val="41C743BC"/>
    <w:rsid w:val="41D222F7"/>
    <w:rsid w:val="41D57031"/>
    <w:rsid w:val="41E72060"/>
    <w:rsid w:val="41E94A6F"/>
    <w:rsid w:val="41E962E7"/>
    <w:rsid w:val="41EA345A"/>
    <w:rsid w:val="41F019C5"/>
    <w:rsid w:val="41F26A13"/>
    <w:rsid w:val="41F43BBE"/>
    <w:rsid w:val="42050AB5"/>
    <w:rsid w:val="42080ADF"/>
    <w:rsid w:val="42083779"/>
    <w:rsid w:val="420A2734"/>
    <w:rsid w:val="420A73C5"/>
    <w:rsid w:val="420D7732"/>
    <w:rsid w:val="420E7689"/>
    <w:rsid w:val="421025EC"/>
    <w:rsid w:val="42142DD2"/>
    <w:rsid w:val="421B7106"/>
    <w:rsid w:val="42207AA0"/>
    <w:rsid w:val="4221679B"/>
    <w:rsid w:val="423320C9"/>
    <w:rsid w:val="42403E94"/>
    <w:rsid w:val="42404609"/>
    <w:rsid w:val="424115FD"/>
    <w:rsid w:val="424132E7"/>
    <w:rsid w:val="42462B6D"/>
    <w:rsid w:val="42470AE6"/>
    <w:rsid w:val="424C5F21"/>
    <w:rsid w:val="425050CD"/>
    <w:rsid w:val="42516C26"/>
    <w:rsid w:val="42561003"/>
    <w:rsid w:val="42585AF0"/>
    <w:rsid w:val="42601D87"/>
    <w:rsid w:val="42605752"/>
    <w:rsid w:val="42691CED"/>
    <w:rsid w:val="42724D4C"/>
    <w:rsid w:val="427303AE"/>
    <w:rsid w:val="42746FFB"/>
    <w:rsid w:val="4275616C"/>
    <w:rsid w:val="42766A1F"/>
    <w:rsid w:val="427F59CA"/>
    <w:rsid w:val="42896BCC"/>
    <w:rsid w:val="429207CF"/>
    <w:rsid w:val="42A1256C"/>
    <w:rsid w:val="42A72724"/>
    <w:rsid w:val="42AA6AC3"/>
    <w:rsid w:val="42AF47AE"/>
    <w:rsid w:val="42B23A70"/>
    <w:rsid w:val="42B54AEB"/>
    <w:rsid w:val="42B67708"/>
    <w:rsid w:val="42BA70B7"/>
    <w:rsid w:val="42C02027"/>
    <w:rsid w:val="42C2622E"/>
    <w:rsid w:val="42C70DDA"/>
    <w:rsid w:val="42C8483E"/>
    <w:rsid w:val="42CB0650"/>
    <w:rsid w:val="42CD601B"/>
    <w:rsid w:val="42D2035D"/>
    <w:rsid w:val="42DB245A"/>
    <w:rsid w:val="42DC527F"/>
    <w:rsid w:val="42DE4B11"/>
    <w:rsid w:val="42E06F60"/>
    <w:rsid w:val="42E24263"/>
    <w:rsid w:val="42EA664D"/>
    <w:rsid w:val="42EE1401"/>
    <w:rsid w:val="42EE163A"/>
    <w:rsid w:val="42F3216E"/>
    <w:rsid w:val="4304238F"/>
    <w:rsid w:val="43086672"/>
    <w:rsid w:val="430F26E8"/>
    <w:rsid w:val="431A6F20"/>
    <w:rsid w:val="431F1529"/>
    <w:rsid w:val="432257B3"/>
    <w:rsid w:val="432606E4"/>
    <w:rsid w:val="43270542"/>
    <w:rsid w:val="432B505E"/>
    <w:rsid w:val="432E7A89"/>
    <w:rsid w:val="4331078C"/>
    <w:rsid w:val="433146BD"/>
    <w:rsid w:val="433C0FBF"/>
    <w:rsid w:val="433C490F"/>
    <w:rsid w:val="43415C3E"/>
    <w:rsid w:val="43421586"/>
    <w:rsid w:val="43441644"/>
    <w:rsid w:val="43456F90"/>
    <w:rsid w:val="43477E91"/>
    <w:rsid w:val="434F2A6C"/>
    <w:rsid w:val="43502A6D"/>
    <w:rsid w:val="43556C5F"/>
    <w:rsid w:val="4358701D"/>
    <w:rsid w:val="43595BD4"/>
    <w:rsid w:val="43626C1D"/>
    <w:rsid w:val="43650C36"/>
    <w:rsid w:val="43684F25"/>
    <w:rsid w:val="436C03B1"/>
    <w:rsid w:val="43726065"/>
    <w:rsid w:val="437B6ED8"/>
    <w:rsid w:val="437F4D03"/>
    <w:rsid w:val="43825479"/>
    <w:rsid w:val="43830676"/>
    <w:rsid w:val="43871133"/>
    <w:rsid w:val="43873704"/>
    <w:rsid w:val="43877381"/>
    <w:rsid w:val="438838B8"/>
    <w:rsid w:val="438C461F"/>
    <w:rsid w:val="43967280"/>
    <w:rsid w:val="439D49E2"/>
    <w:rsid w:val="43A4164B"/>
    <w:rsid w:val="43A550C4"/>
    <w:rsid w:val="43AA07CE"/>
    <w:rsid w:val="43AE6822"/>
    <w:rsid w:val="43BC4B33"/>
    <w:rsid w:val="43BE03CA"/>
    <w:rsid w:val="43C2728F"/>
    <w:rsid w:val="43C45144"/>
    <w:rsid w:val="43C70FFF"/>
    <w:rsid w:val="43CC31BB"/>
    <w:rsid w:val="43CC365A"/>
    <w:rsid w:val="43CD4963"/>
    <w:rsid w:val="43CD6A50"/>
    <w:rsid w:val="43CE48B7"/>
    <w:rsid w:val="43D551B0"/>
    <w:rsid w:val="43D85454"/>
    <w:rsid w:val="43DB3EE9"/>
    <w:rsid w:val="43E270F3"/>
    <w:rsid w:val="43E3057A"/>
    <w:rsid w:val="43F54DA9"/>
    <w:rsid w:val="43FE2958"/>
    <w:rsid w:val="440203F1"/>
    <w:rsid w:val="44024DF9"/>
    <w:rsid w:val="4404286F"/>
    <w:rsid w:val="440C7C4A"/>
    <w:rsid w:val="440E66BA"/>
    <w:rsid w:val="440E7D90"/>
    <w:rsid w:val="440F2E34"/>
    <w:rsid w:val="44146A9A"/>
    <w:rsid w:val="44171184"/>
    <w:rsid w:val="44175F1B"/>
    <w:rsid w:val="441C083C"/>
    <w:rsid w:val="441C52B2"/>
    <w:rsid w:val="441C672E"/>
    <w:rsid w:val="441F0D39"/>
    <w:rsid w:val="44244BCB"/>
    <w:rsid w:val="44264783"/>
    <w:rsid w:val="44272F23"/>
    <w:rsid w:val="44302BFC"/>
    <w:rsid w:val="44324423"/>
    <w:rsid w:val="44337FB9"/>
    <w:rsid w:val="4435246F"/>
    <w:rsid w:val="4436105C"/>
    <w:rsid w:val="444111FF"/>
    <w:rsid w:val="445B0AF7"/>
    <w:rsid w:val="447836DD"/>
    <w:rsid w:val="447B0728"/>
    <w:rsid w:val="447E3257"/>
    <w:rsid w:val="447F4A06"/>
    <w:rsid w:val="44831952"/>
    <w:rsid w:val="448839E0"/>
    <w:rsid w:val="44890522"/>
    <w:rsid w:val="4489659E"/>
    <w:rsid w:val="448E4357"/>
    <w:rsid w:val="4491704F"/>
    <w:rsid w:val="449778AD"/>
    <w:rsid w:val="449B6F94"/>
    <w:rsid w:val="449C401E"/>
    <w:rsid w:val="449D218D"/>
    <w:rsid w:val="44A24290"/>
    <w:rsid w:val="44A52C5E"/>
    <w:rsid w:val="44AF170F"/>
    <w:rsid w:val="44B46D1D"/>
    <w:rsid w:val="44B62775"/>
    <w:rsid w:val="44C12684"/>
    <w:rsid w:val="44C14DFA"/>
    <w:rsid w:val="44CF45BE"/>
    <w:rsid w:val="44D432CF"/>
    <w:rsid w:val="44E82BA2"/>
    <w:rsid w:val="44EF3D3F"/>
    <w:rsid w:val="44EF465A"/>
    <w:rsid w:val="44F22D2D"/>
    <w:rsid w:val="44F3065E"/>
    <w:rsid w:val="44F7060C"/>
    <w:rsid w:val="44F71EFD"/>
    <w:rsid w:val="44FE20A4"/>
    <w:rsid w:val="45032926"/>
    <w:rsid w:val="451A046B"/>
    <w:rsid w:val="451E0E66"/>
    <w:rsid w:val="45233410"/>
    <w:rsid w:val="4524606C"/>
    <w:rsid w:val="453858C1"/>
    <w:rsid w:val="454F18A5"/>
    <w:rsid w:val="454F64A4"/>
    <w:rsid w:val="45537AA5"/>
    <w:rsid w:val="45596FC7"/>
    <w:rsid w:val="455A1936"/>
    <w:rsid w:val="455A2059"/>
    <w:rsid w:val="456079E3"/>
    <w:rsid w:val="456416C0"/>
    <w:rsid w:val="45752B20"/>
    <w:rsid w:val="457C6595"/>
    <w:rsid w:val="45842471"/>
    <w:rsid w:val="45905417"/>
    <w:rsid w:val="45925C03"/>
    <w:rsid w:val="4593369D"/>
    <w:rsid w:val="4594374B"/>
    <w:rsid w:val="4599316C"/>
    <w:rsid w:val="459D018A"/>
    <w:rsid w:val="45AF2BBD"/>
    <w:rsid w:val="45B10D79"/>
    <w:rsid w:val="45B11879"/>
    <w:rsid w:val="45B37783"/>
    <w:rsid w:val="45B63B66"/>
    <w:rsid w:val="45B871D9"/>
    <w:rsid w:val="45BB73CE"/>
    <w:rsid w:val="45C624F6"/>
    <w:rsid w:val="45CD3778"/>
    <w:rsid w:val="45CF30C1"/>
    <w:rsid w:val="45DA627E"/>
    <w:rsid w:val="45DF333B"/>
    <w:rsid w:val="45E0762C"/>
    <w:rsid w:val="45E43CB8"/>
    <w:rsid w:val="45E52314"/>
    <w:rsid w:val="45EA53C2"/>
    <w:rsid w:val="45F90BB3"/>
    <w:rsid w:val="45F95D04"/>
    <w:rsid w:val="45FB0AB4"/>
    <w:rsid w:val="45FE770B"/>
    <w:rsid w:val="460A4105"/>
    <w:rsid w:val="462760A7"/>
    <w:rsid w:val="462B3FA9"/>
    <w:rsid w:val="462E06D9"/>
    <w:rsid w:val="46366643"/>
    <w:rsid w:val="463A1C49"/>
    <w:rsid w:val="46430613"/>
    <w:rsid w:val="46437959"/>
    <w:rsid w:val="46513D73"/>
    <w:rsid w:val="46517F3B"/>
    <w:rsid w:val="465B20ED"/>
    <w:rsid w:val="465E0FE6"/>
    <w:rsid w:val="4663016F"/>
    <w:rsid w:val="466F5DBA"/>
    <w:rsid w:val="46723119"/>
    <w:rsid w:val="467F5A57"/>
    <w:rsid w:val="46851E0B"/>
    <w:rsid w:val="46853F02"/>
    <w:rsid w:val="4688180E"/>
    <w:rsid w:val="4696124F"/>
    <w:rsid w:val="469F5D97"/>
    <w:rsid w:val="46A01E16"/>
    <w:rsid w:val="46A07E13"/>
    <w:rsid w:val="46A84705"/>
    <w:rsid w:val="46A95479"/>
    <w:rsid w:val="46BD2CC6"/>
    <w:rsid w:val="46BE1238"/>
    <w:rsid w:val="46C07E14"/>
    <w:rsid w:val="46C105D9"/>
    <w:rsid w:val="46C3272B"/>
    <w:rsid w:val="46C9666B"/>
    <w:rsid w:val="46CC15BC"/>
    <w:rsid w:val="46CD5833"/>
    <w:rsid w:val="46D3623D"/>
    <w:rsid w:val="46D709DD"/>
    <w:rsid w:val="46DA0E73"/>
    <w:rsid w:val="46DA3884"/>
    <w:rsid w:val="46E007F6"/>
    <w:rsid w:val="46E23CD2"/>
    <w:rsid w:val="46EB6196"/>
    <w:rsid w:val="46ED701A"/>
    <w:rsid w:val="46F21B51"/>
    <w:rsid w:val="46F530CF"/>
    <w:rsid w:val="47006CF8"/>
    <w:rsid w:val="47033C24"/>
    <w:rsid w:val="470410C1"/>
    <w:rsid w:val="470A3B3A"/>
    <w:rsid w:val="470B04D0"/>
    <w:rsid w:val="470E79D1"/>
    <w:rsid w:val="471355A3"/>
    <w:rsid w:val="47175B97"/>
    <w:rsid w:val="47186D2F"/>
    <w:rsid w:val="471A6376"/>
    <w:rsid w:val="47233B3F"/>
    <w:rsid w:val="472C3D84"/>
    <w:rsid w:val="473016F6"/>
    <w:rsid w:val="473E21FC"/>
    <w:rsid w:val="47422904"/>
    <w:rsid w:val="474346EC"/>
    <w:rsid w:val="474E0314"/>
    <w:rsid w:val="4750223A"/>
    <w:rsid w:val="4755115C"/>
    <w:rsid w:val="475B5338"/>
    <w:rsid w:val="475E0D94"/>
    <w:rsid w:val="476D64D4"/>
    <w:rsid w:val="476F2C1E"/>
    <w:rsid w:val="47736B6B"/>
    <w:rsid w:val="47775DA0"/>
    <w:rsid w:val="47817BAE"/>
    <w:rsid w:val="4785403C"/>
    <w:rsid w:val="478813B3"/>
    <w:rsid w:val="47893FA9"/>
    <w:rsid w:val="479000C6"/>
    <w:rsid w:val="47931FD5"/>
    <w:rsid w:val="47937247"/>
    <w:rsid w:val="47971775"/>
    <w:rsid w:val="47A36A10"/>
    <w:rsid w:val="47A411A1"/>
    <w:rsid w:val="47A44F44"/>
    <w:rsid w:val="47A66AC6"/>
    <w:rsid w:val="47A966F1"/>
    <w:rsid w:val="47AA235C"/>
    <w:rsid w:val="47AB37BF"/>
    <w:rsid w:val="47AB60FD"/>
    <w:rsid w:val="47AC359D"/>
    <w:rsid w:val="47AD48BB"/>
    <w:rsid w:val="47CB313C"/>
    <w:rsid w:val="47CB7EFF"/>
    <w:rsid w:val="47D521B1"/>
    <w:rsid w:val="47DA4F8B"/>
    <w:rsid w:val="47E160C7"/>
    <w:rsid w:val="47E45663"/>
    <w:rsid w:val="47F47268"/>
    <w:rsid w:val="47F63889"/>
    <w:rsid w:val="48030F55"/>
    <w:rsid w:val="48103910"/>
    <w:rsid w:val="48186F76"/>
    <w:rsid w:val="481B16DE"/>
    <w:rsid w:val="48202656"/>
    <w:rsid w:val="48277FC6"/>
    <w:rsid w:val="4832149E"/>
    <w:rsid w:val="48353D17"/>
    <w:rsid w:val="4837653C"/>
    <w:rsid w:val="48380F08"/>
    <w:rsid w:val="483B3DE9"/>
    <w:rsid w:val="483F60B0"/>
    <w:rsid w:val="484C3D7B"/>
    <w:rsid w:val="485111C8"/>
    <w:rsid w:val="48512A37"/>
    <w:rsid w:val="48534BE3"/>
    <w:rsid w:val="485465DE"/>
    <w:rsid w:val="4855782A"/>
    <w:rsid w:val="48594C7C"/>
    <w:rsid w:val="4862383A"/>
    <w:rsid w:val="486569AC"/>
    <w:rsid w:val="486810BC"/>
    <w:rsid w:val="486E0E2D"/>
    <w:rsid w:val="48710302"/>
    <w:rsid w:val="48776572"/>
    <w:rsid w:val="48874181"/>
    <w:rsid w:val="488B62F3"/>
    <w:rsid w:val="488E612A"/>
    <w:rsid w:val="4890003B"/>
    <w:rsid w:val="48913DAF"/>
    <w:rsid w:val="48974DBF"/>
    <w:rsid w:val="489A51DD"/>
    <w:rsid w:val="48A01926"/>
    <w:rsid w:val="48A204C0"/>
    <w:rsid w:val="48AB5A46"/>
    <w:rsid w:val="48B13356"/>
    <w:rsid w:val="48B4534F"/>
    <w:rsid w:val="48BB1493"/>
    <w:rsid w:val="48C02956"/>
    <w:rsid w:val="48C05C76"/>
    <w:rsid w:val="48C50336"/>
    <w:rsid w:val="48C72DC5"/>
    <w:rsid w:val="48C91E02"/>
    <w:rsid w:val="48DB2772"/>
    <w:rsid w:val="48DD765B"/>
    <w:rsid w:val="48DF767A"/>
    <w:rsid w:val="48E520AB"/>
    <w:rsid w:val="48E8140D"/>
    <w:rsid w:val="48E924A4"/>
    <w:rsid w:val="48EA18AA"/>
    <w:rsid w:val="48F674E1"/>
    <w:rsid w:val="48F914B5"/>
    <w:rsid w:val="49003346"/>
    <w:rsid w:val="49036C7C"/>
    <w:rsid w:val="490860F4"/>
    <w:rsid w:val="49261E5D"/>
    <w:rsid w:val="492D7D40"/>
    <w:rsid w:val="49470B5C"/>
    <w:rsid w:val="494D2A33"/>
    <w:rsid w:val="494F59E2"/>
    <w:rsid w:val="49521DF7"/>
    <w:rsid w:val="495346F4"/>
    <w:rsid w:val="495C25E7"/>
    <w:rsid w:val="49682748"/>
    <w:rsid w:val="496B110B"/>
    <w:rsid w:val="496D3815"/>
    <w:rsid w:val="496F79C6"/>
    <w:rsid w:val="49724E04"/>
    <w:rsid w:val="498059CD"/>
    <w:rsid w:val="498149E2"/>
    <w:rsid w:val="49832EC6"/>
    <w:rsid w:val="4986132B"/>
    <w:rsid w:val="499055E4"/>
    <w:rsid w:val="49932E75"/>
    <w:rsid w:val="49956A5E"/>
    <w:rsid w:val="499B0126"/>
    <w:rsid w:val="499F467A"/>
    <w:rsid w:val="49A31BD5"/>
    <w:rsid w:val="49A7399E"/>
    <w:rsid w:val="49AA03B8"/>
    <w:rsid w:val="49AE6BC3"/>
    <w:rsid w:val="49B36D3F"/>
    <w:rsid w:val="49B46D82"/>
    <w:rsid w:val="49B62911"/>
    <w:rsid w:val="49B8377E"/>
    <w:rsid w:val="49BD39E0"/>
    <w:rsid w:val="49CA2D9E"/>
    <w:rsid w:val="49D81FB2"/>
    <w:rsid w:val="49D83FD3"/>
    <w:rsid w:val="49D9187C"/>
    <w:rsid w:val="49DA6606"/>
    <w:rsid w:val="49F23879"/>
    <w:rsid w:val="49FC2FF6"/>
    <w:rsid w:val="4A007E4B"/>
    <w:rsid w:val="4A024875"/>
    <w:rsid w:val="4A050C03"/>
    <w:rsid w:val="4A1D0657"/>
    <w:rsid w:val="4A1E0E09"/>
    <w:rsid w:val="4A1F71D6"/>
    <w:rsid w:val="4A25167D"/>
    <w:rsid w:val="4A284C7C"/>
    <w:rsid w:val="4A3342BE"/>
    <w:rsid w:val="4A35418A"/>
    <w:rsid w:val="4A3E5EC5"/>
    <w:rsid w:val="4A410522"/>
    <w:rsid w:val="4A4651F2"/>
    <w:rsid w:val="4A4B79B0"/>
    <w:rsid w:val="4A4F55A9"/>
    <w:rsid w:val="4A526E3F"/>
    <w:rsid w:val="4A543D3C"/>
    <w:rsid w:val="4A69085C"/>
    <w:rsid w:val="4A6D1112"/>
    <w:rsid w:val="4A6E2D33"/>
    <w:rsid w:val="4A711381"/>
    <w:rsid w:val="4A764F7B"/>
    <w:rsid w:val="4A767E21"/>
    <w:rsid w:val="4A7A2BDA"/>
    <w:rsid w:val="4A7A2F7F"/>
    <w:rsid w:val="4A7F251F"/>
    <w:rsid w:val="4A805392"/>
    <w:rsid w:val="4A8420B3"/>
    <w:rsid w:val="4A847FA5"/>
    <w:rsid w:val="4A8A19C9"/>
    <w:rsid w:val="4A8C758B"/>
    <w:rsid w:val="4A9209C9"/>
    <w:rsid w:val="4A9305F6"/>
    <w:rsid w:val="4A932481"/>
    <w:rsid w:val="4A9F2320"/>
    <w:rsid w:val="4AA17AA8"/>
    <w:rsid w:val="4AA809DD"/>
    <w:rsid w:val="4AB24155"/>
    <w:rsid w:val="4AB27B28"/>
    <w:rsid w:val="4AB36CC9"/>
    <w:rsid w:val="4AB515BF"/>
    <w:rsid w:val="4AB63D60"/>
    <w:rsid w:val="4AB82BBC"/>
    <w:rsid w:val="4AB8697B"/>
    <w:rsid w:val="4ABE55AD"/>
    <w:rsid w:val="4AC241FD"/>
    <w:rsid w:val="4AC5588E"/>
    <w:rsid w:val="4ACA2712"/>
    <w:rsid w:val="4ACA665B"/>
    <w:rsid w:val="4ACB6597"/>
    <w:rsid w:val="4ACE0462"/>
    <w:rsid w:val="4ACF72F5"/>
    <w:rsid w:val="4AD7004B"/>
    <w:rsid w:val="4AE110EC"/>
    <w:rsid w:val="4AE82826"/>
    <w:rsid w:val="4AF017B6"/>
    <w:rsid w:val="4AF1027F"/>
    <w:rsid w:val="4AFC5264"/>
    <w:rsid w:val="4B0025AE"/>
    <w:rsid w:val="4B0545F8"/>
    <w:rsid w:val="4B076C12"/>
    <w:rsid w:val="4B0B4444"/>
    <w:rsid w:val="4B0C2570"/>
    <w:rsid w:val="4B0E7FA0"/>
    <w:rsid w:val="4B115DA6"/>
    <w:rsid w:val="4B1675C2"/>
    <w:rsid w:val="4B180E1F"/>
    <w:rsid w:val="4B1831EC"/>
    <w:rsid w:val="4B1B7B78"/>
    <w:rsid w:val="4B1E705C"/>
    <w:rsid w:val="4B2140D9"/>
    <w:rsid w:val="4B275C1E"/>
    <w:rsid w:val="4B2C4D06"/>
    <w:rsid w:val="4B374D49"/>
    <w:rsid w:val="4B3A1A9A"/>
    <w:rsid w:val="4B4841DC"/>
    <w:rsid w:val="4B586A89"/>
    <w:rsid w:val="4B59363C"/>
    <w:rsid w:val="4B643C76"/>
    <w:rsid w:val="4B6C7F93"/>
    <w:rsid w:val="4B742175"/>
    <w:rsid w:val="4B7442ED"/>
    <w:rsid w:val="4B792497"/>
    <w:rsid w:val="4B7C3F54"/>
    <w:rsid w:val="4B8503C5"/>
    <w:rsid w:val="4B851ED9"/>
    <w:rsid w:val="4B872A3C"/>
    <w:rsid w:val="4B8B013E"/>
    <w:rsid w:val="4B8D4F6F"/>
    <w:rsid w:val="4B8D6F3F"/>
    <w:rsid w:val="4B8E25B9"/>
    <w:rsid w:val="4B8E6CA5"/>
    <w:rsid w:val="4B8F4987"/>
    <w:rsid w:val="4B916CBA"/>
    <w:rsid w:val="4B9366F7"/>
    <w:rsid w:val="4B95303F"/>
    <w:rsid w:val="4B964478"/>
    <w:rsid w:val="4B993625"/>
    <w:rsid w:val="4B9D37FE"/>
    <w:rsid w:val="4BAC61FC"/>
    <w:rsid w:val="4BAF3531"/>
    <w:rsid w:val="4BBB2D66"/>
    <w:rsid w:val="4BBB673C"/>
    <w:rsid w:val="4BC10BAC"/>
    <w:rsid w:val="4BC15F2C"/>
    <w:rsid w:val="4BCF1DAC"/>
    <w:rsid w:val="4BCF4F48"/>
    <w:rsid w:val="4BD770F2"/>
    <w:rsid w:val="4BDA5BD8"/>
    <w:rsid w:val="4BDB0A7A"/>
    <w:rsid w:val="4BE13CA5"/>
    <w:rsid w:val="4BE3186D"/>
    <w:rsid w:val="4BEC0389"/>
    <w:rsid w:val="4BF0002E"/>
    <w:rsid w:val="4BF77406"/>
    <w:rsid w:val="4C04660E"/>
    <w:rsid w:val="4C06416B"/>
    <w:rsid w:val="4C082453"/>
    <w:rsid w:val="4C12221A"/>
    <w:rsid w:val="4C1228C9"/>
    <w:rsid w:val="4C15535E"/>
    <w:rsid w:val="4C1A4DB1"/>
    <w:rsid w:val="4C1A4F8A"/>
    <w:rsid w:val="4C20442F"/>
    <w:rsid w:val="4C215B78"/>
    <w:rsid w:val="4C223979"/>
    <w:rsid w:val="4C242F68"/>
    <w:rsid w:val="4C251AC0"/>
    <w:rsid w:val="4C266712"/>
    <w:rsid w:val="4C293B66"/>
    <w:rsid w:val="4C2C4B82"/>
    <w:rsid w:val="4C2E4627"/>
    <w:rsid w:val="4C3212F6"/>
    <w:rsid w:val="4C492858"/>
    <w:rsid w:val="4C4B19D1"/>
    <w:rsid w:val="4C4F7C00"/>
    <w:rsid w:val="4C530370"/>
    <w:rsid w:val="4C535B6A"/>
    <w:rsid w:val="4C5E7043"/>
    <w:rsid w:val="4C637D82"/>
    <w:rsid w:val="4C685D27"/>
    <w:rsid w:val="4C6C4D2D"/>
    <w:rsid w:val="4C795D27"/>
    <w:rsid w:val="4C7F2F3B"/>
    <w:rsid w:val="4C853219"/>
    <w:rsid w:val="4C8B0C8D"/>
    <w:rsid w:val="4C8D15AA"/>
    <w:rsid w:val="4C911583"/>
    <w:rsid w:val="4CA14505"/>
    <w:rsid w:val="4CA2203B"/>
    <w:rsid w:val="4CAA1F74"/>
    <w:rsid w:val="4CAC5042"/>
    <w:rsid w:val="4CB501F8"/>
    <w:rsid w:val="4CBA4F09"/>
    <w:rsid w:val="4CBA6FE7"/>
    <w:rsid w:val="4CBC562E"/>
    <w:rsid w:val="4CBD57DA"/>
    <w:rsid w:val="4CCB51E9"/>
    <w:rsid w:val="4CCC151C"/>
    <w:rsid w:val="4CCF2AB1"/>
    <w:rsid w:val="4CD20AE9"/>
    <w:rsid w:val="4CD456D3"/>
    <w:rsid w:val="4CDD1363"/>
    <w:rsid w:val="4CDF7149"/>
    <w:rsid w:val="4CE15A9E"/>
    <w:rsid w:val="4CFC13FE"/>
    <w:rsid w:val="4CFC4D20"/>
    <w:rsid w:val="4CFF2E78"/>
    <w:rsid w:val="4D0045E2"/>
    <w:rsid w:val="4D0478AD"/>
    <w:rsid w:val="4D066CE5"/>
    <w:rsid w:val="4D0A57CE"/>
    <w:rsid w:val="4D0D6F14"/>
    <w:rsid w:val="4D0E0017"/>
    <w:rsid w:val="4D1002BC"/>
    <w:rsid w:val="4D101C3A"/>
    <w:rsid w:val="4D145764"/>
    <w:rsid w:val="4D190ACD"/>
    <w:rsid w:val="4D1D354E"/>
    <w:rsid w:val="4D21045F"/>
    <w:rsid w:val="4D215659"/>
    <w:rsid w:val="4D292E6F"/>
    <w:rsid w:val="4D2B70E4"/>
    <w:rsid w:val="4D337E7D"/>
    <w:rsid w:val="4D3449B3"/>
    <w:rsid w:val="4D352F17"/>
    <w:rsid w:val="4D42774B"/>
    <w:rsid w:val="4D4371A8"/>
    <w:rsid w:val="4D476DC7"/>
    <w:rsid w:val="4D5E0710"/>
    <w:rsid w:val="4D5F489A"/>
    <w:rsid w:val="4D623BC4"/>
    <w:rsid w:val="4D651BC2"/>
    <w:rsid w:val="4D6E4D8E"/>
    <w:rsid w:val="4D74373C"/>
    <w:rsid w:val="4D751897"/>
    <w:rsid w:val="4D7E4642"/>
    <w:rsid w:val="4D861083"/>
    <w:rsid w:val="4D9E498F"/>
    <w:rsid w:val="4D9F59E5"/>
    <w:rsid w:val="4DA41EDF"/>
    <w:rsid w:val="4DBD1662"/>
    <w:rsid w:val="4DC25072"/>
    <w:rsid w:val="4DC36B90"/>
    <w:rsid w:val="4DC70015"/>
    <w:rsid w:val="4DD14F9F"/>
    <w:rsid w:val="4DD53335"/>
    <w:rsid w:val="4DD9572C"/>
    <w:rsid w:val="4DDA5774"/>
    <w:rsid w:val="4DE1444A"/>
    <w:rsid w:val="4DE247A0"/>
    <w:rsid w:val="4DE66A92"/>
    <w:rsid w:val="4DE74FB4"/>
    <w:rsid w:val="4DEE5F75"/>
    <w:rsid w:val="4DF57014"/>
    <w:rsid w:val="4DF66924"/>
    <w:rsid w:val="4DFD0DC3"/>
    <w:rsid w:val="4DFE1F46"/>
    <w:rsid w:val="4E023111"/>
    <w:rsid w:val="4E03444D"/>
    <w:rsid w:val="4E127711"/>
    <w:rsid w:val="4E1771BE"/>
    <w:rsid w:val="4E306FFD"/>
    <w:rsid w:val="4E3264B4"/>
    <w:rsid w:val="4E3A5924"/>
    <w:rsid w:val="4E3B2F9F"/>
    <w:rsid w:val="4E3D1C62"/>
    <w:rsid w:val="4E410505"/>
    <w:rsid w:val="4E416FC1"/>
    <w:rsid w:val="4E450269"/>
    <w:rsid w:val="4E4631AF"/>
    <w:rsid w:val="4E575716"/>
    <w:rsid w:val="4E5D78B4"/>
    <w:rsid w:val="4E5F21F3"/>
    <w:rsid w:val="4E606918"/>
    <w:rsid w:val="4E6617CF"/>
    <w:rsid w:val="4E677EC8"/>
    <w:rsid w:val="4E6A6AE8"/>
    <w:rsid w:val="4E6E2543"/>
    <w:rsid w:val="4E6F0D56"/>
    <w:rsid w:val="4E70062F"/>
    <w:rsid w:val="4E702607"/>
    <w:rsid w:val="4E764934"/>
    <w:rsid w:val="4E7657F6"/>
    <w:rsid w:val="4E7A051E"/>
    <w:rsid w:val="4E7B1458"/>
    <w:rsid w:val="4E810057"/>
    <w:rsid w:val="4E823AA2"/>
    <w:rsid w:val="4E8278F9"/>
    <w:rsid w:val="4E8461A2"/>
    <w:rsid w:val="4E8A250F"/>
    <w:rsid w:val="4E8D6FA9"/>
    <w:rsid w:val="4E8F088D"/>
    <w:rsid w:val="4E8F6FB6"/>
    <w:rsid w:val="4E9B7D9D"/>
    <w:rsid w:val="4EA20906"/>
    <w:rsid w:val="4EA223F5"/>
    <w:rsid w:val="4EA22AC8"/>
    <w:rsid w:val="4EA61AD2"/>
    <w:rsid w:val="4EB86BA1"/>
    <w:rsid w:val="4EBC1F4A"/>
    <w:rsid w:val="4EBC2957"/>
    <w:rsid w:val="4EC81C32"/>
    <w:rsid w:val="4ECD4A7F"/>
    <w:rsid w:val="4EDB5A8B"/>
    <w:rsid w:val="4EE11E0A"/>
    <w:rsid w:val="4EEC579B"/>
    <w:rsid w:val="4EEC742D"/>
    <w:rsid w:val="4EF179BD"/>
    <w:rsid w:val="4EF43187"/>
    <w:rsid w:val="4EF4687A"/>
    <w:rsid w:val="4EFA6F11"/>
    <w:rsid w:val="4F006159"/>
    <w:rsid w:val="4F0A2117"/>
    <w:rsid w:val="4F102A9E"/>
    <w:rsid w:val="4F124B2B"/>
    <w:rsid w:val="4F130E64"/>
    <w:rsid w:val="4F1B5067"/>
    <w:rsid w:val="4F1C55EB"/>
    <w:rsid w:val="4F20435C"/>
    <w:rsid w:val="4F2068BF"/>
    <w:rsid w:val="4F2604E6"/>
    <w:rsid w:val="4F270D70"/>
    <w:rsid w:val="4F32048D"/>
    <w:rsid w:val="4F380898"/>
    <w:rsid w:val="4F3903E0"/>
    <w:rsid w:val="4F3A51D7"/>
    <w:rsid w:val="4F400385"/>
    <w:rsid w:val="4F4641AC"/>
    <w:rsid w:val="4F465B59"/>
    <w:rsid w:val="4F4923D6"/>
    <w:rsid w:val="4F4A2F6A"/>
    <w:rsid w:val="4F4E3061"/>
    <w:rsid w:val="4F53181E"/>
    <w:rsid w:val="4F546489"/>
    <w:rsid w:val="4F551B82"/>
    <w:rsid w:val="4F5608BF"/>
    <w:rsid w:val="4F5D0789"/>
    <w:rsid w:val="4F680447"/>
    <w:rsid w:val="4F684910"/>
    <w:rsid w:val="4F693CF0"/>
    <w:rsid w:val="4F6D6A1B"/>
    <w:rsid w:val="4F6F7322"/>
    <w:rsid w:val="4F724969"/>
    <w:rsid w:val="4F78579E"/>
    <w:rsid w:val="4F7D0F92"/>
    <w:rsid w:val="4F82457F"/>
    <w:rsid w:val="4F831E8A"/>
    <w:rsid w:val="4F8A0DCC"/>
    <w:rsid w:val="4F941552"/>
    <w:rsid w:val="4F965379"/>
    <w:rsid w:val="4F9F115C"/>
    <w:rsid w:val="4FA43A36"/>
    <w:rsid w:val="4FA73473"/>
    <w:rsid w:val="4FA9629E"/>
    <w:rsid w:val="4FAF3827"/>
    <w:rsid w:val="4FAF4A3C"/>
    <w:rsid w:val="4FC43323"/>
    <w:rsid w:val="4FC62ADF"/>
    <w:rsid w:val="4FCE2C11"/>
    <w:rsid w:val="4FD24D00"/>
    <w:rsid w:val="4FD34E67"/>
    <w:rsid w:val="4FD56299"/>
    <w:rsid w:val="4FD936DD"/>
    <w:rsid w:val="4FDD01C3"/>
    <w:rsid w:val="4FE319FB"/>
    <w:rsid w:val="4FE50CEE"/>
    <w:rsid w:val="4FEC2242"/>
    <w:rsid w:val="4FED1BDF"/>
    <w:rsid w:val="4FF07CF8"/>
    <w:rsid w:val="4FF2710A"/>
    <w:rsid w:val="4FFA287C"/>
    <w:rsid w:val="4FFD2F45"/>
    <w:rsid w:val="50045CCC"/>
    <w:rsid w:val="5005648E"/>
    <w:rsid w:val="500611F0"/>
    <w:rsid w:val="50110A56"/>
    <w:rsid w:val="501474A3"/>
    <w:rsid w:val="50180524"/>
    <w:rsid w:val="50183852"/>
    <w:rsid w:val="5019518B"/>
    <w:rsid w:val="501E525F"/>
    <w:rsid w:val="501F32D4"/>
    <w:rsid w:val="502524F7"/>
    <w:rsid w:val="50266687"/>
    <w:rsid w:val="50297402"/>
    <w:rsid w:val="50396BA1"/>
    <w:rsid w:val="50433270"/>
    <w:rsid w:val="50434C25"/>
    <w:rsid w:val="50454932"/>
    <w:rsid w:val="504D7FA7"/>
    <w:rsid w:val="504E69E3"/>
    <w:rsid w:val="5052071E"/>
    <w:rsid w:val="505D28A7"/>
    <w:rsid w:val="506348DD"/>
    <w:rsid w:val="5066724F"/>
    <w:rsid w:val="506704C1"/>
    <w:rsid w:val="50706068"/>
    <w:rsid w:val="507166C2"/>
    <w:rsid w:val="50720236"/>
    <w:rsid w:val="507C68C9"/>
    <w:rsid w:val="50842893"/>
    <w:rsid w:val="50854C63"/>
    <w:rsid w:val="508B6C6D"/>
    <w:rsid w:val="50920C07"/>
    <w:rsid w:val="509326EF"/>
    <w:rsid w:val="50960DF8"/>
    <w:rsid w:val="509A7375"/>
    <w:rsid w:val="50A21697"/>
    <w:rsid w:val="50A733E4"/>
    <w:rsid w:val="50AA3F1E"/>
    <w:rsid w:val="50AC1C0B"/>
    <w:rsid w:val="50B0569F"/>
    <w:rsid w:val="50B378E7"/>
    <w:rsid w:val="50B949B3"/>
    <w:rsid w:val="50BD32F7"/>
    <w:rsid w:val="50BE59D7"/>
    <w:rsid w:val="50C21021"/>
    <w:rsid w:val="50C946C0"/>
    <w:rsid w:val="50C94F3E"/>
    <w:rsid w:val="50DC36A4"/>
    <w:rsid w:val="50ED5407"/>
    <w:rsid w:val="50F341B0"/>
    <w:rsid w:val="50F639B0"/>
    <w:rsid w:val="50F64EAD"/>
    <w:rsid w:val="50FE2865"/>
    <w:rsid w:val="51025EB1"/>
    <w:rsid w:val="5107350B"/>
    <w:rsid w:val="510F4C67"/>
    <w:rsid w:val="51213BF1"/>
    <w:rsid w:val="51214C5F"/>
    <w:rsid w:val="512531F5"/>
    <w:rsid w:val="51270F56"/>
    <w:rsid w:val="512C5E3D"/>
    <w:rsid w:val="51304A42"/>
    <w:rsid w:val="51322FA5"/>
    <w:rsid w:val="51326EC4"/>
    <w:rsid w:val="51351F21"/>
    <w:rsid w:val="51403F1E"/>
    <w:rsid w:val="51451F20"/>
    <w:rsid w:val="51455BE8"/>
    <w:rsid w:val="514D5A1A"/>
    <w:rsid w:val="515053DD"/>
    <w:rsid w:val="51520309"/>
    <w:rsid w:val="515446E2"/>
    <w:rsid w:val="51555922"/>
    <w:rsid w:val="51564C64"/>
    <w:rsid w:val="51571C09"/>
    <w:rsid w:val="5160572D"/>
    <w:rsid w:val="5177121D"/>
    <w:rsid w:val="518D6FC5"/>
    <w:rsid w:val="519108A5"/>
    <w:rsid w:val="51963918"/>
    <w:rsid w:val="51995649"/>
    <w:rsid w:val="519B6D21"/>
    <w:rsid w:val="519F5DF6"/>
    <w:rsid w:val="51AB6549"/>
    <w:rsid w:val="51AC06EC"/>
    <w:rsid w:val="51AC198A"/>
    <w:rsid w:val="51AC1CD7"/>
    <w:rsid w:val="51AD1F72"/>
    <w:rsid w:val="51AE7DE7"/>
    <w:rsid w:val="51B076D8"/>
    <w:rsid w:val="51B35025"/>
    <w:rsid w:val="51D72AAE"/>
    <w:rsid w:val="51D859B9"/>
    <w:rsid w:val="51DD06CC"/>
    <w:rsid w:val="51E245DC"/>
    <w:rsid w:val="51FE557F"/>
    <w:rsid w:val="51FF20AC"/>
    <w:rsid w:val="52042607"/>
    <w:rsid w:val="520E6D99"/>
    <w:rsid w:val="52133489"/>
    <w:rsid w:val="52156320"/>
    <w:rsid w:val="521A2164"/>
    <w:rsid w:val="521C501E"/>
    <w:rsid w:val="52252A37"/>
    <w:rsid w:val="52290ED6"/>
    <w:rsid w:val="52375703"/>
    <w:rsid w:val="523B15F2"/>
    <w:rsid w:val="523C73E7"/>
    <w:rsid w:val="523D2BA6"/>
    <w:rsid w:val="524A49B9"/>
    <w:rsid w:val="526203BC"/>
    <w:rsid w:val="52636E29"/>
    <w:rsid w:val="5264494A"/>
    <w:rsid w:val="52700A5C"/>
    <w:rsid w:val="527C1FC9"/>
    <w:rsid w:val="528D62E4"/>
    <w:rsid w:val="529950FE"/>
    <w:rsid w:val="529A7982"/>
    <w:rsid w:val="529C5B4E"/>
    <w:rsid w:val="52A4544D"/>
    <w:rsid w:val="52AC7EBA"/>
    <w:rsid w:val="52B0322B"/>
    <w:rsid w:val="52B94A55"/>
    <w:rsid w:val="52BA27BB"/>
    <w:rsid w:val="52BC4786"/>
    <w:rsid w:val="52BD5D5B"/>
    <w:rsid w:val="52C32D8E"/>
    <w:rsid w:val="52D540CD"/>
    <w:rsid w:val="52D7336D"/>
    <w:rsid w:val="52DB7417"/>
    <w:rsid w:val="52E21944"/>
    <w:rsid w:val="52E33AC0"/>
    <w:rsid w:val="52E9650A"/>
    <w:rsid w:val="52E96C18"/>
    <w:rsid w:val="52EF06B7"/>
    <w:rsid w:val="52F0469B"/>
    <w:rsid w:val="52F048D4"/>
    <w:rsid w:val="52F07B6D"/>
    <w:rsid w:val="52F25BD4"/>
    <w:rsid w:val="52F368EA"/>
    <w:rsid w:val="52F74488"/>
    <w:rsid w:val="52FA43EC"/>
    <w:rsid w:val="530509ED"/>
    <w:rsid w:val="53075335"/>
    <w:rsid w:val="53085AD2"/>
    <w:rsid w:val="530A2D88"/>
    <w:rsid w:val="530F61D9"/>
    <w:rsid w:val="53140255"/>
    <w:rsid w:val="531B14AC"/>
    <w:rsid w:val="53243D6C"/>
    <w:rsid w:val="5324735B"/>
    <w:rsid w:val="532669BD"/>
    <w:rsid w:val="53274F14"/>
    <w:rsid w:val="532A6B2B"/>
    <w:rsid w:val="532E1DFF"/>
    <w:rsid w:val="532E5763"/>
    <w:rsid w:val="533242ED"/>
    <w:rsid w:val="5333729E"/>
    <w:rsid w:val="533B5325"/>
    <w:rsid w:val="53417400"/>
    <w:rsid w:val="53451CFF"/>
    <w:rsid w:val="5347772F"/>
    <w:rsid w:val="534E5198"/>
    <w:rsid w:val="535449BE"/>
    <w:rsid w:val="5354660A"/>
    <w:rsid w:val="53591B21"/>
    <w:rsid w:val="535C1628"/>
    <w:rsid w:val="53695B54"/>
    <w:rsid w:val="537B5836"/>
    <w:rsid w:val="537C01FE"/>
    <w:rsid w:val="537D37D1"/>
    <w:rsid w:val="53811111"/>
    <w:rsid w:val="53962508"/>
    <w:rsid w:val="539D019E"/>
    <w:rsid w:val="539E2330"/>
    <w:rsid w:val="53A0750E"/>
    <w:rsid w:val="53A4358E"/>
    <w:rsid w:val="53A75A27"/>
    <w:rsid w:val="53AA2830"/>
    <w:rsid w:val="53BB5665"/>
    <w:rsid w:val="53BB618D"/>
    <w:rsid w:val="53C7532C"/>
    <w:rsid w:val="53C9715A"/>
    <w:rsid w:val="53D61A3B"/>
    <w:rsid w:val="53DA7D66"/>
    <w:rsid w:val="53DD4615"/>
    <w:rsid w:val="53EA659F"/>
    <w:rsid w:val="53ED3E9F"/>
    <w:rsid w:val="53F00E45"/>
    <w:rsid w:val="53F06417"/>
    <w:rsid w:val="53F51C55"/>
    <w:rsid w:val="53F60917"/>
    <w:rsid w:val="54023CE4"/>
    <w:rsid w:val="540327AA"/>
    <w:rsid w:val="54056EA3"/>
    <w:rsid w:val="540D63C9"/>
    <w:rsid w:val="5411465D"/>
    <w:rsid w:val="54123AF3"/>
    <w:rsid w:val="54127277"/>
    <w:rsid w:val="541961EF"/>
    <w:rsid w:val="541A7BC5"/>
    <w:rsid w:val="54212673"/>
    <w:rsid w:val="54233B6C"/>
    <w:rsid w:val="54242A06"/>
    <w:rsid w:val="54251FAF"/>
    <w:rsid w:val="54260491"/>
    <w:rsid w:val="542825F7"/>
    <w:rsid w:val="542C0E65"/>
    <w:rsid w:val="542C183E"/>
    <w:rsid w:val="54346D68"/>
    <w:rsid w:val="5435659E"/>
    <w:rsid w:val="543E12F6"/>
    <w:rsid w:val="543E2B33"/>
    <w:rsid w:val="54420CBA"/>
    <w:rsid w:val="544A1E57"/>
    <w:rsid w:val="544A2637"/>
    <w:rsid w:val="544A741E"/>
    <w:rsid w:val="544B5F3B"/>
    <w:rsid w:val="54536A0B"/>
    <w:rsid w:val="545A4D6E"/>
    <w:rsid w:val="545E72F5"/>
    <w:rsid w:val="5465628C"/>
    <w:rsid w:val="54685482"/>
    <w:rsid w:val="546A70A7"/>
    <w:rsid w:val="546E0C68"/>
    <w:rsid w:val="546F0DF7"/>
    <w:rsid w:val="54740195"/>
    <w:rsid w:val="54741658"/>
    <w:rsid w:val="547B4334"/>
    <w:rsid w:val="548602C5"/>
    <w:rsid w:val="54890B55"/>
    <w:rsid w:val="548D113C"/>
    <w:rsid w:val="54907F64"/>
    <w:rsid w:val="54953CED"/>
    <w:rsid w:val="54A13C33"/>
    <w:rsid w:val="54A56B4E"/>
    <w:rsid w:val="54A80FDB"/>
    <w:rsid w:val="54AB4DFD"/>
    <w:rsid w:val="54AC2B5B"/>
    <w:rsid w:val="54B00E9E"/>
    <w:rsid w:val="54B11A0A"/>
    <w:rsid w:val="54BF7165"/>
    <w:rsid w:val="54C3518A"/>
    <w:rsid w:val="54CB37CB"/>
    <w:rsid w:val="54D246CD"/>
    <w:rsid w:val="54DA585B"/>
    <w:rsid w:val="54E015EF"/>
    <w:rsid w:val="54E94A3B"/>
    <w:rsid w:val="54ED588A"/>
    <w:rsid w:val="54F02708"/>
    <w:rsid w:val="54F60D8B"/>
    <w:rsid w:val="54F925B7"/>
    <w:rsid w:val="54FE2417"/>
    <w:rsid w:val="54FF7A03"/>
    <w:rsid w:val="55014323"/>
    <w:rsid w:val="55065EA4"/>
    <w:rsid w:val="55095ECB"/>
    <w:rsid w:val="550F5ABF"/>
    <w:rsid w:val="551B5793"/>
    <w:rsid w:val="551E7258"/>
    <w:rsid w:val="552175A4"/>
    <w:rsid w:val="552245E1"/>
    <w:rsid w:val="55230AEC"/>
    <w:rsid w:val="55282343"/>
    <w:rsid w:val="552A3F26"/>
    <w:rsid w:val="553C1D3D"/>
    <w:rsid w:val="554863C0"/>
    <w:rsid w:val="55662566"/>
    <w:rsid w:val="556A700C"/>
    <w:rsid w:val="556C7B5D"/>
    <w:rsid w:val="5575692E"/>
    <w:rsid w:val="5577378E"/>
    <w:rsid w:val="558256AF"/>
    <w:rsid w:val="55893A52"/>
    <w:rsid w:val="558A5E75"/>
    <w:rsid w:val="558D5507"/>
    <w:rsid w:val="55906139"/>
    <w:rsid w:val="559317CE"/>
    <w:rsid w:val="55943610"/>
    <w:rsid w:val="55955E1E"/>
    <w:rsid w:val="55973262"/>
    <w:rsid w:val="559B249D"/>
    <w:rsid w:val="55A06DC0"/>
    <w:rsid w:val="55AC74BD"/>
    <w:rsid w:val="55AF31A4"/>
    <w:rsid w:val="55B505C1"/>
    <w:rsid w:val="55B644C7"/>
    <w:rsid w:val="55BA5562"/>
    <w:rsid w:val="55C87DE2"/>
    <w:rsid w:val="55CD65BB"/>
    <w:rsid w:val="55CF25A3"/>
    <w:rsid w:val="55D13D78"/>
    <w:rsid w:val="55D308B2"/>
    <w:rsid w:val="55D670C2"/>
    <w:rsid w:val="55D911AB"/>
    <w:rsid w:val="55D97191"/>
    <w:rsid w:val="55DE1222"/>
    <w:rsid w:val="55DE4245"/>
    <w:rsid w:val="55DE7F7A"/>
    <w:rsid w:val="55E16016"/>
    <w:rsid w:val="55EB21CF"/>
    <w:rsid w:val="55EC4B42"/>
    <w:rsid w:val="55ED715E"/>
    <w:rsid w:val="55F374F1"/>
    <w:rsid w:val="55F84BEE"/>
    <w:rsid w:val="55FB7C82"/>
    <w:rsid w:val="561917FF"/>
    <w:rsid w:val="56215531"/>
    <w:rsid w:val="56246B0E"/>
    <w:rsid w:val="5624780D"/>
    <w:rsid w:val="56326532"/>
    <w:rsid w:val="563D0524"/>
    <w:rsid w:val="56435BB0"/>
    <w:rsid w:val="5646027F"/>
    <w:rsid w:val="56464DD9"/>
    <w:rsid w:val="56510DF0"/>
    <w:rsid w:val="565802EE"/>
    <w:rsid w:val="5665614A"/>
    <w:rsid w:val="566914B7"/>
    <w:rsid w:val="566A66EF"/>
    <w:rsid w:val="56731DFF"/>
    <w:rsid w:val="56762094"/>
    <w:rsid w:val="567D6126"/>
    <w:rsid w:val="56817F9D"/>
    <w:rsid w:val="56825453"/>
    <w:rsid w:val="56867584"/>
    <w:rsid w:val="56892E58"/>
    <w:rsid w:val="568A640B"/>
    <w:rsid w:val="568E4B17"/>
    <w:rsid w:val="569371F1"/>
    <w:rsid w:val="569C4668"/>
    <w:rsid w:val="569F1149"/>
    <w:rsid w:val="56A27892"/>
    <w:rsid w:val="56AF64B2"/>
    <w:rsid w:val="56B92208"/>
    <w:rsid w:val="56C159CD"/>
    <w:rsid w:val="56D445E0"/>
    <w:rsid w:val="56D52A22"/>
    <w:rsid w:val="56D56259"/>
    <w:rsid w:val="56D64DD3"/>
    <w:rsid w:val="56E36692"/>
    <w:rsid w:val="56E524FD"/>
    <w:rsid w:val="56E9051B"/>
    <w:rsid w:val="56F463B6"/>
    <w:rsid w:val="56F7330C"/>
    <w:rsid w:val="56FA5D1C"/>
    <w:rsid w:val="56FB377B"/>
    <w:rsid w:val="5702619C"/>
    <w:rsid w:val="57032983"/>
    <w:rsid w:val="57055D74"/>
    <w:rsid w:val="570729D6"/>
    <w:rsid w:val="57073E18"/>
    <w:rsid w:val="570D1016"/>
    <w:rsid w:val="57121362"/>
    <w:rsid w:val="57263E9E"/>
    <w:rsid w:val="57273F67"/>
    <w:rsid w:val="57327131"/>
    <w:rsid w:val="57327807"/>
    <w:rsid w:val="5733478E"/>
    <w:rsid w:val="57354E7F"/>
    <w:rsid w:val="573C0CE9"/>
    <w:rsid w:val="573F6BF7"/>
    <w:rsid w:val="57411900"/>
    <w:rsid w:val="57420E00"/>
    <w:rsid w:val="57486812"/>
    <w:rsid w:val="574A45AB"/>
    <w:rsid w:val="57514B3A"/>
    <w:rsid w:val="575A412B"/>
    <w:rsid w:val="575D71AB"/>
    <w:rsid w:val="576B64C8"/>
    <w:rsid w:val="576F4505"/>
    <w:rsid w:val="57723C25"/>
    <w:rsid w:val="57763671"/>
    <w:rsid w:val="577D0987"/>
    <w:rsid w:val="577D66FE"/>
    <w:rsid w:val="578170F8"/>
    <w:rsid w:val="57862878"/>
    <w:rsid w:val="578D3B80"/>
    <w:rsid w:val="579159D8"/>
    <w:rsid w:val="579250B8"/>
    <w:rsid w:val="579457EE"/>
    <w:rsid w:val="579875B2"/>
    <w:rsid w:val="579C3533"/>
    <w:rsid w:val="57A100F6"/>
    <w:rsid w:val="57A30643"/>
    <w:rsid w:val="57A73623"/>
    <w:rsid w:val="57AF0E48"/>
    <w:rsid w:val="57AF7381"/>
    <w:rsid w:val="57B33271"/>
    <w:rsid w:val="57B44C5E"/>
    <w:rsid w:val="57B94181"/>
    <w:rsid w:val="57BB4020"/>
    <w:rsid w:val="57BF33BA"/>
    <w:rsid w:val="57C57BE5"/>
    <w:rsid w:val="57C61885"/>
    <w:rsid w:val="57C75A07"/>
    <w:rsid w:val="57C9597B"/>
    <w:rsid w:val="57D01EE0"/>
    <w:rsid w:val="57D63DD7"/>
    <w:rsid w:val="57D823B7"/>
    <w:rsid w:val="57DA0C33"/>
    <w:rsid w:val="57DE1830"/>
    <w:rsid w:val="57E33157"/>
    <w:rsid w:val="57EF072B"/>
    <w:rsid w:val="57EF3789"/>
    <w:rsid w:val="57F14ED1"/>
    <w:rsid w:val="57F35836"/>
    <w:rsid w:val="57F41BAF"/>
    <w:rsid w:val="57F646C7"/>
    <w:rsid w:val="57FA5A59"/>
    <w:rsid w:val="58062A87"/>
    <w:rsid w:val="580853D4"/>
    <w:rsid w:val="58093BB0"/>
    <w:rsid w:val="580D6205"/>
    <w:rsid w:val="581210E8"/>
    <w:rsid w:val="581349B8"/>
    <w:rsid w:val="581754FA"/>
    <w:rsid w:val="581B2292"/>
    <w:rsid w:val="581C40FD"/>
    <w:rsid w:val="582625B1"/>
    <w:rsid w:val="582C420F"/>
    <w:rsid w:val="58394638"/>
    <w:rsid w:val="58422BCF"/>
    <w:rsid w:val="5843310B"/>
    <w:rsid w:val="58437558"/>
    <w:rsid w:val="58556620"/>
    <w:rsid w:val="585C44A0"/>
    <w:rsid w:val="585D525C"/>
    <w:rsid w:val="586A2D9D"/>
    <w:rsid w:val="586D78DC"/>
    <w:rsid w:val="587D7EFF"/>
    <w:rsid w:val="587F3D94"/>
    <w:rsid w:val="588159C6"/>
    <w:rsid w:val="58835C82"/>
    <w:rsid w:val="58881C65"/>
    <w:rsid w:val="58884613"/>
    <w:rsid w:val="588E4FF6"/>
    <w:rsid w:val="58902C76"/>
    <w:rsid w:val="58A6776F"/>
    <w:rsid w:val="58A901FD"/>
    <w:rsid w:val="58AA47D9"/>
    <w:rsid w:val="58AB08CC"/>
    <w:rsid w:val="58AC00AB"/>
    <w:rsid w:val="58AE743D"/>
    <w:rsid w:val="58B23C73"/>
    <w:rsid w:val="58BA7662"/>
    <w:rsid w:val="58BC2F51"/>
    <w:rsid w:val="58D50886"/>
    <w:rsid w:val="58DA38A4"/>
    <w:rsid w:val="58DC7C33"/>
    <w:rsid w:val="58E00240"/>
    <w:rsid w:val="58EA168C"/>
    <w:rsid w:val="58ED774A"/>
    <w:rsid w:val="58F800DB"/>
    <w:rsid w:val="58FA4868"/>
    <w:rsid w:val="58FD27BF"/>
    <w:rsid w:val="58FD46FF"/>
    <w:rsid w:val="59043AB0"/>
    <w:rsid w:val="59057A57"/>
    <w:rsid w:val="590625D8"/>
    <w:rsid w:val="590850CF"/>
    <w:rsid w:val="59146124"/>
    <w:rsid w:val="591E759E"/>
    <w:rsid w:val="59214AB8"/>
    <w:rsid w:val="59232BAB"/>
    <w:rsid w:val="59236E75"/>
    <w:rsid w:val="592A2002"/>
    <w:rsid w:val="592A69D3"/>
    <w:rsid w:val="592D2CC5"/>
    <w:rsid w:val="59302A81"/>
    <w:rsid w:val="59304790"/>
    <w:rsid w:val="59333049"/>
    <w:rsid w:val="593D7D90"/>
    <w:rsid w:val="593E0AA0"/>
    <w:rsid w:val="59455C11"/>
    <w:rsid w:val="594E0799"/>
    <w:rsid w:val="59571FE3"/>
    <w:rsid w:val="59586FE3"/>
    <w:rsid w:val="595D3E14"/>
    <w:rsid w:val="595D4E9C"/>
    <w:rsid w:val="59635B82"/>
    <w:rsid w:val="59682B51"/>
    <w:rsid w:val="5972485F"/>
    <w:rsid w:val="597340E8"/>
    <w:rsid w:val="59740F80"/>
    <w:rsid w:val="59752BEF"/>
    <w:rsid w:val="59782755"/>
    <w:rsid w:val="59782C80"/>
    <w:rsid w:val="59817868"/>
    <w:rsid w:val="598473F2"/>
    <w:rsid w:val="598B008E"/>
    <w:rsid w:val="598B31F1"/>
    <w:rsid w:val="598D05CA"/>
    <w:rsid w:val="598F0322"/>
    <w:rsid w:val="5998267E"/>
    <w:rsid w:val="59986CF3"/>
    <w:rsid w:val="59991B7E"/>
    <w:rsid w:val="599929EE"/>
    <w:rsid w:val="599B5A6E"/>
    <w:rsid w:val="599B5F8F"/>
    <w:rsid w:val="59A0676E"/>
    <w:rsid w:val="59A40C15"/>
    <w:rsid w:val="59AC1C22"/>
    <w:rsid w:val="59AE7340"/>
    <w:rsid w:val="59B13180"/>
    <w:rsid w:val="59B61F2F"/>
    <w:rsid w:val="59B80902"/>
    <w:rsid w:val="59B90424"/>
    <w:rsid w:val="59B96D0C"/>
    <w:rsid w:val="59BB2376"/>
    <w:rsid w:val="59BC7B7B"/>
    <w:rsid w:val="59C104C5"/>
    <w:rsid w:val="59C2148F"/>
    <w:rsid w:val="59C2617C"/>
    <w:rsid w:val="59C3202D"/>
    <w:rsid w:val="59D01FE1"/>
    <w:rsid w:val="59D32DFE"/>
    <w:rsid w:val="59D44637"/>
    <w:rsid w:val="59DB6651"/>
    <w:rsid w:val="59E053B1"/>
    <w:rsid w:val="59E06A2D"/>
    <w:rsid w:val="59E72FFF"/>
    <w:rsid w:val="59E76AB3"/>
    <w:rsid w:val="59EB0943"/>
    <w:rsid w:val="59EF2877"/>
    <w:rsid w:val="59F14573"/>
    <w:rsid w:val="59F412D5"/>
    <w:rsid w:val="59F52E20"/>
    <w:rsid w:val="59F818E3"/>
    <w:rsid w:val="59F85AE0"/>
    <w:rsid w:val="59FF7332"/>
    <w:rsid w:val="5A062788"/>
    <w:rsid w:val="5A1200B1"/>
    <w:rsid w:val="5A1372DB"/>
    <w:rsid w:val="5A1457BF"/>
    <w:rsid w:val="5A182593"/>
    <w:rsid w:val="5A364753"/>
    <w:rsid w:val="5A3E2755"/>
    <w:rsid w:val="5A3F00E6"/>
    <w:rsid w:val="5A455061"/>
    <w:rsid w:val="5A482510"/>
    <w:rsid w:val="5A4B06CC"/>
    <w:rsid w:val="5A504788"/>
    <w:rsid w:val="5A54159E"/>
    <w:rsid w:val="5A6335A3"/>
    <w:rsid w:val="5A637FB1"/>
    <w:rsid w:val="5A673229"/>
    <w:rsid w:val="5A747B46"/>
    <w:rsid w:val="5A79307D"/>
    <w:rsid w:val="5A8105B8"/>
    <w:rsid w:val="5A981768"/>
    <w:rsid w:val="5AA34ED1"/>
    <w:rsid w:val="5AA60AB1"/>
    <w:rsid w:val="5AAD70FE"/>
    <w:rsid w:val="5AAE4808"/>
    <w:rsid w:val="5AC27B02"/>
    <w:rsid w:val="5AC47AC6"/>
    <w:rsid w:val="5AD01FB6"/>
    <w:rsid w:val="5AD82361"/>
    <w:rsid w:val="5ADE3C88"/>
    <w:rsid w:val="5ADF7263"/>
    <w:rsid w:val="5AE40D1D"/>
    <w:rsid w:val="5AEF451A"/>
    <w:rsid w:val="5AF06850"/>
    <w:rsid w:val="5AF559BA"/>
    <w:rsid w:val="5AF56416"/>
    <w:rsid w:val="5AF95C18"/>
    <w:rsid w:val="5AFA77DC"/>
    <w:rsid w:val="5AFD0131"/>
    <w:rsid w:val="5B0A1840"/>
    <w:rsid w:val="5B0D491D"/>
    <w:rsid w:val="5B0D59BE"/>
    <w:rsid w:val="5B116C41"/>
    <w:rsid w:val="5B197999"/>
    <w:rsid w:val="5B1C4F2C"/>
    <w:rsid w:val="5B2011D6"/>
    <w:rsid w:val="5B3107D9"/>
    <w:rsid w:val="5B390F2D"/>
    <w:rsid w:val="5B413925"/>
    <w:rsid w:val="5B414EE1"/>
    <w:rsid w:val="5B477159"/>
    <w:rsid w:val="5B4B54A7"/>
    <w:rsid w:val="5B501642"/>
    <w:rsid w:val="5B5449A4"/>
    <w:rsid w:val="5B5B58F2"/>
    <w:rsid w:val="5B5F7BEE"/>
    <w:rsid w:val="5B652A7B"/>
    <w:rsid w:val="5B653DEA"/>
    <w:rsid w:val="5B68694D"/>
    <w:rsid w:val="5B745C6F"/>
    <w:rsid w:val="5B775125"/>
    <w:rsid w:val="5B780819"/>
    <w:rsid w:val="5B783EC8"/>
    <w:rsid w:val="5B7B7124"/>
    <w:rsid w:val="5B907D0A"/>
    <w:rsid w:val="5B95659E"/>
    <w:rsid w:val="5B9F43B5"/>
    <w:rsid w:val="5BA26431"/>
    <w:rsid w:val="5BA844A0"/>
    <w:rsid w:val="5BAD4272"/>
    <w:rsid w:val="5BB36F08"/>
    <w:rsid w:val="5BBC78FE"/>
    <w:rsid w:val="5BBD2286"/>
    <w:rsid w:val="5BC14BBB"/>
    <w:rsid w:val="5BC6155D"/>
    <w:rsid w:val="5BC92F5D"/>
    <w:rsid w:val="5BD723BF"/>
    <w:rsid w:val="5BE029CE"/>
    <w:rsid w:val="5BE03293"/>
    <w:rsid w:val="5BE32B22"/>
    <w:rsid w:val="5BE71E7D"/>
    <w:rsid w:val="5BEE4F57"/>
    <w:rsid w:val="5BF4421B"/>
    <w:rsid w:val="5BF561D7"/>
    <w:rsid w:val="5C08100E"/>
    <w:rsid w:val="5C0B55CF"/>
    <w:rsid w:val="5C0C5423"/>
    <w:rsid w:val="5C11169E"/>
    <w:rsid w:val="5C1144AB"/>
    <w:rsid w:val="5C14118E"/>
    <w:rsid w:val="5C151250"/>
    <w:rsid w:val="5C155BAF"/>
    <w:rsid w:val="5C1655D4"/>
    <w:rsid w:val="5C195B69"/>
    <w:rsid w:val="5C2B7C8C"/>
    <w:rsid w:val="5C337DCE"/>
    <w:rsid w:val="5C383A45"/>
    <w:rsid w:val="5C422B9A"/>
    <w:rsid w:val="5C442E03"/>
    <w:rsid w:val="5C485073"/>
    <w:rsid w:val="5C4C4D91"/>
    <w:rsid w:val="5C4D3F56"/>
    <w:rsid w:val="5C523914"/>
    <w:rsid w:val="5C5507A4"/>
    <w:rsid w:val="5C5D6F29"/>
    <w:rsid w:val="5C635172"/>
    <w:rsid w:val="5C637172"/>
    <w:rsid w:val="5C681CCB"/>
    <w:rsid w:val="5C68379A"/>
    <w:rsid w:val="5C6B0341"/>
    <w:rsid w:val="5C6C4A69"/>
    <w:rsid w:val="5C6E42C6"/>
    <w:rsid w:val="5C7E0764"/>
    <w:rsid w:val="5C805835"/>
    <w:rsid w:val="5C874598"/>
    <w:rsid w:val="5C8A495A"/>
    <w:rsid w:val="5C8E6F80"/>
    <w:rsid w:val="5C9168AB"/>
    <w:rsid w:val="5C9A49BA"/>
    <w:rsid w:val="5C9C11E8"/>
    <w:rsid w:val="5C9D6A23"/>
    <w:rsid w:val="5C9E290F"/>
    <w:rsid w:val="5CAC1351"/>
    <w:rsid w:val="5CAE1CBE"/>
    <w:rsid w:val="5CB477B2"/>
    <w:rsid w:val="5CB776DF"/>
    <w:rsid w:val="5CB8180D"/>
    <w:rsid w:val="5CC43312"/>
    <w:rsid w:val="5CC677EA"/>
    <w:rsid w:val="5CCB66C7"/>
    <w:rsid w:val="5CCD6310"/>
    <w:rsid w:val="5CDF21EA"/>
    <w:rsid w:val="5CE22928"/>
    <w:rsid w:val="5CE24CB2"/>
    <w:rsid w:val="5CEC76CD"/>
    <w:rsid w:val="5CF431E6"/>
    <w:rsid w:val="5CFC3A3C"/>
    <w:rsid w:val="5D0134C1"/>
    <w:rsid w:val="5D0430FB"/>
    <w:rsid w:val="5D092F30"/>
    <w:rsid w:val="5D0B684A"/>
    <w:rsid w:val="5D144C70"/>
    <w:rsid w:val="5D167B04"/>
    <w:rsid w:val="5D183BE2"/>
    <w:rsid w:val="5D296068"/>
    <w:rsid w:val="5D3035F5"/>
    <w:rsid w:val="5D316F1A"/>
    <w:rsid w:val="5D3C1C57"/>
    <w:rsid w:val="5D404BF7"/>
    <w:rsid w:val="5D466147"/>
    <w:rsid w:val="5D4938E3"/>
    <w:rsid w:val="5D4C5A28"/>
    <w:rsid w:val="5D5A559C"/>
    <w:rsid w:val="5D606AA9"/>
    <w:rsid w:val="5D615B50"/>
    <w:rsid w:val="5D652282"/>
    <w:rsid w:val="5D663450"/>
    <w:rsid w:val="5D686E8E"/>
    <w:rsid w:val="5D802530"/>
    <w:rsid w:val="5D885648"/>
    <w:rsid w:val="5D8A795A"/>
    <w:rsid w:val="5D90525C"/>
    <w:rsid w:val="5D9101B6"/>
    <w:rsid w:val="5DA12EF6"/>
    <w:rsid w:val="5DA4636D"/>
    <w:rsid w:val="5DA66871"/>
    <w:rsid w:val="5DAB23BB"/>
    <w:rsid w:val="5DB54164"/>
    <w:rsid w:val="5DB67E7C"/>
    <w:rsid w:val="5DC16AB4"/>
    <w:rsid w:val="5DD4078E"/>
    <w:rsid w:val="5DD5485D"/>
    <w:rsid w:val="5DDA1FA8"/>
    <w:rsid w:val="5DDD55C7"/>
    <w:rsid w:val="5DED5A2B"/>
    <w:rsid w:val="5DEE3423"/>
    <w:rsid w:val="5DF03995"/>
    <w:rsid w:val="5DF86742"/>
    <w:rsid w:val="5DFB2502"/>
    <w:rsid w:val="5DFF58C5"/>
    <w:rsid w:val="5E023F44"/>
    <w:rsid w:val="5E053D08"/>
    <w:rsid w:val="5E106B65"/>
    <w:rsid w:val="5E1E5CD2"/>
    <w:rsid w:val="5E1F05F7"/>
    <w:rsid w:val="5E231BA8"/>
    <w:rsid w:val="5E267319"/>
    <w:rsid w:val="5E2A4342"/>
    <w:rsid w:val="5E377029"/>
    <w:rsid w:val="5E3B6747"/>
    <w:rsid w:val="5E3F11E2"/>
    <w:rsid w:val="5E496385"/>
    <w:rsid w:val="5E4A16DE"/>
    <w:rsid w:val="5E4B1D3D"/>
    <w:rsid w:val="5E4F470F"/>
    <w:rsid w:val="5E565A8E"/>
    <w:rsid w:val="5E5C6217"/>
    <w:rsid w:val="5E624077"/>
    <w:rsid w:val="5E690049"/>
    <w:rsid w:val="5E6C1E8F"/>
    <w:rsid w:val="5E781DDA"/>
    <w:rsid w:val="5E797F5E"/>
    <w:rsid w:val="5E7A2D5C"/>
    <w:rsid w:val="5E856E19"/>
    <w:rsid w:val="5E875C48"/>
    <w:rsid w:val="5E8A6C92"/>
    <w:rsid w:val="5E8D1D22"/>
    <w:rsid w:val="5E9059B6"/>
    <w:rsid w:val="5E916B59"/>
    <w:rsid w:val="5E9300A5"/>
    <w:rsid w:val="5E9A30AB"/>
    <w:rsid w:val="5EA62962"/>
    <w:rsid w:val="5EA70638"/>
    <w:rsid w:val="5EA863A5"/>
    <w:rsid w:val="5EAE1A7A"/>
    <w:rsid w:val="5EB74076"/>
    <w:rsid w:val="5EB91EB0"/>
    <w:rsid w:val="5EC703FA"/>
    <w:rsid w:val="5EC94C0E"/>
    <w:rsid w:val="5EC959CD"/>
    <w:rsid w:val="5ECB1F3A"/>
    <w:rsid w:val="5ED038A7"/>
    <w:rsid w:val="5EDC4193"/>
    <w:rsid w:val="5EDD0C72"/>
    <w:rsid w:val="5EDD7471"/>
    <w:rsid w:val="5EDF35EB"/>
    <w:rsid w:val="5EE66E12"/>
    <w:rsid w:val="5EED4891"/>
    <w:rsid w:val="5EED70EC"/>
    <w:rsid w:val="5EEF7CA9"/>
    <w:rsid w:val="5EF1496C"/>
    <w:rsid w:val="5EF20E99"/>
    <w:rsid w:val="5EFA74A3"/>
    <w:rsid w:val="5EFD79A7"/>
    <w:rsid w:val="5EFE0DEB"/>
    <w:rsid w:val="5EFE60C1"/>
    <w:rsid w:val="5EFF16DE"/>
    <w:rsid w:val="5F005007"/>
    <w:rsid w:val="5F081B7D"/>
    <w:rsid w:val="5F086176"/>
    <w:rsid w:val="5F0B2446"/>
    <w:rsid w:val="5F1010FC"/>
    <w:rsid w:val="5F112306"/>
    <w:rsid w:val="5F1916C7"/>
    <w:rsid w:val="5F3023A3"/>
    <w:rsid w:val="5F3729C3"/>
    <w:rsid w:val="5F3C303A"/>
    <w:rsid w:val="5F4453EA"/>
    <w:rsid w:val="5F4822EE"/>
    <w:rsid w:val="5F4B526D"/>
    <w:rsid w:val="5F57034C"/>
    <w:rsid w:val="5F660D6B"/>
    <w:rsid w:val="5F6677BA"/>
    <w:rsid w:val="5F681F75"/>
    <w:rsid w:val="5F6F45FF"/>
    <w:rsid w:val="5F7439C8"/>
    <w:rsid w:val="5F810C4B"/>
    <w:rsid w:val="5F8A57F9"/>
    <w:rsid w:val="5F904527"/>
    <w:rsid w:val="5F904FD0"/>
    <w:rsid w:val="5F934D29"/>
    <w:rsid w:val="5F942D12"/>
    <w:rsid w:val="5F953DF9"/>
    <w:rsid w:val="5F99323C"/>
    <w:rsid w:val="5FA6017E"/>
    <w:rsid w:val="5FA60B63"/>
    <w:rsid w:val="5FB54262"/>
    <w:rsid w:val="5FB83166"/>
    <w:rsid w:val="5FC41F81"/>
    <w:rsid w:val="5FC52ECB"/>
    <w:rsid w:val="5FCE123D"/>
    <w:rsid w:val="5FD73333"/>
    <w:rsid w:val="5FDF03BB"/>
    <w:rsid w:val="5FDF704D"/>
    <w:rsid w:val="5FE33352"/>
    <w:rsid w:val="5FE67C52"/>
    <w:rsid w:val="5FEA6956"/>
    <w:rsid w:val="5FEA7F7F"/>
    <w:rsid w:val="5FF50DA7"/>
    <w:rsid w:val="5FF85BDD"/>
    <w:rsid w:val="5FF863B9"/>
    <w:rsid w:val="5FF93388"/>
    <w:rsid w:val="5FFA51DF"/>
    <w:rsid w:val="5FFB3CBE"/>
    <w:rsid w:val="5FFD302E"/>
    <w:rsid w:val="5FFE003A"/>
    <w:rsid w:val="5FFF5FC5"/>
    <w:rsid w:val="600530AC"/>
    <w:rsid w:val="600D4872"/>
    <w:rsid w:val="60174CFA"/>
    <w:rsid w:val="601D5F59"/>
    <w:rsid w:val="60352677"/>
    <w:rsid w:val="603A214E"/>
    <w:rsid w:val="603E4A2C"/>
    <w:rsid w:val="60427451"/>
    <w:rsid w:val="605360B1"/>
    <w:rsid w:val="605A2FF6"/>
    <w:rsid w:val="605D6BD3"/>
    <w:rsid w:val="6061152B"/>
    <w:rsid w:val="60633E8E"/>
    <w:rsid w:val="60674DBD"/>
    <w:rsid w:val="606828A7"/>
    <w:rsid w:val="606B29A8"/>
    <w:rsid w:val="607602AB"/>
    <w:rsid w:val="607B2682"/>
    <w:rsid w:val="607E5B3F"/>
    <w:rsid w:val="60834A84"/>
    <w:rsid w:val="608775C3"/>
    <w:rsid w:val="608C0113"/>
    <w:rsid w:val="608C627B"/>
    <w:rsid w:val="60993151"/>
    <w:rsid w:val="609D50A6"/>
    <w:rsid w:val="609E3273"/>
    <w:rsid w:val="609F4F79"/>
    <w:rsid w:val="60A54A34"/>
    <w:rsid w:val="60B20495"/>
    <w:rsid w:val="60B279D1"/>
    <w:rsid w:val="60BB607C"/>
    <w:rsid w:val="60C857AB"/>
    <w:rsid w:val="60CF1EE0"/>
    <w:rsid w:val="60D53F97"/>
    <w:rsid w:val="60D653EB"/>
    <w:rsid w:val="60D90C9C"/>
    <w:rsid w:val="60DF14F3"/>
    <w:rsid w:val="60E3472E"/>
    <w:rsid w:val="60E82ABD"/>
    <w:rsid w:val="60ED1182"/>
    <w:rsid w:val="60ED6693"/>
    <w:rsid w:val="60F44CBD"/>
    <w:rsid w:val="60F80D1F"/>
    <w:rsid w:val="61015055"/>
    <w:rsid w:val="610C4B2A"/>
    <w:rsid w:val="611A5C56"/>
    <w:rsid w:val="612615B2"/>
    <w:rsid w:val="61425693"/>
    <w:rsid w:val="614A3ADB"/>
    <w:rsid w:val="614B38A4"/>
    <w:rsid w:val="614B3DDA"/>
    <w:rsid w:val="614B4C08"/>
    <w:rsid w:val="614D2721"/>
    <w:rsid w:val="615C494B"/>
    <w:rsid w:val="616232BF"/>
    <w:rsid w:val="6170548A"/>
    <w:rsid w:val="617331FA"/>
    <w:rsid w:val="61786A11"/>
    <w:rsid w:val="617A3C4B"/>
    <w:rsid w:val="618E0D3E"/>
    <w:rsid w:val="618F4DC9"/>
    <w:rsid w:val="619F1626"/>
    <w:rsid w:val="619F7059"/>
    <w:rsid w:val="619F720E"/>
    <w:rsid w:val="61A13084"/>
    <w:rsid w:val="61AD119C"/>
    <w:rsid w:val="61AE0DF4"/>
    <w:rsid w:val="61B03575"/>
    <w:rsid w:val="61B11743"/>
    <w:rsid w:val="61B11C2F"/>
    <w:rsid w:val="61B86B83"/>
    <w:rsid w:val="61B94082"/>
    <w:rsid w:val="61BA40AE"/>
    <w:rsid w:val="61BB597E"/>
    <w:rsid w:val="61BB6DE9"/>
    <w:rsid w:val="61BD0323"/>
    <w:rsid w:val="61BE5A8C"/>
    <w:rsid w:val="61C63E6C"/>
    <w:rsid w:val="61C83120"/>
    <w:rsid w:val="61CA44C4"/>
    <w:rsid w:val="61D16C3B"/>
    <w:rsid w:val="61D34813"/>
    <w:rsid w:val="61D63173"/>
    <w:rsid w:val="61D67044"/>
    <w:rsid w:val="61DF02A6"/>
    <w:rsid w:val="61E61B2E"/>
    <w:rsid w:val="61E90A4C"/>
    <w:rsid w:val="61E93797"/>
    <w:rsid w:val="61EB2991"/>
    <w:rsid w:val="61EC3C39"/>
    <w:rsid w:val="61F239D4"/>
    <w:rsid w:val="61F35E16"/>
    <w:rsid w:val="61F5762E"/>
    <w:rsid w:val="61FD2F89"/>
    <w:rsid w:val="61FE5783"/>
    <w:rsid w:val="620A64DF"/>
    <w:rsid w:val="620C5082"/>
    <w:rsid w:val="620D05CF"/>
    <w:rsid w:val="620F68DF"/>
    <w:rsid w:val="62182B66"/>
    <w:rsid w:val="6222090C"/>
    <w:rsid w:val="62272AC1"/>
    <w:rsid w:val="62274986"/>
    <w:rsid w:val="622C5484"/>
    <w:rsid w:val="622E7560"/>
    <w:rsid w:val="623709E3"/>
    <w:rsid w:val="623A189F"/>
    <w:rsid w:val="623B3772"/>
    <w:rsid w:val="623E0D13"/>
    <w:rsid w:val="62465E1A"/>
    <w:rsid w:val="62484A61"/>
    <w:rsid w:val="624D7C77"/>
    <w:rsid w:val="624F1172"/>
    <w:rsid w:val="624F55AE"/>
    <w:rsid w:val="62584DC2"/>
    <w:rsid w:val="62597826"/>
    <w:rsid w:val="62674FC1"/>
    <w:rsid w:val="626B71FE"/>
    <w:rsid w:val="62716F31"/>
    <w:rsid w:val="62771064"/>
    <w:rsid w:val="627B777C"/>
    <w:rsid w:val="627C6BCB"/>
    <w:rsid w:val="627F0F9E"/>
    <w:rsid w:val="628225A3"/>
    <w:rsid w:val="62825379"/>
    <w:rsid w:val="62836D04"/>
    <w:rsid w:val="628C1A49"/>
    <w:rsid w:val="628D3C0B"/>
    <w:rsid w:val="62984D56"/>
    <w:rsid w:val="629C1DD3"/>
    <w:rsid w:val="629C7A08"/>
    <w:rsid w:val="629F1802"/>
    <w:rsid w:val="62AB6569"/>
    <w:rsid w:val="62AF6CF7"/>
    <w:rsid w:val="62B73388"/>
    <w:rsid w:val="62B82ED8"/>
    <w:rsid w:val="62C11098"/>
    <w:rsid w:val="62C448CA"/>
    <w:rsid w:val="62C9185E"/>
    <w:rsid w:val="62CA2FE3"/>
    <w:rsid w:val="62CD6381"/>
    <w:rsid w:val="62D1012A"/>
    <w:rsid w:val="62D1220B"/>
    <w:rsid w:val="62D434DC"/>
    <w:rsid w:val="62D80B9A"/>
    <w:rsid w:val="62DB47B4"/>
    <w:rsid w:val="62E36FE8"/>
    <w:rsid w:val="62E722DE"/>
    <w:rsid w:val="62EC7367"/>
    <w:rsid w:val="62F16ED3"/>
    <w:rsid w:val="62FB3F6D"/>
    <w:rsid w:val="62FE04A2"/>
    <w:rsid w:val="63064D8F"/>
    <w:rsid w:val="630B7331"/>
    <w:rsid w:val="630C48EC"/>
    <w:rsid w:val="630F01FE"/>
    <w:rsid w:val="63175BF0"/>
    <w:rsid w:val="631F5B2D"/>
    <w:rsid w:val="63220F89"/>
    <w:rsid w:val="63286BEC"/>
    <w:rsid w:val="63305F73"/>
    <w:rsid w:val="633233D4"/>
    <w:rsid w:val="6334609D"/>
    <w:rsid w:val="63353567"/>
    <w:rsid w:val="633D6ED4"/>
    <w:rsid w:val="63484489"/>
    <w:rsid w:val="6356064C"/>
    <w:rsid w:val="635A2C18"/>
    <w:rsid w:val="635B0469"/>
    <w:rsid w:val="636429FB"/>
    <w:rsid w:val="636434B2"/>
    <w:rsid w:val="636454FC"/>
    <w:rsid w:val="63663629"/>
    <w:rsid w:val="637425C5"/>
    <w:rsid w:val="63781E2A"/>
    <w:rsid w:val="637C31BE"/>
    <w:rsid w:val="637E5A94"/>
    <w:rsid w:val="63840F22"/>
    <w:rsid w:val="63891CC3"/>
    <w:rsid w:val="638E593E"/>
    <w:rsid w:val="63915694"/>
    <w:rsid w:val="639368F9"/>
    <w:rsid w:val="63992E87"/>
    <w:rsid w:val="639C4A49"/>
    <w:rsid w:val="63A1504A"/>
    <w:rsid w:val="63A71BBE"/>
    <w:rsid w:val="63A948B2"/>
    <w:rsid w:val="63AA3B02"/>
    <w:rsid w:val="63B0157E"/>
    <w:rsid w:val="63B3114E"/>
    <w:rsid w:val="63BF3C9E"/>
    <w:rsid w:val="63C0435E"/>
    <w:rsid w:val="63C069B6"/>
    <w:rsid w:val="63C262A2"/>
    <w:rsid w:val="63CA2BEE"/>
    <w:rsid w:val="63CD06A6"/>
    <w:rsid w:val="63D266D6"/>
    <w:rsid w:val="63D45049"/>
    <w:rsid w:val="63DF02D4"/>
    <w:rsid w:val="63DF72F7"/>
    <w:rsid w:val="63E00588"/>
    <w:rsid w:val="63E622ED"/>
    <w:rsid w:val="63E74497"/>
    <w:rsid w:val="63EE2D88"/>
    <w:rsid w:val="63EF077C"/>
    <w:rsid w:val="63F5294F"/>
    <w:rsid w:val="63F706C7"/>
    <w:rsid w:val="63FA0065"/>
    <w:rsid w:val="63FB468D"/>
    <w:rsid w:val="63FC232C"/>
    <w:rsid w:val="640114FE"/>
    <w:rsid w:val="64017758"/>
    <w:rsid w:val="640E2F5D"/>
    <w:rsid w:val="640F3214"/>
    <w:rsid w:val="64127C63"/>
    <w:rsid w:val="64174988"/>
    <w:rsid w:val="64183CA4"/>
    <w:rsid w:val="64192E1E"/>
    <w:rsid w:val="64240FAD"/>
    <w:rsid w:val="64276D6F"/>
    <w:rsid w:val="642D69CB"/>
    <w:rsid w:val="64321431"/>
    <w:rsid w:val="64424897"/>
    <w:rsid w:val="64432611"/>
    <w:rsid w:val="644751C1"/>
    <w:rsid w:val="64500E02"/>
    <w:rsid w:val="645C4CA1"/>
    <w:rsid w:val="64603A6A"/>
    <w:rsid w:val="64605279"/>
    <w:rsid w:val="646337DC"/>
    <w:rsid w:val="64636D4D"/>
    <w:rsid w:val="646572C4"/>
    <w:rsid w:val="6466598A"/>
    <w:rsid w:val="646D45DD"/>
    <w:rsid w:val="6471052C"/>
    <w:rsid w:val="64730429"/>
    <w:rsid w:val="647324CA"/>
    <w:rsid w:val="64774419"/>
    <w:rsid w:val="6479430E"/>
    <w:rsid w:val="647A0323"/>
    <w:rsid w:val="647A32CC"/>
    <w:rsid w:val="648257AB"/>
    <w:rsid w:val="6483473B"/>
    <w:rsid w:val="648B3FB8"/>
    <w:rsid w:val="648D30C7"/>
    <w:rsid w:val="648E409C"/>
    <w:rsid w:val="64972A92"/>
    <w:rsid w:val="64A8477E"/>
    <w:rsid w:val="64AB37B1"/>
    <w:rsid w:val="64AC5443"/>
    <w:rsid w:val="64AD25BC"/>
    <w:rsid w:val="64B90A61"/>
    <w:rsid w:val="64BB5CD7"/>
    <w:rsid w:val="64BE51FB"/>
    <w:rsid w:val="64C5395D"/>
    <w:rsid w:val="64CC73EE"/>
    <w:rsid w:val="64CF782B"/>
    <w:rsid w:val="64E33C2A"/>
    <w:rsid w:val="64F472F2"/>
    <w:rsid w:val="64FB4C6C"/>
    <w:rsid w:val="64FC079E"/>
    <w:rsid w:val="65020964"/>
    <w:rsid w:val="650437DE"/>
    <w:rsid w:val="65065134"/>
    <w:rsid w:val="650B3064"/>
    <w:rsid w:val="650F05EE"/>
    <w:rsid w:val="65130D49"/>
    <w:rsid w:val="65143BBD"/>
    <w:rsid w:val="65150245"/>
    <w:rsid w:val="652420F0"/>
    <w:rsid w:val="65255C4F"/>
    <w:rsid w:val="65275DA3"/>
    <w:rsid w:val="652E1122"/>
    <w:rsid w:val="652F0769"/>
    <w:rsid w:val="652F38B1"/>
    <w:rsid w:val="652F3FDE"/>
    <w:rsid w:val="653463FD"/>
    <w:rsid w:val="65352340"/>
    <w:rsid w:val="653A3B41"/>
    <w:rsid w:val="653F001D"/>
    <w:rsid w:val="65495B00"/>
    <w:rsid w:val="654F4770"/>
    <w:rsid w:val="65560C72"/>
    <w:rsid w:val="656010DF"/>
    <w:rsid w:val="65605D66"/>
    <w:rsid w:val="65682A86"/>
    <w:rsid w:val="656A652D"/>
    <w:rsid w:val="656A7851"/>
    <w:rsid w:val="65752F0C"/>
    <w:rsid w:val="65774421"/>
    <w:rsid w:val="657834C0"/>
    <w:rsid w:val="65786357"/>
    <w:rsid w:val="65795954"/>
    <w:rsid w:val="657D2E98"/>
    <w:rsid w:val="657F0456"/>
    <w:rsid w:val="658058F9"/>
    <w:rsid w:val="65850F07"/>
    <w:rsid w:val="6585618C"/>
    <w:rsid w:val="65873D0B"/>
    <w:rsid w:val="658C2E2E"/>
    <w:rsid w:val="658F0577"/>
    <w:rsid w:val="658F4F94"/>
    <w:rsid w:val="659369C1"/>
    <w:rsid w:val="65940E5B"/>
    <w:rsid w:val="6598537B"/>
    <w:rsid w:val="659A0956"/>
    <w:rsid w:val="659A52D0"/>
    <w:rsid w:val="65A543E9"/>
    <w:rsid w:val="65AB4718"/>
    <w:rsid w:val="65AB52B0"/>
    <w:rsid w:val="65AC7C7B"/>
    <w:rsid w:val="65B0017A"/>
    <w:rsid w:val="65B06AE6"/>
    <w:rsid w:val="65B324C4"/>
    <w:rsid w:val="65B37F64"/>
    <w:rsid w:val="65B96A1C"/>
    <w:rsid w:val="65BB6F90"/>
    <w:rsid w:val="65BC1D04"/>
    <w:rsid w:val="65CB78C9"/>
    <w:rsid w:val="65CC4A89"/>
    <w:rsid w:val="65D10A82"/>
    <w:rsid w:val="65DD16A8"/>
    <w:rsid w:val="65DD6260"/>
    <w:rsid w:val="65DD775A"/>
    <w:rsid w:val="65E56EDF"/>
    <w:rsid w:val="65E7702B"/>
    <w:rsid w:val="65F033ED"/>
    <w:rsid w:val="65F371FD"/>
    <w:rsid w:val="65F54B86"/>
    <w:rsid w:val="65F60D98"/>
    <w:rsid w:val="65FA2E27"/>
    <w:rsid w:val="65FB4CC4"/>
    <w:rsid w:val="66066B0A"/>
    <w:rsid w:val="6607502B"/>
    <w:rsid w:val="661A6C2A"/>
    <w:rsid w:val="66207DDC"/>
    <w:rsid w:val="66221EB7"/>
    <w:rsid w:val="66246CFC"/>
    <w:rsid w:val="662937B7"/>
    <w:rsid w:val="662B0C98"/>
    <w:rsid w:val="662D2FE1"/>
    <w:rsid w:val="66355B0E"/>
    <w:rsid w:val="663F08E5"/>
    <w:rsid w:val="66405937"/>
    <w:rsid w:val="66462FCD"/>
    <w:rsid w:val="66512C8A"/>
    <w:rsid w:val="66540740"/>
    <w:rsid w:val="66571F98"/>
    <w:rsid w:val="665727CB"/>
    <w:rsid w:val="665B46F6"/>
    <w:rsid w:val="66673571"/>
    <w:rsid w:val="66680BD3"/>
    <w:rsid w:val="6670105E"/>
    <w:rsid w:val="668865E3"/>
    <w:rsid w:val="669241E8"/>
    <w:rsid w:val="66937F37"/>
    <w:rsid w:val="66B92EEA"/>
    <w:rsid w:val="66C47DEC"/>
    <w:rsid w:val="66C616F6"/>
    <w:rsid w:val="66D86AEC"/>
    <w:rsid w:val="66DE2CA9"/>
    <w:rsid w:val="66E20AE1"/>
    <w:rsid w:val="66E23971"/>
    <w:rsid w:val="66F16386"/>
    <w:rsid w:val="66F5101E"/>
    <w:rsid w:val="66FE37DA"/>
    <w:rsid w:val="6701705B"/>
    <w:rsid w:val="670315D7"/>
    <w:rsid w:val="67034C80"/>
    <w:rsid w:val="671B67B8"/>
    <w:rsid w:val="671E36AB"/>
    <w:rsid w:val="67224850"/>
    <w:rsid w:val="67226B22"/>
    <w:rsid w:val="67236729"/>
    <w:rsid w:val="67280C2B"/>
    <w:rsid w:val="672972D9"/>
    <w:rsid w:val="672F46EF"/>
    <w:rsid w:val="67336FBB"/>
    <w:rsid w:val="673548A0"/>
    <w:rsid w:val="67420F72"/>
    <w:rsid w:val="67467C16"/>
    <w:rsid w:val="675B5043"/>
    <w:rsid w:val="675C0EE3"/>
    <w:rsid w:val="675C3DB3"/>
    <w:rsid w:val="675E52C5"/>
    <w:rsid w:val="676A0C16"/>
    <w:rsid w:val="677072F3"/>
    <w:rsid w:val="677527DB"/>
    <w:rsid w:val="67792979"/>
    <w:rsid w:val="677B726D"/>
    <w:rsid w:val="677E4A78"/>
    <w:rsid w:val="678C552E"/>
    <w:rsid w:val="678F5A83"/>
    <w:rsid w:val="67995B10"/>
    <w:rsid w:val="679B1194"/>
    <w:rsid w:val="679D0EA5"/>
    <w:rsid w:val="679E47A8"/>
    <w:rsid w:val="67A2028A"/>
    <w:rsid w:val="67B710D4"/>
    <w:rsid w:val="67B87AF0"/>
    <w:rsid w:val="67B9049A"/>
    <w:rsid w:val="67C11468"/>
    <w:rsid w:val="67C27058"/>
    <w:rsid w:val="67CB6EFF"/>
    <w:rsid w:val="67CC0B6F"/>
    <w:rsid w:val="67D579CC"/>
    <w:rsid w:val="67D92E51"/>
    <w:rsid w:val="67DA328C"/>
    <w:rsid w:val="67EA7EE2"/>
    <w:rsid w:val="67EE0AE5"/>
    <w:rsid w:val="67FF4D51"/>
    <w:rsid w:val="68071BA7"/>
    <w:rsid w:val="680F5B88"/>
    <w:rsid w:val="681B2725"/>
    <w:rsid w:val="681D5224"/>
    <w:rsid w:val="681E136E"/>
    <w:rsid w:val="68205077"/>
    <w:rsid w:val="68224ECE"/>
    <w:rsid w:val="68272F41"/>
    <w:rsid w:val="68375D9D"/>
    <w:rsid w:val="683802AC"/>
    <w:rsid w:val="683A6E80"/>
    <w:rsid w:val="683A7D05"/>
    <w:rsid w:val="684E65C9"/>
    <w:rsid w:val="6851426A"/>
    <w:rsid w:val="685334C5"/>
    <w:rsid w:val="68535A2C"/>
    <w:rsid w:val="685551FE"/>
    <w:rsid w:val="68563052"/>
    <w:rsid w:val="685C3C33"/>
    <w:rsid w:val="685E5D40"/>
    <w:rsid w:val="685F3791"/>
    <w:rsid w:val="686002E2"/>
    <w:rsid w:val="68641B28"/>
    <w:rsid w:val="68654872"/>
    <w:rsid w:val="686B2F4B"/>
    <w:rsid w:val="686E3691"/>
    <w:rsid w:val="686E4A96"/>
    <w:rsid w:val="68707B84"/>
    <w:rsid w:val="68732989"/>
    <w:rsid w:val="68770C7F"/>
    <w:rsid w:val="687903F5"/>
    <w:rsid w:val="68881AF3"/>
    <w:rsid w:val="688C7319"/>
    <w:rsid w:val="688F038A"/>
    <w:rsid w:val="68906041"/>
    <w:rsid w:val="68B60E87"/>
    <w:rsid w:val="68B77A61"/>
    <w:rsid w:val="68BD1EB9"/>
    <w:rsid w:val="68BE7F21"/>
    <w:rsid w:val="68C969FD"/>
    <w:rsid w:val="68CA7EB4"/>
    <w:rsid w:val="68CE7297"/>
    <w:rsid w:val="68D44B62"/>
    <w:rsid w:val="68D47586"/>
    <w:rsid w:val="68DB0884"/>
    <w:rsid w:val="68DC1753"/>
    <w:rsid w:val="68DD5EC7"/>
    <w:rsid w:val="68DE0B5A"/>
    <w:rsid w:val="68DF29E8"/>
    <w:rsid w:val="68E765FD"/>
    <w:rsid w:val="68EF3BD8"/>
    <w:rsid w:val="68F1307D"/>
    <w:rsid w:val="68F46632"/>
    <w:rsid w:val="68FB1AE6"/>
    <w:rsid w:val="69022BD1"/>
    <w:rsid w:val="69024BF4"/>
    <w:rsid w:val="69066192"/>
    <w:rsid w:val="690E12BF"/>
    <w:rsid w:val="69117555"/>
    <w:rsid w:val="6918190F"/>
    <w:rsid w:val="691A4D1D"/>
    <w:rsid w:val="691A691A"/>
    <w:rsid w:val="691B4820"/>
    <w:rsid w:val="691C2C4D"/>
    <w:rsid w:val="69243D0E"/>
    <w:rsid w:val="692503BF"/>
    <w:rsid w:val="692814AD"/>
    <w:rsid w:val="692F3F4F"/>
    <w:rsid w:val="693B4AF2"/>
    <w:rsid w:val="693D16F4"/>
    <w:rsid w:val="693F6C03"/>
    <w:rsid w:val="694361DB"/>
    <w:rsid w:val="69497B94"/>
    <w:rsid w:val="694A1976"/>
    <w:rsid w:val="6956360D"/>
    <w:rsid w:val="695F2847"/>
    <w:rsid w:val="69636D1E"/>
    <w:rsid w:val="69695CC5"/>
    <w:rsid w:val="6969714C"/>
    <w:rsid w:val="696A160F"/>
    <w:rsid w:val="69715E72"/>
    <w:rsid w:val="697B3FC2"/>
    <w:rsid w:val="697F3456"/>
    <w:rsid w:val="69821C51"/>
    <w:rsid w:val="698576BA"/>
    <w:rsid w:val="69874748"/>
    <w:rsid w:val="69930407"/>
    <w:rsid w:val="69930F3F"/>
    <w:rsid w:val="69953A06"/>
    <w:rsid w:val="699C07B0"/>
    <w:rsid w:val="699D2ACD"/>
    <w:rsid w:val="69A73642"/>
    <w:rsid w:val="69A77C01"/>
    <w:rsid w:val="69B34BF3"/>
    <w:rsid w:val="69B46639"/>
    <w:rsid w:val="69BA1CB8"/>
    <w:rsid w:val="69C10F26"/>
    <w:rsid w:val="69C32FAC"/>
    <w:rsid w:val="69C9077F"/>
    <w:rsid w:val="69CD684B"/>
    <w:rsid w:val="69D85591"/>
    <w:rsid w:val="69DA3B68"/>
    <w:rsid w:val="69E06B54"/>
    <w:rsid w:val="69ED4AF2"/>
    <w:rsid w:val="69EF69B6"/>
    <w:rsid w:val="69F21B1D"/>
    <w:rsid w:val="69F62B67"/>
    <w:rsid w:val="69F90892"/>
    <w:rsid w:val="69FA18C6"/>
    <w:rsid w:val="69FC398E"/>
    <w:rsid w:val="69FE1ACD"/>
    <w:rsid w:val="69FF1615"/>
    <w:rsid w:val="69FF372D"/>
    <w:rsid w:val="6A077463"/>
    <w:rsid w:val="6A077F06"/>
    <w:rsid w:val="6A105B6A"/>
    <w:rsid w:val="6A123270"/>
    <w:rsid w:val="6A1432CD"/>
    <w:rsid w:val="6A177820"/>
    <w:rsid w:val="6A1B5C59"/>
    <w:rsid w:val="6A1D2A49"/>
    <w:rsid w:val="6A2001AB"/>
    <w:rsid w:val="6A220B78"/>
    <w:rsid w:val="6A2963E8"/>
    <w:rsid w:val="6A2D44C4"/>
    <w:rsid w:val="6A2E6045"/>
    <w:rsid w:val="6A39640B"/>
    <w:rsid w:val="6A404676"/>
    <w:rsid w:val="6A4772CC"/>
    <w:rsid w:val="6A4A35B1"/>
    <w:rsid w:val="6A4B3F72"/>
    <w:rsid w:val="6A513B22"/>
    <w:rsid w:val="6A545CE5"/>
    <w:rsid w:val="6A5C3BBB"/>
    <w:rsid w:val="6A5F33B7"/>
    <w:rsid w:val="6A650C7A"/>
    <w:rsid w:val="6A670A9A"/>
    <w:rsid w:val="6A6A2F73"/>
    <w:rsid w:val="6A6A7F35"/>
    <w:rsid w:val="6A6B49D4"/>
    <w:rsid w:val="6A6C65E9"/>
    <w:rsid w:val="6A7F7A8B"/>
    <w:rsid w:val="6A812A85"/>
    <w:rsid w:val="6A814500"/>
    <w:rsid w:val="6A832157"/>
    <w:rsid w:val="6A8A6C6E"/>
    <w:rsid w:val="6A8B1C6D"/>
    <w:rsid w:val="6A9A5A6C"/>
    <w:rsid w:val="6AA054C0"/>
    <w:rsid w:val="6AA300F0"/>
    <w:rsid w:val="6AA44549"/>
    <w:rsid w:val="6AAA12AE"/>
    <w:rsid w:val="6AAA24E0"/>
    <w:rsid w:val="6AAD217E"/>
    <w:rsid w:val="6AAE1120"/>
    <w:rsid w:val="6AB020BF"/>
    <w:rsid w:val="6ABA73C9"/>
    <w:rsid w:val="6ABC39C2"/>
    <w:rsid w:val="6AC71C3C"/>
    <w:rsid w:val="6AC90A42"/>
    <w:rsid w:val="6AD16DFB"/>
    <w:rsid w:val="6ADC2ECA"/>
    <w:rsid w:val="6ADF7CD1"/>
    <w:rsid w:val="6AE36F20"/>
    <w:rsid w:val="6AE75101"/>
    <w:rsid w:val="6AEC51FE"/>
    <w:rsid w:val="6B0F40B5"/>
    <w:rsid w:val="6B104122"/>
    <w:rsid w:val="6B116AF9"/>
    <w:rsid w:val="6B116C80"/>
    <w:rsid w:val="6B120F8F"/>
    <w:rsid w:val="6B155E54"/>
    <w:rsid w:val="6B17479E"/>
    <w:rsid w:val="6B1B2E0B"/>
    <w:rsid w:val="6B2E53B7"/>
    <w:rsid w:val="6B354227"/>
    <w:rsid w:val="6B361121"/>
    <w:rsid w:val="6B3E5D3A"/>
    <w:rsid w:val="6B4C2A16"/>
    <w:rsid w:val="6B55408A"/>
    <w:rsid w:val="6B5D25F5"/>
    <w:rsid w:val="6B614442"/>
    <w:rsid w:val="6B640A80"/>
    <w:rsid w:val="6B680BAF"/>
    <w:rsid w:val="6B6F1F3D"/>
    <w:rsid w:val="6B701154"/>
    <w:rsid w:val="6B7C5A30"/>
    <w:rsid w:val="6B7C73D7"/>
    <w:rsid w:val="6B8359E9"/>
    <w:rsid w:val="6B856096"/>
    <w:rsid w:val="6B897AD7"/>
    <w:rsid w:val="6B8B5D1C"/>
    <w:rsid w:val="6B8C6DC6"/>
    <w:rsid w:val="6B8E1734"/>
    <w:rsid w:val="6B8E652B"/>
    <w:rsid w:val="6B990F69"/>
    <w:rsid w:val="6B9A57D3"/>
    <w:rsid w:val="6B9F6823"/>
    <w:rsid w:val="6BA92D4B"/>
    <w:rsid w:val="6BAC1D96"/>
    <w:rsid w:val="6BB12556"/>
    <w:rsid w:val="6BB76BE2"/>
    <w:rsid w:val="6BBB4F41"/>
    <w:rsid w:val="6BC06C1F"/>
    <w:rsid w:val="6BCD3527"/>
    <w:rsid w:val="6BD05507"/>
    <w:rsid w:val="6BD90021"/>
    <w:rsid w:val="6BDB01D4"/>
    <w:rsid w:val="6BDB196C"/>
    <w:rsid w:val="6BDE69A7"/>
    <w:rsid w:val="6BEE5956"/>
    <w:rsid w:val="6BF539D2"/>
    <w:rsid w:val="6BF83F37"/>
    <w:rsid w:val="6BF9025C"/>
    <w:rsid w:val="6BFB2090"/>
    <w:rsid w:val="6BFF071A"/>
    <w:rsid w:val="6C0102D2"/>
    <w:rsid w:val="6C051378"/>
    <w:rsid w:val="6C0A67ED"/>
    <w:rsid w:val="6C0C4EA8"/>
    <w:rsid w:val="6C0D76BF"/>
    <w:rsid w:val="6C0E2D74"/>
    <w:rsid w:val="6C0E457F"/>
    <w:rsid w:val="6C1527E0"/>
    <w:rsid w:val="6C165841"/>
    <w:rsid w:val="6C183C20"/>
    <w:rsid w:val="6C1F0AC2"/>
    <w:rsid w:val="6C21655D"/>
    <w:rsid w:val="6C376DB5"/>
    <w:rsid w:val="6C3A0ED0"/>
    <w:rsid w:val="6C3A189C"/>
    <w:rsid w:val="6C4A7B1B"/>
    <w:rsid w:val="6C500A12"/>
    <w:rsid w:val="6C530D20"/>
    <w:rsid w:val="6C5B58D8"/>
    <w:rsid w:val="6C5D0DFD"/>
    <w:rsid w:val="6C6255C8"/>
    <w:rsid w:val="6C645436"/>
    <w:rsid w:val="6C6E0214"/>
    <w:rsid w:val="6C711CE5"/>
    <w:rsid w:val="6C730D81"/>
    <w:rsid w:val="6C7B30E7"/>
    <w:rsid w:val="6C816BBB"/>
    <w:rsid w:val="6C860D49"/>
    <w:rsid w:val="6C884B18"/>
    <w:rsid w:val="6C8F69ED"/>
    <w:rsid w:val="6C952D09"/>
    <w:rsid w:val="6C9A3E0A"/>
    <w:rsid w:val="6CA03879"/>
    <w:rsid w:val="6CAE1F56"/>
    <w:rsid w:val="6CB70F6C"/>
    <w:rsid w:val="6CC753D3"/>
    <w:rsid w:val="6CD20554"/>
    <w:rsid w:val="6CD75BE6"/>
    <w:rsid w:val="6CDC3602"/>
    <w:rsid w:val="6CDC583E"/>
    <w:rsid w:val="6CDF502A"/>
    <w:rsid w:val="6CEA228A"/>
    <w:rsid w:val="6CEE4DCE"/>
    <w:rsid w:val="6CF059C3"/>
    <w:rsid w:val="6CF376D6"/>
    <w:rsid w:val="6CF44AA3"/>
    <w:rsid w:val="6CF878AF"/>
    <w:rsid w:val="6CF94547"/>
    <w:rsid w:val="6CFD0541"/>
    <w:rsid w:val="6D0F4FBC"/>
    <w:rsid w:val="6D124D02"/>
    <w:rsid w:val="6D18578E"/>
    <w:rsid w:val="6D204F7D"/>
    <w:rsid w:val="6D2755FF"/>
    <w:rsid w:val="6D293E9A"/>
    <w:rsid w:val="6D2C5899"/>
    <w:rsid w:val="6D3119E0"/>
    <w:rsid w:val="6D372F2F"/>
    <w:rsid w:val="6D3B1BED"/>
    <w:rsid w:val="6D456D17"/>
    <w:rsid w:val="6D4B42A5"/>
    <w:rsid w:val="6D535020"/>
    <w:rsid w:val="6D597E2E"/>
    <w:rsid w:val="6D604233"/>
    <w:rsid w:val="6D620590"/>
    <w:rsid w:val="6D641C27"/>
    <w:rsid w:val="6D6B359E"/>
    <w:rsid w:val="6D6F5BBE"/>
    <w:rsid w:val="6D6F6507"/>
    <w:rsid w:val="6D721BC3"/>
    <w:rsid w:val="6D797B26"/>
    <w:rsid w:val="6D7B35FF"/>
    <w:rsid w:val="6D894D56"/>
    <w:rsid w:val="6D8D23F6"/>
    <w:rsid w:val="6D8E3A62"/>
    <w:rsid w:val="6D941F8F"/>
    <w:rsid w:val="6D9944AA"/>
    <w:rsid w:val="6D9D1873"/>
    <w:rsid w:val="6D9D5287"/>
    <w:rsid w:val="6D9D7E64"/>
    <w:rsid w:val="6DA13A2F"/>
    <w:rsid w:val="6DA67CCC"/>
    <w:rsid w:val="6DAA6483"/>
    <w:rsid w:val="6DB02340"/>
    <w:rsid w:val="6DB838E1"/>
    <w:rsid w:val="6DB83B51"/>
    <w:rsid w:val="6DB843CD"/>
    <w:rsid w:val="6DBB3B60"/>
    <w:rsid w:val="6DBB496B"/>
    <w:rsid w:val="6DBF2656"/>
    <w:rsid w:val="6DC22753"/>
    <w:rsid w:val="6DC27953"/>
    <w:rsid w:val="6DC568E2"/>
    <w:rsid w:val="6DCD727E"/>
    <w:rsid w:val="6DDC5F2F"/>
    <w:rsid w:val="6DDD75A9"/>
    <w:rsid w:val="6DDF11A6"/>
    <w:rsid w:val="6DEE5085"/>
    <w:rsid w:val="6DF36E56"/>
    <w:rsid w:val="6DF5371D"/>
    <w:rsid w:val="6DFA7B50"/>
    <w:rsid w:val="6DFD3B75"/>
    <w:rsid w:val="6E04531E"/>
    <w:rsid w:val="6E0B7F04"/>
    <w:rsid w:val="6E0F6C19"/>
    <w:rsid w:val="6E105070"/>
    <w:rsid w:val="6E1277FA"/>
    <w:rsid w:val="6E1A224F"/>
    <w:rsid w:val="6E2B0EFA"/>
    <w:rsid w:val="6E33289A"/>
    <w:rsid w:val="6E391FCD"/>
    <w:rsid w:val="6E3B1491"/>
    <w:rsid w:val="6E3C04E0"/>
    <w:rsid w:val="6E3C2DEC"/>
    <w:rsid w:val="6E3C72C3"/>
    <w:rsid w:val="6E443D7B"/>
    <w:rsid w:val="6E4D41F6"/>
    <w:rsid w:val="6E535B46"/>
    <w:rsid w:val="6E583A91"/>
    <w:rsid w:val="6E5A1461"/>
    <w:rsid w:val="6E625D89"/>
    <w:rsid w:val="6E674C83"/>
    <w:rsid w:val="6E6B3672"/>
    <w:rsid w:val="6E734524"/>
    <w:rsid w:val="6E763BDC"/>
    <w:rsid w:val="6E7A7867"/>
    <w:rsid w:val="6E7F5F97"/>
    <w:rsid w:val="6E80505E"/>
    <w:rsid w:val="6E8515DD"/>
    <w:rsid w:val="6E8D0098"/>
    <w:rsid w:val="6E920244"/>
    <w:rsid w:val="6E95615F"/>
    <w:rsid w:val="6E9854C6"/>
    <w:rsid w:val="6EA15DD0"/>
    <w:rsid w:val="6EAD5BDB"/>
    <w:rsid w:val="6EB520BB"/>
    <w:rsid w:val="6EB9307E"/>
    <w:rsid w:val="6EB948EA"/>
    <w:rsid w:val="6EBA1B5F"/>
    <w:rsid w:val="6EC01205"/>
    <w:rsid w:val="6EC20387"/>
    <w:rsid w:val="6EC958AD"/>
    <w:rsid w:val="6ED00F45"/>
    <w:rsid w:val="6ED5386E"/>
    <w:rsid w:val="6ED913F1"/>
    <w:rsid w:val="6EF42618"/>
    <w:rsid w:val="6EF82671"/>
    <w:rsid w:val="6F06342C"/>
    <w:rsid w:val="6F0C4C54"/>
    <w:rsid w:val="6F1C2A18"/>
    <w:rsid w:val="6F1D2AFC"/>
    <w:rsid w:val="6F1E30E4"/>
    <w:rsid w:val="6F236191"/>
    <w:rsid w:val="6F2B3FF7"/>
    <w:rsid w:val="6F2B691D"/>
    <w:rsid w:val="6F301AA4"/>
    <w:rsid w:val="6F394D3C"/>
    <w:rsid w:val="6F3B5E96"/>
    <w:rsid w:val="6F3C5678"/>
    <w:rsid w:val="6F4121BF"/>
    <w:rsid w:val="6F483B89"/>
    <w:rsid w:val="6F4A5068"/>
    <w:rsid w:val="6F4B069D"/>
    <w:rsid w:val="6F4F4560"/>
    <w:rsid w:val="6F5258AD"/>
    <w:rsid w:val="6F52721D"/>
    <w:rsid w:val="6F696A71"/>
    <w:rsid w:val="6F7764B8"/>
    <w:rsid w:val="6F797C10"/>
    <w:rsid w:val="6F7B1927"/>
    <w:rsid w:val="6F7C7167"/>
    <w:rsid w:val="6F8B50F1"/>
    <w:rsid w:val="6F9F295F"/>
    <w:rsid w:val="6FB6118D"/>
    <w:rsid w:val="6FC52902"/>
    <w:rsid w:val="6FC72A98"/>
    <w:rsid w:val="6FC839F8"/>
    <w:rsid w:val="6FCD76FD"/>
    <w:rsid w:val="6FCF0781"/>
    <w:rsid w:val="6FD62C5C"/>
    <w:rsid w:val="6FDB399B"/>
    <w:rsid w:val="6FDC3780"/>
    <w:rsid w:val="6FDC6610"/>
    <w:rsid w:val="6FE071DE"/>
    <w:rsid w:val="6FEE14B7"/>
    <w:rsid w:val="6FEF0E78"/>
    <w:rsid w:val="6FF17B45"/>
    <w:rsid w:val="6FF34E68"/>
    <w:rsid w:val="700440F8"/>
    <w:rsid w:val="7015694D"/>
    <w:rsid w:val="701C6C34"/>
    <w:rsid w:val="701E3A80"/>
    <w:rsid w:val="70274B01"/>
    <w:rsid w:val="702920F7"/>
    <w:rsid w:val="702C28D1"/>
    <w:rsid w:val="702D3EEE"/>
    <w:rsid w:val="703A748F"/>
    <w:rsid w:val="703F3085"/>
    <w:rsid w:val="70433400"/>
    <w:rsid w:val="704A0B30"/>
    <w:rsid w:val="705474FD"/>
    <w:rsid w:val="705B69B6"/>
    <w:rsid w:val="705F1779"/>
    <w:rsid w:val="7060331C"/>
    <w:rsid w:val="706C2EEF"/>
    <w:rsid w:val="70716DAB"/>
    <w:rsid w:val="70752885"/>
    <w:rsid w:val="70820E1A"/>
    <w:rsid w:val="708A0A52"/>
    <w:rsid w:val="7090107B"/>
    <w:rsid w:val="70A93117"/>
    <w:rsid w:val="70B42C1F"/>
    <w:rsid w:val="70C02BDE"/>
    <w:rsid w:val="70CB63A0"/>
    <w:rsid w:val="70CD77D9"/>
    <w:rsid w:val="70D00490"/>
    <w:rsid w:val="70D22577"/>
    <w:rsid w:val="70D50298"/>
    <w:rsid w:val="70DF5DB7"/>
    <w:rsid w:val="70EE2BBA"/>
    <w:rsid w:val="70F361E7"/>
    <w:rsid w:val="70F4272F"/>
    <w:rsid w:val="70F81253"/>
    <w:rsid w:val="70F84E05"/>
    <w:rsid w:val="70F94929"/>
    <w:rsid w:val="70FA67AC"/>
    <w:rsid w:val="70FF7713"/>
    <w:rsid w:val="71005B5F"/>
    <w:rsid w:val="71024380"/>
    <w:rsid w:val="7113780F"/>
    <w:rsid w:val="7127374B"/>
    <w:rsid w:val="712E45AC"/>
    <w:rsid w:val="71316B5E"/>
    <w:rsid w:val="713945E7"/>
    <w:rsid w:val="71396980"/>
    <w:rsid w:val="713F0FD3"/>
    <w:rsid w:val="71460DC4"/>
    <w:rsid w:val="714806A6"/>
    <w:rsid w:val="714B75E4"/>
    <w:rsid w:val="714E0847"/>
    <w:rsid w:val="714E3EB3"/>
    <w:rsid w:val="7150356B"/>
    <w:rsid w:val="71520F39"/>
    <w:rsid w:val="715B7258"/>
    <w:rsid w:val="71630796"/>
    <w:rsid w:val="716508E8"/>
    <w:rsid w:val="716B0471"/>
    <w:rsid w:val="716D001E"/>
    <w:rsid w:val="7174294F"/>
    <w:rsid w:val="717D52CC"/>
    <w:rsid w:val="71802B7F"/>
    <w:rsid w:val="718631D5"/>
    <w:rsid w:val="718A7A33"/>
    <w:rsid w:val="719170B1"/>
    <w:rsid w:val="71941BE4"/>
    <w:rsid w:val="71A1299B"/>
    <w:rsid w:val="71A66B68"/>
    <w:rsid w:val="71B159C1"/>
    <w:rsid w:val="71B21F4E"/>
    <w:rsid w:val="71B60D51"/>
    <w:rsid w:val="71BB472D"/>
    <w:rsid w:val="71C20328"/>
    <w:rsid w:val="71D41B23"/>
    <w:rsid w:val="71D92806"/>
    <w:rsid w:val="71DD6193"/>
    <w:rsid w:val="71E54716"/>
    <w:rsid w:val="71E638D1"/>
    <w:rsid w:val="71E672C1"/>
    <w:rsid w:val="71EC2AAA"/>
    <w:rsid w:val="71F6354B"/>
    <w:rsid w:val="71F83C19"/>
    <w:rsid w:val="71FD1295"/>
    <w:rsid w:val="72012ADE"/>
    <w:rsid w:val="720158B9"/>
    <w:rsid w:val="720535FB"/>
    <w:rsid w:val="720605A2"/>
    <w:rsid w:val="72077373"/>
    <w:rsid w:val="72086948"/>
    <w:rsid w:val="7209278A"/>
    <w:rsid w:val="7217045E"/>
    <w:rsid w:val="721A705C"/>
    <w:rsid w:val="721F4672"/>
    <w:rsid w:val="722F2394"/>
    <w:rsid w:val="72314EF6"/>
    <w:rsid w:val="724B7521"/>
    <w:rsid w:val="725113AE"/>
    <w:rsid w:val="725672D4"/>
    <w:rsid w:val="725D087C"/>
    <w:rsid w:val="726B3BE0"/>
    <w:rsid w:val="726C63B6"/>
    <w:rsid w:val="72750C9B"/>
    <w:rsid w:val="72770024"/>
    <w:rsid w:val="727B3360"/>
    <w:rsid w:val="727F515C"/>
    <w:rsid w:val="728D32C2"/>
    <w:rsid w:val="728E18FB"/>
    <w:rsid w:val="72920197"/>
    <w:rsid w:val="729254D2"/>
    <w:rsid w:val="72B017B9"/>
    <w:rsid w:val="72B24647"/>
    <w:rsid w:val="72D052B4"/>
    <w:rsid w:val="72D059B7"/>
    <w:rsid w:val="72D27981"/>
    <w:rsid w:val="72DB2CFB"/>
    <w:rsid w:val="72DC64F2"/>
    <w:rsid w:val="72DF7EF5"/>
    <w:rsid w:val="72E07148"/>
    <w:rsid w:val="72E1057A"/>
    <w:rsid w:val="72E2241B"/>
    <w:rsid w:val="72E30C5B"/>
    <w:rsid w:val="72E94CCB"/>
    <w:rsid w:val="72EA3CDF"/>
    <w:rsid w:val="72ED7062"/>
    <w:rsid w:val="72EF4EC0"/>
    <w:rsid w:val="72F24929"/>
    <w:rsid w:val="72F642C9"/>
    <w:rsid w:val="72F6575C"/>
    <w:rsid w:val="73062E32"/>
    <w:rsid w:val="730F2162"/>
    <w:rsid w:val="73123F59"/>
    <w:rsid w:val="73232827"/>
    <w:rsid w:val="732603BA"/>
    <w:rsid w:val="73263ED3"/>
    <w:rsid w:val="732A139F"/>
    <w:rsid w:val="733206F1"/>
    <w:rsid w:val="733527F5"/>
    <w:rsid w:val="73425D0F"/>
    <w:rsid w:val="73474A6A"/>
    <w:rsid w:val="734D776C"/>
    <w:rsid w:val="734F3A57"/>
    <w:rsid w:val="73522A09"/>
    <w:rsid w:val="73531F71"/>
    <w:rsid w:val="73575F61"/>
    <w:rsid w:val="735B0460"/>
    <w:rsid w:val="735C11EA"/>
    <w:rsid w:val="735F528A"/>
    <w:rsid w:val="736042F2"/>
    <w:rsid w:val="73642D3B"/>
    <w:rsid w:val="73691968"/>
    <w:rsid w:val="73753F63"/>
    <w:rsid w:val="73774417"/>
    <w:rsid w:val="737C4FA5"/>
    <w:rsid w:val="737D6A0A"/>
    <w:rsid w:val="738E4832"/>
    <w:rsid w:val="738F57A1"/>
    <w:rsid w:val="73915515"/>
    <w:rsid w:val="73964CC2"/>
    <w:rsid w:val="739F35DC"/>
    <w:rsid w:val="73A35818"/>
    <w:rsid w:val="73A36D95"/>
    <w:rsid w:val="73A738F1"/>
    <w:rsid w:val="73A74789"/>
    <w:rsid w:val="73AD444D"/>
    <w:rsid w:val="73AF0297"/>
    <w:rsid w:val="73B236DA"/>
    <w:rsid w:val="73B37E63"/>
    <w:rsid w:val="73B747BA"/>
    <w:rsid w:val="73B74FE9"/>
    <w:rsid w:val="73BB11BF"/>
    <w:rsid w:val="73CC4806"/>
    <w:rsid w:val="73D51F36"/>
    <w:rsid w:val="73DF5868"/>
    <w:rsid w:val="73E06DD9"/>
    <w:rsid w:val="73E536E4"/>
    <w:rsid w:val="73E64604"/>
    <w:rsid w:val="73E95652"/>
    <w:rsid w:val="73EA2AA9"/>
    <w:rsid w:val="73F20B37"/>
    <w:rsid w:val="73F57DF5"/>
    <w:rsid w:val="73FC0A60"/>
    <w:rsid w:val="73FD2776"/>
    <w:rsid w:val="73FE01A2"/>
    <w:rsid w:val="74015245"/>
    <w:rsid w:val="740A7B07"/>
    <w:rsid w:val="740B1CEE"/>
    <w:rsid w:val="740B6E1E"/>
    <w:rsid w:val="74101909"/>
    <w:rsid w:val="74106C32"/>
    <w:rsid w:val="74194FC5"/>
    <w:rsid w:val="741B28CB"/>
    <w:rsid w:val="74240BDD"/>
    <w:rsid w:val="742830E0"/>
    <w:rsid w:val="742B4D5F"/>
    <w:rsid w:val="742C61A7"/>
    <w:rsid w:val="743D3029"/>
    <w:rsid w:val="7441504E"/>
    <w:rsid w:val="7441668C"/>
    <w:rsid w:val="74431D97"/>
    <w:rsid w:val="74451B6E"/>
    <w:rsid w:val="744B2515"/>
    <w:rsid w:val="744B6DE1"/>
    <w:rsid w:val="744F65C9"/>
    <w:rsid w:val="745949CA"/>
    <w:rsid w:val="745C1886"/>
    <w:rsid w:val="745F6684"/>
    <w:rsid w:val="74630153"/>
    <w:rsid w:val="74704AA1"/>
    <w:rsid w:val="74786927"/>
    <w:rsid w:val="747C136E"/>
    <w:rsid w:val="747D6753"/>
    <w:rsid w:val="74805FC0"/>
    <w:rsid w:val="74841968"/>
    <w:rsid w:val="74882081"/>
    <w:rsid w:val="748F1AFC"/>
    <w:rsid w:val="74A37A65"/>
    <w:rsid w:val="74A815D0"/>
    <w:rsid w:val="74AB7AC2"/>
    <w:rsid w:val="74B84495"/>
    <w:rsid w:val="74B96C78"/>
    <w:rsid w:val="74BD6E05"/>
    <w:rsid w:val="74BF77A5"/>
    <w:rsid w:val="74D61A21"/>
    <w:rsid w:val="74D72C9D"/>
    <w:rsid w:val="74DE3FE1"/>
    <w:rsid w:val="74E10E8D"/>
    <w:rsid w:val="74E40185"/>
    <w:rsid w:val="74E65D3D"/>
    <w:rsid w:val="74ED52A0"/>
    <w:rsid w:val="74EF0B40"/>
    <w:rsid w:val="74F06700"/>
    <w:rsid w:val="74F75874"/>
    <w:rsid w:val="74F8100B"/>
    <w:rsid w:val="750326CE"/>
    <w:rsid w:val="75044F52"/>
    <w:rsid w:val="75064550"/>
    <w:rsid w:val="75094C83"/>
    <w:rsid w:val="750A341D"/>
    <w:rsid w:val="750C4B63"/>
    <w:rsid w:val="750E4351"/>
    <w:rsid w:val="75105179"/>
    <w:rsid w:val="751264FC"/>
    <w:rsid w:val="7514457D"/>
    <w:rsid w:val="751A433E"/>
    <w:rsid w:val="751C0E7E"/>
    <w:rsid w:val="751C73DA"/>
    <w:rsid w:val="751E2511"/>
    <w:rsid w:val="7524058C"/>
    <w:rsid w:val="75393AB8"/>
    <w:rsid w:val="7539491F"/>
    <w:rsid w:val="753B6661"/>
    <w:rsid w:val="754126A7"/>
    <w:rsid w:val="75442FE7"/>
    <w:rsid w:val="7544443B"/>
    <w:rsid w:val="7545634F"/>
    <w:rsid w:val="7545775C"/>
    <w:rsid w:val="754646F0"/>
    <w:rsid w:val="754A27AA"/>
    <w:rsid w:val="75573F10"/>
    <w:rsid w:val="755C1784"/>
    <w:rsid w:val="755D04BD"/>
    <w:rsid w:val="7563354B"/>
    <w:rsid w:val="756E7349"/>
    <w:rsid w:val="756F56E7"/>
    <w:rsid w:val="757354D0"/>
    <w:rsid w:val="757C647C"/>
    <w:rsid w:val="757F2C5B"/>
    <w:rsid w:val="75893CA4"/>
    <w:rsid w:val="758E2324"/>
    <w:rsid w:val="75920609"/>
    <w:rsid w:val="7593525C"/>
    <w:rsid w:val="75A43692"/>
    <w:rsid w:val="75B01F50"/>
    <w:rsid w:val="75B2400E"/>
    <w:rsid w:val="75B57674"/>
    <w:rsid w:val="75B65C42"/>
    <w:rsid w:val="75B72E2B"/>
    <w:rsid w:val="75B77BCE"/>
    <w:rsid w:val="75BA33F6"/>
    <w:rsid w:val="75BA7482"/>
    <w:rsid w:val="75BC73A4"/>
    <w:rsid w:val="75C13ECE"/>
    <w:rsid w:val="75C21CB4"/>
    <w:rsid w:val="75C431E5"/>
    <w:rsid w:val="75C63851"/>
    <w:rsid w:val="75CD4430"/>
    <w:rsid w:val="75DC5CC1"/>
    <w:rsid w:val="75E7354C"/>
    <w:rsid w:val="75E8481D"/>
    <w:rsid w:val="75F06371"/>
    <w:rsid w:val="75FB0F9D"/>
    <w:rsid w:val="760C498A"/>
    <w:rsid w:val="76135BC0"/>
    <w:rsid w:val="76147371"/>
    <w:rsid w:val="76230A34"/>
    <w:rsid w:val="76260E47"/>
    <w:rsid w:val="76292467"/>
    <w:rsid w:val="762E7539"/>
    <w:rsid w:val="763078CE"/>
    <w:rsid w:val="76394B94"/>
    <w:rsid w:val="763A1117"/>
    <w:rsid w:val="763A650A"/>
    <w:rsid w:val="764026BE"/>
    <w:rsid w:val="76477E5A"/>
    <w:rsid w:val="76494D27"/>
    <w:rsid w:val="76497D42"/>
    <w:rsid w:val="764A3820"/>
    <w:rsid w:val="764D04AC"/>
    <w:rsid w:val="764E0A9E"/>
    <w:rsid w:val="76521A92"/>
    <w:rsid w:val="7657143C"/>
    <w:rsid w:val="76682774"/>
    <w:rsid w:val="766B26AD"/>
    <w:rsid w:val="766B2A9C"/>
    <w:rsid w:val="766D43C0"/>
    <w:rsid w:val="76775EE9"/>
    <w:rsid w:val="76802E9D"/>
    <w:rsid w:val="76836629"/>
    <w:rsid w:val="768667FF"/>
    <w:rsid w:val="76883A31"/>
    <w:rsid w:val="769C064B"/>
    <w:rsid w:val="76A7599F"/>
    <w:rsid w:val="76A83241"/>
    <w:rsid w:val="76A90578"/>
    <w:rsid w:val="76AB0FAC"/>
    <w:rsid w:val="76AD6A60"/>
    <w:rsid w:val="76AE20E0"/>
    <w:rsid w:val="76B37949"/>
    <w:rsid w:val="76B56816"/>
    <w:rsid w:val="76B958A6"/>
    <w:rsid w:val="76BF5D1C"/>
    <w:rsid w:val="76C01E29"/>
    <w:rsid w:val="76C276D6"/>
    <w:rsid w:val="76C46B19"/>
    <w:rsid w:val="76CE72CC"/>
    <w:rsid w:val="76D366D2"/>
    <w:rsid w:val="76DF1900"/>
    <w:rsid w:val="76E34D4C"/>
    <w:rsid w:val="76E43A59"/>
    <w:rsid w:val="76E53F72"/>
    <w:rsid w:val="76E63C73"/>
    <w:rsid w:val="76E6491C"/>
    <w:rsid w:val="76F03C7A"/>
    <w:rsid w:val="76F748E6"/>
    <w:rsid w:val="76FD4BB5"/>
    <w:rsid w:val="77035A91"/>
    <w:rsid w:val="770941BC"/>
    <w:rsid w:val="77156159"/>
    <w:rsid w:val="772054B7"/>
    <w:rsid w:val="77293393"/>
    <w:rsid w:val="772B3839"/>
    <w:rsid w:val="77353169"/>
    <w:rsid w:val="77367E6B"/>
    <w:rsid w:val="77374F06"/>
    <w:rsid w:val="77395FFE"/>
    <w:rsid w:val="773B5694"/>
    <w:rsid w:val="773C19C1"/>
    <w:rsid w:val="77463FF3"/>
    <w:rsid w:val="774774FD"/>
    <w:rsid w:val="774D57A4"/>
    <w:rsid w:val="774D63EB"/>
    <w:rsid w:val="774F7303"/>
    <w:rsid w:val="77507FA5"/>
    <w:rsid w:val="77537806"/>
    <w:rsid w:val="775748F9"/>
    <w:rsid w:val="775973FC"/>
    <w:rsid w:val="775F7965"/>
    <w:rsid w:val="77617A82"/>
    <w:rsid w:val="77626DFA"/>
    <w:rsid w:val="776B7C2D"/>
    <w:rsid w:val="777036F0"/>
    <w:rsid w:val="77710A64"/>
    <w:rsid w:val="777663C5"/>
    <w:rsid w:val="77844FC2"/>
    <w:rsid w:val="77885439"/>
    <w:rsid w:val="77A25449"/>
    <w:rsid w:val="77A470C8"/>
    <w:rsid w:val="77AB3A64"/>
    <w:rsid w:val="77AB6AAF"/>
    <w:rsid w:val="77AF2B81"/>
    <w:rsid w:val="77B4184C"/>
    <w:rsid w:val="77BA68DC"/>
    <w:rsid w:val="77BF42BA"/>
    <w:rsid w:val="77D13FC8"/>
    <w:rsid w:val="77D15D98"/>
    <w:rsid w:val="77D34FE8"/>
    <w:rsid w:val="77D5456F"/>
    <w:rsid w:val="77D84E67"/>
    <w:rsid w:val="77D85E44"/>
    <w:rsid w:val="77D91DF1"/>
    <w:rsid w:val="77DB4263"/>
    <w:rsid w:val="77DB55EA"/>
    <w:rsid w:val="77DC343A"/>
    <w:rsid w:val="77ED1491"/>
    <w:rsid w:val="77EE1098"/>
    <w:rsid w:val="77F64C0D"/>
    <w:rsid w:val="77F74E5B"/>
    <w:rsid w:val="77FA26A5"/>
    <w:rsid w:val="77FC59EF"/>
    <w:rsid w:val="77FD6007"/>
    <w:rsid w:val="780237A7"/>
    <w:rsid w:val="78037242"/>
    <w:rsid w:val="78066C7C"/>
    <w:rsid w:val="78097B92"/>
    <w:rsid w:val="780B56E4"/>
    <w:rsid w:val="78100170"/>
    <w:rsid w:val="7812329D"/>
    <w:rsid w:val="781568E2"/>
    <w:rsid w:val="78185266"/>
    <w:rsid w:val="781B2C31"/>
    <w:rsid w:val="781C0867"/>
    <w:rsid w:val="781D2DD5"/>
    <w:rsid w:val="78220664"/>
    <w:rsid w:val="78223D43"/>
    <w:rsid w:val="782C7737"/>
    <w:rsid w:val="78334A0B"/>
    <w:rsid w:val="783528C9"/>
    <w:rsid w:val="78386DF2"/>
    <w:rsid w:val="783942D5"/>
    <w:rsid w:val="783A3DC5"/>
    <w:rsid w:val="783D456C"/>
    <w:rsid w:val="783D5CC5"/>
    <w:rsid w:val="7847660A"/>
    <w:rsid w:val="784A0E2E"/>
    <w:rsid w:val="784A271F"/>
    <w:rsid w:val="7854617E"/>
    <w:rsid w:val="785F466B"/>
    <w:rsid w:val="7860158C"/>
    <w:rsid w:val="78604120"/>
    <w:rsid w:val="786108E0"/>
    <w:rsid w:val="78647C68"/>
    <w:rsid w:val="786E19C4"/>
    <w:rsid w:val="78715D9D"/>
    <w:rsid w:val="78785CE4"/>
    <w:rsid w:val="788420CF"/>
    <w:rsid w:val="78895C13"/>
    <w:rsid w:val="788F2E29"/>
    <w:rsid w:val="78916540"/>
    <w:rsid w:val="78932CEF"/>
    <w:rsid w:val="789454BC"/>
    <w:rsid w:val="7897178F"/>
    <w:rsid w:val="789A32DC"/>
    <w:rsid w:val="789C3A4F"/>
    <w:rsid w:val="789D27E0"/>
    <w:rsid w:val="78A551F0"/>
    <w:rsid w:val="78A56852"/>
    <w:rsid w:val="78A87945"/>
    <w:rsid w:val="78AA0403"/>
    <w:rsid w:val="78AB6AF9"/>
    <w:rsid w:val="78B10193"/>
    <w:rsid w:val="78B96502"/>
    <w:rsid w:val="78BA3A78"/>
    <w:rsid w:val="78C35C85"/>
    <w:rsid w:val="78CE31B8"/>
    <w:rsid w:val="78CE435A"/>
    <w:rsid w:val="78D37B29"/>
    <w:rsid w:val="78D61379"/>
    <w:rsid w:val="78D66AE6"/>
    <w:rsid w:val="78D924CF"/>
    <w:rsid w:val="78E02053"/>
    <w:rsid w:val="78E06693"/>
    <w:rsid w:val="78E23CA8"/>
    <w:rsid w:val="78EF317E"/>
    <w:rsid w:val="78F66C7C"/>
    <w:rsid w:val="78F7445C"/>
    <w:rsid w:val="78F77226"/>
    <w:rsid w:val="78F80E9C"/>
    <w:rsid w:val="78FD25DB"/>
    <w:rsid w:val="78FE016F"/>
    <w:rsid w:val="78FF04A6"/>
    <w:rsid w:val="790A78B8"/>
    <w:rsid w:val="79137324"/>
    <w:rsid w:val="791952CE"/>
    <w:rsid w:val="792A578D"/>
    <w:rsid w:val="793470A0"/>
    <w:rsid w:val="79521531"/>
    <w:rsid w:val="7953563E"/>
    <w:rsid w:val="79575F09"/>
    <w:rsid w:val="795F40AD"/>
    <w:rsid w:val="796F362E"/>
    <w:rsid w:val="79733413"/>
    <w:rsid w:val="797C37DC"/>
    <w:rsid w:val="79827AD3"/>
    <w:rsid w:val="79842DD6"/>
    <w:rsid w:val="79850D10"/>
    <w:rsid w:val="79855B9C"/>
    <w:rsid w:val="79861C12"/>
    <w:rsid w:val="79864D3D"/>
    <w:rsid w:val="79865680"/>
    <w:rsid w:val="7987411C"/>
    <w:rsid w:val="799C5285"/>
    <w:rsid w:val="799F73AB"/>
    <w:rsid w:val="79A25044"/>
    <w:rsid w:val="79AB1EE2"/>
    <w:rsid w:val="79B4365D"/>
    <w:rsid w:val="79BF222B"/>
    <w:rsid w:val="79C03224"/>
    <w:rsid w:val="79C11B37"/>
    <w:rsid w:val="79C143E8"/>
    <w:rsid w:val="79CF758B"/>
    <w:rsid w:val="79D6240C"/>
    <w:rsid w:val="79E86B4E"/>
    <w:rsid w:val="79E90D34"/>
    <w:rsid w:val="79EB74C6"/>
    <w:rsid w:val="79ED6FAA"/>
    <w:rsid w:val="79F471A8"/>
    <w:rsid w:val="79FC7092"/>
    <w:rsid w:val="7A057313"/>
    <w:rsid w:val="7A0A5296"/>
    <w:rsid w:val="7A177BA5"/>
    <w:rsid w:val="7A19668E"/>
    <w:rsid w:val="7A231156"/>
    <w:rsid w:val="7A235F0B"/>
    <w:rsid w:val="7A240F43"/>
    <w:rsid w:val="7A281EE2"/>
    <w:rsid w:val="7A294C5C"/>
    <w:rsid w:val="7A2C7618"/>
    <w:rsid w:val="7A2D439D"/>
    <w:rsid w:val="7A330AF6"/>
    <w:rsid w:val="7A3312A9"/>
    <w:rsid w:val="7A3649D6"/>
    <w:rsid w:val="7A3934D2"/>
    <w:rsid w:val="7A3E6B42"/>
    <w:rsid w:val="7A4A5F2B"/>
    <w:rsid w:val="7A4C2AA1"/>
    <w:rsid w:val="7A53486D"/>
    <w:rsid w:val="7A6B0F57"/>
    <w:rsid w:val="7A6B1119"/>
    <w:rsid w:val="7A6D481E"/>
    <w:rsid w:val="7A777FC7"/>
    <w:rsid w:val="7A7D0E7F"/>
    <w:rsid w:val="7A806869"/>
    <w:rsid w:val="7A811C8B"/>
    <w:rsid w:val="7A846FD7"/>
    <w:rsid w:val="7A85352B"/>
    <w:rsid w:val="7A8546C4"/>
    <w:rsid w:val="7A871FD8"/>
    <w:rsid w:val="7A896B46"/>
    <w:rsid w:val="7A8B5525"/>
    <w:rsid w:val="7A8C49D3"/>
    <w:rsid w:val="7A905945"/>
    <w:rsid w:val="7A947BBF"/>
    <w:rsid w:val="7A95374F"/>
    <w:rsid w:val="7A983130"/>
    <w:rsid w:val="7A9A6164"/>
    <w:rsid w:val="7A9D4E2F"/>
    <w:rsid w:val="7AA356A0"/>
    <w:rsid w:val="7AB30F80"/>
    <w:rsid w:val="7AC22F6D"/>
    <w:rsid w:val="7AC52E5C"/>
    <w:rsid w:val="7AC55AD7"/>
    <w:rsid w:val="7AC71A87"/>
    <w:rsid w:val="7AC753BE"/>
    <w:rsid w:val="7AD25A85"/>
    <w:rsid w:val="7ADB31DC"/>
    <w:rsid w:val="7ADB75EF"/>
    <w:rsid w:val="7ADF60D3"/>
    <w:rsid w:val="7AE04651"/>
    <w:rsid w:val="7AE1078A"/>
    <w:rsid w:val="7AE85644"/>
    <w:rsid w:val="7AEB1571"/>
    <w:rsid w:val="7AF00128"/>
    <w:rsid w:val="7AF54F26"/>
    <w:rsid w:val="7AFC176E"/>
    <w:rsid w:val="7B01661A"/>
    <w:rsid w:val="7B0204BD"/>
    <w:rsid w:val="7B035C65"/>
    <w:rsid w:val="7B0D0C43"/>
    <w:rsid w:val="7B140335"/>
    <w:rsid w:val="7B1759DD"/>
    <w:rsid w:val="7B192028"/>
    <w:rsid w:val="7B1E68BD"/>
    <w:rsid w:val="7B2213E5"/>
    <w:rsid w:val="7B224D6D"/>
    <w:rsid w:val="7B2C4EEF"/>
    <w:rsid w:val="7B2C5C07"/>
    <w:rsid w:val="7B2C7F44"/>
    <w:rsid w:val="7B2F1187"/>
    <w:rsid w:val="7B3E3B15"/>
    <w:rsid w:val="7B3F2018"/>
    <w:rsid w:val="7B451BCB"/>
    <w:rsid w:val="7B4A50F2"/>
    <w:rsid w:val="7B5A4E10"/>
    <w:rsid w:val="7B5F3B6B"/>
    <w:rsid w:val="7B6012FE"/>
    <w:rsid w:val="7B6018A2"/>
    <w:rsid w:val="7B7415A4"/>
    <w:rsid w:val="7B7A4F67"/>
    <w:rsid w:val="7B995799"/>
    <w:rsid w:val="7B9F0E94"/>
    <w:rsid w:val="7BA24DBD"/>
    <w:rsid w:val="7BA252E3"/>
    <w:rsid w:val="7BA5485C"/>
    <w:rsid w:val="7BB02AD6"/>
    <w:rsid w:val="7BC4300F"/>
    <w:rsid w:val="7BC94F34"/>
    <w:rsid w:val="7BD26901"/>
    <w:rsid w:val="7BD5389F"/>
    <w:rsid w:val="7BDC3C3D"/>
    <w:rsid w:val="7BDC4DBF"/>
    <w:rsid w:val="7BDE7533"/>
    <w:rsid w:val="7BE07BC3"/>
    <w:rsid w:val="7BE212F3"/>
    <w:rsid w:val="7BEE5BD7"/>
    <w:rsid w:val="7BEF3698"/>
    <w:rsid w:val="7BF02BF6"/>
    <w:rsid w:val="7BF17B57"/>
    <w:rsid w:val="7BF505AA"/>
    <w:rsid w:val="7BFC76DB"/>
    <w:rsid w:val="7C0B562E"/>
    <w:rsid w:val="7C0D6D73"/>
    <w:rsid w:val="7C0F7BF6"/>
    <w:rsid w:val="7C1F553A"/>
    <w:rsid w:val="7C22148C"/>
    <w:rsid w:val="7C2441C6"/>
    <w:rsid w:val="7C2F4D95"/>
    <w:rsid w:val="7C2F66B4"/>
    <w:rsid w:val="7C2F7DEF"/>
    <w:rsid w:val="7C3221D2"/>
    <w:rsid w:val="7C371209"/>
    <w:rsid w:val="7C3909DA"/>
    <w:rsid w:val="7C3C5007"/>
    <w:rsid w:val="7C3D448B"/>
    <w:rsid w:val="7C3D7465"/>
    <w:rsid w:val="7C4C0138"/>
    <w:rsid w:val="7C5C40BF"/>
    <w:rsid w:val="7C5C7069"/>
    <w:rsid w:val="7C671477"/>
    <w:rsid w:val="7C690F47"/>
    <w:rsid w:val="7C740BBE"/>
    <w:rsid w:val="7C826BB3"/>
    <w:rsid w:val="7C833B57"/>
    <w:rsid w:val="7C8A0050"/>
    <w:rsid w:val="7C8D3B69"/>
    <w:rsid w:val="7C8D6B48"/>
    <w:rsid w:val="7C92429C"/>
    <w:rsid w:val="7C94492D"/>
    <w:rsid w:val="7C9B64E3"/>
    <w:rsid w:val="7C9D2A60"/>
    <w:rsid w:val="7CA802DE"/>
    <w:rsid w:val="7CAA07D7"/>
    <w:rsid w:val="7CB54A9F"/>
    <w:rsid w:val="7CB83DEC"/>
    <w:rsid w:val="7CBA552E"/>
    <w:rsid w:val="7CBB2E47"/>
    <w:rsid w:val="7CC871FB"/>
    <w:rsid w:val="7CCA60F7"/>
    <w:rsid w:val="7CD202D5"/>
    <w:rsid w:val="7CD42192"/>
    <w:rsid w:val="7CD61AD2"/>
    <w:rsid w:val="7CDB703D"/>
    <w:rsid w:val="7CDC4F24"/>
    <w:rsid w:val="7CE8112D"/>
    <w:rsid w:val="7CEA6169"/>
    <w:rsid w:val="7CEC1208"/>
    <w:rsid w:val="7CEE079B"/>
    <w:rsid w:val="7CF167AD"/>
    <w:rsid w:val="7CF755B7"/>
    <w:rsid w:val="7CFD3C78"/>
    <w:rsid w:val="7D023878"/>
    <w:rsid w:val="7D0C0FF1"/>
    <w:rsid w:val="7D0D5E84"/>
    <w:rsid w:val="7D0F77A8"/>
    <w:rsid w:val="7D136117"/>
    <w:rsid w:val="7D274E24"/>
    <w:rsid w:val="7D2E33D5"/>
    <w:rsid w:val="7D3744B4"/>
    <w:rsid w:val="7D38123E"/>
    <w:rsid w:val="7D456FA2"/>
    <w:rsid w:val="7D496493"/>
    <w:rsid w:val="7D4B318A"/>
    <w:rsid w:val="7D504D7D"/>
    <w:rsid w:val="7D5458B6"/>
    <w:rsid w:val="7D54685D"/>
    <w:rsid w:val="7D6C588D"/>
    <w:rsid w:val="7D795C91"/>
    <w:rsid w:val="7D7E2E18"/>
    <w:rsid w:val="7D8065BD"/>
    <w:rsid w:val="7D8D3B7D"/>
    <w:rsid w:val="7D8E7922"/>
    <w:rsid w:val="7D9336F0"/>
    <w:rsid w:val="7D962653"/>
    <w:rsid w:val="7D9714DE"/>
    <w:rsid w:val="7D983F6A"/>
    <w:rsid w:val="7DA579A3"/>
    <w:rsid w:val="7DAD2E7F"/>
    <w:rsid w:val="7DB32B01"/>
    <w:rsid w:val="7DB35614"/>
    <w:rsid w:val="7DB763BC"/>
    <w:rsid w:val="7DB8313D"/>
    <w:rsid w:val="7DB83C18"/>
    <w:rsid w:val="7DC223A1"/>
    <w:rsid w:val="7DC5770A"/>
    <w:rsid w:val="7DCA5CBD"/>
    <w:rsid w:val="7DD07A4C"/>
    <w:rsid w:val="7DD30FE5"/>
    <w:rsid w:val="7DD73016"/>
    <w:rsid w:val="7DD86DC5"/>
    <w:rsid w:val="7DDA1ACE"/>
    <w:rsid w:val="7DDA72F0"/>
    <w:rsid w:val="7DDB01A4"/>
    <w:rsid w:val="7DE274EC"/>
    <w:rsid w:val="7DE54181"/>
    <w:rsid w:val="7DE7169D"/>
    <w:rsid w:val="7DE97BC9"/>
    <w:rsid w:val="7DF24CFE"/>
    <w:rsid w:val="7DF36C18"/>
    <w:rsid w:val="7DF46977"/>
    <w:rsid w:val="7DF700A0"/>
    <w:rsid w:val="7E000249"/>
    <w:rsid w:val="7E006AD5"/>
    <w:rsid w:val="7E0140C0"/>
    <w:rsid w:val="7E020696"/>
    <w:rsid w:val="7E031F03"/>
    <w:rsid w:val="7E0E0854"/>
    <w:rsid w:val="7E126FDF"/>
    <w:rsid w:val="7E131C1D"/>
    <w:rsid w:val="7E1744AC"/>
    <w:rsid w:val="7E1917BB"/>
    <w:rsid w:val="7E2464F7"/>
    <w:rsid w:val="7E264252"/>
    <w:rsid w:val="7E270902"/>
    <w:rsid w:val="7E2E44C0"/>
    <w:rsid w:val="7E2F15F3"/>
    <w:rsid w:val="7E4460D6"/>
    <w:rsid w:val="7E4709E1"/>
    <w:rsid w:val="7E476427"/>
    <w:rsid w:val="7E513621"/>
    <w:rsid w:val="7E5316A4"/>
    <w:rsid w:val="7E53198E"/>
    <w:rsid w:val="7E5C3476"/>
    <w:rsid w:val="7E615AB1"/>
    <w:rsid w:val="7E674F33"/>
    <w:rsid w:val="7E703664"/>
    <w:rsid w:val="7E794024"/>
    <w:rsid w:val="7E7B151D"/>
    <w:rsid w:val="7E7D5D3C"/>
    <w:rsid w:val="7E7E79DB"/>
    <w:rsid w:val="7E8439E4"/>
    <w:rsid w:val="7E9148F6"/>
    <w:rsid w:val="7E924A4F"/>
    <w:rsid w:val="7E9C0E04"/>
    <w:rsid w:val="7E9C5554"/>
    <w:rsid w:val="7EA808F3"/>
    <w:rsid w:val="7EAF5740"/>
    <w:rsid w:val="7EB51F05"/>
    <w:rsid w:val="7EBD11AE"/>
    <w:rsid w:val="7EC13FC8"/>
    <w:rsid w:val="7EC1634C"/>
    <w:rsid w:val="7EC37424"/>
    <w:rsid w:val="7ED226E4"/>
    <w:rsid w:val="7EDB5DC3"/>
    <w:rsid w:val="7EE46C93"/>
    <w:rsid w:val="7EF35CD3"/>
    <w:rsid w:val="7EF90044"/>
    <w:rsid w:val="7EF96A3C"/>
    <w:rsid w:val="7EFD63ED"/>
    <w:rsid w:val="7F055A88"/>
    <w:rsid w:val="7F0807FB"/>
    <w:rsid w:val="7F0B551B"/>
    <w:rsid w:val="7F0C7767"/>
    <w:rsid w:val="7F0F0C73"/>
    <w:rsid w:val="7F1A159B"/>
    <w:rsid w:val="7F1F5566"/>
    <w:rsid w:val="7F265E5B"/>
    <w:rsid w:val="7F284112"/>
    <w:rsid w:val="7F2B0560"/>
    <w:rsid w:val="7F2D7CEE"/>
    <w:rsid w:val="7F2F0C2D"/>
    <w:rsid w:val="7F404DEE"/>
    <w:rsid w:val="7F433492"/>
    <w:rsid w:val="7F461336"/>
    <w:rsid w:val="7F47325A"/>
    <w:rsid w:val="7F480AD8"/>
    <w:rsid w:val="7F493D7B"/>
    <w:rsid w:val="7F4E1F44"/>
    <w:rsid w:val="7F5546D4"/>
    <w:rsid w:val="7F56028B"/>
    <w:rsid w:val="7F5B0474"/>
    <w:rsid w:val="7F5C75DE"/>
    <w:rsid w:val="7F5F40D1"/>
    <w:rsid w:val="7F624E5E"/>
    <w:rsid w:val="7F6424F7"/>
    <w:rsid w:val="7F697DA1"/>
    <w:rsid w:val="7F6D27E0"/>
    <w:rsid w:val="7F700DEC"/>
    <w:rsid w:val="7F7512A8"/>
    <w:rsid w:val="7F7744C3"/>
    <w:rsid w:val="7F7A1202"/>
    <w:rsid w:val="7F7F6AAF"/>
    <w:rsid w:val="7F853DEF"/>
    <w:rsid w:val="7F8D0A41"/>
    <w:rsid w:val="7F98575E"/>
    <w:rsid w:val="7FA07A6C"/>
    <w:rsid w:val="7FB0104A"/>
    <w:rsid w:val="7FBC7388"/>
    <w:rsid w:val="7FBF50BD"/>
    <w:rsid w:val="7FC01800"/>
    <w:rsid w:val="7FC5172E"/>
    <w:rsid w:val="7FC937BF"/>
    <w:rsid w:val="7FD00C71"/>
    <w:rsid w:val="7FD3226B"/>
    <w:rsid w:val="7FD4768E"/>
    <w:rsid w:val="7FD701ED"/>
    <w:rsid w:val="7FE70D33"/>
    <w:rsid w:val="7FEB1250"/>
    <w:rsid w:val="7FF12202"/>
    <w:rsid w:val="7FF83984"/>
    <w:rsid w:val="7FFE32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300" w:after="150" w:line="17" w:lineRule="atLeast"/>
      <w:jc w:val="left"/>
      <w:outlineLvl w:val="0"/>
    </w:pPr>
    <w:rPr>
      <w:rFonts w:hint="eastAsia" w:ascii="宋体" w:hAnsi="宋体"/>
      <w:b/>
      <w:kern w:val="44"/>
      <w:sz w:val="54"/>
      <w:szCs w:val="5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line="360" w:lineRule="auto"/>
      <w:outlineLvl w:val="2"/>
    </w:pPr>
    <w:rPr>
      <w:rFonts w:ascii="Times New Roman" w:hAnsi="Times New Roman"/>
      <w:b/>
      <w:sz w:val="24"/>
      <w:szCs w:val="20"/>
    </w:rPr>
  </w:style>
  <w:style w:type="paragraph" w:styleId="6">
    <w:name w:val="heading 4"/>
    <w:basedOn w:val="1"/>
    <w:next w:val="1"/>
    <w:qFormat/>
    <w:uiPriority w:val="0"/>
    <w:pPr>
      <w:keepNext/>
      <w:outlineLvl w:val="3"/>
    </w:pPr>
    <w:rPr>
      <w:color w:val="FF0000"/>
      <w:sz w:val="28"/>
      <w:u w:val="single"/>
    </w:rPr>
  </w:style>
  <w:style w:type="paragraph" w:styleId="7">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0"/>
    <w:pPr>
      <w:autoSpaceDE w:val="0"/>
      <w:autoSpaceDN w:val="0"/>
      <w:spacing w:line="520" w:lineRule="exact"/>
      <w:ind w:firstLine="640" w:firstLineChars="200"/>
      <w:jc w:val="left"/>
    </w:pPr>
    <w:rPr>
      <w:rFonts w:ascii="仿宋" w:hAnsi="仿宋" w:eastAsia="仿宋" w:cs="仿宋"/>
      <w:kern w:val="0"/>
      <w:sz w:val="22"/>
      <w:lang w:val="zh-CN" w:bidi="zh-CN"/>
    </w:rPr>
  </w:style>
  <w:style w:type="paragraph" w:styleId="8">
    <w:name w:val="table of authorities"/>
    <w:basedOn w:val="1"/>
    <w:next w:val="1"/>
    <w:unhideWhenUsed/>
    <w:qFormat/>
    <w:uiPriority w:val="99"/>
    <w:pPr>
      <w:ind w:left="420" w:leftChars="200"/>
    </w:pPr>
  </w:style>
  <w:style w:type="paragraph" w:styleId="9">
    <w:name w:val="Normal Indent"/>
    <w:basedOn w:val="1"/>
    <w:next w:val="10"/>
    <w:qFormat/>
    <w:uiPriority w:val="0"/>
    <w:pPr>
      <w:ind w:firstLine="420"/>
    </w:pPr>
    <w:rPr>
      <w:szCs w:val="20"/>
    </w:rPr>
  </w:style>
  <w:style w:type="paragraph" w:styleId="10">
    <w:name w:val="Body Text First Indent 2"/>
    <w:basedOn w:val="11"/>
    <w:next w:val="1"/>
    <w:qFormat/>
    <w:uiPriority w:val="0"/>
    <w:pPr>
      <w:spacing w:after="120" w:line="240" w:lineRule="auto"/>
      <w:ind w:left="420" w:leftChars="200" w:firstLine="420" w:firstLineChars="200"/>
    </w:pPr>
    <w:rPr>
      <w:rFonts w:ascii="Times New Roman" w:hAnsi="Times New Roman"/>
      <w:sz w:val="21"/>
      <w:szCs w:val="24"/>
    </w:rPr>
  </w:style>
  <w:style w:type="paragraph" w:styleId="11">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12">
    <w:name w:val="annotation text"/>
    <w:basedOn w:val="1"/>
    <w:qFormat/>
    <w:uiPriority w:val="0"/>
    <w:pPr>
      <w:jc w:val="left"/>
    </w:pPr>
  </w:style>
  <w:style w:type="paragraph" w:styleId="13">
    <w:name w:val="Salutation"/>
    <w:basedOn w:val="1"/>
    <w:next w:val="1"/>
    <w:qFormat/>
    <w:uiPriority w:val="0"/>
    <w:rPr>
      <w:sz w:val="24"/>
      <w:szCs w:val="20"/>
    </w:rPr>
  </w:style>
  <w:style w:type="paragraph" w:styleId="14">
    <w:name w:val="Body Text"/>
    <w:basedOn w:val="1"/>
    <w:next w:val="1"/>
    <w:unhideWhenUsed/>
    <w:qFormat/>
    <w:uiPriority w:val="99"/>
    <w:pPr>
      <w:spacing w:after="120"/>
    </w:pPr>
  </w:style>
  <w:style w:type="paragraph" w:styleId="15">
    <w:name w:val="Block Text"/>
    <w:basedOn w:val="1"/>
    <w:next w:val="16"/>
    <w:qFormat/>
    <w:uiPriority w:val="0"/>
    <w:pPr>
      <w:spacing w:after="120"/>
      <w:ind w:left="1440" w:leftChars="700" w:right="700" w:rightChars="700"/>
    </w:pPr>
  </w:style>
  <w:style w:type="paragraph" w:styleId="16">
    <w:name w:val="Plain Text"/>
    <w:basedOn w:val="1"/>
    <w:qFormat/>
    <w:uiPriority w:val="0"/>
    <w:rPr>
      <w:rFonts w:ascii="宋体" w:hAnsi="宋体"/>
      <w:szCs w:val="21"/>
    </w:rPr>
  </w:style>
  <w:style w:type="paragraph" w:styleId="17">
    <w:name w:val="Date"/>
    <w:basedOn w:val="1"/>
    <w:next w:val="1"/>
    <w:qFormat/>
    <w:uiPriority w:val="0"/>
    <w:pPr>
      <w:ind w:left="2500" w:leftChars="2500"/>
    </w:pPr>
    <w:rPr>
      <w:rFonts w:hint="eastAsia" w:ascii="仿宋_GB2312" w:eastAsia="仿宋_GB2312"/>
      <w:color w:val="000000"/>
      <w:kern w:val="0"/>
      <w:sz w:val="32"/>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8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next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2">
    <w:name w:val="自定义页眉"/>
    <w:basedOn w:val="21"/>
    <w:qFormat/>
    <w:uiPriority w:val="0"/>
    <w:pPr>
      <w:pBdr>
        <w:bottom w:val="thickThinMediumGap" w:color="auto" w:sz="18" w:space="1"/>
      </w:pBdr>
    </w:pPr>
    <w:rPr>
      <w:rFonts w:eastAsia="华文行楷"/>
      <w:sz w:val="21"/>
    </w:rPr>
  </w:style>
  <w:style w:type="paragraph" w:styleId="23">
    <w:name w:val="toc 1"/>
    <w:basedOn w:val="1"/>
    <w:next w:val="1"/>
    <w:semiHidden/>
    <w:qFormat/>
    <w:uiPriority w:val="99"/>
    <w:pPr>
      <w:tabs>
        <w:tab w:val="right" w:leader="dot" w:pos="9016"/>
      </w:tabs>
    </w:pPr>
    <w:rPr>
      <w:rFonts w:eastAsia="华文中宋"/>
      <w:b/>
      <w:sz w:val="24"/>
    </w:rPr>
  </w:style>
  <w:style w:type="paragraph" w:styleId="24">
    <w:name w:val="Body Text Indent 3"/>
    <w:basedOn w:val="1"/>
    <w:qFormat/>
    <w:uiPriority w:val="0"/>
    <w:pPr>
      <w:autoSpaceDE w:val="0"/>
      <w:autoSpaceDN w:val="0"/>
      <w:adjustRightInd w:val="0"/>
      <w:ind w:firstLine="570"/>
    </w:pPr>
    <w:rPr>
      <w:kern w:val="0"/>
      <w:sz w:val="32"/>
      <w:szCs w:val="32"/>
    </w:rPr>
  </w:style>
  <w:style w:type="paragraph" w:styleId="25">
    <w:name w:val="toc 9"/>
    <w:basedOn w:val="1"/>
    <w:next w:val="1"/>
    <w:unhideWhenUsed/>
    <w:qFormat/>
    <w:uiPriority w:val="39"/>
    <w:pPr>
      <w:keepNext w:val="0"/>
      <w:keepLines w:val="0"/>
      <w:widowControl w:val="0"/>
      <w:suppressLineNumbers w:val="0"/>
      <w:ind w:left="1680"/>
      <w:jc w:val="left"/>
    </w:pPr>
    <w:rPr>
      <w:rFonts w:hint="default" w:ascii="Calibri" w:hAnsi="Calibri" w:cs="Calibri"/>
      <w:kern w:val="2"/>
      <w:sz w:val="20"/>
      <w:szCs w:val="20"/>
      <w:lang w:val="en-US" w:eastAsia="zh-CN" w:bidi="ar"/>
    </w:rPr>
  </w:style>
  <w:style w:type="paragraph" w:styleId="26">
    <w:name w:val="Normal (Web)"/>
    <w:basedOn w:val="1"/>
    <w:qFormat/>
    <w:uiPriority w:val="0"/>
    <w:pPr>
      <w:widowControl/>
      <w:spacing w:before="100" w:beforeAutospacing="1" w:after="100" w:afterAutospacing="1"/>
      <w:jc w:val="left"/>
    </w:pPr>
    <w:rPr>
      <w:rFonts w:ascii="宋体" w:hAnsi="宋体" w:cs="宋体"/>
      <w:sz w:val="24"/>
    </w:rPr>
  </w:style>
  <w:style w:type="paragraph" w:styleId="27">
    <w:name w:val="Body Text First Indent"/>
    <w:basedOn w:val="14"/>
    <w:qFormat/>
    <w:uiPriority w:val="0"/>
    <w:pPr>
      <w:ind w:firstLine="420" w:firstLineChars="100"/>
    </w:pPr>
    <w:rPr>
      <w:rFonts w:ascii="Times New Roman" w:hAnsi="Times New Roman"/>
      <w:sz w:val="18"/>
      <w:szCs w:val="18"/>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color w:val="555555"/>
      <w:sz w:val="21"/>
      <w:szCs w:val="21"/>
      <w:bdr w:val="single" w:color="CCCCCC" w:sz="6" w:space="0"/>
      <w:shd w:val="clear" w:color="auto" w:fill="FFFFFF"/>
    </w:rPr>
  </w:style>
  <w:style w:type="character" w:styleId="32">
    <w:name w:val="FollowedHyperlink"/>
    <w:basedOn w:val="30"/>
    <w:qFormat/>
    <w:uiPriority w:val="0"/>
    <w:rPr>
      <w:color w:val="333333"/>
      <w:u w:val="none"/>
    </w:rPr>
  </w:style>
  <w:style w:type="character" w:styleId="33">
    <w:name w:val="Emphasis"/>
    <w:basedOn w:val="30"/>
    <w:qFormat/>
    <w:uiPriority w:val="0"/>
  </w:style>
  <w:style w:type="character" w:styleId="34">
    <w:name w:val="HTML Definition"/>
    <w:basedOn w:val="30"/>
    <w:qFormat/>
    <w:uiPriority w:val="0"/>
    <w:rPr>
      <w:i/>
    </w:rPr>
  </w:style>
  <w:style w:type="character" w:styleId="35">
    <w:name w:val="Hyperlink"/>
    <w:basedOn w:val="30"/>
    <w:qFormat/>
    <w:uiPriority w:val="0"/>
    <w:rPr>
      <w:color w:val="333333"/>
      <w:u w:val="none"/>
    </w:rPr>
  </w:style>
  <w:style w:type="character" w:styleId="36">
    <w:name w:val="HTML Code"/>
    <w:basedOn w:val="30"/>
    <w:qFormat/>
    <w:uiPriority w:val="0"/>
    <w:rPr>
      <w:rFonts w:hint="default" w:ascii="Consolas" w:hAnsi="Consolas" w:eastAsia="Consolas" w:cs="Consolas"/>
      <w:color w:val="C7254E"/>
      <w:sz w:val="21"/>
      <w:szCs w:val="21"/>
      <w:shd w:val="clear" w:color="auto" w:fill="F9F2F4"/>
    </w:rPr>
  </w:style>
  <w:style w:type="character" w:styleId="37">
    <w:name w:val="annotation reference"/>
    <w:qFormat/>
    <w:uiPriority w:val="0"/>
    <w:rPr>
      <w:sz w:val="21"/>
      <w:szCs w:val="21"/>
    </w:rPr>
  </w:style>
  <w:style w:type="character" w:styleId="38">
    <w:name w:val="HTML Keyboard"/>
    <w:basedOn w:val="30"/>
    <w:qFormat/>
    <w:uiPriority w:val="0"/>
    <w:rPr>
      <w:rFonts w:hint="default" w:ascii="Consolas" w:hAnsi="Consolas" w:eastAsia="Consolas" w:cs="Consolas"/>
      <w:color w:val="FFFFFF"/>
      <w:sz w:val="21"/>
      <w:szCs w:val="21"/>
      <w:shd w:val="clear" w:color="auto" w:fill="333333"/>
    </w:rPr>
  </w:style>
  <w:style w:type="character" w:styleId="39">
    <w:name w:val="HTML Sample"/>
    <w:basedOn w:val="30"/>
    <w:qFormat/>
    <w:uiPriority w:val="0"/>
    <w:rPr>
      <w:rFonts w:ascii="Consolas" w:hAnsi="Consolas" w:eastAsia="Consolas" w:cs="Consolas"/>
      <w:sz w:val="21"/>
      <w:szCs w:val="21"/>
    </w:rPr>
  </w:style>
  <w:style w:type="paragraph" w:customStyle="1" w:styleId="40">
    <w:name w:val="Char"/>
    <w:basedOn w:val="1"/>
    <w:qFormat/>
    <w:uiPriority w:val="0"/>
    <w:pPr>
      <w:spacing w:line="360" w:lineRule="auto"/>
    </w:pPr>
    <w:rPr>
      <w:rFonts w:ascii="仿宋_GB2312" w:eastAsia="仿宋_GB2312"/>
      <w:b/>
      <w:sz w:val="32"/>
    </w:rPr>
  </w:style>
  <w:style w:type="paragraph" w:customStyle="1" w:styleId="41">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42">
    <w:name w:val="TOC 标题1"/>
    <w:basedOn w:val="3"/>
    <w:next w:val="1"/>
    <w:qFormat/>
    <w:uiPriority w:val="0"/>
    <w:pPr>
      <w:outlineLvl w:val="9"/>
    </w:pPr>
    <w:rPr>
      <w:rFonts w:ascii="Calibri" w:hAnsi="Calibri"/>
    </w:rPr>
  </w:style>
  <w:style w:type="paragraph" w:customStyle="1" w:styleId="43">
    <w:name w:val="正文+首行缩进2字符"/>
    <w:basedOn w:val="1"/>
    <w:qFormat/>
    <w:uiPriority w:val="0"/>
    <w:pPr>
      <w:adjustRightInd w:val="0"/>
      <w:snapToGrid w:val="0"/>
      <w:spacing w:before="100" w:beforeAutospacing="1" w:after="100" w:afterAutospacing="1"/>
    </w:pPr>
    <w:rPr>
      <w:rFonts w:ascii="宋体" w:hAnsi="宋体"/>
      <w:snapToGrid w:val="0"/>
      <w:spacing w:val="10"/>
      <w:kern w:val="0"/>
    </w:rPr>
  </w:style>
  <w:style w:type="paragraph" w:customStyle="1" w:styleId="44">
    <w:name w:val="title13"/>
    <w:basedOn w:val="1"/>
    <w:qFormat/>
    <w:uiPriority w:val="0"/>
    <w:pPr>
      <w:spacing w:before="150"/>
      <w:jc w:val="left"/>
    </w:pPr>
    <w:rPr>
      <w:b/>
      <w:kern w:val="0"/>
      <w:sz w:val="22"/>
      <w:szCs w:val="22"/>
    </w:rPr>
  </w:style>
  <w:style w:type="paragraph" w:customStyle="1" w:styleId="45">
    <w:name w:val="列出段落1"/>
    <w:basedOn w:val="1"/>
    <w:qFormat/>
    <w:uiPriority w:val="99"/>
    <w:pPr>
      <w:ind w:firstLine="420" w:firstLineChars="200"/>
    </w:p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rPr>
      <w:rFonts w:ascii="Times New Roman" w:hAnsi="Times New Roman"/>
      <w:szCs w:val="21"/>
    </w:rPr>
  </w:style>
  <w:style w:type="paragraph" w:customStyle="1" w:styleId="48">
    <w:name w:val="title11"/>
    <w:basedOn w:val="1"/>
    <w:qFormat/>
    <w:uiPriority w:val="0"/>
    <w:pPr>
      <w:spacing w:before="150" w:line="450" w:lineRule="atLeast"/>
      <w:jc w:val="left"/>
    </w:pPr>
    <w:rPr>
      <w:b/>
      <w:kern w:val="0"/>
      <w:sz w:val="24"/>
    </w:rPr>
  </w:style>
  <w:style w:type="paragraph" w:customStyle="1" w:styleId="49">
    <w:name w:val="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title1"/>
    <w:basedOn w:val="1"/>
    <w:qFormat/>
    <w:uiPriority w:val="0"/>
    <w:pPr>
      <w:spacing w:before="150" w:line="450" w:lineRule="atLeast"/>
      <w:jc w:val="left"/>
    </w:pPr>
    <w:rPr>
      <w:b/>
      <w:kern w:val="0"/>
      <w:sz w:val="24"/>
    </w:rPr>
  </w:style>
  <w:style w:type="paragraph" w:customStyle="1" w:styleId="52">
    <w:name w:val="列出段落11"/>
    <w:basedOn w:val="1"/>
    <w:qFormat/>
    <w:uiPriority w:val="0"/>
    <w:pPr>
      <w:ind w:firstLine="420" w:firstLineChars="200"/>
    </w:pPr>
  </w:style>
  <w:style w:type="paragraph" w:customStyle="1" w:styleId="53">
    <w:name w:val="1正文"/>
    <w:basedOn w:val="26"/>
    <w:qFormat/>
    <w:uiPriority w:val="0"/>
    <w:pPr>
      <w:spacing w:beforeAutospacing="0" w:afterAutospacing="0" w:line="360" w:lineRule="auto"/>
      <w:ind w:firstLine="960" w:firstLineChars="200"/>
      <w:jc w:val="both"/>
    </w:pPr>
    <w:rPr>
      <w:rFonts w:ascii="Times New Roman" w:hAnsi="Times New Roman" w:cs="Times New Roman"/>
      <w:kern w:val="0"/>
    </w:rPr>
  </w:style>
  <w:style w:type="paragraph" w:customStyle="1" w:styleId="54">
    <w:name w:val="Table Paragraph"/>
    <w:basedOn w:val="1"/>
    <w:qFormat/>
    <w:uiPriority w:val="1"/>
    <w:rPr>
      <w:rFonts w:ascii="宋体" w:hAnsi="宋体" w:cs="宋体"/>
      <w:lang w:val="zh-CN" w:bidi="zh-CN"/>
    </w:rPr>
  </w:style>
  <w:style w:type="paragraph" w:customStyle="1" w:styleId="55">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paragraph" w:customStyle="1" w:styleId="5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5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reader-word-layer reader-word-s3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title12"/>
    <w:basedOn w:val="1"/>
    <w:qFormat/>
    <w:uiPriority w:val="0"/>
    <w:pPr>
      <w:spacing w:before="150"/>
      <w:jc w:val="left"/>
    </w:pPr>
    <w:rPr>
      <w:b/>
      <w:kern w:val="0"/>
      <w:sz w:val="22"/>
      <w:szCs w:val="22"/>
    </w:rPr>
  </w:style>
  <w:style w:type="character" w:customStyle="1" w:styleId="60">
    <w:name w:val="button"/>
    <w:basedOn w:val="30"/>
    <w:qFormat/>
    <w:uiPriority w:val="0"/>
  </w:style>
  <w:style w:type="character" w:customStyle="1" w:styleId="61">
    <w:name w:val="old"/>
    <w:basedOn w:val="30"/>
    <w:qFormat/>
    <w:uiPriority w:val="0"/>
    <w:rPr>
      <w:color w:val="999999"/>
    </w:rPr>
  </w:style>
  <w:style w:type="character" w:customStyle="1" w:styleId="62">
    <w:name w:val="indent"/>
    <w:basedOn w:val="30"/>
    <w:qFormat/>
    <w:uiPriority w:val="0"/>
  </w:style>
  <w:style w:type="character" w:customStyle="1" w:styleId="63">
    <w:name w:val="tmpztreemove_arrow"/>
    <w:basedOn w:val="30"/>
    <w:qFormat/>
    <w:uiPriority w:val="0"/>
    <w:rPr>
      <w:shd w:val="clear" w:color="auto" w:fill="FFFFFF"/>
    </w:rPr>
  </w:style>
  <w:style w:type="character" w:customStyle="1" w:styleId="64">
    <w:name w:val="font21"/>
    <w:basedOn w:val="30"/>
    <w:qFormat/>
    <w:uiPriority w:val="0"/>
    <w:rPr>
      <w:rFonts w:hint="eastAsia" w:ascii="宋体" w:hAnsi="宋体" w:eastAsia="宋体" w:cs="宋体"/>
      <w:color w:val="333333"/>
      <w:sz w:val="24"/>
      <w:szCs w:val="24"/>
      <w:u w:val="none"/>
    </w:rPr>
  </w:style>
  <w:style w:type="character" w:customStyle="1" w:styleId="65">
    <w:name w:val="hour_pm"/>
    <w:basedOn w:val="30"/>
    <w:qFormat/>
    <w:uiPriority w:val="0"/>
  </w:style>
  <w:style w:type="character" w:customStyle="1" w:styleId="66">
    <w:name w:val="hour_am"/>
    <w:basedOn w:val="30"/>
    <w:qFormat/>
    <w:uiPriority w:val="0"/>
  </w:style>
  <w:style w:type="character" w:customStyle="1" w:styleId="67">
    <w:name w:val="hover3"/>
    <w:basedOn w:val="30"/>
    <w:qFormat/>
    <w:uiPriority w:val="0"/>
    <w:rPr>
      <w:shd w:val="clear" w:color="auto" w:fill="EEEEEE"/>
    </w:rPr>
  </w:style>
  <w:style w:type="character" w:customStyle="1" w:styleId="68">
    <w:name w:val="glyphicon4"/>
    <w:basedOn w:val="30"/>
    <w:qFormat/>
    <w:uiPriority w:val="0"/>
  </w:style>
  <w:style w:type="character" w:customStyle="1" w:styleId="69">
    <w:name w:val="beforeinfotext"/>
    <w:basedOn w:val="30"/>
    <w:qFormat/>
    <w:uiPriority w:val="0"/>
    <w:rPr>
      <w:color w:val="666666"/>
    </w:rPr>
  </w:style>
  <w:style w:type="character" w:customStyle="1" w:styleId="70">
    <w:name w:val="proollist"/>
    <w:basedOn w:val="30"/>
    <w:qFormat/>
    <w:uiPriority w:val="0"/>
  </w:style>
  <w:style w:type="character" w:customStyle="1" w:styleId="71">
    <w:name w:val="stclosebtn"/>
    <w:basedOn w:val="30"/>
    <w:qFormat/>
    <w:uiPriority w:val="0"/>
  </w:style>
  <w:style w:type="character" w:customStyle="1" w:styleId="72">
    <w:name w:val="phone"/>
    <w:basedOn w:val="30"/>
    <w:qFormat/>
    <w:uiPriority w:val="0"/>
    <w:rPr>
      <w:color w:val="FF8833"/>
      <w:sz w:val="18"/>
      <w:szCs w:val="18"/>
    </w:rPr>
  </w:style>
  <w:style w:type="character" w:customStyle="1" w:styleId="73">
    <w:name w:val="number"/>
    <w:basedOn w:val="30"/>
    <w:qFormat/>
    <w:uiPriority w:val="0"/>
    <w:rPr>
      <w:color w:val="FF8833"/>
      <w:sz w:val="18"/>
      <w:szCs w:val="18"/>
    </w:rPr>
  </w:style>
  <w:style w:type="character" w:customStyle="1" w:styleId="74">
    <w:name w:val="hover"/>
    <w:basedOn w:val="30"/>
    <w:qFormat/>
    <w:uiPriority w:val="0"/>
    <w:rPr>
      <w:shd w:val="clear" w:color="auto" w:fill="EEEEEE"/>
    </w:rPr>
  </w:style>
  <w:style w:type="character" w:customStyle="1" w:styleId="75">
    <w:name w:val="span-long"/>
    <w:basedOn w:val="30"/>
    <w:qFormat/>
    <w:uiPriority w:val="0"/>
  </w:style>
  <w:style w:type="character" w:customStyle="1" w:styleId="76">
    <w:name w:val="input-direction"/>
    <w:basedOn w:val="30"/>
    <w:qFormat/>
    <w:uiPriority w:val="0"/>
    <w:rPr>
      <w:color w:val="FF6600"/>
    </w:rPr>
  </w:style>
  <w:style w:type="character" w:customStyle="1" w:styleId="77">
    <w:name w:val="hilite"/>
    <w:basedOn w:val="30"/>
    <w:qFormat/>
    <w:uiPriority w:val="0"/>
    <w:rPr>
      <w:color w:val="FFFFFF"/>
      <w:shd w:val="clear" w:color="auto" w:fill="666677"/>
    </w:rPr>
  </w:style>
  <w:style w:type="character" w:customStyle="1" w:styleId="78">
    <w:name w:val="active6"/>
    <w:basedOn w:val="30"/>
    <w:qFormat/>
    <w:uiPriority w:val="0"/>
    <w:rPr>
      <w:color w:val="00FF00"/>
      <w:shd w:val="clear" w:color="auto" w:fill="000000"/>
    </w:rPr>
  </w:style>
  <w:style w:type="paragraph" w:customStyle="1" w:styleId="79">
    <w:name w:val="title14"/>
    <w:basedOn w:val="1"/>
    <w:qFormat/>
    <w:uiPriority w:val="0"/>
    <w:pPr>
      <w:spacing w:before="150" w:line="450" w:lineRule="atLeast"/>
      <w:jc w:val="left"/>
    </w:pPr>
    <w:rPr>
      <w:b/>
      <w:kern w:val="0"/>
      <w:sz w:val="24"/>
    </w:rPr>
  </w:style>
  <w:style w:type="character" w:customStyle="1" w:styleId="80">
    <w:name w:val="hilite6"/>
    <w:basedOn w:val="30"/>
    <w:qFormat/>
    <w:uiPriority w:val="0"/>
    <w:rPr>
      <w:color w:val="FFFFFF"/>
      <w:shd w:val="clear" w:color="auto" w:fill="666677"/>
    </w:rPr>
  </w:style>
  <w:style w:type="paragraph" w:customStyle="1" w:styleId="81">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82">
    <w:name w:val="标书正文格式"/>
    <w:qFormat/>
    <w:uiPriority w:val="0"/>
    <w:pPr>
      <w:ind w:firstLine="200" w:firstLineChars="200"/>
    </w:pPr>
    <w:rPr>
      <w:rFonts w:ascii="Times New Roman" w:hAnsi="Times New Roman" w:eastAsiaTheme="minorEastAsia" w:cstheme="minorBidi"/>
      <w:kern w:val="2"/>
      <w:sz w:val="24"/>
      <w:szCs w:val="24"/>
      <w:lang w:val="en-US" w:eastAsia="zh-CN" w:bidi="ar-SA"/>
    </w:rPr>
  </w:style>
  <w:style w:type="character" w:customStyle="1" w:styleId="83">
    <w:name w:val="批注框文本 Char"/>
    <w:basedOn w:val="30"/>
    <w:link w:val="19"/>
    <w:qFormat/>
    <w:uiPriority w:val="0"/>
    <w:rPr>
      <w:rFonts w:ascii="Calibri" w:hAnsi="Calibri"/>
      <w:kern w:val="2"/>
      <w:sz w:val="18"/>
      <w:szCs w:val="18"/>
    </w:rPr>
  </w:style>
  <w:style w:type="character" w:customStyle="1" w:styleId="84">
    <w:name w:val="hilite5"/>
    <w:basedOn w:val="30"/>
    <w:qFormat/>
    <w:uiPriority w:val="0"/>
    <w:rPr>
      <w:color w:val="FFFFFF"/>
      <w:shd w:val="clear" w:color="auto" w:fill="666677"/>
    </w:rPr>
  </w:style>
  <w:style w:type="paragraph" w:customStyle="1" w:styleId="85">
    <w:name w:val="正文缩进1"/>
    <w:basedOn w:val="1"/>
    <w:qFormat/>
    <w:uiPriority w:val="0"/>
    <w:pPr>
      <w:ind w:firstLine="420" w:firstLineChars="200"/>
    </w:pPr>
  </w:style>
  <w:style w:type="paragraph" w:customStyle="1" w:styleId="86">
    <w:name w:val="正文 New"/>
    <w:qFormat/>
    <w:uiPriority w:val="99"/>
    <w:pPr>
      <w:widowControl w:val="0"/>
      <w:jc w:val="both"/>
    </w:pPr>
    <w:rPr>
      <w:rFonts w:ascii="Calibri" w:hAnsi="Calibri" w:eastAsia="宋体" w:cs="Times New Roman"/>
      <w:lang w:val="en-US" w:eastAsia="zh-CN" w:bidi="ar-SA"/>
    </w:rPr>
  </w:style>
  <w:style w:type="character" w:customStyle="1" w:styleId="87">
    <w:name w:val="font41"/>
    <w:qFormat/>
    <w:uiPriority w:val="0"/>
    <w:rPr>
      <w:rFonts w:hint="default" w:ascii="Calibri" w:hAnsi="Calibri" w:cs="Calibri"/>
      <w:color w:val="000000"/>
      <w:sz w:val="21"/>
      <w:szCs w:val="21"/>
      <w:u w:val="none"/>
    </w:rPr>
  </w:style>
  <w:style w:type="paragraph" w:customStyle="1" w:styleId="88">
    <w:name w:val="首行缩进"/>
    <w:basedOn w:val="1"/>
    <w:qFormat/>
    <w:uiPriority w:val="0"/>
    <w:pPr>
      <w:spacing w:line="360" w:lineRule="auto"/>
      <w:ind w:firstLine="480" w:firstLineChars="200"/>
    </w:pPr>
    <w:rPr>
      <w:sz w:val="24"/>
      <w:szCs w:val="22"/>
      <w:lang w:val="zh-CN"/>
    </w:rPr>
  </w:style>
  <w:style w:type="character" w:customStyle="1" w:styleId="89">
    <w:name w:val="NormalCharacter"/>
    <w:semiHidden/>
    <w:qFormat/>
    <w:uiPriority w:val="0"/>
    <w:rPr>
      <w:rFonts w:ascii="Times New Roman" w:hAnsi="Times New Roman" w:eastAsia="宋体" w:cs="Times New Roman"/>
      <w:kern w:val="2"/>
      <w:sz w:val="21"/>
      <w:lang w:val="en-US" w:eastAsia="zh-CN" w:bidi="ar-SA"/>
    </w:rPr>
  </w:style>
  <w:style w:type="paragraph" w:customStyle="1" w:styleId="90">
    <w:name w:val="G正文"/>
    <w:basedOn w:val="1"/>
    <w:qFormat/>
    <w:uiPriority w:val="0"/>
    <w:pPr>
      <w:widowControl/>
      <w:spacing w:line="360" w:lineRule="auto"/>
      <w:ind w:firstLine="480" w:firstLineChars="200"/>
    </w:pPr>
    <w:rPr>
      <w:rFonts w:ascii="Times New Roman" w:hAnsi="Times New Roman" w:eastAsia="仿宋_GB2312" w:cs="宋体"/>
      <w:szCs w:val="20"/>
    </w:rPr>
  </w:style>
  <w:style w:type="paragraph" w:customStyle="1" w:styleId="91">
    <w:name w:val="WPSOffice手动目录 2"/>
    <w:qFormat/>
    <w:uiPriority w:val="0"/>
    <w:pPr>
      <w:ind w:leftChars="200"/>
    </w:pPr>
    <w:rPr>
      <w:rFonts w:ascii="Times New Roman" w:hAnsi="Times New Roman" w:eastAsia="宋体" w:cs="Times New Roman"/>
      <w:sz w:val="20"/>
      <w:szCs w:val="20"/>
    </w:rPr>
  </w:style>
  <w:style w:type="paragraph" w:customStyle="1" w:styleId="9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59</Pages>
  <Words>31746</Words>
  <Characters>33873</Characters>
  <Lines>345</Lines>
  <Paragraphs>97</Paragraphs>
  <TotalTime>62</TotalTime>
  <ScaleCrop>false</ScaleCrop>
  <LinksUpToDate>false</LinksUpToDate>
  <CharactersWithSpaces>35667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2018-11-29T07:45:00Z</dcterms:created>
  <dc:creator>lx</dc:creator>
  <cp:lastModifiedBy>懛鰦</cp:lastModifiedBy>
  <cp:lastPrinted>2022-07-07T00:37:57Z</cp:lastPrinted>
  <dcterms:modified xsi:type="dcterms:W3CDTF">2022-07-07T02:23:29Z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DCAE8E2B950148EA848C0D8B5A6D2882</vt:lpwstr>
  </property>
</Properties>
</file>