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b/>
          <w:bCs/>
          <w:color w:val="auto"/>
          <w:sz w:val="30"/>
          <w:szCs w:val="30"/>
          <w:highlight w:val="none"/>
        </w:rPr>
      </w:pPr>
      <w:bookmarkStart w:id="112" w:name="_GoBack"/>
      <w:bookmarkStart w:id="0" w:name="_Toc100219613"/>
      <w:bookmarkStart w:id="1" w:name="_Toc533363262"/>
      <w:bookmarkStart w:id="2" w:name="_Toc445407251"/>
      <w:bookmarkStart w:id="3" w:name="_Toc533363235"/>
      <w:bookmarkStart w:id="4" w:name="_Toc97563329"/>
      <w:bookmarkStart w:id="5" w:name="_Toc498349068"/>
      <w:bookmarkStart w:id="6" w:name="_Toc534656414"/>
      <w:bookmarkStart w:id="7" w:name="_Toc534656409"/>
    </w:p>
    <w:p>
      <w:pPr>
        <w:autoSpaceDE w:val="0"/>
        <w:autoSpaceDN w:val="0"/>
        <w:adjustRightInd w:val="0"/>
        <w:snapToGrid w:val="0"/>
        <w:spacing w:line="360" w:lineRule="auto"/>
        <w:rPr>
          <w:b/>
          <w:bCs/>
          <w:color w:val="auto"/>
          <w:sz w:val="30"/>
          <w:szCs w:val="30"/>
          <w:highlight w:val="none"/>
          <w:lang w:val="zh-CN"/>
        </w:rPr>
      </w:pPr>
      <w:r>
        <w:rPr>
          <w:b/>
          <w:bCs/>
          <w:color w:val="auto"/>
          <w:sz w:val="30"/>
          <w:szCs w:val="30"/>
          <w:highlight w:val="none"/>
          <w:lang w:val="zh-CN"/>
        </w:rPr>
        <w:t>政府采购项目</w:t>
      </w:r>
    </w:p>
    <w:p>
      <w:pPr>
        <w:autoSpaceDE w:val="0"/>
        <w:autoSpaceDN w:val="0"/>
        <w:adjustRightInd w:val="0"/>
        <w:snapToGrid w:val="0"/>
        <w:spacing w:line="360" w:lineRule="auto"/>
        <w:rPr>
          <w:b/>
          <w:bCs/>
          <w:color w:val="auto"/>
          <w:sz w:val="30"/>
          <w:szCs w:val="30"/>
          <w:highlight w:val="none"/>
          <w:lang w:val="zh-CN"/>
        </w:rPr>
      </w:pPr>
      <w:r>
        <w:rPr>
          <w:b/>
          <w:bCs/>
          <w:color w:val="auto"/>
          <w:sz w:val="30"/>
          <w:szCs w:val="30"/>
          <w:highlight w:val="none"/>
          <w:lang w:val="zh-CN"/>
        </w:rPr>
        <w:t>采购项目编号：</w:t>
      </w:r>
      <w:r>
        <w:rPr>
          <w:rFonts w:hint="eastAsia"/>
          <w:b/>
          <w:bCs/>
          <w:color w:val="auto"/>
          <w:sz w:val="30"/>
          <w:szCs w:val="30"/>
          <w:highlight w:val="none"/>
          <w:lang w:val="zh-CN"/>
        </w:rPr>
        <w:t>ZCZX2022-ZB-089</w:t>
      </w:r>
    </w:p>
    <w:p>
      <w:pPr>
        <w:spacing w:line="240" w:lineRule="atLeast"/>
        <w:ind w:left="1156" w:leftChars="257" w:hanging="540"/>
        <w:jc w:val="center"/>
        <w:rPr>
          <w:rFonts w:ascii="仿宋_GB2312" w:eastAsia="仿宋_GB2312"/>
          <w:b/>
          <w:color w:val="auto"/>
          <w:sz w:val="52"/>
          <w:szCs w:val="52"/>
          <w:highlight w:val="none"/>
        </w:rPr>
      </w:pPr>
    </w:p>
    <w:p>
      <w:pPr>
        <w:spacing w:line="240" w:lineRule="atLeast"/>
        <w:ind w:left="1156" w:leftChars="257" w:hanging="540"/>
        <w:jc w:val="center"/>
        <w:rPr>
          <w:rFonts w:ascii="仿宋_GB2312" w:eastAsia="仿宋_GB2312"/>
          <w:b/>
          <w:color w:val="auto"/>
          <w:sz w:val="52"/>
          <w:szCs w:val="52"/>
          <w:highlight w:val="none"/>
        </w:rPr>
      </w:pPr>
    </w:p>
    <w:p>
      <w:pPr>
        <w:tabs>
          <w:tab w:val="left" w:pos="5670"/>
        </w:tabs>
        <w:autoSpaceDE w:val="0"/>
        <w:autoSpaceDN w:val="0"/>
        <w:adjustRightInd w:val="0"/>
        <w:snapToGrid w:val="0"/>
        <w:spacing w:line="360" w:lineRule="auto"/>
        <w:jc w:val="center"/>
        <w:rPr>
          <w:b/>
          <w:bCs/>
          <w:color w:val="auto"/>
          <w:sz w:val="44"/>
          <w:szCs w:val="44"/>
          <w:highlight w:val="none"/>
        </w:rPr>
      </w:pPr>
      <w:r>
        <w:rPr>
          <w:rFonts w:hint="eastAsia"/>
          <w:b/>
          <w:bCs/>
          <w:color w:val="auto"/>
          <w:sz w:val="44"/>
          <w:szCs w:val="44"/>
          <w:highlight w:val="none"/>
        </w:rPr>
        <w:t>欧亚经济论坛经贸合作博览会</w:t>
      </w:r>
    </w:p>
    <w:p>
      <w:pPr>
        <w:tabs>
          <w:tab w:val="left" w:pos="5670"/>
        </w:tabs>
        <w:autoSpaceDE w:val="0"/>
        <w:autoSpaceDN w:val="0"/>
        <w:adjustRightInd w:val="0"/>
        <w:snapToGrid w:val="0"/>
        <w:spacing w:line="360" w:lineRule="auto"/>
        <w:jc w:val="center"/>
        <w:rPr>
          <w:b/>
          <w:bCs/>
          <w:color w:val="auto"/>
          <w:sz w:val="44"/>
          <w:szCs w:val="44"/>
          <w:highlight w:val="none"/>
        </w:rPr>
      </w:pPr>
      <w:r>
        <w:rPr>
          <w:rFonts w:hint="eastAsia"/>
          <w:b/>
          <w:bCs/>
          <w:color w:val="auto"/>
          <w:sz w:val="44"/>
          <w:szCs w:val="44"/>
          <w:highlight w:val="none"/>
        </w:rPr>
        <w:t>暨中国（陕西）进出口商品展</w:t>
      </w:r>
    </w:p>
    <w:p>
      <w:pPr>
        <w:tabs>
          <w:tab w:val="left" w:pos="5670"/>
        </w:tabs>
        <w:autoSpaceDE w:val="0"/>
        <w:autoSpaceDN w:val="0"/>
        <w:adjustRightInd w:val="0"/>
        <w:snapToGrid w:val="0"/>
        <w:spacing w:line="360" w:lineRule="auto"/>
        <w:jc w:val="center"/>
        <w:rPr>
          <w:b/>
          <w:bCs/>
          <w:color w:val="auto"/>
          <w:sz w:val="44"/>
          <w:szCs w:val="44"/>
          <w:highlight w:val="none"/>
        </w:rPr>
      </w:pPr>
      <w:r>
        <w:rPr>
          <w:rFonts w:hint="eastAsia"/>
          <w:b/>
          <w:bCs/>
          <w:color w:val="auto"/>
          <w:sz w:val="44"/>
          <w:szCs w:val="44"/>
          <w:highlight w:val="none"/>
        </w:rPr>
        <w:t>2022年系列活动</w:t>
      </w:r>
    </w:p>
    <w:p>
      <w:pPr>
        <w:pStyle w:val="2"/>
        <w:rPr>
          <w:color w:val="auto"/>
          <w:highlight w:val="none"/>
        </w:rPr>
      </w:pPr>
    </w:p>
    <w:p>
      <w:pPr>
        <w:tabs>
          <w:tab w:val="left" w:pos="5670"/>
        </w:tabs>
        <w:autoSpaceDE w:val="0"/>
        <w:autoSpaceDN w:val="0"/>
        <w:adjustRightInd w:val="0"/>
        <w:snapToGrid w:val="0"/>
        <w:spacing w:line="360" w:lineRule="auto"/>
        <w:jc w:val="center"/>
        <w:rPr>
          <w:b/>
          <w:bCs/>
          <w:color w:val="auto"/>
          <w:sz w:val="48"/>
          <w:szCs w:val="52"/>
          <w:highlight w:val="none"/>
          <w:lang w:val="zh-CN"/>
        </w:rPr>
      </w:pPr>
      <w:r>
        <w:rPr>
          <w:b/>
          <w:bCs/>
          <w:color w:val="auto"/>
          <w:sz w:val="48"/>
          <w:szCs w:val="52"/>
          <w:highlight w:val="none"/>
          <w:lang w:val="zh-CN"/>
        </w:rPr>
        <w:t>招 标 文 件</w:t>
      </w:r>
    </w:p>
    <w:p>
      <w:pPr>
        <w:spacing w:line="240" w:lineRule="atLeast"/>
        <w:ind w:left="1156" w:leftChars="257" w:hanging="540"/>
        <w:rPr>
          <w:rFonts w:ascii="仿宋_GB2312" w:eastAsia="仿宋_GB2312"/>
          <w:b/>
          <w:color w:val="auto"/>
          <w:sz w:val="32"/>
          <w:szCs w:val="32"/>
          <w:highlight w:val="none"/>
        </w:rPr>
      </w:pPr>
    </w:p>
    <w:p>
      <w:pPr>
        <w:spacing w:line="240" w:lineRule="atLeast"/>
        <w:ind w:left="1156" w:leftChars="257" w:hanging="540"/>
        <w:jc w:val="center"/>
        <w:rPr>
          <w:rFonts w:ascii="仿宋_GB2312" w:eastAsia="仿宋_GB2312"/>
          <w:b/>
          <w:color w:val="auto"/>
          <w:sz w:val="32"/>
          <w:szCs w:val="32"/>
          <w:highlight w:val="none"/>
        </w:rPr>
      </w:pPr>
    </w:p>
    <w:p>
      <w:pPr>
        <w:spacing w:line="240" w:lineRule="atLeast"/>
        <w:ind w:left="1156" w:leftChars="257" w:hanging="540"/>
        <w:rPr>
          <w:rFonts w:ascii="仿宋_GB2312" w:eastAsia="仿宋_GB2312"/>
          <w:b/>
          <w:color w:val="auto"/>
          <w:sz w:val="28"/>
          <w:highlight w:val="none"/>
        </w:rPr>
      </w:pPr>
    </w:p>
    <w:p>
      <w:pPr>
        <w:spacing w:line="240" w:lineRule="atLeast"/>
        <w:ind w:left="1156" w:leftChars="257" w:hanging="540"/>
        <w:jc w:val="center"/>
        <w:rPr>
          <w:rFonts w:ascii="仿宋_GB2312" w:eastAsia="仿宋_GB2312"/>
          <w:b/>
          <w:color w:val="auto"/>
          <w:sz w:val="48"/>
          <w:szCs w:val="48"/>
          <w:highlight w:val="none"/>
        </w:rPr>
      </w:pPr>
    </w:p>
    <w:p>
      <w:pPr>
        <w:tabs>
          <w:tab w:val="left" w:pos="5670"/>
        </w:tabs>
        <w:autoSpaceDE w:val="0"/>
        <w:autoSpaceDN w:val="0"/>
        <w:adjustRightInd w:val="0"/>
        <w:snapToGrid w:val="0"/>
        <w:spacing w:line="360" w:lineRule="auto"/>
        <w:ind w:firstLine="960" w:firstLineChars="300"/>
        <w:rPr>
          <w:rFonts w:eastAsia="楷体_GB2312"/>
          <w:b/>
          <w:bCs/>
          <w:color w:val="auto"/>
          <w:sz w:val="32"/>
          <w:szCs w:val="32"/>
          <w:highlight w:val="none"/>
          <w:lang w:val="zh-CN"/>
        </w:rPr>
      </w:pPr>
    </w:p>
    <w:p>
      <w:pPr>
        <w:tabs>
          <w:tab w:val="left" w:pos="5670"/>
        </w:tabs>
        <w:autoSpaceDE w:val="0"/>
        <w:autoSpaceDN w:val="0"/>
        <w:adjustRightInd w:val="0"/>
        <w:snapToGrid w:val="0"/>
        <w:spacing w:line="360" w:lineRule="auto"/>
        <w:ind w:firstLine="960" w:firstLineChars="300"/>
        <w:rPr>
          <w:rFonts w:ascii="仿宋_GB2312" w:eastAsia="仿宋_GB2312"/>
          <w:b/>
          <w:bCs/>
          <w:color w:val="auto"/>
          <w:sz w:val="32"/>
          <w:szCs w:val="32"/>
          <w:highlight w:val="none"/>
          <w:lang w:val="zh-CN"/>
        </w:rPr>
      </w:pPr>
      <w:r>
        <w:rPr>
          <w:rFonts w:hint="eastAsia" w:ascii="仿宋_GB2312" w:eastAsia="仿宋_GB2312"/>
          <w:b/>
          <w:bCs/>
          <w:color w:val="auto"/>
          <w:sz w:val="32"/>
          <w:szCs w:val="32"/>
          <w:highlight w:val="none"/>
          <w:lang w:val="zh-CN"/>
        </w:rPr>
        <w:t>采购人：西安市博览事务中心</w:t>
      </w:r>
    </w:p>
    <w:p>
      <w:pPr>
        <w:tabs>
          <w:tab w:val="left" w:pos="5670"/>
        </w:tabs>
        <w:autoSpaceDE w:val="0"/>
        <w:autoSpaceDN w:val="0"/>
        <w:adjustRightInd w:val="0"/>
        <w:snapToGrid w:val="0"/>
        <w:spacing w:line="360" w:lineRule="auto"/>
        <w:ind w:firstLine="960" w:firstLineChars="300"/>
        <w:rPr>
          <w:rFonts w:ascii="仿宋_GB2312" w:eastAsia="仿宋_GB2312"/>
          <w:b/>
          <w:bCs/>
          <w:color w:val="auto"/>
          <w:sz w:val="32"/>
          <w:szCs w:val="32"/>
          <w:highlight w:val="none"/>
          <w:lang w:val="zh-CN"/>
        </w:rPr>
      </w:pPr>
    </w:p>
    <w:p>
      <w:pPr>
        <w:tabs>
          <w:tab w:val="left" w:pos="5670"/>
        </w:tabs>
        <w:autoSpaceDE w:val="0"/>
        <w:autoSpaceDN w:val="0"/>
        <w:adjustRightInd w:val="0"/>
        <w:snapToGrid w:val="0"/>
        <w:spacing w:line="360" w:lineRule="auto"/>
        <w:ind w:firstLine="960" w:firstLineChars="300"/>
        <w:rPr>
          <w:rFonts w:ascii="仿宋_GB2312" w:eastAsia="仿宋_GB2312"/>
          <w:b/>
          <w:bCs/>
          <w:color w:val="auto"/>
          <w:sz w:val="32"/>
          <w:szCs w:val="32"/>
          <w:highlight w:val="none"/>
          <w:lang w:val="zh-CN"/>
        </w:rPr>
      </w:pPr>
      <w:r>
        <w:rPr>
          <w:rFonts w:hint="eastAsia" w:ascii="仿宋_GB2312" w:eastAsia="仿宋_GB2312"/>
          <w:b/>
          <w:bCs/>
          <w:color w:val="auto"/>
          <w:sz w:val="32"/>
          <w:szCs w:val="32"/>
          <w:highlight w:val="none"/>
          <w:lang w:val="zh-CN"/>
        </w:rPr>
        <w:t>采购代理机构：陕西省众诚致信管理咨询有限公司</w:t>
      </w:r>
    </w:p>
    <w:p>
      <w:pPr>
        <w:tabs>
          <w:tab w:val="left" w:pos="5670"/>
        </w:tabs>
        <w:autoSpaceDE w:val="0"/>
        <w:autoSpaceDN w:val="0"/>
        <w:adjustRightInd w:val="0"/>
        <w:snapToGrid w:val="0"/>
        <w:spacing w:line="360" w:lineRule="auto"/>
        <w:ind w:firstLine="960" w:firstLineChars="300"/>
        <w:rPr>
          <w:rFonts w:ascii="仿宋_GB2312" w:eastAsia="仿宋_GB2312"/>
          <w:b/>
          <w:bCs/>
          <w:color w:val="auto"/>
          <w:sz w:val="32"/>
          <w:szCs w:val="32"/>
          <w:highlight w:val="none"/>
          <w:lang w:val="zh-CN"/>
        </w:rPr>
      </w:pPr>
    </w:p>
    <w:p>
      <w:pPr>
        <w:tabs>
          <w:tab w:val="left" w:pos="5670"/>
        </w:tabs>
        <w:autoSpaceDE w:val="0"/>
        <w:autoSpaceDN w:val="0"/>
        <w:adjustRightInd w:val="0"/>
        <w:snapToGrid w:val="0"/>
        <w:spacing w:line="360" w:lineRule="auto"/>
        <w:ind w:firstLine="960" w:firstLineChars="300"/>
        <w:rPr>
          <w:rFonts w:ascii="仿宋_GB2312" w:eastAsia="仿宋_GB2312"/>
          <w:b/>
          <w:bCs/>
          <w:color w:val="auto"/>
          <w:sz w:val="32"/>
          <w:szCs w:val="32"/>
          <w:highlight w:val="none"/>
          <w:lang w:val="zh-CN"/>
        </w:rPr>
      </w:pPr>
    </w:p>
    <w:p>
      <w:pPr>
        <w:tabs>
          <w:tab w:val="left" w:pos="5460"/>
        </w:tabs>
        <w:autoSpaceDE w:val="0"/>
        <w:autoSpaceDN w:val="0"/>
        <w:adjustRightInd w:val="0"/>
        <w:snapToGrid w:val="0"/>
        <w:spacing w:line="360" w:lineRule="auto"/>
        <w:jc w:val="center"/>
        <w:rPr>
          <w:rFonts w:ascii="仿宋_GB2312" w:eastAsia="仿宋_GB2312"/>
          <w:b/>
          <w:bCs/>
          <w:color w:val="auto"/>
          <w:sz w:val="32"/>
          <w:szCs w:val="32"/>
          <w:highlight w:val="none"/>
          <w:lang w:val="zh-CN"/>
        </w:rPr>
      </w:pPr>
      <w:r>
        <w:rPr>
          <w:rFonts w:hint="eastAsia" w:ascii="仿宋_GB2312" w:eastAsia="仿宋_GB2312"/>
          <w:b/>
          <w:bCs/>
          <w:color w:val="auto"/>
          <w:sz w:val="32"/>
          <w:szCs w:val="32"/>
          <w:highlight w:val="none"/>
          <w:lang w:val="zh-CN"/>
        </w:rPr>
        <w:t>二</w:t>
      </w:r>
      <w:r>
        <w:rPr>
          <w:rFonts w:hint="eastAsia" w:ascii="宋体" w:hAnsi="宋体" w:eastAsia="宋体" w:cs="宋体"/>
          <w:b/>
          <w:bCs/>
          <w:color w:val="auto"/>
          <w:sz w:val="32"/>
          <w:szCs w:val="32"/>
          <w:highlight w:val="none"/>
          <w:lang w:val="zh-CN"/>
        </w:rPr>
        <w:t>〇</w:t>
      </w:r>
      <w:r>
        <w:rPr>
          <w:rFonts w:hint="eastAsia" w:ascii="仿宋_GB2312" w:hAnsi="仿宋_GB2312" w:eastAsia="仿宋_GB2312" w:cs="仿宋_GB2312"/>
          <w:b/>
          <w:bCs/>
          <w:color w:val="auto"/>
          <w:sz w:val="32"/>
          <w:szCs w:val="32"/>
          <w:highlight w:val="none"/>
          <w:lang w:val="zh-CN"/>
        </w:rPr>
        <w:t>二</w:t>
      </w:r>
      <w:r>
        <w:rPr>
          <w:rFonts w:hint="eastAsia" w:ascii="仿宋_GB2312" w:eastAsia="仿宋_GB2312"/>
          <w:b/>
          <w:bCs/>
          <w:color w:val="auto"/>
          <w:sz w:val="32"/>
          <w:szCs w:val="32"/>
          <w:highlight w:val="none"/>
          <w:lang w:val="zh-CN"/>
        </w:rPr>
        <w:t>二年</w:t>
      </w:r>
      <w:r>
        <w:rPr>
          <w:rFonts w:hint="eastAsia" w:ascii="仿宋_GB2312" w:eastAsia="仿宋_GB2312"/>
          <w:b/>
          <w:bCs/>
          <w:color w:val="auto"/>
          <w:sz w:val="32"/>
          <w:szCs w:val="32"/>
          <w:highlight w:val="none"/>
        </w:rPr>
        <w:t>七</w:t>
      </w:r>
      <w:r>
        <w:rPr>
          <w:rFonts w:hint="eastAsia" w:ascii="仿宋_GB2312" w:eastAsia="仿宋_GB2312"/>
          <w:b/>
          <w:bCs/>
          <w:color w:val="auto"/>
          <w:sz w:val="32"/>
          <w:szCs w:val="32"/>
          <w:highlight w:val="none"/>
          <w:lang w:val="zh-CN"/>
        </w:rPr>
        <w:t>月</w:t>
      </w:r>
    </w:p>
    <w:p>
      <w:pPr>
        <w:tabs>
          <w:tab w:val="left" w:pos="5460"/>
        </w:tabs>
        <w:autoSpaceDE w:val="0"/>
        <w:autoSpaceDN w:val="0"/>
        <w:adjustRightInd w:val="0"/>
        <w:snapToGrid w:val="0"/>
        <w:spacing w:line="360" w:lineRule="auto"/>
        <w:jc w:val="center"/>
        <w:rPr>
          <w:rFonts w:eastAsia="楷体_GB2312"/>
          <w:b/>
          <w:bCs/>
          <w:color w:val="auto"/>
          <w:sz w:val="32"/>
          <w:szCs w:val="32"/>
          <w:highlight w:val="none"/>
          <w:lang w:val="zh-CN"/>
        </w:rPr>
      </w:pPr>
    </w:p>
    <w:p>
      <w:pPr>
        <w:tabs>
          <w:tab w:val="center" w:pos="4805"/>
        </w:tabs>
        <w:spacing w:line="240" w:lineRule="atLeast"/>
        <w:ind w:left="1156" w:leftChars="257" w:hanging="540"/>
        <w:jc w:val="center"/>
        <w:rPr>
          <w:rFonts w:ascii="仿宋_GB2312" w:eastAsia="仿宋_GB2312"/>
          <w:b/>
          <w:color w:val="auto"/>
          <w:sz w:val="32"/>
          <w:highlight w:val="none"/>
        </w:rPr>
      </w:pPr>
      <w:r>
        <w:rPr>
          <w:rFonts w:hint="eastAsia" w:ascii="仿宋_GB2312" w:eastAsia="仿宋_GB2312"/>
          <w:b/>
          <w:color w:val="auto"/>
          <w:sz w:val="32"/>
          <w:highlight w:val="none"/>
        </w:rPr>
        <w:t>目  录</w:t>
      </w:r>
    </w:p>
    <w:p>
      <w:pPr>
        <w:spacing w:line="240" w:lineRule="atLeast"/>
        <w:ind w:left="1156" w:leftChars="257" w:hanging="540"/>
        <w:jc w:val="center"/>
        <w:rPr>
          <w:rFonts w:ascii="仿宋_GB2312" w:eastAsia="仿宋_GB2312"/>
          <w:b/>
          <w:color w:val="auto"/>
          <w:sz w:val="32"/>
          <w:highlight w:val="none"/>
        </w:rPr>
      </w:pPr>
    </w:p>
    <w:p>
      <w:pPr>
        <w:pStyle w:val="27"/>
        <w:tabs>
          <w:tab w:val="right" w:leader="dot" w:pos="8296"/>
        </w:tabs>
        <w:spacing w:before="420" w:after="420"/>
        <w:rPr>
          <w:rFonts w:ascii="仿宋_GB2312" w:eastAsia="仿宋_GB2312" w:hAnsiTheme="minorHAnsi" w:cstheme="minorBidi"/>
          <w:b/>
          <w:color w:val="auto"/>
          <w:kern w:val="2"/>
          <w:sz w:val="21"/>
          <w:szCs w:val="22"/>
          <w:highlight w:val="none"/>
        </w:rPr>
      </w:pPr>
      <w:r>
        <w:rPr>
          <w:rFonts w:hint="eastAsia" w:ascii="仿宋_GB2312" w:hAnsi="宋体" w:eastAsia="仿宋_GB2312" w:cs="宋体"/>
          <w:b/>
          <w:color w:val="auto"/>
          <w:kern w:val="0"/>
          <w:sz w:val="16"/>
          <w:szCs w:val="21"/>
          <w:highlight w:val="none"/>
        </w:rPr>
        <w:fldChar w:fldCharType="begin"/>
      </w:r>
      <w:r>
        <w:rPr>
          <w:rFonts w:hint="eastAsia" w:ascii="仿宋_GB2312" w:hAnsi="宋体" w:eastAsia="仿宋_GB2312" w:cs="宋体"/>
          <w:b/>
          <w:color w:val="auto"/>
          <w:kern w:val="0"/>
          <w:sz w:val="16"/>
          <w:szCs w:val="21"/>
          <w:highlight w:val="none"/>
        </w:rPr>
        <w:instrText xml:space="preserve"> TOC \o "1-3" \h \z \u </w:instrText>
      </w:r>
      <w:r>
        <w:rPr>
          <w:rFonts w:hint="eastAsia" w:ascii="仿宋_GB2312" w:hAnsi="宋体" w:eastAsia="仿宋_GB2312" w:cs="宋体"/>
          <w:b/>
          <w:color w:val="auto"/>
          <w:kern w:val="0"/>
          <w:sz w:val="16"/>
          <w:szCs w:val="21"/>
          <w:highlight w:val="none"/>
        </w:rPr>
        <w:fldChar w:fldCharType="separate"/>
      </w:r>
      <w:r>
        <w:rPr>
          <w:color w:val="auto"/>
          <w:highlight w:val="none"/>
        </w:rPr>
        <w:fldChar w:fldCharType="begin"/>
      </w:r>
      <w:r>
        <w:rPr>
          <w:color w:val="auto"/>
          <w:highlight w:val="none"/>
        </w:rPr>
        <w:instrText xml:space="preserve"> HYPERLINK \l "_Toc107503653" </w:instrText>
      </w:r>
      <w:r>
        <w:rPr>
          <w:color w:val="auto"/>
          <w:highlight w:val="none"/>
        </w:rPr>
        <w:fldChar w:fldCharType="separate"/>
      </w:r>
      <w:r>
        <w:rPr>
          <w:rStyle w:val="47"/>
          <w:rFonts w:hint="eastAsia" w:ascii="仿宋_GB2312" w:eastAsia="仿宋_GB2312"/>
          <w:b/>
          <w:color w:val="auto"/>
          <w:highlight w:val="none"/>
        </w:rPr>
        <w:t>第一章   西安市博览事务中心欧亚经济论坛经贸合作博览会暨中国（陕西）进出口商品展2022年系列活动招标公告</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_Toc107503653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27"/>
        <w:tabs>
          <w:tab w:val="right" w:leader="dot" w:pos="8296"/>
        </w:tabs>
        <w:spacing w:before="420" w:after="420"/>
        <w:rPr>
          <w:rFonts w:ascii="仿宋_GB2312" w:eastAsia="仿宋_GB2312" w:hAnsiTheme="minorHAnsi"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"_Toc107503654" </w:instrText>
      </w:r>
      <w:r>
        <w:rPr>
          <w:color w:val="auto"/>
          <w:highlight w:val="none"/>
        </w:rPr>
        <w:fldChar w:fldCharType="separate"/>
      </w:r>
      <w:r>
        <w:rPr>
          <w:rStyle w:val="47"/>
          <w:rFonts w:hint="eastAsia" w:ascii="仿宋_GB2312" w:eastAsia="仿宋_GB2312"/>
          <w:b/>
          <w:color w:val="auto"/>
          <w:highlight w:val="none"/>
        </w:rPr>
        <w:t>第二章  供应商须知</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_Toc107503654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27"/>
        <w:tabs>
          <w:tab w:val="right" w:leader="dot" w:pos="8296"/>
        </w:tabs>
        <w:spacing w:before="420" w:after="420"/>
        <w:rPr>
          <w:rFonts w:ascii="仿宋_GB2312" w:eastAsia="仿宋_GB2312" w:hAnsiTheme="minorHAnsi"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"_Toc107503655" </w:instrText>
      </w:r>
      <w:r>
        <w:rPr>
          <w:color w:val="auto"/>
          <w:highlight w:val="none"/>
        </w:rPr>
        <w:fldChar w:fldCharType="separate"/>
      </w:r>
      <w:r>
        <w:rPr>
          <w:rStyle w:val="47"/>
          <w:rFonts w:hint="eastAsia" w:ascii="仿宋_GB2312" w:eastAsia="仿宋_GB2312"/>
          <w:b/>
          <w:color w:val="auto"/>
          <w:highlight w:val="none"/>
        </w:rPr>
        <w:t>〖前附表〗</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_Toc107503655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"_Toc107503656" </w:instrText>
      </w:r>
      <w:r>
        <w:rPr>
          <w:color w:val="auto"/>
          <w:highlight w:val="none"/>
        </w:rPr>
        <w:fldChar w:fldCharType="separate"/>
      </w:r>
      <w:r>
        <w:rPr>
          <w:rStyle w:val="47"/>
          <w:rFonts w:hint="eastAsia" w:ascii="仿宋_GB2312" w:eastAsia="仿宋_GB2312"/>
          <w:b/>
          <w:color w:val="auto"/>
          <w:highlight w:val="none"/>
        </w:rPr>
        <w:t>一、有关定义</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_Toc107503656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12</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"_Toc107503657" </w:instrText>
      </w:r>
      <w:r>
        <w:rPr>
          <w:color w:val="auto"/>
          <w:highlight w:val="none"/>
        </w:rPr>
        <w:fldChar w:fldCharType="separate"/>
      </w:r>
      <w:r>
        <w:rPr>
          <w:rStyle w:val="47"/>
          <w:rFonts w:hint="eastAsia" w:ascii="仿宋_GB2312" w:eastAsia="仿宋_GB2312"/>
          <w:b/>
          <w:color w:val="auto"/>
          <w:highlight w:val="none"/>
        </w:rPr>
        <w:t>二、供应商注意事项</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_Toc107503657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12</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"_Toc107503658" </w:instrText>
      </w:r>
      <w:r>
        <w:rPr>
          <w:color w:val="auto"/>
          <w:highlight w:val="none"/>
        </w:rPr>
        <w:fldChar w:fldCharType="separate"/>
      </w:r>
      <w:r>
        <w:rPr>
          <w:rStyle w:val="47"/>
          <w:rFonts w:hint="eastAsia" w:ascii="仿宋_GB2312" w:eastAsia="仿宋_GB2312"/>
          <w:b/>
          <w:color w:val="auto"/>
          <w:highlight w:val="none"/>
        </w:rPr>
        <w:t>（一）供应商投标流程</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_Toc107503658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12</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"_Toc107503659" </w:instrText>
      </w:r>
      <w:r>
        <w:rPr>
          <w:color w:val="auto"/>
          <w:highlight w:val="none"/>
        </w:rPr>
        <w:fldChar w:fldCharType="separate"/>
      </w:r>
      <w:r>
        <w:rPr>
          <w:rStyle w:val="47"/>
          <w:rFonts w:hint="eastAsia" w:ascii="仿宋_GB2312" w:eastAsia="仿宋_GB2312"/>
          <w:b/>
          <w:color w:val="auto"/>
          <w:highlight w:val="none"/>
        </w:rPr>
        <w:t>（二）关于询问、质疑和投诉</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_Toc107503659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13</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"_Toc107503660" </w:instrText>
      </w:r>
      <w:r>
        <w:rPr>
          <w:color w:val="auto"/>
          <w:highlight w:val="none"/>
        </w:rPr>
        <w:fldChar w:fldCharType="separate"/>
      </w:r>
      <w:r>
        <w:rPr>
          <w:rStyle w:val="47"/>
          <w:rFonts w:hint="eastAsia" w:ascii="仿宋_GB2312" w:eastAsia="仿宋_GB2312"/>
          <w:b/>
          <w:color w:val="auto"/>
          <w:highlight w:val="none"/>
        </w:rPr>
        <w:t>（三）关于保证金</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_Toc107503660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15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"_Toc107503661" </w:instrText>
      </w:r>
      <w:r>
        <w:rPr>
          <w:color w:val="auto"/>
          <w:highlight w:val="none"/>
        </w:rPr>
        <w:fldChar w:fldCharType="separate"/>
      </w:r>
      <w:r>
        <w:rPr>
          <w:rStyle w:val="47"/>
          <w:rFonts w:hint="eastAsia" w:ascii="仿宋_GB2312" w:eastAsia="仿宋_GB2312"/>
          <w:b/>
          <w:color w:val="auto"/>
          <w:highlight w:val="none"/>
        </w:rPr>
        <w:t>（四）关于联合体</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_Toc107503661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17</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"_Toc107503662" </w:instrText>
      </w:r>
      <w:r>
        <w:rPr>
          <w:color w:val="auto"/>
          <w:highlight w:val="none"/>
        </w:rPr>
        <w:fldChar w:fldCharType="separate"/>
      </w:r>
      <w:r>
        <w:rPr>
          <w:rStyle w:val="47"/>
          <w:rFonts w:hint="eastAsia" w:ascii="仿宋_GB2312" w:eastAsia="仿宋_GB2312"/>
          <w:b/>
          <w:color w:val="auto"/>
          <w:highlight w:val="none"/>
        </w:rPr>
        <w:t>（五）关于政府采购政策</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_Toc107503662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18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"_Toc107503663" </w:instrText>
      </w:r>
      <w:r>
        <w:rPr>
          <w:color w:val="auto"/>
          <w:highlight w:val="none"/>
        </w:rPr>
        <w:fldChar w:fldCharType="separate"/>
      </w:r>
      <w:r>
        <w:rPr>
          <w:rStyle w:val="47"/>
          <w:rFonts w:hint="eastAsia" w:ascii="仿宋_GB2312" w:eastAsia="仿宋_GB2312"/>
          <w:b/>
          <w:color w:val="auto"/>
          <w:highlight w:val="none"/>
        </w:rPr>
        <w:t>（六）关于现场踏勘和集中答疑</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_Toc107503663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20</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"_Toc107503664" </w:instrText>
      </w:r>
      <w:r>
        <w:rPr>
          <w:color w:val="auto"/>
          <w:highlight w:val="none"/>
        </w:rPr>
        <w:fldChar w:fldCharType="separate"/>
      </w:r>
      <w:r>
        <w:rPr>
          <w:rStyle w:val="47"/>
          <w:rFonts w:hint="eastAsia" w:ascii="仿宋_GB2312" w:eastAsia="仿宋_GB2312"/>
          <w:b/>
          <w:color w:val="auto"/>
          <w:highlight w:val="none"/>
        </w:rPr>
        <w:t>（七）关于知识产权和保密事项</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_Toc107503664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20</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"_Toc107503665" </w:instrText>
      </w:r>
      <w:r>
        <w:rPr>
          <w:color w:val="auto"/>
          <w:highlight w:val="none"/>
        </w:rPr>
        <w:fldChar w:fldCharType="separate"/>
      </w:r>
      <w:r>
        <w:rPr>
          <w:rStyle w:val="47"/>
          <w:rFonts w:hint="eastAsia" w:ascii="仿宋_GB2312" w:eastAsia="仿宋_GB2312"/>
          <w:b/>
          <w:color w:val="auto"/>
          <w:highlight w:val="none"/>
        </w:rPr>
        <w:t>（八）关于信用记录的查询和使用</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_Toc107503665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"_Toc107503666" </w:instrText>
      </w:r>
      <w:r>
        <w:rPr>
          <w:color w:val="auto"/>
          <w:highlight w:val="none"/>
        </w:rPr>
        <w:fldChar w:fldCharType="separate"/>
      </w:r>
      <w:r>
        <w:rPr>
          <w:rStyle w:val="47"/>
          <w:rFonts w:hint="eastAsia" w:ascii="仿宋_GB2312" w:eastAsia="仿宋_GB2312"/>
          <w:b/>
          <w:color w:val="auto"/>
          <w:highlight w:val="none"/>
        </w:rPr>
        <w:t>（九）其他重要事项</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_Toc107503666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"_Toc107503667" </w:instrText>
      </w:r>
      <w:r>
        <w:rPr>
          <w:color w:val="auto"/>
          <w:highlight w:val="none"/>
        </w:rPr>
        <w:fldChar w:fldCharType="separate"/>
      </w:r>
      <w:r>
        <w:rPr>
          <w:rStyle w:val="47"/>
          <w:rFonts w:hint="eastAsia" w:ascii="仿宋_GB2312" w:eastAsia="仿宋_GB2312"/>
          <w:b/>
          <w:color w:val="auto"/>
          <w:highlight w:val="none"/>
        </w:rPr>
        <w:t>三、招标文件</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_Toc107503667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"_Toc107503668" </w:instrText>
      </w:r>
      <w:r>
        <w:rPr>
          <w:color w:val="auto"/>
          <w:highlight w:val="none"/>
        </w:rPr>
        <w:fldChar w:fldCharType="separate"/>
      </w:r>
      <w:r>
        <w:rPr>
          <w:rStyle w:val="47"/>
          <w:rFonts w:hint="eastAsia" w:ascii="仿宋_GB2312" w:eastAsia="仿宋_GB2312"/>
          <w:b/>
          <w:color w:val="auto"/>
          <w:highlight w:val="none"/>
        </w:rPr>
        <w:t>（一）招标文件的解释权</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_Toc107503668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"_Toc107503669" </w:instrText>
      </w:r>
      <w:r>
        <w:rPr>
          <w:color w:val="auto"/>
          <w:highlight w:val="none"/>
        </w:rPr>
        <w:fldChar w:fldCharType="separate"/>
      </w:r>
      <w:r>
        <w:rPr>
          <w:rStyle w:val="47"/>
          <w:rFonts w:hint="eastAsia" w:ascii="仿宋_GB2312" w:eastAsia="仿宋_GB2312"/>
          <w:b/>
          <w:color w:val="auto"/>
          <w:highlight w:val="none"/>
        </w:rPr>
        <w:t>（二）招标文件主要内容</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_Toc107503669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"_Toc107503670" </w:instrText>
      </w:r>
      <w:r>
        <w:rPr>
          <w:color w:val="auto"/>
          <w:highlight w:val="none"/>
        </w:rPr>
        <w:fldChar w:fldCharType="separate"/>
      </w:r>
      <w:r>
        <w:rPr>
          <w:rStyle w:val="47"/>
          <w:rFonts w:hint="eastAsia" w:ascii="仿宋_GB2312" w:eastAsia="仿宋_GB2312"/>
          <w:b/>
          <w:color w:val="auto"/>
          <w:highlight w:val="none"/>
        </w:rPr>
        <w:t>（三）招标文件的检查及阅读</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_Toc107503670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"_Toc107503671" </w:instrText>
      </w:r>
      <w:r>
        <w:rPr>
          <w:color w:val="auto"/>
          <w:highlight w:val="none"/>
        </w:rPr>
        <w:fldChar w:fldCharType="separate"/>
      </w:r>
      <w:r>
        <w:rPr>
          <w:rStyle w:val="47"/>
          <w:rFonts w:hint="eastAsia" w:ascii="仿宋_GB2312" w:eastAsia="仿宋_GB2312"/>
          <w:b/>
          <w:color w:val="auto"/>
          <w:highlight w:val="none"/>
        </w:rPr>
        <w:t>（四）招标文件的修改、澄清</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_Toc107503671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22</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"_Toc107503672" </w:instrText>
      </w:r>
      <w:r>
        <w:rPr>
          <w:color w:val="auto"/>
          <w:highlight w:val="none"/>
        </w:rPr>
        <w:fldChar w:fldCharType="separate"/>
      </w:r>
      <w:r>
        <w:rPr>
          <w:rStyle w:val="47"/>
          <w:rFonts w:hint="eastAsia" w:ascii="仿宋_GB2312" w:eastAsia="仿宋_GB2312"/>
          <w:b/>
          <w:color w:val="auto"/>
          <w:highlight w:val="none"/>
        </w:rPr>
        <w:t>四、投标文件</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_Toc107503672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23</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"_Toc107503673" </w:instrText>
      </w:r>
      <w:r>
        <w:rPr>
          <w:color w:val="auto"/>
          <w:highlight w:val="none"/>
        </w:rPr>
        <w:fldChar w:fldCharType="separate"/>
      </w:r>
      <w:r>
        <w:rPr>
          <w:rStyle w:val="47"/>
          <w:rFonts w:hint="eastAsia" w:ascii="仿宋_GB2312" w:eastAsia="仿宋_GB2312"/>
          <w:b/>
          <w:color w:val="auto"/>
          <w:highlight w:val="none"/>
        </w:rPr>
        <w:t>（一）投标文件的式样</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_Toc107503673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23</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"_Toc107503674" </w:instrText>
      </w:r>
      <w:r>
        <w:rPr>
          <w:color w:val="auto"/>
          <w:highlight w:val="none"/>
        </w:rPr>
        <w:fldChar w:fldCharType="separate"/>
      </w:r>
      <w:r>
        <w:rPr>
          <w:rStyle w:val="47"/>
          <w:rFonts w:hint="eastAsia" w:ascii="仿宋_GB2312" w:eastAsia="仿宋_GB2312"/>
          <w:b/>
          <w:color w:val="auto"/>
          <w:highlight w:val="none"/>
        </w:rPr>
        <w:t>（二）投标文件的有效期</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_Toc107503674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23</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"_Toc107503675" </w:instrText>
      </w:r>
      <w:r>
        <w:rPr>
          <w:color w:val="auto"/>
          <w:highlight w:val="none"/>
        </w:rPr>
        <w:fldChar w:fldCharType="separate"/>
      </w:r>
      <w:r>
        <w:rPr>
          <w:rStyle w:val="47"/>
          <w:rFonts w:hint="eastAsia" w:ascii="仿宋_GB2312" w:eastAsia="仿宋_GB2312"/>
          <w:b/>
          <w:color w:val="auto"/>
          <w:highlight w:val="none"/>
        </w:rPr>
        <w:t>（三）投标报价</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_Toc107503675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23</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"_Toc107503676" </w:instrText>
      </w:r>
      <w:r>
        <w:rPr>
          <w:color w:val="auto"/>
          <w:highlight w:val="none"/>
        </w:rPr>
        <w:fldChar w:fldCharType="separate"/>
      </w:r>
      <w:r>
        <w:rPr>
          <w:rStyle w:val="47"/>
          <w:rFonts w:hint="eastAsia" w:ascii="仿宋_GB2312" w:eastAsia="仿宋_GB2312"/>
          <w:b/>
          <w:color w:val="auto"/>
          <w:highlight w:val="none"/>
        </w:rPr>
        <w:t>（四）投标文件的制作和签章</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_Toc107503676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24</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"_Toc107503677" </w:instrText>
      </w:r>
      <w:r>
        <w:rPr>
          <w:color w:val="auto"/>
          <w:highlight w:val="none"/>
        </w:rPr>
        <w:fldChar w:fldCharType="separate"/>
      </w:r>
      <w:r>
        <w:rPr>
          <w:rStyle w:val="47"/>
          <w:rFonts w:hint="eastAsia" w:ascii="仿宋_GB2312" w:eastAsia="仿宋_GB2312"/>
          <w:b/>
          <w:color w:val="auto"/>
          <w:highlight w:val="none"/>
        </w:rPr>
        <w:t>（五）投标文件的加密和提交</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_Toc107503677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"_Toc107503678" </w:instrText>
      </w:r>
      <w:r>
        <w:rPr>
          <w:color w:val="auto"/>
          <w:highlight w:val="none"/>
        </w:rPr>
        <w:fldChar w:fldCharType="separate"/>
      </w:r>
      <w:r>
        <w:rPr>
          <w:rStyle w:val="47"/>
          <w:rFonts w:hint="eastAsia" w:ascii="仿宋_GB2312" w:eastAsia="仿宋_GB2312"/>
          <w:b/>
          <w:color w:val="auto"/>
          <w:highlight w:val="none"/>
        </w:rPr>
        <w:t>（六）投标文件的补充、修改和撤回</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_Toc107503678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"_Toc107503679" </w:instrText>
      </w:r>
      <w:r>
        <w:rPr>
          <w:color w:val="auto"/>
          <w:highlight w:val="none"/>
        </w:rPr>
        <w:fldChar w:fldCharType="separate"/>
      </w:r>
      <w:r>
        <w:rPr>
          <w:rStyle w:val="47"/>
          <w:rFonts w:hint="eastAsia" w:ascii="仿宋_GB2312" w:eastAsia="仿宋_GB2312"/>
          <w:b/>
          <w:color w:val="auto"/>
          <w:highlight w:val="none"/>
        </w:rPr>
        <w:t>（七）关于投标文件的雷同性分析</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_Toc107503679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"_Toc107503680" </w:instrText>
      </w:r>
      <w:r>
        <w:rPr>
          <w:color w:val="auto"/>
          <w:highlight w:val="none"/>
        </w:rPr>
        <w:fldChar w:fldCharType="separate"/>
      </w:r>
      <w:r>
        <w:rPr>
          <w:rStyle w:val="47"/>
          <w:rFonts w:hint="eastAsia" w:ascii="仿宋_GB2312" w:eastAsia="仿宋_GB2312"/>
          <w:b/>
          <w:color w:val="auto"/>
          <w:highlight w:val="none"/>
        </w:rPr>
        <w:t>（八）投标文件被拒绝接收的情形</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_Toc107503680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26</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"_Toc107503681" </w:instrText>
      </w:r>
      <w:r>
        <w:rPr>
          <w:color w:val="auto"/>
          <w:highlight w:val="none"/>
        </w:rPr>
        <w:fldChar w:fldCharType="separate"/>
      </w:r>
      <w:r>
        <w:rPr>
          <w:rStyle w:val="47"/>
          <w:rFonts w:hint="eastAsia" w:ascii="仿宋_GB2312" w:eastAsia="仿宋_GB2312"/>
          <w:b/>
          <w:color w:val="auto"/>
          <w:highlight w:val="none"/>
        </w:rPr>
        <w:t>五、开标程序</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_Toc107503681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26</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"_Toc107503682" </w:instrText>
      </w:r>
      <w:r>
        <w:rPr>
          <w:color w:val="auto"/>
          <w:highlight w:val="none"/>
        </w:rPr>
        <w:fldChar w:fldCharType="separate"/>
      </w:r>
      <w:r>
        <w:rPr>
          <w:rStyle w:val="47"/>
          <w:rFonts w:hint="eastAsia" w:ascii="仿宋_GB2312" w:eastAsia="仿宋_GB2312"/>
          <w:b/>
          <w:color w:val="auto"/>
          <w:highlight w:val="none"/>
        </w:rPr>
        <w:t>（一）“不见面开标”基本流程[适用于不见面开标项目]</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_Toc107503682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26</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"_Toc107503683" </w:instrText>
      </w:r>
      <w:r>
        <w:rPr>
          <w:color w:val="auto"/>
          <w:highlight w:val="none"/>
        </w:rPr>
        <w:fldChar w:fldCharType="separate"/>
      </w:r>
      <w:r>
        <w:rPr>
          <w:rStyle w:val="47"/>
          <w:rFonts w:hint="eastAsia" w:ascii="仿宋_GB2312" w:eastAsia="仿宋_GB2312"/>
          <w:b/>
          <w:color w:val="auto"/>
          <w:highlight w:val="none"/>
        </w:rPr>
        <w:t>（二）“见面开标”基本流程[适用于见面开标项目]</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_Toc107503683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27</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"_Toc107503684" </w:instrText>
      </w:r>
      <w:r>
        <w:rPr>
          <w:color w:val="auto"/>
          <w:highlight w:val="none"/>
        </w:rPr>
        <w:fldChar w:fldCharType="separate"/>
      </w:r>
      <w:r>
        <w:rPr>
          <w:rStyle w:val="47"/>
          <w:rFonts w:hint="eastAsia" w:ascii="仿宋_GB2312" w:eastAsia="仿宋_GB2312"/>
          <w:b/>
          <w:color w:val="auto"/>
          <w:highlight w:val="none"/>
        </w:rPr>
        <w:t>（三）开标环节投标文件视为无效的情形</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_Toc107503684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27</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"_Toc107503685" </w:instrText>
      </w:r>
      <w:r>
        <w:rPr>
          <w:color w:val="auto"/>
          <w:highlight w:val="none"/>
        </w:rPr>
        <w:fldChar w:fldCharType="separate"/>
      </w:r>
      <w:r>
        <w:rPr>
          <w:rStyle w:val="47"/>
          <w:rFonts w:hint="eastAsia" w:ascii="仿宋_GB2312" w:eastAsia="仿宋_GB2312"/>
          <w:b/>
          <w:color w:val="auto"/>
          <w:highlight w:val="none"/>
        </w:rPr>
        <w:t>（四）突发状况的应急处置</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_Toc107503685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27</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"_Toc107503686" </w:instrText>
      </w:r>
      <w:r>
        <w:rPr>
          <w:color w:val="auto"/>
          <w:highlight w:val="none"/>
        </w:rPr>
        <w:fldChar w:fldCharType="separate"/>
      </w:r>
      <w:r>
        <w:rPr>
          <w:rStyle w:val="47"/>
          <w:rFonts w:hint="eastAsia" w:ascii="仿宋_GB2312" w:eastAsia="仿宋_GB2312"/>
          <w:b/>
          <w:color w:val="auto"/>
          <w:highlight w:val="none"/>
        </w:rPr>
        <w:t>六、资格审查</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_Toc107503686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28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"_Toc107503687" </w:instrText>
      </w:r>
      <w:r>
        <w:rPr>
          <w:color w:val="auto"/>
          <w:highlight w:val="none"/>
        </w:rPr>
        <w:fldChar w:fldCharType="separate"/>
      </w:r>
      <w:r>
        <w:rPr>
          <w:rStyle w:val="47"/>
          <w:rFonts w:hint="eastAsia" w:ascii="仿宋_GB2312" w:eastAsia="仿宋_GB2312"/>
          <w:b/>
          <w:color w:val="auto"/>
          <w:highlight w:val="none"/>
        </w:rPr>
        <w:t>七、评审方法和程序</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_Toc107503687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30</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"_Toc107503688" </w:instrText>
      </w:r>
      <w:r>
        <w:rPr>
          <w:color w:val="auto"/>
          <w:highlight w:val="none"/>
        </w:rPr>
        <w:fldChar w:fldCharType="separate"/>
      </w:r>
      <w:r>
        <w:rPr>
          <w:rStyle w:val="47"/>
          <w:rFonts w:hint="eastAsia" w:ascii="仿宋_GB2312" w:eastAsia="仿宋_GB2312"/>
          <w:b/>
          <w:color w:val="auto"/>
          <w:highlight w:val="none"/>
        </w:rPr>
        <w:t>（一）评标方法</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_Toc107503688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30</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"_Toc107503689" </w:instrText>
      </w:r>
      <w:r>
        <w:rPr>
          <w:color w:val="auto"/>
          <w:highlight w:val="none"/>
        </w:rPr>
        <w:fldChar w:fldCharType="separate"/>
      </w:r>
      <w:r>
        <w:rPr>
          <w:rStyle w:val="47"/>
          <w:rFonts w:hint="eastAsia" w:ascii="仿宋_GB2312" w:eastAsia="仿宋_GB2312"/>
          <w:b/>
          <w:color w:val="auto"/>
          <w:highlight w:val="none"/>
        </w:rPr>
        <w:t>（二）评标程序</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_Toc107503689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30</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"_Toc107503690" </w:instrText>
      </w:r>
      <w:r>
        <w:rPr>
          <w:color w:val="auto"/>
          <w:highlight w:val="none"/>
        </w:rPr>
        <w:fldChar w:fldCharType="separate"/>
      </w:r>
      <w:r>
        <w:rPr>
          <w:rStyle w:val="47"/>
          <w:rFonts w:hint="eastAsia" w:ascii="仿宋_GB2312" w:eastAsia="仿宋_GB2312"/>
          <w:b/>
          <w:color w:val="auto"/>
          <w:highlight w:val="none"/>
        </w:rPr>
        <w:t>（三）评标争议处理规则</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_Toc107503690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37</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"_Toc107503691" </w:instrText>
      </w:r>
      <w:r>
        <w:rPr>
          <w:color w:val="auto"/>
          <w:highlight w:val="none"/>
        </w:rPr>
        <w:fldChar w:fldCharType="separate"/>
      </w:r>
      <w:r>
        <w:rPr>
          <w:rStyle w:val="47"/>
          <w:rFonts w:hint="eastAsia" w:ascii="仿宋_GB2312" w:eastAsia="仿宋_GB2312"/>
          <w:b/>
          <w:color w:val="auto"/>
          <w:highlight w:val="none"/>
        </w:rPr>
        <w:t>（四）评审现场人员的保密责任</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_Toc107503691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"_Toc107503692" </w:instrText>
      </w:r>
      <w:r>
        <w:rPr>
          <w:color w:val="auto"/>
          <w:highlight w:val="none"/>
        </w:rPr>
        <w:fldChar w:fldCharType="separate"/>
      </w:r>
      <w:r>
        <w:rPr>
          <w:rStyle w:val="47"/>
          <w:rFonts w:hint="eastAsia" w:ascii="仿宋_GB2312" w:eastAsia="仿宋_GB2312"/>
          <w:b/>
          <w:color w:val="auto"/>
          <w:highlight w:val="none"/>
        </w:rPr>
        <w:t>（五）视同供应商串通投标的情形，其投标无效：</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_Toc107503692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"_Toc107503693" </w:instrText>
      </w:r>
      <w:r>
        <w:rPr>
          <w:color w:val="auto"/>
          <w:highlight w:val="none"/>
        </w:rPr>
        <w:fldChar w:fldCharType="separate"/>
      </w:r>
      <w:r>
        <w:rPr>
          <w:rStyle w:val="47"/>
          <w:rFonts w:hint="eastAsia" w:ascii="仿宋_GB2312" w:eastAsia="仿宋_GB2312"/>
          <w:b/>
          <w:color w:val="auto"/>
          <w:highlight w:val="none"/>
        </w:rPr>
        <w:t>八、中标</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_Toc107503693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"_Toc107503694" </w:instrText>
      </w:r>
      <w:r>
        <w:rPr>
          <w:color w:val="auto"/>
          <w:highlight w:val="none"/>
        </w:rPr>
        <w:fldChar w:fldCharType="separate"/>
      </w:r>
      <w:r>
        <w:rPr>
          <w:rStyle w:val="47"/>
          <w:rFonts w:hint="eastAsia" w:ascii="仿宋_GB2312" w:eastAsia="仿宋_GB2312"/>
          <w:b/>
          <w:color w:val="auto"/>
          <w:highlight w:val="none"/>
        </w:rPr>
        <w:t>九、合同签订、履行及验收</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_Toc107503694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"_Toc107503695" </w:instrText>
      </w:r>
      <w:r>
        <w:rPr>
          <w:color w:val="auto"/>
          <w:highlight w:val="none"/>
        </w:rPr>
        <w:fldChar w:fldCharType="separate"/>
      </w:r>
      <w:r>
        <w:rPr>
          <w:rStyle w:val="47"/>
          <w:rFonts w:hint="eastAsia" w:ascii="仿宋_GB2312" w:eastAsia="仿宋_GB2312"/>
          <w:b/>
          <w:color w:val="auto"/>
          <w:highlight w:val="none"/>
        </w:rPr>
        <w:t>（一）签订政府采购合同</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_Toc107503695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"_Toc107503696" </w:instrText>
      </w:r>
      <w:r>
        <w:rPr>
          <w:color w:val="auto"/>
          <w:highlight w:val="none"/>
        </w:rPr>
        <w:fldChar w:fldCharType="separate"/>
      </w:r>
      <w:r>
        <w:rPr>
          <w:rStyle w:val="47"/>
          <w:rFonts w:hint="eastAsia" w:ascii="仿宋_GB2312" w:eastAsia="仿宋_GB2312"/>
          <w:b/>
          <w:color w:val="auto"/>
          <w:highlight w:val="none"/>
        </w:rPr>
        <w:t>（二）合同公告及备案</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_Toc107503696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"_Toc107503697" </w:instrText>
      </w:r>
      <w:r>
        <w:rPr>
          <w:color w:val="auto"/>
          <w:highlight w:val="none"/>
        </w:rPr>
        <w:fldChar w:fldCharType="separate"/>
      </w:r>
      <w:r>
        <w:rPr>
          <w:rStyle w:val="47"/>
          <w:rFonts w:hint="eastAsia" w:ascii="仿宋_GB2312" w:eastAsia="仿宋_GB2312"/>
          <w:b/>
          <w:color w:val="auto"/>
          <w:highlight w:val="none"/>
        </w:rPr>
        <w:t>（三）履行合同</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_Toc107503697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"_Toc107503698" </w:instrText>
      </w:r>
      <w:r>
        <w:rPr>
          <w:color w:val="auto"/>
          <w:highlight w:val="none"/>
        </w:rPr>
        <w:fldChar w:fldCharType="separate"/>
      </w:r>
      <w:r>
        <w:rPr>
          <w:rStyle w:val="47"/>
          <w:rFonts w:hint="eastAsia" w:ascii="仿宋_GB2312" w:eastAsia="仿宋_GB2312"/>
          <w:b/>
          <w:color w:val="auto"/>
          <w:highlight w:val="none"/>
        </w:rPr>
        <w:t>（四）验收或考核</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_Toc107503698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"_Toc107503699" </w:instrText>
      </w:r>
      <w:r>
        <w:rPr>
          <w:color w:val="auto"/>
          <w:highlight w:val="none"/>
        </w:rPr>
        <w:fldChar w:fldCharType="separate"/>
      </w:r>
      <w:r>
        <w:rPr>
          <w:rStyle w:val="47"/>
          <w:rFonts w:hint="eastAsia" w:ascii="仿宋_GB2312" w:eastAsia="仿宋_GB2312"/>
          <w:b/>
          <w:color w:val="auto"/>
          <w:highlight w:val="none"/>
        </w:rPr>
        <w:t>十、废标及重新招标</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_Toc107503699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39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27"/>
        <w:tabs>
          <w:tab w:val="right" w:leader="dot" w:pos="8296"/>
        </w:tabs>
        <w:spacing w:before="420" w:after="420"/>
        <w:rPr>
          <w:rFonts w:ascii="仿宋_GB2312" w:eastAsia="仿宋_GB2312" w:hAnsiTheme="minorHAnsi"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"_Toc107503700" </w:instrText>
      </w:r>
      <w:r>
        <w:rPr>
          <w:color w:val="auto"/>
          <w:highlight w:val="none"/>
        </w:rPr>
        <w:fldChar w:fldCharType="separate"/>
      </w:r>
      <w:r>
        <w:rPr>
          <w:rStyle w:val="47"/>
          <w:rFonts w:hint="eastAsia" w:ascii="仿宋_GB2312" w:eastAsia="仿宋_GB2312"/>
          <w:b/>
          <w:color w:val="auto"/>
          <w:highlight w:val="none"/>
        </w:rPr>
        <w:t>第三章 招标内容及要求</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_Toc107503700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41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27"/>
        <w:tabs>
          <w:tab w:val="right" w:leader="dot" w:pos="8296"/>
        </w:tabs>
        <w:spacing w:before="420" w:after="420"/>
        <w:rPr>
          <w:rFonts w:ascii="仿宋_GB2312" w:eastAsia="仿宋_GB2312" w:hAnsiTheme="minorHAnsi"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"_Toc107503701" </w:instrText>
      </w:r>
      <w:r>
        <w:rPr>
          <w:color w:val="auto"/>
          <w:highlight w:val="none"/>
        </w:rPr>
        <w:fldChar w:fldCharType="separate"/>
      </w:r>
      <w:r>
        <w:rPr>
          <w:rStyle w:val="47"/>
          <w:rFonts w:hint="eastAsia" w:ascii="仿宋_GB2312" w:eastAsia="仿宋_GB2312"/>
          <w:b/>
          <w:color w:val="auto"/>
          <w:highlight w:val="none"/>
        </w:rPr>
        <w:t>第四章  合同文本</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_Toc107503701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51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27"/>
        <w:tabs>
          <w:tab w:val="right" w:leader="dot" w:pos="8296"/>
        </w:tabs>
        <w:spacing w:before="420" w:after="420"/>
        <w:rPr>
          <w:rFonts w:ascii="仿宋_GB2312" w:eastAsia="仿宋_GB2312" w:hAnsiTheme="minorHAnsi"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"_Toc107503702" </w:instrText>
      </w:r>
      <w:r>
        <w:rPr>
          <w:color w:val="auto"/>
          <w:highlight w:val="none"/>
        </w:rPr>
        <w:fldChar w:fldCharType="separate"/>
      </w:r>
      <w:r>
        <w:rPr>
          <w:rStyle w:val="47"/>
          <w:rFonts w:hint="eastAsia" w:ascii="仿宋_GB2312" w:eastAsia="仿宋_GB2312"/>
          <w:b/>
          <w:color w:val="auto"/>
          <w:highlight w:val="none"/>
        </w:rPr>
        <w:t>第五章  投标文件构成及格式</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_Toc107503702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55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"_Toc107503703" </w:instrText>
      </w:r>
      <w:r>
        <w:rPr>
          <w:color w:val="auto"/>
          <w:highlight w:val="none"/>
        </w:rPr>
        <w:fldChar w:fldCharType="separate"/>
      </w:r>
      <w:r>
        <w:rPr>
          <w:rStyle w:val="47"/>
          <w:rFonts w:hint="eastAsia" w:ascii="仿宋_GB2312" w:eastAsia="仿宋_GB2312"/>
          <w:b/>
          <w:color w:val="auto"/>
          <w:highlight w:val="none"/>
        </w:rPr>
        <w:t>第一部分  投标函</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_Toc107503703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57</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"_Toc107503704" </w:instrText>
      </w:r>
      <w:r>
        <w:rPr>
          <w:color w:val="auto"/>
          <w:highlight w:val="none"/>
        </w:rPr>
        <w:fldChar w:fldCharType="separate"/>
      </w:r>
      <w:r>
        <w:rPr>
          <w:rStyle w:val="47"/>
          <w:rFonts w:hint="eastAsia" w:ascii="仿宋_GB2312" w:eastAsia="仿宋_GB2312"/>
          <w:b/>
          <w:color w:val="auto"/>
          <w:highlight w:val="none"/>
        </w:rPr>
        <w:t>第二部分  开标一览表</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_Toc107503704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58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"_Toc107503705" </w:instrText>
      </w:r>
      <w:r>
        <w:rPr>
          <w:color w:val="auto"/>
          <w:highlight w:val="none"/>
        </w:rPr>
        <w:fldChar w:fldCharType="separate"/>
      </w:r>
      <w:r>
        <w:rPr>
          <w:rStyle w:val="47"/>
          <w:rFonts w:hint="eastAsia" w:ascii="仿宋_GB2312" w:eastAsia="仿宋_GB2312"/>
          <w:b/>
          <w:color w:val="auto"/>
          <w:highlight w:val="none"/>
        </w:rPr>
        <w:t>分项报价表</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_Toc107503705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59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"_Toc107503706" </w:instrText>
      </w:r>
      <w:r>
        <w:rPr>
          <w:color w:val="auto"/>
          <w:highlight w:val="none"/>
        </w:rPr>
        <w:fldChar w:fldCharType="separate"/>
      </w:r>
      <w:r>
        <w:rPr>
          <w:rStyle w:val="47"/>
          <w:rFonts w:hint="eastAsia" w:ascii="仿宋_GB2312" w:eastAsia="仿宋_GB2312"/>
          <w:b/>
          <w:color w:val="auto"/>
          <w:highlight w:val="none"/>
        </w:rPr>
        <w:t>第三部分  资格证明文件</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_Toc107503706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60</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"_Toc107503707" </w:instrText>
      </w:r>
      <w:r>
        <w:rPr>
          <w:color w:val="auto"/>
          <w:highlight w:val="none"/>
        </w:rPr>
        <w:fldChar w:fldCharType="separate"/>
      </w:r>
      <w:r>
        <w:rPr>
          <w:rStyle w:val="47"/>
          <w:rFonts w:hint="eastAsia" w:ascii="仿宋_GB2312" w:eastAsia="仿宋_GB2312"/>
          <w:b/>
          <w:color w:val="auto"/>
          <w:highlight w:val="none"/>
        </w:rPr>
        <w:t>（一）有效的登记注册证</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_Toc107503707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60</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"_Toc107503708" </w:instrText>
      </w:r>
      <w:r>
        <w:rPr>
          <w:color w:val="auto"/>
          <w:highlight w:val="none"/>
        </w:rPr>
        <w:fldChar w:fldCharType="separate"/>
      </w:r>
      <w:r>
        <w:rPr>
          <w:rStyle w:val="47"/>
          <w:rFonts w:hint="eastAsia" w:ascii="仿宋_GB2312" w:eastAsia="仿宋_GB2312"/>
          <w:b/>
          <w:color w:val="auto"/>
          <w:highlight w:val="none"/>
        </w:rPr>
        <w:t>（二）财务状况报告</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_Toc107503708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"_Toc107503709" </w:instrText>
      </w:r>
      <w:r>
        <w:rPr>
          <w:color w:val="auto"/>
          <w:highlight w:val="none"/>
        </w:rPr>
        <w:fldChar w:fldCharType="separate"/>
      </w:r>
      <w:r>
        <w:rPr>
          <w:rStyle w:val="47"/>
          <w:rFonts w:hint="eastAsia" w:ascii="仿宋_GB2312" w:eastAsia="仿宋_GB2312"/>
          <w:b/>
          <w:color w:val="auto"/>
          <w:highlight w:val="none"/>
        </w:rPr>
        <w:t>（三）社会保障资金缴纳证明</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_Toc107503709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62</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"_Toc107503710" </w:instrText>
      </w:r>
      <w:r>
        <w:rPr>
          <w:color w:val="auto"/>
          <w:highlight w:val="none"/>
        </w:rPr>
        <w:fldChar w:fldCharType="separate"/>
      </w:r>
      <w:r>
        <w:rPr>
          <w:rStyle w:val="47"/>
          <w:rFonts w:hint="eastAsia" w:ascii="仿宋_GB2312" w:eastAsia="仿宋_GB2312"/>
          <w:b/>
          <w:color w:val="auto"/>
          <w:highlight w:val="none"/>
        </w:rPr>
        <w:t>（四）税收缴纳证明</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_Toc107503710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63</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"_Toc107503711" </w:instrText>
      </w:r>
      <w:r>
        <w:rPr>
          <w:color w:val="auto"/>
          <w:highlight w:val="none"/>
        </w:rPr>
        <w:fldChar w:fldCharType="separate"/>
      </w:r>
      <w:r>
        <w:rPr>
          <w:rStyle w:val="47"/>
          <w:rFonts w:hint="eastAsia" w:ascii="仿宋_GB2312" w:eastAsia="仿宋_GB2312"/>
          <w:b/>
          <w:color w:val="auto"/>
          <w:highlight w:val="none"/>
        </w:rPr>
        <w:t>（五）具备履行合同所必需的设备和专业技术能力的证明材料或承诺书</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_Toc107503711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64</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"_Toc107503712" </w:instrText>
      </w:r>
      <w:r>
        <w:rPr>
          <w:color w:val="auto"/>
          <w:highlight w:val="none"/>
        </w:rPr>
        <w:fldChar w:fldCharType="separate"/>
      </w:r>
      <w:r>
        <w:rPr>
          <w:rStyle w:val="47"/>
          <w:rFonts w:hint="eastAsia" w:ascii="仿宋_GB2312" w:eastAsia="仿宋_GB2312"/>
          <w:b/>
          <w:color w:val="auto"/>
          <w:highlight w:val="none"/>
        </w:rPr>
        <w:t>（六）无重大违法记录声明（按下方给定格式进行填写）</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_Toc107503712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"_Toc107503713" </w:instrText>
      </w:r>
      <w:r>
        <w:rPr>
          <w:color w:val="auto"/>
          <w:highlight w:val="none"/>
        </w:rPr>
        <w:fldChar w:fldCharType="separate"/>
      </w:r>
      <w:r>
        <w:rPr>
          <w:rStyle w:val="47"/>
          <w:rFonts w:hint="eastAsia" w:ascii="仿宋_GB2312" w:eastAsia="仿宋_GB2312"/>
          <w:b/>
          <w:color w:val="auto"/>
          <w:highlight w:val="none"/>
        </w:rPr>
        <w:t>（七）供应商企业类型</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_Toc107503713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66</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"_Toc107503714" </w:instrText>
      </w:r>
      <w:r>
        <w:rPr>
          <w:color w:val="auto"/>
          <w:highlight w:val="none"/>
        </w:rPr>
        <w:fldChar w:fldCharType="separate"/>
      </w:r>
      <w:r>
        <w:rPr>
          <w:rStyle w:val="47"/>
          <w:rFonts w:hint="eastAsia" w:ascii="仿宋_GB2312" w:hAnsi="仿宋" w:eastAsia="仿宋_GB2312"/>
          <w:b/>
          <w:color w:val="auto"/>
          <w:highlight w:val="none"/>
        </w:rPr>
        <w:t>1．中小企业声明函</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_Toc107503714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66</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"_Toc107503715" </w:instrText>
      </w:r>
      <w:r>
        <w:rPr>
          <w:color w:val="auto"/>
          <w:highlight w:val="none"/>
        </w:rPr>
        <w:fldChar w:fldCharType="separate"/>
      </w:r>
      <w:r>
        <w:rPr>
          <w:rStyle w:val="47"/>
          <w:rFonts w:hint="eastAsia" w:ascii="仿宋_GB2312" w:hAnsi="仿宋" w:eastAsia="仿宋_GB2312"/>
          <w:b/>
          <w:color w:val="auto"/>
          <w:highlight w:val="none"/>
        </w:rPr>
        <w:t>2．残疾人福利性单位声明函</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_Toc107503715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67</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"_Toc107503716" </w:instrText>
      </w:r>
      <w:r>
        <w:rPr>
          <w:color w:val="auto"/>
          <w:highlight w:val="none"/>
        </w:rPr>
        <w:fldChar w:fldCharType="separate"/>
      </w:r>
      <w:r>
        <w:rPr>
          <w:rStyle w:val="47"/>
          <w:rFonts w:hint="eastAsia" w:ascii="仿宋_GB2312" w:hAnsi="仿宋" w:eastAsia="仿宋_GB2312"/>
          <w:b/>
          <w:color w:val="auto"/>
          <w:highlight w:val="none"/>
        </w:rPr>
        <w:t>3．监狱企业证明函</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_Toc107503716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"_Toc107503717" </w:instrText>
      </w:r>
      <w:r>
        <w:rPr>
          <w:color w:val="auto"/>
          <w:highlight w:val="none"/>
        </w:rPr>
        <w:fldChar w:fldCharType="separate"/>
      </w:r>
      <w:r>
        <w:rPr>
          <w:rStyle w:val="47"/>
          <w:rFonts w:hint="eastAsia" w:ascii="仿宋_GB2312" w:eastAsia="仿宋_GB2312"/>
          <w:b/>
          <w:color w:val="auto"/>
          <w:highlight w:val="none"/>
        </w:rPr>
        <w:t>（八）法定代表人（主要负责人）委托授权书\身份证明（按下方给定格式进行填写）</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_Toc107503717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69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"_Toc107503718" </w:instrText>
      </w:r>
      <w:r>
        <w:rPr>
          <w:color w:val="auto"/>
          <w:highlight w:val="none"/>
        </w:rPr>
        <w:fldChar w:fldCharType="separate"/>
      </w:r>
      <w:r>
        <w:rPr>
          <w:rStyle w:val="47"/>
          <w:rFonts w:hint="eastAsia" w:ascii="仿宋_GB2312" w:eastAsia="仿宋_GB2312"/>
          <w:b/>
          <w:color w:val="auto"/>
          <w:highlight w:val="none"/>
        </w:rPr>
        <w:t>（九）招标公告中要求的其他资格证明文件</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_Toc107503718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71</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"_Toc107503719" </w:instrText>
      </w:r>
      <w:r>
        <w:rPr>
          <w:color w:val="auto"/>
          <w:highlight w:val="none"/>
        </w:rPr>
        <w:fldChar w:fldCharType="separate"/>
      </w:r>
      <w:r>
        <w:rPr>
          <w:rStyle w:val="47"/>
          <w:rFonts w:hint="eastAsia" w:ascii="仿宋_GB2312" w:eastAsia="仿宋_GB2312"/>
          <w:b/>
          <w:color w:val="auto"/>
          <w:highlight w:val="none"/>
        </w:rPr>
        <w:t>第四部分  供应商概况</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_Toc107503719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72</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"_Toc107503720" </w:instrText>
      </w:r>
      <w:r>
        <w:rPr>
          <w:color w:val="auto"/>
          <w:highlight w:val="none"/>
        </w:rPr>
        <w:fldChar w:fldCharType="separate"/>
      </w:r>
      <w:r>
        <w:rPr>
          <w:rStyle w:val="47"/>
          <w:rFonts w:hint="eastAsia" w:ascii="仿宋_GB2312" w:eastAsia="仿宋_GB2312"/>
          <w:b/>
          <w:color w:val="auto"/>
          <w:highlight w:val="none"/>
        </w:rPr>
        <w:t>第五部分  供应商参加政府采购活动承诺书</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_Toc107503720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73</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"_Toc107503721" </w:instrText>
      </w:r>
      <w:r>
        <w:rPr>
          <w:color w:val="auto"/>
          <w:highlight w:val="none"/>
        </w:rPr>
        <w:fldChar w:fldCharType="separate"/>
      </w:r>
      <w:r>
        <w:rPr>
          <w:rStyle w:val="47"/>
          <w:rFonts w:hint="eastAsia" w:ascii="仿宋_GB2312" w:eastAsia="仿宋_GB2312"/>
          <w:b/>
          <w:color w:val="auto"/>
          <w:highlight w:val="none"/>
        </w:rPr>
        <w:t>（一）质量安全责任承诺书</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_Toc107503721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73</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"_Toc107503722" </w:instrText>
      </w:r>
      <w:r>
        <w:rPr>
          <w:color w:val="auto"/>
          <w:highlight w:val="none"/>
        </w:rPr>
        <w:fldChar w:fldCharType="separate"/>
      </w:r>
      <w:r>
        <w:rPr>
          <w:rStyle w:val="47"/>
          <w:rFonts w:hint="eastAsia" w:ascii="仿宋_GB2312" w:eastAsia="仿宋_GB2312"/>
          <w:b/>
          <w:color w:val="auto"/>
          <w:highlight w:val="none"/>
        </w:rPr>
        <w:t>（二）参加政府采购活动行为自律承诺书</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_Toc107503722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74</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32"/>
        <w:tabs>
          <w:tab w:val="right" w:leader="dot" w:pos="8296"/>
        </w:tabs>
        <w:ind w:left="48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"_Toc107503723" </w:instrText>
      </w:r>
      <w:r>
        <w:rPr>
          <w:color w:val="auto"/>
          <w:highlight w:val="none"/>
        </w:rPr>
        <w:fldChar w:fldCharType="separate"/>
      </w:r>
      <w:r>
        <w:rPr>
          <w:rStyle w:val="47"/>
          <w:rFonts w:hint="eastAsia" w:ascii="仿宋_GB2312" w:eastAsia="仿宋_GB2312"/>
          <w:b/>
          <w:color w:val="auto"/>
          <w:highlight w:val="none"/>
        </w:rPr>
        <w:t>第六部分  投标方案</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_Toc107503723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"_Toc107503724" </w:instrText>
      </w:r>
      <w:r>
        <w:rPr>
          <w:color w:val="auto"/>
          <w:highlight w:val="none"/>
        </w:rPr>
        <w:fldChar w:fldCharType="separate"/>
      </w:r>
      <w:r>
        <w:rPr>
          <w:rStyle w:val="47"/>
          <w:rFonts w:hint="eastAsia" w:ascii="仿宋_GB2312" w:eastAsia="仿宋_GB2312"/>
          <w:b/>
          <w:color w:val="auto"/>
          <w:highlight w:val="none"/>
        </w:rPr>
        <w:t>（一）技术（服务）要求响应索引表</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_Toc107503724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75</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"_Toc107503725" </w:instrText>
      </w:r>
      <w:r>
        <w:rPr>
          <w:color w:val="auto"/>
          <w:highlight w:val="none"/>
        </w:rPr>
        <w:fldChar w:fldCharType="separate"/>
      </w:r>
      <w:r>
        <w:rPr>
          <w:rStyle w:val="47"/>
          <w:rFonts w:hint="eastAsia" w:ascii="仿宋_GB2312" w:eastAsia="仿宋_GB2312"/>
          <w:b/>
          <w:color w:val="auto"/>
          <w:highlight w:val="none"/>
        </w:rPr>
        <w:t>（二）商务要求响应索引表</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_Toc107503725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76</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"_Toc107503726" </w:instrText>
      </w:r>
      <w:r>
        <w:rPr>
          <w:color w:val="auto"/>
          <w:highlight w:val="none"/>
        </w:rPr>
        <w:fldChar w:fldCharType="separate"/>
      </w:r>
      <w:r>
        <w:rPr>
          <w:rStyle w:val="47"/>
          <w:rFonts w:hint="eastAsia" w:ascii="仿宋_GB2312" w:eastAsia="仿宋_GB2312"/>
          <w:b/>
          <w:color w:val="auto"/>
          <w:highlight w:val="none"/>
        </w:rPr>
        <w:t>（三）合同条款响应</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_Toc107503726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77</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"_Toc107503727" </w:instrText>
      </w:r>
      <w:r>
        <w:rPr>
          <w:color w:val="auto"/>
          <w:highlight w:val="none"/>
        </w:rPr>
        <w:fldChar w:fldCharType="separate"/>
      </w:r>
      <w:r>
        <w:rPr>
          <w:rStyle w:val="47"/>
          <w:rFonts w:hint="eastAsia" w:ascii="仿宋_GB2312" w:eastAsia="仿宋_GB2312"/>
          <w:b/>
          <w:color w:val="auto"/>
          <w:highlight w:val="none"/>
        </w:rPr>
        <w:t>（四）评审方案</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_Toc107503727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78</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pStyle w:val="19"/>
        <w:tabs>
          <w:tab w:val="right" w:leader="dot" w:pos="8296"/>
        </w:tabs>
        <w:ind w:left="960"/>
        <w:rPr>
          <w:rFonts w:ascii="仿宋_GB2312" w:eastAsia="仿宋_GB2312" w:cstheme="minorBidi"/>
          <w:b/>
          <w:color w:val="auto"/>
          <w:kern w:val="2"/>
          <w:sz w:val="21"/>
          <w:szCs w:val="22"/>
          <w:highlight w:val="none"/>
        </w:rPr>
      </w:pPr>
      <w:r>
        <w:rPr>
          <w:color w:val="auto"/>
          <w:highlight w:val="none"/>
        </w:rPr>
        <w:fldChar w:fldCharType="begin"/>
      </w:r>
      <w:r>
        <w:rPr>
          <w:color w:val="auto"/>
          <w:highlight w:val="none"/>
        </w:rPr>
        <w:instrText xml:space="preserve"> HYPERLINK \l "_Toc107503728" </w:instrText>
      </w:r>
      <w:r>
        <w:rPr>
          <w:color w:val="auto"/>
          <w:highlight w:val="none"/>
        </w:rPr>
        <w:fldChar w:fldCharType="separate"/>
      </w:r>
      <w:r>
        <w:rPr>
          <w:rStyle w:val="47"/>
          <w:rFonts w:hint="eastAsia" w:ascii="仿宋_GB2312" w:eastAsia="仿宋_GB2312"/>
          <w:b/>
          <w:color w:val="auto"/>
          <w:highlight w:val="none"/>
        </w:rPr>
        <w:t>（五）其他需要供应商提供的材料</w:t>
      </w:r>
      <w:r>
        <w:rPr>
          <w:rFonts w:hint="eastAsia" w:ascii="仿宋_GB2312" w:eastAsia="仿宋_GB2312"/>
          <w:b/>
          <w:color w:val="auto"/>
          <w:highlight w:val="none"/>
        </w:rPr>
        <w:tab/>
      </w:r>
      <w:r>
        <w:rPr>
          <w:rFonts w:hint="eastAsia" w:ascii="仿宋_GB2312" w:eastAsia="仿宋_GB2312"/>
          <w:b/>
          <w:color w:val="auto"/>
          <w:highlight w:val="none"/>
        </w:rPr>
        <w:fldChar w:fldCharType="begin"/>
      </w:r>
      <w:r>
        <w:rPr>
          <w:rFonts w:hint="eastAsia" w:ascii="仿宋_GB2312" w:eastAsia="仿宋_GB2312"/>
          <w:b/>
          <w:color w:val="auto"/>
          <w:highlight w:val="none"/>
        </w:rPr>
        <w:instrText xml:space="preserve"> PAGEREF _Toc107503728 \h </w:instrText>
      </w:r>
      <w:r>
        <w:rPr>
          <w:rFonts w:hint="eastAsia" w:ascii="仿宋_GB2312" w:eastAsia="仿宋_GB2312"/>
          <w:b/>
          <w:color w:val="auto"/>
          <w:highlight w:val="none"/>
        </w:rPr>
        <w:fldChar w:fldCharType="separate"/>
      </w:r>
      <w:r>
        <w:rPr>
          <w:rFonts w:hint="eastAsia" w:ascii="仿宋_GB2312" w:eastAsia="仿宋_GB2312"/>
          <w:b/>
          <w:color w:val="auto"/>
          <w:highlight w:val="none"/>
        </w:rPr>
        <w:t>79</w:t>
      </w:r>
      <w:r>
        <w:rPr>
          <w:rFonts w:hint="eastAsia" w:ascii="仿宋_GB2312" w:eastAsia="仿宋_GB2312"/>
          <w:b/>
          <w:color w:val="auto"/>
          <w:highlight w:val="none"/>
        </w:rPr>
        <w:fldChar w:fldCharType="end"/>
      </w:r>
      <w:r>
        <w:rPr>
          <w:rFonts w:hint="eastAsia" w:ascii="仿宋_GB2312" w:eastAsia="仿宋_GB2312"/>
          <w:b/>
          <w:color w:val="auto"/>
          <w:highlight w:val="none"/>
        </w:rPr>
        <w:fldChar w:fldCharType="end"/>
      </w:r>
    </w:p>
    <w:p>
      <w:pPr>
        <w:tabs>
          <w:tab w:val="left" w:pos="5460"/>
        </w:tabs>
        <w:autoSpaceDE w:val="0"/>
        <w:autoSpaceDN w:val="0"/>
        <w:adjustRightInd w:val="0"/>
        <w:snapToGrid w:val="0"/>
        <w:spacing w:line="240" w:lineRule="atLeast"/>
        <w:jc w:val="center"/>
        <w:rPr>
          <w:rFonts w:ascii="仿宋_GB2312" w:eastAsia="仿宋_GB2312"/>
          <w:b/>
          <w:bCs/>
          <w:color w:val="auto"/>
          <w:sz w:val="20"/>
          <w:szCs w:val="32"/>
          <w:highlight w:val="none"/>
        </w:rPr>
      </w:pPr>
      <w:r>
        <w:rPr>
          <w:rFonts w:hint="eastAsia" w:ascii="仿宋_GB2312" w:hAnsi="宋体" w:eastAsia="仿宋_GB2312" w:cs="宋体"/>
          <w:b/>
          <w:color w:val="auto"/>
          <w:sz w:val="13"/>
          <w:szCs w:val="21"/>
          <w:highlight w:val="none"/>
        </w:rPr>
        <w:fldChar w:fldCharType="end"/>
      </w:r>
    </w:p>
    <w:p>
      <w:pPr>
        <w:tabs>
          <w:tab w:val="center" w:pos="4805"/>
        </w:tabs>
        <w:spacing w:line="240" w:lineRule="atLeast"/>
        <w:ind w:left="1156" w:leftChars="257" w:hanging="540"/>
        <w:jc w:val="center"/>
        <w:rPr>
          <w:rFonts w:ascii="仿宋_GB2312" w:eastAsia="仿宋_GB2312"/>
          <w:b/>
          <w:color w:val="auto"/>
          <w:highlight w:val="none"/>
        </w:rPr>
      </w:pPr>
    </w:p>
    <w:p>
      <w:pPr>
        <w:tabs>
          <w:tab w:val="center" w:pos="4805"/>
        </w:tabs>
        <w:spacing w:line="240" w:lineRule="atLeast"/>
        <w:ind w:left="1156" w:leftChars="257" w:hanging="540"/>
        <w:jc w:val="center"/>
        <w:rPr>
          <w:rFonts w:ascii="仿宋_GB2312" w:eastAsia="仿宋_GB2312"/>
          <w:b/>
          <w:color w:val="auto"/>
          <w:sz w:val="32"/>
          <w:highlight w:val="none"/>
        </w:rPr>
      </w:pPr>
    </w:p>
    <w:p>
      <w:pPr>
        <w:tabs>
          <w:tab w:val="center" w:pos="4805"/>
        </w:tabs>
        <w:spacing w:line="240" w:lineRule="atLeast"/>
        <w:ind w:left="1156" w:leftChars="257" w:hanging="540"/>
        <w:jc w:val="center"/>
        <w:rPr>
          <w:rFonts w:ascii="仿宋_GB2312" w:eastAsia="仿宋_GB2312"/>
          <w:b/>
          <w:color w:val="auto"/>
          <w:sz w:val="32"/>
          <w:highlight w:val="none"/>
        </w:rPr>
      </w:pPr>
    </w:p>
    <w:p>
      <w:pPr>
        <w:tabs>
          <w:tab w:val="center" w:pos="4805"/>
        </w:tabs>
        <w:spacing w:line="240" w:lineRule="atLeast"/>
        <w:ind w:left="1156" w:leftChars="257" w:hanging="540"/>
        <w:jc w:val="center"/>
        <w:rPr>
          <w:rFonts w:ascii="仿宋_GB2312" w:eastAsia="仿宋_GB2312"/>
          <w:b/>
          <w:color w:val="auto"/>
          <w:sz w:val="32"/>
          <w:highlight w:val="none"/>
        </w:rPr>
      </w:pPr>
    </w:p>
    <w:p>
      <w:pPr>
        <w:tabs>
          <w:tab w:val="center" w:pos="4805"/>
        </w:tabs>
        <w:spacing w:line="240" w:lineRule="atLeast"/>
        <w:ind w:left="1156" w:leftChars="257" w:hanging="540"/>
        <w:jc w:val="center"/>
        <w:rPr>
          <w:rFonts w:ascii="仿宋_GB2312" w:eastAsia="仿宋_GB2312"/>
          <w:b/>
          <w:color w:val="auto"/>
          <w:sz w:val="32"/>
          <w:highlight w:val="none"/>
        </w:rPr>
      </w:pPr>
    </w:p>
    <w:p>
      <w:pPr>
        <w:tabs>
          <w:tab w:val="center" w:pos="4805"/>
        </w:tabs>
        <w:spacing w:line="240" w:lineRule="atLeast"/>
        <w:ind w:left="1156" w:leftChars="257" w:hanging="540"/>
        <w:jc w:val="center"/>
        <w:rPr>
          <w:rFonts w:ascii="仿宋_GB2312" w:eastAsia="仿宋_GB2312"/>
          <w:b/>
          <w:color w:val="auto"/>
          <w:sz w:val="32"/>
          <w:highlight w:val="none"/>
        </w:rPr>
      </w:pPr>
    </w:p>
    <w:p>
      <w:pPr>
        <w:pStyle w:val="3"/>
        <w:rPr>
          <w:color w:val="auto"/>
          <w:highlight w:val="none"/>
        </w:rPr>
      </w:pPr>
      <w:bookmarkStart w:id="8" w:name="_Toc107503653"/>
      <w:r>
        <w:rPr>
          <w:rFonts w:hint="eastAsia" w:ascii="仿宋_GB2312" w:eastAsia="仿宋_GB2312"/>
          <w:b/>
          <w:color w:val="auto"/>
          <w:sz w:val="24"/>
          <w:szCs w:val="24"/>
          <w:highlight w:val="none"/>
        </w:rPr>
        <w:t>第一章   西安市博览事务中心欧亚经济论坛经贸合作博览会暨中国（陕西）进出口商品展2022年系列活动招标公告</w:t>
      </w:r>
      <w:bookmarkEnd w:id="8"/>
    </w:p>
    <w:p>
      <w:pPr>
        <w:adjustRightInd w:val="0"/>
        <w:snapToGrid w:val="0"/>
        <w:spacing w:before="420" w:beforeLines="100" w:line="360" w:lineRule="auto"/>
        <w:ind w:firstLine="480" w:firstLineChars="200"/>
        <w:rPr>
          <w:rFonts w:ascii="仿宋_GB2312" w:eastAsia="仿宋_GB2312"/>
          <w:b/>
          <w:color w:val="auto"/>
          <w:highlight w:val="none"/>
        </w:rPr>
      </w:pPr>
      <w:r>
        <w:rPr>
          <w:rFonts w:hint="eastAsia" w:ascii="仿宋_GB2312" w:eastAsia="仿宋_GB2312"/>
          <w:b/>
          <w:color w:val="auto"/>
          <w:highlight w:val="none"/>
        </w:rPr>
        <w:t>项目概况</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欧亚经济论坛经贸合作博览会暨中国（陕西）进出口商品展2022年系列活动招标项目潜在的投标人应在全国公共资源交易平台（陕西省·西安市）（http://sxggzyjy.xa.gov.cn/）获取招标文件，并于</w:t>
      </w:r>
      <w:r>
        <w:rPr>
          <w:rFonts w:hint="eastAsia" w:ascii="仿宋_GB2312" w:eastAsia="仿宋_GB2312"/>
          <w:color w:val="auto"/>
          <w:highlight w:val="none"/>
        </w:rPr>
        <w:t>2022年08月10日</w:t>
      </w:r>
      <w:r>
        <w:rPr>
          <w:rFonts w:hint="eastAsia" w:ascii="仿宋_GB2312" w:eastAsia="仿宋_GB2312"/>
          <w:color w:val="auto"/>
          <w:highlight w:val="none"/>
        </w:rPr>
        <w:t>10时00分（北京时间）前递交投标文件。</w:t>
      </w:r>
    </w:p>
    <w:p>
      <w:pPr>
        <w:adjustRightInd w:val="0"/>
        <w:snapToGrid w:val="0"/>
        <w:spacing w:line="360" w:lineRule="auto"/>
        <w:ind w:firstLine="480" w:firstLineChars="200"/>
        <w:rPr>
          <w:rFonts w:ascii="仿宋_GB2312" w:eastAsia="仿宋_GB2312"/>
          <w:b/>
          <w:color w:val="auto"/>
          <w:highlight w:val="none"/>
        </w:rPr>
      </w:pPr>
      <w:r>
        <w:rPr>
          <w:rFonts w:hint="eastAsia" w:ascii="仿宋_GB2312" w:eastAsia="仿宋_GB2312"/>
          <w:b/>
          <w:color w:val="auto"/>
          <w:highlight w:val="none"/>
        </w:rPr>
        <w:t>一、项目基本情况</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项目编号：</w:t>
      </w:r>
      <w:r>
        <w:rPr>
          <w:rFonts w:ascii="仿宋_GB2312" w:eastAsia="仿宋_GB2312"/>
          <w:color w:val="auto"/>
          <w:highlight w:val="none"/>
        </w:rPr>
        <w:t>ZCZX2022-ZB-089</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项目名称：欧亚经济论坛经贸合作博览会暨中国（陕西）进出口商品展2022年系列活动</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采购方式：公开招标</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预算金额：14,300,000.00元</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采购需求：</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合同包1(欧亚经济论坛经贸合作博览会暨中国（陕西）进出口商品展2022年系列活动):</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合同包预算金额：14,300,000.00元</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合同包最高限价：</w:t>
      </w:r>
      <w:r>
        <w:rPr>
          <w:rFonts w:ascii="仿宋_GB2312" w:eastAsia="仿宋_GB2312"/>
          <w:color w:val="auto"/>
          <w:highlight w:val="none"/>
        </w:rPr>
        <w:t xml:space="preserve"> </w:t>
      </w:r>
    </w:p>
    <w:tbl>
      <w:tblPr>
        <w:tblStyle w:val="39"/>
        <w:tblW w:w="529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35"/>
        <w:gridCol w:w="939"/>
        <w:gridCol w:w="2485"/>
        <w:gridCol w:w="1008"/>
        <w:gridCol w:w="1189"/>
        <w:gridCol w:w="1883"/>
        <w:gridCol w:w="8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7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color w:val="auto"/>
                <w:szCs w:val="21"/>
                <w:highlight w:val="none"/>
              </w:rPr>
            </w:pPr>
            <w:r>
              <w:rPr>
                <w:rFonts w:hint="eastAsia" w:ascii="仿宋_GB2312" w:eastAsia="仿宋_GB2312"/>
                <w:b/>
                <w:bCs/>
                <w:color w:val="auto"/>
                <w:szCs w:val="21"/>
                <w:highlight w:val="none"/>
              </w:rPr>
              <w:t>品目号</w:t>
            </w:r>
          </w:p>
        </w:tc>
        <w:tc>
          <w:tcPr>
            <w:tcW w:w="9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color w:val="auto"/>
                <w:szCs w:val="21"/>
                <w:highlight w:val="none"/>
              </w:rPr>
            </w:pPr>
            <w:r>
              <w:rPr>
                <w:rFonts w:hint="eastAsia" w:ascii="仿宋_GB2312" w:eastAsia="仿宋_GB2312"/>
                <w:b/>
                <w:bCs/>
                <w:color w:val="auto"/>
                <w:szCs w:val="21"/>
                <w:highlight w:val="none"/>
              </w:rPr>
              <w:t>品目名称</w:t>
            </w:r>
          </w:p>
        </w:tc>
        <w:tc>
          <w:tcPr>
            <w:tcW w:w="2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color w:val="auto"/>
                <w:szCs w:val="21"/>
                <w:highlight w:val="none"/>
              </w:rPr>
            </w:pPr>
            <w:r>
              <w:rPr>
                <w:rFonts w:hint="eastAsia" w:ascii="仿宋_GB2312" w:eastAsia="仿宋_GB2312"/>
                <w:b/>
                <w:bCs/>
                <w:color w:val="auto"/>
                <w:szCs w:val="21"/>
                <w:highlight w:val="none"/>
              </w:rPr>
              <w:t>采购标的</w:t>
            </w:r>
          </w:p>
        </w:tc>
        <w:tc>
          <w:tcPr>
            <w:tcW w:w="10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color w:val="auto"/>
                <w:szCs w:val="21"/>
                <w:highlight w:val="none"/>
              </w:rPr>
            </w:pPr>
            <w:r>
              <w:rPr>
                <w:rFonts w:hint="eastAsia" w:ascii="仿宋_GB2312" w:eastAsia="仿宋_GB2312"/>
                <w:b/>
                <w:bCs/>
                <w:color w:val="auto"/>
                <w:szCs w:val="21"/>
                <w:highlight w:val="none"/>
              </w:rPr>
              <w:t>数量（单位）</w:t>
            </w:r>
          </w:p>
        </w:tc>
        <w:tc>
          <w:tcPr>
            <w:tcW w:w="118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color w:val="auto"/>
                <w:szCs w:val="21"/>
                <w:highlight w:val="none"/>
              </w:rPr>
            </w:pPr>
            <w:r>
              <w:rPr>
                <w:rFonts w:hint="eastAsia" w:ascii="仿宋_GB2312" w:eastAsia="仿宋_GB2312"/>
                <w:b/>
                <w:bCs/>
                <w:color w:val="auto"/>
                <w:szCs w:val="21"/>
                <w:highlight w:val="none"/>
              </w:rPr>
              <w:t>技术规格、参数及要求</w:t>
            </w:r>
          </w:p>
        </w:tc>
        <w:tc>
          <w:tcPr>
            <w:tcW w:w="1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color w:val="auto"/>
                <w:szCs w:val="21"/>
                <w:highlight w:val="none"/>
              </w:rPr>
            </w:pPr>
            <w:r>
              <w:rPr>
                <w:rFonts w:hint="eastAsia" w:ascii="仿宋_GB2312" w:eastAsia="仿宋_GB2312"/>
                <w:b/>
                <w:bCs/>
                <w:color w:val="auto"/>
                <w:szCs w:val="21"/>
                <w:highlight w:val="none"/>
              </w:rPr>
              <w:t>品目预算(元)</w:t>
            </w:r>
          </w:p>
        </w:tc>
        <w:tc>
          <w:tcPr>
            <w:tcW w:w="8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b/>
                <w:bCs/>
                <w:color w:val="auto"/>
                <w:szCs w:val="21"/>
                <w:highlight w:val="none"/>
              </w:rPr>
            </w:pPr>
            <w:r>
              <w:rPr>
                <w:rFonts w:hint="eastAsia" w:ascii="仿宋_GB2312" w:eastAsia="仿宋_GB2312"/>
                <w:b/>
                <w:bCs/>
                <w:color w:val="auto"/>
                <w:szCs w:val="21"/>
                <w:highlight w:val="none"/>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color w:val="auto"/>
                <w:szCs w:val="21"/>
                <w:highlight w:val="none"/>
              </w:rPr>
            </w:pPr>
            <w:r>
              <w:rPr>
                <w:rFonts w:hint="eastAsia" w:ascii="仿宋_GB2312" w:eastAsia="仿宋_GB2312"/>
                <w:color w:val="auto"/>
                <w:szCs w:val="21"/>
                <w:highlight w:val="none"/>
              </w:rPr>
              <w:t>1-1</w:t>
            </w:r>
          </w:p>
        </w:tc>
        <w:tc>
          <w:tcPr>
            <w:tcW w:w="9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eastAsia="仿宋_GB2312"/>
                <w:color w:val="auto"/>
                <w:szCs w:val="21"/>
                <w:highlight w:val="none"/>
              </w:rPr>
            </w:pPr>
            <w:r>
              <w:rPr>
                <w:rFonts w:ascii="仿宋_GB2312" w:eastAsia="仿宋_GB2312"/>
                <w:color w:val="auto"/>
                <w:szCs w:val="21"/>
                <w:highlight w:val="none"/>
              </w:rPr>
              <w:t>博览会</w:t>
            </w:r>
          </w:p>
          <w:p>
            <w:pPr>
              <w:adjustRightInd w:val="0"/>
              <w:snapToGrid w:val="0"/>
              <w:spacing w:line="360" w:lineRule="auto"/>
              <w:jc w:val="center"/>
              <w:rPr>
                <w:rFonts w:ascii="仿宋_GB2312" w:hAnsi="宋体" w:eastAsia="仿宋_GB2312" w:cs="宋体"/>
                <w:color w:val="auto"/>
                <w:szCs w:val="21"/>
                <w:highlight w:val="none"/>
              </w:rPr>
            </w:pPr>
            <w:r>
              <w:rPr>
                <w:rFonts w:ascii="仿宋_GB2312" w:eastAsia="仿宋_GB2312"/>
                <w:color w:val="auto"/>
                <w:szCs w:val="21"/>
                <w:highlight w:val="none"/>
              </w:rPr>
              <w:t>服务</w:t>
            </w:r>
          </w:p>
        </w:tc>
        <w:tc>
          <w:tcPr>
            <w:tcW w:w="24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color w:val="auto"/>
                <w:szCs w:val="21"/>
                <w:highlight w:val="none"/>
              </w:rPr>
            </w:pPr>
            <w:r>
              <w:rPr>
                <w:rFonts w:hint="eastAsia" w:ascii="仿宋_GB2312" w:eastAsia="仿宋_GB2312"/>
                <w:color w:val="auto"/>
                <w:szCs w:val="21"/>
                <w:highlight w:val="none"/>
              </w:rPr>
              <w:t>欧亚经济论坛经贸合作博览会暨中国（陕西）进出口商品展2022年系列活动</w:t>
            </w:r>
          </w:p>
        </w:tc>
        <w:tc>
          <w:tcPr>
            <w:tcW w:w="10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hAnsi="宋体" w:eastAsia="仿宋_GB2312" w:cs="宋体"/>
                <w:color w:val="auto"/>
                <w:szCs w:val="21"/>
                <w:highlight w:val="none"/>
              </w:rPr>
            </w:pPr>
            <w:r>
              <w:rPr>
                <w:rFonts w:hint="eastAsia" w:ascii="仿宋_GB2312" w:eastAsia="仿宋_GB2312"/>
                <w:color w:val="auto"/>
                <w:szCs w:val="21"/>
                <w:highlight w:val="none"/>
              </w:rPr>
              <w:t>1(项)</w:t>
            </w:r>
          </w:p>
        </w:tc>
        <w:tc>
          <w:tcPr>
            <w:tcW w:w="118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center"/>
              <w:rPr>
                <w:rFonts w:ascii="仿宋_GB2312" w:eastAsia="仿宋_GB2312"/>
                <w:color w:val="auto"/>
                <w:szCs w:val="21"/>
                <w:highlight w:val="none"/>
              </w:rPr>
            </w:pPr>
            <w:r>
              <w:rPr>
                <w:rFonts w:hint="eastAsia" w:ascii="仿宋_GB2312" w:eastAsia="仿宋_GB2312"/>
                <w:color w:val="auto"/>
                <w:szCs w:val="21"/>
                <w:highlight w:val="none"/>
              </w:rPr>
              <w:t>详见</w:t>
            </w:r>
          </w:p>
          <w:p>
            <w:pPr>
              <w:adjustRightInd w:val="0"/>
              <w:snapToGrid w:val="0"/>
              <w:spacing w:line="360" w:lineRule="auto"/>
              <w:jc w:val="center"/>
              <w:rPr>
                <w:rFonts w:ascii="仿宋_GB2312" w:hAnsi="宋体" w:eastAsia="仿宋_GB2312" w:cs="宋体"/>
                <w:color w:val="auto"/>
                <w:szCs w:val="21"/>
                <w:highlight w:val="none"/>
              </w:rPr>
            </w:pPr>
            <w:r>
              <w:rPr>
                <w:rFonts w:hint="eastAsia" w:ascii="仿宋_GB2312" w:eastAsia="仿宋_GB2312"/>
                <w:color w:val="auto"/>
                <w:szCs w:val="21"/>
                <w:highlight w:val="none"/>
              </w:rPr>
              <w:t>采购文件</w:t>
            </w:r>
          </w:p>
        </w:tc>
        <w:tc>
          <w:tcPr>
            <w:tcW w:w="1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both"/>
              <w:rPr>
                <w:rFonts w:ascii="仿宋_GB2312" w:hAnsi="宋体" w:eastAsia="仿宋_GB2312" w:cs="宋体"/>
                <w:color w:val="auto"/>
                <w:szCs w:val="21"/>
                <w:highlight w:val="none"/>
              </w:rPr>
            </w:pPr>
            <w:r>
              <w:rPr>
                <w:rFonts w:hint="eastAsia" w:ascii="仿宋_GB2312" w:eastAsia="仿宋_GB2312"/>
                <w:color w:val="auto"/>
                <w:highlight w:val="none"/>
              </w:rPr>
              <w:t>14,300,000.00</w:t>
            </w:r>
          </w:p>
        </w:tc>
        <w:tc>
          <w:tcPr>
            <w:tcW w:w="8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spacing w:line="360" w:lineRule="auto"/>
              <w:jc w:val="right"/>
              <w:rPr>
                <w:rFonts w:ascii="仿宋_GB2312" w:hAnsi="宋体" w:eastAsia="仿宋_GB2312" w:cs="宋体"/>
                <w:color w:val="auto"/>
                <w:szCs w:val="21"/>
                <w:highlight w:val="none"/>
              </w:rPr>
            </w:pPr>
          </w:p>
        </w:tc>
      </w:tr>
    </w:tbl>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本合同包不接受联合体投标</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合同履行期限：一年</w:t>
      </w:r>
    </w:p>
    <w:p>
      <w:pPr>
        <w:adjustRightInd w:val="0"/>
        <w:snapToGrid w:val="0"/>
        <w:spacing w:line="360" w:lineRule="auto"/>
        <w:ind w:firstLine="480" w:firstLineChars="200"/>
        <w:rPr>
          <w:rFonts w:ascii="仿宋_GB2312" w:eastAsia="仿宋_GB2312"/>
          <w:b/>
          <w:color w:val="auto"/>
          <w:highlight w:val="none"/>
        </w:rPr>
      </w:pPr>
      <w:r>
        <w:rPr>
          <w:rFonts w:hint="eastAsia" w:ascii="仿宋_GB2312" w:eastAsia="仿宋_GB2312"/>
          <w:b/>
          <w:color w:val="auto"/>
          <w:highlight w:val="none"/>
        </w:rPr>
        <w:t>二、申请人的资格要求：</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1.满足《中华人民共和国政府采购法》第二十二条规定;</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2.落实政府采购政策需满足的资格要求：</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合同包1(欧亚经济论坛经贸合作博览会暨中国（陕西）进出口商品展2022年系列活动)落实政府采购政策需满足的资格要求如下:</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属于专门面向中小企业采购的项目，供应商应为中小微企业、监狱企业、残疾人福利性单位；落实陕西省财政厅关于印发《陕西省中小企业政府采购信用融资办法》（陕财办采〔2018〕23号）等内容。</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3.本项目的特定资格要求：</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合同包1(欧亚经济论坛经贸合作博览会暨中国（陕西）进出口商品展2022年系列活动)特定资格要求如下:</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pPr>
        <w:adjustRightInd w:val="0"/>
        <w:snapToGrid w:val="0"/>
        <w:spacing w:line="360" w:lineRule="auto"/>
        <w:ind w:firstLine="480" w:firstLineChars="200"/>
        <w:rPr>
          <w:rFonts w:ascii="仿宋_GB2312" w:eastAsia="仿宋_GB2312"/>
          <w:b/>
          <w:color w:val="auto"/>
          <w:highlight w:val="none"/>
        </w:rPr>
      </w:pPr>
      <w:r>
        <w:rPr>
          <w:rFonts w:hint="eastAsia" w:ascii="仿宋_GB2312" w:eastAsia="仿宋_GB2312"/>
          <w:b/>
          <w:color w:val="auto"/>
          <w:highlight w:val="none"/>
        </w:rPr>
        <w:t>三、获取招标文件</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时间：2022年07月06日至2022年07月12日，每天上午00:00:00至12:00:00，下午12:00:00至23:59:59（北京时间,法定节假日除外）</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地点：全国公共资源交易平台（陕西省·西安市）网站〖首页〉电子交易平台〉陕西政府采购交易系统〉企业端〗</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方式：在线获取</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售价：免费获取</w:t>
      </w:r>
    </w:p>
    <w:p>
      <w:pPr>
        <w:adjustRightInd w:val="0"/>
        <w:snapToGrid w:val="0"/>
        <w:spacing w:line="360" w:lineRule="auto"/>
        <w:ind w:firstLine="480" w:firstLineChars="200"/>
        <w:rPr>
          <w:rFonts w:ascii="仿宋_GB2312" w:eastAsia="仿宋_GB2312"/>
          <w:b/>
          <w:color w:val="auto"/>
          <w:highlight w:val="none"/>
        </w:rPr>
      </w:pPr>
      <w:r>
        <w:rPr>
          <w:rFonts w:hint="eastAsia" w:ascii="仿宋_GB2312" w:eastAsia="仿宋_GB2312"/>
          <w:b/>
          <w:color w:val="auto"/>
          <w:highlight w:val="none"/>
        </w:rPr>
        <w:t>四、提交投标文件截止时间、开标时间和地点</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2022年08月10日</w:t>
      </w:r>
      <w:r>
        <w:rPr>
          <w:rFonts w:hint="eastAsia" w:ascii="仿宋_GB2312" w:eastAsia="仿宋_GB2312"/>
          <w:color w:val="auto"/>
          <w:highlight w:val="none"/>
        </w:rPr>
        <w:t>10时00分00秒（北京时间）</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地点：全国公共资源交易平台（陕西省·西安市）网站〖首页〉电子交易平台〉陕西政府采购交易系统〉企业端〗，在线提交。</w:t>
      </w:r>
    </w:p>
    <w:p>
      <w:pPr>
        <w:adjustRightInd w:val="0"/>
        <w:snapToGrid w:val="0"/>
        <w:spacing w:line="360" w:lineRule="auto"/>
        <w:ind w:firstLine="480" w:firstLineChars="200"/>
        <w:rPr>
          <w:rFonts w:ascii="仿宋_GB2312" w:eastAsia="仿宋_GB2312"/>
          <w:b/>
          <w:color w:val="auto"/>
          <w:highlight w:val="none"/>
        </w:rPr>
      </w:pPr>
      <w:r>
        <w:rPr>
          <w:rFonts w:hint="eastAsia" w:ascii="仿宋_GB2312" w:eastAsia="仿宋_GB2312"/>
          <w:b/>
          <w:color w:val="auto"/>
          <w:highlight w:val="none"/>
        </w:rPr>
        <w:t>五、公告期限</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自本公告发布之日起5个工作日。</w:t>
      </w:r>
    </w:p>
    <w:p>
      <w:pPr>
        <w:adjustRightInd w:val="0"/>
        <w:snapToGrid w:val="0"/>
        <w:spacing w:line="360" w:lineRule="auto"/>
        <w:ind w:firstLine="480" w:firstLineChars="200"/>
        <w:rPr>
          <w:rFonts w:ascii="仿宋_GB2312" w:eastAsia="仿宋_GB2312"/>
          <w:b/>
          <w:color w:val="auto"/>
          <w:highlight w:val="none"/>
        </w:rPr>
      </w:pPr>
      <w:r>
        <w:rPr>
          <w:rFonts w:hint="eastAsia" w:ascii="仿宋_GB2312" w:eastAsia="仿宋_GB2312"/>
          <w:b/>
          <w:color w:val="auto"/>
          <w:highlight w:val="none"/>
        </w:rPr>
        <w:t>六、其他补充事宜</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本项目开标地点</w:t>
      </w:r>
      <w:r>
        <w:rPr>
          <w:rFonts w:hint="eastAsia" w:ascii="仿宋_GB2312" w:eastAsia="仿宋_GB2312"/>
          <w:color w:val="auto"/>
          <w:highlight w:val="none"/>
        </w:rPr>
        <w:t>：西安市公共资源交易中心5楼508开标室</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1.本项目执行政府强制、优先采购节能产品，优先采购环境标志产品，支持中小企业，支持监狱和戒毒企业、残疾人企业、扶持不发达地区和少数民族地区、支持脱贫攻坚等相关政策。详见招标文件。</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2.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3.投标人初次使用交易平台，须先完成诚信入库登记、CA锁认证及企业信息绑定。本次项目采用不见面开标模式，相关操作流程详见全国公共资源交易平台（西安市）网站〖首页·〉服务指南·〉下载专区〗中的《西安市市级单位电子化政府采购项目投标指南》、《西安公共资源交易不见面开标大厅供应商操作手册》。技术支持电话：4009280095、4009980000。</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 xml:space="preserve"> 4.请投标人按照陕西省财政厅关于政府采购供应商注册登记有关事项的通知中的要求，通过陕西省政府采购网（http://www.ccgp-shaanxi.gov.cn/）注册登记加入陕西省政府采购供应商库。</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5.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因投标人自身设施故障或自身原因导致无法完成签到或解密的，由投标人自行承担后果。</w:t>
      </w:r>
    </w:p>
    <w:p>
      <w:pPr>
        <w:adjustRightInd w:val="0"/>
        <w:snapToGrid w:val="0"/>
        <w:spacing w:line="360" w:lineRule="auto"/>
        <w:ind w:firstLine="480" w:firstLineChars="200"/>
        <w:rPr>
          <w:rFonts w:ascii="仿宋_GB2312" w:eastAsia="仿宋_GB2312"/>
          <w:b/>
          <w:color w:val="auto"/>
          <w:highlight w:val="none"/>
        </w:rPr>
      </w:pPr>
      <w:r>
        <w:rPr>
          <w:rFonts w:hint="eastAsia" w:ascii="仿宋_GB2312" w:eastAsia="仿宋_GB2312"/>
          <w:b/>
          <w:color w:val="auto"/>
          <w:highlight w:val="none"/>
        </w:rPr>
        <w:t>七、对本次招标提出询问，请按以下方式联系。</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1.采购人信息</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名称：西安市博览事务中心</w:t>
      </w:r>
      <w:r>
        <w:rPr>
          <w:rFonts w:hint="eastAsia" w:ascii="仿宋_GB2312" w:eastAsia="仿宋_GB2312"/>
          <w:color w:val="auto"/>
          <w:highlight w:val="none"/>
        </w:rPr>
        <w:tab/>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地址：西安市莲湖区劳动南路145号</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联系方式：029-87222572</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2.采购代理机构信息</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名称：陕西省众诚致信管理咨询有限公司</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地址：陕西省西安市高新区科技二路65号启迪科技园（原清华科技园）E 座21楼2102</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联系方式：029-89565998</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3.项目联系方式</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项目联系人：吴芳超、黄文婷</w:t>
      </w:r>
    </w:p>
    <w:p>
      <w:pPr>
        <w:adjustRightInd w:val="0"/>
        <w:snapToGrid w:val="0"/>
        <w:spacing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电话：029-89565998</w:t>
      </w:r>
    </w:p>
    <w:p>
      <w:pPr>
        <w:spacing w:line="360" w:lineRule="auto"/>
        <w:rPr>
          <w:rFonts w:ascii="仿宋_GB2312" w:eastAsia="仿宋_GB2312"/>
          <w:color w:val="auto"/>
          <w:highlight w:val="none"/>
        </w:rPr>
      </w:pPr>
    </w:p>
    <w:p>
      <w:pPr>
        <w:rPr>
          <w:rFonts w:ascii="仿宋_GB2312" w:eastAsia="仿宋_GB2312"/>
          <w:b/>
          <w:color w:val="auto"/>
          <w:highlight w:val="none"/>
        </w:rPr>
      </w:pPr>
      <w:r>
        <w:rPr>
          <w:rFonts w:hint="eastAsia" w:ascii="仿宋_GB2312" w:eastAsia="仿宋_GB2312"/>
          <w:b/>
          <w:color w:val="auto"/>
          <w:highlight w:val="none"/>
        </w:rPr>
        <w:br w:type="page"/>
      </w:r>
    </w:p>
    <w:p>
      <w:pPr>
        <w:pStyle w:val="3"/>
        <w:rPr>
          <w:rFonts w:ascii="仿宋_GB2312" w:eastAsia="仿宋_GB2312"/>
          <w:b/>
          <w:color w:val="auto"/>
          <w:sz w:val="24"/>
          <w:szCs w:val="24"/>
          <w:highlight w:val="none"/>
        </w:rPr>
      </w:pPr>
      <w:bookmarkStart w:id="9" w:name="_Toc107503654"/>
      <w:r>
        <w:rPr>
          <w:rFonts w:hint="eastAsia" w:ascii="仿宋_GB2312" w:eastAsia="仿宋_GB2312"/>
          <w:b/>
          <w:color w:val="auto"/>
          <w:sz w:val="24"/>
          <w:szCs w:val="24"/>
          <w:highlight w:val="none"/>
        </w:rPr>
        <w:t>第二章  供应商须知</w:t>
      </w:r>
      <w:bookmarkEnd w:id="0"/>
      <w:bookmarkEnd w:id="1"/>
      <w:bookmarkEnd w:id="2"/>
      <w:bookmarkEnd w:id="3"/>
      <w:bookmarkEnd w:id="4"/>
      <w:bookmarkEnd w:id="5"/>
      <w:bookmarkEnd w:id="6"/>
      <w:bookmarkEnd w:id="7"/>
      <w:bookmarkEnd w:id="9"/>
    </w:p>
    <w:p>
      <w:pPr>
        <w:pStyle w:val="3"/>
        <w:spacing w:line="240" w:lineRule="auto"/>
        <w:jc w:val="left"/>
        <w:rPr>
          <w:rFonts w:ascii="仿宋_GB2312" w:eastAsia="仿宋_GB2312"/>
          <w:color w:val="auto"/>
          <w:sz w:val="24"/>
          <w:szCs w:val="24"/>
          <w:highlight w:val="none"/>
        </w:rPr>
      </w:pPr>
      <w:bookmarkStart w:id="10" w:name="_Toc107503655"/>
      <w:r>
        <w:rPr>
          <w:rFonts w:hint="eastAsia" w:ascii="仿宋_GB2312" w:eastAsia="仿宋_GB2312"/>
          <w:color w:val="auto"/>
          <w:sz w:val="24"/>
          <w:szCs w:val="24"/>
          <w:highlight w:val="none"/>
        </w:rPr>
        <w:t>〖前附表〗</w:t>
      </w:r>
      <w:bookmarkEnd w:id="10"/>
    </w:p>
    <w:tbl>
      <w:tblPr>
        <w:tblStyle w:val="40"/>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423"/>
        <w:gridCol w:w="546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序号</w:t>
            </w:r>
          </w:p>
        </w:tc>
        <w:tc>
          <w:tcPr>
            <w:tcW w:w="2423"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内容</w:t>
            </w:r>
          </w:p>
        </w:tc>
        <w:tc>
          <w:tcPr>
            <w:tcW w:w="5469"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w:t>
            </w:r>
          </w:p>
        </w:tc>
        <w:tc>
          <w:tcPr>
            <w:tcW w:w="2423" w:type="dxa"/>
            <w:tcBorders>
              <w:top w:val="single" w:color="auto" w:sz="2" w:space="0"/>
            </w:tcBorders>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项目名称</w:t>
            </w:r>
          </w:p>
        </w:tc>
        <w:tc>
          <w:tcPr>
            <w:tcW w:w="5469" w:type="dxa"/>
            <w:tcBorders>
              <w:top w:val="single" w:color="auto" w:sz="2" w:space="0"/>
            </w:tcBorders>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欧亚经济论坛经贸合作博览会暨中国（陕西）进出口商品展2022年系列活动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2</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项目编号</w:t>
            </w:r>
          </w:p>
        </w:tc>
        <w:tc>
          <w:tcPr>
            <w:tcW w:w="5469" w:type="dxa"/>
            <w:shd w:val="clear" w:color="auto" w:fill="auto"/>
            <w:vAlign w:val="center"/>
          </w:tcPr>
          <w:p>
            <w:pPr>
              <w:jc w:val="center"/>
              <w:rPr>
                <w:rFonts w:ascii="仿宋_GB2312" w:hAnsi="仿宋" w:eastAsia="仿宋_GB2312"/>
                <w:color w:val="auto"/>
                <w:highlight w:val="none"/>
              </w:rPr>
            </w:pPr>
            <w:r>
              <w:rPr>
                <w:rFonts w:ascii="仿宋_GB2312" w:hAnsi="仿宋" w:eastAsia="仿宋_GB2312"/>
                <w:color w:val="auto"/>
                <w:highlight w:val="none"/>
              </w:rPr>
              <w:t>ZCZX2022-ZB-089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3</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预算执行书编号</w:t>
            </w:r>
          </w:p>
        </w:tc>
        <w:tc>
          <w:tcPr>
            <w:tcW w:w="5469"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政采-西安市-2022-01350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4</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是否预留份额</w:t>
            </w:r>
          </w:p>
          <w:p>
            <w:pPr>
              <w:jc w:val="center"/>
              <w:rPr>
                <w:rFonts w:ascii="仿宋_GB2312" w:hAnsi="仿宋" w:eastAsia="仿宋_GB2312"/>
                <w:color w:val="auto"/>
                <w:highlight w:val="none"/>
              </w:rPr>
            </w:pPr>
            <w:r>
              <w:rPr>
                <w:rFonts w:hint="eastAsia" w:ascii="仿宋_GB2312" w:hAnsi="仿宋" w:eastAsia="仿宋_GB2312"/>
                <w:color w:val="auto"/>
                <w:highlight w:val="none"/>
              </w:rPr>
              <w:t>专门面向中小企业采购</w:t>
            </w:r>
          </w:p>
        </w:tc>
        <w:tc>
          <w:tcPr>
            <w:tcW w:w="5469" w:type="dxa"/>
            <w:shd w:val="clear" w:color="auto" w:fill="auto"/>
            <w:vAlign w:val="center"/>
          </w:tcPr>
          <w:p>
            <w:pPr>
              <w:jc w:val="center"/>
              <w:rPr>
                <w:rFonts w:ascii="仿宋_GB2312" w:hAnsi="仿宋" w:eastAsia="仿宋_GB2312"/>
                <w:color w:val="auto"/>
                <w:highlight w:val="none"/>
              </w:rPr>
            </w:pPr>
            <w:sdt>
              <w:sdtPr>
                <w:rPr>
                  <w:rFonts w:hint="eastAsia" w:ascii="仿宋_GB2312" w:hAnsi="仿宋" w:eastAsia="仿宋_GB2312"/>
                  <w:color w:val="auto"/>
                  <w:highlight w:val="none"/>
                </w:rPr>
                <w:id w:val="2139916130"/>
                <w14:checkbox>
                  <w14:checked w14:val="1"/>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Gothic" w:hAnsi="MS Gothic" w:eastAsia="MS Gothic"/>
                    <w:color w:val="auto"/>
                    <w:highlight w:val="none"/>
                  </w:rPr>
                  <w:t>☑</w:t>
                </w:r>
              </w:sdtContent>
            </w:sdt>
            <w:r>
              <w:rPr>
                <w:rFonts w:hint="eastAsia" w:ascii="仿宋_GB2312" w:hAnsi="仿宋" w:eastAsia="仿宋_GB2312"/>
                <w:color w:val="auto"/>
                <w:highlight w:val="none"/>
              </w:rPr>
              <w:t xml:space="preserve">是  </w:t>
            </w:r>
            <w:sdt>
              <w:sdtPr>
                <w:rPr>
                  <w:rFonts w:hint="eastAsia" w:ascii="仿宋_GB2312" w:hAnsi="仿宋" w:eastAsia="仿宋_GB2312"/>
                  <w:color w:val="auto"/>
                  <w:highlight w:val="none"/>
                </w:rPr>
                <w:id w:val="-2072024220"/>
                <w14:checkbox>
                  <w14:checked w14:val="0"/>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Gothic" w:hAnsi="MS Gothic" w:eastAsia="MS Gothic"/>
                    <w:color w:val="auto"/>
                    <w:highlight w:val="none"/>
                  </w:rPr>
                  <w:t>☐</w:t>
                </w:r>
              </w:sdtContent>
            </w:sdt>
            <w:r>
              <w:rPr>
                <w:rFonts w:hint="eastAsia" w:ascii="仿宋_GB2312" w:hAnsi="仿宋" w:eastAsia="仿宋_GB2312"/>
                <w:color w:val="auto"/>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5</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预算金额</w:t>
            </w:r>
          </w:p>
        </w:tc>
        <w:tc>
          <w:tcPr>
            <w:tcW w:w="5469" w:type="dxa"/>
            <w:shd w:val="clear" w:color="auto" w:fill="auto"/>
            <w:vAlign w:val="center"/>
          </w:tcPr>
          <w:p>
            <w:pPr>
              <w:ind w:firstLine="1200" w:firstLineChars="500"/>
              <w:rPr>
                <w:rFonts w:ascii="仿宋_GB2312" w:hAnsi="仿宋" w:eastAsia="仿宋_GB2312"/>
                <w:color w:val="auto"/>
                <w:highlight w:val="none"/>
              </w:rPr>
            </w:pPr>
            <w:r>
              <w:rPr>
                <w:rFonts w:hint="eastAsia" w:ascii="仿宋_GB2312" w:hAnsi="仿宋" w:eastAsia="仿宋_GB2312"/>
                <w:color w:val="auto"/>
                <w:highlight w:val="none"/>
              </w:rPr>
              <w:t>〈￥〉</w:t>
            </w:r>
            <w:r>
              <w:rPr>
                <w:rFonts w:hint="eastAsia" w:ascii="仿宋_GB2312" w:eastAsia="仿宋_GB2312"/>
                <w:color w:val="auto"/>
                <w:highlight w:val="none"/>
              </w:rPr>
              <w:t>14,300,000.00</w:t>
            </w:r>
            <w:r>
              <w:rPr>
                <w:rFonts w:hint="eastAsia" w:ascii="仿宋_GB2312" w:hAnsi="仿宋" w:eastAsia="仿宋_GB2312"/>
                <w:color w:val="auto"/>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仿宋_GB2312" w:hAnsi="仿宋" w:eastAsia="仿宋_GB2312"/>
                <w:color w:val="auto"/>
                <w:highlight w:val="none"/>
              </w:rPr>
            </w:pP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最高限价</w:t>
            </w:r>
          </w:p>
        </w:tc>
        <w:tc>
          <w:tcPr>
            <w:tcW w:w="5469"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6</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是否接受联合体</w:t>
            </w:r>
          </w:p>
        </w:tc>
        <w:tc>
          <w:tcPr>
            <w:tcW w:w="5469" w:type="dxa"/>
            <w:shd w:val="clear" w:color="auto" w:fill="auto"/>
            <w:vAlign w:val="center"/>
          </w:tcPr>
          <w:p>
            <w:pPr>
              <w:jc w:val="center"/>
              <w:rPr>
                <w:rFonts w:ascii="仿宋_GB2312" w:hAnsi="仿宋" w:eastAsia="仿宋_GB2312"/>
                <w:color w:val="auto"/>
                <w:highlight w:val="none"/>
              </w:rPr>
            </w:pPr>
            <w:sdt>
              <w:sdtPr>
                <w:rPr>
                  <w:rFonts w:hint="eastAsia" w:ascii="仿宋_GB2312" w:hAnsi="仿宋" w:eastAsia="仿宋_GB2312"/>
                  <w:color w:val="auto"/>
                  <w:highlight w:val="none"/>
                </w:rPr>
                <w:id w:val="608160193"/>
                <w14:checkbox>
                  <w14:checked w14:val="0"/>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Mincho" w:hAnsi="MS Mincho" w:eastAsia="MS Mincho" w:cs="MS Mincho"/>
                    <w:color w:val="auto"/>
                    <w:highlight w:val="none"/>
                  </w:rPr>
                  <w:t>☐</w:t>
                </w:r>
              </w:sdtContent>
            </w:sdt>
            <w:r>
              <w:rPr>
                <w:rFonts w:hint="eastAsia" w:ascii="仿宋_GB2312" w:hAnsi="仿宋" w:eastAsia="仿宋_GB2312"/>
                <w:color w:val="auto"/>
                <w:highlight w:val="none"/>
              </w:rPr>
              <w:t xml:space="preserve">是  </w:t>
            </w:r>
            <w:sdt>
              <w:sdtPr>
                <w:rPr>
                  <w:rFonts w:hint="eastAsia" w:ascii="仿宋_GB2312" w:hAnsi="仿宋" w:eastAsia="仿宋_GB2312"/>
                  <w:color w:val="auto"/>
                  <w:highlight w:val="none"/>
                </w:rPr>
                <w:id w:val="1317929335"/>
                <w14:checkbox>
                  <w14:checked w14:val="1"/>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Gothic" w:hAnsi="MS Gothic" w:eastAsia="MS Gothic"/>
                    <w:color w:val="auto"/>
                    <w:highlight w:val="none"/>
                  </w:rPr>
                  <w:t>☑</w:t>
                </w:r>
              </w:sdtContent>
            </w:sdt>
            <w:r>
              <w:rPr>
                <w:rFonts w:hint="eastAsia" w:ascii="仿宋_GB2312" w:hAnsi="仿宋" w:eastAsia="仿宋_GB2312"/>
                <w:color w:val="auto"/>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7</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是否允许进口产品</w:t>
            </w:r>
          </w:p>
        </w:tc>
        <w:tc>
          <w:tcPr>
            <w:tcW w:w="5469" w:type="dxa"/>
            <w:shd w:val="clear" w:color="auto" w:fill="auto"/>
            <w:vAlign w:val="center"/>
          </w:tcPr>
          <w:p>
            <w:pPr>
              <w:jc w:val="center"/>
              <w:rPr>
                <w:rFonts w:ascii="仿宋_GB2312" w:hAnsi="仿宋" w:eastAsia="仿宋_GB2312"/>
                <w:color w:val="auto"/>
                <w:highlight w:val="none"/>
              </w:rPr>
            </w:pPr>
            <w:sdt>
              <w:sdtPr>
                <w:rPr>
                  <w:rFonts w:hint="eastAsia" w:ascii="仿宋_GB2312" w:hAnsi="仿宋" w:eastAsia="仿宋_GB2312"/>
                  <w:color w:val="auto"/>
                  <w:highlight w:val="none"/>
                </w:rPr>
                <w:id w:val="148570254"/>
                <w14:checkbox>
                  <w14:checked w14:val="0"/>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Mincho" w:hAnsi="MS Mincho" w:eastAsia="MS Mincho" w:cs="MS Mincho"/>
                    <w:color w:val="auto"/>
                    <w:highlight w:val="none"/>
                  </w:rPr>
                  <w:t>☐</w:t>
                </w:r>
              </w:sdtContent>
            </w:sdt>
            <w:r>
              <w:rPr>
                <w:rFonts w:hint="eastAsia" w:ascii="仿宋_GB2312" w:hAnsi="仿宋" w:eastAsia="仿宋_GB2312"/>
                <w:color w:val="auto"/>
                <w:highlight w:val="none"/>
              </w:rPr>
              <w:t xml:space="preserve">是  </w:t>
            </w:r>
            <w:sdt>
              <w:sdtPr>
                <w:rPr>
                  <w:rFonts w:hint="eastAsia" w:ascii="仿宋_GB2312" w:hAnsi="仿宋" w:eastAsia="仿宋_GB2312"/>
                  <w:color w:val="auto"/>
                  <w:highlight w:val="none"/>
                </w:rPr>
                <w:id w:val="-1689594843"/>
                <w14:checkbox>
                  <w14:checked w14:val="1"/>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Gothic" w:hAnsi="MS Gothic" w:eastAsia="MS Gothic"/>
                    <w:color w:val="auto"/>
                    <w:highlight w:val="none"/>
                  </w:rPr>
                  <w:t>☑</w:t>
                </w:r>
              </w:sdtContent>
            </w:sdt>
            <w:r>
              <w:rPr>
                <w:rFonts w:hint="eastAsia" w:ascii="仿宋_GB2312" w:hAnsi="仿宋" w:eastAsia="仿宋_GB2312"/>
                <w:color w:val="auto"/>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8</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是否允许大中企业</w:t>
            </w:r>
          </w:p>
          <w:p>
            <w:pPr>
              <w:jc w:val="center"/>
              <w:rPr>
                <w:rFonts w:ascii="仿宋_GB2312" w:hAnsi="仿宋" w:eastAsia="仿宋_GB2312"/>
                <w:color w:val="auto"/>
                <w:highlight w:val="none"/>
              </w:rPr>
            </w:pPr>
            <w:r>
              <w:rPr>
                <w:rFonts w:hint="eastAsia" w:ascii="仿宋_GB2312" w:hAnsi="仿宋" w:eastAsia="仿宋_GB2312"/>
                <w:color w:val="auto"/>
                <w:highlight w:val="none"/>
              </w:rPr>
              <w:t>向小微企业分包</w:t>
            </w:r>
          </w:p>
        </w:tc>
        <w:tc>
          <w:tcPr>
            <w:tcW w:w="5469" w:type="dxa"/>
            <w:shd w:val="clear" w:color="auto" w:fill="auto"/>
            <w:vAlign w:val="center"/>
          </w:tcPr>
          <w:p>
            <w:pPr>
              <w:jc w:val="center"/>
              <w:rPr>
                <w:rFonts w:ascii="仿宋_GB2312" w:hAnsi="仿宋" w:eastAsia="仿宋_GB2312"/>
                <w:color w:val="auto"/>
                <w:highlight w:val="none"/>
              </w:rPr>
            </w:pPr>
            <w:sdt>
              <w:sdtPr>
                <w:rPr>
                  <w:rFonts w:hint="eastAsia" w:ascii="仿宋_GB2312" w:hAnsi="仿宋" w:eastAsia="仿宋_GB2312"/>
                  <w:color w:val="auto"/>
                  <w:highlight w:val="none"/>
                </w:rPr>
                <w:id w:val="365725084"/>
                <w14:checkbox>
                  <w14:checked w14:val="0"/>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Mincho" w:hAnsi="MS Mincho" w:eastAsia="MS Mincho" w:cs="MS Mincho"/>
                    <w:color w:val="auto"/>
                    <w:highlight w:val="none"/>
                  </w:rPr>
                  <w:t>☐</w:t>
                </w:r>
              </w:sdtContent>
            </w:sdt>
            <w:r>
              <w:rPr>
                <w:rFonts w:hint="eastAsia" w:ascii="仿宋_GB2312" w:hAnsi="仿宋" w:eastAsia="仿宋_GB2312"/>
                <w:color w:val="auto"/>
                <w:highlight w:val="none"/>
              </w:rPr>
              <w:t xml:space="preserve">是  </w:t>
            </w:r>
            <w:sdt>
              <w:sdtPr>
                <w:rPr>
                  <w:rFonts w:hint="eastAsia" w:ascii="仿宋_GB2312" w:hAnsi="仿宋" w:eastAsia="仿宋_GB2312"/>
                  <w:color w:val="auto"/>
                  <w:highlight w:val="none"/>
                </w:rPr>
                <w:id w:val="-54473539"/>
                <w14:checkbox>
                  <w14:checked w14:val="1"/>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Gothic" w:hAnsi="MS Gothic" w:eastAsia="MS Gothic"/>
                    <w:color w:val="auto"/>
                    <w:highlight w:val="none"/>
                  </w:rPr>
                  <w:t>☑</w:t>
                </w:r>
              </w:sdtContent>
            </w:sdt>
            <w:r>
              <w:rPr>
                <w:rFonts w:hint="eastAsia" w:ascii="仿宋_GB2312" w:hAnsi="仿宋" w:eastAsia="仿宋_GB2312"/>
                <w:color w:val="auto"/>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9</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投标保证金</w:t>
            </w:r>
          </w:p>
        </w:tc>
        <w:tc>
          <w:tcPr>
            <w:tcW w:w="5469"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10</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履约保证金</w:t>
            </w:r>
          </w:p>
        </w:tc>
        <w:tc>
          <w:tcPr>
            <w:tcW w:w="5469" w:type="dxa"/>
            <w:shd w:val="clear" w:color="auto" w:fill="auto"/>
            <w:vAlign w:val="center"/>
          </w:tcPr>
          <w:p>
            <w:pPr>
              <w:jc w:val="both"/>
              <w:rPr>
                <w:rFonts w:ascii="仿宋_GB2312" w:hAnsi="仿宋" w:eastAsia="仿宋_GB2312"/>
                <w:color w:val="auto"/>
                <w:highlight w:val="none"/>
              </w:rPr>
            </w:pPr>
            <w:r>
              <w:rPr>
                <w:rFonts w:hint="eastAsia" w:ascii="仿宋_GB2312" w:hAnsi="仿宋" w:eastAsia="仿宋_GB2312"/>
                <w:b/>
                <w:color w:val="auto"/>
                <w:highlight w:val="none"/>
              </w:rPr>
              <w:t>本项目不需递交履约保证金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11</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纸质投标文件份数</w:t>
            </w:r>
          </w:p>
        </w:tc>
        <w:tc>
          <w:tcPr>
            <w:tcW w:w="5469" w:type="dxa"/>
            <w:shd w:val="clear" w:color="auto" w:fill="auto"/>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投标时无需提供纸质投标文件；</w:t>
            </w:r>
          </w:p>
          <w:p>
            <w:pPr>
              <w:jc w:val="both"/>
              <w:rPr>
                <w:rFonts w:ascii="仿宋_GB2312" w:hAnsi="仿宋" w:eastAsia="仿宋_GB2312"/>
                <w:color w:val="auto"/>
                <w:highlight w:val="none"/>
              </w:rPr>
            </w:pPr>
            <w:r>
              <w:rPr>
                <w:rFonts w:hint="eastAsia" w:ascii="仿宋_GB2312" w:hAnsi="仿宋" w:eastAsia="仿宋_GB2312"/>
                <w:color w:val="auto"/>
                <w:highlight w:val="none"/>
              </w:rPr>
              <w:t>中标供应商在领取中标通知书时提供纸质投标文件一正两副。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12</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政府采购信息发布媒体</w:t>
            </w:r>
          </w:p>
          <w:p>
            <w:pPr>
              <w:jc w:val="center"/>
              <w:rPr>
                <w:rFonts w:ascii="仿宋_GB2312" w:hAnsi="仿宋" w:eastAsia="仿宋_GB2312"/>
                <w:color w:val="auto"/>
                <w:highlight w:val="none"/>
              </w:rPr>
            </w:pPr>
            <w:r>
              <w:rPr>
                <w:rFonts w:hint="eastAsia" w:ascii="仿宋_GB2312" w:hAnsi="仿宋" w:eastAsia="仿宋_GB2312"/>
                <w:color w:val="auto"/>
                <w:highlight w:val="none"/>
              </w:rPr>
              <w:t>（采购公告、采购结果公告、变更公告）</w:t>
            </w:r>
          </w:p>
        </w:tc>
        <w:tc>
          <w:tcPr>
            <w:tcW w:w="5469" w:type="dxa"/>
            <w:shd w:val="clear" w:color="auto" w:fill="auto"/>
            <w:vAlign w:val="center"/>
          </w:tcPr>
          <w:p>
            <w:pPr>
              <w:rPr>
                <w:rFonts w:ascii="仿宋_GB2312" w:hAnsi="仿宋" w:eastAsia="仿宋_GB2312"/>
                <w:color w:val="auto"/>
                <w:highlight w:val="none"/>
              </w:rPr>
            </w:pPr>
            <w:r>
              <w:rPr>
                <w:rFonts w:hint="eastAsia" w:ascii="仿宋_GB2312" w:hAnsi="仿宋" w:eastAsia="仿宋_GB2312"/>
                <w:color w:val="auto"/>
                <w:highlight w:val="none"/>
              </w:rPr>
              <w:t>1．陕西省政府采购网：仅提供项目公告，官网地址：http://ccgp-shaanxi.gov.cn/。</w:t>
            </w:r>
          </w:p>
          <w:p>
            <w:pPr>
              <w:rPr>
                <w:rFonts w:ascii="仿宋_GB2312" w:hAnsi="仿宋" w:eastAsia="仿宋_GB2312"/>
                <w:color w:val="auto"/>
                <w:highlight w:val="none"/>
              </w:rPr>
            </w:pPr>
            <w:r>
              <w:rPr>
                <w:rFonts w:hint="eastAsia" w:ascii="仿宋_GB2312" w:hAnsi="仿宋" w:eastAsia="仿宋_GB2312"/>
                <w:color w:val="auto"/>
                <w:highlight w:val="none"/>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13</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询问和质疑</w:t>
            </w:r>
          </w:p>
        </w:tc>
        <w:tc>
          <w:tcPr>
            <w:tcW w:w="5469" w:type="dxa"/>
            <w:shd w:val="clear" w:color="auto" w:fill="auto"/>
            <w:vAlign w:val="center"/>
          </w:tcPr>
          <w:p>
            <w:pPr>
              <w:jc w:val="both"/>
              <w:rPr>
                <w:rFonts w:ascii="仿宋_GB2312" w:eastAsia="仿宋_GB2312"/>
                <w:color w:val="auto"/>
                <w:highlight w:val="none"/>
              </w:rPr>
            </w:pPr>
            <w:r>
              <w:rPr>
                <w:rFonts w:hint="eastAsia" w:ascii="仿宋_GB2312" w:eastAsia="仿宋_GB2312"/>
                <w:color w:val="auto"/>
                <w:highlight w:val="none"/>
              </w:rPr>
              <w:t>针对</w:t>
            </w:r>
            <w:r>
              <w:rPr>
                <w:rFonts w:ascii="仿宋_GB2312" w:eastAsia="仿宋_GB2312"/>
                <w:color w:val="auto"/>
                <w:highlight w:val="none"/>
              </w:rPr>
              <w:t>同一采购程序环节的质疑次数：一次性提出</w:t>
            </w:r>
          </w:p>
          <w:p>
            <w:pPr>
              <w:spacing w:line="360" w:lineRule="auto"/>
              <w:rPr>
                <w:rFonts w:ascii="仿宋_GB2312" w:eastAsia="仿宋_GB2312"/>
                <w:color w:val="auto"/>
                <w:highlight w:val="none"/>
              </w:rPr>
            </w:pPr>
            <w:r>
              <w:rPr>
                <w:rFonts w:hint="eastAsia" w:ascii="仿宋_GB2312" w:eastAsia="仿宋_GB2312"/>
                <w:color w:val="auto"/>
                <w:highlight w:val="none"/>
              </w:rPr>
              <w:t>联系单位：陕西省众诚致信管理咨询有限公司</w:t>
            </w:r>
          </w:p>
          <w:p>
            <w:pPr>
              <w:spacing w:line="360" w:lineRule="auto"/>
              <w:ind w:left="703" w:leftChars="-23" w:hanging="758" w:hangingChars="316"/>
              <w:rPr>
                <w:rFonts w:ascii="仿宋_GB2312" w:eastAsia="仿宋_GB2312"/>
                <w:color w:val="auto"/>
                <w:highlight w:val="none"/>
              </w:rPr>
            </w:pPr>
            <w:r>
              <w:rPr>
                <w:rFonts w:hint="eastAsia" w:ascii="仿宋_GB2312" w:eastAsia="仿宋_GB2312"/>
                <w:color w:val="auto"/>
                <w:highlight w:val="none"/>
              </w:rPr>
              <w:t>联系人：吴芳超、黄文婷</w:t>
            </w:r>
          </w:p>
          <w:p>
            <w:pPr>
              <w:jc w:val="both"/>
              <w:rPr>
                <w:rFonts w:ascii="仿宋_GB2312" w:hAnsi="仿宋" w:eastAsia="仿宋_GB2312"/>
                <w:color w:val="auto"/>
                <w:highlight w:val="none"/>
              </w:rPr>
            </w:pPr>
            <w:r>
              <w:rPr>
                <w:rFonts w:hint="eastAsia" w:ascii="仿宋_GB2312" w:eastAsia="仿宋_GB2312"/>
                <w:color w:val="auto"/>
                <w:highlight w:val="none"/>
              </w:rPr>
              <w:t>联系电话</w:t>
            </w:r>
            <w:r>
              <w:rPr>
                <w:rFonts w:ascii="仿宋_GB2312" w:eastAsia="仿宋_GB2312"/>
                <w:color w:val="auto"/>
                <w:highlight w:val="none"/>
              </w:rPr>
              <w:t>：</w:t>
            </w:r>
            <w:r>
              <w:rPr>
                <w:rFonts w:hint="eastAsia" w:ascii="仿宋_GB2312" w:eastAsia="仿宋_GB2312"/>
                <w:color w:val="auto"/>
                <w:highlight w:val="none"/>
              </w:rPr>
              <w:t>029-89565998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14</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投诉受理</w:t>
            </w:r>
          </w:p>
        </w:tc>
        <w:tc>
          <w:tcPr>
            <w:tcW w:w="5469" w:type="dxa"/>
            <w:shd w:val="clear" w:color="auto" w:fill="auto"/>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1．受理单位：西安市财政局政府采购管理处</w:t>
            </w:r>
          </w:p>
          <w:p>
            <w:pPr>
              <w:jc w:val="both"/>
              <w:rPr>
                <w:rFonts w:ascii="仿宋_GB2312" w:hAnsi="仿宋" w:eastAsia="仿宋_GB2312"/>
                <w:color w:val="auto"/>
                <w:highlight w:val="none"/>
              </w:rPr>
            </w:pPr>
            <w:r>
              <w:rPr>
                <w:rFonts w:hint="eastAsia" w:ascii="仿宋_GB2312" w:hAnsi="仿宋" w:eastAsia="仿宋_GB2312"/>
                <w:color w:val="auto"/>
                <w:highlight w:val="none"/>
              </w:rPr>
              <w:t>2．联系电话：029-89821846</w:t>
            </w:r>
          </w:p>
          <w:p>
            <w:pPr>
              <w:jc w:val="both"/>
              <w:rPr>
                <w:rFonts w:ascii="仿宋_GB2312" w:hAnsi="仿宋" w:eastAsia="仿宋_GB2312"/>
                <w:color w:val="auto"/>
                <w:highlight w:val="none"/>
              </w:rPr>
            </w:pPr>
            <w:r>
              <w:rPr>
                <w:rFonts w:hint="eastAsia" w:ascii="仿宋_GB2312" w:hAnsi="仿宋" w:eastAsia="仿宋_GB2312"/>
                <w:color w:val="auto"/>
                <w:highlight w:val="none"/>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15</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信用信息查询截至时点</w:t>
            </w:r>
          </w:p>
        </w:tc>
        <w:tc>
          <w:tcPr>
            <w:tcW w:w="5469" w:type="dxa"/>
            <w:shd w:val="clear" w:color="auto" w:fill="auto"/>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资格审查工作结束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16</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开标形式</w:t>
            </w:r>
          </w:p>
        </w:tc>
        <w:tc>
          <w:tcPr>
            <w:tcW w:w="5469" w:type="dxa"/>
            <w:shd w:val="clear" w:color="auto" w:fill="auto"/>
            <w:vAlign w:val="center"/>
          </w:tcPr>
          <w:p>
            <w:pPr>
              <w:jc w:val="both"/>
              <w:rPr>
                <w:rFonts w:ascii="仿宋_GB2312" w:hAnsi="仿宋" w:eastAsia="仿宋_GB2312"/>
                <w:color w:val="auto"/>
                <w:highlight w:val="none"/>
              </w:rPr>
            </w:pPr>
            <w:sdt>
              <w:sdtPr>
                <w:rPr>
                  <w:rFonts w:hint="eastAsia" w:ascii="仿宋_GB2312" w:hAnsi="仿宋" w:eastAsia="仿宋_GB2312"/>
                  <w:color w:val="auto"/>
                  <w:highlight w:val="none"/>
                </w:rPr>
                <w:id w:val="1077786224"/>
                <w14:checkbox>
                  <w14:checked w14:val="1"/>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Gothic" w:hAnsi="MS Gothic" w:eastAsia="MS Gothic"/>
                    <w:color w:val="auto"/>
                    <w:highlight w:val="none"/>
                  </w:rPr>
                  <w:t>☑</w:t>
                </w:r>
              </w:sdtContent>
            </w:sdt>
            <w:r>
              <w:rPr>
                <w:rFonts w:hint="eastAsia" w:ascii="仿宋_GB2312" w:hAnsi="仿宋" w:eastAsia="仿宋_GB2312"/>
                <w:color w:val="auto"/>
                <w:highlight w:val="none"/>
              </w:rPr>
              <w:t xml:space="preserve">不见面开标  </w:t>
            </w:r>
            <w:sdt>
              <w:sdtPr>
                <w:rPr>
                  <w:rFonts w:hint="eastAsia" w:ascii="仿宋_GB2312" w:hAnsi="仿宋" w:eastAsia="仿宋_GB2312"/>
                  <w:color w:val="auto"/>
                  <w:highlight w:val="none"/>
                </w:rPr>
                <w:id w:val="1553575034"/>
                <w14:checkbox>
                  <w14:checked w14:val="0"/>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Mincho" w:hAnsi="MS Mincho" w:eastAsia="MS Mincho" w:cs="MS Mincho"/>
                    <w:color w:val="auto"/>
                    <w:highlight w:val="none"/>
                  </w:rPr>
                  <w:t>☐</w:t>
                </w:r>
              </w:sdtContent>
            </w:sdt>
            <w:r>
              <w:rPr>
                <w:rFonts w:hint="eastAsia" w:ascii="仿宋_GB2312" w:hAnsi="仿宋" w:eastAsia="仿宋_GB2312"/>
                <w:color w:val="auto"/>
                <w:highlight w:val="none"/>
              </w:rPr>
              <w:t>见面开标</w:t>
            </w:r>
          </w:p>
          <w:p>
            <w:pPr>
              <w:jc w:val="both"/>
              <w:rPr>
                <w:rFonts w:ascii="仿宋_GB2312" w:hAnsi="仿宋" w:eastAsia="仿宋_GB2312"/>
                <w:color w:val="auto"/>
                <w:highlight w:val="none"/>
              </w:rPr>
            </w:pPr>
            <w:r>
              <w:rPr>
                <w:rFonts w:hint="eastAsia" w:ascii="仿宋_GB2312" w:hAnsi="仿宋" w:eastAsia="仿宋_GB2312"/>
                <w:color w:val="auto"/>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17</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是否允许递交多个备选投标方案</w:t>
            </w:r>
          </w:p>
        </w:tc>
        <w:tc>
          <w:tcPr>
            <w:tcW w:w="5469" w:type="dxa"/>
            <w:shd w:val="clear" w:color="auto" w:fill="auto"/>
            <w:vAlign w:val="center"/>
          </w:tcPr>
          <w:p>
            <w:pPr>
              <w:jc w:val="both"/>
              <w:rPr>
                <w:rFonts w:ascii="仿宋_GB2312" w:hAnsi="仿宋" w:eastAsia="仿宋_GB2312"/>
                <w:color w:val="auto"/>
                <w:highlight w:val="none"/>
              </w:rPr>
            </w:pPr>
            <w:sdt>
              <w:sdtPr>
                <w:rPr>
                  <w:rFonts w:hint="eastAsia" w:ascii="仿宋_GB2312" w:hAnsi="仿宋" w:eastAsia="仿宋_GB2312"/>
                  <w:color w:val="auto"/>
                  <w:highlight w:val="none"/>
                </w:rPr>
                <w:id w:val="1608857843"/>
                <w14:checkbox>
                  <w14:checked w14:val="0"/>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Mincho" w:hAnsi="MS Mincho" w:eastAsia="MS Mincho" w:cs="MS Mincho"/>
                    <w:color w:val="auto"/>
                    <w:highlight w:val="none"/>
                  </w:rPr>
                  <w:t>☐</w:t>
                </w:r>
              </w:sdtContent>
            </w:sdt>
            <w:r>
              <w:rPr>
                <w:rFonts w:hint="eastAsia" w:ascii="仿宋_GB2312" w:hAnsi="仿宋" w:eastAsia="仿宋_GB2312"/>
                <w:color w:val="auto"/>
                <w:highlight w:val="none"/>
              </w:rPr>
              <w:t xml:space="preserve">是  </w:t>
            </w:r>
            <w:sdt>
              <w:sdtPr>
                <w:rPr>
                  <w:rFonts w:hint="eastAsia" w:ascii="仿宋_GB2312" w:hAnsi="仿宋" w:eastAsia="仿宋_GB2312"/>
                  <w:color w:val="auto"/>
                  <w:highlight w:val="none"/>
                </w:rPr>
                <w:id w:val="618331253"/>
                <w14:checkbox>
                  <w14:checked w14:val="1"/>
                  <w14:checkedState w14:val="2611" w14:font="MS Gothic"/>
                  <w14:uncheckedState w14:val="2610" w14:font="MS Gothic"/>
                </w14:checkbox>
              </w:sdtPr>
              <w:sdtEndPr>
                <w:rPr>
                  <w:rFonts w:hint="eastAsia" w:ascii="仿宋_GB2312" w:hAnsi="仿宋" w:eastAsia="仿宋_GB2312"/>
                  <w:color w:val="auto"/>
                  <w:highlight w:val="none"/>
                </w:rPr>
              </w:sdtEndPr>
              <w:sdtContent>
                <w:r>
                  <w:rPr>
                    <w:rFonts w:hint="eastAsia" w:ascii="MS Gothic" w:hAnsi="MS Gothic" w:eastAsia="MS Gothic"/>
                    <w:color w:val="auto"/>
                    <w:highlight w:val="none"/>
                  </w:rPr>
                  <w:t>☑</w:t>
                </w:r>
              </w:sdtContent>
            </w:sdt>
            <w:r>
              <w:rPr>
                <w:rFonts w:hint="eastAsia" w:ascii="仿宋_GB2312" w:hAnsi="仿宋" w:eastAsia="仿宋_GB2312"/>
                <w:color w:val="auto"/>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18</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投标范围及投标文件中标准</w:t>
            </w:r>
          </w:p>
        </w:tc>
        <w:tc>
          <w:tcPr>
            <w:tcW w:w="5469" w:type="dxa"/>
            <w:shd w:val="clear" w:color="auto" w:fill="auto"/>
            <w:vAlign w:val="center"/>
          </w:tcPr>
          <w:p>
            <w:pPr>
              <w:spacing w:line="360" w:lineRule="auto"/>
              <w:jc w:val="center"/>
              <w:rPr>
                <w:rFonts w:ascii="仿宋_GB2312" w:hAnsi="宋体" w:eastAsia="仿宋_GB2312"/>
                <w:color w:val="auto"/>
                <w:highlight w:val="none"/>
              </w:rPr>
            </w:pPr>
            <w:r>
              <w:rPr>
                <w:rFonts w:hint="eastAsia" w:ascii="仿宋_GB2312" w:hAnsi="宋体" w:eastAsia="仿宋_GB2312"/>
                <w:color w:val="auto"/>
                <w:highlight w:val="none"/>
              </w:rPr>
              <w:t>招标内容及要求的全部内容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19</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中标服务费</w:t>
            </w:r>
          </w:p>
        </w:tc>
        <w:tc>
          <w:tcPr>
            <w:tcW w:w="5469" w:type="dxa"/>
            <w:shd w:val="clear" w:color="auto" w:fill="auto"/>
            <w:vAlign w:val="center"/>
          </w:tcPr>
          <w:p>
            <w:pPr>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中标单位在领取中标通知书前，须向采购代理机构支付招标代理服务费，招标代理服务费由采购人与采购代理机构约定：</w:t>
            </w:r>
          </w:p>
          <w:p>
            <w:pPr>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参照国家计委关于印发《招标代理服务收费管理暂行办法》的通知（计价格〔2002〕1980号）、《国家发展和改革委员会办公厅关于招标代理服务收费有关问题的通知》（发改办价格〔2003〕857号）规定向中标（成交）供应商收取代理服务费。</w:t>
            </w:r>
          </w:p>
          <w:p>
            <w:pPr>
              <w:jc w:val="both"/>
              <w:rPr>
                <w:rFonts w:ascii="仿宋_GB2312" w:hAnsi="仿宋" w:eastAsia="仿宋_GB2312"/>
                <w:color w:val="auto"/>
                <w:highlight w:val="none"/>
              </w:rPr>
            </w:pPr>
            <w:r>
              <w:rPr>
                <w:rFonts w:hint="eastAsia" w:ascii="仿宋_GB2312" w:hAnsi="仿宋" w:eastAsia="仿宋_GB2312"/>
                <w:color w:val="auto"/>
                <w:highlight w:val="none"/>
              </w:rPr>
              <w:t>中标单位的招标代理服务费交纳信息</w:t>
            </w:r>
          </w:p>
          <w:p>
            <w:pPr>
              <w:jc w:val="both"/>
              <w:rPr>
                <w:rFonts w:ascii="仿宋_GB2312" w:hAnsi="仿宋" w:eastAsia="仿宋_GB2312"/>
                <w:color w:val="auto"/>
                <w:highlight w:val="none"/>
              </w:rPr>
            </w:pPr>
            <w:r>
              <w:rPr>
                <w:rFonts w:hint="eastAsia" w:ascii="仿宋_GB2312" w:hAnsi="仿宋" w:eastAsia="仿宋_GB2312"/>
                <w:color w:val="auto"/>
                <w:highlight w:val="none"/>
              </w:rPr>
              <w:t>银行户名：陕西省众诚致信管理咨询有限公司</w:t>
            </w:r>
          </w:p>
          <w:p>
            <w:pPr>
              <w:jc w:val="both"/>
              <w:rPr>
                <w:rFonts w:ascii="仿宋_GB2312" w:hAnsi="仿宋" w:eastAsia="仿宋_GB2312"/>
                <w:color w:val="auto"/>
                <w:highlight w:val="none"/>
              </w:rPr>
            </w:pPr>
            <w:r>
              <w:rPr>
                <w:rFonts w:hint="eastAsia" w:ascii="仿宋_GB2312" w:hAnsi="仿宋" w:eastAsia="仿宋_GB2312"/>
                <w:color w:val="auto"/>
                <w:highlight w:val="none"/>
              </w:rPr>
              <w:t>开户银行：北京银行股份有限公司西安分行营业部</w:t>
            </w:r>
          </w:p>
          <w:p>
            <w:pPr>
              <w:jc w:val="both"/>
              <w:rPr>
                <w:rFonts w:ascii="仿宋_GB2312" w:hAnsi="仿宋" w:eastAsia="仿宋_GB2312"/>
                <w:color w:val="auto"/>
                <w:highlight w:val="none"/>
              </w:rPr>
            </w:pPr>
            <w:r>
              <w:rPr>
                <w:rFonts w:hint="eastAsia" w:ascii="仿宋_GB2312" w:hAnsi="仿宋" w:eastAsia="仿宋_GB2312"/>
                <w:color w:val="auto"/>
                <w:highlight w:val="none"/>
              </w:rPr>
              <w:t>账    号：20000042729000032633420</w:t>
            </w:r>
          </w:p>
          <w:p>
            <w:pPr>
              <w:jc w:val="both"/>
              <w:rPr>
                <w:rFonts w:ascii="仿宋_GB2312" w:hAnsi="仿宋" w:eastAsia="仿宋_GB2312"/>
                <w:color w:val="auto"/>
                <w:highlight w:val="none"/>
              </w:rPr>
            </w:pPr>
            <w:r>
              <w:rPr>
                <w:rFonts w:hint="eastAsia" w:ascii="仿宋_GB2312" w:hAnsi="仿宋" w:eastAsia="仿宋_GB2312"/>
                <w:color w:val="auto"/>
                <w:highlight w:val="none"/>
              </w:rPr>
              <w:t>联系人：李薇   联系电话：029-89565528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20</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中标通知书</w:t>
            </w:r>
          </w:p>
        </w:tc>
        <w:tc>
          <w:tcPr>
            <w:tcW w:w="5469" w:type="dxa"/>
            <w:shd w:val="clear" w:color="auto" w:fill="auto"/>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1．领取地点：西安市高新区科技二路启迪科技园（原清华科技园）</w:t>
            </w:r>
            <w:r>
              <w:rPr>
                <w:rFonts w:ascii="仿宋_GB2312" w:hAnsi="仿宋" w:eastAsia="仿宋_GB2312"/>
                <w:color w:val="auto"/>
                <w:highlight w:val="none"/>
              </w:rPr>
              <w:t>E</w:t>
            </w:r>
            <w:r>
              <w:rPr>
                <w:rFonts w:hint="eastAsia" w:ascii="仿宋_GB2312" w:hAnsi="仿宋" w:eastAsia="仿宋_GB2312"/>
                <w:color w:val="auto"/>
                <w:highlight w:val="none"/>
              </w:rPr>
              <w:t>座</w:t>
            </w:r>
            <w:r>
              <w:rPr>
                <w:rFonts w:ascii="仿宋_GB2312" w:hAnsi="仿宋" w:eastAsia="仿宋_GB2312"/>
                <w:color w:val="auto"/>
                <w:highlight w:val="none"/>
              </w:rPr>
              <w:t>21</w:t>
            </w:r>
            <w:r>
              <w:rPr>
                <w:rFonts w:hint="eastAsia" w:ascii="仿宋_GB2312" w:hAnsi="仿宋" w:eastAsia="仿宋_GB2312"/>
                <w:color w:val="auto"/>
                <w:highlight w:val="none"/>
              </w:rPr>
              <w:t>层业务部</w:t>
            </w:r>
          </w:p>
          <w:p>
            <w:pPr>
              <w:jc w:val="both"/>
              <w:rPr>
                <w:rFonts w:ascii="仿宋_GB2312" w:hAnsi="仿宋" w:eastAsia="仿宋_GB2312"/>
                <w:color w:val="auto"/>
                <w:highlight w:val="none"/>
              </w:rPr>
            </w:pPr>
            <w:r>
              <w:rPr>
                <w:rFonts w:hint="eastAsia" w:ascii="仿宋_GB2312" w:hAnsi="仿宋" w:eastAsia="仿宋_GB2312"/>
                <w:color w:val="auto"/>
                <w:highlight w:val="none"/>
              </w:rPr>
              <w:t>2．联系电话：</w:t>
            </w:r>
            <w:r>
              <w:rPr>
                <w:rFonts w:ascii="仿宋_GB2312" w:hAnsi="仿宋" w:eastAsia="仿宋_GB2312"/>
                <w:color w:val="auto"/>
                <w:highlight w:val="none"/>
              </w:rPr>
              <w:t>029-89565998</w:t>
            </w:r>
          </w:p>
          <w:p>
            <w:pPr>
              <w:jc w:val="both"/>
              <w:rPr>
                <w:rFonts w:ascii="仿宋_GB2312" w:hAnsi="仿宋" w:eastAsia="仿宋_GB2312"/>
                <w:color w:val="auto"/>
                <w:highlight w:val="none"/>
              </w:rPr>
            </w:pPr>
            <w:r>
              <w:rPr>
                <w:rFonts w:hint="eastAsia" w:ascii="仿宋_GB2312" w:hAnsi="仿宋" w:eastAsia="仿宋_GB2312"/>
                <w:color w:val="auto"/>
                <w:highlight w:val="none"/>
              </w:rPr>
              <w:t>3．联系人：</w:t>
            </w:r>
            <w:r>
              <w:rPr>
                <w:rFonts w:hint="eastAsia" w:ascii="仿宋_GB2312" w:eastAsia="仿宋_GB2312"/>
                <w:color w:val="auto"/>
                <w:highlight w:val="none"/>
              </w:rPr>
              <w:t>吴芳超、黄文婷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21</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西安市公共资源交易中心电子化政府采购系统技术支持</w:t>
            </w:r>
          </w:p>
          <w:p>
            <w:pPr>
              <w:jc w:val="center"/>
              <w:rPr>
                <w:rFonts w:ascii="仿宋_GB2312" w:hAnsi="仿宋" w:eastAsia="仿宋_GB2312"/>
                <w:color w:val="auto"/>
                <w:highlight w:val="none"/>
              </w:rPr>
            </w:pPr>
            <w:r>
              <w:rPr>
                <w:rFonts w:hint="eastAsia" w:ascii="仿宋_GB2312" w:hAnsi="仿宋" w:eastAsia="仿宋_GB2312"/>
                <w:color w:val="auto"/>
                <w:highlight w:val="none"/>
              </w:rPr>
              <w:t>（软件开发商）</w:t>
            </w:r>
          </w:p>
        </w:tc>
        <w:tc>
          <w:tcPr>
            <w:tcW w:w="5469" w:type="dxa"/>
            <w:shd w:val="clear" w:color="auto" w:fill="auto"/>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国泰新点软件股份有限公司</w:t>
            </w:r>
          </w:p>
          <w:p>
            <w:pPr>
              <w:rPr>
                <w:rFonts w:ascii="仿宋_GB2312" w:hAnsi="仿宋" w:eastAsia="仿宋_GB2312"/>
                <w:color w:val="auto"/>
                <w:highlight w:val="none"/>
              </w:rPr>
            </w:pPr>
            <w:r>
              <w:rPr>
                <w:rFonts w:hint="eastAsia" w:ascii="仿宋_GB2312" w:hAnsi="仿宋" w:eastAsia="仿宋_GB2312"/>
                <w:color w:val="auto"/>
                <w:highlight w:val="none"/>
              </w:rPr>
              <w:t>1.技术支持热线：400-998-0000/400-928-0095</w:t>
            </w:r>
          </w:p>
          <w:p>
            <w:pPr>
              <w:rPr>
                <w:rFonts w:ascii="仿宋_GB2312" w:hAnsi="仿宋" w:eastAsia="仿宋_GB2312"/>
                <w:color w:val="auto"/>
                <w:highlight w:val="none"/>
              </w:rPr>
            </w:pPr>
            <w:r>
              <w:rPr>
                <w:rFonts w:hint="eastAsia" w:ascii="仿宋_GB2312" w:hAnsi="仿宋" w:eastAsia="仿宋_GB2312"/>
                <w:color w:val="auto"/>
                <w:highlight w:val="none"/>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22</w:t>
            </w:r>
          </w:p>
        </w:tc>
        <w:tc>
          <w:tcPr>
            <w:tcW w:w="2423" w:type="dxa"/>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CA业务网点</w:t>
            </w:r>
          </w:p>
        </w:tc>
        <w:tc>
          <w:tcPr>
            <w:tcW w:w="5469" w:type="dxa"/>
            <w:shd w:val="clear" w:color="auto" w:fill="auto"/>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陕西省数字证书认证中心股份有限公司</w:t>
            </w:r>
          </w:p>
          <w:p>
            <w:pPr>
              <w:jc w:val="both"/>
              <w:rPr>
                <w:rFonts w:ascii="仿宋_GB2312" w:hAnsi="仿宋" w:eastAsia="仿宋_GB2312"/>
                <w:color w:val="auto"/>
                <w:highlight w:val="none"/>
              </w:rPr>
            </w:pPr>
            <w:r>
              <w:rPr>
                <w:rFonts w:hint="eastAsia" w:ascii="仿宋_GB2312" w:hAnsi="仿宋" w:eastAsia="仿宋_GB2312"/>
                <w:color w:val="auto"/>
                <w:highlight w:val="none"/>
              </w:rPr>
              <w:t>网点1：西安市高新三路信息港大厦1楼客服中心</w:t>
            </w:r>
          </w:p>
          <w:p>
            <w:pPr>
              <w:jc w:val="both"/>
              <w:rPr>
                <w:rFonts w:ascii="仿宋_GB2312" w:hAnsi="仿宋" w:eastAsia="仿宋_GB2312"/>
                <w:color w:val="auto"/>
                <w:highlight w:val="none"/>
              </w:rPr>
            </w:pPr>
            <w:r>
              <w:rPr>
                <w:rFonts w:hint="eastAsia" w:ascii="仿宋_GB2312" w:hAnsi="仿宋" w:eastAsia="仿宋_GB2312"/>
                <w:color w:val="auto"/>
                <w:highlight w:val="none"/>
              </w:rPr>
              <w:t>客服电话：4006-369-888</w:t>
            </w:r>
          </w:p>
          <w:p>
            <w:pPr>
              <w:jc w:val="both"/>
              <w:rPr>
                <w:rFonts w:ascii="仿宋_GB2312" w:hAnsi="仿宋" w:eastAsia="仿宋_GB2312"/>
                <w:color w:val="auto"/>
                <w:highlight w:val="none"/>
              </w:rPr>
            </w:pPr>
            <w:r>
              <w:rPr>
                <w:rFonts w:hint="eastAsia" w:ascii="仿宋_GB2312" w:hAnsi="仿宋" w:eastAsia="仿宋_GB2312"/>
                <w:color w:val="auto"/>
                <w:highlight w:val="none"/>
              </w:rPr>
              <w:t>网点2：西安市长安北路14号省体育公寓B座一楼</w:t>
            </w:r>
          </w:p>
          <w:p>
            <w:pPr>
              <w:jc w:val="both"/>
              <w:rPr>
                <w:rFonts w:ascii="仿宋_GB2312" w:hAnsi="仿宋" w:eastAsia="仿宋_GB2312"/>
                <w:color w:val="auto"/>
                <w:highlight w:val="none"/>
              </w:rPr>
            </w:pPr>
            <w:r>
              <w:rPr>
                <w:rFonts w:hint="eastAsia" w:ascii="仿宋_GB2312" w:hAnsi="仿宋" w:eastAsia="仿宋_GB2312"/>
                <w:color w:val="auto"/>
                <w:highlight w:val="none"/>
              </w:rPr>
              <w:t>咨询电话：029-88661241</w:t>
            </w:r>
          </w:p>
          <w:p>
            <w:pPr>
              <w:jc w:val="both"/>
              <w:rPr>
                <w:rFonts w:ascii="仿宋_GB2312" w:hAnsi="仿宋" w:eastAsia="仿宋_GB2312"/>
                <w:color w:val="auto"/>
                <w:highlight w:val="none"/>
              </w:rPr>
            </w:pPr>
            <w:r>
              <w:rPr>
                <w:rFonts w:hint="eastAsia" w:ascii="仿宋_GB2312" w:hAnsi="仿宋" w:eastAsia="仿宋_GB2312"/>
                <w:color w:val="auto"/>
                <w:highlight w:val="none"/>
              </w:rPr>
              <w:t>网点3：西安市文景北路16号白桦林国际B座2楼11#窗口</w:t>
            </w:r>
          </w:p>
          <w:p>
            <w:pPr>
              <w:jc w:val="both"/>
              <w:rPr>
                <w:rFonts w:ascii="仿宋_GB2312" w:hAnsi="仿宋" w:eastAsia="仿宋_GB2312"/>
                <w:color w:val="auto"/>
                <w:highlight w:val="none"/>
              </w:rPr>
            </w:pPr>
            <w:r>
              <w:rPr>
                <w:rFonts w:hint="eastAsia" w:ascii="仿宋_GB2312" w:hAnsi="仿宋" w:eastAsia="仿宋_GB2312"/>
                <w:color w:val="auto"/>
                <w:highlight w:val="none"/>
              </w:rPr>
              <w:t>咨询电话：029-86510073转80211</w:t>
            </w:r>
          </w:p>
        </w:tc>
      </w:tr>
    </w:tbl>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br w:type="page"/>
      </w:r>
    </w:p>
    <w:p>
      <w:pPr>
        <w:pStyle w:val="4"/>
        <w:adjustRightInd w:val="0"/>
        <w:snapToGrid w:val="0"/>
        <w:spacing w:line="360" w:lineRule="auto"/>
        <w:ind w:firstLine="482"/>
        <w:rPr>
          <w:rFonts w:ascii="仿宋_GB2312" w:eastAsia="仿宋_GB2312"/>
          <w:b/>
          <w:color w:val="auto"/>
          <w:sz w:val="24"/>
          <w:szCs w:val="24"/>
          <w:highlight w:val="none"/>
        </w:rPr>
      </w:pPr>
      <w:bookmarkStart w:id="11" w:name="_Toc107503656"/>
      <w:r>
        <w:rPr>
          <w:rFonts w:hint="eastAsia" w:ascii="仿宋_GB2312" w:eastAsia="仿宋_GB2312"/>
          <w:b/>
          <w:color w:val="auto"/>
          <w:sz w:val="24"/>
          <w:szCs w:val="24"/>
          <w:highlight w:val="none"/>
        </w:rPr>
        <w:t>一、有关定义</w:t>
      </w:r>
      <w:bookmarkEnd w:id="11"/>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1．采购人：依法进行政府采购的西安市市级机关、事业单位或团体组织。</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2．供应商：指向采购人提供货物、工程或者服务的法人、其他组织或者自然人。</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3．同级政府采购监管部门：西安市财政局政府采购管理处。</w:t>
      </w:r>
    </w:p>
    <w:p>
      <w:pPr>
        <w:adjustRightInd w:val="0"/>
        <w:snapToGrid w:val="0"/>
        <w:spacing w:line="360" w:lineRule="auto"/>
        <w:ind w:firstLine="480" w:firstLineChars="200"/>
        <w:rPr>
          <w:rFonts w:ascii="仿宋_GB2312" w:hAnsi="仿宋" w:eastAsia="仿宋_GB2312"/>
          <w:color w:val="auto"/>
          <w:highlight w:val="none"/>
        </w:rPr>
      </w:pPr>
      <w:r>
        <w:rPr>
          <w:rFonts w:hint="eastAsia" w:ascii="仿宋_GB2312" w:hAnsi="仿宋" w:eastAsia="仿宋_GB2312"/>
          <w:color w:val="auto"/>
          <w:highlight w:val="none"/>
        </w:rPr>
        <w:t>4．西安市公共资源交易平台：即【全国公共资源交易平台（陕西省·西安市）】的简称，官网地址</w:t>
      </w:r>
      <w:r>
        <w:rPr>
          <w:rFonts w:hint="eastAsia"/>
          <w:color w:val="auto"/>
          <w:highlight w:val="none"/>
        </w:rPr>
        <w:fldChar w:fldCharType="begin"/>
      </w:r>
      <w:r>
        <w:rPr>
          <w:color w:val="auto"/>
          <w:highlight w:val="none"/>
        </w:rPr>
        <w:instrText xml:space="preserve"> HYPERLINK "http://sxggzyjy.xa.gov.cn/" </w:instrText>
      </w:r>
      <w:r>
        <w:rPr>
          <w:rFonts w:hint="eastAsia"/>
          <w:color w:val="auto"/>
          <w:highlight w:val="none"/>
        </w:rPr>
        <w:fldChar w:fldCharType="separate"/>
      </w:r>
      <w:r>
        <w:rPr>
          <w:rStyle w:val="47"/>
          <w:rFonts w:hint="eastAsia" w:ascii="仿宋_GB2312" w:hAnsi="仿宋" w:eastAsia="仿宋_GB2312"/>
          <w:color w:val="auto"/>
          <w:highlight w:val="none"/>
          <w:u w:val="none"/>
        </w:rPr>
        <w:t>http://sxggzyjy.xa.gov.cn/</w:t>
      </w:r>
      <w:r>
        <w:rPr>
          <w:rStyle w:val="47"/>
          <w:rFonts w:hint="eastAsia" w:ascii="仿宋_GB2312" w:hAnsi="仿宋" w:eastAsia="仿宋_GB2312"/>
          <w:color w:val="auto"/>
          <w:highlight w:val="none"/>
          <w:u w:val="none"/>
        </w:rPr>
        <w:fldChar w:fldCharType="end"/>
      </w:r>
      <w:r>
        <w:rPr>
          <w:rFonts w:hint="eastAsia" w:ascii="仿宋_GB2312" w:hAnsi="仿宋" w:eastAsia="仿宋_GB2312"/>
          <w:color w:val="auto"/>
          <w:highlight w:val="none"/>
        </w:rPr>
        <w:t>。</w:t>
      </w:r>
    </w:p>
    <w:p>
      <w:pPr>
        <w:adjustRightInd w:val="0"/>
        <w:snapToGrid w:val="0"/>
        <w:spacing w:line="360" w:lineRule="auto"/>
        <w:ind w:firstLine="480" w:firstLineChars="200"/>
        <w:rPr>
          <w:rFonts w:ascii="仿宋_GB2312" w:hAnsi="仿宋" w:eastAsia="仿宋_GB2312"/>
          <w:color w:val="auto"/>
          <w:highlight w:val="none"/>
        </w:rPr>
      </w:pPr>
      <w:r>
        <w:rPr>
          <w:rFonts w:hint="eastAsia" w:ascii="仿宋_GB2312" w:hAnsi="仿宋" w:eastAsia="仿宋_GB2312"/>
          <w:color w:val="auto"/>
          <w:highlight w:val="none"/>
        </w:rPr>
        <w:t>5．企业端：指西安市公共资源交易平台〖首页·〉电子交易平台·〉陕西政府采购交易系统·〉企业端〗，快捷登录网址</w:t>
      </w:r>
      <w:r>
        <w:rPr>
          <w:color w:val="auto"/>
          <w:highlight w:val="none"/>
        </w:rPr>
        <w:fldChar w:fldCharType="begin"/>
      </w:r>
      <w:r>
        <w:rPr>
          <w:color w:val="auto"/>
          <w:highlight w:val="none"/>
        </w:rPr>
        <w:instrText xml:space="preserve"> HYPERLINK "http://www.sxggzyjy.cn:9002/TPBidder/memberLogin" </w:instrText>
      </w:r>
      <w:r>
        <w:rPr>
          <w:color w:val="auto"/>
          <w:highlight w:val="none"/>
        </w:rPr>
        <w:fldChar w:fldCharType="separate"/>
      </w:r>
      <w:r>
        <w:rPr>
          <w:rStyle w:val="47"/>
          <w:rFonts w:hint="eastAsia" w:ascii="仿宋_GB2312" w:hAnsi="仿宋" w:eastAsia="仿宋_GB2312"/>
          <w:color w:val="auto"/>
          <w:highlight w:val="none"/>
          <w:u w:val="none"/>
        </w:rPr>
        <w:t>http://www.sxggzyjy.cn:9002/TPBidder/memberLogin</w:t>
      </w:r>
      <w:r>
        <w:rPr>
          <w:rStyle w:val="47"/>
          <w:rFonts w:hint="eastAsia" w:ascii="仿宋_GB2312" w:hAnsi="仿宋" w:eastAsia="仿宋_GB2312"/>
          <w:color w:val="auto"/>
          <w:highlight w:val="none"/>
          <w:u w:val="none"/>
        </w:rPr>
        <w:fldChar w:fldCharType="end"/>
      </w:r>
      <w:r>
        <w:rPr>
          <w:rFonts w:hint="eastAsia" w:ascii="仿宋_GB2312" w:hAnsi="仿宋" w:eastAsia="仿宋_GB2312"/>
          <w:color w:val="auto"/>
          <w:highlight w:val="none"/>
        </w:rPr>
        <w:t>。</w:t>
      </w:r>
    </w:p>
    <w:p>
      <w:pPr>
        <w:pStyle w:val="4"/>
        <w:adjustRightInd w:val="0"/>
        <w:snapToGrid w:val="0"/>
        <w:spacing w:line="360" w:lineRule="auto"/>
        <w:ind w:firstLine="482"/>
        <w:rPr>
          <w:rFonts w:ascii="仿宋_GB2312" w:eastAsia="仿宋_GB2312"/>
          <w:b/>
          <w:color w:val="auto"/>
          <w:sz w:val="24"/>
          <w:szCs w:val="24"/>
          <w:highlight w:val="none"/>
        </w:rPr>
      </w:pPr>
      <w:bookmarkStart w:id="12" w:name="_Toc107503657"/>
      <w:r>
        <w:rPr>
          <w:rFonts w:hint="eastAsia" w:ascii="仿宋_GB2312" w:eastAsia="仿宋_GB2312"/>
          <w:b/>
          <w:color w:val="auto"/>
          <w:sz w:val="24"/>
          <w:szCs w:val="24"/>
          <w:highlight w:val="none"/>
        </w:rPr>
        <w:t>二、供应商注意事项</w:t>
      </w:r>
      <w:bookmarkEnd w:id="12"/>
    </w:p>
    <w:p>
      <w:pPr>
        <w:pStyle w:val="112"/>
        <w:adjustRightInd w:val="0"/>
        <w:snapToGrid w:val="0"/>
        <w:spacing w:before="0" w:beforeLines="0" w:after="0" w:afterLines="0" w:line="360" w:lineRule="auto"/>
        <w:ind w:firstLine="482"/>
        <w:rPr>
          <w:color w:val="auto"/>
          <w:sz w:val="24"/>
          <w:szCs w:val="24"/>
          <w:highlight w:val="none"/>
        </w:rPr>
      </w:pPr>
      <w:bookmarkStart w:id="13" w:name="_Toc107503658"/>
      <w:r>
        <w:rPr>
          <w:rFonts w:hint="eastAsia"/>
          <w:color w:val="auto"/>
          <w:sz w:val="24"/>
          <w:szCs w:val="24"/>
          <w:highlight w:val="none"/>
        </w:rPr>
        <w:t>（一）供应商投标流程</w:t>
      </w:r>
      <w:bookmarkEnd w:id="13"/>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使用电子交易系统的采购项目（即线上项目），将同时提供WORD\PDF格式（仅用于预览）和SXSZF格式（用于制作电子投标文件）两个版本，文件内容一致。</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1．预览采购文件：打开西安市公共资源交易平台〖首页·〉交易大厅·〉政府采购〗栏目，下载和阅读本项目采购文件的预览版本（WORD\PDF格式）；</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2．办理注册登记（针对初次使用电子交易系统的用户）：</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（1）办理诚信入库注册：在决定参加本项目采购活动后，供应商应先在西安市公共资源交易平台上完成“诚信入库登记”；</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办理须知：</w:t>
      </w:r>
    </w:p>
    <w:p>
      <w:pPr>
        <w:widowControl w:val="0"/>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http://</w:t>
      </w:r>
      <w:r>
        <w:rPr>
          <w:color w:val="auto"/>
          <w:highlight w:val="none"/>
        </w:rPr>
        <w:fldChar w:fldCharType="begin"/>
      </w:r>
      <w:r>
        <w:rPr>
          <w:color w:val="auto"/>
          <w:highlight w:val="none"/>
        </w:rPr>
        <w:instrText xml:space="preserve"> HYPERLINK "http://www.snca.com.cn/channel/show/27.html" </w:instrText>
      </w:r>
      <w:r>
        <w:rPr>
          <w:color w:val="auto"/>
          <w:highlight w:val="none"/>
        </w:rPr>
        <w:fldChar w:fldCharType="separate"/>
      </w:r>
      <w:r>
        <w:rPr>
          <w:rStyle w:val="47"/>
          <w:rFonts w:hint="eastAsia" w:ascii="仿宋_GB2312" w:hAnsi="仿宋" w:eastAsia="仿宋_GB2312"/>
          <w:color w:val="auto"/>
          <w:highlight w:val="none"/>
          <w:u w:val="none"/>
        </w:rPr>
        <w:t>www.snca.com.cn/channel/show/27.html</w:t>
      </w:r>
      <w:r>
        <w:rPr>
          <w:rStyle w:val="47"/>
          <w:rFonts w:hint="eastAsia" w:ascii="仿宋_GB2312" w:hAnsi="仿宋" w:eastAsia="仿宋_GB2312"/>
          <w:color w:val="auto"/>
          <w:highlight w:val="none"/>
          <w:u w:val="none"/>
        </w:rPr>
        <w:fldChar w:fldCharType="end"/>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（3）绑定和激活CA：将数字证书与诚信库中的供应商账户进行绑定。</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4．制作电子投标文件：需要使用专用制作软件“新点投标文件制作软件（陕西公共资源）”进行编制，编制完成后使用CA锁对电子投标文件进行签章、加密。详见本章中的“投标文件”相关内容。</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5．提交电子投标文件：在提交投标文件截止时间前及时提交加密后电子投标文件，逾期提交的，系统将会拒收；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7．等待专家评审：评审期间，可能需要对评审专家提出的问题进行澄清或答复。在主持人宣布评审结束前，供应商请勿擅自离席，否则由此造成的不利后果，由供应商自行承担。</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8．中标供应商注册：按照陕西省政府采购监管部门的要求，采购代理机构在发布中标公告前，应由中标供应商在陕西省政府采购网上完成注册。</w:t>
      </w:r>
    </w:p>
    <w:p>
      <w:pPr>
        <w:pStyle w:val="112"/>
        <w:adjustRightInd w:val="0"/>
        <w:snapToGrid w:val="0"/>
        <w:spacing w:before="0" w:beforeLines="0" w:after="0" w:afterLines="0" w:line="360" w:lineRule="auto"/>
        <w:ind w:firstLine="482"/>
        <w:rPr>
          <w:color w:val="auto"/>
          <w:sz w:val="24"/>
          <w:szCs w:val="24"/>
          <w:highlight w:val="none"/>
        </w:rPr>
      </w:pPr>
      <w:bookmarkStart w:id="14" w:name="_Toc107503659"/>
      <w:r>
        <w:rPr>
          <w:rFonts w:hint="eastAsia"/>
          <w:color w:val="auto"/>
          <w:sz w:val="24"/>
          <w:szCs w:val="24"/>
          <w:highlight w:val="none"/>
        </w:rPr>
        <w:t>（二）关于询问、质疑和投诉</w:t>
      </w:r>
      <w:bookmarkEnd w:id="14"/>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1．询问</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供应商对政府采购活动事项有疑问的，可以向采购人或采购代理机构提出询问。采购人或采购代理机构将在3个工作日内对供应商依法提出的询问作出答复。</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2．质疑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（1）供应商认为采购文件、采购过程、成交结果使自己的权益受到损害的，可以在知道或应知其权益受到损害之日起7个工作日内以书面形式向采购人、采购代理机构提出。</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（2）质疑方式：</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① 在线质疑：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登录西安市公共资源交易平台〖首页·〉电子交易平台·〉企业端〗，在〖我的项目〗中点击“项目流程·〉提出质疑”，填写表单并提交质疑。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② 书面质疑：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书面质疑函应按照财政部国库司制定的《政府采购供应商质疑函范本》（见下方链接）进行填写，签字、盖章后提交至采购人、采购代理机构。</w:t>
      </w:r>
    </w:p>
    <w:p>
      <w:pPr>
        <w:adjustRightInd w:val="0"/>
        <w:snapToGrid w:val="0"/>
        <w:spacing w:line="360" w:lineRule="auto"/>
        <w:ind w:firstLine="480" w:firstLineChars="200"/>
        <w:rPr>
          <w:rFonts w:ascii="仿宋_GB2312" w:hAnsi="仿宋" w:eastAsia="仿宋_GB2312"/>
          <w:color w:val="auto"/>
          <w:highlight w:val="none"/>
        </w:rPr>
      </w:pPr>
      <w:r>
        <w:rPr>
          <w:rFonts w:hint="eastAsia" w:ascii="仿宋_GB2312" w:hAnsi="仿宋" w:eastAsia="仿宋_GB2312"/>
          <w:color w:val="auto"/>
          <w:highlight w:val="none"/>
        </w:rPr>
        <w:t>质疑函范本地址：</w:t>
      </w:r>
      <w:r>
        <w:rPr>
          <w:color w:val="auto"/>
          <w:highlight w:val="none"/>
        </w:rPr>
        <w:fldChar w:fldCharType="begin"/>
      </w:r>
      <w:r>
        <w:rPr>
          <w:color w:val="auto"/>
          <w:highlight w:val="none"/>
        </w:rPr>
        <w:instrText xml:space="preserve"> HYPERLINK "http://download.ccgp.gov.cn/2018/zhiyihanfanben.zip" </w:instrText>
      </w:r>
      <w:r>
        <w:rPr>
          <w:color w:val="auto"/>
          <w:highlight w:val="none"/>
        </w:rPr>
        <w:fldChar w:fldCharType="separate"/>
      </w:r>
      <w:r>
        <w:rPr>
          <w:rStyle w:val="47"/>
          <w:rFonts w:hint="eastAsia" w:ascii="仿宋_GB2312" w:hAnsi="仿宋" w:eastAsia="仿宋_GB2312"/>
          <w:color w:val="auto"/>
          <w:highlight w:val="none"/>
          <w:u w:val="none"/>
        </w:rPr>
        <w:t>http://download.ccgp.gov.cn/2018/zhiyihanfanben.zip</w:t>
      </w:r>
      <w:r>
        <w:rPr>
          <w:rStyle w:val="47"/>
          <w:rFonts w:hint="eastAsia" w:ascii="仿宋_GB2312" w:hAnsi="仿宋" w:eastAsia="仿宋_GB2312"/>
          <w:color w:val="auto"/>
          <w:highlight w:val="none"/>
          <w:u w:val="none"/>
        </w:rPr>
        <w:fldChar w:fldCharType="end"/>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（4）在法定质疑期内，针对同一采购程序环节的质疑应当一次性提出。采购人、采购代理机构将在收到书面质疑后7个工作日内做出答复，并以书面形式通知质疑人和其他有关供应商。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（5）有下列情形之一的，属于无效质疑：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① 对采购文件提出质疑的质疑人不是依法获取采购文件的潜在供应商；对采购过程、中标结果提出质疑的质疑人不是参与本次政府采购项目的供应商；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② 超过法定期限或未以书面形式提出的；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③ 缺乏必要的证明材料，或捏造事实、提供虚假材料，或以非法手段取得证明材料的；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④ 质疑函没有合法有效的签字、盖章或委托授权书的（代理人提出质疑和投诉，应当提交供应商签署的授权委托书）；</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⑤ 针对同一采购程序环节又提出其他质疑事项的，或质疑答复后就同一事项再次提出质疑的；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⑥ 不符合法律、法规、规章和政府采购监管机构规定的其他条件的。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3．投诉</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（2）供应商投诉的事项不得超出已质疑事项的范围。供应商提出投诉时，应当提交投诉书和必要的证明材料，并按财政部《投诉书范本》给定的格式进行填写。</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投诉书范本地址：</w:t>
      </w:r>
    </w:p>
    <w:p>
      <w:pPr>
        <w:adjustRightInd w:val="0"/>
        <w:snapToGrid w:val="0"/>
        <w:spacing w:line="360" w:lineRule="auto"/>
        <w:ind w:firstLine="480" w:firstLineChars="200"/>
        <w:jc w:val="both"/>
        <w:rPr>
          <w:rFonts w:ascii="仿宋_GB2312" w:hAnsi="仿宋" w:eastAsia="仿宋_GB2312"/>
          <w:color w:val="auto"/>
          <w:highlight w:val="none"/>
        </w:rPr>
      </w:pPr>
      <w:r>
        <w:rPr>
          <w:color w:val="auto"/>
          <w:highlight w:val="none"/>
        </w:rPr>
        <w:fldChar w:fldCharType="begin"/>
      </w:r>
      <w:r>
        <w:rPr>
          <w:color w:val="auto"/>
          <w:highlight w:val="none"/>
        </w:rPr>
        <w:instrText xml:space="preserve"> HYPERLINK "http://download.ccgp.gov.cn/2018/tousushufanben.zip" </w:instrText>
      </w:r>
      <w:r>
        <w:rPr>
          <w:color w:val="auto"/>
          <w:highlight w:val="none"/>
        </w:rPr>
        <w:fldChar w:fldCharType="separate"/>
      </w:r>
      <w:r>
        <w:rPr>
          <w:rStyle w:val="47"/>
          <w:rFonts w:hint="eastAsia" w:ascii="仿宋_GB2312" w:hAnsi="仿宋" w:eastAsia="仿宋_GB2312"/>
          <w:color w:val="auto"/>
          <w:highlight w:val="none"/>
        </w:rPr>
        <w:t>http://download.ccgp.gov.cn/2018/tousushufanben.zip</w:t>
      </w:r>
      <w:r>
        <w:rPr>
          <w:rStyle w:val="47"/>
          <w:rFonts w:hint="eastAsia" w:ascii="仿宋_GB2312" w:hAnsi="仿宋" w:eastAsia="仿宋_GB2312"/>
          <w:color w:val="auto"/>
          <w:highlight w:val="none"/>
        </w:rPr>
        <w:fldChar w:fldCharType="end"/>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4．恶意质疑、投诉的法律后果</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（1）对捏造事实、提供虚假材料进行质疑、投诉的行为予以严肃处理：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（2）对捏造事实诬告陷害他人、诽谤他人的法律适用：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《中华人民共和国刑法》第243条【诬告陷害罪】捏造事实诬告陷害他人，意图使他人受刑事追究，情节严重的，处三年以下有期徒刑、拘役或者管制；造成严重后果的，处三年以上十年以下有期徒刑。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《中华人民共和国刑法》第246条【侮辱罪、诽谤罪】以暴力或者其他方法公然侮辱他人或者捏造事实诽谤他人，情节严重的，处三年以下有期徒刑、拘役、管制或者剥夺政治权利。</w:t>
      </w:r>
    </w:p>
    <w:p>
      <w:pPr>
        <w:pStyle w:val="112"/>
        <w:adjustRightInd w:val="0"/>
        <w:snapToGrid w:val="0"/>
        <w:spacing w:before="0" w:beforeLines="0" w:after="0" w:afterLines="0" w:line="360" w:lineRule="auto"/>
        <w:ind w:firstLine="482"/>
        <w:rPr>
          <w:color w:val="auto"/>
          <w:sz w:val="24"/>
          <w:szCs w:val="24"/>
          <w:highlight w:val="none"/>
        </w:rPr>
      </w:pPr>
      <w:bookmarkStart w:id="15" w:name="_Toc107503660"/>
      <w:r>
        <w:rPr>
          <w:rFonts w:hint="eastAsia"/>
          <w:color w:val="auto"/>
          <w:sz w:val="24"/>
          <w:szCs w:val="24"/>
          <w:highlight w:val="none"/>
        </w:rPr>
        <w:t>（三）关于保证金</w:t>
      </w:r>
      <w:bookmarkEnd w:id="15"/>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1．西安市政府采购信用担保及信用融资政策</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《实施方案》链接地址：</w:t>
      </w:r>
    </w:p>
    <w:p>
      <w:pPr>
        <w:adjustRightInd w:val="0"/>
        <w:snapToGrid w:val="0"/>
        <w:spacing w:line="360" w:lineRule="auto"/>
        <w:ind w:firstLine="480" w:firstLineChars="200"/>
        <w:jc w:val="both"/>
        <w:rPr>
          <w:rFonts w:ascii="仿宋_GB2312" w:hAnsi="仿宋" w:eastAsia="仿宋_GB2312"/>
          <w:color w:val="auto"/>
          <w:highlight w:val="none"/>
        </w:rPr>
      </w:pPr>
      <w:r>
        <w:rPr>
          <w:color w:val="auto"/>
          <w:highlight w:val="none"/>
        </w:rPr>
        <w:fldChar w:fldCharType="begin"/>
      </w:r>
      <w:r>
        <w:rPr>
          <w:color w:val="auto"/>
          <w:highlight w:val="none"/>
        </w:rPr>
        <w:instrText xml:space="preserve"> HYPERLINK "http://xaczj.xa.gov.cn/zfcg/cgfg/5db90552fd850863a9e4594d.html" </w:instrText>
      </w:r>
      <w:r>
        <w:rPr>
          <w:color w:val="auto"/>
          <w:highlight w:val="none"/>
        </w:rPr>
        <w:fldChar w:fldCharType="separate"/>
      </w:r>
      <w:r>
        <w:rPr>
          <w:rStyle w:val="47"/>
          <w:rFonts w:hint="eastAsia" w:ascii="仿宋_GB2312" w:hAnsi="仿宋" w:eastAsia="仿宋_GB2312"/>
          <w:color w:val="auto"/>
          <w:highlight w:val="none"/>
          <w:u w:val="none"/>
        </w:rPr>
        <w:t>http://xaczj.xa.gov.cn/zfcg/cgfg/5db90552fd850863a9e4594d.html</w:t>
      </w:r>
      <w:r>
        <w:rPr>
          <w:rStyle w:val="47"/>
          <w:rFonts w:hint="eastAsia" w:ascii="仿宋_GB2312" w:hAnsi="仿宋" w:eastAsia="仿宋_GB2312"/>
          <w:color w:val="auto"/>
          <w:highlight w:val="none"/>
          <w:u w:val="none"/>
        </w:rPr>
        <w:fldChar w:fldCharType="end"/>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《合作机构名单》链接地址：</w:t>
      </w:r>
    </w:p>
    <w:p>
      <w:pPr>
        <w:adjustRightInd w:val="0"/>
        <w:snapToGrid w:val="0"/>
        <w:spacing w:line="360" w:lineRule="auto"/>
        <w:ind w:firstLine="480" w:firstLineChars="200"/>
        <w:jc w:val="both"/>
        <w:rPr>
          <w:rFonts w:ascii="仿宋_GB2312" w:hAnsi="仿宋" w:eastAsia="仿宋_GB2312"/>
          <w:color w:val="auto"/>
          <w:highlight w:val="none"/>
        </w:rPr>
      </w:pPr>
      <w:r>
        <w:rPr>
          <w:color w:val="auto"/>
          <w:highlight w:val="none"/>
        </w:rPr>
        <w:fldChar w:fldCharType="begin"/>
      </w:r>
      <w:r>
        <w:rPr>
          <w:color w:val="auto"/>
          <w:highlight w:val="none"/>
        </w:rPr>
        <w:instrText xml:space="preserve"> HYPERLINK "http://xaczj.xa.gov.cn/zfcg/cgfg/5db9054565cbd804f69e97e0.html" </w:instrText>
      </w:r>
      <w:r>
        <w:rPr>
          <w:color w:val="auto"/>
          <w:highlight w:val="none"/>
        </w:rPr>
        <w:fldChar w:fldCharType="separate"/>
      </w:r>
      <w:r>
        <w:rPr>
          <w:rStyle w:val="47"/>
          <w:rFonts w:hint="eastAsia" w:ascii="仿宋_GB2312" w:hAnsi="仿宋" w:eastAsia="仿宋_GB2312"/>
          <w:color w:val="auto"/>
          <w:highlight w:val="none"/>
          <w:u w:val="none"/>
        </w:rPr>
        <w:t>http://xaczj.xa.gov.cn/zfcg/cgfg/5db9054565cbd804f69e97e0.html</w:t>
      </w:r>
      <w:r>
        <w:rPr>
          <w:rStyle w:val="47"/>
          <w:rFonts w:hint="eastAsia" w:ascii="仿宋_GB2312" w:hAnsi="仿宋" w:eastAsia="仿宋_GB2312"/>
          <w:color w:val="auto"/>
          <w:highlight w:val="none"/>
          <w:u w:val="none"/>
        </w:rPr>
        <w:fldChar w:fldCharType="end"/>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2．投标保证金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按照西安市财政局《关于促进政府采购公平竞争优化营商环境的通知》第三条规定，供应商参与西安市政府采购活动时，免交投标保证金。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3．履约保证金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（1）交纳履约保证金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（2）采用履约保函形式时应注意以下事项：</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① 履约保函的受益人为采购人，供应商未能按合同规定履行其义务时，采购人有权从履约保证金中取得补偿。</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③ 担保金额不少于《投标邀请函》中规定的履约保证金交纳金额；</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④ 保函申请人须与供应商名称一致。若供应商为联合体形式，原则上可由联合体任意一方或多方作为保函申请人，然而对于电子保函，目前只能由下载电子招标文件的一方作为保函申请人。</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（3）退还履约保证金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112"/>
        <w:adjustRightInd w:val="0"/>
        <w:snapToGrid w:val="0"/>
        <w:spacing w:before="0" w:beforeLines="0" w:after="0" w:afterLines="0" w:line="360" w:lineRule="auto"/>
        <w:ind w:firstLine="482"/>
        <w:rPr>
          <w:color w:val="auto"/>
          <w:sz w:val="24"/>
          <w:szCs w:val="24"/>
          <w:highlight w:val="none"/>
        </w:rPr>
      </w:pPr>
      <w:bookmarkStart w:id="16" w:name="_Toc107503661"/>
      <w:r>
        <w:rPr>
          <w:rFonts w:hint="eastAsia"/>
          <w:color w:val="auto"/>
          <w:sz w:val="24"/>
          <w:szCs w:val="24"/>
          <w:highlight w:val="none"/>
        </w:rPr>
        <w:t>（四）关于联合体</w:t>
      </w:r>
      <w:bookmarkEnd w:id="16"/>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4．供应商以联合体形式参加政府采购活动时，遵循以下规则：</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③ 采用资格前审的项目，联合体应当在提交资格前审申请文件前组成。资格前审后联合体不得增减、更换成员。</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④ 资格审查阶段，采购人将对所有联合体成员进行信用记录查询，联合体成员存在不良信用记录的，视同联合体存在不良信用记录。</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⑤ 招标文件要求供应商交纳保证金的，可以由联合体中的一方或者多方共同交纳保证金，其交纳的保证金对联合体各方均具有约束力。</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⑥ 招标文件要求供应商提供履约人员和设备情况的，联合体各方均应提供，以说明其作为独立供应商所具有的能有效执行合同的能力和资源。</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⑦ 招标文件要求供应商提供同类或类似项目业绩的，联合体各方符合招标文件要求的同类或类似业绩可以累计，但联合体一方或多方共同参与的同一业绩不重复计算。</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⑨ 对采购项目提出投诉时，应当由组成联合体的所有供应商共同提出。</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（5）联合体出现下列情形之一的，联合体投标无效：</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① 没有提交有效的联合体协议的；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② 组成联合体的大中型企业和其他自然人、法人或者其他组织，与小型、微型企业之间存在投资关系的；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③ 联合体协议签订后，联合体成员单独参加或者与其他供应商另外组成联合体参加同一合同项下的政府采购活动的；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④资格预审后联合体增减、更换成员的；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⑤ 联合体成员因存在不良信用记录，被拒绝其参与政府采购活动的。</w:t>
      </w:r>
    </w:p>
    <w:p>
      <w:pPr>
        <w:pStyle w:val="112"/>
        <w:adjustRightInd w:val="0"/>
        <w:snapToGrid w:val="0"/>
        <w:spacing w:before="0" w:beforeLines="0" w:after="0" w:afterLines="0" w:line="360" w:lineRule="auto"/>
        <w:ind w:firstLine="482"/>
        <w:rPr>
          <w:color w:val="auto"/>
          <w:sz w:val="24"/>
          <w:szCs w:val="24"/>
          <w:highlight w:val="none"/>
        </w:rPr>
      </w:pPr>
      <w:bookmarkStart w:id="17" w:name="_Toc107503662"/>
      <w:r>
        <w:rPr>
          <w:rFonts w:hint="eastAsia"/>
          <w:color w:val="auto"/>
          <w:sz w:val="24"/>
          <w:szCs w:val="24"/>
          <w:highlight w:val="none"/>
        </w:rPr>
        <w:t>（五）关于政府采购政策</w:t>
      </w:r>
      <w:bookmarkEnd w:id="17"/>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1．对中小企业、监狱企业、残疾人福利性单位的优惠政策</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根据《政府采购促进中小企业发展管理办法》（财库〔2020〕46号）及《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（2）根据财政部、司法部联合下发的《关于政府采购支持监狱企业发展有关问题的通知》（财库〔2014〕68号）的规定，监狱企业视同小型、微型企业。</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2．节能、环保产品采购政策</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（3）《节能产品政府采购品目清单》见财政部、发展改革委《关于印发节能产品政府采购品目清单的通知》（财库〔2019〕19号）附件。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（4）《环境标志产品政府采购品目清单》见财政部、生态环境部《关于印发环境标志产品政府采购品目清单的通知》（财库〔2019〕18号）附件。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（5）“国家确定的认证机构”名单见市场监管总局《关于发布参与实施政府采购节能产品、环境标志产品认证机构名录的公告》（2019年第16号）。</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3．陕西省中小企业政府采购信用融资办法</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adjustRightInd w:val="0"/>
        <w:snapToGrid w:val="0"/>
        <w:spacing w:line="360" w:lineRule="auto"/>
        <w:ind w:firstLine="480" w:firstLineChars="200"/>
        <w:rPr>
          <w:rFonts w:ascii="仿宋_GB2312" w:hAnsi="仿宋" w:eastAsia="仿宋_GB2312"/>
          <w:color w:val="auto"/>
          <w:highlight w:val="none"/>
        </w:rPr>
      </w:pPr>
      <w:r>
        <w:rPr>
          <w:rFonts w:hint="eastAsia" w:ascii="仿宋_GB2312" w:hAnsi="仿宋" w:eastAsia="仿宋_GB2312"/>
          <w:color w:val="auto"/>
          <w:highlight w:val="none"/>
        </w:rPr>
        <w:t>链接地址：</w:t>
      </w:r>
      <w:r>
        <w:rPr>
          <w:color w:val="auto"/>
          <w:highlight w:val="none"/>
        </w:rPr>
        <w:fldChar w:fldCharType="begin"/>
      </w:r>
      <w:r>
        <w:rPr>
          <w:color w:val="auto"/>
          <w:highlight w:val="none"/>
        </w:rPr>
        <w:instrText xml:space="preserve"> HYPERLINK "http://www.ccgp-shaanxi.gov.cn/zcdservice/zcd/shanxi/article/zcdt/1390497710741917696" </w:instrText>
      </w:r>
      <w:r>
        <w:rPr>
          <w:color w:val="auto"/>
          <w:highlight w:val="none"/>
        </w:rPr>
        <w:fldChar w:fldCharType="separate"/>
      </w:r>
      <w:r>
        <w:rPr>
          <w:rStyle w:val="47"/>
          <w:rFonts w:hint="eastAsia" w:ascii="仿宋_GB2312" w:hAnsi="仿宋" w:eastAsia="仿宋_GB2312"/>
          <w:color w:val="auto"/>
          <w:highlight w:val="none"/>
          <w:u w:val="none"/>
        </w:rPr>
        <w:t>http://www.ccgp-shaanxi.gov.cn/zcdservice/zcd/shanxi/article/zcdt/1390497710741917696</w:t>
      </w:r>
      <w:r>
        <w:rPr>
          <w:rStyle w:val="47"/>
          <w:rFonts w:hint="eastAsia" w:ascii="仿宋_GB2312" w:hAnsi="仿宋" w:eastAsia="仿宋_GB2312"/>
          <w:color w:val="auto"/>
          <w:highlight w:val="none"/>
          <w:u w:val="none"/>
        </w:rPr>
        <w:fldChar w:fldCharType="end"/>
      </w:r>
    </w:p>
    <w:p>
      <w:pPr>
        <w:pStyle w:val="112"/>
        <w:adjustRightInd w:val="0"/>
        <w:snapToGrid w:val="0"/>
        <w:spacing w:before="0" w:beforeLines="0" w:after="0" w:afterLines="0" w:line="360" w:lineRule="auto"/>
        <w:ind w:firstLine="482"/>
        <w:rPr>
          <w:color w:val="auto"/>
          <w:sz w:val="24"/>
          <w:szCs w:val="24"/>
          <w:highlight w:val="none"/>
        </w:rPr>
      </w:pPr>
      <w:bookmarkStart w:id="18" w:name="_Toc107503663"/>
      <w:r>
        <w:rPr>
          <w:rFonts w:hint="eastAsia"/>
          <w:color w:val="auto"/>
          <w:sz w:val="24"/>
          <w:szCs w:val="24"/>
          <w:highlight w:val="none"/>
        </w:rPr>
        <w:t>（六）关于现场踏勘和集中答疑</w:t>
      </w:r>
      <w:bookmarkEnd w:id="18"/>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凡未参加现场踏勘和集中答疑的供应商，由此带来的不利后果由该供应商自行承担。</w:t>
      </w:r>
    </w:p>
    <w:p>
      <w:pPr>
        <w:pStyle w:val="112"/>
        <w:adjustRightInd w:val="0"/>
        <w:snapToGrid w:val="0"/>
        <w:spacing w:before="0" w:beforeLines="0" w:after="0" w:afterLines="0" w:line="360" w:lineRule="auto"/>
        <w:ind w:firstLine="482"/>
        <w:rPr>
          <w:color w:val="auto"/>
          <w:sz w:val="24"/>
          <w:szCs w:val="24"/>
          <w:highlight w:val="none"/>
        </w:rPr>
      </w:pPr>
      <w:bookmarkStart w:id="19" w:name="_Toc107503664"/>
      <w:r>
        <w:rPr>
          <w:rFonts w:hint="eastAsia"/>
          <w:color w:val="auto"/>
          <w:sz w:val="24"/>
          <w:szCs w:val="24"/>
          <w:highlight w:val="none"/>
        </w:rPr>
        <w:t>（七）关于知识产权和保密事项</w:t>
      </w:r>
      <w:bookmarkEnd w:id="19"/>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1．所有涉及知识产权的产品及设计，供应商必须确保委托人、采购人拥有其合法的、不受限制的无偿使用权，并免受任何侵权诉讼或索偿；否则，由此产生的一切经济损失和法律责任由供应商承担。</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12"/>
        <w:adjustRightInd w:val="0"/>
        <w:snapToGrid w:val="0"/>
        <w:spacing w:before="0" w:beforeLines="0" w:after="0" w:afterLines="0" w:line="360" w:lineRule="auto"/>
        <w:ind w:firstLine="482"/>
        <w:rPr>
          <w:color w:val="auto"/>
          <w:sz w:val="24"/>
          <w:szCs w:val="24"/>
          <w:highlight w:val="none"/>
        </w:rPr>
      </w:pPr>
      <w:bookmarkStart w:id="20" w:name="_Toc107503665"/>
      <w:r>
        <w:rPr>
          <w:rFonts w:hint="eastAsia"/>
          <w:color w:val="auto"/>
          <w:sz w:val="24"/>
          <w:szCs w:val="24"/>
          <w:highlight w:val="none"/>
        </w:rPr>
        <w:t>（八）关于信用记录的查询和使用</w:t>
      </w:r>
      <w:bookmarkEnd w:id="20"/>
    </w:p>
    <w:p>
      <w:pPr>
        <w:adjustRightInd w:val="0"/>
        <w:snapToGrid w:val="0"/>
        <w:spacing w:line="360" w:lineRule="auto"/>
        <w:ind w:firstLine="480" w:firstLineChars="200"/>
        <w:jc w:val="both"/>
        <w:rPr>
          <w:rFonts w:ascii="仿宋_GB2312" w:hAnsi="仿宋" w:eastAsia="仿宋_GB2312"/>
          <w:color w:val="auto"/>
          <w:highlight w:val="none"/>
        </w:rPr>
      </w:pPr>
      <w:r>
        <w:rPr>
          <w:rFonts w:ascii="仿宋_GB2312" w:hAnsi="仿宋" w:eastAsia="仿宋_GB2312"/>
          <w:color w:val="auto"/>
          <w:highlight w:val="none"/>
        </w:rPr>
        <w:t>1</w:t>
      </w:r>
      <w:r>
        <w:rPr>
          <w:rFonts w:hint="eastAsia" w:ascii="仿宋_GB2312" w:hAnsi="仿宋" w:eastAsia="仿宋_GB2312"/>
          <w:color w:val="auto"/>
          <w:highlight w:val="none"/>
        </w:rPr>
        <w:t>．根据财政部《关于在政府采购活动中查询及使用信用记录有关问题的通知》（财库〔</w:t>
      </w:r>
      <w:r>
        <w:rPr>
          <w:rFonts w:ascii="仿宋_GB2312" w:hAnsi="仿宋" w:eastAsia="仿宋_GB2312"/>
          <w:color w:val="auto"/>
          <w:highlight w:val="none"/>
        </w:rPr>
        <w:t>2016</w:t>
      </w:r>
      <w:r>
        <w:rPr>
          <w:rFonts w:hint="eastAsia" w:ascii="仿宋_GB2312" w:hAnsi="仿宋" w:eastAsia="仿宋_GB2312"/>
          <w:color w:val="auto"/>
          <w:highlight w:val="none"/>
        </w:rPr>
        <w:t>〕</w:t>
      </w:r>
      <w:r>
        <w:rPr>
          <w:rFonts w:ascii="仿宋_GB2312" w:hAnsi="仿宋" w:eastAsia="仿宋_GB2312"/>
          <w:color w:val="auto"/>
          <w:highlight w:val="none"/>
        </w:rPr>
        <w:t>125</w:t>
      </w:r>
      <w:r>
        <w:rPr>
          <w:rFonts w:hint="eastAsia" w:ascii="仿宋_GB2312" w:hAnsi="仿宋" w:eastAsia="仿宋_GB2312"/>
          <w:color w:val="auto"/>
          <w:highlight w:val="none"/>
        </w:rPr>
        <w:t>号）第二条有关要求，采购人或采购代理机构将对供应商进行信用查询，信用查询时间</w:t>
      </w:r>
      <w:r>
        <w:rPr>
          <w:rFonts w:hint="eastAsia" w:ascii="仿宋_GB2312" w:eastAsia="仿宋_GB2312"/>
          <w:color w:val="auto"/>
          <w:highlight w:val="none"/>
        </w:rPr>
        <w:t>为招标文件发售时间至资格审查工作结束，</w:t>
      </w:r>
      <w:r>
        <w:rPr>
          <w:rFonts w:hint="eastAsia" w:ascii="仿宋_GB2312" w:hAnsi="仿宋" w:eastAsia="仿宋_GB2312"/>
          <w:color w:val="auto"/>
          <w:highlight w:val="none"/>
        </w:rPr>
        <w:t>分别为【信用中国】（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Style w:val="47"/>
          <w:rFonts w:ascii="仿宋_GB2312" w:hAnsi="仿宋" w:eastAsia="仿宋_GB2312"/>
          <w:color w:val="auto"/>
          <w:highlight w:val="none"/>
          <w:u w:val="none"/>
        </w:rPr>
        <w:t>https://www.creditchina.gov.cn</w:t>
      </w:r>
      <w:r>
        <w:rPr>
          <w:rStyle w:val="47"/>
          <w:rFonts w:ascii="仿宋_GB2312" w:hAnsi="仿宋" w:eastAsia="仿宋_GB2312"/>
          <w:color w:val="auto"/>
          <w:highlight w:val="none"/>
          <w:u w:val="none"/>
        </w:rPr>
        <w:fldChar w:fldCharType="end"/>
      </w:r>
      <w:r>
        <w:rPr>
          <w:rFonts w:ascii="仿宋_GB2312" w:hAnsi="仿宋" w:eastAsia="仿宋_GB2312"/>
          <w:color w:val="auto"/>
          <w:highlight w:val="none"/>
        </w:rPr>
        <w:t>/</w:t>
      </w:r>
      <w:r>
        <w:rPr>
          <w:rFonts w:hint="eastAsia" w:ascii="仿宋_GB2312" w:hAnsi="仿宋" w:eastAsia="仿宋_GB2312"/>
          <w:color w:val="auto"/>
          <w:highlight w:val="none"/>
        </w:rPr>
        <w:t>）和【中国政府采购网】（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7"/>
          <w:rFonts w:ascii="仿宋_GB2312" w:hAnsi="仿宋" w:eastAsia="仿宋_GB2312"/>
          <w:color w:val="auto"/>
          <w:highlight w:val="none"/>
          <w:u w:val="none"/>
        </w:rPr>
        <w:t>http://www.ccgp.gov.cn/</w:t>
      </w:r>
      <w:r>
        <w:rPr>
          <w:rStyle w:val="47"/>
          <w:rFonts w:hint="eastAsia" w:ascii="仿宋_GB2312" w:hAnsi="仿宋" w:eastAsia="仿宋_GB2312"/>
          <w:color w:val="auto"/>
          <w:highlight w:val="none"/>
          <w:u w:val="none"/>
        </w:rPr>
        <w:t>）</w:t>
      </w:r>
      <w:r>
        <w:rPr>
          <w:rStyle w:val="47"/>
          <w:rFonts w:hint="eastAsia" w:ascii="仿宋_GB2312" w:hAnsi="仿宋" w:eastAsia="仿宋_GB2312"/>
          <w:color w:val="auto"/>
          <w:highlight w:val="none"/>
          <w:u w:val="none"/>
        </w:rPr>
        <w:fldChar w:fldCharType="end"/>
      </w:r>
      <w:r>
        <w:rPr>
          <w:rFonts w:hint="eastAsia" w:ascii="仿宋_GB2312" w:hAnsi="仿宋" w:eastAsia="仿宋_GB2312"/>
          <w:color w:val="auto"/>
          <w:highlight w:val="none"/>
        </w:rPr>
        <w:t>。</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3．供应商在参加政府采购活动前3年内因违法经营被禁止在一定期限内参加政府采购活动，期限届满的，可以参加政府采购活动的，但供应商应提供相关证明材料。</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4．信用记录查询结果打印后，将与其他采购文件一并保存。</w:t>
      </w:r>
    </w:p>
    <w:p>
      <w:pPr>
        <w:pStyle w:val="112"/>
        <w:adjustRightInd w:val="0"/>
        <w:snapToGrid w:val="0"/>
        <w:spacing w:before="0" w:beforeLines="0" w:after="0" w:afterLines="0" w:line="360" w:lineRule="auto"/>
        <w:ind w:firstLine="482"/>
        <w:rPr>
          <w:color w:val="auto"/>
          <w:sz w:val="24"/>
          <w:szCs w:val="24"/>
          <w:highlight w:val="none"/>
        </w:rPr>
      </w:pPr>
      <w:bookmarkStart w:id="21" w:name="_Toc107503666"/>
      <w:r>
        <w:rPr>
          <w:rFonts w:hint="eastAsia"/>
          <w:color w:val="auto"/>
          <w:sz w:val="24"/>
          <w:szCs w:val="24"/>
          <w:highlight w:val="none"/>
        </w:rPr>
        <w:t>（九）其他重要事项</w:t>
      </w:r>
      <w:bookmarkEnd w:id="21"/>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1．招标文件内所附网络链接仅供参考，不保证其长期有效性。</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2．供应商的投标费用自理。</w:t>
      </w:r>
    </w:p>
    <w:p>
      <w:pPr>
        <w:pStyle w:val="4"/>
        <w:adjustRightInd w:val="0"/>
        <w:snapToGrid w:val="0"/>
        <w:spacing w:line="360" w:lineRule="auto"/>
        <w:ind w:firstLine="482"/>
        <w:rPr>
          <w:rFonts w:ascii="仿宋_GB2312" w:eastAsia="仿宋_GB2312"/>
          <w:b/>
          <w:color w:val="auto"/>
          <w:sz w:val="24"/>
          <w:szCs w:val="24"/>
          <w:highlight w:val="none"/>
        </w:rPr>
      </w:pPr>
      <w:bookmarkStart w:id="22" w:name="_Toc107503667"/>
      <w:r>
        <w:rPr>
          <w:rFonts w:hint="eastAsia" w:ascii="仿宋_GB2312" w:eastAsia="仿宋_GB2312"/>
          <w:b/>
          <w:color w:val="auto"/>
          <w:sz w:val="24"/>
          <w:szCs w:val="24"/>
          <w:highlight w:val="none"/>
        </w:rPr>
        <w:t>三、招标文件</w:t>
      </w:r>
      <w:bookmarkEnd w:id="22"/>
    </w:p>
    <w:p>
      <w:pPr>
        <w:pStyle w:val="112"/>
        <w:adjustRightInd w:val="0"/>
        <w:snapToGrid w:val="0"/>
        <w:spacing w:before="0" w:beforeLines="0" w:after="0" w:afterLines="0" w:line="360" w:lineRule="auto"/>
        <w:ind w:firstLine="482"/>
        <w:rPr>
          <w:color w:val="auto"/>
          <w:sz w:val="24"/>
          <w:szCs w:val="24"/>
          <w:highlight w:val="none"/>
        </w:rPr>
      </w:pPr>
      <w:bookmarkStart w:id="23" w:name="_Toc107503668"/>
      <w:r>
        <w:rPr>
          <w:rFonts w:hint="eastAsia"/>
          <w:color w:val="auto"/>
          <w:sz w:val="24"/>
          <w:szCs w:val="24"/>
          <w:highlight w:val="none"/>
        </w:rPr>
        <w:t>（一）招标文件的解释权</w:t>
      </w:r>
      <w:bookmarkEnd w:id="23"/>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本项目招标文件的解释权归采购代理机构，评标委员会成员应根据政府采购法律法规和招标文件所载明的评审方法、标准进行评审。</w:t>
      </w:r>
    </w:p>
    <w:p>
      <w:pPr>
        <w:pStyle w:val="112"/>
        <w:adjustRightInd w:val="0"/>
        <w:snapToGrid w:val="0"/>
        <w:spacing w:before="0" w:beforeLines="0" w:after="0" w:afterLines="0" w:line="360" w:lineRule="auto"/>
        <w:ind w:firstLine="482"/>
        <w:rPr>
          <w:color w:val="auto"/>
          <w:sz w:val="24"/>
          <w:szCs w:val="24"/>
          <w:highlight w:val="none"/>
        </w:rPr>
      </w:pPr>
      <w:bookmarkStart w:id="24" w:name="_Toc107503669"/>
      <w:r>
        <w:rPr>
          <w:rFonts w:hint="eastAsia"/>
          <w:color w:val="auto"/>
          <w:sz w:val="24"/>
          <w:szCs w:val="24"/>
          <w:highlight w:val="none"/>
        </w:rPr>
        <w:t>（二）招标文件主要内容</w:t>
      </w:r>
      <w:bookmarkEnd w:id="24"/>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第1章  招标公告</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第2章  供应商须知</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第3章  招标内容及要求</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第4章  合同文本</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第5章  投标文件构成及格式</w:t>
      </w:r>
    </w:p>
    <w:p>
      <w:pPr>
        <w:pStyle w:val="112"/>
        <w:adjustRightInd w:val="0"/>
        <w:snapToGrid w:val="0"/>
        <w:spacing w:before="0" w:beforeLines="0" w:after="0" w:afterLines="0" w:line="360" w:lineRule="auto"/>
        <w:ind w:firstLine="482"/>
        <w:rPr>
          <w:color w:val="auto"/>
          <w:sz w:val="24"/>
          <w:szCs w:val="24"/>
          <w:highlight w:val="none"/>
        </w:rPr>
      </w:pPr>
      <w:bookmarkStart w:id="25" w:name="_Toc107503670"/>
      <w:r>
        <w:rPr>
          <w:rFonts w:hint="eastAsia"/>
          <w:color w:val="auto"/>
          <w:sz w:val="24"/>
          <w:szCs w:val="24"/>
          <w:highlight w:val="none"/>
        </w:rPr>
        <w:t>（三）招标文件的检查及阅读</w:t>
      </w:r>
      <w:bookmarkEnd w:id="25"/>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供应商应认真阅读和充分理解招标文件中所有的事项、格式条款和规范要求，在投标文件中对招标文件做出全面响应，并按招标文件的要求提交全部资料。</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项目废标后重新组织招标的，采购代理机构将重新编制、发布新版招标文件，供应商应按新版招标文件重新编制投标文件。原招标文件及投标文件失效。</w:t>
      </w:r>
    </w:p>
    <w:p>
      <w:pPr>
        <w:pStyle w:val="112"/>
        <w:adjustRightInd w:val="0"/>
        <w:snapToGrid w:val="0"/>
        <w:spacing w:before="0" w:beforeLines="0" w:after="0" w:afterLines="0" w:line="360" w:lineRule="auto"/>
        <w:ind w:firstLine="482"/>
        <w:rPr>
          <w:color w:val="auto"/>
          <w:sz w:val="24"/>
          <w:szCs w:val="24"/>
          <w:highlight w:val="none"/>
        </w:rPr>
      </w:pPr>
      <w:bookmarkStart w:id="26" w:name="_Toc107503671"/>
      <w:r>
        <w:rPr>
          <w:rFonts w:hint="eastAsia"/>
          <w:color w:val="auto"/>
          <w:sz w:val="24"/>
          <w:szCs w:val="24"/>
          <w:highlight w:val="none"/>
        </w:rPr>
        <w:t>（四）招标文件的修改、澄清</w:t>
      </w:r>
      <w:bookmarkEnd w:id="26"/>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1．提交投标文件截止之日前，采购人或采购代理机构可能对已发出的招标文件进行澄清或者修改，澄清或者修改的内容为招标文件的组成部分。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2．当需要澄清或修改时，采购代理机构将在提交投标文件截止之日15日前，在财政部门指定的“政府采购信息发布媒体”上发布变更公告；不足15日的，将顺延提交投标文件截止时间。</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4．请各供应商在提交投标文件截止时间之前，务必随时关注“政府采购信息发布媒体”上发布的变更公告，采购代理机构不再另行通知，因供应商未及时关注所造成的一切后果由供应商自行承担：</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Fonts w:hint="eastAsia" w:ascii="仿宋_GB2312" w:hAnsi="仿宋" w:eastAsia="仿宋_GB2312"/>
          <w:color w:val="auto"/>
          <w:highlight w:val="none"/>
        </w:rPr>
        <w:t>陕西省政府采购网</w:t>
      </w:r>
      <w:r>
        <w:rPr>
          <w:rFonts w:hint="eastAsia" w:ascii="仿宋_GB2312" w:hAnsi="仿宋" w:eastAsia="仿宋_GB2312"/>
          <w:color w:val="auto"/>
          <w:highlight w:val="none"/>
        </w:rPr>
        <w:fldChar w:fldCharType="end"/>
      </w:r>
      <w:r>
        <w:rPr>
          <w:rFonts w:hint="eastAsia" w:ascii="仿宋_GB2312" w:hAnsi="仿宋" w:eastAsia="仿宋_GB2312"/>
          <w:color w:val="auto"/>
          <w:highlight w:val="none"/>
        </w:rPr>
        <w:t>】（</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Fonts w:hint="eastAsia" w:ascii="仿宋_GB2312" w:hAnsi="仿宋" w:eastAsia="仿宋_GB2312"/>
          <w:color w:val="auto"/>
          <w:highlight w:val="none"/>
        </w:rPr>
        <w:t>http://www.ccgp-shaanxi.gov.cn/</w:t>
      </w:r>
      <w:r>
        <w:rPr>
          <w:rFonts w:hint="eastAsia" w:ascii="仿宋_GB2312" w:hAnsi="仿宋" w:eastAsia="仿宋_GB2312"/>
          <w:color w:val="auto"/>
          <w:highlight w:val="none"/>
        </w:rPr>
        <w:fldChar w:fldCharType="end"/>
      </w:r>
      <w:r>
        <w:rPr>
          <w:rFonts w:hint="eastAsia" w:ascii="仿宋_GB2312" w:hAnsi="仿宋" w:eastAsia="仿宋_GB2312"/>
          <w:color w:val="auto"/>
          <w:highlight w:val="none"/>
        </w:rPr>
        <w:t>）中的〖首页·〉信息公告·〉市级·〉西安市〗；</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w:t>
      </w:r>
      <w:r>
        <w:rPr>
          <w:color w:val="auto"/>
          <w:highlight w:val="none"/>
        </w:rPr>
        <w:fldChar w:fldCharType="begin"/>
      </w:r>
      <w:r>
        <w:rPr>
          <w:color w:val="auto"/>
          <w:highlight w:val="none"/>
        </w:rPr>
        <w:instrText xml:space="preserve"> HYPERLINK "http://xa.sxggzyjy.cn/" </w:instrText>
      </w:r>
      <w:r>
        <w:rPr>
          <w:color w:val="auto"/>
          <w:highlight w:val="none"/>
        </w:rPr>
        <w:fldChar w:fldCharType="separate"/>
      </w:r>
      <w:r>
        <w:rPr>
          <w:rFonts w:hint="eastAsia" w:ascii="仿宋_GB2312" w:hAnsi="仿宋" w:eastAsia="仿宋_GB2312"/>
          <w:color w:val="auto"/>
          <w:highlight w:val="none"/>
        </w:rPr>
        <w:t>全国公共资源交易网（陕西省·西安市）</w:t>
      </w:r>
      <w:r>
        <w:rPr>
          <w:rFonts w:hint="eastAsia" w:ascii="仿宋_GB2312" w:hAnsi="仿宋" w:eastAsia="仿宋_GB2312"/>
          <w:color w:val="auto"/>
          <w:highlight w:val="none"/>
        </w:rPr>
        <w:fldChar w:fldCharType="end"/>
      </w:r>
      <w:r>
        <w:rPr>
          <w:rFonts w:hint="eastAsia" w:ascii="仿宋_GB2312" w:hAnsi="仿宋" w:eastAsia="仿宋_GB2312"/>
          <w:color w:val="auto"/>
          <w:highlight w:val="none"/>
        </w:rPr>
        <w:t>】（</w:t>
      </w:r>
      <w:r>
        <w:rPr>
          <w:color w:val="auto"/>
          <w:highlight w:val="none"/>
        </w:rPr>
        <w:fldChar w:fldCharType="begin"/>
      </w:r>
      <w:r>
        <w:rPr>
          <w:color w:val="auto"/>
          <w:highlight w:val="none"/>
        </w:rPr>
        <w:instrText xml:space="preserve"> HYPERLINK "http://sxggzyjy.xa.gov.cn/" </w:instrText>
      </w:r>
      <w:r>
        <w:rPr>
          <w:color w:val="auto"/>
          <w:highlight w:val="none"/>
        </w:rPr>
        <w:fldChar w:fldCharType="separate"/>
      </w:r>
      <w:r>
        <w:rPr>
          <w:rFonts w:hint="eastAsia" w:ascii="仿宋_GB2312" w:hAnsi="仿宋" w:eastAsia="仿宋_GB2312"/>
          <w:color w:val="auto"/>
          <w:highlight w:val="none"/>
        </w:rPr>
        <w:t>http://sxggzyjy.xa.gov.cn/</w:t>
      </w:r>
      <w:r>
        <w:rPr>
          <w:rFonts w:hint="eastAsia" w:ascii="仿宋_GB2312" w:hAnsi="仿宋" w:eastAsia="仿宋_GB2312"/>
          <w:color w:val="auto"/>
          <w:highlight w:val="none"/>
        </w:rPr>
        <w:fldChar w:fldCharType="end"/>
      </w:r>
      <w:r>
        <w:rPr>
          <w:rFonts w:hint="eastAsia" w:ascii="仿宋_GB2312" w:hAnsi="仿宋" w:eastAsia="仿宋_GB2312"/>
          <w:color w:val="auto"/>
          <w:highlight w:val="none"/>
        </w:rPr>
        <w:t>）中的〖首页·〉交易大厅·〉政府采购〗。</w:t>
      </w:r>
    </w:p>
    <w:p>
      <w:pPr>
        <w:adjustRightInd w:val="0"/>
        <w:snapToGrid w:val="0"/>
        <w:spacing w:line="360" w:lineRule="auto"/>
        <w:ind w:firstLine="480" w:firstLineChars="200"/>
        <w:jc w:val="both"/>
        <w:rPr>
          <w:rFonts w:ascii="仿宋_GB2312" w:hAnsi="仿宋" w:eastAsia="仿宋_GB2312"/>
          <w:color w:val="auto"/>
          <w:highlight w:val="none"/>
        </w:rPr>
      </w:pPr>
      <w:bookmarkStart w:id="27" w:name="_Toc532473459"/>
      <w:bookmarkStart w:id="28" w:name="_Toc520356151"/>
      <w:bookmarkStart w:id="29" w:name="_Toc515647767"/>
      <w:bookmarkStart w:id="30" w:name="_Toc3553"/>
      <w:bookmarkStart w:id="31" w:name="_Toc516367021"/>
      <w:bookmarkStart w:id="32" w:name="_Toc103148587"/>
      <w:bookmarkStart w:id="33" w:name="_Toc7786"/>
      <w:r>
        <w:rPr>
          <w:rFonts w:hint="eastAsia" w:ascii="仿宋_GB2312" w:hAnsi="仿宋" w:eastAsia="仿宋_GB2312"/>
          <w:color w:val="auto"/>
          <w:highlight w:val="none"/>
        </w:rPr>
        <w:t>5、投标范围及投标文件中标准和计量单位的使用</w:t>
      </w:r>
      <w:bookmarkEnd w:id="27"/>
      <w:bookmarkEnd w:id="28"/>
      <w:bookmarkEnd w:id="29"/>
      <w:bookmarkEnd w:id="30"/>
      <w:bookmarkEnd w:id="31"/>
      <w:bookmarkEnd w:id="32"/>
      <w:bookmarkEnd w:id="33"/>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（1）投标人可对招标文件中一个或多个标包进行投标或者中标，除非在投标须知前附表中另有规定。</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（2）投标人应当</w:t>
      </w:r>
      <w:r>
        <w:rPr>
          <w:rFonts w:ascii="仿宋_GB2312" w:hAnsi="仿宋" w:eastAsia="仿宋_GB2312"/>
          <w:color w:val="auto"/>
          <w:highlight w:val="none"/>
        </w:rPr>
        <w:t>对所投</w:t>
      </w:r>
      <w:r>
        <w:rPr>
          <w:rFonts w:hint="eastAsia" w:ascii="仿宋_GB2312" w:hAnsi="仿宋" w:eastAsia="仿宋_GB2312"/>
          <w:color w:val="auto"/>
          <w:highlight w:val="none"/>
        </w:rPr>
        <w:t>标包招标文件中“采购需求及要求”所列的所有内容进行投标，</w:t>
      </w:r>
      <w:r>
        <w:rPr>
          <w:rFonts w:ascii="仿宋_GB2312" w:hAnsi="仿宋" w:eastAsia="仿宋_GB2312"/>
          <w:color w:val="auto"/>
          <w:highlight w:val="none"/>
        </w:rPr>
        <w:t>如</w:t>
      </w:r>
      <w:r>
        <w:rPr>
          <w:rFonts w:hint="eastAsia" w:ascii="仿宋_GB2312" w:hAnsi="仿宋" w:eastAsia="仿宋_GB2312"/>
          <w:color w:val="auto"/>
          <w:highlight w:val="none"/>
        </w:rPr>
        <w:t>仅</w:t>
      </w:r>
      <w:r>
        <w:rPr>
          <w:rFonts w:ascii="仿宋_GB2312" w:hAnsi="仿宋" w:eastAsia="仿宋_GB2312"/>
          <w:color w:val="auto"/>
          <w:highlight w:val="none"/>
        </w:rPr>
        <w:t>响应</w:t>
      </w:r>
      <w:r>
        <w:rPr>
          <w:rFonts w:hint="eastAsia" w:ascii="仿宋_GB2312" w:hAnsi="仿宋" w:eastAsia="仿宋_GB2312"/>
          <w:color w:val="auto"/>
          <w:highlight w:val="none"/>
        </w:rPr>
        <w:t>部分内容</w:t>
      </w:r>
      <w:r>
        <w:rPr>
          <w:rFonts w:ascii="仿宋_GB2312" w:hAnsi="仿宋" w:eastAsia="仿宋_GB2312"/>
          <w:color w:val="auto"/>
          <w:highlight w:val="none"/>
        </w:rPr>
        <w:t>，其</w:t>
      </w:r>
      <w:r>
        <w:rPr>
          <w:rFonts w:hint="eastAsia" w:ascii="仿宋_GB2312" w:hAnsi="仿宋" w:eastAsia="仿宋_GB2312"/>
          <w:color w:val="auto"/>
          <w:highlight w:val="none"/>
        </w:rPr>
        <w:t>该标包</w:t>
      </w:r>
      <w:r>
        <w:rPr>
          <w:rFonts w:ascii="仿宋_GB2312" w:hAnsi="仿宋" w:eastAsia="仿宋_GB2312"/>
          <w:color w:val="auto"/>
          <w:highlight w:val="none"/>
        </w:rPr>
        <w:t>投标</w:t>
      </w:r>
      <w:r>
        <w:rPr>
          <w:rFonts w:hint="eastAsia" w:ascii="仿宋_GB2312" w:hAnsi="仿宋" w:eastAsia="仿宋_GB2312"/>
          <w:color w:val="auto"/>
          <w:highlight w:val="none"/>
        </w:rPr>
        <w:t>将被认定为投标无效。</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（3）无论招标文件中是否要求，投标人所投货物及伴随的服务和工程均应符合国家强制性标准。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（4）除招标文件中有特殊要求外，投标文件中所使用的计量单位，应采用中华人民共和国法定计量单位。</w:t>
      </w:r>
    </w:p>
    <w:p>
      <w:pPr>
        <w:pStyle w:val="4"/>
        <w:adjustRightInd w:val="0"/>
        <w:snapToGrid w:val="0"/>
        <w:spacing w:line="360" w:lineRule="auto"/>
        <w:ind w:firstLine="480"/>
        <w:rPr>
          <w:rFonts w:ascii="仿宋_GB2312" w:eastAsia="仿宋_GB2312"/>
          <w:color w:val="auto"/>
          <w:sz w:val="24"/>
          <w:szCs w:val="24"/>
          <w:highlight w:val="none"/>
        </w:rPr>
      </w:pPr>
      <w:bookmarkStart w:id="34" w:name="_Toc107503672"/>
      <w:r>
        <w:rPr>
          <w:rFonts w:hint="eastAsia" w:ascii="仿宋_GB2312" w:eastAsia="仿宋_GB2312"/>
          <w:color w:val="auto"/>
          <w:sz w:val="24"/>
          <w:szCs w:val="24"/>
          <w:highlight w:val="none"/>
        </w:rPr>
        <w:t>四、投标文件</w:t>
      </w:r>
      <w:bookmarkEnd w:id="34"/>
    </w:p>
    <w:p>
      <w:pPr>
        <w:pStyle w:val="112"/>
        <w:adjustRightInd w:val="0"/>
        <w:snapToGrid w:val="0"/>
        <w:spacing w:before="0" w:beforeLines="0" w:after="0" w:afterLines="0" w:line="360" w:lineRule="auto"/>
        <w:ind w:firstLine="482"/>
        <w:rPr>
          <w:color w:val="auto"/>
          <w:sz w:val="24"/>
          <w:szCs w:val="24"/>
          <w:highlight w:val="none"/>
        </w:rPr>
      </w:pPr>
      <w:bookmarkStart w:id="35" w:name="_Toc107503673"/>
      <w:r>
        <w:rPr>
          <w:rFonts w:hint="eastAsia"/>
          <w:color w:val="auto"/>
          <w:sz w:val="24"/>
          <w:szCs w:val="24"/>
          <w:highlight w:val="none"/>
        </w:rPr>
        <w:t>（一）投标文件的式样</w:t>
      </w:r>
      <w:bookmarkEnd w:id="35"/>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1．组成及格式</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供应商依照招标文件第五章《投标文件构成及格式》给定形式进行编制投标文件。项目分标段的，应按所投标段分别准备投标文件。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2．语言</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招标活动的所有文件、资料、函电文字均使用简体中文，确需提交用其他语言形成的资料，必须翻译成简体中文，如有差异，以简体中文为准。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3．计量单位</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投标文件的计量单位应使用中华人民共和国法定计量单位，但招标文件另有规定的除外。</w:t>
      </w:r>
    </w:p>
    <w:p>
      <w:pPr>
        <w:pStyle w:val="112"/>
        <w:adjustRightInd w:val="0"/>
        <w:snapToGrid w:val="0"/>
        <w:spacing w:before="0" w:beforeLines="0" w:after="0" w:afterLines="0" w:line="360" w:lineRule="auto"/>
        <w:ind w:firstLine="482"/>
        <w:rPr>
          <w:color w:val="auto"/>
          <w:sz w:val="24"/>
          <w:szCs w:val="24"/>
          <w:highlight w:val="none"/>
        </w:rPr>
      </w:pPr>
      <w:bookmarkStart w:id="36" w:name="_Toc107503674"/>
      <w:r>
        <w:rPr>
          <w:rFonts w:hint="eastAsia"/>
          <w:color w:val="auto"/>
          <w:sz w:val="24"/>
          <w:szCs w:val="24"/>
          <w:highlight w:val="none"/>
        </w:rPr>
        <w:t>（二）投标文件的有效期</w:t>
      </w:r>
      <w:bookmarkEnd w:id="36"/>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投标文件有效期为自开标之日起不少于90个日历日。如中标，延长至合同执行完毕时止。</w:t>
      </w:r>
    </w:p>
    <w:p>
      <w:pPr>
        <w:pStyle w:val="112"/>
        <w:adjustRightInd w:val="0"/>
        <w:snapToGrid w:val="0"/>
        <w:spacing w:before="0" w:beforeLines="0" w:after="0" w:afterLines="0" w:line="360" w:lineRule="auto"/>
        <w:ind w:firstLine="482"/>
        <w:rPr>
          <w:color w:val="auto"/>
          <w:sz w:val="24"/>
          <w:szCs w:val="24"/>
          <w:highlight w:val="none"/>
        </w:rPr>
      </w:pPr>
      <w:bookmarkStart w:id="37" w:name="_Toc107503675"/>
      <w:r>
        <w:rPr>
          <w:rFonts w:hint="eastAsia"/>
          <w:color w:val="auto"/>
          <w:sz w:val="24"/>
          <w:szCs w:val="24"/>
          <w:highlight w:val="none"/>
        </w:rPr>
        <w:t>（三）投标报价</w:t>
      </w:r>
      <w:bookmarkEnd w:id="37"/>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投标报价是供应商响应采购项目要求的全部工作内容的价格体现，包括完成采购内容所需的直接费、间接费、利润、税金及其它相关的一切费用。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1．供应商在报价时应充分考虑所有可能发生的费用，招标文件未列明，而供应商认为应当计取的费用均应列入报价中。报价时不论是否计取，采购人均按已计取对待。</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2．供应商应严格按照《投标文件构成及格式》第二部分《开标一览表》中的相关要求填写分类报价及其他需要响应的内容。投标报价只能提交唯一报价，任何有选择的报价将不予接受，按无效投标处理。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3．投标报价货币：人民币；单位：元。</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4．投标文件报价出现前后不一致的，除招标文件另有规定外，按照下列规则修正：</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（1）投标文件中开标一览表内容与投标文件中其他位置相应内容表述不一致的，以开标一览表为准；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（2）大写金额和小写金额不一致的，以大写金额为准；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（3）单价金额小数点或者百分比有明显错位的，以开标一览表的总价为准，并修改单价；</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（4）总价金额与按单价汇总金额不一致的，以单价金额计算结果为准。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同时出现两种以上不一致的，按照前款规定的顺序修正。修正后的报价经供应商确认后产生约束力，供应商不确认的，其投标无效。</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5．因供应商对招标文件理解不透、误解、疏漏或对市场行情了解不清造成的后果和风险，均由供应商自己负责。</w:t>
      </w:r>
    </w:p>
    <w:p>
      <w:pPr>
        <w:pStyle w:val="112"/>
        <w:adjustRightInd w:val="0"/>
        <w:snapToGrid w:val="0"/>
        <w:spacing w:before="0" w:beforeLines="0" w:after="0" w:afterLines="0" w:line="360" w:lineRule="auto"/>
        <w:ind w:firstLine="482"/>
        <w:rPr>
          <w:color w:val="auto"/>
          <w:sz w:val="24"/>
          <w:szCs w:val="24"/>
          <w:highlight w:val="none"/>
        </w:rPr>
      </w:pPr>
      <w:bookmarkStart w:id="38" w:name="_Toc107503676"/>
      <w:r>
        <w:rPr>
          <w:rFonts w:hint="eastAsia"/>
          <w:color w:val="auto"/>
          <w:sz w:val="24"/>
          <w:szCs w:val="24"/>
          <w:highlight w:val="none"/>
        </w:rPr>
        <w:t>（四）投标文件的制作和签章</w:t>
      </w:r>
      <w:bookmarkEnd w:id="38"/>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链接地址：</w:t>
      </w:r>
    </w:p>
    <w:p>
      <w:pPr>
        <w:adjustRightInd w:val="0"/>
        <w:snapToGrid w:val="0"/>
        <w:spacing w:line="360" w:lineRule="auto"/>
        <w:ind w:firstLine="480" w:firstLineChars="200"/>
        <w:jc w:val="both"/>
        <w:rPr>
          <w:rFonts w:ascii="仿宋_GB2312" w:hAnsi="仿宋" w:eastAsia="仿宋_GB2312"/>
          <w:color w:val="auto"/>
          <w:highlight w:val="none"/>
        </w:rPr>
      </w:pPr>
      <w:r>
        <w:rPr>
          <w:color w:val="auto"/>
          <w:highlight w:val="none"/>
        </w:rPr>
        <w:fldChar w:fldCharType="begin"/>
      </w:r>
      <w:r>
        <w:rPr>
          <w:color w:val="auto"/>
          <w:highlight w:val="none"/>
        </w:rPr>
        <w:instrText xml:space="preserve"> HYPERLINK "http://sxggzyjy.xa.gov.cn/fwzn/004003/20181115/4d59c184-e8f6-4d5a-a416-c2f6b0601e66.html" </w:instrText>
      </w:r>
      <w:r>
        <w:rPr>
          <w:color w:val="auto"/>
          <w:highlight w:val="none"/>
        </w:rPr>
        <w:fldChar w:fldCharType="separate"/>
      </w:r>
      <w:r>
        <w:rPr>
          <w:rStyle w:val="47"/>
          <w:rFonts w:hint="eastAsia" w:ascii="仿宋_GB2312" w:hAnsi="仿宋" w:eastAsia="仿宋_GB2312"/>
          <w:color w:val="auto"/>
          <w:highlight w:val="none"/>
        </w:rPr>
        <w:t>http://sxggzyjy.xa.gov.cn/fwzn/004003/20181115/4d59c184-e8f6-4d5a-a416-c2f6b0601e66.html</w:t>
      </w:r>
      <w:r>
        <w:rPr>
          <w:rStyle w:val="47"/>
          <w:rFonts w:hint="eastAsia" w:ascii="仿宋_GB2312" w:hAnsi="仿宋" w:eastAsia="仿宋_GB2312"/>
          <w:color w:val="auto"/>
          <w:highlight w:val="none"/>
        </w:rPr>
        <w:fldChar w:fldCharType="end"/>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3．电子投标文件制作过程中，需要法定代表人签字或盖章的地方，请使用“法人CA锁”进行签章；需要加盖供应商公章的地方，请使用“企业CA锁”进行签章。</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12"/>
        <w:adjustRightInd w:val="0"/>
        <w:snapToGrid w:val="0"/>
        <w:spacing w:before="0" w:beforeLines="0" w:after="0" w:afterLines="0" w:line="360" w:lineRule="auto"/>
        <w:ind w:firstLine="482"/>
        <w:rPr>
          <w:color w:val="auto"/>
          <w:sz w:val="24"/>
          <w:szCs w:val="24"/>
          <w:highlight w:val="none"/>
        </w:rPr>
      </w:pPr>
      <w:bookmarkStart w:id="39" w:name="_Toc107503677"/>
      <w:r>
        <w:rPr>
          <w:rFonts w:hint="eastAsia"/>
          <w:color w:val="auto"/>
          <w:sz w:val="24"/>
          <w:szCs w:val="24"/>
          <w:highlight w:val="none"/>
        </w:rPr>
        <w:t>（五）投标文件的加密和提交</w:t>
      </w:r>
      <w:bookmarkEnd w:id="39"/>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1．在生成电子投标文件时，需要使用CA锁对投标文件进行加密。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注意：加密投标文件和开标时解密投标文件应当使用同一CA，否则将会导致解密失败。</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3．上传文件有误或需要重新提交的，可先撤销已经上传的文件，然后重新上传新文件。</w:t>
      </w:r>
    </w:p>
    <w:p>
      <w:pPr>
        <w:pStyle w:val="112"/>
        <w:adjustRightInd w:val="0"/>
        <w:snapToGrid w:val="0"/>
        <w:spacing w:before="0" w:beforeLines="0" w:after="0" w:afterLines="0" w:line="360" w:lineRule="auto"/>
        <w:ind w:firstLine="482"/>
        <w:rPr>
          <w:color w:val="auto"/>
          <w:sz w:val="24"/>
          <w:szCs w:val="24"/>
          <w:highlight w:val="none"/>
        </w:rPr>
      </w:pPr>
      <w:bookmarkStart w:id="40" w:name="_Toc107503678"/>
      <w:r>
        <w:rPr>
          <w:rFonts w:hint="eastAsia"/>
          <w:color w:val="auto"/>
          <w:sz w:val="24"/>
          <w:szCs w:val="24"/>
          <w:highlight w:val="none"/>
        </w:rPr>
        <w:t>（六）投标文件的补充、修改和撤回</w:t>
      </w:r>
      <w:bookmarkEnd w:id="40"/>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2．供应商在提交投标文件截止时间后，撤回投标文件的，投标保证金不予退还。</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12"/>
        <w:adjustRightInd w:val="0"/>
        <w:snapToGrid w:val="0"/>
        <w:spacing w:before="0" w:beforeLines="0" w:after="0" w:afterLines="0" w:line="360" w:lineRule="auto"/>
        <w:ind w:firstLine="482"/>
        <w:rPr>
          <w:color w:val="auto"/>
          <w:sz w:val="24"/>
          <w:szCs w:val="24"/>
          <w:highlight w:val="none"/>
        </w:rPr>
      </w:pPr>
      <w:bookmarkStart w:id="41" w:name="_Toc107503679"/>
      <w:r>
        <w:rPr>
          <w:rFonts w:hint="eastAsia"/>
          <w:color w:val="auto"/>
          <w:sz w:val="24"/>
          <w:szCs w:val="24"/>
          <w:highlight w:val="none"/>
        </w:rPr>
        <w:t>（七）关于投标文件的雷同性分析</w:t>
      </w:r>
      <w:bookmarkEnd w:id="41"/>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若“文件创建标识码”一致，则表示不同投标供应商使用投标文件制作软件时，使用同一源工程文件，该情形建议由评标委员会结合项目情况综合判定。</w:t>
      </w:r>
    </w:p>
    <w:p>
      <w:pPr>
        <w:pStyle w:val="112"/>
        <w:adjustRightInd w:val="0"/>
        <w:snapToGrid w:val="0"/>
        <w:spacing w:before="0" w:beforeLines="0" w:after="0" w:afterLines="0" w:line="360" w:lineRule="auto"/>
        <w:ind w:firstLine="482"/>
        <w:rPr>
          <w:color w:val="auto"/>
          <w:sz w:val="24"/>
          <w:szCs w:val="24"/>
          <w:highlight w:val="none"/>
        </w:rPr>
      </w:pPr>
      <w:bookmarkStart w:id="42" w:name="_Toc107503680"/>
      <w:r>
        <w:rPr>
          <w:rFonts w:hint="eastAsia"/>
          <w:color w:val="auto"/>
          <w:sz w:val="24"/>
          <w:szCs w:val="24"/>
          <w:highlight w:val="none"/>
        </w:rPr>
        <w:t>（八）投标文件被拒绝接收的情形</w:t>
      </w:r>
      <w:bookmarkEnd w:id="42"/>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1．误投的或采用旧版电子招标文件制作的；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2．逾期提交电子投标文件的。</w:t>
      </w:r>
    </w:p>
    <w:p>
      <w:pPr>
        <w:pStyle w:val="4"/>
        <w:adjustRightInd w:val="0"/>
        <w:snapToGrid w:val="0"/>
        <w:spacing w:line="360" w:lineRule="auto"/>
        <w:ind w:firstLine="480"/>
        <w:rPr>
          <w:rFonts w:ascii="仿宋_GB2312" w:eastAsia="仿宋_GB2312"/>
          <w:color w:val="auto"/>
          <w:sz w:val="24"/>
          <w:szCs w:val="24"/>
          <w:highlight w:val="none"/>
        </w:rPr>
      </w:pPr>
      <w:bookmarkStart w:id="43" w:name="_Toc107503681"/>
      <w:r>
        <w:rPr>
          <w:rFonts w:hint="eastAsia" w:ascii="仿宋_GB2312" w:eastAsia="仿宋_GB2312"/>
          <w:color w:val="auto"/>
          <w:sz w:val="24"/>
          <w:szCs w:val="24"/>
          <w:highlight w:val="none"/>
        </w:rPr>
        <w:t>五、开标程序</w:t>
      </w:r>
      <w:bookmarkEnd w:id="43"/>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开标工作由采购代理机构组织实施，整个过程受同级政府采购监管机构的监督、管理。</w:t>
      </w:r>
    </w:p>
    <w:p>
      <w:pPr>
        <w:pStyle w:val="112"/>
        <w:adjustRightInd w:val="0"/>
        <w:snapToGrid w:val="0"/>
        <w:spacing w:before="0" w:beforeLines="0" w:after="0" w:afterLines="0" w:line="360" w:lineRule="auto"/>
        <w:ind w:firstLine="482"/>
        <w:rPr>
          <w:color w:val="auto"/>
          <w:sz w:val="24"/>
          <w:szCs w:val="24"/>
          <w:highlight w:val="none"/>
        </w:rPr>
      </w:pPr>
      <w:bookmarkStart w:id="44" w:name="_Toc107503682"/>
      <w:r>
        <w:rPr>
          <w:rFonts w:hint="eastAsia"/>
          <w:color w:val="auto"/>
          <w:sz w:val="24"/>
          <w:szCs w:val="24"/>
          <w:highlight w:val="none"/>
        </w:rPr>
        <w:t>（一）“不见面开标”基本流程[适用于不见面开标项目]</w:t>
      </w:r>
      <w:bookmarkEnd w:id="44"/>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“不见面开标”是依托政府采购云平台实现的供应商在线参与开标的一种组织形式。供应商无需抵达开标现场，即可在线实现开标、解密、澄清等操作。</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1．供应商登录：开标前，请各供应商至少提前半小时登录西安市公共资源交易平台〖首页·〉不见面开标〗系统。</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2．主持人宣布开标：提交投标文件截止时间过后，系统将不再接收任何投标文件。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4．唱标：对于公开招标项目，“不见面开标”系统将自动展示供应商名单及其投标报价。</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5．开标结束：进入评审环节。供应商请保持在线，评审期间评标委员会可能会要求供应商做相应的澄清。因供应商擅自离席造成的不利后果，由供应商自行承担。</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“不见面开标”系统操作说明：详见西安市公共资源交易平台〖首页·〉服务指南·〉下载专区〗中的《西安公共资源交易不见面开标大厅供应商操作手册》。</w:t>
      </w:r>
    </w:p>
    <w:p>
      <w:pPr>
        <w:adjustRightInd w:val="0"/>
        <w:snapToGrid w:val="0"/>
        <w:spacing w:line="360" w:lineRule="auto"/>
        <w:ind w:firstLine="480" w:firstLineChars="200"/>
        <w:rPr>
          <w:rFonts w:ascii="仿宋_GB2312" w:hAnsi="仿宋" w:eastAsia="仿宋_GB2312"/>
          <w:color w:val="auto"/>
          <w:highlight w:val="none"/>
        </w:rPr>
      </w:pPr>
      <w:r>
        <w:rPr>
          <w:rFonts w:hint="eastAsia" w:ascii="仿宋_GB2312" w:hAnsi="仿宋" w:eastAsia="仿宋_GB2312"/>
          <w:color w:val="auto"/>
          <w:highlight w:val="none"/>
        </w:rPr>
        <w:t>链接地址：</w:t>
      </w:r>
      <w:r>
        <w:rPr>
          <w:color w:val="auto"/>
          <w:highlight w:val="none"/>
        </w:rPr>
        <w:fldChar w:fldCharType="begin"/>
      </w:r>
      <w:r>
        <w:rPr>
          <w:color w:val="auto"/>
          <w:highlight w:val="none"/>
        </w:rPr>
        <w:instrText xml:space="preserve"> HYPERLINK "http://sxggzyjy.xa.gov.cn/fwzn/004003/20200426/bc8b2c1e-abe2-4168-913c-68ff93345faf.html" </w:instrText>
      </w:r>
      <w:r>
        <w:rPr>
          <w:color w:val="auto"/>
          <w:highlight w:val="none"/>
        </w:rPr>
        <w:fldChar w:fldCharType="separate"/>
      </w:r>
      <w:r>
        <w:rPr>
          <w:rStyle w:val="47"/>
          <w:rFonts w:hint="eastAsia" w:ascii="仿宋_GB2312" w:hAnsi="仿宋" w:eastAsia="仿宋_GB2312"/>
          <w:color w:val="auto"/>
          <w:highlight w:val="none"/>
          <w:u w:val="none"/>
        </w:rPr>
        <w:t>http://sxggzyjy.xa.gov.cn/fwzn/004003/20200426/bc8b2c1e-abe2-4168-913c-68ff93345faf.html</w:t>
      </w:r>
      <w:r>
        <w:rPr>
          <w:rStyle w:val="47"/>
          <w:rFonts w:hint="eastAsia" w:ascii="仿宋_GB2312" w:hAnsi="仿宋" w:eastAsia="仿宋_GB2312"/>
          <w:color w:val="auto"/>
          <w:highlight w:val="none"/>
          <w:u w:val="none"/>
        </w:rPr>
        <w:fldChar w:fldCharType="end"/>
      </w:r>
    </w:p>
    <w:p>
      <w:pPr>
        <w:pStyle w:val="112"/>
        <w:adjustRightInd w:val="0"/>
        <w:snapToGrid w:val="0"/>
        <w:spacing w:before="0" w:beforeLines="0" w:after="0" w:afterLines="0" w:line="360" w:lineRule="auto"/>
        <w:ind w:firstLine="482"/>
        <w:rPr>
          <w:color w:val="auto"/>
          <w:sz w:val="24"/>
          <w:szCs w:val="24"/>
          <w:highlight w:val="none"/>
        </w:rPr>
      </w:pPr>
      <w:bookmarkStart w:id="45" w:name="_Toc107503683"/>
      <w:r>
        <w:rPr>
          <w:rFonts w:hint="eastAsia"/>
          <w:color w:val="auto"/>
          <w:sz w:val="24"/>
          <w:szCs w:val="24"/>
          <w:highlight w:val="none"/>
        </w:rPr>
        <w:t>（二）“见面开标”基本流程[适用于见面开标项目]</w:t>
      </w:r>
      <w:bookmarkEnd w:id="45"/>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本项目电子投标文件可以在线提交，但开标当日供应商法定代表人或其授权代表仍需到达开标现场。基本流程如下：</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1．供应商签到：采购代理机构将严格按照招标文件规定的时间和地点组织开标，供应商可派法定代表人或被授权人参加，并签名报到。</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2．主持人宣布开标：提交投标文件截止时间过后，系统将不再接收任何投标文件。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4．唱标：对于公开招标项目，系统将自动展示供应商名单及其投标报价。</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5．开标结束：进入评审环节。供应商请在开标区等待，评审期间评标委员会可能会要求供应商做相应的澄清。因供应商擅自离席造成的不利后果，由供应商自行承担。</w:t>
      </w:r>
    </w:p>
    <w:p>
      <w:pPr>
        <w:pStyle w:val="112"/>
        <w:adjustRightInd w:val="0"/>
        <w:snapToGrid w:val="0"/>
        <w:spacing w:before="0" w:beforeLines="0" w:after="0" w:afterLines="0" w:line="360" w:lineRule="auto"/>
        <w:ind w:firstLine="482"/>
        <w:rPr>
          <w:color w:val="auto"/>
          <w:sz w:val="24"/>
          <w:szCs w:val="24"/>
          <w:highlight w:val="none"/>
        </w:rPr>
      </w:pPr>
      <w:bookmarkStart w:id="46" w:name="_Toc107503684"/>
      <w:r>
        <w:rPr>
          <w:rFonts w:hint="eastAsia"/>
          <w:color w:val="auto"/>
          <w:sz w:val="24"/>
          <w:szCs w:val="24"/>
          <w:highlight w:val="none"/>
        </w:rPr>
        <w:t>（三）开标环节投标文件视为无效的情形</w:t>
      </w:r>
      <w:bookmarkEnd w:id="46"/>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1．供应商放弃或拒绝对电子投标文件进行解密的；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2．因供应商自身原因，导致未在规定的解密时限内完整解密的，如忘带CA锁、或携带的CA锁与加密文件的CA锁不同、或使用旧版招标文件编制投标文件等情形；</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3．上传的电子投标文件无法正常打开的；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4．政府采购法律法规规定的其他无效情形。</w:t>
      </w:r>
    </w:p>
    <w:p>
      <w:pPr>
        <w:pStyle w:val="112"/>
        <w:adjustRightInd w:val="0"/>
        <w:snapToGrid w:val="0"/>
        <w:spacing w:before="0" w:beforeLines="0" w:after="0" w:afterLines="0" w:line="360" w:lineRule="auto"/>
        <w:ind w:firstLine="482"/>
        <w:rPr>
          <w:color w:val="auto"/>
          <w:sz w:val="24"/>
          <w:szCs w:val="24"/>
          <w:highlight w:val="none"/>
        </w:rPr>
      </w:pPr>
      <w:bookmarkStart w:id="47" w:name="_Toc107503685"/>
      <w:r>
        <w:rPr>
          <w:rFonts w:hint="eastAsia"/>
          <w:color w:val="auto"/>
          <w:sz w:val="24"/>
          <w:szCs w:val="24"/>
          <w:highlight w:val="none"/>
        </w:rPr>
        <w:t>（四）突发状况的应急处置</w:t>
      </w:r>
      <w:bookmarkEnd w:id="47"/>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在开评标过程中，如因停电、断网、电子化系统故障等特殊原因导致电子化开、评标工作无法正常进行时，采购代理机构将及时汇报政府采购监管部门，并等待或中止后续活动。</w:t>
      </w:r>
    </w:p>
    <w:p>
      <w:pPr>
        <w:pStyle w:val="4"/>
        <w:adjustRightInd w:val="0"/>
        <w:snapToGrid w:val="0"/>
        <w:spacing w:line="360" w:lineRule="auto"/>
        <w:ind w:firstLine="480"/>
        <w:rPr>
          <w:rFonts w:ascii="仿宋_GB2312" w:eastAsia="仿宋_GB2312"/>
          <w:color w:val="auto"/>
          <w:sz w:val="24"/>
          <w:szCs w:val="24"/>
          <w:highlight w:val="none"/>
        </w:rPr>
      </w:pPr>
      <w:bookmarkStart w:id="48" w:name="_Toc107503686"/>
      <w:r>
        <w:rPr>
          <w:rFonts w:hint="eastAsia" w:ascii="仿宋_GB2312" w:eastAsia="仿宋_GB2312"/>
          <w:color w:val="auto"/>
          <w:sz w:val="24"/>
          <w:szCs w:val="24"/>
          <w:highlight w:val="none"/>
        </w:rPr>
        <w:t>六、资格审查</w:t>
      </w:r>
      <w:bookmarkEnd w:id="48"/>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供应商提供的资格证明文件缺少任何一项或有任何一项不满足，都将被视为无效投标。供应商所提供的资格证明文件应图文清晰、易于辨识，否则由此带来的不利后果由供应商自行承担。</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资格审查结束后，资格审查小组成员应当对审查结果进行签字确认；对未通过资格审查的供应商，资格审查小组应当场告知其未通过的原因。</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合格供应商不足3家的，不得评标。</w:t>
      </w:r>
    </w:p>
    <w:p>
      <w:pPr>
        <w:rPr>
          <w:rFonts w:ascii="仿宋_GB2312" w:hAnsi="仿宋" w:eastAsia="仿宋_GB2312"/>
          <w:color w:val="auto"/>
          <w:highlight w:val="none"/>
        </w:rPr>
      </w:pPr>
      <w:r>
        <w:rPr>
          <w:rFonts w:hint="eastAsia" w:ascii="仿宋_GB2312" w:hAnsi="仿宋" w:eastAsia="仿宋_GB2312"/>
          <w:color w:val="auto"/>
          <w:highlight w:val="none"/>
        </w:rPr>
        <w:br w:type="page"/>
      </w:r>
    </w:p>
    <w:p>
      <w:pPr>
        <w:spacing w:line="560" w:lineRule="exact"/>
        <w:rPr>
          <w:rFonts w:ascii="仿宋_GB2312" w:hAnsi="仿宋" w:eastAsia="仿宋_GB2312"/>
          <w:color w:val="auto"/>
          <w:highlight w:val="none"/>
        </w:rPr>
      </w:pPr>
      <w:r>
        <w:rPr>
          <w:rFonts w:hint="eastAsia" w:ascii="仿宋_GB2312" w:hAnsi="仿宋" w:eastAsia="仿宋_GB2312"/>
          <w:color w:val="auto"/>
          <w:highlight w:val="none"/>
        </w:rPr>
        <w:t>〖资格性审查表〗</w:t>
      </w:r>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一</w:t>
            </w:r>
          </w:p>
        </w:tc>
        <w:tc>
          <w:tcPr>
            <w:tcW w:w="8032" w:type="dxa"/>
            <w:gridSpan w:val="3"/>
            <w:tcBorders>
              <w:top w:val="single" w:color="auto" w:sz="2" w:space="0"/>
            </w:tcBorders>
            <w:shd w:val="clear" w:color="auto" w:fill="auto"/>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1</w:t>
            </w:r>
          </w:p>
        </w:tc>
        <w:tc>
          <w:tcPr>
            <w:tcW w:w="23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有效的主体资格证明</w:t>
            </w:r>
          </w:p>
        </w:tc>
        <w:tc>
          <w:tcPr>
            <w:tcW w:w="5696" w:type="dxa"/>
            <w:gridSpan w:val="2"/>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投标人合法注册的法人或其他组织的营业执照等证明文件，自然人的身份证明；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2</w:t>
            </w:r>
          </w:p>
        </w:tc>
        <w:tc>
          <w:tcPr>
            <w:tcW w:w="23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具有良好的商业信誉和健全的财务会计制度</w:t>
            </w:r>
          </w:p>
        </w:tc>
        <w:tc>
          <w:tcPr>
            <w:tcW w:w="5696" w:type="dxa"/>
            <w:gridSpan w:val="2"/>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提供投标人2021年经审计的财务报告或银行出具的资信证明；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3</w:t>
            </w:r>
          </w:p>
        </w:tc>
        <w:tc>
          <w:tcPr>
            <w:tcW w:w="23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具备履行合同所必需的设备和专业技术能力</w:t>
            </w:r>
          </w:p>
        </w:tc>
        <w:tc>
          <w:tcPr>
            <w:tcW w:w="5696" w:type="dxa"/>
            <w:gridSpan w:val="2"/>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具备履行合同所必需的设备和专业技术能力的证明材料或承诺书；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4</w:t>
            </w:r>
          </w:p>
        </w:tc>
        <w:tc>
          <w:tcPr>
            <w:tcW w:w="23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依法缴纳税收和社会保障资金</w:t>
            </w:r>
          </w:p>
        </w:tc>
        <w:tc>
          <w:tcPr>
            <w:tcW w:w="5696" w:type="dxa"/>
            <w:gridSpan w:val="2"/>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有依法缴纳税收和社会保障资金的良好记录相关证明材料；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5</w:t>
            </w:r>
          </w:p>
        </w:tc>
        <w:tc>
          <w:tcPr>
            <w:tcW w:w="23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无重大违法记录声明</w:t>
            </w:r>
          </w:p>
        </w:tc>
        <w:tc>
          <w:tcPr>
            <w:tcW w:w="5696" w:type="dxa"/>
            <w:gridSpan w:val="2"/>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参加政府采购活动前三年内，在经营活动中没有重大违法记录的书面声明；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6</w:t>
            </w:r>
          </w:p>
        </w:tc>
        <w:tc>
          <w:tcPr>
            <w:tcW w:w="23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企业类型</w:t>
            </w:r>
          </w:p>
        </w:tc>
        <w:tc>
          <w:tcPr>
            <w:tcW w:w="5696" w:type="dxa"/>
            <w:gridSpan w:val="2"/>
            <w:vAlign w:val="center"/>
          </w:tcPr>
          <w:p>
            <w:pPr>
              <w:jc w:val="both"/>
              <w:rPr>
                <w:rFonts w:ascii="仿宋_GB2312" w:hAnsi="仿宋" w:eastAsia="仿宋_GB2312"/>
                <w:color w:val="auto"/>
                <w:highlight w:val="none"/>
              </w:rPr>
            </w:pPr>
            <w:r>
              <w:rPr>
                <w:rFonts w:hint="eastAsia" w:ascii="仿宋_GB2312" w:hAnsi="宋体" w:eastAsia="仿宋_GB2312"/>
                <w:color w:val="auto"/>
                <w:highlight w:val="none"/>
              </w:rPr>
              <w:t>属于专门面向中小企业采购的项目，供应商应为中小微企业、监狱企业、残疾人福利性单位；落实陕西省财政厅关于印发《陕西省中小企业政府采购信用融资办法》（陕财办采〔2018〕23号）等内容；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7</w:t>
            </w:r>
          </w:p>
        </w:tc>
        <w:tc>
          <w:tcPr>
            <w:tcW w:w="23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信用记录审查</w:t>
            </w:r>
          </w:p>
          <w:p>
            <w:pPr>
              <w:jc w:val="center"/>
              <w:rPr>
                <w:rFonts w:ascii="仿宋_GB2312" w:hAnsi="仿宋" w:eastAsia="仿宋_GB2312"/>
                <w:color w:val="auto"/>
                <w:highlight w:val="none"/>
              </w:rPr>
            </w:pPr>
            <w:r>
              <w:rPr>
                <w:rFonts w:hint="eastAsia" w:ascii="仿宋_GB2312" w:hAnsi="仿宋" w:eastAsia="仿宋_GB2312"/>
                <w:color w:val="auto"/>
                <w:highlight w:val="none"/>
              </w:rPr>
              <w:t>结果</w:t>
            </w:r>
          </w:p>
        </w:tc>
        <w:tc>
          <w:tcPr>
            <w:tcW w:w="5696" w:type="dxa"/>
            <w:gridSpan w:val="2"/>
            <w:vAlign w:val="center"/>
          </w:tcPr>
          <w:p>
            <w:pPr>
              <w:jc w:val="both"/>
              <w:rPr>
                <w:rFonts w:ascii="仿宋_GB2312" w:hAnsi="宋体" w:eastAsia="仿宋_GB2312"/>
                <w:color w:val="auto"/>
                <w:highlight w:val="none"/>
              </w:rPr>
            </w:pPr>
            <w:r>
              <w:rPr>
                <w:rFonts w:hint="eastAsia" w:ascii="仿宋_GB2312" w:hAnsi="宋体" w:eastAsia="仿宋_GB2312"/>
                <w:color w:val="auto"/>
                <w:highlight w:val="none"/>
              </w:rPr>
              <w:t>信用查询符合招标文件要求。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二</w:t>
            </w:r>
          </w:p>
        </w:tc>
        <w:tc>
          <w:tcPr>
            <w:tcW w:w="8032" w:type="dxa"/>
            <w:gridSpan w:val="3"/>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8</w:t>
            </w:r>
          </w:p>
        </w:tc>
        <w:tc>
          <w:tcPr>
            <w:tcW w:w="2345" w:type="dxa"/>
            <w:gridSpan w:val="2"/>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法定代表人（主要负责人）委托授权书\身份证明</w:t>
            </w:r>
          </w:p>
        </w:tc>
        <w:tc>
          <w:tcPr>
            <w:tcW w:w="5687" w:type="dxa"/>
            <w:vAlign w:val="center"/>
          </w:tcPr>
          <w:p>
            <w:pPr>
              <w:adjustRightInd w:val="0"/>
              <w:snapToGrid w:val="0"/>
              <w:spacing w:line="360" w:lineRule="auto"/>
              <w:ind w:firstLine="480" w:firstLineChars="200"/>
              <w:rPr>
                <w:rFonts w:ascii="仿宋_GB2312" w:hAnsi="仿宋" w:eastAsia="仿宋_GB2312"/>
                <w:color w:val="auto"/>
                <w:highlight w:val="none"/>
              </w:rPr>
            </w:pPr>
            <w:r>
              <w:rPr>
                <w:rFonts w:hint="eastAsia" w:ascii="仿宋_GB2312" w:eastAsia="仿宋_GB2312"/>
                <w:color w:val="auto"/>
                <w:highlight w:val="none"/>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注意事项：</w:t>
            </w:r>
          </w:p>
          <w:p>
            <w:pPr>
              <w:jc w:val="both"/>
              <w:rPr>
                <w:rFonts w:ascii="仿宋_GB2312" w:hAnsi="仿宋" w:eastAsia="仿宋_GB2312"/>
                <w:color w:val="auto"/>
                <w:highlight w:val="none"/>
              </w:rPr>
            </w:pPr>
            <w:r>
              <w:rPr>
                <w:rFonts w:hint="eastAsia" w:ascii="仿宋_GB2312" w:hAnsi="仿宋" w:eastAsia="仿宋_GB2312"/>
                <w:color w:val="auto"/>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ascii="仿宋_GB2312" w:hAnsi="仿宋" w:eastAsia="仿宋_GB2312"/>
                <w:color w:val="auto"/>
                <w:highlight w:val="none"/>
              </w:rPr>
            </w:pPr>
            <w:r>
              <w:rPr>
                <w:rFonts w:ascii="仿宋_GB2312" w:hAnsi="仿宋" w:eastAsia="仿宋_GB2312"/>
                <w:color w:val="auto"/>
                <w:highlight w:val="none"/>
              </w:rPr>
              <w:t>2</w:t>
            </w:r>
            <w:r>
              <w:rPr>
                <w:rFonts w:hint="eastAsia" w:ascii="仿宋_GB2312" w:hAnsi="仿宋" w:eastAsia="仿宋_GB2312"/>
                <w:color w:val="auto"/>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ascii="仿宋_GB2312" w:hAnsi="仿宋" w:eastAsia="仿宋_GB2312"/>
                <w:color w:val="auto"/>
                <w:highlight w:val="none"/>
              </w:rPr>
            </w:pPr>
            <w:r>
              <w:rPr>
                <w:rFonts w:hint="eastAsia" w:ascii="仿宋_GB2312" w:hAnsi="仿宋" w:eastAsia="仿宋_GB2312"/>
                <w:color w:val="auto"/>
                <w:highlight w:val="none"/>
              </w:rPr>
              <w:t>3．以联合体形式参与投标时，应提供有效的《联合体协议书》，并遵循招标文件第二章中“关于联合体”的相关规定。</w:t>
            </w:r>
          </w:p>
          <w:p>
            <w:pPr>
              <w:jc w:val="both"/>
              <w:rPr>
                <w:rFonts w:ascii="仿宋_GB2312" w:hAnsi="仿宋" w:eastAsia="仿宋_GB2312"/>
                <w:color w:val="auto"/>
                <w:highlight w:val="none"/>
              </w:rPr>
            </w:pPr>
            <w:r>
              <w:rPr>
                <w:rFonts w:hint="eastAsia" w:ascii="仿宋_GB2312" w:hAnsi="仿宋" w:eastAsia="仿宋_GB2312"/>
                <w:color w:val="auto"/>
                <w:highlight w:val="none"/>
              </w:rPr>
              <w:t>4．《基本存款账户信息》、《无重大违法记录声明》、《法定代表人委托授权书》、《法定代表人身份证明书》、《联合体协议书》应按第五章《投标文件构成及格式》中给定的格式填写，并按要求签字、盖章。</w:t>
            </w:r>
          </w:p>
          <w:p>
            <w:pPr>
              <w:jc w:val="both"/>
              <w:rPr>
                <w:rFonts w:ascii="仿宋_GB2312" w:hAnsi="仿宋" w:eastAsia="仿宋_GB2312"/>
                <w:color w:val="auto"/>
                <w:highlight w:val="none"/>
              </w:rPr>
            </w:pPr>
            <w:r>
              <w:rPr>
                <w:rFonts w:hint="eastAsia" w:ascii="仿宋_GB2312" w:hAnsi="仿宋" w:eastAsia="仿宋_GB2312"/>
                <w:color w:val="auto"/>
                <w:highlight w:val="none"/>
              </w:rPr>
              <w:t>5．按照财政部《关于在政府采购活动中查询及使用信用记录有关问题的通知》（财库〔2016〕125号）要求，在招标文件发售时间至资格审查工作结束，采购人或采购代理机构将对投标供应商的信用记录进行核查，出现招标文件第二章中“关于信用记录的查询和使用”所列失信行为的，将拒绝其参与政府采购活动。</w:t>
            </w:r>
          </w:p>
        </w:tc>
      </w:tr>
    </w:tbl>
    <w:p>
      <w:pPr>
        <w:pStyle w:val="4"/>
        <w:adjustRightInd w:val="0"/>
        <w:snapToGrid w:val="0"/>
        <w:spacing w:line="360" w:lineRule="auto"/>
        <w:ind w:firstLine="480"/>
        <w:rPr>
          <w:rFonts w:ascii="仿宋_GB2312" w:eastAsia="仿宋_GB2312"/>
          <w:color w:val="auto"/>
          <w:sz w:val="24"/>
          <w:szCs w:val="24"/>
          <w:highlight w:val="none"/>
        </w:rPr>
      </w:pPr>
      <w:bookmarkStart w:id="49" w:name="_Toc107503687"/>
      <w:r>
        <w:rPr>
          <w:rFonts w:hint="eastAsia" w:ascii="仿宋_GB2312" w:eastAsia="仿宋_GB2312"/>
          <w:color w:val="auto"/>
          <w:sz w:val="24"/>
          <w:szCs w:val="24"/>
          <w:highlight w:val="none"/>
        </w:rPr>
        <w:t>七、评审方法和程序</w:t>
      </w:r>
      <w:bookmarkEnd w:id="49"/>
    </w:p>
    <w:p>
      <w:pPr>
        <w:pStyle w:val="112"/>
        <w:adjustRightInd w:val="0"/>
        <w:snapToGrid w:val="0"/>
        <w:spacing w:before="0" w:beforeLines="0" w:after="0" w:afterLines="0" w:line="360" w:lineRule="auto"/>
        <w:ind w:firstLine="482"/>
        <w:rPr>
          <w:color w:val="auto"/>
          <w:sz w:val="24"/>
          <w:szCs w:val="24"/>
          <w:highlight w:val="none"/>
        </w:rPr>
      </w:pPr>
      <w:bookmarkStart w:id="50" w:name="_Toc107503688"/>
      <w:r>
        <w:rPr>
          <w:rFonts w:hint="eastAsia"/>
          <w:color w:val="auto"/>
          <w:sz w:val="24"/>
          <w:szCs w:val="24"/>
          <w:highlight w:val="none"/>
        </w:rPr>
        <w:t>（一）评标方法</w:t>
      </w:r>
      <w:bookmarkEnd w:id="50"/>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本项目采用综合评分法，即投标文件满足招标文件全部实质性要求，且按照评审因素的量化指标评审得分最高的供应商为中标候选人。</w:t>
      </w:r>
    </w:p>
    <w:p>
      <w:pPr>
        <w:pStyle w:val="112"/>
        <w:adjustRightInd w:val="0"/>
        <w:snapToGrid w:val="0"/>
        <w:spacing w:before="0" w:beforeLines="0" w:after="0" w:afterLines="0" w:line="360" w:lineRule="auto"/>
        <w:ind w:firstLine="482"/>
        <w:rPr>
          <w:color w:val="auto"/>
          <w:sz w:val="24"/>
          <w:szCs w:val="24"/>
          <w:highlight w:val="none"/>
        </w:rPr>
      </w:pPr>
      <w:bookmarkStart w:id="51" w:name="_Toc107503689"/>
      <w:r>
        <w:rPr>
          <w:rFonts w:hint="eastAsia"/>
          <w:color w:val="auto"/>
          <w:sz w:val="24"/>
          <w:szCs w:val="24"/>
          <w:highlight w:val="none"/>
        </w:rPr>
        <w:t>（二）评标程序</w:t>
      </w:r>
      <w:bookmarkEnd w:id="51"/>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1．组建评标委员会</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由采购代理机构组织评标委员会推选评标组长，采购人代表不得担任组长。</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2．投标文件的符合性审查</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供应商资格性审查通过后，评标委员会对符合资格的投标人的投标文件进行符合性审查，以确定其是否满足招标文件的实质性要求。</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jc w:val="both"/>
        <w:rPr>
          <w:rFonts w:ascii="仿宋_GB2312" w:hAnsi="仿宋" w:eastAsia="仿宋_GB2312"/>
          <w:color w:val="auto"/>
          <w:highlight w:val="none"/>
        </w:rPr>
      </w:pPr>
      <w:r>
        <w:rPr>
          <w:rFonts w:hint="eastAsia" w:ascii="仿宋_GB2312" w:hAnsi="仿宋" w:eastAsia="仿宋_GB2312"/>
          <w:color w:val="auto"/>
          <w:highlight w:val="none"/>
        </w:rPr>
        <w:t>〖符合性审查表〗</w:t>
      </w:r>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adjustRightInd w:val="0"/>
              <w:snapToGrid w:val="0"/>
              <w:spacing w:line="360" w:lineRule="auto"/>
              <w:jc w:val="center"/>
              <w:rPr>
                <w:rFonts w:ascii="仿宋_GB2312" w:hAnsi="仿宋" w:eastAsia="仿宋_GB2312"/>
                <w:b/>
                <w:bCs/>
                <w:color w:val="auto"/>
                <w:highlight w:val="none"/>
              </w:rPr>
            </w:pPr>
            <w:r>
              <w:rPr>
                <w:rFonts w:hint="eastAsia" w:ascii="仿宋_GB2312" w:hAnsi="仿宋" w:eastAsia="仿宋_GB2312"/>
                <w:b/>
                <w:bCs/>
                <w:color w:val="auto"/>
                <w:highlight w:val="none"/>
              </w:rPr>
              <w:t>序号</w:t>
            </w:r>
          </w:p>
        </w:tc>
        <w:tc>
          <w:tcPr>
            <w:tcW w:w="2392" w:type="dxa"/>
            <w:tcBorders>
              <w:top w:val="single" w:color="auto" w:sz="12" w:space="0"/>
              <w:bottom w:val="single" w:color="auto" w:sz="2" w:space="0"/>
            </w:tcBorders>
            <w:shd w:val="clear" w:color="auto" w:fill="F1F1F1" w:themeFill="background1" w:themeFillShade="F2"/>
            <w:vAlign w:val="center"/>
          </w:tcPr>
          <w:p>
            <w:pPr>
              <w:adjustRightInd w:val="0"/>
              <w:snapToGrid w:val="0"/>
              <w:spacing w:line="360" w:lineRule="auto"/>
              <w:jc w:val="center"/>
              <w:rPr>
                <w:rFonts w:ascii="仿宋_GB2312" w:hAnsi="仿宋" w:eastAsia="仿宋_GB2312"/>
                <w:b/>
                <w:bCs/>
                <w:color w:val="auto"/>
                <w:highlight w:val="none"/>
              </w:rPr>
            </w:pPr>
            <w:r>
              <w:rPr>
                <w:rFonts w:hint="eastAsia" w:ascii="仿宋_GB2312" w:hAnsi="仿宋" w:eastAsia="仿宋_GB2312"/>
                <w:b/>
                <w:bCs/>
                <w:color w:val="auto"/>
                <w:highlight w:val="none"/>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adjustRightInd w:val="0"/>
              <w:snapToGrid w:val="0"/>
              <w:spacing w:line="360" w:lineRule="auto"/>
              <w:jc w:val="center"/>
              <w:rPr>
                <w:rFonts w:ascii="仿宋_GB2312" w:hAnsi="仿宋" w:eastAsia="仿宋_GB2312"/>
                <w:b/>
                <w:bCs/>
                <w:color w:val="auto"/>
                <w:highlight w:val="none"/>
              </w:rPr>
            </w:pPr>
            <w:r>
              <w:rPr>
                <w:rFonts w:hint="eastAsia" w:ascii="仿宋_GB2312" w:hAnsi="仿宋" w:eastAsia="仿宋_GB2312"/>
                <w:b/>
                <w:bCs/>
                <w:color w:val="auto"/>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1</w:t>
            </w:r>
          </w:p>
        </w:tc>
        <w:tc>
          <w:tcPr>
            <w:tcW w:w="2392" w:type="dxa"/>
            <w:tcBorders>
              <w:top w:val="single" w:color="auto" w:sz="2" w:space="0"/>
            </w:tcBorders>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签署、盖章</w:t>
            </w:r>
          </w:p>
        </w:tc>
        <w:tc>
          <w:tcPr>
            <w:tcW w:w="5498" w:type="dxa"/>
            <w:tcBorders>
              <w:top w:val="single" w:color="auto" w:sz="2" w:space="0"/>
            </w:tcBorders>
            <w:vAlign w:val="center"/>
          </w:tcPr>
          <w:p>
            <w:pPr>
              <w:adjustRightInd w:val="0"/>
              <w:snapToGrid w:val="0"/>
              <w:spacing w:line="360" w:lineRule="auto"/>
              <w:jc w:val="both"/>
              <w:rPr>
                <w:rFonts w:ascii="仿宋_GB2312" w:hAnsi="仿宋" w:eastAsia="仿宋_GB2312"/>
                <w:color w:val="auto"/>
                <w:highlight w:val="none"/>
              </w:rPr>
            </w:pPr>
            <w:r>
              <w:rPr>
                <w:rFonts w:hint="eastAsia" w:ascii="仿宋_GB2312" w:hAnsi="宋体" w:eastAsia="仿宋_GB2312"/>
                <w:color w:val="auto"/>
                <w:highlight w:val="none"/>
              </w:rPr>
              <w:t>投标文件按招标文件要求签署、盖章。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2</w:t>
            </w:r>
          </w:p>
        </w:tc>
        <w:tc>
          <w:tcPr>
            <w:tcW w:w="2392" w:type="dxa"/>
            <w:tcBorders>
              <w:top w:val="single" w:color="auto" w:sz="2" w:space="0"/>
            </w:tcBorders>
            <w:vAlign w:val="center"/>
          </w:tcPr>
          <w:p>
            <w:pPr>
              <w:adjustRightInd w:val="0"/>
              <w:snapToGrid w:val="0"/>
              <w:spacing w:line="360" w:lineRule="auto"/>
              <w:jc w:val="center"/>
              <w:rPr>
                <w:rFonts w:ascii="仿宋_GB2312" w:hAnsi="仿宋" w:eastAsia="仿宋_GB2312"/>
                <w:color w:val="auto"/>
                <w:highlight w:val="none"/>
              </w:rPr>
            </w:pPr>
            <w:r>
              <w:rPr>
                <w:rFonts w:ascii="仿宋_GB2312" w:hAnsi="仿宋" w:eastAsia="仿宋_GB2312"/>
                <w:color w:val="auto"/>
                <w:highlight w:val="none"/>
              </w:rPr>
              <w:t>语言和计量单位</w:t>
            </w:r>
          </w:p>
        </w:tc>
        <w:tc>
          <w:tcPr>
            <w:tcW w:w="5498" w:type="dxa"/>
            <w:tcBorders>
              <w:top w:val="single" w:color="auto" w:sz="2" w:space="0"/>
            </w:tcBorders>
            <w:vAlign w:val="center"/>
          </w:tcPr>
          <w:p>
            <w:pPr>
              <w:adjustRightInd w:val="0"/>
              <w:snapToGrid w:val="0"/>
              <w:spacing w:line="360" w:lineRule="auto"/>
              <w:jc w:val="both"/>
              <w:rPr>
                <w:rFonts w:ascii="仿宋_GB2312" w:hAnsi="仿宋" w:eastAsia="仿宋_GB2312"/>
                <w:color w:val="auto"/>
                <w:highlight w:val="none"/>
              </w:rPr>
            </w:pPr>
            <w:r>
              <w:rPr>
                <w:rFonts w:ascii="仿宋_GB2312" w:hAnsi="仿宋" w:eastAsia="仿宋_GB2312"/>
                <w:color w:val="auto"/>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3</w:t>
            </w:r>
          </w:p>
        </w:tc>
        <w:tc>
          <w:tcPr>
            <w:tcW w:w="2392" w:type="dxa"/>
            <w:tcBorders>
              <w:top w:val="single" w:color="auto" w:sz="2" w:space="0"/>
            </w:tcBorders>
            <w:vAlign w:val="center"/>
          </w:tcPr>
          <w:p>
            <w:pPr>
              <w:adjustRightInd w:val="0"/>
              <w:snapToGrid w:val="0"/>
              <w:spacing w:line="360" w:lineRule="auto"/>
              <w:jc w:val="center"/>
              <w:rPr>
                <w:rFonts w:ascii="仿宋_GB2312" w:hAnsi="仿宋" w:eastAsia="仿宋_GB2312"/>
                <w:color w:val="auto"/>
                <w:highlight w:val="none"/>
              </w:rPr>
            </w:pPr>
            <w:r>
              <w:rPr>
                <w:rFonts w:ascii="仿宋_GB2312" w:hAnsi="仿宋" w:eastAsia="仿宋_GB2312"/>
                <w:color w:val="auto"/>
                <w:highlight w:val="none"/>
              </w:rPr>
              <w:t>投标文件有效期</w:t>
            </w:r>
          </w:p>
        </w:tc>
        <w:tc>
          <w:tcPr>
            <w:tcW w:w="5498" w:type="dxa"/>
            <w:tcBorders>
              <w:top w:val="single" w:color="auto" w:sz="2" w:space="0"/>
            </w:tcBorders>
            <w:vAlign w:val="center"/>
          </w:tcPr>
          <w:p>
            <w:pPr>
              <w:adjustRightInd w:val="0"/>
              <w:snapToGrid w:val="0"/>
              <w:spacing w:line="360" w:lineRule="auto"/>
              <w:jc w:val="both"/>
              <w:rPr>
                <w:rFonts w:ascii="仿宋_GB2312" w:hAnsi="仿宋" w:eastAsia="仿宋_GB2312"/>
                <w:color w:val="auto"/>
                <w:highlight w:val="none"/>
              </w:rPr>
            </w:pPr>
            <w:r>
              <w:rPr>
                <w:rFonts w:ascii="仿宋_GB2312" w:hAnsi="仿宋" w:eastAsia="仿宋_GB2312"/>
                <w:color w:val="auto"/>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4</w:t>
            </w:r>
          </w:p>
        </w:tc>
        <w:tc>
          <w:tcPr>
            <w:tcW w:w="2392"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是否超出预算或最高限价</w:t>
            </w:r>
          </w:p>
        </w:tc>
        <w:tc>
          <w:tcPr>
            <w:tcW w:w="5498" w:type="dxa"/>
            <w:vAlign w:val="center"/>
          </w:tcPr>
          <w:p>
            <w:pPr>
              <w:adjustRightInd w:val="0"/>
              <w:snapToGrid w:val="0"/>
              <w:spacing w:line="360" w:lineRule="auto"/>
              <w:jc w:val="both"/>
              <w:rPr>
                <w:rFonts w:ascii="仿宋_GB2312" w:hAnsi="仿宋" w:eastAsia="仿宋_GB2312"/>
                <w:color w:val="auto"/>
                <w:highlight w:val="none"/>
              </w:rPr>
            </w:pPr>
            <w:r>
              <w:rPr>
                <w:rFonts w:hint="eastAsia" w:ascii="仿宋_GB2312" w:hAnsi="仿宋" w:eastAsia="仿宋_GB2312"/>
                <w:color w:val="auto"/>
                <w:highlight w:val="none"/>
              </w:rPr>
              <w:t>投标人投标报价未超出采购预算或最高限价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5</w:t>
            </w:r>
          </w:p>
        </w:tc>
        <w:tc>
          <w:tcPr>
            <w:tcW w:w="2392"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报价合理性</w:t>
            </w:r>
          </w:p>
        </w:tc>
        <w:tc>
          <w:tcPr>
            <w:tcW w:w="5498" w:type="dxa"/>
            <w:vAlign w:val="center"/>
          </w:tcPr>
          <w:p>
            <w:pPr>
              <w:adjustRightInd w:val="0"/>
              <w:snapToGrid w:val="0"/>
              <w:spacing w:line="360" w:lineRule="auto"/>
              <w:jc w:val="both"/>
              <w:rPr>
                <w:rFonts w:ascii="仿宋_GB2312" w:hAnsi="仿宋" w:eastAsia="仿宋_GB2312"/>
                <w:color w:val="auto"/>
                <w:highlight w:val="none"/>
              </w:rPr>
            </w:pPr>
            <w:r>
              <w:rPr>
                <w:rFonts w:hint="eastAsia" w:ascii="仿宋_GB2312" w:hAnsi="仿宋" w:eastAsia="仿宋_GB2312"/>
                <w:color w:val="auto"/>
                <w:highlight w:val="none"/>
              </w:rPr>
              <w:t>投标人的报价没有明显低于其他通过符合性审查投标人的报价，没有可能影响服务质量或者不能诚信履约的，且投标人不能证明其报价合理性的。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6</w:t>
            </w:r>
          </w:p>
        </w:tc>
        <w:tc>
          <w:tcPr>
            <w:tcW w:w="2392"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数量要求符合</w:t>
            </w:r>
          </w:p>
        </w:tc>
        <w:tc>
          <w:tcPr>
            <w:tcW w:w="5498" w:type="dxa"/>
            <w:vAlign w:val="center"/>
          </w:tcPr>
          <w:p>
            <w:pPr>
              <w:adjustRightInd w:val="0"/>
              <w:snapToGrid w:val="0"/>
              <w:spacing w:line="360" w:lineRule="auto"/>
              <w:jc w:val="both"/>
              <w:rPr>
                <w:rFonts w:ascii="仿宋_GB2312" w:hAnsi="仿宋" w:eastAsia="仿宋_GB2312"/>
                <w:color w:val="auto"/>
                <w:highlight w:val="none"/>
              </w:rPr>
            </w:pPr>
            <w:r>
              <w:rPr>
                <w:rFonts w:hint="eastAsia" w:ascii="仿宋_GB2312" w:hAnsi="仿宋" w:eastAsia="仿宋_GB2312"/>
                <w:color w:val="auto"/>
                <w:highlight w:val="none"/>
              </w:rPr>
              <w:t>投标内容没有出现漏项或数量与要求不符或投标内容的技术指标达不到招标文件要求，没有造成采购档次降低或影响采购性能、功能。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7</w:t>
            </w:r>
          </w:p>
        </w:tc>
        <w:tc>
          <w:tcPr>
            <w:tcW w:w="2392"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实质性条款响应</w:t>
            </w:r>
          </w:p>
        </w:tc>
        <w:tc>
          <w:tcPr>
            <w:tcW w:w="5498" w:type="dxa"/>
            <w:vAlign w:val="center"/>
          </w:tcPr>
          <w:p>
            <w:pPr>
              <w:adjustRightInd w:val="0"/>
              <w:snapToGrid w:val="0"/>
              <w:spacing w:line="360" w:lineRule="auto"/>
              <w:jc w:val="both"/>
              <w:rPr>
                <w:rFonts w:ascii="仿宋_GB2312" w:hAnsi="仿宋" w:eastAsia="仿宋_GB2312"/>
                <w:color w:val="auto"/>
                <w:highlight w:val="none"/>
              </w:rPr>
            </w:pPr>
            <w:r>
              <w:rPr>
                <w:rFonts w:hint="eastAsia" w:ascii="仿宋_GB2312" w:hAnsi="仿宋" w:eastAsia="仿宋_GB2312"/>
                <w:color w:val="auto"/>
                <w:highlight w:val="none"/>
              </w:rPr>
              <w:t>完全响应招标文件要求的各项技术（服务）、商务实质性条款。（见第三章标注</w:t>
            </w:r>
            <w:r>
              <w:rPr>
                <w:rFonts w:hint="eastAsia" w:ascii="仿宋_GB2312" w:hAnsi="仿宋" w:eastAsia="仿宋_GB2312" w:cs="Segoe UI Symbol"/>
                <w:color w:val="auto"/>
                <w:highlight w:val="none"/>
              </w:rPr>
              <w:t>★</w:t>
            </w:r>
            <w:r>
              <w:rPr>
                <w:rFonts w:hint="eastAsia" w:ascii="仿宋_GB2312" w:hAnsi="仿宋" w:eastAsia="仿宋_GB2312"/>
                <w:color w:val="auto"/>
                <w:highlight w:val="none"/>
              </w:rPr>
              <w:t>的条款，未设置时请忽略此项）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8</w:t>
            </w:r>
          </w:p>
        </w:tc>
        <w:tc>
          <w:tcPr>
            <w:tcW w:w="2392" w:type="dxa"/>
            <w:vAlign w:val="center"/>
          </w:tcPr>
          <w:p>
            <w:pPr>
              <w:adjustRightInd w:val="0"/>
              <w:snapToGrid w:val="0"/>
              <w:spacing w:line="360" w:lineRule="auto"/>
              <w:jc w:val="center"/>
              <w:rPr>
                <w:rFonts w:ascii="仿宋_GB2312" w:hAnsi="仿宋" w:eastAsia="仿宋_GB2312"/>
                <w:color w:val="auto"/>
                <w:highlight w:val="none"/>
              </w:rPr>
            </w:pPr>
            <w:r>
              <w:rPr>
                <w:rFonts w:hint="eastAsia" w:ascii="仿宋_GB2312" w:hAnsi="仿宋" w:eastAsia="仿宋_GB2312"/>
                <w:color w:val="auto"/>
                <w:highlight w:val="none"/>
              </w:rPr>
              <w:t>电子投标文件雷同性分析</w:t>
            </w:r>
          </w:p>
        </w:tc>
        <w:tc>
          <w:tcPr>
            <w:tcW w:w="5498" w:type="dxa"/>
            <w:vAlign w:val="center"/>
          </w:tcPr>
          <w:p>
            <w:pPr>
              <w:adjustRightInd w:val="0"/>
              <w:snapToGrid w:val="0"/>
              <w:spacing w:line="360" w:lineRule="auto"/>
              <w:jc w:val="both"/>
              <w:rPr>
                <w:rFonts w:ascii="仿宋_GB2312" w:hAnsi="仿宋" w:eastAsia="仿宋_GB2312"/>
                <w:color w:val="auto"/>
                <w:highlight w:val="none"/>
              </w:rPr>
            </w:pPr>
            <w:r>
              <w:rPr>
                <w:rFonts w:hint="eastAsia" w:ascii="仿宋_GB2312" w:hAnsi="仿宋" w:eastAsia="仿宋_GB2312"/>
                <w:color w:val="auto"/>
                <w:highlight w:val="none"/>
              </w:rPr>
              <w:t>电子投标文件的“文件制作机器码”和“文件创建标识码”通过评标系统的雷同性分析。</w:t>
            </w:r>
          </w:p>
        </w:tc>
      </w:tr>
    </w:tbl>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3．综合比较与评价</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评标委员会按《评审要素及分值一览表》中规定的评标方法和标准，对通过符合性审查的投标文件进行商务和技术评估，综合比较与评价。</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出现下列情形的，供应商投标无效：</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（1）投标文件报价出现本章第五小节“投标报价”所列需要修正情形，但供应商对修正后的报价不予确认的；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（3）单位负责人为同一人或者存在直接控股、管理关系的不同供应商参与本项目同一合同项下的投标的，其相关投标将被认定为投标无效</w:t>
      </w:r>
      <w:r>
        <w:rPr>
          <w:rFonts w:ascii="仿宋_GB2312" w:hAnsi="仿宋" w:eastAsia="仿宋_GB2312"/>
          <w:color w:val="auto"/>
          <w:highlight w:val="none"/>
        </w:rPr>
        <w:t>。</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（4）为本项目提供过整体设计、规范编制或者项目管理、监理、检测等服务的供应商，不得再参加本项目上述</w:t>
      </w:r>
      <w:r>
        <w:rPr>
          <w:rFonts w:ascii="仿宋_GB2312" w:hAnsi="仿宋" w:eastAsia="仿宋_GB2312"/>
          <w:color w:val="auto"/>
          <w:highlight w:val="none"/>
        </w:rPr>
        <w:t>服务以外</w:t>
      </w:r>
      <w:r>
        <w:rPr>
          <w:rFonts w:hint="eastAsia" w:ascii="仿宋_GB2312" w:hAnsi="仿宋" w:eastAsia="仿宋_GB2312"/>
          <w:color w:val="auto"/>
          <w:highlight w:val="none"/>
        </w:rPr>
        <w:t>的其他采购活动。</w:t>
      </w:r>
      <w:r>
        <w:rPr>
          <w:rFonts w:ascii="仿宋_GB2312" w:hAnsi="仿宋" w:eastAsia="仿宋_GB2312"/>
          <w:color w:val="auto"/>
          <w:highlight w:val="none"/>
        </w:rPr>
        <w:t>否则</w:t>
      </w:r>
      <w:r>
        <w:rPr>
          <w:rFonts w:hint="eastAsia" w:ascii="仿宋_GB2312" w:hAnsi="仿宋" w:eastAsia="仿宋_GB2312"/>
          <w:color w:val="auto"/>
          <w:highlight w:val="none"/>
        </w:rPr>
        <w:t>其投标将被认定为投标无效。</w:t>
      </w:r>
    </w:p>
    <w:p>
      <w:pPr>
        <w:adjustRightInd w:val="0"/>
        <w:snapToGrid w:val="0"/>
        <w:spacing w:line="360" w:lineRule="auto"/>
        <w:ind w:firstLine="480" w:firstLineChars="200"/>
        <w:jc w:val="both"/>
        <w:rPr>
          <w:rFonts w:ascii="仿宋_GB2312" w:hAnsi="仿宋" w:eastAsia="仿宋_GB2312"/>
          <w:b/>
          <w:color w:val="auto"/>
          <w:highlight w:val="none"/>
        </w:rPr>
      </w:pPr>
      <w:r>
        <w:rPr>
          <w:rFonts w:hint="eastAsia" w:ascii="仿宋_GB2312" w:hAnsi="仿宋" w:eastAsia="仿宋_GB2312"/>
          <w:b/>
          <w:color w:val="auto"/>
          <w:highlight w:val="none"/>
        </w:rPr>
        <w:t>评审标准中应考虑下列因素：</w:t>
      </w:r>
    </w:p>
    <w:p>
      <w:pPr>
        <w:adjustRightInd w:val="0"/>
        <w:snapToGrid w:val="0"/>
        <w:spacing w:line="360" w:lineRule="auto"/>
        <w:ind w:firstLine="480" w:firstLineChars="200"/>
        <w:jc w:val="both"/>
        <w:rPr>
          <w:rFonts w:ascii="仿宋_GB2312" w:eastAsia="仿宋_GB2312"/>
          <w:color w:val="auto"/>
          <w:highlight w:val="none"/>
        </w:rPr>
      </w:pPr>
      <w:r>
        <w:rPr>
          <w:rFonts w:hint="eastAsia" w:ascii="仿宋_GB2312" w:hAnsi="仿宋" w:eastAsia="仿宋_GB2312"/>
          <w:color w:val="auto"/>
          <w:highlight w:val="none"/>
        </w:rPr>
        <w:t>（1）根据《政府采购促进中小企业发展管理办法》（财库〔2020〕46号）、《关于进一步加大政府采购支持中小企业力度的通知》（财库〔2022〕19号）、《</w:t>
      </w:r>
      <w:r>
        <w:rPr>
          <w:rFonts w:ascii="仿宋_GB2312" w:hAnsi="仿宋" w:eastAsia="仿宋_GB2312"/>
          <w:color w:val="auto"/>
          <w:highlight w:val="none"/>
        </w:rPr>
        <w:t>财政部 司法部关于政府采购支持监狱企业发展有关问题的通知</w:t>
      </w:r>
      <w:r>
        <w:rPr>
          <w:rFonts w:hint="eastAsia" w:ascii="仿宋_GB2312" w:hAnsi="仿宋" w:eastAsia="仿宋_GB2312"/>
          <w:color w:val="auto"/>
          <w:highlight w:val="none"/>
        </w:rPr>
        <w:t>》（财库〔2014〕68号）和《三部门联合发布关于促进残疾人就业政府采购政策的通知》（财库〔2017〕</w:t>
      </w:r>
      <w:r>
        <w:rPr>
          <w:rFonts w:hint="eastAsia" w:ascii="仿宋_GB2312" w:eastAsia="仿宋_GB2312"/>
          <w:color w:val="auto"/>
          <w:highlight w:val="none"/>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Pr>
          <w:rFonts w:ascii="仿宋_GB2312" w:eastAsia="仿宋_GB2312"/>
          <w:color w:val="auto"/>
          <w:highlight w:val="none"/>
        </w:rPr>
        <w:t>属于小微企业</w:t>
      </w:r>
      <w:r>
        <w:rPr>
          <w:rFonts w:hint="eastAsia" w:ascii="仿宋_GB2312" w:eastAsia="仿宋_GB2312"/>
          <w:color w:val="auto"/>
          <w:highlight w:val="none"/>
        </w:rPr>
        <w:t>、</w:t>
      </w:r>
      <w:r>
        <w:rPr>
          <w:rFonts w:ascii="仿宋_GB2312" w:eastAsia="仿宋_GB2312"/>
          <w:color w:val="auto"/>
          <w:highlight w:val="none"/>
        </w:rPr>
        <w:t>监狱企业</w:t>
      </w:r>
      <w:r>
        <w:rPr>
          <w:rFonts w:hint="eastAsia" w:ascii="仿宋_GB2312" w:eastAsia="仿宋_GB2312"/>
          <w:color w:val="auto"/>
          <w:highlight w:val="none"/>
        </w:rPr>
        <w:t>或</w:t>
      </w:r>
      <w:r>
        <w:rPr>
          <w:rFonts w:ascii="仿宋_GB2312" w:eastAsia="仿宋_GB2312"/>
          <w:color w:val="auto"/>
          <w:highlight w:val="none"/>
        </w:rPr>
        <w:t>残疾人福利性单位的，不重复进行投标报价扣除。</w:t>
      </w:r>
    </w:p>
    <w:p>
      <w:pPr>
        <w:pStyle w:val="2"/>
        <w:tabs>
          <w:tab w:val="clear" w:pos="567"/>
        </w:tabs>
        <w:adjustRightInd w:val="0"/>
        <w:snapToGrid w:val="0"/>
        <w:spacing w:before="0" w:line="360" w:lineRule="auto"/>
        <w:ind w:firstLine="540" w:firstLineChars="225"/>
        <w:rPr>
          <w:rFonts w:ascii="仿宋_GB2312" w:eastAsia="仿宋_GB2312"/>
          <w:color w:val="auto"/>
          <w:highlight w:val="none"/>
        </w:rPr>
      </w:pPr>
      <w:r>
        <w:rPr>
          <w:rFonts w:hint="eastAsia" w:ascii="仿宋_GB2312" w:eastAsia="仿宋_GB2312"/>
          <w:color w:val="auto"/>
          <w:highlight w:val="none"/>
        </w:rPr>
        <w:t>（2）</w:t>
      </w:r>
      <w:r>
        <w:rPr>
          <w:rFonts w:ascii="仿宋_GB2312" w:eastAsia="仿宋_GB2312"/>
          <w:color w:val="auto"/>
          <w:highlight w:val="none"/>
        </w:rPr>
        <w:t>联合协议中约定，小型、微型企业</w:t>
      </w:r>
      <w:r>
        <w:rPr>
          <w:rFonts w:hint="eastAsia" w:ascii="仿宋_GB2312" w:eastAsia="仿宋_GB2312"/>
          <w:color w:val="auto"/>
          <w:highlight w:val="none"/>
        </w:rPr>
        <w:t>和监狱企业</w:t>
      </w:r>
      <w:r>
        <w:rPr>
          <w:rFonts w:ascii="仿宋_GB2312" w:eastAsia="仿宋_GB2312"/>
          <w:color w:val="auto"/>
          <w:highlight w:val="none"/>
        </w:rPr>
        <w:t>的协议合同金额占到联合体协议合同总金额30%以上的，可给予联合体</w:t>
      </w:r>
      <w:r>
        <w:rPr>
          <w:rFonts w:hint="eastAsia" w:ascii="仿宋_GB2312" w:eastAsia="仿宋_GB2312"/>
          <w:color w:val="auto"/>
          <w:highlight w:val="none"/>
        </w:rPr>
        <w:t>4%</w:t>
      </w:r>
      <w:r>
        <w:rPr>
          <w:rFonts w:ascii="仿宋_GB2312" w:eastAsia="仿宋_GB2312"/>
          <w:color w:val="auto"/>
          <w:highlight w:val="none"/>
        </w:rPr>
        <w:t>的价格扣除。</w:t>
      </w:r>
    </w:p>
    <w:p>
      <w:pPr>
        <w:pStyle w:val="2"/>
        <w:tabs>
          <w:tab w:val="clear" w:pos="567"/>
        </w:tabs>
        <w:adjustRightInd w:val="0"/>
        <w:snapToGrid w:val="0"/>
        <w:spacing w:before="0" w:line="360" w:lineRule="auto"/>
        <w:ind w:firstLine="540" w:firstLineChars="225"/>
        <w:rPr>
          <w:rFonts w:ascii="仿宋_GB2312" w:eastAsia="仿宋_GB2312"/>
          <w:color w:val="auto"/>
          <w:highlight w:val="none"/>
        </w:rPr>
      </w:pPr>
      <w:r>
        <w:rPr>
          <w:rFonts w:ascii="仿宋_GB2312" w:eastAsia="仿宋_GB2312"/>
          <w:color w:val="auto"/>
          <w:highlight w:val="none"/>
        </w:rPr>
        <w:t>联合体各方均为小型、微型企业</w:t>
      </w:r>
      <w:r>
        <w:rPr>
          <w:rFonts w:hint="eastAsia" w:ascii="仿宋_GB2312" w:eastAsia="仿宋_GB2312"/>
          <w:color w:val="auto"/>
          <w:highlight w:val="none"/>
        </w:rPr>
        <w:t>和监狱企业</w:t>
      </w:r>
      <w:r>
        <w:rPr>
          <w:rFonts w:ascii="仿宋_GB2312" w:eastAsia="仿宋_GB2312"/>
          <w:color w:val="auto"/>
          <w:highlight w:val="none"/>
        </w:rPr>
        <w:t>的，联合体视同为小型、微型企业</w:t>
      </w:r>
      <w:r>
        <w:rPr>
          <w:rFonts w:hint="eastAsia" w:ascii="仿宋_GB2312" w:eastAsia="仿宋_GB2312"/>
          <w:color w:val="auto"/>
          <w:highlight w:val="none"/>
        </w:rPr>
        <w:t>和监狱企业。</w:t>
      </w:r>
    </w:p>
    <w:p>
      <w:pPr>
        <w:pStyle w:val="2"/>
        <w:tabs>
          <w:tab w:val="clear" w:pos="567"/>
        </w:tabs>
        <w:adjustRightInd w:val="0"/>
        <w:snapToGrid w:val="0"/>
        <w:spacing w:before="0" w:line="360" w:lineRule="auto"/>
        <w:ind w:firstLine="540" w:firstLineChars="225"/>
        <w:rPr>
          <w:rFonts w:ascii="仿宋_GB2312" w:eastAsia="仿宋_GB2312"/>
          <w:color w:val="auto"/>
          <w:highlight w:val="none"/>
        </w:rPr>
      </w:pPr>
      <w:r>
        <w:rPr>
          <w:rFonts w:hint="eastAsia" w:ascii="仿宋_GB2312" w:eastAsia="仿宋_GB2312"/>
          <w:color w:val="auto"/>
          <w:highlight w:val="none"/>
        </w:rPr>
        <w:t>（3）投标人为提供服务所伴随的货物属于节能产品、环境标志产品品目清单范围内，且投标人所投产品具有有效期内的产品认证证书，在评标时予以优先采购，具体见评审因素和指标内容。</w:t>
      </w:r>
    </w:p>
    <w:p>
      <w:pPr>
        <w:pStyle w:val="2"/>
        <w:tabs>
          <w:tab w:val="clear" w:pos="567"/>
        </w:tabs>
        <w:adjustRightInd w:val="0"/>
        <w:snapToGrid w:val="0"/>
        <w:spacing w:before="0" w:line="360" w:lineRule="auto"/>
        <w:ind w:firstLine="540" w:firstLineChars="225"/>
        <w:rPr>
          <w:rFonts w:ascii="仿宋_GB2312" w:eastAsia="仿宋_GB2312"/>
          <w:color w:val="auto"/>
          <w:highlight w:val="none"/>
        </w:rPr>
      </w:pPr>
      <w:r>
        <w:rPr>
          <w:rFonts w:hint="eastAsia" w:ascii="仿宋_GB2312" w:eastAsia="仿宋_GB2312"/>
          <w:color w:val="auto"/>
          <w:highlight w:val="none"/>
        </w:rPr>
        <w:t>（4）如投标人为提供服务所伴随的货物为政府强制采购的节能产品，投标人所投产品的品牌及型号必须为清单中有效期内产品并提供证明文件，否则其投标将作为无效投标被拒绝。</w:t>
      </w:r>
    </w:p>
    <w:p>
      <w:pPr>
        <w:pStyle w:val="2"/>
        <w:tabs>
          <w:tab w:val="clear" w:pos="567"/>
        </w:tabs>
        <w:adjustRightInd w:val="0"/>
        <w:snapToGrid w:val="0"/>
        <w:spacing w:before="0" w:line="360" w:lineRule="auto"/>
        <w:ind w:left="-206" w:leftChars="-86" w:firstLine="660" w:firstLineChars="275"/>
        <w:rPr>
          <w:rFonts w:ascii="仿宋_GB2312" w:eastAsia="仿宋_GB2312"/>
          <w:color w:val="auto"/>
          <w:highlight w:val="none"/>
        </w:rPr>
      </w:pPr>
      <w:r>
        <w:rPr>
          <w:rFonts w:hint="eastAsia" w:ascii="仿宋_GB2312" w:eastAsia="仿宋_GB2312"/>
          <w:color w:val="auto"/>
          <w:highlight w:val="none"/>
        </w:rPr>
        <w:t xml:space="preserve">（5）中标候选人并列时的处理方式：   </w:t>
      </w:r>
    </w:p>
    <w:p>
      <w:pPr>
        <w:autoSpaceDE w:val="0"/>
        <w:autoSpaceDN w:val="0"/>
        <w:adjustRightInd w:val="0"/>
        <w:snapToGrid w:val="0"/>
        <w:spacing w:line="360" w:lineRule="auto"/>
        <w:ind w:firstLine="480" w:firstLineChars="200"/>
        <w:rPr>
          <w:rFonts w:ascii="仿宋_GB2312" w:hAnsi="宋体" w:eastAsia="仿宋_GB2312"/>
          <w:color w:val="auto"/>
          <w:highlight w:val="none"/>
        </w:rPr>
      </w:pPr>
      <w:r>
        <w:rPr>
          <w:rFonts w:hint="eastAsia" w:ascii="仿宋_GB2312" w:hAnsi="宋体" w:eastAsia="仿宋_GB2312"/>
          <w:color w:val="auto"/>
          <w:highlight w:val="none"/>
        </w:rPr>
        <w:t>如采用最低评标办法，则：在全部满足以上实质性要求前提下，依据统一的价格要素评定最低报价，以提出最低报价的投标人作为排名第一的中标候选人。投标报价相同的，按照技术指标优劣排序。</w:t>
      </w:r>
    </w:p>
    <w:p>
      <w:pPr>
        <w:pStyle w:val="2"/>
        <w:tabs>
          <w:tab w:val="clear" w:pos="567"/>
        </w:tabs>
        <w:adjustRightInd w:val="0"/>
        <w:snapToGrid w:val="0"/>
        <w:spacing w:before="0" w:line="360" w:lineRule="auto"/>
        <w:ind w:left="-206" w:leftChars="-86" w:firstLine="660" w:firstLineChars="275"/>
        <w:rPr>
          <w:rFonts w:ascii="仿宋_GB2312" w:eastAsia="仿宋_GB2312"/>
          <w:color w:val="auto"/>
          <w:highlight w:val="none"/>
        </w:rPr>
      </w:pPr>
      <w:r>
        <w:rPr>
          <w:rFonts w:hint="eastAsia" w:ascii="仿宋_GB2312" w:eastAsia="仿宋_GB2312"/>
          <w:color w:val="auto"/>
          <w:highlight w:val="none"/>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line="360" w:lineRule="auto"/>
        <w:rPr>
          <w:rFonts w:ascii="仿宋_GB2312" w:hAnsi="仿宋" w:eastAsia="仿宋_GB2312"/>
          <w:color w:val="auto"/>
          <w:highlight w:val="none"/>
        </w:rPr>
      </w:pPr>
    </w:p>
    <w:p>
      <w:pPr>
        <w:adjustRightInd w:val="0"/>
        <w:snapToGrid w:val="0"/>
        <w:spacing w:line="360" w:lineRule="auto"/>
        <w:jc w:val="center"/>
        <w:rPr>
          <w:rFonts w:ascii="仿宋_GB2312" w:hAnsi="仿宋" w:eastAsia="仿宋_GB2312"/>
          <w:b/>
          <w:color w:val="auto"/>
          <w:highlight w:val="none"/>
        </w:rPr>
      </w:pPr>
    </w:p>
    <w:p>
      <w:pPr>
        <w:spacing w:line="560" w:lineRule="exact"/>
        <w:jc w:val="center"/>
        <w:rPr>
          <w:rFonts w:ascii="仿宋_GB2312" w:hAnsi="仿宋" w:eastAsia="仿宋_GB2312"/>
          <w:b/>
          <w:color w:val="auto"/>
          <w:highlight w:val="none"/>
        </w:rPr>
      </w:pPr>
    </w:p>
    <w:p>
      <w:pPr>
        <w:rPr>
          <w:rFonts w:ascii="仿宋_GB2312" w:hAnsi="仿宋" w:eastAsia="仿宋_GB2312"/>
          <w:b/>
          <w:color w:val="auto"/>
          <w:highlight w:val="none"/>
        </w:rPr>
      </w:pPr>
    </w:p>
    <w:p>
      <w:pPr>
        <w:rPr>
          <w:rFonts w:ascii="仿宋_GB2312" w:hAnsi="仿宋" w:eastAsia="仿宋_GB2312"/>
          <w:b/>
          <w:color w:val="auto"/>
          <w:highlight w:val="none"/>
        </w:rPr>
      </w:pPr>
      <w:r>
        <w:rPr>
          <w:rFonts w:ascii="仿宋_GB2312" w:hAnsi="仿宋" w:eastAsia="仿宋_GB2312"/>
          <w:b/>
          <w:color w:val="auto"/>
          <w:highlight w:val="none"/>
        </w:rPr>
        <w:br w:type="page"/>
      </w:r>
    </w:p>
    <w:tbl>
      <w:tblPr>
        <w:tblStyle w:val="39"/>
        <w:tblpPr w:leftFromText="180" w:rightFromText="180" w:vertAnchor="text" w:horzAnchor="page" w:tblpX="1764" w:tblpY="5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958"/>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auto"/>
                <w:highlight w:val="none"/>
              </w:rPr>
            </w:pPr>
            <w:r>
              <w:rPr>
                <w:rFonts w:hint="eastAsia" w:ascii="仿宋_GB2312" w:eastAsia="仿宋_GB2312"/>
                <w:color w:val="auto"/>
                <w:highlight w:val="none"/>
              </w:rPr>
              <w:t>评标</w:t>
            </w:r>
          </w:p>
          <w:p>
            <w:pPr>
              <w:adjustRightInd w:val="0"/>
              <w:snapToGrid w:val="0"/>
              <w:jc w:val="center"/>
              <w:rPr>
                <w:rFonts w:ascii="仿宋_GB2312" w:eastAsia="仿宋_GB2312"/>
                <w:color w:val="auto"/>
                <w:highlight w:val="none"/>
              </w:rPr>
            </w:pPr>
            <w:r>
              <w:rPr>
                <w:rFonts w:hint="eastAsia" w:ascii="仿宋_GB2312" w:eastAsia="仿宋_GB2312"/>
                <w:color w:val="auto"/>
                <w:highlight w:val="none"/>
              </w:rPr>
              <w:t>因素</w:t>
            </w:r>
          </w:p>
        </w:tc>
        <w:tc>
          <w:tcPr>
            <w:tcW w:w="562" w:type="pct"/>
            <w:tcBorders>
              <w:top w:val="single" w:color="auto" w:sz="4" w:space="0"/>
              <w:left w:val="single" w:color="auto" w:sz="4" w:space="0"/>
              <w:right w:val="single" w:color="auto" w:sz="4" w:space="0"/>
            </w:tcBorders>
            <w:vAlign w:val="center"/>
          </w:tcPr>
          <w:p>
            <w:pPr>
              <w:adjustRightInd w:val="0"/>
              <w:snapToGrid w:val="0"/>
              <w:jc w:val="center"/>
              <w:rPr>
                <w:rFonts w:ascii="仿宋_GB2312" w:eastAsia="仿宋_GB2312"/>
                <w:color w:val="auto"/>
                <w:highlight w:val="none"/>
              </w:rPr>
            </w:pPr>
            <w:r>
              <w:rPr>
                <w:rFonts w:hint="eastAsia" w:ascii="仿宋_GB2312" w:eastAsia="仿宋_GB2312"/>
                <w:color w:val="auto"/>
                <w:highlight w:val="none"/>
              </w:rPr>
              <w:t>权值%</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auto"/>
                <w:highlight w:val="none"/>
              </w:rPr>
            </w:pPr>
            <w:r>
              <w:rPr>
                <w:rFonts w:hint="eastAsia" w:ascii="仿宋_GB2312" w:eastAsia="仿宋_GB2312"/>
                <w:color w:val="auto"/>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eastAsia="仿宋_GB2312"/>
                <w:color w:val="auto"/>
                <w:highlight w:val="none"/>
              </w:rPr>
              <w:t>价格</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eastAsia="仿宋_GB2312"/>
                <w:color w:val="auto"/>
                <w:highlight w:val="none"/>
              </w:rPr>
              <w:t>10</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满足招标文件要求且投标价格最低的投标报价为评标基准价，其价格分为满分。其他投标人的价格分统一按照下列公式计算：投标报价得分=（评标基准价/投标报价）×价格权值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eastAsia="仿宋_GB2312"/>
                <w:color w:val="auto"/>
                <w:highlight w:val="none"/>
              </w:rPr>
              <w:t>综合博览会服务方案</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eastAsia="仿宋_GB2312"/>
                <w:color w:val="auto"/>
                <w:highlight w:val="none"/>
              </w:rPr>
              <w:t>45</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1、组展招展方案评审（15分）：</w:t>
            </w:r>
          </w:p>
          <w:p>
            <w:pPr>
              <w:adjustRightInd w:val="0"/>
              <w:snapToGrid w:val="0"/>
              <w:spacing w:line="360" w:lineRule="auto"/>
              <w:ind w:firstLine="480" w:firstLineChars="20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zh-CN"/>
              </w:rPr>
              <w:t>组展招展方案贴合展会内容设置和招展要求，工作内容及时限完善科学，专业观众组织方向明确，按其响应程度计0～</w:t>
            </w:r>
            <w:r>
              <w:rPr>
                <w:rFonts w:hint="eastAsia" w:ascii="仿宋_GB2312" w:hAnsi="仿宋_GB2312" w:eastAsia="仿宋_GB2312" w:cs="仿宋_GB2312"/>
                <w:color w:val="auto"/>
                <w:highlight w:val="none"/>
              </w:rPr>
              <w:t>5</w:t>
            </w:r>
            <w:r>
              <w:rPr>
                <w:rFonts w:hint="eastAsia" w:ascii="仿宋_GB2312" w:hAnsi="仿宋_GB2312" w:eastAsia="仿宋_GB2312" w:cs="仿宋_GB2312"/>
                <w:color w:val="auto"/>
                <w:highlight w:val="none"/>
                <w:lang w:val="zh-CN"/>
              </w:rPr>
              <w:t>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1-2、组展招展方案规格层次清晰，可行性、专业性水平高,按其响应程度计0～5分。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1-3、能够提供预招展500强企业名录，企业数量满足或优于招标文件要求数量，且承诺名录内企业到会率，对展会预期效果有量化指标，按其响应程度计0～5分。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2、组展招商渠道评审（10分）：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拥有与本项目涉及题材相关内容（进口商品板块：进口消费品、进口食品及农产品、进口设备及零配件；外贸商品及服务板块：出口商品、跨境电商出口；区域重点产业链板块：创新驱动成果、先进制造业、新兴产业）的组展招商能力。</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2-1、组展招商总渠道数超过10家，且至少覆盖3个板块内容，按其响应程度计8～10分。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2-2、组展招商总渠道数超过8家，且至少覆盖3个板块内容，按其响应程度计4～7分。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2-3、组展招商总渠道数超过5家，且至少覆盖3个板块内容，按其响应程度计1～3分。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2-4、组展招商渠道＜5家或覆盖板块＜3个，计0分。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注：提供评价项目的长期合作协议、渠道合作协议、许可文件等相关证明材料复印件</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3、布展搭建构想方案评审（20分）：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3-1、构想方案需对招标文件阐述内容全面响应，包含但不限于大会整体布展设计、大会整体氛围设计、展区平面图设计等，按其响应完整程度计0～5分。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3-2、构想方案思路清晰、全面，内容充足、安排合理，按其响应完整程度计0～5分。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3-3、构想方案具有前瞻性，满足项目要求的基础上提供更加专业的展区设计，展区规划科学合理，按其响应程度计0～5分。</w:t>
            </w:r>
          </w:p>
          <w:p>
            <w:pPr>
              <w:adjustRightInd w:val="0"/>
              <w:snapToGrid w:val="0"/>
              <w:spacing w:line="360" w:lineRule="auto"/>
              <w:ind w:firstLine="480" w:firstLineChars="20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3-4、设计风格统一、亮点突出、创意新颖，既能体现展会国际性、高规格，又能体现西安元素、人文关怀，按其响应程度计0～5分。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2" w:hRule="atLeast"/>
        </w:trPr>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hAnsi="仿宋_GB2312" w:eastAsia="仿宋_GB2312" w:cs="仿宋_GB2312"/>
                <w:color w:val="auto"/>
                <w:highlight w:val="none"/>
              </w:rPr>
              <w:t>专题展策划组展方案</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eastAsia="仿宋_GB2312"/>
                <w:color w:val="auto"/>
                <w:highlight w:val="none"/>
              </w:rPr>
              <w:t>15</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1、策划组展方案积极响应招标内容要求，策划内容契合主题符合内容要求、活动论坛场次至少3场，计3分。未满足上述基本执行项，计0分；每增加一场活动论坛增加</w:t>
            </w:r>
            <w:r>
              <w:rPr>
                <w:rFonts w:hint="eastAsia" w:ascii="仿宋_GB2312" w:hAnsi="仿宋_GB2312" w:eastAsia="仿宋_GB2312" w:cs="仿宋_GB2312"/>
                <w:color w:val="auto"/>
                <w:highlight w:val="none"/>
                <w:lang w:val="zh-CN"/>
              </w:rPr>
              <w:t>1分，</w:t>
            </w:r>
            <w:r>
              <w:rPr>
                <w:rFonts w:hint="eastAsia" w:ascii="仿宋_GB2312" w:hAnsi="仿宋_GB2312" w:eastAsia="仿宋_GB2312" w:cs="仿宋_GB2312"/>
                <w:color w:val="auto"/>
                <w:highlight w:val="none"/>
              </w:rPr>
              <w:t>满分5</w:t>
            </w:r>
            <w:r>
              <w:rPr>
                <w:rFonts w:hint="eastAsia" w:ascii="仿宋_GB2312" w:hAnsi="仿宋_GB2312" w:eastAsia="仿宋_GB2312" w:cs="仿宋_GB2312"/>
                <w:color w:val="auto"/>
                <w:highlight w:val="none"/>
                <w:lang w:val="zh-CN"/>
              </w:rPr>
              <w:t>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2、专题展平面规划合理、组展面积满足2000平米，参展企业不少于60家，计3分；未满足上述基本执行项，计0分；每增加5家参展企业增加1分，满分5</w:t>
            </w:r>
            <w:r>
              <w:rPr>
                <w:rFonts w:hint="eastAsia" w:ascii="仿宋_GB2312" w:hAnsi="仿宋_GB2312" w:eastAsia="仿宋_GB2312" w:cs="仿宋_GB2312"/>
                <w:color w:val="auto"/>
                <w:highlight w:val="none"/>
                <w:lang w:val="zh-CN"/>
              </w:rPr>
              <w:t>分</w:t>
            </w:r>
            <w:r>
              <w:rPr>
                <w:rFonts w:hint="eastAsia" w:ascii="仿宋_GB2312" w:hAnsi="仿宋_GB2312" w:eastAsia="仿宋_GB2312" w:cs="仿宋_GB2312"/>
                <w:color w:val="auto"/>
                <w:highlight w:val="none"/>
              </w:rPr>
              <w:t>。</w:t>
            </w:r>
          </w:p>
          <w:p>
            <w:pPr>
              <w:adjustRightInd w:val="0"/>
              <w:snapToGrid w:val="0"/>
              <w:spacing w:line="360" w:lineRule="auto"/>
              <w:ind w:firstLine="480" w:firstLineChars="20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3、高峰论坛活动专业观众满足200人、至少邀请2名副部级、企业总部副总级嘉宾，计3分；未满足上述基本执行项，计0分；每增加1名副部级、企业总部副总级嘉宾或增加50名专业观众，增加1分，满分5</w:t>
            </w:r>
            <w:r>
              <w:rPr>
                <w:rFonts w:hint="eastAsia" w:ascii="仿宋_GB2312" w:hAnsi="仿宋_GB2312" w:eastAsia="仿宋_GB2312" w:cs="仿宋_GB2312"/>
                <w:color w:val="auto"/>
                <w:highlight w:val="none"/>
                <w:lang w:val="zh-CN"/>
              </w:rPr>
              <w:t>分</w:t>
            </w:r>
            <w:r>
              <w:rPr>
                <w:rFonts w:hint="eastAsia" w:ascii="仿宋_GB2312" w:hAnsi="仿宋_GB2312" w:eastAsia="仿宋_GB2312" w:cs="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trPr>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仿宋_GB2312"/>
                <w:color w:val="auto"/>
                <w:highlight w:val="none"/>
              </w:rPr>
            </w:pPr>
            <w:r>
              <w:rPr>
                <w:rFonts w:hint="eastAsia" w:eastAsia="仿宋_GB2312"/>
                <w:color w:val="auto"/>
                <w:highlight w:val="none"/>
              </w:rPr>
              <w:t>线上论坛配套博览会方案</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hAnsi="仿宋_GB2312" w:eastAsia="仿宋_GB2312" w:cs="仿宋_GB2312"/>
                <w:color w:val="auto"/>
                <w:highlight w:val="none"/>
              </w:rPr>
              <w:t>15</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1、线上展会系统架构升级，内容涵盖面满足目前市场主流形式，内容涵盖数字沙盘、3D模拟线上展位，线上对接会计3分；未满足上述基本执行项，计0分；每增加一项功能开发，增加1分，满分5</w:t>
            </w:r>
            <w:r>
              <w:rPr>
                <w:rFonts w:hint="eastAsia" w:ascii="仿宋_GB2312" w:hAnsi="仿宋_GB2312" w:eastAsia="仿宋_GB2312" w:cs="仿宋_GB2312"/>
                <w:color w:val="auto"/>
                <w:highlight w:val="none"/>
                <w:lang w:val="zh-CN"/>
              </w:rPr>
              <w:t>分</w:t>
            </w:r>
            <w:r>
              <w:rPr>
                <w:rFonts w:hint="eastAsia" w:ascii="仿宋_GB2312" w:hAnsi="仿宋_GB2312" w:eastAsia="仿宋_GB2312" w:cs="仿宋_GB2312"/>
                <w:color w:val="auto"/>
                <w:highlight w:val="none"/>
              </w:rPr>
              <w:t>。</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2、线上展会引流及运营方案完善，至少具有3个宣传渠道、推广引流、1个线上商贸配对方案，计3分。未满足上述基本执行项，计0分；每增加一项关于引流实施方案，增加1分，满分5</w:t>
            </w:r>
            <w:r>
              <w:rPr>
                <w:rFonts w:hint="eastAsia" w:ascii="仿宋_GB2312" w:hAnsi="仿宋_GB2312" w:eastAsia="仿宋_GB2312" w:cs="仿宋_GB2312"/>
                <w:color w:val="auto"/>
                <w:highlight w:val="none"/>
                <w:lang w:val="zh-CN"/>
              </w:rPr>
              <w:t>分</w:t>
            </w:r>
            <w:r>
              <w:rPr>
                <w:rFonts w:hint="eastAsia" w:ascii="仿宋_GB2312" w:hAnsi="仿宋_GB2312" w:eastAsia="仿宋_GB2312" w:cs="仿宋_GB2312"/>
                <w:color w:val="auto"/>
                <w:highlight w:val="none"/>
              </w:rPr>
              <w:t>。</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3、线上展会年度维护方案，按年度至少满足每月1次系统更新维护升级、1次完整内容更新，计3分。未满足上述基本执行项，计0分；按年度每增加3次系统更新、完整内容更新的，增加1分，满分5</w:t>
            </w:r>
            <w:r>
              <w:rPr>
                <w:rFonts w:hint="eastAsia" w:ascii="仿宋_GB2312" w:hAnsi="仿宋_GB2312" w:eastAsia="仿宋_GB2312" w:cs="仿宋_GB2312"/>
                <w:color w:val="auto"/>
                <w:highlight w:val="none"/>
                <w:lang w:val="zh-CN"/>
              </w:rPr>
              <w:t>分</w:t>
            </w:r>
            <w:r>
              <w:rPr>
                <w:rFonts w:hint="eastAsia" w:ascii="仿宋_GB2312" w:hAnsi="仿宋_GB2312" w:eastAsia="仿宋_GB2312" w:cs="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hAnsi="仿宋_GB2312" w:eastAsia="仿宋_GB2312" w:cs="仿宋_GB2312"/>
                <w:color w:val="auto"/>
                <w:highlight w:val="none"/>
              </w:rPr>
              <w:t>人员配置方案</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hAnsi="仿宋_GB2312" w:eastAsia="仿宋_GB2312" w:cs="仿宋_GB2312"/>
                <w:color w:val="auto"/>
                <w:highlight w:val="none"/>
              </w:rPr>
              <w:t>5</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简要介绍项目团队的专业能力、人员素质、组织协调能力、同类项目经验等，按其响应程度计0～5分。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w:t>
            </w:r>
          </w:p>
          <w:p>
            <w:pPr>
              <w:adjustRightInd w:val="0"/>
              <w:snapToGrid w:val="0"/>
              <w:spacing w:line="360" w:lineRule="auto"/>
              <w:jc w:val="center"/>
              <w:rPr>
                <w:rFonts w:ascii="仿宋_GB2312" w:eastAsia="仿宋_GB2312"/>
                <w:color w:val="auto"/>
                <w:highlight w:val="none"/>
              </w:rPr>
            </w:pPr>
            <w:r>
              <w:rPr>
                <w:rFonts w:hint="eastAsia" w:ascii="仿宋_GB2312" w:hAnsi="仿宋_GB2312" w:eastAsia="仿宋_GB2312" w:cs="仿宋_GB2312"/>
                <w:color w:val="auto"/>
                <w:highlight w:val="none"/>
              </w:rPr>
              <w:t>方案</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hAnsi="仿宋_GB2312" w:eastAsia="仿宋_GB2312" w:cs="仿宋_GB2312"/>
                <w:color w:val="auto"/>
                <w:highlight w:val="none"/>
              </w:rPr>
              <w:t>5</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包含但不限于安全管理方案、疫情防控方案、应急预案。各类方案、预案准备充分，每项方案、预案内容详细、完善，具有可行性，按其响应程度计0～5分。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eastAsia="仿宋_GB2312"/>
                <w:color w:val="auto"/>
                <w:highlight w:val="none"/>
              </w:rPr>
              <w:t>业绩</w:t>
            </w:r>
          </w:p>
        </w:tc>
        <w:tc>
          <w:tcPr>
            <w:tcW w:w="5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hAnsi="仿宋_GB2312" w:eastAsia="仿宋_GB2312" w:cs="仿宋_GB2312"/>
                <w:color w:val="auto"/>
                <w:highlight w:val="none"/>
              </w:rPr>
              <w:t>5</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投标人近三年以来（2019年1月1日至今，以中标（成交）通知书或合同签订时间为准），服务过同类项目业绩，每个业绩计1分，满分5分。</w:t>
            </w:r>
          </w:p>
          <w:p>
            <w:pPr>
              <w:adjustRightInd w:val="0"/>
              <w:snapToGrid w:val="0"/>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注：需提供中标通知书或合同材料复印件。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5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color w:val="auto"/>
                <w:highlight w:val="none"/>
              </w:rPr>
            </w:pPr>
            <w:r>
              <w:rPr>
                <w:rFonts w:hint="eastAsia" w:ascii="仿宋_GB2312" w:eastAsia="仿宋_GB2312"/>
                <w:color w:val="auto"/>
                <w:highlight w:val="none"/>
              </w:rPr>
              <w:t>总分</w:t>
            </w:r>
          </w:p>
        </w:tc>
        <w:tc>
          <w:tcPr>
            <w:tcW w:w="384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eastAsia="仿宋_GB2312"/>
                <w:color w:val="auto"/>
                <w:highlight w:val="none"/>
                <w:lang w:val="zh-CN"/>
              </w:rPr>
            </w:pPr>
            <w:r>
              <w:rPr>
                <w:rFonts w:hint="eastAsia" w:ascii="仿宋_GB2312" w:eastAsia="仿宋_GB2312"/>
                <w:color w:val="auto"/>
                <w:highlight w:val="none"/>
                <w:lang w:val="zh-CN"/>
              </w:rPr>
              <w:t>100分</w:t>
            </w:r>
          </w:p>
        </w:tc>
      </w:tr>
    </w:tbl>
    <w:p>
      <w:pPr>
        <w:spacing w:line="560" w:lineRule="exact"/>
        <w:jc w:val="center"/>
        <w:rPr>
          <w:rFonts w:ascii="仿宋_GB2312" w:hAnsi="仿宋" w:eastAsia="仿宋_GB2312"/>
          <w:b/>
          <w:color w:val="auto"/>
          <w:highlight w:val="none"/>
        </w:rPr>
      </w:pPr>
      <w:r>
        <w:rPr>
          <w:rFonts w:hint="eastAsia" w:ascii="仿宋_GB2312" w:hAnsi="仿宋" w:eastAsia="仿宋_GB2312"/>
          <w:b/>
          <w:color w:val="auto"/>
          <w:highlight w:val="none"/>
        </w:rPr>
        <w:t>〖评审要素及分值一览表〗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4．推荐中标候选人</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（1）采用最低评标价法的，评标结果按投标报价由低到高顺序排列。投标报价相同的并列。投标文件满足招标文件全部实质性要求且投标报价最低的投标人为排名第一的中标候选人。</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5．编写评审报告</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评审报告是评标委员会根据全体评标成员签字的原始评标记录和评标结果编写的报告，其主要内容包括：</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（1）招标公告刊登的媒体名称、开标日期和地点；</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（2）投标供应商名单和评标委员会成员名单；</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（3）评标方法；</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（4）开标记录和评标情况及说明，包括投标无效供应商名单及原因；</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（5）评标结果，确定的中标候选人名单或者经采购人委托直接确定的中标供应商；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（6）其他需要说明的情况，包括评标过程中投标供应商根据评标委员会要求进行的澄清、说明或者补正，评标委员会成员的更换等。</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12"/>
        <w:adjustRightInd w:val="0"/>
        <w:snapToGrid w:val="0"/>
        <w:spacing w:before="0" w:beforeLines="0" w:after="0" w:afterLines="0" w:line="360" w:lineRule="auto"/>
        <w:ind w:firstLine="482"/>
        <w:rPr>
          <w:color w:val="auto"/>
          <w:sz w:val="24"/>
          <w:szCs w:val="24"/>
          <w:highlight w:val="none"/>
        </w:rPr>
      </w:pPr>
      <w:bookmarkStart w:id="52" w:name="_Toc107503690"/>
      <w:r>
        <w:rPr>
          <w:rFonts w:hint="eastAsia"/>
          <w:color w:val="auto"/>
          <w:sz w:val="24"/>
          <w:szCs w:val="24"/>
          <w:highlight w:val="none"/>
        </w:rPr>
        <w:t>（三）评标争议处理规则</w:t>
      </w:r>
      <w:bookmarkEnd w:id="52"/>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12"/>
        <w:adjustRightInd w:val="0"/>
        <w:snapToGrid w:val="0"/>
        <w:spacing w:before="0" w:beforeLines="0" w:after="0" w:afterLines="0" w:line="360" w:lineRule="auto"/>
        <w:ind w:firstLine="482"/>
        <w:rPr>
          <w:color w:val="auto"/>
          <w:sz w:val="24"/>
          <w:szCs w:val="24"/>
          <w:highlight w:val="none"/>
        </w:rPr>
      </w:pPr>
      <w:bookmarkStart w:id="53" w:name="_Toc107503691"/>
      <w:r>
        <w:rPr>
          <w:rFonts w:hint="eastAsia"/>
          <w:color w:val="auto"/>
          <w:sz w:val="24"/>
          <w:szCs w:val="24"/>
          <w:highlight w:val="none"/>
        </w:rPr>
        <w:t>（四）评审现场人员的保密责任</w:t>
      </w:r>
      <w:bookmarkEnd w:id="53"/>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12"/>
        <w:adjustRightInd w:val="0"/>
        <w:snapToGrid w:val="0"/>
        <w:spacing w:before="0" w:beforeLines="0" w:after="0" w:afterLines="0" w:line="360" w:lineRule="auto"/>
        <w:ind w:firstLine="482"/>
        <w:rPr>
          <w:color w:val="auto"/>
          <w:sz w:val="24"/>
          <w:szCs w:val="24"/>
          <w:highlight w:val="none"/>
        </w:rPr>
      </w:pPr>
      <w:bookmarkStart w:id="54" w:name="_Toc107503692"/>
      <w:r>
        <w:rPr>
          <w:rFonts w:hint="eastAsia"/>
          <w:color w:val="auto"/>
          <w:sz w:val="24"/>
          <w:szCs w:val="24"/>
          <w:highlight w:val="none"/>
        </w:rPr>
        <w:t>（五）视同供应商串通投标的情形，其投标无效：</w:t>
      </w:r>
      <w:bookmarkEnd w:id="54"/>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1．不同供应商的投标文件由同一单位或者个人编制；</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2．不同供应商委托同一单位或者个人办理投标事宜；</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3．不同供应商的投标文件载明的项目管理成员或者联系人员为同一人；</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4．不同供应商的投标文件异常一致或者投标报价呈规律性差异。</w:t>
      </w:r>
    </w:p>
    <w:p>
      <w:pPr>
        <w:pStyle w:val="4"/>
        <w:adjustRightInd w:val="0"/>
        <w:snapToGrid w:val="0"/>
        <w:spacing w:line="360" w:lineRule="auto"/>
        <w:ind w:firstLine="480"/>
        <w:rPr>
          <w:rFonts w:ascii="仿宋_GB2312" w:eastAsia="仿宋_GB2312"/>
          <w:color w:val="auto"/>
          <w:sz w:val="24"/>
          <w:szCs w:val="24"/>
          <w:highlight w:val="none"/>
        </w:rPr>
      </w:pPr>
      <w:bookmarkStart w:id="55" w:name="_Toc107503693"/>
      <w:r>
        <w:rPr>
          <w:rFonts w:hint="eastAsia" w:ascii="仿宋_GB2312" w:eastAsia="仿宋_GB2312"/>
          <w:color w:val="auto"/>
          <w:sz w:val="24"/>
          <w:szCs w:val="24"/>
          <w:highlight w:val="none"/>
        </w:rPr>
        <w:t>八、中标</w:t>
      </w:r>
      <w:bookmarkEnd w:id="55"/>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1．采购代理机构在评标工作结束后2个工作日内将评审报告送采购人。</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3．采购代理机构将在中标供应商确定之日起2个工作日内，在【</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47"/>
          <w:rFonts w:hint="eastAsia" w:ascii="仿宋_GB2312" w:hAnsi="仿宋" w:eastAsia="仿宋_GB2312"/>
          <w:color w:val="auto"/>
          <w:highlight w:val="none"/>
          <w:u w:val="none"/>
        </w:rPr>
        <w:t>陕西省政府采购网</w:t>
      </w:r>
      <w:r>
        <w:rPr>
          <w:rStyle w:val="47"/>
          <w:rFonts w:hint="eastAsia" w:ascii="仿宋_GB2312" w:hAnsi="仿宋" w:eastAsia="仿宋_GB2312"/>
          <w:color w:val="auto"/>
          <w:highlight w:val="none"/>
          <w:u w:val="none"/>
        </w:rPr>
        <w:fldChar w:fldCharType="end"/>
      </w:r>
      <w:r>
        <w:rPr>
          <w:rFonts w:hint="eastAsia" w:ascii="仿宋_GB2312" w:hAnsi="仿宋" w:eastAsia="仿宋_GB2312"/>
          <w:color w:val="auto"/>
          <w:highlight w:val="none"/>
        </w:rPr>
        <w:t>】（</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47"/>
          <w:rFonts w:hint="eastAsia" w:ascii="仿宋_GB2312" w:hAnsi="仿宋" w:eastAsia="仿宋_GB2312"/>
          <w:color w:val="auto"/>
          <w:highlight w:val="none"/>
          <w:u w:val="none"/>
        </w:rPr>
        <w:t>http://www.ccgp-shaanxi.gov.cn/</w:t>
      </w:r>
      <w:r>
        <w:rPr>
          <w:rStyle w:val="47"/>
          <w:rFonts w:hint="eastAsia" w:ascii="仿宋_GB2312" w:hAnsi="仿宋" w:eastAsia="仿宋_GB2312"/>
          <w:color w:val="auto"/>
          <w:highlight w:val="none"/>
          <w:u w:val="none"/>
        </w:rPr>
        <w:fldChar w:fldCharType="end"/>
      </w:r>
      <w:r>
        <w:rPr>
          <w:rFonts w:hint="eastAsia" w:ascii="仿宋_GB2312" w:hAnsi="仿宋" w:eastAsia="仿宋_GB2312"/>
          <w:color w:val="auto"/>
          <w:highlight w:val="none"/>
        </w:rPr>
        <w:t>）上公布中标结果。中标公告期限为1个工作日。</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4．在公告中标结果的同时，采购代理机构将向中标供应商发出中标通知书，中标供应商在领取中标通知书时提供一正两副纸质投标文件用于备案。</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6．采购代理机构按照相关规定将评审报告送监管机构备案。</w:t>
      </w:r>
    </w:p>
    <w:p>
      <w:pPr>
        <w:pStyle w:val="4"/>
        <w:adjustRightInd w:val="0"/>
        <w:snapToGrid w:val="0"/>
        <w:spacing w:line="360" w:lineRule="auto"/>
        <w:ind w:firstLine="480"/>
        <w:rPr>
          <w:rFonts w:ascii="仿宋_GB2312" w:eastAsia="仿宋_GB2312"/>
          <w:color w:val="auto"/>
          <w:sz w:val="24"/>
          <w:szCs w:val="24"/>
          <w:highlight w:val="none"/>
        </w:rPr>
      </w:pPr>
      <w:bookmarkStart w:id="56" w:name="_Toc107503694"/>
      <w:r>
        <w:rPr>
          <w:rFonts w:hint="eastAsia" w:ascii="仿宋_GB2312" w:eastAsia="仿宋_GB2312"/>
          <w:color w:val="auto"/>
          <w:sz w:val="24"/>
          <w:szCs w:val="24"/>
          <w:highlight w:val="none"/>
        </w:rPr>
        <w:t>九、合同签订、履行及验收</w:t>
      </w:r>
      <w:bookmarkEnd w:id="56"/>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招标文件、投标文件、澄清、补充合同等为政府采购合同的组成部分，具有同等法律效力。</w:t>
      </w:r>
    </w:p>
    <w:p>
      <w:pPr>
        <w:pStyle w:val="112"/>
        <w:adjustRightInd w:val="0"/>
        <w:snapToGrid w:val="0"/>
        <w:spacing w:before="0" w:beforeLines="0" w:after="0" w:afterLines="0" w:line="360" w:lineRule="auto"/>
        <w:ind w:firstLine="482"/>
        <w:rPr>
          <w:color w:val="auto"/>
          <w:sz w:val="24"/>
          <w:szCs w:val="24"/>
          <w:highlight w:val="none"/>
        </w:rPr>
      </w:pPr>
      <w:bookmarkStart w:id="57" w:name="_Toc107503695"/>
      <w:r>
        <w:rPr>
          <w:rFonts w:hint="eastAsia"/>
          <w:color w:val="auto"/>
          <w:sz w:val="24"/>
          <w:szCs w:val="24"/>
          <w:highlight w:val="none"/>
        </w:rPr>
        <w:t>（一）签订政府采购合同</w:t>
      </w:r>
      <w:bookmarkEnd w:id="57"/>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1．自中标通知书发出之日起30日内，采购人与中标供应商应按招标文件和中标供应商投标文件的约定，签订书面合同。</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2．中标供应商拒绝与采购人签订合同的，采购人可以按照《政府采购法实施条例》第四十九条规定，确定下一候选人为中标供应商，也可以重新开展政府采购活动。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4．质疑或者投诉事项可能影响中标、成交结果的，采购人应当暂停签订合同，已经签订合同的，应当中止履行合同。</w:t>
      </w:r>
    </w:p>
    <w:p>
      <w:pPr>
        <w:pStyle w:val="112"/>
        <w:adjustRightInd w:val="0"/>
        <w:snapToGrid w:val="0"/>
        <w:spacing w:before="0" w:beforeLines="0" w:after="0" w:afterLines="0" w:line="360" w:lineRule="auto"/>
        <w:ind w:firstLine="482"/>
        <w:rPr>
          <w:color w:val="auto"/>
          <w:sz w:val="24"/>
          <w:szCs w:val="24"/>
          <w:highlight w:val="none"/>
        </w:rPr>
      </w:pPr>
      <w:bookmarkStart w:id="58" w:name="_Toc107503696"/>
      <w:r>
        <w:rPr>
          <w:rFonts w:hint="eastAsia"/>
          <w:color w:val="auto"/>
          <w:sz w:val="24"/>
          <w:szCs w:val="24"/>
          <w:highlight w:val="none"/>
        </w:rPr>
        <w:t>（二）合同公告及备案</w:t>
      </w:r>
      <w:bookmarkEnd w:id="58"/>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1．采购人应当自政府采购合同签订之日起2个工作日内，在陕西省政府采购网对合同进行公示，但政府采购合同中涉及国家秘密、商业秘密的内容除外。</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2．采购人应自合同签订之日起7个工作日内将政府采购合同报送监管机构备案。</w:t>
      </w:r>
    </w:p>
    <w:p>
      <w:pPr>
        <w:pStyle w:val="112"/>
        <w:adjustRightInd w:val="0"/>
        <w:snapToGrid w:val="0"/>
        <w:spacing w:before="0" w:beforeLines="0" w:after="0" w:afterLines="0" w:line="360" w:lineRule="auto"/>
        <w:ind w:firstLine="482"/>
        <w:rPr>
          <w:color w:val="auto"/>
          <w:sz w:val="24"/>
          <w:szCs w:val="24"/>
          <w:highlight w:val="none"/>
        </w:rPr>
      </w:pPr>
      <w:bookmarkStart w:id="59" w:name="_Toc107503697"/>
      <w:r>
        <w:rPr>
          <w:rFonts w:hint="eastAsia"/>
          <w:color w:val="auto"/>
          <w:sz w:val="24"/>
          <w:szCs w:val="24"/>
          <w:highlight w:val="none"/>
        </w:rPr>
        <w:t>（三）履行合同</w:t>
      </w:r>
      <w:bookmarkEnd w:id="59"/>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1．合同一经签订，双方应严格履行合同规定的义务。</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2．在合同履行过程中，如发生合同纠纷，合同双方应按照《中华人民共和国民法典》及合同条款的有关规定进行处理。</w:t>
      </w:r>
    </w:p>
    <w:p>
      <w:pPr>
        <w:pStyle w:val="112"/>
        <w:adjustRightInd w:val="0"/>
        <w:snapToGrid w:val="0"/>
        <w:spacing w:before="0" w:beforeLines="0" w:after="0" w:afterLines="0" w:line="360" w:lineRule="auto"/>
        <w:ind w:firstLine="482"/>
        <w:rPr>
          <w:color w:val="auto"/>
          <w:sz w:val="24"/>
          <w:szCs w:val="24"/>
          <w:highlight w:val="none"/>
        </w:rPr>
      </w:pPr>
      <w:bookmarkStart w:id="60" w:name="_Toc107503698"/>
      <w:r>
        <w:rPr>
          <w:rFonts w:hint="eastAsia"/>
          <w:color w:val="auto"/>
          <w:sz w:val="24"/>
          <w:szCs w:val="24"/>
          <w:highlight w:val="none"/>
        </w:rPr>
        <w:t>（四）验收或考核</w:t>
      </w:r>
      <w:bookmarkEnd w:id="60"/>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1．采购人严格按照国家相关法律法规的要求及招标文件的要求组织验收或考核。</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2．采购人按《关于促进政府采购公平竞争优化营商环境的通知》（财库〔2019〕38号）、《保障中小企业款项支付条例》（国务院令第728号）等规定及采购合同的约定进行支付合同款项。</w:t>
      </w:r>
    </w:p>
    <w:p>
      <w:pPr>
        <w:pStyle w:val="4"/>
        <w:adjustRightInd w:val="0"/>
        <w:snapToGrid w:val="0"/>
        <w:spacing w:line="360" w:lineRule="auto"/>
        <w:ind w:firstLine="480"/>
        <w:rPr>
          <w:rFonts w:ascii="仿宋_GB2312" w:eastAsia="仿宋_GB2312"/>
          <w:color w:val="auto"/>
          <w:sz w:val="24"/>
          <w:szCs w:val="24"/>
          <w:highlight w:val="none"/>
        </w:rPr>
      </w:pPr>
      <w:bookmarkStart w:id="61" w:name="_Toc107503699"/>
      <w:r>
        <w:rPr>
          <w:rFonts w:hint="eastAsia" w:ascii="仿宋_GB2312" w:eastAsia="仿宋_GB2312"/>
          <w:color w:val="auto"/>
          <w:sz w:val="24"/>
          <w:szCs w:val="24"/>
          <w:highlight w:val="none"/>
        </w:rPr>
        <w:t>十、废标及重新招标</w:t>
      </w:r>
      <w:bookmarkEnd w:id="61"/>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2．根据《政府采购法》第三十六条规定，在招标采购中，出现下列情形之一的，本项目按废标处理：</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（1）出现影响采购公正的违法、违规行为的；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（2）供应商的报价均超过了采购预算，采购人不能支付的；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（3）因重大变故，采购任务取消的。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废标后，除采购任务取消外，本项目将重新组织招标。</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4．招标文件未明确的其他事项，按《政府采购法》及其相关法律法规执行。</w:t>
      </w:r>
    </w:p>
    <w:p>
      <w:pPr>
        <w:adjustRightInd w:val="0"/>
        <w:snapToGrid w:val="0"/>
        <w:spacing w:line="360" w:lineRule="auto"/>
        <w:rPr>
          <w:rFonts w:ascii="仿宋_GB2312" w:hAnsi="仿宋" w:eastAsia="仿宋_GB2312"/>
          <w:color w:val="auto"/>
          <w:highlight w:val="none"/>
        </w:rPr>
      </w:pPr>
      <w:bookmarkStart w:id="62" w:name="_Toc100219614"/>
      <w:r>
        <w:rPr>
          <w:rFonts w:hint="eastAsia" w:ascii="仿宋_GB2312" w:eastAsia="仿宋_GB2312"/>
          <w:color w:val="auto"/>
          <w:highlight w:val="none"/>
        </w:rPr>
        <w:br w:type="page"/>
      </w:r>
    </w:p>
    <w:p>
      <w:pPr>
        <w:pStyle w:val="3"/>
        <w:numPr>
          <w:ilvl w:val="0"/>
          <w:numId w:val="3"/>
        </w:numPr>
        <w:rPr>
          <w:rFonts w:ascii="仿宋_GB2312" w:eastAsia="仿宋_GB2312"/>
          <w:b/>
          <w:color w:val="auto"/>
          <w:sz w:val="24"/>
          <w:szCs w:val="24"/>
          <w:highlight w:val="none"/>
        </w:rPr>
      </w:pPr>
      <w:r>
        <w:rPr>
          <w:rFonts w:hint="eastAsia" w:ascii="仿宋_GB2312" w:eastAsia="仿宋_GB2312"/>
          <w:b/>
          <w:color w:val="auto"/>
          <w:sz w:val="24"/>
          <w:szCs w:val="24"/>
          <w:highlight w:val="none"/>
        </w:rPr>
        <w:t xml:space="preserve"> </w:t>
      </w:r>
      <w:bookmarkStart w:id="63" w:name="_Toc107503700"/>
      <w:r>
        <w:rPr>
          <w:rFonts w:hint="eastAsia" w:ascii="仿宋_GB2312" w:eastAsia="仿宋_GB2312"/>
          <w:b/>
          <w:color w:val="auto"/>
          <w:sz w:val="24"/>
          <w:szCs w:val="24"/>
          <w:highlight w:val="none"/>
        </w:rPr>
        <w:t>招标内容及要求</w:t>
      </w:r>
      <w:bookmarkEnd w:id="62"/>
      <w:bookmarkEnd w:id="63"/>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一、项目概况</w:t>
      </w:r>
    </w:p>
    <w:p>
      <w:pPr>
        <w:adjustRightInd w:val="0"/>
        <w:snapToGrid w:val="0"/>
        <w:spacing w:line="360" w:lineRule="auto"/>
        <w:ind w:firstLine="480" w:firstLineChars="200"/>
        <w:jc w:val="both"/>
        <w:rPr>
          <w:rFonts w:ascii="仿宋_GB2312" w:hAnsi="仿宋" w:eastAsia="仿宋_GB2312"/>
          <w:bCs/>
          <w:color w:val="auto"/>
          <w:highlight w:val="none"/>
        </w:rPr>
      </w:pPr>
      <w:bookmarkStart w:id="64" w:name="_Toc100219615"/>
      <w:r>
        <w:rPr>
          <w:rFonts w:hint="eastAsia" w:ascii="仿宋_GB2312" w:hAnsi="仿宋" w:eastAsia="仿宋_GB2312"/>
          <w:bCs/>
          <w:color w:val="auto"/>
          <w:highlight w:val="none"/>
        </w:rPr>
        <w:t>欧亚经济论坛经贸合作博览会暨中国(陕西)进出口商品展2022年系列活动是欧亚经济论坛框架下的配套博览会，围绕国家中心城市建设，深度融合进博会等国家级展会的优质资源，主要面向欧亚经济论坛相关国家、长三角沿海地区等及陕西本土的进出口、重点产业相关的机构组织、商会企业等组展招展。</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综合博览会拟于</w:t>
      </w:r>
      <w:r>
        <w:rPr>
          <w:rFonts w:hint="eastAsia" w:ascii="仿宋_GB2312" w:hAnsi="仿宋" w:eastAsia="仿宋_GB2312"/>
          <w:bCs/>
          <w:color w:val="auto"/>
          <w:highlight w:val="none"/>
        </w:rPr>
        <w:t>11月</w:t>
      </w:r>
      <w:r>
        <w:rPr>
          <w:rFonts w:hint="eastAsia" w:ascii="仿宋_GB2312" w:hAnsi="仿宋" w:eastAsia="仿宋_GB2312"/>
          <w:bCs/>
          <w:color w:val="auto"/>
          <w:highlight w:val="none"/>
        </w:rPr>
        <w:t>举办，展期4天，拟使用西安国际会展中心1、2号展馆，约3.2万平方米展览面积(考虑到疫情变化的不确定性，将按照欧亚经济论坛秘书处统一要求适时调整举办形式、规模等)；专业展会拟于8月至12月适时举办，单场展会展期3天，展览面积不低于2千平方米。</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二、服务要求</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综合博览会组展招展方面应达到500强及行业龙头企业不少于50家，国外品牌参展商比例不低于30%，专业观众不少于2000人；参展品在本行业内处于先进领域，并积极推动展会达成合作意向或成交意向的要求（根据疫情形势可做合理调整）；现场特装搭建率不低于95%。</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2、专业展会举办场次2场，单场参展企业数量不少于60家，其中省外境外企业参展比例不少于40%；单场展会活动展览面积不小于2000平方米；单场展会活动副部级、企业总部副总级以上贵宾不少于2人；展位特装率不低于40%；单场展会观众不少于200人。</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3、线上论坛配套博览会应达到全网线上观展人次8万以上；页面点击量30万以上；点赞量5万以上；三维全景展示企业不少于20家；商贸配对沟通不少于100次。</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三、服务内容</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欧亚经济论坛经贸合作博览会暨中国(陕西)进出口商品展2022年系列活动持续引进进博会优质资源,结合陕西产业特色，由综合博览会、专业展会活动和线上论坛配套博览会三部分组成。</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1、综合博览会</w:t>
      </w:r>
    </w:p>
    <w:p>
      <w:pPr>
        <w:adjustRightInd w:val="0"/>
        <w:snapToGrid w:val="0"/>
        <w:spacing w:line="360" w:lineRule="auto"/>
        <w:ind w:firstLine="480" w:firstLineChars="200"/>
        <w:jc w:val="both"/>
        <w:rPr>
          <w:rFonts w:ascii="仿宋_GB2312" w:hAnsi="仿宋" w:eastAsia="仿宋_GB2312"/>
          <w:bCs/>
          <w:color w:val="auto"/>
          <w:highlight w:val="none"/>
        </w:rPr>
      </w:pPr>
      <w:bookmarkStart w:id="65" w:name="OLE_LINK20"/>
      <w:bookmarkStart w:id="66" w:name="OLE_LINK19"/>
      <w:r>
        <w:rPr>
          <w:rFonts w:hint="eastAsia" w:ascii="仿宋_GB2312" w:hAnsi="仿宋" w:eastAsia="仿宋_GB2312"/>
          <w:bCs/>
          <w:color w:val="auto"/>
          <w:highlight w:val="none"/>
        </w:rPr>
        <w:t>综合博览会设进口商品、外贸商品及服务和区域重点产业三大展览板块。继续开展“进博展商走进陕西”，通过引入长三角等沿海地区，以国外市场为主要销售场所的外向型企业和海外经贸资源和</w:t>
      </w:r>
      <w:bookmarkStart w:id="67" w:name="_Hlk106023087"/>
      <w:r>
        <w:rPr>
          <w:rFonts w:hint="eastAsia" w:ascii="仿宋_GB2312" w:hAnsi="仿宋" w:eastAsia="仿宋_GB2312"/>
          <w:bCs/>
          <w:color w:val="auto"/>
          <w:highlight w:val="none"/>
        </w:rPr>
        <w:t>以本土销售为主的内向型机构和企业</w:t>
      </w:r>
      <w:bookmarkEnd w:id="67"/>
      <w:r>
        <w:rPr>
          <w:rFonts w:hint="eastAsia" w:ascii="仿宋_GB2312" w:hAnsi="仿宋" w:eastAsia="仿宋_GB2312"/>
          <w:bCs/>
          <w:color w:val="auto"/>
          <w:highlight w:val="none"/>
        </w:rPr>
        <w:t>，促进海内外交流互动。</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（1）进口商品板块</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进口商品板块包含进口消费品展区、进口设备及零配件展区、进口食品及农产品展区。</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1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①</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进口消费品展区:主要展示进博会优质护理及彩妆、日化用品、家电及消费电子、时尚服装及配饰、体育用品等。</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2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②</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进口设备及零配件展区：重点展示机电产品、集成电路、自动数据处理设备及其零部件等。</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3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③</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进口食品及农产品展区：主要展示进博会优质食品、粮油调味、农产品等。</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（2）外贸商品及服务板块</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外贸商品及服务板块包含出口商品展区和跨境电商展区，主要邀请陕西本土和长三角地区优秀外贸企业参展。</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1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①</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出口商品展区：以外贸出口型企业为主，涵盖东西部地区各产业链，主要展示日用电器、果蔬提取物、工艺品、加工食品、地方特产等外贸出口精品。</w:t>
      </w:r>
    </w:p>
    <w:p>
      <w:pPr>
        <w:adjustRightInd w:val="0"/>
        <w:snapToGrid w:val="0"/>
        <w:spacing w:line="360" w:lineRule="auto"/>
        <w:ind w:firstLine="480" w:firstLineChars="200"/>
        <w:jc w:val="both"/>
        <w:rPr>
          <w:rFonts w:ascii="仿宋_GB2312" w:hAnsi="仿宋" w:eastAsia="仿宋_GB2312"/>
          <w:bCs/>
          <w:color w:val="auto"/>
          <w:highlight w:val="none"/>
        </w:rPr>
      </w:pPr>
      <w:bookmarkStart w:id="68" w:name="OLE_LINK1"/>
      <w:bookmarkStart w:id="69" w:name="OLE_LINK8"/>
      <w:bookmarkStart w:id="70" w:name="OLE_LINK7"/>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2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②</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跨境电商出口展区</w:t>
      </w:r>
      <w:bookmarkEnd w:id="68"/>
      <w:r>
        <w:rPr>
          <w:rFonts w:hint="eastAsia" w:ascii="仿宋_GB2312" w:hAnsi="仿宋" w:eastAsia="仿宋_GB2312"/>
          <w:bCs/>
          <w:color w:val="auto"/>
          <w:highlight w:val="none"/>
        </w:rPr>
        <w:t>：</w:t>
      </w:r>
      <w:bookmarkEnd w:id="69"/>
      <w:bookmarkEnd w:id="70"/>
      <w:r>
        <w:rPr>
          <w:rFonts w:hint="eastAsia" w:ascii="仿宋_GB2312" w:hAnsi="仿宋" w:eastAsia="仿宋_GB2312"/>
          <w:bCs/>
          <w:color w:val="auto"/>
          <w:highlight w:val="none"/>
        </w:rPr>
        <w:t>分为跨境电商选品企业区和服务商展区，主要展示选品企业、跨境电商综试区、重点园区、国际供应链、海外仓储、跨境电商代运营等基础服务商和相关跨境电商选品。</w:t>
      </w:r>
      <w:bookmarkStart w:id="71" w:name="OLE_LINK15"/>
      <w:bookmarkStart w:id="72" w:name="OLE_LINK14"/>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（3）区域重点产业板块</w:t>
      </w:r>
      <w:bookmarkEnd w:id="71"/>
      <w:bookmarkEnd w:id="72"/>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聚焦“西部经济强市”建设，通过区域重点产业板块加快建立链式发展、链式创新、链式招商、链式服务新机制，促进产业链“强链、补链、延链”。区域重点产业板块包含创新驱动成果展区、先进制造业展区和新兴产业展区。</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1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①</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创新驱动成果展区:以秦创原创新驱动平台为引领，围绕推进科技创新成果与产业发展紧密对接，重点展示展示创新平台、人工智能、电子信息、5G技术、高端装备等。</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2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②</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先进制造业展区：重点展示先进制造业方面的重点企业和合作项目，包含品牌汽车、通航产业、汽车零部件、新能源产品及技术、智能网联等。</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3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③</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新兴产业展区：重要展示光伏、原材料加工、新材料等产业领域的重点企业和合作项目。</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（4）配套活动部分</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1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①</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专业研讨活动。策划组织1-2场专业研讨活动，主要探讨后疫情时期经济合作机遇与挑战；西安未来经贸合作、改革创新、转型升级；海外营商情况等。</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2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②</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经贸对接会。每天召开1场经贸对接会，定向邀约有实际采购需求的采购商，采取进博会对接会的组织形式，精准配对参展商，开展现场洽谈。</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fldChar w:fldCharType="begin"/>
      </w:r>
      <w:r>
        <w:rPr>
          <w:rFonts w:hint="eastAsia" w:ascii="仿宋_GB2312" w:hAnsi="仿宋" w:eastAsia="仿宋_GB2312"/>
          <w:bCs/>
          <w:color w:val="auto"/>
          <w:highlight w:val="none"/>
        </w:rPr>
        <w:instrText xml:space="preserve"> = 3 \* GB3 </w:instrText>
      </w:r>
      <w:r>
        <w:rPr>
          <w:rFonts w:hint="eastAsia" w:ascii="仿宋_GB2312" w:hAnsi="仿宋" w:eastAsia="仿宋_GB2312"/>
          <w:bCs/>
          <w:color w:val="auto"/>
          <w:highlight w:val="none"/>
        </w:rPr>
        <w:fldChar w:fldCharType="separate"/>
      </w:r>
      <w:r>
        <w:rPr>
          <w:rFonts w:hint="eastAsia" w:ascii="仿宋_GB2312" w:hAnsi="仿宋" w:eastAsia="仿宋_GB2312"/>
          <w:bCs/>
          <w:color w:val="auto"/>
          <w:highlight w:val="none"/>
        </w:rPr>
        <w:t>③</w:t>
      </w:r>
      <w:r>
        <w:rPr>
          <w:rFonts w:hint="eastAsia" w:ascii="仿宋_GB2312" w:hAnsi="仿宋" w:eastAsia="仿宋_GB2312"/>
          <w:bCs/>
          <w:color w:val="auto"/>
          <w:highlight w:val="none"/>
        </w:rPr>
        <w:fldChar w:fldCharType="end"/>
      </w:r>
      <w:r>
        <w:rPr>
          <w:rFonts w:hint="eastAsia" w:ascii="仿宋_GB2312" w:hAnsi="仿宋" w:eastAsia="仿宋_GB2312"/>
          <w:bCs/>
          <w:color w:val="auto"/>
          <w:highlight w:val="none"/>
        </w:rPr>
        <w:t>产品推介会。每天召开1场产品推介会，定向邀请陕西省各地市优质企业，针对其特色业务及产品，进行现场宣讲活动，实现品牌推广，促进合作转化及出口转内销。</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④直播营销活动。每天召开1-2场直播营销活动，与行业头部直播平台合作，进行原创视频拍摄、话题预热；开展现场直播带货，品牌联动传播。</w:t>
      </w:r>
    </w:p>
    <w:bookmarkEnd w:id="65"/>
    <w:bookmarkEnd w:id="66"/>
    <w:p>
      <w:pPr>
        <w:adjustRightInd w:val="0"/>
        <w:snapToGrid w:val="0"/>
        <w:spacing w:line="360" w:lineRule="auto"/>
        <w:ind w:firstLine="480" w:firstLineChars="200"/>
        <w:jc w:val="both"/>
        <w:rPr>
          <w:rFonts w:ascii="仿宋_GB2312" w:hAnsi="仿宋" w:eastAsia="仿宋_GB2312"/>
          <w:bCs/>
          <w:color w:val="auto"/>
          <w:highlight w:val="none"/>
        </w:rPr>
      </w:pPr>
      <w:bookmarkStart w:id="73" w:name="OLE_LINK5"/>
      <w:bookmarkStart w:id="74" w:name="OLE_LINK6"/>
      <w:r>
        <w:rPr>
          <w:rFonts w:hint="eastAsia" w:ascii="仿宋_GB2312" w:hAnsi="仿宋" w:eastAsia="仿宋_GB2312"/>
          <w:bCs/>
          <w:color w:val="auto"/>
          <w:highlight w:val="none"/>
        </w:rPr>
        <w:t>2、专业展会活动</w:t>
      </w:r>
    </w:p>
    <w:bookmarkEnd w:id="73"/>
    <w:bookmarkEnd w:id="74"/>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8月至12月适时举办跨境电商专业展会和中国碳中和产业发展专业展会，定向邀请政府部门、协会机构、知名企业、科研院校等单位，助力西安加快国家中心城市建设，全面提升产业核心竞争力。</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（1）跨境电商专业展会</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围绕跨境电商运营和贸易服务，邀请全国及全省跨境电商主管部门、行业协会、高校专家、头部品牌、知名媒体等参与，设立跨境电商选品展区、跨境电商服务商展区、跨境电商平台展区、跨境电商特色展区和跨境电商进口专区等内容，共同推动中欧班列+跨境电商出口的深度融合,打造一条西安跨境电商出口特色之路，促进营商环境达到国际一流水平。</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（2）中国碳中和产业发展专业展会</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为积极践行国家战略，深入实施能源消耗总量和强度双控行动，推进碳排放权市场化交易，提升我省在“碳达峰碳中和”专业领域的影响力，拟设置碳达峰碳中和规划示范区专区、碳达峰碳中和产学研专区、碳达峰碳中和能源展区、碳达峰碳中和绿色生态城市建设展区等展区，同期举办配套经贸对接会，促成交易及签约，达成合作协议，实现交易，促进陕西省经济发展。</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3、线上论坛配套博览会</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在疫情防控常态化形势下，论坛配套博览会将持续建设线上展会，</w:t>
      </w:r>
      <w:r>
        <w:rPr>
          <w:rFonts w:hint="eastAsia" w:ascii="仿宋_GB2312" w:hAnsi="仿宋" w:eastAsia="仿宋_GB2312"/>
          <w:bCs/>
          <w:color w:val="auto"/>
          <w:highlight w:val="none"/>
        </w:rPr>
        <w:t>在原有基础上（相关技术参数说明见附件3）</w:t>
      </w:r>
      <w:r>
        <w:rPr>
          <w:rFonts w:hint="eastAsia" w:ascii="仿宋_GB2312" w:hAnsi="仿宋" w:eastAsia="仿宋_GB2312"/>
          <w:bCs/>
          <w:color w:val="auto"/>
          <w:highlight w:val="none"/>
        </w:rPr>
        <w:t>进行五大数字化升级，贯通“展、会、洽、贸、服”五大核心场景。一是巡馆升级，打造云上序厅，定制线路线上巡馆；二是展示升级，通过虚拟空间定制，实现3D实景、视频、图文等多种展厅展示方式；三是直播升级，实时直播同期会议论坛，开设直播间进行直播带货或技术交流等活动；四是交易升级，支持展商观众名片互换，预约视频洽谈，实现专场专洽，多端音视频通话；五是交互升级，支持观众预登记、活动报名预约、凭码入场等功能，实现“双线展会”的一体化联动格局。线上论坛配套博览会运维期限为期一年。</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四、展会组织模式</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欧亚经济论坛秘书处通过公开招标的方式寻求1家会展企业总体负责博览会的执行工作。秘书处作为配套博览会的组织单位，对组展、布展、撤展全程监督落实。中标企业作为配套博览会的执行单位，总体负责配套博览会组展招商、布展搭建、信息统计、会务服务等全流程展会筹备及实施等工作，对展会整体安全生产、疫情防控负责，并提前做好相关预案报备。</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五、其他要求</w:t>
      </w:r>
    </w:p>
    <w:p>
      <w:pPr>
        <w:adjustRightInd w:val="0"/>
        <w:snapToGrid w:val="0"/>
        <w:spacing w:line="360" w:lineRule="auto"/>
        <w:ind w:firstLine="480" w:firstLineChars="200"/>
        <w:jc w:val="both"/>
        <w:rPr>
          <w:rFonts w:ascii="仿宋_GB2312" w:hAnsi="仿宋" w:eastAsia="仿宋_GB2312"/>
          <w:bCs/>
          <w:color w:val="auto"/>
          <w:highlight w:val="none"/>
        </w:rPr>
      </w:pPr>
      <w:bookmarkStart w:id="75" w:name="_Toc69114730"/>
      <w:r>
        <w:rPr>
          <w:rFonts w:hint="eastAsia" w:ascii="仿宋_GB2312" w:hAnsi="仿宋" w:eastAsia="仿宋_GB2312"/>
          <w:bCs/>
          <w:color w:val="auto"/>
          <w:highlight w:val="none"/>
        </w:rPr>
        <w:t>组展招展方面：中标企业是配套博览会组展招展主体，可根据自身组展资源情况在配套博览会“内容设置”的范围内组织实施，负责组展招展必须达到综合博览会的国外参展商比例不低于30%，500强及行业龙头企业不少于50家，专业观众不少于2000人，参展品在本行业内处于先进领域，并积极推动展会达成合作意向或成交意向的要求；专业展会单场参展企业数量不少于60家，其中省外境外企业参展比例不少于40%，单场展会活动副部级、企业总部副总级以上贵宾不少于2人，单场展会观众不少于200人。</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布展搭建方面：配套博览会布展搭建实行“统一风格、突出亮点”原则。欧亚经济论坛秘书处负责协助中标企业协调相关配合单位，负责审核中标企业上报的展会执行方案、布展设计方案等资料，负责督促中标公司落实安全生产责任，监督综合博览会及专业展会的展区执行落实。中标企业必须服从秘书处的工作安排，负责统一设计展会搭建风格，经秘书处审核批准后组织实施，负责展会现场搭建执行，综合博览会特装率不低于95%，专业展会展位特装率不低于40%；负责统筹协调布展、撤展工作，对展会整体安全生产、疫情防控负责，并提前做好相关预案报秘书处备案，负责配套博览会所需经费的市场运营。</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线上论坛方面：中标企业负责搭建线上论坛并做好日常维护运营，在项目结束后按照线上论坛设计方案预期要求交付欧亚经济论坛秘书处使用。线上论坛配套博览会须达到全网线上观展人次8万以上；页面点击量30万以上；点赞量5万以上；三维全景展示企业不少于20家；商贸配对沟通不少于100次。</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疫情防控方面：中标企业应充分考虑并准备好疫情防控要求，承担因疫情防控及其他不可抗力所产生的风险。配套博览会严格执行各级政府对疫情防控的相关要求，如需要取消配套博览会则项目立刻终止，已确认需支付的费用继续完成支付手续，其他费用不再支付并且不与任何补偿。</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六、商务要求</w:t>
      </w:r>
      <w:bookmarkEnd w:id="75"/>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1、服务期限：一年</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2、项目进度要求</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2.1、投标时需提供项目整体执行计划方案，包括综合博览会、2个专业展会的组展招商实施计划及进度时限安排、专业观众组织计划及进度时限安排、设计布展实施计划及进度时限安排、宣传推广组织计划及进度时限安排；线上论坛配套博览会的实施计划方案、进度时限安排。</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2.2中标人每周需向采购方提供项目实施进度情况报告，每月月底采购方按照投标文件响应的项目实施进度及服务合同</w:t>
      </w:r>
      <w:r>
        <w:rPr>
          <w:rFonts w:hint="eastAsia" w:ascii="仿宋_GB2312" w:hAnsi="仿宋" w:eastAsia="仿宋_GB2312"/>
          <w:bCs/>
          <w:color w:val="auto"/>
          <w:highlight w:val="none"/>
          <w:lang w:eastAsia="zh-CN"/>
        </w:rPr>
        <w:t>，</w:t>
      </w:r>
      <w:r>
        <w:rPr>
          <w:rFonts w:hint="eastAsia" w:ascii="仿宋_GB2312" w:hAnsi="仿宋" w:eastAsia="仿宋_GB2312"/>
          <w:bCs/>
          <w:color w:val="auto"/>
          <w:highlight w:val="none"/>
        </w:rPr>
        <w:t>对项目实施进度情况进行进度考核。</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3、款项结算：</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3.1、签订合同后，一个月内预付中标价格（合同总价）的40%开展工作。</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3.2、中标人成功举办一场专业展会、完成线上论坛配套博览会的功能升级，且综合博览会完成采购方认可的预招展500强及行业龙头企业名单完成招商招展40家，完成整体招商招展总量90%，国外参展商比例达到20%，完成专业观众邀请1000人以上，完成综合博览会布展搭建设计方案，进度考核平均分95分以上，可申请支付中标价格的35%，经采购方确认后安排支付。</w:t>
      </w:r>
    </w:p>
    <w:p>
      <w:pPr>
        <w:widowControl w:val="0"/>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3.3、项目结束后，采购方对项目整体完成情况组织验收考核，并根据验收考核结果支付中标价格剩余的25%款项（验收考核分为90分（含90分）以上，支付剩余价款；验收考核分为85分（含85分）以上90分以下，支付剩余价款的90%；验收考核分为80分（含80分）以上85分以下，支付剩余价款的80%；验收考核分在80分以下，采购人有权拒绝支付剩余价款）。</w:t>
      </w:r>
    </w:p>
    <w:p>
      <w:pPr>
        <w:adjustRightInd w:val="0"/>
        <w:snapToGrid w:val="0"/>
        <w:spacing w:line="360" w:lineRule="auto"/>
        <w:ind w:firstLine="480" w:firstLineChars="200"/>
        <w:jc w:val="both"/>
        <w:rPr>
          <w:rFonts w:ascii="仿宋_GB2312" w:eastAsia="仿宋_GB2312"/>
          <w:bCs/>
          <w:color w:val="auto"/>
          <w:highlight w:val="none"/>
        </w:rPr>
      </w:pPr>
      <w:r>
        <w:rPr>
          <w:rFonts w:hint="eastAsia" w:ascii="仿宋_GB2312" w:eastAsia="仿宋_GB2312"/>
          <w:bCs/>
          <w:color w:val="auto"/>
          <w:highlight w:val="none"/>
        </w:rPr>
        <w:br w:type="page"/>
      </w:r>
    </w:p>
    <w:p>
      <w:pPr>
        <w:adjustRightInd w:val="0"/>
        <w:snapToGrid w:val="0"/>
        <w:spacing w:line="360" w:lineRule="auto"/>
        <w:ind w:firstLine="480" w:firstLineChars="200"/>
        <w:jc w:val="both"/>
        <w:rPr>
          <w:rFonts w:hint="eastAsia" w:ascii="仿宋_GB2312" w:hAnsi="仿宋" w:eastAsia="仿宋_GB2312"/>
          <w:b/>
          <w:bCs w:val="0"/>
          <w:color w:val="auto"/>
          <w:highlight w:val="none"/>
          <w:lang w:eastAsia="zh-CN"/>
        </w:rPr>
      </w:pPr>
      <w:r>
        <w:rPr>
          <w:rFonts w:hint="eastAsia" w:ascii="仿宋_GB2312" w:hAnsi="仿宋" w:eastAsia="仿宋_GB2312"/>
          <w:b/>
          <w:bCs w:val="0"/>
          <w:color w:val="auto"/>
          <w:highlight w:val="none"/>
        </w:rPr>
        <w:t>附件1：</w:t>
      </w:r>
      <w:r>
        <w:rPr>
          <w:rFonts w:hint="eastAsia" w:ascii="仿宋_GB2312" w:hAnsi="仿宋" w:eastAsia="仿宋_GB2312"/>
          <w:b/>
          <w:bCs w:val="0"/>
          <w:color w:val="auto"/>
          <w:highlight w:val="none"/>
        </w:rPr>
        <w:t>项目每月进度完成情况考核表</w:t>
      </w:r>
      <w:r>
        <w:rPr>
          <w:rFonts w:hint="eastAsia" w:ascii="仿宋_GB2312" w:hAnsi="仿宋" w:eastAsia="仿宋_GB2312"/>
          <w:b/>
          <w:bCs w:val="0"/>
          <w:color w:val="auto"/>
          <w:highlight w:val="none"/>
          <w:lang w:eastAsia="zh-CN"/>
        </w:rPr>
        <w:t>（</w:t>
      </w:r>
      <w:r>
        <w:rPr>
          <w:rFonts w:hint="eastAsia" w:ascii="仿宋_GB2312" w:hAnsi="仿宋" w:eastAsia="仿宋_GB2312"/>
          <w:b/>
          <w:bCs w:val="0"/>
          <w:color w:val="auto"/>
          <w:highlight w:val="none"/>
          <w:lang w:val="en-US" w:eastAsia="zh-CN"/>
        </w:rPr>
        <w:t>最终解释权归采购人所有</w:t>
      </w:r>
      <w:r>
        <w:rPr>
          <w:rFonts w:hint="eastAsia" w:ascii="仿宋_GB2312" w:hAnsi="仿宋" w:eastAsia="仿宋_GB2312"/>
          <w:b/>
          <w:bCs w:val="0"/>
          <w:color w:val="auto"/>
          <w:highlight w:val="none"/>
          <w:lang w:eastAsia="zh-CN"/>
        </w:rPr>
        <w:t>）</w:t>
      </w:r>
    </w:p>
    <w:tbl>
      <w:tblPr>
        <w:tblStyle w:val="39"/>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6043"/>
        <w:gridCol w:w="786"/>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考核</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项目</w:t>
            </w:r>
          </w:p>
        </w:tc>
        <w:tc>
          <w:tcPr>
            <w:tcW w:w="6043"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考核标准</w:t>
            </w:r>
          </w:p>
        </w:tc>
        <w:tc>
          <w:tcPr>
            <w:tcW w:w="786"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802"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393"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综合</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博览会 （40分）</w:t>
            </w: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按照中标方提供的组展招商实施计划及时限安排进行考核（完成90%（含90%）以上95%以下扣2分；完成85%（含85%）以上90%以下单项扣5分；完成85%以下扣10分。）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802" w:type="dxa"/>
            <w:vAlign w:val="center"/>
          </w:tcPr>
          <w:p>
            <w:pPr>
              <w:spacing w:line="240" w:lineRule="exact"/>
              <w:jc w:val="center"/>
              <w:rPr>
                <w:rFonts w:ascii="仿宋_GB2312" w:hAnsi="仿宋_GB2312" w:eastAsia="仿宋_GB2312" w:cs="仿宋_GB2312"/>
                <w:color w:val="auto"/>
                <w:highlight w:val="none"/>
              </w:rPr>
            </w:pPr>
          </w:p>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393" w:type="dxa"/>
            <w:vMerge w:val="continue"/>
            <w:vAlign w:val="center"/>
          </w:tcPr>
          <w:p>
            <w:pPr>
              <w:jc w:val="center"/>
              <w:rPr>
                <w:rFonts w:ascii="仿宋_GB2312" w:hAnsi="仿宋_GB2312" w:eastAsia="仿宋_GB2312" w:cs="仿宋_GB2312"/>
                <w:b/>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按照中标方提供的专业观众组织</w:t>
            </w:r>
            <w:r>
              <w:rPr>
                <w:rFonts w:hint="eastAsia" w:ascii="仿宋_GB2312" w:hAnsi="仿宋" w:eastAsia="仿宋_GB2312"/>
                <w:bCs/>
                <w:color w:val="auto"/>
                <w:highlight w:val="none"/>
              </w:rPr>
              <w:t>组织计划及进度时限安排进行考核</w:t>
            </w:r>
            <w:r>
              <w:rPr>
                <w:rFonts w:hint="eastAsia" w:ascii="仿宋_GB2312" w:hAnsi="仿宋_GB2312" w:eastAsia="仿宋_GB2312" w:cs="仿宋_GB2312"/>
                <w:color w:val="auto"/>
                <w:highlight w:val="none"/>
              </w:rPr>
              <w:t>（完成90%（含90%）以上95%以下扣2分；完成85%（含85%）以上90%以下单项扣5分；完成85%以下扣10分。）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393" w:type="dxa"/>
            <w:vMerge w:val="continue"/>
            <w:vAlign w:val="center"/>
          </w:tcPr>
          <w:p>
            <w:pPr>
              <w:jc w:val="center"/>
              <w:rPr>
                <w:rFonts w:ascii="仿宋_GB2312" w:hAnsi="仿宋_GB2312" w:eastAsia="仿宋_GB2312" w:cs="仿宋_GB2312"/>
                <w:b/>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按照中标方提供的宣传推广</w:t>
            </w:r>
            <w:r>
              <w:rPr>
                <w:rFonts w:hint="eastAsia" w:ascii="仿宋_GB2312" w:hAnsi="仿宋" w:eastAsia="仿宋_GB2312"/>
                <w:bCs/>
                <w:color w:val="auto"/>
                <w:highlight w:val="none"/>
              </w:rPr>
              <w:t>组织计划及进度时限安排进行考核</w:t>
            </w:r>
            <w:r>
              <w:rPr>
                <w:rFonts w:hint="eastAsia" w:ascii="仿宋_GB2312" w:hAnsi="仿宋_GB2312" w:eastAsia="仿宋_GB2312" w:cs="仿宋_GB2312"/>
                <w:color w:val="auto"/>
                <w:highlight w:val="none"/>
              </w:rPr>
              <w:t>（完成90%（含90%）以上95%以下扣2分；完成85%（含85%）以上90%以下单项扣5分；完成85%以下扣10分。）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393" w:type="dxa"/>
            <w:vMerge w:val="continue"/>
            <w:vAlign w:val="center"/>
          </w:tcPr>
          <w:p>
            <w:pPr>
              <w:jc w:val="center"/>
              <w:rPr>
                <w:rFonts w:ascii="仿宋_GB2312" w:hAnsi="仿宋_GB2312" w:eastAsia="仿宋_GB2312" w:cs="仿宋_GB2312"/>
                <w:b/>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w:t>
            </w:r>
            <w:r>
              <w:rPr>
                <w:rFonts w:hint="eastAsia" w:ascii="仿宋_GB2312" w:hAnsi="仿宋" w:eastAsia="仿宋_GB2312"/>
                <w:bCs/>
                <w:color w:val="auto"/>
                <w:highlight w:val="none"/>
              </w:rPr>
              <w:t>设计布展实施计划及进度时限安排进行考核</w:t>
            </w:r>
            <w:r>
              <w:rPr>
                <w:rFonts w:hint="eastAsia" w:ascii="仿宋_GB2312" w:hAnsi="仿宋_GB2312" w:eastAsia="仿宋_GB2312" w:cs="仿宋_GB2312"/>
                <w:color w:val="auto"/>
                <w:highlight w:val="none"/>
              </w:rPr>
              <w:t>（完成90%（含90%）以上95%以下扣2分；完成85%（含85%）以上90%以下单项扣5分；完成85%以下扣10分。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93"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专业展会1  </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（20分）</w:t>
            </w: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按照中标方提供的组展招商实施计划及时限安排进行考核（完成90%（含90%）以上95%以下扣1分；完成85%（含85%）以上90%以下单项扣3分；完成85%以下扣5分。）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393" w:type="dxa"/>
            <w:vMerge w:val="continue"/>
            <w:vAlign w:val="center"/>
          </w:tcPr>
          <w:p>
            <w:pPr>
              <w:jc w:val="center"/>
              <w:rPr>
                <w:rFonts w:ascii="仿宋_GB2312" w:hAnsi="仿宋_GB2312" w:eastAsia="仿宋_GB2312" w:cs="仿宋_GB2312"/>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按照中标方提供的专业观众组织</w:t>
            </w:r>
            <w:r>
              <w:rPr>
                <w:rFonts w:hint="eastAsia" w:ascii="仿宋_GB2312" w:hAnsi="仿宋" w:eastAsia="仿宋_GB2312"/>
                <w:bCs/>
                <w:color w:val="auto"/>
                <w:highlight w:val="none"/>
              </w:rPr>
              <w:t>组织计划及进度时限安排进行考核</w:t>
            </w:r>
            <w:r>
              <w:rPr>
                <w:rFonts w:hint="eastAsia" w:ascii="仿宋_GB2312" w:hAnsi="仿宋_GB2312" w:eastAsia="仿宋_GB2312" w:cs="仿宋_GB2312"/>
                <w:color w:val="auto"/>
                <w:highlight w:val="none"/>
              </w:rPr>
              <w:t>（完成90%（含90%）以上95%以下扣1分；完成85%（含85%）以上90%以下单项扣3分；完成85%以下扣5分。）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393" w:type="dxa"/>
            <w:vMerge w:val="continue"/>
            <w:vAlign w:val="center"/>
          </w:tcPr>
          <w:p>
            <w:pPr>
              <w:jc w:val="center"/>
              <w:rPr>
                <w:rFonts w:ascii="仿宋_GB2312" w:hAnsi="仿宋_GB2312" w:eastAsia="仿宋_GB2312" w:cs="仿宋_GB2312"/>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按照中标方提供的宣传推广</w:t>
            </w:r>
            <w:r>
              <w:rPr>
                <w:rFonts w:hint="eastAsia" w:ascii="仿宋_GB2312" w:hAnsi="仿宋" w:eastAsia="仿宋_GB2312"/>
                <w:bCs/>
                <w:color w:val="auto"/>
                <w:highlight w:val="none"/>
              </w:rPr>
              <w:t>组织计划及进度时限安排进行考核</w:t>
            </w:r>
            <w:r>
              <w:rPr>
                <w:rFonts w:hint="eastAsia" w:ascii="仿宋_GB2312" w:hAnsi="仿宋_GB2312" w:eastAsia="仿宋_GB2312" w:cs="仿宋_GB2312"/>
                <w:color w:val="auto"/>
                <w:highlight w:val="none"/>
              </w:rPr>
              <w:t>（完成90%（含90%）以上95%以下扣1分；完成85%（含85%）以上90%以下单项扣3分；完成85%以下扣5分。）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93" w:type="dxa"/>
            <w:vMerge w:val="continue"/>
            <w:vAlign w:val="center"/>
          </w:tcPr>
          <w:p>
            <w:pPr>
              <w:jc w:val="center"/>
              <w:rPr>
                <w:rFonts w:ascii="仿宋_GB2312" w:hAnsi="仿宋_GB2312" w:eastAsia="仿宋_GB2312" w:cs="仿宋_GB2312"/>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w:t>
            </w:r>
            <w:r>
              <w:rPr>
                <w:rFonts w:hint="eastAsia" w:ascii="仿宋_GB2312" w:hAnsi="仿宋" w:eastAsia="仿宋_GB2312"/>
                <w:bCs/>
                <w:color w:val="auto"/>
                <w:highlight w:val="none"/>
              </w:rPr>
              <w:t>设计布展实施计划及进度时限安排进行考核</w:t>
            </w:r>
            <w:r>
              <w:rPr>
                <w:rFonts w:hint="eastAsia" w:ascii="仿宋_GB2312" w:hAnsi="仿宋_GB2312" w:eastAsia="仿宋_GB2312" w:cs="仿宋_GB2312"/>
                <w:color w:val="auto"/>
                <w:highlight w:val="none"/>
              </w:rPr>
              <w:t>（完成90%（含90%）以上95%以下扣1分；完成85%（含85%）以上90%以下单项扣3分；完成85%以下扣5分。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393"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专业展会2   </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（20分）</w:t>
            </w: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按照中标方提供的组展招商实施计划及时限安排进行考核（完成90%（含90%）以上95%以下扣1分；完成85%（含85%）以上90%以下单项扣3分；完成85%以下扣5分。）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Merge w:val="restart"/>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393" w:type="dxa"/>
            <w:vMerge w:val="continue"/>
            <w:vAlign w:val="center"/>
          </w:tcPr>
          <w:p>
            <w:pPr>
              <w:jc w:val="center"/>
              <w:rPr>
                <w:rFonts w:ascii="仿宋_GB2312" w:hAnsi="仿宋_GB2312" w:eastAsia="仿宋_GB2312" w:cs="仿宋_GB2312"/>
                <w:b/>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按照中标方提供的专业观众组织</w:t>
            </w:r>
            <w:r>
              <w:rPr>
                <w:rFonts w:hint="eastAsia" w:ascii="仿宋_GB2312" w:hAnsi="仿宋" w:eastAsia="仿宋_GB2312"/>
                <w:bCs/>
                <w:color w:val="auto"/>
                <w:highlight w:val="none"/>
              </w:rPr>
              <w:t>组织计划及进度时限安排进行考核</w:t>
            </w:r>
            <w:r>
              <w:rPr>
                <w:rFonts w:hint="eastAsia" w:ascii="仿宋_GB2312" w:hAnsi="仿宋_GB2312" w:eastAsia="仿宋_GB2312" w:cs="仿宋_GB2312"/>
                <w:color w:val="auto"/>
                <w:highlight w:val="none"/>
              </w:rPr>
              <w:t>（完成90%（含90%）以上95%以下扣1分；完成85%（含85%）以上90%以下单项扣3分；完成85%以下扣5分。）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Merge w:val="continue"/>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393" w:type="dxa"/>
            <w:vMerge w:val="continue"/>
            <w:vAlign w:val="center"/>
          </w:tcPr>
          <w:p>
            <w:pPr>
              <w:jc w:val="center"/>
              <w:rPr>
                <w:rFonts w:ascii="仿宋_GB2312" w:hAnsi="仿宋_GB2312" w:eastAsia="仿宋_GB2312" w:cs="仿宋_GB2312"/>
                <w:b/>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按照中标方提供的宣传推广</w:t>
            </w:r>
            <w:r>
              <w:rPr>
                <w:rFonts w:hint="eastAsia" w:ascii="仿宋_GB2312" w:hAnsi="仿宋" w:eastAsia="仿宋_GB2312"/>
                <w:bCs/>
                <w:color w:val="auto"/>
                <w:highlight w:val="none"/>
              </w:rPr>
              <w:t>组织计划及进度时限安排进行考核</w:t>
            </w:r>
            <w:r>
              <w:rPr>
                <w:rFonts w:hint="eastAsia" w:ascii="仿宋_GB2312" w:hAnsi="仿宋_GB2312" w:eastAsia="仿宋_GB2312" w:cs="仿宋_GB2312"/>
                <w:color w:val="auto"/>
                <w:highlight w:val="none"/>
              </w:rPr>
              <w:t>（完成90%（含90%）以上95%以下扣1分；完成85%（含85%）以上90%以下单项扣3分；完成85%以下扣5分。）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Merge w:val="continue"/>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393" w:type="dxa"/>
            <w:vMerge w:val="continue"/>
            <w:vAlign w:val="center"/>
          </w:tcPr>
          <w:p>
            <w:pPr>
              <w:jc w:val="center"/>
              <w:rPr>
                <w:rFonts w:ascii="仿宋_GB2312" w:hAnsi="仿宋_GB2312" w:eastAsia="仿宋_GB2312" w:cs="仿宋_GB2312"/>
                <w:b/>
                <w:color w:val="auto"/>
                <w:highlight w:val="none"/>
              </w:rPr>
            </w:pP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w:t>
            </w:r>
            <w:r>
              <w:rPr>
                <w:rFonts w:hint="eastAsia" w:ascii="仿宋_GB2312" w:hAnsi="仿宋" w:eastAsia="仿宋_GB2312"/>
                <w:bCs/>
                <w:color w:val="auto"/>
                <w:highlight w:val="none"/>
              </w:rPr>
              <w:t>设计布展实施计划及进度时限安排进行考核</w:t>
            </w:r>
            <w:r>
              <w:rPr>
                <w:rFonts w:hint="eastAsia" w:ascii="仿宋_GB2312" w:hAnsi="仿宋_GB2312" w:eastAsia="仿宋_GB2312" w:cs="仿宋_GB2312"/>
                <w:color w:val="auto"/>
                <w:highlight w:val="none"/>
              </w:rPr>
              <w:t>（完成90%（含90%）以上95%以下扣1分；完成85%（含85%）以上90%以下单项扣3分；完成85%以下扣5分。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Merge w:val="continue"/>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93"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线上</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论坛</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（20分）</w:t>
            </w:r>
          </w:p>
        </w:tc>
        <w:tc>
          <w:tcPr>
            <w:tcW w:w="6043"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按照中标方提供的</w:t>
            </w:r>
            <w:r>
              <w:rPr>
                <w:rFonts w:hint="eastAsia" w:ascii="仿宋_GB2312" w:hAnsi="仿宋" w:eastAsia="仿宋_GB2312"/>
                <w:bCs/>
                <w:color w:val="auto"/>
                <w:highlight w:val="none"/>
              </w:rPr>
              <w:t>线上论坛配套博览会的实施计划方案、进度时限安排进行考核</w:t>
            </w:r>
            <w:r>
              <w:rPr>
                <w:rFonts w:hint="eastAsia" w:ascii="仿宋_GB2312" w:hAnsi="仿宋_GB2312" w:eastAsia="仿宋_GB2312" w:cs="仿宋_GB2312"/>
                <w:color w:val="auto"/>
                <w:highlight w:val="none"/>
              </w:rPr>
              <w:t>（完成90%（含90%）以上95%以下扣2分；完成85%（含85%）以上90%以下单项扣10分；完成85%以下扣20分。）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24" w:type="dxa"/>
            <w:gridSpan w:val="4"/>
            <w:vAlign w:val="center"/>
          </w:tcPr>
          <w:p>
            <w:pPr>
              <w:ind w:firstLine="3000" w:firstLineChars="125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总扣分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24" w:type="dxa"/>
            <w:gridSpan w:val="4"/>
            <w:vAlign w:val="center"/>
          </w:tcPr>
          <w:p>
            <w:pPr>
              <w:ind w:firstLine="3000" w:firstLineChars="125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考核分</w:t>
            </w:r>
          </w:p>
        </w:tc>
      </w:tr>
    </w:tbl>
    <w:p>
      <w:pPr>
        <w:adjustRightInd w:val="0"/>
        <w:snapToGrid w:val="0"/>
        <w:spacing w:line="360" w:lineRule="auto"/>
        <w:jc w:val="both"/>
        <w:rPr>
          <w:rFonts w:ascii="仿宋_GB2312" w:hAnsi="仿宋" w:eastAsia="仿宋_GB2312"/>
          <w:bCs/>
          <w:color w:val="auto"/>
          <w:highlight w:val="none"/>
        </w:rPr>
      </w:pPr>
    </w:p>
    <w:p>
      <w:pPr>
        <w:rPr>
          <w:rFonts w:ascii="仿宋_GB2312" w:hAnsi="仿宋" w:eastAsia="仿宋_GB2312"/>
          <w:bCs/>
          <w:color w:val="auto"/>
          <w:highlight w:val="none"/>
        </w:rPr>
      </w:pPr>
      <w:r>
        <w:rPr>
          <w:rFonts w:hint="eastAsia" w:ascii="仿宋_GB2312" w:hAnsi="仿宋" w:eastAsia="仿宋_GB2312"/>
          <w:bCs/>
          <w:color w:val="auto"/>
          <w:highlight w:val="none"/>
        </w:rPr>
        <w:br w:type="page"/>
      </w:r>
    </w:p>
    <w:p>
      <w:pPr>
        <w:adjustRightInd w:val="0"/>
        <w:snapToGrid w:val="0"/>
        <w:spacing w:line="360" w:lineRule="auto"/>
        <w:ind w:firstLine="480" w:firstLineChars="200"/>
        <w:jc w:val="both"/>
        <w:rPr>
          <w:rFonts w:ascii="仿宋_GB2312" w:hAnsi="仿宋" w:eastAsia="仿宋_GB2312"/>
          <w:b/>
          <w:bCs w:val="0"/>
          <w:color w:val="auto"/>
          <w:highlight w:val="none"/>
        </w:rPr>
      </w:pPr>
      <w:r>
        <w:rPr>
          <w:rFonts w:hint="eastAsia" w:ascii="仿宋_GB2312" w:hAnsi="仿宋" w:eastAsia="仿宋_GB2312"/>
          <w:b/>
          <w:bCs w:val="0"/>
          <w:color w:val="auto"/>
          <w:highlight w:val="none"/>
        </w:rPr>
        <w:t>附件2</w:t>
      </w:r>
      <w:r>
        <w:rPr>
          <w:rFonts w:hint="eastAsia" w:ascii="仿宋_GB2312" w:hAnsi="仿宋" w:eastAsia="仿宋_GB2312"/>
          <w:b/>
          <w:bCs w:val="0"/>
          <w:color w:val="auto"/>
          <w:highlight w:val="none"/>
        </w:rPr>
        <w:t>：项目完成情况验收考核表</w:t>
      </w:r>
      <w:r>
        <w:rPr>
          <w:rFonts w:hint="eastAsia" w:ascii="仿宋_GB2312" w:hAnsi="仿宋" w:eastAsia="仿宋_GB2312"/>
          <w:b/>
          <w:bCs w:val="0"/>
          <w:color w:val="auto"/>
          <w:highlight w:val="none"/>
          <w:lang w:eastAsia="zh-CN"/>
        </w:rPr>
        <w:t>（</w:t>
      </w:r>
      <w:r>
        <w:rPr>
          <w:rFonts w:hint="eastAsia" w:ascii="仿宋_GB2312" w:hAnsi="仿宋" w:eastAsia="仿宋_GB2312"/>
          <w:b/>
          <w:bCs w:val="0"/>
          <w:color w:val="auto"/>
          <w:highlight w:val="none"/>
          <w:lang w:val="en-US" w:eastAsia="zh-CN"/>
        </w:rPr>
        <w:t>最终解释权归采购人所有</w:t>
      </w:r>
      <w:r>
        <w:rPr>
          <w:rFonts w:hint="eastAsia" w:ascii="仿宋_GB2312" w:hAnsi="仿宋" w:eastAsia="仿宋_GB2312"/>
          <w:b/>
          <w:bCs w:val="0"/>
          <w:color w:val="auto"/>
          <w:highlight w:val="none"/>
          <w:lang w:eastAsia="zh-CN"/>
        </w:rPr>
        <w:t>）</w:t>
      </w:r>
    </w:p>
    <w:tbl>
      <w:tblPr>
        <w:tblStyle w:val="39"/>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6294"/>
        <w:gridCol w:w="786"/>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2"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考核</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项目</w:t>
            </w:r>
          </w:p>
        </w:tc>
        <w:tc>
          <w:tcPr>
            <w:tcW w:w="6294"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考核标准</w:t>
            </w:r>
          </w:p>
        </w:tc>
        <w:tc>
          <w:tcPr>
            <w:tcW w:w="786"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802" w:type="dxa"/>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w:t>
            </w:r>
          </w:p>
          <w:p>
            <w:pPr>
              <w:jc w:val="center"/>
              <w:rPr>
                <w:color w:val="auto"/>
                <w:highlight w:val="none"/>
              </w:rPr>
            </w:pPr>
            <w:r>
              <w:rPr>
                <w:rFonts w:hint="eastAsia" w:ascii="仿宋_GB2312" w:hAnsi="仿宋_GB2312" w:eastAsia="仿宋_GB2312" w:cs="仿宋_GB2312"/>
                <w:b/>
                <w:color w:val="auto"/>
                <w:highlight w:val="none"/>
              </w:rPr>
              <w:t>配备</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（10分）</w:t>
            </w: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中标后3日内，未与甲方联系对接联合办公相关事宜。</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中标后5日内，未按人员配置方案派驻主要负责人及联系人。</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中标后10日内，未按人员配置方案配齐项目团队全部人员并获得甲方认可。</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中标后，项目团队主要负责人、联系人及骨干工作人员不固定，未经甲方同意随意调整，联系困难。</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中标后，对甲方要求响应不积极、不主动，对项目工作拖沓扯皮、敷衍应付，工作效率低。 </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42"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综合博览会、专业展会、</w:t>
            </w:r>
          </w:p>
          <w:p>
            <w:pP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线上论坛</w:t>
            </w:r>
          </w:p>
          <w:p>
            <w:pPr>
              <w:ind w:left="-2" w:leftChars="-1" w:firstLine="1"/>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（55分）</w:t>
            </w:r>
          </w:p>
        </w:tc>
        <w:tc>
          <w:tcPr>
            <w:tcW w:w="6294" w:type="dxa"/>
            <w:vAlign w:val="center"/>
          </w:tcPr>
          <w:p>
            <w:pPr>
              <w:adjustRightInd w:val="0"/>
              <w:snapToGrid w:val="0"/>
              <w:spacing w:line="360" w:lineRule="auto"/>
              <w:ind w:firstLine="480" w:firstLineChars="200"/>
              <w:jc w:val="both"/>
              <w:rPr>
                <w:rFonts w:hint="eastAsia" w:ascii="仿宋_GB2312" w:hAnsi="仿宋_GB2312" w:eastAsia="仿宋_GB2312" w:cs="仿宋_GB2312"/>
                <w:color w:val="auto"/>
                <w:highlight w:val="none"/>
                <w:lang w:eastAsia="zh-CN"/>
              </w:rPr>
            </w:pPr>
            <w:r>
              <w:rPr>
                <w:rFonts w:hint="eastAsia" w:ascii="仿宋_GB2312" w:hAnsi="仿宋" w:eastAsia="仿宋_GB2312"/>
                <w:bCs/>
                <w:color w:val="auto"/>
                <w:highlight w:val="none"/>
              </w:rPr>
              <w:t>月进度完成情况考核表平均分95分以下90分（含90分）以上扣 5分，90分以下85分（含85分）以上扣10 分，85以下扣40分</w:t>
            </w:r>
            <w:r>
              <w:rPr>
                <w:rFonts w:hint="eastAsia" w:ascii="仿宋_GB2312" w:hAnsi="仿宋" w:eastAsia="仿宋_GB2312"/>
                <w:bCs/>
                <w:color w:val="auto"/>
                <w:highlight w:val="none"/>
                <w:lang w:eastAsia="zh-CN"/>
              </w:rPr>
              <w:t>。</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40</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rPr>
                <w:rFonts w:ascii="宋体" w:hAnsi="宋体"/>
                <w:color w:val="auto"/>
                <w:szCs w:val="21"/>
                <w:highlight w:val="none"/>
              </w:rPr>
            </w:pPr>
            <w:r>
              <w:rPr>
                <w:rFonts w:hint="eastAsia" w:ascii="仿宋_GB2312" w:hAnsi="仿宋_GB2312" w:eastAsia="仿宋_GB2312" w:cs="仿宋_GB2312"/>
                <w:color w:val="auto"/>
                <w:highlight w:val="none"/>
              </w:rPr>
              <w:t>撤展时未按照时限要求，未遵守安全生产规范，出现投诉。（3场展会活动，每场展会出现上述任何情况扣5分）</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2"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综合</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协调</w:t>
            </w:r>
          </w:p>
          <w:p>
            <w:pPr>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（10分）</w:t>
            </w: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中标后，出现与招标承诺相违背的情况，不能与甲方共同努力，以高质量办好博览会为目的，全力配合、协商解决面临的困难和问题。</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42" w:type="dxa"/>
            <w:vMerge w:val="continue"/>
            <w:vAlign w:val="center"/>
          </w:tcPr>
          <w:p>
            <w:pPr>
              <w:jc w:val="center"/>
              <w:rPr>
                <w:rFonts w:ascii="仿宋_GB2312" w:hAnsi="仿宋_GB2312" w:eastAsia="仿宋_GB2312" w:cs="仿宋_GB2312"/>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甲方对综合协调工作提出具体要求并开出督办单，综合协调工作出现投诉。</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2"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拓展</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服务</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（10分）</w:t>
            </w: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中标后20内，未制定拓展服务实施方案，明确服务内容、划定服务标准、预期服务效果。</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组展招商工作达到第二次申请支付进度时，未制定国境外展品通关方案，未安排专人负责国境外展品参展相关事宜。</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甲方对拓展服务提出具体要求并开出督办单，国境外展品通关工作出现投诉。</w:t>
            </w:r>
          </w:p>
        </w:tc>
        <w:tc>
          <w:tcPr>
            <w:tcW w:w="786" w:type="dxa"/>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42"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安全</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应急</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（10分）</w:t>
            </w: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安全生产、疫情防控方面，以及项目现场内发生任何责任事故、负面报道等影响项目进展、形象、效果，一票否决。</w:t>
            </w:r>
          </w:p>
        </w:tc>
        <w:tc>
          <w:tcPr>
            <w:tcW w:w="786" w:type="dxa"/>
            <w:vMerge w:val="restart"/>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非安全生产、疫情防控方面，以及项目现场内发生任何轻微事故、范围可控负面影响等。</w:t>
            </w:r>
          </w:p>
        </w:tc>
        <w:tc>
          <w:tcPr>
            <w:tcW w:w="786" w:type="dxa"/>
            <w:vMerge w:val="continue"/>
            <w:vAlign w:val="center"/>
          </w:tcPr>
          <w:p>
            <w:pPr>
              <w:spacing w:line="240" w:lineRule="exact"/>
              <w:jc w:val="center"/>
              <w:rPr>
                <w:rFonts w:ascii="仿宋_GB2312" w:hAnsi="仿宋_GB2312" w:eastAsia="仿宋_GB2312" w:cs="仿宋_GB2312"/>
                <w:color w:val="auto"/>
                <w:highlight w:val="none"/>
              </w:rPr>
            </w:pP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42" w:type="dxa"/>
            <w:vMerge w:val="restart"/>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预期</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效果</w:t>
            </w:r>
          </w:p>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（5分）</w:t>
            </w: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项目未达到预期量化指标，量化指标完成度&lt;98%,每项指标扣1分。</w:t>
            </w:r>
          </w:p>
        </w:tc>
        <w:tc>
          <w:tcPr>
            <w:tcW w:w="786" w:type="dxa"/>
            <w:vMerge w:val="restart"/>
            <w:vAlign w:val="center"/>
          </w:tcPr>
          <w:p>
            <w:pPr>
              <w:spacing w:line="2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项目未达到预期量化指标，量化指标完成度&lt;95%,每项指标扣2分。</w:t>
            </w:r>
          </w:p>
        </w:tc>
        <w:tc>
          <w:tcPr>
            <w:tcW w:w="786" w:type="dxa"/>
            <w:vMerge w:val="continue"/>
            <w:vAlign w:val="center"/>
          </w:tcPr>
          <w:p>
            <w:pPr>
              <w:spacing w:line="240" w:lineRule="exact"/>
              <w:jc w:val="center"/>
              <w:rPr>
                <w:rFonts w:ascii="仿宋_GB2312" w:hAnsi="仿宋_GB2312" w:eastAsia="仿宋_GB2312" w:cs="仿宋_GB2312"/>
                <w:color w:val="auto"/>
                <w:highlight w:val="none"/>
              </w:rPr>
            </w:pP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42" w:type="dxa"/>
            <w:vMerge w:val="continue"/>
            <w:vAlign w:val="center"/>
          </w:tcPr>
          <w:p>
            <w:pPr>
              <w:jc w:val="center"/>
              <w:rPr>
                <w:rFonts w:ascii="仿宋_GB2312" w:hAnsi="仿宋_GB2312" w:eastAsia="仿宋_GB2312" w:cs="仿宋_GB2312"/>
                <w:b/>
                <w:color w:val="auto"/>
                <w:highlight w:val="none"/>
              </w:rPr>
            </w:pPr>
          </w:p>
        </w:tc>
        <w:tc>
          <w:tcPr>
            <w:tcW w:w="6294" w:type="dxa"/>
            <w:vAlign w:val="center"/>
          </w:tcPr>
          <w:p>
            <w:pPr>
              <w:spacing w:line="2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项目未达到预期量化指标，量化指标完成度&lt;90%,每个指标扣3分。</w:t>
            </w:r>
          </w:p>
        </w:tc>
        <w:tc>
          <w:tcPr>
            <w:tcW w:w="786" w:type="dxa"/>
            <w:vMerge w:val="continue"/>
            <w:vAlign w:val="center"/>
          </w:tcPr>
          <w:p>
            <w:pPr>
              <w:spacing w:line="240" w:lineRule="exact"/>
              <w:jc w:val="center"/>
              <w:rPr>
                <w:rFonts w:ascii="仿宋_GB2312" w:hAnsi="仿宋_GB2312" w:eastAsia="仿宋_GB2312" w:cs="仿宋_GB2312"/>
                <w:color w:val="auto"/>
                <w:highlight w:val="none"/>
              </w:rPr>
            </w:pPr>
          </w:p>
        </w:tc>
        <w:tc>
          <w:tcPr>
            <w:tcW w:w="802" w:type="dxa"/>
            <w:vAlign w:val="center"/>
          </w:tcPr>
          <w:p>
            <w:pPr>
              <w:spacing w:line="240" w:lineRule="exact"/>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2" w:type="dxa"/>
            <w:gridSpan w:val="3"/>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总扣分</w:t>
            </w:r>
          </w:p>
        </w:tc>
        <w:tc>
          <w:tcPr>
            <w:tcW w:w="802" w:type="dxa"/>
            <w:vAlign w:val="center"/>
          </w:tcPr>
          <w:p>
            <w:pPr>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2" w:type="dxa"/>
            <w:gridSpan w:val="3"/>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考核分</w:t>
            </w:r>
          </w:p>
        </w:tc>
        <w:tc>
          <w:tcPr>
            <w:tcW w:w="802" w:type="dxa"/>
            <w:vAlign w:val="center"/>
          </w:tcPr>
          <w:p>
            <w:pPr>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24" w:type="dxa"/>
            <w:gridSpan w:val="4"/>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备注：1.</w:t>
            </w:r>
            <w:r>
              <w:rPr>
                <w:rFonts w:hint="eastAsia" w:ascii="仿宋_GB2312" w:hAnsi="仿宋_GB2312" w:eastAsia="仿宋_GB2312" w:cs="仿宋_GB2312"/>
                <w:color w:val="auto"/>
                <w:highlight w:val="none"/>
                <w:lang w:val="en-US" w:eastAsia="zh-CN"/>
              </w:rPr>
              <w:t>验收考核</w:t>
            </w:r>
            <w:r>
              <w:rPr>
                <w:rFonts w:hint="eastAsia" w:ascii="仿宋_GB2312" w:hAnsi="仿宋_GB2312" w:eastAsia="仿宋_GB2312" w:cs="仿宋_GB2312"/>
                <w:color w:val="auto"/>
                <w:highlight w:val="none"/>
              </w:rPr>
              <w:t>分为100分，考核项按每问题发生1次扣除1分，单项分</w:t>
            </w:r>
          </w:p>
          <w:p>
            <w:pPr>
              <w:ind w:left="720" w:leftChars="3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值扣完为止（综合博览会和专业展会、线上论坛、预期效果考核按表内要求扣分）。</w:t>
            </w:r>
          </w:p>
          <w:p>
            <w:pPr>
              <w:ind w:left="724" w:leftChars="302"/>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验收考核</w:t>
            </w:r>
            <w:r>
              <w:rPr>
                <w:rFonts w:hint="eastAsia" w:ascii="仿宋_GB2312" w:hAnsi="仿宋_GB2312" w:eastAsia="仿宋_GB2312" w:cs="仿宋_GB2312"/>
                <w:color w:val="auto"/>
                <w:highlight w:val="none"/>
              </w:rPr>
              <w:t>分为90分（含90分）以上，支付全部剩余价款；</w:t>
            </w:r>
            <w:r>
              <w:rPr>
                <w:rFonts w:hint="eastAsia" w:ascii="仿宋_GB2312" w:hAnsi="仿宋_GB2312" w:eastAsia="仿宋_GB2312" w:cs="仿宋_GB2312"/>
                <w:color w:val="auto"/>
                <w:highlight w:val="none"/>
                <w:lang w:val="en-US" w:eastAsia="zh-CN"/>
              </w:rPr>
              <w:t>验收</w:t>
            </w:r>
            <w:r>
              <w:rPr>
                <w:rFonts w:hint="eastAsia" w:ascii="仿宋_GB2312" w:hAnsi="仿宋_GB2312" w:eastAsia="仿宋_GB2312" w:cs="仿宋_GB2312"/>
                <w:color w:val="auto"/>
                <w:highlight w:val="none"/>
              </w:rPr>
              <w:t>考核分为85分（含85分）以上90分以下，支付剩余价款的90%；</w:t>
            </w:r>
            <w:r>
              <w:rPr>
                <w:rFonts w:hint="eastAsia" w:ascii="仿宋_GB2312" w:hAnsi="仿宋_GB2312" w:eastAsia="仿宋_GB2312" w:cs="仿宋_GB2312"/>
                <w:color w:val="auto"/>
                <w:highlight w:val="none"/>
                <w:lang w:val="en-US" w:eastAsia="zh-CN"/>
              </w:rPr>
              <w:t>验收</w:t>
            </w:r>
            <w:r>
              <w:rPr>
                <w:rFonts w:hint="eastAsia" w:ascii="仿宋_GB2312" w:hAnsi="仿宋_GB2312" w:eastAsia="仿宋_GB2312" w:cs="仿宋_GB2312"/>
                <w:color w:val="auto"/>
                <w:highlight w:val="none"/>
              </w:rPr>
              <w:t>考核分为80分（含80分）以上85分以下，支付剩余价款的80%；</w:t>
            </w:r>
            <w:r>
              <w:rPr>
                <w:rFonts w:hint="eastAsia" w:ascii="仿宋_GB2312" w:hAnsi="仿宋_GB2312" w:eastAsia="仿宋_GB2312" w:cs="仿宋_GB2312"/>
                <w:color w:val="auto"/>
                <w:highlight w:val="none"/>
                <w:lang w:val="en-US" w:eastAsia="zh-CN"/>
              </w:rPr>
              <w:t>验收</w:t>
            </w:r>
            <w:r>
              <w:rPr>
                <w:rFonts w:hint="eastAsia" w:ascii="仿宋_GB2312" w:hAnsi="仿宋_GB2312" w:eastAsia="仿宋_GB2312" w:cs="仿宋_GB2312"/>
                <w:color w:val="auto"/>
                <w:highlight w:val="none"/>
              </w:rPr>
              <w:t>考核分在80分以下，采购人有权拒绝支付剩余价款。</w:t>
            </w:r>
          </w:p>
        </w:tc>
      </w:tr>
    </w:tbl>
    <w:p>
      <w:pPr>
        <w:pStyle w:val="100"/>
        <w:ind w:firstLine="480"/>
        <w:rPr>
          <w:color w:val="auto"/>
          <w:highlight w:val="none"/>
        </w:rPr>
      </w:pPr>
    </w:p>
    <w:p>
      <w:pPr>
        <w:rPr>
          <w:rFonts w:ascii="仿宋_GB2312" w:eastAsia="仿宋_GB2312"/>
          <w:b/>
          <w:color w:val="auto"/>
          <w:highlight w:val="none"/>
        </w:rPr>
      </w:pPr>
      <w:r>
        <w:rPr>
          <w:rFonts w:hint="eastAsia" w:ascii="仿宋_GB2312" w:eastAsia="仿宋_GB2312"/>
          <w:b/>
          <w:color w:val="auto"/>
          <w:highlight w:val="none"/>
        </w:rPr>
        <w:br w:type="page"/>
      </w:r>
    </w:p>
    <w:p>
      <w:pPr>
        <w:pStyle w:val="2"/>
        <w:rPr>
          <w:rFonts w:ascii="仿宋_GB2312" w:hAnsi="仿宋" w:eastAsia="仿宋_GB2312"/>
          <w:b/>
          <w:bCs w:val="0"/>
          <w:color w:val="auto"/>
          <w:highlight w:val="none"/>
        </w:rPr>
      </w:pPr>
      <w:r>
        <w:rPr>
          <w:rFonts w:hint="eastAsia" w:ascii="仿宋_GB2312" w:hAnsi="仿宋" w:eastAsia="仿宋_GB2312"/>
          <w:b/>
          <w:bCs w:val="0"/>
          <w:color w:val="auto"/>
          <w:kern w:val="0"/>
          <w:highlight w:val="none"/>
        </w:rPr>
        <w:t>附件3：</w:t>
      </w:r>
      <w:r>
        <w:rPr>
          <w:rFonts w:hint="eastAsia" w:ascii="仿宋_GB2312" w:hAnsi="仿宋" w:eastAsia="仿宋_GB2312"/>
          <w:b/>
          <w:bCs w:val="0"/>
          <w:color w:val="auto"/>
          <w:highlight w:val="none"/>
        </w:rPr>
        <w:t>相关技术参数</w:t>
      </w:r>
    </w:p>
    <w:p>
      <w:pPr>
        <w:adjustRightInd w:val="0"/>
        <w:snapToGrid w:val="0"/>
        <w:spacing w:line="360" w:lineRule="auto"/>
        <w:ind w:left="480"/>
        <w:jc w:val="both"/>
        <w:rPr>
          <w:rFonts w:ascii="仿宋_GB2312" w:hAnsi="仿宋" w:eastAsia="仿宋_GB2312"/>
          <w:b/>
          <w:color w:val="auto"/>
          <w:highlight w:val="none"/>
        </w:rPr>
      </w:pPr>
      <w:r>
        <w:rPr>
          <w:rFonts w:hint="eastAsia" w:ascii="仿宋_GB2312" w:hAnsi="仿宋" w:eastAsia="仿宋_GB2312"/>
          <w:b/>
          <w:color w:val="auto"/>
          <w:highlight w:val="none"/>
        </w:rPr>
        <w:t>1、系统架构：</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1.1、后端基于.net core 5.0开发；数据库：Mongodb</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1.2、操作系统：Windows Server 2019 64位版，8核16GB，1TB存储</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1.3、硬件架构：CDN（网络分发服务） + 负载均衡 + ECS（应用服务器）</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1.4、安全性：对外采用阿里CDN + Web应用防火墙可防御各种网络攻击，系统已通过二级等保验证标准；热备：系统所有资源文件存储在OSS中，通过版本控制可实现删除恢复。数据库采用阿里Mongodb 5节点部署，可实现故障切换，自动物理备份、恢复功能。</w:t>
      </w:r>
    </w:p>
    <w:p>
      <w:pPr>
        <w:adjustRightInd w:val="0"/>
        <w:snapToGrid w:val="0"/>
        <w:spacing w:line="360" w:lineRule="auto"/>
        <w:ind w:firstLine="480" w:firstLineChars="200"/>
        <w:jc w:val="both"/>
        <w:rPr>
          <w:rFonts w:hint="eastAsia" w:ascii="仿宋_GB2312" w:hAnsi="仿宋" w:eastAsia="仿宋_GB2312"/>
          <w:bCs/>
          <w:color w:val="auto"/>
          <w:highlight w:val="none"/>
          <w:lang w:eastAsia="zh-CN"/>
        </w:rPr>
      </w:pPr>
      <w:r>
        <w:rPr>
          <w:rFonts w:hint="eastAsia" w:ascii="仿宋_GB2312" w:hAnsi="仿宋" w:eastAsia="仿宋_GB2312"/>
          <w:bCs/>
          <w:color w:val="auto"/>
          <w:highlight w:val="none"/>
        </w:rPr>
        <w:t>1.5、性能：系统扩展性：系统采用CDN + 负载均衡 + 云服务器的部署方式，可实现系统上的横向扩展；并发数：初始可支撑2000并发数，随着访问量的增加可通过增加服务器资源扩展并发数；数据吞吐量：前端CDN部署，可实现150Tbps+弹性带宽应对业务</w:t>
      </w:r>
      <w:r>
        <w:rPr>
          <w:rFonts w:hint="eastAsia" w:ascii="仿宋_GB2312" w:hAnsi="仿宋" w:eastAsia="仿宋_GB2312"/>
          <w:bCs/>
          <w:color w:val="auto"/>
          <w:highlight w:val="none"/>
        </w:rPr>
        <w:t>的波动</w:t>
      </w:r>
      <w:r>
        <w:rPr>
          <w:rFonts w:hint="eastAsia" w:ascii="仿宋_GB2312" w:hAnsi="仿宋" w:eastAsia="仿宋_GB2312"/>
          <w:bCs/>
          <w:color w:val="auto"/>
          <w:highlight w:val="none"/>
          <w:lang w:eastAsia="zh-CN"/>
        </w:rPr>
        <w:t>。</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
          <w:color w:val="auto"/>
          <w:highlight w:val="none"/>
        </w:rPr>
        <w:t>2、功能模块：</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展商报名注册、企业审核功能、企业分类展示、企业征信验证、展商中心登入、展商信息表单、后台产品上传、展商视频上传、行业分类、展商手册、直播管理、在线洽谈、产品展览展示等；已实现展商、观众数据的对外API开放接口，后续API接口根据业务需求可随时扩展。</w:t>
      </w:r>
    </w:p>
    <w:p>
      <w:pPr>
        <w:adjustRightInd w:val="0"/>
        <w:snapToGrid w:val="0"/>
        <w:spacing w:line="360" w:lineRule="auto"/>
        <w:ind w:firstLine="480" w:firstLineChars="200"/>
        <w:jc w:val="both"/>
        <w:rPr>
          <w:rFonts w:ascii="仿宋_GB2312" w:hAnsi="仿宋" w:eastAsia="仿宋_GB2312"/>
          <w:b/>
          <w:color w:val="auto"/>
          <w:highlight w:val="none"/>
        </w:rPr>
      </w:pPr>
      <w:r>
        <w:rPr>
          <w:rFonts w:hint="eastAsia" w:ascii="仿宋_GB2312" w:hAnsi="仿宋" w:eastAsia="仿宋_GB2312"/>
          <w:b/>
          <w:color w:val="auto"/>
          <w:highlight w:val="none"/>
        </w:rPr>
        <w:t>3、管理功能：</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管理功能主要是组委会工作人员、平台管理人员使用。</w:t>
      </w:r>
    </w:p>
    <w:p>
      <w:pPr>
        <w:adjustRightInd w:val="0"/>
        <w:snapToGrid w:val="0"/>
        <w:spacing w:line="360" w:lineRule="auto"/>
        <w:ind w:firstLine="480" w:firstLineChars="200"/>
        <w:jc w:val="both"/>
        <w:rPr>
          <w:rFonts w:ascii="仿宋_GB2312" w:hAnsi="仿宋" w:eastAsia="仿宋_GB2312"/>
          <w:bCs/>
          <w:color w:val="auto"/>
          <w:highlight w:val="none"/>
        </w:rPr>
      </w:pPr>
      <w:r>
        <w:rPr>
          <w:rFonts w:hint="eastAsia" w:ascii="仿宋_GB2312" w:hAnsi="仿宋" w:eastAsia="仿宋_GB2312"/>
          <w:bCs/>
          <w:color w:val="auto"/>
          <w:highlight w:val="none"/>
        </w:rPr>
        <w:t>包括功能有：基础数据管理、参数配置、报表统计、信息管理及发布、展商管理、产品管理、注册报名管理、直播管理、在线洽谈管理、日志管理等。</w:t>
      </w:r>
    </w:p>
    <w:p>
      <w:pPr>
        <w:adjustRightInd w:val="0"/>
        <w:snapToGrid w:val="0"/>
        <w:spacing w:line="360" w:lineRule="auto"/>
        <w:ind w:firstLine="480" w:firstLineChars="200"/>
        <w:jc w:val="both"/>
        <w:rPr>
          <w:color w:val="auto"/>
          <w:highlight w:val="none"/>
        </w:rPr>
      </w:pPr>
    </w:p>
    <w:p>
      <w:pPr>
        <w:rPr>
          <w:rFonts w:ascii="仿宋_GB2312" w:eastAsia="仿宋_GB2312"/>
          <w:b/>
          <w:color w:val="auto"/>
          <w:highlight w:val="none"/>
        </w:rPr>
      </w:pPr>
      <w:r>
        <w:rPr>
          <w:rFonts w:hint="eastAsia" w:ascii="仿宋_GB2312" w:eastAsia="仿宋_GB2312"/>
          <w:b/>
          <w:color w:val="auto"/>
          <w:highlight w:val="none"/>
        </w:rPr>
        <w:br w:type="page"/>
      </w:r>
    </w:p>
    <w:p>
      <w:pPr>
        <w:pStyle w:val="3"/>
        <w:rPr>
          <w:rFonts w:ascii="仿宋_GB2312" w:eastAsia="仿宋_GB2312"/>
          <w:b/>
          <w:color w:val="auto"/>
          <w:sz w:val="24"/>
          <w:szCs w:val="24"/>
          <w:highlight w:val="none"/>
        </w:rPr>
      </w:pPr>
      <w:bookmarkStart w:id="76" w:name="_Toc107503701"/>
      <w:r>
        <w:rPr>
          <w:rFonts w:hint="eastAsia" w:ascii="仿宋_GB2312" w:eastAsia="仿宋_GB2312"/>
          <w:b/>
          <w:color w:val="auto"/>
          <w:sz w:val="24"/>
          <w:szCs w:val="24"/>
          <w:highlight w:val="none"/>
        </w:rPr>
        <w:t>第四章 合同文本</w:t>
      </w:r>
      <w:bookmarkEnd w:id="64"/>
      <w:bookmarkEnd w:id="76"/>
    </w:p>
    <w:p>
      <w:pPr>
        <w:widowControl w:val="0"/>
        <w:tabs>
          <w:tab w:val="left" w:pos="735"/>
        </w:tabs>
        <w:autoSpaceDE w:val="0"/>
        <w:autoSpaceDN w:val="0"/>
        <w:adjustRightInd w:val="0"/>
        <w:snapToGrid w:val="0"/>
        <w:spacing w:before="420" w:beforeLines="100" w:line="360" w:lineRule="auto"/>
        <w:ind w:firstLine="629"/>
        <w:jc w:val="both"/>
        <w:rPr>
          <w:rFonts w:ascii="仿宋_GB2312" w:hAnsi="仿宋" w:eastAsia="仿宋_GB2312"/>
          <w:b/>
          <w:bCs/>
          <w:color w:val="auto"/>
          <w:kern w:val="2"/>
          <w:highlight w:val="none"/>
          <w:lang w:val="zh-CN"/>
        </w:rPr>
      </w:pPr>
      <w:bookmarkStart w:id="77" w:name="_Toc100219616"/>
      <w:r>
        <w:rPr>
          <w:rFonts w:hint="eastAsia" w:ascii="仿宋_GB2312" w:hAnsi="仿宋" w:eastAsia="仿宋_GB2312"/>
          <w:b/>
          <w:bCs/>
          <w:color w:val="auto"/>
          <w:kern w:val="2"/>
          <w:highlight w:val="none"/>
          <w:lang w:val="zh-CN"/>
        </w:rPr>
        <w:t>甲方：</w:t>
      </w:r>
      <w:r>
        <w:rPr>
          <w:rFonts w:hint="eastAsia" w:ascii="仿宋_GB2312" w:hAnsi="仿宋" w:eastAsia="仿宋_GB2312"/>
          <w:bCs/>
          <w:color w:val="auto"/>
          <w:kern w:val="2"/>
          <w:highlight w:val="none"/>
          <w:lang w:val="zh-CN"/>
        </w:rPr>
        <w:t>（前款所称采购人）     住所：</w:t>
      </w:r>
    </w:p>
    <w:p>
      <w:pPr>
        <w:widowControl w:val="0"/>
        <w:tabs>
          <w:tab w:val="left" w:pos="735"/>
        </w:tabs>
        <w:autoSpaceDE w:val="0"/>
        <w:autoSpaceDN w:val="0"/>
        <w:adjustRightInd w:val="0"/>
        <w:snapToGrid w:val="0"/>
        <w:spacing w:line="360" w:lineRule="auto"/>
        <w:ind w:firstLine="631"/>
        <w:jc w:val="both"/>
        <w:rPr>
          <w:rFonts w:ascii="仿宋_GB2312" w:hAnsi="仿宋" w:eastAsia="仿宋_GB2312"/>
          <w:bCs/>
          <w:color w:val="auto"/>
          <w:kern w:val="2"/>
          <w:highlight w:val="none"/>
          <w:lang w:val="zh-CN"/>
        </w:rPr>
      </w:pPr>
      <w:r>
        <w:rPr>
          <w:rFonts w:hint="eastAsia" w:ascii="仿宋_GB2312" w:hAnsi="仿宋" w:eastAsia="仿宋_GB2312"/>
          <w:b/>
          <w:bCs/>
          <w:color w:val="auto"/>
          <w:kern w:val="2"/>
          <w:highlight w:val="none"/>
          <w:lang w:val="zh-CN"/>
        </w:rPr>
        <w:t>乙方：</w:t>
      </w:r>
      <w:r>
        <w:rPr>
          <w:rFonts w:hint="eastAsia" w:ascii="仿宋_GB2312" w:hAnsi="仿宋" w:eastAsia="仿宋_GB2312"/>
          <w:bCs/>
          <w:color w:val="auto"/>
          <w:kern w:val="2"/>
          <w:highlight w:val="none"/>
          <w:lang w:val="zh-CN"/>
        </w:rPr>
        <w:t>（前款所称中标人）     住所：</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bookmarkStart w:id="78" w:name="_Toc19515384"/>
      <w:r>
        <w:rPr>
          <w:rFonts w:hint="eastAsia" w:ascii="仿宋_GB2312" w:hAnsi="仿宋" w:eastAsia="仿宋_GB2312"/>
          <w:b/>
          <w:color w:val="auto"/>
          <w:kern w:val="2"/>
          <w:highlight w:val="none"/>
        </w:rPr>
        <w:t>一、合同内容（标的、数量、质量等）:</w:t>
      </w:r>
      <w:bookmarkEnd w:id="78"/>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bookmarkStart w:id="79" w:name="_Toc19515385"/>
      <w:r>
        <w:rPr>
          <w:rFonts w:hint="eastAsia" w:ascii="仿宋_GB2312" w:hAnsi="仿宋" w:eastAsia="仿宋_GB2312"/>
          <w:b/>
          <w:color w:val="auto"/>
          <w:kern w:val="2"/>
          <w:highlight w:val="none"/>
        </w:rPr>
        <w:t>二、合同价款</w:t>
      </w:r>
      <w:bookmarkEnd w:id="79"/>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1、合同总价：</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2、合同总价包括：场馆租赁费、组展招商、布展搭建、统计撤展、会务服务、运维服务及其它相关的费用。</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3、合同总价一次包死，不受市场价变化的影响。</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bookmarkStart w:id="80" w:name="_Toc19515386"/>
      <w:r>
        <w:rPr>
          <w:rFonts w:hint="eastAsia" w:ascii="仿宋_GB2312" w:hAnsi="仿宋" w:eastAsia="仿宋_GB2312"/>
          <w:b/>
          <w:color w:val="auto"/>
          <w:kern w:val="2"/>
          <w:highlight w:val="none"/>
        </w:rPr>
        <w:t>三、合同结算</w:t>
      </w:r>
      <w:bookmarkEnd w:id="80"/>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rPr>
      </w:pPr>
      <w:r>
        <w:rPr>
          <w:rFonts w:hint="eastAsia" w:ascii="仿宋_GB2312" w:hAnsi="仿宋" w:eastAsia="仿宋_GB2312"/>
          <w:color w:val="auto"/>
          <w:kern w:val="2"/>
          <w:highlight w:val="none"/>
          <w:lang w:val="en-US" w:eastAsia="zh-CN"/>
        </w:rPr>
        <w:t>1、</w:t>
      </w:r>
      <w:r>
        <w:rPr>
          <w:rFonts w:hint="eastAsia" w:ascii="仿宋_GB2312" w:hAnsi="仿宋" w:eastAsia="仿宋_GB2312"/>
          <w:color w:val="auto"/>
          <w:kern w:val="2"/>
          <w:highlight w:val="none"/>
        </w:rPr>
        <w:t>付款比例:</w:t>
      </w:r>
      <w:bookmarkStart w:id="81" w:name="_Toc19515387"/>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rPr>
      </w:pPr>
      <w:r>
        <w:rPr>
          <w:rFonts w:hint="eastAsia" w:ascii="仿宋_GB2312" w:hAnsi="仿宋" w:eastAsia="仿宋_GB2312"/>
          <w:color w:val="auto"/>
          <w:kern w:val="2"/>
          <w:highlight w:val="none"/>
          <w:lang w:val="en-US" w:eastAsia="zh-CN"/>
        </w:rPr>
        <w:t>1</w:t>
      </w:r>
      <w:r>
        <w:rPr>
          <w:rFonts w:hint="eastAsia" w:ascii="仿宋_GB2312" w:hAnsi="仿宋" w:eastAsia="仿宋_GB2312"/>
          <w:color w:val="auto"/>
          <w:kern w:val="2"/>
          <w:highlight w:val="none"/>
        </w:rPr>
        <w:t>.1、签订合同后，一个月内预付中标价格（合同总价）的40%开展工作。</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lang w:eastAsia="zh-CN"/>
        </w:rPr>
      </w:pPr>
      <w:r>
        <w:rPr>
          <w:rFonts w:hint="eastAsia" w:ascii="仿宋_GB2312" w:hAnsi="仿宋" w:eastAsia="仿宋_GB2312"/>
          <w:color w:val="auto"/>
          <w:kern w:val="2"/>
          <w:highlight w:val="none"/>
          <w:lang w:val="en-US" w:eastAsia="zh-CN"/>
        </w:rPr>
        <w:t>1</w:t>
      </w:r>
      <w:r>
        <w:rPr>
          <w:rFonts w:hint="eastAsia" w:ascii="仿宋_GB2312" w:hAnsi="仿宋" w:eastAsia="仿宋_GB2312"/>
          <w:color w:val="auto"/>
          <w:kern w:val="2"/>
          <w:highlight w:val="none"/>
        </w:rPr>
        <w:t>.2、</w:t>
      </w:r>
      <w:r>
        <w:rPr>
          <w:rFonts w:hint="eastAsia" w:ascii="仿宋_GB2312" w:hAnsi="仿宋" w:eastAsia="仿宋_GB2312"/>
          <w:color w:val="auto"/>
          <w:kern w:val="2"/>
          <w:highlight w:val="none"/>
          <w:lang w:val="en-US" w:eastAsia="zh-CN"/>
        </w:rPr>
        <w:t>乙方</w:t>
      </w:r>
      <w:r>
        <w:rPr>
          <w:rFonts w:hint="eastAsia" w:ascii="仿宋_GB2312" w:hAnsi="仿宋" w:eastAsia="仿宋_GB2312"/>
          <w:color w:val="auto"/>
          <w:kern w:val="2"/>
          <w:highlight w:val="none"/>
        </w:rPr>
        <w:t>成功举办一场专业展会、完成线上论坛配套博览会的功能升级，且综合博览会完成</w:t>
      </w:r>
      <w:r>
        <w:rPr>
          <w:rFonts w:hint="eastAsia" w:ascii="仿宋_GB2312" w:hAnsi="仿宋" w:eastAsia="仿宋_GB2312"/>
          <w:color w:val="auto"/>
          <w:kern w:val="2"/>
          <w:highlight w:val="none"/>
          <w:lang w:val="en-US" w:eastAsia="zh-CN"/>
        </w:rPr>
        <w:t>甲方</w:t>
      </w:r>
      <w:r>
        <w:rPr>
          <w:rFonts w:hint="eastAsia" w:ascii="仿宋_GB2312" w:hAnsi="仿宋" w:eastAsia="仿宋_GB2312"/>
          <w:color w:val="auto"/>
          <w:kern w:val="2"/>
          <w:highlight w:val="none"/>
        </w:rPr>
        <w:t>认可的预招展500强及行业龙头企业名单完成招商招展40家，完成整体招商招展总量90%，国外参展商比例达到20%，完成专业观众邀请1000人以上，完成综合博览会布展搭建设计方案，进度考核平均分95分以上，可申请支付中标价格的35%，经</w:t>
      </w:r>
      <w:r>
        <w:rPr>
          <w:rFonts w:hint="eastAsia" w:ascii="仿宋_GB2312" w:hAnsi="仿宋" w:eastAsia="仿宋_GB2312"/>
          <w:color w:val="auto"/>
          <w:kern w:val="2"/>
          <w:highlight w:val="none"/>
          <w:lang w:val="en-US" w:eastAsia="zh-CN"/>
        </w:rPr>
        <w:t>甲方</w:t>
      </w:r>
      <w:r>
        <w:rPr>
          <w:rFonts w:hint="eastAsia" w:ascii="仿宋_GB2312" w:hAnsi="仿宋" w:eastAsia="仿宋_GB2312"/>
          <w:color w:val="auto"/>
          <w:kern w:val="2"/>
          <w:highlight w:val="none"/>
        </w:rPr>
        <w:t>确认后安排支付</w:t>
      </w:r>
      <w:r>
        <w:rPr>
          <w:rFonts w:hint="eastAsia" w:ascii="仿宋_GB2312" w:hAnsi="仿宋" w:eastAsia="仿宋_GB2312"/>
          <w:color w:val="auto"/>
          <w:kern w:val="2"/>
          <w:highlight w:val="none"/>
          <w:lang w:eastAsia="zh-CN"/>
        </w:rPr>
        <w:t>。</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lang w:eastAsia="zh-CN"/>
        </w:rPr>
      </w:pPr>
      <w:r>
        <w:rPr>
          <w:rFonts w:hint="eastAsia" w:ascii="仿宋_GB2312" w:hAnsi="仿宋" w:eastAsia="仿宋_GB2312"/>
          <w:color w:val="auto"/>
          <w:kern w:val="2"/>
          <w:highlight w:val="none"/>
          <w:lang w:val="en-US" w:eastAsia="zh-CN"/>
        </w:rPr>
        <w:t>1</w:t>
      </w:r>
      <w:r>
        <w:rPr>
          <w:rFonts w:hint="eastAsia" w:ascii="仿宋_GB2312" w:hAnsi="仿宋" w:eastAsia="仿宋_GB2312"/>
          <w:color w:val="auto"/>
          <w:kern w:val="2"/>
          <w:highlight w:val="none"/>
        </w:rPr>
        <w:t>.3、项目结束后，</w:t>
      </w:r>
      <w:r>
        <w:rPr>
          <w:rFonts w:hint="eastAsia" w:ascii="仿宋_GB2312" w:hAnsi="仿宋" w:eastAsia="仿宋_GB2312"/>
          <w:color w:val="auto"/>
          <w:kern w:val="2"/>
          <w:highlight w:val="none"/>
          <w:lang w:val="en-US" w:eastAsia="zh-CN"/>
        </w:rPr>
        <w:t>甲方</w:t>
      </w:r>
      <w:r>
        <w:rPr>
          <w:rFonts w:hint="eastAsia" w:ascii="仿宋_GB2312" w:hAnsi="仿宋" w:eastAsia="仿宋_GB2312"/>
          <w:color w:val="auto"/>
          <w:kern w:val="2"/>
          <w:highlight w:val="none"/>
        </w:rPr>
        <w:t>对项目整体完成情况组织验收考核，并根据验收考核结果支付中标价格剩余的25%款项（验收考核分为90分（含90分）以上，支付剩余价款；验收考核分为85分（含85分）以上90分以下，支付剩余价款的90%；验收考核分为80分（含80分）以上85分以下，支付剩余价款的80%；验收考核分在80分以下，采购人有权拒绝支付剩余价款）</w:t>
      </w:r>
      <w:r>
        <w:rPr>
          <w:rFonts w:hint="eastAsia" w:ascii="仿宋_GB2312" w:hAnsi="仿宋" w:eastAsia="仿宋_GB2312"/>
          <w:color w:val="auto"/>
          <w:kern w:val="2"/>
          <w:highlight w:val="none"/>
          <w:lang w:eastAsia="zh-CN"/>
        </w:rPr>
        <w:t>。</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lang w:val="en-US" w:eastAsia="zh-CN"/>
        </w:rPr>
      </w:pPr>
      <w:r>
        <w:rPr>
          <w:rFonts w:hint="eastAsia" w:ascii="仿宋_GB2312" w:hAnsi="仿宋" w:eastAsia="仿宋_GB2312"/>
          <w:color w:val="auto"/>
          <w:kern w:val="2"/>
          <w:highlight w:val="none"/>
          <w:lang w:val="en-US" w:eastAsia="zh-CN"/>
        </w:rPr>
        <w:t>2、结算方式：银行转账。</w:t>
      </w:r>
    </w:p>
    <w:p>
      <w:pPr>
        <w:widowControl w:val="0"/>
        <w:adjustRightInd w:val="0"/>
        <w:snapToGrid w:val="0"/>
        <w:spacing w:line="360" w:lineRule="auto"/>
        <w:ind w:firstLine="480" w:firstLineChars="200"/>
        <w:jc w:val="both"/>
        <w:rPr>
          <w:rFonts w:hint="default"/>
          <w:color w:val="auto"/>
          <w:highlight w:val="none"/>
          <w:lang w:val="en-US" w:eastAsia="zh-CN"/>
        </w:rPr>
      </w:pPr>
      <w:r>
        <w:rPr>
          <w:rFonts w:hint="eastAsia" w:ascii="仿宋_GB2312" w:hAnsi="仿宋" w:eastAsia="仿宋_GB2312"/>
          <w:color w:val="auto"/>
          <w:kern w:val="2"/>
          <w:highlight w:val="none"/>
          <w:lang w:val="en-US" w:eastAsia="zh-CN"/>
        </w:rPr>
        <w:t>3、结算单位：由甲方负责结算，在付款前乙方开具付款金额的</w:t>
      </w:r>
      <w:r>
        <w:rPr>
          <w:rFonts w:hint="eastAsia" w:ascii="仿宋_GB2312" w:hAnsi="仿宋" w:eastAsia="仿宋_GB2312"/>
          <w:bCs/>
          <w:color w:val="auto"/>
          <w:highlight w:val="none"/>
          <w:lang w:val="en-US" w:eastAsia="zh-CN"/>
        </w:rPr>
        <w:t>等额发票交至甲方，甲方开始走付费程序，未收到合法发票，甲方不予支付且不承担任何责任。</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r>
        <w:rPr>
          <w:rFonts w:hint="eastAsia" w:ascii="仿宋_GB2312" w:hAnsi="仿宋" w:eastAsia="仿宋_GB2312"/>
          <w:b/>
          <w:color w:val="auto"/>
          <w:kern w:val="2"/>
          <w:highlight w:val="none"/>
        </w:rPr>
        <w:t>四、履行期限、地点及方式</w:t>
      </w:r>
      <w:bookmarkEnd w:id="81"/>
    </w:p>
    <w:p>
      <w:pPr>
        <w:widowControl w:val="0"/>
        <w:adjustRightInd w:val="0"/>
        <w:snapToGrid w:val="0"/>
        <w:spacing w:line="360" w:lineRule="auto"/>
        <w:ind w:firstLine="480" w:firstLineChars="200"/>
        <w:jc w:val="both"/>
        <w:rPr>
          <w:rFonts w:ascii="仿宋_GB2312" w:hAnsi="Times New Roman" w:eastAsia="仿宋_GB2312"/>
          <w:color w:val="auto"/>
          <w:kern w:val="2"/>
          <w:highlight w:val="none"/>
        </w:rPr>
      </w:pPr>
      <w:r>
        <w:rPr>
          <w:rFonts w:hint="eastAsia" w:ascii="仿宋_GB2312" w:hAnsi="仿宋" w:eastAsia="仿宋_GB2312"/>
          <w:color w:val="auto"/>
          <w:kern w:val="2"/>
          <w:highlight w:val="none"/>
        </w:rPr>
        <w:t>1、履行期限：一年</w:t>
      </w:r>
      <w:r>
        <w:rPr>
          <w:rFonts w:hint="eastAsia" w:ascii="仿宋_GB2312" w:hAnsi="Times New Roman" w:eastAsia="仿宋_GB2312"/>
          <w:color w:val="auto"/>
          <w:kern w:val="2"/>
          <w:highlight w:val="none"/>
        </w:rPr>
        <w:t xml:space="preserve"> </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2、地点：采购人指定地点</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3、方式：按照采购人要求</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bookmarkStart w:id="82" w:name="_Toc19515393"/>
      <w:r>
        <w:rPr>
          <w:rFonts w:hint="eastAsia" w:ascii="仿宋_GB2312" w:hAnsi="仿宋" w:eastAsia="仿宋_GB2312"/>
          <w:b/>
          <w:color w:val="auto"/>
          <w:kern w:val="2"/>
          <w:highlight w:val="none"/>
        </w:rPr>
        <w:t>五、双方权力和义务</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1、甲方权力和义务</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（1）协调展会场地；</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（2）甲方有权督促乙方完成合同中协议的所有工作内容及其工作进度；</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（3）甲方应主动提供有利于活动顺利执行实施的相关资源及便利；</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（4）甲方负责本次活动的相关报批手续；</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（5）甲方有权向乙方提出整改建议和意见。</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（6）甲方负责监督、检查乙方提供服务的工作进度、质量情况。</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2、乙方权力和义务</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（1）按照合同要求提供组展招商、布展搭建、统计撤展、会务服务、线上展会等全流程展会服务；</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（2）负责与甲方及参展商保持良好的沟通；</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（3）保证活动中所有设施设备的正常运转；</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（4）对甲方所提供的相关资料保密；</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lang w:eastAsia="zh-CN"/>
        </w:rPr>
      </w:pPr>
      <w:r>
        <w:rPr>
          <w:rFonts w:hint="eastAsia" w:ascii="仿宋_GB2312" w:hAnsi="仿宋" w:eastAsia="仿宋_GB2312"/>
          <w:color w:val="auto"/>
          <w:kern w:val="2"/>
          <w:highlight w:val="none"/>
        </w:rPr>
        <w:t>（5）对甲方提出的整改建议和意见，及时进行修正</w:t>
      </w:r>
      <w:r>
        <w:rPr>
          <w:rFonts w:hint="eastAsia" w:ascii="仿宋_GB2312" w:hAnsi="仿宋" w:eastAsia="仿宋_GB2312"/>
          <w:color w:val="auto"/>
          <w:kern w:val="2"/>
          <w:highlight w:val="none"/>
          <w:lang w:eastAsia="zh-CN"/>
        </w:rPr>
        <w:t>；</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lang w:eastAsia="zh-CN"/>
        </w:rPr>
      </w:pPr>
      <w:r>
        <w:rPr>
          <w:rFonts w:hint="eastAsia" w:ascii="仿宋_GB2312" w:hAnsi="仿宋" w:eastAsia="仿宋_GB2312"/>
          <w:color w:val="auto"/>
          <w:kern w:val="2"/>
          <w:highlight w:val="none"/>
        </w:rPr>
        <w:t>（6）乙方负责拆除并撤走已安装的搭建物</w:t>
      </w:r>
      <w:r>
        <w:rPr>
          <w:rFonts w:hint="eastAsia" w:ascii="仿宋_GB2312" w:hAnsi="仿宋" w:eastAsia="仿宋_GB2312"/>
          <w:color w:val="auto"/>
          <w:kern w:val="2"/>
          <w:highlight w:val="none"/>
          <w:lang w:eastAsia="zh-CN"/>
        </w:rPr>
        <w:t>；</w:t>
      </w:r>
    </w:p>
    <w:p>
      <w:pPr>
        <w:widowControl w:val="0"/>
        <w:adjustRightInd w:val="0"/>
        <w:snapToGrid w:val="0"/>
        <w:spacing w:line="360" w:lineRule="auto"/>
        <w:ind w:firstLine="480" w:firstLineChars="200"/>
        <w:jc w:val="both"/>
        <w:rPr>
          <w:rFonts w:hint="default" w:ascii="仿宋_GB2312" w:hAnsi="仿宋" w:eastAsia="仿宋_GB2312"/>
          <w:color w:val="auto"/>
          <w:kern w:val="2"/>
          <w:highlight w:val="none"/>
          <w:lang w:val="en-US" w:eastAsia="zh-CN"/>
        </w:rPr>
      </w:pPr>
      <w:r>
        <w:rPr>
          <w:rFonts w:hint="eastAsia" w:ascii="仿宋_GB2312" w:hAnsi="仿宋" w:eastAsia="仿宋_GB2312"/>
          <w:color w:val="auto"/>
          <w:kern w:val="2"/>
          <w:highlight w:val="none"/>
          <w:lang w:val="en-US" w:eastAsia="zh-CN"/>
        </w:rPr>
        <w:t>（7）乙方按照投标文件、资料、承诺、说明、会议纪要承担责任。</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r>
        <w:rPr>
          <w:rFonts w:hint="eastAsia" w:ascii="仿宋_GB2312" w:hAnsi="仿宋" w:eastAsia="仿宋_GB2312"/>
          <w:b/>
          <w:color w:val="auto"/>
          <w:kern w:val="2"/>
          <w:highlight w:val="none"/>
        </w:rPr>
        <w:t>六、其他</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ascii="仿宋_GB2312" w:hAnsi="仿宋" w:eastAsia="仿宋_GB2312"/>
          <w:color w:val="auto"/>
          <w:kern w:val="2"/>
          <w:highlight w:val="none"/>
        </w:rPr>
        <w:t>疫情防控方面：中标企业应充分考虑并准备好疫情防控要求，承担因疫情防控及其他不可抗力所产生的风险。配套博览会严格执行各级政府对疫情防控的相关要求，如需要取消配套博览会则项目立刻终止，已确认需支付的费用继续完成支付手续，其他费用不在支付并且不与任何补偿。</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r>
        <w:rPr>
          <w:rFonts w:hint="eastAsia" w:ascii="仿宋_GB2312" w:hAnsi="仿宋" w:eastAsia="仿宋_GB2312"/>
          <w:b/>
          <w:color w:val="auto"/>
          <w:kern w:val="2"/>
          <w:highlight w:val="none"/>
        </w:rPr>
        <w:t>七、保密</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1、本合同所称保密资料包括但不限于：</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（1）甲方提供的资料；</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（2）乙方为完成服务事项所涉及到的宣传品、图文资料；</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（3）乙方签订及履行本合同过程中接触到的政府工作信息、商业秘密或其他技术、经营数据、客户信息等。</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乙方对保密事项负有保密义务，未经甲方书面许可，乙方不得向任何第三方披露，不得将保密资料、信息的部分或全部用于本合同约定事项以外的其他用途。乙方有义务对保密事项采取不低于对其本身商业秘密所采取的保护手段予以保护。乙方可仅为本合同目的向其内部有知悉必要的雇员披露保密事项，但同时须指示其雇员遵守本条规定的保密义务。</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r>
        <w:rPr>
          <w:rFonts w:hint="eastAsia" w:ascii="仿宋_GB2312" w:hAnsi="仿宋" w:eastAsia="仿宋_GB2312"/>
          <w:b/>
          <w:color w:val="auto"/>
          <w:kern w:val="2"/>
          <w:highlight w:val="none"/>
        </w:rPr>
        <w:t>八、违约责任</w:t>
      </w:r>
    </w:p>
    <w:bookmarkEnd w:id="82"/>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1、乙方应按合同约定时间完成各阶段合同义务，若发生延迟或服务质量未达标，甲方有权扣除合同总价款1%至20%的违约金，且甲方有权单方解除本合同。</w:t>
      </w:r>
      <w:r>
        <w:rPr>
          <w:rFonts w:hint="eastAsia" w:ascii="仿宋_GB2312" w:hAnsi="仿宋" w:eastAsia="仿宋_GB2312"/>
          <w:color w:val="auto"/>
          <w:kern w:val="2"/>
          <w:highlight w:val="none"/>
        </w:rPr>
        <w:t>乙方未按照合同要求的任务完成任一项，甲方有权要求乙方承担该项违约责任，违约责任以合同总金额的</w:t>
      </w:r>
      <w:r>
        <w:rPr>
          <w:rFonts w:hint="eastAsia" w:ascii="仿宋_GB2312" w:hAnsi="仿宋" w:eastAsia="仿宋_GB2312"/>
          <w:color w:val="auto"/>
          <w:kern w:val="2"/>
          <w:highlight w:val="none"/>
          <w:lang w:val="en-US" w:eastAsia="zh-CN"/>
        </w:rPr>
        <w:t>10%</w:t>
      </w:r>
      <w:r>
        <w:rPr>
          <w:rFonts w:hint="eastAsia" w:ascii="仿宋_GB2312" w:hAnsi="仿宋" w:eastAsia="仿宋_GB2312"/>
          <w:color w:val="auto"/>
          <w:kern w:val="2"/>
          <w:highlight w:val="none"/>
        </w:rPr>
        <w:t>计算。</w:t>
      </w:r>
      <w:r>
        <w:rPr>
          <w:rFonts w:hint="eastAsia" w:ascii="仿宋_GB2312" w:hAnsi="仿宋" w:eastAsia="仿宋_GB2312"/>
          <w:color w:val="auto"/>
          <w:kern w:val="2"/>
          <w:highlight w:val="none"/>
        </w:rPr>
        <w:t>但甲方书面同意延迟或因甲方原因导致延迟的，乙方不承担违约责任。</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2、若乙方未能按照甲方提出的整改建议和意见及时进行修正服务方案，按违约处理，甲方有权扣除合同总价款1%至20%的违约金，且甲方有权单方解除本合同。</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3、如甲方未能在本合同约定时间内支付款项，每延迟一天，甲方须向乙方承担迟延支付费用的0.5‰作为违约金，并将服务周期予以相应顺延。</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4、本次活动因乙方原因导致侵害甲方或第三方合法权益的，应由乙方承担相应赔偿责任，并向甲方支付合同总价款10%的违约金。</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5、若乙方未经甲方同意泄露本合同约定的任何秘密信息的，乙方应按照合同总价款的10%向甲方支付违约金，并赔偿因此给甲方造成的损失。</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6、乙方保证向甲方开具发票的真实性、合法性，若乙方向甲方开具的发票存在真实性、合法性问题，给甲方造成损失的，乙方应按合同总价款的10%向甲方支付违约金，违约金不足以弥补损失的，乙方还应承担相应赔偿责任；</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7、</w:t>
      </w:r>
      <w:r>
        <w:rPr>
          <w:rFonts w:hint="eastAsia" w:ascii="仿宋_GB2312" w:hAnsi="仿宋" w:eastAsia="仿宋_GB2312"/>
          <w:color w:val="auto"/>
          <w:kern w:val="2"/>
          <w:highlight w:val="none"/>
          <w:lang w:val="en-US" w:eastAsia="zh-CN"/>
        </w:rPr>
        <w:t>验收考核表</w:t>
      </w:r>
      <w:r>
        <w:rPr>
          <w:rFonts w:hint="eastAsia" w:ascii="仿宋_GB2312" w:hAnsi="仿宋" w:eastAsia="仿宋_GB2312"/>
          <w:color w:val="auto"/>
          <w:kern w:val="2"/>
          <w:highlight w:val="none"/>
        </w:rPr>
        <w:t>在80分以下，乙方应按照合同总价款的30%向甲方支付违约金。</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8、甲、乙双方任何一方无故取消本次活动的，按以下约定处理：</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lang w:eastAsia="zh-CN"/>
        </w:rPr>
      </w:pPr>
      <w:r>
        <w:rPr>
          <w:rFonts w:hint="eastAsia" w:ascii="仿宋_GB2312" w:hAnsi="仿宋" w:eastAsia="仿宋_GB2312"/>
          <w:color w:val="auto"/>
          <w:kern w:val="2"/>
          <w:highlight w:val="none"/>
        </w:rPr>
        <w:t>（1）本合同签订后，预付款尚未支付前，甲方明确取消本次会议，应提前三日通知乙方，向乙方补偿五万元损失。如因疫情防控或国家政策导致，甲方不承担任何责任，同时有权则时递延时间举办继续履行本合同</w:t>
      </w:r>
      <w:r>
        <w:rPr>
          <w:rFonts w:hint="eastAsia" w:ascii="仿宋_GB2312" w:hAnsi="仿宋" w:eastAsia="仿宋_GB2312"/>
          <w:color w:val="auto"/>
          <w:kern w:val="2"/>
          <w:highlight w:val="none"/>
          <w:lang w:eastAsia="zh-CN"/>
        </w:rPr>
        <w:t>。</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lang w:eastAsia="zh-CN"/>
        </w:rPr>
      </w:pPr>
      <w:r>
        <w:rPr>
          <w:rFonts w:hint="eastAsia" w:ascii="仿宋_GB2312" w:hAnsi="仿宋" w:eastAsia="仿宋_GB2312"/>
          <w:color w:val="auto"/>
          <w:kern w:val="2"/>
          <w:highlight w:val="none"/>
        </w:rPr>
        <w:t>（2）本合同签订后尚未支付预付款时，乙方明确表示或以自己的行为表明不履行本合同包括但不限于拖延履行，无法按期完成会展任务。甲方有权解除合同，同时乙方按照本合同金额</w:t>
      </w:r>
      <w:r>
        <w:rPr>
          <w:rFonts w:hint="eastAsia" w:ascii="仿宋_GB2312" w:hAnsi="仿宋" w:eastAsia="仿宋_GB2312"/>
          <w:color w:val="auto"/>
          <w:kern w:val="2"/>
          <w:highlight w:val="none"/>
          <w:lang w:val="en-US" w:eastAsia="zh-CN"/>
        </w:rPr>
        <w:t>30%</w:t>
      </w:r>
      <w:r>
        <w:rPr>
          <w:rFonts w:hint="eastAsia" w:ascii="仿宋_GB2312" w:hAnsi="仿宋" w:eastAsia="仿宋_GB2312"/>
          <w:color w:val="auto"/>
          <w:kern w:val="2"/>
          <w:highlight w:val="none"/>
        </w:rPr>
        <w:t>向甲方承担违约责任</w:t>
      </w:r>
      <w:r>
        <w:rPr>
          <w:rFonts w:hint="eastAsia" w:ascii="仿宋_GB2312" w:hAnsi="仿宋" w:eastAsia="仿宋_GB2312"/>
          <w:color w:val="auto"/>
          <w:kern w:val="2"/>
          <w:highlight w:val="none"/>
          <w:lang w:eastAsia="zh-CN"/>
        </w:rPr>
        <w:t>。</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rPr>
      </w:pPr>
      <w:r>
        <w:rPr>
          <w:rFonts w:hint="eastAsia" w:ascii="仿宋_GB2312" w:hAnsi="仿宋" w:eastAsia="仿宋_GB2312"/>
          <w:color w:val="auto"/>
          <w:kern w:val="2"/>
          <w:highlight w:val="none"/>
        </w:rPr>
        <w:t>（3）本合同签订后乙方收取预付款后，乙方明确表示或以自己的行为表明不履行本合同包括但不限于拖延履行，无法按期完成会展任务。甲方有权解除合同，同时乙方退还预付款，且按照本合同金额</w:t>
      </w:r>
      <w:r>
        <w:rPr>
          <w:rFonts w:hint="eastAsia" w:ascii="仿宋_GB2312" w:hAnsi="仿宋" w:eastAsia="仿宋_GB2312"/>
          <w:color w:val="auto"/>
          <w:kern w:val="2"/>
          <w:highlight w:val="none"/>
          <w:lang w:val="en-US" w:eastAsia="zh-CN"/>
        </w:rPr>
        <w:t>30%</w:t>
      </w:r>
      <w:r>
        <w:rPr>
          <w:rFonts w:hint="eastAsia" w:ascii="仿宋_GB2312" w:hAnsi="仿宋" w:eastAsia="仿宋_GB2312"/>
          <w:color w:val="auto"/>
          <w:kern w:val="2"/>
          <w:highlight w:val="none"/>
        </w:rPr>
        <w:t>向甲方承担违约责任，并以三十天为依据每日向甲方赔偿十万元人民币损失。</w:t>
      </w:r>
    </w:p>
    <w:p>
      <w:pPr>
        <w:widowControl w:val="0"/>
        <w:adjustRightInd w:val="0"/>
        <w:snapToGrid w:val="0"/>
        <w:spacing w:line="360" w:lineRule="auto"/>
        <w:ind w:firstLine="480" w:firstLineChars="200"/>
        <w:jc w:val="both"/>
        <w:rPr>
          <w:rFonts w:hint="eastAsia" w:ascii="仿宋_GB2312" w:hAnsi="仿宋" w:eastAsia="仿宋_GB2312"/>
          <w:color w:val="auto"/>
          <w:kern w:val="2"/>
          <w:highlight w:val="none"/>
          <w:lang w:eastAsia="zh-CN"/>
        </w:rPr>
      </w:pPr>
      <w:r>
        <w:rPr>
          <w:rFonts w:hint="eastAsia" w:ascii="仿宋_GB2312" w:hAnsi="仿宋" w:eastAsia="仿宋_GB2312"/>
          <w:color w:val="auto"/>
          <w:kern w:val="2"/>
          <w:highlight w:val="none"/>
        </w:rPr>
        <w:t>（</w:t>
      </w:r>
      <w:r>
        <w:rPr>
          <w:rFonts w:hint="eastAsia" w:ascii="仿宋_GB2312" w:hAnsi="仿宋" w:eastAsia="仿宋_GB2312"/>
          <w:color w:val="auto"/>
          <w:kern w:val="2"/>
          <w:highlight w:val="none"/>
          <w:lang w:val="en-US" w:eastAsia="zh-CN"/>
        </w:rPr>
        <w:t>4</w:t>
      </w:r>
      <w:r>
        <w:rPr>
          <w:rFonts w:hint="eastAsia" w:ascii="仿宋_GB2312" w:hAnsi="仿宋" w:eastAsia="仿宋_GB2312"/>
          <w:color w:val="auto"/>
          <w:kern w:val="2"/>
          <w:highlight w:val="none"/>
        </w:rPr>
        <w:t>）本合同约定的违约金，赔偿金甲方有权合并计算。</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r>
        <w:rPr>
          <w:rFonts w:hint="eastAsia" w:ascii="仿宋_GB2312" w:hAnsi="仿宋" w:eastAsia="仿宋_GB2312"/>
          <w:b/>
          <w:color w:val="auto"/>
          <w:kern w:val="2"/>
          <w:highlight w:val="none"/>
        </w:rPr>
        <w:t>九、知识产权</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在本合同履行过程中产生的相关作品著作权归甲方所有，未经甲方许可乙方不得擅自使用。</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r>
        <w:rPr>
          <w:rFonts w:hint="eastAsia" w:ascii="仿宋_GB2312" w:hAnsi="仿宋" w:eastAsia="仿宋_GB2312"/>
          <w:b/>
          <w:color w:val="auto"/>
          <w:kern w:val="2"/>
          <w:highlight w:val="none"/>
        </w:rPr>
        <w:t>十、免责声明</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出现下列情况导致本合同不能履行的，乙方可豁免违约责任：由于不可抗力（包括瘟疫、地震、台风、洪水、火灾、战争、罢工、政府禁令以及双方均不可预见、不能控制的事情或情况）导致本协议不能履行的；甲方过错导致自身及他方损失的。</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r>
        <w:rPr>
          <w:rFonts w:hint="eastAsia" w:ascii="仿宋_GB2312" w:hAnsi="仿宋" w:eastAsia="仿宋_GB2312"/>
          <w:b/>
          <w:color w:val="auto"/>
          <w:kern w:val="2"/>
          <w:highlight w:val="none"/>
        </w:rPr>
        <w:t>十一、合同组成</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1、中标通知书</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2、合同文件</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3、国家相关规范及标准</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4、招标文件</w:t>
      </w:r>
    </w:p>
    <w:p>
      <w:pPr>
        <w:widowControl w:val="0"/>
        <w:adjustRightInd w:val="0"/>
        <w:snapToGrid w:val="0"/>
        <w:spacing w:line="360" w:lineRule="auto"/>
        <w:ind w:firstLine="480" w:firstLineChars="20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5、投标文件</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bookmarkStart w:id="83" w:name="_Toc19515394"/>
      <w:r>
        <w:rPr>
          <w:rFonts w:hint="eastAsia" w:ascii="仿宋_GB2312" w:hAnsi="仿宋" w:eastAsia="仿宋_GB2312"/>
          <w:b/>
          <w:color w:val="auto"/>
          <w:kern w:val="2"/>
          <w:highlight w:val="none"/>
        </w:rPr>
        <w:t>十二、解决争议的方法</w:t>
      </w:r>
      <w:bookmarkEnd w:id="83"/>
    </w:p>
    <w:p>
      <w:pPr>
        <w:autoSpaceDE w:val="0"/>
        <w:autoSpaceDN w:val="0"/>
        <w:snapToGrid w:val="0"/>
        <w:spacing w:line="360" w:lineRule="auto"/>
        <w:ind w:right="-110" w:firstLine="480" w:firstLineChars="200"/>
        <w:jc w:val="both"/>
        <w:textAlignment w:val="bottom"/>
        <w:rPr>
          <w:rFonts w:hint="eastAsia" w:ascii="仿宋_GB2312" w:hAnsi="仿宋" w:eastAsia="仿宋_GB2312"/>
          <w:color w:val="auto"/>
          <w:highlight w:val="none"/>
          <w:lang w:eastAsia="zh-CN"/>
        </w:rPr>
      </w:pPr>
      <w:r>
        <w:rPr>
          <w:rFonts w:hint="eastAsia" w:ascii="仿宋_GB2312" w:hAnsi="仿宋" w:eastAsia="仿宋_GB2312"/>
          <w:color w:val="auto"/>
          <w:highlight w:val="none"/>
        </w:rPr>
        <w:t>凡因本合同引起的或与本合同有关的争议，双方应友好协商解决。协商不成时，</w:t>
      </w:r>
      <w:r>
        <w:rPr>
          <w:rFonts w:hint="eastAsia" w:ascii="仿宋_GB2312" w:hAnsi="仿宋" w:eastAsia="仿宋_GB2312"/>
          <w:color w:val="auto"/>
          <w:highlight w:val="none"/>
        </w:rPr>
        <w:t>甲、乙双方均同意向甲方所在地人民法院提起诉讼</w:t>
      </w:r>
      <w:r>
        <w:rPr>
          <w:rFonts w:hint="eastAsia" w:ascii="仿宋_GB2312" w:hAnsi="仿宋" w:eastAsia="仿宋_GB2312"/>
          <w:color w:val="auto"/>
          <w:highlight w:val="none"/>
        </w:rPr>
        <w:t>解决</w:t>
      </w:r>
      <w:r>
        <w:rPr>
          <w:rFonts w:hint="eastAsia" w:ascii="仿宋_GB2312" w:hAnsi="仿宋" w:eastAsia="仿宋_GB2312"/>
          <w:color w:val="auto"/>
          <w:highlight w:val="none"/>
          <w:lang w:eastAsia="zh-CN"/>
        </w:rPr>
        <w:t>。</w:t>
      </w:r>
    </w:p>
    <w:p>
      <w:pPr>
        <w:widowControl w:val="0"/>
        <w:adjustRightInd w:val="0"/>
        <w:snapToGrid w:val="0"/>
        <w:spacing w:line="360" w:lineRule="auto"/>
        <w:ind w:firstLine="480" w:firstLineChars="200"/>
        <w:jc w:val="both"/>
        <w:rPr>
          <w:rFonts w:ascii="仿宋_GB2312" w:hAnsi="仿宋" w:eastAsia="仿宋_GB2312"/>
          <w:b/>
          <w:color w:val="auto"/>
          <w:kern w:val="2"/>
          <w:highlight w:val="none"/>
        </w:rPr>
      </w:pPr>
      <w:bookmarkStart w:id="84" w:name="_Toc19515395"/>
      <w:r>
        <w:rPr>
          <w:rFonts w:hint="eastAsia" w:ascii="仿宋_GB2312" w:hAnsi="仿宋" w:eastAsia="仿宋_GB2312"/>
          <w:b/>
          <w:color w:val="auto"/>
          <w:kern w:val="2"/>
          <w:highlight w:val="none"/>
        </w:rPr>
        <w:t>十三、合同生效及其它</w:t>
      </w:r>
      <w:bookmarkEnd w:id="84"/>
    </w:p>
    <w:p>
      <w:pPr>
        <w:autoSpaceDE w:val="0"/>
        <w:autoSpaceDN w:val="0"/>
        <w:snapToGrid w:val="0"/>
        <w:spacing w:line="360" w:lineRule="auto"/>
        <w:ind w:right="-110" w:firstLine="480" w:firstLineChars="200"/>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1、合同未尽事宜、由甲、乙双方协商，作为合同补充，与原合同具有同等法律效力。</w:t>
      </w:r>
    </w:p>
    <w:p>
      <w:pPr>
        <w:tabs>
          <w:tab w:val="left" w:pos="8391"/>
        </w:tabs>
        <w:autoSpaceDE w:val="0"/>
        <w:autoSpaceDN w:val="0"/>
        <w:snapToGrid w:val="0"/>
        <w:spacing w:line="360" w:lineRule="auto"/>
        <w:ind w:right="-69" w:firstLine="480" w:firstLineChars="200"/>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2、 本合同一式</w:t>
      </w:r>
      <w:r>
        <w:rPr>
          <w:rFonts w:hint="eastAsia" w:ascii="仿宋_GB2312" w:hAnsi="仿宋" w:eastAsia="仿宋_GB2312"/>
          <w:color w:val="auto"/>
          <w:highlight w:val="none"/>
          <w:u w:val="single"/>
        </w:rPr>
        <w:t xml:space="preserve">  </w:t>
      </w:r>
      <w:r>
        <w:rPr>
          <w:rFonts w:hint="eastAsia" w:ascii="仿宋_GB2312" w:hAnsi="仿宋" w:eastAsia="仿宋_GB2312"/>
          <w:color w:val="auto"/>
          <w:highlight w:val="none"/>
        </w:rPr>
        <w:t>份，甲方、乙方双方分别执</w:t>
      </w:r>
      <w:r>
        <w:rPr>
          <w:rFonts w:hint="eastAsia" w:ascii="仿宋_GB2312" w:hAnsi="仿宋" w:eastAsia="仿宋_GB2312"/>
          <w:color w:val="auto"/>
          <w:highlight w:val="none"/>
          <w:u w:val="single"/>
        </w:rPr>
        <w:t xml:space="preserve">  </w:t>
      </w:r>
      <w:r>
        <w:rPr>
          <w:rFonts w:hint="eastAsia" w:ascii="仿宋_GB2312" w:hAnsi="仿宋" w:eastAsia="仿宋_GB2312"/>
          <w:color w:val="auto"/>
          <w:highlight w:val="none"/>
        </w:rPr>
        <w:t>份，</w:t>
      </w:r>
      <w:r>
        <w:rPr>
          <w:rFonts w:hint="eastAsia" w:ascii="仿宋_GB2312" w:hAnsi="仿宋" w:eastAsia="仿宋_GB2312"/>
          <w:color w:val="auto"/>
          <w:highlight w:val="none"/>
          <w:u w:val="single"/>
        </w:rPr>
        <w:t xml:space="preserve">   </w:t>
      </w:r>
      <w:r>
        <w:rPr>
          <w:rFonts w:hint="eastAsia" w:ascii="仿宋_GB2312" w:hAnsi="仿宋" w:eastAsia="仿宋_GB2312"/>
          <w:color w:val="auto"/>
          <w:highlight w:val="none"/>
        </w:rPr>
        <w:t>备案</w:t>
      </w:r>
      <w:r>
        <w:rPr>
          <w:rFonts w:hint="eastAsia" w:ascii="仿宋_GB2312" w:hAnsi="仿宋" w:eastAsia="仿宋_GB2312"/>
          <w:color w:val="auto"/>
          <w:highlight w:val="none"/>
          <w:u w:val="single"/>
        </w:rPr>
        <w:t xml:space="preserve">  </w:t>
      </w:r>
      <w:r>
        <w:rPr>
          <w:rFonts w:hint="eastAsia" w:ascii="仿宋_GB2312" w:hAnsi="仿宋" w:eastAsia="仿宋_GB2312"/>
          <w:color w:val="auto"/>
          <w:highlight w:val="none"/>
        </w:rPr>
        <w:t>份。</w:t>
      </w:r>
    </w:p>
    <w:p>
      <w:pPr>
        <w:tabs>
          <w:tab w:val="left" w:pos="8391"/>
        </w:tabs>
        <w:autoSpaceDE w:val="0"/>
        <w:autoSpaceDN w:val="0"/>
        <w:snapToGrid w:val="0"/>
        <w:spacing w:line="360" w:lineRule="auto"/>
        <w:ind w:right="-69" w:firstLine="480" w:firstLineChars="200"/>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3、合同经甲乙双方盖章、签字后生效，合同签订地点为</w:t>
      </w:r>
      <w:r>
        <w:rPr>
          <w:rFonts w:hint="eastAsia" w:ascii="仿宋_GB2312" w:hAnsi="仿宋" w:eastAsia="仿宋_GB2312"/>
          <w:color w:val="auto"/>
          <w:highlight w:val="none"/>
          <w:u w:val="single"/>
        </w:rPr>
        <w:t xml:space="preserve">   </w:t>
      </w:r>
      <w:r>
        <w:rPr>
          <w:rFonts w:hint="eastAsia" w:ascii="仿宋_GB2312" w:hAnsi="仿宋" w:eastAsia="仿宋_GB2312"/>
          <w:color w:val="auto"/>
          <w:highlight w:val="none"/>
        </w:rPr>
        <w:t>。</w:t>
      </w:r>
    </w:p>
    <w:p>
      <w:pPr>
        <w:tabs>
          <w:tab w:val="left" w:pos="8391"/>
        </w:tabs>
        <w:autoSpaceDE w:val="0"/>
        <w:autoSpaceDN w:val="0"/>
        <w:snapToGrid w:val="0"/>
        <w:spacing w:line="360" w:lineRule="auto"/>
        <w:ind w:right="-69" w:firstLine="480" w:firstLineChars="200"/>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4、生效时间：   年  月  日</w:t>
      </w:r>
    </w:p>
    <w:tbl>
      <w:tblPr>
        <w:tblStyle w:val="39"/>
        <w:tblpPr w:leftFromText="180" w:rightFromText="180" w:vertAnchor="text" w:horzAnchor="page" w:tblpX="1908" w:tblpY="454"/>
        <w:tblOverlap w:val="never"/>
        <w:tblW w:w="0" w:type="auto"/>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Pr>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甲方名称</w:t>
            </w:r>
            <w:r>
              <w:rPr>
                <w:rFonts w:hint="eastAsia" w:ascii="仿宋_GB2312" w:hAnsi="仿宋" w:eastAsia="仿宋_GB2312"/>
                <w:color w:val="auto"/>
                <w:spacing w:val="-20"/>
                <w:highlight w:val="none"/>
              </w:rPr>
              <w:t>（盖章）</w:t>
            </w:r>
            <w:r>
              <w:rPr>
                <w:rFonts w:hint="eastAsia" w:ascii="仿宋_GB2312" w:hAnsi="仿宋" w:eastAsia="仿宋_GB2312"/>
                <w:color w:val="auto"/>
                <w:highlight w:val="none"/>
              </w:rPr>
              <w:t>:</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地址：</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代表人（签字）：</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电话：</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开户银行：</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帐号：</w:t>
            </w:r>
          </w:p>
        </w:tc>
        <w:tc>
          <w:tcPr>
            <w:tcW w:w="4643" w:type="dxa"/>
          </w:tcPr>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乙方名称</w:t>
            </w:r>
            <w:r>
              <w:rPr>
                <w:rFonts w:hint="eastAsia" w:ascii="仿宋_GB2312" w:hAnsi="仿宋" w:eastAsia="仿宋_GB2312"/>
                <w:color w:val="auto"/>
                <w:spacing w:val="-20"/>
                <w:highlight w:val="none"/>
              </w:rPr>
              <w:t>（盖章）</w:t>
            </w:r>
            <w:r>
              <w:rPr>
                <w:rFonts w:hint="eastAsia" w:ascii="仿宋_GB2312" w:hAnsi="仿宋" w:eastAsia="仿宋_GB2312"/>
                <w:color w:val="auto"/>
                <w:highlight w:val="none"/>
              </w:rPr>
              <w:t>:</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地址：</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代表人（签字）：</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电话：</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开户银行：</w:t>
            </w:r>
          </w:p>
          <w:p>
            <w:pPr>
              <w:autoSpaceDE w:val="0"/>
              <w:autoSpaceDN w:val="0"/>
              <w:snapToGrid w:val="0"/>
              <w:spacing w:line="360" w:lineRule="auto"/>
              <w:ind w:right="-154"/>
              <w:jc w:val="both"/>
              <w:textAlignment w:val="bottom"/>
              <w:rPr>
                <w:rFonts w:ascii="仿宋_GB2312" w:hAnsi="仿宋" w:eastAsia="仿宋_GB2312"/>
                <w:color w:val="auto"/>
                <w:highlight w:val="none"/>
              </w:rPr>
            </w:pPr>
            <w:r>
              <w:rPr>
                <w:rFonts w:hint="eastAsia" w:ascii="仿宋_GB2312" w:hAnsi="仿宋" w:eastAsia="仿宋_GB2312"/>
                <w:color w:val="auto"/>
                <w:highlight w:val="none"/>
              </w:rPr>
              <w:t>帐号：</w:t>
            </w:r>
          </w:p>
        </w:tc>
      </w:tr>
    </w:tbl>
    <w:p>
      <w:pPr>
        <w:rPr>
          <w:color w:val="auto"/>
          <w:highlight w:val="none"/>
        </w:rPr>
      </w:pPr>
    </w:p>
    <w:p>
      <w:pPr>
        <w:rPr>
          <w:color w:val="auto"/>
          <w:highlight w:val="none"/>
        </w:rPr>
      </w:pPr>
    </w:p>
    <w:p>
      <w:pPr>
        <w:rPr>
          <w:rFonts w:ascii="仿宋_GB2312" w:hAnsi="仿宋" w:eastAsia="仿宋_GB2312"/>
          <w:b/>
          <w:color w:val="auto"/>
          <w:highlight w:val="none"/>
        </w:rPr>
      </w:pPr>
    </w:p>
    <w:p>
      <w:pPr>
        <w:rPr>
          <w:rFonts w:hint="eastAsia" w:ascii="仿宋_GB2312" w:eastAsia="仿宋_GB2312"/>
          <w:b/>
          <w:color w:val="auto"/>
          <w:sz w:val="24"/>
          <w:szCs w:val="24"/>
          <w:highlight w:val="none"/>
        </w:rPr>
      </w:pPr>
      <w:bookmarkStart w:id="85" w:name="_Toc107503702"/>
      <w:r>
        <w:rPr>
          <w:rFonts w:hint="eastAsia" w:ascii="仿宋_GB2312" w:eastAsia="仿宋_GB2312"/>
          <w:b/>
          <w:color w:val="auto"/>
          <w:sz w:val="24"/>
          <w:szCs w:val="24"/>
          <w:highlight w:val="none"/>
        </w:rPr>
        <w:br w:type="page"/>
      </w:r>
    </w:p>
    <w:p>
      <w:pPr>
        <w:pStyle w:val="3"/>
        <w:rPr>
          <w:rFonts w:ascii="仿宋_GB2312" w:eastAsia="仿宋_GB2312"/>
          <w:b/>
          <w:color w:val="auto"/>
          <w:sz w:val="24"/>
          <w:szCs w:val="24"/>
          <w:highlight w:val="none"/>
        </w:rPr>
      </w:pPr>
      <w:r>
        <w:rPr>
          <w:rFonts w:hint="eastAsia" w:ascii="仿宋_GB2312" w:eastAsia="仿宋_GB2312"/>
          <w:b/>
          <w:color w:val="auto"/>
          <w:sz w:val="24"/>
          <w:szCs w:val="24"/>
          <w:highlight w:val="none"/>
        </w:rPr>
        <w:t>第五章 投标文件构成及格式</w:t>
      </w:r>
      <w:bookmarkEnd w:id="77"/>
      <w:bookmarkEnd w:id="85"/>
    </w:p>
    <w:p>
      <w:pPr>
        <w:rPr>
          <w:color w:val="auto"/>
          <w:highlight w:val="none"/>
        </w:rPr>
      </w:pPr>
    </w:p>
    <w:p>
      <w:pPr>
        <w:rPr>
          <w:color w:val="auto"/>
          <w:highlight w:val="none"/>
        </w:rPr>
      </w:pPr>
    </w:p>
    <w:p>
      <w:pPr>
        <w:rPr>
          <w:color w:val="auto"/>
          <w:highlight w:val="none"/>
        </w:rPr>
      </w:pPr>
    </w:p>
    <w:p>
      <w:pPr>
        <w:jc w:val="center"/>
        <w:rPr>
          <w:rFonts w:ascii="仿宋_GB2312" w:hAnsi="仿宋" w:eastAsia="仿宋_GB2312"/>
          <w:color w:val="auto"/>
          <w:highlight w:val="none"/>
        </w:rPr>
      </w:pPr>
    </w:p>
    <w:p>
      <w:pPr>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欧亚经济论坛经贸合作博览会</w:t>
      </w:r>
    </w:p>
    <w:p>
      <w:pPr>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暨中国（陕西）进出口商品展</w:t>
      </w:r>
    </w:p>
    <w:p>
      <w:pPr>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2022年系列活动</w:t>
      </w:r>
    </w:p>
    <w:p>
      <w:pPr>
        <w:pStyle w:val="2"/>
        <w:rPr>
          <w:color w:val="auto"/>
          <w:highlight w:val="none"/>
        </w:rPr>
      </w:pPr>
    </w:p>
    <w:p>
      <w:pPr>
        <w:jc w:val="center"/>
        <w:rPr>
          <w:rFonts w:asciiTheme="majorEastAsia" w:hAnsiTheme="majorEastAsia" w:eastAsiaTheme="majorEastAsia"/>
          <w:b/>
          <w:color w:val="auto"/>
          <w:sz w:val="48"/>
          <w:szCs w:val="48"/>
          <w:highlight w:val="none"/>
        </w:rPr>
      </w:pPr>
      <w:r>
        <w:rPr>
          <w:rFonts w:hint="eastAsia" w:asciiTheme="majorEastAsia" w:hAnsiTheme="majorEastAsia" w:eastAsiaTheme="majorEastAsia"/>
          <w:b/>
          <w:color w:val="auto"/>
          <w:sz w:val="48"/>
          <w:szCs w:val="48"/>
          <w:highlight w:val="none"/>
        </w:rPr>
        <w:t>投标文件</w:t>
      </w:r>
    </w:p>
    <w:p>
      <w:pPr>
        <w:jc w:val="center"/>
        <w:rPr>
          <w:rFonts w:asciiTheme="majorEastAsia" w:hAnsiTheme="majorEastAsia" w:eastAsiaTheme="majorEastAsia"/>
          <w:b/>
          <w:color w:val="auto"/>
          <w:sz w:val="48"/>
          <w:szCs w:val="48"/>
          <w:highlight w:val="none"/>
        </w:rPr>
      </w:pPr>
    </w:p>
    <w:p>
      <w:pPr>
        <w:jc w:val="center"/>
        <w:rPr>
          <w:rFonts w:asciiTheme="majorEastAsia" w:hAnsiTheme="majorEastAsia" w:eastAsiaTheme="majorEastAsia"/>
          <w:b/>
          <w:color w:val="auto"/>
          <w:sz w:val="32"/>
          <w:szCs w:val="48"/>
          <w:highlight w:val="none"/>
        </w:rPr>
      </w:pPr>
      <w:r>
        <w:rPr>
          <w:rFonts w:hint="eastAsia" w:asciiTheme="majorEastAsia" w:hAnsiTheme="majorEastAsia" w:eastAsiaTheme="majorEastAsia"/>
          <w:b/>
          <w:color w:val="auto"/>
          <w:sz w:val="32"/>
          <w:szCs w:val="48"/>
          <w:highlight w:val="none"/>
        </w:rPr>
        <w:t>项目编号：</w:t>
      </w:r>
      <w:r>
        <w:rPr>
          <w:rFonts w:asciiTheme="majorEastAsia" w:hAnsiTheme="majorEastAsia" w:eastAsiaTheme="majorEastAsia"/>
          <w:b/>
          <w:color w:val="auto"/>
          <w:sz w:val="32"/>
          <w:szCs w:val="48"/>
          <w:highlight w:val="none"/>
        </w:rPr>
        <w:t>ZCZX2022-ZB-089</w:t>
      </w:r>
    </w:p>
    <w:p>
      <w:pPr>
        <w:spacing w:line="560" w:lineRule="exact"/>
        <w:ind w:firstLine="480" w:firstLineChars="200"/>
        <w:jc w:val="both"/>
        <w:rPr>
          <w:rFonts w:ascii="仿宋_GB2312" w:hAnsi="楷体"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b/>
          <w:color w:val="auto"/>
          <w:highlight w:val="none"/>
        </w:rPr>
      </w:pPr>
    </w:p>
    <w:p>
      <w:pPr>
        <w:spacing w:line="560" w:lineRule="exact"/>
        <w:ind w:firstLine="480" w:firstLineChars="200"/>
        <w:jc w:val="center"/>
        <w:rPr>
          <w:rFonts w:ascii="仿宋_GB2312" w:hAnsi="仿宋" w:eastAsia="仿宋_GB2312"/>
          <w:b/>
          <w:color w:val="auto"/>
          <w:highlight w:val="none"/>
        </w:rPr>
      </w:pPr>
    </w:p>
    <w:p>
      <w:pPr>
        <w:spacing w:line="560" w:lineRule="exact"/>
        <w:ind w:firstLine="480" w:firstLineChars="200"/>
        <w:jc w:val="center"/>
        <w:rPr>
          <w:rFonts w:ascii="仿宋_GB2312" w:hAnsi="仿宋" w:eastAsia="仿宋_GB2312"/>
          <w:b/>
          <w:color w:val="auto"/>
          <w:highlight w:val="none"/>
        </w:rPr>
      </w:pPr>
    </w:p>
    <w:p>
      <w:pPr>
        <w:spacing w:line="560" w:lineRule="exact"/>
        <w:ind w:firstLine="480" w:firstLineChars="200"/>
        <w:jc w:val="center"/>
        <w:rPr>
          <w:rFonts w:ascii="仿宋_GB2312" w:hAnsi="仿宋" w:eastAsia="仿宋_GB2312"/>
          <w:b/>
          <w:color w:val="auto"/>
          <w:highlight w:val="none"/>
        </w:rPr>
      </w:pPr>
    </w:p>
    <w:p>
      <w:pPr>
        <w:spacing w:line="560" w:lineRule="exact"/>
        <w:ind w:firstLine="480" w:firstLineChars="200"/>
        <w:jc w:val="center"/>
        <w:rPr>
          <w:rFonts w:ascii="仿宋_GB2312" w:hAnsi="仿宋" w:eastAsia="仿宋_GB2312"/>
          <w:b/>
          <w:color w:val="auto"/>
          <w:highlight w:val="none"/>
        </w:rPr>
      </w:pPr>
      <w:r>
        <w:rPr>
          <w:rFonts w:hint="eastAsia" w:ascii="仿宋_GB2312" w:hAnsi="仿宋" w:eastAsia="仿宋_GB2312"/>
          <w:b/>
          <w:color w:val="auto"/>
          <w:highlight w:val="none"/>
        </w:rPr>
        <w:t>投标人：__________________</w:t>
      </w:r>
    </w:p>
    <w:p>
      <w:pPr>
        <w:spacing w:line="560" w:lineRule="exact"/>
        <w:ind w:firstLine="480" w:firstLineChars="200"/>
        <w:jc w:val="center"/>
        <w:rPr>
          <w:rFonts w:ascii="仿宋_GB2312" w:hAnsi="仿宋" w:eastAsia="仿宋_GB2312"/>
          <w:b/>
          <w:color w:val="auto"/>
          <w:highlight w:val="none"/>
        </w:rPr>
      </w:pPr>
      <w:r>
        <w:rPr>
          <w:rFonts w:hint="eastAsia" w:ascii="仿宋_GB2312" w:hAnsi="仿宋" w:eastAsia="仿宋_GB2312"/>
          <w:b/>
          <w:color w:val="auto"/>
          <w:highlight w:val="none"/>
        </w:rPr>
        <w:t>时  间：__________________</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br w:type="page"/>
      </w:r>
    </w:p>
    <w:p>
      <w:pPr>
        <w:spacing w:line="560" w:lineRule="exact"/>
        <w:ind w:firstLine="480" w:firstLineChars="200"/>
        <w:jc w:val="center"/>
        <w:rPr>
          <w:rFonts w:ascii="仿宋_GB2312" w:hAnsi="仿宋" w:eastAsia="仿宋_GB2312"/>
          <w:color w:val="auto"/>
          <w:highlight w:val="none"/>
        </w:rPr>
      </w:pPr>
    </w:p>
    <w:p>
      <w:pPr>
        <w:spacing w:line="560" w:lineRule="exact"/>
        <w:ind w:firstLine="480" w:firstLineChars="200"/>
        <w:jc w:val="center"/>
        <w:rPr>
          <w:rFonts w:ascii="仿宋_GB2312" w:hAnsi="仿宋" w:eastAsia="仿宋_GB2312"/>
          <w:color w:val="auto"/>
          <w:highlight w:val="none"/>
        </w:rPr>
      </w:pPr>
      <w:r>
        <w:rPr>
          <w:rFonts w:hint="eastAsia" w:ascii="仿宋_GB2312" w:hAnsi="仿宋" w:eastAsia="仿宋_GB2312"/>
          <w:color w:val="auto"/>
          <w:highlight w:val="none"/>
        </w:rPr>
        <w:t>目    录</w:t>
      </w:r>
    </w:p>
    <w:p>
      <w:pPr>
        <w:spacing w:line="560" w:lineRule="exact"/>
        <w:ind w:firstLine="480" w:firstLineChars="200"/>
        <w:jc w:val="both"/>
        <w:rPr>
          <w:rFonts w:ascii="仿宋_GB2312" w:hAnsi="仿宋" w:eastAsia="仿宋_GB2312"/>
          <w:color w:val="auto"/>
          <w:highlight w:val="none"/>
        </w:rPr>
      </w:pPr>
    </w:p>
    <w:p>
      <w:pPr>
        <w:spacing w:line="48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第一部分  投标函</w:t>
      </w:r>
    </w:p>
    <w:p>
      <w:pPr>
        <w:spacing w:line="48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第二部分  开标一览表</w:t>
      </w:r>
    </w:p>
    <w:p>
      <w:pPr>
        <w:spacing w:line="48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第三部分  资格证明文件</w:t>
      </w:r>
    </w:p>
    <w:p>
      <w:pPr>
        <w:spacing w:line="48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第四部分  供应商概况</w:t>
      </w:r>
    </w:p>
    <w:p>
      <w:pPr>
        <w:spacing w:line="48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第五部分  供应商参加政府采购活动承诺书</w:t>
      </w:r>
    </w:p>
    <w:p>
      <w:pPr>
        <w:spacing w:line="48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第六部分  投标方案</w:t>
      </w:r>
    </w:p>
    <w:p>
      <w:pPr>
        <w:rPr>
          <w:rFonts w:ascii="仿宋_GB2312" w:hAnsi="仿宋" w:eastAsia="仿宋_GB2312"/>
          <w:color w:val="auto"/>
          <w:highlight w:val="none"/>
        </w:rPr>
      </w:pPr>
      <w:r>
        <w:rPr>
          <w:rFonts w:hint="eastAsia" w:ascii="仿宋_GB2312" w:hAnsi="仿宋" w:eastAsia="仿宋_GB2312"/>
          <w:color w:val="auto"/>
          <w:highlight w:val="none"/>
        </w:rPr>
        <w:br w:type="page"/>
      </w:r>
    </w:p>
    <w:p>
      <w:pPr>
        <w:pStyle w:val="4"/>
        <w:ind w:firstLine="482"/>
        <w:jc w:val="center"/>
        <w:rPr>
          <w:rFonts w:ascii="仿宋_GB2312" w:eastAsia="仿宋_GB2312"/>
          <w:b/>
          <w:color w:val="auto"/>
          <w:sz w:val="24"/>
          <w:szCs w:val="24"/>
          <w:highlight w:val="none"/>
        </w:rPr>
      </w:pPr>
      <w:bookmarkStart w:id="86" w:name="_Toc107503703"/>
      <w:r>
        <w:rPr>
          <w:rFonts w:hint="eastAsia" w:ascii="仿宋_GB2312" w:eastAsia="仿宋_GB2312"/>
          <w:b/>
          <w:color w:val="auto"/>
          <w:sz w:val="24"/>
          <w:szCs w:val="24"/>
          <w:highlight w:val="none"/>
        </w:rPr>
        <w:t>第一部分  投标函</w:t>
      </w:r>
      <w:bookmarkEnd w:id="86"/>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〈政府采购代理机构〉：</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我方收到贵单位发布的</w:t>
      </w:r>
      <w:r>
        <w:rPr>
          <w:rFonts w:hint="eastAsia" w:ascii="仿宋_GB2312" w:hAnsi="仿宋" w:eastAsia="仿宋_GB2312"/>
          <w:color w:val="auto"/>
          <w:highlight w:val="none"/>
          <w:u w:val="single"/>
        </w:rPr>
        <w:t>〈项目名称〉（项目编号：〈项目编号〉</w:t>
      </w:r>
      <w:r>
        <w:rPr>
          <w:rFonts w:hint="eastAsia" w:ascii="仿宋_GB2312" w:hAnsi="仿宋" w:eastAsia="仿宋_GB2312"/>
          <w:color w:val="auto"/>
          <w:highlight w:val="none"/>
        </w:rPr>
        <w:t>）招标文件，经详细研究，我方决定参加该项目的招标活动。为此，我方郑重声明以下诸点，并负法律责任。</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1．我方已详细阅读了招标文件，完全理解并同意招标文件的所有事项及内容。</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3．我方同意向贵单位提供与本次招标有关的全部证明材料，并保证所提交的证明材料真实、合法、有效。</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4．我方理解最低价不是成交的唯一条件，并尊重评标委员会的评审结果。</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5．我方投标文件在开启之日起</w:t>
      </w:r>
      <w:r>
        <w:rPr>
          <w:rFonts w:hint="eastAsia" w:ascii="仿宋_GB2312" w:hAnsi="仿宋" w:eastAsia="仿宋_GB2312"/>
          <w:color w:val="auto"/>
          <w:highlight w:val="none"/>
          <w:u w:val="single"/>
        </w:rPr>
        <w:t>90</w:t>
      </w:r>
      <w:r>
        <w:rPr>
          <w:rFonts w:hint="eastAsia" w:ascii="仿宋_GB2312" w:hAnsi="仿宋" w:eastAsia="仿宋_GB2312"/>
          <w:color w:val="auto"/>
          <w:highlight w:val="none"/>
        </w:rPr>
        <w:t>个日历日内有效。</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6．若我方成交，我方承诺：（1）将投标文件有效期延长至合同执行完毕；（2）收到中标通知书后提交纸质投标文件一正两副，并按时交纳履约保证金；（3）遵照招标文件中的要求，完成本项目的合同责任和义务。</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7．所有关于此次招标活动的函电，请按下列方式联系：</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供应商：（供应商全称并加盖公章）</w:t>
      </w:r>
      <w:r>
        <w:rPr>
          <w:rFonts w:hint="eastAsia" w:ascii="仿宋_GB2312" w:hAnsi="仿宋" w:eastAsia="仿宋_GB2312"/>
          <w:b/>
          <w:color w:val="auto"/>
          <w:highlight w:val="none"/>
        </w:rPr>
        <w:t>__________________</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法定代表人（主要负责人）或委托代理人：（签字或盖章）</w:t>
      </w:r>
      <w:r>
        <w:rPr>
          <w:rFonts w:hint="eastAsia" w:ascii="仿宋_GB2312" w:hAnsi="仿宋" w:eastAsia="仿宋_GB2312"/>
          <w:b/>
          <w:color w:val="auto"/>
          <w:highlight w:val="none"/>
        </w:rPr>
        <w:t>_________</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联系电话：</w:t>
      </w:r>
      <w:r>
        <w:rPr>
          <w:rFonts w:hint="eastAsia" w:ascii="仿宋_GB2312" w:hAnsi="仿宋" w:eastAsia="仿宋_GB2312"/>
          <w:b/>
          <w:color w:val="auto"/>
          <w:highlight w:val="none"/>
        </w:rPr>
        <w:t>__________________</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通讯地址：</w:t>
      </w:r>
      <w:r>
        <w:rPr>
          <w:rFonts w:hint="eastAsia" w:ascii="仿宋_GB2312" w:hAnsi="仿宋" w:eastAsia="仿宋_GB2312"/>
          <w:b/>
          <w:color w:val="auto"/>
          <w:highlight w:val="none"/>
        </w:rPr>
        <w:t>__________________</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邮    编：</w:t>
      </w:r>
      <w:r>
        <w:rPr>
          <w:rFonts w:hint="eastAsia" w:ascii="仿宋_GB2312" w:hAnsi="仿宋" w:eastAsia="仿宋_GB2312"/>
          <w:b/>
          <w:color w:val="auto"/>
          <w:highlight w:val="none"/>
        </w:rPr>
        <w:t>__________________</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电子邮箱：</w:t>
      </w:r>
      <w:r>
        <w:rPr>
          <w:rFonts w:hint="eastAsia" w:ascii="仿宋_GB2312" w:hAnsi="仿宋" w:eastAsia="仿宋_GB2312"/>
          <w:b/>
          <w:color w:val="auto"/>
          <w:highlight w:val="none"/>
        </w:rPr>
        <w:t>__________________</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日    期：</w:t>
      </w:r>
      <w:r>
        <w:rPr>
          <w:rFonts w:hint="eastAsia" w:ascii="仿宋_GB2312" w:hAnsi="仿宋" w:eastAsia="仿宋_GB2312"/>
          <w:b/>
          <w:color w:val="auto"/>
          <w:highlight w:val="none"/>
        </w:rPr>
        <w:t>___</w:t>
      </w:r>
      <w:r>
        <w:rPr>
          <w:rFonts w:hint="eastAsia" w:ascii="仿宋_GB2312" w:hAnsi="仿宋" w:eastAsia="仿宋_GB2312"/>
          <w:color w:val="auto"/>
          <w:highlight w:val="none"/>
        </w:rPr>
        <w:t>年</w:t>
      </w:r>
      <w:r>
        <w:rPr>
          <w:rFonts w:hint="eastAsia" w:ascii="仿宋_GB2312" w:hAnsi="仿宋" w:eastAsia="仿宋_GB2312"/>
          <w:b/>
          <w:color w:val="auto"/>
          <w:highlight w:val="none"/>
        </w:rPr>
        <w:t>___</w:t>
      </w:r>
      <w:r>
        <w:rPr>
          <w:rFonts w:hint="eastAsia" w:ascii="仿宋_GB2312" w:hAnsi="仿宋" w:eastAsia="仿宋_GB2312"/>
          <w:color w:val="auto"/>
          <w:highlight w:val="none"/>
        </w:rPr>
        <w:t>月</w:t>
      </w:r>
      <w:r>
        <w:rPr>
          <w:rFonts w:hint="eastAsia" w:ascii="仿宋_GB2312" w:hAnsi="仿宋" w:eastAsia="仿宋_GB2312"/>
          <w:b/>
          <w:color w:val="auto"/>
          <w:highlight w:val="none"/>
        </w:rPr>
        <w:t>___</w:t>
      </w:r>
      <w:r>
        <w:rPr>
          <w:rFonts w:hint="eastAsia" w:ascii="仿宋_GB2312" w:hAnsi="仿宋" w:eastAsia="仿宋_GB2312"/>
          <w:color w:val="auto"/>
          <w:highlight w:val="none"/>
        </w:rPr>
        <w:t>日</w:t>
      </w:r>
    </w:p>
    <w:p>
      <w:pPr>
        <w:rPr>
          <w:rFonts w:ascii="仿宋_GB2312" w:hAnsi="仿宋" w:eastAsia="仿宋_GB2312"/>
          <w:color w:val="auto"/>
          <w:highlight w:val="none"/>
        </w:rPr>
      </w:pPr>
      <w:r>
        <w:rPr>
          <w:rFonts w:hint="eastAsia" w:ascii="仿宋_GB2312" w:hAnsi="仿宋" w:eastAsia="仿宋_GB2312"/>
          <w:color w:val="auto"/>
          <w:highlight w:val="none"/>
        </w:rPr>
        <w:br w:type="page"/>
      </w:r>
    </w:p>
    <w:p>
      <w:pPr>
        <w:pStyle w:val="4"/>
        <w:ind w:firstLine="482"/>
        <w:jc w:val="center"/>
        <w:rPr>
          <w:rFonts w:ascii="仿宋_GB2312" w:eastAsia="仿宋_GB2312"/>
          <w:b/>
          <w:color w:val="auto"/>
          <w:sz w:val="24"/>
          <w:szCs w:val="24"/>
          <w:highlight w:val="none"/>
        </w:rPr>
      </w:pPr>
      <w:bookmarkStart w:id="87" w:name="_Toc107503704"/>
      <w:r>
        <w:rPr>
          <w:rFonts w:hint="eastAsia" w:ascii="仿宋_GB2312" w:eastAsia="仿宋_GB2312"/>
          <w:b/>
          <w:color w:val="auto"/>
          <w:sz w:val="24"/>
          <w:szCs w:val="24"/>
          <w:highlight w:val="none"/>
        </w:rPr>
        <w:t>第二部分  开标一览表</w:t>
      </w:r>
      <w:bookmarkEnd w:id="87"/>
    </w:p>
    <w:tbl>
      <w:tblPr>
        <w:tblStyle w:val="39"/>
        <w:tblW w:w="87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9"/>
        <w:gridCol w:w="6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2699" w:type="dxa"/>
            <w:vAlign w:val="center"/>
          </w:tcPr>
          <w:p>
            <w:pPr>
              <w:jc w:val="center"/>
              <w:rPr>
                <w:rFonts w:eastAsia="仿宋_GB2312"/>
                <w:color w:val="auto"/>
                <w:highlight w:val="none"/>
              </w:rPr>
            </w:pPr>
            <w:r>
              <w:rPr>
                <w:rFonts w:hint="eastAsia" w:eastAsia="仿宋_GB2312"/>
                <w:color w:val="auto"/>
                <w:highlight w:val="none"/>
              </w:rPr>
              <w:t>投标人</w:t>
            </w:r>
          </w:p>
        </w:tc>
        <w:tc>
          <w:tcPr>
            <w:tcW w:w="6022" w:type="dxa"/>
            <w:vAlign w:val="center"/>
          </w:tcPr>
          <w:p>
            <w:pPr>
              <w:jc w:val="center"/>
              <w:rPr>
                <w:rFonts w:eastAsia="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2699" w:type="dxa"/>
            <w:vAlign w:val="center"/>
          </w:tcPr>
          <w:p>
            <w:pPr>
              <w:jc w:val="center"/>
              <w:rPr>
                <w:rFonts w:eastAsia="仿宋_GB2312"/>
                <w:color w:val="auto"/>
                <w:highlight w:val="none"/>
              </w:rPr>
            </w:pPr>
            <w:r>
              <w:rPr>
                <w:rFonts w:eastAsia="仿宋_GB2312"/>
                <w:color w:val="auto"/>
                <w:highlight w:val="none"/>
              </w:rPr>
              <w:t>包号</w:t>
            </w:r>
          </w:p>
        </w:tc>
        <w:tc>
          <w:tcPr>
            <w:tcW w:w="6022" w:type="dxa"/>
            <w:vAlign w:val="center"/>
          </w:tcPr>
          <w:p>
            <w:pPr>
              <w:ind w:firstLine="2640" w:firstLineChars="1100"/>
              <w:rPr>
                <w:rFonts w:eastAsia="仿宋_GB2312"/>
                <w:color w:val="auto"/>
                <w:highlight w:val="none"/>
              </w:rPr>
            </w:pPr>
            <w:r>
              <w:rPr>
                <w:rFonts w:hint="eastAsia" w:eastAsia="仿宋_GB2312"/>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trPr>
        <w:tc>
          <w:tcPr>
            <w:tcW w:w="2699" w:type="dxa"/>
            <w:vAlign w:val="center"/>
          </w:tcPr>
          <w:p>
            <w:pPr>
              <w:jc w:val="center"/>
              <w:rPr>
                <w:rFonts w:eastAsia="仿宋_GB2312"/>
                <w:color w:val="auto"/>
                <w:highlight w:val="none"/>
              </w:rPr>
            </w:pPr>
            <w:r>
              <w:rPr>
                <w:rFonts w:eastAsia="仿宋_GB2312"/>
                <w:color w:val="auto"/>
                <w:highlight w:val="none"/>
              </w:rPr>
              <w:t>报价总价</w:t>
            </w:r>
          </w:p>
        </w:tc>
        <w:tc>
          <w:tcPr>
            <w:tcW w:w="6022" w:type="dxa"/>
            <w:vAlign w:val="center"/>
          </w:tcPr>
          <w:p>
            <w:pPr>
              <w:spacing w:line="360" w:lineRule="auto"/>
              <w:rPr>
                <w:rFonts w:eastAsia="仿宋_GB2312"/>
                <w:color w:val="auto"/>
                <w:highlight w:val="none"/>
              </w:rPr>
            </w:pPr>
            <w:r>
              <w:rPr>
                <w:rFonts w:eastAsia="仿宋_GB2312"/>
                <w:color w:val="auto"/>
                <w:highlight w:val="none"/>
              </w:rPr>
              <w:t>人民币：</w:t>
            </w:r>
            <w:r>
              <w:rPr>
                <w:rFonts w:eastAsia="仿宋_GB2312"/>
                <w:color w:val="auto"/>
                <w:highlight w:val="none"/>
                <w:u w:val="single"/>
              </w:rPr>
              <w:t xml:space="preserve">         </w:t>
            </w:r>
            <w:r>
              <w:rPr>
                <w:rFonts w:eastAsia="仿宋_GB2312"/>
                <w:color w:val="auto"/>
                <w:highlight w:val="none"/>
              </w:rPr>
              <w:t>元</w:t>
            </w:r>
          </w:p>
          <w:p>
            <w:pPr>
              <w:pStyle w:val="25"/>
              <w:rPr>
                <w:rFonts w:eastAsia="仿宋_GB2312"/>
                <w:color w:val="auto"/>
                <w:sz w:val="24"/>
                <w:szCs w:val="24"/>
                <w:highlight w:val="none"/>
              </w:rPr>
            </w:pPr>
            <w:r>
              <w:rPr>
                <w:rFonts w:eastAsia="仿宋_GB2312"/>
                <w:color w:val="auto"/>
                <w:sz w:val="24"/>
                <w:szCs w:val="24"/>
                <w:highlight w:val="none"/>
              </w:rPr>
              <w:t>大写金额：人民币</w:t>
            </w:r>
            <w:r>
              <w:rPr>
                <w:rFonts w:hint="eastAsia" w:eastAsia="仿宋_GB2312"/>
                <w:color w:val="auto"/>
                <w:highlight w:val="none"/>
              </w:rPr>
              <w:t xml:space="preserve">                   </w:t>
            </w:r>
            <w:r>
              <w:rPr>
                <w:rFonts w:hint="eastAsia" w:eastAsia="仿宋_GB2312"/>
                <w:color w:val="auto"/>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2699" w:type="dxa"/>
            <w:vAlign w:val="center"/>
          </w:tcPr>
          <w:p>
            <w:pPr>
              <w:jc w:val="center"/>
              <w:rPr>
                <w:rFonts w:eastAsia="仿宋_GB2312"/>
                <w:color w:val="auto"/>
                <w:highlight w:val="none"/>
              </w:rPr>
            </w:pPr>
            <w:r>
              <w:rPr>
                <w:rFonts w:eastAsia="仿宋_GB2312"/>
                <w:color w:val="auto"/>
                <w:highlight w:val="none"/>
              </w:rPr>
              <w:t>服务期限</w:t>
            </w:r>
          </w:p>
        </w:tc>
        <w:tc>
          <w:tcPr>
            <w:tcW w:w="6022" w:type="dxa"/>
            <w:vAlign w:val="center"/>
          </w:tcPr>
          <w:p>
            <w:pPr>
              <w:rPr>
                <w:rFonts w:eastAsia="仿宋_GB2312"/>
                <w:color w:val="auto"/>
                <w:highlight w:val="none"/>
              </w:rPr>
            </w:pPr>
          </w:p>
        </w:tc>
      </w:tr>
    </w:tbl>
    <w:p>
      <w:pPr>
        <w:rPr>
          <w:rFonts w:eastAsia="仿宋_GB2312"/>
          <w:b/>
          <w:color w:val="auto"/>
          <w:highlight w:val="none"/>
        </w:rPr>
      </w:pPr>
    </w:p>
    <w:p>
      <w:pPr>
        <w:spacing w:line="560" w:lineRule="exact"/>
        <w:jc w:val="both"/>
        <w:rPr>
          <w:rFonts w:ascii="仿宋_GB2312" w:hAnsi="仿宋" w:eastAsia="仿宋_GB2312"/>
          <w:color w:val="auto"/>
          <w:highlight w:val="none"/>
        </w:rPr>
      </w:pPr>
      <w:r>
        <w:rPr>
          <w:rFonts w:hint="eastAsia" w:ascii="仿宋_GB2312" w:hAnsi="仿宋" w:eastAsia="仿宋_GB2312"/>
          <w:color w:val="auto"/>
          <w:highlight w:val="none"/>
        </w:rPr>
        <w:t>供应商：（供应商全称并加盖公章）</w:t>
      </w:r>
    </w:p>
    <w:p>
      <w:pPr>
        <w:pStyle w:val="2"/>
        <w:rPr>
          <w:rFonts w:ascii="仿宋_GB2312" w:hAnsi="仿宋" w:eastAsia="仿宋_GB2312"/>
          <w:color w:val="auto"/>
          <w:highlight w:val="none"/>
        </w:rPr>
      </w:pPr>
      <w:r>
        <w:rPr>
          <w:rFonts w:hint="eastAsia" w:ascii="仿宋_GB2312" w:hAnsi="仿宋" w:eastAsia="仿宋_GB2312"/>
          <w:color w:val="auto"/>
          <w:highlight w:val="none"/>
        </w:rPr>
        <w:t>日  期：    ___ 年___月___日</w:t>
      </w: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rPr>
          <w:rFonts w:ascii="仿宋_GB2312" w:eastAsia="仿宋_GB2312"/>
          <w:color w:val="auto"/>
          <w:sz w:val="24"/>
          <w:szCs w:val="24"/>
          <w:highlight w:val="none"/>
        </w:rPr>
      </w:pPr>
    </w:p>
    <w:p>
      <w:pPr>
        <w:pStyle w:val="114"/>
        <w:jc w:val="left"/>
        <w:rPr>
          <w:rFonts w:ascii="仿宋_GB2312" w:eastAsia="仿宋_GB2312"/>
          <w:color w:val="auto"/>
          <w:sz w:val="24"/>
          <w:szCs w:val="24"/>
          <w:highlight w:val="none"/>
        </w:rPr>
      </w:pPr>
    </w:p>
    <w:p>
      <w:pPr>
        <w:pStyle w:val="5"/>
        <w:rPr>
          <w:rFonts w:ascii="仿宋_GB2312" w:eastAsia="仿宋_GB2312"/>
          <w:b/>
          <w:color w:val="auto"/>
          <w:sz w:val="24"/>
          <w:szCs w:val="24"/>
          <w:highlight w:val="none"/>
        </w:rPr>
      </w:pPr>
      <w:r>
        <w:rPr>
          <w:rFonts w:hint="eastAsia" w:ascii="仿宋_GB2312" w:eastAsia="仿宋_GB2312"/>
          <w:b/>
          <w:color w:val="auto"/>
          <w:sz w:val="24"/>
          <w:szCs w:val="24"/>
          <w:highlight w:val="none"/>
        </w:rPr>
        <w:t xml:space="preserve">   </w:t>
      </w:r>
      <w:bookmarkStart w:id="88" w:name="_Toc107503705"/>
      <w:r>
        <w:rPr>
          <w:rFonts w:hint="eastAsia" w:ascii="仿宋_GB2312" w:eastAsia="仿宋_GB2312"/>
          <w:b/>
          <w:color w:val="auto"/>
          <w:sz w:val="24"/>
          <w:szCs w:val="24"/>
          <w:highlight w:val="none"/>
        </w:rPr>
        <w:t>分项报价表</w:t>
      </w:r>
      <w:bookmarkEnd w:id="88"/>
    </w:p>
    <w:p>
      <w:pPr>
        <w:spacing w:line="560" w:lineRule="exact"/>
        <w:ind w:right="960" w:firstLine="1440" w:firstLineChars="600"/>
        <w:rPr>
          <w:rFonts w:ascii="仿宋_GB2312" w:hAnsi="仿宋" w:eastAsia="仿宋_GB2312"/>
          <w:color w:val="auto"/>
          <w:highlight w:val="none"/>
        </w:rPr>
      </w:pPr>
      <w:r>
        <w:rPr>
          <w:rFonts w:hint="eastAsia" w:ascii="仿宋_GB2312" w:hAnsi="仿宋" w:eastAsia="仿宋_GB2312"/>
          <w:color w:val="auto"/>
          <w:highlight w:val="none"/>
        </w:rPr>
        <w:t xml:space="preserve">                                       单位：元</w:t>
      </w:r>
    </w:p>
    <w:tbl>
      <w:tblPr>
        <w:tblStyle w:val="39"/>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775"/>
        <w:gridCol w:w="1172"/>
        <w:gridCol w:w="3063"/>
        <w:gridCol w:w="1107"/>
        <w:gridCol w:w="988"/>
        <w:gridCol w:w="12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12" w:hRule="exact"/>
        </w:trPr>
        <w:tc>
          <w:tcPr>
            <w:tcW w:w="5000" w:type="pct"/>
            <w:gridSpan w:val="6"/>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r>
              <w:rPr>
                <w:rFonts w:ascii="仿宋_GB2312" w:eastAsia="仿宋_GB2312"/>
                <w:color w:val="auto"/>
                <w:highlight w:val="none"/>
              </w:rPr>
              <w:t>费用明细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62"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r>
              <w:rPr>
                <w:rFonts w:ascii="仿宋_GB2312" w:eastAsia="仿宋_GB2312"/>
                <w:color w:val="auto"/>
                <w:highlight w:val="none"/>
              </w:rPr>
              <w:t>序号</w:t>
            </w:r>
          </w:p>
        </w:tc>
        <w:tc>
          <w:tcPr>
            <w:tcW w:w="701"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r>
              <w:rPr>
                <w:rFonts w:ascii="仿宋_GB2312" w:eastAsia="仿宋_GB2312"/>
                <w:color w:val="auto"/>
                <w:highlight w:val="none"/>
              </w:rPr>
              <w:t>费用名称</w:t>
            </w: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r>
              <w:rPr>
                <w:rFonts w:ascii="仿宋_GB2312" w:eastAsia="仿宋_GB2312"/>
                <w:color w:val="auto"/>
                <w:highlight w:val="none"/>
              </w:rPr>
              <w:t>费用描述</w:t>
            </w: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r>
              <w:rPr>
                <w:rFonts w:ascii="仿宋_GB2312" w:eastAsia="仿宋_GB2312"/>
                <w:color w:val="auto"/>
                <w:highlight w:val="none"/>
              </w:rPr>
              <w:t>数量</w:t>
            </w: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r>
              <w:rPr>
                <w:rFonts w:ascii="仿宋_GB2312" w:eastAsia="仿宋_GB2312"/>
                <w:color w:val="auto"/>
                <w:highlight w:val="none"/>
              </w:rPr>
              <w:t>单价</w:t>
            </w: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r>
              <w:rPr>
                <w:rFonts w:ascii="仿宋_GB2312" w:eastAsia="仿宋_GB2312"/>
                <w:color w:val="auto"/>
                <w:highlight w:val="none"/>
              </w:rPr>
              <w:t>总价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autoSpaceDE w:val="0"/>
              <w:spacing w:line="300" w:lineRule="exact"/>
              <w:jc w:val="center"/>
              <w:textAlignment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51"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64"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01"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183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662"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58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67" w:hRule="exact"/>
        </w:trPr>
        <w:tc>
          <w:tcPr>
            <w:tcW w:w="4250" w:type="pct"/>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r>
              <w:rPr>
                <w:rFonts w:hint="eastAsia" w:ascii="仿宋_GB2312" w:eastAsia="仿宋_GB2312"/>
                <w:color w:val="auto"/>
                <w:highlight w:val="none"/>
              </w:rPr>
              <w:t>总计</w:t>
            </w:r>
          </w:p>
        </w:tc>
        <w:tc>
          <w:tcPr>
            <w:tcW w:w="749"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color w:val="auto"/>
                <w:highlight w:val="none"/>
              </w:rPr>
            </w:pPr>
          </w:p>
        </w:tc>
      </w:tr>
    </w:tbl>
    <w:p>
      <w:pPr>
        <w:spacing w:line="560" w:lineRule="exact"/>
        <w:ind w:firstLine="4080" w:firstLineChars="1700"/>
        <w:jc w:val="both"/>
        <w:rPr>
          <w:rFonts w:ascii="仿宋_GB2312" w:hAnsi="仿宋" w:eastAsia="仿宋_GB2312"/>
          <w:color w:val="auto"/>
          <w:highlight w:val="none"/>
        </w:rPr>
      </w:pPr>
      <w:r>
        <w:rPr>
          <w:rFonts w:hint="eastAsia" w:ascii="仿宋_GB2312" w:hAnsi="仿宋" w:eastAsia="仿宋_GB2312"/>
          <w:color w:val="auto"/>
          <w:highlight w:val="none"/>
        </w:rPr>
        <w:t>供应商：（供应商全称并加盖公章）</w:t>
      </w:r>
    </w:p>
    <w:p>
      <w:pPr>
        <w:pStyle w:val="2"/>
        <w:ind w:firstLine="4320" w:firstLineChars="1800"/>
        <w:rPr>
          <w:rFonts w:ascii="仿宋_GB2312" w:hAnsi="仿宋" w:eastAsia="仿宋_GB2312"/>
          <w:color w:val="auto"/>
          <w:highlight w:val="none"/>
        </w:rPr>
      </w:pPr>
      <w:r>
        <w:rPr>
          <w:rFonts w:hint="eastAsia" w:ascii="仿宋_GB2312" w:hAnsi="仿宋" w:eastAsia="仿宋_GB2312"/>
          <w:color w:val="auto"/>
          <w:highlight w:val="none"/>
        </w:rPr>
        <w:t xml:space="preserve">日期：    ___ 年___月___日  </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说明：1.此表由供应商按项目情况自行列支，仅作参考。</w:t>
      </w:r>
    </w:p>
    <w:p>
      <w:pPr>
        <w:spacing w:line="560" w:lineRule="exact"/>
        <w:ind w:firstLine="1200" w:firstLineChars="500"/>
        <w:jc w:val="both"/>
        <w:rPr>
          <w:rFonts w:ascii="仿宋_GB2312" w:hAnsi="仿宋" w:eastAsia="仿宋_GB2312"/>
          <w:color w:val="auto"/>
          <w:highlight w:val="none"/>
        </w:rPr>
      </w:pPr>
      <w:r>
        <w:rPr>
          <w:rFonts w:hint="eastAsia" w:ascii="仿宋_GB2312" w:hAnsi="仿宋" w:eastAsia="仿宋_GB2312"/>
          <w:color w:val="auto"/>
          <w:highlight w:val="none"/>
        </w:rPr>
        <w:t>2．表格空间不足时，可自行扩展。</w:t>
      </w:r>
    </w:p>
    <w:p>
      <w:pPr>
        <w:pStyle w:val="4"/>
        <w:ind w:firstLine="0" w:firstLineChars="0"/>
        <w:jc w:val="center"/>
        <w:rPr>
          <w:rFonts w:ascii="仿宋_GB2312" w:eastAsia="仿宋_GB2312"/>
          <w:b/>
          <w:color w:val="auto"/>
          <w:sz w:val="24"/>
          <w:szCs w:val="24"/>
          <w:highlight w:val="none"/>
        </w:rPr>
      </w:pPr>
      <w:bookmarkStart w:id="89" w:name="_Toc107503706"/>
      <w:r>
        <w:rPr>
          <w:rFonts w:hint="eastAsia" w:ascii="仿宋_GB2312" w:eastAsia="仿宋_GB2312"/>
          <w:b/>
          <w:color w:val="auto"/>
          <w:sz w:val="24"/>
          <w:szCs w:val="24"/>
          <w:highlight w:val="none"/>
        </w:rPr>
        <w:t>第三部分  资格证明文件</w:t>
      </w:r>
      <w:bookmarkEnd w:id="89"/>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按照招标文件第一章《招标公告》所列“供应商资格要求”提供各项资格证明文件，未按要求提供的，其投标文件将被视为无效文件。</w:t>
      </w:r>
    </w:p>
    <w:p>
      <w:pPr>
        <w:pStyle w:val="5"/>
        <w:jc w:val="left"/>
        <w:rPr>
          <w:rFonts w:ascii="仿宋_GB2312" w:eastAsia="仿宋_GB2312"/>
          <w:b/>
          <w:color w:val="auto"/>
          <w:sz w:val="24"/>
          <w:szCs w:val="24"/>
          <w:highlight w:val="none"/>
        </w:rPr>
      </w:pPr>
      <w:bookmarkStart w:id="90" w:name="_Toc107503707"/>
      <w:r>
        <w:rPr>
          <w:rFonts w:hint="eastAsia" w:ascii="仿宋_GB2312" w:eastAsia="仿宋_GB2312"/>
          <w:b/>
          <w:color w:val="auto"/>
          <w:sz w:val="24"/>
          <w:szCs w:val="24"/>
          <w:highlight w:val="none"/>
        </w:rPr>
        <w:t>（一）有效的登记注册证</w:t>
      </w:r>
      <w:bookmarkEnd w:id="90"/>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rPr>
          <w:rFonts w:ascii="仿宋_GB2312" w:eastAsia="仿宋_GB2312"/>
          <w:b/>
          <w:color w:val="auto"/>
          <w:highlight w:val="none"/>
        </w:rPr>
      </w:pPr>
      <w:bookmarkStart w:id="91" w:name="_Toc107503708"/>
      <w:r>
        <w:rPr>
          <w:rFonts w:hint="eastAsia" w:ascii="仿宋_GB2312" w:eastAsia="仿宋_GB2312"/>
          <w:b/>
          <w:color w:val="auto"/>
          <w:highlight w:val="none"/>
        </w:rPr>
        <w:br w:type="page"/>
      </w:r>
    </w:p>
    <w:p>
      <w:pPr>
        <w:pStyle w:val="5"/>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（二）财务状况报告</w:t>
      </w:r>
      <w:bookmarkEnd w:id="91"/>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说明：提供投标人2021年经审计的财务报告或银行出具的资信证明，两种形式任选一种，其中采用第二种形式的须按下方给定格式（详见《中国人民银行关于取消企业银行账户许可的通知》银发〔2019〕41号附件1）填写基本存款账户信息。</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基本存款账户信息</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账户名称：</w:t>
      </w:r>
      <w:r>
        <w:rPr>
          <w:rFonts w:hint="eastAsia" w:ascii="仿宋_GB2312" w:hAnsi="仿宋" w:eastAsia="仿宋_GB2312"/>
          <w:b/>
          <w:color w:val="auto"/>
          <w:highlight w:val="none"/>
        </w:rPr>
        <w:t>__________________</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账户号码：</w:t>
      </w:r>
      <w:r>
        <w:rPr>
          <w:rFonts w:hint="eastAsia" w:ascii="仿宋_GB2312" w:hAnsi="仿宋" w:eastAsia="仿宋_GB2312"/>
          <w:b/>
          <w:color w:val="auto"/>
          <w:highlight w:val="none"/>
        </w:rPr>
        <w:t>__________________</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开户银行：</w:t>
      </w:r>
      <w:r>
        <w:rPr>
          <w:rFonts w:hint="eastAsia" w:ascii="仿宋_GB2312" w:hAnsi="仿宋" w:eastAsia="仿宋_GB2312"/>
          <w:b/>
          <w:color w:val="auto"/>
          <w:highlight w:val="none"/>
        </w:rPr>
        <w:t>__________________</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法定代表人：</w:t>
      </w:r>
      <w:r>
        <w:rPr>
          <w:rFonts w:hint="eastAsia" w:ascii="仿宋_GB2312" w:hAnsi="仿宋" w:eastAsia="仿宋_GB2312"/>
          <w:b/>
          <w:color w:val="auto"/>
          <w:highlight w:val="none"/>
        </w:rPr>
        <w:t>__________________</w:t>
      </w:r>
      <w:r>
        <w:rPr>
          <w:rFonts w:hint="eastAsia" w:ascii="仿宋_GB2312" w:hAnsi="仿宋" w:eastAsia="仿宋_GB2312"/>
          <w:color w:val="auto"/>
          <w:highlight w:val="none"/>
        </w:rPr>
        <w:t>（签字或盖章）</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基本存款账户编号：向开户银行进行询问</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w:t>
      </w:r>
      <w:r>
        <w:rPr>
          <w:rFonts w:hint="eastAsia" w:ascii="仿宋_GB2312" w:hAnsi="仿宋" w:eastAsia="仿宋_GB2312"/>
          <w:b/>
          <w:color w:val="auto"/>
          <w:highlight w:val="none"/>
        </w:rPr>
        <w:t>__________________</w:t>
      </w:r>
      <w:r>
        <w:rPr>
          <w:rFonts w:hint="eastAsia" w:ascii="仿宋_GB2312" w:hAnsi="仿宋" w:eastAsia="仿宋_GB2312"/>
          <w:color w:val="auto"/>
          <w:highlight w:val="none"/>
        </w:rPr>
        <w:t>（供应商全称并加盖公章）</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 xml:space="preserve">日期： </w:t>
      </w:r>
      <w:r>
        <w:rPr>
          <w:rFonts w:hint="eastAsia" w:ascii="仿宋_GB2312" w:hAnsi="仿宋" w:eastAsia="仿宋_GB2312"/>
          <w:b/>
          <w:color w:val="auto"/>
          <w:highlight w:val="none"/>
        </w:rPr>
        <w:t>___</w:t>
      </w:r>
      <w:r>
        <w:rPr>
          <w:rFonts w:hint="eastAsia" w:ascii="仿宋_GB2312" w:hAnsi="仿宋" w:eastAsia="仿宋_GB2312"/>
          <w:color w:val="auto"/>
          <w:highlight w:val="none"/>
        </w:rPr>
        <w:t>年</w:t>
      </w:r>
      <w:r>
        <w:rPr>
          <w:rFonts w:hint="eastAsia" w:ascii="仿宋_GB2312" w:hAnsi="仿宋" w:eastAsia="仿宋_GB2312"/>
          <w:b/>
          <w:color w:val="auto"/>
          <w:highlight w:val="none"/>
        </w:rPr>
        <w:t>___</w:t>
      </w:r>
      <w:r>
        <w:rPr>
          <w:rFonts w:hint="eastAsia" w:ascii="仿宋_GB2312" w:hAnsi="仿宋" w:eastAsia="仿宋_GB2312"/>
          <w:color w:val="auto"/>
          <w:highlight w:val="none"/>
        </w:rPr>
        <w:t>月</w:t>
      </w:r>
      <w:r>
        <w:rPr>
          <w:rFonts w:hint="eastAsia" w:ascii="仿宋_GB2312" w:hAnsi="仿宋" w:eastAsia="仿宋_GB2312"/>
          <w:b/>
          <w:color w:val="auto"/>
          <w:highlight w:val="none"/>
        </w:rPr>
        <w:t>___</w:t>
      </w:r>
      <w:r>
        <w:rPr>
          <w:rFonts w:hint="eastAsia" w:ascii="仿宋_GB2312" w:hAnsi="仿宋" w:eastAsia="仿宋_GB2312"/>
          <w:color w:val="auto"/>
          <w:highlight w:val="none"/>
        </w:rPr>
        <w:t>日</w:t>
      </w: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pStyle w:val="5"/>
        <w:jc w:val="left"/>
        <w:rPr>
          <w:rFonts w:ascii="仿宋_GB2312" w:eastAsia="仿宋_GB2312"/>
          <w:b/>
          <w:color w:val="auto"/>
          <w:sz w:val="24"/>
          <w:szCs w:val="24"/>
          <w:highlight w:val="none"/>
        </w:rPr>
      </w:pPr>
      <w:bookmarkStart w:id="92" w:name="_Toc107503709"/>
      <w:r>
        <w:rPr>
          <w:rFonts w:hint="eastAsia" w:ascii="仿宋_GB2312" w:eastAsia="仿宋_GB2312"/>
          <w:b/>
          <w:color w:val="auto"/>
          <w:sz w:val="24"/>
          <w:szCs w:val="24"/>
          <w:highlight w:val="none"/>
        </w:rPr>
        <w:t>（三）社会保障资金缴纳证明</w:t>
      </w:r>
      <w:bookmarkEnd w:id="92"/>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rPr>
          <w:rFonts w:ascii="仿宋_GB2312" w:hAnsi="仿宋" w:eastAsia="仿宋_GB2312"/>
          <w:b/>
          <w:color w:val="auto"/>
          <w:highlight w:val="none"/>
        </w:rPr>
      </w:pPr>
      <w:r>
        <w:rPr>
          <w:rFonts w:ascii="仿宋_GB2312" w:eastAsia="仿宋_GB2312"/>
          <w:b/>
          <w:color w:val="auto"/>
          <w:highlight w:val="none"/>
        </w:rPr>
        <w:br w:type="page"/>
      </w:r>
    </w:p>
    <w:p>
      <w:pPr>
        <w:pStyle w:val="5"/>
        <w:jc w:val="left"/>
        <w:rPr>
          <w:rFonts w:ascii="仿宋_GB2312" w:eastAsia="仿宋_GB2312"/>
          <w:b/>
          <w:color w:val="auto"/>
          <w:sz w:val="24"/>
          <w:szCs w:val="24"/>
          <w:highlight w:val="none"/>
        </w:rPr>
      </w:pPr>
      <w:bookmarkStart w:id="93" w:name="_Toc107503710"/>
      <w:r>
        <w:rPr>
          <w:rFonts w:hint="eastAsia" w:ascii="仿宋_GB2312" w:eastAsia="仿宋_GB2312"/>
          <w:b/>
          <w:color w:val="auto"/>
          <w:sz w:val="24"/>
          <w:szCs w:val="24"/>
          <w:highlight w:val="none"/>
        </w:rPr>
        <w:t>（四）税收缴纳证明</w:t>
      </w:r>
      <w:bookmarkEnd w:id="93"/>
    </w:p>
    <w:p>
      <w:pPr>
        <w:pStyle w:val="100"/>
        <w:ind w:firstLine="480"/>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rPr>
          <w:rFonts w:ascii="仿宋_GB2312" w:hAnsi="仿宋" w:eastAsia="仿宋_GB2312"/>
          <w:b/>
          <w:color w:val="auto"/>
          <w:highlight w:val="none"/>
        </w:rPr>
      </w:pPr>
      <w:r>
        <w:rPr>
          <w:rFonts w:ascii="仿宋_GB2312" w:eastAsia="仿宋_GB2312"/>
          <w:b/>
          <w:color w:val="auto"/>
          <w:highlight w:val="none"/>
        </w:rPr>
        <w:br w:type="page"/>
      </w:r>
    </w:p>
    <w:p>
      <w:pPr>
        <w:pStyle w:val="5"/>
        <w:jc w:val="left"/>
        <w:rPr>
          <w:rFonts w:ascii="仿宋_GB2312" w:eastAsia="仿宋_GB2312"/>
          <w:b/>
          <w:color w:val="auto"/>
          <w:sz w:val="24"/>
          <w:szCs w:val="24"/>
          <w:highlight w:val="none"/>
        </w:rPr>
      </w:pPr>
      <w:bookmarkStart w:id="94" w:name="_Toc107503711"/>
      <w:r>
        <w:rPr>
          <w:rFonts w:hint="eastAsia" w:ascii="仿宋_GB2312" w:eastAsia="仿宋_GB2312"/>
          <w:b/>
          <w:color w:val="auto"/>
          <w:sz w:val="24"/>
          <w:szCs w:val="24"/>
          <w:highlight w:val="none"/>
        </w:rPr>
        <w:t>（五）具备履行合同所必需的设备和专业技术能力的证明材料或承诺书</w:t>
      </w:r>
      <w:bookmarkEnd w:id="94"/>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pStyle w:val="5"/>
        <w:jc w:val="left"/>
        <w:rPr>
          <w:rFonts w:ascii="仿宋_GB2312" w:eastAsia="仿宋_GB2312"/>
          <w:b/>
          <w:color w:val="auto"/>
          <w:sz w:val="24"/>
          <w:szCs w:val="24"/>
          <w:highlight w:val="none"/>
        </w:rPr>
      </w:pPr>
      <w:bookmarkStart w:id="95" w:name="_Toc107503712"/>
      <w:r>
        <w:rPr>
          <w:rFonts w:hint="eastAsia" w:ascii="仿宋_GB2312" w:eastAsia="仿宋_GB2312"/>
          <w:b/>
          <w:color w:val="auto"/>
          <w:sz w:val="24"/>
          <w:szCs w:val="24"/>
          <w:highlight w:val="none"/>
        </w:rPr>
        <w:t>（六）无重大违法记录声明（按下方给定格式进行填写）</w:t>
      </w:r>
      <w:bookmarkEnd w:id="95"/>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提示：</w:t>
      </w:r>
    </w:p>
    <w:p>
      <w:pPr>
        <w:spacing w:line="560" w:lineRule="exact"/>
        <w:ind w:firstLine="480" w:firstLineChars="200"/>
        <w:rPr>
          <w:rFonts w:ascii="仿宋_GB2312" w:hAnsi="仿宋" w:eastAsia="仿宋_GB2312"/>
          <w:color w:val="auto"/>
          <w:highlight w:val="none"/>
        </w:rPr>
      </w:pPr>
      <w:r>
        <w:rPr>
          <w:rFonts w:hint="eastAsia" w:ascii="仿宋_GB2312" w:hAnsi="仿宋" w:eastAsia="仿宋_GB2312"/>
          <w:color w:val="auto"/>
          <w:highlight w:val="none"/>
        </w:rPr>
        <w:t>1．供应商可通过【信用中国】（www.creditchina.gov.cn）、【中国政府采购网】（www.ccgp.gov.cn）网站对自身信用记录进行自查，并按查询结果填写下述声明。</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2．供应商在参加政府采购活动前三年内因违法经营被禁止在一定期限内参加政府采购活动，期限届满的，可以参加政府采购活动，但应提供期限届满的证明材料。</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无重大违法记录声明</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〈政府采购代理机构〉：</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我方作为〈项目名称〉（项目编号：〈项目编号〉）的投标供应商，在此郑重声明：</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1．在参加本次政府采购活动前3年内的经营活动中___（填“没有”或“有”）重大违法记录。</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2．我方___（填“未被列入”或“被列入”）失信被执行人名单。</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3．我方___（填“未被列入”或“被列入”）重大税收违法案件当事人名单。</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4．我方___（填“未被列入”或“被列入”）政府采购严重违法失信行为记录名单。</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如有不实，我方将无条件地退出本项目的采购活动，并遵照《政府采购法》有关“提供虚假材料的规定”接受处罚。</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特此声明。</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供应商：___（供应商全称并加盖公章）</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日  期：___年___月___日</w:t>
      </w:r>
    </w:p>
    <w:p>
      <w:pPr>
        <w:pStyle w:val="5"/>
        <w:jc w:val="left"/>
        <w:rPr>
          <w:rFonts w:ascii="仿宋_GB2312" w:eastAsia="仿宋_GB2312"/>
          <w:b/>
          <w:color w:val="auto"/>
          <w:sz w:val="24"/>
          <w:szCs w:val="24"/>
          <w:highlight w:val="none"/>
        </w:rPr>
      </w:pPr>
      <w:bookmarkStart w:id="96" w:name="_Toc107503713"/>
      <w:r>
        <w:rPr>
          <w:rFonts w:hint="eastAsia" w:ascii="仿宋_GB2312" w:eastAsia="仿宋_GB2312"/>
          <w:b/>
          <w:color w:val="auto"/>
          <w:sz w:val="24"/>
          <w:szCs w:val="24"/>
          <w:highlight w:val="none"/>
        </w:rPr>
        <w:t>（七）供应商企业类型</w:t>
      </w:r>
      <w:bookmarkEnd w:id="96"/>
    </w:p>
    <w:p>
      <w:pPr>
        <w:spacing w:line="560" w:lineRule="exact"/>
        <w:outlineLvl w:val="2"/>
        <w:rPr>
          <w:rFonts w:ascii="仿宋_GB2312" w:hAnsi="仿宋" w:eastAsia="仿宋_GB2312"/>
          <w:color w:val="auto"/>
          <w:highlight w:val="none"/>
        </w:rPr>
      </w:pPr>
      <w:bookmarkStart w:id="97" w:name="_Toc107503714"/>
      <w:r>
        <w:rPr>
          <w:rFonts w:hint="eastAsia" w:ascii="仿宋_GB2312" w:hAnsi="仿宋" w:eastAsia="仿宋_GB2312"/>
          <w:color w:val="auto"/>
          <w:highlight w:val="none"/>
        </w:rPr>
        <w:t>1．中小企业声明函</w:t>
      </w:r>
      <w:bookmarkEnd w:id="97"/>
    </w:p>
    <w:p>
      <w:pPr>
        <w:rPr>
          <w:rFonts w:ascii="仿宋_GB2312" w:hAnsi="仿宋" w:eastAsia="仿宋_GB2312"/>
          <w:color w:val="auto"/>
          <w:highlight w:val="none"/>
        </w:rPr>
      </w:pPr>
      <w:r>
        <w:rPr>
          <w:rFonts w:hint="eastAsia" w:ascii="仿宋_GB2312" w:hAnsi="仿宋" w:eastAsia="仿宋_GB2312"/>
          <w:color w:val="auto"/>
          <w:highlight w:val="none"/>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ascii="仿宋_GB2312" w:hAnsi="仿宋" w:eastAsia="仿宋_GB2312"/>
          <w:color w:val="auto"/>
          <w:highlight w:val="none"/>
        </w:rPr>
      </w:pPr>
    </w:p>
    <w:p>
      <w:pPr>
        <w:ind w:firstLine="2160" w:firstLineChars="900"/>
        <w:rPr>
          <w:color w:val="auto"/>
          <w:highlight w:val="none"/>
        </w:rPr>
      </w:pPr>
      <w:r>
        <w:rPr>
          <w:rFonts w:hint="eastAsia" w:ascii="仿宋_GB2312" w:hAnsi="仿宋" w:eastAsia="仿宋_GB2312"/>
          <w:b/>
          <w:color w:val="auto"/>
          <w:highlight w:val="none"/>
        </w:rPr>
        <w:t>中小企业声明函（服务格式）</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本公司（联合体）郑重声明，根据《政府采购促进中小企业发展管理办法》（财库〔2020〕46号）的规定，本公司（联合体）参加〈项目名称〉（项目编号：〈项目编号〉）第___标段采购活动，服务全部由符合政策要求的中小企业承接。相关企业（含联合体中的中小企业、签订分包意向协议的中小企业）的具体情况如下：</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1．〈标的名称〉，属于〈采购文件中明确的所属行业〉；承接企业为〈企业名称〉，从业人员___人，营业收入为</w:t>
      </w:r>
      <w:r>
        <w:rPr>
          <w:rFonts w:hint="eastAsia" w:ascii="仿宋_GB2312" w:hAnsi="Calibri" w:eastAsia="仿宋_GB2312" w:cs="Calibri"/>
          <w:color w:val="auto"/>
          <w:highlight w:val="none"/>
        </w:rPr>
        <w:t> </w:t>
      </w:r>
      <w:r>
        <w:rPr>
          <w:rFonts w:hint="eastAsia" w:ascii="仿宋_GB2312" w:hAnsi="仿宋" w:eastAsia="仿宋_GB2312"/>
          <w:color w:val="auto"/>
          <w:highlight w:val="none"/>
        </w:rPr>
        <w:t>___万元，资产总额为___万元，属于___</w:t>
      </w:r>
      <w:r>
        <w:rPr>
          <w:rFonts w:hint="eastAsia" w:ascii="仿宋_GB2312" w:hAnsi="Calibri" w:eastAsia="仿宋_GB2312" w:cs="Calibri"/>
          <w:color w:val="auto"/>
          <w:highlight w:val="none"/>
        </w:rPr>
        <w:t> </w:t>
      </w:r>
      <w:r>
        <w:rPr>
          <w:rFonts w:hint="eastAsia" w:ascii="仿宋_GB2312" w:hAnsi="仿宋" w:eastAsia="仿宋_GB2312"/>
          <w:color w:val="auto"/>
          <w:highlight w:val="none"/>
        </w:rPr>
        <w:t>企业（选填中型企业、小型企业、微型企业）；</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2．〈标的名称〉，属于〈采购文件中明确的所属行业〉；承接企业为〈企业名称〉，从业人员___人，营业收入为</w:t>
      </w:r>
      <w:r>
        <w:rPr>
          <w:rFonts w:hint="eastAsia" w:ascii="仿宋_GB2312" w:hAnsi="Calibri" w:eastAsia="仿宋_GB2312" w:cs="Calibri"/>
          <w:color w:val="auto"/>
          <w:highlight w:val="none"/>
        </w:rPr>
        <w:t> </w:t>
      </w:r>
      <w:r>
        <w:rPr>
          <w:rFonts w:hint="eastAsia" w:ascii="仿宋_GB2312" w:hAnsi="仿宋" w:eastAsia="仿宋_GB2312"/>
          <w:color w:val="auto"/>
          <w:highlight w:val="none"/>
        </w:rPr>
        <w:t>___万元，资产总额为___万元，属于___</w:t>
      </w:r>
      <w:r>
        <w:rPr>
          <w:rFonts w:hint="eastAsia" w:ascii="仿宋_GB2312" w:hAnsi="Calibri" w:eastAsia="仿宋_GB2312" w:cs="Calibri"/>
          <w:color w:val="auto"/>
          <w:highlight w:val="none"/>
        </w:rPr>
        <w:t> </w:t>
      </w:r>
      <w:r>
        <w:rPr>
          <w:rFonts w:hint="eastAsia" w:ascii="仿宋_GB2312" w:hAnsi="仿宋" w:eastAsia="仿宋_GB2312"/>
          <w:color w:val="auto"/>
          <w:highlight w:val="none"/>
        </w:rPr>
        <w:t>企业（选填中型企业、小型企业、微型企业）；</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本企业对上述声明内容的真实性负责。如有虚假，将依法承担相应责任。</w:t>
      </w:r>
    </w:p>
    <w:p>
      <w:pPr>
        <w:adjustRightInd w:val="0"/>
        <w:snapToGrid w:val="0"/>
        <w:spacing w:line="360" w:lineRule="auto"/>
        <w:ind w:firstLine="480" w:firstLineChars="200"/>
        <w:jc w:val="both"/>
        <w:rPr>
          <w:rFonts w:ascii="仿宋_GB2312" w:hAnsi="仿宋" w:eastAsia="仿宋_GB2312"/>
          <w:color w:val="auto"/>
          <w:highlight w:val="none"/>
        </w:rPr>
      </w:pPr>
    </w:p>
    <w:p>
      <w:pPr>
        <w:adjustRightInd w:val="0"/>
        <w:snapToGrid w:val="0"/>
        <w:spacing w:line="360" w:lineRule="auto"/>
        <w:ind w:firstLine="2445" w:firstLineChars="1019"/>
        <w:jc w:val="both"/>
        <w:rPr>
          <w:rFonts w:ascii="仿宋_GB2312" w:hAnsi="仿宋" w:eastAsia="仿宋_GB2312"/>
          <w:color w:val="auto"/>
          <w:highlight w:val="none"/>
        </w:rPr>
      </w:pPr>
      <w:r>
        <w:rPr>
          <w:rFonts w:hint="eastAsia" w:ascii="仿宋_GB2312" w:hAnsi="仿宋" w:eastAsia="仿宋_GB2312"/>
          <w:color w:val="auto"/>
          <w:highlight w:val="none"/>
        </w:rPr>
        <w:t>供应商：___（供应商全称并加盖公章）</w:t>
      </w:r>
    </w:p>
    <w:p>
      <w:pPr>
        <w:adjustRightInd w:val="0"/>
        <w:snapToGrid w:val="0"/>
        <w:spacing w:line="360" w:lineRule="auto"/>
        <w:ind w:firstLine="2445" w:firstLineChars="1019"/>
        <w:jc w:val="both"/>
        <w:rPr>
          <w:rFonts w:ascii="仿宋_GB2312" w:hAnsi="仿宋" w:eastAsia="仿宋_GB2312"/>
          <w:color w:val="auto"/>
          <w:highlight w:val="none"/>
        </w:rPr>
      </w:pPr>
      <w:r>
        <w:rPr>
          <w:rFonts w:hint="eastAsia" w:ascii="仿宋_GB2312" w:hAnsi="仿宋" w:eastAsia="仿宋_GB2312"/>
          <w:color w:val="auto"/>
          <w:highlight w:val="none"/>
        </w:rPr>
        <w:t>日  期  ___年为</w:t>
      </w:r>
      <w:r>
        <w:rPr>
          <w:rFonts w:hint="eastAsia" w:ascii="仿宋_GB2312" w:hAnsi="Calibri" w:eastAsia="仿宋_GB2312" w:cs="Calibri"/>
          <w:color w:val="auto"/>
          <w:highlight w:val="none"/>
        </w:rPr>
        <w:t> </w:t>
      </w:r>
      <w:r>
        <w:rPr>
          <w:rFonts w:hint="eastAsia" w:ascii="仿宋_GB2312" w:hAnsi="仿宋" w:eastAsia="仿宋_GB2312"/>
          <w:color w:val="auto"/>
          <w:highlight w:val="none"/>
        </w:rPr>
        <w:t>___月___日</w:t>
      </w:r>
    </w:p>
    <w:p>
      <w:pPr>
        <w:adjustRightInd w:val="0"/>
        <w:snapToGrid w:val="0"/>
        <w:spacing w:before="100" w:beforeAutospacing="1" w:after="100" w:afterAutospacing="1" w:line="360" w:lineRule="auto"/>
        <w:rPr>
          <w:rFonts w:ascii="仿宋_GB2312" w:hAnsi="宋体" w:eastAsia="仿宋_GB2312" w:cs="宋体"/>
          <w:b/>
          <w:color w:val="auto"/>
          <w:sz w:val="20"/>
          <w:szCs w:val="21"/>
          <w:highlight w:val="none"/>
        </w:rPr>
      </w:pPr>
      <w:r>
        <w:rPr>
          <w:rFonts w:hint="eastAsia" w:ascii="仿宋_GB2312" w:hAnsi="宋体" w:eastAsia="仿宋_GB2312" w:cs="宋体"/>
          <w:b/>
          <w:color w:val="auto"/>
          <w:sz w:val="20"/>
          <w:szCs w:val="21"/>
          <w:highlight w:val="none"/>
        </w:rPr>
        <w:t>1.从业人员、营业收入、资产总额填报上一年度数据，无上一年度数据的新成立企业可不填报。</w:t>
      </w:r>
    </w:p>
    <w:p>
      <w:pPr>
        <w:adjustRightInd w:val="0"/>
        <w:snapToGrid w:val="0"/>
        <w:spacing w:before="100" w:beforeAutospacing="1" w:after="100" w:afterAutospacing="1" w:line="360" w:lineRule="auto"/>
        <w:rPr>
          <w:rFonts w:ascii="仿宋_GB2312" w:hAnsi="仿宋" w:eastAsia="仿宋_GB2312" w:cs="宋体"/>
          <w:b/>
          <w:color w:val="auto"/>
          <w:sz w:val="20"/>
          <w:highlight w:val="none"/>
        </w:rPr>
      </w:pPr>
      <w:r>
        <w:rPr>
          <w:rFonts w:hint="eastAsia" w:ascii="仿宋_GB2312" w:hAnsi="宋体" w:eastAsia="仿宋_GB2312" w:cs="宋体"/>
          <w:b/>
          <w:color w:val="auto"/>
          <w:sz w:val="20"/>
          <w:szCs w:val="21"/>
          <w:highlight w:val="none"/>
        </w:rPr>
        <w:t>2.本项目所属行业为其他未列明行业。</w:t>
      </w:r>
    </w:p>
    <w:p>
      <w:pPr>
        <w:spacing w:line="560" w:lineRule="exact"/>
        <w:outlineLvl w:val="2"/>
        <w:rPr>
          <w:rFonts w:ascii="仿宋_GB2312" w:hAnsi="仿宋" w:eastAsia="仿宋_GB2312"/>
          <w:color w:val="auto"/>
          <w:highlight w:val="none"/>
        </w:rPr>
      </w:pPr>
      <w:bookmarkStart w:id="98" w:name="_Toc107503715"/>
      <w:r>
        <w:rPr>
          <w:rFonts w:hint="eastAsia" w:ascii="仿宋_GB2312" w:hAnsi="仿宋" w:eastAsia="仿宋_GB2312"/>
          <w:color w:val="auto"/>
          <w:highlight w:val="none"/>
        </w:rPr>
        <w:t>2．残疾人福利性单位声明函</w:t>
      </w:r>
      <w:bookmarkEnd w:id="98"/>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说明：当且仅当供应商为残疾人福利性单位的，应按下文给定格式填写声明函。未提供或未按给定格式提供声明函的，将不能享受招标文件规定的价格优惠政策，但不影响投标文件的有效性。</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供应商在填报前请认真阅读《财政部、民政部、中国残疾人联合会关于促进残疾人就业政府采购政策的通知》（财库〔2017〕141号）相关规定。</w:t>
      </w:r>
    </w:p>
    <w:p>
      <w:pPr>
        <w:ind w:firstLine="2160" w:firstLineChars="900"/>
        <w:rPr>
          <w:rFonts w:ascii="仿宋_GB2312" w:hAnsi="仿宋" w:eastAsia="仿宋_GB2312"/>
          <w:color w:val="auto"/>
          <w:highlight w:val="none"/>
        </w:rPr>
      </w:pPr>
    </w:p>
    <w:p>
      <w:pPr>
        <w:ind w:firstLine="2160" w:firstLineChars="900"/>
        <w:rPr>
          <w:rFonts w:ascii="仿宋_GB2312" w:hAnsi="仿宋" w:eastAsia="仿宋_GB2312"/>
          <w:color w:val="auto"/>
          <w:highlight w:val="none"/>
        </w:rPr>
      </w:pPr>
      <w:r>
        <w:rPr>
          <w:rFonts w:hint="eastAsia" w:ascii="仿宋_GB2312" w:hAnsi="仿宋" w:eastAsia="仿宋_GB2312"/>
          <w:b/>
          <w:color w:val="auto"/>
          <w:highlight w:val="none"/>
        </w:rPr>
        <w:t>残疾人福利性单位声明函（格式）</w:t>
      </w: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本单位对上述声明的真实性负责。如有虚假，将依法承担相应责任。</w:t>
      </w:r>
    </w:p>
    <w:p>
      <w:pPr>
        <w:spacing w:line="560" w:lineRule="exact"/>
        <w:ind w:firstLine="480" w:firstLineChars="200"/>
        <w:jc w:val="both"/>
        <w:rPr>
          <w:rFonts w:ascii="仿宋_GB2312" w:hAnsi="仿宋" w:eastAsia="仿宋_GB2312"/>
          <w:color w:val="auto"/>
          <w:highlight w:val="none"/>
        </w:rPr>
      </w:pPr>
    </w:p>
    <w:p>
      <w:pPr>
        <w:spacing w:line="560" w:lineRule="exact"/>
        <w:ind w:firstLine="2445" w:firstLineChars="1019"/>
        <w:jc w:val="both"/>
        <w:rPr>
          <w:rFonts w:ascii="仿宋_GB2312" w:hAnsi="仿宋" w:eastAsia="仿宋_GB2312"/>
          <w:color w:val="auto"/>
          <w:highlight w:val="none"/>
        </w:rPr>
      </w:pPr>
      <w:r>
        <w:rPr>
          <w:rFonts w:hint="eastAsia" w:ascii="仿宋_GB2312" w:hAnsi="仿宋" w:eastAsia="仿宋_GB2312"/>
          <w:color w:val="auto"/>
          <w:highlight w:val="none"/>
        </w:rPr>
        <w:t>供应商： ___（供应商全称并加盖公章）</w:t>
      </w:r>
    </w:p>
    <w:p>
      <w:pPr>
        <w:spacing w:line="560" w:lineRule="exact"/>
        <w:ind w:firstLine="2445" w:firstLineChars="1019"/>
        <w:jc w:val="both"/>
        <w:rPr>
          <w:rFonts w:ascii="仿宋_GB2312" w:hAnsi="仿宋" w:eastAsia="仿宋_GB2312"/>
          <w:color w:val="auto"/>
          <w:highlight w:val="none"/>
        </w:rPr>
      </w:pPr>
      <w:r>
        <w:rPr>
          <w:rFonts w:hint="eastAsia" w:ascii="仿宋_GB2312" w:hAnsi="仿宋" w:eastAsia="仿宋_GB2312"/>
          <w:color w:val="auto"/>
          <w:highlight w:val="none"/>
        </w:rPr>
        <w:t>日  期： ___年___月___日</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br w:type="page"/>
      </w:r>
    </w:p>
    <w:p>
      <w:pPr>
        <w:spacing w:line="560" w:lineRule="exact"/>
        <w:outlineLvl w:val="2"/>
        <w:rPr>
          <w:rFonts w:ascii="仿宋_GB2312" w:hAnsi="仿宋" w:eastAsia="仿宋_GB2312"/>
          <w:color w:val="auto"/>
          <w:highlight w:val="none"/>
        </w:rPr>
      </w:pPr>
      <w:bookmarkStart w:id="99" w:name="_Toc107503716"/>
      <w:r>
        <w:rPr>
          <w:rFonts w:hint="eastAsia" w:ascii="仿宋_GB2312" w:hAnsi="仿宋" w:eastAsia="仿宋_GB2312"/>
          <w:color w:val="auto"/>
          <w:highlight w:val="none"/>
        </w:rPr>
        <w:t>3．监狱企业证明函</w:t>
      </w:r>
      <w:bookmarkEnd w:id="99"/>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监狱企业参加政府采购活动时，应当提供由省级以上监狱管理局、戒毒管理局（含新疆生产建设兵团）出具的属于监狱企业的证明文件。</w:t>
      </w:r>
    </w:p>
    <w:p>
      <w:pPr>
        <w:rPr>
          <w:color w:val="auto"/>
          <w:highlight w:val="none"/>
        </w:rPr>
      </w:pPr>
      <w:r>
        <w:rPr>
          <w:rFonts w:hint="eastAsia"/>
          <w:color w:val="auto"/>
          <w:highlight w:val="none"/>
        </w:rPr>
        <w:br w:type="page"/>
      </w:r>
    </w:p>
    <w:p>
      <w:pPr>
        <w:pStyle w:val="5"/>
        <w:jc w:val="left"/>
        <w:rPr>
          <w:rFonts w:ascii="仿宋_GB2312" w:eastAsia="仿宋_GB2312"/>
          <w:b/>
          <w:color w:val="auto"/>
          <w:sz w:val="24"/>
          <w:szCs w:val="24"/>
          <w:highlight w:val="none"/>
        </w:rPr>
      </w:pPr>
      <w:bookmarkStart w:id="100" w:name="_Toc107503717"/>
      <w:r>
        <w:rPr>
          <w:rFonts w:hint="eastAsia" w:ascii="仿宋_GB2312" w:eastAsia="仿宋_GB2312"/>
          <w:b/>
          <w:color w:val="auto"/>
          <w:sz w:val="24"/>
          <w:szCs w:val="24"/>
          <w:highlight w:val="none"/>
        </w:rPr>
        <w:t>（八）法定代表人（主要负责人）委托授权书\身份证明（按下方给定格式进行填写）</w:t>
      </w:r>
      <w:bookmarkEnd w:id="100"/>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说明：</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pPr>
        <w:spacing w:line="560" w:lineRule="exact"/>
        <w:ind w:firstLine="480" w:firstLineChars="200"/>
        <w:jc w:val="center"/>
        <w:rPr>
          <w:rFonts w:ascii="仿宋_GB2312" w:hAnsi="仿宋" w:eastAsia="仿宋_GB2312"/>
          <w:b/>
          <w:color w:val="auto"/>
          <w:highlight w:val="none"/>
        </w:rPr>
      </w:pPr>
      <w:r>
        <w:rPr>
          <w:rFonts w:hint="eastAsia" w:ascii="仿宋_GB2312" w:hAnsi="仿宋" w:eastAsia="仿宋_GB2312"/>
          <w:b/>
          <w:color w:val="auto"/>
          <w:highlight w:val="none"/>
        </w:rPr>
        <w:t>法定代表人（主要负责人）身份证明（格式）</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〈政府采购代理机构〉：</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〈法定代表人（主要负责人）姓名〉系〈供应商全称〉的法定代表人（主要负责人），特此证明。</w:t>
      </w:r>
    </w:p>
    <w:tbl>
      <w:tblPr>
        <w:tblStyle w:val="39"/>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9057" w:type="dxa"/>
            <w:vAlign w:val="center"/>
          </w:tcPr>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法定代表人（主要负责人）</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身份证正反面（扫描件）</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或护照资料页（扫描件）</w:t>
            </w:r>
          </w:p>
        </w:tc>
      </w:tr>
    </w:tbl>
    <w:p>
      <w:pPr>
        <w:spacing w:line="560" w:lineRule="exact"/>
        <w:ind w:firstLine="2445" w:firstLineChars="1019"/>
        <w:jc w:val="both"/>
        <w:rPr>
          <w:rFonts w:ascii="仿宋_GB2312" w:hAnsi="仿宋" w:eastAsia="仿宋_GB2312"/>
          <w:color w:val="auto"/>
          <w:highlight w:val="none"/>
        </w:rPr>
      </w:pPr>
      <w:r>
        <w:rPr>
          <w:rFonts w:hint="eastAsia" w:ascii="仿宋_GB2312" w:hAnsi="仿宋" w:eastAsia="仿宋_GB2312"/>
          <w:color w:val="auto"/>
          <w:highlight w:val="none"/>
        </w:rPr>
        <w:t>供应商：___（供应商全称并加盖公章）</w:t>
      </w:r>
    </w:p>
    <w:p>
      <w:pPr>
        <w:spacing w:line="560" w:lineRule="exact"/>
        <w:ind w:firstLine="2445" w:firstLineChars="1019"/>
        <w:jc w:val="both"/>
        <w:rPr>
          <w:rFonts w:ascii="仿宋_GB2312" w:hAnsi="仿宋" w:eastAsia="仿宋_GB2312"/>
          <w:color w:val="auto"/>
          <w:highlight w:val="none"/>
        </w:rPr>
      </w:pPr>
      <w:r>
        <w:rPr>
          <w:rFonts w:hint="eastAsia" w:ascii="仿宋_GB2312" w:hAnsi="仿宋" w:eastAsia="仿宋_GB2312"/>
          <w:color w:val="auto"/>
          <w:highlight w:val="none"/>
        </w:rPr>
        <w:t>日期：    ___ 年___月___日</w:t>
      </w:r>
      <w:r>
        <w:rPr>
          <w:rFonts w:hint="eastAsia" w:ascii="仿宋_GB2312" w:hAnsi="仿宋" w:eastAsia="仿宋_GB2312"/>
          <w:color w:val="auto"/>
          <w:highlight w:val="none"/>
        </w:rPr>
        <w:br w:type="page"/>
      </w:r>
    </w:p>
    <w:p>
      <w:pPr>
        <w:spacing w:line="560" w:lineRule="exact"/>
        <w:ind w:firstLine="480" w:firstLineChars="200"/>
        <w:jc w:val="center"/>
        <w:rPr>
          <w:rFonts w:ascii="仿宋_GB2312" w:hAnsi="仿宋" w:eastAsia="仿宋_GB2312"/>
          <w:b/>
          <w:color w:val="auto"/>
          <w:highlight w:val="none"/>
        </w:rPr>
      </w:pPr>
      <w:r>
        <w:rPr>
          <w:rFonts w:hint="eastAsia" w:ascii="仿宋_GB2312" w:hAnsi="仿宋" w:eastAsia="仿宋_GB2312"/>
          <w:b/>
          <w:color w:val="auto"/>
          <w:highlight w:val="none"/>
        </w:rPr>
        <w:t>法定代表人（主要负责人）委托授权书（格式）</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〈政府采购代理机构〉：</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本授权有效期与投标文件有效期一致。代理人无转委托权。</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代理人姓名：_________________________</w:t>
      </w:r>
      <w:r>
        <w:rPr>
          <w:rFonts w:hint="eastAsia" w:ascii="仿宋_GB2312" w:hAnsi="仿宋" w:eastAsia="仿宋_GB2312"/>
          <w:color w:val="auto"/>
          <w:highlight w:val="none"/>
        </w:rPr>
        <w:tab/>
      </w:r>
      <w:r>
        <w:rPr>
          <w:rFonts w:hint="eastAsia" w:ascii="仿宋_GB2312" w:hAnsi="仿宋" w:eastAsia="仿宋_GB2312"/>
          <w:color w:val="auto"/>
          <w:highlight w:val="none"/>
        </w:rPr>
        <w:t>联系电话：______________</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身份证（护照）号码：_________________</w:t>
      </w:r>
      <w:r>
        <w:rPr>
          <w:rFonts w:hint="eastAsia" w:ascii="仿宋_GB2312" w:hAnsi="仿宋" w:eastAsia="仿宋_GB2312"/>
          <w:color w:val="auto"/>
          <w:highlight w:val="none"/>
        </w:rPr>
        <w:tab/>
      </w:r>
      <w:r>
        <w:rPr>
          <w:rFonts w:hint="eastAsia" w:ascii="仿宋_GB2312" w:hAnsi="仿宋" w:eastAsia="仿宋_GB2312"/>
          <w:color w:val="auto"/>
          <w:highlight w:val="none"/>
        </w:rPr>
        <w:t>职务：__________________</w:t>
      </w:r>
    </w:p>
    <w:p>
      <w:pPr>
        <w:spacing w:line="560" w:lineRule="exact"/>
        <w:ind w:firstLine="480" w:firstLineChars="200"/>
        <w:rPr>
          <w:rFonts w:ascii="仿宋_GB2312" w:hAnsi="仿宋" w:eastAsia="仿宋_GB2312"/>
          <w:color w:val="auto"/>
          <w:highlight w:val="none"/>
        </w:rPr>
      </w:pPr>
      <w:r>
        <w:rPr>
          <w:rFonts w:hint="eastAsia" w:ascii="仿宋_GB2312" w:hAnsi="仿宋" w:eastAsia="仿宋_GB2312"/>
          <w:color w:val="auto"/>
          <w:highlight w:val="none"/>
        </w:rPr>
        <w:t xml:space="preserve">通讯地址：________________________________________________________________________________________________________________________________________                         </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ascii="仿宋_GB2312" w:hAnsi="仿宋" w:eastAsia="仿宋_GB2312"/>
                <w:color w:val="auto"/>
                <w:highlight w:val="none"/>
              </w:rPr>
            </w:pPr>
            <w:r>
              <w:rPr>
                <w:rFonts w:hint="eastAsia" w:ascii="仿宋_GB2312" w:hAnsi="仿宋" w:eastAsia="仿宋_GB2312"/>
                <w:color w:val="auto"/>
                <w:highlight w:val="none"/>
              </w:rPr>
              <w:t>法定代表人（主要负责人）</w:t>
            </w:r>
          </w:p>
          <w:p>
            <w:pPr>
              <w:spacing w:line="560" w:lineRule="exact"/>
              <w:ind w:firstLine="480" w:firstLineChars="200"/>
              <w:jc w:val="center"/>
              <w:rPr>
                <w:rFonts w:ascii="仿宋_GB2312" w:hAnsi="仿宋" w:eastAsia="仿宋_GB2312"/>
                <w:color w:val="auto"/>
                <w:highlight w:val="none"/>
              </w:rPr>
            </w:pPr>
            <w:r>
              <w:rPr>
                <w:rFonts w:hint="eastAsia" w:ascii="仿宋_GB2312" w:hAnsi="仿宋" w:eastAsia="仿宋_GB2312"/>
                <w:color w:val="auto"/>
                <w:highlight w:val="none"/>
              </w:rPr>
              <w:t>身份证正反面（扫描件）</w:t>
            </w:r>
          </w:p>
          <w:p>
            <w:pPr>
              <w:spacing w:line="560" w:lineRule="exact"/>
              <w:ind w:firstLine="480" w:firstLineChars="200"/>
              <w:jc w:val="center"/>
              <w:rPr>
                <w:rFonts w:ascii="仿宋_GB2312" w:hAnsi="仿宋" w:eastAsia="仿宋_GB2312"/>
                <w:color w:val="auto"/>
                <w:highlight w:val="none"/>
              </w:rPr>
            </w:pPr>
            <w:r>
              <w:rPr>
                <w:rFonts w:hint="eastAsia" w:ascii="仿宋_GB2312" w:hAnsi="仿宋" w:eastAsia="仿宋_GB2312"/>
                <w:color w:val="auto"/>
                <w:highlight w:val="none"/>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ascii="仿宋_GB2312" w:hAnsi="仿宋" w:eastAsia="仿宋_GB2312"/>
                <w:color w:val="auto"/>
                <w:highlight w:val="none"/>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ascii="仿宋_GB2312" w:hAnsi="仿宋" w:eastAsia="仿宋_GB2312"/>
                <w:color w:val="auto"/>
                <w:highlight w:val="none"/>
              </w:rPr>
            </w:pPr>
            <w:r>
              <w:rPr>
                <w:rFonts w:hint="eastAsia" w:ascii="仿宋_GB2312" w:hAnsi="仿宋" w:eastAsia="仿宋_GB2312"/>
                <w:color w:val="auto"/>
                <w:highlight w:val="none"/>
              </w:rPr>
              <w:t>委托代理人</w:t>
            </w:r>
          </w:p>
          <w:p>
            <w:pPr>
              <w:spacing w:line="560" w:lineRule="exact"/>
              <w:ind w:firstLine="480" w:firstLineChars="200"/>
              <w:jc w:val="center"/>
              <w:rPr>
                <w:rFonts w:ascii="仿宋_GB2312" w:hAnsi="仿宋" w:eastAsia="仿宋_GB2312"/>
                <w:color w:val="auto"/>
                <w:highlight w:val="none"/>
              </w:rPr>
            </w:pPr>
            <w:r>
              <w:rPr>
                <w:rFonts w:hint="eastAsia" w:ascii="仿宋_GB2312" w:hAnsi="仿宋" w:eastAsia="仿宋_GB2312"/>
                <w:color w:val="auto"/>
                <w:highlight w:val="none"/>
              </w:rPr>
              <w:t>身份证正反面（扫描件）</w:t>
            </w:r>
          </w:p>
          <w:p>
            <w:pPr>
              <w:spacing w:line="560" w:lineRule="exact"/>
              <w:ind w:firstLine="480" w:firstLineChars="200"/>
              <w:jc w:val="center"/>
              <w:rPr>
                <w:rFonts w:ascii="仿宋_GB2312" w:hAnsi="仿宋" w:eastAsia="仿宋_GB2312"/>
                <w:color w:val="auto"/>
                <w:highlight w:val="none"/>
              </w:rPr>
            </w:pPr>
            <w:r>
              <w:rPr>
                <w:rFonts w:hint="eastAsia" w:ascii="仿宋_GB2312" w:hAnsi="仿宋" w:eastAsia="仿宋_GB2312"/>
                <w:color w:val="auto"/>
                <w:highlight w:val="none"/>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ascii="仿宋_GB2312" w:hAnsi="仿宋" w:eastAsia="仿宋_GB2312"/>
                <w:color w:val="auto"/>
                <w:highlight w:val="none"/>
              </w:rPr>
            </w:pP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ascii="仿宋_GB2312" w:hAnsi="仿宋" w:eastAsia="仿宋_GB2312"/>
                <w:color w:val="auto"/>
                <w:highlight w:val="none"/>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ascii="仿宋_GB2312" w:hAnsi="仿宋" w:eastAsia="仿宋_GB2312"/>
                <w:color w:val="auto"/>
                <w:highlight w:val="none"/>
              </w:rPr>
            </w:pPr>
          </w:p>
        </w:tc>
      </w:tr>
    </w:tbl>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1807" w:firstLineChars="753"/>
        <w:jc w:val="both"/>
        <w:rPr>
          <w:rFonts w:ascii="仿宋_GB2312" w:hAnsi="仿宋" w:eastAsia="仿宋_GB2312"/>
          <w:color w:val="auto"/>
          <w:highlight w:val="none"/>
        </w:rPr>
      </w:pPr>
      <w:r>
        <w:rPr>
          <w:rFonts w:hint="eastAsia" w:ascii="仿宋_GB2312" w:hAnsi="仿宋" w:eastAsia="仿宋_GB2312"/>
          <w:color w:val="auto"/>
          <w:highlight w:val="none"/>
        </w:rPr>
        <w:t>法定代表人（主要负责人）：___（签字或盖章）</w:t>
      </w:r>
    </w:p>
    <w:p>
      <w:pPr>
        <w:spacing w:line="560" w:lineRule="exact"/>
        <w:ind w:firstLine="1807" w:firstLineChars="753"/>
        <w:jc w:val="both"/>
        <w:rPr>
          <w:rFonts w:ascii="仿宋_GB2312" w:hAnsi="仿宋" w:eastAsia="仿宋_GB2312"/>
          <w:color w:val="auto"/>
          <w:highlight w:val="none"/>
        </w:rPr>
      </w:pPr>
      <w:r>
        <w:rPr>
          <w:rFonts w:hint="eastAsia" w:ascii="仿宋_GB2312" w:hAnsi="仿宋" w:eastAsia="仿宋_GB2312"/>
          <w:color w:val="auto"/>
          <w:highlight w:val="none"/>
        </w:rPr>
        <w:t>供应商：___（供应商全称并加盖公章）</w:t>
      </w:r>
    </w:p>
    <w:p>
      <w:pPr>
        <w:spacing w:line="560" w:lineRule="exact"/>
        <w:ind w:firstLine="1807" w:firstLineChars="753"/>
        <w:jc w:val="both"/>
        <w:rPr>
          <w:rFonts w:ascii="仿宋_GB2312" w:hAnsi="仿宋" w:eastAsia="仿宋_GB2312"/>
          <w:color w:val="auto"/>
          <w:highlight w:val="none"/>
        </w:rPr>
      </w:pPr>
      <w:r>
        <w:rPr>
          <w:rFonts w:hint="eastAsia" w:ascii="仿宋_GB2312" w:hAnsi="仿宋" w:eastAsia="仿宋_GB2312"/>
          <w:color w:val="auto"/>
          <w:highlight w:val="none"/>
        </w:rPr>
        <w:t>授权日期：   ___年___月 ___日</w:t>
      </w:r>
    </w:p>
    <w:p>
      <w:pPr>
        <w:pStyle w:val="5"/>
        <w:jc w:val="left"/>
        <w:rPr>
          <w:rFonts w:ascii="仿宋_GB2312" w:eastAsia="仿宋_GB2312"/>
          <w:b/>
          <w:color w:val="auto"/>
          <w:sz w:val="24"/>
          <w:szCs w:val="24"/>
          <w:highlight w:val="none"/>
        </w:rPr>
      </w:pPr>
      <w:bookmarkStart w:id="101" w:name="_Toc107503718"/>
      <w:r>
        <w:rPr>
          <w:rFonts w:hint="eastAsia" w:ascii="仿宋_GB2312" w:eastAsia="仿宋_GB2312"/>
          <w:b/>
          <w:color w:val="auto"/>
          <w:sz w:val="24"/>
          <w:szCs w:val="24"/>
          <w:highlight w:val="none"/>
        </w:rPr>
        <w:t>（九）招标公告中要求的其他资格证明文件</w:t>
      </w:r>
      <w:bookmarkEnd w:id="101"/>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rPr>
          <w:rFonts w:ascii="仿宋_GB2312" w:hAnsi="仿宋" w:eastAsia="仿宋_GB2312"/>
          <w:color w:val="auto"/>
          <w:highlight w:val="none"/>
        </w:rPr>
      </w:pPr>
      <w:r>
        <w:rPr>
          <w:rFonts w:hint="eastAsia" w:ascii="仿宋_GB2312" w:hAnsi="仿宋" w:eastAsia="仿宋_GB2312"/>
          <w:color w:val="auto"/>
          <w:highlight w:val="none"/>
        </w:rPr>
        <w:br w:type="page"/>
      </w:r>
    </w:p>
    <w:p>
      <w:pPr>
        <w:pStyle w:val="4"/>
        <w:ind w:firstLine="482"/>
        <w:jc w:val="center"/>
        <w:rPr>
          <w:rFonts w:ascii="仿宋_GB2312" w:eastAsia="仿宋_GB2312"/>
          <w:b/>
          <w:color w:val="auto"/>
          <w:sz w:val="24"/>
          <w:szCs w:val="24"/>
          <w:highlight w:val="none"/>
        </w:rPr>
      </w:pPr>
      <w:bookmarkStart w:id="102" w:name="_Toc107503719"/>
      <w:r>
        <w:rPr>
          <w:rFonts w:hint="eastAsia" w:ascii="仿宋_GB2312" w:eastAsia="仿宋_GB2312"/>
          <w:b/>
          <w:color w:val="auto"/>
          <w:sz w:val="24"/>
          <w:szCs w:val="24"/>
          <w:highlight w:val="none"/>
        </w:rPr>
        <w:t>第四部分  供应商概况</w:t>
      </w:r>
      <w:bookmarkEnd w:id="102"/>
    </w:p>
    <w:p>
      <w:pPr>
        <w:pStyle w:val="100"/>
        <w:ind w:firstLine="480"/>
        <w:rPr>
          <w:color w:val="auto"/>
          <w:highlight w:val="none"/>
        </w:rPr>
      </w:pPr>
    </w:p>
    <w:tbl>
      <w:tblPr>
        <w:tblStyle w:val="103"/>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868" w:type="dxa"/>
            <w:gridSpan w:val="6"/>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供应商全称</w:t>
            </w:r>
          </w:p>
        </w:tc>
        <w:tc>
          <w:tcPr>
            <w:tcW w:w="6756" w:type="dxa"/>
            <w:gridSpan w:val="5"/>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注册地址</w:t>
            </w:r>
          </w:p>
        </w:tc>
        <w:tc>
          <w:tcPr>
            <w:tcW w:w="2416" w:type="dxa"/>
            <w:gridSpan w:val="2"/>
          </w:tcPr>
          <w:p>
            <w:pPr>
              <w:ind w:firstLine="0"/>
              <w:jc w:val="both"/>
              <w:rPr>
                <w:rFonts w:ascii="仿宋_GB2312" w:hAnsi="仿宋" w:eastAsia="仿宋_GB2312"/>
                <w:color w:val="auto"/>
                <w:kern w:val="2"/>
                <w:highlight w:val="none"/>
              </w:rPr>
            </w:pPr>
          </w:p>
        </w:tc>
        <w:tc>
          <w:tcPr>
            <w:tcW w:w="1411"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成立时间</w:t>
            </w:r>
          </w:p>
        </w:tc>
        <w:tc>
          <w:tcPr>
            <w:tcW w:w="2929" w:type="dxa"/>
            <w:gridSpan w:val="2"/>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统一社会信用代码</w:t>
            </w:r>
          </w:p>
        </w:tc>
        <w:tc>
          <w:tcPr>
            <w:tcW w:w="2416" w:type="dxa"/>
            <w:gridSpan w:val="2"/>
          </w:tcPr>
          <w:p>
            <w:pPr>
              <w:ind w:firstLine="0"/>
              <w:jc w:val="both"/>
              <w:rPr>
                <w:rFonts w:ascii="仿宋_GB2312" w:hAnsi="仿宋" w:eastAsia="仿宋_GB2312"/>
                <w:color w:val="auto"/>
                <w:kern w:val="2"/>
                <w:highlight w:val="none"/>
              </w:rPr>
            </w:pPr>
          </w:p>
        </w:tc>
        <w:tc>
          <w:tcPr>
            <w:tcW w:w="1411"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单位性质</w:t>
            </w:r>
          </w:p>
        </w:tc>
        <w:tc>
          <w:tcPr>
            <w:tcW w:w="2929" w:type="dxa"/>
            <w:gridSpan w:val="2"/>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法定代表人</w:t>
            </w:r>
            <w:r>
              <w:rPr>
                <w:rFonts w:hint="eastAsia" w:ascii="仿宋_GB2312" w:hAnsi="仿宋" w:eastAsia="仿宋_GB2312"/>
                <w:color w:val="auto"/>
                <w:kern w:val="2"/>
                <w:highlight w:val="none"/>
              </w:rPr>
              <w:br w:type="textWrapping"/>
            </w:r>
            <w:r>
              <w:rPr>
                <w:rFonts w:hint="eastAsia" w:ascii="仿宋_GB2312" w:hAnsi="仿宋" w:eastAsia="仿宋_GB2312"/>
                <w:color w:val="auto"/>
                <w:kern w:val="2"/>
                <w:highlight w:val="none"/>
              </w:rPr>
              <w:t>（主要负责人）</w:t>
            </w:r>
          </w:p>
        </w:tc>
        <w:tc>
          <w:tcPr>
            <w:tcW w:w="2416" w:type="dxa"/>
            <w:gridSpan w:val="2"/>
          </w:tcPr>
          <w:p>
            <w:pPr>
              <w:ind w:firstLine="0"/>
              <w:jc w:val="both"/>
              <w:rPr>
                <w:rFonts w:ascii="仿宋_GB2312" w:hAnsi="仿宋" w:eastAsia="仿宋_GB2312"/>
                <w:color w:val="auto"/>
                <w:kern w:val="2"/>
                <w:highlight w:val="none"/>
              </w:rPr>
            </w:pPr>
          </w:p>
        </w:tc>
        <w:tc>
          <w:tcPr>
            <w:tcW w:w="1411"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所属行业</w:t>
            </w:r>
          </w:p>
        </w:tc>
        <w:tc>
          <w:tcPr>
            <w:tcW w:w="2929" w:type="dxa"/>
            <w:gridSpan w:val="2"/>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基本存款账户</w:t>
            </w:r>
            <w:r>
              <w:rPr>
                <w:rFonts w:hint="eastAsia" w:ascii="仿宋_GB2312" w:hAnsi="仿宋" w:eastAsia="仿宋_GB2312"/>
                <w:color w:val="auto"/>
                <w:kern w:val="2"/>
                <w:highlight w:val="none"/>
              </w:rPr>
              <w:br w:type="textWrapping"/>
            </w:r>
            <w:r>
              <w:rPr>
                <w:rFonts w:hint="eastAsia" w:ascii="仿宋_GB2312" w:hAnsi="仿宋" w:eastAsia="仿宋_GB2312"/>
                <w:color w:val="auto"/>
                <w:kern w:val="2"/>
                <w:highlight w:val="none"/>
              </w:rPr>
              <w:t>开户银行</w:t>
            </w:r>
          </w:p>
        </w:tc>
        <w:tc>
          <w:tcPr>
            <w:tcW w:w="2416" w:type="dxa"/>
            <w:gridSpan w:val="2"/>
          </w:tcPr>
          <w:p>
            <w:pPr>
              <w:ind w:firstLine="0"/>
              <w:jc w:val="both"/>
              <w:rPr>
                <w:rFonts w:ascii="仿宋_GB2312" w:hAnsi="仿宋" w:eastAsia="仿宋_GB2312"/>
                <w:color w:val="auto"/>
                <w:kern w:val="2"/>
                <w:highlight w:val="none"/>
              </w:rPr>
            </w:pPr>
          </w:p>
        </w:tc>
        <w:tc>
          <w:tcPr>
            <w:tcW w:w="1411"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基本存款</w:t>
            </w:r>
            <w:r>
              <w:rPr>
                <w:rFonts w:hint="eastAsia" w:ascii="仿宋_GB2312" w:hAnsi="仿宋" w:eastAsia="仿宋_GB2312"/>
                <w:color w:val="auto"/>
                <w:kern w:val="2"/>
                <w:highlight w:val="none"/>
              </w:rPr>
              <w:br w:type="textWrapping"/>
            </w:r>
            <w:r>
              <w:rPr>
                <w:rFonts w:hint="eastAsia" w:ascii="仿宋_GB2312" w:hAnsi="仿宋" w:eastAsia="仿宋_GB2312"/>
                <w:color w:val="auto"/>
                <w:kern w:val="2"/>
                <w:highlight w:val="none"/>
              </w:rPr>
              <w:t>账户账号</w:t>
            </w:r>
          </w:p>
        </w:tc>
        <w:tc>
          <w:tcPr>
            <w:tcW w:w="2929" w:type="dxa"/>
            <w:gridSpan w:val="2"/>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上年度</w:t>
            </w:r>
            <w:r>
              <w:rPr>
                <w:rFonts w:hint="eastAsia" w:ascii="仿宋_GB2312" w:hAnsi="仿宋" w:eastAsia="仿宋_GB2312"/>
                <w:color w:val="auto"/>
                <w:kern w:val="2"/>
                <w:highlight w:val="none"/>
              </w:rPr>
              <w:br w:type="textWrapping"/>
            </w:r>
            <w:r>
              <w:rPr>
                <w:rFonts w:hint="eastAsia" w:ascii="仿宋_GB2312" w:hAnsi="仿宋" w:eastAsia="仿宋_GB2312"/>
                <w:color w:val="auto"/>
                <w:kern w:val="2"/>
                <w:highlight w:val="none"/>
              </w:rPr>
              <w:t>营业收入</w:t>
            </w:r>
          </w:p>
        </w:tc>
        <w:tc>
          <w:tcPr>
            <w:tcW w:w="2416" w:type="dxa"/>
            <w:gridSpan w:val="2"/>
          </w:tcPr>
          <w:p>
            <w:pPr>
              <w:ind w:firstLine="0"/>
              <w:jc w:val="both"/>
              <w:rPr>
                <w:rFonts w:ascii="仿宋_GB2312" w:hAnsi="仿宋" w:eastAsia="仿宋_GB2312"/>
                <w:color w:val="auto"/>
                <w:kern w:val="2"/>
                <w:highlight w:val="none"/>
              </w:rPr>
            </w:pPr>
          </w:p>
        </w:tc>
        <w:tc>
          <w:tcPr>
            <w:tcW w:w="1411"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资产总额</w:t>
            </w:r>
          </w:p>
        </w:tc>
        <w:tc>
          <w:tcPr>
            <w:tcW w:w="2929" w:type="dxa"/>
            <w:gridSpan w:val="2"/>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经营范围</w:t>
            </w:r>
          </w:p>
        </w:tc>
        <w:tc>
          <w:tcPr>
            <w:tcW w:w="6756" w:type="dxa"/>
            <w:gridSpan w:val="5"/>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从业人员总数</w:t>
            </w:r>
          </w:p>
        </w:tc>
        <w:tc>
          <w:tcPr>
            <w:tcW w:w="992" w:type="dxa"/>
            <w:vMerge w:val="restart"/>
          </w:tcPr>
          <w:p>
            <w:pPr>
              <w:ind w:firstLine="0"/>
              <w:jc w:val="both"/>
              <w:rPr>
                <w:rFonts w:ascii="仿宋_GB2312" w:hAnsi="仿宋" w:eastAsia="仿宋_GB2312"/>
                <w:color w:val="auto"/>
                <w:kern w:val="2"/>
                <w:highlight w:val="none"/>
              </w:rPr>
            </w:pPr>
          </w:p>
        </w:tc>
        <w:tc>
          <w:tcPr>
            <w:tcW w:w="1424"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管理人员</w:t>
            </w:r>
            <w:r>
              <w:rPr>
                <w:rFonts w:hint="eastAsia" w:ascii="仿宋_GB2312" w:hAnsi="仿宋" w:eastAsia="仿宋_GB2312"/>
                <w:color w:val="auto"/>
                <w:kern w:val="2"/>
                <w:highlight w:val="none"/>
              </w:rPr>
              <w:br w:type="textWrapping"/>
            </w:r>
            <w:r>
              <w:rPr>
                <w:rFonts w:hint="eastAsia" w:ascii="仿宋_GB2312" w:hAnsi="仿宋" w:eastAsia="仿宋_GB2312"/>
                <w:color w:val="auto"/>
                <w:kern w:val="2"/>
                <w:highlight w:val="none"/>
              </w:rPr>
              <w:t>数量</w:t>
            </w:r>
          </w:p>
        </w:tc>
        <w:tc>
          <w:tcPr>
            <w:tcW w:w="1411" w:type="dxa"/>
          </w:tcPr>
          <w:p>
            <w:pPr>
              <w:ind w:firstLine="0"/>
              <w:jc w:val="both"/>
              <w:rPr>
                <w:rFonts w:ascii="仿宋_GB2312" w:hAnsi="仿宋" w:eastAsia="仿宋_GB2312"/>
                <w:color w:val="auto"/>
                <w:kern w:val="2"/>
                <w:highlight w:val="none"/>
              </w:rPr>
            </w:pPr>
          </w:p>
        </w:tc>
        <w:tc>
          <w:tcPr>
            <w:tcW w:w="1464"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专业技术</w:t>
            </w:r>
            <w:r>
              <w:rPr>
                <w:rFonts w:hint="eastAsia" w:ascii="仿宋_GB2312" w:hAnsi="仿宋" w:eastAsia="仿宋_GB2312"/>
                <w:color w:val="auto"/>
                <w:kern w:val="2"/>
                <w:highlight w:val="none"/>
              </w:rPr>
              <w:br w:type="textWrapping"/>
            </w:r>
            <w:r>
              <w:rPr>
                <w:rFonts w:hint="eastAsia" w:ascii="仿宋_GB2312" w:hAnsi="仿宋" w:eastAsia="仿宋_GB2312"/>
                <w:color w:val="auto"/>
                <w:kern w:val="2"/>
                <w:highlight w:val="none"/>
              </w:rPr>
              <w:t>人员数量</w:t>
            </w:r>
          </w:p>
        </w:tc>
        <w:tc>
          <w:tcPr>
            <w:tcW w:w="1465" w:type="dxa"/>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仿宋_GB2312" w:hAnsi="仿宋" w:eastAsia="仿宋_GB2312"/>
                <w:color w:val="auto"/>
                <w:kern w:val="2"/>
                <w:highlight w:val="none"/>
              </w:rPr>
            </w:pPr>
          </w:p>
        </w:tc>
        <w:tc>
          <w:tcPr>
            <w:tcW w:w="992" w:type="dxa"/>
            <w:vMerge w:val="continue"/>
          </w:tcPr>
          <w:p>
            <w:pPr>
              <w:ind w:firstLine="0"/>
              <w:jc w:val="both"/>
              <w:rPr>
                <w:rFonts w:ascii="仿宋_GB2312" w:hAnsi="仿宋" w:eastAsia="仿宋_GB2312"/>
                <w:color w:val="auto"/>
                <w:kern w:val="2"/>
                <w:highlight w:val="none"/>
              </w:rPr>
            </w:pPr>
          </w:p>
        </w:tc>
        <w:tc>
          <w:tcPr>
            <w:tcW w:w="1424"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残疾人</w:t>
            </w:r>
            <w:r>
              <w:rPr>
                <w:rFonts w:hint="eastAsia" w:ascii="仿宋_GB2312" w:hAnsi="仿宋" w:eastAsia="仿宋_GB2312"/>
                <w:color w:val="auto"/>
                <w:kern w:val="2"/>
                <w:highlight w:val="none"/>
              </w:rPr>
              <w:br w:type="textWrapping"/>
            </w:r>
            <w:r>
              <w:rPr>
                <w:rFonts w:hint="eastAsia" w:ascii="仿宋_GB2312" w:hAnsi="仿宋" w:eastAsia="仿宋_GB2312"/>
                <w:color w:val="auto"/>
                <w:kern w:val="2"/>
                <w:highlight w:val="none"/>
              </w:rPr>
              <w:t>数量</w:t>
            </w:r>
          </w:p>
        </w:tc>
        <w:tc>
          <w:tcPr>
            <w:tcW w:w="1411" w:type="dxa"/>
          </w:tcPr>
          <w:p>
            <w:pPr>
              <w:ind w:firstLine="0"/>
              <w:jc w:val="both"/>
              <w:rPr>
                <w:rFonts w:ascii="仿宋_GB2312" w:hAnsi="仿宋" w:eastAsia="仿宋_GB2312"/>
                <w:color w:val="auto"/>
                <w:kern w:val="2"/>
                <w:highlight w:val="none"/>
              </w:rPr>
            </w:pPr>
          </w:p>
        </w:tc>
        <w:tc>
          <w:tcPr>
            <w:tcW w:w="1464"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少数民族</w:t>
            </w:r>
            <w:r>
              <w:rPr>
                <w:rFonts w:hint="eastAsia" w:ascii="仿宋_GB2312" w:hAnsi="仿宋" w:eastAsia="仿宋_GB2312"/>
                <w:color w:val="auto"/>
                <w:kern w:val="2"/>
                <w:highlight w:val="none"/>
              </w:rPr>
              <w:br w:type="textWrapping"/>
            </w:r>
            <w:r>
              <w:rPr>
                <w:rFonts w:hint="eastAsia" w:ascii="仿宋_GB2312" w:hAnsi="仿宋" w:eastAsia="仿宋_GB2312"/>
                <w:color w:val="auto"/>
                <w:kern w:val="2"/>
                <w:highlight w:val="none"/>
              </w:rPr>
              <w:t>数量</w:t>
            </w:r>
          </w:p>
        </w:tc>
        <w:tc>
          <w:tcPr>
            <w:tcW w:w="1465" w:type="dxa"/>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关系</w:t>
            </w:r>
          </w:p>
        </w:tc>
        <w:tc>
          <w:tcPr>
            <w:tcW w:w="6756" w:type="dxa"/>
            <w:gridSpan w:val="5"/>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p>
        </w:tc>
        <w:tc>
          <w:tcPr>
            <w:tcW w:w="6756" w:type="dxa"/>
            <w:gridSpan w:val="5"/>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p>
        </w:tc>
        <w:tc>
          <w:tcPr>
            <w:tcW w:w="6756" w:type="dxa"/>
            <w:gridSpan w:val="5"/>
          </w:tcPr>
          <w:p>
            <w:pPr>
              <w:ind w:firstLine="0"/>
              <w:jc w:val="both"/>
              <w:rPr>
                <w:rFonts w:ascii="仿宋_GB2312" w:hAnsi="仿宋" w:eastAsia="仿宋_GB2312"/>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说明</w:t>
            </w:r>
          </w:p>
        </w:tc>
        <w:tc>
          <w:tcPr>
            <w:tcW w:w="6756" w:type="dxa"/>
            <w:gridSpan w:val="5"/>
          </w:tcPr>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1.成立时间至提交投标文件截止时间不足一年的可不填写“上年度营业收入”；</w:t>
            </w:r>
          </w:p>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2.招标文件接受联合体的，联合体各方均应提供；</w:t>
            </w:r>
          </w:p>
          <w:p>
            <w:pPr>
              <w:ind w:firstLine="0"/>
              <w:jc w:val="both"/>
              <w:rPr>
                <w:rFonts w:ascii="仿宋_GB2312" w:hAnsi="仿宋" w:eastAsia="仿宋_GB2312"/>
                <w:color w:val="auto"/>
                <w:kern w:val="2"/>
                <w:highlight w:val="none"/>
              </w:rPr>
            </w:pPr>
            <w:r>
              <w:rPr>
                <w:rFonts w:hint="eastAsia" w:ascii="仿宋_GB2312" w:hAnsi="仿宋" w:eastAsia="仿宋_GB2312"/>
                <w:color w:val="auto"/>
                <w:kern w:val="2"/>
                <w:highlight w:val="none"/>
              </w:rPr>
              <w:t>3.表格空间不足时，请自行扩展。</w:t>
            </w:r>
          </w:p>
        </w:tc>
      </w:tr>
    </w:tbl>
    <w:p>
      <w:pPr>
        <w:pStyle w:val="100"/>
        <w:ind w:firstLine="480"/>
        <w:rPr>
          <w:color w:val="auto"/>
          <w:highlight w:val="none"/>
        </w:rPr>
      </w:pPr>
    </w:p>
    <w:p>
      <w:pPr>
        <w:pStyle w:val="4"/>
        <w:jc w:val="center"/>
        <w:rPr>
          <w:rFonts w:ascii="仿宋_GB2312" w:eastAsia="仿宋_GB2312"/>
          <w:b/>
          <w:color w:val="auto"/>
          <w:sz w:val="24"/>
          <w:szCs w:val="24"/>
          <w:highlight w:val="none"/>
        </w:rPr>
      </w:pPr>
      <w:r>
        <w:rPr>
          <w:color w:val="auto"/>
          <w:highlight w:val="none"/>
        </w:rPr>
        <w:br w:type="page"/>
      </w:r>
      <w:bookmarkStart w:id="103" w:name="_Toc107503720"/>
      <w:r>
        <w:rPr>
          <w:rFonts w:hint="eastAsia" w:ascii="仿宋_GB2312" w:eastAsia="仿宋_GB2312"/>
          <w:b/>
          <w:color w:val="auto"/>
          <w:sz w:val="24"/>
          <w:szCs w:val="24"/>
          <w:highlight w:val="none"/>
        </w:rPr>
        <w:t>第五部分  供应商参加政府采购活动承诺书</w:t>
      </w:r>
      <w:bookmarkEnd w:id="103"/>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未签署下列承诺书的，将被视为无效投标，其责任由供应商自行承担。</w:t>
      </w:r>
    </w:p>
    <w:p>
      <w:pPr>
        <w:pStyle w:val="5"/>
        <w:rPr>
          <w:rFonts w:ascii="仿宋_GB2312" w:eastAsia="仿宋_GB2312"/>
          <w:color w:val="auto"/>
          <w:sz w:val="24"/>
          <w:szCs w:val="24"/>
          <w:highlight w:val="none"/>
        </w:rPr>
      </w:pPr>
      <w:bookmarkStart w:id="104" w:name="_Toc107503721"/>
      <w:r>
        <w:rPr>
          <w:rFonts w:hint="eastAsia" w:ascii="仿宋_GB2312" w:eastAsia="仿宋_GB2312"/>
          <w:color w:val="auto"/>
          <w:sz w:val="24"/>
          <w:szCs w:val="24"/>
          <w:highlight w:val="none"/>
        </w:rPr>
        <w:t>（一）质量安全责任承诺书</w:t>
      </w:r>
      <w:bookmarkEnd w:id="104"/>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为保证本采购项目顺利进行，作为投标供应商，现郑重承诺：</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1．我方所投产品的生产（包括设计、制造、安装、改造、维修等）、投入使用的材料等均完全符合国家现行质量、安全、环保标准和要求。</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3．对于因产品生产质量以及储存、运输、安装调试、服务、施工等过程中产生的任何安全事故，我方承担全部责任。</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480" w:firstLineChars="200"/>
        <w:jc w:val="both"/>
        <w:rPr>
          <w:rFonts w:ascii="仿宋_GB2312" w:hAnsi="仿宋" w:eastAsia="仿宋_GB2312"/>
          <w:color w:val="auto"/>
          <w:highlight w:val="none"/>
        </w:rPr>
      </w:pPr>
    </w:p>
    <w:p>
      <w:pPr>
        <w:spacing w:line="560" w:lineRule="exact"/>
        <w:ind w:firstLine="2656" w:firstLineChars="1107"/>
        <w:jc w:val="both"/>
        <w:rPr>
          <w:rFonts w:ascii="仿宋_GB2312" w:hAnsi="仿宋" w:eastAsia="仿宋_GB2312"/>
          <w:color w:val="auto"/>
          <w:highlight w:val="none"/>
        </w:rPr>
      </w:pPr>
      <w:r>
        <w:rPr>
          <w:rFonts w:hint="eastAsia" w:ascii="仿宋_GB2312" w:hAnsi="仿宋" w:eastAsia="仿宋_GB2312"/>
          <w:color w:val="auto"/>
          <w:highlight w:val="none"/>
        </w:rPr>
        <w:t>供应商：___（供应商全称并加盖公章）</w:t>
      </w:r>
    </w:p>
    <w:p>
      <w:pPr>
        <w:spacing w:line="560" w:lineRule="exact"/>
        <w:ind w:firstLine="2656" w:firstLineChars="1107"/>
        <w:jc w:val="both"/>
        <w:rPr>
          <w:rFonts w:ascii="仿宋_GB2312" w:hAnsi="仿宋" w:eastAsia="仿宋_GB2312"/>
          <w:color w:val="auto"/>
          <w:highlight w:val="none"/>
        </w:rPr>
      </w:pPr>
      <w:r>
        <w:rPr>
          <w:rFonts w:hint="eastAsia" w:ascii="仿宋_GB2312" w:hAnsi="仿宋" w:eastAsia="仿宋_GB2312"/>
          <w:color w:val="auto"/>
          <w:highlight w:val="none"/>
        </w:rPr>
        <w:t>日  期： ___年___月___日</w:t>
      </w: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pStyle w:val="5"/>
        <w:rPr>
          <w:rFonts w:ascii="仿宋_GB2312" w:eastAsia="仿宋_GB2312"/>
          <w:color w:val="auto"/>
          <w:sz w:val="24"/>
          <w:szCs w:val="24"/>
          <w:highlight w:val="none"/>
        </w:rPr>
      </w:pPr>
      <w:bookmarkStart w:id="105" w:name="_Toc107503722"/>
      <w:r>
        <w:rPr>
          <w:rFonts w:hint="eastAsia" w:ascii="仿宋_GB2312" w:eastAsia="仿宋_GB2312"/>
          <w:color w:val="auto"/>
          <w:sz w:val="24"/>
          <w:szCs w:val="24"/>
          <w:highlight w:val="none"/>
        </w:rPr>
        <w:t>（二）参加政府采购活动行为自律承诺书</w:t>
      </w:r>
      <w:bookmarkEnd w:id="105"/>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作为参加本次政府采购项目的供应商，我方郑重承诺在参与政府采购活动中遵纪守法、公平竞争、诚实守信，如有违反愿承担一切责任及后果：</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1．不与采购人、采购代理机构、政府采购评审专家恶意串通，不向其行贿或提供其他不正当利益；</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2．不与其他供应商恶意串通，采取“围标、串标、陪标”等商业欺诈手段谋取中标、成交；</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4．不采取不正当手段诋毁、排挤其他供应商；</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5．不以不正当理由拒不与采购人签订政府采购合同，或逾期签订政府采购合同，或不按照采购文件确定的事项签订政府采购合同；</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6．不以不正当理由拒绝履行合同义务，不会擅自变更、中止或者终止政府采购合同或将政府采购合同转包；</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7．不在提供商品、服务或工程施工过程中提供假冒伪劣产品，损害采购人的合法权益或公共利益；</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8．不采取捏造事实、提供虚假材料或者以非法手段取得证明材料进行质疑和投诉；</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9．不发生其他有悖于政府采购公开、公平、公正和诚信原则的行为。</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10．尊重和接受政府采购监督管理部门的监督和采购人、采购代理机构的政府采购工作要求，愿意承担因违约行为给采购人造成的损失。</w:t>
      </w:r>
    </w:p>
    <w:p>
      <w:pPr>
        <w:spacing w:line="560" w:lineRule="exact"/>
        <w:ind w:firstLine="2656" w:firstLineChars="1107"/>
        <w:jc w:val="both"/>
        <w:rPr>
          <w:rFonts w:ascii="仿宋_GB2312" w:hAnsi="仿宋" w:eastAsia="仿宋_GB2312"/>
          <w:color w:val="auto"/>
          <w:highlight w:val="none"/>
        </w:rPr>
      </w:pPr>
      <w:r>
        <w:rPr>
          <w:rFonts w:hint="eastAsia" w:ascii="仿宋_GB2312" w:hAnsi="仿宋" w:eastAsia="仿宋_GB2312"/>
          <w:color w:val="auto"/>
          <w:highlight w:val="none"/>
        </w:rPr>
        <w:t>供应商：___（供应商全称并加盖公章）</w:t>
      </w:r>
    </w:p>
    <w:p>
      <w:pPr>
        <w:spacing w:line="560" w:lineRule="exact"/>
        <w:ind w:firstLine="2656" w:firstLineChars="1107"/>
        <w:jc w:val="both"/>
        <w:rPr>
          <w:rFonts w:ascii="仿宋_GB2312" w:hAnsi="仿宋" w:eastAsia="仿宋_GB2312"/>
          <w:color w:val="auto"/>
          <w:highlight w:val="none"/>
        </w:rPr>
      </w:pPr>
      <w:r>
        <w:rPr>
          <w:rFonts w:hint="eastAsia" w:ascii="仿宋_GB2312" w:hAnsi="仿宋" w:eastAsia="仿宋_GB2312"/>
          <w:color w:val="auto"/>
          <w:highlight w:val="none"/>
        </w:rPr>
        <w:t>日  期： ___年___月___日</w:t>
      </w:r>
    </w:p>
    <w:p>
      <w:pPr>
        <w:rPr>
          <w:rFonts w:ascii="仿宋_GB2312" w:hAnsi="仿宋" w:eastAsia="仿宋_GB2312"/>
          <w:color w:val="auto"/>
          <w:highlight w:val="none"/>
        </w:rPr>
      </w:pPr>
      <w:r>
        <w:rPr>
          <w:rFonts w:hint="eastAsia" w:ascii="仿宋_GB2312" w:hAnsi="仿宋" w:eastAsia="仿宋_GB2312"/>
          <w:color w:val="auto"/>
          <w:highlight w:val="none"/>
        </w:rPr>
        <w:br w:type="page"/>
      </w:r>
    </w:p>
    <w:p>
      <w:pPr>
        <w:pStyle w:val="4"/>
        <w:ind w:firstLine="482"/>
        <w:jc w:val="center"/>
        <w:rPr>
          <w:rFonts w:ascii="仿宋_GB2312" w:eastAsia="仿宋_GB2312"/>
          <w:b/>
          <w:color w:val="auto"/>
          <w:sz w:val="24"/>
          <w:szCs w:val="24"/>
          <w:highlight w:val="none"/>
        </w:rPr>
      </w:pPr>
      <w:bookmarkStart w:id="106" w:name="_Toc107503723"/>
      <w:r>
        <w:rPr>
          <w:rFonts w:hint="eastAsia" w:ascii="仿宋_GB2312" w:eastAsia="仿宋_GB2312"/>
          <w:b/>
          <w:color w:val="auto"/>
          <w:sz w:val="24"/>
          <w:szCs w:val="24"/>
          <w:highlight w:val="none"/>
        </w:rPr>
        <w:t>第六部分  投标方案</w:t>
      </w:r>
      <w:bookmarkEnd w:id="106"/>
    </w:p>
    <w:p>
      <w:pPr>
        <w:pStyle w:val="5"/>
        <w:jc w:val="left"/>
        <w:rPr>
          <w:rFonts w:ascii="仿宋_GB2312" w:eastAsia="仿宋_GB2312"/>
          <w:b/>
          <w:color w:val="auto"/>
          <w:sz w:val="24"/>
          <w:szCs w:val="24"/>
          <w:highlight w:val="none"/>
        </w:rPr>
      </w:pPr>
      <w:bookmarkStart w:id="107" w:name="_Toc107503724"/>
      <w:r>
        <w:rPr>
          <w:rFonts w:hint="eastAsia" w:ascii="仿宋_GB2312" w:eastAsia="仿宋_GB2312"/>
          <w:b/>
          <w:color w:val="auto"/>
          <w:sz w:val="24"/>
          <w:szCs w:val="24"/>
          <w:highlight w:val="none"/>
        </w:rPr>
        <w:t>（一）技术（服务）要求响应索引表</w:t>
      </w:r>
      <w:bookmarkEnd w:id="107"/>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序号</w:t>
            </w:r>
          </w:p>
        </w:tc>
        <w:tc>
          <w:tcPr>
            <w:tcW w:w="3381"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b/>
                <w:bCs/>
                <w:color w:val="auto"/>
                <w:highlight w:val="none"/>
              </w:rPr>
            </w:pPr>
            <w:r>
              <w:rPr>
                <w:rFonts w:hint="eastAsia" w:ascii="仿宋_GB2312" w:hAnsi="仿宋" w:eastAsia="仿宋_GB2312"/>
                <w:b/>
                <w:bCs/>
                <w:color w:val="auto"/>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2" w:space="0"/>
            </w:tcBorders>
            <w:vAlign w:val="center"/>
          </w:tcPr>
          <w:p>
            <w:pPr>
              <w:jc w:val="center"/>
              <w:rPr>
                <w:rFonts w:ascii="仿宋_GB2312" w:hAnsi="仿宋" w:eastAsia="仿宋_GB2312"/>
                <w:color w:val="auto"/>
                <w:highlight w:val="none"/>
              </w:rPr>
            </w:pPr>
          </w:p>
        </w:tc>
        <w:tc>
          <w:tcPr>
            <w:tcW w:w="3381" w:type="dxa"/>
            <w:tcBorders>
              <w:top w:val="single" w:color="auto" w:sz="2" w:space="0"/>
            </w:tcBorders>
            <w:vAlign w:val="center"/>
          </w:tcPr>
          <w:p>
            <w:pPr>
              <w:jc w:val="center"/>
              <w:rPr>
                <w:rFonts w:ascii="仿宋_GB2312" w:hAnsi="仿宋" w:eastAsia="仿宋_GB2312"/>
                <w:color w:val="auto"/>
                <w:highlight w:val="none"/>
              </w:rPr>
            </w:pPr>
          </w:p>
        </w:tc>
        <w:tc>
          <w:tcPr>
            <w:tcW w:w="3519" w:type="dxa"/>
            <w:tcBorders>
              <w:top w:val="single" w:color="auto" w:sz="2" w:space="0"/>
            </w:tcBorders>
            <w:vAlign w:val="center"/>
          </w:tcPr>
          <w:p>
            <w:pPr>
              <w:jc w:val="center"/>
              <w:rPr>
                <w:rFonts w:ascii="仿宋_GB2312" w:hAnsi="仿宋" w:eastAsia="仿宋_GB2312"/>
                <w:color w:val="auto"/>
                <w:highlight w:val="none"/>
              </w:rPr>
            </w:pPr>
          </w:p>
        </w:tc>
        <w:tc>
          <w:tcPr>
            <w:tcW w:w="1526" w:type="dxa"/>
            <w:tcBorders>
              <w:top w:val="single" w:color="auto" w:sz="2" w:space="0"/>
            </w:tcBorders>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color w:val="auto"/>
                <w:highlight w:val="none"/>
              </w:rPr>
            </w:pPr>
          </w:p>
        </w:tc>
        <w:tc>
          <w:tcPr>
            <w:tcW w:w="3381" w:type="dxa"/>
            <w:vAlign w:val="center"/>
          </w:tcPr>
          <w:p>
            <w:pPr>
              <w:jc w:val="center"/>
              <w:rPr>
                <w:rFonts w:ascii="仿宋_GB2312" w:hAnsi="仿宋" w:eastAsia="仿宋_GB2312"/>
                <w:color w:val="auto"/>
                <w:highlight w:val="none"/>
              </w:rPr>
            </w:pPr>
          </w:p>
        </w:tc>
        <w:tc>
          <w:tcPr>
            <w:tcW w:w="3519" w:type="dxa"/>
            <w:vAlign w:val="center"/>
          </w:tcPr>
          <w:p>
            <w:pPr>
              <w:jc w:val="center"/>
              <w:rPr>
                <w:rFonts w:ascii="仿宋_GB2312" w:hAnsi="仿宋" w:eastAsia="仿宋_GB2312"/>
                <w:color w:val="auto"/>
                <w:highlight w:val="none"/>
              </w:rPr>
            </w:pPr>
          </w:p>
        </w:tc>
        <w:tc>
          <w:tcPr>
            <w:tcW w:w="1526"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color w:val="auto"/>
                <w:highlight w:val="none"/>
              </w:rPr>
            </w:pPr>
          </w:p>
        </w:tc>
        <w:tc>
          <w:tcPr>
            <w:tcW w:w="3381" w:type="dxa"/>
            <w:vAlign w:val="center"/>
          </w:tcPr>
          <w:p>
            <w:pPr>
              <w:jc w:val="center"/>
              <w:rPr>
                <w:rFonts w:ascii="仿宋_GB2312" w:hAnsi="仿宋" w:eastAsia="仿宋_GB2312"/>
                <w:color w:val="auto"/>
                <w:highlight w:val="none"/>
              </w:rPr>
            </w:pPr>
          </w:p>
        </w:tc>
        <w:tc>
          <w:tcPr>
            <w:tcW w:w="3519" w:type="dxa"/>
            <w:vAlign w:val="center"/>
          </w:tcPr>
          <w:p>
            <w:pPr>
              <w:jc w:val="center"/>
              <w:rPr>
                <w:rFonts w:ascii="仿宋_GB2312" w:hAnsi="仿宋" w:eastAsia="仿宋_GB2312"/>
                <w:color w:val="auto"/>
                <w:highlight w:val="none"/>
              </w:rPr>
            </w:pPr>
          </w:p>
        </w:tc>
        <w:tc>
          <w:tcPr>
            <w:tcW w:w="1526"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color w:val="auto"/>
                <w:highlight w:val="none"/>
              </w:rPr>
            </w:pPr>
          </w:p>
        </w:tc>
        <w:tc>
          <w:tcPr>
            <w:tcW w:w="3381" w:type="dxa"/>
            <w:vAlign w:val="center"/>
          </w:tcPr>
          <w:p>
            <w:pPr>
              <w:jc w:val="center"/>
              <w:rPr>
                <w:rFonts w:ascii="仿宋_GB2312" w:hAnsi="仿宋" w:eastAsia="仿宋_GB2312"/>
                <w:color w:val="auto"/>
                <w:highlight w:val="none"/>
              </w:rPr>
            </w:pPr>
          </w:p>
        </w:tc>
        <w:tc>
          <w:tcPr>
            <w:tcW w:w="3519" w:type="dxa"/>
            <w:vAlign w:val="center"/>
          </w:tcPr>
          <w:p>
            <w:pPr>
              <w:jc w:val="center"/>
              <w:rPr>
                <w:rFonts w:ascii="仿宋_GB2312" w:hAnsi="仿宋" w:eastAsia="仿宋_GB2312"/>
                <w:color w:val="auto"/>
                <w:highlight w:val="none"/>
              </w:rPr>
            </w:pPr>
          </w:p>
        </w:tc>
        <w:tc>
          <w:tcPr>
            <w:tcW w:w="1526"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color w:val="auto"/>
                <w:highlight w:val="none"/>
              </w:rPr>
            </w:pPr>
          </w:p>
        </w:tc>
        <w:tc>
          <w:tcPr>
            <w:tcW w:w="3381" w:type="dxa"/>
            <w:vAlign w:val="center"/>
          </w:tcPr>
          <w:p>
            <w:pPr>
              <w:jc w:val="center"/>
              <w:rPr>
                <w:rFonts w:ascii="仿宋_GB2312" w:hAnsi="仿宋" w:eastAsia="仿宋_GB2312"/>
                <w:color w:val="auto"/>
                <w:highlight w:val="none"/>
              </w:rPr>
            </w:pPr>
          </w:p>
        </w:tc>
        <w:tc>
          <w:tcPr>
            <w:tcW w:w="3519" w:type="dxa"/>
            <w:vAlign w:val="center"/>
          </w:tcPr>
          <w:p>
            <w:pPr>
              <w:jc w:val="center"/>
              <w:rPr>
                <w:rFonts w:ascii="仿宋_GB2312" w:hAnsi="仿宋" w:eastAsia="仿宋_GB2312"/>
                <w:color w:val="auto"/>
                <w:highlight w:val="none"/>
              </w:rPr>
            </w:pPr>
          </w:p>
        </w:tc>
        <w:tc>
          <w:tcPr>
            <w:tcW w:w="1526"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color w:val="auto"/>
                <w:highlight w:val="none"/>
              </w:rPr>
            </w:pPr>
          </w:p>
        </w:tc>
        <w:tc>
          <w:tcPr>
            <w:tcW w:w="3381" w:type="dxa"/>
            <w:vAlign w:val="center"/>
          </w:tcPr>
          <w:p>
            <w:pPr>
              <w:jc w:val="center"/>
              <w:rPr>
                <w:rFonts w:ascii="仿宋_GB2312" w:hAnsi="仿宋" w:eastAsia="仿宋_GB2312"/>
                <w:color w:val="auto"/>
                <w:highlight w:val="none"/>
              </w:rPr>
            </w:pPr>
          </w:p>
        </w:tc>
        <w:tc>
          <w:tcPr>
            <w:tcW w:w="3519" w:type="dxa"/>
            <w:vAlign w:val="center"/>
          </w:tcPr>
          <w:p>
            <w:pPr>
              <w:jc w:val="center"/>
              <w:rPr>
                <w:rFonts w:ascii="仿宋_GB2312" w:hAnsi="仿宋" w:eastAsia="仿宋_GB2312"/>
                <w:color w:val="auto"/>
                <w:highlight w:val="none"/>
              </w:rPr>
            </w:pPr>
          </w:p>
        </w:tc>
        <w:tc>
          <w:tcPr>
            <w:tcW w:w="1526"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备注</w:t>
            </w:r>
          </w:p>
        </w:tc>
        <w:tc>
          <w:tcPr>
            <w:tcW w:w="8426" w:type="dxa"/>
            <w:gridSpan w:val="3"/>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1．对第三章中的技术（服务）要求做出响应。其中，属于实质性要求的，最好在“招标文件条款明细”保留原实质性要求中的“</w:t>
            </w:r>
            <w:r>
              <w:rPr>
                <w:rFonts w:hint="eastAsia" w:ascii="仿宋_GB2312" w:hAnsi="仿宋" w:eastAsia="仿宋_GB2312" w:cs="Segoe UI Symbol"/>
                <w:color w:val="auto"/>
                <w:highlight w:val="none"/>
              </w:rPr>
              <w:t>★</w:t>
            </w:r>
            <w:r>
              <w:rPr>
                <w:rFonts w:hint="eastAsia" w:ascii="仿宋_GB2312" w:hAnsi="仿宋" w:eastAsia="仿宋_GB2312"/>
                <w:color w:val="auto"/>
                <w:highlight w:val="none"/>
              </w:rPr>
              <w:t>”。</w:t>
            </w:r>
          </w:p>
          <w:p>
            <w:pPr>
              <w:jc w:val="both"/>
              <w:rPr>
                <w:rFonts w:ascii="仿宋_GB2312" w:hAnsi="仿宋" w:eastAsia="仿宋_GB2312"/>
                <w:color w:val="auto"/>
                <w:highlight w:val="none"/>
              </w:rPr>
            </w:pPr>
            <w:r>
              <w:rPr>
                <w:rFonts w:hint="eastAsia" w:ascii="仿宋_GB2312" w:hAnsi="仿宋" w:eastAsia="仿宋_GB2312"/>
                <w:color w:val="auto"/>
                <w:highlight w:val="none"/>
              </w:rPr>
              <w:t>2．响应说明按实际响应情况填写“优于”、“响应”、“不响应”。</w:t>
            </w:r>
          </w:p>
          <w:p>
            <w:pPr>
              <w:jc w:val="both"/>
              <w:rPr>
                <w:rFonts w:ascii="仿宋_GB2312" w:hAnsi="仿宋" w:eastAsia="仿宋_GB2312"/>
                <w:color w:val="auto"/>
                <w:highlight w:val="none"/>
              </w:rPr>
            </w:pPr>
            <w:r>
              <w:rPr>
                <w:rFonts w:hint="eastAsia" w:ascii="仿宋_GB2312" w:hAnsi="仿宋" w:eastAsia="仿宋_GB2312"/>
                <w:color w:val="auto"/>
                <w:highlight w:val="none"/>
              </w:rPr>
              <w:t>3．“响应索引”单元格中注明引用位置，如“见技术（服务）响应方案4.1.1”。</w:t>
            </w:r>
          </w:p>
        </w:tc>
      </w:tr>
    </w:tbl>
    <w:p>
      <w:pPr>
        <w:spacing w:line="560" w:lineRule="exact"/>
        <w:ind w:firstLine="2762" w:firstLineChars="1151"/>
        <w:jc w:val="both"/>
        <w:rPr>
          <w:rFonts w:ascii="仿宋_GB2312" w:hAnsi="仿宋" w:eastAsia="仿宋_GB2312"/>
          <w:color w:val="auto"/>
          <w:highlight w:val="none"/>
        </w:rPr>
      </w:pPr>
      <w:r>
        <w:rPr>
          <w:rFonts w:hint="eastAsia" w:ascii="仿宋_GB2312" w:hAnsi="仿宋" w:eastAsia="仿宋_GB2312"/>
          <w:color w:val="auto"/>
          <w:highlight w:val="none"/>
        </w:rPr>
        <w:t>供应商：（供应商全称并加盖公章）</w:t>
      </w: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附：技术（服务）响应方案</w:t>
      </w: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br w:type="page"/>
      </w:r>
    </w:p>
    <w:p>
      <w:pPr>
        <w:pStyle w:val="5"/>
        <w:jc w:val="left"/>
        <w:rPr>
          <w:rFonts w:ascii="仿宋_GB2312" w:eastAsia="仿宋_GB2312"/>
          <w:b/>
          <w:color w:val="auto"/>
          <w:sz w:val="24"/>
          <w:szCs w:val="24"/>
          <w:highlight w:val="none"/>
        </w:rPr>
      </w:pPr>
      <w:bookmarkStart w:id="108" w:name="_Toc107503725"/>
      <w:r>
        <w:rPr>
          <w:rFonts w:hint="eastAsia" w:ascii="仿宋_GB2312" w:eastAsia="仿宋_GB2312"/>
          <w:b/>
          <w:color w:val="auto"/>
          <w:sz w:val="24"/>
          <w:szCs w:val="24"/>
          <w:highlight w:val="none"/>
        </w:rPr>
        <w:t>（二）商务要求响应索引表</w:t>
      </w:r>
      <w:bookmarkEnd w:id="108"/>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_GB2312" w:hAnsi="仿宋" w:eastAsia="仿宋_GB2312"/>
                <w:b/>
                <w:bCs/>
                <w:color w:val="auto"/>
                <w:highlight w:val="none"/>
              </w:rPr>
            </w:pPr>
            <w:r>
              <w:rPr>
                <w:rFonts w:hint="eastAsia" w:ascii="仿宋_GB2312" w:hAnsi="仿宋" w:eastAsia="仿宋_GB2312"/>
                <w:b/>
                <w:bCs/>
                <w:color w:val="auto"/>
                <w:highlight w:val="none"/>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_GB2312" w:hAnsi="仿宋" w:eastAsia="仿宋_GB2312"/>
                <w:b/>
                <w:bCs/>
                <w:color w:val="auto"/>
                <w:highlight w:val="none"/>
              </w:rPr>
            </w:pPr>
            <w:r>
              <w:rPr>
                <w:rFonts w:hint="eastAsia" w:ascii="仿宋_GB2312" w:hAnsi="仿宋" w:eastAsia="仿宋_GB2312"/>
                <w:b/>
                <w:bCs/>
                <w:color w:val="auto"/>
                <w:highlight w:val="none"/>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_GB2312" w:hAnsi="仿宋" w:eastAsia="仿宋_GB2312"/>
                <w:b/>
                <w:bCs/>
                <w:color w:val="auto"/>
                <w:highlight w:val="none"/>
              </w:rPr>
            </w:pPr>
            <w:r>
              <w:rPr>
                <w:rFonts w:hint="eastAsia" w:ascii="仿宋_GB2312" w:hAnsi="仿宋" w:eastAsia="仿宋_GB2312"/>
                <w:b/>
                <w:bCs/>
                <w:color w:val="auto"/>
                <w:highlight w:val="none"/>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_GB2312" w:hAnsi="仿宋" w:eastAsia="仿宋_GB2312"/>
                <w:b/>
                <w:bCs/>
                <w:color w:val="auto"/>
                <w:highlight w:val="none"/>
              </w:rPr>
            </w:pPr>
            <w:r>
              <w:rPr>
                <w:rFonts w:hint="eastAsia" w:ascii="仿宋_GB2312" w:hAnsi="仿宋" w:eastAsia="仿宋_GB2312"/>
                <w:b/>
                <w:bCs/>
                <w:color w:val="auto"/>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spacing w:line="560" w:lineRule="exact"/>
              <w:jc w:val="center"/>
              <w:rPr>
                <w:rFonts w:ascii="仿宋_GB2312" w:hAnsi="仿宋" w:eastAsia="仿宋_GB2312"/>
                <w:color w:val="auto"/>
                <w:highlight w:val="none"/>
              </w:rPr>
            </w:pPr>
          </w:p>
        </w:tc>
        <w:tc>
          <w:tcPr>
            <w:tcW w:w="3381" w:type="dxa"/>
            <w:tcBorders>
              <w:top w:val="single" w:color="auto" w:sz="2" w:space="0"/>
            </w:tcBorders>
            <w:vAlign w:val="center"/>
          </w:tcPr>
          <w:p>
            <w:pPr>
              <w:spacing w:line="560" w:lineRule="exact"/>
              <w:jc w:val="center"/>
              <w:rPr>
                <w:rFonts w:ascii="仿宋_GB2312" w:hAnsi="仿宋" w:eastAsia="仿宋_GB2312"/>
                <w:color w:val="auto"/>
                <w:highlight w:val="none"/>
              </w:rPr>
            </w:pPr>
          </w:p>
        </w:tc>
        <w:tc>
          <w:tcPr>
            <w:tcW w:w="3519" w:type="dxa"/>
            <w:tcBorders>
              <w:top w:val="single" w:color="auto" w:sz="2" w:space="0"/>
            </w:tcBorders>
            <w:vAlign w:val="center"/>
          </w:tcPr>
          <w:p>
            <w:pPr>
              <w:spacing w:line="560" w:lineRule="exact"/>
              <w:jc w:val="center"/>
              <w:rPr>
                <w:rFonts w:ascii="仿宋_GB2312" w:hAnsi="仿宋" w:eastAsia="仿宋_GB2312"/>
                <w:color w:val="auto"/>
                <w:highlight w:val="none"/>
              </w:rPr>
            </w:pPr>
          </w:p>
        </w:tc>
        <w:tc>
          <w:tcPr>
            <w:tcW w:w="1526" w:type="dxa"/>
            <w:tcBorders>
              <w:top w:val="single" w:color="auto" w:sz="2" w:space="0"/>
            </w:tcBorders>
            <w:vAlign w:val="center"/>
          </w:tcPr>
          <w:p>
            <w:pPr>
              <w:spacing w:line="560" w:lineRule="exact"/>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color w:val="auto"/>
                <w:highlight w:val="none"/>
              </w:rPr>
            </w:pPr>
          </w:p>
        </w:tc>
        <w:tc>
          <w:tcPr>
            <w:tcW w:w="3381" w:type="dxa"/>
            <w:vAlign w:val="center"/>
          </w:tcPr>
          <w:p>
            <w:pPr>
              <w:spacing w:line="560" w:lineRule="exact"/>
              <w:jc w:val="center"/>
              <w:rPr>
                <w:rFonts w:ascii="仿宋_GB2312" w:hAnsi="仿宋" w:eastAsia="仿宋_GB2312"/>
                <w:color w:val="auto"/>
                <w:highlight w:val="none"/>
              </w:rPr>
            </w:pPr>
          </w:p>
        </w:tc>
        <w:tc>
          <w:tcPr>
            <w:tcW w:w="3519" w:type="dxa"/>
            <w:vAlign w:val="center"/>
          </w:tcPr>
          <w:p>
            <w:pPr>
              <w:spacing w:line="560" w:lineRule="exact"/>
              <w:jc w:val="center"/>
              <w:rPr>
                <w:rFonts w:ascii="仿宋_GB2312" w:hAnsi="仿宋" w:eastAsia="仿宋_GB2312"/>
                <w:color w:val="auto"/>
                <w:highlight w:val="none"/>
              </w:rPr>
            </w:pPr>
          </w:p>
        </w:tc>
        <w:tc>
          <w:tcPr>
            <w:tcW w:w="1526" w:type="dxa"/>
            <w:vAlign w:val="center"/>
          </w:tcPr>
          <w:p>
            <w:pPr>
              <w:spacing w:line="560" w:lineRule="exact"/>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color w:val="auto"/>
                <w:highlight w:val="none"/>
              </w:rPr>
            </w:pPr>
          </w:p>
        </w:tc>
        <w:tc>
          <w:tcPr>
            <w:tcW w:w="3381" w:type="dxa"/>
            <w:vAlign w:val="center"/>
          </w:tcPr>
          <w:p>
            <w:pPr>
              <w:spacing w:line="560" w:lineRule="exact"/>
              <w:jc w:val="center"/>
              <w:rPr>
                <w:rFonts w:ascii="仿宋_GB2312" w:hAnsi="仿宋" w:eastAsia="仿宋_GB2312"/>
                <w:color w:val="auto"/>
                <w:highlight w:val="none"/>
              </w:rPr>
            </w:pPr>
          </w:p>
        </w:tc>
        <w:tc>
          <w:tcPr>
            <w:tcW w:w="3519" w:type="dxa"/>
            <w:vAlign w:val="center"/>
          </w:tcPr>
          <w:p>
            <w:pPr>
              <w:spacing w:line="560" w:lineRule="exact"/>
              <w:jc w:val="center"/>
              <w:rPr>
                <w:rFonts w:ascii="仿宋_GB2312" w:hAnsi="仿宋" w:eastAsia="仿宋_GB2312"/>
                <w:color w:val="auto"/>
                <w:highlight w:val="none"/>
              </w:rPr>
            </w:pPr>
          </w:p>
        </w:tc>
        <w:tc>
          <w:tcPr>
            <w:tcW w:w="1526" w:type="dxa"/>
            <w:vAlign w:val="center"/>
          </w:tcPr>
          <w:p>
            <w:pPr>
              <w:spacing w:line="560" w:lineRule="exact"/>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color w:val="auto"/>
                <w:highlight w:val="none"/>
              </w:rPr>
            </w:pPr>
          </w:p>
        </w:tc>
        <w:tc>
          <w:tcPr>
            <w:tcW w:w="3381" w:type="dxa"/>
            <w:vAlign w:val="center"/>
          </w:tcPr>
          <w:p>
            <w:pPr>
              <w:spacing w:line="560" w:lineRule="exact"/>
              <w:jc w:val="center"/>
              <w:rPr>
                <w:rFonts w:ascii="仿宋_GB2312" w:hAnsi="仿宋" w:eastAsia="仿宋_GB2312"/>
                <w:color w:val="auto"/>
                <w:highlight w:val="none"/>
              </w:rPr>
            </w:pPr>
          </w:p>
        </w:tc>
        <w:tc>
          <w:tcPr>
            <w:tcW w:w="3519" w:type="dxa"/>
            <w:vAlign w:val="center"/>
          </w:tcPr>
          <w:p>
            <w:pPr>
              <w:spacing w:line="560" w:lineRule="exact"/>
              <w:jc w:val="center"/>
              <w:rPr>
                <w:rFonts w:ascii="仿宋_GB2312" w:hAnsi="仿宋" w:eastAsia="仿宋_GB2312"/>
                <w:color w:val="auto"/>
                <w:highlight w:val="none"/>
              </w:rPr>
            </w:pPr>
          </w:p>
        </w:tc>
        <w:tc>
          <w:tcPr>
            <w:tcW w:w="1526" w:type="dxa"/>
            <w:vAlign w:val="center"/>
          </w:tcPr>
          <w:p>
            <w:pPr>
              <w:spacing w:line="560" w:lineRule="exact"/>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color w:val="auto"/>
                <w:highlight w:val="none"/>
              </w:rPr>
            </w:pPr>
          </w:p>
        </w:tc>
        <w:tc>
          <w:tcPr>
            <w:tcW w:w="3381" w:type="dxa"/>
            <w:vAlign w:val="center"/>
          </w:tcPr>
          <w:p>
            <w:pPr>
              <w:spacing w:line="560" w:lineRule="exact"/>
              <w:jc w:val="center"/>
              <w:rPr>
                <w:rFonts w:ascii="仿宋_GB2312" w:hAnsi="仿宋" w:eastAsia="仿宋_GB2312"/>
                <w:color w:val="auto"/>
                <w:highlight w:val="none"/>
              </w:rPr>
            </w:pPr>
          </w:p>
        </w:tc>
        <w:tc>
          <w:tcPr>
            <w:tcW w:w="3519" w:type="dxa"/>
            <w:vAlign w:val="center"/>
          </w:tcPr>
          <w:p>
            <w:pPr>
              <w:spacing w:line="560" w:lineRule="exact"/>
              <w:jc w:val="center"/>
              <w:rPr>
                <w:rFonts w:ascii="仿宋_GB2312" w:hAnsi="仿宋" w:eastAsia="仿宋_GB2312"/>
                <w:color w:val="auto"/>
                <w:highlight w:val="none"/>
              </w:rPr>
            </w:pPr>
          </w:p>
        </w:tc>
        <w:tc>
          <w:tcPr>
            <w:tcW w:w="1526" w:type="dxa"/>
            <w:vAlign w:val="center"/>
          </w:tcPr>
          <w:p>
            <w:pPr>
              <w:spacing w:line="560" w:lineRule="exact"/>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color w:val="auto"/>
                <w:highlight w:val="none"/>
              </w:rPr>
            </w:pPr>
          </w:p>
        </w:tc>
        <w:tc>
          <w:tcPr>
            <w:tcW w:w="3381" w:type="dxa"/>
            <w:vAlign w:val="center"/>
          </w:tcPr>
          <w:p>
            <w:pPr>
              <w:spacing w:line="560" w:lineRule="exact"/>
              <w:jc w:val="center"/>
              <w:rPr>
                <w:rFonts w:ascii="仿宋_GB2312" w:hAnsi="仿宋" w:eastAsia="仿宋_GB2312"/>
                <w:color w:val="auto"/>
                <w:highlight w:val="none"/>
              </w:rPr>
            </w:pPr>
          </w:p>
        </w:tc>
        <w:tc>
          <w:tcPr>
            <w:tcW w:w="3519" w:type="dxa"/>
            <w:vAlign w:val="center"/>
          </w:tcPr>
          <w:p>
            <w:pPr>
              <w:spacing w:line="560" w:lineRule="exact"/>
              <w:jc w:val="center"/>
              <w:rPr>
                <w:rFonts w:ascii="仿宋_GB2312" w:hAnsi="仿宋" w:eastAsia="仿宋_GB2312"/>
                <w:color w:val="auto"/>
                <w:highlight w:val="none"/>
              </w:rPr>
            </w:pPr>
          </w:p>
        </w:tc>
        <w:tc>
          <w:tcPr>
            <w:tcW w:w="1526" w:type="dxa"/>
            <w:vAlign w:val="center"/>
          </w:tcPr>
          <w:p>
            <w:pPr>
              <w:spacing w:line="560" w:lineRule="exact"/>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_GB2312" w:hAnsi="仿宋" w:eastAsia="仿宋_GB2312"/>
                <w:color w:val="auto"/>
                <w:highlight w:val="none"/>
              </w:rPr>
            </w:pPr>
            <w:r>
              <w:rPr>
                <w:rFonts w:hint="eastAsia" w:ascii="仿宋_GB2312" w:hAnsi="仿宋" w:eastAsia="仿宋_GB2312"/>
                <w:color w:val="auto"/>
                <w:highlight w:val="none"/>
              </w:rPr>
              <w:t>备注</w:t>
            </w:r>
          </w:p>
        </w:tc>
        <w:tc>
          <w:tcPr>
            <w:tcW w:w="8426" w:type="dxa"/>
            <w:gridSpan w:val="3"/>
            <w:vAlign w:val="center"/>
          </w:tcPr>
          <w:p>
            <w:pPr>
              <w:spacing w:line="560" w:lineRule="exact"/>
              <w:jc w:val="both"/>
              <w:rPr>
                <w:rFonts w:ascii="仿宋_GB2312" w:hAnsi="仿宋" w:eastAsia="仿宋_GB2312"/>
                <w:color w:val="auto"/>
                <w:highlight w:val="none"/>
              </w:rPr>
            </w:pPr>
            <w:r>
              <w:rPr>
                <w:rFonts w:hint="eastAsia" w:ascii="仿宋_GB2312" w:hAnsi="仿宋" w:eastAsia="仿宋_GB2312"/>
                <w:color w:val="auto"/>
                <w:highlight w:val="none"/>
              </w:rPr>
              <w:t>1．对第三章中的商务要求做出响应。其中，属于实质性要求的，最好在“招标文件条款明细”保留原实质性要求中的“</w:t>
            </w:r>
            <w:r>
              <w:rPr>
                <w:rFonts w:hint="eastAsia" w:ascii="仿宋_GB2312" w:hAnsi="仿宋" w:eastAsia="仿宋_GB2312" w:cs="Segoe UI Symbol"/>
                <w:color w:val="auto"/>
                <w:highlight w:val="none"/>
              </w:rPr>
              <w:t>★</w:t>
            </w:r>
            <w:r>
              <w:rPr>
                <w:rFonts w:hint="eastAsia" w:ascii="仿宋_GB2312" w:hAnsi="仿宋" w:eastAsia="仿宋_GB2312"/>
                <w:color w:val="auto"/>
                <w:highlight w:val="none"/>
              </w:rPr>
              <w:t>”。</w:t>
            </w:r>
          </w:p>
          <w:p>
            <w:pPr>
              <w:spacing w:line="560" w:lineRule="exact"/>
              <w:jc w:val="both"/>
              <w:rPr>
                <w:rFonts w:ascii="仿宋_GB2312" w:hAnsi="仿宋" w:eastAsia="仿宋_GB2312"/>
                <w:color w:val="auto"/>
                <w:highlight w:val="none"/>
              </w:rPr>
            </w:pPr>
            <w:r>
              <w:rPr>
                <w:rFonts w:hint="eastAsia" w:ascii="仿宋_GB2312" w:hAnsi="仿宋" w:eastAsia="仿宋_GB2312"/>
                <w:color w:val="auto"/>
                <w:highlight w:val="none"/>
              </w:rPr>
              <w:t>2．响应说明按实际响 应情况填写“优于”、“响应”、“不响应”。</w:t>
            </w:r>
          </w:p>
          <w:p>
            <w:pPr>
              <w:spacing w:line="560" w:lineRule="exact"/>
              <w:jc w:val="both"/>
              <w:rPr>
                <w:rFonts w:ascii="仿宋_GB2312" w:hAnsi="仿宋" w:eastAsia="仿宋_GB2312"/>
                <w:color w:val="auto"/>
                <w:highlight w:val="none"/>
              </w:rPr>
            </w:pPr>
            <w:r>
              <w:rPr>
                <w:rFonts w:hint="eastAsia" w:ascii="仿宋_GB2312" w:hAnsi="仿宋" w:eastAsia="仿宋_GB2312"/>
                <w:color w:val="auto"/>
                <w:highlight w:val="none"/>
              </w:rPr>
              <w:t>3．“响应索引”单元格中注明引用位置，如“见商务响应方案4.1.1”。</w:t>
            </w:r>
          </w:p>
        </w:tc>
      </w:tr>
    </w:tbl>
    <w:p>
      <w:pPr>
        <w:spacing w:line="560" w:lineRule="exact"/>
        <w:ind w:firstLine="2762" w:firstLineChars="1151"/>
        <w:jc w:val="both"/>
        <w:rPr>
          <w:rFonts w:ascii="仿宋_GB2312" w:hAnsi="仿宋" w:eastAsia="仿宋_GB2312"/>
          <w:color w:val="auto"/>
          <w:highlight w:val="none"/>
        </w:rPr>
      </w:pPr>
      <w:r>
        <w:rPr>
          <w:rFonts w:hint="eastAsia" w:ascii="仿宋_GB2312" w:hAnsi="仿宋" w:eastAsia="仿宋_GB2312"/>
          <w:color w:val="auto"/>
          <w:highlight w:val="none"/>
        </w:rPr>
        <w:t>供应商：（供应商全称并加盖公章）</w:t>
      </w: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附：商务响应方案</w:t>
      </w: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br w:type="page"/>
      </w:r>
    </w:p>
    <w:p>
      <w:pPr>
        <w:pStyle w:val="5"/>
        <w:jc w:val="left"/>
        <w:rPr>
          <w:rFonts w:ascii="仿宋_GB2312" w:eastAsia="仿宋_GB2312"/>
          <w:b/>
          <w:color w:val="auto"/>
          <w:sz w:val="24"/>
          <w:szCs w:val="24"/>
          <w:highlight w:val="none"/>
        </w:rPr>
      </w:pPr>
      <w:bookmarkStart w:id="109" w:name="_Toc107503726"/>
      <w:r>
        <w:rPr>
          <w:rFonts w:hint="eastAsia" w:ascii="仿宋_GB2312" w:eastAsia="仿宋_GB2312"/>
          <w:b/>
          <w:color w:val="auto"/>
          <w:sz w:val="24"/>
          <w:szCs w:val="24"/>
          <w:highlight w:val="none"/>
        </w:rPr>
        <w:t>（三）合同条款响应</w:t>
      </w:r>
      <w:bookmarkEnd w:id="109"/>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序号</w:t>
            </w:r>
          </w:p>
        </w:tc>
        <w:tc>
          <w:tcPr>
            <w:tcW w:w="1549"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ascii="仿宋_GB2312" w:hAnsi="仿宋" w:eastAsia="仿宋_GB2312"/>
                <w:color w:val="auto"/>
                <w:highlight w:val="none"/>
              </w:rPr>
            </w:pPr>
          </w:p>
        </w:tc>
        <w:tc>
          <w:tcPr>
            <w:tcW w:w="1549" w:type="dxa"/>
            <w:tcBorders>
              <w:top w:val="single" w:color="auto" w:sz="2" w:space="0"/>
            </w:tcBorders>
            <w:vAlign w:val="center"/>
          </w:tcPr>
          <w:p>
            <w:pPr>
              <w:jc w:val="center"/>
              <w:rPr>
                <w:rFonts w:ascii="仿宋_GB2312" w:hAnsi="仿宋" w:eastAsia="仿宋_GB2312"/>
                <w:color w:val="auto"/>
                <w:highlight w:val="none"/>
              </w:rPr>
            </w:pPr>
          </w:p>
        </w:tc>
        <w:tc>
          <w:tcPr>
            <w:tcW w:w="2518" w:type="dxa"/>
            <w:tcBorders>
              <w:top w:val="single" w:color="auto" w:sz="2" w:space="0"/>
            </w:tcBorders>
            <w:vAlign w:val="center"/>
          </w:tcPr>
          <w:p>
            <w:pPr>
              <w:jc w:val="center"/>
              <w:rPr>
                <w:rFonts w:ascii="仿宋_GB2312" w:hAnsi="仿宋" w:eastAsia="仿宋_GB2312"/>
                <w:color w:val="auto"/>
                <w:highlight w:val="none"/>
              </w:rPr>
            </w:pPr>
          </w:p>
        </w:tc>
        <w:tc>
          <w:tcPr>
            <w:tcW w:w="2533" w:type="dxa"/>
            <w:tcBorders>
              <w:top w:val="single" w:color="auto" w:sz="2" w:space="0"/>
            </w:tcBorders>
            <w:vAlign w:val="center"/>
          </w:tcPr>
          <w:p>
            <w:pPr>
              <w:jc w:val="center"/>
              <w:rPr>
                <w:rFonts w:ascii="仿宋_GB2312" w:hAnsi="仿宋" w:eastAsia="仿宋_GB2312"/>
                <w:color w:val="auto"/>
                <w:highlight w:val="none"/>
              </w:rPr>
            </w:pPr>
          </w:p>
        </w:tc>
        <w:tc>
          <w:tcPr>
            <w:tcW w:w="1282" w:type="dxa"/>
            <w:tcBorders>
              <w:top w:val="single" w:color="auto" w:sz="2" w:space="0"/>
            </w:tcBorders>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color w:val="auto"/>
                <w:highlight w:val="none"/>
              </w:rPr>
            </w:pPr>
          </w:p>
        </w:tc>
        <w:tc>
          <w:tcPr>
            <w:tcW w:w="1549" w:type="dxa"/>
            <w:vAlign w:val="center"/>
          </w:tcPr>
          <w:p>
            <w:pPr>
              <w:jc w:val="center"/>
              <w:rPr>
                <w:rFonts w:ascii="仿宋_GB2312" w:hAnsi="仿宋" w:eastAsia="仿宋_GB2312"/>
                <w:color w:val="auto"/>
                <w:highlight w:val="none"/>
              </w:rPr>
            </w:pPr>
          </w:p>
        </w:tc>
        <w:tc>
          <w:tcPr>
            <w:tcW w:w="2518" w:type="dxa"/>
            <w:vAlign w:val="center"/>
          </w:tcPr>
          <w:p>
            <w:pPr>
              <w:jc w:val="center"/>
              <w:rPr>
                <w:rFonts w:ascii="仿宋_GB2312" w:hAnsi="仿宋" w:eastAsia="仿宋_GB2312"/>
                <w:color w:val="auto"/>
                <w:highlight w:val="none"/>
              </w:rPr>
            </w:pPr>
          </w:p>
        </w:tc>
        <w:tc>
          <w:tcPr>
            <w:tcW w:w="2533" w:type="dxa"/>
            <w:vAlign w:val="center"/>
          </w:tcPr>
          <w:p>
            <w:pPr>
              <w:jc w:val="center"/>
              <w:rPr>
                <w:rFonts w:ascii="仿宋_GB2312" w:hAnsi="仿宋" w:eastAsia="仿宋_GB2312"/>
                <w:color w:val="auto"/>
                <w:highlight w:val="none"/>
              </w:rPr>
            </w:pPr>
          </w:p>
        </w:tc>
        <w:tc>
          <w:tcPr>
            <w:tcW w:w="1282"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color w:val="auto"/>
                <w:highlight w:val="none"/>
              </w:rPr>
            </w:pPr>
          </w:p>
        </w:tc>
        <w:tc>
          <w:tcPr>
            <w:tcW w:w="1549" w:type="dxa"/>
            <w:vAlign w:val="center"/>
          </w:tcPr>
          <w:p>
            <w:pPr>
              <w:jc w:val="center"/>
              <w:rPr>
                <w:rFonts w:ascii="仿宋_GB2312" w:hAnsi="仿宋" w:eastAsia="仿宋_GB2312"/>
                <w:color w:val="auto"/>
                <w:highlight w:val="none"/>
              </w:rPr>
            </w:pPr>
          </w:p>
        </w:tc>
        <w:tc>
          <w:tcPr>
            <w:tcW w:w="2518" w:type="dxa"/>
            <w:vAlign w:val="center"/>
          </w:tcPr>
          <w:p>
            <w:pPr>
              <w:jc w:val="center"/>
              <w:rPr>
                <w:rFonts w:ascii="仿宋_GB2312" w:hAnsi="仿宋" w:eastAsia="仿宋_GB2312"/>
                <w:color w:val="auto"/>
                <w:highlight w:val="none"/>
              </w:rPr>
            </w:pPr>
          </w:p>
        </w:tc>
        <w:tc>
          <w:tcPr>
            <w:tcW w:w="2533" w:type="dxa"/>
            <w:vAlign w:val="center"/>
          </w:tcPr>
          <w:p>
            <w:pPr>
              <w:jc w:val="center"/>
              <w:rPr>
                <w:rFonts w:ascii="仿宋_GB2312" w:hAnsi="仿宋" w:eastAsia="仿宋_GB2312"/>
                <w:color w:val="auto"/>
                <w:highlight w:val="none"/>
              </w:rPr>
            </w:pPr>
          </w:p>
        </w:tc>
        <w:tc>
          <w:tcPr>
            <w:tcW w:w="1282"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color w:val="auto"/>
                <w:highlight w:val="none"/>
              </w:rPr>
            </w:pPr>
          </w:p>
        </w:tc>
        <w:tc>
          <w:tcPr>
            <w:tcW w:w="1549" w:type="dxa"/>
            <w:vAlign w:val="center"/>
          </w:tcPr>
          <w:p>
            <w:pPr>
              <w:jc w:val="center"/>
              <w:rPr>
                <w:rFonts w:ascii="仿宋_GB2312" w:hAnsi="仿宋" w:eastAsia="仿宋_GB2312"/>
                <w:color w:val="auto"/>
                <w:highlight w:val="none"/>
              </w:rPr>
            </w:pPr>
          </w:p>
        </w:tc>
        <w:tc>
          <w:tcPr>
            <w:tcW w:w="2518" w:type="dxa"/>
            <w:vAlign w:val="center"/>
          </w:tcPr>
          <w:p>
            <w:pPr>
              <w:jc w:val="center"/>
              <w:rPr>
                <w:rFonts w:ascii="仿宋_GB2312" w:hAnsi="仿宋" w:eastAsia="仿宋_GB2312"/>
                <w:color w:val="auto"/>
                <w:highlight w:val="none"/>
              </w:rPr>
            </w:pPr>
          </w:p>
        </w:tc>
        <w:tc>
          <w:tcPr>
            <w:tcW w:w="2533" w:type="dxa"/>
            <w:vAlign w:val="center"/>
          </w:tcPr>
          <w:p>
            <w:pPr>
              <w:jc w:val="center"/>
              <w:rPr>
                <w:rFonts w:ascii="仿宋_GB2312" w:hAnsi="仿宋" w:eastAsia="仿宋_GB2312"/>
                <w:color w:val="auto"/>
                <w:highlight w:val="none"/>
              </w:rPr>
            </w:pPr>
          </w:p>
        </w:tc>
        <w:tc>
          <w:tcPr>
            <w:tcW w:w="1282"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color w:val="auto"/>
                <w:highlight w:val="none"/>
              </w:rPr>
            </w:pPr>
          </w:p>
        </w:tc>
        <w:tc>
          <w:tcPr>
            <w:tcW w:w="1549" w:type="dxa"/>
            <w:vAlign w:val="center"/>
          </w:tcPr>
          <w:p>
            <w:pPr>
              <w:jc w:val="center"/>
              <w:rPr>
                <w:rFonts w:ascii="仿宋_GB2312" w:hAnsi="仿宋" w:eastAsia="仿宋_GB2312"/>
                <w:color w:val="auto"/>
                <w:highlight w:val="none"/>
              </w:rPr>
            </w:pPr>
          </w:p>
        </w:tc>
        <w:tc>
          <w:tcPr>
            <w:tcW w:w="2518" w:type="dxa"/>
            <w:vAlign w:val="center"/>
          </w:tcPr>
          <w:p>
            <w:pPr>
              <w:jc w:val="center"/>
              <w:rPr>
                <w:rFonts w:ascii="仿宋_GB2312" w:hAnsi="仿宋" w:eastAsia="仿宋_GB2312"/>
                <w:color w:val="auto"/>
                <w:highlight w:val="none"/>
              </w:rPr>
            </w:pPr>
          </w:p>
        </w:tc>
        <w:tc>
          <w:tcPr>
            <w:tcW w:w="2533" w:type="dxa"/>
            <w:vAlign w:val="center"/>
          </w:tcPr>
          <w:p>
            <w:pPr>
              <w:jc w:val="center"/>
              <w:rPr>
                <w:rFonts w:ascii="仿宋_GB2312" w:hAnsi="仿宋" w:eastAsia="仿宋_GB2312"/>
                <w:color w:val="auto"/>
                <w:highlight w:val="none"/>
              </w:rPr>
            </w:pPr>
          </w:p>
        </w:tc>
        <w:tc>
          <w:tcPr>
            <w:tcW w:w="1282"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color w:val="auto"/>
                <w:highlight w:val="none"/>
              </w:rPr>
            </w:pPr>
          </w:p>
        </w:tc>
        <w:tc>
          <w:tcPr>
            <w:tcW w:w="1549" w:type="dxa"/>
            <w:vAlign w:val="center"/>
          </w:tcPr>
          <w:p>
            <w:pPr>
              <w:jc w:val="center"/>
              <w:rPr>
                <w:rFonts w:ascii="仿宋_GB2312" w:hAnsi="仿宋" w:eastAsia="仿宋_GB2312"/>
                <w:color w:val="auto"/>
                <w:highlight w:val="none"/>
              </w:rPr>
            </w:pPr>
          </w:p>
        </w:tc>
        <w:tc>
          <w:tcPr>
            <w:tcW w:w="2518" w:type="dxa"/>
            <w:vAlign w:val="center"/>
          </w:tcPr>
          <w:p>
            <w:pPr>
              <w:jc w:val="center"/>
              <w:rPr>
                <w:rFonts w:ascii="仿宋_GB2312" w:hAnsi="仿宋" w:eastAsia="仿宋_GB2312"/>
                <w:color w:val="auto"/>
                <w:highlight w:val="none"/>
              </w:rPr>
            </w:pPr>
          </w:p>
        </w:tc>
        <w:tc>
          <w:tcPr>
            <w:tcW w:w="2533" w:type="dxa"/>
            <w:vAlign w:val="center"/>
          </w:tcPr>
          <w:p>
            <w:pPr>
              <w:jc w:val="center"/>
              <w:rPr>
                <w:rFonts w:ascii="仿宋_GB2312" w:hAnsi="仿宋" w:eastAsia="仿宋_GB2312"/>
                <w:color w:val="auto"/>
                <w:highlight w:val="none"/>
              </w:rPr>
            </w:pPr>
          </w:p>
        </w:tc>
        <w:tc>
          <w:tcPr>
            <w:tcW w:w="1282"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color w:val="auto"/>
                <w:highlight w:val="none"/>
              </w:rPr>
            </w:pPr>
          </w:p>
        </w:tc>
        <w:tc>
          <w:tcPr>
            <w:tcW w:w="1549" w:type="dxa"/>
            <w:vAlign w:val="center"/>
          </w:tcPr>
          <w:p>
            <w:pPr>
              <w:jc w:val="center"/>
              <w:rPr>
                <w:rFonts w:ascii="仿宋_GB2312" w:hAnsi="仿宋" w:eastAsia="仿宋_GB2312"/>
                <w:color w:val="auto"/>
                <w:highlight w:val="none"/>
              </w:rPr>
            </w:pPr>
          </w:p>
        </w:tc>
        <w:tc>
          <w:tcPr>
            <w:tcW w:w="2518" w:type="dxa"/>
            <w:vAlign w:val="center"/>
          </w:tcPr>
          <w:p>
            <w:pPr>
              <w:jc w:val="center"/>
              <w:rPr>
                <w:rFonts w:ascii="仿宋_GB2312" w:hAnsi="仿宋" w:eastAsia="仿宋_GB2312"/>
                <w:color w:val="auto"/>
                <w:highlight w:val="none"/>
              </w:rPr>
            </w:pPr>
          </w:p>
        </w:tc>
        <w:tc>
          <w:tcPr>
            <w:tcW w:w="2533" w:type="dxa"/>
            <w:vAlign w:val="center"/>
          </w:tcPr>
          <w:p>
            <w:pPr>
              <w:jc w:val="center"/>
              <w:rPr>
                <w:rFonts w:ascii="仿宋_GB2312" w:hAnsi="仿宋" w:eastAsia="仿宋_GB2312"/>
                <w:color w:val="auto"/>
                <w:highlight w:val="none"/>
              </w:rPr>
            </w:pPr>
          </w:p>
        </w:tc>
        <w:tc>
          <w:tcPr>
            <w:tcW w:w="1282" w:type="dxa"/>
            <w:vAlign w:val="center"/>
          </w:tcPr>
          <w:p>
            <w:pPr>
              <w:jc w:val="center"/>
              <w:rPr>
                <w:rFonts w:ascii="仿宋_GB2312" w:hAnsi="仿宋"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_GB2312" w:hAnsi="仿宋" w:eastAsia="仿宋_GB2312"/>
                <w:color w:val="auto"/>
                <w:highlight w:val="none"/>
              </w:rPr>
            </w:pPr>
            <w:r>
              <w:rPr>
                <w:rFonts w:hint="eastAsia" w:ascii="仿宋_GB2312" w:hAnsi="仿宋" w:eastAsia="仿宋_GB2312"/>
                <w:color w:val="auto"/>
                <w:highlight w:val="none"/>
              </w:rPr>
              <w:t>备注</w:t>
            </w:r>
          </w:p>
        </w:tc>
        <w:tc>
          <w:tcPr>
            <w:tcW w:w="7882" w:type="dxa"/>
            <w:gridSpan w:val="4"/>
            <w:vAlign w:val="center"/>
          </w:tcPr>
          <w:p>
            <w:pPr>
              <w:jc w:val="both"/>
              <w:rPr>
                <w:rFonts w:ascii="仿宋_GB2312" w:hAnsi="仿宋" w:eastAsia="仿宋_GB2312"/>
                <w:color w:val="auto"/>
                <w:highlight w:val="none"/>
              </w:rPr>
            </w:pPr>
            <w:r>
              <w:rPr>
                <w:rFonts w:hint="eastAsia" w:ascii="仿宋_GB2312" w:hAnsi="仿宋" w:eastAsia="仿宋_GB2312"/>
                <w:color w:val="auto"/>
                <w:highlight w:val="none"/>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ascii="仿宋_GB2312" w:hAnsi="仿宋" w:eastAsia="仿宋_GB2312"/>
                <w:color w:val="auto"/>
                <w:highlight w:val="none"/>
              </w:rPr>
            </w:pPr>
            <w:r>
              <w:rPr>
                <w:rFonts w:hint="eastAsia" w:ascii="仿宋_GB2312" w:hAnsi="仿宋" w:eastAsia="仿宋_GB2312"/>
                <w:color w:val="auto"/>
                <w:highlight w:val="none"/>
              </w:rPr>
              <w:t>2．根据《政府采购货物和服务招标投标管理办法》（财政部87号令）第六十三条，若投标文件含有采购人不能接受的附加条件的，投标无效。</w:t>
            </w:r>
          </w:p>
          <w:p>
            <w:pPr>
              <w:jc w:val="both"/>
              <w:rPr>
                <w:rFonts w:ascii="仿宋_GB2312" w:hAnsi="仿宋" w:eastAsia="仿宋_GB2312"/>
                <w:color w:val="auto"/>
                <w:highlight w:val="none"/>
              </w:rPr>
            </w:pPr>
            <w:r>
              <w:rPr>
                <w:rFonts w:hint="eastAsia" w:ascii="仿宋_GB2312" w:hAnsi="仿宋" w:eastAsia="仿宋_GB2312"/>
                <w:color w:val="auto"/>
                <w:highlight w:val="none"/>
              </w:rPr>
              <w:t>3．因表格空间因有限，不足以容纳响应内容时，允许在表后进行响应，但须在表中注明引用位置，如“见本表下方3.1.1”。</w:t>
            </w:r>
          </w:p>
        </w:tc>
      </w:tr>
    </w:tbl>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声明：除上表所列的合同条款外，招标文件中的其他合同条款我方均完全接受。</w:t>
      </w:r>
    </w:p>
    <w:p>
      <w:pPr>
        <w:spacing w:line="560" w:lineRule="exact"/>
        <w:ind w:firstLine="480" w:firstLineChars="200"/>
        <w:jc w:val="both"/>
        <w:rPr>
          <w:rFonts w:ascii="仿宋_GB2312" w:hAnsi="仿宋" w:eastAsia="仿宋_GB2312"/>
          <w:color w:val="auto"/>
          <w:highlight w:val="none"/>
        </w:rPr>
      </w:pPr>
      <w:r>
        <w:rPr>
          <w:rFonts w:hint="eastAsia" w:ascii="仿宋_GB2312" w:hAnsi="仿宋" w:eastAsia="仿宋_GB2312"/>
          <w:color w:val="auto"/>
          <w:highlight w:val="none"/>
        </w:rPr>
        <w:t>供应商：（供应商全称并加盖公章）</w:t>
      </w:r>
      <w:r>
        <w:rPr>
          <w:rFonts w:hint="eastAsia" w:ascii="仿宋_GB2312" w:hAnsi="仿宋" w:eastAsia="仿宋_GB2312"/>
          <w:color w:val="auto"/>
          <w:highlight w:val="none"/>
        </w:rPr>
        <w:br w:type="page"/>
      </w:r>
    </w:p>
    <w:p>
      <w:pPr>
        <w:pStyle w:val="5"/>
        <w:jc w:val="left"/>
        <w:rPr>
          <w:rFonts w:ascii="仿宋_GB2312" w:eastAsia="仿宋_GB2312"/>
          <w:b/>
          <w:color w:val="auto"/>
          <w:sz w:val="24"/>
          <w:szCs w:val="24"/>
          <w:highlight w:val="none"/>
        </w:rPr>
      </w:pPr>
      <w:bookmarkStart w:id="110" w:name="_Toc107503727"/>
      <w:r>
        <w:rPr>
          <w:rFonts w:hint="eastAsia" w:ascii="仿宋_GB2312" w:eastAsia="仿宋_GB2312"/>
          <w:b/>
          <w:color w:val="auto"/>
          <w:sz w:val="24"/>
          <w:szCs w:val="24"/>
          <w:highlight w:val="none"/>
        </w:rPr>
        <w:t>（四）评审方案</w:t>
      </w:r>
      <w:bookmarkEnd w:id="110"/>
    </w:p>
    <w:p>
      <w:pPr>
        <w:spacing w:line="560" w:lineRule="exact"/>
        <w:ind w:firstLine="480" w:firstLineChars="200"/>
        <w:jc w:val="both"/>
        <w:rPr>
          <w:rFonts w:ascii="仿宋_GB2312" w:hAnsi="仿宋" w:eastAsia="仿宋_GB2312"/>
          <w:color w:val="auto"/>
          <w:highlight w:val="none"/>
        </w:rPr>
      </w:pPr>
      <w:r>
        <w:rPr>
          <w:rFonts w:ascii="仿宋_GB2312" w:hAnsi="仿宋" w:eastAsia="仿宋_GB2312"/>
          <w:color w:val="auto"/>
          <w:highlight w:val="none"/>
        </w:rPr>
        <w:t>（各</w:t>
      </w:r>
      <w:r>
        <w:rPr>
          <w:rFonts w:hint="eastAsia" w:ascii="仿宋_GB2312" w:hAnsi="仿宋" w:eastAsia="仿宋_GB2312"/>
          <w:color w:val="auto"/>
          <w:highlight w:val="none"/>
        </w:rPr>
        <w:t>投标人</w:t>
      </w:r>
      <w:r>
        <w:rPr>
          <w:rFonts w:ascii="仿宋_GB2312" w:hAnsi="仿宋" w:eastAsia="仿宋_GB2312"/>
          <w:color w:val="auto"/>
          <w:highlight w:val="none"/>
        </w:rPr>
        <w:t>根据采购人采购内容及要求，并结合评审办法，可自主编写</w:t>
      </w:r>
      <w:r>
        <w:rPr>
          <w:rFonts w:hint="eastAsia" w:ascii="仿宋_GB2312" w:hAnsi="仿宋" w:eastAsia="仿宋_GB2312"/>
          <w:color w:val="auto"/>
          <w:highlight w:val="none"/>
        </w:rPr>
        <w:t>评审</w:t>
      </w:r>
      <w:r>
        <w:rPr>
          <w:rFonts w:ascii="仿宋_GB2312" w:hAnsi="仿宋" w:eastAsia="仿宋_GB2312"/>
          <w:color w:val="auto"/>
          <w:highlight w:val="none"/>
        </w:rPr>
        <w:t>方案）</w:t>
      </w:r>
    </w:p>
    <w:p>
      <w:pPr>
        <w:spacing w:line="560" w:lineRule="exact"/>
        <w:ind w:firstLine="480" w:firstLineChars="200"/>
        <w:jc w:val="both"/>
        <w:rPr>
          <w:rFonts w:ascii="仿宋_GB2312" w:hAnsi="仿宋" w:eastAsia="仿宋_GB2312"/>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spacing w:line="560" w:lineRule="exact"/>
        <w:ind w:firstLine="480" w:firstLineChars="200"/>
        <w:jc w:val="both"/>
        <w:rPr>
          <w:color w:val="auto"/>
          <w:highlight w:val="none"/>
        </w:rPr>
      </w:pPr>
    </w:p>
    <w:p>
      <w:pPr>
        <w:rPr>
          <w:rFonts w:ascii="仿宋_GB2312" w:hAnsi="仿宋" w:eastAsia="仿宋_GB2312"/>
          <w:b/>
          <w:bCs/>
          <w:color w:val="auto"/>
          <w:kern w:val="32"/>
          <w:highlight w:val="none"/>
        </w:rPr>
      </w:pPr>
      <w:r>
        <w:rPr>
          <w:color w:val="auto"/>
          <w:highlight w:val="none"/>
        </w:rPr>
        <w:br w:type="page"/>
      </w:r>
    </w:p>
    <w:p>
      <w:pPr>
        <w:pStyle w:val="5"/>
        <w:jc w:val="left"/>
        <w:rPr>
          <w:rFonts w:ascii="仿宋_GB2312" w:eastAsia="仿宋_GB2312"/>
          <w:b/>
          <w:color w:val="auto"/>
          <w:sz w:val="24"/>
          <w:szCs w:val="24"/>
          <w:highlight w:val="none"/>
        </w:rPr>
      </w:pPr>
      <w:bookmarkStart w:id="111" w:name="_Toc107503728"/>
      <w:r>
        <w:rPr>
          <w:rFonts w:hint="eastAsia" w:ascii="仿宋_GB2312" w:eastAsia="仿宋_GB2312"/>
          <w:b/>
          <w:color w:val="auto"/>
          <w:sz w:val="24"/>
          <w:szCs w:val="24"/>
          <w:highlight w:val="none"/>
        </w:rPr>
        <w:t>（五）其他需要供应商提供的材料</w:t>
      </w:r>
      <w:bookmarkEnd w:id="111"/>
    </w:p>
    <w:bookmarkEnd w:id="112"/>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523310"/>
    </w:sdtPr>
    <w:sdtContent>
      <w:p>
        <w:pPr>
          <w:pStyle w:val="25"/>
          <w:jc w:val="center"/>
        </w:pPr>
        <w:r>
          <w:fldChar w:fldCharType="begin"/>
        </w:r>
        <w:r>
          <w:instrText xml:space="preserve">PAGE   \* MERGEFORMAT</w:instrText>
        </w:r>
        <w:r>
          <w:fldChar w:fldCharType="separate"/>
        </w:r>
        <w:r>
          <w:rPr>
            <w:lang w:val="zh-CN"/>
          </w:rPr>
          <w:t>57</w:t>
        </w:r>
        <w:r>
          <w:fldChar w:fldCharType="end"/>
        </w:r>
      </w:p>
    </w:sdtContent>
  </w:sdt>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1116123"/>
    </w:sdtPr>
    <w:sdtContent>
      <w:p>
        <w:pPr>
          <w:pStyle w:val="25"/>
          <w:jc w:val="center"/>
        </w:pPr>
        <w:r>
          <w:fldChar w:fldCharType="begin"/>
        </w:r>
        <w:r>
          <w:instrText xml:space="preserve">PAGE   \* MERGEFORMAT</w:instrText>
        </w:r>
        <w:r>
          <w:fldChar w:fldCharType="separate"/>
        </w:r>
        <w:r>
          <w:rPr>
            <w:lang w:val="zh-CN"/>
          </w:rPr>
          <w:t>10</w:t>
        </w:r>
        <w:r>
          <w:fldChar w:fldCharType="end"/>
        </w:r>
      </w:p>
    </w:sdtContent>
  </w:sdt>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2ACCF"/>
    <w:multiLevelType w:val="singleLevel"/>
    <w:tmpl w:val="B082ACCF"/>
    <w:lvl w:ilvl="0" w:tentative="0">
      <w:start w:val="3"/>
      <w:numFmt w:val="chineseCounting"/>
      <w:suff w:val="space"/>
      <w:lvlText w:val="第%1章"/>
      <w:lvlJc w:val="left"/>
      <w:rPr>
        <w:rFonts w:hint="eastAsia"/>
      </w:rPr>
    </w:lvl>
  </w:abstractNum>
  <w:abstractNum w:abstractNumId="1">
    <w:nsid w:val="50AC295F"/>
    <w:multiLevelType w:val="multilevel"/>
    <w:tmpl w:val="50AC295F"/>
    <w:lvl w:ilvl="0" w:tentative="0">
      <w:start w:val="1"/>
      <w:numFmt w:val="none"/>
      <w:pStyle w:val="15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bordersDoNotSurroundHeader w:val="1"/>
  <w:bordersDoNotSurroundFooter w:val="1"/>
  <w:hideSpellingErrors/>
  <w:documentProtection w:enforcement="0"/>
  <w:defaultTabStop w:val="420"/>
  <w:drawingGridHorizontalSpacing w:val="120"/>
  <w:drawingGridVerticalSpacing w:val="21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MTRlNGYxYWUwNzhkMTIxYTI4YzA4NjZiNTdjNzYifQ=="/>
  </w:docVars>
  <w:rsids>
    <w:rsidRoot w:val="006A6B87"/>
    <w:rsid w:val="0000159C"/>
    <w:rsid w:val="000019FA"/>
    <w:rsid w:val="00002BB3"/>
    <w:rsid w:val="000038F3"/>
    <w:rsid w:val="00003AAB"/>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2D4"/>
    <w:rsid w:val="00061A13"/>
    <w:rsid w:val="00062D84"/>
    <w:rsid w:val="00063EEF"/>
    <w:rsid w:val="00064071"/>
    <w:rsid w:val="00064386"/>
    <w:rsid w:val="00067A39"/>
    <w:rsid w:val="00067D44"/>
    <w:rsid w:val="0007053B"/>
    <w:rsid w:val="00070AA6"/>
    <w:rsid w:val="0007534F"/>
    <w:rsid w:val="000770B7"/>
    <w:rsid w:val="00077B32"/>
    <w:rsid w:val="00077B80"/>
    <w:rsid w:val="000857F2"/>
    <w:rsid w:val="000866EA"/>
    <w:rsid w:val="00090002"/>
    <w:rsid w:val="000906B5"/>
    <w:rsid w:val="000911CC"/>
    <w:rsid w:val="00092417"/>
    <w:rsid w:val="00092511"/>
    <w:rsid w:val="00093AD5"/>
    <w:rsid w:val="000951C6"/>
    <w:rsid w:val="000952F2"/>
    <w:rsid w:val="00095A8D"/>
    <w:rsid w:val="00096428"/>
    <w:rsid w:val="0009679E"/>
    <w:rsid w:val="00097CDB"/>
    <w:rsid w:val="000A0237"/>
    <w:rsid w:val="000A0EFD"/>
    <w:rsid w:val="000A1BDA"/>
    <w:rsid w:val="000A250B"/>
    <w:rsid w:val="000A2583"/>
    <w:rsid w:val="000A2B11"/>
    <w:rsid w:val="000A7A6A"/>
    <w:rsid w:val="000B5741"/>
    <w:rsid w:val="000B5ACF"/>
    <w:rsid w:val="000B6141"/>
    <w:rsid w:val="000B6858"/>
    <w:rsid w:val="000C048C"/>
    <w:rsid w:val="000C078B"/>
    <w:rsid w:val="000C21A4"/>
    <w:rsid w:val="000C39B5"/>
    <w:rsid w:val="000C4C29"/>
    <w:rsid w:val="000C538D"/>
    <w:rsid w:val="000C59A5"/>
    <w:rsid w:val="000D0AF3"/>
    <w:rsid w:val="000D0DE1"/>
    <w:rsid w:val="000D1277"/>
    <w:rsid w:val="000D12BE"/>
    <w:rsid w:val="000D4097"/>
    <w:rsid w:val="000E3FB5"/>
    <w:rsid w:val="000E5C68"/>
    <w:rsid w:val="000E5DED"/>
    <w:rsid w:val="000E6AE7"/>
    <w:rsid w:val="000E6CC5"/>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CD8"/>
    <w:rsid w:val="00121FC0"/>
    <w:rsid w:val="00122D76"/>
    <w:rsid w:val="001232E1"/>
    <w:rsid w:val="001240BB"/>
    <w:rsid w:val="001257D4"/>
    <w:rsid w:val="0013005B"/>
    <w:rsid w:val="0013015E"/>
    <w:rsid w:val="0013032D"/>
    <w:rsid w:val="00130CF3"/>
    <w:rsid w:val="00131904"/>
    <w:rsid w:val="0013342E"/>
    <w:rsid w:val="001338D9"/>
    <w:rsid w:val="00133ADB"/>
    <w:rsid w:val="00134EE2"/>
    <w:rsid w:val="001351E3"/>
    <w:rsid w:val="00135AA2"/>
    <w:rsid w:val="00136D4A"/>
    <w:rsid w:val="00137E7B"/>
    <w:rsid w:val="00142244"/>
    <w:rsid w:val="001454AD"/>
    <w:rsid w:val="001455F6"/>
    <w:rsid w:val="001456C7"/>
    <w:rsid w:val="00150436"/>
    <w:rsid w:val="00152476"/>
    <w:rsid w:val="0015361E"/>
    <w:rsid w:val="00156ED5"/>
    <w:rsid w:val="001630D0"/>
    <w:rsid w:val="00164101"/>
    <w:rsid w:val="00164EE1"/>
    <w:rsid w:val="001664B2"/>
    <w:rsid w:val="00166804"/>
    <w:rsid w:val="00166FD9"/>
    <w:rsid w:val="00167ECE"/>
    <w:rsid w:val="0017054A"/>
    <w:rsid w:val="00171A61"/>
    <w:rsid w:val="00171CE4"/>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A71C7"/>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BEB"/>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0D4"/>
    <w:rsid w:val="002345B9"/>
    <w:rsid w:val="002378CD"/>
    <w:rsid w:val="00237A3F"/>
    <w:rsid w:val="00237C8C"/>
    <w:rsid w:val="0024210D"/>
    <w:rsid w:val="002434A7"/>
    <w:rsid w:val="00244C29"/>
    <w:rsid w:val="00247B11"/>
    <w:rsid w:val="002501C9"/>
    <w:rsid w:val="00250468"/>
    <w:rsid w:val="00250A0D"/>
    <w:rsid w:val="00250B6E"/>
    <w:rsid w:val="002519B6"/>
    <w:rsid w:val="00251FAB"/>
    <w:rsid w:val="00252050"/>
    <w:rsid w:val="00253B74"/>
    <w:rsid w:val="00254492"/>
    <w:rsid w:val="002547E0"/>
    <w:rsid w:val="00255DBC"/>
    <w:rsid w:val="00256AC1"/>
    <w:rsid w:val="0025777A"/>
    <w:rsid w:val="00257B25"/>
    <w:rsid w:val="00260306"/>
    <w:rsid w:val="00261898"/>
    <w:rsid w:val="00263061"/>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2638"/>
    <w:rsid w:val="002E379C"/>
    <w:rsid w:val="002E43F6"/>
    <w:rsid w:val="002E4813"/>
    <w:rsid w:val="002E52BE"/>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329"/>
    <w:rsid w:val="00325D47"/>
    <w:rsid w:val="00325EF1"/>
    <w:rsid w:val="00326169"/>
    <w:rsid w:val="00327A6B"/>
    <w:rsid w:val="00330EA4"/>
    <w:rsid w:val="00332A7C"/>
    <w:rsid w:val="00333E9C"/>
    <w:rsid w:val="00335C58"/>
    <w:rsid w:val="00337CFC"/>
    <w:rsid w:val="0034052E"/>
    <w:rsid w:val="003406B1"/>
    <w:rsid w:val="00340DEB"/>
    <w:rsid w:val="00342E12"/>
    <w:rsid w:val="00343305"/>
    <w:rsid w:val="003443D3"/>
    <w:rsid w:val="003450CD"/>
    <w:rsid w:val="00345F35"/>
    <w:rsid w:val="00346A88"/>
    <w:rsid w:val="003509CA"/>
    <w:rsid w:val="00351734"/>
    <w:rsid w:val="00354399"/>
    <w:rsid w:val="00354FCF"/>
    <w:rsid w:val="003551E0"/>
    <w:rsid w:val="0035572B"/>
    <w:rsid w:val="00357EC3"/>
    <w:rsid w:val="00360830"/>
    <w:rsid w:val="00361A02"/>
    <w:rsid w:val="00361EDE"/>
    <w:rsid w:val="00364896"/>
    <w:rsid w:val="00366A2C"/>
    <w:rsid w:val="00366DB3"/>
    <w:rsid w:val="003704E3"/>
    <w:rsid w:val="00371456"/>
    <w:rsid w:val="00373AE9"/>
    <w:rsid w:val="00374506"/>
    <w:rsid w:val="0037495D"/>
    <w:rsid w:val="0037531B"/>
    <w:rsid w:val="00375819"/>
    <w:rsid w:val="00375C89"/>
    <w:rsid w:val="00376DAF"/>
    <w:rsid w:val="00377482"/>
    <w:rsid w:val="0038079C"/>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A3890"/>
    <w:rsid w:val="003B086A"/>
    <w:rsid w:val="003B0D75"/>
    <w:rsid w:val="003B232B"/>
    <w:rsid w:val="003B2AF6"/>
    <w:rsid w:val="003B3207"/>
    <w:rsid w:val="003B6B5E"/>
    <w:rsid w:val="003C3325"/>
    <w:rsid w:val="003C61F3"/>
    <w:rsid w:val="003C6AB2"/>
    <w:rsid w:val="003C7C29"/>
    <w:rsid w:val="003D0B89"/>
    <w:rsid w:val="003D2606"/>
    <w:rsid w:val="003D39C7"/>
    <w:rsid w:val="003D3A50"/>
    <w:rsid w:val="003D45F5"/>
    <w:rsid w:val="003D671F"/>
    <w:rsid w:val="003D6B60"/>
    <w:rsid w:val="003E010E"/>
    <w:rsid w:val="003E1D81"/>
    <w:rsid w:val="003E2F34"/>
    <w:rsid w:val="003E5CDB"/>
    <w:rsid w:val="003E7874"/>
    <w:rsid w:val="003F3882"/>
    <w:rsid w:val="003F4830"/>
    <w:rsid w:val="003F60A3"/>
    <w:rsid w:val="003F7C8E"/>
    <w:rsid w:val="004001BE"/>
    <w:rsid w:val="00400ECF"/>
    <w:rsid w:val="0040124D"/>
    <w:rsid w:val="004017C8"/>
    <w:rsid w:val="0040181A"/>
    <w:rsid w:val="004024C2"/>
    <w:rsid w:val="00405285"/>
    <w:rsid w:val="004068A7"/>
    <w:rsid w:val="00406C11"/>
    <w:rsid w:val="004074BB"/>
    <w:rsid w:val="00407BBB"/>
    <w:rsid w:val="004106B2"/>
    <w:rsid w:val="00412CBC"/>
    <w:rsid w:val="00414D38"/>
    <w:rsid w:val="004155E3"/>
    <w:rsid w:val="00415649"/>
    <w:rsid w:val="004156E2"/>
    <w:rsid w:val="00415AB5"/>
    <w:rsid w:val="00416478"/>
    <w:rsid w:val="00416E50"/>
    <w:rsid w:val="00420875"/>
    <w:rsid w:val="004213A8"/>
    <w:rsid w:val="0042388D"/>
    <w:rsid w:val="00425038"/>
    <w:rsid w:val="0042688F"/>
    <w:rsid w:val="00427ABD"/>
    <w:rsid w:val="0043095E"/>
    <w:rsid w:val="004317AB"/>
    <w:rsid w:val="00431DBF"/>
    <w:rsid w:val="00433512"/>
    <w:rsid w:val="0043432D"/>
    <w:rsid w:val="00441423"/>
    <w:rsid w:val="00441D7B"/>
    <w:rsid w:val="00443294"/>
    <w:rsid w:val="00444250"/>
    <w:rsid w:val="00444298"/>
    <w:rsid w:val="00444394"/>
    <w:rsid w:val="004456C5"/>
    <w:rsid w:val="00454666"/>
    <w:rsid w:val="004547F6"/>
    <w:rsid w:val="004574A4"/>
    <w:rsid w:val="00461F1D"/>
    <w:rsid w:val="00462AF8"/>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97F53"/>
    <w:rsid w:val="004A00FD"/>
    <w:rsid w:val="004A570C"/>
    <w:rsid w:val="004A5CFF"/>
    <w:rsid w:val="004A61D7"/>
    <w:rsid w:val="004A6B5A"/>
    <w:rsid w:val="004B1026"/>
    <w:rsid w:val="004B13F6"/>
    <w:rsid w:val="004B1983"/>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1C8"/>
    <w:rsid w:val="004E63AF"/>
    <w:rsid w:val="004E7875"/>
    <w:rsid w:val="004F01A5"/>
    <w:rsid w:val="004F04DD"/>
    <w:rsid w:val="004F2CC5"/>
    <w:rsid w:val="004F3159"/>
    <w:rsid w:val="004F411F"/>
    <w:rsid w:val="004F4A20"/>
    <w:rsid w:val="004F60D3"/>
    <w:rsid w:val="004F7234"/>
    <w:rsid w:val="004F7D8F"/>
    <w:rsid w:val="0050182A"/>
    <w:rsid w:val="00501CED"/>
    <w:rsid w:val="0050264E"/>
    <w:rsid w:val="00502DB5"/>
    <w:rsid w:val="0050431E"/>
    <w:rsid w:val="005053C1"/>
    <w:rsid w:val="00506ECC"/>
    <w:rsid w:val="00510D3F"/>
    <w:rsid w:val="00511E18"/>
    <w:rsid w:val="00512B77"/>
    <w:rsid w:val="00512B8E"/>
    <w:rsid w:val="00515ADE"/>
    <w:rsid w:val="00515E63"/>
    <w:rsid w:val="005176F4"/>
    <w:rsid w:val="005203BA"/>
    <w:rsid w:val="005220F8"/>
    <w:rsid w:val="00522932"/>
    <w:rsid w:val="005240FB"/>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4C62"/>
    <w:rsid w:val="00555365"/>
    <w:rsid w:val="005555A0"/>
    <w:rsid w:val="00557D77"/>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0787"/>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141C"/>
    <w:rsid w:val="005C50A4"/>
    <w:rsid w:val="005C6C4F"/>
    <w:rsid w:val="005D000E"/>
    <w:rsid w:val="005D035F"/>
    <w:rsid w:val="005D4062"/>
    <w:rsid w:val="005D62E5"/>
    <w:rsid w:val="005D7216"/>
    <w:rsid w:val="005E12F7"/>
    <w:rsid w:val="005E37E1"/>
    <w:rsid w:val="005E548A"/>
    <w:rsid w:val="005E5BCC"/>
    <w:rsid w:val="005E5CCE"/>
    <w:rsid w:val="005E6CCC"/>
    <w:rsid w:val="005E7111"/>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1F49"/>
    <w:rsid w:val="00632B4F"/>
    <w:rsid w:val="0063350A"/>
    <w:rsid w:val="006340A0"/>
    <w:rsid w:val="00634C04"/>
    <w:rsid w:val="0063581A"/>
    <w:rsid w:val="00635858"/>
    <w:rsid w:val="00636BF4"/>
    <w:rsid w:val="00637FE9"/>
    <w:rsid w:val="00642CB1"/>
    <w:rsid w:val="006431A9"/>
    <w:rsid w:val="00644E18"/>
    <w:rsid w:val="006460E3"/>
    <w:rsid w:val="006466DF"/>
    <w:rsid w:val="00646A42"/>
    <w:rsid w:val="006518D0"/>
    <w:rsid w:val="00652393"/>
    <w:rsid w:val="00656003"/>
    <w:rsid w:val="00657150"/>
    <w:rsid w:val="006571DD"/>
    <w:rsid w:val="0065774D"/>
    <w:rsid w:val="0065792C"/>
    <w:rsid w:val="00662E32"/>
    <w:rsid w:val="00665CEE"/>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D529A"/>
    <w:rsid w:val="006E1525"/>
    <w:rsid w:val="006E1A0E"/>
    <w:rsid w:val="006E68F0"/>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54EF"/>
    <w:rsid w:val="00716375"/>
    <w:rsid w:val="007173BF"/>
    <w:rsid w:val="00717B21"/>
    <w:rsid w:val="00721BAC"/>
    <w:rsid w:val="007240F9"/>
    <w:rsid w:val="00724763"/>
    <w:rsid w:val="007301D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0A5"/>
    <w:rsid w:val="007A0298"/>
    <w:rsid w:val="007A0EED"/>
    <w:rsid w:val="007A1F61"/>
    <w:rsid w:val="007A2D00"/>
    <w:rsid w:val="007A3433"/>
    <w:rsid w:val="007A5B38"/>
    <w:rsid w:val="007A7AC5"/>
    <w:rsid w:val="007B1707"/>
    <w:rsid w:val="007B1F48"/>
    <w:rsid w:val="007B4190"/>
    <w:rsid w:val="007B5027"/>
    <w:rsid w:val="007B5A22"/>
    <w:rsid w:val="007B7795"/>
    <w:rsid w:val="007C1E2E"/>
    <w:rsid w:val="007C32E6"/>
    <w:rsid w:val="007C551E"/>
    <w:rsid w:val="007C554D"/>
    <w:rsid w:val="007C6103"/>
    <w:rsid w:val="007C7079"/>
    <w:rsid w:val="007C745E"/>
    <w:rsid w:val="007C7E4A"/>
    <w:rsid w:val="007D0E38"/>
    <w:rsid w:val="007D20D8"/>
    <w:rsid w:val="007D249E"/>
    <w:rsid w:val="007D2964"/>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3783"/>
    <w:rsid w:val="00806FED"/>
    <w:rsid w:val="00811115"/>
    <w:rsid w:val="008122DE"/>
    <w:rsid w:val="00812609"/>
    <w:rsid w:val="008134C7"/>
    <w:rsid w:val="008139EB"/>
    <w:rsid w:val="00813D5F"/>
    <w:rsid w:val="008150A6"/>
    <w:rsid w:val="008151E2"/>
    <w:rsid w:val="00816091"/>
    <w:rsid w:val="00816182"/>
    <w:rsid w:val="00821BA2"/>
    <w:rsid w:val="00822824"/>
    <w:rsid w:val="008228B9"/>
    <w:rsid w:val="00824639"/>
    <w:rsid w:val="008269F9"/>
    <w:rsid w:val="00826C95"/>
    <w:rsid w:val="00830FB7"/>
    <w:rsid w:val="00832985"/>
    <w:rsid w:val="008332CE"/>
    <w:rsid w:val="008345B9"/>
    <w:rsid w:val="008354ED"/>
    <w:rsid w:val="00835D21"/>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64C0"/>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DFE"/>
    <w:rsid w:val="008E2EFF"/>
    <w:rsid w:val="008E3B9E"/>
    <w:rsid w:val="008E4E0F"/>
    <w:rsid w:val="008E5935"/>
    <w:rsid w:val="008E738E"/>
    <w:rsid w:val="008E7652"/>
    <w:rsid w:val="008F0A84"/>
    <w:rsid w:val="008F0CC3"/>
    <w:rsid w:val="008F400C"/>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0AA"/>
    <w:rsid w:val="0093115A"/>
    <w:rsid w:val="00931671"/>
    <w:rsid w:val="00932C0E"/>
    <w:rsid w:val="00933F00"/>
    <w:rsid w:val="00935401"/>
    <w:rsid w:val="0094003A"/>
    <w:rsid w:val="0094004A"/>
    <w:rsid w:val="009419E5"/>
    <w:rsid w:val="00942C1F"/>
    <w:rsid w:val="0094638E"/>
    <w:rsid w:val="00946A82"/>
    <w:rsid w:val="00951071"/>
    <w:rsid w:val="0095333C"/>
    <w:rsid w:val="009544D9"/>
    <w:rsid w:val="00955186"/>
    <w:rsid w:val="00955282"/>
    <w:rsid w:val="00956990"/>
    <w:rsid w:val="00956CBF"/>
    <w:rsid w:val="00956EE8"/>
    <w:rsid w:val="009570F6"/>
    <w:rsid w:val="00965C09"/>
    <w:rsid w:val="00966B6A"/>
    <w:rsid w:val="0097057C"/>
    <w:rsid w:val="009715C5"/>
    <w:rsid w:val="00971AF2"/>
    <w:rsid w:val="009723B8"/>
    <w:rsid w:val="009817A0"/>
    <w:rsid w:val="0098281C"/>
    <w:rsid w:val="009833A0"/>
    <w:rsid w:val="00983623"/>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4379"/>
    <w:rsid w:val="009B5F6F"/>
    <w:rsid w:val="009B7A7F"/>
    <w:rsid w:val="009B7A90"/>
    <w:rsid w:val="009B7BA4"/>
    <w:rsid w:val="009C1007"/>
    <w:rsid w:val="009C10D5"/>
    <w:rsid w:val="009C1F6E"/>
    <w:rsid w:val="009C2514"/>
    <w:rsid w:val="009C3C03"/>
    <w:rsid w:val="009C3C6C"/>
    <w:rsid w:val="009C3EBA"/>
    <w:rsid w:val="009C4C61"/>
    <w:rsid w:val="009C5377"/>
    <w:rsid w:val="009C58A2"/>
    <w:rsid w:val="009C7BA0"/>
    <w:rsid w:val="009D1B51"/>
    <w:rsid w:val="009D1F4D"/>
    <w:rsid w:val="009D2846"/>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52"/>
    <w:rsid w:val="00A22D76"/>
    <w:rsid w:val="00A2438C"/>
    <w:rsid w:val="00A24D47"/>
    <w:rsid w:val="00A30370"/>
    <w:rsid w:val="00A30BAD"/>
    <w:rsid w:val="00A31A89"/>
    <w:rsid w:val="00A32017"/>
    <w:rsid w:val="00A3527C"/>
    <w:rsid w:val="00A36E1D"/>
    <w:rsid w:val="00A3783C"/>
    <w:rsid w:val="00A37E7E"/>
    <w:rsid w:val="00A4098F"/>
    <w:rsid w:val="00A4193A"/>
    <w:rsid w:val="00A42D4A"/>
    <w:rsid w:val="00A45C6F"/>
    <w:rsid w:val="00A46DCC"/>
    <w:rsid w:val="00A5014E"/>
    <w:rsid w:val="00A555EB"/>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8748C"/>
    <w:rsid w:val="00A91A54"/>
    <w:rsid w:val="00A91B7E"/>
    <w:rsid w:val="00A96F13"/>
    <w:rsid w:val="00AA0BA7"/>
    <w:rsid w:val="00AA1080"/>
    <w:rsid w:val="00AA16D3"/>
    <w:rsid w:val="00AA18CA"/>
    <w:rsid w:val="00AA1D98"/>
    <w:rsid w:val="00AA3063"/>
    <w:rsid w:val="00AA3BFA"/>
    <w:rsid w:val="00AA4BCE"/>
    <w:rsid w:val="00AA5A0A"/>
    <w:rsid w:val="00AA5E84"/>
    <w:rsid w:val="00AA725C"/>
    <w:rsid w:val="00AB3274"/>
    <w:rsid w:val="00AB35A9"/>
    <w:rsid w:val="00AB3E05"/>
    <w:rsid w:val="00AB676B"/>
    <w:rsid w:val="00AB7A0E"/>
    <w:rsid w:val="00AC0409"/>
    <w:rsid w:val="00AC0C60"/>
    <w:rsid w:val="00AC178D"/>
    <w:rsid w:val="00AC1897"/>
    <w:rsid w:val="00AC2E63"/>
    <w:rsid w:val="00AC2EA5"/>
    <w:rsid w:val="00AC3A70"/>
    <w:rsid w:val="00AC62A7"/>
    <w:rsid w:val="00AC63F8"/>
    <w:rsid w:val="00AC7144"/>
    <w:rsid w:val="00AC75AF"/>
    <w:rsid w:val="00AD0634"/>
    <w:rsid w:val="00AD340C"/>
    <w:rsid w:val="00AD3849"/>
    <w:rsid w:val="00AD3D18"/>
    <w:rsid w:val="00AD4D41"/>
    <w:rsid w:val="00AD4DD2"/>
    <w:rsid w:val="00AD6114"/>
    <w:rsid w:val="00AD6DCA"/>
    <w:rsid w:val="00AD74EC"/>
    <w:rsid w:val="00AE01B3"/>
    <w:rsid w:val="00AE041F"/>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61BA"/>
    <w:rsid w:val="00B40614"/>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0FF"/>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22"/>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3011"/>
    <w:rsid w:val="00C25539"/>
    <w:rsid w:val="00C25C2B"/>
    <w:rsid w:val="00C2744F"/>
    <w:rsid w:val="00C31C49"/>
    <w:rsid w:val="00C33D5F"/>
    <w:rsid w:val="00C34648"/>
    <w:rsid w:val="00C34D95"/>
    <w:rsid w:val="00C357EB"/>
    <w:rsid w:val="00C35B17"/>
    <w:rsid w:val="00C37015"/>
    <w:rsid w:val="00C40072"/>
    <w:rsid w:val="00C408BD"/>
    <w:rsid w:val="00C4213E"/>
    <w:rsid w:val="00C438D5"/>
    <w:rsid w:val="00C45741"/>
    <w:rsid w:val="00C4699F"/>
    <w:rsid w:val="00C472A3"/>
    <w:rsid w:val="00C50AFA"/>
    <w:rsid w:val="00C50C4A"/>
    <w:rsid w:val="00C50C8B"/>
    <w:rsid w:val="00C524B1"/>
    <w:rsid w:val="00C53D6E"/>
    <w:rsid w:val="00C55AC2"/>
    <w:rsid w:val="00C56B9D"/>
    <w:rsid w:val="00C60706"/>
    <w:rsid w:val="00C609A3"/>
    <w:rsid w:val="00C61A1B"/>
    <w:rsid w:val="00C6464D"/>
    <w:rsid w:val="00C64FE6"/>
    <w:rsid w:val="00C65838"/>
    <w:rsid w:val="00C66CF8"/>
    <w:rsid w:val="00C72DBC"/>
    <w:rsid w:val="00C73BD9"/>
    <w:rsid w:val="00C74041"/>
    <w:rsid w:val="00C76B39"/>
    <w:rsid w:val="00C77891"/>
    <w:rsid w:val="00C80803"/>
    <w:rsid w:val="00C8081E"/>
    <w:rsid w:val="00C8194B"/>
    <w:rsid w:val="00C8510F"/>
    <w:rsid w:val="00C856C4"/>
    <w:rsid w:val="00C8634C"/>
    <w:rsid w:val="00C86F92"/>
    <w:rsid w:val="00C90072"/>
    <w:rsid w:val="00C9533B"/>
    <w:rsid w:val="00CA14A2"/>
    <w:rsid w:val="00CA4022"/>
    <w:rsid w:val="00CA408B"/>
    <w:rsid w:val="00CA4867"/>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9B3"/>
    <w:rsid w:val="00CE3BDB"/>
    <w:rsid w:val="00CE4305"/>
    <w:rsid w:val="00CE44AB"/>
    <w:rsid w:val="00CE4BC6"/>
    <w:rsid w:val="00CE52BF"/>
    <w:rsid w:val="00CE70DB"/>
    <w:rsid w:val="00CF001E"/>
    <w:rsid w:val="00CF363A"/>
    <w:rsid w:val="00CF50D5"/>
    <w:rsid w:val="00CF5B78"/>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3E2F"/>
    <w:rsid w:val="00D55D74"/>
    <w:rsid w:val="00D568D6"/>
    <w:rsid w:val="00D613B2"/>
    <w:rsid w:val="00D61D4F"/>
    <w:rsid w:val="00D62526"/>
    <w:rsid w:val="00D65B3B"/>
    <w:rsid w:val="00D6655A"/>
    <w:rsid w:val="00D73BEF"/>
    <w:rsid w:val="00D75DD7"/>
    <w:rsid w:val="00D83BBC"/>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6863"/>
    <w:rsid w:val="00DA7EC9"/>
    <w:rsid w:val="00DB0D37"/>
    <w:rsid w:val="00DB18FC"/>
    <w:rsid w:val="00DB2769"/>
    <w:rsid w:val="00DB4762"/>
    <w:rsid w:val="00DB5317"/>
    <w:rsid w:val="00DB630A"/>
    <w:rsid w:val="00DB6473"/>
    <w:rsid w:val="00DC3434"/>
    <w:rsid w:val="00DC3ED2"/>
    <w:rsid w:val="00DC4AE1"/>
    <w:rsid w:val="00DC6B38"/>
    <w:rsid w:val="00DC767D"/>
    <w:rsid w:val="00DC7A15"/>
    <w:rsid w:val="00DD05D8"/>
    <w:rsid w:val="00DD0CDD"/>
    <w:rsid w:val="00DD26EA"/>
    <w:rsid w:val="00DD35BB"/>
    <w:rsid w:val="00DD5EDD"/>
    <w:rsid w:val="00DD6B34"/>
    <w:rsid w:val="00DD7198"/>
    <w:rsid w:val="00DE3B48"/>
    <w:rsid w:val="00DF0FF1"/>
    <w:rsid w:val="00DF1557"/>
    <w:rsid w:val="00DF49C5"/>
    <w:rsid w:val="00DF644C"/>
    <w:rsid w:val="00DF6B72"/>
    <w:rsid w:val="00DF7223"/>
    <w:rsid w:val="00DF749E"/>
    <w:rsid w:val="00DF7988"/>
    <w:rsid w:val="00E009EC"/>
    <w:rsid w:val="00E0112E"/>
    <w:rsid w:val="00E02056"/>
    <w:rsid w:val="00E037D5"/>
    <w:rsid w:val="00E07564"/>
    <w:rsid w:val="00E07EB9"/>
    <w:rsid w:val="00E10A87"/>
    <w:rsid w:val="00E10FD6"/>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091"/>
    <w:rsid w:val="00E303C9"/>
    <w:rsid w:val="00E30E7D"/>
    <w:rsid w:val="00E31BA9"/>
    <w:rsid w:val="00E31EDB"/>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5E"/>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683"/>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EF789E"/>
    <w:rsid w:val="00EF7F0C"/>
    <w:rsid w:val="00F00971"/>
    <w:rsid w:val="00F01751"/>
    <w:rsid w:val="00F02CF2"/>
    <w:rsid w:val="00F0385A"/>
    <w:rsid w:val="00F053D3"/>
    <w:rsid w:val="00F1070F"/>
    <w:rsid w:val="00F10CEC"/>
    <w:rsid w:val="00F12F5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33FB"/>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3F15"/>
    <w:rsid w:val="00F76A72"/>
    <w:rsid w:val="00F77340"/>
    <w:rsid w:val="00F8042D"/>
    <w:rsid w:val="00F8355F"/>
    <w:rsid w:val="00F85256"/>
    <w:rsid w:val="00F87572"/>
    <w:rsid w:val="00F87CA2"/>
    <w:rsid w:val="00F905C7"/>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2BC8"/>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305386B"/>
    <w:rsid w:val="038458AF"/>
    <w:rsid w:val="05276CDD"/>
    <w:rsid w:val="0A7049F0"/>
    <w:rsid w:val="0C6151AC"/>
    <w:rsid w:val="0CB978B6"/>
    <w:rsid w:val="0D5050D4"/>
    <w:rsid w:val="121B617B"/>
    <w:rsid w:val="183667D0"/>
    <w:rsid w:val="1A452771"/>
    <w:rsid w:val="1B5C1555"/>
    <w:rsid w:val="1C2E5F4D"/>
    <w:rsid w:val="1C514D91"/>
    <w:rsid w:val="1D8E280B"/>
    <w:rsid w:val="20061F10"/>
    <w:rsid w:val="22B7408C"/>
    <w:rsid w:val="250D560A"/>
    <w:rsid w:val="265A4254"/>
    <w:rsid w:val="26F14B86"/>
    <w:rsid w:val="27FB0B5D"/>
    <w:rsid w:val="2A7A395F"/>
    <w:rsid w:val="2EAB7223"/>
    <w:rsid w:val="3025525C"/>
    <w:rsid w:val="33F01284"/>
    <w:rsid w:val="34012093"/>
    <w:rsid w:val="353F06AF"/>
    <w:rsid w:val="35EB5BED"/>
    <w:rsid w:val="395E16C4"/>
    <w:rsid w:val="3AFB1B2B"/>
    <w:rsid w:val="3E487DA5"/>
    <w:rsid w:val="42AB6337"/>
    <w:rsid w:val="47FB5A7B"/>
    <w:rsid w:val="49940549"/>
    <w:rsid w:val="4A844EF3"/>
    <w:rsid w:val="4AEF71D6"/>
    <w:rsid w:val="4AF46F03"/>
    <w:rsid w:val="50E2150F"/>
    <w:rsid w:val="5302551F"/>
    <w:rsid w:val="54992E46"/>
    <w:rsid w:val="54A329C6"/>
    <w:rsid w:val="56136A91"/>
    <w:rsid w:val="58032E34"/>
    <w:rsid w:val="59AF38AB"/>
    <w:rsid w:val="5AF6175D"/>
    <w:rsid w:val="614079B7"/>
    <w:rsid w:val="64F669EB"/>
    <w:rsid w:val="6909611B"/>
    <w:rsid w:val="75BB3037"/>
    <w:rsid w:val="793331D2"/>
    <w:rsid w:val="7A5B7EEA"/>
    <w:rsid w:val="7E702AF5"/>
    <w:rsid w:val="7F31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2"/>
    <w:qFormat/>
    <w:uiPriority w:val="0"/>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53"/>
    <w:unhideWhenUsed/>
    <w:qFormat/>
    <w:uiPriority w:val="0"/>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54"/>
    <w:unhideWhenUsed/>
    <w:qFormat/>
    <w:uiPriority w:val="0"/>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55"/>
    <w:semiHidden/>
    <w:unhideWhenUsed/>
    <w:qFormat/>
    <w:uiPriority w:val="0"/>
    <w:pPr>
      <w:keepNext/>
      <w:numPr>
        <w:ilvl w:val="3"/>
        <w:numId w:val="1"/>
      </w:numPr>
      <w:spacing w:before="240" w:after="60"/>
      <w:outlineLvl w:val="3"/>
    </w:pPr>
    <w:rPr>
      <w:rFonts w:cstheme="majorBidi"/>
      <w:b/>
      <w:bCs/>
      <w:sz w:val="28"/>
      <w:szCs w:val="28"/>
    </w:rPr>
  </w:style>
  <w:style w:type="paragraph" w:styleId="7">
    <w:name w:val="heading 5"/>
    <w:basedOn w:val="1"/>
    <w:next w:val="1"/>
    <w:link w:val="56"/>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57"/>
    <w:semiHidden/>
    <w:unhideWhenUsed/>
    <w:qFormat/>
    <w:uiPriority w:val="0"/>
    <w:pPr>
      <w:numPr>
        <w:ilvl w:val="5"/>
        <w:numId w:val="1"/>
      </w:numPr>
      <w:spacing w:before="240" w:after="60"/>
      <w:outlineLvl w:val="5"/>
    </w:pPr>
    <w:rPr>
      <w:rFonts w:cstheme="majorBidi"/>
      <w:b/>
      <w:bCs/>
      <w:sz w:val="22"/>
      <w:szCs w:val="22"/>
    </w:rPr>
  </w:style>
  <w:style w:type="paragraph" w:styleId="9">
    <w:name w:val="heading 7"/>
    <w:basedOn w:val="1"/>
    <w:next w:val="1"/>
    <w:link w:val="58"/>
    <w:semiHidden/>
    <w:unhideWhenUsed/>
    <w:qFormat/>
    <w:uiPriority w:val="9"/>
    <w:pPr>
      <w:numPr>
        <w:ilvl w:val="6"/>
        <w:numId w:val="1"/>
      </w:numPr>
      <w:spacing w:before="240" w:after="60"/>
      <w:outlineLvl w:val="6"/>
    </w:pPr>
  </w:style>
  <w:style w:type="paragraph" w:styleId="10">
    <w:name w:val="heading 8"/>
    <w:basedOn w:val="1"/>
    <w:next w:val="1"/>
    <w:link w:val="59"/>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0"/>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4"/>
    <w:qFormat/>
    <w:uiPriority w:val="0"/>
    <w:pPr>
      <w:widowControl w:val="0"/>
      <w:tabs>
        <w:tab w:val="left" w:pos="567"/>
      </w:tabs>
      <w:spacing w:before="120" w:line="22" w:lineRule="atLeast"/>
      <w:jc w:val="both"/>
    </w:pPr>
    <w:rPr>
      <w:rFonts w:ascii="宋体" w:hAnsi="宋体" w:eastAsia="宋体"/>
      <w:kern w:val="2"/>
    </w:rPr>
  </w:style>
  <w:style w:type="paragraph" w:styleId="12">
    <w:name w:val="toc 7"/>
    <w:basedOn w:val="1"/>
    <w:next w:val="1"/>
    <w:unhideWhenUsed/>
    <w:qFormat/>
    <w:uiPriority w:val="39"/>
    <w:pPr>
      <w:widowControl w:val="0"/>
      <w:ind w:left="2520" w:leftChars="1200"/>
      <w:jc w:val="both"/>
    </w:pPr>
    <w:rPr>
      <w:rFonts w:cstheme="minorBidi"/>
      <w:kern w:val="2"/>
      <w:sz w:val="21"/>
      <w:szCs w:val="22"/>
    </w:rPr>
  </w:style>
  <w:style w:type="paragraph" w:styleId="13">
    <w:name w:val="Normal Indent"/>
    <w:basedOn w:val="1"/>
    <w:link w:val="119"/>
    <w:qFormat/>
    <w:uiPriority w:val="0"/>
    <w:pPr>
      <w:widowControl w:val="0"/>
      <w:autoSpaceDE w:val="0"/>
      <w:autoSpaceDN w:val="0"/>
      <w:adjustRightInd w:val="0"/>
      <w:ind w:firstLine="420"/>
    </w:pPr>
    <w:rPr>
      <w:rFonts w:ascii="宋体" w:hAnsi="Times New Roman" w:eastAsia="宋体"/>
      <w:szCs w:val="20"/>
    </w:r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7"/>
    <w:unhideWhenUsed/>
    <w:qFormat/>
    <w:uiPriority w:val="0"/>
    <w:pPr>
      <w:spacing w:line="400" w:lineRule="exact"/>
      <w:jc w:val="both"/>
    </w:pPr>
    <w:rPr>
      <w:rFonts w:ascii="宋体" w:hAnsi="Calibri Light" w:eastAsia="宋体" w:cs="Calibri Light"/>
      <w:kern w:val="2"/>
      <w:sz w:val="18"/>
      <w:szCs w:val="18"/>
    </w:rPr>
  </w:style>
  <w:style w:type="paragraph" w:styleId="16">
    <w:name w:val="annotation text"/>
    <w:basedOn w:val="1"/>
    <w:link w:val="99"/>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Indent"/>
    <w:basedOn w:val="1"/>
    <w:link w:val="126"/>
    <w:qFormat/>
    <w:uiPriority w:val="0"/>
    <w:pPr>
      <w:widowControl w:val="0"/>
      <w:spacing w:line="360" w:lineRule="auto"/>
      <w:ind w:firstLine="570"/>
      <w:jc w:val="both"/>
    </w:pPr>
    <w:rPr>
      <w:rFonts w:ascii="Times New Roman" w:hAnsi="Times New Roman" w:eastAsia="宋体"/>
      <w:kern w:val="2"/>
    </w:rPr>
  </w:style>
  <w:style w:type="paragraph" w:styleId="18">
    <w:name w:val="toc 5"/>
    <w:basedOn w:val="1"/>
    <w:next w:val="1"/>
    <w:unhideWhenUsed/>
    <w:qFormat/>
    <w:uiPriority w:val="39"/>
    <w:pPr>
      <w:widowControl w:val="0"/>
      <w:ind w:left="1680" w:leftChars="800"/>
      <w:jc w:val="both"/>
    </w:pPr>
    <w:rPr>
      <w:rFonts w:cstheme="minorBidi"/>
      <w:kern w:val="2"/>
      <w:sz w:val="21"/>
      <w:szCs w:val="22"/>
    </w:rPr>
  </w:style>
  <w:style w:type="paragraph" w:styleId="19">
    <w:name w:val="toc 3"/>
    <w:basedOn w:val="1"/>
    <w:next w:val="1"/>
    <w:unhideWhenUsed/>
    <w:qFormat/>
    <w:uiPriority w:val="39"/>
    <w:pPr>
      <w:ind w:left="840" w:leftChars="400"/>
    </w:pPr>
  </w:style>
  <w:style w:type="paragraph" w:styleId="20">
    <w:name w:val="Plain Text"/>
    <w:basedOn w:val="1"/>
    <w:link w:val="127"/>
    <w:qFormat/>
    <w:uiPriority w:val="0"/>
    <w:pPr>
      <w:widowControl w:val="0"/>
      <w:jc w:val="both"/>
    </w:pPr>
    <w:rPr>
      <w:rFonts w:ascii="宋体" w:hAnsi="Courier New" w:eastAsia="宋体"/>
      <w:kern w:val="2"/>
      <w:sz w:val="21"/>
      <w:szCs w:val="20"/>
    </w:rPr>
  </w:style>
  <w:style w:type="paragraph" w:styleId="21">
    <w:name w:val="toc 8"/>
    <w:basedOn w:val="1"/>
    <w:next w:val="1"/>
    <w:unhideWhenUsed/>
    <w:qFormat/>
    <w:uiPriority w:val="39"/>
    <w:pPr>
      <w:widowControl w:val="0"/>
      <w:ind w:left="2940" w:leftChars="1400"/>
      <w:jc w:val="both"/>
    </w:pPr>
    <w:rPr>
      <w:rFonts w:cstheme="minorBidi"/>
      <w:kern w:val="2"/>
      <w:sz w:val="21"/>
      <w:szCs w:val="22"/>
    </w:rPr>
  </w:style>
  <w:style w:type="paragraph" w:styleId="22">
    <w:name w:val="Date"/>
    <w:basedOn w:val="1"/>
    <w:next w:val="1"/>
    <w:link w:val="81"/>
    <w:unhideWhenUsed/>
    <w:qFormat/>
    <w:uiPriority w:val="0"/>
    <w:pPr>
      <w:ind w:left="100" w:leftChars="2500"/>
    </w:pPr>
  </w:style>
  <w:style w:type="paragraph" w:styleId="23">
    <w:name w:val="Body Text Indent 2"/>
    <w:basedOn w:val="1"/>
    <w:link w:val="130"/>
    <w:qFormat/>
    <w:uiPriority w:val="0"/>
    <w:pPr>
      <w:widowControl w:val="0"/>
      <w:ind w:firstLine="480" w:firstLineChars="200"/>
      <w:jc w:val="both"/>
    </w:pPr>
    <w:rPr>
      <w:rFonts w:ascii="仿宋_GB2312" w:hAnsi="Times New Roman" w:eastAsia="仿宋_GB2312"/>
      <w:kern w:val="2"/>
    </w:rPr>
  </w:style>
  <w:style w:type="paragraph" w:styleId="24">
    <w:name w:val="Balloon Text"/>
    <w:basedOn w:val="1"/>
    <w:link w:val="98"/>
    <w:unhideWhenUsed/>
    <w:qFormat/>
    <w:uiPriority w:val="0"/>
    <w:rPr>
      <w:sz w:val="18"/>
      <w:szCs w:val="18"/>
    </w:rPr>
  </w:style>
  <w:style w:type="paragraph" w:styleId="25">
    <w:name w:val="footer"/>
    <w:basedOn w:val="1"/>
    <w:link w:val="83"/>
    <w:unhideWhenUsed/>
    <w:qFormat/>
    <w:uiPriority w:val="99"/>
    <w:pPr>
      <w:tabs>
        <w:tab w:val="center" w:pos="4153"/>
        <w:tab w:val="right" w:pos="8306"/>
      </w:tabs>
      <w:snapToGrid w:val="0"/>
      <w:spacing w:line="240" w:lineRule="atLeast"/>
    </w:pPr>
    <w:rPr>
      <w:sz w:val="18"/>
      <w:szCs w:val="18"/>
    </w:rPr>
  </w:style>
  <w:style w:type="paragraph" w:styleId="26">
    <w:name w:val="header"/>
    <w:basedOn w:val="1"/>
    <w:link w:val="8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7">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8">
    <w:name w:val="toc 4"/>
    <w:basedOn w:val="1"/>
    <w:next w:val="1"/>
    <w:unhideWhenUsed/>
    <w:qFormat/>
    <w:uiPriority w:val="39"/>
    <w:pPr>
      <w:widowControl w:val="0"/>
      <w:ind w:left="1260" w:leftChars="600"/>
      <w:jc w:val="both"/>
    </w:pPr>
    <w:rPr>
      <w:rFonts w:cstheme="minorBidi"/>
      <w:kern w:val="2"/>
      <w:sz w:val="21"/>
      <w:szCs w:val="22"/>
    </w:rPr>
  </w:style>
  <w:style w:type="paragraph" w:styleId="29">
    <w:name w:val="Subtitle"/>
    <w:basedOn w:val="1"/>
    <w:next w:val="1"/>
    <w:link w:val="85"/>
    <w:qFormat/>
    <w:uiPriority w:val="11"/>
    <w:pPr>
      <w:keepNext/>
      <w:spacing w:before="50" w:beforeLines="50" w:after="50" w:afterLines="50"/>
      <w:jc w:val="center"/>
      <w:outlineLvl w:val="1"/>
    </w:pPr>
    <w:rPr>
      <w:rFonts w:ascii="Calibri" w:hAnsi="Calibri" w:eastAsia="黑体" w:cstheme="majorBidi"/>
      <w:sz w:val="32"/>
    </w:rPr>
  </w:style>
  <w:style w:type="paragraph" w:styleId="30">
    <w:name w:val="toc 6"/>
    <w:basedOn w:val="1"/>
    <w:next w:val="1"/>
    <w:unhideWhenUsed/>
    <w:qFormat/>
    <w:uiPriority w:val="39"/>
    <w:pPr>
      <w:widowControl w:val="0"/>
      <w:ind w:left="2100" w:leftChars="1000"/>
      <w:jc w:val="both"/>
    </w:pPr>
    <w:rPr>
      <w:rFonts w:cstheme="minorBidi"/>
      <w:kern w:val="2"/>
      <w:sz w:val="21"/>
      <w:szCs w:val="22"/>
    </w:rPr>
  </w:style>
  <w:style w:type="paragraph" w:styleId="31">
    <w:name w:val="Body Text Indent 3"/>
    <w:basedOn w:val="1"/>
    <w:link w:val="133"/>
    <w:qFormat/>
    <w:uiPriority w:val="0"/>
    <w:pPr>
      <w:widowControl w:val="0"/>
      <w:autoSpaceDE w:val="0"/>
      <w:autoSpaceDN w:val="0"/>
      <w:adjustRightInd w:val="0"/>
      <w:spacing w:before="120" w:line="22" w:lineRule="atLeast"/>
      <w:ind w:left="720" w:firstLine="480"/>
    </w:pPr>
    <w:rPr>
      <w:rFonts w:ascii="宋体" w:hAnsi="Times New Roman" w:eastAsia="宋体"/>
      <w:szCs w:val="20"/>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widowControl w:val="0"/>
      <w:ind w:left="3360" w:leftChars="1600"/>
      <w:jc w:val="both"/>
    </w:pPr>
    <w:rPr>
      <w:rFonts w:cstheme="minorBidi"/>
      <w:kern w:val="2"/>
      <w:sz w:val="21"/>
      <w:szCs w:val="22"/>
    </w:rPr>
  </w:style>
  <w:style w:type="paragraph" w:styleId="34">
    <w:name w:val="Normal (Web)"/>
    <w:basedOn w:val="1"/>
    <w:qFormat/>
    <w:uiPriority w:val="99"/>
    <w:pPr>
      <w:spacing w:before="100" w:beforeAutospacing="1" w:after="100" w:afterAutospacing="1"/>
    </w:pPr>
    <w:rPr>
      <w:rFonts w:ascii="宋体" w:hAnsi="宋体" w:eastAsia="宋体" w:cs="宋体"/>
    </w:rPr>
  </w:style>
  <w:style w:type="paragraph" w:styleId="35">
    <w:name w:val="index 1"/>
    <w:basedOn w:val="1"/>
    <w:next w:val="1"/>
    <w:semiHidden/>
    <w:qFormat/>
    <w:uiPriority w:val="0"/>
    <w:pPr>
      <w:widowControl w:val="0"/>
      <w:jc w:val="both"/>
    </w:pPr>
    <w:rPr>
      <w:rFonts w:ascii="Times New Roman" w:hAnsi="Times New Roman" w:eastAsia="宋体"/>
      <w:kern w:val="2"/>
      <w:sz w:val="21"/>
      <w:szCs w:val="20"/>
    </w:rPr>
  </w:style>
  <w:style w:type="paragraph" w:styleId="36">
    <w:name w:val="Title"/>
    <w:basedOn w:val="1"/>
    <w:next w:val="1"/>
    <w:link w:val="8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7">
    <w:name w:val="annotation subject"/>
    <w:basedOn w:val="16"/>
    <w:next w:val="16"/>
    <w:link w:val="106"/>
    <w:unhideWhenUsed/>
    <w:qFormat/>
    <w:uiPriority w:val="0"/>
    <w:rPr>
      <w:b/>
      <w:bCs/>
    </w:rPr>
  </w:style>
  <w:style w:type="paragraph" w:styleId="38">
    <w:name w:val="Body Text First Indent"/>
    <w:basedOn w:val="2"/>
    <w:link w:val="170"/>
    <w:semiHidden/>
    <w:unhideWhenUsed/>
    <w:qFormat/>
    <w:uiPriority w:val="99"/>
    <w:pPr>
      <w:widowControl/>
      <w:tabs>
        <w:tab w:val="clear" w:pos="567"/>
      </w:tabs>
      <w:spacing w:before="0" w:after="120" w:line="240" w:lineRule="auto"/>
      <w:ind w:firstLine="420" w:firstLineChars="100"/>
      <w:jc w:val="left"/>
    </w:pPr>
    <w:rPr>
      <w:rFonts w:asciiTheme="minorHAnsi" w:hAnsiTheme="minorHAnsi" w:eastAsiaTheme="minorEastAsia"/>
      <w:kern w:val="0"/>
    </w:rPr>
  </w:style>
  <w:style w:type="table" w:styleId="40">
    <w:name w:val="Table Grid"/>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page number"/>
    <w:qFormat/>
    <w:uiPriority w:val="0"/>
    <w:rPr>
      <w:rFonts w:ascii="Times New Roman" w:hAnsi="Times New Roman" w:eastAsia="宋体" w:cs="Times New Roman"/>
    </w:rPr>
  </w:style>
  <w:style w:type="character" w:styleId="44">
    <w:name w:val="FollowedHyperlink"/>
    <w:basedOn w:val="41"/>
    <w:unhideWhenUsed/>
    <w:qFormat/>
    <w:uiPriority w:val="0"/>
    <w:rPr>
      <w:color w:val="954F72" w:themeColor="followedHyperlink"/>
      <w:u w:val="single"/>
      <w14:textFill>
        <w14:solidFill>
          <w14:schemeClr w14:val="folHlink"/>
        </w14:solidFill>
      </w14:textFill>
    </w:rPr>
  </w:style>
  <w:style w:type="character" w:styleId="45">
    <w:name w:val="Emphasis"/>
    <w:basedOn w:val="41"/>
    <w:qFormat/>
    <w:uiPriority w:val="20"/>
    <w:rPr>
      <w:rFonts w:asciiTheme="minorHAnsi" w:hAnsiTheme="minorHAnsi"/>
      <w:b/>
      <w:i/>
      <w:iCs/>
    </w:rPr>
  </w:style>
  <w:style w:type="character" w:styleId="46">
    <w:name w:val="HTML Definition"/>
    <w:qFormat/>
    <w:uiPriority w:val="0"/>
    <w:rPr>
      <w:i/>
      <w:iCs/>
    </w:rPr>
  </w:style>
  <w:style w:type="character" w:styleId="47">
    <w:name w:val="Hyperlink"/>
    <w:basedOn w:val="41"/>
    <w:unhideWhenUsed/>
    <w:qFormat/>
    <w:uiPriority w:val="99"/>
    <w:rPr>
      <w:color w:val="0563C1" w:themeColor="hyperlink"/>
      <w:u w:val="single"/>
      <w14:textFill>
        <w14:solidFill>
          <w14:schemeClr w14:val="hlink"/>
        </w14:solidFill>
      </w14:textFill>
    </w:rPr>
  </w:style>
  <w:style w:type="character" w:styleId="48">
    <w:name w:val="HTML Code"/>
    <w:qFormat/>
    <w:uiPriority w:val="0"/>
    <w:rPr>
      <w:rFonts w:hint="default" w:ascii="Consolas" w:hAnsi="Consolas" w:eastAsia="Consolas" w:cs="Consolas"/>
      <w:color w:val="C7254E"/>
      <w:sz w:val="21"/>
      <w:szCs w:val="21"/>
      <w:shd w:val="clear" w:color="auto" w:fill="F9F2F4"/>
    </w:rPr>
  </w:style>
  <w:style w:type="character" w:styleId="49">
    <w:name w:val="annotation reference"/>
    <w:basedOn w:val="41"/>
    <w:unhideWhenUsed/>
    <w:qFormat/>
    <w:uiPriority w:val="99"/>
    <w:rPr>
      <w:sz w:val="21"/>
      <w:szCs w:val="21"/>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ascii="Consolas" w:hAnsi="Consolas" w:eastAsia="Consolas" w:cs="Consolas"/>
      <w:sz w:val="21"/>
      <w:szCs w:val="21"/>
    </w:rPr>
  </w:style>
  <w:style w:type="character" w:customStyle="1" w:styleId="52">
    <w:name w:val="标题 1 Char"/>
    <w:basedOn w:val="41"/>
    <w:link w:val="3"/>
    <w:qFormat/>
    <w:uiPriority w:val="9"/>
    <w:rPr>
      <w:rFonts w:ascii="方正小标宋_GBK" w:hAnsi="仿宋" w:eastAsia="方正小标宋_GBK"/>
      <w:sz w:val="44"/>
      <w:szCs w:val="44"/>
    </w:rPr>
  </w:style>
  <w:style w:type="character" w:customStyle="1" w:styleId="53">
    <w:name w:val="标题 2 Char"/>
    <w:basedOn w:val="41"/>
    <w:link w:val="4"/>
    <w:qFormat/>
    <w:uiPriority w:val="9"/>
    <w:rPr>
      <w:rFonts w:ascii="楷体" w:hAnsi="楷体" w:eastAsia="黑体"/>
      <w:sz w:val="32"/>
      <w:szCs w:val="32"/>
    </w:rPr>
  </w:style>
  <w:style w:type="character" w:customStyle="1" w:styleId="54">
    <w:name w:val="标题 3 Char"/>
    <w:basedOn w:val="41"/>
    <w:link w:val="5"/>
    <w:qFormat/>
    <w:uiPriority w:val="9"/>
    <w:rPr>
      <w:rFonts w:ascii="方正小标宋_GBK" w:hAnsi="仿宋" w:eastAsia="方正小标宋_GBK"/>
      <w:sz w:val="36"/>
      <w:szCs w:val="36"/>
    </w:rPr>
  </w:style>
  <w:style w:type="character" w:customStyle="1" w:styleId="55">
    <w:name w:val="标题 4 Char"/>
    <w:basedOn w:val="41"/>
    <w:link w:val="6"/>
    <w:semiHidden/>
    <w:qFormat/>
    <w:uiPriority w:val="0"/>
    <w:rPr>
      <w:rFonts w:cstheme="majorBidi"/>
      <w:b/>
      <w:bCs/>
      <w:sz w:val="28"/>
      <w:szCs w:val="28"/>
    </w:rPr>
  </w:style>
  <w:style w:type="character" w:customStyle="1" w:styleId="56">
    <w:name w:val="标题 5 Char"/>
    <w:basedOn w:val="41"/>
    <w:link w:val="7"/>
    <w:semiHidden/>
    <w:qFormat/>
    <w:uiPriority w:val="9"/>
    <w:rPr>
      <w:b/>
      <w:bCs/>
      <w:i/>
      <w:iCs/>
      <w:sz w:val="26"/>
      <w:szCs w:val="26"/>
    </w:rPr>
  </w:style>
  <w:style w:type="character" w:customStyle="1" w:styleId="57">
    <w:name w:val="标题 6 Char"/>
    <w:basedOn w:val="41"/>
    <w:link w:val="8"/>
    <w:semiHidden/>
    <w:qFormat/>
    <w:uiPriority w:val="0"/>
    <w:rPr>
      <w:rFonts w:cstheme="majorBidi"/>
      <w:b/>
      <w:bCs/>
    </w:rPr>
  </w:style>
  <w:style w:type="character" w:customStyle="1" w:styleId="58">
    <w:name w:val="标题 7 Char"/>
    <w:basedOn w:val="41"/>
    <w:link w:val="9"/>
    <w:semiHidden/>
    <w:qFormat/>
    <w:uiPriority w:val="9"/>
    <w:rPr>
      <w:sz w:val="24"/>
      <w:szCs w:val="24"/>
    </w:rPr>
  </w:style>
  <w:style w:type="character" w:customStyle="1" w:styleId="59">
    <w:name w:val="标题 8 Char"/>
    <w:basedOn w:val="41"/>
    <w:link w:val="10"/>
    <w:semiHidden/>
    <w:qFormat/>
    <w:uiPriority w:val="9"/>
    <w:rPr>
      <w:rFonts w:cstheme="majorBidi"/>
      <w:i/>
      <w:iCs/>
      <w:sz w:val="24"/>
      <w:szCs w:val="24"/>
    </w:rPr>
  </w:style>
  <w:style w:type="character" w:customStyle="1" w:styleId="60">
    <w:name w:val="标题 9 Char"/>
    <w:basedOn w:val="41"/>
    <w:link w:val="11"/>
    <w:semiHidden/>
    <w:qFormat/>
    <w:uiPriority w:val="9"/>
    <w:rPr>
      <w:rFonts w:asciiTheme="majorHAnsi" w:hAnsiTheme="majorHAnsi" w:eastAsiaTheme="majorEastAsia" w:cstheme="majorBidi"/>
    </w:rPr>
  </w:style>
  <w:style w:type="paragraph" w:customStyle="1" w:styleId="61">
    <w:name w:val="※封面大标题"/>
    <w:basedOn w:val="1"/>
    <w:next w:val="1"/>
    <w:qFormat/>
    <w:uiPriority w:val="0"/>
    <w:pPr>
      <w:jc w:val="center"/>
    </w:pPr>
    <w:rPr>
      <w:rFonts w:ascii="华文中宋" w:hAnsi="华文中宋" w:eastAsia="华文中宋"/>
      <w:sz w:val="96"/>
      <w:szCs w:val="96"/>
    </w:rPr>
  </w:style>
  <w:style w:type="paragraph" w:customStyle="1" w:styleId="62">
    <w:name w:val="※封面题颌"/>
    <w:basedOn w:val="1"/>
    <w:next w:val="1"/>
    <w:qFormat/>
    <w:uiPriority w:val="0"/>
    <w:pPr>
      <w:jc w:val="center"/>
    </w:pPr>
    <w:rPr>
      <w:rFonts w:ascii="Calibri Light" w:hAnsi="Calibri Light" w:eastAsia="华文仿宋"/>
      <w:sz w:val="36"/>
      <w:szCs w:val="36"/>
    </w:rPr>
  </w:style>
  <w:style w:type="paragraph" w:customStyle="1" w:styleId="63">
    <w:name w:val="※封面题眉"/>
    <w:basedOn w:val="1"/>
    <w:next w:val="61"/>
    <w:qFormat/>
    <w:uiPriority w:val="0"/>
    <w:pPr>
      <w:jc w:val="center"/>
    </w:pPr>
    <w:rPr>
      <w:rFonts w:ascii="华文仿宋" w:hAnsi="华文仿宋" w:eastAsia="华文仿宋"/>
      <w:sz w:val="52"/>
      <w:szCs w:val="28"/>
    </w:rPr>
  </w:style>
  <w:style w:type="paragraph" w:customStyle="1" w:styleId="6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6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6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9">
    <w:name w:val="※小标题 一"/>
    <w:basedOn w:val="68"/>
    <w:next w:val="68"/>
    <w:qFormat/>
    <w:uiPriority w:val="0"/>
    <w:pPr>
      <w:spacing w:before="120" w:line="240" w:lineRule="auto"/>
      <w:outlineLvl w:val="2"/>
    </w:pPr>
    <w:rPr>
      <w:b/>
      <w:color w:val="203864" w:themeColor="accent5" w:themeShade="80"/>
      <w:sz w:val="32"/>
    </w:rPr>
  </w:style>
  <w:style w:type="paragraph" w:customStyle="1" w:styleId="70">
    <w:name w:val="※小标题（1）"/>
    <w:basedOn w:val="1"/>
    <w:next w:val="6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71">
    <w:name w:val="※小标题（一）"/>
    <w:basedOn w:val="1"/>
    <w:next w:val="6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7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7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74">
    <w:name w:val="※页眉"/>
    <w:basedOn w:val="68"/>
    <w:qFormat/>
    <w:uiPriority w:val="0"/>
    <w:pPr>
      <w:pBdr>
        <w:bottom w:val="single" w:color="auto" w:sz="4" w:space="1"/>
      </w:pBdr>
      <w:spacing w:line="240" w:lineRule="atLeast"/>
      <w:jc w:val="right"/>
    </w:pPr>
    <w:rPr>
      <w:rFonts w:ascii="宋体" w:hAnsi="宋体" w:eastAsia="宋体"/>
      <w:sz w:val="18"/>
    </w:rPr>
  </w:style>
  <w:style w:type="paragraph" w:customStyle="1" w:styleId="75">
    <w:name w:val="※章节标题（第X章）"/>
    <w:basedOn w:val="1"/>
    <w:qFormat/>
    <w:uiPriority w:val="0"/>
    <w:pPr>
      <w:jc w:val="center"/>
      <w:outlineLvl w:val="0"/>
    </w:pPr>
    <w:rPr>
      <w:rFonts w:ascii="Calibri Light" w:hAnsi="Calibri Light" w:eastAsia="黑体"/>
      <w:sz w:val="36"/>
      <w:szCs w:val="28"/>
    </w:rPr>
  </w:style>
  <w:style w:type="paragraph" w:customStyle="1" w:styleId="7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77">
    <w:name w:val="※章节标题（第Z部分分项）"/>
    <w:basedOn w:val="76"/>
    <w:qFormat/>
    <w:uiPriority w:val="0"/>
    <w:pPr>
      <w:outlineLvl w:val="2"/>
    </w:pPr>
  </w:style>
  <w:style w:type="paragraph" w:customStyle="1" w:styleId="7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9">
    <w:name w:val="※正文（缩进2）"/>
    <w:basedOn w:val="68"/>
    <w:qFormat/>
    <w:uiPriority w:val="0"/>
    <w:pPr>
      <w:ind w:firstLine="200" w:firstLineChars="200"/>
    </w:pPr>
  </w:style>
  <w:style w:type="paragraph" w:customStyle="1" w:styleId="80">
    <w:name w:val="※正文（缩进4）"/>
    <w:basedOn w:val="68"/>
    <w:qFormat/>
    <w:uiPriority w:val="0"/>
    <w:pPr>
      <w:ind w:firstLine="400" w:firstLineChars="400"/>
    </w:pPr>
  </w:style>
  <w:style w:type="character" w:customStyle="1" w:styleId="81">
    <w:name w:val="日期 Char"/>
    <w:basedOn w:val="41"/>
    <w:link w:val="22"/>
    <w:semiHidden/>
    <w:qFormat/>
    <w:uiPriority w:val="99"/>
    <w:rPr>
      <w:rFonts w:ascii="华文仿宋" w:hAnsi="华文仿宋" w:eastAsia="华文仿宋"/>
      <w:sz w:val="28"/>
      <w:szCs w:val="28"/>
    </w:rPr>
  </w:style>
  <w:style w:type="character" w:customStyle="1" w:styleId="82">
    <w:name w:val="页眉 Char"/>
    <w:basedOn w:val="41"/>
    <w:link w:val="26"/>
    <w:qFormat/>
    <w:uiPriority w:val="0"/>
    <w:rPr>
      <w:rFonts w:ascii="华文仿宋" w:hAnsi="华文仿宋" w:eastAsia="华文仿宋"/>
      <w:sz w:val="18"/>
      <w:szCs w:val="18"/>
    </w:rPr>
  </w:style>
  <w:style w:type="character" w:customStyle="1" w:styleId="83">
    <w:name w:val="页脚 Char"/>
    <w:basedOn w:val="41"/>
    <w:link w:val="25"/>
    <w:qFormat/>
    <w:uiPriority w:val="99"/>
    <w:rPr>
      <w:rFonts w:ascii="华文仿宋" w:hAnsi="华文仿宋" w:eastAsia="华文仿宋"/>
      <w:sz w:val="18"/>
      <w:szCs w:val="18"/>
    </w:rPr>
  </w:style>
  <w:style w:type="character" w:customStyle="1" w:styleId="84">
    <w:name w:val="标题 Char"/>
    <w:basedOn w:val="41"/>
    <w:link w:val="36"/>
    <w:qFormat/>
    <w:uiPriority w:val="10"/>
    <w:rPr>
      <w:rFonts w:asciiTheme="majorHAnsi" w:hAnsiTheme="majorHAnsi" w:eastAsiaTheme="majorEastAsia" w:cstheme="majorBidi"/>
      <w:b/>
      <w:bCs/>
      <w:kern w:val="28"/>
      <w:sz w:val="32"/>
      <w:szCs w:val="32"/>
    </w:rPr>
  </w:style>
  <w:style w:type="character" w:customStyle="1" w:styleId="85">
    <w:name w:val="副标题 Char"/>
    <w:basedOn w:val="41"/>
    <w:link w:val="29"/>
    <w:qFormat/>
    <w:uiPriority w:val="11"/>
    <w:rPr>
      <w:rFonts w:ascii="Calibri" w:hAnsi="Calibri" w:eastAsia="黑体" w:cstheme="majorBidi"/>
      <w:sz w:val="32"/>
      <w:szCs w:val="24"/>
    </w:rPr>
  </w:style>
  <w:style w:type="paragraph" w:styleId="86">
    <w:name w:val="No Spacing"/>
    <w:basedOn w:val="1"/>
    <w:qFormat/>
    <w:uiPriority w:val="1"/>
    <w:rPr>
      <w:szCs w:val="32"/>
    </w:rPr>
  </w:style>
  <w:style w:type="paragraph" w:styleId="87">
    <w:name w:val="List Paragraph"/>
    <w:basedOn w:val="1"/>
    <w:qFormat/>
    <w:uiPriority w:val="0"/>
    <w:pPr>
      <w:ind w:left="720"/>
      <w:contextualSpacing/>
    </w:pPr>
  </w:style>
  <w:style w:type="paragraph" w:styleId="88">
    <w:name w:val="Quote"/>
    <w:basedOn w:val="1"/>
    <w:next w:val="1"/>
    <w:link w:val="89"/>
    <w:qFormat/>
    <w:uiPriority w:val="29"/>
    <w:rPr>
      <w:i/>
    </w:rPr>
  </w:style>
  <w:style w:type="character" w:customStyle="1" w:styleId="89">
    <w:name w:val="引用 Char"/>
    <w:basedOn w:val="41"/>
    <w:link w:val="88"/>
    <w:qFormat/>
    <w:uiPriority w:val="29"/>
    <w:rPr>
      <w:i/>
      <w:sz w:val="24"/>
      <w:szCs w:val="24"/>
    </w:rPr>
  </w:style>
  <w:style w:type="paragraph" w:styleId="90">
    <w:name w:val="Intense Quote"/>
    <w:basedOn w:val="1"/>
    <w:next w:val="1"/>
    <w:link w:val="91"/>
    <w:qFormat/>
    <w:uiPriority w:val="30"/>
    <w:pPr>
      <w:ind w:left="720" w:right="720"/>
    </w:pPr>
    <w:rPr>
      <w:b/>
      <w:i/>
      <w:szCs w:val="22"/>
    </w:rPr>
  </w:style>
  <w:style w:type="character" w:customStyle="1" w:styleId="91">
    <w:name w:val="明显引用 Char"/>
    <w:basedOn w:val="41"/>
    <w:link w:val="90"/>
    <w:qFormat/>
    <w:uiPriority w:val="30"/>
    <w:rPr>
      <w:b/>
      <w:i/>
      <w:sz w:val="24"/>
    </w:rPr>
  </w:style>
  <w:style w:type="character" w:customStyle="1" w:styleId="92">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3">
    <w:name w:val="明显强调1"/>
    <w:basedOn w:val="41"/>
    <w:qFormat/>
    <w:uiPriority w:val="21"/>
    <w:rPr>
      <w:b/>
      <w:i/>
      <w:sz w:val="24"/>
      <w:szCs w:val="24"/>
      <w:u w:val="single"/>
    </w:rPr>
  </w:style>
  <w:style w:type="character" w:customStyle="1" w:styleId="94">
    <w:name w:val="不明显参考1"/>
    <w:basedOn w:val="41"/>
    <w:qFormat/>
    <w:uiPriority w:val="31"/>
    <w:rPr>
      <w:sz w:val="24"/>
      <w:szCs w:val="24"/>
      <w:u w:val="single"/>
    </w:rPr>
  </w:style>
  <w:style w:type="character" w:customStyle="1" w:styleId="95">
    <w:name w:val="明显参考1"/>
    <w:basedOn w:val="41"/>
    <w:qFormat/>
    <w:uiPriority w:val="32"/>
    <w:rPr>
      <w:b/>
      <w:sz w:val="24"/>
      <w:u w:val="single"/>
    </w:rPr>
  </w:style>
  <w:style w:type="character" w:customStyle="1" w:styleId="96">
    <w:name w:val="书籍标题1"/>
    <w:basedOn w:val="41"/>
    <w:qFormat/>
    <w:uiPriority w:val="33"/>
    <w:rPr>
      <w:rFonts w:asciiTheme="majorHAnsi" w:hAnsiTheme="majorHAnsi" w:eastAsiaTheme="majorEastAsia"/>
      <w:b/>
      <w:i/>
      <w:sz w:val="24"/>
      <w:szCs w:val="24"/>
    </w:rPr>
  </w:style>
  <w:style w:type="paragraph" w:customStyle="1" w:styleId="97">
    <w:name w:val="TOC 标题1"/>
    <w:basedOn w:val="3"/>
    <w:next w:val="1"/>
    <w:unhideWhenUsed/>
    <w:qFormat/>
    <w:uiPriority w:val="39"/>
    <w:pPr>
      <w:outlineLvl w:val="9"/>
    </w:pPr>
  </w:style>
  <w:style w:type="character" w:customStyle="1" w:styleId="98">
    <w:name w:val="批注框文本 Char"/>
    <w:basedOn w:val="41"/>
    <w:link w:val="24"/>
    <w:semiHidden/>
    <w:qFormat/>
    <w:uiPriority w:val="99"/>
    <w:rPr>
      <w:sz w:val="18"/>
      <w:szCs w:val="18"/>
    </w:rPr>
  </w:style>
  <w:style w:type="character" w:customStyle="1" w:styleId="99">
    <w:name w:val="批注文字 Char"/>
    <w:basedOn w:val="41"/>
    <w:link w:val="16"/>
    <w:qFormat/>
    <w:uiPriority w:val="99"/>
    <w:rPr>
      <w:rFonts w:ascii="Calibri Light" w:hAnsi="Calibri Light" w:eastAsia="华文仿宋" w:cs="Calibri Light"/>
      <w:kern w:val="2"/>
      <w:sz w:val="28"/>
      <w:szCs w:val="28"/>
    </w:rPr>
  </w:style>
  <w:style w:type="paragraph" w:customStyle="1" w:styleId="100">
    <w:name w:val="@正文"/>
    <w:basedOn w:val="6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1">
    <w:name w:val="@一级小标题"/>
    <w:basedOn w:val="1"/>
    <w:next w:val="100"/>
    <w:qFormat/>
    <w:uiPriority w:val="0"/>
    <w:pPr>
      <w:keepNext/>
      <w:spacing w:before="120" w:after="60"/>
      <w:outlineLvl w:val="2"/>
    </w:pPr>
    <w:rPr>
      <w:rFonts w:ascii="Calibri" w:hAnsi="Calibri" w:eastAsia="黑体"/>
      <w:kern w:val="28"/>
      <w:sz w:val="28"/>
    </w:rPr>
  </w:style>
  <w:style w:type="paragraph" w:customStyle="1" w:styleId="102">
    <w:name w:val="@标题"/>
    <w:basedOn w:val="1"/>
    <w:next w:val="100"/>
    <w:qFormat/>
    <w:uiPriority w:val="0"/>
    <w:pPr>
      <w:keepNext/>
      <w:spacing w:before="50" w:beforeLines="50" w:after="50" w:afterLines="50"/>
      <w:jc w:val="center"/>
      <w:outlineLvl w:val="1"/>
    </w:pPr>
    <w:rPr>
      <w:rFonts w:ascii="Calibri" w:hAnsi="Calibri" w:eastAsia="黑体"/>
      <w:kern w:val="32"/>
      <w:sz w:val="32"/>
    </w:rPr>
  </w:style>
  <w:style w:type="table" w:customStyle="1" w:styleId="103">
    <w:name w:val="网格型1"/>
    <w:basedOn w:val="39"/>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4">
    <w:name w:val="页眉 Char1"/>
    <w:basedOn w:val="41"/>
    <w:semiHidden/>
    <w:qFormat/>
    <w:uiPriority w:val="99"/>
    <w:rPr>
      <w:rFonts w:cs="Calibri Light"/>
      <w:sz w:val="18"/>
      <w:szCs w:val="18"/>
    </w:rPr>
  </w:style>
  <w:style w:type="character" w:customStyle="1" w:styleId="105">
    <w:name w:val="页脚 Char1"/>
    <w:basedOn w:val="41"/>
    <w:semiHidden/>
    <w:qFormat/>
    <w:uiPriority w:val="99"/>
    <w:rPr>
      <w:rFonts w:cs="Calibri Light"/>
      <w:sz w:val="18"/>
      <w:szCs w:val="18"/>
    </w:rPr>
  </w:style>
  <w:style w:type="character" w:customStyle="1" w:styleId="106">
    <w:name w:val="批注主题 Char"/>
    <w:basedOn w:val="99"/>
    <w:link w:val="37"/>
    <w:semiHidden/>
    <w:qFormat/>
    <w:uiPriority w:val="99"/>
    <w:rPr>
      <w:rFonts w:ascii="Calibri Light" w:hAnsi="Calibri Light" w:eastAsia="华文仿宋" w:cs="Calibri Light"/>
      <w:b/>
      <w:bCs/>
      <w:kern w:val="2"/>
      <w:sz w:val="28"/>
      <w:szCs w:val="28"/>
    </w:rPr>
  </w:style>
  <w:style w:type="character" w:customStyle="1" w:styleId="107">
    <w:name w:val="文档结构图 Char"/>
    <w:basedOn w:val="41"/>
    <w:link w:val="15"/>
    <w:semiHidden/>
    <w:qFormat/>
    <w:uiPriority w:val="99"/>
    <w:rPr>
      <w:rFonts w:ascii="宋体" w:hAnsi="Calibri Light" w:eastAsia="宋体" w:cs="Calibri Light"/>
      <w:kern w:val="2"/>
      <w:sz w:val="18"/>
      <w:szCs w:val="18"/>
    </w:rPr>
  </w:style>
  <w:style w:type="character" w:styleId="108">
    <w:name w:val="Placeholder Text"/>
    <w:basedOn w:val="41"/>
    <w:semiHidden/>
    <w:qFormat/>
    <w:uiPriority w:val="99"/>
    <w:rPr>
      <w:color w:val="808080"/>
    </w:rPr>
  </w:style>
  <w:style w:type="character" w:customStyle="1" w:styleId="109">
    <w:name w:val="Unresolved Mention"/>
    <w:basedOn w:val="41"/>
    <w:semiHidden/>
    <w:unhideWhenUsed/>
    <w:qFormat/>
    <w:uiPriority w:val="99"/>
    <w:rPr>
      <w:color w:val="605E5C"/>
      <w:shd w:val="clear" w:color="auto" w:fill="E1DFDD"/>
    </w:rPr>
  </w:style>
  <w:style w:type="paragraph" w:customStyle="1" w:styleId="110">
    <w:name w:val="样式1"/>
    <w:basedOn w:val="5"/>
    <w:link w:val="111"/>
    <w:qFormat/>
    <w:uiPriority w:val="0"/>
    <w:pPr>
      <w:jc w:val="left"/>
    </w:pPr>
    <w:rPr>
      <w:rFonts w:eastAsia="楷体"/>
      <w:sz w:val="32"/>
    </w:rPr>
  </w:style>
  <w:style w:type="character" w:customStyle="1" w:styleId="111">
    <w:name w:val="样式1 字符"/>
    <w:basedOn w:val="53"/>
    <w:link w:val="110"/>
    <w:qFormat/>
    <w:uiPriority w:val="0"/>
    <w:rPr>
      <w:rFonts w:ascii="方正小标宋_GBK" w:hAnsi="仿宋" w:eastAsia="楷体"/>
      <w:sz w:val="32"/>
      <w:szCs w:val="36"/>
    </w:rPr>
  </w:style>
  <w:style w:type="paragraph" w:customStyle="1" w:styleId="112">
    <w:name w:val="样式2"/>
    <w:basedOn w:val="102"/>
    <w:link w:val="113"/>
    <w:qFormat/>
    <w:uiPriority w:val="0"/>
    <w:pPr>
      <w:spacing w:line="560" w:lineRule="exact"/>
      <w:ind w:firstLine="643" w:firstLineChars="200"/>
      <w:jc w:val="both"/>
    </w:pPr>
    <w:rPr>
      <w:rFonts w:ascii="仿宋_GB2312" w:hAnsi="仿宋" w:eastAsia="仿宋_GB2312"/>
      <w:b/>
      <w:bCs/>
      <w:szCs w:val="32"/>
    </w:rPr>
  </w:style>
  <w:style w:type="character" w:customStyle="1" w:styleId="113">
    <w:name w:val="样式2 字符"/>
    <w:basedOn w:val="41"/>
    <w:link w:val="112"/>
    <w:qFormat/>
    <w:uiPriority w:val="0"/>
    <w:rPr>
      <w:rFonts w:ascii="仿宋_GB2312" w:hAnsi="仿宋" w:eastAsia="仿宋_GB2312"/>
      <w:b/>
      <w:bCs/>
      <w:kern w:val="32"/>
      <w:sz w:val="32"/>
      <w:szCs w:val="32"/>
    </w:rPr>
  </w:style>
  <w:style w:type="paragraph" w:customStyle="1" w:styleId="114">
    <w:name w:val="样式3"/>
    <w:basedOn w:val="1"/>
    <w:link w:val="115"/>
    <w:qFormat/>
    <w:uiPriority w:val="0"/>
    <w:pPr>
      <w:spacing w:line="560" w:lineRule="exact"/>
      <w:jc w:val="center"/>
    </w:pPr>
    <w:rPr>
      <w:rFonts w:ascii="方正小标宋_GBK" w:hAnsi="仿宋" w:eastAsia="方正小标宋_GBK"/>
      <w:sz w:val="36"/>
      <w:szCs w:val="36"/>
    </w:rPr>
  </w:style>
  <w:style w:type="character" w:customStyle="1" w:styleId="115">
    <w:name w:val="样式3 字符"/>
    <w:basedOn w:val="41"/>
    <w:link w:val="114"/>
    <w:qFormat/>
    <w:uiPriority w:val="0"/>
    <w:rPr>
      <w:rFonts w:ascii="方正小标宋_GBK" w:hAnsi="仿宋" w:eastAsia="方正小标宋_GBK"/>
      <w:sz w:val="36"/>
      <w:szCs w:val="36"/>
    </w:rPr>
  </w:style>
  <w:style w:type="character" w:customStyle="1" w:styleId="116">
    <w:name w:val="页脚 字符"/>
    <w:qFormat/>
    <w:uiPriority w:val="99"/>
    <w:rPr>
      <w:rFonts w:ascii="宋体"/>
      <w:sz w:val="18"/>
    </w:rPr>
  </w:style>
  <w:style w:type="character" w:customStyle="1" w:styleId="117">
    <w:name w:val="标题 1 字符"/>
    <w:qFormat/>
    <w:uiPriority w:val="0"/>
    <w:rPr>
      <w:rFonts w:ascii="宋体"/>
      <w:b/>
      <w:kern w:val="44"/>
      <w:sz w:val="32"/>
    </w:rPr>
  </w:style>
  <w:style w:type="character" w:customStyle="1" w:styleId="118">
    <w:name w:val="标题 2 字符1"/>
    <w:qFormat/>
    <w:uiPriority w:val="0"/>
    <w:rPr>
      <w:rFonts w:ascii="Arial" w:hAnsi="Arial" w:eastAsia="黑体"/>
      <w:b/>
      <w:sz w:val="30"/>
    </w:rPr>
  </w:style>
  <w:style w:type="character" w:customStyle="1" w:styleId="119">
    <w:name w:val="正文缩进 Char"/>
    <w:link w:val="13"/>
    <w:qFormat/>
    <w:uiPriority w:val="0"/>
    <w:rPr>
      <w:rFonts w:ascii="宋体" w:hAnsi="Times New Roman" w:eastAsia="宋体"/>
      <w:sz w:val="24"/>
      <w:szCs w:val="20"/>
    </w:rPr>
  </w:style>
  <w:style w:type="character" w:customStyle="1" w:styleId="120">
    <w:name w:val="标题 3 字符1"/>
    <w:qFormat/>
    <w:uiPriority w:val="0"/>
    <w:rPr>
      <w:rFonts w:ascii="宋体"/>
      <w:b/>
      <w:sz w:val="24"/>
      <w:u w:val="single"/>
    </w:rPr>
  </w:style>
  <w:style w:type="paragraph" w:customStyle="1" w:styleId="121">
    <w:name w:val="_Style 100"/>
    <w:basedOn w:val="1"/>
    <w:next w:val="87"/>
    <w:qFormat/>
    <w:uiPriority w:val="34"/>
    <w:pPr>
      <w:ind w:firstLine="420" w:firstLineChars="200"/>
    </w:pPr>
    <w:rPr>
      <w:rFonts w:ascii="Times New Roman" w:hAnsi="Times New Roman" w:eastAsia="宋体"/>
    </w:rPr>
  </w:style>
  <w:style w:type="character" w:customStyle="1" w:styleId="122">
    <w:name w:val="文档结构图 字符"/>
    <w:qFormat/>
    <w:uiPriority w:val="0"/>
    <w:rPr>
      <w:rFonts w:ascii="宋体"/>
      <w:kern w:val="2"/>
      <w:sz w:val="18"/>
      <w:szCs w:val="18"/>
    </w:rPr>
  </w:style>
  <w:style w:type="character" w:customStyle="1" w:styleId="123">
    <w:name w:val="批注文字 字符"/>
    <w:qFormat/>
    <w:uiPriority w:val="99"/>
    <w:rPr>
      <w:kern w:val="2"/>
      <w:sz w:val="21"/>
      <w:szCs w:val="24"/>
    </w:rPr>
  </w:style>
  <w:style w:type="character" w:customStyle="1" w:styleId="124">
    <w:name w:val="正文文本 Char1"/>
    <w:link w:val="2"/>
    <w:qFormat/>
    <w:uiPriority w:val="0"/>
    <w:rPr>
      <w:rFonts w:ascii="宋体" w:hAnsi="宋体" w:eastAsia="宋体"/>
      <w:kern w:val="2"/>
      <w:sz w:val="24"/>
      <w:szCs w:val="24"/>
    </w:rPr>
  </w:style>
  <w:style w:type="character" w:customStyle="1" w:styleId="125">
    <w:name w:val="正文文本 Char"/>
    <w:basedOn w:val="41"/>
    <w:semiHidden/>
    <w:qFormat/>
    <w:uiPriority w:val="99"/>
    <w:rPr>
      <w:sz w:val="24"/>
      <w:szCs w:val="24"/>
    </w:rPr>
  </w:style>
  <w:style w:type="character" w:customStyle="1" w:styleId="126">
    <w:name w:val="正文文本缩进 Char"/>
    <w:basedOn w:val="41"/>
    <w:link w:val="17"/>
    <w:qFormat/>
    <w:uiPriority w:val="0"/>
    <w:rPr>
      <w:rFonts w:ascii="Times New Roman" w:hAnsi="Times New Roman" w:eastAsia="宋体"/>
      <w:kern w:val="2"/>
      <w:sz w:val="24"/>
      <w:szCs w:val="24"/>
    </w:rPr>
  </w:style>
  <w:style w:type="character" w:customStyle="1" w:styleId="127">
    <w:name w:val="纯文本 Char2"/>
    <w:link w:val="20"/>
    <w:qFormat/>
    <w:uiPriority w:val="0"/>
    <w:rPr>
      <w:rFonts w:ascii="宋体" w:hAnsi="Courier New" w:eastAsia="宋体"/>
      <w:kern w:val="2"/>
      <w:sz w:val="21"/>
      <w:szCs w:val="20"/>
    </w:rPr>
  </w:style>
  <w:style w:type="character" w:customStyle="1" w:styleId="128">
    <w:name w:val="纯文本 Char"/>
    <w:basedOn w:val="41"/>
    <w:qFormat/>
    <w:uiPriority w:val="0"/>
    <w:rPr>
      <w:rFonts w:ascii="宋体" w:hAnsi="Courier New" w:eastAsia="宋体" w:cs="Courier New"/>
      <w:sz w:val="21"/>
      <w:szCs w:val="21"/>
    </w:rPr>
  </w:style>
  <w:style w:type="character" w:customStyle="1" w:styleId="129">
    <w:name w:val="日期 字符"/>
    <w:qFormat/>
    <w:uiPriority w:val="0"/>
    <w:rPr>
      <w:rFonts w:ascii="仿宋_GB2312" w:hAnsi="宋体" w:eastAsia="仿宋_GB2312"/>
      <w:color w:val="000000"/>
      <w:kern w:val="2"/>
      <w:sz w:val="24"/>
      <w:szCs w:val="24"/>
    </w:rPr>
  </w:style>
  <w:style w:type="character" w:customStyle="1" w:styleId="130">
    <w:name w:val="正文文本缩进 2 Char"/>
    <w:basedOn w:val="41"/>
    <w:link w:val="23"/>
    <w:qFormat/>
    <w:uiPriority w:val="0"/>
    <w:rPr>
      <w:rFonts w:ascii="仿宋_GB2312" w:hAnsi="Times New Roman" w:eastAsia="仿宋_GB2312"/>
      <w:kern w:val="2"/>
      <w:sz w:val="24"/>
      <w:szCs w:val="24"/>
    </w:rPr>
  </w:style>
  <w:style w:type="character" w:customStyle="1" w:styleId="131">
    <w:name w:val="批注框文本 字符"/>
    <w:qFormat/>
    <w:uiPriority w:val="0"/>
    <w:rPr>
      <w:kern w:val="2"/>
      <w:sz w:val="18"/>
      <w:szCs w:val="18"/>
    </w:rPr>
  </w:style>
  <w:style w:type="character" w:customStyle="1" w:styleId="132">
    <w:name w:val="页眉 字符"/>
    <w:qFormat/>
    <w:uiPriority w:val="0"/>
    <w:rPr>
      <w:kern w:val="2"/>
      <w:sz w:val="18"/>
      <w:szCs w:val="18"/>
    </w:rPr>
  </w:style>
  <w:style w:type="character" w:customStyle="1" w:styleId="133">
    <w:name w:val="正文文本缩进 3 Char"/>
    <w:basedOn w:val="41"/>
    <w:link w:val="31"/>
    <w:qFormat/>
    <w:uiPriority w:val="0"/>
    <w:rPr>
      <w:rFonts w:ascii="宋体" w:hAnsi="Times New Roman" w:eastAsia="宋体"/>
      <w:sz w:val="24"/>
      <w:szCs w:val="20"/>
    </w:rPr>
  </w:style>
  <w:style w:type="character" w:customStyle="1" w:styleId="134">
    <w:name w:val="批注主题 字符"/>
    <w:qFormat/>
    <w:uiPriority w:val="0"/>
    <w:rPr>
      <w:b/>
      <w:bCs/>
      <w:kern w:val="2"/>
      <w:sz w:val="21"/>
      <w:szCs w:val="24"/>
    </w:rPr>
  </w:style>
  <w:style w:type="character" w:customStyle="1" w:styleId="135">
    <w:name w:val="纯文本 字符"/>
    <w:qFormat/>
    <w:uiPriority w:val="0"/>
    <w:rPr>
      <w:rFonts w:ascii="宋体" w:hAnsi="Courier New"/>
      <w:kern w:val="2"/>
      <w:sz w:val="21"/>
    </w:rPr>
  </w:style>
  <w:style w:type="character" w:customStyle="1" w:styleId="136">
    <w:name w:val="正文文本 字符"/>
    <w:qFormat/>
    <w:uiPriority w:val="0"/>
    <w:rPr>
      <w:rFonts w:ascii="宋体" w:hAnsi="宋体"/>
      <w:kern w:val="2"/>
      <w:sz w:val="24"/>
      <w:szCs w:val="24"/>
    </w:rPr>
  </w:style>
  <w:style w:type="character" w:customStyle="1" w:styleId="137">
    <w:name w:val="标题 2 字符"/>
    <w:qFormat/>
    <w:uiPriority w:val="0"/>
    <w:rPr>
      <w:rFonts w:ascii="Arial" w:hAnsi="Arial" w:eastAsia="黑体"/>
      <w:b/>
      <w:sz w:val="30"/>
    </w:rPr>
  </w:style>
  <w:style w:type="character" w:customStyle="1" w:styleId="138">
    <w:name w:val="indent"/>
    <w:qFormat/>
    <w:uiPriority w:val="0"/>
  </w:style>
  <w:style w:type="character" w:customStyle="1" w:styleId="139">
    <w:name w:val="纯文本 Char1"/>
    <w:link w:val="140"/>
    <w:qFormat/>
    <w:uiPriority w:val="0"/>
    <w:rPr>
      <w:rFonts w:ascii="宋体" w:hAnsi="Courier New"/>
    </w:rPr>
  </w:style>
  <w:style w:type="paragraph" w:customStyle="1" w:styleId="140">
    <w:name w:val="纯文本1"/>
    <w:basedOn w:val="1"/>
    <w:link w:val="139"/>
    <w:qFormat/>
    <w:uiPriority w:val="0"/>
    <w:pPr>
      <w:widowControl w:val="0"/>
      <w:jc w:val="both"/>
    </w:pPr>
    <w:rPr>
      <w:rFonts w:ascii="宋体" w:hAnsi="Courier New"/>
      <w:sz w:val="22"/>
      <w:szCs w:val="22"/>
    </w:rPr>
  </w:style>
  <w:style w:type="character" w:customStyle="1" w:styleId="141">
    <w:name w:val="标题 3 字符"/>
    <w:qFormat/>
    <w:uiPriority w:val="0"/>
    <w:rPr>
      <w:rFonts w:ascii="宋体"/>
      <w:b/>
      <w:sz w:val="24"/>
      <w:u w:val="single"/>
    </w:rPr>
  </w:style>
  <w:style w:type="character" w:customStyle="1" w:styleId="142">
    <w:name w:val="正文缩进 Char1"/>
    <w:link w:val="143"/>
    <w:qFormat/>
    <w:uiPriority w:val="0"/>
    <w:rPr>
      <w:rFonts w:ascii="宋体"/>
      <w:sz w:val="24"/>
    </w:rPr>
  </w:style>
  <w:style w:type="paragraph" w:customStyle="1" w:styleId="143">
    <w:name w:val="正文缩进1"/>
    <w:basedOn w:val="1"/>
    <w:link w:val="142"/>
    <w:qFormat/>
    <w:uiPriority w:val="0"/>
    <w:pPr>
      <w:widowControl w:val="0"/>
      <w:autoSpaceDE w:val="0"/>
      <w:autoSpaceDN w:val="0"/>
      <w:adjustRightInd w:val="0"/>
      <w:ind w:firstLine="420"/>
    </w:pPr>
    <w:rPr>
      <w:rFonts w:ascii="宋体"/>
      <w:szCs w:val="22"/>
    </w:rPr>
  </w:style>
  <w:style w:type="character" w:customStyle="1" w:styleId="144">
    <w:name w:val="hour_pm"/>
    <w:qFormat/>
    <w:uiPriority w:val="0"/>
  </w:style>
  <w:style w:type="character" w:customStyle="1" w:styleId="145">
    <w:name w:val="tmpztreemove_arrow"/>
    <w:qFormat/>
    <w:uiPriority w:val="0"/>
    <w:rPr>
      <w:shd w:val="clear" w:color="auto" w:fill="FFFFFF"/>
    </w:rPr>
  </w:style>
  <w:style w:type="character" w:customStyle="1" w:styleId="146">
    <w:name w:val="hover3"/>
    <w:qFormat/>
    <w:uiPriority w:val="0"/>
    <w:rPr>
      <w:shd w:val="clear" w:color="auto" w:fill="EEEEEE"/>
    </w:rPr>
  </w:style>
  <w:style w:type="character" w:customStyle="1" w:styleId="147">
    <w:name w:val="button"/>
    <w:qFormat/>
    <w:uiPriority w:val="0"/>
  </w:style>
  <w:style w:type="character" w:customStyle="1" w:styleId="148">
    <w:name w:val="old"/>
    <w:qFormat/>
    <w:uiPriority w:val="0"/>
    <w:rPr>
      <w:color w:val="999999"/>
    </w:rPr>
  </w:style>
  <w:style w:type="character" w:customStyle="1" w:styleId="149">
    <w:name w:val="glyphicon4"/>
    <w:qFormat/>
    <w:uiPriority w:val="0"/>
  </w:style>
  <w:style w:type="character" w:customStyle="1" w:styleId="150">
    <w:name w:val="hour_am"/>
    <w:qFormat/>
    <w:uiPriority w:val="0"/>
  </w:style>
  <w:style w:type="paragraph" w:customStyle="1" w:styleId="151">
    <w:name w:val="索引 11"/>
    <w:basedOn w:val="1"/>
    <w:next w:val="1"/>
    <w:qFormat/>
    <w:uiPriority w:val="0"/>
    <w:pPr>
      <w:widowControl w:val="0"/>
      <w:spacing w:line="360" w:lineRule="auto"/>
      <w:jc w:val="both"/>
    </w:pPr>
    <w:rPr>
      <w:rFonts w:ascii="仿宋_GB2312" w:hAnsi="Times New Roman" w:eastAsia="仿宋_GB2312"/>
      <w:kern w:val="2"/>
      <w:szCs w:val="20"/>
    </w:rPr>
  </w:style>
  <w:style w:type="paragraph" w:customStyle="1" w:styleId="152">
    <w:name w:val="Char"/>
    <w:basedOn w:val="1"/>
    <w:qFormat/>
    <w:uiPriority w:val="0"/>
    <w:pPr>
      <w:widowControl w:val="0"/>
      <w:tabs>
        <w:tab w:val="left" w:pos="360"/>
      </w:tabs>
      <w:jc w:val="both"/>
    </w:pPr>
    <w:rPr>
      <w:rFonts w:ascii="Times New Roman" w:hAnsi="Times New Roman" w:eastAsia="宋体"/>
      <w:kern w:val="2"/>
    </w:rPr>
  </w:style>
  <w:style w:type="paragraph" w:customStyle="1" w:styleId="153">
    <w:name w:val="图"/>
    <w:basedOn w:val="1"/>
    <w:next w:val="1"/>
    <w:qFormat/>
    <w:uiPriority w:val="0"/>
    <w:pPr>
      <w:widowControl w:val="0"/>
      <w:numPr>
        <w:ilvl w:val="0"/>
        <w:numId w:val="2"/>
      </w:numPr>
      <w:tabs>
        <w:tab w:val="left" w:pos="1755"/>
        <w:tab w:val="left" w:pos="3134"/>
      </w:tabs>
      <w:adjustRightInd w:val="0"/>
      <w:spacing w:before="60" w:after="60" w:line="360" w:lineRule="atLeast"/>
      <w:jc w:val="center"/>
      <w:textAlignment w:val="baseline"/>
    </w:pPr>
    <w:rPr>
      <w:rFonts w:ascii="Times New Roman" w:hAnsi="Times New Roman" w:eastAsia="黑体"/>
      <w:b/>
      <w:szCs w:val="20"/>
    </w:rPr>
  </w:style>
  <w:style w:type="paragraph" w:customStyle="1" w:styleId="154">
    <w:name w:val="title1"/>
    <w:basedOn w:val="1"/>
    <w:qFormat/>
    <w:uiPriority w:val="0"/>
    <w:pPr>
      <w:widowControl w:val="0"/>
      <w:spacing w:before="120" w:line="360" w:lineRule="atLeast"/>
    </w:pPr>
    <w:rPr>
      <w:rFonts w:ascii="Times New Roman" w:hAnsi="Times New Roman" w:eastAsia="宋体"/>
      <w:b/>
      <w:bCs/>
      <w:sz w:val="19"/>
      <w:szCs w:val="19"/>
    </w:rPr>
  </w:style>
  <w:style w:type="character" w:customStyle="1" w:styleId="155">
    <w:name w:val="components--titlestart--nelvrc6"/>
    <w:qFormat/>
    <w:uiPriority w:val="0"/>
  </w:style>
  <w:style w:type="character" w:customStyle="1" w:styleId="156">
    <w:name w:val="noticegetfile-getbidfileaddress"/>
    <w:qFormat/>
    <w:uiPriority w:val="0"/>
  </w:style>
  <w:style w:type="character" w:customStyle="1" w:styleId="157">
    <w:name w:val="noticepurchasetime-noticepurchasetime"/>
    <w:qFormat/>
    <w:uiPriority w:val="0"/>
  </w:style>
  <w:style w:type="paragraph" w:customStyle="1" w:styleId="158">
    <w:name w:val="u-content"/>
    <w:basedOn w:val="1"/>
    <w:qFormat/>
    <w:uiPriority w:val="0"/>
    <w:pPr>
      <w:spacing w:before="100" w:beforeAutospacing="1" w:after="100" w:afterAutospacing="1"/>
    </w:pPr>
    <w:rPr>
      <w:rFonts w:ascii="宋体" w:hAnsi="宋体" w:eastAsia="宋体" w:cs="宋体"/>
    </w:rPr>
  </w:style>
  <w:style w:type="character" w:customStyle="1" w:styleId="159">
    <w:name w:val="u-content1"/>
    <w:qFormat/>
    <w:uiPriority w:val="0"/>
  </w:style>
  <w:style w:type="character" w:customStyle="1" w:styleId="160">
    <w:name w:val="noticebidtime-bidaddress"/>
    <w:qFormat/>
    <w:uiPriority w:val="0"/>
  </w:style>
  <w:style w:type="character" w:customStyle="1" w:styleId="161">
    <w:name w:val="next-input"/>
    <w:qFormat/>
    <w:uiPriority w:val="0"/>
  </w:style>
  <w:style w:type="character" w:customStyle="1" w:styleId="162">
    <w:name w:val="next-select-trigger-search"/>
    <w:qFormat/>
    <w:uiPriority w:val="0"/>
  </w:style>
  <w:style w:type="character" w:customStyle="1" w:styleId="163">
    <w:name w:val="z-窗体顶端 Char"/>
    <w:basedOn w:val="41"/>
    <w:link w:val="164"/>
    <w:semiHidden/>
    <w:qFormat/>
    <w:uiPriority w:val="99"/>
    <w:rPr>
      <w:rFonts w:ascii="Arial" w:hAnsi="Arial" w:eastAsia="宋体" w:cs="Arial"/>
      <w:vanish/>
      <w:sz w:val="16"/>
      <w:szCs w:val="16"/>
    </w:rPr>
  </w:style>
  <w:style w:type="paragraph" w:customStyle="1" w:styleId="164">
    <w:name w:val="z-窗体顶端1"/>
    <w:basedOn w:val="1"/>
    <w:next w:val="1"/>
    <w:link w:val="163"/>
    <w:semiHidden/>
    <w:unhideWhenUsed/>
    <w:qFormat/>
    <w:uiPriority w:val="99"/>
    <w:pPr>
      <w:pBdr>
        <w:bottom w:val="single" w:color="auto" w:sz="6" w:space="1"/>
      </w:pBdr>
      <w:jc w:val="center"/>
    </w:pPr>
    <w:rPr>
      <w:rFonts w:ascii="Arial" w:hAnsi="Arial" w:eastAsia="宋体" w:cs="Arial"/>
      <w:vanish/>
      <w:sz w:val="16"/>
      <w:szCs w:val="16"/>
    </w:rPr>
  </w:style>
  <w:style w:type="character" w:customStyle="1" w:styleId="165">
    <w:name w:val="scgpxformrender--edtlabel--xetypik"/>
    <w:qFormat/>
    <w:uiPriority w:val="0"/>
  </w:style>
  <w:style w:type="character" w:customStyle="1" w:styleId="166">
    <w:name w:val="next-input-len"/>
    <w:qFormat/>
    <w:uiPriority w:val="0"/>
  </w:style>
  <w:style w:type="character" w:customStyle="1" w:styleId="167">
    <w:name w:val="z-窗体底端 Char"/>
    <w:basedOn w:val="41"/>
    <w:link w:val="168"/>
    <w:semiHidden/>
    <w:qFormat/>
    <w:uiPriority w:val="99"/>
    <w:rPr>
      <w:rFonts w:ascii="Arial" w:hAnsi="Arial" w:eastAsia="宋体" w:cs="Arial"/>
      <w:vanish/>
      <w:sz w:val="16"/>
      <w:szCs w:val="16"/>
    </w:rPr>
  </w:style>
  <w:style w:type="paragraph" w:customStyle="1" w:styleId="168">
    <w:name w:val="z-窗体底端1"/>
    <w:basedOn w:val="1"/>
    <w:next w:val="1"/>
    <w:link w:val="167"/>
    <w:semiHidden/>
    <w:unhideWhenUsed/>
    <w:qFormat/>
    <w:uiPriority w:val="99"/>
    <w:pPr>
      <w:pBdr>
        <w:top w:val="single" w:color="auto" w:sz="6" w:space="1"/>
      </w:pBdr>
      <w:jc w:val="center"/>
    </w:pPr>
    <w:rPr>
      <w:rFonts w:ascii="Arial" w:hAnsi="Arial" w:eastAsia="宋体" w:cs="Arial"/>
      <w:vanish/>
      <w:sz w:val="16"/>
      <w:szCs w:val="16"/>
    </w:rPr>
  </w:style>
  <w:style w:type="paragraph" w:customStyle="1" w:styleId="169">
    <w:name w:val="xl36"/>
    <w:basedOn w:val="1"/>
    <w:qFormat/>
    <w:uiPriority w:val="0"/>
    <w:pPr>
      <w:spacing w:before="100" w:after="100"/>
      <w:jc w:val="center"/>
    </w:pPr>
    <w:rPr>
      <w:rFonts w:hint="eastAsia" w:ascii="宋体" w:hAnsi="宋体" w:eastAsia="宋体"/>
    </w:rPr>
  </w:style>
  <w:style w:type="character" w:customStyle="1" w:styleId="170">
    <w:name w:val="正文首行缩进 Char"/>
    <w:basedOn w:val="124"/>
    <w:link w:val="38"/>
    <w:semiHidden/>
    <w:qFormat/>
    <w:uiPriority w:val="99"/>
    <w:rPr>
      <w:rFonts w:ascii="宋体" w:hAnsi="宋体" w:eastAsia="宋体"/>
      <w:kern w:val="2"/>
      <w:sz w:val="24"/>
      <w:szCs w:val="24"/>
    </w:rPr>
  </w:style>
  <w:style w:type="paragraph" w:customStyle="1" w:styleId="171">
    <w:name w:val="_Style 163"/>
    <w:basedOn w:val="1"/>
    <w:next w:val="1"/>
    <w:qFormat/>
    <w:uiPriority w:val="39"/>
    <w:pPr>
      <w:widowControl w:val="0"/>
      <w:ind w:left="420" w:leftChars="200"/>
      <w:jc w:val="both"/>
    </w:pPr>
    <w:rPr>
      <w:rFonts w:ascii="Times New Roman" w:hAnsi="Times New Roman" w:eastAsia="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D637-01D3-49C0-A2C6-9488AF7A651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80</Pages>
  <Words>38386</Words>
  <Characters>41184</Characters>
  <Lines>347</Lines>
  <Paragraphs>97</Paragraphs>
  <TotalTime>2</TotalTime>
  <ScaleCrop>false</ScaleCrop>
  <LinksUpToDate>false</LinksUpToDate>
  <CharactersWithSpaces>41602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2022-05-16T06:37:00Z</dcterms:created>
  <dc:creator>lenovo</dc:creator>
  <cp:lastModifiedBy>zczx</cp:lastModifiedBy>
  <cp:lastPrinted>2022-05-17T01:40:00Z</cp:lastPrinted>
  <dcterms:modified xsi:type="dcterms:W3CDTF">2022-07-25T00:48:30Z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88FCECA0538343B886D7D57E6C725F9B</vt:lpwstr>
  </property>
</Properties>
</file>